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016B27" w14:textId="4A789F8B" w:rsidR="009F7D22" w:rsidRPr="009918C6" w:rsidRDefault="009F7D22" w:rsidP="00D32D6A">
      <w:pPr>
        <w:spacing w:after="120"/>
        <w:ind w:right="-153"/>
        <w:rPr>
          <w:rFonts w:ascii="Times New Roman" w:hAnsi="Times New Roman" w:cs="Times New Roman"/>
          <w:lang w:val="bg-BG"/>
        </w:rPr>
      </w:pPr>
      <w:r w:rsidRPr="009918C6">
        <w:rPr>
          <w:rFonts w:ascii="Times New Roman" w:hAnsi="Times New Roman" w:cs="Times New Roman"/>
          <w:lang w:val="bg-BG"/>
        </w:rPr>
        <w:t xml:space="preserve"> </w:t>
      </w:r>
    </w:p>
    <w:sdt>
      <w:sdtPr>
        <w:rPr>
          <w:rFonts w:ascii="Times New Roman" w:hAnsi="Times New Roman" w:cs="Times New Roman"/>
          <w:lang w:val="bg-BG"/>
        </w:rPr>
        <w:id w:val="-920019547"/>
        <w:docPartObj>
          <w:docPartGallery w:val="Cover Pages"/>
          <w:docPartUnique/>
        </w:docPartObj>
      </w:sdtPr>
      <w:sdtEndPr>
        <w:rPr>
          <w:b/>
          <w:sz w:val="24"/>
          <w:szCs w:val="24"/>
        </w:rPr>
      </w:sdtEndPr>
      <w:sdtContent>
        <w:p w14:paraId="3C62BAD4" w14:textId="36754C6B" w:rsidR="009D7952" w:rsidRPr="00610B1B" w:rsidRDefault="00537D06" w:rsidP="00D32D6A">
          <w:pPr>
            <w:spacing w:after="120"/>
            <w:ind w:right="-153"/>
            <w:rPr>
              <w:rFonts w:ascii="Times New Roman" w:hAnsi="Times New Roman" w:cs="Times New Roman"/>
              <w:lang w:val="bg-BG"/>
            </w:rPr>
          </w:pPr>
          <w:r w:rsidRPr="00610B1B">
            <w:rPr>
              <w:rFonts w:ascii="Times New Roman" w:hAnsi="Times New Roman" w:cs="Times New Roman"/>
              <w:noProof/>
              <w:lang w:val="bg-BG" w:eastAsia="bg-BG"/>
            </w:rPr>
            <mc:AlternateContent>
              <mc:Choice Requires="wpg">
                <w:drawing>
                  <wp:anchor distT="0" distB="0" distL="114300" distR="114300" simplePos="0" relativeHeight="251721728" behindDoc="0" locked="0" layoutInCell="1" allowOverlap="1" wp14:anchorId="512142AF" wp14:editId="69AF82BF">
                    <wp:simplePos x="0" y="0"/>
                    <wp:positionH relativeFrom="margin">
                      <wp:posOffset>-914401</wp:posOffset>
                    </wp:positionH>
                    <wp:positionV relativeFrom="page">
                      <wp:posOffset>0</wp:posOffset>
                    </wp:positionV>
                    <wp:extent cx="7559675" cy="1433015"/>
                    <wp:effectExtent l="0" t="0" r="3175" b="0"/>
                    <wp:wrapNone/>
                    <wp:docPr id="149" name="Group 149"/>
                    <wp:cNvGraphicFramePr/>
                    <a:graphic xmlns:a="http://schemas.openxmlformats.org/drawingml/2006/main">
                      <a:graphicData uri="http://schemas.microsoft.com/office/word/2010/wordprocessingGroup">
                        <wpg:wgp>
                          <wpg:cNvGrpSpPr/>
                          <wpg:grpSpPr>
                            <a:xfrm>
                              <a:off x="0" y="0"/>
                              <a:ext cx="7559675" cy="1433015"/>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3A1804E" id="Group 149" o:spid="_x0000_s1026" style="position:absolute;margin-left:-1in;margin-top:0;width:595.25pt;height:112.85pt;z-index:251721728;mso-position-horizontal-relative:margin;mso-position-vertical-relative:page"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path="m,l7312660,r,1129665l3619500,733425,,1091565,,xe" fillcolor="#4f81bd [3204]" stroked="f" strokeweight="2pt">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stroked="f" strokeweight="2pt">
                      <v:fill r:id="rId9" o:title="" recolor="t" rotate="t" type="frame"/>
                    </v:rect>
                    <w10:wrap anchorx="margin" anchory="page"/>
                  </v:group>
                </w:pict>
              </mc:Fallback>
            </mc:AlternateContent>
          </w:r>
        </w:p>
        <w:p w14:paraId="54973ED5" w14:textId="7CC40011" w:rsidR="009D7952" w:rsidRPr="00610B1B" w:rsidRDefault="00DE3A13"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noProof/>
              <w:lang w:val="bg-BG" w:eastAsia="bg-BG"/>
            </w:rPr>
            <mc:AlternateContent>
              <mc:Choice Requires="wpg">
                <w:drawing>
                  <wp:anchor distT="0" distB="0" distL="114300" distR="114300" simplePos="0" relativeHeight="251723776" behindDoc="0" locked="0" layoutInCell="1" allowOverlap="1" wp14:anchorId="68CFAD37" wp14:editId="0E6FB2BB">
                    <wp:simplePos x="0" y="0"/>
                    <wp:positionH relativeFrom="margin">
                      <wp:posOffset>-914400</wp:posOffset>
                    </wp:positionH>
                    <wp:positionV relativeFrom="page">
                      <wp:posOffset>9276715</wp:posOffset>
                    </wp:positionV>
                    <wp:extent cx="7559675" cy="1433015"/>
                    <wp:effectExtent l="0" t="0" r="3175" b="0"/>
                    <wp:wrapNone/>
                    <wp:docPr id="15" name="Group 15"/>
                    <wp:cNvGraphicFramePr/>
                    <a:graphic xmlns:a="http://schemas.openxmlformats.org/drawingml/2006/main">
                      <a:graphicData uri="http://schemas.microsoft.com/office/word/2010/wordprocessingGroup">
                        <wpg:wgp>
                          <wpg:cNvGrpSpPr/>
                          <wpg:grpSpPr>
                            <a:xfrm flipH="1" flipV="1">
                              <a:off x="0" y="0"/>
                              <a:ext cx="7559675" cy="1433015"/>
                              <a:chOff x="0" y="-1"/>
                              <a:chExt cx="7315200" cy="1216153"/>
                            </a:xfrm>
                          </wpg:grpSpPr>
                          <wps:wsp>
                            <wps:cNvPr id="17"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4" name="Rectangle 224"/>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EEDD664" id="Group 15" o:spid="_x0000_s1026" style="position:absolute;margin-left:-1in;margin-top:730.45pt;width:595.25pt;height:112.85pt;flip:x y;z-index:251723776;mso-position-horizontal-relative:margin;mso-position-vertical-relative:page"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" path="m,l7312660,r,1129665l3619500,733425,,1091565,,xe" fillcolor="#4f81bd [3204]" stroked="f" strokeweight="2pt">
                      <v:path arrowok="t" o:connecttype="custom" o:connectlocs="0,0;7315200,0;7315200,1130373;3620757,733885;0,1092249;0,0" o:connectangles="0,0,0,0,0,0"/>
                    </v:shape>
                    <v:rect id="Rectangle 224"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" stroked="f" strokeweight="2pt">
                      <v:fill r:id="rId9" o:title="" recolor="t" rotate="t" type="frame"/>
                    </v:rect>
                    <w10:wrap anchorx="margin" anchory="page"/>
                  </v:group>
                </w:pict>
              </mc:Fallback>
            </mc:AlternateContent>
          </w:r>
          <w:r w:rsidR="00537D06" w:rsidRPr="00610B1B">
            <w:rPr>
              <w:rFonts w:ascii="Times New Roman" w:hAnsi="Times New Roman" w:cs="Times New Roman"/>
              <w:noProof/>
              <w:color w:val="00B050"/>
              <w:sz w:val="28"/>
              <w:szCs w:val="28"/>
              <w:lang w:val="bg-BG" w:eastAsia="bg-BG"/>
            </w:rPr>
            <w:drawing>
              <wp:anchor distT="0" distB="0" distL="114300" distR="114300" simplePos="0" relativeHeight="251707392" behindDoc="0" locked="0" layoutInCell="1" allowOverlap="1" wp14:anchorId="1D38480F" wp14:editId="59B0579E">
                <wp:simplePos x="0" y="0"/>
                <wp:positionH relativeFrom="margin">
                  <wp:posOffset>107315</wp:posOffset>
                </wp:positionH>
                <wp:positionV relativeFrom="paragraph">
                  <wp:posOffset>4636002</wp:posOffset>
                </wp:positionV>
                <wp:extent cx="5573395" cy="3133725"/>
                <wp:effectExtent l="0" t="0" r="8255" b="9525"/>
                <wp:wrapSquare wrapText="bothSides"/>
                <wp:docPr id="24"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70711_09063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73395" cy="3133725"/>
                        </a:xfrm>
                        <a:prstGeom prst="rect">
                          <a:avLst/>
                        </a:prstGeom>
                      </pic:spPr>
                    </pic:pic>
                  </a:graphicData>
                </a:graphic>
                <wp14:sizeRelH relativeFrom="margin">
                  <wp14:pctWidth>0</wp14:pctWidth>
                </wp14:sizeRelH>
                <wp14:sizeRelV relativeFrom="margin">
                  <wp14:pctHeight>0</wp14:pctHeight>
                </wp14:sizeRelV>
              </wp:anchor>
            </w:drawing>
          </w:r>
          <w:r w:rsidR="00537D06" w:rsidRPr="00610B1B">
            <w:rPr>
              <w:rFonts w:ascii="Times New Roman" w:hAnsi="Times New Roman" w:cs="Times New Roman"/>
              <w:noProof/>
              <w:lang w:val="bg-BG" w:eastAsia="bg-BG"/>
            </w:rPr>
            <mc:AlternateContent>
              <mc:Choice Requires="wps">
                <w:drawing>
                  <wp:anchor distT="0" distB="0" distL="114300" distR="114300" simplePos="0" relativeHeight="251702272" behindDoc="0" locked="0" layoutInCell="1" allowOverlap="1" wp14:anchorId="240378D9" wp14:editId="1AA20D22">
                    <wp:simplePos x="0" y="0"/>
                    <wp:positionH relativeFrom="page">
                      <wp:posOffset>332105</wp:posOffset>
                    </wp:positionH>
                    <wp:positionV relativeFrom="page">
                      <wp:posOffset>2334715</wp:posOffset>
                    </wp:positionV>
                    <wp:extent cx="7108190" cy="2599673"/>
                    <wp:effectExtent l="0" t="0" r="0" b="10795"/>
                    <wp:wrapSquare wrapText="bothSides"/>
                    <wp:docPr id="154" name="Text Box 154"/>
                    <wp:cNvGraphicFramePr/>
                    <a:graphic xmlns:a="http://schemas.openxmlformats.org/drawingml/2006/main">
                      <a:graphicData uri="http://schemas.microsoft.com/office/word/2010/wordprocessingShape">
                        <wps:wsp>
                          <wps:cNvSpPr txBox="1"/>
                          <wps:spPr>
                            <a:xfrm>
                              <a:off x="0" y="0"/>
                              <a:ext cx="7108190" cy="259967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781F4C" w14:textId="41483B78" w:rsidR="00C717D0" w:rsidRPr="0088169A" w:rsidRDefault="00C717D0" w:rsidP="00537D06">
                                <w:pPr>
                                  <w:ind w:left="-1134"/>
                                  <w:jc w:val="right"/>
                                  <w:rPr>
                                    <w:rFonts w:ascii="Times New Roman" w:hAnsi="Times New Roman" w:cs="Times New Roman"/>
                                    <w:color w:val="196181"/>
                                    <w:sz w:val="40"/>
                                    <w:szCs w:val="40"/>
                                  </w:rPr>
                                </w:pPr>
                                <w:sdt>
                                  <w:sdtPr>
                                    <w:rPr>
                                      <w:rFonts w:ascii="Times New Roman" w:hAnsi="Times New Roman" w:cs="Times New Roman"/>
                                      <w:b/>
                                      <w:bCs/>
                                      <w:caps/>
                                      <w:color w:val="196181"/>
                                      <w:sz w:val="40"/>
                                      <w:szCs w:val="40"/>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Pr="0088169A">
                                      <w:rPr>
                                        <w:rFonts w:ascii="Times New Roman" w:hAnsi="Times New Roman" w:cs="Times New Roman"/>
                                        <w:b/>
                                        <w:bCs/>
                                        <w:caps/>
                                        <w:color w:val="196181"/>
                                        <w:sz w:val="40"/>
                                        <w:szCs w:val="40"/>
                                      </w:rPr>
                                      <w:t>морски пространствен план на република българия</w:t>
                                    </w:r>
                                    <w:r>
                                      <w:rPr>
                                        <w:rFonts w:ascii="Times New Roman" w:hAnsi="Times New Roman" w:cs="Times New Roman"/>
                                        <w:b/>
                                        <w:bCs/>
                                        <w:caps/>
                                        <w:color w:val="196181"/>
                                        <w:sz w:val="40"/>
                                        <w:szCs w:val="40"/>
                                      </w:rPr>
                                      <w:br/>
                                      <w:t>2</w:t>
                                    </w:r>
                                    <w:r w:rsidRPr="0088169A">
                                      <w:rPr>
                                        <w:rFonts w:ascii="Times New Roman" w:hAnsi="Times New Roman" w:cs="Times New Roman"/>
                                        <w:b/>
                                        <w:bCs/>
                                        <w:caps/>
                                        <w:color w:val="196181"/>
                                        <w:sz w:val="40"/>
                                        <w:szCs w:val="40"/>
                                      </w:rPr>
                                      <w:t>021-2035</w:t>
                                    </w:r>
                                  </w:sdtContent>
                                </w:sdt>
                              </w:p>
                              <w:p w14:paraId="442C9FB3" w14:textId="5089D358" w:rsidR="00C717D0" w:rsidRDefault="00C717D0" w:rsidP="00537D06">
                                <w:pPr>
                                  <w:ind w:left="-1134"/>
                                  <w:jc w:val="right"/>
                                  <w:rPr>
                                    <w:rFonts w:ascii="Times New Roman" w:hAnsi="Times New Roman" w:cs="Times New Roman"/>
                                    <w:b/>
                                    <w:bCs/>
                                    <w:i/>
                                    <w:iCs/>
                                    <w:color w:val="196181"/>
                                    <w:sz w:val="28"/>
                                    <w:szCs w:val="28"/>
                                  </w:rPr>
                                </w:pPr>
                                <w:r w:rsidRPr="0088169A">
                                  <w:rPr>
                                    <w:rFonts w:ascii="Times New Roman" w:hAnsi="Times New Roman" w:cs="Times New Roman"/>
                                    <w:b/>
                                    <w:bCs/>
                                    <w:i/>
                                    <w:iCs/>
                                    <w:color w:val="196181"/>
                                    <w:sz w:val="28"/>
                                    <w:szCs w:val="28"/>
                                  </w:rPr>
                                  <w:t xml:space="preserve">Черно море – отворена врата към света, </w:t>
                                </w:r>
                                <w:r>
                                  <w:rPr>
                                    <w:rFonts w:ascii="Times New Roman" w:hAnsi="Times New Roman" w:cs="Times New Roman"/>
                                    <w:b/>
                                    <w:bCs/>
                                    <w:i/>
                                    <w:iCs/>
                                    <w:color w:val="196181"/>
                                    <w:sz w:val="28"/>
                                    <w:szCs w:val="28"/>
                                  </w:rPr>
                                  <w:br/>
                                </w:r>
                                <w:r w:rsidRPr="0088169A">
                                  <w:rPr>
                                    <w:rFonts w:ascii="Times New Roman" w:hAnsi="Times New Roman" w:cs="Times New Roman"/>
                                    <w:b/>
                                    <w:bCs/>
                                    <w:i/>
                                    <w:iCs/>
                                    <w:color w:val="196181"/>
                                    <w:sz w:val="28"/>
                                    <w:szCs w:val="28"/>
                                  </w:rPr>
                                  <w:t xml:space="preserve">българското Черноморско крайбрежие – </w:t>
                                </w:r>
                                <w:r w:rsidRPr="0088169A">
                                  <w:rPr>
                                    <w:rFonts w:ascii="Times New Roman" w:hAnsi="Times New Roman" w:cs="Times New Roman"/>
                                    <w:b/>
                                    <w:bCs/>
                                    <w:i/>
                                    <w:iCs/>
                                    <w:color w:val="196181"/>
                                    <w:sz w:val="28"/>
                                    <w:szCs w:val="28"/>
                                    <w:lang w:val="bg-BG"/>
                                  </w:rPr>
                                  <w:t>наша</w:t>
                                </w:r>
                                <w:r w:rsidRPr="0088169A">
                                  <w:rPr>
                                    <w:rFonts w:ascii="Times New Roman" w:hAnsi="Times New Roman" w:cs="Times New Roman"/>
                                    <w:b/>
                                    <w:bCs/>
                                    <w:i/>
                                    <w:iCs/>
                                    <w:color w:val="196181"/>
                                    <w:sz w:val="28"/>
                                    <w:szCs w:val="28"/>
                                  </w:rPr>
                                  <w:t xml:space="preserve"> отговорност и</w:t>
                                </w:r>
                                <w:r>
                                  <w:rPr>
                                    <w:rFonts w:ascii="Times New Roman" w:hAnsi="Times New Roman" w:cs="Times New Roman"/>
                                    <w:b/>
                                    <w:bCs/>
                                    <w:i/>
                                    <w:iCs/>
                                    <w:color w:val="196181"/>
                                    <w:sz w:val="28"/>
                                    <w:szCs w:val="28"/>
                                  </w:rPr>
                                  <w:br/>
                                </w:r>
                                <w:r w:rsidRPr="0088169A">
                                  <w:rPr>
                                    <w:rFonts w:ascii="Times New Roman" w:hAnsi="Times New Roman" w:cs="Times New Roman"/>
                                    <w:b/>
                                    <w:bCs/>
                                    <w:i/>
                                    <w:iCs/>
                                    <w:color w:val="196181"/>
                                    <w:sz w:val="28"/>
                                    <w:szCs w:val="28"/>
                                  </w:rPr>
                                  <w:t xml:space="preserve"> общо наследство</w:t>
                                </w:r>
                                <w:r>
                                  <w:rPr>
                                    <w:rFonts w:ascii="Times New Roman" w:hAnsi="Times New Roman" w:cs="Times New Roman"/>
                                    <w:b/>
                                    <w:bCs/>
                                    <w:i/>
                                    <w:iCs/>
                                    <w:color w:val="196181"/>
                                    <w:sz w:val="28"/>
                                    <w:szCs w:val="28"/>
                                  </w:rPr>
                                  <w:t xml:space="preserve"> </w:t>
                                </w:r>
                              </w:p>
                              <w:p w14:paraId="3A484EA2" w14:textId="6EDC8C81" w:rsidR="00C717D0" w:rsidRPr="00537D06" w:rsidRDefault="00C717D0" w:rsidP="00537D06">
                                <w:pPr>
                                  <w:ind w:left="-1134" w:firstLine="1134"/>
                                  <w:jc w:val="right"/>
                                  <w:rPr>
                                    <w:rFonts w:ascii="Times New Roman" w:hAnsi="Times New Roman" w:cs="Times New Roman"/>
                                    <w:i/>
                                    <w:iCs/>
                                    <w:color w:val="196181"/>
                                    <w:sz w:val="28"/>
                                    <w:szCs w:val="28"/>
                                  </w:rPr>
                                </w:pPr>
                                <w:r w:rsidRPr="00537D06">
                                  <w:rPr>
                                    <w:rFonts w:ascii="Times New Roman" w:hAnsi="Times New Roman" w:cs="Times New Roman"/>
                                    <w:i/>
                                    <w:iCs/>
                                    <w:color w:val="196181"/>
                                    <w:sz w:val="28"/>
                                    <w:szCs w:val="28"/>
                                  </w:rPr>
                                  <w:t xml:space="preserve"> </w:t>
                                </w:r>
                                <w:r>
                                  <w:rPr>
                                    <w:rFonts w:ascii="Times New Roman" w:hAnsi="Times New Roman" w:cs="Times New Roman"/>
                                    <w:i/>
                                    <w:iCs/>
                                    <w:color w:val="196181"/>
                                    <w:sz w:val="28"/>
                                    <w:szCs w:val="28"/>
                                    <w:lang w:val="bg-BG"/>
                                  </w:rPr>
                                  <w:t>Март</w:t>
                                </w:r>
                                <w:r w:rsidRPr="00537D06">
                                  <w:rPr>
                                    <w:rFonts w:ascii="Times New Roman" w:hAnsi="Times New Roman" w:cs="Times New Roman"/>
                                    <w:i/>
                                    <w:iCs/>
                                    <w:color w:val="196181"/>
                                    <w:sz w:val="28"/>
                                    <w:szCs w:val="28"/>
                                  </w:rPr>
                                  <w:t xml:space="preserve"> 202</w:t>
                                </w:r>
                                <w:r>
                                  <w:rPr>
                                    <w:rFonts w:ascii="Times New Roman" w:hAnsi="Times New Roman" w:cs="Times New Roman"/>
                                    <w:i/>
                                    <w:iCs/>
                                    <w:color w:val="196181"/>
                                    <w:sz w:val="28"/>
                                    <w:szCs w:val="28"/>
                                    <w:lang w:val="bg-BG"/>
                                  </w:rPr>
                                  <w:t>3 г.</w:t>
                                </w:r>
                                <w:r w:rsidRPr="00537D06">
                                  <w:rPr>
                                    <w:rFonts w:ascii="Times New Roman" w:hAnsi="Times New Roman" w:cs="Times New Roman"/>
                                    <w:i/>
                                    <w:iCs/>
                                    <w:color w:val="196181"/>
                                    <w:sz w:val="28"/>
                                    <w:szCs w:val="28"/>
                                  </w:rPr>
                                  <w:t xml:space="preserve"> </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40378D9" id="_x0000_t202" coordsize="21600,21600" o:spt="202" path="m,l,21600r21600,l21600,xe">
                    <v:stroke joinstyle="miter"/>
                    <v:path gradientshapeok="t" o:connecttype="rect"/>
                  </v:shapetype>
                  <v:shape id="Text Box 154" o:spid="_x0000_s1026" type="#_x0000_t202" style="position:absolute;margin-left:26.15pt;margin-top:183.85pt;width:559.7pt;height:204.7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" filled="f" stroked="f" strokeweight=".5pt">
                    <v:textbox inset="126pt,0,54pt,0">
                      <w:txbxContent>
                        <w:p w14:paraId="2A781F4C" w14:textId="41483B78" w:rsidR="00C717D0" w:rsidRPr="0088169A" w:rsidRDefault="00C717D0" w:rsidP="00537D06">
                          <w:pPr>
                            <w:ind w:left="-1134"/>
                            <w:jc w:val="right"/>
                            <w:rPr>
                              <w:rFonts w:ascii="Times New Roman" w:hAnsi="Times New Roman" w:cs="Times New Roman"/>
                              <w:color w:val="196181"/>
                              <w:sz w:val="40"/>
                              <w:szCs w:val="40"/>
                            </w:rPr>
                          </w:pPr>
                          <w:sdt>
                            <w:sdtPr>
                              <w:rPr>
                                <w:rFonts w:ascii="Times New Roman" w:hAnsi="Times New Roman" w:cs="Times New Roman"/>
                                <w:b/>
                                <w:bCs/>
                                <w:caps/>
                                <w:color w:val="196181"/>
                                <w:sz w:val="40"/>
                                <w:szCs w:val="40"/>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Pr="0088169A">
                                <w:rPr>
                                  <w:rFonts w:ascii="Times New Roman" w:hAnsi="Times New Roman" w:cs="Times New Roman"/>
                                  <w:b/>
                                  <w:bCs/>
                                  <w:caps/>
                                  <w:color w:val="196181"/>
                                  <w:sz w:val="40"/>
                                  <w:szCs w:val="40"/>
                                </w:rPr>
                                <w:t>морски пространствен план на република българия</w:t>
                              </w:r>
                              <w:r>
                                <w:rPr>
                                  <w:rFonts w:ascii="Times New Roman" w:hAnsi="Times New Roman" w:cs="Times New Roman"/>
                                  <w:b/>
                                  <w:bCs/>
                                  <w:caps/>
                                  <w:color w:val="196181"/>
                                  <w:sz w:val="40"/>
                                  <w:szCs w:val="40"/>
                                </w:rPr>
                                <w:br/>
                                <w:t>2</w:t>
                              </w:r>
                              <w:r w:rsidRPr="0088169A">
                                <w:rPr>
                                  <w:rFonts w:ascii="Times New Roman" w:hAnsi="Times New Roman" w:cs="Times New Roman"/>
                                  <w:b/>
                                  <w:bCs/>
                                  <w:caps/>
                                  <w:color w:val="196181"/>
                                  <w:sz w:val="40"/>
                                  <w:szCs w:val="40"/>
                                </w:rPr>
                                <w:t>021-2035</w:t>
                              </w:r>
                            </w:sdtContent>
                          </w:sdt>
                        </w:p>
                        <w:p w14:paraId="442C9FB3" w14:textId="5089D358" w:rsidR="00C717D0" w:rsidRDefault="00C717D0" w:rsidP="00537D06">
                          <w:pPr>
                            <w:ind w:left="-1134"/>
                            <w:jc w:val="right"/>
                            <w:rPr>
                              <w:rFonts w:ascii="Times New Roman" w:hAnsi="Times New Roman" w:cs="Times New Roman"/>
                              <w:b/>
                              <w:bCs/>
                              <w:i/>
                              <w:iCs/>
                              <w:color w:val="196181"/>
                              <w:sz w:val="28"/>
                              <w:szCs w:val="28"/>
                            </w:rPr>
                          </w:pPr>
                          <w:r w:rsidRPr="0088169A">
                            <w:rPr>
                              <w:rFonts w:ascii="Times New Roman" w:hAnsi="Times New Roman" w:cs="Times New Roman"/>
                              <w:b/>
                              <w:bCs/>
                              <w:i/>
                              <w:iCs/>
                              <w:color w:val="196181"/>
                              <w:sz w:val="28"/>
                              <w:szCs w:val="28"/>
                            </w:rPr>
                            <w:t xml:space="preserve">Черно море – отворена врата към света, </w:t>
                          </w:r>
                          <w:r>
                            <w:rPr>
                              <w:rFonts w:ascii="Times New Roman" w:hAnsi="Times New Roman" w:cs="Times New Roman"/>
                              <w:b/>
                              <w:bCs/>
                              <w:i/>
                              <w:iCs/>
                              <w:color w:val="196181"/>
                              <w:sz w:val="28"/>
                              <w:szCs w:val="28"/>
                            </w:rPr>
                            <w:br/>
                          </w:r>
                          <w:r w:rsidRPr="0088169A">
                            <w:rPr>
                              <w:rFonts w:ascii="Times New Roman" w:hAnsi="Times New Roman" w:cs="Times New Roman"/>
                              <w:b/>
                              <w:bCs/>
                              <w:i/>
                              <w:iCs/>
                              <w:color w:val="196181"/>
                              <w:sz w:val="28"/>
                              <w:szCs w:val="28"/>
                            </w:rPr>
                            <w:t xml:space="preserve">българското Черноморско крайбрежие – </w:t>
                          </w:r>
                          <w:r w:rsidRPr="0088169A">
                            <w:rPr>
                              <w:rFonts w:ascii="Times New Roman" w:hAnsi="Times New Roman" w:cs="Times New Roman"/>
                              <w:b/>
                              <w:bCs/>
                              <w:i/>
                              <w:iCs/>
                              <w:color w:val="196181"/>
                              <w:sz w:val="28"/>
                              <w:szCs w:val="28"/>
                              <w:lang w:val="bg-BG"/>
                            </w:rPr>
                            <w:t>наша</w:t>
                          </w:r>
                          <w:r w:rsidRPr="0088169A">
                            <w:rPr>
                              <w:rFonts w:ascii="Times New Roman" w:hAnsi="Times New Roman" w:cs="Times New Roman"/>
                              <w:b/>
                              <w:bCs/>
                              <w:i/>
                              <w:iCs/>
                              <w:color w:val="196181"/>
                              <w:sz w:val="28"/>
                              <w:szCs w:val="28"/>
                            </w:rPr>
                            <w:t xml:space="preserve"> отговорност и</w:t>
                          </w:r>
                          <w:r>
                            <w:rPr>
                              <w:rFonts w:ascii="Times New Roman" w:hAnsi="Times New Roman" w:cs="Times New Roman"/>
                              <w:b/>
                              <w:bCs/>
                              <w:i/>
                              <w:iCs/>
                              <w:color w:val="196181"/>
                              <w:sz w:val="28"/>
                              <w:szCs w:val="28"/>
                            </w:rPr>
                            <w:br/>
                          </w:r>
                          <w:r w:rsidRPr="0088169A">
                            <w:rPr>
                              <w:rFonts w:ascii="Times New Roman" w:hAnsi="Times New Roman" w:cs="Times New Roman"/>
                              <w:b/>
                              <w:bCs/>
                              <w:i/>
                              <w:iCs/>
                              <w:color w:val="196181"/>
                              <w:sz w:val="28"/>
                              <w:szCs w:val="28"/>
                            </w:rPr>
                            <w:t xml:space="preserve"> общо наследство</w:t>
                          </w:r>
                          <w:r>
                            <w:rPr>
                              <w:rFonts w:ascii="Times New Roman" w:hAnsi="Times New Roman" w:cs="Times New Roman"/>
                              <w:b/>
                              <w:bCs/>
                              <w:i/>
                              <w:iCs/>
                              <w:color w:val="196181"/>
                              <w:sz w:val="28"/>
                              <w:szCs w:val="28"/>
                            </w:rPr>
                            <w:t xml:space="preserve"> </w:t>
                          </w:r>
                        </w:p>
                        <w:p w14:paraId="3A484EA2" w14:textId="6EDC8C81" w:rsidR="00C717D0" w:rsidRPr="00537D06" w:rsidRDefault="00C717D0" w:rsidP="00537D06">
                          <w:pPr>
                            <w:ind w:left="-1134" w:firstLine="1134"/>
                            <w:jc w:val="right"/>
                            <w:rPr>
                              <w:rFonts w:ascii="Times New Roman" w:hAnsi="Times New Roman" w:cs="Times New Roman"/>
                              <w:i/>
                              <w:iCs/>
                              <w:color w:val="196181"/>
                              <w:sz w:val="28"/>
                              <w:szCs w:val="28"/>
                            </w:rPr>
                          </w:pPr>
                          <w:r w:rsidRPr="00537D06">
                            <w:rPr>
                              <w:rFonts w:ascii="Times New Roman" w:hAnsi="Times New Roman" w:cs="Times New Roman"/>
                              <w:i/>
                              <w:iCs/>
                              <w:color w:val="196181"/>
                              <w:sz w:val="28"/>
                              <w:szCs w:val="28"/>
                            </w:rPr>
                            <w:t xml:space="preserve"> </w:t>
                          </w:r>
                          <w:r>
                            <w:rPr>
                              <w:rFonts w:ascii="Times New Roman" w:hAnsi="Times New Roman" w:cs="Times New Roman"/>
                              <w:i/>
                              <w:iCs/>
                              <w:color w:val="196181"/>
                              <w:sz w:val="28"/>
                              <w:szCs w:val="28"/>
                              <w:lang w:val="bg-BG"/>
                            </w:rPr>
                            <w:t>Март</w:t>
                          </w:r>
                          <w:r w:rsidRPr="00537D06">
                            <w:rPr>
                              <w:rFonts w:ascii="Times New Roman" w:hAnsi="Times New Roman" w:cs="Times New Roman"/>
                              <w:i/>
                              <w:iCs/>
                              <w:color w:val="196181"/>
                              <w:sz w:val="28"/>
                              <w:szCs w:val="28"/>
                            </w:rPr>
                            <w:t xml:space="preserve"> 202</w:t>
                          </w:r>
                          <w:r>
                            <w:rPr>
                              <w:rFonts w:ascii="Times New Roman" w:hAnsi="Times New Roman" w:cs="Times New Roman"/>
                              <w:i/>
                              <w:iCs/>
                              <w:color w:val="196181"/>
                              <w:sz w:val="28"/>
                              <w:szCs w:val="28"/>
                              <w:lang w:val="bg-BG"/>
                            </w:rPr>
                            <w:t>3 г.</w:t>
                          </w:r>
                          <w:r w:rsidRPr="00537D06">
                            <w:rPr>
                              <w:rFonts w:ascii="Times New Roman" w:hAnsi="Times New Roman" w:cs="Times New Roman"/>
                              <w:i/>
                              <w:iCs/>
                              <w:color w:val="196181"/>
                              <w:sz w:val="28"/>
                              <w:szCs w:val="28"/>
                            </w:rPr>
                            <w:t xml:space="preserve"> </w:t>
                          </w:r>
                        </w:p>
                      </w:txbxContent>
                    </v:textbox>
                    <w10:wrap type="square" anchorx="page" anchory="page"/>
                  </v:shape>
                </w:pict>
              </mc:Fallback>
            </mc:AlternateContent>
          </w:r>
          <w:r w:rsidR="009D7952" w:rsidRPr="00610B1B">
            <w:rPr>
              <w:rFonts w:ascii="Times New Roman" w:hAnsi="Times New Roman" w:cs="Times New Roman"/>
              <w:b/>
              <w:sz w:val="24"/>
              <w:szCs w:val="24"/>
              <w:lang w:val="bg-BG"/>
            </w:rPr>
            <w:br w:type="page"/>
          </w:r>
        </w:p>
      </w:sdtContent>
    </w:sdt>
    <w:p w14:paraId="6805DBDB" w14:textId="7E684F3B" w:rsidR="00B862CF" w:rsidRPr="00610B1B" w:rsidRDefault="00B862CF" w:rsidP="00D32D6A">
      <w:pPr>
        <w:pStyle w:val="Heading1"/>
        <w:spacing w:before="0" w:line="276" w:lineRule="auto"/>
        <w:rPr>
          <w:rFonts w:cs="Times New Roman"/>
        </w:rPr>
      </w:pPr>
      <w:bookmarkStart w:id="0" w:name="_Toc46871428"/>
      <w:bookmarkStart w:id="1" w:name="_Toc83391345"/>
      <w:r w:rsidRPr="00610B1B">
        <w:rPr>
          <w:rFonts w:cs="Times New Roman"/>
        </w:rPr>
        <w:lastRenderedPageBreak/>
        <w:t>СЪДЪРЖАНИЕ</w:t>
      </w:r>
      <w:bookmarkEnd w:id="0"/>
      <w:bookmarkEnd w:id="1"/>
      <w:r w:rsidR="00E248B8" w:rsidRPr="00610B1B">
        <w:rPr>
          <w:rFonts w:cs="Times New Roman"/>
        </w:rPr>
        <w:t xml:space="preserve"> </w:t>
      </w:r>
    </w:p>
    <w:sdt>
      <w:sdtPr>
        <w:rPr>
          <w:rFonts w:eastAsiaTheme="minorEastAsia" w:cs="Times New Roman"/>
          <w:noProof/>
          <w:color w:val="auto"/>
          <w:sz w:val="22"/>
          <w:szCs w:val="22"/>
          <w:lang w:eastAsia="bg-BG" w:bidi="ar-SA"/>
        </w:rPr>
        <w:id w:val="-329065122"/>
        <w:docPartObj>
          <w:docPartGallery w:val="Table of Contents"/>
          <w:docPartUnique/>
        </w:docPartObj>
      </w:sdtPr>
      <w:sdtEndPr>
        <w:rPr>
          <w:rFonts w:eastAsia="Source Han Sans CN Regular"/>
          <w:lang w:eastAsia="zh-CN" w:bidi="hi-IN"/>
        </w:rPr>
      </w:sdtEndPr>
      <w:sdtContent>
        <w:p w14:paraId="62D63119" w14:textId="4BE71174" w:rsidR="00931C12" w:rsidRPr="00610B1B" w:rsidRDefault="00931C12" w:rsidP="00D32D6A">
          <w:pPr>
            <w:pStyle w:val="Caption"/>
            <w:spacing w:before="0" w:line="276" w:lineRule="auto"/>
            <w:ind w:right="-153"/>
            <w:rPr>
              <w:rFonts w:cs="Times New Roman"/>
              <w:sz w:val="2"/>
              <w:szCs w:val="2"/>
            </w:rPr>
          </w:pPr>
        </w:p>
        <w:p w14:paraId="20839592" w14:textId="13E35C05" w:rsidR="00260629" w:rsidRPr="00610B1B" w:rsidRDefault="00931C12" w:rsidP="00E8347C">
          <w:pPr>
            <w:pStyle w:val="TOC1"/>
            <w:tabs>
              <w:tab w:val="right" w:leader="dot" w:pos="9017"/>
            </w:tabs>
            <w:spacing w:afterLines="60" w:after="144"/>
            <w:rPr>
              <w:rFonts w:eastAsiaTheme="minorEastAsia" w:cs="Times New Roman"/>
              <w:noProof/>
              <w:sz w:val="22"/>
              <w:szCs w:val="22"/>
              <w:lang w:val="en-US" w:eastAsia="en-US" w:bidi="ar-SA"/>
            </w:rPr>
          </w:pPr>
          <w:r w:rsidRPr="00610B1B">
            <w:rPr>
              <w:rFonts w:cs="Times New Roman"/>
              <w:sz w:val="22"/>
              <w:szCs w:val="22"/>
              <w:lang w:val="bg-BG"/>
            </w:rPr>
            <w:fldChar w:fldCharType="begin"/>
          </w:r>
          <w:r w:rsidRPr="00610B1B">
            <w:rPr>
              <w:rFonts w:cs="Times New Roman"/>
              <w:sz w:val="22"/>
              <w:szCs w:val="22"/>
              <w:lang w:val="bg-BG"/>
            </w:rPr>
            <w:instrText xml:space="preserve"> TOC \o "1-3" \h \z \u </w:instrText>
          </w:r>
          <w:r w:rsidRPr="00610B1B">
            <w:rPr>
              <w:rFonts w:cs="Times New Roman"/>
              <w:sz w:val="22"/>
              <w:szCs w:val="22"/>
              <w:lang w:val="bg-BG"/>
            </w:rPr>
            <w:fldChar w:fldCharType="separate"/>
          </w:r>
          <w:hyperlink w:anchor="_Toc83391345" w:history="1">
            <w:r w:rsidR="00260629" w:rsidRPr="00610B1B">
              <w:rPr>
                <w:rStyle w:val="Hyperlink"/>
                <w:rFonts w:cs="Times New Roman"/>
                <w:noProof/>
                <w:sz w:val="22"/>
                <w:szCs w:val="22"/>
              </w:rPr>
              <w:t>СЪДЪРЖАНИЕ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_Toc83391345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i</w:t>
            </w:r>
            <w:r w:rsidR="00260629" w:rsidRPr="00610B1B">
              <w:rPr>
                <w:rFonts w:cs="Times New Roman"/>
                <w:noProof/>
                <w:webHidden/>
                <w:sz w:val="22"/>
                <w:szCs w:val="22"/>
              </w:rPr>
              <w:fldChar w:fldCharType="end"/>
            </w:r>
          </w:hyperlink>
        </w:p>
        <w:p w14:paraId="730DBD74" w14:textId="23BED00F"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46" w:history="1">
            <w:r w:rsidR="00260629" w:rsidRPr="00610B1B">
              <w:rPr>
                <w:rStyle w:val="Hyperlink"/>
                <w:rFonts w:cs="Times New Roman"/>
                <w:noProof/>
                <w:sz w:val="22"/>
                <w:szCs w:val="22"/>
              </w:rPr>
              <w:t>СЪКРАЩЕНИЯ</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_Toc83391346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v</w:t>
            </w:r>
            <w:r w:rsidR="00260629" w:rsidRPr="00610B1B">
              <w:rPr>
                <w:rFonts w:cs="Times New Roman"/>
                <w:noProof/>
                <w:webHidden/>
                <w:sz w:val="22"/>
                <w:szCs w:val="22"/>
              </w:rPr>
              <w:fldChar w:fldCharType="end"/>
            </w:r>
          </w:hyperlink>
        </w:p>
        <w:p w14:paraId="712A0CEA" w14:textId="565E100B"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47" w:history="1">
            <w:r w:rsidR="00260629" w:rsidRPr="00610B1B">
              <w:rPr>
                <w:rStyle w:val="Hyperlink"/>
                <w:rFonts w:cs="Times New Roman"/>
                <w:noProof/>
                <w:sz w:val="22"/>
                <w:szCs w:val="22"/>
              </w:rPr>
              <w:t>СПИСЪК НА ФИГУРИТЕ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_Toc83391347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viii</w:t>
            </w:r>
            <w:r w:rsidR="00260629" w:rsidRPr="00610B1B">
              <w:rPr>
                <w:rFonts w:cs="Times New Roman"/>
                <w:noProof/>
                <w:webHidden/>
                <w:sz w:val="22"/>
                <w:szCs w:val="22"/>
              </w:rPr>
              <w:fldChar w:fldCharType="end"/>
            </w:r>
          </w:hyperlink>
        </w:p>
        <w:p w14:paraId="753E5DEC" w14:textId="027382B7"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48" w:history="1">
            <w:r w:rsidR="00260629" w:rsidRPr="00610B1B">
              <w:rPr>
                <w:rStyle w:val="Hyperlink"/>
                <w:rFonts w:cs="Times New Roman"/>
                <w:noProof/>
                <w:sz w:val="22"/>
                <w:szCs w:val="22"/>
              </w:rPr>
              <w:t>СПИСЪК НА ТАБЛИЦИТЕ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_Toc83391348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x</w:t>
            </w:r>
            <w:r w:rsidR="00260629" w:rsidRPr="00610B1B">
              <w:rPr>
                <w:rFonts w:cs="Times New Roman"/>
                <w:noProof/>
                <w:webHidden/>
                <w:sz w:val="22"/>
                <w:szCs w:val="22"/>
              </w:rPr>
              <w:fldChar w:fldCharType="end"/>
            </w:r>
          </w:hyperlink>
        </w:p>
        <w:p w14:paraId="74A61CBE" w14:textId="214A6716"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49" w:history="1">
            <w:r w:rsidR="00260629" w:rsidRPr="00610B1B">
              <w:rPr>
                <w:rStyle w:val="Hyperlink"/>
                <w:rFonts w:cs="Times New Roman"/>
                <w:noProof/>
                <w:sz w:val="22"/>
                <w:szCs w:val="22"/>
              </w:rPr>
              <w:t>РЕЗЮМЕ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_Toc83391349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1</w:t>
            </w:r>
            <w:r w:rsidR="00260629" w:rsidRPr="00610B1B">
              <w:rPr>
                <w:rFonts w:cs="Times New Roman"/>
                <w:noProof/>
                <w:webHidden/>
                <w:sz w:val="22"/>
                <w:szCs w:val="22"/>
              </w:rPr>
              <w:fldChar w:fldCharType="end"/>
            </w:r>
          </w:hyperlink>
        </w:p>
        <w:p w14:paraId="23A9A886" w14:textId="09A80A81"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50" w:history="1">
            <w:r w:rsidR="00260629" w:rsidRPr="00610B1B">
              <w:rPr>
                <w:rStyle w:val="Hyperlink"/>
                <w:rFonts w:cs="Times New Roman"/>
                <w:noProof/>
                <w:sz w:val="22"/>
                <w:szCs w:val="22"/>
              </w:rPr>
              <w:t>1. ВЪВЕДЕНИЕ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_Toc83391350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21</w:t>
            </w:r>
            <w:r w:rsidR="00260629" w:rsidRPr="00610B1B">
              <w:rPr>
                <w:rFonts w:cs="Times New Roman"/>
                <w:noProof/>
                <w:webHidden/>
                <w:sz w:val="22"/>
                <w:szCs w:val="22"/>
              </w:rPr>
              <w:fldChar w:fldCharType="end"/>
            </w:r>
          </w:hyperlink>
        </w:p>
        <w:p w14:paraId="3EB2EE21" w14:textId="5145345A" w:rsidR="00260629" w:rsidRPr="00610B1B" w:rsidRDefault="00DB227B" w:rsidP="00E8347C">
          <w:pPr>
            <w:pStyle w:val="TOC2"/>
            <w:spacing w:afterLines="60" w:after="144"/>
            <w:rPr>
              <w:rFonts w:eastAsiaTheme="minorEastAsia"/>
              <w:lang w:val="en-US" w:eastAsia="en-US" w:bidi="ar-SA"/>
            </w:rPr>
          </w:pPr>
          <w:hyperlink w:anchor="_Toc83391351" w:history="1">
            <w:r w:rsidR="00260629" w:rsidRPr="00610B1B">
              <w:rPr>
                <w:rStyle w:val="Hyperlink"/>
              </w:rPr>
              <w:t>1.1. Обща рамка и връзка с други документи</w:t>
            </w:r>
            <w:r w:rsidR="00260629" w:rsidRPr="00610B1B">
              <w:rPr>
                <w:webHidden/>
              </w:rPr>
              <w:tab/>
            </w:r>
            <w:r w:rsidR="00260629" w:rsidRPr="00610B1B">
              <w:rPr>
                <w:webHidden/>
              </w:rPr>
              <w:fldChar w:fldCharType="begin"/>
            </w:r>
            <w:r w:rsidR="00260629" w:rsidRPr="00610B1B">
              <w:rPr>
                <w:webHidden/>
              </w:rPr>
              <w:instrText xml:space="preserve"> PAGEREF _Toc83391351 \h </w:instrText>
            </w:r>
            <w:r w:rsidR="00260629" w:rsidRPr="00610B1B">
              <w:rPr>
                <w:webHidden/>
              </w:rPr>
            </w:r>
            <w:r w:rsidR="00260629" w:rsidRPr="00610B1B">
              <w:rPr>
                <w:webHidden/>
              </w:rPr>
              <w:fldChar w:fldCharType="separate"/>
            </w:r>
            <w:r w:rsidR="00260629" w:rsidRPr="00610B1B">
              <w:rPr>
                <w:webHidden/>
              </w:rPr>
              <w:t>21</w:t>
            </w:r>
            <w:r w:rsidR="00260629" w:rsidRPr="00610B1B">
              <w:rPr>
                <w:webHidden/>
              </w:rPr>
              <w:fldChar w:fldCharType="end"/>
            </w:r>
          </w:hyperlink>
        </w:p>
        <w:p w14:paraId="71662C78" w14:textId="7560749D" w:rsidR="00260629" w:rsidRPr="00610B1B" w:rsidRDefault="00DB227B" w:rsidP="00FE3E84">
          <w:pPr>
            <w:pStyle w:val="TOC3"/>
            <w:rPr>
              <w:noProof/>
              <w:lang w:val="en-US" w:eastAsia="en-US"/>
            </w:rPr>
          </w:pPr>
          <w:hyperlink w:anchor="_Toc83391352" w:history="1">
            <w:r w:rsidR="00260629" w:rsidRPr="00610B1B">
              <w:rPr>
                <w:rStyle w:val="Hyperlink"/>
                <w:rFonts w:ascii="Times New Roman" w:hAnsi="Times New Roman"/>
                <w:noProof/>
                <w:lang w:bidi="hi-IN"/>
              </w:rPr>
              <w:t>1.1.1. Методологична рамка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_Toc83391352 \h </w:instrText>
            </w:r>
            <w:r w:rsidR="00260629" w:rsidRPr="00610B1B">
              <w:rPr>
                <w:noProof/>
                <w:webHidden/>
              </w:rPr>
            </w:r>
            <w:r w:rsidR="00260629" w:rsidRPr="00610B1B">
              <w:rPr>
                <w:noProof/>
                <w:webHidden/>
              </w:rPr>
              <w:fldChar w:fldCharType="separate"/>
            </w:r>
            <w:r w:rsidR="00260629" w:rsidRPr="00610B1B">
              <w:rPr>
                <w:noProof/>
                <w:webHidden/>
              </w:rPr>
              <w:t>21</w:t>
            </w:r>
            <w:r w:rsidR="00260629" w:rsidRPr="00610B1B">
              <w:rPr>
                <w:noProof/>
                <w:webHidden/>
              </w:rPr>
              <w:fldChar w:fldCharType="end"/>
            </w:r>
          </w:hyperlink>
        </w:p>
        <w:p w14:paraId="77C4F88B" w14:textId="467F37D5" w:rsidR="00260629" w:rsidRPr="00610B1B" w:rsidRDefault="00DB227B" w:rsidP="00FE3E84">
          <w:pPr>
            <w:pStyle w:val="TOC3"/>
            <w:rPr>
              <w:noProof/>
              <w:lang w:val="en-US" w:eastAsia="en-US"/>
            </w:rPr>
          </w:pPr>
          <w:hyperlink w:anchor="_Toc83391353" w:history="1">
            <w:r w:rsidR="00260629" w:rsidRPr="00610B1B">
              <w:rPr>
                <w:rStyle w:val="Hyperlink"/>
                <w:rFonts w:ascii="Times New Roman" w:hAnsi="Times New Roman"/>
                <w:noProof/>
                <w:lang w:bidi="hi-IN"/>
              </w:rPr>
              <w:t>1.1.2. Институционална рамка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_Toc83391353 \h </w:instrText>
            </w:r>
            <w:r w:rsidR="00260629" w:rsidRPr="00610B1B">
              <w:rPr>
                <w:noProof/>
                <w:webHidden/>
              </w:rPr>
            </w:r>
            <w:r w:rsidR="00260629" w:rsidRPr="00610B1B">
              <w:rPr>
                <w:noProof/>
                <w:webHidden/>
              </w:rPr>
              <w:fldChar w:fldCharType="separate"/>
            </w:r>
            <w:r w:rsidR="00260629" w:rsidRPr="00610B1B">
              <w:rPr>
                <w:noProof/>
                <w:webHidden/>
              </w:rPr>
              <w:t>24</w:t>
            </w:r>
            <w:r w:rsidR="00260629" w:rsidRPr="00610B1B">
              <w:rPr>
                <w:noProof/>
                <w:webHidden/>
              </w:rPr>
              <w:fldChar w:fldCharType="end"/>
            </w:r>
          </w:hyperlink>
        </w:p>
        <w:p w14:paraId="5A7FDD90" w14:textId="7AAAF1CE" w:rsidR="00260629" w:rsidRPr="00610B1B" w:rsidRDefault="00DB227B" w:rsidP="00FE3E84">
          <w:pPr>
            <w:pStyle w:val="TOC3"/>
            <w:rPr>
              <w:noProof/>
              <w:lang w:val="en-US" w:eastAsia="en-US"/>
            </w:rPr>
          </w:pPr>
          <w:hyperlink w:anchor="_Toc83391354" w:history="1">
            <w:r w:rsidR="00260629" w:rsidRPr="00610B1B">
              <w:rPr>
                <w:rStyle w:val="Hyperlink"/>
                <w:rFonts w:ascii="Times New Roman" w:hAnsi="Times New Roman"/>
                <w:noProof/>
                <w:lang w:bidi="hi-IN"/>
              </w:rPr>
              <w:t>1.1.3. Законодателна рамка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_Toc83391354 \h </w:instrText>
            </w:r>
            <w:r w:rsidR="00260629" w:rsidRPr="00610B1B">
              <w:rPr>
                <w:noProof/>
                <w:webHidden/>
              </w:rPr>
            </w:r>
            <w:r w:rsidR="00260629" w:rsidRPr="00610B1B">
              <w:rPr>
                <w:noProof/>
                <w:webHidden/>
              </w:rPr>
              <w:fldChar w:fldCharType="separate"/>
            </w:r>
            <w:r w:rsidR="00260629" w:rsidRPr="00610B1B">
              <w:rPr>
                <w:noProof/>
                <w:webHidden/>
              </w:rPr>
              <w:t>27</w:t>
            </w:r>
            <w:r w:rsidR="00260629" w:rsidRPr="00610B1B">
              <w:rPr>
                <w:noProof/>
                <w:webHidden/>
              </w:rPr>
              <w:fldChar w:fldCharType="end"/>
            </w:r>
          </w:hyperlink>
        </w:p>
        <w:p w14:paraId="7663BAE5" w14:textId="69EF6668" w:rsidR="00260629" w:rsidRPr="00610B1B" w:rsidRDefault="00DB227B" w:rsidP="00FE3E84">
          <w:pPr>
            <w:pStyle w:val="TOC3"/>
            <w:rPr>
              <w:noProof/>
              <w:lang w:val="en-US" w:eastAsia="en-US"/>
            </w:rPr>
          </w:pPr>
          <w:hyperlink w:anchor="_Toc83391355" w:history="1">
            <w:r w:rsidR="00260629" w:rsidRPr="00610B1B">
              <w:rPr>
                <w:rStyle w:val="Hyperlink"/>
                <w:rFonts w:ascii="Times New Roman" w:hAnsi="Times New Roman"/>
                <w:noProof/>
                <w:lang w:bidi="hi-IN"/>
              </w:rPr>
              <w:t>1.1.4. Пространствена, времева и тематична рамка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_Toc83391355 \h </w:instrText>
            </w:r>
            <w:r w:rsidR="00260629" w:rsidRPr="00610B1B">
              <w:rPr>
                <w:noProof/>
                <w:webHidden/>
              </w:rPr>
            </w:r>
            <w:r w:rsidR="00260629" w:rsidRPr="00610B1B">
              <w:rPr>
                <w:noProof/>
                <w:webHidden/>
              </w:rPr>
              <w:fldChar w:fldCharType="separate"/>
            </w:r>
            <w:r w:rsidR="00260629" w:rsidRPr="00610B1B">
              <w:rPr>
                <w:noProof/>
                <w:webHidden/>
              </w:rPr>
              <w:t>37</w:t>
            </w:r>
            <w:r w:rsidR="00260629" w:rsidRPr="00610B1B">
              <w:rPr>
                <w:noProof/>
                <w:webHidden/>
              </w:rPr>
              <w:fldChar w:fldCharType="end"/>
            </w:r>
          </w:hyperlink>
        </w:p>
        <w:p w14:paraId="6B05DE5F" w14:textId="78D000DD" w:rsidR="00260629" w:rsidRPr="00610B1B" w:rsidRDefault="00DB227B" w:rsidP="00FE3E84">
          <w:pPr>
            <w:pStyle w:val="TOC3"/>
            <w:rPr>
              <w:noProof/>
              <w:lang w:val="en-US" w:eastAsia="en-US"/>
            </w:rPr>
          </w:pPr>
          <w:hyperlink w:anchor="_Toc83391356" w:history="1">
            <w:r w:rsidR="00260629" w:rsidRPr="00610B1B">
              <w:rPr>
                <w:rStyle w:val="Hyperlink"/>
                <w:rFonts w:ascii="Times New Roman" w:hAnsi="Times New Roman"/>
                <w:noProof/>
                <w:lang w:bidi="hi-IN"/>
              </w:rPr>
              <w:t>1.1.5. Връзка с други политики и документи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_Toc83391356 \h </w:instrText>
            </w:r>
            <w:r w:rsidR="00260629" w:rsidRPr="00610B1B">
              <w:rPr>
                <w:noProof/>
                <w:webHidden/>
              </w:rPr>
            </w:r>
            <w:r w:rsidR="00260629" w:rsidRPr="00610B1B">
              <w:rPr>
                <w:noProof/>
                <w:webHidden/>
              </w:rPr>
              <w:fldChar w:fldCharType="separate"/>
            </w:r>
            <w:r w:rsidR="00260629" w:rsidRPr="00610B1B">
              <w:rPr>
                <w:noProof/>
                <w:webHidden/>
              </w:rPr>
              <w:t>39</w:t>
            </w:r>
            <w:r w:rsidR="00260629" w:rsidRPr="00610B1B">
              <w:rPr>
                <w:noProof/>
                <w:webHidden/>
              </w:rPr>
              <w:fldChar w:fldCharType="end"/>
            </w:r>
          </w:hyperlink>
        </w:p>
        <w:p w14:paraId="5B30D407" w14:textId="20BF24E7" w:rsidR="00260629" w:rsidRPr="00610B1B" w:rsidRDefault="00DB227B" w:rsidP="00E8347C">
          <w:pPr>
            <w:pStyle w:val="TOC2"/>
            <w:spacing w:afterLines="60" w:after="144"/>
            <w:rPr>
              <w:rFonts w:eastAsiaTheme="minorEastAsia"/>
              <w:lang w:val="en-US" w:eastAsia="en-US" w:bidi="ar-SA"/>
            </w:rPr>
          </w:pPr>
          <w:hyperlink w:anchor="_Toc83391357" w:history="1">
            <w:r w:rsidR="00260629" w:rsidRPr="00610B1B">
              <w:rPr>
                <w:rStyle w:val="Hyperlink"/>
              </w:rPr>
              <w:t>1.2. Главна и специфични цели и задачи при разработването на МППРБ</w:t>
            </w:r>
            <w:r w:rsidR="00260629" w:rsidRPr="00610B1B">
              <w:rPr>
                <w:webHidden/>
              </w:rPr>
              <w:tab/>
            </w:r>
            <w:r w:rsidR="00260629" w:rsidRPr="00610B1B">
              <w:rPr>
                <w:webHidden/>
              </w:rPr>
              <w:fldChar w:fldCharType="begin"/>
            </w:r>
            <w:r w:rsidR="00260629" w:rsidRPr="00610B1B">
              <w:rPr>
                <w:webHidden/>
              </w:rPr>
              <w:instrText xml:space="preserve"> PAGEREF _Toc83391357 \h </w:instrText>
            </w:r>
            <w:r w:rsidR="00260629" w:rsidRPr="00610B1B">
              <w:rPr>
                <w:webHidden/>
              </w:rPr>
            </w:r>
            <w:r w:rsidR="00260629" w:rsidRPr="00610B1B">
              <w:rPr>
                <w:webHidden/>
              </w:rPr>
              <w:fldChar w:fldCharType="separate"/>
            </w:r>
            <w:r w:rsidR="00260629" w:rsidRPr="00610B1B">
              <w:rPr>
                <w:webHidden/>
              </w:rPr>
              <w:t>46</w:t>
            </w:r>
            <w:r w:rsidR="00260629" w:rsidRPr="00610B1B">
              <w:rPr>
                <w:webHidden/>
              </w:rPr>
              <w:fldChar w:fldCharType="end"/>
            </w:r>
          </w:hyperlink>
        </w:p>
        <w:p w14:paraId="7B42F192" w14:textId="13D1477D"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58" w:history="1">
            <w:r w:rsidR="00260629" w:rsidRPr="00610B1B">
              <w:rPr>
                <w:rStyle w:val="Hyperlink"/>
                <w:rFonts w:cs="Times New Roman"/>
                <w:noProof/>
                <w:sz w:val="22"/>
                <w:szCs w:val="22"/>
              </w:rPr>
              <w:t>2. СЪСТОЯНИЕ НА НАЦИОНАЛНОТО МОРСКО ПРОСТРАНСТВО</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_Toc83391358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48</w:t>
            </w:r>
            <w:r w:rsidR="00260629" w:rsidRPr="00610B1B">
              <w:rPr>
                <w:rFonts w:cs="Times New Roman"/>
                <w:noProof/>
                <w:webHidden/>
                <w:sz w:val="22"/>
                <w:szCs w:val="22"/>
              </w:rPr>
              <w:fldChar w:fldCharType="end"/>
            </w:r>
          </w:hyperlink>
        </w:p>
        <w:p w14:paraId="523A76DB" w14:textId="3E402C4E" w:rsidR="00260629" w:rsidRPr="00610B1B" w:rsidRDefault="00DB227B" w:rsidP="00E8347C">
          <w:pPr>
            <w:pStyle w:val="TOC2"/>
            <w:spacing w:afterLines="60" w:after="144"/>
            <w:rPr>
              <w:rFonts w:eastAsiaTheme="minorEastAsia"/>
              <w:lang w:val="en-US" w:eastAsia="en-US" w:bidi="ar-SA"/>
            </w:rPr>
          </w:pPr>
          <w:hyperlink w:anchor="_Toc83391359" w:history="1">
            <w:r w:rsidR="00260629" w:rsidRPr="00610B1B">
              <w:rPr>
                <w:rStyle w:val="Hyperlink"/>
              </w:rPr>
              <w:t>2.1. Особености на Черноморския регион</w:t>
            </w:r>
            <w:r w:rsidR="00260629" w:rsidRPr="00610B1B">
              <w:rPr>
                <w:webHidden/>
              </w:rPr>
              <w:tab/>
            </w:r>
            <w:r w:rsidR="00260629" w:rsidRPr="00610B1B">
              <w:rPr>
                <w:webHidden/>
              </w:rPr>
              <w:fldChar w:fldCharType="begin"/>
            </w:r>
            <w:r w:rsidR="00260629" w:rsidRPr="00610B1B">
              <w:rPr>
                <w:webHidden/>
              </w:rPr>
              <w:instrText xml:space="preserve"> PAGEREF _Toc83391359 \h </w:instrText>
            </w:r>
            <w:r w:rsidR="00260629" w:rsidRPr="00610B1B">
              <w:rPr>
                <w:webHidden/>
              </w:rPr>
            </w:r>
            <w:r w:rsidR="00260629" w:rsidRPr="00610B1B">
              <w:rPr>
                <w:webHidden/>
              </w:rPr>
              <w:fldChar w:fldCharType="separate"/>
            </w:r>
            <w:r w:rsidR="00260629" w:rsidRPr="00610B1B">
              <w:rPr>
                <w:webHidden/>
              </w:rPr>
              <w:t>48</w:t>
            </w:r>
            <w:r w:rsidR="00260629" w:rsidRPr="00610B1B">
              <w:rPr>
                <w:webHidden/>
              </w:rPr>
              <w:fldChar w:fldCharType="end"/>
            </w:r>
          </w:hyperlink>
        </w:p>
        <w:p w14:paraId="27EEA379" w14:textId="7F209677" w:rsidR="00260629" w:rsidRPr="00610B1B" w:rsidRDefault="00DB227B" w:rsidP="00E8347C">
          <w:pPr>
            <w:pStyle w:val="TOC2"/>
            <w:spacing w:afterLines="60" w:after="144"/>
            <w:rPr>
              <w:rFonts w:eastAsiaTheme="minorEastAsia"/>
              <w:lang w:val="en-US" w:eastAsia="en-US" w:bidi="ar-SA"/>
            </w:rPr>
          </w:pPr>
          <w:hyperlink w:anchor="_Toc83391360" w:history="1">
            <w:r w:rsidR="00260629" w:rsidRPr="00610B1B">
              <w:rPr>
                <w:rStyle w:val="Hyperlink"/>
              </w:rPr>
              <w:t>2.2. Състояние на компонентите на морската среда и взаимодействия с прилежащата крайбрежна зона</w:t>
            </w:r>
            <w:r w:rsidR="00260629" w:rsidRPr="00610B1B">
              <w:rPr>
                <w:webHidden/>
              </w:rPr>
              <w:tab/>
            </w:r>
            <w:r w:rsidR="00260629" w:rsidRPr="00610B1B">
              <w:rPr>
                <w:webHidden/>
              </w:rPr>
              <w:fldChar w:fldCharType="begin"/>
            </w:r>
            <w:r w:rsidR="00260629" w:rsidRPr="00610B1B">
              <w:rPr>
                <w:webHidden/>
              </w:rPr>
              <w:instrText xml:space="preserve"> PAGEREF _Toc83391360 \h </w:instrText>
            </w:r>
            <w:r w:rsidR="00260629" w:rsidRPr="00610B1B">
              <w:rPr>
                <w:webHidden/>
              </w:rPr>
            </w:r>
            <w:r w:rsidR="00260629" w:rsidRPr="00610B1B">
              <w:rPr>
                <w:webHidden/>
              </w:rPr>
              <w:fldChar w:fldCharType="separate"/>
            </w:r>
            <w:r w:rsidR="00260629" w:rsidRPr="00610B1B">
              <w:rPr>
                <w:webHidden/>
              </w:rPr>
              <w:t>50</w:t>
            </w:r>
            <w:r w:rsidR="00260629" w:rsidRPr="00610B1B">
              <w:rPr>
                <w:webHidden/>
              </w:rPr>
              <w:fldChar w:fldCharType="end"/>
            </w:r>
          </w:hyperlink>
        </w:p>
        <w:p w14:paraId="090232BA" w14:textId="4D25603B" w:rsidR="00260629" w:rsidRPr="00610B1B" w:rsidRDefault="00DB227B" w:rsidP="00FE3E84">
          <w:pPr>
            <w:pStyle w:val="TOC3"/>
            <w:rPr>
              <w:noProof/>
              <w:lang w:val="en-US" w:eastAsia="en-US"/>
            </w:rPr>
          </w:pPr>
          <w:hyperlink w:anchor="_Toc83391361" w:history="1">
            <w:r w:rsidR="00260629" w:rsidRPr="00610B1B">
              <w:rPr>
                <w:rStyle w:val="Hyperlink"/>
                <w:rFonts w:ascii="Times New Roman" w:hAnsi="Times New Roman"/>
                <w:noProof/>
                <w:lang w:bidi="hi-IN"/>
              </w:rPr>
              <w:t>2.2.1. Геология и геоморфология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_Toc83391361 \h </w:instrText>
            </w:r>
            <w:r w:rsidR="00260629" w:rsidRPr="00610B1B">
              <w:rPr>
                <w:noProof/>
                <w:webHidden/>
              </w:rPr>
            </w:r>
            <w:r w:rsidR="00260629" w:rsidRPr="00610B1B">
              <w:rPr>
                <w:noProof/>
                <w:webHidden/>
              </w:rPr>
              <w:fldChar w:fldCharType="separate"/>
            </w:r>
            <w:r w:rsidR="00260629" w:rsidRPr="00610B1B">
              <w:rPr>
                <w:noProof/>
                <w:webHidden/>
              </w:rPr>
              <w:t>50</w:t>
            </w:r>
            <w:r w:rsidR="00260629" w:rsidRPr="00610B1B">
              <w:rPr>
                <w:noProof/>
                <w:webHidden/>
              </w:rPr>
              <w:fldChar w:fldCharType="end"/>
            </w:r>
          </w:hyperlink>
        </w:p>
        <w:p w14:paraId="3460ADE9" w14:textId="205D7829" w:rsidR="00260629" w:rsidRPr="00610B1B" w:rsidRDefault="00DB227B" w:rsidP="00FE3E84">
          <w:pPr>
            <w:pStyle w:val="TOC3"/>
            <w:rPr>
              <w:noProof/>
              <w:lang w:val="en-US" w:eastAsia="en-US"/>
            </w:rPr>
          </w:pPr>
          <w:hyperlink w:anchor="_Toc83391362" w:history="1">
            <w:r w:rsidR="00260629" w:rsidRPr="00610B1B">
              <w:rPr>
                <w:rStyle w:val="Hyperlink"/>
                <w:rFonts w:ascii="Times New Roman" w:hAnsi="Times New Roman"/>
                <w:noProof/>
                <w:lang w:bidi="hi-IN"/>
              </w:rPr>
              <w:t>2.2.2. Хидрология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_Toc83391362 \h </w:instrText>
            </w:r>
            <w:r w:rsidR="00260629" w:rsidRPr="00610B1B">
              <w:rPr>
                <w:noProof/>
                <w:webHidden/>
              </w:rPr>
            </w:r>
            <w:r w:rsidR="00260629" w:rsidRPr="00610B1B">
              <w:rPr>
                <w:noProof/>
                <w:webHidden/>
              </w:rPr>
              <w:fldChar w:fldCharType="separate"/>
            </w:r>
            <w:r w:rsidR="00260629" w:rsidRPr="00610B1B">
              <w:rPr>
                <w:noProof/>
                <w:webHidden/>
              </w:rPr>
              <w:t>58</w:t>
            </w:r>
            <w:r w:rsidR="00260629" w:rsidRPr="00610B1B">
              <w:rPr>
                <w:noProof/>
                <w:webHidden/>
              </w:rPr>
              <w:fldChar w:fldCharType="end"/>
            </w:r>
          </w:hyperlink>
        </w:p>
        <w:p w14:paraId="7BFCA127" w14:textId="45B6467D" w:rsidR="00260629" w:rsidRPr="00610B1B" w:rsidRDefault="00DB227B" w:rsidP="00FE3E84">
          <w:pPr>
            <w:pStyle w:val="TOC3"/>
            <w:rPr>
              <w:noProof/>
              <w:lang w:val="en-US" w:eastAsia="en-US"/>
            </w:rPr>
          </w:pPr>
          <w:hyperlink w:anchor="_Toc83391363" w:history="1">
            <w:r w:rsidR="00260629" w:rsidRPr="00610B1B">
              <w:rPr>
                <w:rStyle w:val="Hyperlink"/>
                <w:rFonts w:ascii="Times New Roman" w:hAnsi="Times New Roman"/>
                <w:noProof/>
                <w:lang w:bidi="hi-IN"/>
              </w:rPr>
              <w:t>2.2.3. Климат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_Toc83391363 \h </w:instrText>
            </w:r>
            <w:r w:rsidR="00260629" w:rsidRPr="00610B1B">
              <w:rPr>
                <w:noProof/>
                <w:webHidden/>
              </w:rPr>
            </w:r>
            <w:r w:rsidR="00260629" w:rsidRPr="00610B1B">
              <w:rPr>
                <w:noProof/>
                <w:webHidden/>
              </w:rPr>
              <w:fldChar w:fldCharType="separate"/>
            </w:r>
            <w:r w:rsidR="00260629" w:rsidRPr="00610B1B">
              <w:rPr>
                <w:noProof/>
                <w:webHidden/>
              </w:rPr>
              <w:t>72</w:t>
            </w:r>
            <w:r w:rsidR="00260629" w:rsidRPr="00610B1B">
              <w:rPr>
                <w:noProof/>
                <w:webHidden/>
              </w:rPr>
              <w:fldChar w:fldCharType="end"/>
            </w:r>
          </w:hyperlink>
        </w:p>
        <w:p w14:paraId="25BF4962" w14:textId="19A0B77D" w:rsidR="00260629" w:rsidRPr="00610B1B" w:rsidRDefault="00DB227B" w:rsidP="00FE3E84">
          <w:pPr>
            <w:pStyle w:val="TOC3"/>
            <w:rPr>
              <w:noProof/>
              <w:lang w:val="en-US" w:eastAsia="en-US"/>
            </w:rPr>
          </w:pPr>
          <w:hyperlink w:anchor="_Toc83391364" w:history="1">
            <w:r w:rsidR="00260629" w:rsidRPr="00610B1B">
              <w:rPr>
                <w:rStyle w:val="Hyperlink"/>
                <w:rFonts w:ascii="Times New Roman" w:hAnsi="Times New Roman"/>
                <w:noProof/>
                <w:lang w:bidi="hi-IN"/>
              </w:rPr>
              <w:t>2.2.4. Биологично разнообразие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_Toc83391364 \h </w:instrText>
            </w:r>
            <w:r w:rsidR="00260629" w:rsidRPr="00610B1B">
              <w:rPr>
                <w:noProof/>
                <w:webHidden/>
              </w:rPr>
            </w:r>
            <w:r w:rsidR="00260629" w:rsidRPr="00610B1B">
              <w:rPr>
                <w:noProof/>
                <w:webHidden/>
              </w:rPr>
              <w:fldChar w:fldCharType="separate"/>
            </w:r>
            <w:r w:rsidR="00260629" w:rsidRPr="00610B1B">
              <w:rPr>
                <w:noProof/>
                <w:webHidden/>
              </w:rPr>
              <w:t>77</w:t>
            </w:r>
            <w:r w:rsidR="00260629" w:rsidRPr="00610B1B">
              <w:rPr>
                <w:noProof/>
                <w:webHidden/>
              </w:rPr>
              <w:fldChar w:fldCharType="end"/>
            </w:r>
          </w:hyperlink>
        </w:p>
        <w:p w14:paraId="366F03F4" w14:textId="193A18E2" w:rsidR="00260629" w:rsidRPr="00610B1B" w:rsidRDefault="00DB227B" w:rsidP="00FE3E84">
          <w:pPr>
            <w:pStyle w:val="TOC3"/>
            <w:rPr>
              <w:noProof/>
              <w:lang w:val="en-US" w:eastAsia="en-US"/>
            </w:rPr>
          </w:pPr>
          <w:hyperlink w:anchor="_Toc83391365" w:history="1">
            <w:r w:rsidR="00260629" w:rsidRPr="00610B1B">
              <w:rPr>
                <w:rStyle w:val="Hyperlink"/>
                <w:rFonts w:ascii="Times New Roman" w:hAnsi="Times New Roman"/>
                <w:noProof/>
                <w:lang w:bidi="hi-IN"/>
              </w:rPr>
              <w:t>2.2.5. Защитени територии и защитени зони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_Toc83391365 \h </w:instrText>
            </w:r>
            <w:r w:rsidR="00260629" w:rsidRPr="00610B1B">
              <w:rPr>
                <w:noProof/>
                <w:webHidden/>
              </w:rPr>
            </w:r>
            <w:r w:rsidR="00260629" w:rsidRPr="00610B1B">
              <w:rPr>
                <w:noProof/>
                <w:webHidden/>
              </w:rPr>
              <w:fldChar w:fldCharType="separate"/>
            </w:r>
            <w:r w:rsidR="00260629" w:rsidRPr="00610B1B">
              <w:rPr>
                <w:noProof/>
                <w:webHidden/>
              </w:rPr>
              <w:t>94</w:t>
            </w:r>
            <w:r w:rsidR="00260629" w:rsidRPr="00610B1B">
              <w:rPr>
                <w:noProof/>
                <w:webHidden/>
              </w:rPr>
              <w:fldChar w:fldCharType="end"/>
            </w:r>
          </w:hyperlink>
        </w:p>
        <w:p w14:paraId="5BF768D4" w14:textId="5618E44A" w:rsidR="00260629" w:rsidRPr="00610B1B" w:rsidRDefault="00DB227B" w:rsidP="00E8347C">
          <w:pPr>
            <w:pStyle w:val="TOC2"/>
            <w:spacing w:afterLines="60" w:after="144"/>
            <w:rPr>
              <w:rFonts w:eastAsiaTheme="minorEastAsia"/>
              <w:lang w:val="en-US" w:eastAsia="en-US" w:bidi="ar-SA"/>
            </w:rPr>
          </w:pPr>
          <w:hyperlink w:anchor="_Toc83391366" w:history="1">
            <w:r w:rsidR="00260629" w:rsidRPr="00610B1B">
              <w:rPr>
                <w:rStyle w:val="Hyperlink"/>
              </w:rPr>
              <w:t>2.3. Урбанизация на българското Черноморско крайбрежие</w:t>
            </w:r>
            <w:r w:rsidR="00260629" w:rsidRPr="00610B1B">
              <w:rPr>
                <w:webHidden/>
              </w:rPr>
              <w:tab/>
            </w:r>
            <w:r w:rsidR="00260629" w:rsidRPr="00610B1B">
              <w:rPr>
                <w:webHidden/>
              </w:rPr>
              <w:fldChar w:fldCharType="begin"/>
            </w:r>
            <w:r w:rsidR="00260629" w:rsidRPr="00610B1B">
              <w:rPr>
                <w:webHidden/>
              </w:rPr>
              <w:instrText xml:space="preserve"> PAGEREF _Toc83391366 \h </w:instrText>
            </w:r>
            <w:r w:rsidR="00260629" w:rsidRPr="00610B1B">
              <w:rPr>
                <w:webHidden/>
              </w:rPr>
            </w:r>
            <w:r w:rsidR="00260629" w:rsidRPr="00610B1B">
              <w:rPr>
                <w:webHidden/>
              </w:rPr>
              <w:fldChar w:fldCharType="separate"/>
            </w:r>
            <w:r w:rsidR="00260629" w:rsidRPr="00610B1B">
              <w:rPr>
                <w:webHidden/>
              </w:rPr>
              <w:t>103</w:t>
            </w:r>
            <w:r w:rsidR="00260629" w:rsidRPr="00610B1B">
              <w:rPr>
                <w:webHidden/>
              </w:rPr>
              <w:fldChar w:fldCharType="end"/>
            </w:r>
          </w:hyperlink>
        </w:p>
        <w:p w14:paraId="3D7D67E7" w14:textId="230951E5" w:rsidR="00260629" w:rsidRPr="00610B1B" w:rsidRDefault="00DB227B" w:rsidP="00FE3E84">
          <w:pPr>
            <w:pStyle w:val="TOC3"/>
            <w:rPr>
              <w:noProof/>
              <w:lang w:val="en-US" w:eastAsia="en-US"/>
            </w:rPr>
          </w:pPr>
          <w:hyperlink w:anchor="_Toc83391367" w:history="1">
            <w:r w:rsidR="00260629" w:rsidRPr="00610B1B">
              <w:rPr>
                <w:rStyle w:val="Hyperlink"/>
                <w:rFonts w:ascii="Times New Roman" w:hAnsi="Times New Roman"/>
                <w:noProof/>
                <w:lang w:bidi="hi-IN"/>
              </w:rPr>
              <w:t>2.3.1. Демография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_Toc83391367 \h </w:instrText>
            </w:r>
            <w:r w:rsidR="00260629" w:rsidRPr="00610B1B">
              <w:rPr>
                <w:noProof/>
                <w:webHidden/>
              </w:rPr>
            </w:r>
            <w:r w:rsidR="00260629" w:rsidRPr="00610B1B">
              <w:rPr>
                <w:noProof/>
                <w:webHidden/>
              </w:rPr>
              <w:fldChar w:fldCharType="separate"/>
            </w:r>
            <w:r w:rsidR="00260629" w:rsidRPr="00610B1B">
              <w:rPr>
                <w:noProof/>
                <w:webHidden/>
              </w:rPr>
              <w:t>104</w:t>
            </w:r>
            <w:r w:rsidR="00260629" w:rsidRPr="00610B1B">
              <w:rPr>
                <w:noProof/>
                <w:webHidden/>
              </w:rPr>
              <w:fldChar w:fldCharType="end"/>
            </w:r>
          </w:hyperlink>
        </w:p>
        <w:p w14:paraId="0F07EF6C" w14:textId="33DB62C4" w:rsidR="00260629" w:rsidRPr="00610B1B" w:rsidRDefault="00DB227B" w:rsidP="00FE3E84">
          <w:pPr>
            <w:pStyle w:val="TOC3"/>
            <w:rPr>
              <w:noProof/>
              <w:lang w:val="en-US" w:eastAsia="en-US"/>
            </w:rPr>
          </w:pPr>
          <w:hyperlink w:anchor="_Toc83391368" w:history="1">
            <w:r w:rsidR="00260629" w:rsidRPr="00610B1B">
              <w:rPr>
                <w:rStyle w:val="Hyperlink"/>
                <w:rFonts w:ascii="Times New Roman" w:hAnsi="Times New Roman"/>
                <w:noProof/>
                <w:lang w:bidi="hi-IN"/>
              </w:rPr>
              <w:t>2.3.2. Образование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_Toc83391368 \h </w:instrText>
            </w:r>
            <w:r w:rsidR="00260629" w:rsidRPr="00610B1B">
              <w:rPr>
                <w:noProof/>
                <w:webHidden/>
              </w:rPr>
            </w:r>
            <w:r w:rsidR="00260629" w:rsidRPr="00610B1B">
              <w:rPr>
                <w:noProof/>
                <w:webHidden/>
              </w:rPr>
              <w:fldChar w:fldCharType="separate"/>
            </w:r>
            <w:r w:rsidR="00260629" w:rsidRPr="00610B1B">
              <w:rPr>
                <w:noProof/>
                <w:webHidden/>
              </w:rPr>
              <w:t>111</w:t>
            </w:r>
            <w:r w:rsidR="00260629" w:rsidRPr="00610B1B">
              <w:rPr>
                <w:noProof/>
                <w:webHidden/>
              </w:rPr>
              <w:fldChar w:fldCharType="end"/>
            </w:r>
          </w:hyperlink>
        </w:p>
        <w:p w14:paraId="3E78C84B" w14:textId="7A9AFAFC" w:rsidR="00260629" w:rsidRPr="00610B1B" w:rsidRDefault="00DB227B" w:rsidP="00FE3E84">
          <w:pPr>
            <w:pStyle w:val="TOC3"/>
            <w:rPr>
              <w:noProof/>
              <w:lang w:val="en-US" w:eastAsia="en-US"/>
            </w:rPr>
          </w:pPr>
          <w:hyperlink w:anchor="_Toc83391369" w:history="1">
            <w:r w:rsidR="00260629" w:rsidRPr="00610B1B">
              <w:rPr>
                <w:rStyle w:val="Hyperlink"/>
                <w:rFonts w:ascii="Times New Roman" w:hAnsi="Times New Roman"/>
                <w:noProof/>
                <w:lang w:bidi="hi-IN"/>
              </w:rPr>
              <w:t>2.3.3. Здравеопазване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_Toc83391369 \h </w:instrText>
            </w:r>
            <w:r w:rsidR="00260629" w:rsidRPr="00610B1B">
              <w:rPr>
                <w:noProof/>
                <w:webHidden/>
              </w:rPr>
            </w:r>
            <w:r w:rsidR="00260629" w:rsidRPr="00610B1B">
              <w:rPr>
                <w:noProof/>
                <w:webHidden/>
              </w:rPr>
              <w:fldChar w:fldCharType="separate"/>
            </w:r>
            <w:r w:rsidR="00260629" w:rsidRPr="00610B1B">
              <w:rPr>
                <w:noProof/>
                <w:webHidden/>
              </w:rPr>
              <w:t>113</w:t>
            </w:r>
            <w:r w:rsidR="00260629" w:rsidRPr="00610B1B">
              <w:rPr>
                <w:noProof/>
                <w:webHidden/>
              </w:rPr>
              <w:fldChar w:fldCharType="end"/>
            </w:r>
          </w:hyperlink>
        </w:p>
        <w:p w14:paraId="3AA8B8B8" w14:textId="49C0B626"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370" w:history="1">
            <w:r w:rsidR="00260629" w:rsidRPr="00610B1B">
              <w:rPr>
                <w:rStyle w:val="Hyperlink"/>
                <w:rFonts w:cs="Times New Roman"/>
                <w:noProof/>
                <w:sz w:val="22"/>
                <w:szCs w:val="22"/>
              </w:rPr>
              <w:t>3. ДЕЙНОСТИ В НАЦИОНАЛНИТЕ МОРСКИ ПРОСТРАНСТВА</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_Toc83391370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115</w:t>
            </w:r>
            <w:r w:rsidR="00260629" w:rsidRPr="00610B1B">
              <w:rPr>
                <w:rFonts w:cs="Times New Roman"/>
                <w:noProof/>
                <w:webHidden/>
                <w:sz w:val="22"/>
                <w:szCs w:val="22"/>
              </w:rPr>
              <w:fldChar w:fldCharType="end"/>
            </w:r>
          </w:hyperlink>
        </w:p>
        <w:p w14:paraId="75C32BA7" w14:textId="4EEC6948" w:rsidR="00260629" w:rsidRPr="00610B1B" w:rsidRDefault="00DB227B" w:rsidP="00E8347C">
          <w:pPr>
            <w:pStyle w:val="TOC2"/>
            <w:spacing w:afterLines="60" w:after="144"/>
            <w:rPr>
              <w:rFonts w:eastAsiaTheme="minorEastAsia"/>
              <w:lang w:val="en-US" w:eastAsia="en-US" w:bidi="ar-SA"/>
            </w:rPr>
          </w:pPr>
          <w:hyperlink w:anchor="_Toc83391371" w:history="1">
            <w:r w:rsidR="00260629" w:rsidRPr="00610B1B">
              <w:rPr>
                <w:rStyle w:val="Hyperlink"/>
              </w:rPr>
              <w:t>3.1. Морски транспорт</w:t>
            </w:r>
            <w:r w:rsidR="00260629" w:rsidRPr="00610B1B">
              <w:rPr>
                <w:webHidden/>
              </w:rPr>
              <w:tab/>
            </w:r>
            <w:r w:rsidR="00260629" w:rsidRPr="00610B1B">
              <w:rPr>
                <w:webHidden/>
              </w:rPr>
              <w:fldChar w:fldCharType="begin"/>
            </w:r>
            <w:r w:rsidR="00260629" w:rsidRPr="00610B1B">
              <w:rPr>
                <w:webHidden/>
              </w:rPr>
              <w:instrText xml:space="preserve"> PAGEREF _Toc83391371 \h </w:instrText>
            </w:r>
            <w:r w:rsidR="00260629" w:rsidRPr="00610B1B">
              <w:rPr>
                <w:webHidden/>
              </w:rPr>
            </w:r>
            <w:r w:rsidR="00260629" w:rsidRPr="00610B1B">
              <w:rPr>
                <w:webHidden/>
              </w:rPr>
              <w:fldChar w:fldCharType="separate"/>
            </w:r>
            <w:r w:rsidR="00260629" w:rsidRPr="00610B1B">
              <w:rPr>
                <w:webHidden/>
              </w:rPr>
              <w:t>115</w:t>
            </w:r>
            <w:r w:rsidR="00260629" w:rsidRPr="00610B1B">
              <w:rPr>
                <w:webHidden/>
              </w:rPr>
              <w:fldChar w:fldCharType="end"/>
            </w:r>
          </w:hyperlink>
        </w:p>
        <w:p w14:paraId="5B6EAA71" w14:textId="1DB11395" w:rsidR="00260629" w:rsidRPr="00610B1B" w:rsidRDefault="00DB227B" w:rsidP="00FE3E84">
          <w:pPr>
            <w:pStyle w:val="TOC3"/>
            <w:rPr>
              <w:noProof/>
              <w:lang w:val="en-US" w:eastAsia="en-US"/>
            </w:rPr>
          </w:pPr>
          <w:hyperlink w:anchor="_Toc83391372" w:history="1">
            <w:r w:rsidR="00260629" w:rsidRPr="00610B1B">
              <w:rPr>
                <w:rStyle w:val="Hyperlink"/>
                <w:rFonts w:ascii="Times New Roman" w:hAnsi="Times New Roman"/>
                <w:noProof/>
                <w:lang w:bidi="hi-IN"/>
              </w:rPr>
              <w:t>3.1.1. Въведение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_Toc83391372 \h </w:instrText>
            </w:r>
            <w:r w:rsidR="00260629" w:rsidRPr="00610B1B">
              <w:rPr>
                <w:noProof/>
                <w:webHidden/>
              </w:rPr>
            </w:r>
            <w:r w:rsidR="00260629" w:rsidRPr="00610B1B">
              <w:rPr>
                <w:noProof/>
                <w:webHidden/>
              </w:rPr>
              <w:fldChar w:fldCharType="separate"/>
            </w:r>
            <w:r w:rsidR="00260629" w:rsidRPr="00610B1B">
              <w:rPr>
                <w:noProof/>
                <w:webHidden/>
              </w:rPr>
              <w:t>115</w:t>
            </w:r>
            <w:r w:rsidR="00260629" w:rsidRPr="00610B1B">
              <w:rPr>
                <w:noProof/>
                <w:webHidden/>
              </w:rPr>
              <w:fldChar w:fldCharType="end"/>
            </w:r>
          </w:hyperlink>
        </w:p>
        <w:p w14:paraId="3F8D85CC" w14:textId="7EB2C9C7" w:rsidR="00260629" w:rsidRPr="00610B1B" w:rsidRDefault="00DB227B" w:rsidP="00FE3E84">
          <w:pPr>
            <w:pStyle w:val="TOC3"/>
            <w:rPr>
              <w:noProof/>
              <w:lang w:val="en-US" w:eastAsia="en-US"/>
            </w:rPr>
          </w:pPr>
          <w:hyperlink w:anchor="_Toc83391373" w:history="1">
            <w:r w:rsidR="00260629" w:rsidRPr="00610B1B">
              <w:rPr>
                <w:rStyle w:val="Hyperlink"/>
                <w:rFonts w:ascii="Times New Roman" w:hAnsi="Times New Roman"/>
                <w:noProof/>
                <w:lang w:bidi="hi-IN"/>
              </w:rPr>
              <w:t>3.1.2. Въздействия на вътрешни и външни фактори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_Toc83391373 \h </w:instrText>
            </w:r>
            <w:r w:rsidR="00260629" w:rsidRPr="00610B1B">
              <w:rPr>
                <w:noProof/>
                <w:webHidden/>
              </w:rPr>
            </w:r>
            <w:r w:rsidR="00260629" w:rsidRPr="00610B1B">
              <w:rPr>
                <w:noProof/>
                <w:webHidden/>
              </w:rPr>
              <w:fldChar w:fldCharType="separate"/>
            </w:r>
            <w:r w:rsidR="00260629" w:rsidRPr="00610B1B">
              <w:rPr>
                <w:noProof/>
                <w:webHidden/>
              </w:rPr>
              <w:t>117</w:t>
            </w:r>
            <w:r w:rsidR="00260629" w:rsidRPr="00610B1B">
              <w:rPr>
                <w:noProof/>
                <w:webHidden/>
              </w:rPr>
              <w:fldChar w:fldCharType="end"/>
            </w:r>
          </w:hyperlink>
        </w:p>
        <w:p w14:paraId="3352A74C" w14:textId="1EFF3EF8" w:rsidR="00260629" w:rsidRPr="00610B1B" w:rsidRDefault="00DB227B" w:rsidP="00FE3E84">
          <w:pPr>
            <w:pStyle w:val="TOC3"/>
            <w:rPr>
              <w:noProof/>
              <w:lang w:val="en-US" w:eastAsia="en-US"/>
            </w:rPr>
          </w:pPr>
          <w:hyperlink w:anchor="_Toc83391374" w:history="1">
            <w:r w:rsidR="00260629" w:rsidRPr="00610B1B">
              <w:rPr>
                <w:rStyle w:val="Hyperlink"/>
                <w:rFonts w:ascii="Times New Roman" w:hAnsi="Times New Roman"/>
                <w:noProof/>
                <w:lang w:bidi="hi-IN"/>
              </w:rPr>
              <w:t>3.1.3. Морски търговски дестинации. Типове кораби и количества товари.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_Toc83391374 \h </w:instrText>
            </w:r>
            <w:r w:rsidR="00260629" w:rsidRPr="00610B1B">
              <w:rPr>
                <w:noProof/>
                <w:webHidden/>
              </w:rPr>
            </w:r>
            <w:r w:rsidR="00260629" w:rsidRPr="00610B1B">
              <w:rPr>
                <w:noProof/>
                <w:webHidden/>
              </w:rPr>
              <w:fldChar w:fldCharType="separate"/>
            </w:r>
            <w:r w:rsidR="00260629" w:rsidRPr="00610B1B">
              <w:rPr>
                <w:noProof/>
                <w:webHidden/>
              </w:rPr>
              <w:t>121</w:t>
            </w:r>
            <w:r w:rsidR="00260629" w:rsidRPr="00610B1B">
              <w:rPr>
                <w:noProof/>
                <w:webHidden/>
              </w:rPr>
              <w:fldChar w:fldCharType="end"/>
            </w:r>
          </w:hyperlink>
        </w:p>
        <w:p w14:paraId="04E8CD54" w14:textId="744883C2" w:rsidR="00260629" w:rsidRPr="00610B1B" w:rsidRDefault="00DB227B" w:rsidP="00FE3E84">
          <w:pPr>
            <w:pStyle w:val="TOC3"/>
            <w:rPr>
              <w:noProof/>
              <w:lang w:val="en-US" w:eastAsia="en-US"/>
            </w:rPr>
          </w:pPr>
          <w:hyperlink w:anchor="_Toc83391375" w:history="1">
            <w:r w:rsidR="00260629" w:rsidRPr="00610B1B">
              <w:rPr>
                <w:rStyle w:val="Hyperlink"/>
                <w:rFonts w:ascii="Times New Roman" w:hAnsi="Times New Roman"/>
                <w:noProof/>
                <w:lang w:bidi="hi-IN"/>
              </w:rPr>
              <w:t>3.1.4. Характеристика на морските пристанища на Р. България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_Toc83391375 \h </w:instrText>
            </w:r>
            <w:r w:rsidR="00260629" w:rsidRPr="00610B1B">
              <w:rPr>
                <w:noProof/>
                <w:webHidden/>
              </w:rPr>
            </w:r>
            <w:r w:rsidR="00260629" w:rsidRPr="00610B1B">
              <w:rPr>
                <w:noProof/>
                <w:webHidden/>
              </w:rPr>
              <w:fldChar w:fldCharType="separate"/>
            </w:r>
            <w:r w:rsidR="00260629" w:rsidRPr="00610B1B">
              <w:rPr>
                <w:noProof/>
                <w:webHidden/>
              </w:rPr>
              <w:t>126</w:t>
            </w:r>
            <w:r w:rsidR="00260629" w:rsidRPr="00610B1B">
              <w:rPr>
                <w:noProof/>
                <w:webHidden/>
              </w:rPr>
              <w:fldChar w:fldCharType="end"/>
            </w:r>
          </w:hyperlink>
        </w:p>
        <w:p w14:paraId="7219C443" w14:textId="1D8E4B9D" w:rsidR="00260629" w:rsidRPr="00610B1B" w:rsidRDefault="00DB227B" w:rsidP="00E8347C">
          <w:pPr>
            <w:pStyle w:val="TOC2"/>
            <w:spacing w:afterLines="60" w:after="144"/>
            <w:rPr>
              <w:rFonts w:eastAsiaTheme="minorEastAsia"/>
              <w:lang w:val="en-US" w:eastAsia="en-US" w:bidi="ar-SA"/>
            </w:rPr>
          </w:pPr>
          <w:hyperlink w:anchor="_Toc83391376" w:history="1">
            <w:r w:rsidR="00260629" w:rsidRPr="00610B1B">
              <w:rPr>
                <w:rStyle w:val="Hyperlink"/>
              </w:rPr>
              <w:t>3.2. Рибарство и аквакултури</w:t>
            </w:r>
            <w:r w:rsidR="00260629" w:rsidRPr="00610B1B">
              <w:rPr>
                <w:webHidden/>
              </w:rPr>
              <w:tab/>
            </w:r>
            <w:r w:rsidR="00260629" w:rsidRPr="00610B1B">
              <w:rPr>
                <w:webHidden/>
              </w:rPr>
              <w:fldChar w:fldCharType="begin"/>
            </w:r>
            <w:r w:rsidR="00260629" w:rsidRPr="00610B1B">
              <w:rPr>
                <w:webHidden/>
              </w:rPr>
              <w:instrText xml:space="preserve"> PAGEREF _Toc83391376 \h </w:instrText>
            </w:r>
            <w:r w:rsidR="00260629" w:rsidRPr="00610B1B">
              <w:rPr>
                <w:webHidden/>
              </w:rPr>
            </w:r>
            <w:r w:rsidR="00260629" w:rsidRPr="00610B1B">
              <w:rPr>
                <w:webHidden/>
              </w:rPr>
              <w:fldChar w:fldCharType="separate"/>
            </w:r>
            <w:r w:rsidR="00260629" w:rsidRPr="00610B1B">
              <w:rPr>
                <w:webHidden/>
              </w:rPr>
              <w:t>133</w:t>
            </w:r>
            <w:r w:rsidR="00260629" w:rsidRPr="00610B1B">
              <w:rPr>
                <w:webHidden/>
              </w:rPr>
              <w:fldChar w:fldCharType="end"/>
            </w:r>
          </w:hyperlink>
        </w:p>
        <w:p w14:paraId="618B39BF" w14:textId="1A457D57" w:rsidR="00260629" w:rsidRPr="00610B1B" w:rsidRDefault="00DB227B" w:rsidP="00FE3E84">
          <w:pPr>
            <w:pStyle w:val="TOC3"/>
            <w:rPr>
              <w:noProof/>
              <w:lang w:val="en-US" w:eastAsia="en-US"/>
            </w:rPr>
          </w:pPr>
          <w:hyperlink w:anchor="_Toc83391377" w:history="1">
            <w:r w:rsidR="00260629" w:rsidRPr="00610B1B">
              <w:rPr>
                <w:rStyle w:val="Hyperlink"/>
                <w:rFonts w:ascii="Times New Roman" w:hAnsi="Times New Roman"/>
                <w:noProof/>
                <w:lang w:bidi="hi-IN"/>
              </w:rPr>
              <w:t>3.2.1. Сектор Рибарство</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_Toc83391377 \h </w:instrText>
            </w:r>
            <w:r w:rsidR="00260629" w:rsidRPr="00610B1B">
              <w:rPr>
                <w:noProof/>
                <w:webHidden/>
              </w:rPr>
            </w:r>
            <w:r w:rsidR="00260629" w:rsidRPr="00610B1B">
              <w:rPr>
                <w:noProof/>
                <w:webHidden/>
              </w:rPr>
              <w:fldChar w:fldCharType="separate"/>
            </w:r>
            <w:r w:rsidR="00260629" w:rsidRPr="00610B1B">
              <w:rPr>
                <w:noProof/>
                <w:webHidden/>
              </w:rPr>
              <w:t>133</w:t>
            </w:r>
            <w:r w:rsidR="00260629" w:rsidRPr="00610B1B">
              <w:rPr>
                <w:noProof/>
                <w:webHidden/>
              </w:rPr>
              <w:fldChar w:fldCharType="end"/>
            </w:r>
          </w:hyperlink>
        </w:p>
        <w:p w14:paraId="35333485" w14:textId="41618150" w:rsidR="00260629" w:rsidRPr="00610B1B" w:rsidRDefault="00DB227B" w:rsidP="00FE3E84">
          <w:pPr>
            <w:pStyle w:val="TOC3"/>
            <w:rPr>
              <w:noProof/>
              <w:lang w:val="en-US" w:eastAsia="en-US"/>
            </w:rPr>
          </w:pPr>
          <w:hyperlink w:anchor="_Toc83391378" w:history="1">
            <w:r w:rsidR="00260629" w:rsidRPr="00610B1B">
              <w:rPr>
                <w:rStyle w:val="Hyperlink"/>
                <w:rFonts w:ascii="Times New Roman" w:hAnsi="Times New Roman"/>
                <w:noProof/>
                <w:lang w:bidi="hi-IN"/>
              </w:rPr>
              <w:t>3.2.2. Аквакултури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_Toc83391378 \h </w:instrText>
            </w:r>
            <w:r w:rsidR="00260629" w:rsidRPr="00610B1B">
              <w:rPr>
                <w:noProof/>
                <w:webHidden/>
              </w:rPr>
            </w:r>
            <w:r w:rsidR="00260629" w:rsidRPr="00610B1B">
              <w:rPr>
                <w:noProof/>
                <w:webHidden/>
              </w:rPr>
              <w:fldChar w:fldCharType="separate"/>
            </w:r>
            <w:r w:rsidR="00260629" w:rsidRPr="00610B1B">
              <w:rPr>
                <w:noProof/>
                <w:webHidden/>
              </w:rPr>
              <w:t>139</w:t>
            </w:r>
            <w:r w:rsidR="00260629" w:rsidRPr="00610B1B">
              <w:rPr>
                <w:noProof/>
                <w:webHidden/>
              </w:rPr>
              <w:fldChar w:fldCharType="end"/>
            </w:r>
          </w:hyperlink>
        </w:p>
        <w:p w14:paraId="0872ADE2" w14:textId="37CA9DAA" w:rsidR="00260629" w:rsidRPr="00610B1B" w:rsidRDefault="00DB227B" w:rsidP="00FE3E84">
          <w:pPr>
            <w:pStyle w:val="TOC3"/>
            <w:rPr>
              <w:noProof/>
              <w:lang w:val="en-US" w:eastAsia="en-US"/>
            </w:rPr>
          </w:pPr>
          <w:hyperlink w:anchor="_Toc83391379" w:history="1">
            <w:r w:rsidR="00260629" w:rsidRPr="00610B1B">
              <w:rPr>
                <w:rStyle w:val="Hyperlink"/>
                <w:rFonts w:ascii="Times New Roman" w:hAnsi="Times New Roman"/>
                <w:noProof/>
                <w:lang w:bidi="hi-IN"/>
              </w:rPr>
              <w:t>3.2.3. Преработка на риба и рибни продукти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_Toc83391379 \h </w:instrText>
            </w:r>
            <w:r w:rsidR="00260629" w:rsidRPr="00610B1B">
              <w:rPr>
                <w:noProof/>
                <w:webHidden/>
              </w:rPr>
            </w:r>
            <w:r w:rsidR="00260629" w:rsidRPr="00610B1B">
              <w:rPr>
                <w:noProof/>
                <w:webHidden/>
              </w:rPr>
              <w:fldChar w:fldCharType="separate"/>
            </w:r>
            <w:r w:rsidR="00260629" w:rsidRPr="00610B1B">
              <w:rPr>
                <w:noProof/>
                <w:webHidden/>
              </w:rPr>
              <w:t>140</w:t>
            </w:r>
            <w:r w:rsidR="00260629" w:rsidRPr="00610B1B">
              <w:rPr>
                <w:noProof/>
                <w:webHidden/>
              </w:rPr>
              <w:fldChar w:fldCharType="end"/>
            </w:r>
          </w:hyperlink>
        </w:p>
        <w:p w14:paraId="3285693B" w14:textId="7707CFCD" w:rsidR="00260629" w:rsidRPr="00610B1B" w:rsidRDefault="00DB227B" w:rsidP="00E8347C">
          <w:pPr>
            <w:pStyle w:val="TOC2"/>
            <w:spacing w:afterLines="60" w:after="144"/>
            <w:rPr>
              <w:rFonts w:eastAsiaTheme="minorEastAsia"/>
              <w:lang w:val="en-US" w:eastAsia="en-US" w:bidi="ar-SA"/>
            </w:rPr>
          </w:pPr>
          <w:hyperlink w:anchor="_Toc83391380" w:history="1">
            <w:r w:rsidR="00260629" w:rsidRPr="00610B1B">
              <w:rPr>
                <w:rStyle w:val="Hyperlink"/>
              </w:rPr>
              <w:t>3.3. Туризъм</w:t>
            </w:r>
            <w:r w:rsidR="00260629" w:rsidRPr="00610B1B">
              <w:rPr>
                <w:webHidden/>
              </w:rPr>
              <w:tab/>
            </w:r>
            <w:r w:rsidR="00260629" w:rsidRPr="00610B1B">
              <w:rPr>
                <w:webHidden/>
              </w:rPr>
              <w:fldChar w:fldCharType="begin"/>
            </w:r>
            <w:r w:rsidR="00260629" w:rsidRPr="00610B1B">
              <w:rPr>
                <w:webHidden/>
              </w:rPr>
              <w:instrText xml:space="preserve"> PAGEREF _Toc83391380 \h </w:instrText>
            </w:r>
            <w:r w:rsidR="00260629" w:rsidRPr="00610B1B">
              <w:rPr>
                <w:webHidden/>
              </w:rPr>
            </w:r>
            <w:r w:rsidR="00260629" w:rsidRPr="00610B1B">
              <w:rPr>
                <w:webHidden/>
              </w:rPr>
              <w:fldChar w:fldCharType="separate"/>
            </w:r>
            <w:r w:rsidR="00260629" w:rsidRPr="00610B1B">
              <w:rPr>
                <w:webHidden/>
              </w:rPr>
              <w:t>142</w:t>
            </w:r>
            <w:r w:rsidR="00260629" w:rsidRPr="00610B1B">
              <w:rPr>
                <w:webHidden/>
              </w:rPr>
              <w:fldChar w:fldCharType="end"/>
            </w:r>
          </w:hyperlink>
        </w:p>
        <w:p w14:paraId="4322C3C4" w14:textId="7B01E749" w:rsidR="00260629" w:rsidRPr="00610B1B" w:rsidRDefault="00DB227B" w:rsidP="00FE3E84">
          <w:pPr>
            <w:pStyle w:val="TOC3"/>
            <w:rPr>
              <w:noProof/>
              <w:lang w:val="en-US" w:eastAsia="en-US"/>
            </w:rPr>
          </w:pPr>
          <w:hyperlink w:anchor="_Toc83391381" w:history="1">
            <w:r w:rsidR="00260629" w:rsidRPr="00610B1B">
              <w:rPr>
                <w:rStyle w:val="Hyperlink"/>
                <w:rFonts w:ascii="Times New Roman" w:hAnsi="Times New Roman"/>
                <w:noProof/>
                <w:lang w:bidi="hi-IN"/>
              </w:rPr>
              <w:t>3.3.1. Туристически ресурси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_Toc83391381 \h </w:instrText>
            </w:r>
            <w:r w:rsidR="00260629" w:rsidRPr="00610B1B">
              <w:rPr>
                <w:noProof/>
                <w:webHidden/>
              </w:rPr>
            </w:r>
            <w:r w:rsidR="00260629" w:rsidRPr="00610B1B">
              <w:rPr>
                <w:noProof/>
                <w:webHidden/>
              </w:rPr>
              <w:fldChar w:fldCharType="separate"/>
            </w:r>
            <w:r w:rsidR="00260629" w:rsidRPr="00610B1B">
              <w:rPr>
                <w:noProof/>
                <w:webHidden/>
              </w:rPr>
              <w:t>143</w:t>
            </w:r>
            <w:r w:rsidR="00260629" w:rsidRPr="00610B1B">
              <w:rPr>
                <w:noProof/>
                <w:webHidden/>
              </w:rPr>
              <w:fldChar w:fldCharType="end"/>
            </w:r>
          </w:hyperlink>
        </w:p>
        <w:p w14:paraId="27BD0D0C" w14:textId="1EDACF5B" w:rsidR="00260629" w:rsidRPr="00610B1B" w:rsidRDefault="00DB227B" w:rsidP="00FE3E84">
          <w:pPr>
            <w:pStyle w:val="TOC3"/>
            <w:rPr>
              <w:noProof/>
              <w:lang w:val="en-US" w:eastAsia="en-US"/>
            </w:rPr>
          </w:pPr>
          <w:hyperlink w:anchor="_Toc83391382" w:history="1">
            <w:r w:rsidR="00260629" w:rsidRPr="00610B1B">
              <w:rPr>
                <w:rStyle w:val="Hyperlink"/>
                <w:rFonts w:ascii="Times New Roman" w:hAnsi="Times New Roman"/>
                <w:noProof/>
                <w:lang w:bidi="hi-IN"/>
              </w:rPr>
              <w:t>3.3.2. Курортни комплекси и образувания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_Toc83391382 \h </w:instrText>
            </w:r>
            <w:r w:rsidR="00260629" w:rsidRPr="00610B1B">
              <w:rPr>
                <w:noProof/>
                <w:webHidden/>
              </w:rPr>
            </w:r>
            <w:r w:rsidR="00260629" w:rsidRPr="00610B1B">
              <w:rPr>
                <w:noProof/>
                <w:webHidden/>
              </w:rPr>
              <w:fldChar w:fldCharType="separate"/>
            </w:r>
            <w:r w:rsidR="00260629" w:rsidRPr="00610B1B">
              <w:rPr>
                <w:noProof/>
                <w:webHidden/>
              </w:rPr>
              <w:t>144</w:t>
            </w:r>
            <w:r w:rsidR="00260629" w:rsidRPr="00610B1B">
              <w:rPr>
                <w:noProof/>
                <w:webHidden/>
              </w:rPr>
              <w:fldChar w:fldCharType="end"/>
            </w:r>
          </w:hyperlink>
        </w:p>
        <w:p w14:paraId="1AAA4CD8" w14:textId="2FAF979F" w:rsidR="00260629" w:rsidRPr="00610B1B" w:rsidRDefault="00DB227B" w:rsidP="00FE3E84">
          <w:pPr>
            <w:pStyle w:val="TOC3"/>
            <w:rPr>
              <w:noProof/>
              <w:lang w:val="en-US" w:eastAsia="en-US"/>
            </w:rPr>
          </w:pPr>
          <w:hyperlink w:anchor="_Toc83391383" w:history="1">
            <w:r w:rsidR="00260629" w:rsidRPr="00610B1B">
              <w:rPr>
                <w:rStyle w:val="Hyperlink"/>
                <w:rFonts w:ascii="Times New Roman" w:hAnsi="Times New Roman"/>
                <w:noProof/>
                <w:lang w:bidi="hi-IN"/>
              </w:rPr>
              <w:t>3.3.3. Яхтени пристанища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_Toc83391383 \h </w:instrText>
            </w:r>
            <w:r w:rsidR="00260629" w:rsidRPr="00610B1B">
              <w:rPr>
                <w:noProof/>
                <w:webHidden/>
              </w:rPr>
            </w:r>
            <w:r w:rsidR="00260629" w:rsidRPr="00610B1B">
              <w:rPr>
                <w:noProof/>
                <w:webHidden/>
              </w:rPr>
              <w:fldChar w:fldCharType="separate"/>
            </w:r>
            <w:r w:rsidR="00260629" w:rsidRPr="00610B1B">
              <w:rPr>
                <w:noProof/>
                <w:webHidden/>
              </w:rPr>
              <w:t>146</w:t>
            </w:r>
            <w:r w:rsidR="00260629" w:rsidRPr="00610B1B">
              <w:rPr>
                <w:noProof/>
                <w:webHidden/>
              </w:rPr>
              <w:fldChar w:fldCharType="end"/>
            </w:r>
          </w:hyperlink>
        </w:p>
        <w:p w14:paraId="1252B8E3" w14:textId="69472FC9" w:rsidR="00260629" w:rsidRPr="00610B1B" w:rsidRDefault="00DB227B" w:rsidP="00FE3E84">
          <w:pPr>
            <w:pStyle w:val="TOC3"/>
            <w:rPr>
              <w:noProof/>
              <w:lang w:val="en-US" w:eastAsia="en-US"/>
            </w:rPr>
          </w:pPr>
          <w:hyperlink w:anchor="_Toc83391384" w:history="1">
            <w:r w:rsidR="00260629" w:rsidRPr="00610B1B">
              <w:rPr>
                <w:rStyle w:val="Hyperlink"/>
                <w:rFonts w:ascii="Times New Roman" w:hAnsi="Times New Roman"/>
                <w:noProof/>
                <w:lang w:bidi="hi-IN"/>
              </w:rPr>
              <w:t>3.3.4. Икономически измерения на туризма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_Toc83391384 \h </w:instrText>
            </w:r>
            <w:r w:rsidR="00260629" w:rsidRPr="00610B1B">
              <w:rPr>
                <w:noProof/>
                <w:webHidden/>
              </w:rPr>
            </w:r>
            <w:r w:rsidR="00260629" w:rsidRPr="00610B1B">
              <w:rPr>
                <w:noProof/>
                <w:webHidden/>
              </w:rPr>
              <w:fldChar w:fldCharType="separate"/>
            </w:r>
            <w:r w:rsidR="00260629" w:rsidRPr="00610B1B">
              <w:rPr>
                <w:noProof/>
                <w:webHidden/>
              </w:rPr>
              <w:t>151</w:t>
            </w:r>
            <w:r w:rsidR="00260629" w:rsidRPr="00610B1B">
              <w:rPr>
                <w:noProof/>
                <w:webHidden/>
              </w:rPr>
              <w:fldChar w:fldCharType="end"/>
            </w:r>
          </w:hyperlink>
        </w:p>
        <w:p w14:paraId="0A8B9BB5" w14:textId="72C6E382" w:rsidR="00260629" w:rsidRPr="00610B1B" w:rsidRDefault="00DB227B" w:rsidP="00E8347C">
          <w:pPr>
            <w:pStyle w:val="TOC2"/>
            <w:spacing w:afterLines="60" w:after="144"/>
            <w:rPr>
              <w:rFonts w:eastAsiaTheme="minorEastAsia"/>
              <w:lang w:val="en-US" w:eastAsia="en-US" w:bidi="ar-SA"/>
            </w:rPr>
          </w:pPr>
          <w:hyperlink w:anchor="_Toc83391385" w:history="1">
            <w:r w:rsidR="00260629" w:rsidRPr="00610B1B">
              <w:rPr>
                <w:rStyle w:val="Hyperlink"/>
              </w:rPr>
              <w:t>3.4. Морски информационни и комуникационни технологии и инфраструктура</w:t>
            </w:r>
            <w:r w:rsidR="00260629" w:rsidRPr="00610B1B">
              <w:rPr>
                <w:webHidden/>
              </w:rPr>
              <w:tab/>
            </w:r>
            <w:r w:rsidR="00260629" w:rsidRPr="00610B1B">
              <w:rPr>
                <w:webHidden/>
              </w:rPr>
              <w:fldChar w:fldCharType="begin"/>
            </w:r>
            <w:r w:rsidR="00260629" w:rsidRPr="00610B1B">
              <w:rPr>
                <w:webHidden/>
              </w:rPr>
              <w:instrText xml:space="preserve"> PAGEREF _Toc83391385 \h </w:instrText>
            </w:r>
            <w:r w:rsidR="00260629" w:rsidRPr="00610B1B">
              <w:rPr>
                <w:webHidden/>
              </w:rPr>
            </w:r>
            <w:r w:rsidR="00260629" w:rsidRPr="00610B1B">
              <w:rPr>
                <w:webHidden/>
              </w:rPr>
              <w:fldChar w:fldCharType="separate"/>
            </w:r>
            <w:r w:rsidR="00260629" w:rsidRPr="00610B1B">
              <w:rPr>
                <w:webHidden/>
              </w:rPr>
              <w:t>152</w:t>
            </w:r>
            <w:r w:rsidR="00260629" w:rsidRPr="00610B1B">
              <w:rPr>
                <w:webHidden/>
              </w:rPr>
              <w:fldChar w:fldCharType="end"/>
            </w:r>
          </w:hyperlink>
        </w:p>
        <w:p w14:paraId="28E12DEC" w14:textId="4F84B9D2" w:rsidR="00260629" w:rsidRPr="00610B1B" w:rsidRDefault="00DB227B" w:rsidP="00FE3E84">
          <w:pPr>
            <w:pStyle w:val="TOC3"/>
            <w:rPr>
              <w:noProof/>
              <w:lang w:val="en-US" w:eastAsia="en-US"/>
            </w:rPr>
          </w:pPr>
          <w:hyperlink w:anchor="_Toc83391386" w:history="1">
            <w:r w:rsidR="00260629" w:rsidRPr="00610B1B">
              <w:rPr>
                <w:rStyle w:val="Hyperlink"/>
                <w:rFonts w:ascii="Times New Roman" w:hAnsi="Times New Roman"/>
                <w:noProof/>
                <w:lang w:bidi="hi-IN"/>
              </w:rPr>
              <w:t>3.4.1. ИКТ и ТИ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_Toc83391386 \h </w:instrText>
            </w:r>
            <w:r w:rsidR="00260629" w:rsidRPr="00610B1B">
              <w:rPr>
                <w:noProof/>
                <w:webHidden/>
              </w:rPr>
            </w:r>
            <w:r w:rsidR="00260629" w:rsidRPr="00610B1B">
              <w:rPr>
                <w:noProof/>
                <w:webHidden/>
              </w:rPr>
              <w:fldChar w:fldCharType="separate"/>
            </w:r>
            <w:r w:rsidR="00260629" w:rsidRPr="00610B1B">
              <w:rPr>
                <w:noProof/>
                <w:webHidden/>
              </w:rPr>
              <w:t>152</w:t>
            </w:r>
            <w:r w:rsidR="00260629" w:rsidRPr="00610B1B">
              <w:rPr>
                <w:noProof/>
                <w:webHidden/>
              </w:rPr>
              <w:fldChar w:fldCharType="end"/>
            </w:r>
          </w:hyperlink>
        </w:p>
        <w:p w14:paraId="61AB6EEE" w14:textId="40662C79" w:rsidR="00260629" w:rsidRPr="00610B1B" w:rsidRDefault="00DB227B" w:rsidP="00FE3E84">
          <w:pPr>
            <w:pStyle w:val="TOC3"/>
            <w:rPr>
              <w:noProof/>
              <w:lang w:val="en-US" w:eastAsia="en-US"/>
            </w:rPr>
          </w:pPr>
          <w:hyperlink w:anchor="_Toc83391387" w:history="1">
            <w:r w:rsidR="00260629" w:rsidRPr="00610B1B">
              <w:rPr>
                <w:rStyle w:val="Hyperlink"/>
                <w:rFonts w:ascii="Times New Roman" w:hAnsi="Times New Roman"/>
                <w:noProof/>
                <w:lang w:bidi="hi-IN"/>
              </w:rPr>
              <w:t>3.4.2. Широколентово покритие и достъп до високоскоростен Интернет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_Toc83391387 \h </w:instrText>
            </w:r>
            <w:r w:rsidR="00260629" w:rsidRPr="00610B1B">
              <w:rPr>
                <w:noProof/>
                <w:webHidden/>
              </w:rPr>
            </w:r>
            <w:r w:rsidR="00260629" w:rsidRPr="00610B1B">
              <w:rPr>
                <w:noProof/>
                <w:webHidden/>
              </w:rPr>
              <w:fldChar w:fldCharType="separate"/>
            </w:r>
            <w:r w:rsidR="00260629" w:rsidRPr="00610B1B">
              <w:rPr>
                <w:noProof/>
                <w:webHidden/>
              </w:rPr>
              <w:t>155</w:t>
            </w:r>
            <w:r w:rsidR="00260629" w:rsidRPr="00610B1B">
              <w:rPr>
                <w:noProof/>
                <w:webHidden/>
              </w:rPr>
              <w:fldChar w:fldCharType="end"/>
            </w:r>
          </w:hyperlink>
        </w:p>
        <w:p w14:paraId="08CB8325" w14:textId="3F70DBE1" w:rsidR="00260629" w:rsidRPr="00610B1B" w:rsidRDefault="00DB227B" w:rsidP="00E8347C">
          <w:pPr>
            <w:pStyle w:val="TOC2"/>
            <w:spacing w:afterLines="60" w:after="144"/>
            <w:rPr>
              <w:rFonts w:eastAsiaTheme="minorEastAsia"/>
              <w:lang w:val="en-US" w:eastAsia="en-US" w:bidi="ar-SA"/>
            </w:rPr>
          </w:pPr>
          <w:hyperlink w:anchor="_Toc83391388" w:history="1">
            <w:r w:rsidR="00260629" w:rsidRPr="00610B1B">
              <w:rPr>
                <w:rStyle w:val="Hyperlink"/>
              </w:rPr>
              <w:t>3.5. Военни зони, маршрути и пристанища</w:t>
            </w:r>
            <w:r w:rsidR="00260629" w:rsidRPr="00610B1B">
              <w:rPr>
                <w:webHidden/>
              </w:rPr>
              <w:tab/>
            </w:r>
            <w:r w:rsidR="00260629" w:rsidRPr="00610B1B">
              <w:rPr>
                <w:webHidden/>
              </w:rPr>
              <w:fldChar w:fldCharType="begin"/>
            </w:r>
            <w:r w:rsidR="00260629" w:rsidRPr="00610B1B">
              <w:rPr>
                <w:webHidden/>
              </w:rPr>
              <w:instrText xml:space="preserve"> PAGEREF _Toc83391388 \h </w:instrText>
            </w:r>
            <w:r w:rsidR="00260629" w:rsidRPr="00610B1B">
              <w:rPr>
                <w:webHidden/>
              </w:rPr>
            </w:r>
            <w:r w:rsidR="00260629" w:rsidRPr="00610B1B">
              <w:rPr>
                <w:webHidden/>
              </w:rPr>
              <w:fldChar w:fldCharType="separate"/>
            </w:r>
            <w:r w:rsidR="00260629" w:rsidRPr="00610B1B">
              <w:rPr>
                <w:webHidden/>
              </w:rPr>
              <w:t>156</w:t>
            </w:r>
            <w:r w:rsidR="00260629" w:rsidRPr="00610B1B">
              <w:rPr>
                <w:webHidden/>
              </w:rPr>
              <w:fldChar w:fldCharType="end"/>
            </w:r>
          </w:hyperlink>
        </w:p>
        <w:p w14:paraId="0272DE63" w14:textId="54A7320C" w:rsidR="00260629" w:rsidRPr="00610B1B" w:rsidRDefault="00DB227B" w:rsidP="00FE3E84">
          <w:pPr>
            <w:pStyle w:val="TOC3"/>
            <w:rPr>
              <w:noProof/>
              <w:lang w:val="en-US" w:eastAsia="en-US"/>
            </w:rPr>
          </w:pPr>
          <w:hyperlink w:anchor="_Toc83391389" w:history="1">
            <w:r w:rsidR="00260629" w:rsidRPr="00610B1B">
              <w:rPr>
                <w:rStyle w:val="Hyperlink"/>
                <w:rFonts w:ascii="Times New Roman" w:hAnsi="Times New Roman"/>
                <w:noProof/>
                <w:lang w:bidi="hi-IN"/>
              </w:rPr>
              <w:t>3.5.1. Райони, свързани със сигурността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_Toc83391389 \h </w:instrText>
            </w:r>
            <w:r w:rsidR="00260629" w:rsidRPr="00610B1B">
              <w:rPr>
                <w:noProof/>
                <w:webHidden/>
              </w:rPr>
            </w:r>
            <w:r w:rsidR="00260629" w:rsidRPr="00610B1B">
              <w:rPr>
                <w:noProof/>
                <w:webHidden/>
              </w:rPr>
              <w:fldChar w:fldCharType="separate"/>
            </w:r>
            <w:r w:rsidR="00260629" w:rsidRPr="00610B1B">
              <w:rPr>
                <w:noProof/>
                <w:webHidden/>
              </w:rPr>
              <w:t>159</w:t>
            </w:r>
            <w:r w:rsidR="00260629" w:rsidRPr="00610B1B">
              <w:rPr>
                <w:noProof/>
                <w:webHidden/>
              </w:rPr>
              <w:fldChar w:fldCharType="end"/>
            </w:r>
          </w:hyperlink>
        </w:p>
        <w:p w14:paraId="0BCA3B6F" w14:textId="4A38CA16" w:rsidR="00260629" w:rsidRPr="00610B1B" w:rsidRDefault="00DB227B" w:rsidP="00FE3E84">
          <w:pPr>
            <w:pStyle w:val="TOC3"/>
            <w:rPr>
              <w:noProof/>
              <w:lang w:val="en-US" w:eastAsia="en-US"/>
            </w:rPr>
          </w:pPr>
          <w:hyperlink w:anchor="_Toc83391390" w:history="1">
            <w:r w:rsidR="00260629" w:rsidRPr="00610B1B">
              <w:rPr>
                <w:rStyle w:val="Hyperlink"/>
                <w:rFonts w:ascii="Times New Roman" w:hAnsi="Times New Roman"/>
                <w:noProof/>
                <w:lang w:bidi="hi-IN"/>
              </w:rPr>
              <w:t>3.5.2. Организация на движението в морските пространства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_Toc83391390 \h </w:instrText>
            </w:r>
            <w:r w:rsidR="00260629" w:rsidRPr="00610B1B">
              <w:rPr>
                <w:noProof/>
                <w:webHidden/>
              </w:rPr>
            </w:r>
            <w:r w:rsidR="00260629" w:rsidRPr="00610B1B">
              <w:rPr>
                <w:noProof/>
                <w:webHidden/>
              </w:rPr>
              <w:fldChar w:fldCharType="separate"/>
            </w:r>
            <w:r w:rsidR="00260629" w:rsidRPr="00610B1B">
              <w:rPr>
                <w:noProof/>
                <w:webHidden/>
              </w:rPr>
              <w:t>161</w:t>
            </w:r>
            <w:r w:rsidR="00260629" w:rsidRPr="00610B1B">
              <w:rPr>
                <w:noProof/>
                <w:webHidden/>
              </w:rPr>
              <w:fldChar w:fldCharType="end"/>
            </w:r>
          </w:hyperlink>
        </w:p>
        <w:p w14:paraId="6856BF08" w14:textId="5F3213C3" w:rsidR="00260629" w:rsidRPr="00610B1B" w:rsidRDefault="00DB227B" w:rsidP="00E8347C">
          <w:pPr>
            <w:pStyle w:val="TOC2"/>
            <w:spacing w:afterLines="60" w:after="144"/>
            <w:rPr>
              <w:rFonts w:eastAsiaTheme="minorEastAsia"/>
              <w:lang w:val="en-US" w:eastAsia="en-US" w:bidi="ar-SA"/>
            </w:rPr>
          </w:pPr>
          <w:hyperlink w:anchor="_Toc83391391" w:history="1">
            <w:r w:rsidR="00260629" w:rsidRPr="00610B1B">
              <w:rPr>
                <w:rStyle w:val="Hyperlink"/>
              </w:rPr>
              <w:t>3.6. Обобщен анализ на морските икономически дейности</w:t>
            </w:r>
            <w:r w:rsidR="00260629" w:rsidRPr="00610B1B">
              <w:rPr>
                <w:webHidden/>
              </w:rPr>
              <w:tab/>
            </w:r>
            <w:r w:rsidR="00260629" w:rsidRPr="00610B1B">
              <w:rPr>
                <w:webHidden/>
              </w:rPr>
              <w:fldChar w:fldCharType="begin"/>
            </w:r>
            <w:r w:rsidR="00260629" w:rsidRPr="00610B1B">
              <w:rPr>
                <w:webHidden/>
              </w:rPr>
              <w:instrText xml:space="preserve"> PAGEREF _Toc83391391 \h </w:instrText>
            </w:r>
            <w:r w:rsidR="00260629" w:rsidRPr="00610B1B">
              <w:rPr>
                <w:webHidden/>
              </w:rPr>
            </w:r>
            <w:r w:rsidR="00260629" w:rsidRPr="00610B1B">
              <w:rPr>
                <w:webHidden/>
              </w:rPr>
              <w:fldChar w:fldCharType="separate"/>
            </w:r>
            <w:r w:rsidR="00260629" w:rsidRPr="00610B1B">
              <w:rPr>
                <w:webHidden/>
              </w:rPr>
              <w:t>164</w:t>
            </w:r>
            <w:r w:rsidR="00260629" w:rsidRPr="00610B1B">
              <w:rPr>
                <w:webHidden/>
              </w:rPr>
              <w:fldChar w:fldCharType="end"/>
            </w:r>
          </w:hyperlink>
        </w:p>
        <w:p w14:paraId="62EB7F18" w14:textId="3DFB0C53" w:rsidR="00260629" w:rsidRPr="00610B1B" w:rsidRDefault="00DB227B" w:rsidP="00FE3E84">
          <w:pPr>
            <w:pStyle w:val="TOC3"/>
            <w:rPr>
              <w:noProof/>
              <w:lang w:val="en-US" w:eastAsia="en-US"/>
            </w:rPr>
          </w:pPr>
          <w:hyperlink w:anchor="_Toc83391392" w:history="1">
            <w:r w:rsidR="00260629" w:rsidRPr="00610B1B">
              <w:rPr>
                <w:rStyle w:val="Hyperlink"/>
                <w:rFonts w:ascii="Times New Roman" w:hAnsi="Times New Roman"/>
                <w:noProof/>
                <w:lang w:bidi="hi-IN"/>
              </w:rPr>
              <w:t>3.6.1. Обща характеристика на морската икономика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_Toc83391392 \h </w:instrText>
            </w:r>
            <w:r w:rsidR="00260629" w:rsidRPr="00610B1B">
              <w:rPr>
                <w:noProof/>
                <w:webHidden/>
              </w:rPr>
            </w:r>
            <w:r w:rsidR="00260629" w:rsidRPr="00610B1B">
              <w:rPr>
                <w:noProof/>
                <w:webHidden/>
              </w:rPr>
              <w:fldChar w:fldCharType="separate"/>
            </w:r>
            <w:r w:rsidR="00260629" w:rsidRPr="00610B1B">
              <w:rPr>
                <w:noProof/>
                <w:webHidden/>
              </w:rPr>
              <w:t>164</w:t>
            </w:r>
            <w:r w:rsidR="00260629" w:rsidRPr="00610B1B">
              <w:rPr>
                <w:noProof/>
                <w:webHidden/>
              </w:rPr>
              <w:fldChar w:fldCharType="end"/>
            </w:r>
          </w:hyperlink>
        </w:p>
        <w:p w14:paraId="7F77AD88" w14:textId="1DAD6DEC" w:rsidR="00260629" w:rsidRPr="00610B1B" w:rsidRDefault="00DB227B" w:rsidP="00FE3E84">
          <w:pPr>
            <w:pStyle w:val="TOC3"/>
            <w:rPr>
              <w:noProof/>
              <w:lang w:val="en-US" w:eastAsia="en-US"/>
            </w:rPr>
          </w:pPr>
          <w:hyperlink w:anchor="_Toc83391393" w:history="1">
            <w:r w:rsidR="00260629" w:rsidRPr="00610B1B">
              <w:rPr>
                <w:rStyle w:val="Hyperlink"/>
                <w:rFonts w:ascii="Times New Roman" w:hAnsi="Times New Roman"/>
                <w:caps/>
                <w:noProof/>
                <w:lang w:bidi="hi-IN"/>
              </w:rPr>
              <w:t xml:space="preserve">3.6.2. </w:t>
            </w:r>
            <w:r w:rsidR="00260629" w:rsidRPr="00610B1B">
              <w:rPr>
                <w:rStyle w:val="Hyperlink"/>
                <w:rFonts w:ascii="Times New Roman" w:hAnsi="Times New Roman"/>
                <w:noProof/>
                <w:lang w:bidi="hi-IN"/>
              </w:rPr>
              <w:t>Крайбрежен туризъм</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_Toc83391393 \h </w:instrText>
            </w:r>
            <w:r w:rsidR="00260629" w:rsidRPr="00610B1B">
              <w:rPr>
                <w:noProof/>
                <w:webHidden/>
              </w:rPr>
            </w:r>
            <w:r w:rsidR="00260629" w:rsidRPr="00610B1B">
              <w:rPr>
                <w:noProof/>
                <w:webHidden/>
              </w:rPr>
              <w:fldChar w:fldCharType="separate"/>
            </w:r>
            <w:r w:rsidR="00260629" w:rsidRPr="00610B1B">
              <w:rPr>
                <w:noProof/>
                <w:webHidden/>
              </w:rPr>
              <w:t>167</w:t>
            </w:r>
            <w:r w:rsidR="00260629" w:rsidRPr="00610B1B">
              <w:rPr>
                <w:noProof/>
                <w:webHidden/>
              </w:rPr>
              <w:fldChar w:fldCharType="end"/>
            </w:r>
          </w:hyperlink>
        </w:p>
        <w:p w14:paraId="2D49373D" w14:textId="657213A6" w:rsidR="00260629" w:rsidRPr="00610B1B" w:rsidRDefault="00DB227B" w:rsidP="00FE3E84">
          <w:pPr>
            <w:pStyle w:val="TOC3"/>
            <w:rPr>
              <w:noProof/>
              <w:lang w:val="en-US" w:eastAsia="en-US"/>
            </w:rPr>
          </w:pPr>
          <w:hyperlink w:anchor="_Toc83391394" w:history="1">
            <w:r w:rsidR="00260629" w:rsidRPr="00610B1B">
              <w:rPr>
                <w:rStyle w:val="Hyperlink"/>
                <w:rFonts w:ascii="Times New Roman" w:hAnsi="Times New Roman"/>
                <w:noProof/>
                <w:lang w:bidi="hi-IN"/>
              </w:rPr>
              <w:t>3.6.3. Добив и комерсиализация на морски живи ресурси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_Toc83391394 \h </w:instrText>
            </w:r>
            <w:r w:rsidR="00260629" w:rsidRPr="00610B1B">
              <w:rPr>
                <w:noProof/>
                <w:webHidden/>
              </w:rPr>
            </w:r>
            <w:r w:rsidR="00260629" w:rsidRPr="00610B1B">
              <w:rPr>
                <w:noProof/>
                <w:webHidden/>
              </w:rPr>
              <w:fldChar w:fldCharType="separate"/>
            </w:r>
            <w:r w:rsidR="00260629" w:rsidRPr="00610B1B">
              <w:rPr>
                <w:noProof/>
                <w:webHidden/>
              </w:rPr>
              <w:t>168</w:t>
            </w:r>
            <w:r w:rsidR="00260629" w:rsidRPr="00610B1B">
              <w:rPr>
                <w:noProof/>
                <w:webHidden/>
              </w:rPr>
              <w:fldChar w:fldCharType="end"/>
            </w:r>
          </w:hyperlink>
        </w:p>
        <w:p w14:paraId="6CD8EA50" w14:textId="48A8BAA7" w:rsidR="00260629" w:rsidRPr="00610B1B" w:rsidRDefault="00DB227B" w:rsidP="00FE3E84">
          <w:pPr>
            <w:pStyle w:val="TOC3"/>
            <w:rPr>
              <w:noProof/>
              <w:lang w:val="en-US" w:eastAsia="en-US"/>
            </w:rPr>
          </w:pPr>
          <w:hyperlink w:anchor="_Toc83391395" w:history="1">
            <w:r w:rsidR="00260629" w:rsidRPr="00610B1B">
              <w:rPr>
                <w:rStyle w:val="Hyperlink"/>
                <w:rFonts w:ascii="Times New Roman" w:hAnsi="Times New Roman"/>
                <w:noProof/>
                <w:lang w:bidi="hi-IN"/>
              </w:rPr>
              <w:t>3.6.4. Морски добив от минерали, нефт и газ (Добив на морски неживи ресурси)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_Toc83391395 \h </w:instrText>
            </w:r>
            <w:r w:rsidR="00260629" w:rsidRPr="00610B1B">
              <w:rPr>
                <w:noProof/>
                <w:webHidden/>
              </w:rPr>
            </w:r>
            <w:r w:rsidR="00260629" w:rsidRPr="00610B1B">
              <w:rPr>
                <w:noProof/>
                <w:webHidden/>
              </w:rPr>
              <w:fldChar w:fldCharType="separate"/>
            </w:r>
            <w:r w:rsidR="00260629" w:rsidRPr="00610B1B">
              <w:rPr>
                <w:noProof/>
                <w:webHidden/>
              </w:rPr>
              <w:t>170</w:t>
            </w:r>
            <w:r w:rsidR="00260629" w:rsidRPr="00610B1B">
              <w:rPr>
                <w:noProof/>
                <w:webHidden/>
              </w:rPr>
              <w:fldChar w:fldCharType="end"/>
            </w:r>
          </w:hyperlink>
        </w:p>
        <w:p w14:paraId="58A1E005" w14:textId="72807355" w:rsidR="00260629" w:rsidRPr="00610B1B" w:rsidRDefault="00DB227B" w:rsidP="00FE3E84">
          <w:pPr>
            <w:pStyle w:val="TOC3"/>
            <w:rPr>
              <w:noProof/>
              <w:lang w:val="en-US" w:eastAsia="en-US"/>
            </w:rPr>
          </w:pPr>
          <w:hyperlink w:anchor="_Toc83391396" w:history="1">
            <w:r w:rsidR="00260629" w:rsidRPr="00610B1B">
              <w:rPr>
                <w:rStyle w:val="Hyperlink"/>
                <w:rFonts w:ascii="Times New Roman" w:hAnsi="Times New Roman"/>
                <w:noProof/>
                <w:lang w:bidi="hi-IN"/>
              </w:rPr>
              <w:t>3.6.5. Морски транспорт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_Toc83391396 \h </w:instrText>
            </w:r>
            <w:r w:rsidR="00260629" w:rsidRPr="00610B1B">
              <w:rPr>
                <w:noProof/>
                <w:webHidden/>
              </w:rPr>
            </w:r>
            <w:r w:rsidR="00260629" w:rsidRPr="00610B1B">
              <w:rPr>
                <w:noProof/>
                <w:webHidden/>
              </w:rPr>
              <w:fldChar w:fldCharType="separate"/>
            </w:r>
            <w:r w:rsidR="00260629" w:rsidRPr="00610B1B">
              <w:rPr>
                <w:noProof/>
                <w:webHidden/>
              </w:rPr>
              <w:t>172</w:t>
            </w:r>
            <w:r w:rsidR="00260629" w:rsidRPr="00610B1B">
              <w:rPr>
                <w:noProof/>
                <w:webHidden/>
              </w:rPr>
              <w:fldChar w:fldCharType="end"/>
            </w:r>
          </w:hyperlink>
        </w:p>
        <w:p w14:paraId="551BFB74" w14:textId="6517BDBF" w:rsidR="00260629" w:rsidRPr="00610B1B" w:rsidRDefault="00DB227B" w:rsidP="00FE3E84">
          <w:pPr>
            <w:pStyle w:val="TOC3"/>
            <w:rPr>
              <w:noProof/>
              <w:lang w:val="en-US" w:eastAsia="en-US"/>
            </w:rPr>
          </w:pPr>
          <w:hyperlink w:anchor="_Toc83391397" w:history="1">
            <w:r w:rsidR="00260629" w:rsidRPr="00610B1B">
              <w:rPr>
                <w:rStyle w:val="Hyperlink"/>
                <w:rFonts w:ascii="Times New Roman" w:hAnsi="Times New Roman"/>
                <w:noProof/>
                <w:lang w:bidi="hi-IN"/>
              </w:rPr>
              <w:t>3.6.6. Пристанищни дейности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_Toc83391397 \h </w:instrText>
            </w:r>
            <w:r w:rsidR="00260629" w:rsidRPr="00610B1B">
              <w:rPr>
                <w:noProof/>
                <w:webHidden/>
              </w:rPr>
            </w:r>
            <w:r w:rsidR="00260629" w:rsidRPr="00610B1B">
              <w:rPr>
                <w:noProof/>
                <w:webHidden/>
              </w:rPr>
              <w:fldChar w:fldCharType="separate"/>
            </w:r>
            <w:r w:rsidR="00260629" w:rsidRPr="00610B1B">
              <w:rPr>
                <w:noProof/>
                <w:webHidden/>
              </w:rPr>
              <w:t>173</w:t>
            </w:r>
            <w:r w:rsidR="00260629" w:rsidRPr="00610B1B">
              <w:rPr>
                <w:noProof/>
                <w:webHidden/>
              </w:rPr>
              <w:fldChar w:fldCharType="end"/>
            </w:r>
          </w:hyperlink>
        </w:p>
        <w:p w14:paraId="2D8A709A" w14:textId="05CC4A43" w:rsidR="00260629" w:rsidRPr="00610B1B" w:rsidRDefault="00DB227B" w:rsidP="00FE3E84">
          <w:pPr>
            <w:pStyle w:val="TOC3"/>
            <w:rPr>
              <w:noProof/>
              <w:lang w:val="en-US" w:eastAsia="en-US"/>
            </w:rPr>
          </w:pPr>
          <w:hyperlink w:anchor="_Toc83391398" w:history="1">
            <w:r w:rsidR="00260629" w:rsidRPr="00610B1B">
              <w:rPr>
                <w:rStyle w:val="Hyperlink"/>
                <w:rFonts w:ascii="Times New Roman" w:hAnsi="Times New Roman"/>
                <w:noProof/>
                <w:lang w:bidi="hi-IN"/>
              </w:rPr>
              <w:t>3.6.7. Корабостроене и кораборемонт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_Toc83391398 \h </w:instrText>
            </w:r>
            <w:r w:rsidR="00260629" w:rsidRPr="00610B1B">
              <w:rPr>
                <w:noProof/>
                <w:webHidden/>
              </w:rPr>
            </w:r>
            <w:r w:rsidR="00260629" w:rsidRPr="00610B1B">
              <w:rPr>
                <w:noProof/>
                <w:webHidden/>
              </w:rPr>
              <w:fldChar w:fldCharType="separate"/>
            </w:r>
            <w:r w:rsidR="00260629" w:rsidRPr="00610B1B">
              <w:rPr>
                <w:noProof/>
                <w:webHidden/>
              </w:rPr>
              <w:t>173</w:t>
            </w:r>
            <w:r w:rsidR="00260629" w:rsidRPr="00610B1B">
              <w:rPr>
                <w:noProof/>
                <w:webHidden/>
              </w:rPr>
              <w:fldChar w:fldCharType="end"/>
            </w:r>
          </w:hyperlink>
        </w:p>
        <w:p w14:paraId="330E8728" w14:textId="646DD29E" w:rsidR="00260629" w:rsidRPr="00610B1B" w:rsidRDefault="00DB227B" w:rsidP="00FE3E84">
          <w:pPr>
            <w:pStyle w:val="TOC3"/>
            <w:rPr>
              <w:noProof/>
              <w:lang w:val="en-US" w:eastAsia="en-US"/>
            </w:rPr>
          </w:pPr>
          <w:hyperlink w:anchor="_Toc83391399" w:history="1">
            <w:r w:rsidR="00260629" w:rsidRPr="00610B1B">
              <w:rPr>
                <w:rStyle w:val="Hyperlink"/>
                <w:rFonts w:ascii="Times New Roman" w:hAnsi="Times New Roman"/>
                <w:noProof/>
                <w:lang w:bidi="hi-IN"/>
              </w:rPr>
              <w:t>3.6.8. Биотехнологии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_Toc83391399 \h </w:instrText>
            </w:r>
            <w:r w:rsidR="00260629" w:rsidRPr="00610B1B">
              <w:rPr>
                <w:noProof/>
                <w:webHidden/>
              </w:rPr>
            </w:r>
            <w:r w:rsidR="00260629" w:rsidRPr="00610B1B">
              <w:rPr>
                <w:noProof/>
                <w:webHidden/>
              </w:rPr>
              <w:fldChar w:fldCharType="separate"/>
            </w:r>
            <w:r w:rsidR="00260629" w:rsidRPr="00610B1B">
              <w:rPr>
                <w:noProof/>
                <w:webHidden/>
              </w:rPr>
              <w:t>175</w:t>
            </w:r>
            <w:r w:rsidR="00260629" w:rsidRPr="00610B1B">
              <w:rPr>
                <w:noProof/>
                <w:webHidden/>
              </w:rPr>
              <w:fldChar w:fldCharType="end"/>
            </w:r>
          </w:hyperlink>
        </w:p>
        <w:p w14:paraId="4F63E0BF" w14:textId="345B1DF9" w:rsidR="00260629" w:rsidRPr="00610B1B" w:rsidRDefault="00DB227B" w:rsidP="00E8347C">
          <w:pPr>
            <w:pStyle w:val="TOC2"/>
            <w:spacing w:afterLines="60" w:after="144"/>
            <w:rPr>
              <w:rFonts w:eastAsiaTheme="minorEastAsia"/>
              <w:lang w:val="en-US" w:eastAsia="en-US" w:bidi="ar-SA"/>
            </w:rPr>
          </w:pPr>
          <w:hyperlink w:anchor="_Toc83391400" w:history="1">
            <w:r w:rsidR="00260629" w:rsidRPr="00610B1B">
              <w:rPr>
                <w:rStyle w:val="Hyperlink"/>
              </w:rPr>
              <w:t>3.7. Опазване на културното наследство</w:t>
            </w:r>
            <w:r w:rsidR="00260629" w:rsidRPr="00610B1B">
              <w:rPr>
                <w:webHidden/>
              </w:rPr>
              <w:tab/>
            </w:r>
            <w:r w:rsidR="00260629" w:rsidRPr="00610B1B">
              <w:rPr>
                <w:webHidden/>
              </w:rPr>
              <w:fldChar w:fldCharType="begin"/>
            </w:r>
            <w:r w:rsidR="00260629" w:rsidRPr="00610B1B">
              <w:rPr>
                <w:webHidden/>
              </w:rPr>
              <w:instrText xml:space="preserve"> PAGEREF _Toc83391400 \h </w:instrText>
            </w:r>
            <w:r w:rsidR="00260629" w:rsidRPr="00610B1B">
              <w:rPr>
                <w:webHidden/>
              </w:rPr>
            </w:r>
            <w:r w:rsidR="00260629" w:rsidRPr="00610B1B">
              <w:rPr>
                <w:webHidden/>
              </w:rPr>
              <w:fldChar w:fldCharType="separate"/>
            </w:r>
            <w:r w:rsidR="00260629" w:rsidRPr="00610B1B">
              <w:rPr>
                <w:webHidden/>
              </w:rPr>
              <w:t>176</w:t>
            </w:r>
            <w:r w:rsidR="00260629" w:rsidRPr="00610B1B">
              <w:rPr>
                <w:webHidden/>
              </w:rPr>
              <w:fldChar w:fldCharType="end"/>
            </w:r>
          </w:hyperlink>
        </w:p>
        <w:p w14:paraId="45B1E9B6" w14:textId="02FB0DEB" w:rsidR="00260629" w:rsidRPr="00610B1B" w:rsidRDefault="00DB227B" w:rsidP="00FE3E84">
          <w:pPr>
            <w:pStyle w:val="TOC3"/>
            <w:rPr>
              <w:noProof/>
              <w:lang w:val="en-US" w:eastAsia="en-US"/>
            </w:rPr>
          </w:pPr>
          <w:hyperlink w:anchor="_Toc83391401" w:history="1">
            <w:r w:rsidR="00260629" w:rsidRPr="00610B1B">
              <w:rPr>
                <w:rStyle w:val="Hyperlink"/>
                <w:rFonts w:ascii="Times New Roman" w:hAnsi="Times New Roman"/>
                <w:noProof/>
                <w:lang w:bidi="hi-IN"/>
              </w:rPr>
              <w:t>3.7.1. Недвижими културни ценности (НКЦ) и музейна инфраструктура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_Toc83391401 \h </w:instrText>
            </w:r>
            <w:r w:rsidR="00260629" w:rsidRPr="00610B1B">
              <w:rPr>
                <w:noProof/>
                <w:webHidden/>
              </w:rPr>
            </w:r>
            <w:r w:rsidR="00260629" w:rsidRPr="00610B1B">
              <w:rPr>
                <w:noProof/>
                <w:webHidden/>
              </w:rPr>
              <w:fldChar w:fldCharType="separate"/>
            </w:r>
            <w:r w:rsidR="00260629" w:rsidRPr="00610B1B">
              <w:rPr>
                <w:noProof/>
                <w:webHidden/>
              </w:rPr>
              <w:t>177</w:t>
            </w:r>
            <w:r w:rsidR="00260629" w:rsidRPr="00610B1B">
              <w:rPr>
                <w:noProof/>
                <w:webHidden/>
              </w:rPr>
              <w:fldChar w:fldCharType="end"/>
            </w:r>
          </w:hyperlink>
        </w:p>
        <w:p w14:paraId="555FBB4A" w14:textId="0FF600CE" w:rsidR="00260629" w:rsidRPr="00610B1B" w:rsidRDefault="00DB227B" w:rsidP="00FE3E84">
          <w:pPr>
            <w:pStyle w:val="TOC3"/>
            <w:rPr>
              <w:noProof/>
              <w:lang w:val="en-US" w:eastAsia="en-US"/>
            </w:rPr>
          </w:pPr>
          <w:hyperlink w:anchor="_Toc83391402" w:history="1">
            <w:r w:rsidR="00260629" w:rsidRPr="00610B1B">
              <w:rPr>
                <w:rStyle w:val="Hyperlink"/>
                <w:rFonts w:ascii="Times New Roman" w:hAnsi="Times New Roman"/>
                <w:noProof/>
                <w:lang w:bidi="hi-IN"/>
              </w:rPr>
              <w:t>3.7.2. НКЦ с категория „национално значение”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_Toc83391402 \h </w:instrText>
            </w:r>
            <w:r w:rsidR="00260629" w:rsidRPr="00610B1B">
              <w:rPr>
                <w:noProof/>
                <w:webHidden/>
              </w:rPr>
            </w:r>
            <w:r w:rsidR="00260629" w:rsidRPr="00610B1B">
              <w:rPr>
                <w:noProof/>
                <w:webHidden/>
              </w:rPr>
              <w:fldChar w:fldCharType="separate"/>
            </w:r>
            <w:r w:rsidR="00260629" w:rsidRPr="00610B1B">
              <w:rPr>
                <w:noProof/>
                <w:webHidden/>
              </w:rPr>
              <w:t>180</w:t>
            </w:r>
            <w:r w:rsidR="00260629" w:rsidRPr="00610B1B">
              <w:rPr>
                <w:noProof/>
                <w:webHidden/>
              </w:rPr>
              <w:fldChar w:fldCharType="end"/>
            </w:r>
          </w:hyperlink>
        </w:p>
        <w:p w14:paraId="54A0ED5C" w14:textId="248FE5B5" w:rsidR="00260629" w:rsidRPr="00610B1B" w:rsidRDefault="00DB227B" w:rsidP="00E8347C">
          <w:pPr>
            <w:pStyle w:val="TOC2"/>
            <w:spacing w:afterLines="60" w:after="144"/>
            <w:rPr>
              <w:rFonts w:eastAsiaTheme="minorEastAsia"/>
              <w:lang w:val="en-US" w:eastAsia="en-US" w:bidi="ar-SA"/>
            </w:rPr>
          </w:pPr>
          <w:hyperlink w:anchor="_Toc83391403" w:history="1">
            <w:r w:rsidR="00260629" w:rsidRPr="00610B1B">
              <w:rPr>
                <w:rStyle w:val="Hyperlink"/>
              </w:rPr>
              <w:t>3.8. Обобщени изводи за използването на морските пространства и взаимодействията между морето и крайбрежната зона</w:t>
            </w:r>
            <w:r w:rsidR="00260629" w:rsidRPr="00610B1B">
              <w:rPr>
                <w:webHidden/>
              </w:rPr>
              <w:tab/>
            </w:r>
            <w:r w:rsidR="00260629" w:rsidRPr="00610B1B">
              <w:rPr>
                <w:webHidden/>
              </w:rPr>
              <w:fldChar w:fldCharType="begin"/>
            </w:r>
            <w:r w:rsidR="00260629" w:rsidRPr="00610B1B">
              <w:rPr>
                <w:webHidden/>
              </w:rPr>
              <w:instrText xml:space="preserve"> PAGEREF _Toc83391403 \h </w:instrText>
            </w:r>
            <w:r w:rsidR="00260629" w:rsidRPr="00610B1B">
              <w:rPr>
                <w:webHidden/>
              </w:rPr>
            </w:r>
            <w:r w:rsidR="00260629" w:rsidRPr="00610B1B">
              <w:rPr>
                <w:webHidden/>
              </w:rPr>
              <w:fldChar w:fldCharType="separate"/>
            </w:r>
            <w:r w:rsidR="00260629" w:rsidRPr="00610B1B">
              <w:rPr>
                <w:webHidden/>
              </w:rPr>
              <w:t>198</w:t>
            </w:r>
            <w:r w:rsidR="00260629" w:rsidRPr="00610B1B">
              <w:rPr>
                <w:webHidden/>
              </w:rPr>
              <w:fldChar w:fldCharType="end"/>
            </w:r>
          </w:hyperlink>
        </w:p>
        <w:p w14:paraId="3CBEB658" w14:textId="00383754" w:rsidR="00260629" w:rsidRPr="00610B1B" w:rsidRDefault="00DB227B" w:rsidP="00FE3E84">
          <w:pPr>
            <w:pStyle w:val="TOC3"/>
            <w:rPr>
              <w:noProof/>
              <w:lang w:val="en-US" w:eastAsia="en-US"/>
            </w:rPr>
          </w:pPr>
          <w:hyperlink w:anchor="_Toc83391404" w:history="1">
            <w:r w:rsidR="00260629" w:rsidRPr="00610B1B">
              <w:rPr>
                <w:rStyle w:val="Hyperlink"/>
                <w:rFonts w:ascii="Times New Roman" w:hAnsi="Times New Roman"/>
                <w:noProof/>
                <w:lang w:bidi="hi-IN"/>
              </w:rPr>
              <w:t>SWOT Анализ</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_Toc83391404 \h </w:instrText>
            </w:r>
            <w:r w:rsidR="00260629" w:rsidRPr="00610B1B">
              <w:rPr>
                <w:noProof/>
                <w:webHidden/>
              </w:rPr>
            </w:r>
            <w:r w:rsidR="00260629" w:rsidRPr="00610B1B">
              <w:rPr>
                <w:noProof/>
                <w:webHidden/>
              </w:rPr>
              <w:fldChar w:fldCharType="separate"/>
            </w:r>
            <w:r w:rsidR="00260629" w:rsidRPr="00610B1B">
              <w:rPr>
                <w:noProof/>
                <w:webHidden/>
              </w:rPr>
              <w:t>198</w:t>
            </w:r>
            <w:r w:rsidR="00260629" w:rsidRPr="00610B1B">
              <w:rPr>
                <w:noProof/>
                <w:webHidden/>
              </w:rPr>
              <w:fldChar w:fldCharType="end"/>
            </w:r>
          </w:hyperlink>
        </w:p>
        <w:p w14:paraId="7B66123A" w14:textId="5B8B2C0A"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05" w:history="1">
            <w:r w:rsidR="00260629" w:rsidRPr="00610B1B">
              <w:rPr>
                <w:rStyle w:val="Hyperlink"/>
                <w:rFonts w:cs="Times New Roman"/>
                <w:noProof/>
                <w:sz w:val="22"/>
                <w:szCs w:val="22"/>
              </w:rPr>
              <w:t>4. ПРОГНОЗИ ЗА РАЗВИТИЕ И ОПАЗВАНЕ НА МОРСКИТЕ ПРОСТРАНСТВА</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_Toc83391405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211</w:t>
            </w:r>
            <w:r w:rsidR="00260629" w:rsidRPr="00610B1B">
              <w:rPr>
                <w:rFonts w:cs="Times New Roman"/>
                <w:noProof/>
                <w:webHidden/>
                <w:sz w:val="22"/>
                <w:szCs w:val="22"/>
              </w:rPr>
              <w:fldChar w:fldCharType="end"/>
            </w:r>
          </w:hyperlink>
        </w:p>
        <w:p w14:paraId="15D6271F" w14:textId="7E53550C" w:rsidR="00260629" w:rsidRPr="00610B1B" w:rsidRDefault="00DB227B" w:rsidP="00E8347C">
          <w:pPr>
            <w:pStyle w:val="TOC2"/>
            <w:spacing w:afterLines="60" w:after="144"/>
            <w:rPr>
              <w:rFonts w:eastAsiaTheme="minorEastAsia"/>
              <w:lang w:val="en-US" w:eastAsia="en-US" w:bidi="ar-SA"/>
            </w:rPr>
          </w:pPr>
          <w:hyperlink w:anchor="_Toc83391406" w:history="1">
            <w:r w:rsidR="00260629" w:rsidRPr="00610B1B">
              <w:rPr>
                <w:rStyle w:val="Hyperlink"/>
              </w:rPr>
              <w:t>4.1. Фактори и условия, определящи развитието на морските пространства в периода 2021 - 2035 г.</w:t>
            </w:r>
            <w:r w:rsidR="00260629" w:rsidRPr="00610B1B">
              <w:rPr>
                <w:webHidden/>
              </w:rPr>
              <w:tab/>
            </w:r>
            <w:r w:rsidR="00260629" w:rsidRPr="00610B1B">
              <w:rPr>
                <w:webHidden/>
              </w:rPr>
              <w:fldChar w:fldCharType="begin"/>
            </w:r>
            <w:r w:rsidR="00260629" w:rsidRPr="00610B1B">
              <w:rPr>
                <w:webHidden/>
              </w:rPr>
              <w:instrText xml:space="preserve"> PAGEREF _Toc83391406 \h </w:instrText>
            </w:r>
            <w:r w:rsidR="00260629" w:rsidRPr="00610B1B">
              <w:rPr>
                <w:webHidden/>
              </w:rPr>
            </w:r>
            <w:r w:rsidR="00260629" w:rsidRPr="00610B1B">
              <w:rPr>
                <w:webHidden/>
              </w:rPr>
              <w:fldChar w:fldCharType="separate"/>
            </w:r>
            <w:r w:rsidR="00260629" w:rsidRPr="00610B1B">
              <w:rPr>
                <w:webHidden/>
              </w:rPr>
              <w:t>211</w:t>
            </w:r>
            <w:r w:rsidR="00260629" w:rsidRPr="00610B1B">
              <w:rPr>
                <w:webHidden/>
              </w:rPr>
              <w:fldChar w:fldCharType="end"/>
            </w:r>
          </w:hyperlink>
        </w:p>
        <w:p w14:paraId="53A7810A" w14:textId="22D7301A" w:rsidR="00260629" w:rsidRPr="00610B1B" w:rsidRDefault="00DB227B" w:rsidP="00E8347C">
          <w:pPr>
            <w:pStyle w:val="TOC2"/>
            <w:spacing w:afterLines="60" w:after="144"/>
            <w:rPr>
              <w:rFonts w:eastAsiaTheme="minorEastAsia"/>
              <w:lang w:val="en-US" w:eastAsia="en-US" w:bidi="ar-SA"/>
            </w:rPr>
          </w:pPr>
          <w:hyperlink w:anchor="_Toc83391407" w:history="1">
            <w:r w:rsidR="00260629" w:rsidRPr="00610B1B">
              <w:rPr>
                <w:rStyle w:val="Hyperlink"/>
              </w:rPr>
              <w:t>4.2. Прогноза за социално-икономическото развитие</w:t>
            </w:r>
            <w:r w:rsidR="00260629" w:rsidRPr="00610B1B">
              <w:rPr>
                <w:webHidden/>
              </w:rPr>
              <w:tab/>
            </w:r>
            <w:r w:rsidR="00260629" w:rsidRPr="00610B1B">
              <w:rPr>
                <w:webHidden/>
              </w:rPr>
              <w:fldChar w:fldCharType="begin"/>
            </w:r>
            <w:r w:rsidR="00260629" w:rsidRPr="00610B1B">
              <w:rPr>
                <w:webHidden/>
              </w:rPr>
              <w:instrText xml:space="preserve"> PAGEREF _Toc83391407 \h </w:instrText>
            </w:r>
            <w:r w:rsidR="00260629" w:rsidRPr="00610B1B">
              <w:rPr>
                <w:webHidden/>
              </w:rPr>
            </w:r>
            <w:r w:rsidR="00260629" w:rsidRPr="00610B1B">
              <w:rPr>
                <w:webHidden/>
              </w:rPr>
              <w:fldChar w:fldCharType="separate"/>
            </w:r>
            <w:r w:rsidR="00260629" w:rsidRPr="00610B1B">
              <w:rPr>
                <w:webHidden/>
              </w:rPr>
              <w:t>217</w:t>
            </w:r>
            <w:r w:rsidR="00260629" w:rsidRPr="00610B1B">
              <w:rPr>
                <w:webHidden/>
              </w:rPr>
              <w:fldChar w:fldCharType="end"/>
            </w:r>
          </w:hyperlink>
        </w:p>
        <w:p w14:paraId="5C0E3FFD" w14:textId="6952851E" w:rsidR="00260629" w:rsidRPr="00610B1B" w:rsidRDefault="00DB227B" w:rsidP="00FE3E84">
          <w:pPr>
            <w:pStyle w:val="TOC3"/>
            <w:rPr>
              <w:noProof/>
              <w:lang w:val="en-US" w:eastAsia="en-US"/>
            </w:rPr>
          </w:pPr>
          <w:hyperlink w:anchor="_Toc83391408" w:history="1">
            <w:r w:rsidR="00260629" w:rsidRPr="00610B1B">
              <w:rPr>
                <w:rStyle w:val="Hyperlink"/>
                <w:rFonts w:ascii="Times New Roman" w:hAnsi="Times New Roman"/>
                <w:noProof/>
                <w:lang w:bidi="hi-IN"/>
              </w:rPr>
              <w:t>4.2.1. Прогноза за демографското развитие на черноморските общини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_Toc83391408 \h </w:instrText>
            </w:r>
            <w:r w:rsidR="00260629" w:rsidRPr="00610B1B">
              <w:rPr>
                <w:noProof/>
                <w:webHidden/>
              </w:rPr>
            </w:r>
            <w:r w:rsidR="00260629" w:rsidRPr="00610B1B">
              <w:rPr>
                <w:noProof/>
                <w:webHidden/>
              </w:rPr>
              <w:fldChar w:fldCharType="separate"/>
            </w:r>
            <w:r w:rsidR="00260629" w:rsidRPr="00610B1B">
              <w:rPr>
                <w:noProof/>
                <w:webHidden/>
              </w:rPr>
              <w:t>217</w:t>
            </w:r>
            <w:r w:rsidR="00260629" w:rsidRPr="00610B1B">
              <w:rPr>
                <w:noProof/>
                <w:webHidden/>
              </w:rPr>
              <w:fldChar w:fldCharType="end"/>
            </w:r>
          </w:hyperlink>
        </w:p>
        <w:p w14:paraId="29B9A135" w14:textId="343F67A2" w:rsidR="00260629" w:rsidRPr="00610B1B" w:rsidRDefault="00DB227B" w:rsidP="00FE3E84">
          <w:pPr>
            <w:pStyle w:val="TOC3"/>
            <w:rPr>
              <w:noProof/>
              <w:lang w:val="en-US" w:eastAsia="en-US"/>
            </w:rPr>
          </w:pPr>
          <w:hyperlink w:anchor="_Toc83391409" w:history="1">
            <w:r w:rsidR="00260629" w:rsidRPr="00610B1B">
              <w:rPr>
                <w:rStyle w:val="Hyperlink"/>
                <w:rFonts w:ascii="Times New Roman" w:hAnsi="Times New Roman"/>
                <w:noProof/>
                <w:lang w:bidi="hi-IN"/>
              </w:rPr>
              <w:t>4.2.2. Прогноза за работната сила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_Toc83391409 \h </w:instrText>
            </w:r>
            <w:r w:rsidR="00260629" w:rsidRPr="00610B1B">
              <w:rPr>
                <w:noProof/>
                <w:webHidden/>
              </w:rPr>
            </w:r>
            <w:r w:rsidR="00260629" w:rsidRPr="00610B1B">
              <w:rPr>
                <w:noProof/>
                <w:webHidden/>
              </w:rPr>
              <w:fldChar w:fldCharType="separate"/>
            </w:r>
            <w:r w:rsidR="00260629" w:rsidRPr="00610B1B">
              <w:rPr>
                <w:noProof/>
                <w:webHidden/>
              </w:rPr>
              <w:t>218</w:t>
            </w:r>
            <w:r w:rsidR="00260629" w:rsidRPr="00610B1B">
              <w:rPr>
                <w:noProof/>
                <w:webHidden/>
              </w:rPr>
              <w:fldChar w:fldCharType="end"/>
            </w:r>
          </w:hyperlink>
        </w:p>
        <w:p w14:paraId="516A2EFE" w14:textId="20366848" w:rsidR="00260629" w:rsidRPr="00610B1B" w:rsidRDefault="00DB227B" w:rsidP="00FE3E84">
          <w:pPr>
            <w:pStyle w:val="TOC3"/>
            <w:rPr>
              <w:noProof/>
              <w:lang w:val="en-US" w:eastAsia="en-US"/>
            </w:rPr>
          </w:pPr>
          <w:hyperlink w:anchor="_Toc83391410" w:history="1">
            <w:r w:rsidR="00260629" w:rsidRPr="00610B1B">
              <w:rPr>
                <w:rStyle w:val="Hyperlink"/>
                <w:rFonts w:ascii="Times New Roman" w:hAnsi="Times New Roman"/>
                <w:noProof/>
                <w:lang w:bidi="hi-IN"/>
              </w:rPr>
              <w:t>4.2.3. Прогноза за икономическото развитие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_Toc83391410 \h </w:instrText>
            </w:r>
            <w:r w:rsidR="00260629" w:rsidRPr="00610B1B">
              <w:rPr>
                <w:noProof/>
                <w:webHidden/>
              </w:rPr>
            </w:r>
            <w:r w:rsidR="00260629" w:rsidRPr="00610B1B">
              <w:rPr>
                <w:noProof/>
                <w:webHidden/>
              </w:rPr>
              <w:fldChar w:fldCharType="separate"/>
            </w:r>
            <w:r w:rsidR="00260629" w:rsidRPr="00610B1B">
              <w:rPr>
                <w:noProof/>
                <w:webHidden/>
              </w:rPr>
              <w:t>218</w:t>
            </w:r>
            <w:r w:rsidR="00260629" w:rsidRPr="00610B1B">
              <w:rPr>
                <w:noProof/>
                <w:webHidden/>
              </w:rPr>
              <w:fldChar w:fldCharType="end"/>
            </w:r>
          </w:hyperlink>
        </w:p>
        <w:p w14:paraId="71999DB6" w14:textId="76F63A95" w:rsidR="00260629" w:rsidRPr="00610B1B" w:rsidRDefault="00DB227B" w:rsidP="00FE3E84">
          <w:pPr>
            <w:pStyle w:val="TOC3"/>
            <w:rPr>
              <w:noProof/>
              <w:lang w:val="en-US" w:eastAsia="en-US"/>
            </w:rPr>
          </w:pPr>
          <w:hyperlink w:anchor="_Toc83391411" w:history="1">
            <w:r w:rsidR="00260629" w:rsidRPr="00610B1B">
              <w:rPr>
                <w:rStyle w:val="Hyperlink"/>
                <w:rFonts w:ascii="Times New Roman" w:hAnsi="Times New Roman"/>
                <w:noProof/>
                <w:lang w:bidi="hi-IN"/>
              </w:rPr>
              <w:t>4.2.4. Прогнозно развитие на морския трафик и пристанищната дейност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_Toc83391411 \h </w:instrText>
            </w:r>
            <w:r w:rsidR="00260629" w:rsidRPr="00610B1B">
              <w:rPr>
                <w:noProof/>
                <w:webHidden/>
              </w:rPr>
            </w:r>
            <w:r w:rsidR="00260629" w:rsidRPr="00610B1B">
              <w:rPr>
                <w:noProof/>
                <w:webHidden/>
              </w:rPr>
              <w:fldChar w:fldCharType="separate"/>
            </w:r>
            <w:r w:rsidR="00260629" w:rsidRPr="00610B1B">
              <w:rPr>
                <w:noProof/>
                <w:webHidden/>
              </w:rPr>
              <w:t>223</w:t>
            </w:r>
            <w:r w:rsidR="00260629" w:rsidRPr="00610B1B">
              <w:rPr>
                <w:noProof/>
                <w:webHidden/>
              </w:rPr>
              <w:fldChar w:fldCharType="end"/>
            </w:r>
          </w:hyperlink>
        </w:p>
        <w:p w14:paraId="2D444E59" w14:textId="79AF07CB" w:rsidR="00260629" w:rsidRPr="00610B1B" w:rsidRDefault="00DB227B" w:rsidP="00FE3E84">
          <w:pPr>
            <w:pStyle w:val="TOC3"/>
            <w:rPr>
              <w:noProof/>
              <w:lang w:val="en-US" w:eastAsia="en-US"/>
            </w:rPr>
          </w:pPr>
          <w:hyperlink w:anchor="_Toc83391412" w:history="1">
            <w:r w:rsidR="00260629" w:rsidRPr="00610B1B">
              <w:rPr>
                <w:rStyle w:val="Hyperlink"/>
                <w:rFonts w:ascii="Times New Roman" w:hAnsi="Times New Roman"/>
                <w:noProof/>
                <w:lang w:bidi="hi-IN"/>
              </w:rPr>
              <w:t>4.2.5. Прогнозно развитие на морския туризъм</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_Toc83391412 \h </w:instrText>
            </w:r>
            <w:r w:rsidR="00260629" w:rsidRPr="00610B1B">
              <w:rPr>
                <w:noProof/>
                <w:webHidden/>
              </w:rPr>
            </w:r>
            <w:r w:rsidR="00260629" w:rsidRPr="00610B1B">
              <w:rPr>
                <w:noProof/>
                <w:webHidden/>
              </w:rPr>
              <w:fldChar w:fldCharType="separate"/>
            </w:r>
            <w:r w:rsidR="00260629" w:rsidRPr="00610B1B">
              <w:rPr>
                <w:noProof/>
                <w:webHidden/>
              </w:rPr>
              <w:t>224</w:t>
            </w:r>
            <w:r w:rsidR="00260629" w:rsidRPr="00610B1B">
              <w:rPr>
                <w:noProof/>
                <w:webHidden/>
              </w:rPr>
              <w:fldChar w:fldCharType="end"/>
            </w:r>
          </w:hyperlink>
        </w:p>
        <w:p w14:paraId="307E704B" w14:textId="627D6E36" w:rsidR="00260629" w:rsidRPr="00610B1B" w:rsidRDefault="00DB227B" w:rsidP="00FE3E84">
          <w:pPr>
            <w:pStyle w:val="TOC3"/>
            <w:rPr>
              <w:noProof/>
              <w:lang w:val="en-US" w:eastAsia="en-US"/>
            </w:rPr>
          </w:pPr>
          <w:hyperlink w:anchor="_Toc83391413" w:history="1">
            <w:r w:rsidR="00260629" w:rsidRPr="00610B1B">
              <w:rPr>
                <w:rStyle w:val="Hyperlink"/>
                <w:rFonts w:ascii="Times New Roman" w:hAnsi="Times New Roman"/>
                <w:noProof/>
                <w:lang w:bidi="hi-IN"/>
              </w:rPr>
              <w:t>4.2.6. Прогнозно развитие на техническата инфраструктура в морските пространства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_Toc83391413 \h </w:instrText>
            </w:r>
            <w:r w:rsidR="00260629" w:rsidRPr="00610B1B">
              <w:rPr>
                <w:noProof/>
                <w:webHidden/>
              </w:rPr>
            </w:r>
            <w:r w:rsidR="00260629" w:rsidRPr="00610B1B">
              <w:rPr>
                <w:noProof/>
                <w:webHidden/>
              </w:rPr>
              <w:fldChar w:fldCharType="separate"/>
            </w:r>
            <w:r w:rsidR="00260629" w:rsidRPr="00610B1B">
              <w:rPr>
                <w:noProof/>
                <w:webHidden/>
              </w:rPr>
              <w:t>225</w:t>
            </w:r>
            <w:r w:rsidR="00260629" w:rsidRPr="00610B1B">
              <w:rPr>
                <w:noProof/>
                <w:webHidden/>
              </w:rPr>
              <w:fldChar w:fldCharType="end"/>
            </w:r>
          </w:hyperlink>
        </w:p>
        <w:p w14:paraId="7DA6BD6A" w14:textId="5B3F23AF" w:rsidR="00260629" w:rsidRPr="00610B1B" w:rsidRDefault="00DB227B" w:rsidP="00FE3E84">
          <w:pPr>
            <w:pStyle w:val="TOC3"/>
            <w:rPr>
              <w:noProof/>
              <w:lang w:val="en-US" w:eastAsia="en-US"/>
            </w:rPr>
          </w:pPr>
          <w:hyperlink w:anchor="_Toc83391414" w:history="1">
            <w:r w:rsidR="00260629" w:rsidRPr="00610B1B">
              <w:rPr>
                <w:rStyle w:val="Hyperlink"/>
                <w:rFonts w:ascii="Times New Roman" w:hAnsi="Times New Roman"/>
                <w:noProof/>
                <w:lang w:bidi="hi-IN"/>
              </w:rPr>
              <w:t>4.2.7. Прогнозно развитие на военните дейности, учения и трафик и необходимата инфраструктура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_Toc83391414 \h </w:instrText>
            </w:r>
            <w:r w:rsidR="00260629" w:rsidRPr="00610B1B">
              <w:rPr>
                <w:noProof/>
                <w:webHidden/>
              </w:rPr>
            </w:r>
            <w:r w:rsidR="00260629" w:rsidRPr="00610B1B">
              <w:rPr>
                <w:noProof/>
                <w:webHidden/>
              </w:rPr>
              <w:fldChar w:fldCharType="separate"/>
            </w:r>
            <w:r w:rsidR="00260629" w:rsidRPr="00610B1B">
              <w:rPr>
                <w:noProof/>
                <w:webHidden/>
              </w:rPr>
              <w:t>227</w:t>
            </w:r>
            <w:r w:rsidR="00260629" w:rsidRPr="00610B1B">
              <w:rPr>
                <w:noProof/>
                <w:webHidden/>
              </w:rPr>
              <w:fldChar w:fldCharType="end"/>
            </w:r>
          </w:hyperlink>
        </w:p>
        <w:p w14:paraId="00BD995A" w14:textId="2FA2F0AF" w:rsidR="00260629" w:rsidRPr="00610B1B" w:rsidRDefault="00DB227B" w:rsidP="00FE3E84">
          <w:pPr>
            <w:pStyle w:val="TOC3"/>
            <w:rPr>
              <w:noProof/>
              <w:lang w:val="en-US" w:eastAsia="en-US"/>
            </w:rPr>
          </w:pPr>
          <w:hyperlink w:anchor="_Toc83391415" w:history="1">
            <w:r w:rsidR="00260629" w:rsidRPr="00610B1B">
              <w:rPr>
                <w:rStyle w:val="Hyperlink"/>
                <w:rFonts w:ascii="Times New Roman" w:hAnsi="Times New Roman"/>
                <w:noProof/>
                <w:lang w:bidi="hi-IN"/>
              </w:rPr>
              <w:t>4.2.8. Прогнозно развитие на териториалното сътрудничество в Черноморския регион</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_Toc83391415 \h </w:instrText>
            </w:r>
            <w:r w:rsidR="00260629" w:rsidRPr="00610B1B">
              <w:rPr>
                <w:noProof/>
                <w:webHidden/>
              </w:rPr>
            </w:r>
            <w:r w:rsidR="00260629" w:rsidRPr="00610B1B">
              <w:rPr>
                <w:noProof/>
                <w:webHidden/>
              </w:rPr>
              <w:fldChar w:fldCharType="separate"/>
            </w:r>
            <w:r w:rsidR="00260629" w:rsidRPr="00610B1B">
              <w:rPr>
                <w:noProof/>
                <w:webHidden/>
              </w:rPr>
              <w:t>229</w:t>
            </w:r>
            <w:r w:rsidR="00260629" w:rsidRPr="00610B1B">
              <w:rPr>
                <w:noProof/>
                <w:webHidden/>
              </w:rPr>
              <w:fldChar w:fldCharType="end"/>
            </w:r>
          </w:hyperlink>
        </w:p>
        <w:p w14:paraId="04B0BF55" w14:textId="0AF32238" w:rsidR="00260629" w:rsidRPr="00610B1B" w:rsidRDefault="00DB227B" w:rsidP="00FE3E84">
          <w:pPr>
            <w:pStyle w:val="TOC3"/>
            <w:rPr>
              <w:noProof/>
              <w:lang w:val="en-US" w:eastAsia="en-US"/>
            </w:rPr>
          </w:pPr>
          <w:hyperlink w:anchor="_Toc83391416" w:history="1">
            <w:r w:rsidR="00260629" w:rsidRPr="00610B1B">
              <w:rPr>
                <w:rStyle w:val="Hyperlink"/>
                <w:rFonts w:ascii="Times New Roman" w:hAnsi="Times New Roman"/>
                <w:noProof/>
                <w:lang w:bidi="hi-IN"/>
              </w:rPr>
              <w:t>4.2.9. Прогнозно развитие на дейностите по опазването и социализирането на културните ценности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_Toc83391416 \h </w:instrText>
            </w:r>
            <w:r w:rsidR="00260629" w:rsidRPr="00610B1B">
              <w:rPr>
                <w:noProof/>
                <w:webHidden/>
              </w:rPr>
            </w:r>
            <w:r w:rsidR="00260629" w:rsidRPr="00610B1B">
              <w:rPr>
                <w:noProof/>
                <w:webHidden/>
              </w:rPr>
              <w:fldChar w:fldCharType="separate"/>
            </w:r>
            <w:r w:rsidR="00260629" w:rsidRPr="00610B1B">
              <w:rPr>
                <w:noProof/>
                <w:webHidden/>
              </w:rPr>
              <w:t>232</w:t>
            </w:r>
            <w:r w:rsidR="00260629" w:rsidRPr="00610B1B">
              <w:rPr>
                <w:noProof/>
                <w:webHidden/>
              </w:rPr>
              <w:fldChar w:fldCharType="end"/>
            </w:r>
          </w:hyperlink>
        </w:p>
        <w:p w14:paraId="0BA8C4C0" w14:textId="2B00DD0C" w:rsidR="00260629" w:rsidRPr="00610B1B" w:rsidRDefault="00DB227B" w:rsidP="00FE3E84">
          <w:pPr>
            <w:pStyle w:val="TOC3"/>
            <w:rPr>
              <w:noProof/>
              <w:lang w:val="en-US" w:eastAsia="en-US"/>
            </w:rPr>
          </w:pPr>
          <w:hyperlink w:anchor="_Toc83391417" w:history="1">
            <w:r w:rsidR="00260629" w:rsidRPr="00610B1B">
              <w:rPr>
                <w:rStyle w:val="Hyperlink"/>
                <w:rFonts w:ascii="Times New Roman" w:hAnsi="Times New Roman"/>
                <w:noProof/>
                <w:lang w:bidi="hi-IN"/>
              </w:rPr>
              <w:t>4.2.10. Прогнозно развитие на дейностите по опазване на околната среда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_Toc83391417 \h </w:instrText>
            </w:r>
            <w:r w:rsidR="00260629" w:rsidRPr="00610B1B">
              <w:rPr>
                <w:noProof/>
                <w:webHidden/>
              </w:rPr>
            </w:r>
            <w:r w:rsidR="00260629" w:rsidRPr="00610B1B">
              <w:rPr>
                <w:noProof/>
                <w:webHidden/>
              </w:rPr>
              <w:fldChar w:fldCharType="separate"/>
            </w:r>
            <w:r w:rsidR="00260629" w:rsidRPr="00610B1B">
              <w:rPr>
                <w:noProof/>
                <w:webHidden/>
              </w:rPr>
              <w:t>233</w:t>
            </w:r>
            <w:r w:rsidR="00260629" w:rsidRPr="00610B1B">
              <w:rPr>
                <w:noProof/>
                <w:webHidden/>
              </w:rPr>
              <w:fldChar w:fldCharType="end"/>
            </w:r>
          </w:hyperlink>
        </w:p>
        <w:p w14:paraId="6490A072" w14:textId="164302EC" w:rsidR="00260629" w:rsidRPr="00610B1B" w:rsidRDefault="00DB227B" w:rsidP="00E8347C">
          <w:pPr>
            <w:pStyle w:val="TOC2"/>
            <w:spacing w:afterLines="60" w:after="144"/>
            <w:rPr>
              <w:rFonts w:eastAsiaTheme="minorEastAsia"/>
              <w:lang w:val="en-US" w:eastAsia="en-US" w:bidi="ar-SA"/>
            </w:rPr>
          </w:pPr>
          <w:hyperlink w:anchor="_Toc83391418" w:history="1">
            <w:r w:rsidR="00260629" w:rsidRPr="00610B1B">
              <w:rPr>
                <w:rStyle w:val="Hyperlink"/>
              </w:rPr>
              <w:t>4.3. Прогнозни сценарии и модели за устойчиво развитие и опазване на морските пространства</w:t>
            </w:r>
            <w:r w:rsidR="00260629" w:rsidRPr="00610B1B">
              <w:rPr>
                <w:webHidden/>
              </w:rPr>
              <w:tab/>
            </w:r>
            <w:r w:rsidR="00260629" w:rsidRPr="00610B1B">
              <w:rPr>
                <w:webHidden/>
              </w:rPr>
              <w:fldChar w:fldCharType="begin"/>
            </w:r>
            <w:r w:rsidR="00260629" w:rsidRPr="00610B1B">
              <w:rPr>
                <w:webHidden/>
              </w:rPr>
              <w:instrText xml:space="preserve"> PAGEREF _Toc83391418 \h </w:instrText>
            </w:r>
            <w:r w:rsidR="00260629" w:rsidRPr="00610B1B">
              <w:rPr>
                <w:webHidden/>
              </w:rPr>
            </w:r>
            <w:r w:rsidR="00260629" w:rsidRPr="00610B1B">
              <w:rPr>
                <w:webHidden/>
              </w:rPr>
              <w:fldChar w:fldCharType="separate"/>
            </w:r>
            <w:r w:rsidR="00260629" w:rsidRPr="00610B1B">
              <w:rPr>
                <w:webHidden/>
              </w:rPr>
              <w:t>236</w:t>
            </w:r>
            <w:r w:rsidR="00260629" w:rsidRPr="00610B1B">
              <w:rPr>
                <w:webHidden/>
              </w:rPr>
              <w:fldChar w:fldCharType="end"/>
            </w:r>
          </w:hyperlink>
        </w:p>
        <w:p w14:paraId="1B6813CF" w14:textId="6EDB8B11" w:rsidR="00260629" w:rsidRPr="00610B1B" w:rsidRDefault="00DB227B" w:rsidP="00FE3E84">
          <w:pPr>
            <w:pStyle w:val="TOC3"/>
            <w:rPr>
              <w:noProof/>
              <w:lang w:val="en-US" w:eastAsia="en-US"/>
            </w:rPr>
          </w:pPr>
          <w:hyperlink w:anchor="_Toc83391419" w:history="1">
            <w:r w:rsidR="00260629" w:rsidRPr="00610B1B">
              <w:rPr>
                <w:rStyle w:val="Hyperlink"/>
                <w:rFonts w:ascii="Times New Roman" w:hAnsi="Times New Roman"/>
                <w:noProof/>
                <w:lang w:bidi="hi-IN"/>
              </w:rPr>
              <w:t>4.3.1. Сценарий А – Икономическо развитие чрез оптимално използване на морските ресурси за син растеж</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_Toc83391419 \h </w:instrText>
            </w:r>
            <w:r w:rsidR="00260629" w:rsidRPr="00610B1B">
              <w:rPr>
                <w:noProof/>
                <w:webHidden/>
              </w:rPr>
            </w:r>
            <w:r w:rsidR="00260629" w:rsidRPr="00610B1B">
              <w:rPr>
                <w:noProof/>
                <w:webHidden/>
              </w:rPr>
              <w:fldChar w:fldCharType="separate"/>
            </w:r>
            <w:r w:rsidR="00260629" w:rsidRPr="00610B1B">
              <w:rPr>
                <w:noProof/>
                <w:webHidden/>
              </w:rPr>
              <w:t>238</w:t>
            </w:r>
            <w:r w:rsidR="00260629" w:rsidRPr="00610B1B">
              <w:rPr>
                <w:noProof/>
                <w:webHidden/>
              </w:rPr>
              <w:fldChar w:fldCharType="end"/>
            </w:r>
          </w:hyperlink>
        </w:p>
        <w:p w14:paraId="02CCA274" w14:textId="450C7627" w:rsidR="00260629" w:rsidRPr="00610B1B" w:rsidRDefault="00DB227B" w:rsidP="00FE3E84">
          <w:pPr>
            <w:pStyle w:val="TOC3"/>
            <w:rPr>
              <w:noProof/>
              <w:lang w:val="en-US" w:eastAsia="en-US"/>
            </w:rPr>
          </w:pPr>
          <w:hyperlink w:anchor="_Toc83391420" w:history="1">
            <w:r w:rsidR="00260629" w:rsidRPr="00610B1B">
              <w:rPr>
                <w:rStyle w:val="Hyperlink"/>
                <w:rFonts w:ascii="Times New Roman" w:hAnsi="Times New Roman"/>
                <w:noProof/>
                <w:lang w:bidi="hi-IN"/>
              </w:rPr>
              <w:t>4.3.2. Сценарий B – Устойчива морска среда, съхраняваща ценните морски екосистеми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_Toc83391420 \h </w:instrText>
            </w:r>
            <w:r w:rsidR="00260629" w:rsidRPr="00610B1B">
              <w:rPr>
                <w:noProof/>
                <w:webHidden/>
              </w:rPr>
            </w:r>
            <w:r w:rsidR="00260629" w:rsidRPr="00610B1B">
              <w:rPr>
                <w:noProof/>
                <w:webHidden/>
              </w:rPr>
              <w:fldChar w:fldCharType="separate"/>
            </w:r>
            <w:r w:rsidR="00260629" w:rsidRPr="00610B1B">
              <w:rPr>
                <w:noProof/>
                <w:webHidden/>
              </w:rPr>
              <w:t>242</w:t>
            </w:r>
            <w:r w:rsidR="00260629" w:rsidRPr="00610B1B">
              <w:rPr>
                <w:noProof/>
                <w:webHidden/>
              </w:rPr>
              <w:fldChar w:fldCharType="end"/>
            </w:r>
          </w:hyperlink>
        </w:p>
        <w:p w14:paraId="7F80DCBB" w14:textId="7CE61380" w:rsidR="00260629" w:rsidRPr="00610B1B" w:rsidRDefault="00DB227B" w:rsidP="00FE3E84">
          <w:pPr>
            <w:pStyle w:val="TOC3"/>
            <w:rPr>
              <w:noProof/>
              <w:lang w:val="en-US" w:eastAsia="en-US"/>
            </w:rPr>
          </w:pPr>
          <w:hyperlink w:anchor="_Toc83391421" w:history="1">
            <w:r w:rsidR="00260629" w:rsidRPr="00610B1B">
              <w:rPr>
                <w:rStyle w:val="Hyperlink"/>
                <w:rFonts w:ascii="Times New Roman" w:hAnsi="Times New Roman"/>
                <w:noProof/>
                <w:lang w:bidi="hi-IN"/>
              </w:rPr>
              <w:t>4.3.3. Сценарий С – Социално равновесие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_Toc83391421 \h </w:instrText>
            </w:r>
            <w:r w:rsidR="00260629" w:rsidRPr="00610B1B">
              <w:rPr>
                <w:noProof/>
                <w:webHidden/>
              </w:rPr>
            </w:r>
            <w:r w:rsidR="00260629" w:rsidRPr="00610B1B">
              <w:rPr>
                <w:noProof/>
                <w:webHidden/>
              </w:rPr>
              <w:fldChar w:fldCharType="separate"/>
            </w:r>
            <w:r w:rsidR="00260629" w:rsidRPr="00610B1B">
              <w:rPr>
                <w:noProof/>
                <w:webHidden/>
              </w:rPr>
              <w:t>246</w:t>
            </w:r>
            <w:r w:rsidR="00260629" w:rsidRPr="00610B1B">
              <w:rPr>
                <w:noProof/>
                <w:webHidden/>
              </w:rPr>
              <w:fldChar w:fldCharType="end"/>
            </w:r>
          </w:hyperlink>
        </w:p>
        <w:p w14:paraId="0DA0F2AB" w14:textId="7696E6AE" w:rsidR="00260629" w:rsidRPr="00610B1B" w:rsidRDefault="00DB227B" w:rsidP="00FE3E84">
          <w:pPr>
            <w:pStyle w:val="TOC3"/>
            <w:rPr>
              <w:noProof/>
              <w:lang w:val="en-US" w:eastAsia="en-US"/>
            </w:rPr>
          </w:pPr>
          <w:hyperlink w:anchor="_Toc83391422" w:history="1">
            <w:r w:rsidR="00260629" w:rsidRPr="00610B1B">
              <w:rPr>
                <w:rStyle w:val="Hyperlink"/>
                <w:rFonts w:ascii="Times New Roman" w:hAnsi="Times New Roman"/>
                <w:noProof/>
                <w:lang w:bidi="hi-IN"/>
              </w:rPr>
              <w:t>4.3.4. Сценарий D – Интегрирани местни, национални, регионални и общоевропейски интереси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_Toc83391422 \h </w:instrText>
            </w:r>
            <w:r w:rsidR="00260629" w:rsidRPr="00610B1B">
              <w:rPr>
                <w:noProof/>
                <w:webHidden/>
              </w:rPr>
            </w:r>
            <w:r w:rsidR="00260629" w:rsidRPr="00610B1B">
              <w:rPr>
                <w:noProof/>
                <w:webHidden/>
              </w:rPr>
              <w:fldChar w:fldCharType="separate"/>
            </w:r>
            <w:r w:rsidR="00260629" w:rsidRPr="00610B1B">
              <w:rPr>
                <w:noProof/>
                <w:webHidden/>
              </w:rPr>
              <w:t>251</w:t>
            </w:r>
            <w:r w:rsidR="00260629" w:rsidRPr="00610B1B">
              <w:rPr>
                <w:noProof/>
                <w:webHidden/>
              </w:rPr>
              <w:fldChar w:fldCharType="end"/>
            </w:r>
          </w:hyperlink>
        </w:p>
        <w:p w14:paraId="728A308E" w14:textId="5FFC34D3" w:rsidR="00260629" w:rsidRPr="00610B1B" w:rsidRDefault="00DB227B" w:rsidP="00FE3E84">
          <w:pPr>
            <w:pStyle w:val="TOC3"/>
            <w:rPr>
              <w:noProof/>
              <w:lang w:val="en-US" w:eastAsia="en-US"/>
            </w:rPr>
          </w:pPr>
          <w:hyperlink w:anchor="_Toc83391423" w:history="1">
            <w:r w:rsidR="00260629" w:rsidRPr="00610B1B">
              <w:rPr>
                <w:rStyle w:val="Hyperlink"/>
                <w:rFonts w:ascii="Times New Roman" w:hAnsi="Times New Roman"/>
                <w:noProof/>
                <w:lang w:bidi="hi-IN"/>
              </w:rPr>
              <w:t>4.3.5. Избор на оптимален сценарий</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_Toc83391423 \h </w:instrText>
            </w:r>
            <w:r w:rsidR="00260629" w:rsidRPr="00610B1B">
              <w:rPr>
                <w:noProof/>
                <w:webHidden/>
              </w:rPr>
            </w:r>
            <w:r w:rsidR="00260629" w:rsidRPr="00610B1B">
              <w:rPr>
                <w:noProof/>
                <w:webHidden/>
              </w:rPr>
              <w:fldChar w:fldCharType="separate"/>
            </w:r>
            <w:r w:rsidR="00260629" w:rsidRPr="00610B1B">
              <w:rPr>
                <w:noProof/>
                <w:webHidden/>
              </w:rPr>
              <w:t>257</w:t>
            </w:r>
            <w:r w:rsidR="00260629" w:rsidRPr="00610B1B">
              <w:rPr>
                <w:noProof/>
                <w:webHidden/>
              </w:rPr>
              <w:fldChar w:fldCharType="end"/>
            </w:r>
          </w:hyperlink>
        </w:p>
        <w:p w14:paraId="3A75BEC2" w14:textId="346ABCAD"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24" w:history="1">
            <w:r w:rsidR="00260629" w:rsidRPr="00610B1B">
              <w:rPr>
                <w:rStyle w:val="Hyperlink"/>
                <w:rFonts w:cs="Times New Roman"/>
                <w:noProof/>
                <w:sz w:val="22"/>
                <w:szCs w:val="22"/>
              </w:rPr>
              <w:t>5. ВИЗИЯ, СТРАТЕГИЧЕСКИ ЦЕЛИ И ПРИОРИТЕТИ</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_Toc83391424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260</w:t>
            </w:r>
            <w:r w:rsidR="00260629" w:rsidRPr="00610B1B">
              <w:rPr>
                <w:rFonts w:cs="Times New Roman"/>
                <w:noProof/>
                <w:webHidden/>
                <w:sz w:val="22"/>
                <w:szCs w:val="22"/>
              </w:rPr>
              <w:fldChar w:fldCharType="end"/>
            </w:r>
          </w:hyperlink>
        </w:p>
        <w:p w14:paraId="5223E607" w14:textId="5563CEFD" w:rsidR="00260629" w:rsidRPr="00610B1B" w:rsidRDefault="00DB227B" w:rsidP="00E8347C">
          <w:pPr>
            <w:pStyle w:val="TOC2"/>
            <w:spacing w:afterLines="60" w:after="144"/>
            <w:rPr>
              <w:rFonts w:eastAsiaTheme="minorEastAsia"/>
              <w:lang w:val="en-US" w:eastAsia="en-US" w:bidi="ar-SA"/>
            </w:rPr>
          </w:pPr>
          <w:hyperlink w:anchor="_Toc83391425" w:history="1">
            <w:r w:rsidR="00260629" w:rsidRPr="00610B1B">
              <w:rPr>
                <w:rStyle w:val="Hyperlink"/>
              </w:rPr>
              <w:t>5.1. Визия за развитие, опазване и използване на морското пространство</w:t>
            </w:r>
            <w:r w:rsidR="00260629" w:rsidRPr="00610B1B">
              <w:rPr>
                <w:webHidden/>
              </w:rPr>
              <w:tab/>
            </w:r>
            <w:r w:rsidR="00260629" w:rsidRPr="00610B1B">
              <w:rPr>
                <w:webHidden/>
              </w:rPr>
              <w:fldChar w:fldCharType="begin"/>
            </w:r>
            <w:r w:rsidR="00260629" w:rsidRPr="00610B1B">
              <w:rPr>
                <w:webHidden/>
              </w:rPr>
              <w:instrText xml:space="preserve"> PAGEREF _Toc83391425 \h </w:instrText>
            </w:r>
            <w:r w:rsidR="00260629" w:rsidRPr="00610B1B">
              <w:rPr>
                <w:webHidden/>
              </w:rPr>
            </w:r>
            <w:r w:rsidR="00260629" w:rsidRPr="00610B1B">
              <w:rPr>
                <w:webHidden/>
              </w:rPr>
              <w:fldChar w:fldCharType="separate"/>
            </w:r>
            <w:r w:rsidR="00260629" w:rsidRPr="00610B1B">
              <w:rPr>
                <w:webHidden/>
              </w:rPr>
              <w:t>260</w:t>
            </w:r>
            <w:r w:rsidR="00260629" w:rsidRPr="00610B1B">
              <w:rPr>
                <w:webHidden/>
              </w:rPr>
              <w:fldChar w:fldCharType="end"/>
            </w:r>
          </w:hyperlink>
        </w:p>
        <w:p w14:paraId="463C744F" w14:textId="53E65249" w:rsidR="00260629" w:rsidRPr="00610B1B" w:rsidRDefault="00DB227B" w:rsidP="00E8347C">
          <w:pPr>
            <w:pStyle w:val="TOC2"/>
            <w:spacing w:afterLines="60" w:after="144"/>
            <w:rPr>
              <w:rFonts w:eastAsiaTheme="minorEastAsia"/>
              <w:lang w:val="en-US" w:eastAsia="en-US" w:bidi="ar-SA"/>
            </w:rPr>
          </w:pPr>
          <w:hyperlink w:anchor="_Toc83391426" w:history="1">
            <w:r w:rsidR="00260629" w:rsidRPr="00610B1B">
              <w:rPr>
                <w:rStyle w:val="Hyperlink"/>
              </w:rPr>
              <w:t>5.2. Стратегически цели</w:t>
            </w:r>
            <w:r w:rsidR="00260629" w:rsidRPr="00610B1B">
              <w:rPr>
                <w:webHidden/>
              </w:rPr>
              <w:tab/>
            </w:r>
            <w:r w:rsidR="00260629" w:rsidRPr="00610B1B">
              <w:rPr>
                <w:webHidden/>
              </w:rPr>
              <w:fldChar w:fldCharType="begin"/>
            </w:r>
            <w:r w:rsidR="00260629" w:rsidRPr="00610B1B">
              <w:rPr>
                <w:webHidden/>
              </w:rPr>
              <w:instrText xml:space="preserve"> PAGEREF _Toc83391426 \h </w:instrText>
            </w:r>
            <w:r w:rsidR="00260629" w:rsidRPr="00610B1B">
              <w:rPr>
                <w:webHidden/>
              </w:rPr>
            </w:r>
            <w:r w:rsidR="00260629" w:rsidRPr="00610B1B">
              <w:rPr>
                <w:webHidden/>
              </w:rPr>
              <w:fldChar w:fldCharType="separate"/>
            </w:r>
            <w:r w:rsidR="00260629" w:rsidRPr="00610B1B">
              <w:rPr>
                <w:webHidden/>
              </w:rPr>
              <w:t>261</w:t>
            </w:r>
            <w:r w:rsidR="00260629" w:rsidRPr="00610B1B">
              <w:rPr>
                <w:webHidden/>
              </w:rPr>
              <w:fldChar w:fldCharType="end"/>
            </w:r>
          </w:hyperlink>
        </w:p>
        <w:p w14:paraId="1846C568" w14:textId="568DFD62"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27" w:history="1">
            <w:r w:rsidR="00260629" w:rsidRPr="00610B1B">
              <w:rPr>
                <w:rStyle w:val="Hyperlink"/>
                <w:rFonts w:cs="Times New Roman"/>
                <w:noProof/>
                <w:sz w:val="22"/>
                <w:szCs w:val="22"/>
              </w:rPr>
              <w:t>6. ЗОНИРАНЕ НА МОРСКИТЕ ПРОСТРАНСТВА И ИНТЕГРИРАНЕ НА ФУНКЦИИТЕ И ДЕЙНОСТИТЕ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_Toc83391427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275</w:t>
            </w:r>
            <w:r w:rsidR="00260629" w:rsidRPr="00610B1B">
              <w:rPr>
                <w:rFonts w:cs="Times New Roman"/>
                <w:noProof/>
                <w:webHidden/>
                <w:sz w:val="22"/>
                <w:szCs w:val="22"/>
              </w:rPr>
              <w:fldChar w:fldCharType="end"/>
            </w:r>
          </w:hyperlink>
        </w:p>
        <w:p w14:paraId="6E0FDDED" w14:textId="69F389B2" w:rsidR="00260629" w:rsidRPr="00610B1B" w:rsidRDefault="00DB227B" w:rsidP="00E8347C">
          <w:pPr>
            <w:pStyle w:val="TOC2"/>
            <w:spacing w:afterLines="60" w:after="144"/>
            <w:rPr>
              <w:rFonts w:eastAsiaTheme="minorEastAsia"/>
              <w:lang w:val="en-US" w:eastAsia="en-US" w:bidi="ar-SA"/>
            </w:rPr>
          </w:pPr>
          <w:hyperlink w:anchor="_Toc83391428" w:history="1">
            <w:r w:rsidR="00260629" w:rsidRPr="00610B1B">
              <w:rPr>
                <w:rStyle w:val="Hyperlink"/>
              </w:rPr>
              <w:t>6.1. Основни принципи за зониране на морското пространство</w:t>
            </w:r>
            <w:r w:rsidR="00260629" w:rsidRPr="00610B1B">
              <w:rPr>
                <w:webHidden/>
              </w:rPr>
              <w:tab/>
            </w:r>
            <w:r w:rsidR="00260629" w:rsidRPr="00610B1B">
              <w:rPr>
                <w:webHidden/>
              </w:rPr>
              <w:fldChar w:fldCharType="begin"/>
            </w:r>
            <w:r w:rsidR="00260629" w:rsidRPr="00610B1B">
              <w:rPr>
                <w:webHidden/>
              </w:rPr>
              <w:instrText xml:space="preserve"> PAGEREF _Toc83391428 \h </w:instrText>
            </w:r>
            <w:r w:rsidR="00260629" w:rsidRPr="00610B1B">
              <w:rPr>
                <w:webHidden/>
              </w:rPr>
            </w:r>
            <w:r w:rsidR="00260629" w:rsidRPr="00610B1B">
              <w:rPr>
                <w:webHidden/>
              </w:rPr>
              <w:fldChar w:fldCharType="separate"/>
            </w:r>
            <w:r w:rsidR="00260629" w:rsidRPr="00610B1B">
              <w:rPr>
                <w:webHidden/>
              </w:rPr>
              <w:t>275</w:t>
            </w:r>
            <w:r w:rsidR="00260629" w:rsidRPr="00610B1B">
              <w:rPr>
                <w:webHidden/>
              </w:rPr>
              <w:fldChar w:fldCharType="end"/>
            </w:r>
          </w:hyperlink>
        </w:p>
        <w:p w14:paraId="71C1C14F" w14:textId="1E512BC6" w:rsidR="00260629" w:rsidRPr="00610B1B" w:rsidRDefault="00DB227B" w:rsidP="00E8347C">
          <w:pPr>
            <w:pStyle w:val="TOC2"/>
            <w:spacing w:afterLines="60" w:after="144"/>
            <w:rPr>
              <w:rFonts w:eastAsiaTheme="minorEastAsia"/>
              <w:lang w:val="en-US" w:eastAsia="en-US" w:bidi="ar-SA"/>
            </w:rPr>
          </w:pPr>
          <w:hyperlink w:anchor="_Toc83391429" w:history="1">
            <w:r w:rsidR="00260629" w:rsidRPr="00610B1B">
              <w:rPr>
                <w:rStyle w:val="Hyperlink"/>
              </w:rPr>
              <w:t>6.2. Конфликти и синергия във функционалното зониране на морските пространства</w:t>
            </w:r>
            <w:r w:rsidR="00260629" w:rsidRPr="00610B1B">
              <w:rPr>
                <w:webHidden/>
              </w:rPr>
              <w:tab/>
            </w:r>
            <w:r w:rsidR="00260629" w:rsidRPr="00610B1B">
              <w:rPr>
                <w:webHidden/>
              </w:rPr>
              <w:fldChar w:fldCharType="begin"/>
            </w:r>
            <w:r w:rsidR="00260629" w:rsidRPr="00610B1B">
              <w:rPr>
                <w:webHidden/>
              </w:rPr>
              <w:instrText xml:space="preserve"> PAGEREF _Toc83391429 \h </w:instrText>
            </w:r>
            <w:r w:rsidR="00260629" w:rsidRPr="00610B1B">
              <w:rPr>
                <w:webHidden/>
              </w:rPr>
            </w:r>
            <w:r w:rsidR="00260629" w:rsidRPr="00610B1B">
              <w:rPr>
                <w:webHidden/>
              </w:rPr>
              <w:fldChar w:fldCharType="separate"/>
            </w:r>
            <w:r w:rsidR="00260629" w:rsidRPr="00610B1B">
              <w:rPr>
                <w:webHidden/>
              </w:rPr>
              <w:t>277</w:t>
            </w:r>
            <w:r w:rsidR="00260629" w:rsidRPr="00610B1B">
              <w:rPr>
                <w:webHidden/>
              </w:rPr>
              <w:fldChar w:fldCharType="end"/>
            </w:r>
          </w:hyperlink>
        </w:p>
        <w:p w14:paraId="3121E96A" w14:textId="1FF7D59E" w:rsidR="00260629" w:rsidRPr="00610B1B" w:rsidRDefault="00DB227B" w:rsidP="00FE3E84">
          <w:pPr>
            <w:pStyle w:val="TOC3"/>
            <w:rPr>
              <w:noProof/>
              <w:lang w:val="en-US" w:eastAsia="en-US"/>
            </w:rPr>
          </w:pPr>
          <w:hyperlink w:anchor="_Toc83391430" w:history="1">
            <w:r w:rsidR="00260629" w:rsidRPr="00610B1B">
              <w:rPr>
                <w:rStyle w:val="Hyperlink"/>
                <w:rFonts w:ascii="Times New Roman" w:hAnsi="Times New Roman"/>
                <w:noProof/>
                <w:lang w:bidi="hi-IN"/>
              </w:rPr>
              <w:t>6.2.1. Съвместими и несъвместими функции и дейности.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_Toc83391430 \h </w:instrText>
            </w:r>
            <w:r w:rsidR="00260629" w:rsidRPr="00610B1B">
              <w:rPr>
                <w:noProof/>
                <w:webHidden/>
              </w:rPr>
            </w:r>
            <w:r w:rsidR="00260629" w:rsidRPr="00610B1B">
              <w:rPr>
                <w:noProof/>
                <w:webHidden/>
              </w:rPr>
              <w:fldChar w:fldCharType="separate"/>
            </w:r>
            <w:r w:rsidR="00260629" w:rsidRPr="00610B1B">
              <w:rPr>
                <w:noProof/>
                <w:webHidden/>
              </w:rPr>
              <w:t>277</w:t>
            </w:r>
            <w:r w:rsidR="00260629" w:rsidRPr="00610B1B">
              <w:rPr>
                <w:noProof/>
                <w:webHidden/>
              </w:rPr>
              <w:fldChar w:fldCharType="end"/>
            </w:r>
          </w:hyperlink>
        </w:p>
        <w:p w14:paraId="7D0448C4" w14:textId="0E4F210A" w:rsidR="00260629" w:rsidRPr="00610B1B" w:rsidRDefault="00DB227B" w:rsidP="00FE3E84">
          <w:pPr>
            <w:pStyle w:val="TOC3"/>
            <w:rPr>
              <w:noProof/>
              <w:lang w:val="en-US" w:eastAsia="en-US"/>
            </w:rPr>
          </w:pPr>
          <w:hyperlink w:anchor="_Toc83391431" w:history="1">
            <w:r w:rsidR="00260629" w:rsidRPr="00610B1B">
              <w:rPr>
                <w:rStyle w:val="Hyperlink"/>
                <w:rFonts w:ascii="Times New Roman" w:hAnsi="Times New Roman"/>
                <w:noProof/>
                <w:lang w:bidi="hi-IN"/>
              </w:rPr>
              <w:t>6.2.2. Взаимодействия земя-море и море-земя и идентифицирани конфликтни точки и зони на крайбрежието</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_Toc83391431 \h </w:instrText>
            </w:r>
            <w:r w:rsidR="00260629" w:rsidRPr="00610B1B">
              <w:rPr>
                <w:noProof/>
                <w:webHidden/>
              </w:rPr>
            </w:r>
            <w:r w:rsidR="00260629" w:rsidRPr="00610B1B">
              <w:rPr>
                <w:noProof/>
                <w:webHidden/>
              </w:rPr>
              <w:fldChar w:fldCharType="separate"/>
            </w:r>
            <w:r w:rsidR="00260629" w:rsidRPr="00610B1B">
              <w:rPr>
                <w:noProof/>
                <w:webHidden/>
              </w:rPr>
              <w:t>285</w:t>
            </w:r>
            <w:r w:rsidR="00260629" w:rsidRPr="00610B1B">
              <w:rPr>
                <w:noProof/>
                <w:webHidden/>
              </w:rPr>
              <w:fldChar w:fldCharType="end"/>
            </w:r>
          </w:hyperlink>
        </w:p>
        <w:p w14:paraId="28688F6D" w14:textId="77C153F1" w:rsidR="00260629" w:rsidRPr="00610B1B" w:rsidRDefault="00DB227B" w:rsidP="00E8347C">
          <w:pPr>
            <w:pStyle w:val="TOC2"/>
            <w:spacing w:afterLines="60" w:after="144"/>
            <w:rPr>
              <w:rFonts w:eastAsiaTheme="minorEastAsia"/>
              <w:lang w:val="en-US" w:eastAsia="en-US" w:bidi="ar-SA"/>
            </w:rPr>
          </w:pPr>
          <w:hyperlink w:anchor="_Toc83391432" w:history="1">
            <w:r w:rsidR="00260629" w:rsidRPr="00610B1B">
              <w:rPr>
                <w:rStyle w:val="Hyperlink"/>
              </w:rPr>
              <w:t>6.3. Зониране на морските пространства</w:t>
            </w:r>
            <w:r w:rsidR="00260629" w:rsidRPr="00610B1B">
              <w:rPr>
                <w:webHidden/>
              </w:rPr>
              <w:tab/>
            </w:r>
            <w:r w:rsidR="00260629" w:rsidRPr="00610B1B">
              <w:rPr>
                <w:webHidden/>
              </w:rPr>
              <w:fldChar w:fldCharType="begin"/>
            </w:r>
            <w:r w:rsidR="00260629" w:rsidRPr="00610B1B">
              <w:rPr>
                <w:webHidden/>
              </w:rPr>
              <w:instrText xml:space="preserve"> PAGEREF _Toc83391432 \h </w:instrText>
            </w:r>
            <w:r w:rsidR="00260629" w:rsidRPr="00610B1B">
              <w:rPr>
                <w:webHidden/>
              </w:rPr>
            </w:r>
            <w:r w:rsidR="00260629" w:rsidRPr="00610B1B">
              <w:rPr>
                <w:webHidden/>
              </w:rPr>
              <w:fldChar w:fldCharType="separate"/>
            </w:r>
            <w:r w:rsidR="00260629" w:rsidRPr="00610B1B">
              <w:rPr>
                <w:webHidden/>
              </w:rPr>
              <w:t>290</w:t>
            </w:r>
            <w:r w:rsidR="00260629" w:rsidRPr="00610B1B">
              <w:rPr>
                <w:webHidden/>
              </w:rPr>
              <w:fldChar w:fldCharType="end"/>
            </w:r>
          </w:hyperlink>
        </w:p>
        <w:p w14:paraId="4E5304C4" w14:textId="66490106" w:rsidR="00260629" w:rsidRPr="00610B1B" w:rsidRDefault="00DB227B" w:rsidP="00FE3E84">
          <w:pPr>
            <w:pStyle w:val="TOC3"/>
            <w:rPr>
              <w:noProof/>
              <w:lang w:val="en-US" w:eastAsia="en-US"/>
            </w:rPr>
          </w:pPr>
          <w:hyperlink w:anchor="_Toc83391433" w:history="1">
            <w:r w:rsidR="00260629" w:rsidRPr="00610B1B">
              <w:rPr>
                <w:rStyle w:val="Hyperlink"/>
                <w:rFonts w:ascii="Times New Roman" w:hAnsi="Times New Roman"/>
                <w:noProof/>
                <w:lang w:bidi="hi-IN"/>
              </w:rPr>
              <w:t>6.3.1. Зони със забрана за ползване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_Toc83391433 \h </w:instrText>
            </w:r>
            <w:r w:rsidR="00260629" w:rsidRPr="00610B1B">
              <w:rPr>
                <w:noProof/>
                <w:webHidden/>
              </w:rPr>
            </w:r>
            <w:r w:rsidR="00260629" w:rsidRPr="00610B1B">
              <w:rPr>
                <w:noProof/>
                <w:webHidden/>
              </w:rPr>
              <w:fldChar w:fldCharType="separate"/>
            </w:r>
            <w:r w:rsidR="00260629" w:rsidRPr="00610B1B">
              <w:rPr>
                <w:noProof/>
                <w:webHidden/>
              </w:rPr>
              <w:t>293</w:t>
            </w:r>
            <w:r w:rsidR="00260629" w:rsidRPr="00610B1B">
              <w:rPr>
                <w:noProof/>
                <w:webHidden/>
              </w:rPr>
              <w:fldChar w:fldCharType="end"/>
            </w:r>
          </w:hyperlink>
        </w:p>
        <w:p w14:paraId="61EAA792" w14:textId="271724F2" w:rsidR="00260629" w:rsidRPr="00610B1B" w:rsidRDefault="00DB227B" w:rsidP="00FE3E84">
          <w:pPr>
            <w:pStyle w:val="TOC3"/>
            <w:rPr>
              <w:noProof/>
              <w:lang w:val="en-US" w:eastAsia="en-US"/>
            </w:rPr>
          </w:pPr>
          <w:hyperlink w:anchor="_Toc83391434" w:history="1">
            <w:r w:rsidR="00260629" w:rsidRPr="00610B1B">
              <w:rPr>
                <w:rStyle w:val="Hyperlink"/>
                <w:rFonts w:ascii="Times New Roman" w:hAnsi="Times New Roman"/>
                <w:noProof/>
                <w:lang w:bidi="hi-IN"/>
              </w:rPr>
              <w:t>6.3.2. Зони със специфичен режим на опазване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_Toc83391434 \h </w:instrText>
            </w:r>
            <w:r w:rsidR="00260629" w:rsidRPr="00610B1B">
              <w:rPr>
                <w:noProof/>
                <w:webHidden/>
              </w:rPr>
            </w:r>
            <w:r w:rsidR="00260629" w:rsidRPr="00610B1B">
              <w:rPr>
                <w:noProof/>
                <w:webHidden/>
              </w:rPr>
              <w:fldChar w:fldCharType="separate"/>
            </w:r>
            <w:r w:rsidR="00260629" w:rsidRPr="00610B1B">
              <w:rPr>
                <w:noProof/>
                <w:webHidden/>
              </w:rPr>
              <w:t>295</w:t>
            </w:r>
            <w:r w:rsidR="00260629" w:rsidRPr="00610B1B">
              <w:rPr>
                <w:noProof/>
                <w:webHidden/>
              </w:rPr>
              <w:fldChar w:fldCharType="end"/>
            </w:r>
          </w:hyperlink>
        </w:p>
        <w:p w14:paraId="022B7A1D" w14:textId="6BAE9B41" w:rsidR="00260629" w:rsidRPr="00610B1B" w:rsidRDefault="00DB227B" w:rsidP="00FE3E84">
          <w:pPr>
            <w:pStyle w:val="TOC3"/>
            <w:rPr>
              <w:noProof/>
              <w:lang w:val="en-US" w:eastAsia="en-US"/>
            </w:rPr>
          </w:pPr>
          <w:hyperlink w:anchor="_Toc83391435" w:history="1">
            <w:r w:rsidR="00260629" w:rsidRPr="00610B1B">
              <w:rPr>
                <w:rStyle w:val="Hyperlink"/>
                <w:rFonts w:ascii="Times New Roman" w:hAnsi="Times New Roman"/>
                <w:noProof/>
                <w:lang w:bidi="hi-IN"/>
              </w:rPr>
              <w:t>6.3.3. Мултифункционални зони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_Toc83391435 \h </w:instrText>
            </w:r>
            <w:r w:rsidR="00260629" w:rsidRPr="00610B1B">
              <w:rPr>
                <w:noProof/>
                <w:webHidden/>
              </w:rPr>
            </w:r>
            <w:r w:rsidR="00260629" w:rsidRPr="00610B1B">
              <w:rPr>
                <w:noProof/>
                <w:webHidden/>
              </w:rPr>
              <w:fldChar w:fldCharType="separate"/>
            </w:r>
            <w:r w:rsidR="00260629" w:rsidRPr="00610B1B">
              <w:rPr>
                <w:noProof/>
                <w:webHidden/>
              </w:rPr>
              <w:t>296</w:t>
            </w:r>
            <w:r w:rsidR="00260629" w:rsidRPr="00610B1B">
              <w:rPr>
                <w:noProof/>
                <w:webHidden/>
              </w:rPr>
              <w:fldChar w:fldCharType="end"/>
            </w:r>
          </w:hyperlink>
        </w:p>
        <w:p w14:paraId="58F8577E" w14:textId="66AFEC45" w:rsidR="00260629" w:rsidRPr="00610B1B" w:rsidRDefault="00DB227B" w:rsidP="00FE3E84">
          <w:pPr>
            <w:pStyle w:val="TOC3"/>
            <w:rPr>
              <w:noProof/>
              <w:lang w:val="en-US" w:eastAsia="en-US"/>
            </w:rPr>
          </w:pPr>
          <w:hyperlink w:anchor="_Toc83391436" w:history="1">
            <w:r w:rsidR="00260629" w:rsidRPr="00610B1B">
              <w:rPr>
                <w:rStyle w:val="Hyperlink"/>
                <w:rFonts w:ascii="Times New Roman" w:hAnsi="Times New Roman"/>
                <w:noProof/>
                <w:lang w:bidi="hi-IN"/>
              </w:rPr>
              <w:t>6.3.4. Зони за бъдещи ползвания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_Toc83391436 \h </w:instrText>
            </w:r>
            <w:r w:rsidR="00260629" w:rsidRPr="00610B1B">
              <w:rPr>
                <w:noProof/>
                <w:webHidden/>
              </w:rPr>
            </w:r>
            <w:r w:rsidR="00260629" w:rsidRPr="00610B1B">
              <w:rPr>
                <w:noProof/>
                <w:webHidden/>
              </w:rPr>
              <w:fldChar w:fldCharType="separate"/>
            </w:r>
            <w:r w:rsidR="00260629" w:rsidRPr="00610B1B">
              <w:rPr>
                <w:noProof/>
                <w:webHidden/>
              </w:rPr>
              <w:t>298</w:t>
            </w:r>
            <w:r w:rsidR="00260629" w:rsidRPr="00610B1B">
              <w:rPr>
                <w:noProof/>
                <w:webHidden/>
              </w:rPr>
              <w:fldChar w:fldCharType="end"/>
            </w:r>
          </w:hyperlink>
        </w:p>
        <w:p w14:paraId="4A415604" w14:textId="74EFF4C7" w:rsidR="00260629" w:rsidRPr="00610B1B" w:rsidRDefault="00DB227B" w:rsidP="00E8347C">
          <w:pPr>
            <w:pStyle w:val="TOC2"/>
            <w:spacing w:afterLines="60" w:after="144"/>
            <w:rPr>
              <w:rFonts w:eastAsiaTheme="minorEastAsia"/>
              <w:lang w:val="en-US" w:eastAsia="en-US" w:bidi="ar-SA"/>
            </w:rPr>
          </w:pPr>
          <w:hyperlink w:anchor="_Toc83391437" w:history="1">
            <w:r w:rsidR="00260629" w:rsidRPr="00610B1B">
              <w:rPr>
                <w:rStyle w:val="Hyperlink"/>
              </w:rPr>
              <w:t>6.4. Предвидени ползвания и дейности в морските пространства</w:t>
            </w:r>
            <w:r w:rsidR="00260629" w:rsidRPr="00610B1B">
              <w:rPr>
                <w:webHidden/>
              </w:rPr>
              <w:tab/>
            </w:r>
            <w:r w:rsidR="00260629" w:rsidRPr="00610B1B">
              <w:rPr>
                <w:webHidden/>
              </w:rPr>
              <w:fldChar w:fldCharType="begin"/>
            </w:r>
            <w:r w:rsidR="00260629" w:rsidRPr="00610B1B">
              <w:rPr>
                <w:webHidden/>
              </w:rPr>
              <w:instrText xml:space="preserve"> PAGEREF _Toc83391437 \h </w:instrText>
            </w:r>
            <w:r w:rsidR="00260629" w:rsidRPr="00610B1B">
              <w:rPr>
                <w:webHidden/>
              </w:rPr>
            </w:r>
            <w:r w:rsidR="00260629" w:rsidRPr="00610B1B">
              <w:rPr>
                <w:webHidden/>
              </w:rPr>
              <w:fldChar w:fldCharType="separate"/>
            </w:r>
            <w:r w:rsidR="00260629" w:rsidRPr="00610B1B">
              <w:rPr>
                <w:webHidden/>
              </w:rPr>
              <w:t>298</w:t>
            </w:r>
            <w:r w:rsidR="00260629" w:rsidRPr="00610B1B">
              <w:rPr>
                <w:webHidden/>
              </w:rPr>
              <w:fldChar w:fldCharType="end"/>
            </w:r>
          </w:hyperlink>
        </w:p>
        <w:p w14:paraId="478DAEBF" w14:textId="75FCB568"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38" w:history="1">
            <w:r w:rsidR="00260629" w:rsidRPr="00610B1B">
              <w:rPr>
                <w:rStyle w:val="Hyperlink"/>
                <w:rFonts w:cs="Times New Roman"/>
                <w:noProof/>
                <w:sz w:val="22"/>
                <w:szCs w:val="22"/>
              </w:rPr>
              <w:t>7. ПРИЛАГАНЕ НА ПЛАНА И ОЦЕНКА НА РЕЗУЛТАТИТЕ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_Toc83391438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308</w:t>
            </w:r>
            <w:r w:rsidR="00260629" w:rsidRPr="00610B1B">
              <w:rPr>
                <w:rFonts w:cs="Times New Roman"/>
                <w:noProof/>
                <w:webHidden/>
                <w:sz w:val="22"/>
                <w:szCs w:val="22"/>
              </w:rPr>
              <w:fldChar w:fldCharType="end"/>
            </w:r>
          </w:hyperlink>
        </w:p>
        <w:p w14:paraId="2175A051" w14:textId="20AE47ED" w:rsidR="00260629" w:rsidRPr="00610B1B" w:rsidRDefault="00DB227B" w:rsidP="00E8347C">
          <w:pPr>
            <w:pStyle w:val="TOC2"/>
            <w:spacing w:afterLines="60" w:after="144"/>
            <w:rPr>
              <w:rFonts w:eastAsiaTheme="minorEastAsia"/>
              <w:lang w:val="en-US" w:eastAsia="en-US" w:bidi="ar-SA"/>
            </w:rPr>
          </w:pPr>
          <w:hyperlink w:anchor="_Toc83391439" w:history="1">
            <w:r w:rsidR="00260629" w:rsidRPr="00610B1B">
              <w:rPr>
                <w:rStyle w:val="Hyperlink"/>
              </w:rPr>
              <w:t>7.1. Отговорности, роля на държавните и регионални институции, местните власти и общности</w:t>
            </w:r>
            <w:r w:rsidR="00260629" w:rsidRPr="00610B1B">
              <w:rPr>
                <w:webHidden/>
              </w:rPr>
              <w:tab/>
            </w:r>
            <w:r w:rsidR="00260629" w:rsidRPr="00610B1B">
              <w:rPr>
                <w:webHidden/>
              </w:rPr>
              <w:fldChar w:fldCharType="begin"/>
            </w:r>
            <w:r w:rsidR="00260629" w:rsidRPr="00610B1B">
              <w:rPr>
                <w:webHidden/>
              </w:rPr>
              <w:instrText xml:space="preserve"> PAGEREF _Toc83391439 \h </w:instrText>
            </w:r>
            <w:r w:rsidR="00260629" w:rsidRPr="00610B1B">
              <w:rPr>
                <w:webHidden/>
              </w:rPr>
            </w:r>
            <w:r w:rsidR="00260629" w:rsidRPr="00610B1B">
              <w:rPr>
                <w:webHidden/>
              </w:rPr>
              <w:fldChar w:fldCharType="separate"/>
            </w:r>
            <w:r w:rsidR="00260629" w:rsidRPr="00610B1B">
              <w:rPr>
                <w:webHidden/>
              </w:rPr>
              <w:t>308</w:t>
            </w:r>
            <w:r w:rsidR="00260629" w:rsidRPr="00610B1B">
              <w:rPr>
                <w:webHidden/>
              </w:rPr>
              <w:fldChar w:fldCharType="end"/>
            </w:r>
          </w:hyperlink>
        </w:p>
        <w:p w14:paraId="38940F7B" w14:textId="366056A2" w:rsidR="00260629" w:rsidRPr="00610B1B" w:rsidRDefault="00DB227B" w:rsidP="00E8347C">
          <w:pPr>
            <w:pStyle w:val="TOC2"/>
            <w:spacing w:afterLines="60" w:after="144"/>
            <w:rPr>
              <w:rFonts w:eastAsiaTheme="minorEastAsia"/>
              <w:lang w:val="en-US" w:eastAsia="en-US" w:bidi="ar-SA"/>
            </w:rPr>
          </w:pPr>
          <w:hyperlink w:anchor="_Toc83391440" w:history="1">
            <w:r w:rsidR="00260629" w:rsidRPr="00610B1B">
              <w:rPr>
                <w:rStyle w:val="Hyperlink"/>
              </w:rPr>
              <w:t>7.2. Поддържане, актуализиране и изменение на МППРБ</w:t>
            </w:r>
            <w:r w:rsidR="00260629" w:rsidRPr="00610B1B">
              <w:rPr>
                <w:webHidden/>
              </w:rPr>
              <w:tab/>
            </w:r>
            <w:r w:rsidR="00260629" w:rsidRPr="00610B1B">
              <w:rPr>
                <w:webHidden/>
              </w:rPr>
              <w:fldChar w:fldCharType="begin"/>
            </w:r>
            <w:r w:rsidR="00260629" w:rsidRPr="00610B1B">
              <w:rPr>
                <w:webHidden/>
              </w:rPr>
              <w:instrText xml:space="preserve"> PAGEREF _Toc83391440 \h </w:instrText>
            </w:r>
            <w:r w:rsidR="00260629" w:rsidRPr="00610B1B">
              <w:rPr>
                <w:webHidden/>
              </w:rPr>
            </w:r>
            <w:r w:rsidR="00260629" w:rsidRPr="00610B1B">
              <w:rPr>
                <w:webHidden/>
              </w:rPr>
              <w:fldChar w:fldCharType="separate"/>
            </w:r>
            <w:r w:rsidR="00260629" w:rsidRPr="00610B1B">
              <w:rPr>
                <w:webHidden/>
              </w:rPr>
              <w:t>326</w:t>
            </w:r>
            <w:r w:rsidR="00260629" w:rsidRPr="00610B1B">
              <w:rPr>
                <w:webHidden/>
              </w:rPr>
              <w:fldChar w:fldCharType="end"/>
            </w:r>
          </w:hyperlink>
        </w:p>
        <w:p w14:paraId="2322A32C" w14:textId="1E6FD47B" w:rsidR="00260629" w:rsidRPr="00610B1B" w:rsidRDefault="00DB227B" w:rsidP="00E8347C">
          <w:pPr>
            <w:pStyle w:val="TOC2"/>
            <w:spacing w:afterLines="60" w:after="144"/>
            <w:rPr>
              <w:rFonts w:eastAsiaTheme="minorEastAsia"/>
              <w:lang w:val="en-US" w:eastAsia="en-US" w:bidi="ar-SA"/>
            </w:rPr>
          </w:pPr>
          <w:hyperlink w:anchor="_Toc83391441" w:history="1">
            <w:r w:rsidR="00260629" w:rsidRPr="00610B1B">
              <w:rPr>
                <w:rStyle w:val="Hyperlink"/>
              </w:rPr>
              <w:t>7.3. Препоръки към институциите по прилагането на МППРБ</w:t>
            </w:r>
            <w:r w:rsidR="00260629" w:rsidRPr="00610B1B">
              <w:rPr>
                <w:webHidden/>
              </w:rPr>
              <w:tab/>
            </w:r>
            <w:r w:rsidR="00260629" w:rsidRPr="00610B1B">
              <w:rPr>
                <w:webHidden/>
              </w:rPr>
              <w:fldChar w:fldCharType="begin"/>
            </w:r>
            <w:r w:rsidR="00260629" w:rsidRPr="00610B1B">
              <w:rPr>
                <w:webHidden/>
              </w:rPr>
              <w:instrText xml:space="preserve"> PAGEREF _Toc83391441 \h </w:instrText>
            </w:r>
            <w:r w:rsidR="00260629" w:rsidRPr="00610B1B">
              <w:rPr>
                <w:webHidden/>
              </w:rPr>
            </w:r>
            <w:r w:rsidR="00260629" w:rsidRPr="00610B1B">
              <w:rPr>
                <w:webHidden/>
              </w:rPr>
              <w:fldChar w:fldCharType="separate"/>
            </w:r>
            <w:r w:rsidR="00260629" w:rsidRPr="00610B1B">
              <w:rPr>
                <w:webHidden/>
              </w:rPr>
              <w:t>328</w:t>
            </w:r>
            <w:r w:rsidR="00260629" w:rsidRPr="00610B1B">
              <w:rPr>
                <w:webHidden/>
              </w:rPr>
              <w:fldChar w:fldCharType="end"/>
            </w:r>
          </w:hyperlink>
        </w:p>
        <w:p w14:paraId="02DA9F63" w14:textId="75EAA4E5" w:rsidR="00260629" w:rsidRPr="00610B1B" w:rsidRDefault="00DB227B" w:rsidP="00E8347C">
          <w:pPr>
            <w:pStyle w:val="TOC2"/>
            <w:spacing w:afterLines="60" w:after="144"/>
            <w:rPr>
              <w:rFonts w:eastAsiaTheme="minorEastAsia"/>
              <w:lang w:val="en-US" w:eastAsia="en-US" w:bidi="ar-SA"/>
            </w:rPr>
          </w:pPr>
          <w:hyperlink w:anchor="_Toc83391442" w:history="1">
            <w:r w:rsidR="00260629" w:rsidRPr="00610B1B">
              <w:rPr>
                <w:rStyle w:val="Hyperlink"/>
              </w:rPr>
              <w:t>7.4. Система от индикатори за оценка на резултатите от прилагането на МППРБ</w:t>
            </w:r>
            <w:r w:rsidR="00260629" w:rsidRPr="00610B1B">
              <w:rPr>
                <w:webHidden/>
              </w:rPr>
              <w:tab/>
            </w:r>
            <w:r w:rsidR="00260629" w:rsidRPr="00610B1B">
              <w:rPr>
                <w:webHidden/>
              </w:rPr>
              <w:fldChar w:fldCharType="begin"/>
            </w:r>
            <w:r w:rsidR="00260629" w:rsidRPr="00610B1B">
              <w:rPr>
                <w:webHidden/>
              </w:rPr>
              <w:instrText xml:space="preserve"> PAGEREF _Toc83391442 \h </w:instrText>
            </w:r>
            <w:r w:rsidR="00260629" w:rsidRPr="00610B1B">
              <w:rPr>
                <w:webHidden/>
              </w:rPr>
            </w:r>
            <w:r w:rsidR="00260629" w:rsidRPr="00610B1B">
              <w:rPr>
                <w:webHidden/>
              </w:rPr>
              <w:fldChar w:fldCharType="separate"/>
            </w:r>
            <w:r w:rsidR="00260629" w:rsidRPr="00610B1B">
              <w:rPr>
                <w:webHidden/>
              </w:rPr>
              <w:t>335</w:t>
            </w:r>
            <w:r w:rsidR="00260629" w:rsidRPr="00610B1B">
              <w:rPr>
                <w:webHidden/>
              </w:rPr>
              <w:fldChar w:fldCharType="end"/>
            </w:r>
          </w:hyperlink>
        </w:p>
        <w:p w14:paraId="1821489F" w14:textId="2C7AC5F0" w:rsidR="00260629" w:rsidRPr="00610B1B" w:rsidRDefault="00DB227B" w:rsidP="00FE3E84">
          <w:pPr>
            <w:pStyle w:val="TOC3"/>
            <w:rPr>
              <w:noProof/>
              <w:lang w:val="en-US" w:eastAsia="en-US"/>
            </w:rPr>
          </w:pPr>
          <w:hyperlink w:anchor="_Toc83391443" w:history="1">
            <w:r w:rsidR="00260629" w:rsidRPr="00610B1B">
              <w:rPr>
                <w:rStyle w:val="Hyperlink"/>
                <w:rFonts w:ascii="Times New Roman" w:hAnsi="Times New Roman"/>
                <w:noProof/>
                <w:lang w:bidi="hi-IN"/>
              </w:rPr>
              <w:t>7.4.1. Индикатори за управление на прилагането, наблюдението и оценката на МППРБ</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_Toc83391443 \h </w:instrText>
            </w:r>
            <w:r w:rsidR="00260629" w:rsidRPr="00610B1B">
              <w:rPr>
                <w:noProof/>
                <w:webHidden/>
              </w:rPr>
            </w:r>
            <w:r w:rsidR="00260629" w:rsidRPr="00610B1B">
              <w:rPr>
                <w:noProof/>
                <w:webHidden/>
              </w:rPr>
              <w:fldChar w:fldCharType="separate"/>
            </w:r>
            <w:r w:rsidR="00260629" w:rsidRPr="00610B1B">
              <w:rPr>
                <w:noProof/>
                <w:webHidden/>
              </w:rPr>
              <w:t>336</w:t>
            </w:r>
            <w:r w:rsidR="00260629" w:rsidRPr="00610B1B">
              <w:rPr>
                <w:noProof/>
                <w:webHidden/>
              </w:rPr>
              <w:fldChar w:fldCharType="end"/>
            </w:r>
          </w:hyperlink>
        </w:p>
        <w:p w14:paraId="4FEBC352" w14:textId="0E0A5AEF" w:rsidR="00260629" w:rsidRPr="00610B1B" w:rsidRDefault="00DB227B" w:rsidP="00FE3E84">
          <w:pPr>
            <w:pStyle w:val="TOC3"/>
            <w:rPr>
              <w:noProof/>
              <w:lang w:val="en-US" w:eastAsia="en-US"/>
            </w:rPr>
          </w:pPr>
          <w:hyperlink w:anchor="_Toc83391444" w:history="1">
            <w:r w:rsidR="00260629" w:rsidRPr="00610B1B">
              <w:rPr>
                <w:rStyle w:val="Hyperlink"/>
                <w:rFonts w:ascii="Times New Roman" w:hAnsi="Times New Roman"/>
                <w:noProof/>
                <w:lang w:bidi="hi-IN"/>
              </w:rPr>
              <w:t>7.4.2. Социално-икономически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_Toc83391444 \h </w:instrText>
            </w:r>
            <w:r w:rsidR="00260629" w:rsidRPr="00610B1B">
              <w:rPr>
                <w:noProof/>
                <w:webHidden/>
              </w:rPr>
            </w:r>
            <w:r w:rsidR="00260629" w:rsidRPr="00610B1B">
              <w:rPr>
                <w:noProof/>
                <w:webHidden/>
              </w:rPr>
              <w:fldChar w:fldCharType="separate"/>
            </w:r>
            <w:r w:rsidR="00260629" w:rsidRPr="00610B1B">
              <w:rPr>
                <w:noProof/>
                <w:webHidden/>
              </w:rPr>
              <w:t>337</w:t>
            </w:r>
            <w:r w:rsidR="00260629" w:rsidRPr="00610B1B">
              <w:rPr>
                <w:noProof/>
                <w:webHidden/>
              </w:rPr>
              <w:fldChar w:fldCharType="end"/>
            </w:r>
          </w:hyperlink>
        </w:p>
        <w:p w14:paraId="22B0FD2E" w14:textId="36929228" w:rsidR="00260629" w:rsidRPr="00610B1B" w:rsidRDefault="00DB227B" w:rsidP="00FE3E84">
          <w:pPr>
            <w:pStyle w:val="TOC3"/>
            <w:rPr>
              <w:noProof/>
              <w:lang w:val="en-US" w:eastAsia="en-US"/>
            </w:rPr>
          </w:pPr>
          <w:hyperlink w:anchor="_Toc83391445" w:history="1">
            <w:r w:rsidR="00260629" w:rsidRPr="00610B1B">
              <w:rPr>
                <w:rStyle w:val="Hyperlink"/>
                <w:rFonts w:ascii="Times New Roman" w:hAnsi="Times New Roman"/>
                <w:noProof/>
                <w:lang w:bidi="hi-IN"/>
              </w:rPr>
              <w:t>7.4.3. Екологични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_Toc83391445 \h </w:instrText>
            </w:r>
            <w:r w:rsidR="00260629" w:rsidRPr="00610B1B">
              <w:rPr>
                <w:noProof/>
                <w:webHidden/>
              </w:rPr>
            </w:r>
            <w:r w:rsidR="00260629" w:rsidRPr="00610B1B">
              <w:rPr>
                <w:noProof/>
                <w:webHidden/>
              </w:rPr>
              <w:fldChar w:fldCharType="separate"/>
            </w:r>
            <w:r w:rsidR="00260629" w:rsidRPr="00610B1B">
              <w:rPr>
                <w:noProof/>
                <w:webHidden/>
              </w:rPr>
              <w:t>339</w:t>
            </w:r>
            <w:r w:rsidR="00260629" w:rsidRPr="00610B1B">
              <w:rPr>
                <w:noProof/>
                <w:webHidden/>
              </w:rPr>
              <w:fldChar w:fldCharType="end"/>
            </w:r>
          </w:hyperlink>
        </w:p>
        <w:p w14:paraId="7AED7FC3" w14:textId="43BB05D3"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46" w:history="1">
            <w:r w:rsidR="00260629" w:rsidRPr="00610B1B">
              <w:rPr>
                <w:rStyle w:val="Hyperlink"/>
                <w:rFonts w:cs="Times New Roman"/>
                <w:noProof/>
                <w:sz w:val="22"/>
                <w:szCs w:val="22"/>
              </w:rPr>
              <w:t>8. ПУБЛИЧНИ КОНСУЛТАЦИИ И ОБЩЕСТВЕНИ ОБСЪЖДАНИЯ</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_Toc83391446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342</w:t>
            </w:r>
            <w:r w:rsidR="00260629" w:rsidRPr="00610B1B">
              <w:rPr>
                <w:rFonts w:cs="Times New Roman"/>
                <w:noProof/>
                <w:webHidden/>
                <w:sz w:val="22"/>
                <w:szCs w:val="22"/>
              </w:rPr>
              <w:fldChar w:fldCharType="end"/>
            </w:r>
          </w:hyperlink>
        </w:p>
        <w:p w14:paraId="044B4292" w14:textId="2F2038DC" w:rsidR="00260629" w:rsidRPr="00610B1B" w:rsidRDefault="00DB227B" w:rsidP="00E8347C">
          <w:pPr>
            <w:pStyle w:val="TOC2"/>
            <w:spacing w:afterLines="60" w:after="144"/>
            <w:rPr>
              <w:rFonts w:eastAsiaTheme="minorEastAsia"/>
              <w:lang w:val="en-US" w:eastAsia="en-US" w:bidi="ar-SA"/>
            </w:rPr>
          </w:pPr>
          <w:hyperlink w:anchor="_Toc83391447" w:history="1">
            <w:r w:rsidR="00260629" w:rsidRPr="00610B1B">
              <w:rPr>
                <w:rStyle w:val="Hyperlink"/>
              </w:rPr>
              <w:t>8.1. Идентифициране на заинтересованите страни</w:t>
            </w:r>
            <w:r w:rsidR="00260629" w:rsidRPr="00610B1B">
              <w:rPr>
                <w:webHidden/>
              </w:rPr>
              <w:tab/>
            </w:r>
            <w:r w:rsidR="00260629" w:rsidRPr="00610B1B">
              <w:rPr>
                <w:webHidden/>
              </w:rPr>
              <w:fldChar w:fldCharType="begin"/>
            </w:r>
            <w:r w:rsidR="00260629" w:rsidRPr="00610B1B">
              <w:rPr>
                <w:webHidden/>
              </w:rPr>
              <w:instrText xml:space="preserve"> PAGEREF _Toc83391447 \h </w:instrText>
            </w:r>
            <w:r w:rsidR="00260629" w:rsidRPr="00610B1B">
              <w:rPr>
                <w:webHidden/>
              </w:rPr>
            </w:r>
            <w:r w:rsidR="00260629" w:rsidRPr="00610B1B">
              <w:rPr>
                <w:webHidden/>
              </w:rPr>
              <w:fldChar w:fldCharType="separate"/>
            </w:r>
            <w:r w:rsidR="00260629" w:rsidRPr="00610B1B">
              <w:rPr>
                <w:webHidden/>
              </w:rPr>
              <w:t>344</w:t>
            </w:r>
            <w:r w:rsidR="00260629" w:rsidRPr="00610B1B">
              <w:rPr>
                <w:webHidden/>
              </w:rPr>
              <w:fldChar w:fldCharType="end"/>
            </w:r>
          </w:hyperlink>
        </w:p>
        <w:p w14:paraId="56458FB6" w14:textId="325F0B28" w:rsidR="00260629" w:rsidRPr="00610B1B" w:rsidRDefault="00DB227B" w:rsidP="00E8347C">
          <w:pPr>
            <w:pStyle w:val="TOC2"/>
            <w:spacing w:afterLines="60" w:after="144"/>
            <w:rPr>
              <w:rFonts w:eastAsiaTheme="minorEastAsia"/>
              <w:lang w:val="en-US" w:eastAsia="en-US" w:bidi="ar-SA"/>
            </w:rPr>
          </w:pPr>
          <w:hyperlink w:anchor="_Toc83391448" w:history="1">
            <w:r w:rsidR="00260629" w:rsidRPr="00610B1B">
              <w:rPr>
                <w:rStyle w:val="Hyperlink"/>
              </w:rPr>
              <w:t>8.2. Резултати от проведени дълбочинни интервюта</w:t>
            </w:r>
            <w:r w:rsidR="00260629" w:rsidRPr="00610B1B">
              <w:rPr>
                <w:webHidden/>
              </w:rPr>
              <w:tab/>
            </w:r>
            <w:r w:rsidR="00260629" w:rsidRPr="00610B1B">
              <w:rPr>
                <w:webHidden/>
              </w:rPr>
              <w:fldChar w:fldCharType="begin"/>
            </w:r>
            <w:r w:rsidR="00260629" w:rsidRPr="00610B1B">
              <w:rPr>
                <w:webHidden/>
              </w:rPr>
              <w:instrText xml:space="preserve"> PAGEREF _Toc83391448 \h </w:instrText>
            </w:r>
            <w:r w:rsidR="00260629" w:rsidRPr="00610B1B">
              <w:rPr>
                <w:webHidden/>
              </w:rPr>
            </w:r>
            <w:r w:rsidR="00260629" w:rsidRPr="00610B1B">
              <w:rPr>
                <w:webHidden/>
              </w:rPr>
              <w:fldChar w:fldCharType="separate"/>
            </w:r>
            <w:r w:rsidR="00260629" w:rsidRPr="00610B1B">
              <w:rPr>
                <w:webHidden/>
              </w:rPr>
              <w:t>346</w:t>
            </w:r>
            <w:r w:rsidR="00260629" w:rsidRPr="00610B1B">
              <w:rPr>
                <w:webHidden/>
              </w:rPr>
              <w:fldChar w:fldCharType="end"/>
            </w:r>
          </w:hyperlink>
        </w:p>
        <w:p w14:paraId="45A72D8E" w14:textId="7E2DD0E2" w:rsidR="00260629" w:rsidRPr="00610B1B" w:rsidRDefault="00DB227B" w:rsidP="00FE3E84">
          <w:pPr>
            <w:pStyle w:val="TOC3"/>
            <w:rPr>
              <w:noProof/>
              <w:lang w:val="en-US" w:eastAsia="en-US"/>
            </w:rPr>
          </w:pPr>
          <w:hyperlink w:anchor="_Toc83391449" w:history="1">
            <w:r w:rsidR="00260629" w:rsidRPr="00610B1B">
              <w:rPr>
                <w:rStyle w:val="Hyperlink"/>
                <w:rFonts w:ascii="Times New Roman" w:hAnsi="Times New Roman"/>
                <w:noProof/>
                <w:lang w:bidi="hi-IN"/>
              </w:rPr>
              <w:t>8.2.1. Оценка на настоящата ситуация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_Toc83391449 \h </w:instrText>
            </w:r>
            <w:r w:rsidR="00260629" w:rsidRPr="00610B1B">
              <w:rPr>
                <w:noProof/>
                <w:webHidden/>
              </w:rPr>
            </w:r>
            <w:r w:rsidR="00260629" w:rsidRPr="00610B1B">
              <w:rPr>
                <w:noProof/>
                <w:webHidden/>
              </w:rPr>
              <w:fldChar w:fldCharType="separate"/>
            </w:r>
            <w:r w:rsidR="00260629" w:rsidRPr="00610B1B">
              <w:rPr>
                <w:noProof/>
                <w:webHidden/>
              </w:rPr>
              <w:t>346</w:t>
            </w:r>
            <w:r w:rsidR="00260629" w:rsidRPr="00610B1B">
              <w:rPr>
                <w:noProof/>
                <w:webHidden/>
              </w:rPr>
              <w:fldChar w:fldCharType="end"/>
            </w:r>
          </w:hyperlink>
        </w:p>
        <w:p w14:paraId="398B84C4" w14:textId="183C1773" w:rsidR="00260629" w:rsidRPr="00610B1B" w:rsidRDefault="00DB227B" w:rsidP="00FE3E84">
          <w:pPr>
            <w:pStyle w:val="TOC3"/>
            <w:rPr>
              <w:noProof/>
              <w:lang w:val="en-US" w:eastAsia="en-US"/>
            </w:rPr>
          </w:pPr>
          <w:hyperlink w:anchor="_Toc83391450" w:history="1">
            <w:r w:rsidR="00260629" w:rsidRPr="00610B1B">
              <w:rPr>
                <w:rStyle w:val="Hyperlink"/>
                <w:rFonts w:ascii="Times New Roman" w:hAnsi="Times New Roman"/>
                <w:noProof/>
                <w:lang w:bidi="hi-IN"/>
              </w:rPr>
              <w:t>8.2.2. Теми, свързани с Морския пространствен план</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_Toc83391450 \h </w:instrText>
            </w:r>
            <w:r w:rsidR="00260629" w:rsidRPr="00610B1B">
              <w:rPr>
                <w:noProof/>
                <w:webHidden/>
              </w:rPr>
            </w:r>
            <w:r w:rsidR="00260629" w:rsidRPr="00610B1B">
              <w:rPr>
                <w:noProof/>
                <w:webHidden/>
              </w:rPr>
              <w:fldChar w:fldCharType="separate"/>
            </w:r>
            <w:r w:rsidR="00260629" w:rsidRPr="00610B1B">
              <w:rPr>
                <w:noProof/>
                <w:webHidden/>
              </w:rPr>
              <w:t>349</w:t>
            </w:r>
            <w:r w:rsidR="00260629" w:rsidRPr="00610B1B">
              <w:rPr>
                <w:noProof/>
                <w:webHidden/>
              </w:rPr>
              <w:fldChar w:fldCharType="end"/>
            </w:r>
          </w:hyperlink>
        </w:p>
        <w:p w14:paraId="3871276C" w14:textId="0CAE35F2" w:rsidR="00260629" w:rsidRPr="00610B1B" w:rsidRDefault="00DB227B" w:rsidP="00E8347C">
          <w:pPr>
            <w:pStyle w:val="TOC2"/>
            <w:spacing w:afterLines="60" w:after="144"/>
            <w:rPr>
              <w:rFonts w:eastAsiaTheme="minorEastAsia"/>
              <w:lang w:val="en-US" w:eastAsia="en-US" w:bidi="ar-SA"/>
            </w:rPr>
          </w:pPr>
          <w:hyperlink w:anchor="_Toc83391451" w:history="1">
            <w:r w:rsidR="00260629" w:rsidRPr="00610B1B">
              <w:rPr>
                <w:rStyle w:val="Hyperlink"/>
              </w:rPr>
              <w:t>8.3. Резултати от интердисциплинарен семинар</w:t>
            </w:r>
            <w:r w:rsidR="00260629" w:rsidRPr="00610B1B">
              <w:rPr>
                <w:webHidden/>
              </w:rPr>
              <w:tab/>
            </w:r>
            <w:r w:rsidR="00260629" w:rsidRPr="00610B1B">
              <w:rPr>
                <w:webHidden/>
              </w:rPr>
              <w:fldChar w:fldCharType="begin"/>
            </w:r>
            <w:r w:rsidR="00260629" w:rsidRPr="00610B1B">
              <w:rPr>
                <w:webHidden/>
              </w:rPr>
              <w:instrText xml:space="preserve"> PAGEREF _Toc83391451 \h </w:instrText>
            </w:r>
            <w:r w:rsidR="00260629" w:rsidRPr="00610B1B">
              <w:rPr>
                <w:webHidden/>
              </w:rPr>
            </w:r>
            <w:r w:rsidR="00260629" w:rsidRPr="00610B1B">
              <w:rPr>
                <w:webHidden/>
              </w:rPr>
              <w:fldChar w:fldCharType="separate"/>
            </w:r>
            <w:r w:rsidR="00260629" w:rsidRPr="00610B1B">
              <w:rPr>
                <w:webHidden/>
              </w:rPr>
              <w:t>355</w:t>
            </w:r>
            <w:r w:rsidR="00260629" w:rsidRPr="00610B1B">
              <w:rPr>
                <w:webHidden/>
              </w:rPr>
              <w:fldChar w:fldCharType="end"/>
            </w:r>
          </w:hyperlink>
        </w:p>
        <w:p w14:paraId="68023A5E" w14:textId="5E6E09C0" w:rsidR="00260629" w:rsidRPr="00610B1B" w:rsidRDefault="00DB227B" w:rsidP="00E8347C">
          <w:pPr>
            <w:pStyle w:val="TOC2"/>
            <w:spacing w:afterLines="60" w:after="144"/>
            <w:rPr>
              <w:rFonts w:eastAsiaTheme="minorEastAsia"/>
              <w:lang w:val="en-US" w:eastAsia="en-US" w:bidi="ar-SA"/>
            </w:rPr>
          </w:pPr>
          <w:hyperlink w:anchor="_Toc83391452" w:history="1">
            <w:r w:rsidR="00260629" w:rsidRPr="00610B1B">
              <w:rPr>
                <w:rStyle w:val="Hyperlink"/>
              </w:rPr>
              <w:t>8.4. Публични консултации и обществени обсъждания</w:t>
            </w:r>
            <w:r w:rsidR="00260629" w:rsidRPr="00610B1B">
              <w:rPr>
                <w:webHidden/>
              </w:rPr>
              <w:tab/>
            </w:r>
            <w:r w:rsidR="00260629" w:rsidRPr="00610B1B">
              <w:rPr>
                <w:webHidden/>
              </w:rPr>
              <w:fldChar w:fldCharType="begin"/>
            </w:r>
            <w:r w:rsidR="00260629" w:rsidRPr="00610B1B">
              <w:rPr>
                <w:webHidden/>
              </w:rPr>
              <w:instrText xml:space="preserve"> PAGEREF _Toc83391452 \h </w:instrText>
            </w:r>
            <w:r w:rsidR="00260629" w:rsidRPr="00610B1B">
              <w:rPr>
                <w:webHidden/>
              </w:rPr>
            </w:r>
            <w:r w:rsidR="00260629" w:rsidRPr="00610B1B">
              <w:rPr>
                <w:webHidden/>
              </w:rPr>
              <w:fldChar w:fldCharType="separate"/>
            </w:r>
            <w:r w:rsidR="00260629" w:rsidRPr="00610B1B">
              <w:rPr>
                <w:webHidden/>
              </w:rPr>
              <w:t>358</w:t>
            </w:r>
            <w:r w:rsidR="00260629" w:rsidRPr="00610B1B">
              <w:rPr>
                <w:webHidden/>
              </w:rPr>
              <w:fldChar w:fldCharType="end"/>
            </w:r>
          </w:hyperlink>
        </w:p>
        <w:p w14:paraId="388603B6" w14:textId="0A69A77E"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53" w:history="1">
            <w:r w:rsidR="00260629" w:rsidRPr="00610B1B">
              <w:rPr>
                <w:rStyle w:val="Hyperlink"/>
                <w:rFonts w:cs="Times New Roman"/>
                <w:noProof/>
                <w:sz w:val="22"/>
                <w:szCs w:val="22"/>
              </w:rPr>
              <w:t>9. ЗАКЛЮЧЕНИЕ</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_Toc83391453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360</w:t>
            </w:r>
            <w:r w:rsidR="00260629" w:rsidRPr="00610B1B">
              <w:rPr>
                <w:rFonts w:cs="Times New Roman"/>
                <w:noProof/>
                <w:webHidden/>
                <w:sz w:val="22"/>
                <w:szCs w:val="22"/>
              </w:rPr>
              <w:fldChar w:fldCharType="end"/>
            </w:r>
          </w:hyperlink>
        </w:p>
        <w:p w14:paraId="0849359C" w14:textId="526B985F"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54" w:history="1">
            <w:r w:rsidR="00260629" w:rsidRPr="00610B1B">
              <w:rPr>
                <w:rStyle w:val="Hyperlink"/>
                <w:rFonts w:cs="Times New Roman"/>
                <w:noProof/>
                <w:sz w:val="22"/>
                <w:szCs w:val="22"/>
              </w:rPr>
              <w:t>10. ИЗПОЛЗВАНИ ТЕРМИНИ</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_Toc83391454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361</w:t>
            </w:r>
            <w:r w:rsidR="00260629" w:rsidRPr="00610B1B">
              <w:rPr>
                <w:rFonts w:cs="Times New Roman"/>
                <w:noProof/>
                <w:webHidden/>
                <w:sz w:val="22"/>
                <w:szCs w:val="22"/>
              </w:rPr>
              <w:fldChar w:fldCharType="end"/>
            </w:r>
          </w:hyperlink>
        </w:p>
        <w:p w14:paraId="7B9A6900" w14:textId="21BDBE9E"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55" w:history="1">
            <w:r w:rsidR="00260629" w:rsidRPr="00610B1B">
              <w:rPr>
                <w:rStyle w:val="Hyperlink"/>
                <w:rFonts w:cs="Times New Roman"/>
                <w:noProof/>
                <w:sz w:val="22"/>
                <w:szCs w:val="22"/>
              </w:rPr>
              <w:t>11. ИЗТОЧНИЦИ НА ИНФОРМАЦИЯ</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_Toc83391455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363</w:t>
            </w:r>
            <w:r w:rsidR="00260629" w:rsidRPr="00610B1B">
              <w:rPr>
                <w:rFonts w:cs="Times New Roman"/>
                <w:noProof/>
                <w:webHidden/>
                <w:sz w:val="22"/>
                <w:szCs w:val="22"/>
              </w:rPr>
              <w:fldChar w:fldCharType="end"/>
            </w:r>
          </w:hyperlink>
        </w:p>
        <w:p w14:paraId="6DBB2234" w14:textId="33B8C6CA" w:rsidR="00260629" w:rsidRPr="00610B1B" w:rsidRDefault="00DB227B" w:rsidP="00E8347C">
          <w:pPr>
            <w:pStyle w:val="TOC2"/>
            <w:spacing w:afterLines="60" w:after="144"/>
            <w:rPr>
              <w:rFonts w:eastAsiaTheme="minorEastAsia"/>
              <w:lang w:val="en-US" w:eastAsia="en-US" w:bidi="ar-SA"/>
            </w:rPr>
          </w:pPr>
          <w:hyperlink w:anchor="_Toc83391456" w:history="1">
            <w:r w:rsidR="00260629" w:rsidRPr="00610B1B">
              <w:rPr>
                <w:rStyle w:val="Hyperlink"/>
              </w:rPr>
              <w:t>11.1. Международни документи</w:t>
            </w:r>
            <w:r w:rsidR="00260629" w:rsidRPr="00610B1B">
              <w:rPr>
                <w:webHidden/>
              </w:rPr>
              <w:tab/>
            </w:r>
            <w:r w:rsidR="00260629" w:rsidRPr="00610B1B">
              <w:rPr>
                <w:webHidden/>
              </w:rPr>
              <w:fldChar w:fldCharType="begin"/>
            </w:r>
            <w:r w:rsidR="00260629" w:rsidRPr="00610B1B">
              <w:rPr>
                <w:webHidden/>
              </w:rPr>
              <w:instrText xml:space="preserve"> PAGEREF _Toc83391456 \h </w:instrText>
            </w:r>
            <w:r w:rsidR="00260629" w:rsidRPr="00610B1B">
              <w:rPr>
                <w:webHidden/>
              </w:rPr>
            </w:r>
            <w:r w:rsidR="00260629" w:rsidRPr="00610B1B">
              <w:rPr>
                <w:webHidden/>
              </w:rPr>
              <w:fldChar w:fldCharType="separate"/>
            </w:r>
            <w:r w:rsidR="00260629" w:rsidRPr="00610B1B">
              <w:rPr>
                <w:webHidden/>
              </w:rPr>
              <w:t>363</w:t>
            </w:r>
            <w:r w:rsidR="00260629" w:rsidRPr="00610B1B">
              <w:rPr>
                <w:webHidden/>
              </w:rPr>
              <w:fldChar w:fldCharType="end"/>
            </w:r>
          </w:hyperlink>
        </w:p>
        <w:p w14:paraId="3F1C12D0" w14:textId="7A962CA3" w:rsidR="00260629" w:rsidRPr="00610B1B" w:rsidRDefault="00DB227B" w:rsidP="00E8347C">
          <w:pPr>
            <w:pStyle w:val="TOC2"/>
            <w:spacing w:afterLines="60" w:after="144"/>
            <w:rPr>
              <w:rFonts w:eastAsiaTheme="minorEastAsia"/>
              <w:lang w:val="en-US" w:eastAsia="en-US" w:bidi="ar-SA"/>
            </w:rPr>
          </w:pPr>
          <w:hyperlink w:anchor="_Toc83391457" w:history="1">
            <w:r w:rsidR="00260629" w:rsidRPr="00610B1B">
              <w:rPr>
                <w:rStyle w:val="Hyperlink"/>
              </w:rPr>
              <w:t>11.2. Документи на Европейския съюз</w:t>
            </w:r>
            <w:r w:rsidR="00260629" w:rsidRPr="00610B1B">
              <w:rPr>
                <w:webHidden/>
              </w:rPr>
              <w:tab/>
            </w:r>
            <w:r w:rsidR="00260629" w:rsidRPr="00610B1B">
              <w:rPr>
                <w:webHidden/>
              </w:rPr>
              <w:fldChar w:fldCharType="begin"/>
            </w:r>
            <w:r w:rsidR="00260629" w:rsidRPr="00610B1B">
              <w:rPr>
                <w:webHidden/>
              </w:rPr>
              <w:instrText xml:space="preserve"> PAGEREF _Toc83391457 \h </w:instrText>
            </w:r>
            <w:r w:rsidR="00260629" w:rsidRPr="00610B1B">
              <w:rPr>
                <w:webHidden/>
              </w:rPr>
            </w:r>
            <w:r w:rsidR="00260629" w:rsidRPr="00610B1B">
              <w:rPr>
                <w:webHidden/>
              </w:rPr>
              <w:fldChar w:fldCharType="separate"/>
            </w:r>
            <w:r w:rsidR="00260629" w:rsidRPr="00610B1B">
              <w:rPr>
                <w:webHidden/>
              </w:rPr>
              <w:t>364</w:t>
            </w:r>
            <w:r w:rsidR="00260629" w:rsidRPr="00610B1B">
              <w:rPr>
                <w:webHidden/>
              </w:rPr>
              <w:fldChar w:fldCharType="end"/>
            </w:r>
          </w:hyperlink>
        </w:p>
        <w:p w14:paraId="330A7B06" w14:textId="0F7BB104" w:rsidR="00260629" w:rsidRPr="00610B1B" w:rsidRDefault="00DB227B" w:rsidP="00E8347C">
          <w:pPr>
            <w:pStyle w:val="TOC2"/>
            <w:spacing w:afterLines="60" w:after="144"/>
            <w:rPr>
              <w:rFonts w:eastAsiaTheme="minorEastAsia"/>
              <w:lang w:val="en-US" w:eastAsia="en-US" w:bidi="ar-SA"/>
            </w:rPr>
          </w:pPr>
          <w:hyperlink w:anchor="_Toc83391458" w:history="1">
            <w:r w:rsidR="00260629" w:rsidRPr="00610B1B">
              <w:rPr>
                <w:rStyle w:val="Hyperlink"/>
              </w:rPr>
              <w:t>11.3. Национални законодателни документи</w:t>
            </w:r>
            <w:r w:rsidR="00260629" w:rsidRPr="00610B1B">
              <w:rPr>
                <w:webHidden/>
              </w:rPr>
              <w:tab/>
            </w:r>
            <w:r w:rsidR="00260629" w:rsidRPr="00610B1B">
              <w:rPr>
                <w:webHidden/>
              </w:rPr>
              <w:fldChar w:fldCharType="begin"/>
            </w:r>
            <w:r w:rsidR="00260629" w:rsidRPr="00610B1B">
              <w:rPr>
                <w:webHidden/>
              </w:rPr>
              <w:instrText xml:space="preserve"> PAGEREF _Toc83391458 \h </w:instrText>
            </w:r>
            <w:r w:rsidR="00260629" w:rsidRPr="00610B1B">
              <w:rPr>
                <w:webHidden/>
              </w:rPr>
            </w:r>
            <w:r w:rsidR="00260629" w:rsidRPr="00610B1B">
              <w:rPr>
                <w:webHidden/>
              </w:rPr>
              <w:fldChar w:fldCharType="separate"/>
            </w:r>
            <w:r w:rsidR="00260629" w:rsidRPr="00610B1B">
              <w:rPr>
                <w:webHidden/>
              </w:rPr>
              <w:t>368</w:t>
            </w:r>
            <w:r w:rsidR="00260629" w:rsidRPr="00610B1B">
              <w:rPr>
                <w:webHidden/>
              </w:rPr>
              <w:fldChar w:fldCharType="end"/>
            </w:r>
          </w:hyperlink>
        </w:p>
        <w:p w14:paraId="341E5744" w14:textId="5534A0AD" w:rsidR="00260629" w:rsidRPr="00610B1B" w:rsidRDefault="00DB227B" w:rsidP="00E8347C">
          <w:pPr>
            <w:pStyle w:val="TOC2"/>
            <w:spacing w:afterLines="60" w:after="144"/>
            <w:rPr>
              <w:rFonts w:eastAsiaTheme="minorEastAsia"/>
              <w:lang w:val="en-US" w:eastAsia="en-US" w:bidi="ar-SA"/>
            </w:rPr>
          </w:pPr>
          <w:hyperlink w:anchor="_Toc83391459" w:history="1">
            <w:r w:rsidR="00260629" w:rsidRPr="00610B1B">
              <w:rPr>
                <w:rStyle w:val="Hyperlink"/>
              </w:rPr>
              <w:t>11.4. Програмни и стратeгически документи</w:t>
            </w:r>
            <w:r w:rsidR="00260629" w:rsidRPr="00610B1B">
              <w:rPr>
                <w:webHidden/>
              </w:rPr>
              <w:tab/>
            </w:r>
            <w:r w:rsidR="00260629" w:rsidRPr="00610B1B">
              <w:rPr>
                <w:webHidden/>
              </w:rPr>
              <w:fldChar w:fldCharType="begin"/>
            </w:r>
            <w:r w:rsidR="00260629" w:rsidRPr="00610B1B">
              <w:rPr>
                <w:webHidden/>
              </w:rPr>
              <w:instrText xml:space="preserve"> PAGEREF _Toc83391459 \h </w:instrText>
            </w:r>
            <w:r w:rsidR="00260629" w:rsidRPr="00610B1B">
              <w:rPr>
                <w:webHidden/>
              </w:rPr>
            </w:r>
            <w:r w:rsidR="00260629" w:rsidRPr="00610B1B">
              <w:rPr>
                <w:webHidden/>
              </w:rPr>
              <w:fldChar w:fldCharType="separate"/>
            </w:r>
            <w:r w:rsidR="00260629" w:rsidRPr="00610B1B">
              <w:rPr>
                <w:webHidden/>
              </w:rPr>
              <w:t>370</w:t>
            </w:r>
            <w:r w:rsidR="00260629" w:rsidRPr="00610B1B">
              <w:rPr>
                <w:webHidden/>
              </w:rPr>
              <w:fldChar w:fldCharType="end"/>
            </w:r>
          </w:hyperlink>
        </w:p>
        <w:p w14:paraId="0B06AD7D" w14:textId="363399C5" w:rsidR="00260629" w:rsidRPr="00610B1B" w:rsidRDefault="00DB227B" w:rsidP="00E8347C">
          <w:pPr>
            <w:pStyle w:val="TOC2"/>
            <w:spacing w:afterLines="60" w:after="144"/>
            <w:rPr>
              <w:rFonts w:eastAsiaTheme="minorEastAsia"/>
              <w:lang w:val="en-US" w:eastAsia="en-US" w:bidi="ar-SA"/>
            </w:rPr>
          </w:pPr>
          <w:hyperlink w:anchor="_Toc83391460" w:history="1">
            <w:r w:rsidR="00260629" w:rsidRPr="00610B1B">
              <w:rPr>
                <w:rStyle w:val="Hyperlink"/>
              </w:rPr>
              <w:t>11.5. Други</w:t>
            </w:r>
            <w:r w:rsidR="00260629" w:rsidRPr="00610B1B">
              <w:rPr>
                <w:webHidden/>
              </w:rPr>
              <w:tab/>
            </w:r>
            <w:r w:rsidR="00260629" w:rsidRPr="00610B1B">
              <w:rPr>
                <w:webHidden/>
              </w:rPr>
              <w:fldChar w:fldCharType="begin"/>
            </w:r>
            <w:r w:rsidR="00260629" w:rsidRPr="00610B1B">
              <w:rPr>
                <w:webHidden/>
              </w:rPr>
              <w:instrText xml:space="preserve"> PAGEREF _Toc83391460 \h </w:instrText>
            </w:r>
            <w:r w:rsidR="00260629" w:rsidRPr="00610B1B">
              <w:rPr>
                <w:webHidden/>
              </w:rPr>
            </w:r>
            <w:r w:rsidR="00260629" w:rsidRPr="00610B1B">
              <w:rPr>
                <w:webHidden/>
              </w:rPr>
              <w:fldChar w:fldCharType="separate"/>
            </w:r>
            <w:r w:rsidR="00260629" w:rsidRPr="00610B1B">
              <w:rPr>
                <w:webHidden/>
              </w:rPr>
              <w:t>374</w:t>
            </w:r>
            <w:r w:rsidR="00260629" w:rsidRPr="00610B1B">
              <w:rPr>
                <w:webHidden/>
              </w:rPr>
              <w:fldChar w:fldCharType="end"/>
            </w:r>
          </w:hyperlink>
        </w:p>
        <w:p w14:paraId="1A3A4976" w14:textId="18C5CF07" w:rsidR="00260629" w:rsidRPr="00610B1B" w:rsidRDefault="00DB227B" w:rsidP="00E8347C">
          <w:pPr>
            <w:pStyle w:val="TOC2"/>
            <w:spacing w:afterLines="60" w:after="144"/>
            <w:rPr>
              <w:rFonts w:eastAsiaTheme="minorEastAsia"/>
              <w:lang w:val="en-US" w:eastAsia="en-US" w:bidi="ar-SA"/>
            </w:rPr>
          </w:pPr>
          <w:hyperlink w:anchor="_Toc83391461" w:history="1">
            <w:r w:rsidR="00260629" w:rsidRPr="00610B1B">
              <w:rPr>
                <w:rStyle w:val="Hyperlink"/>
              </w:rPr>
              <w:t>11.6. Публикации</w:t>
            </w:r>
            <w:r w:rsidR="00260629" w:rsidRPr="00610B1B">
              <w:rPr>
                <w:webHidden/>
              </w:rPr>
              <w:tab/>
            </w:r>
            <w:r w:rsidR="00260629" w:rsidRPr="00610B1B">
              <w:rPr>
                <w:webHidden/>
              </w:rPr>
              <w:fldChar w:fldCharType="begin"/>
            </w:r>
            <w:r w:rsidR="00260629" w:rsidRPr="00610B1B">
              <w:rPr>
                <w:webHidden/>
              </w:rPr>
              <w:instrText xml:space="preserve"> PAGEREF _Toc83391461 \h </w:instrText>
            </w:r>
            <w:r w:rsidR="00260629" w:rsidRPr="00610B1B">
              <w:rPr>
                <w:webHidden/>
              </w:rPr>
            </w:r>
            <w:r w:rsidR="00260629" w:rsidRPr="00610B1B">
              <w:rPr>
                <w:webHidden/>
              </w:rPr>
              <w:fldChar w:fldCharType="separate"/>
            </w:r>
            <w:r w:rsidR="00260629" w:rsidRPr="00610B1B">
              <w:rPr>
                <w:webHidden/>
              </w:rPr>
              <w:t>375</w:t>
            </w:r>
            <w:r w:rsidR="00260629" w:rsidRPr="00610B1B">
              <w:rPr>
                <w:webHidden/>
              </w:rPr>
              <w:fldChar w:fldCharType="end"/>
            </w:r>
          </w:hyperlink>
        </w:p>
        <w:p w14:paraId="4920FE6C" w14:textId="74E7C92E" w:rsidR="00260629" w:rsidRPr="00610B1B" w:rsidRDefault="00DB227B" w:rsidP="00E8347C">
          <w:pPr>
            <w:pStyle w:val="TOC2"/>
            <w:spacing w:afterLines="60" w:after="144"/>
            <w:rPr>
              <w:rFonts w:eastAsiaTheme="minorEastAsia"/>
              <w:lang w:val="en-US" w:eastAsia="en-US" w:bidi="ar-SA"/>
            </w:rPr>
          </w:pPr>
          <w:hyperlink w:anchor="_Toc83391462" w:history="1">
            <w:r w:rsidR="00260629" w:rsidRPr="00610B1B">
              <w:rPr>
                <w:rStyle w:val="Hyperlink"/>
              </w:rPr>
              <w:t>11.7. Интернет</w:t>
            </w:r>
            <w:r w:rsidR="00260629" w:rsidRPr="00610B1B">
              <w:rPr>
                <w:webHidden/>
              </w:rPr>
              <w:tab/>
            </w:r>
            <w:r w:rsidR="00260629" w:rsidRPr="00610B1B">
              <w:rPr>
                <w:webHidden/>
              </w:rPr>
              <w:fldChar w:fldCharType="begin"/>
            </w:r>
            <w:r w:rsidR="00260629" w:rsidRPr="00610B1B">
              <w:rPr>
                <w:webHidden/>
              </w:rPr>
              <w:instrText xml:space="preserve"> PAGEREF _Toc83391462 \h </w:instrText>
            </w:r>
            <w:r w:rsidR="00260629" w:rsidRPr="00610B1B">
              <w:rPr>
                <w:webHidden/>
              </w:rPr>
            </w:r>
            <w:r w:rsidR="00260629" w:rsidRPr="00610B1B">
              <w:rPr>
                <w:webHidden/>
              </w:rPr>
              <w:fldChar w:fldCharType="separate"/>
            </w:r>
            <w:r w:rsidR="00260629" w:rsidRPr="00610B1B">
              <w:rPr>
                <w:webHidden/>
              </w:rPr>
              <w:t>392</w:t>
            </w:r>
            <w:r w:rsidR="00260629" w:rsidRPr="00610B1B">
              <w:rPr>
                <w:webHidden/>
              </w:rPr>
              <w:fldChar w:fldCharType="end"/>
            </w:r>
          </w:hyperlink>
        </w:p>
        <w:p w14:paraId="11CD44D0" w14:textId="4DF1D591" w:rsidR="00260629" w:rsidRPr="00610B1B" w:rsidRDefault="00DB227B" w:rsidP="00E8347C">
          <w:pPr>
            <w:pStyle w:val="TOC1"/>
            <w:tabs>
              <w:tab w:val="right" w:leader="dot" w:pos="9017"/>
            </w:tabs>
            <w:spacing w:afterLines="60" w:after="144"/>
            <w:rPr>
              <w:rFonts w:eastAsiaTheme="minorEastAsia" w:cs="Times New Roman"/>
              <w:noProof/>
              <w:sz w:val="22"/>
              <w:szCs w:val="22"/>
              <w:lang w:val="en-US" w:eastAsia="en-US" w:bidi="ar-SA"/>
            </w:rPr>
          </w:pPr>
          <w:hyperlink w:anchor="_Toc83391463" w:history="1">
            <w:r w:rsidR="00260629" w:rsidRPr="00610B1B">
              <w:rPr>
                <w:rStyle w:val="Hyperlink"/>
                <w:rFonts w:cs="Times New Roman"/>
                <w:noProof/>
                <w:sz w:val="22"/>
                <w:szCs w:val="22"/>
              </w:rPr>
              <w:t>СПИСЪК НА ЕКСПЕРТИТЕ ЗА РАЗРАБОТВАНЕ НА МППРБ</w:t>
            </w:r>
            <w:r w:rsidR="00260629" w:rsidRPr="00610B1B">
              <w:rPr>
                <w:rFonts w:cs="Times New Roman"/>
                <w:noProof/>
                <w:webHidden/>
                <w:sz w:val="22"/>
                <w:szCs w:val="22"/>
              </w:rPr>
              <w:tab/>
            </w:r>
            <w:r w:rsidR="00260629" w:rsidRPr="00610B1B">
              <w:rPr>
                <w:rFonts w:cs="Times New Roman"/>
                <w:noProof/>
                <w:webHidden/>
                <w:sz w:val="22"/>
                <w:szCs w:val="22"/>
              </w:rPr>
              <w:fldChar w:fldCharType="begin"/>
            </w:r>
            <w:r w:rsidR="00260629" w:rsidRPr="00610B1B">
              <w:rPr>
                <w:rFonts w:cs="Times New Roman"/>
                <w:noProof/>
                <w:webHidden/>
                <w:sz w:val="22"/>
                <w:szCs w:val="22"/>
              </w:rPr>
              <w:instrText xml:space="preserve"> PAGEREF _Toc83391463 \h </w:instrText>
            </w:r>
            <w:r w:rsidR="00260629" w:rsidRPr="00610B1B">
              <w:rPr>
                <w:rFonts w:cs="Times New Roman"/>
                <w:noProof/>
                <w:webHidden/>
                <w:sz w:val="22"/>
                <w:szCs w:val="22"/>
              </w:rPr>
            </w:r>
            <w:r w:rsidR="00260629" w:rsidRPr="00610B1B">
              <w:rPr>
                <w:rFonts w:cs="Times New Roman"/>
                <w:noProof/>
                <w:webHidden/>
                <w:sz w:val="22"/>
                <w:szCs w:val="22"/>
              </w:rPr>
              <w:fldChar w:fldCharType="separate"/>
            </w:r>
            <w:r w:rsidR="00260629" w:rsidRPr="00610B1B">
              <w:rPr>
                <w:rFonts w:cs="Times New Roman"/>
                <w:noProof/>
                <w:webHidden/>
                <w:sz w:val="22"/>
                <w:szCs w:val="22"/>
              </w:rPr>
              <w:t>398</w:t>
            </w:r>
            <w:r w:rsidR="00260629" w:rsidRPr="00610B1B">
              <w:rPr>
                <w:rFonts w:cs="Times New Roman"/>
                <w:noProof/>
                <w:webHidden/>
                <w:sz w:val="22"/>
                <w:szCs w:val="22"/>
              </w:rPr>
              <w:fldChar w:fldCharType="end"/>
            </w:r>
          </w:hyperlink>
        </w:p>
        <w:p w14:paraId="33E0127A" w14:textId="0AD58F4C" w:rsidR="007023E9" w:rsidRPr="00610B1B" w:rsidRDefault="00931C12" w:rsidP="00E8347C">
          <w:pPr>
            <w:pStyle w:val="TOC2"/>
            <w:spacing w:afterLines="60" w:after="144" w:line="240" w:lineRule="auto"/>
            <w:rPr>
              <w:noProof w:val="0"/>
            </w:rPr>
          </w:pPr>
          <w:r w:rsidRPr="00610B1B">
            <w:rPr>
              <w:noProof w:val="0"/>
            </w:rPr>
            <w:fldChar w:fldCharType="end"/>
          </w:r>
          <w:r w:rsidR="007023E9" w:rsidRPr="00610B1B">
            <w:rPr>
              <w:noProof w:val="0"/>
            </w:rPr>
            <w:br w:type="page"/>
          </w:r>
        </w:p>
      </w:sdtContent>
    </w:sdt>
    <w:p w14:paraId="31BCD601" w14:textId="5D9844E7" w:rsidR="00EC7555" w:rsidRPr="00610B1B" w:rsidRDefault="0026507E" w:rsidP="00727372">
      <w:pPr>
        <w:pStyle w:val="Heading1"/>
        <w:spacing w:before="0" w:after="120" w:line="276" w:lineRule="auto"/>
        <w:ind w:right="-153"/>
        <w:rPr>
          <w:rFonts w:cs="Times New Roman"/>
          <w:sz w:val="24"/>
          <w:szCs w:val="24"/>
        </w:rPr>
      </w:pPr>
      <w:bookmarkStart w:id="2" w:name="_Toc83391346"/>
      <w:r w:rsidRPr="00610B1B">
        <w:rPr>
          <w:rFonts w:cs="Times New Roman"/>
        </w:rPr>
        <w:lastRenderedPageBreak/>
        <w:t>СЪКРАЩЕНИЯ</w:t>
      </w:r>
      <w:bookmarkEnd w:id="2"/>
    </w:p>
    <w:p w14:paraId="2ACC0448" w14:textId="792C7A0D"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АГКК</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Агенция по геодезия, кадастър и картография</w:t>
      </w:r>
    </w:p>
    <w:p w14:paraId="20AFE1B7" w14:textId="3A535051" w:rsidR="0026507E" w:rsidRPr="00610B1B" w:rsidRDefault="0026507E"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БАБХ</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Българска агенция по безопасност на храните</w:t>
      </w:r>
    </w:p>
    <w:p w14:paraId="1672F60F" w14:textId="293CF630" w:rsidR="0026507E" w:rsidRPr="00610B1B" w:rsidRDefault="0026507E"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БВП</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Брутен вътрешен продукт</w:t>
      </w:r>
    </w:p>
    <w:p w14:paraId="5356695A" w14:textId="22BD6336" w:rsidR="0026507E" w:rsidRPr="00610B1B" w:rsidRDefault="0026507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БДС</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Брутна добавена стойност</w:t>
      </w:r>
    </w:p>
    <w:p w14:paraId="35147B9C" w14:textId="5693C4F0" w:rsidR="0026507E" w:rsidRPr="00610B1B" w:rsidRDefault="0026507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БДЧР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Басейнова Дирекция „Черноморски район“</w:t>
      </w:r>
    </w:p>
    <w:p w14:paraId="712C81A3" w14:textId="7DF71F79" w:rsidR="00D551EE" w:rsidRPr="00610B1B" w:rsidRDefault="00D551EE"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БЕК</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Биологични елементи за качество</w:t>
      </w:r>
    </w:p>
    <w:p w14:paraId="689B1A54" w14:textId="0C7F6191" w:rsidR="0026507E" w:rsidRPr="00610B1B" w:rsidRDefault="0026507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БКШ</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Български континентален шелф</w:t>
      </w:r>
    </w:p>
    <w:p w14:paraId="214DFDA1" w14:textId="0DCEADDA" w:rsidR="0026507E" w:rsidRPr="00610B1B" w:rsidRDefault="0026507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БМК</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Българска морска камара</w:t>
      </w:r>
    </w:p>
    <w:p w14:paraId="711C0586" w14:textId="38749D8F" w:rsidR="0026507E" w:rsidRPr="00610B1B" w:rsidRDefault="0026507E" w:rsidP="00D32D6A">
      <w:pPr>
        <w:spacing w:after="120"/>
        <w:ind w:left="2160" w:right="-471" w:hanging="2160"/>
        <w:rPr>
          <w:rFonts w:ascii="Times New Roman" w:hAnsi="Times New Roman" w:cs="Times New Roman"/>
          <w:b/>
          <w:sz w:val="24"/>
          <w:szCs w:val="24"/>
          <w:lang w:val="bg-BG"/>
        </w:rPr>
      </w:pPr>
      <w:r w:rsidRPr="00610B1B">
        <w:rPr>
          <w:rFonts w:ascii="Times New Roman" w:hAnsi="Times New Roman" w:cs="Times New Roman"/>
          <w:b/>
          <w:sz w:val="24"/>
          <w:szCs w:val="24"/>
          <w:lang w:val="bg-BG"/>
        </w:rPr>
        <w:t>БНАКК</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Българската национална асоциация по корабостроене и кораборемонт</w:t>
      </w:r>
      <w:r w:rsidRPr="00610B1B">
        <w:rPr>
          <w:rFonts w:ascii="Times New Roman" w:hAnsi="Times New Roman" w:cs="Times New Roman"/>
          <w:b/>
          <w:sz w:val="24"/>
          <w:szCs w:val="24"/>
          <w:lang w:val="bg-BG"/>
        </w:rPr>
        <w:t xml:space="preserve"> </w:t>
      </w:r>
    </w:p>
    <w:p w14:paraId="5B0CC92F" w14:textId="6CCD52A9" w:rsidR="0026507E" w:rsidRPr="00610B1B" w:rsidRDefault="0026507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БЧК</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Българско Черноморско крайбрежие</w:t>
      </w:r>
    </w:p>
    <w:p w14:paraId="33977B5B" w14:textId="1BE903D3"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ВВМУ</w:t>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Висше военноморско училище</w:t>
      </w:r>
    </w:p>
    <w:p w14:paraId="513E0E7C" w14:textId="554474D1"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ВМС</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Военноморски сили</w:t>
      </w:r>
    </w:p>
    <w:p w14:paraId="533F4971" w14:textId="3E42547C" w:rsidR="0026507E" w:rsidRPr="00610B1B" w:rsidRDefault="0026507E" w:rsidP="00D32D6A">
      <w:pPr>
        <w:spacing w:after="120"/>
        <w:ind w:right="-153"/>
        <w:rPr>
          <w:rFonts w:ascii="Times New Roman" w:hAnsi="Times New Roman" w:cs="Times New Roman"/>
          <w:sz w:val="24"/>
          <w:szCs w:val="24"/>
          <w:lang w:val="bg-BG"/>
        </w:rPr>
      </w:pPr>
      <w:r w:rsidRPr="00610B1B">
        <w:rPr>
          <w:rFonts w:ascii="Times New Roman" w:hAnsi="Times New Roman" w:cs="Times New Roman"/>
          <w:b/>
          <w:bCs/>
          <w:sz w:val="24"/>
          <w:szCs w:val="24"/>
          <w:lang w:val="bg-BG"/>
        </w:rPr>
        <w:t>ГРД</w:t>
      </w:r>
      <w:r w:rsidRPr="00610B1B">
        <w:rPr>
          <w:rFonts w:ascii="Times New Roman" w:hAnsi="Times New Roman" w:cs="Times New Roman"/>
          <w:b/>
          <w:bCs/>
          <w:sz w:val="24"/>
          <w:szCs w:val="24"/>
          <w:lang w:val="bg-BG"/>
        </w:rPr>
        <w:tab/>
      </w:r>
      <w:r w:rsidRPr="00610B1B">
        <w:rPr>
          <w:rFonts w:ascii="Times New Roman" w:hAnsi="Times New Roman" w:cs="Times New Roman"/>
          <w:b/>
          <w:bCs/>
          <w:sz w:val="24"/>
          <w:szCs w:val="24"/>
          <w:lang w:val="bg-BG"/>
        </w:rPr>
        <w:tab/>
      </w:r>
      <w:r w:rsidR="00532AF9" w:rsidRPr="00610B1B">
        <w:rPr>
          <w:rFonts w:ascii="Times New Roman" w:hAnsi="Times New Roman" w:cs="Times New Roman"/>
          <w:b/>
          <w:bCs/>
          <w:sz w:val="24"/>
          <w:szCs w:val="24"/>
          <w:lang w:val="bg-BG"/>
        </w:rPr>
        <w:tab/>
      </w:r>
      <w:r w:rsidRPr="00610B1B">
        <w:rPr>
          <w:rFonts w:ascii="Times New Roman" w:hAnsi="Times New Roman" w:cs="Times New Roman"/>
          <w:sz w:val="24"/>
          <w:szCs w:val="24"/>
          <w:lang w:val="bg-BG"/>
        </w:rPr>
        <w:t>Газоразпределително дружество</w:t>
      </w:r>
    </w:p>
    <w:p w14:paraId="1196B1AC" w14:textId="11AFFBBB" w:rsidR="00A77233"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ДВ</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Държавен вестник</w:t>
      </w:r>
    </w:p>
    <w:p w14:paraId="417435FE" w14:textId="2758F0E1"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ДППИ</w:t>
      </w:r>
      <w:r w:rsidRPr="00610B1B">
        <w:rPr>
          <w:rFonts w:ascii="Times New Roman" w:hAnsi="Times New Roman" w:cs="Times New Roman"/>
          <w:b/>
          <w:sz w:val="24"/>
          <w:szCs w:val="24"/>
          <w:lang w:val="bg-BG"/>
        </w:rPr>
        <w:tab/>
      </w:r>
      <w:r w:rsidR="00532AF9"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 xml:space="preserve">Държавно предприятие </w:t>
      </w:r>
      <w:r w:rsidR="009D7952" w:rsidRPr="00610B1B">
        <w:rPr>
          <w:rFonts w:ascii="Times New Roman" w:hAnsi="Times New Roman" w:cs="Times New Roman"/>
          <w:bCs/>
          <w:sz w:val="24"/>
          <w:szCs w:val="24"/>
          <w:lang w:val="bg-BG"/>
        </w:rPr>
        <w:t>Пристанищна</w:t>
      </w:r>
      <w:r w:rsidRPr="00610B1B">
        <w:rPr>
          <w:rFonts w:ascii="Times New Roman" w:hAnsi="Times New Roman" w:cs="Times New Roman"/>
          <w:bCs/>
          <w:sz w:val="24"/>
          <w:szCs w:val="24"/>
          <w:lang w:val="bg-BG"/>
        </w:rPr>
        <w:t xml:space="preserve"> инфраструктура</w:t>
      </w:r>
    </w:p>
    <w:p w14:paraId="7B07C3BD" w14:textId="1A1DA735" w:rsidR="00B50BB2" w:rsidRPr="00610B1B" w:rsidRDefault="00B50BB2"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ДМ</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Директива за местообитанията</w:t>
      </w:r>
    </w:p>
    <w:p w14:paraId="4F2A87CD" w14:textId="7EA449F5" w:rsidR="004517A7" w:rsidRPr="00610B1B" w:rsidRDefault="004517A7"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ДСМОС</w:t>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 xml:space="preserve">Добро състояние на морската околна среда </w:t>
      </w:r>
    </w:p>
    <w:p w14:paraId="1F49F3EC" w14:textId="0FBE14AE" w:rsidR="00A77233"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ЕС</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532AF9"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Европейски съюз</w:t>
      </w:r>
    </w:p>
    <w:p w14:paraId="0A2C0F7C" w14:textId="4A94028F" w:rsidR="008D08D5" w:rsidRPr="00610B1B" w:rsidRDefault="008D08D5"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ЕО</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t>Екологична оценка</w:t>
      </w:r>
    </w:p>
    <w:p w14:paraId="7687EE7C" w14:textId="3822CEEA" w:rsidR="00532AF9" w:rsidRPr="00610B1B" w:rsidRDefault="00532AF9"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ЗБР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t>Закон за биологичното разнообразие</w:t>
      </w:r>
    </w:p>
    <w:p w14:paraId="4366EF3E" w14:textId="7E0CE736" w:rsidR="00532AF9" w:rsidRPr="00610B1B" w:rsidRDefault="00532AF9"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ЗВ</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t>Закон за водите</w:t>
      </w:r>
    </w:p>
    <w:p w14:paraId="500EEF30" w14:textId="39C09CF8" w:rsidR="00532AF9" w:rsidRPr="00610B1B" w:rsidRDefault="00532AF9"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ЗКН</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t>Закон за културното наследство</w:t>
      </w:r>
    </w:p>
    <w:p w14:paraId="46374DEA" w14:textId="77777777" w:rsidR="00532AF9" w:rsidRPr="00610B1B" w:rsidRDefault="00532AF9" w:rsidP="00D32D6A">
      <w:pPr>
        <w:spacing w:after="120"/>
        <w:ind w:left="2160" w:right="-153" w:hanging="2160"/>
        <w:rPr>
          <w:rFonts w:ascii="Times New Roman" w:hAnsi="Times New Roman" w:cs="Times New Roman"/>
          <w:bCs/>
          <w:sz w:val="24"/>
          <w:szCs w:val="24"/>
          <w:lang w:val="bg-BG"/>
        </w:rPr>
      </w:pPr>
      <w:r w:rsidRPr="00610B1B">
        <w:rPr>
          <w:rFonts w:ascii="Times New Roman" w:hAnsi="Times New Roman" w:cs="Times New Roman"/>
          <w:b/>
          <w:sz w:val="24"/>
          <w:szCs w:val="24"/>
          <w:lang w:val="bg-BG"/>
        </w:rPr>
        <w:t>ЗМПВВППРБ</w:t>
      </w:r>
      <w:r w:rsidRPr="00610B1B">
        <w:rPr>
          <w:rFonts w:ascii="Times New Roman" w:hAnsi="Times New Roman" w:cs="Times New Roman"/>
          <w:bCs/>
          <w:sz w:val="24"/>
          <w:szCs w:val="24"/>
          <w:lang w:val="bg-BG"/>
        </w:rPr>
        <w:tab/>
        <w:t>Закон за морските пространства, вътрешните водни пътища и пристанищата на Република България</w:t>
      </w:r>
    </w:p>
    <w:p w14:paraId="61D511A7" w14:textId="77777777" w:rsidR="008D08D5" w:rsidRPr="00610B1B" w:rsidRDefault="00532AF9" w:rsidP="00D32D6A">
      <w:pPr>
        <w:spacing w:after="120"/>
        <w:ind w:left="2160" w:right="-153" w:hanging="2160"/>
        <w:rPr>
          <w:rFonts w:ascii="Times New Roman" w:hAnsi="Times New Roman" w:cs="Times New Roman"/>
          <w:bCs/>
          <w:sz w:val="24"/>
          <w:szCs w:val="24"/>
          <w:lang w:val="bg-BG"/>
        </w:rPr>
      </w:pPr>
      <w:r w:rsidRPr="00610B1B">
        <w:rPr>
          <w:rFonts w:ascii="Times New Roman" w:hAnsi="Times New Roman" w:cs="Times New Roman"/>
          <w:b/>
          <w:sz w:val="24"/>
          <w:szCs w:val="24"/>
          <w:lang w:val="bg-BG"/>
        </w:rPr>
        <w:t>ЗООС</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Закон за опазване на околната среда</w:t>
      </w:r>
    </w:p>
    <w:p w14:paraId="08621AB1" w14:textId="0F8CF696" w:rsidR="008D08D5" w:rsidRPr="00610B1B" w:rsidRDefault="008D08D5" w:rsidP="00D32D6A">
      <w:pPr>
        <w:spacing w:after="120"/>
        <w:ind w:left="2160" w:right="-153" w:hanging="2160"/>
        <w:rPr>
          <w:rFonts w:ascii="Times New Roman" w:hAnsi="Times New Roman" w:cs="Times New Roman"/>
          <w:b/>
          <w:sz w:val="24"/>
          <w:szCs w:val="24"/>
          <w:lang w:val="bg-BG"/>
        </w:rPr>
      </w:pPr>
      <w:r w:rsidRPr="00610B1B">
        <w:rPr>
          <w:rFonts w:ascii="Times New Roman" w:hAnsi="Times New Roman" w:cs="Times New Roman"/>
          <w:b/>
          <w:sz w:val="24"/>
          <w:szCs w:val="24"/>
          <w:lang w:val="bg-BG"/>
        </w:rPr>
        <w:t>ЗУТ</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Закон за устройство на територията</w:t>
      </w:r>
    </w:p>
    <w:p w14:paraId="4D9583BE" w14:textId="1CB07F02" w:rsidR="00532AF9" w:rsidRPr="00610B1B" w:rsidRDefault="008D08D5" w:rsidP="00D32D6A">
      <w:pPr>
        <w:spacing w:after="120"/>
        <w:ind w:left="2160" w:right="-153" w:hanging="2160"/>
        <w:rPr>
          <w:rFonts w:ascii="Times New Roman" w:hAnsi="Times New Roman" w:cs="Times New Roman"/>
          <w:b/>
          <w:sz w:val="24"/>
          <w:szCs w:val="24"/>
          <w:lang w:val="bg-BG"/>
        </w:rPr>
      </w:pPr>
      <w:r w:rsidRPr="00610B1B">
        <w:rPr>
          <w:rFonts w:ascii="Times New Roman" w:hAnsi="Times New Roman" w:cs="Times New Roman"/>
          <w:b/>
          <w:sz w:val="24"/>
          <w:szCs w:val="24"/>
          <w:lang w:val="bg-BG"/>
        </w:rPr>
        <w:t>ЗУЧК</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 xml:space="preserve">Закон за устройство на Черноморското </w:t>
      </w:r>
      <w:r w:rsidR="005202E5" w:rsidRPr="00610B1B">
        <w:rPr>
          <w:rFonts w:ascii="Times New Roman" w:hAnsi="Times New Roman" w:cs="Times New Roman"/>
          <w:bCs/>
          <w:sz w:val="24"/>
          <w:szCs w:val="24"/>
          <w:lang w:val="bg-BG"/>
        </w:rPr>
        <w:t>крайбрежие</w:t>
      </w:r>
    </w:p>
    <w:p w14:paraId="27F07738" w14:textId="2DDC8F0B"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ИАМА</w:t>
      </w:r>
      <w:r w:rsidRPr="00610B1B">
        <w:rPr>
          <w:rFonts w:ascii="Times New Roman" w:hAnsi="Times New Roman" w:cs="Times New Roman"/>
          <w:b/>
          <w:sz w:val="24"/>
          <w:szCs w:val="24"/>
          <w:lang w:val="bg-BG"/>
        </w:rPr>
        <w:tab/>
      </w:r>
      <w:r w:rsidR="008D08D5"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Изпълнителна агенция „Морска администрация“</w:t>
      </w:r>
    </w:p>
    <w:p w14:paraId="038031A7" w14:textId="01685578" w:rsidR="0081627B" w:rsidRPr="00610B1B" w:rsidRDefault="0081627B"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ИАОС</w:t>
      </w:r>
      <w:r w:rsidR="00A77233" w:rsidRPr="00610B1B">
        <w:rPr>
          <w:rFonts w:ascii="Times New Roman" w:hAnsi="Times New Roman" w:cs="Times New Roman"/>
          <w:b/>
          <w:sz w:val="24"/>
          <w:szCs w:val="24"/>
          <w:lang w:val="bg-BG"/>
        </w:rPr>
        <w:tab/>
      </w:r>
      <w:r w:rsidR="008D08D5" w:rsidRPr="00610B1B">
        <w:rPr>
          <w:rFonts w:ascii="Times New Roman" w:hAnsi="Times New Roman" w:cs="Times New Roman"/>
          <w:b/>
          <w:sz w:val="24"/>
          <w:szCs w:val="24"/>
          <w:lang w:val="bg-BG"/>
        </w:rPr>
        <w:tab/>
      </w:r>
      <w:r w:rsidR="00A77233" w:rsidRPr="00610B1B">
        <w:rPr>
          <w:rFonts w:ascii="Times New Roman" w:hAnsi="Times New Roman" w:cs="Times New Roman"/>
          <w:bCs/>
          <w:sz w:val="24"/>
          <w:szCs w:val="24"/>
          <w:lang w:val="bg-BG"/>
        </w:rPr>
        <w:t>Изпълнителна агенция по околна среда</w:t>
      </w:r>
    </w:p>
    <w:p w14:paraId="2114951F" w14:textId="1AA3801D"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ИАРА</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8D08D5"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 xml:space="preserve">Изпълнителна агенция „Рибарство и </w:t>
      </w:r>
      <w:r w:rsidR="009D7952" w:rsidRPr="00610B1B">
        <w:rPr>
          <w:rFonts w:ascii="Times New Roman" w:hAnsi="Times New Roman" w:cs="Times New Roman"/>
          <w:bCs/>
          <w:sz w:val="24"/>
          <w:szCs w:val="24"/>
          <w:lang w:val="bg-BG"/>
        </w:rPr>
        <w:t>Аквакултури</w:t>
      </w:r>
      <w:r w:rsidRPr="00610B1B">
        <w:rPr>
          <w:rFonts w:ascii="Times New Roman" w:hAnsi="Times New Roman" w:cs="Times New Roman"/>
          <w:bCs/>
          <w:sz w:val="24"/>
          <w:szCs w:val="24"/>
          <w:lang w:val="bg-BG"/>
        </w:rPr>
        <w:t>“</w:t>
      </w:r>
    </w:p>
    <w:p w14:paraId="21E59995" w14:textId="0F1ED7C8"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ИБЕИ</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Институт по биоразнообразие и екосис</w:t>
      </w:r>
      <w:r w:rsidR="009D7952"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мни изследвания</w:t>
      </w:r>
    </w:p>
    <w:p w14:paraId="018570BC" w14:textId="5F72BD6E" w:rsidR="004E2DE6" w:rsidRPr="00610B1B" w:rsidRDefault="004E2DE6" w:rsidP="00D32D6A">
      <w:pPr>
        <w:spacing w:after="120"/>
        <w:ind w:left="2160" w:right="-153" w:hanging="2160"/>
        <w:rPr>
          <w:rFonts w:ascii="Times New Roman" w:hAnsi="Times New Roman" w:cs="Times New Roman"/>
          <w:bCs/>
          <w:sz w:val="24"/>
          <w:szCs w:val="24"/>
          <w:lang w:val="bg-BG"/>
        </w:rPr>
      </w:pPr>
      <w:r w:rsidRPr="00610B1B">
        <w:rPr>
          <w:rFonts w:ascii="Times New Roman" w:hAnsi="Times New Roman" w:cs="Times New Roman"/>
          <w:b/>
          <w:sz w:val="24"/>
          <w:szCs w:val="24"/>
          <w:lang w:val="bg-BG"/>
        </w:rPr>
        <w:lastRenderedPageBreak/>
        <w:t>ИКОМОС</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Международен съвет за паметниците на културата и забележителните места</w:t>
      </w:r>
    </w:p>
    <w:p w14:paraId="7038B6F1" w14:textId="716B3396"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ИО</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Институт по океанология</w:t>
      </w:r>
      <w:r w:rsidR="009C0D93" w:rsidRPr="00610B1B">
        <w:rPr>
          <w:rFonts w:ascii="Times New Roman" w:hAnsi="Times New Roman" w:cs="Times New Roman"/>
          <w:bCs/>
          <w:sz w:val="24"/>
          <w:szCs w:val="24"/>
          <w:lang w:val="bg-BG"/>
        </w:rPr>
        <w:t xml:space="preserve"> на БАН</w:t>
      </w:r>
    </w:p>
    <w:p w14:paraId="29D63F8C" w14:textId="6795AA23" w:rsidR="00D551EE" w:rsidRPr="00610B1B" w:rsidRDefault="00D551E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ИТСР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Интегрирана териториална стратегия за развитие</w:t>
      </w:r>
    </w:p>
    <w:p w14:paraId="6EB5D2F7" w14:textId="77777777" w:rsidR="00836952" w:rsidRPr="00610B1B" w:rsidRDefault="00836952" w:rsidP="00836952">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КРР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t>Консервационно-реставрационни работи</w:t>
      </w:r>
    </w:p>
    <w:p w14:paraId="153E0DDF" w14:textId="4E410434"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МВР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w:t>
      </w:r>
      <w:r w:rsidR="009C0D93" w:rsidRPr="00610B1B">
        <w:rPr>
          <w:rFonts w:ascii="Times New Roman" w:hAnsi="Times New Roman" w:cs="Times New Roman"/>
          <w:bCs/>
          <w:sz w:val="24"/>
          <w:szCs w:val="24"/>
          <w:lang w:val="bg-BG"/>
        </w:rPr>
        <w:t>т</w:t>
      </w:r>
      <w:r w:rsidRPr="00610B1B">
        <w:rPr>
          <w:rFonts w:ascii="Times New Roman" w:hAnsi="Times New Roman" w:cs="Times New Roman"/>
          <w:bCs/>
          <w:sz w:val="24"/>
          <w:szCs w:val="24"/>
          <w:lang w:val="bg-BG"/>
        </w:rPr>
        <w:t>ерство на вътрешните работи</w:t>
      </w:r>
    </w:p>
    <w:p w14:paraId="29FA41E5" w14:textId="2CB4305E"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МВнР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Министерство на външните работи</w:t>
      </w:r>
    </w:p>
    <w:p w14:paraId="02335984" w14:textId="6F471C67" w:rsidR="00B97748" w:rsidRPr="00610B1B" w:rsidRDefault="00B97748"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МДК</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 xml:space="preserve">Максимално допустими концентрации </w:t>
      </w:r>
    </w:p>
    <w:p w14:paraId="60245C10" w14:textId="0B84B242" w:rsidR="00A77233"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МЗ</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Министерство на здравеопазването</w:t>
      </w:r>
    </w:p>
    <w:p w14:paraId="74776CF4" w14:textId="5E9477EF" w:rsidR="004E2DE6" w:rsidRPr="00610B1B" w:rsidRDefault="004E2DE6"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МЗ</w:t>
      </w:r>
      <w:r w:rsidR="000A6746">
        <w:rPr>
          <w:rFonts w:ascii="Times New Roman" w:hAnsi="Times New Roman" w:cs="Times New Roman"/>
          <w:b/>
          <w:sz w:val="24"/>
          <w:szCs w:val="24"/>
          <w:lang w:val="bg-BG"/>
        </w:rPr>
        <w:t>м</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B8047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Министерство на земеделието</w:t>
      </w:r>
    </w:p>
    <w:p w14:paraId="44EB18D2" w14:textId="5961DA37"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МК</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Министерство на културата</w:t>
      </w:r>
    </w:p>
    <w:p w14:paraId="7DD0DA22" w14:textId="2361D868" w:rsidR="008D08D5" w:rsidRPr="00610B1B" w:rsidRDefault="008D08D5"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ММО</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Международна морска организация</w:t>
      </w:r>
    </w:p>
    <w:p w14:paraId="22AEB836" w14:textId="76F90B0D" w:rsidR="00240F11" w:rsidRPr="00610B1B" w:rsidRDefault="00240F11"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МО</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Министерство на отбраната</w:t>
      </w:r>
    </w:p>
    <w:p w14:paraId="5A6960E7" w14:textId="28B986AA" w:rsidR="0081627B" w:rsidRPr="00610B1B" w:rsidRDefault="0081627B"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МОСВ</w:t>
      </w:r>
      <w:r w:rsidR="00A77233"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00A77233" w:rsidRPr="00610B1B">
        <w:rPr>
          <w:rFonts w:ascii="Times New Roman" w:hAnsi="Times New Roman" w:cs="Times New Roman"/>
          <w:bCs/>
          <w:sz w:val="24"/>
          <w:szCs w:val="24"/>
          <w:lang w:val="bg-BG"/>
        </w:rPr>
        <w:t>Министерство на околната среда и водите</w:t>
      </w:r>
    </w:p>
    <w:p w14:paraId="23D07847" w14:textId="5A7AC71C" w:rsidR="00AC3F5F" w:rsidRPr="00610B1B" w:rsidRDefault="00AC3F5F"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МПП</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Морско пространствено планиране</w:t>
      </w:r>
    </w:p>
    <w:p w14:paraId="3066DC74" w14:textId="2BF1B946" w:rsidR="00AC3F5F" w:rsidRPr="00610B1B" w:rsidRDefault="00AC3F5F"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МППРБ</w:t>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Морски пространствен план на Република България (2021-2035 г.)</w:t>
      </w:r>
    </w:p>
    <w:p w14:paraId="6A41F850" w14:textId="08543EE3" w:rsidR="0081627B" w:rsidRPr="00610B1B" w:rsidRDefault="0081627B"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МРРБ</w:t>
      </w:r>
      <w:r w:rsidR="00A77233" w:rsidRPr="00610B1B">
        <w:rPr>
          <w:rFonts w:ascii="Times New Roman" w:hAnsi="Times New Roman" w:cs="Times New Roman"/>
          <w:b/>
          <w:sz w:val="24"/>
          <w:szCs w:val="24"/>
          <w:lang w:val="bg-BG"/>
        </w:rPr>
        <w:tab/>
      </w:r>
      <w:r w:rsidR="00A77233"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00A77233" w:rsidRPr="00610B1B">
        <w:rPr>
          <w:rFonts w:ascii="Times New Roman" w:hAnsi="Times New Roman" w:cs="Times New Roman"/>
          <w:bCs/>
          <w:sz w:val="24"/>
          <w:szCs w:val="24"/>
          <w:lang w:val="bg-BG"/>
        </w:rPr>
        <w:t>Министерство на регионалното развитие и благоустройството</w:t>
      </w:r>
    </w:p>
    <w:p w14:paraId="06256F99" w14:textId="36E26634" w:rsidR="00A77233"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МС</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Министерски съвет</w:t>
      </w:r>
    </w:p>
    <w:p w14:paraId="76F1E6CA" w14:textId="52119E92" w:rsidR="00240F11" w:rsidRPr="00610B1B" w:rsidRDefault="00240F11"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МТ</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Минис</w:t>
      </w:r>
      <w:r w:rsidR="004E2DE6" w:rsidRPr="00610B1B">
        <w:rPr>
          <w:rFonts w:ascii="Times New Roman" w:hAnsi="Times New Roman" w:cs="Times New Roman"/>
          <w:bCs/>
          <w:sz w:val="24"/>
          <w:szCs w:val="24"/>
          <w:lang w:val="bg-BG"/>
        </w:rPr>
        <w:t>т</w:t>
      </w:r>
      <w:r w:rsidRPr="00610B1B">
        <w:rPr>
          <w:rFonts w:ascii="Times New Roman" w:hAnsi="Times New Roman" w:cs="Times New Roman"/>
          <w:bCs/>
          <w:sz w:val="24"/>
          <w:szCs w:val="24"/>
          <w:lang w:val="bg-BG"/>
        </w:rPr>
        <w:t>ерство на туризма</w:t>
      </w:r>
    </w:p>
    <w:p w14:paraId="54FC4B2D" w14:textId="6EC91B91" w:rsidR="0081627B" w:rsidRDefault="004E6C8D" w:rsidP="00D32D6A">
      <w:pPr>
        <w:spacing w:after="120"/>
        <w:ind w:left="2160" w:right="-471" w:hanging="2160"/>
        <w:rPr>
          <w:rFonts w:ascii="Times New Roman" w:hAnsi="Times New Roman" w:cs="Times New Roman"/>
          <w:bCs/>
          <w:sz w:val="24"/>
          <w:szCs w:val="24"/>
          <w:lang w:val="bg-BG"/>
        </w:rPr>
      </w:pPr>
      <w:r>
        <w:rPr>
          <w:rFonts w:ascii="Times New Roman" w:hAnsi="Times New Roman" w:cs="Times New Roman"/>
          <w:b/>
          <w:sz w:val="24"/>
          <w:szCs w:val="24"/>
          <w:lang w:val="bg-BG"/>
        </w:rPr>
        <w:t>МТС</w:t>
      </w:r>
      <w:r w:rsidR="00A77233" w:rsidRPr="00610B1B">
        <w:rPr>
          <w:rFonts w:ascii="Times New Roman" w:hAnsi="Times New Roman" w:cs="Times New Roman"/>
          <w:b/>
          <w:sz w:val="24"/>
          <w:szCs w:val="24"/>
          <w:lang w:val="bg-BG"/>
        </w:rPr>
        <w:tab/>
      </w:r>
      <w:r>
        <w:rPr>
          <w:rFonts w:ascii="Times New Roman" w:hAnsi="Times New Roman" w:cs="Times New Roman"/>
          <w:bCs/>
          <w:sz w:val="24"/>
          <w:szCs w:val="24"/>
          <w:lang w:val="bg-BG"/>
        </w:rPr>
        <w:t>Министерство на транспорта и съобщенията</w:t>
      </w:r>
    </w:p>
    <w:p w14:paraId="228DA0DC" w14:textId="19B793A3" w:rsidR="00B8047B" w:rsidRPr="00610B1B" w:rsidRDefault="00B8047B" w:rsidP="00B8047B">
      <w:pPr>
        <w:spacing w:after="120"/>
        <w:ind w:right="-153"/>
        <w:rPr>
          <w:rFonts w:ascii="Times New Roman" w:hAnsi="Times New Roman" w:cs="Times New Roman"/>
          <w:bCs/>
          <w:sz w:val="24"/>
          <w:szCs w:val="24"/>
          <w:lang w:val="bg-BG"/>
        </w:rPr>
      </w:pPr>
      <w:r>
        <w:rPr>
          <w:rFonts w:ascii="Times New Roman" w:hAnsi="Times New Roman" w:cs="Times New Roman"/>
          <w:b/>
          <w:sz w:val="24"/>
          <w:szCs w:val="24"/>
          <w:lang w:val="bg-BG"/>
        </w:rPr>
        <w:t>Н</w:t>
      </w:r>
      <w:r w:rsidRPr="00610B1B">
        <w:rPr>
          <w:rFonts w:ascii="Times New Roman" w:hAnsi="Times New Roman" w:cs="Times New Roman"/>
          <w:b/>
          <w:sz w:val="24"/>
          <w:szCs w:val="24"/>
          <w:lang w:val="bg-BG"/>
        </w:rPr>
        <w:t>ИГГГ</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Pr="00B8047B">
        <w:rPr>
          <w:rFonts w:ascii="Times New Roman" w:hAnsi="Times New Roman" w:cs="Times New Roman"/>
          <w:bCs/>
          <w:sz w:val="24"/>
          <w:szCs w:val="24"/>
          <w:lang w:val="bg-BG"/>
        </w:rPr>
        <w:t xml:space="preserve">Национален </w:t>
      </w:r>
      <w:r w:rsidRPr="00610B1B">
        <w:rPr>
          <w:rFonts w:ascii="Times New Roman" w:hAnsi="Times New Roman" w:cs="Times New Roman"/>
          <w:bCs/>
          <w:sz w:val="24"/>
          <w:szCs w:val="24"/>
          <w:lang w:val="bg-BG"/>
        </w:rPr>
        <w:t>институт по география, геофизика и геодезия</w:t>
      </w:r>
    </w:p>
    <w:p w14:paraId="4E7990C9" w14:textId="33E565BD" w:rsidR="00AC3F5F" w:rsidRPr="00610B1B" w:rsidRDefault="00AC3F5F"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НИМХ</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Национален институт по метеорология и хидрология при БАН</w:t>
      </w:r>
    </w:p>
    <w:p w14:paraId="07202401" w14:textId="50DD3F2C" w:rsidR="00D551EE" w:rsidRPr="00610B1B" w:rsidRDefault="00D551EE"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НИНКН</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Национален институт за недвижимо културно наследство</w:t>
      </w:r>
    </w:p>
    <w:p w14:paraId="17605FF1" w14:textId="587DBAEC" w:rsidR="00A77233" w:rsidRPr="00610B1B" w:rsidRDefault="00A77233" w:rsidP="004050A5">
      <w:pPr>
        <w:spacing w:after="120"/>
        <w:ind w:left="2160" w:right="-896" w:hanging="2160"/>
        <w:rPr>
          <w:rFonts w:ascii="Times New Roman" w:hAnsi="Times New Roman" w:cs="Times New Roman"/>
          <w:bCs/>
          <w:sz w:val="24"/>
          <w:szCs w:val="24"/>
          <w:lang w:val="bg-BG"/>
        </w:rPr>
      </w:pPr>
      <w:r w:rsidRPr="00610B1B">
        <w:rPr>
          <w:rFonts w:ascii="Times New Roman" w:hAnsi="Times New Roman" w:cs="Times New Roman"/>
          <w:b/>
          <w:sz w:val="24"/>
          <w:szCs w:val="24"/>
          <w:lang w:val="bg-BG"/>
        </w:rPr>
        <w:t>НКПР</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 xml:space="preserve">Национална концепция за пространствено развитие за периода 2013-2025 </w:t>
      </w:r>
    </w:p>
    <w:p w14:paraId="503B404E" w14:textId="4BBE7626" w:rsidR="00D551EE" w:rsidRPr="00610B1B" w:rsidRDefault="00D551EE"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НКЦ</w:t>
      </w:r>
      <w:r w:rsidR="007B20F2"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Недвижима културна ценност</w:t>
      </w:r>
    </w:p>
    <w:p w14:paraId="4C392C7F" w14:textId="5123C367" w:rsidR="00CC2289" w:rsidRPr="00610B1B" w:rsidRDefault="00CC2289"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ННН</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Незаконен, недеклариран и нерегулиран улов на риба</w:t>
      </w:r>
      <w:r w:rsidRPr="00610B1B">
        <w:rPr>
          <w:rFonts w:ascii="Times New Roman" w:hAnsi="Times New Roman" w:cs="Times New Roman"/>
          <w:b/>
          <w:sz w:val="24"/>
          <w:szCs w:val="24"/>
          <w:lang w:val="bg-BG"/>
        </w:rPr>
        <w:t xml:space="preserve"> </w:t>
      </w:r>
    </w:p>
    <w:p w14:paraId="10479612" w14:textId="0B6454BF" w:rsidR="00A77233" w:rsidRPr="00610B1B" w:rsidRDefault="00A77233"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ООН</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Организация на обединените нации</w:t>
      </w:r>
    </w:p>
    <w:p w14:paraId="6AAE6688" w14:textId="20EACEFE" w:rsidR="00240F11" w:rsidRPr="00610B1B" w:rsidRDefault="00240F11"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ОЧТ</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Основно Черноморско течение</w:t>
      </w:r>
    </w:p>
    <w:p w14:paraId="6D6AE01E" w14:textId="557CC987" w:rsidR="00AC3F5F" w:rsidRPr="00610B1B" w:rsidRDefault="000E0A3F"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ПВТ</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Подземни водни тела</w:t>
      </w:r>
    </w:p>
    <w:p w14:paraId="35DA8D2B" w14:textId="75C90696" w:rsidR="00D551EE" w:rsidRPr="00610B1B" w:rsidRDefault="00D551EE"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ПИРО</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План за интегрирано развитие на община</w:t>
      </w:r>
    </w:p>
    <w:p w14:paraId="6310D1D3" w14:textId="47FB53C5" w:rsidR="00D551EE" w:rsidRPr="00610B1B" w:rsidRDefault="00AC3F5F"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ПМДР</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 xml:space="preserve">Програма за </w:t>
      </w:r>
      <w:r w:rsidR="004050A5" w:rsidRPr="00610B1B">
        <w:rPr>
          <w:rFonts w:ascii="Times New Roman" w:hAnsi="Times New Roman" w:cs="Times New Roman"/>
          <w:bCs/>
          <w:sz w:val="24"/>
          <w:szCs w:val="24"/>
          <w:lang w:val="bg-BG"/>
        </w:rPr>
        <w:t xml:space="preserve">морско </w:t>
      </w:r>
      <w:r w:rsidRPr="00610B1B">
        <w:rPr>
          <w:rFonts w:ascii="Times New Roman" w:hAnsi="Times New Roman" w:cs="Times New Roman"/>
          <w:bCs/>
          <w:sz w:val="24"/>
          <w:szCs w:val="24"/>
          <w:lang w:val="bg-BG"/>
        </w:rPr>
        <w:t>дело и рибарство</w:t>
      </w:r>
    </w:p>
    <w:p w14:paraId="437A8241" w14:textId="4EBAE5BA" w:rsidR="000E0A3F" w:rsidRPr="00610B1B" w:rsidRDefault="00D551EE" w:rsidP="00D32D6A">
      <w:pPr>
        <w:spacing w:after="120"/>
        <w:ind w:left="1440" w:right="-153" w:hanging="1440"/>
        <w:rPr>
          <w:rFonts w:ascii="Times New Roman" w:hAnsi="Times New Roman" w:cs="Times New Roman"/>
          <w:lang w:val="bg-BG"/>
        </w:rPr>
      </w:pPr>
      <w:r w:rsidRPr="00610B1B">
        <w:rPr>
          <w:rFonts w:ascii="Times New Roman" w:hAnsi="Times New Roman" w:cs="Times New Roman"/>
          <w:b/>
          <w:sz w:val="24"/>
          <w:szCs w:val="24"/>
          <w:lang w:val="bg-BG"/>
        </w:rPr>
        <w:t>ПОУ</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План за опазване и управление</w:t>
      </w:r>
      <w:r w:rsidR="000E0A3F" w:rsidRPr="00610B1B">
        <w:rPr>
          <w:rFonts w:ascii="Times New Roman" w:hAnsi="Times New Roman" w:cs="Times New Roman"/>
          <w:lang w:val="bg-BG"/>
        </w:rPr>
        <w:t xml:space="preserve"> </w:t>
      </w:r>
    </w:p>
    <w:p w14:paraId="1F627CC1" w14:textId="6D25CAA1" w:rsidR="00AC3F5F" w:rsidRPr="00610B1B" w:rsidRDefault="00AC3F5F" w:rsidP="00D32D6A">
      <w:pPr>
        <w:spacing w:after="120"/>
        <w:ind w:left="1440" w:right="-153" w:hanging="1440"/>
        <w:rPr>
          <w:rFonts w:ascii="Times New Roman" w:hAnsi="Times New Roman" w:cs="Times New Roman"/>
          <w:b/>
          <w:sz w:val="24"/>
          <w:szCs w:val="24"/>
          <w:lang w:val="bg-BG"/>
        </w:rPr>
      </w:pPr>
      <w:r w:rsidRPr="00610B1B">
        <w:rPr>
          <w:rFonts w:ascii="Times New Roman" w:hAnsi="Times New Roman" w:cs="Times New Roman"/>
          <w:b/>
          <w:sz w:val="24"/>
          <w:szCs w:val="24"/>
          <w:lang w:val="bg-BG"/>
        </w:rPr>
        <w:lastRenderedPageBreak/>
        <w:t>ПУРБ</w:t>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План за управление на речни басейни</w:t>
      </w:r>
    </w:p>
    <w:p w14:paraId="7A77F290" w14:textId="1DAC1244" w:rsidR="00AC3F5F" w:rsidRPr="00610B1B" w:rsidRDefault="00AC3F5F"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ПУРН</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План за управление на риска от наводнения</w:t>
      </w:r>
    </w:p>
    <w:p w14:paraId="5AF2F46A" w14:textId="68087433" w:rsidR="00AC3F5F" w:rsidRPr="00610B1B" w:rsidRDefault="00AC3F5F" w:rsidP="00D32D6A">
      <w:pPr>
        <w:spacing w:after="120"/>
        <w:ind w:left="1440" w:right="-153" w:hanging="1440"/>
        <w:rPr>
          <w:rFonts w:ascii="Times New Roman" w:hAnsi="Times New Roman" w:cs="Times New Roman"/>
          <w:lang w:val="bg-BG"/>
        </w:rPr>
      </w:pPr>
      <w:r w:rsidRPr="00610B1B">
        <w:rPr>
          <w:rFonts w:ascii="Times New Roman" w:hAnsi="Times New Roman" w:cs="Times New Roman"/>
          <w:b/>
          <w:sz w:val="24"/>
          <w:szCs w:val="24"/>
          <w:lang w:val="bg-BG"/>
        </w:rPr>
        <w:t>РДВ</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Рамкова директива за водите</w:t>
      </w:r>
    </w:p>
    <w:p w14:paraId="403B9194" w14:textId="4373B82B" w:rsidR="00AE2A4E" w:rsidRPr="00610B1B" w:rsidRDefault="00AE2A4E" w:rsidP="00D32D6A">
      <w:pPr>
        <w:spacing w:after="120"/>
        <w:ind w:left="1440" w:right="-153" w:hanging="1440"/>
        <w:rPr>
          <w:rFonts w:ascii="Times New Roman" w:hAnsi="Times New Roman" w:cs="Times New Roman"/>
          <w:bCs/>
          <w:sz w:val="24"/>
          <w:szCs w:val="24"/>
          <w:lang w:val="bg-BG"/>
        </w:rPr>
      </w:pPr>
      <w:r w:rsidRPr="00610B1B">
        <w:rPr>
          <w:rFonts w:ascii="Times New Roman" w:hAnsi="Times New Roman" w:cs="Times New Roman"/>
          <w:b/>
          <w:sz w:val="24"/>
          <w:szCs w:val="24"/>
          <w:lang w:val="bg-BG"/>
        </w:rPr>
        <w:t>РДМС</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Рамкова директива за морска стратегия</w:t>
      </w:r>
    </w:p>
    <w:p w14:paraId="4780B831" w14:textId="7DAC9BF4" w:rsidR="0081627B"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РЗИ</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Регионална здравна инспекция</w:t>
      </w:r>
    </w:p>
    <w:p w14:paraId="1527BE38" w14:textId="600B3B5A" w:rsidR="00A77233"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РИОСВ</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Регионална инспекция по околна среда и води</w:t>
      </w:r>
    </w:p>
    <w:p w14:paraId="11FD7E25" w14:textId="2A08CC73" w:rsidR="00B97748" w:rsidRPr="00610B1B" w:rsidRDefault="00B97748"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СГС</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 xml:space="preserve">Средногодишни стойности </w:t>
      </w:r>
    </w:p>
    <w:p w14:paraId="1F44311E" w14:textId="77777777" w:rsidR="00836952" w:rsidRPr="00610B1B" w:rsidRDefault="00836952" w:rsidP="00836952">
      <w:pPr>
        <w:spacing w:after="120"/>
        <w:ind w:left="2160" w:right="-153" w:hanging="2160"/>
        <w:rPr>
          <w:rFonts w:ascii="Times New Roman" w:hAnsi="Times New Roman" w:cs="Times New Roman"/>
          <w:bCs/>
          <w:sz w:val="24"/>
          <w:szCs w:val="24"/>
          <w:lang w:val="bg-BG"/>
        </w:rPr>
      </w:pPr>
      <w:r w:rsidRPr="00610B1B">
        <w:rPr>
          <w:rFonts w:ascii="Times New Roman" w:hAnsi="Times New Roman" w:cs="Times New Roman"/>
          <w:b/>
          <w:sz w:val="24"/>
          <w:szCs w:val="24"/>
          <w:lang w:val="bg-BG"/>
        </w:rPr>
        <w:t>СЕСОНКЦ</w:t>
      </w:r>
      <w:r w:rsidRPr="00610B1B">
        <w:rPr>
          <w:rFonts w:ascii="Times New Roman" w:hAnsi="Times New Roman" w:cs="Times New Roman"/>
          <w:lang w:val="bg-BG"/>
        </w:rPr>
        <w:t xml:space="preserve"> </w:t>
      </w:r>
      <w:r w:rsidRPr="00610B1B">
        <w:rPr>
          <w:rFonts w:ascii="Times New Roman" w:hAnsi="Times New Roman" w:cs="Times New Roman"/>
          <w:lang w:val="bg-BG"/>
        </w:rPr>
        <w:tab/>
      </w:r>
      <w:r w:rsidRPr="00610B1B">
        <w:rPr>
          <w:rFonts w:ascii="Times New Roman" w:hAnsi="Times New Roman" w:cs="Times New Roman"/>
          <w:bCs/>
          <w:sz w:val="24"/>
          <w:szCs w:val="24"/>
          <w:lang w:val="bg-BG"/>
        </w:rPr>
        <w:t>Специализиран експертен съвет за опазване на недвижимите културни ценности</w:t>
      </w:r>
    </w:p>
    <w:p w14:paraId="6F0DA78D" w14:textId="0E34500E" w:rsidR="00D551EE" w:rsidRPr="00610B1B" w:rsidRDefault="00D551E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СИР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Североизточен регион за планиране от ниво 2</w:t>
      </w:r>
    </w:p>
    <w:p w14:paraId="103ECC60" w14:textId="728208B3" w:rsidR="00B97748" w:rsidRPr="00610B1B" w:rsidRDefault="00B97748"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СКОС</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Стандарти за качество на околната среда</w:t>
      </w:r>
    </w:p>
    <w:p w14:paraId="42E5DF69" w14:textId="1481BAEE" w:rsidR="004E2DE6" w:rsidRPr="00610B1B" w:rsidRDefault="004E2DE6"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СМС</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Студен междинен слой</w:t>
      </w:r>
    </w:p>
    <w:p w14:paraId="4FECFAA7" w14:textId="5158A95D" w:rsidR="00836952" w:rsidRPr="00610B1B" w:rsidRDefault="00836952"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СНО</w:t>
      </w:r>
      <w:r w:rsidRPr="00610B1B">
        <w:rPr>
          <w:rFonts w:ascii="Times New Roman" w:hAnsi="Times New Roman" w:cs="Times New Roman"/>
          <w:lang w:val="bg-BG"/>
        </w:rPr>
        <w:t xml:space="preserve"> </w:t>
      </w:r>
      <w:r w:rsidRPr="00610B1B">
        <w:rPr>
          <w:rFonts w:ascii="Times New Roman" w:hAnsi="Times New Roman" w:cs="Times New Roman"/>
          <w:lang w:val="bg-BG"/>
        </w:rPr>
        <w:tab/>
      </w:r>
      <w:r w:rsidRPr="00610B1B">
        <w:rPr>
          <w:rFonts w:ascii="Times New Roman" w:hAnsi="Times New Roman" w:cs="Times New Roman"/>
          <w:lang w:val="bg-BG"/>
        </w:rPr>
        <w:tab/>
      </w:r>
      <w:r w:rsidRPr="00610B1B">
        <w:rPr>
          <w:rFonts w:ascii="Times New Roman" w:hAnsi="Times New Roman" w:cs="Times New Roman"/>
          <w:lang w:val="bg-BG"/>
        </w:rPr>
        <w:tab/>
        <w:t>С</w:t>
      </w:r>
      <w:r w:rsidRPr="00610B1B">
        <w:rPr>
          <w:rFonts w:ascii="Times New Roman" w:hAnsi="Times New Roman" w:cs="Times New Roman"/>
          <w:sz w:val="24"/>
          <w:szCs w:val="24"/>
          <w:lang w:val="bg-BG"/>
        </w:rPr>
        <w:t>редства за навигационно осигуряване</w:t>
      </w:r>
    </w:p>
    <w:p w14:paraId="33DDEB7E" w14:textId="2C94482B" w:rsidR="00D551EE" w:rsidRPr="00610B1B" w:rsidRDefault="00D551E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СРД</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Система за разделно движение</w:t>
      </w:r>
    </w:p>
    <w:p w14:paraId="60EE3E8F" w14:textId="7D506F1A" w:rsidR="004E2DE6" w:rsidRPr="00610B1B" w:rsidRDefault="004E2DE6"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ФАР</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Фотосинтетично активна радиация</w:t>
      </w:r>
    </w:p>
    <w:p w14:paraId="2301C131" w14:textId="0304E93D"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ЦМР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Цифрови модели на релефа</w:t>
      </w:r>
    </w:p>
    <w:p w14:paraId="51E3858C" w14:textId="5BAB775B" w:rsidR="00D551EE" w:rsidRPr="00610B1B" w:rsidRDefault="00D551E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ЦПА</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Център за подводна археология</w:t>
      </w:r>
    </w:p>
    <w:p w14:paraId="021584BB" w14:textId="08C4E595" w:rsidR="00D551EE" w:rsidRPr="00610B1B" w:rsidRDefault="00D551EE"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ЮИР</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Югоизточен регион за планиране от ниво 2</w:t>
      </w:r>
    </w:p>
    <w:p w14:paraId="4BF5352B" w14:textId="45C007E6" w:rsidR="00A77233" w:rsidRPr="00610B1B" w:rsidRDefault="00A77233"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ЮНЕСКО</w:t>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004E2DE6" w:rsidRPr="00610B1B">
        <w:rPr>
          <w:rFonts w:ascii="Times New Roman" w:hAnsi="Times New Roman" w:cs="Times New Roman"/>
          <w:bCs/>
          <w:sz w:val="24"/>
          <w:szCs w:val="24"/>
          <w:lang w:val="bg-BG"/>
        </w:rPr>
        <w:t>Организация на обединените нации за образование, наука и култура</w:t>
      </w:r>
    </w:p>
    <w:p w14:paraId="544FEC66" w14:textId="0D403134" w:rsidR="005F6EAB" w:rsidRPr="00610B1B" w:rsidRDefault="005F6EAB"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BPI</w:t>
      </w:r>
      <w:r w:rsidR="007B20F2" w:rsidRPr="00610B1B">
        <w:rPr>
          <w:rFonts w:ascii="Times New Roman" w:hAnsi="Times New Roman" w:cs="Times New Roman"/>
          <w:b/>
          <w:sz w:val="24"/>
          <w:szCs w:val="24"/>
          <w:lang w:val="bg-BG"/>
        </w:rPr>
        <w:tab/>
      </w:r>
      <w:r w:rsidR="007B20F2"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00F557ED" w:rsidRPr="00610B1B">
        <w:rPr>
          <w:rFonts w:ascii="Times New Roman" w:hAnsi="Times New Roman" w:cs="Times New Roman"/>
          <w:bCs/>
          <w:sz w:val="24"/>
          <w:szCs w:val="24"/>
          <w:lang w:val="bg-BG"/>
        </w:rPr>
        <w:t xml:space="preserve">Biopollution Level </w:t>
      </w:r>
      <w:r w:rsidRPr="00610B1B">
        <w:rPr>
          <w:rFonts w:ascii="Times New Roman" w:hAnsi="Times New Roman" w:cs="Times New Roman"/>
          <w:bCs/>
          <w:sz w:val="24"/>
          <w:szCs w:val="24"/>
          <w:lang w:val="bg-BG"/>
        </w:rPr>
        <w:t>Index</w:t>
      </w:r>
    </w:p>
    <w:p w14:paraId="5D7F61B9" w14:textId="743E6F02" w:rsidR="00810A41" w:rsidRPr="00610B1B" w:rsidRDefault="00810A41" w:rsidP="00D32D6A">
      <w:pPr>
        <w:spacing w:after="120"/>
        <w:ind w:right="-153"/>
        <w:rPr>
          <w:rFonts w:ascii="Times New Roman" w:hAnsi="Times New Roman" w:cs="Times New Roman"/>
          <w:color w:val="000000" w:themeColor="text1"/>
          <w:sz w:val="24"/>
          <w:szCs w:val="24"/>
          <w:lang w:val="bg-BG"/>
        </w:rPr>
      </w:pPr>
      <w:r w:rsidRPr="00610B1B">
        <w:rPr>
          <w:rFonts w:ascii="Times New Roman" w:hAnsi="Times New Roman" w:cs="Times New Roman"/>
          <w:b/>
          <w:color w:val="000000" w:themeColor="text1"/>
          <w:sz w:val="24"/>
          <w:szCs w:val="24"/>
          <w:lang w:val="bg-BG"/>
        </w:rPr>
        <w:t>EASME</w:t>
      </w:r>
      <w:r w:rsidRPr="00610B1B">
        <w:rPr>
          <w:rFonts w:ascii="Times New Roman" w:hAnsi="Times New Roman" w:cs="Times New Roman"/>
          <w:b/>
          <w:color w:val="000000" w:themeColor="text1"/>
          <w:sz w:val="24"/>
          <w:szCs w:val="24"/>
          <w:lang w:val="bg-BG"/>
        </w:rPr>
        <w:tab/>
      </w:r>
      <w:r w:rsidRPr="00610B1B">
        <w:rPr>
          <w:rFonts w:ascii="Times New Roman" w:hAnsi="Times New Roman" w:cs="Times New Roman"/>
          <w:b/>
          <w:color w:val="000000" w:themeColor="text1"/>
          <w:sz w:val="24"/>
          <w:szCs w:val="24"/>
          <w:lang w:val="bg-BG"/>
        </w:rPr>
        <w:tab/>
      </w:r>
      <w:r w:rsidRPr="00610B1B">
        <w:rPr>
          <w:rFonts w:ascii="Times New Roman" w:hAnsi="Times New Roman" w:cs="Times New Roman"/>
          <w:color w:val="000000" w:themeColor="text1"/>
          <w:sz w:val="24"/>
          <w:szCs w:val="24"/>
          <w:lang w:val="bg-BG"/>
        </w:rPr>
        <w:t xml:space="preserve">Executive Agency for Small and Medium-sized Enterprises </w:t>
      </w:r>
    </w:p>
    <w:p w14:paraId="14257D41" w14:textId="790204CF" w:rsidR="00EC141D" w:rsidRPr="00610B1B" w:rsidRDefault="00EC141D" w:rsidP="00D32D6A">
      <w:pPr>
        <w:spacing w:after="120"/>
        <w:ind w:right="-153"/>
        <w:rPr>
          <w:rFonts w:ascii="Times New Roman" w:hAnsi="Times New Roman" w:cs="Times New Roman"/>
          <w:bCs/>
          <w:color w:val="000000" w:themeColor="text1"/>
          <w:sz w:val="24"/>
          <w:szCs w:val="24"/>
          <w:lang w:val="bg-BG"/>
        </w:rPr>
      </w:pPr>
      <w:r w:rsidRPr="00610B1B">
        <w:rPr>
          <w:rFonts w:ascii="Times New Roman" w:hAnsi="Times New Roman" w:cs="Times New Roman"/>
          <w:b/>
          <w:color w:val="000000" w:themeColor="text1"/>
          <w:sz w:val="24"/>
          <w:szCs w:val="24"/>
          <w:lang w:val="bg-BG"/>
        </w:rPr>
        <w:t>EEI</w:t>
      </w:r>
      <w:r w:rsidRPr="00610B1B">
        <w:rPr>
          <w:rFonts w:ascii="Times New Roman" w:hAnsi="Times New Roman" w:cs="Times New Roman"/>
          <w:bCs/>
          <w:color w:val="000000" w:themeColor="text1"/>
          <w:sz w:val="24"/>
          <w:szCs w:val="24"/>
          <w:lang w:val="bg-BG"/>
        </w:rPr>
        <w:tab/>
      </w:r>
      <w:r w:rsidRPr="00610B1B">
        <w:rPr>
          <w:rFonts w:ascii="Times New Roman" w:hAnsi="Times New Roman" w:cs="Times New Roman"/>
          <w:bCs/>
          <w:color w:val="000000" w:themeColor="text1"/>
          <w:sz w:val="24"/>
          <w:szCs w:val="24"/>
          <w:lang w:val="bg-BG"/>
        </w:rPr>
        <w:tab/>
      </w:r>
      <w:r w:rsidR="007A7F54" w:rsidRPr="00610B1B">
        <w:rPr>
          <w:rFonts w:ascii="Times New Roman" w:hAnsi="Times New Roman" w:cs="Times New Roman"/>
          <w:bCs/>
          <w:color w:val="000000" w:themeColor="text1"/>
          <w:sz w:val="24"/>
          <w:szCs w:val="24"/>
          <w:lang w:val="bg-BG"/>
        </w:rPr>
        <w:tab/>
      </w:r>
      <w:r w:rsidRPr="00610B1B">
        <w:rPr>
          <w:rFonts w:ascii="Times New Roman" w:hAnsi="Times New Roman" w:cs="Times New Roman"/>
          <w:bCs/>
          <w:color w:val="000000" w:themeColor="text1"/>
          <w:sz w:val="24"/>
          <w:szCs w:val="24"/>
          <w:lang w:val="bg-BG"/>
        </w:rPr>
        <w:t>Ecological Evaluation Index</w:t>
      </w:r>
    </w:p>
    <w:p w14:paraId="496FF335" w14:textId="27F7A5A3" w:rsidR="00CC2289" w:rsidRPr="00610B1B" w:rsidRDefault="00CC2289" w:rsidP="00D32D6A">
      <w:pPr>
        <w:spacing w:after="120"/>
        <w:ind w:right="-153"/>
        <w:rPr>
          <w:rFonts w:ascii="Times New Roman" w:hAnsi="Times New Roman" w:cs="Times New Roman"/>
          <w:bCs/>
          <w:color w:val="000000" w:themeColor="text1"/>
          <w:sz w:val="24"/>
          <w:szCs w:val="24"/>
          <w:lang w:val="bg-BG"/>
        </w:rPr>
      </w:pPr>
      <w:r w:rsidRPr="00610B1B">
        <w:rPr>
          <w:rFonts w:ascii="Times New Roman" w:hAnsi="Times New Roman" w:cs="Times New Roman"/>
          <w:b/>
          <w:color w:val="000000" w:themeColor="text1"/>
          <w:sz w:val="24"/>
          <w:szCs w:val="24"/>
          <w:lang w:val="bg-BG"/>
        </w:rPr>
        <w:t>EFCA</w:t>
      </w:r>
      <w:r w:rsidRPr="00610B1B">
        <w:rPr>
          <w:rFonts w:ascii="Times New Roman" w:hAnsi="Times New Roman" w:cs="Times New Roman"/>
          <w:bCs/>
          <w:color w:val="000000" w:themeColor="text1"/>
          <w:sz w:val="24"/>
          <w:szCs w:val="24"/>
          <w:lang w:val="bg-BG"/>
        </w:rPr>
        <w:t xml:space="preserve"> </w:t>
      </w:r>
      <w:r w:rsidRPr="00610B1B">
        <w:rPr>
          <w:rFonts w:ascii="Times New Roman" w:hAnsi="Times New Roman" w:cs="Times New Roman"/>
          <w:bCs/>
          <w:color w:val="000000" w:themeColor="text1"/>
          <w:sz w:val="24"/>
          <w:szCs w:val="24"/>
          <w:lang w:val="bg-BG"/>
        </w:rPr>
        <w:tab/>
      </w:r>
      <w:r w:rsidRPr="00610B1B">
        <w:rPr>
          <w:rFonts w:ascii="Times New Roman" w:hAnsi="Times New Roman" w:cs="Times New Roman"/>
          <w:bCs/>
          <w:color w:val="000000" w:themeColor="text1"/>
          <w:sz w:val="24"/>
          <w:szCs w:val="24"/>
          <w:lang w:val="bg-BG"/>
        </w:rPr>
        <w:tab/>
      </w:r>
      <w:r w:rsidR="007A7F54" w:rsidRPr="00610B1B">
        <w:rPr>
          <w:rFonts w:ascii="Times New Roman" w:hAnsi="Times New Roman" w:cs="Times New Roman"/>
          <w:bCs/>
          <w:color w:val="000000" w:themeColor="text1"/>
          <w:sz w:val="24"/>
          <w:szCs w:val="24"/>
          <w:lang w:val="bg-BG"/>
        </w:rPr>
        <w:tab/>
      </w:r>
      <w:r w:rsidRPr="00610B1B">
        <w:rPr>
          <w:rFonts w:ascii="Times New Roman" w:hAnsi="Times New Roman" w:cs="Times New Roman"/>
          <w:bCs/>
          <w:color w:val="000000" w:themeColor="text1"/>
          <w:sz w:val="24"/>
          <w:szCs w:val="24"/>
          <w:lang w:val="bg-BG"/>
        </w:rPr>
        <w:t xml:space="preserve">European Fisheries Control </w:t>
      </w:r>
      <w:r w:rsidR="00352BBB" w:rsidRPr="00610B1B">
        <w:rPr>
          <w:rFonts w:ascii="Times New Roman" w:hAnsi="Times New Roman" w:cs="Times New Roman"/>
          <w:bCs/>
          <w:color w:val="000000" w:themeColor="text1"/>
          <w:sz w:val="24"/>
          <w:szCs w:val="24"/>
          <w:lang w:val="bg-BG"/>
        </w:rPr>
        <w:t>Agency</w:t>
      </w:r>
    </w:p>
    <w:p w14:paraId="629A2C4A" w14:textId="30C91776" w:rsidR="00810A41" w:rsidRPr="00610B1B" w:rsidRDefault="00810A41" w:rsidP="00D32D6A">
      <w:pPr>
        <w:spacing w:after="120"/>
        <w:ind w:right="-153"/>
        <w:rPr>
          <w:rFonts w:ascii="Times New Roman" w:hAnsi="Times New Roman" w:cs="Times New Roman"/>
          <w:bCs/>
          <w:color w:val="000000" w:themeColor="text1"/>
          <w:sz w:val="24"/>
          <w:szCs w:val="24"/>
          <w:lang w:val="bg-BG"/>
        </w:rPr>
      </w:pPr>
      <w:r w:rsidRPr="00610B1B">
        <w:rPr>
          <w:rFonts w:ascii="Times New Roman" w:hAnsi="Times New Roman" w:cs="Times New Roman"/>
          <w:b/>
          <w:bCs/>
          <w:color w:val="000000" w:themeColor="text1"/>
          <w:sz w:val="24"/>
          <w:szCs w:val="24"/>
          <w:lang w:val="bg-BG"/>
        </w:rPr>
        <w:t>EMFF</w:t>
      </w:r>
      <w:r w:rsidRPr="00610B1B">
        <w:rPr>
          <w:rFonts w:ascii="Times New Roman" w:hAnsi="Times New Roman" w:cs="Times New Roman"/>
          <w:b/>
          <w:bCs/>
          <w:color w:val="000000" w:themeColor="text1"/>
          <w:sz w:val="24"/>
          <w:szCs w:val="24"/>
          <w:lang w:val="bg-BG"/>
        </w:rPr>
        <w:tab/>
      </w:r>
      <w:r w:rsidRPr="00610B1B">
        <w:rPr>
          <w:rFonts w:ascii="Times New Roman" w:hAnsi="Times New Roman" w:cs="Times New Roman"/>
          <w:b/>
          <w:bCs/>
          <w:color w:val="000000" w:themeColor="text1"/>
          <w:sz w:val="24"/>
          <w:szCs w:val="24"/>
          <w:lang w:val="bg-BG"/>
        </w:rPr>
        <w:tab/>
      </w:r>
      <w:r w:rsidRPr="00610B1B">
        <w:rPr>
          <w:rFonts w:ascii="Times New Roman" w:hAnsi="Times New Roman" w:cs="Times New Roman"/>
          <w:b/>
          <w:bCs/>
          <w:color w:val="000000" w:themeColor="text1"/>
          <w:sz w:val="24"/>
          <w:szCs w:val="24"/>
          <w:lang w:val="bg-BG"/>
        </w:rPr>
        <w:tab/>
      </w:r>
      <w:r w:rsidRPr="00610B1B">
        <w:rPr>
          <w:rFonts w:ascii="Times New Roman" w:hAnsi="Times New Roman" w:cs="Times New Roman"/>
          <w:bCs/>
          <w:color w:val="000000" w:themeColor="text1"/>
          <w:sz w:val="24"/>
          <w:szCs w:val="24"/>
          <w:lang w:val="bg-BG"/>
        </w:rPr>
        <w:t>European Maritime and Fisheries Fund</w:t>
      </w:r>
    </w:p>
    <w:p w14:paraId="40F7ABDE" w14:textId="34338010" w:rsidR="00CC2289" w:rsidRPr="00610B1B" w:rsidRDefault="00CC2289"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EMSA</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 xml:space="preserve">European Maritime Safety Agency </w:t>
      </w:r>
    </w:p>
    <w:p w14:paraId="292E33C3" w14:textId="5A5C07E4" w:rsidR="00351625" w:rsidRPr="00610B1B" w:rsidRDefault="00351625"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IBI</w:t>
      </w:r>
      <w:r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 xml:space="preserve">Интегриран биологичен индекс </w:t>
      </w:r>
    </w:p>
    <w:p w14:paraId="05797805" w14:textId="08071960" w:rsidR="008D08D5" w:rsidRPr="00610B1B" w:rsidRDefault="008D08D5"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IMO</w:t>
      </w:r>
      <w:r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International Maritime Organisation</w:t>
      </w:r>
    </w:p>
    <w:p w14:paraId="0A0900D1" w14:textId="06AD90C3" w:rsidR="00240F11" w:rsidRPr="00610B1B" w:rsidRDefault="00240F11"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IOC</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Intergovernmental Oceanographic Commission</w:t>
      </w:r>
    </w:p>
    <w:p w14:paraId="5A2AE26F" w14:textId="0C8BE4E9" w:rsidR="00CC2289" w:rsidRPr="00610B1B" w:rsidRDefault="005F6EAB" w:rsidP="00D32D6A">
      <w:pPr>
        <w:spacing w:after="120"/>
        <w:ind w:right="-153"/>
        <w:rPr>
          <w:rFonts w:ascii="Times New Roman" w:hAnsi="Times New Roman" w:cs="Times New Roman"/>
          <w:bCs/>
          <w:sz w:val="24"/>
          <w:szCs w:val="24"/>
          <w:lang w:val="bg-BG"/>
        </w:rPr>
      </w:pPr>
      <w:r w:rsidRPr="00610B1B">
        <w:rPr>
          <w:rFonts w:ascii="Times New Roman" w:hAnsi="Times New Roman" w:cs="Times New Roman"/>
          <w:b/>
          <w:sz w:val="24"/>
          <w:szCs w:val="24"/>
          <w:lang w:val="bg-BG"/>
        </w:rPr>
        <w:t>SBCI</w:t>
      </w:r>
      <w:r w:rsidRPr="00610B1B">
        <w:rPr>
          <w:rFonts w:ascii="Times New Roman" w:hAnsi="Times New Roman" w:cs="Times New Roman"/>
          <w:b/>
          <w:sz w:val="24"/>
          <w:szCs w:val="24"/>
          <w:lang w:val="bg-BG"/>
        </w:rPr>
        <w:tab/>
      </w:r>
      <w:r w:rsidRPr="00610B1B">
        <w:rPr>
          <w:rFonts w:ascii="Times New Roman" w:hAnsi="Times New Roman" w:cs="Times New Roman"/>
          <w:b/>
          <w:sz w:val="24"/>
          <w:szCs w:val="24"/>
          <w:lang w:val="bg-BG"/>
        </w:rPr>
        <w:tab/>
      </w:r>
      <w:r w:rsidR="007A7F54" w:rsidRPr="00610B1B">
        <w:rPr>
          <w:rFonts w:ascii="Times New Roman" w:hAnsi="Times New Roman" w:cs="Times New Roman"/>
          <w:b/>
          <w:sz w:val="24"/>
          <w:szCs w:val="24"/>
          <w:lang w:val="bg-BG"/>
        </w:rPr>
        <w:tab/>
      </w:r>
      <w:r w:rsidRPr="00610B1B">
        <w:rPr>
          <w:rFonts w:ascii="Times New Roman" w:hAnsi="Times New Roman" w:cs="Times New Roman"/>
          <w:bCs/>
          <w:sz w:val="24"/>
          <w:szCs w:val="24"/>
          <w:lang w:val="bg-BG"/>
        </w:rPr>
        <w:t>Site-specific Biocontamination Index</w:t>
      </w:r>
    </w:p>
    <w:p w14:paraId="7599D2A2" w14:textId="5EA94A88" w:rsidR="005F6EAB" w:rsidRPr="00610B1B" w:rsidRDefault="00CC2289" w:rsidP="00D32D6A">
      <w:pPr>
        <w:spacing w:after="120"/>
        <w:ind w:right="-153"/>
        <w:rPr>
          <w:rFonts w:ascii="Times New Roman" w:hAnsi="Times New Roman" w:cs="Times New Roman"/>
          <w:b/>
          <w:sz w:val="24"/>
          <w:szCs w:val="24"/>
          <w:lang w:val="bg-BG"/>
        </w:rPr>
      </w:pPr>
      <w:r w:rsidRPr="00610B1B">
        <w:rPr>
          <w:rFonts w:ascii="Times New Roman" w:hAnsi="Times New Roman" w:cs="Times New Roman"/>
          <w:b/>
          <w:sz w:val="24"/>
          <w:szCs w:val="24"/>
          <w:lang w:val="bg-BG"/>
        </w:rPr>
        <w:t>UNCLOS</w:t>
      </w:r>
      <w:r w:rsidRPr="00610B1B">
        <w:rPr>
          <w:rFonts w:ascii="Times New Roman" w:hAnsi="Times New Roman" w:cs="Times New Roman"/>
          <w:bCs/>
          <w:sz w:val="24"/>
          <w:szCs w:val="24"/>
          <w:lang w:val="bg-BG"/>
        </w:rPr>
        <w:tab/>
      </w:r>
      <w:r w:rsidR="007A7F54" w:rsidRPr="00610B1B">
        <w:rPr>
          <w:rFonts w:ascii="Times New Roman" w:hAnsi="Times New Roman" w:cs="Times New Roman"/>
          <w:bCs/>
          <w:sz w:val="24"/>
          <w:szCs w:val="24"/>
          <w:lang w:val="bg-BG"/>
        </w:rPr>
        <w:tab/>
      </w:r>
      <w:r w:rsidRPr="00610B1B">
        <w:rPr>
          <w:rFonts w:ascii="Times New Roman" w:hAnsi="Times New Roman" w:cs="Times New Roman"/>
          <w:bCs/>
          <w:sz w:val="24"/>
          <w:szCs w:val="24"/>
          <w:lang w:val="bg-BG"/>
        </w:rPr>
        <w:t>United Nations Convention of the Law of the Sea</w:t>
      </w:r>
      <w:r w:rsidR="005F6EAB" w:rsidRPr="00610B1B">
        <w:rPr>
          <w:rFonts w:ascii="Times New Roman" w:hAnsi="Times New Roman" w:cs="Times New Roman"/>
          <w:bCs/>
          <w:sz w:val="24"/>
          <w:szCs w:val="24"/>
          <w:lang w:val="bg-BG"/>
        </w:rPr>
        <w:t xml:space="preserve"> </w:t>
      </w:r>
    </w:p>
    <w:p w14:paraId="47316FD5" w14:textId="77777777" w:rsidR="00FB58CD" w:rsidRPr="00610B1B" w:rsidRDefault="00FB58CD" w:rsidP="00D32D6A">
      <w:pPr>
        <w:spacing w:after="120"/>
        <w:ind w:right="-153"/>
        <w:rPr>
          <w:rFonts w:ascii="Times New Roman" w:hAnsi="Times New Roman" w:cs="Times New Roman"/>
          <w:sz w:val="24"/>
          <w:szCs w:val="24"/>
          <w:lang w:val="bg-BG"/>
        </w:rPr>
      </w:pPr>
    </w:p>
    <w:p w14:paraId="02B19831" w14:textId="0D768FC3" w:rsidR="00EC7555" w:rsidRPr="00610B1B" w:rsidRDefault="00EC7555" w:rsidP="00D32D6A">
      <w:pPr>
        <w:pStyle w:val="Heading1"/>
        <w:spacing w:before="0" w:line="276" w:lineRule="auto"/>
        <w:rPr>
          <w:rFonts w:cs="Times New Roman"/>
        </w:rPr>
      </w:pPr>
      <w:bookmarkStart w:id="3" w:name="_Toc83391347"/>
      <w:r w:rsidRPr="00610B1B">
        <w:rPr>
          <w:rFonts w:cs="Times New Roman"/>
        </w:rPr>
        <w:lastRenderedPageBreak/>
        <w:t>СПИСЪК НА ФИГУРИТЕ</w:t>
      </w:r>
      <w:bookmarkEnd w:id="3"/>
    </w:p>
    <w:p w14:paraId="34D7EA28" w14:textId="78060264" w:rsidR="00260629" w:rsidRPr="00610B1B" w:rsidRDefault="00FC431F">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r w:rsidRPr="00610B1B">
        <w:rPr>
          <w:rFonts w:cs="Times New Roman"/>
        </w:rPr>
        <w:fldChar w:fldCharType="begin"/>
      </w:r>
      <w:r w:rsidRPr="00610B1B">
        <w:rPr>
          <w:rFonts w:cs="Times New Roman"/>
        </w:rPr>
        <w:instrText xml:space="preserve"> TOC \h \z \c "Фигура" </w:instrText>
      </w:r>
      <w:r w:rsidRPr="00610B1B">
        <w:rPr>
          <w:rFonts w:cs="Times New Roman"/>
        </w:rPr>
        <w:fldChar w:fldCharType="separate"/>
      </w:r>
      <w:hyperlink w:anchor="_Toc83391464" w:history="1">
        <w:r w:rsidR="00260629" w:rsidRPr="00610B1B">
          <w:rPr>
            <w:rStyle w:val="Hyperlink"/>
            <w:rFonts w:cs="Times New Roman"/>
            <w:noProof/>
          </w:rPr>
          <w:t>Фигура 1: Геоморфоложко райониране на българското черноморско крайбрежие.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_Toc83391464 \h </w:instrText>
        </w:r>
        <w:r w:rsidR="00260629" w:rsidRPr="00610B1B">
          <w:rPr>
            <w:noProof/>
            <w:webHidden/>
          </w:rPr>
        </w:r>
        <w:r w:rsidR="00260629" w:rsidRPr="00610B1B">
          <w:rPr>
            <w:noProof/>
            <w:webHidden/>
          </w:rPr>
          <w:fldChar w:fldCharType="separate"/>
        </w:r>
        <w:r w:rsidR="00D91614">
          <w:rPr>
            <w:noProof/>
            <w:webHidden/>
          </w:rPr>
          <w:t>52</w:t>
        </w:r>
        <w:r w:rsidR="00260629" w:rsidRPr="00610B1B">
          <w:rPr>
            <w:noProof/>
            <w:webHidden/>
          </w:rPr>
          <w:fldChar w:fldCharType="end"/>
        </w:r>
      </w:hyperlink>
    </w:p>
    <w:p w14:paraId="5A3EC41E" w14:textId="425EB9C3"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65" w:history="1">
        <w:r w:rsidR="00260629" w:rsidRPr="00610B1B">
          <w:rPr>
            <w:rStyle w:val="Hyperlink"/>
            <w:rFonts w:cs="Times New Roman"/>
            <w:noProof/>
          </w:rPr>
          <w:t>Фигура 2: Морски пространства на Република България.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_Toc83391465 \h </w:instrText>
        </w:r>
        <w:r w:rsidR="00260629" w:rsidRPr="00610B1B">
          <w:rPr>
            <w:noProof/>
            <w:webHidden/>
          </w:rPr>
        </w:r>
        <w:r w:rsidR="00260629" w:rsidRPr="00610B1B">
          <w:rPr>
            <w:noProof/>
            <w:webHidden/>
          </w:rPr>
          <w:fldChar w:fldCharType="separate"/>
        </w:r>
        <w:r w:rsidR="00D91614">
          <w:rPr>
            <w:noProof/>
            <w:webHidden/>
          </w:rPr>
          <w:t>54</w:t>
        </w:r>
        <w:r w:rsidR="00260629" w:rsidRPr="00610B1B">
          <w:rPr>
            <w:noProof/>
            <w:webHidden/>
          </w:rPr>
          <w:fldChar w:fldCharType="end"/>
        </w:r>
      </w:hyperlink>
    </w:p>
    <w:p w14:paraId="34F68698" w14:textId="4A3BCA56" w:rsidR="00260629" w:rsidRPr="00610B1B" w:rsidRDefault="0055393F">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66" w:history="1">
        <w:r w:rsidR="00260629" w:rsidRPr="00610B1B">
          <w:rPr>
            <w:rStyle w:val="Hyperlink"/>
            <w:rFonts w:cs="Times New Roman"/>
            <w:noProof/>
          </w:rPr>
          <w:t>Фигура 3: Геоморфоложка карта на българския Черноморски шелф. Геоморфоложки единици (от дълбочина към брега):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_Toc83391466 \h </w:instrText>
        </w:r>
        <w:r w:rsidR="00260629" w:rsidRPr="00610B1B">
          <w:rPr>
            <w:noProof/>
            <w:webHidden/>
          </w:rPr>
        </w:r>
        <w:r w:rsidR="00260629" w:rsidRPr="00610B1B">
          <w:rPr>
            <w:noProof/>
            <w:webHidden/>
          </w:rPr>
          <w:fldChar w:fldCharType="separate"/>
        </w:r>
        <w:r w:rsidR="00D91614">
          <w:rPr>
            <w:noProof/>
            <w:webHidden/>
          </w:rPr>
          <w:t>55</w:t>
        </w:r>
        <w:r w:rsidR="00260629" w:rsidRPr="00610B1B">
          <w:rPr>
            <w:noProof/>
            <w:webHidden/>
          </w:rPr>
          <w:fldChar w:fldCharType="end"/>
        </w:r>
      </w:hyperlink>
    </w:p>
    <w:p w14:paraId="70964AEF" w14:textId="72CE0ED2"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67" w:history="1">
        <w:r w:rsidR="00260629" w:rsidRPr="00610B1B">
          <w:rPr>
            <w:rStyle w:val="Hyperlink"/>
            <w:rFonts w:cs="Times New Roman"/>
            <w:noProof/>
          </w:rPr>
          <w:t>Фигура 4: Пространствено разпределение на средната значителна височина на вълната, m.</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_Toc83391467 \h </w:instrText>
        </w:r>
        <w:r w:rsidR="00260629" w:rsidRPr="00610B1B">
          <w:rPr>
            <w:noProof/>
            <w:webHidden/>
          </w:rPr>
        </w:r>
        <w:r w:rsidR="00260629" w:rsidRPr="00610B1B">
          <w:rPr>
            <w:noProof/>
            <w:webHidden/>
          </w:rPr>
          <w:fldChar w:fldCharType="separate"/>
        </w:r>
        <w:r w:rsidR="00D91614">
          <w:rPr>
            <w:noProof/>
            <w:webHidden/>
          </w:rPr>
          <w:t>64</w:t>
        </w:r>
        <w:r w:rsidR="00260629" w:rsidRPr="00610B1B">
          <w:rPr>
            <w:noProof/>
            <w:webHidden/>
          </w:rPr>
          <w:fldChar w:fldCharType="end"/>
        </w:r>
      </w:hyperlink>
    </w:p>
    <w:p w14:paraId="50C5AB3C" w14:textId="0D9197A9"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68" w:history="1">
        <w:r w:rsidR="00260629" w:rsidRPr="00610B1B">
          <w:rPr>
            <w:rStyle w:val="Hyperlink"/>
            <w:rFonts w:cs="Times New Roman"/>
            <w:noProof/>
          </w:rPr>
          <w:t xml:space="preserve">Фигура 5: </w:t>
        </w:r>
        <w:r w:rsidR="00260629" w:rsidRPr="00610B1B">
          <w:rPr>
            <w:rStyle w:val="Hyperlink"/>
            <w:rFonts w:cs="Times New Roman"/>
            <w:iCs/>
            <w:noProof/>
          </w:rPr>
          <w:t>Пространствено разпределение на продължителността на действието в 103 h на вълни с височина 0.3 ÷ 2.0 m</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_Toc83391468 \h </w:instrText>
        </w:r>
        <w:r w:rsidR="00260629" w:rsidRPr="00610B1B">
          <w:rPr>
            <w:noProof/>
            <w:webHidden/>
          </w:rPr>
        </w:r>
        <w:r w:rsidR="00260629" w:rsidRPr="00610B1B">
          <w:rPr>
            <w:noProof/>
            <w:webHidden/>
          </w:rPr>
          <w:fldChar w:fldCharType="separate"/>
        </w:r>
        <w:r w:rsidR="00D91614">
          <w:rPr>
            <w:noProof/>
            <w:webHidden/>
          </w:rPr>
          <w:t>65</w:t>
        </w:r>
        <w:r w:rsidR="00260629" w:rsidRPr="00610B1B">
          <w:rPr>
            <w:noProof/>
            <w:webHidden/>
          </w:rPr>
          <w:fldChar w:fldCharType="end"/>
        </w:r>
      </w:hyperlink>
    </w:p>
    <w:p w14:paraId="4A46F2BD" w14:textId="6B7BC4DC"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69" w:history="1">
        <w:r w:rsidR="00260629" w:rsidRPr="00610B1B">
          <w:rPr>
            <w:rStyle w:val="Hyperlink"/>
            <w:rFonts w:cs="Times New Roman"/>
            <w:noProof/>
          </w:rPr>
          <w:t xml:space="preserve">Фигура 6: </w:t>
        </w:r>
        <w:r w:rsidR="00260629" w:rsidRPr="00610B1B">
          <w:rPr>
            <w:rStyle w:val="Hyperlink"/>
            <w:rFonts w:eastAsia="Source Han Sans CN Regular" w:cs="Times New Roman"/>
            <w:noProof/>
          </w:rPr>
          <w:t>Повърхностни морски водни тела по българското черноморско крайбрежие.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_Toc83391469 \h </w:instrText>
        </w:r>
        <w:r w:rsidR="00260629" w:rsidRPr="00610B1B">
          <w:rPr>
            <w:noProof/>
            <w:webHidden/>
          </w:rPr>
        </w:r>
        <w:r w:rsidR="00260629" w:rsidRPr="00610B1B">
          <w:rPr>
            <w:noProof/>
            <w:webHidden/>
          </w:rPr>
          <w:fldChar w:fldCharType="separate"/>
        </w:r>
        <w:r w:rsidR="00D91614">
          <w:rPr>
            <w:noProof/>
            <w:webHidden/>
          </w:rPr>
          <w:t>67</w:t>
        </w:r>
        <w:r w:rsidR="00260629" w:rsidRPr="00610B1B">
          <w:rPr>
            <w:noProof/>
            <w:webHidden/>
          </w:rPr>
          <w:fldChar w:fldCharType="end"/>
        </w:r>
      </w:hyperlink>
    </w:p>
    <w:p w14:paraId="1EDB239D" w14:textId="4BB24DC0"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0" w:history="1">
        <w:r w:rsidR="00260629" w:rsidRPr="00610B1B">
          <w:rPr>
            <w:rStyle w:val="Hyperlink"/>
            <w:rFonts w:cs="Times New Roman"/>
            <w:noProof/>
          </w:rPr>
          <w:t>Фигура 7: Разпределение на средната плътност на риболовния флот през 2017-2018 г., в часове на km</w:t>
        </w:r>
        <w:r w:rsidR="00260629" w:rsidRPr="00610B1B">
          <w:rPr>
            <w:rStyle w:val="Hyperlink"/>
            <w:rFonts w:cs="Times New Roman"/>
            <w:noProof/>
            <w:position w:val="8"/>
          </w:rPr>
          <w:t>2</w:t>
        </w:r>
        <w:r w:rsidR="00260629" w:rsidRPr="00610B1B">
          <w:rPr>
            <w:rStyle w:val="Hyperlink"/>
            <w:rFonts w:cs="Times New Roman"/>
            <w:noProof/>
          </w:rPr>
          <w:t xml:space="preserve"> на година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_Toc83391470 \h </w:instrText>
        </w:r>
        <w:r w:rsidR="00260629" w:rsidRPr="00610B1B">
          <w:rPr>
            <w:noProof/>
            <w:webHidden/>
          </w:rPr>
        </w:r>
        <w:r w:rsidR="00260629" w:rsidRPr="00610B1B">
          <w:rPr>
            <w:noProof/>
            <w:webHidden/>
          </w:rPr>
          <w:fldChar w:fldCharType="separate"/>
        </w:r>
        <w:r w:rsidR="00D91614">
          <w:rPr>
            <w:noProof/>
            <w:webHidden/>
          </w:rPr>
          <w:t>86</w:t>
        </w:r>
        <w:r w:rsidR="00260629" w:rsidRPr="00610B1B">
          <w:rPr>
            <w:noProof/>
            <w:webHidden/>
          </w:rPr>
          <w:fldChar w:fldCharType="end"/>
        </w:r>
      </w:hyperlink>
    </w:p>
    <w:p w14:paraId="57F2078A" w14:textId="2CF2BC2C"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1" w:history="1">
        <w:r w:rsidR="00260629" w:rsidRPr="00610B1B">
          <w:rPr>
            <w:rStyle w:val="Hyperlink"/>
            <w:rFonts w:cs="Times New Roman"/>
            <w:noProof/>
          </w:rPr>
          <w:t>Фигура 8: Транзитни маршрути на кораби, влезли и излезли от пристанище Варна и Бургас за м. януари 2019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_Toc83391471 \h </w:instrText>
        </w:r>
        <w:r w:rsidR="00260629" w:rsidRPr="00610B1B">
          <w:rPr>
            <w:noProof/>
            <w:webHidden/>
          </w:rPr>
        </w:r>
        <w:r w:rsidR="00260629" w:rsidRPr="00610B1B">
          <w:rPr>
            <w:noProof/>
            <w:webHidden/>
          </w:rPr>
          <w:fldChar w:fldCharType="separate"/>
        </w:r>
        <w:r w:rsidR="00D91614">
          <w:rPr>
            <w:noProof/>
            <w:webHidden/>
          </w:rPr>
          <w:t>122</w:t>
        </w:r>
        <w:r w:rsidR="00260629" w:rsidRPr="00610B1B">
          <w:rPr>
            <w:noProof/>
            <w:webHidden/>
          </w:rPr>
          <w:fldChar w:fldCharType="end"/>
        </w:r>
      </w:hyperlink>
    </w:p>
    <w:p w14:paraId="7B181A3D" w14:textId="17C2F50F"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2" w:history="1">
        <w:r w:rsidR="00260629" w:rsidRPr="00610B1B">
          <w:rPr>
            <w:rStyle w:val="Hyperlink"/>
            <w:rFonts w:cs="Times New Roman"/>
            <w:noProof/>
          </w:rPr>
          <w:t>Фигура 9: Общо контейнери внос/износ по региони (TEUs)</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_Toc83391472 \h </w:instrText>
        </w:r>
        <w:r w:rsidR="00260629" w:rsidRPr="00610B1B">
          <w:rPr>
            <w:noProof/>
            <w:webHidden/>
          </w:rPr>
        </w:r>
        <w:r w:rsidR="00260629" w:rsidRPr="00610B1B">
          <w:rPr>
            <w:noProof/>
            <w:webHidden/>
          </w:rPr>
          <w:fldChar w:fldCharType="separate"/>
        </w:r>
        <w:r w:rsidR="00D91614">
          <w:rPr>
            <w:noProof/>
            <w:webHidden/>
          </w:rPr>
          <w:t>122</w:t>
        </w:r>
        <w:r w:rsidR="00260629" w:rsidRPr="00610B1B">
          <w:rPr>
            <w:noProof/>
            <w:webHidden/>
          </w:rPr>
          <w:fldChar w:fldCharType="end"/>
        </w:r>
      </w:hyperlink>
    </w:p>
    <w:p w14:paraId="66B37F95" w14:textId="0C0CFF49"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3" w:history="1">
        <w:r w:rsidR="00260629" w:rsidRPr="00610B1B">
          <w:rPr>
            <w:rStyle w:val="Hyperlink"/>
            <w:rFonts w:cs="Times New Roman"/>
            <w:noProof/>
          </w:rPr>
          <w:t xml:space="preserve">Фигура 10: </w:t>
        </w:r>
        <w:r w:rsidR="00260629" w:rsidRPr="00610B1B">
          <w:rPr>
            <w:rStyle w:val="Hyperlink"/>
            <w:rFonts w:eastAsiaTheme="minorHAnsi" w:cs="Times New Roman"/>
            <w:noProof/>
            <w:lang w:eastAsia="en-US"/>
          </w:rPr>
          <w:t>Внос на контейнери (TEUs) по региони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_Toc83391473 \h </w:instrText>
        </w:r>
        <w:r w:rsidR="00260629" w:rsidRPr="00610B1B">
          <w:rPr>
            <w:noProof/>
            <w:webHidden/>
          </w:rPr>
        </w:r>
        <w:r w:rsidR="00260629" w:rsidRPr="00610B1B">
          <w:rPr>
            <w:noProof/>
            <w:webHidden/>
          </w:rPr>
          <w:fldChar w:fldCharType="separate"/>
        </w:r>
        <w:r w:rsidR="00D91614">
          <w:rPr>
            <w:noProof/>
            <w:webHidden/>
          </w:rPr>
          <w:t>123</w:t>
        </w:r>
        <w:r w:rsidR="00260629" w:rsidRPr="00610B1B">
          <w:rPr>
            <w:noProof/>
            <w:webHidden/>
          </w:rPr>
          <w:fldChar w:fldCharType="end"/>
        </w:r>
      </w:hyperlink>
    </w:p>
    <w:p w14:paraId="0F3266DA" w14:textId="474C9576"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4" w:history="1">
        <w:r w:rsidR="00260629" w:rsidRPr="00610B1B">
          <w:rPr>
            <w:rStyle w:val="Hyperlink"/>
            <w:rFonts w:cs="Times New Roman"/>
            <w:noProof/>
          </w:rPr>
          <w:t xml:space="preserve">Фигура 11: </w:t>
        </w:r>
        <w:r w:rsidR="00260629" w:rsidRPr="00610B1B">
          <w:rPr>
            <w:rStyle w:val="Hyperlink"/>
            <w:rFonts w:cs="Times New Roman"/>
            <w:noProof/>
            <w:lang w:eastAsia="en-US"/>
          </w:rPr>
          <w:t>Износ на контейнери (TEUs) по региони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_Toc83391474 \h </w:instrText>
        </w:r>
        <w:r w:rsidR="00260629" w:rsidRPr="00610B1B">
          <w:rPr>
            <w:noProof/>
            <w:webHidden/>
          </w:rPr>
        </w:r>
        <w:r w:rsidR="00260629" w:rsidRPr="00610B1B">
          <w:rPr>
            <w:noProof/>
            <w:webHidden/>
          </w:rPr>
          <w:fldChar w:fldCharType="separate"/>
        </w:r>
        <w:r w:rsidR="00D91614">
          <w:rPr>
            <w:noProof/>
            <w:webHidden/>
          </w:rPr>
          <w:t>123</w:t>
        </w:r>
        <w:r w:rsidR="00260629" w:rsidRPr="00610B1B">
          <w:rPr>
            <w:noProof/>
            <w:webHidden/>
          </w:rPr>
          <w:fldChar w:fldCharType="end"/>
        </w:r>
      </w:hyperlink>
    </w:p>
    <w:p w14:paraId="1BA06601" w14:textId="2BDC6A16"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5" w:history="1">
        <w:r w:rsidR="00260629" w:rsidRPr="00610B1B">
          <w:rPr>
            <w:rStyle w:val="Hyperlink"/>
            <w:rFonts w:cs="Times New Roman"/>
            <w:noProof/>
          </w:rPr>
          <w:t xml:space="preserve">Фигура 12: </w:t>
        </w:r>
        <w:r w:rsidR="00260629" w:rsidRPr="00610B1B">
          <w:rPr>
            <w:rStyle w:val="Hyperlink"/>
            <w:rFonts w:eastAsiaTheme="minorHAnsi" w:cs="Times New Roman"/>
            <w:noProof/>
            <w:lang w:eastAsia="en-US"/>
          </w:rPr>
          <w:t>Товарооборот на пристанищата Варна и Бургас</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_Toc83391475 \h </w:instrText>
        </w:r>
        <w:r w:rsidR="00260629" w:rsidRPr="00610B1B">
          <w:rPr>
            <w:noProof/>
            <w:webHidden/>
          </w:rPr>
        </w:r>
        <w:r w:rsidR="00260629" w:rsidRPr="00610B1B">
          <w:rPr>
            <w:noProof/>
            <w:webHidden/>
          </w:rPr>
          <w:fldChar w:fldCharType="separate"/>
        </w:r>
        <w:r w:rsidR="00D91614">
          <w:rPr>
            <w:noProof/>
            <w:webHidden/>
          </w:rPr>
          <w:t>124</w:t>
        </w:r>
        <w:r w:rsidR="00260629" w:rsidRPr="00610B1B">
          <w:rPr>
            <w:noProof/>
            <w:webHidden/>
          </w:rPr>
          <w:fldChar w:fldCharType="end"/>
        </w:r>
      </w:hyperlink>
    </w:p>
    <w:p w14:paraId="7375FFAA" w14:textId="11EB5551"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6" w:history="1">
        <w:r w:rsidR="00260629" w:rsidRPr="00610B1B">
          <w:rPr>
            <w:rStyle w:val="Hyperlink"/>
            <w:rFonts w:cs="Times New Roman"/>
            <w:noProof/>
          </w:rPr>
          <w:t>Фигура 13: Обобщена графика за Бургас и Варна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_Toc83391476 \h </w:instrText>
        </w:r>
        <w:r w:rsidR="00260629" w:rsidRPr="00610B1B">
          <w:rPr>
            <w:noProof/>
            <w:webHidden/>
          </w:rPr>
        </w:r>
        <w:r w:rsidR="00260629" w:rsidRPr="00610B1B">
          <w:rPr>
            <w:noProof/>
            <w:webHidden/>
          </w:rPr>
          <w:fldChar w:fldCharType="separate"/>
        </w:r>
        <w:r w:rsidR="00D91614">
          <w:rPr>
            <w:noProof/>
            <w:webHidden/>
          </w:rPr>
          <w:t>125</w:t>
        </w:r>
        <w:r w:rsidR="00260629" w:rsidRPr="00610B1B">
          <w:rPr>
            <w:noProof/>
            <w:webHidden/>
          </w:rPr>
          <w:fldChar w:fldCharType="end"/>
        </w:r>
      </w:hyperlink>
    </w:p>
    <w:p w14:paraId="10DE0BA8" w14:textId="661B765D"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7" w:history="1">
        <w:r w:rsidR="00260629" w:rsidRPr="00610B1B">
          <w:rPr>
            <w:rStyle w:val="Hyperlink"/>
            <w:rFonts w:cs="Times New Roman"/>
            <w:noProof/>
          </w:rPr>
          <w:t>Фигура 14: Оценка на любителския риболов в българската акватория на Черно море по предложените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_Toc83391477 \h </w:instrText>
        </w:r>
        <w:r w:rsidR="00260629" w:rsidRPr="00610B1B">
          <w:rPr>
            <w:noProof/>
            <w:webHidden/>
          </w:rPr>
        </w:r>
        <w:r w:rsidR="00260629" w:rsidRPr="00610B1B">
          <w:rPr>
            <w:noProof/>
            <w:webHidden/>
          </w:rPr>
          <w:fldChar w:fldCharType="separate"/>
        </w:r>
        <w:r w:rsidR="00D91614">
          <w:rPr>
            <w:noProof/>
            <w:webHidden/>
          </w:rPr>
          <w:t>135</w:t>
        </w:r>
        <w:r w:rsidR="00260629" w:rsidRPr="00610B1B">
          <w:rPr>
            <w:noProof/>
            <w:webHidden/>
          </w:rPr>
          <w:fldChar w:fldCharType="end"/>
        </w:r>
      </w:hyperlink>
    </w:p>
    <w:p w14:paraId="3171D8EA" w14:textId="4698B32A"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8" w:history="1">
        <w:r w:rsidR="00260629" w:rsidRPr="00610B1B">
          <w:rPr>
            <w:rStyle w:val="Hyperlink"/>
            <w:rFonts w:cs="Times New Roman"/>
            <w:noProof/>
          </w:rPr>
          <w:t>Фигура 15: Численост на риболовния флот за периода 2012-2019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_Toc83391478 \h </w:instrText>
        </w:r>
        <w:r w:rsidR="00260629" w:rsidRPr="00610B1B">
          <w:rPr>
            <w:noProof/>
            <w:webHidden/>
          </w:rPr>
        </w:r>
        <w:r w:rsidR="00260629" w:rsidRPr="00610B1B">
          <w:rPr>
            <w:noProof/>
            <w:webHidden/>
          </w:rPr>
          <w:fldChar w:fldCharType="separate"/>
        </w:r>
        <w:r w:rsidR="00D91614">
          <w:rPr>
            <w:noProof/>
            <w:webHidden/>
          </w:rPr>
          <w:t>135</w:t>
        </w:r>
        <w:r w:rsidR="00260629" w:rsidRPr="00610B1B">
          <w:rPr>
            <w:noProof/>
            <w:webHidden/>
          </w:rPr>
          <w:fldChar w:fldCharType="end"/>
        </w:r>
      </w:hyperlink>
    </w:p>
    <w:p w14:paraId="779B5B47" w14:textId="5F1041CA"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79" w:history="1">
        <w:r w:rsidR="00260629" w:rsidRPr="00610B1B">
          <w:rPr>
            <w:rStyle w:val="Hyperlink"/>
            <w:rFonts w:cs="Times New Roman"/>
            <w:noProof/>
          </w:rPr>
          <w:t>Фигура 16: Разтоварен улов в кг. от даляни в периода 2015-2019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_Toc83391479 \h </w:instrText>
        </w:r>
        <w:r w:rsidR="00260629" w:rsidRPr="00610B1B">
          <w:rPr>
            <w:noProof/>
            <w:webHidden/>
          </w:rPr>
        </w:r>
        <w:r w:rsidR="00260629" w:rsidRPr="00610B1B">
          <w:rPr>
            <w:noProof/>
            <w:webHidden/>
          </w:rPr>
          <w:fldChar w:fldCharType="separate"/>
        </w:r>
        <w:r w:rsidR="00D91614">
          <w:rPr>
            <w:noProof/>
            <w:webHidden/>
          </w:rPr>
          <w:t>136</w:t>
        </w:r>
        <w:r w:rsidR="00260629" w:rsidRPr="00610B1B">
          <w:rPr>
            <w:noProof/>
            <w:webHidden/>
          </w:rPr>
          <w:fldChar w:fldCharType="end"/>
        </w:r>
      </w:hyperlink>
    </w:p>
    <w:p w14:paraId="1E099D91" w14:textId="07E2314A"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0" w:history="1">
        <w:r w:rsidR="00260629" w:rsidRPr="00610B1B">
          <w:rPr>
            <w:rStyle w:val="Hyperlink"/>
            <w:rFonts w:cs="Times New Roman"/>
            <w:noProof/>
          </w:rPr>
          <w:t>Фигура 17: Разтоварване стопански риболов (2015-2019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_Toc83391480 \h </w:instrText>
        </w:r>
        <w:r w:rsidR="00260629" w:rsidRPr="00610B1B">
          <w:rPr>
            <w:noProof/>
            <w:webHidden/>
          </w:rPr>
        </w:r>
        <w:r w:rsidR="00260629" w:rsidRPr="00610B1B">
          <w:rPr>
            <w:noProof/>
            <w:webHidden/>
          </w:rPr>
          <w:fldChar w:fldCharType="separate"/>
        </w:r>
        <w:r w:rsidR="00D91614">
          <w:rPr>
            <w:noProof/>
            <w:webHidden/>
          </w:rPr>
          <w:t>137</w:t>
        </w:r>
        <w:r w:rsidR="00260629" w:rsidRPr="00610B1B">
          <w:rPr>
            <w:noProof/>
            <w:webHidden/>
          </w:rPr>
          <w:fldChar w:fldCharType="end"/>
        </w:r>
      </w:hyperlink>
    </w:p>
    <w:p w14:paraId="71EE975E" w14:textId="6B1E22E1"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1" w:history="1">
        <w:r w:rsidR="00260629" w:rsidRPr="00610B1B">
          <w:rPr>
            <w:rStyle w:val="Hyperlink"/>
            <w:rFonts w:cs="Times New Roman"/>
            <w:noProof/>
          </w:rPr>
          <w:t>Фигура 18: Нива на улов в kg за периода 2015 – 2019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_Toc83391481 \h </w:instrText>
        </w:r>
        <w:r w:rsidR="00260629" w:rsidRPr="00610B1B">
          <w:rPr>
            <w:noProof/>
            <w:webHidden/>
          </w:rPr>
        </w:r>
        <w:r w:rsidR="00260629" w:rsidRPr="00610B1B">
          <w:rPr>
            <w:noProof/>
            <w:webHidden/>
          </w:rPr>
          <w:fldChar w:fldCharType="separate"/>
        </w:r>
        <w:r w:rsidR="00D91614">
          <w:rPr>
            <w:noProof/>
            <w:webHidden/>
          </w:rPr>
          <w:t>138</w:t>
        </w:r>
        <w:r w:rsidR="00260629" w:rsidRPr="00610B1B">
          <w:rPr>
            <w:noProof/>
            <w:webHidden/>
          </w:rPr>
          <w:fldChar w:fldCharType="end"/>
        </w:r>
      </w:hyperlink>
    </w:p>
    <w:p w14:paraId="6931ED3A" w14:textId="1D8567EC"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2" w:history="1">
        <w:r w:rsidR="00260629" w:rsidRPr="00610B1B">
          <w:rPr>
            <w:rStyle w:val="Hyperlink"/>
            <w:rFonts w:cs="Times New Roman"/>
            <w:noProof/>
          </w:rPr>
          <w:t>Фигура 19: Сезонно разпределение на улова по видове за периода 2015-2018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_Toc83391482 \h </w:instrText>
        </w:r>
        <w:r w:rsidR="00260629" w:rsidRPr="00610B1B">
          <w:rPr>
            <w:noProof/>
            <w:webHidden/>
          </w:rPr>
        </w:r>
        <w:r w:rsidR="00260629" w:rsidRPr="00610B1B">
          <w:rPr>
            <w:noProof/>
            <w:webHidden/>
          </w:rPr>
          <w:fldChar w:fldCharType="separate"/>
        </w:r>
        <w:r w:rsidR="00D91614">
          <w:rPr>
            <w:noProof/>
            <w:webHidden/>
          </w:rPr>
          <w:t>138</w:t>
        </w:r>
        <w:r w:rsidR="00260629" w:rsidRPr="00610B1B">
          <w:rPr>
            <w:noProof/>
            <w:webHidden/>
          </w:rPr>
          <w:fldChar w:fldCharType="end"/>
        </w:r>
      </w:hyperlink>
    </w:p>
    <w:p w14:paraId="3B66C27B" w14:textId="7E2CFCA8"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3" w:history="1">
        <w:r w:rsidR="00260629" w:rsidRPr="00610B1B">
          <w:rPr>
            <w:rStyle w:val="Hyperlink"/>
            <w:rFonts w:cs="Times New Roman"/>
            <w:noProof/>
          </w:rPr>
          <w:t>Фигура 20: Оценка на стопанския риболов в българската акватория на Черно море по предложените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_Toc83391483 \h </w:instrText>
        </w:r>
        <w:r w:rsidR="00260629" w:rsidRPr="00610B1B">
          <w:rPr>
            <w:noProof/>
            <w:webHidden/>
          </w:rPr>
        </w:r>
        <w:r w:rsidR="00260629" w:rsidRPr="00610B1B">
          <w:rPr>
            <w:noProof/>
            <w:webHidden/>
          </w:rPr>
          <w:fldChar w:fldCharType="separate"/>
        </w:r>
        <w:r w:rsidR="00D91614">
          <w:rPr>
            <w:noProof/>
            <w:webHidden/>
          </w:rPr>
          <w:t>140</w:t>
        </w:r>
        <w:r w:rsidR="00260629" w:rsidRPr="00610B1B">
          <w:rPr>
            <w:noProof/>
            <w:webHidden/>
          </w:rPr>
          <w:fldChar w:fldCharType="end"/>
        </w:r>
      </w:hyperlink>
    </w:p>
    <w:p w14:paraId="703FBE8C" w14:textId="1EE5C107"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4" w:history="1">
        <w:r w:rsidR="00260629" w:rsidRPr="00610B1B">
          <w:rPr>
            <w:rStyle w:val="Hyperlink"/>
            <w:rFonts w:cs="Times New Roman"/>
            <w:noProof/>
          </w:rPr>
          <w:t>Фигура 21: Годишно производство на аквакултури в Р. България (в тона) за периода 2015-2019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_Toc83391484 \h </w:instrText>
        </w:r>
        <w:r w:rsidR="00260629" w:rsidRPr="00610B1B">
          <w:rPr>
            <w:noProof/>
            <w:webHidden/>
          </w:rPr>
        </w:r>
        <w:r w:rsidR="00260629" w:rsidRPr="00610B1B">
          <w:rPr>
            <w:noProof/>
            <w:webHidden/>
          </w:rPr>
          <w:fldChar w:fldCharType="separate"/>
        </w:r>
        <w:r w:rsidR="00D91614">
          <w:rPr>
            <w:noProof/>
            <w:webHidden/>
          </w:rPr>
          <w:t>141</w:t>
        </w:r>
        <w:r w:rsidR="00260629" w:rsidRPr="00610B1B">
          <w:rPr>
            <w:noProof/>
            <w:webHidden/>
          </w:rPr>
          <w:fldChar w:fldCharType="end"/>
        </w:r>
      </w:hyperlink>
    </w:p>
    <w:p w14:paraId="587E0734" w14:textId="6F2AF717"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5" w:history="1">
        <w:r w:rsidR="00260629" w:rsidRPr="00610B1B">
          <w:rPr>
            <w:rStyle w:val="Hyperlink"/>
            <w:rFonts w:cs="Times New Roman"/>
            <w:noProof/>
          </w:rPr>
          <w:t>Фигура 22: Оценка на сектор аквакултури в българската акватория на Черно море по предложените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_Toc83391485 \h </w:instrText>
        </w:r>
        <w:r w:rsidR="00260629" w:rsidRPr="00610B1B">
          <w:rPr>
            <w:noProof/>
            <w:webHidden/>
          </w:rPr>
        </w:r>
        <w:r w:rsidR="00260629" w:rsidRPr="00610B1B">
          <w:rPr>
            <w:noProof/>
            <w:webHidden/>
          </w:rPr>
          <w:fldChar w:fldCharType="separate"/>
        </w:r>
        <w:r w:rsidR="00D91614">
          <w:rPr>
            <w:noProof/>
            <w:webHidden/>
          </w:rPr>
          <w:t>141</w:t>
        </w:r>
        <w:r w:rsidR="00260629" w:rsidRPr="00610B1B">
          <w:rPr>
            <w:noProof/>
            <w:webHidden/>
          </w:rPr>
          <w:fldChar w:fldCharType="end"/>
        </w:r>
      </w:hyperlink>
    </w:p>
    <w:p w14:paraId="75E749F4" w14:textId="5E562D7B"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6" w:history="1">
        <w:r w:rsidR="00260629" w:rsidRPr="00610B1B">
          <w:rPr>
            <w:rStyle w:val="Hyperlink"/>
            <w:rFonts w:cs="Times New Roman"/>
            <w:noProof/>
          </w:rPr>
          <w:t>Фигура 23: Оценка на рибопреработка в българската акватория на Черно море по предложените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_Toc83391486 \h </w:instrText>
        </w:r>
        <w:r w:rsidR="00260629" w:rsidRPr="00610B1B">
          <w:rPr>
            <w:noProof/>
            <w:webHidden/>
          </w:rPr>
        </w:r>
        <w:r w:rsidR="00260629" w:rsidRPr="00610B1B">
          <w:rPr>
            <w:noProof/>
            <w:webHidden/>
          </w:rPr>
          <w:fldChar w:fldCharType="separate"/>
        </w:r>
        <w:r w:rsidR="00D91614">
          <w:rPr>
            <w:noProof/>
            <w:webHidden/>
          </w:rPr>
          <w:t>142</w:t>
        </w:r>
        <w:r w:rsidR="00260629" w:rsidRPr="00610B1B">
          <w:rPr>
            <w:noProof/>
            <w:webHidden/>
          </w:rPr>
          <w:fldChar w:fldCharType="end"/>
        </w:r>
      </w:hyperlink>
    </w:p>
    <w:p w14:paraId="450CFD57" w14:textId="2B1BB8E7"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7" w:history="1">
        <w:r w:rsidR="00260629" w:rsidRPr="00610B1B">
          <w:rPr>
            <w:rStyle w:val="Hyperlink"/>
            <w:rFonts w:cs="Times New Roman"/>
            <w:noProof/>
          </w:rPr>
          <w:t>Фигура 24: Реализирани нощувки по общини, 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_Toc83391487 \h </w:instrText>
        </w:r>
        <w:r w:rsidR="00260629" w:rsidRPr="00610B1B">
          <w:rPr>
            <w:noProof/>
            <w:webHidden/>
          </w:rPr>
        </w:r>
        <w:r w:rsidR="00260629" w:rsidRPr="00610B1B">
          <w:rPr>
            <w:noProof/>
            <w:webHidden/>
          </w:rPr>
          <w:fldChar w:fldCharType="separate"/>
        </w:r>
        <w:r w:rsidR="00D91614">
          <w:rPr>
            <w:noProof/>
            <w:webHidden/>
          </w:rPr>
          <w:t>147</w:t>
        </w:r>
        <w:r w:rsidR="00260629" w:rsidRPr="00610B1B">
          <w:rPr>
            <w:noProof/>
            <w:webHidden/>
          </w:rPr>
          <w:fldChar w:fldCharType="end"/>
        </w:r>
      </w:hyperlink>
    </w:p>
    <w:p w14:paraId="1E5FDB6F" w14:textId="3350DEB1"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8" w:history="1">
        <w:r w:rsidR="00260629" w:rsidRPr="00610B1B">
          <w:rPr>
            <w:rStyle w:val="Hyperlink"/>
            <w:rFonts w:cs="Times New Roman"/>
            <w:noProof/>
          </w:rPr>
          <w:t>Фигура 25: Трасета на основните оптични кабелни системи в Черно море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_Toc83391488 \h </w:instrText>
        </w:r>
        <w:r w:rsidR="00260629" w:rsidRPr="00610B1B">
          <w:rPr>
            <w:noProof/>
            <w:webHidden/>
          </w:rPr>
        </w:r>
        <w:r w:rsidR="00260629" w:rsidRPr="00610B1B">
          <w:rPr>
            <w:noProof/>
            <w:webHidden/>
          </w:rPr>
          <w:fldChar w:fldCharType="separate"/>
        </w:r>
        <w:r w:rsidR="00D91614">
          <w:rPr>
            <w:noProof/>
            <w:webHidden/>
          </w:rPr>
          <w:t>153</w:t>
        </w:r>
        <w:r w:rsidR="00260629" w:rsidRPr="00610B1B">
          <w:rPr>
            <w:noProof/>
            <w:webHidden/>
          </w:rPr>
          <w:fldChar w:fldCharType="end"/>
        </w:r>
      </w:hyperlink>
    </w:p>
    <w:p w14:paraId="5E71E938" w14:textId="721B3834"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89" w:history="1">
        <w:r w:rsidR="00260629" w:rsidRPr="00610B1B">
          <w:rPr>
            <w:rStyle w:val="Hyperlink"/>
            <w:rFonts w:cs="Times New Roman"/>
            <w:noProof/>
          </w:rPr>
          <w:t>Фигура 26: Трасе на CAUCASUS Cable System - Балчик – Поти (Грузия)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_Toc83391489 \h </w:instrText>
        </w:r>
        <w:r w:rsidR="00260629" w:rsidRPr="00610B1B">
          <w:rPr>
            <w:noProof/>
            <w:webHidden/>
          </w:rPr>
        </w:r>
        <w:r w:rsidR="00260629" w:rsidRPr="00610B1B">
          <w:rPr>
            <w:noProof/>
            <w:webHidden/>
          </w:rPr>
          <w:fldChar w:fldCharType="separate"/>
        </w:r>
        <w:r w:rsidR="00D91614">
          <w:rPr>
            <w:noProof/>
            <w:webHidden/>
          </w:rPr>
          <w:t>153</w:t>
        </w:r>
        <w:r w:rsidR="00260629" w:rsidRPr="00610B1B">
          <w:rPr>
            <w:noProof/>
            <w:webHidden/>
          </w:rPr>
          <w:fldChar w:fldCharType="end"/>
        </w:r>
      </w:hyperlink>
    </w:p>
    <w:p w14:paraId="530CF683" w14:textId="7CFBDE1E"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0" w:history="1">
        <w:r w:rsidR="00260629" w:rsidRPr="00610B1B">
          <w:rPr>
            <w:rStyle w:val="Hyperlink"/>
            <w:rFonts w:cs="Times New Roman"/>
            <w:noProof/>
          </w:rPr>
          <w:t>Фигура 27: Относителен дял на домакинствата с достъп до интернет и широколентов достъп до интернет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_Toc83391490 \h </w:instrText>
        </w:r>
        <w:r w:rsidR="00260629" w:rsidRPr="00610B1B">
          <w:rPr>
            <w:noProof/>
            <w:webHidden/>
          </w:rPr>
        </w:r>
        <w:r w:rsidR="00260629" w:rsidRPr="00610B1B">
          <w:rPr>
            <w:noProof/>
            <w:webHidden/>
          </w:rPr>
          <w:fldChar w:fldCharType="separate"/>
        </w:r>
        <w:r w:rsidR="00D91614">
          <w:rPr>
            <w:noProof/>
            <w:webHidden/>
          </w:rPr>
          <w:t>154</w:t>
        </w:r>
        <w:r w:rsidR="00260629" w:rsidRPr="00610B1B">
          <w:rPr>
            <w:noProof/>
            <w:webHidden/>
          </w:rPr>
          <w:fldChar w:fldCharType="end"/>
        </w:r>
      </w:hyperlink>
    </w:p>
    <w:p w14:paraId="3359F262" w14:textId="61913B00"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1" w:history="1">
        <w:r w:rsidR="00260629" w:rsidRPr="00610B1B">
          <w:rPr>
            <w:rStyle w:val="Hyperlink"/>
            <w:rFonts w:cs="Times New Roman"/>
            <w:noProof/>
          </w:rPr>
          <w:t>Фигура 28: Заети лица в секторите на синята икономика в България, брой, 2017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_Toc83391491 \h </w:instrText>
        </w:r>
        <w:r w:rsidR="00260629" w:rsidRPr="00610B1B">
          <w:rPr>
            <w:noProof/>
            <w:webHidden/>
          </w:rPr>
        </w:r>
        <w:r w:rsidR="00260629" w:rsidRPr="00610B1B">
          <w:rPr>
            <w:noProof/>
            <w:webHidden/>
          </w:rPr>
          <w:fldChar w:fldCharType="separate"/>
        </w:r>
        <w:r w:rsidR="00D91614">
          <w:rPr>
            <w:noProof/>
            <w:webHidden/>
          </w:rPr>
          <w:t>162</w:t>
        </w:r>
        <w:r w:rsidR="00260629" w:rsidRPr="00610B1B">
          <w:rPr>
            <w:noProof/>
            <w:webHidden/>
          </w:rPr>
          <w:fldChar w:fldCharType="end"/>
        </w:r>
      </w:hyperlink>
    </w:p>
    <w:p w14:paraId="1CB45792" w14:textId="1B915AF9"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2" w:history="1">
        <w:r w:rsidR="00260629" w:rsidRPr="00610B1B">
          <w:rPr>
            <w:rStyle w:val="Hyperlink"/>
            <w:rFonts w:cs="Times New Roman"/>
            <w:noProof/>
          </w:rPr>
          <w:t>Фигура 29: БДС на секторите на синята икономика в България, млн.евро, 2017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_Toc83391492 \h </w:instrText>
        </w:r>
        <w:r w:rsidR="00260629" w:rsidRPr="00610B1B">
          <w:rPr>
            <w:noProof/>
            <w:webHidden/>
          </w:rPr>
        </w:r>
        <w:r w:rsidR="00260629" w:rsidRPr="00610B1B">
          <w:rPr>
            <w:noProof/>
            <w:webHidden/>
          </w:rPr>
          <w:fldChar w:fldCharType="separate"/>
        </w:r>
        <w:r w:rsidR="00D91614">
          <w:rPr>
            <w:noProof/>
            <w:webHidden/>
          </w:rPr>
          <w:t>162</w:t>
        </w:r>
        <w:r w:rsidR="00260629" w:rsidRPr="00610B1B">
          <w:rPr>
            <w:noProof/>
            <w:webHidden/>
          </w:rPr>
          <w:fldChar w:fldCharType="end"/>
        </w:r>
      </w:hyperlink>
    </w:p>
    <w:p w14:paraId="4D9037D5" w14:textId="325BD27B"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3" w:history="1">
        <w:r w:rsidR="00260629" w:rsidRPr="00610B1B">
          <w:rPr>
            <w:rStyle w:val="Hyperlink"/>
            <w:rFonts w:cs="Times New Roman"/>
            <w:noProof/>
          </w:rPr>
          <w:t xml:space="preserve">Фигура 30: </w:t>
        </w:r>
        <w:r w:rsidR="00260629" w:rsidRPr="00610B1B">
          <w:rPr>
            <w:rStyle w:val="Hyperlink"/>
            <w:rFonts w:cs="Times New Roman"/>
            <w:bCs/>
            <w:noProof/>
          </w:rPr>
          <w:t>Брой средства за подслон и места за настаняване –по общини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_Toc83391493 \h </w:instrText>
        </w:r>
        <w:r w:rsidR="00260629" w:rsidRPr="00610B1B">
          <w:rPr>
            <w:noProof/>
            <w:webHidden/>
          </w:rPr>
        </w:r>
        <w:r w:rsidR="00260629" w:rsidRPr="00610B1B">
          <w:rPr>
            <w:noProof/>
            <w:webHidden/>
          </w:rPr>
          <w:fldChar w:fldCharType="separate"/>
        </w:r>
        <w:r w:rsidR="00D91614">
          <w:rPr>
            <w:noProof/>
            <w:webHidden/>
          </w:rPr>
          <w:t>165</w:t>
        </w:r>
        <w:r w:rsidR="00260629" w:rsidRPr="00610B1B">
          <w:rPr>
            <w:noProof/>
            <w:webHidden/>
          </w:rPr>
          <w:fldChar w:fldCharType="end"/>
        </w:r>
      </w:hyperlink>
    </w:p>
    <w:p w14:paraId="30BABE45" w14:textId="07A6923A"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4" w:history="1">
        <w:r w:rsidR="00260629" w:rsidRPr="00610B1B">
          <w:rPr>
            <w:rStyle w:val="Hyperlink"/>
            <w:rFonts w:cs="Times New Roman"/>
            <w:noProof/>
          </w:rPr>
          <w:t xml:space="preserve">Фигура 31: </w:t>
        </w:r>
        <w:r w:rsidR="00260629" w:rsidRPr="00610B1B">
          <w:rPr>
            <w:rStyle w:val="Hyperlink"/>
            <w:rFonts w:cs="Times New Roman"/>
            <w:bCs/>
            <w:noProof/>
          </w:rPr>
          <w:t>Приходи от нощувки – 2018 г. (%)</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_Toc83391494 \h </w:instrText>
        </w:r>
        <w:r w:rsidR="00260629" w:rsidRPr="00610B1B">
          <w:rPr>
            <w:noProof/>
            <w:webHidden/>
          </w:rPr>
        </w:r>
        <w:r w:rsidR="00260629" w:rsidRPr="00610B1B">
          <w:rPr>
            <w:noProof/>
            <w:webHidden/>
          </w:rPr>
          <w:fldChar w:fldCharType="separate"/>
        </w:r>
        <w:r w:rsidR="00D91614">
          <w:rPr>
            <w:noProof/>
            <w:webHidden/>
          </w:rPr>
          <w:t>165</w:t>
        </w:r>
        <w:r w:rsidR="00260629" w:rsidRPr="00610B1B">
          <w:rPr>
            <w:noProof/>
            <w:webHidden/>
          </w:rPr>
          <w:fldChar w:fldCharType="end"/>
        </w:r>
      </w:hyperlink>
    </w:p>
    <w:p w14:paraId="07223962" w14:textId="1C4470DF"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5" w:history="1">
        <w:r w:rsidR="00260629" w:rsidRPr="00610B1B">
          <w:rPr>
            <w:rStyle w:val="Hyperlink"/>
            <w:rFonts w:cs="Times New Roman"/>
            <w:noProof/>
          </w:rPr>
          <w:t xml:space="preserve">Фигура 32: </w:t>
        </w:r>
        <w:r w:rsidR="00260629" w:rsidRPr="00610B1B">
          <w:rPr>
            <w:rStyle w:val="Hyperlink"/>
            <w:rFonts w:cs="Times New Roman"/>
            <w:bCs/>
            <w:noProof/>
          </w:rPr>
          <w:t>Улови по общини за 2018 г., kg</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_Toc83391495 \h </w:instrText>
        </w:r>
        <w:r w:rsidR="00260629" w:rsidRPr="00610B1B">
          <w:rPr>
            <w:noProof/>
            <w:webHidden/>
          </w:rPr>
        </w:r>
        <w:r w:rsidR="00260629" w:rsidRPr="00610B1B">
          <w:rPr>
            <w:noProof/>
            <w:webHidden/>
          </w:rPr>
          <w:fldChar w:fldCharType="separate"/>
        </w:r>
        <w:r w:rsidR="00D91614">
          <w:rPr>
            <w:noProof/>
            <w:webHidden/>
          </w:rPr>
          <w:t>167</w:t>
        </w:r>
        <w:r w:rsidR="00260629" w:rsidRPr="00610B1B">
          <w:rPr>
            <w:noProof/>
            <w:webHidden/>
          </w:rPr>
          <w:fldChar w:fldCharType="end"/>
        </w:r>
      </w:hyperlink>
    </w:p>
    <w:p w14:paraId="47000FAF" w14:textId="08AADE87"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6" w:history="1">
        <w:r w:rsidR="00260629" w:rsidRPr="00610B1B">
          <w:rPr>
            <w:rStyle w:val="Hyperlink"/>
            <w:rFonts w:cs="Times New Roman"/>
            <w:noProof/>
          </w:rPr>
          <w:t xml:space="preserve">Фигура 33: </w:t>
        </w:r>
        <w:r w:rsidR="00260629" w:rsidRPr="00610B1B">
          <w:rPr>
            <w:rStyle w:val="Hyperlink"/>
            <w:rFonts w:cs="Times New Roman"/>
            <w:bCs/>
            <w:noProof/>
          </w:rPr>
          <w:t>Блоковете за търсене и проучване на нефт и природен газ на територията на Република България, континенталния шелф и ИИЗ на Черно море</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_Toc83391496 \h </w:instrText>
        </w:r>
        <w:r w:rsidR="00260629" w:rsidRPr="00610B1B">
          <w:rPr>
            <w:noProof/>
            <w:webHidden/>
          </w:rPr>
        </w:r>
        <w:r w:rsidR="00260629" w:rsidRPr="00610B1B">
          <w:rPr>
            <w:noProof/>
            <w:webHidden/>
          </w:rPr>
          <w:fldChar w:fldCharType="separate"/>
        </w:r>
        <w:r w:rsidR="00D91614">
          <w:rPr>
            <w:noProof/>
            <w:webHidden/>
          </w:rPr>
          <w:t>168</w:t>
        </w:r>
        <w:r w:rsidR="00260629" w:rsidRPr="00610B1B">
          <w:rPr>
            <w:noProof/>
            <w:webHidden/>
          </w:rPr>
          <w:fldChar w:fldCharType="end"/>
        </w:r>
      </w:hyperlink>
    </w:p>
    <w:p w14:paraId="6866976B" w14:textId="1E278769" w:rsidR="00260629" w:rsidRPr="00610B1B" w:rsidRDefault="004D033E">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497" w:history="1">
        <w:r w:rsidR="00260629" w:rsidRPr="00610B1B">
          <w:rPr>
            <w:rStyle w:val="Hyperlink"/>
            <w:rFonts w:cs="Times New Roman"/>
            <w:noProof/>
          </w:rPr>
          <w:t xml:space="preserve">Фигура 34: </w:t>
        </w:r>
        <w:r w:rsidR="00260629" w:rsidRPr="00610B1B">
          <w:rPr>
            <w:rStyle w:val="Hyperlink"/>
            <w:rFonts w:eastAsia="Times New Roman" w:cs="Times New Roman"/>
            <w:noProof/>
            <w:lang w:eastAsia="bg-BG"/>
          </w:rPr>
          <w:t>Институционална рамка на Морския пространствен план</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_Toc83391497 \h </w:instrText>
        </w:r>
        <w:r w:rsidR="00260629" w:rsidRPr="00610B1B">
          <w:rPr>
            <w:noProof/>
            <w:webHidden/>
          </w:rPr>
        </w:r>
        <w:r w:rsidR="00260629" w:rsidRPr="00610B1B">
          <w:rPr>
            <w:noProof/>
            <w:webHidden/>
          </w:rPr>
          <w:fldChar w:fldCharType="separate"/>
        </w:r>
        <w:r w:rsidR="00D91614">
          <w:rPr>
            <w:noProof/>
            <w:webHidden/>
          </w:rPr>
          <w:t>352</w:t>
        </w:r>
        <w:r w:rsidR="00260629" w:rsidRPr="00610B1B">
          <w:rPr>
            <w:noProof/>
            <w:webHidden/>
          </w:rPr>
          <w:fldChar w:fldCharType="end"/>
        </w:r>
      </w:hyperlink>
    </w:p>
    <w:p w14:paraId="409DD2A3" w14:textId="42CBE4D3" w:rsidR="00FC431F" w:rsidRPr="00610B1B" w:rsidRDefault="00FC431F" w:rsidP="004050A5">
      <w:pPr>
        <w:spacing w:after="120"/>
        <w:ind w:left="-426" w:right="-153"/>
        <w:rPr>
          <w:rFonts w:ascii="Times New Roman" w:hAnsi="Times New Roman" w:cs="Times New Roman"/>
          <w:sz w:val="24"/>
          <w:szCs w:val="24"/>
          <w:lang w:val="bg-BG"/>
        </w:rPr>
      </w:pP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br w:type="page"/>
      </w:r>
    </w:p>
    <w:p w14:paraId="53AECE20" w14:textId="1EE354E3" w:rsidR="00EC7555" w:rsidRPr="00610B1B" w:rsidRDefault="00EC7555" w:rsidP="00453BA1">
      <w:pPr>
        <w:pStyle w:val="Heading1"/>
        <w:spacing w:before="0" w:line="276" w:lineRule="auto"/>
        <w:rPr>
          <w:rFonts w:cs="Times New Roman"/>
        </w:rPr>
      </w:pPr>
      <w:bookmarkStart w:id="4" w:name="_Toc83391348"/>
      <w:r w:rsidRPr="00610B1B">
        <w:rPr>
          <w:rFonts w:cs="Times New Roman"/>
        </w:rPr>
        <w:lastRenderedPageBreak/>
        <w:t>СПИСЪК НА ТАБЛИЦИТЕ</w:t>
      </w:r>
      <w:bookmarkEnd w:id="4"/>
    </w:p>
    <w:p w14:paraId="45B137B8" w14:textId="34AB927C" w:rsidR="00260629" w:rsidRPr="00610B1B" w:rsidRDefault="00FC431F">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r w:rsidRPr="00610B1B">
        <w:rPr>
          <w:rFonts w:cs="Times New Roman"/>
        </w:rPr>
        <w:fldChar w:fldCharType="begin"/>
      </w:r>
      <w:r w:rsidRPr="00610B1B">
        <w:rPr>
          <w:rFonts w:cs="Times New Roman"/>
        </w:rPr>
        <w:instrText xml:space="preserve"> TOC \h \z \c "Таблица" </w:instrText>
      </w:r>
      <w:r w:rsidRPr="00610B1B">
        <w:rPr>
          <w:rFonts w:cs="Times New Roman"/>
        </w:rPr>
        <w:fldChar w:fldCharType="separate"/>
      </w:r>
      <w:hyperlink w:anchor="_Toc83391597" w:history="1">
        <w:r w:rsidR="00260629" w:rsidRPr="00610B1B">
          <w:rPr>
            <w:rStyle w:val="Hyperlink"/>
            <w:rFonts w:cs="Times New Roman"/>
            <w:noProof/>
          </w:rPr>
          <w:t>Таблица 1: Защитени територии по видове и области – брой</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_Toc83391597 \h </w:instrText>
        </w:r>
        <w:r w:rsidR="00260629" w:rsidRPr="00610B1B">
          <w:rPr>
            <w:noProof/>
            <w:webHidden/>
          </w:rPr>
        </w:r>
        <w:r w:rsidR="00260629" w:rsidRPr="00610B1B">
          <w:rPr>
            <w:noProof/>
            <w:webHidden/>
          </w:rPr>
          <w:fldChar w:fldCharType="separate"/>
        </w:r>
        <w:r w:rsidR="00260629" w:rsidRPr="00610B1B">
          <w:rPr>
            <w:noProof/>
            <w:webHidden/>
          </w:rPr>
          <w:t>95</w:t>
        </w:r>
        <w:r w:rsidR="00260629" w:rsidRPr="00610B1B">
          <w:rPr>
            <w:noProof/>
            <w:webHidden/>
          </w:rPr>
          <w:fldChar w:fldCharType="end"/>
        </w:r>
      </w:hyperlink>
    </w:p>
    <w:p w14:paraId="3AB370C0" w14:textId="2E1DA5CB"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598" w:history="1">
        <w:r w:rsidR="00260629" w:rsidRPr="00610B1B">
          <w:rPr>
            <w:rStyle w:val="Hyperlink"/>
            <w:rFonts w:cs="Times New Roman"/>
            <w:noProof/>
          </w:rPr>
          <w:t>Таблица 2: Брой и площ на защитените зони от мрежата “Натура 2000“ в България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_Toc83391598 \h </w:instrText>
        </w:r>
        <w:r w:rsidR="00260629" w:rsidRPr="00610B1B">
          <w:rPr>
            <w:noProof/>
            <w:webHidden/>
          </w:rPr>
        </w:r>
        <w:r w:rsidR="00260629" w:rsidRPr="00610B1B">
          <w:rPr>
            <w:noProof/>
            <w:webHidden/>
          </w:rPr>
          <w:fldChar w:fldCharType="separate"/>
        </w:r>
        <w:r w:rsidR="00260629" w:rsidRPr="00610B1B">
          <w:rPr>
            <w:noProof/>
            <w:webHidden/>
          </w:rPr>
          <w:t>97</w:t>
        </w:r>
        <w:r w:rsidR="00260629" w:rsidRPr="00610B1B">
          <w:rPr>
            <w:noProof/>
            <w:webHidden/>
          </w:rPr>
          <w:fldChar w:fldCharType="end"/>
        </w:r>
      </w:hyperlink>
    </w:p>
    <w:p w14:paraId="10F9469A" w14:textId="475DE6AA"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599" w:history="1">
        <w:r w:rsidR="00260629" w:rsidRPr="00610B1B">
          <w:rPr>
            <w:rStyle w:val="Hyperlink"/>
            <w:rFonts w:cs="Times New Roman"/>
            <w:noProof/>
          </w:rPr>
          <w:t>Таблица 3: Площ, гъстота на населението и населени места към 31.12.2018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_Toc83391599 \h </w:instrText>
        </w:r>
        <w:r w:rsidR="00260629" w:rsidRPr="00610B1B">
          <w:rPr>
            <w:noProof/>
            <w:webHidden/>
          </w:rPr>
        </w:r>
        <w:r w:rsidR="00260629" w:rsidRPr="00610B1B">
          <w:rPr>
            <w:noProof/>
            <w:webHidden/>
          </w:rPr>
          <w:fldChar w:fldCharType="separate"/>
        </w:r>
        <w:r w:rsidR="00260629" w:rsidRPr="00610B1B">
          <w:rPr>
            <w:noProof/>
            <w:webHidden/>
          </w:rPr>
          <w:t>103</w:t>
        </w:r>
        <w:r w:rsidR="00260629" w:rsidRPr="00610B1B">
          <w:rPr>
            <w:noProof/>
            <w:webHidden/>
          </w:rPr>
          <w:fldChar w:fldCharType="end"/>
        </w:r>
      </w:hyperlink>
    </w:p>
    <w:p w14:paraId="4616350C" w14:textId="658D0B1D"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0" w:history="1">
        <w:r w:rsidR="00260629" w:rsidRPr="00610B1B">
          <w:rPr>
            <w:rStyle w:val="Hyperlink"/>
            <w:rFonts w:cs="Times New Roman"/>
            <w:noProof/>
          </w:rPr>
          <w:t>Таблица 4: Население в Черноморските общини 2011-2018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_Toc83391600 \h </w:instrText>
        </w:r>
        <w:r w:rsidR="00260629" w:rsidRPr="00610B1B">
          <w:rPr>
            <w:noProof/>
            <w:webHidden/>
          </w:rPr>
        </w:r>
        <w:r w:rsidR="00260629" w:rsidRPr="00610B1B">
          <w:rPr>
            <w:noProof/>
            <w:webHidden/>
          </w:rPr>
          <w:fldChar w:fldCharType="separate"/>
        </w:r>
        <w:r w:rsidR="00260629" w:rsidRPr="00610B1B">
          <w:rPr>
            <w:noProof/>
            <w:webHidden/>
          </w:rPr>
          <w:t>104</w:t>
        </w:r>
        <w:r w:rsidR="00260629" w:rsidRPr="00610B1B">
          <w:rPr>
            <w:noProof/>
            <w:webHidden/>
          </w:rPr>
          <w:fldChar w:fldCharType="end"/>
        </w:r>
      </w:hyperlink>
    </w:p>
    <w:p w14:paraId="5CFDE28D" w14:textId="4BB81A5F"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1" w:history="1">
        <w:r w:rsidR="00260629" w:rsidRPr="00610B1B">
          <w:rPr>
            <w:rStyle w:val="Hyperlink"/>
            <w:rFonts w:cs="Times New Roman"/>
            <w:noProof/>
          </w:rPr>
          <w:t>Таблица 5: Население към 31.12.2018 г. в Черноморските общини по основни възрастови групи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_Toc83391601 \h </w:instrText>
        </w:r>
        <w:r w:rsidR="00260629" w:rsidRPr="00610B1B">
          <w:rPr>
            <w:noProof/>
            <w:webHidden/>
          </w:rPr>
        </w:r>
        <w:r w:rsidR="00260629" w:rsidRPr="00610B1B">
          <w:rPr>
            <w:noProof/>
            <w:webHidden/>
          </w:rPr>
          <w:fldChar w:fldCharType="separate"/>
        </w:r>
        <w:r w:rsidR="00260629" w:rsidRPr="00610B1B">
          <w:rPr>
            <w:noProof/>
            <w:webHidden/>
          </w:rPr>
          <w:t>105</w:t>
        </w:r>
        <w:r w:rsidR="00260629" w:rsidRPr="00610B1B">
          <w:rPr>
            <w:noProof/>
            <w:webHidden/>
          </w:rPr>
          <w:fldChar w:fldCharType="end"/>
        </w:r>
      </w:hyperlink>
    </w:p>
    <w:p w14:paraId="12E92938" w14:textId="5CC38D62"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2" w:history="1">
        <w:r w:rsidR="00260629" w:rsidRPr="00610B1B">
          <w:rPr>
            <w:rStyle w:val="Hyperlink"/>
            <w:rFonts w:cs="Times New Roman"/>
            <w:noProof/>
          </w:rPr>
          <w:t>Таблица 6: Населени места в Черноморските общини според броя на населението им към 31.12.2018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_Toc83391602 \h </w:instrText>
        </w:r>
        <w:r w:rsidR="00260629" w:rsidRPr="00610B1B">
          <w:rPr>
            <w:noProof/>
            <w:webHidden/>
          </w:rPr>
        </w:r>
        <w:r w:rsidR="00260629" w:rsidRPr="00610B1B">
          <w:rPr>
            <w:noProof/>
            <w:webHidden/>
          </w:rPr>
          <w:fldChar w:fldCharType="separate"/>
        </w:r>
        <w:r w:rsidR="00260629" w:rsidRPr="00610B1B">
          <w:rPr>
            <w:noProof/>
            <w:webHidden/>
          </w:rPr>
          <w:t>106</w:t>
        </w:r>
        <w:r w:rsidR="00260629" w:rsidRPr="00610B1B">
          <w:rPr>
            <w:noProof/>
            <w:webHidden/>
          </w:rPr>
          <w:fldChar w:fldCharType="end"/>
        </w:r>
      </w:hyperlink>
    </w:p>
    <w:p w14:paraId="15DF15B3" w14:textId="2415F2A6"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3" w:history="1">
        <w:r w:rsidR="00260629" w:rsidRPr="00610B1B">
          <w:rPr>
            <w:rStyle w:val="Hyperlink"/>
            <w:rFonts w:cs="Times New Roman"/>
            <w:noProof/>
          </w:rPr>
          <w:t>Таблица 7: Градове в Черноморските общини според броя на населението им към 31.12.2018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_Toc83391603 \h </w:instrText>
        </w:r>
        <w:r w:rsidR="00260629" w:rsidRPr="00610B1B">
          <w:rPr>
            <w:noProof/>
            <w:webHidden/>
          </w:rPr>
        </w:r>
        <w:r w:rsidR="00260629" w:rsidRPr="00610B1B">
          <w:rPr>
            <w:noProof/>
            <w:webHidden/>
          </w:rPr>
          <w:fldChar w:fldCharType="separate"/>
        </w:r>
        <w:r w:rsidR="00260629" w:rsidRPr="00610B1B">
          <w:rPr>
            <w:noProof/>
            <w:webHidden/>
          </w:rPr>
          <w:t>107</w:t>
        </w:r>
        <w:r w:rsidR="00260629" w:rsidRPr="00610B1B">
          <w:rPr>
            <w:noProof/>
            <w:webHidden/>
          </w:rPr>
          <w:fldChar w:fldCharType="end"/>
        </w:r>
      </w:hyperlink>
    </w:p>
    <w:p w14:paraId="2A502B07" w14:textId="43EEA1BD"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4" w:history="1">
        <w:r w:rsidR="00260629" w:rsidRPr="00610B1B">
          <w:rPr>
            <w:rStyle w:val="Hyperlink"/>
            <w:rFonts w:cs="Times New Roman"/>
            <w:noProof/>
          </w:rPr>
          <w:t>Таблица 8: Население на 7 и повече години в Черноморските общини по степен на завършено образование към 01.02.2011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_Toc83391604 \h </w:instrText>
        </w:r>
        <w:r w:rsidR="00260629" w:rsidRPr="00610B1B">
          <w:rPr>
            <w:noProof/>
            <w:webHidden/>
          </w:rPr>
        </w:r>
        <w:r w:rsidR="00260629" w:rsidRPr="00610B1B">
          <w:rPr>
            <w:noProof/>
            <w:webHidden/>
          </w:rPr>
          <w:fldChar w:fldCharType="separate"/>
        </w:r>
        <w:r w:rsidR="00260629" w:rsidRPr="00610B1B">
          <w:rPr>
            <w:noProof/>
            <w:webHidden/>
          </w:rPr>
          <w:t>112</w:t>
        </w:r>
        <w:r w:rsidR="00260629" w:rsidRPr="00610B1B">
          <w:rPr>
            <w:noProof/>
            <w:webHidden/>
          </w:rPr>
          <w:fldChar w:fldCharType="end"/>
        </w:r>
      </w:hyperlink>
    </w:p>
    <w:p w14:paraId="608F6B75" w14:textId="333F50DA"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5" w:history="1">
        <w:r w:rsidR="00260629" w:rsidRPr="00610B1B">
          <w:rPr>
            <w:rStyle w:val="Hyperlink"/>
            <w:rFonts w:cs="Times New Roman"/>
            <w:noProof/>
          </w:rPr>
          <w:t xml:space="preserve">Таблица 9: </w:t>
        </w:r>
        <w:r w:rsidR="00260629" w:rsidRPr="00610B1B">
          <w:rPr>
            <w:rStyle w:val="Hyperlink"/>
            <w:rFonts w:eastAsia="Times New Roman" w:cs="Times New Roman"/>
            <w:bCs/>
            <w:iCs/>
            <w:noProof/>
          </w:rPr>
          <w:t>Относителен дял на населението с достъп до високоскоростен Интернет в областите Варна, Добрич и Бургас</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_Toc83391605 \h </w:instrText>
        </w:r>
        <w:r w:rsidR="00260629" w:rsidRPr="00610B1B">
          <w:rPr>
            <w:noProof/>
            <w:webHidden/>
          </w:rPr>
        </w:r>
        <w:r w:rsidR="00260629" w:rsidRPr="00610B1B">
          <w:rPr>
            <w:noProof/>
            <w:webHidden/>
          </w:rPr>
          <w:fldChar w:fldCharType="separate"/>
        </w:r>
        <w:r w:rsidR="00260629" w:rsidRPr="00610B1B">
          <w:rPr>
            <w:noProof/>
            <w:webHidden/>
          </w:rPr>
          <w:t>155</w:t>
        </w:r>
        <w:r w:rsidR="00260629" w:rsidRPr="00610B1B">
          <w:rPr>
            <w:noProof/>
            <w:webHidden/>
          </w:rPr>
          <w:fldChar w:fldCharType="end"/>
        </w:r>
      </w:hyperlink>
    </w:p>
    <w:p w14:paraId="791A3F04" w14:textId="539CA5C4"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6" w:history="1">
        <w:r w:rsidR="00260629" w:rsidRPr="00610B1B">
          <w:rPr>
            <w:rStyle w:val="Hyperlink"/>
            <w:rFonts w:eastAsia="Calibri" w:cs="Times New Roman"/>
            <w:bCs/>
            <w:noProof/>
          </w:rPr>
          <w:t>Таблица 10: Индикатори за синята икономика на ЕС и България за 2017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_Toc83391606 \h </w:instrText>
        </w:r>
        <w:r w:rsidR="00260629" w:rsidRPr="00610B1B">
          <w:rPr>
            <w:noProof/>
            <w:webHidden/>
          </w:rPr>
        </w:r>
        <w:r w:rsidR="00260629" w:rsidRPr="00610B1B">
          <w:rPr>
            <w:noProof/>
            <w:webHidden/>
          </w:rPr>
          <w:fldChar w:fldCharType="separate"/>
        </w:r>
        <w:r w:rsidR="00260629" w:rsidRPr="00610B1B">
          <w:rPr>
            <w:noProof/>
            <w:webHidden/>
          </w:rPr>
          <w:t>164</w:t>
        </w:r>
        <w:r w:rsidR="00260629" w:rsidRPr="00610B1B">
          <w:rPr>
            <w:noProof/>
            <w:webHidden/>
          </w:rPr>
          <w:fldChar w:fldCharType="end"/>
        </w:r>
      </w:hyperlink>
    </w:p>
    <w:p w14:paraId="7EF082A5" w14:textId="48589905"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7" w:history="1">
        <w:r w:rsidR="00260629" w:rsidRPr="00610B1B">
          <w:rPr>
            <w:rStyle w:val="Hyperlink"/>
            <w:rFonts w:cs="Times New Roman"/>
            <w:noProof/>
          </w:rPr>
          <w:t xml:space="preserve">Таблица 11: </w:t>
        </w:r>
        <w:r w:rsidR="00260629" w:rsidRPr="00610B1B">
          <w:rPr>
            <w:rStyle w:val="Hyperlink"/>
            <w:rFonts w:eastAsiaTheme="minorHAnsi" w:cs="Times New Roman"/>
            <w:noProof/>
            <w:lang w:eastAsia="en-US"/>
          </w:rPr>
          <w:t>Относителен дял на показателите, характеризиращи морската икономика по общини, 2018 г.</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_Toc83391607 \h </w:instrText>
        </w:r>
        <w:r w:rsidR="00260629" w:rsidRPr="00610B1B">
          <w:rPr>
            <w:noProof/>
            <w:webHidden/>
          </w:rPr>
        </w:r>
        <w:r w:rsidR="00260629" w:rsidRPr="00610B1B">
          <w:rPr>
            <w:noProof/>
            <w:webHidden/>
          </w:rPr>
          <w:fldChar w:fldCharType="separate"/>
        </w:r>
        <w:r w:rsidR="00260629" w:rsidRPr="00610B1B">
          <w:rPr>
            <w:noProof/>
            <w:webHidden/>
          </w:rPr>
          <w:t>166</w:t>
        </w:r>
        <w:r w:rsidR="00260629" w:rsidRPr="00610B1B">
          <w:rPr>
            <w:noProof/>
            <w:webHidden/>
          </w:rPr>
          <w:fldChar w:fldCharType="end"/>
        </w:r>
      </w:hyperlink>
    </w:p>
    <w:p w14:paraId="6BD1006E" w14:textId="3B8CEE64"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8" w:history="1">
        <w:r w:rsidR="00260629" w:rsidRPr="00610B1B">
          <w:rPr>
            <w:rStyle w:val="Hyperlink"/>
            <w:rFonts w:cs="Times New Roman"/>
            <w:noProof/>
          </w:rPr>
          <w:t>Таблица 12: Концесии за добив и проучване на природен газ и нефт</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_Toc83391608 \h </w:instrText>
        </w:r>
        <w:r w:rsidR="00260629" w:rsidRPr="00610B1B">
          <w:rPr>
            <w:noProof/>
            <w:webHidden/>
          </w:rPr>
        </w:r>
        <w:r w:rsidR="00260629" w:rsidRPr="00610B1B">
          <w:rPr>
            <w:noProof/>
            <w:webHidden/>
          </w:rPr>
          <w:fldChar w:fldCharType="separate"/>
        </w:r>
        <w:r w:rsidR="00260629" w:rsidRPr="00610B1B">
          <w:rPr>
            <w:noProof/>
            <w:webHidden/>
          </w:rPr>
          <w:t>171</w:t>
        </w:r>
        <w:r w:rsidR="00260629" w:rsidRPr="00610B1B">
          <w:rPr>
            <w:noProof/>
            <w:webHidden/>
          </w:rPr>
          <w:fldChar w:fldCharType="end"/>
        </w:r>
      </w:hyperlink>
    </w:p>
    <w:p w14:paraId="4C0A6BFA" w14:textId="26DAEBFB"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09" w:history="1">
        <w:r w:rsidR="00260629" w:rsidRPr="00610B1B">
          <w:rPr>
            <w:rStyle w:val="Hyperlink"/>
            <w:rFonts w:cs="Times New Roman"/>
            <w:noProof/>
          </w:rPr>
          <w:t>Таблица 13: Дял на сектора на корабостроенето и кораборемонта в синята и националната икономика на България през периода 2008-2017 г., %</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_Toc83391609 \h </w:instrText>
        </w:r>
        <w:r w:rsidR="00260629" w:rsidRPr="00610B1B">
          <w:rPr>
            <w:noProof/>
            <w:webHidden/>
          </w:rPr>
        </w:r>
        <w:r w:rsidR="00260629" w:rsidRPr="00610B1B">
          <w:rPr>
            <w:noProof/>
            <w:webHidden/>
          </w:rPr>
          <w:fldChar w:fldCharType="separate"/>
        </w:r>
        <w:r w:rsidR="00260629" w:rsidRPr="00610B1B">
          <w:rPr>
            <w:noProof/>
            <w:webHidden/>
          </w:rPr>
          <w:t>173</w:t>
        </w:r>
        <w:r w:rsidR="00260629" w:rsidRPr="00610B1B">
          <w:rPr>
            <w:noProof/>
            <w:webHidden/>
          </w:rPr>
          <w:fldChar w:fldCharType="end"/>
        </w:r>
      </w:hyperlink>
    </w:p>
    <w:p w14:paraId="46DD44F0" w14:textId="3450C8F4"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0" w:history="1">
        <w:r w:rsidR="00260629" w:rsidRPr="00610B1B">
          <w:rPr>
            <w:rStyle w:val="Hyperlink"/>
            <w:rFonts w:cs="Times New Roman"/>
            <w:noProof/>
          </w:rPr>
          <w:t>Таблица 14: Недвижими културни ценности по общини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_Toc83391610 \h </w:instrText>
        </w:r>
        <w:r w:rsidR="00260629" w:rsidRPr="00610B1B">
          <w:rPr>
            <w:noProof/>
            <w:webHidden/>
          </w:rPr>
        </w:r>
        <w:r w:rsidR="00260629" w:rsidRPr="00610B1B">
          <w:rPr>
            <w:noProof/>
            <w:webHidden/>
          </w:rPr>
          <w:fldChar w:fldCharType="separate"/>
        </w:r>
        <w:r w:rsidR="00260629" w:rsidRPr="00610B1B">
          <w:rPr>
            <w:noProof/>
            <w:webHidden/>
          </w:rPr>
          <w:t>189</w:t>
        </w:r>
        <w:r w:rsidR="00260629" w:rsidRPr="00610B1B">
          <w:rPr>
            <w:noProof/>
            <w:webHidden/>
          </w:rPr>
          <w:fldChar w:fldCharType="end"/>
        </w:r>
      </w:hyperlink>
    </w:p>
    <w:p w14:paraId="31AA9357" w14:textId="4AB563BD"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1" w:history="1">
        <w:r w:rsidR="00260629" w:rsidRPr="00610B1B">
          <w:rPr>
            <w:rStyle w:val="Hyperlink"/>
            <w:rFonts w:cs="Times New Roman"/>
            <w:noProof/>
          </w:rPr>
          <w:t xml:space="preserve">Таблица 15: </w:t>
        </w:r>
        <w:r w:rsidR="00260629" w:rsidRPr="00610B1B">
          <w:rPr>
            <w:rStyle w:val="Hyperlink"/>
            <w:rFonts w:eastAsia="Calibri" w:cs="Times New Roman"/>
            <w:bCs/>
            <w:noProof/>
          </w:rPr>
          <w:t>Индикатори за оценка на въздействието на сценариите върху осъществяваните дейности в морските пространства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_Toc83391611 \h </w:instrText>
        </w:r>
        <w:r w:rsidR="00260629" w:rsidRPr="00610B1B">
          <w:rPr>
            <w:noProof/>
            <w:webHidden/>
          </w:rPr>
        </w:r>
        <w:r w:rsidR="00260629" w:rsidRPr="00610B1B">
          <w:rPr>
            <w:noProof/>
            <w:webHidden/>
          </w:rPr>
          <w:fldChar w:fldCharType="separate"/>
        </w:r>
        <w:r w:rsidR="00260629" w:rsidRPr="00610B1B">
          <w:rPr>
            <w:noProof/>
            <w:webHidden/>
          </w:rPr>
          <w:t>258</w:t>
        </w:r>
        <w:r w:rsidR="00260629" w:rsidRPr="00610B1B">
          <w:rPr>
            <w:noProof/>
            <w:webHidden/>
          </w:rPr>
          <w:fldChar w:fldCharType="end"/>
        </w:r>
      </w:hyperlink>
    </w:p>
    <w:p w14:paraId="77E33683" w14:textId="70B0514A"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2" w:history="1">
        <w:r w:rsidR="00260629" w:rsidRPr="00610B1B">
          <w:rPr>
            <w:rStyle w:val="Hyperlink"/>
            <w:rFonts w:cs="Times New Roman"/>
            <w:noProof/>
          </w:rPr>
          <w:t>Таблица 16: Взаимодействия и въздействия на секторите в морските пространства и крайбрежната зона</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_Toc83391612 \h </w:instrText>
        </w:r>
        <w:r w:rsidR="00260629" w:rsidRPr="00610B1B">
          <w:rPr>
            <w:noProof/>
            <w:webHidden/>
          </w:rPr>
        </w:r>
        <w:r w:rsidR="00260629" w:rsidRPr="00610B1B">
          <w:rPr>
            <w:noProof/>
            <w:webHidden/>
          </w:rPr>
          <w:fldChar w:fldCharType="separate"/>
        </w:r>
        <w:r w:rsidR="00260629" w:rsidRPr="00610B1B">
          <w:rPr>
            <w:noProof/>
            <w:webHidden/>
          </w:rPr>
          <w:t>286</w:t>
        </w:r>
        <w:r w:rsidR="00260629" w:rsidRPr="00610B1B">
          <w:rPr>
            <w:noProof/>
            <w:webHidden/>
          </w:rPr>
          <w:fldChar w:fldCharType="end"/>
        </w:r>
      </w:hyperlink>
    </w:p>
    <w:p w14:paraId="62AF2B7C" w14:textId="01C0A79D"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3" w:history="1">
        <w:r w:rsidR="00260629" w:rsidRPr="00610B1B">
          <w:rPr>
            <w:rStyle w:val="Hyperlink"/>
            <w:rFonts w:cs="Times New Roman"/>
            <w:noProof/>
          </w:rPr>
          <w:t>Таблица 17: Отговорности на компетентните органи по прилагането на Морския пространствен план на Република България</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_Toc83391613 \h </w:instrText>
        </w:r>
        <w:r w:rsidR="00260629" w:rsidRPr="00610B1B">
          <w:rPr>
            <w:noProof/>
            <w:webHidden/>
          </w:rPr>
        </w:r>
        <w:r w:rsidR="00260629" w:rsidRPr="00610B1B">
          <w:rPr>
            <w:noProof/>
            <w:webHidden/>
          </w:rPr>
          <w:fldChar w:fldCharType="separate"/>
        </w:r>
        <w:r w:rsidR="00260629" w:rsidRPr="00610B1B">
          <w:rPr>
            <w:noProof/>
            <w:webHidden/>
          </w:rPr>
          <w:t>309</w:t>
        </w:r>
        <w:r w:rsidR="00260629" w:rsidRPr="00610B1B">
          <w:rPr>
            <w:noProof/>
            <w:webHidden/>
          </w:rPr>
          <w:fldChar w:fldCharType="end"/>
        </w:r>
      </w:hyperlink>
    </w:p>
    <w:p w14:paraId="75242376" w14:textId="2E842EBC"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4" w:history="1">
        <w:r w:rsidR="00260629" w:rsidRPr="00610B1B">
          <w:rPr>
            <w:rStyle w:val="Hyperlink"/>
            <w:rFonts w:cs="Times New Roman"/>
            <w:noProof/>
          </w:rPr>
          <w:t>Таблица 18: Връзка между настъпили изменения, компетентни органи и дейностите, изпълнявани в НЦТР</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_Toc83391614 \h </w:instrText>
        </w:r>
        <w:r w:rsidR="00260629" w:rsidRPr="00610B1B">
          <w:rPr>
            <w:noProof/>
            <w:webHidden/>
          </w:rPr>
        </w:r>
        <w:r w:rsidR="00260629" w:rsidRPr="00610B1B">
          <w:rPr>
            <w:noProof/>
            <w:webHidden/>
          </w:rPr>
          <w:fldChar w:fldCharType="separate"/>
        </w:r>
        <w:r w:rsidR="00260629" w:rsidRPr="00610B1B">
          <w:rPr>
            <w:noProof/>
            <w:webHidden/>
          </w:rPr>
          <w:t>327</w:t>
        </w:r>
        <w:r w:rsidR="00260629" w:rsidRPr="00610B1B">
          <w:rPr>
            <w:noProof/>
            <w:webHidden/>
          </w:rPr>
          <w:fldChar w:fldCharType="end"/>
        </w:r>
      </w:hyperlink>
    </w:p>
    <w:p w14:paraId="067169E5" w14:textId="41FC9D98"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5" w:history="1">
        <w:r w:rsidR="00260629" w:rsidRPr="00610B1B">
          <w:rPr>
            <w:rStyle w:val="Hyperlink"/>
            <w:rFonts w:cs="Times New Roman"/>
            <w:noProof/>
          </w:rPr>
          <w:t>Таблица 19: Препоръки към институциите по прилагане на МППРБ</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_Toc83391615 \h </w:instrText>
        </w:r>
        <w:r w:rsidR="00260629" w:rsidRPr="00610B1B">
          <w:rPr>
            <w:noProof/>
            <w:webHidden/>
          </w:rPr>
        </w:r>
        <w:r w:rsidR="00260629" w:rsidRPr="00610B1B">
          <w:rPr>
            <w:noProof/>
            <w:webHidden/>
          </w:rPr>
          <w:fldChar w:fldCharType="separate"/>
        </w:r>
        <w:r w:rsidR="00260629" w:rsidRPr="00610B1B">
          <w:rPr>
            <w:noProof/>
            <w:webHidden/>
          </w:rPr>
          <w:t>329</w:t>
        </w:r>
        <w:r w:rsidR="00260629" w:rsidRPr="00610B1B">
          <w:rPr>
            <w:noProof/>
            <w:webHidden/>
          </w:rPr>
          <w:fldChar w:fldCharType="end"/>
        </w:r>
      </w:hyperlink>
    </w:p>
    <w:p w14:paraId="47F82BC4" w14:textId="2633D7F4"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6" w:history="1">
        <w:r w:rsidR="00260629" w:rsidRPr="00610B1B">
          <w:rPr>
            <w:rStyle w:val="Hyperlink"/>
            <w:rFonts w:cs="Times New Roman"/>
            <w:noProof/>
          </w:rPr>
          <w:t>Таблица 20: Индикатори за управление на МППРБ</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_Toc83391616 \h </w:instrText>
        </w:r>
        <w:r w:rsidR="00260629" w:rsidRPr="00610B1B">
          <w:rPr>
            <w:noProof/>
            <w:webHidden/>
          </w:rPr>
        </w:r>
        <w:r w:rsidR="00260629" w:rsidRPr="00610B1B">
          <w:rPr>
            <w:noProof/>
            <w:webHidden/>
          </w:rPr>
          <w:fldChar w:fldCharType="separate"/>
        </w:r>
        <w:r w:rsidR="00260629" w:rsidRPr="00610B1B">
          <w:rPr>
            <w:noProof/>
            <w:webHidden/>
          </w:rPr>
          <w:t>336</w:t>
        </w:r>
        <w:r w:rsidR="00260629" w:rsidRPr="00610B1B">
          <w:rPr>
            <w:noProof/>
            <w:webHidden/>
          </w:rPr>
          <w:fldChar w:fldCharType="end"/>
        </w:r>
      </w:hyperlink>
    </w:p>
    <w:p w14:paraId="16B3D32D" w14:textId="2D6F1635"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7" w:history="1">
        <w:r w:rsidR="00260629" w:rsidRPr="00610B1B">
          <w:rPr>
            <w:rStyle w:val="Hyperlink"/>
            <w:rFonts w:cs="Times New Roman"/>
            <w:noProof/>
          </w:rPr>
          <w:t>Таблица 21: Социално-икономически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_Toc83391617 \h </w:instrText>
        </w:r>
        <w:r w:rsidR="00260629" w:rsidRPr="00610B1B">
          <w:rPr>
            <w:noProof/>
            <w:webHidden/>
          </w:rPr>
        </w:r>
        <w:r w:rsidR="00260629" w:rsidRPr="00610B1B">
          <w:rPr>
            <w:noProof/>
            <w:webHidden/>
          </w:rPr>
          <w:fldChar w:fldCharType="separate"/>
        </w:r>
        <w:r w:rsidR="00260629" w:rsidRPr="00610B1B">
          <w:rPr>
            <w:noProof/>
            <w:webHidden/>
          </w:rPr>
          <w:t>337</w:t>
        </w:r>
        <w:r w:rsidR="00260629" w:rsidRPr="00610B1B">
          <w:rPr>
            <w:noProof/>
            <w:webHidden/>
          </w:rPr>
          <w:fldChar w:fldCharType="end"/>
        </w:r>
      </w:hyperlink>
    </w:p>
    <w:p w14:paraId="0BB91814" w14:textId="54F0E1BD"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8" w:history="1">
        <w:r w:rsidR="00260629" w:rsidRPr="00610B1B">
          <w:rPr>
            <w:rStyle w:val="Hyperlink"/>
            <w:rFonts w:cs="Times New Roman"/>
            <w:noProof/>
          </w:rPr>
          <w:t>Таблица 22: Екологични индикатори</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_Toc83391618 \h </w:instrText>
        </w:r>
        <w:r w:rsidR="00260629" w:rsidRPr="00610B1B">
          <w:rPr>
            <w:noProof/>
            <w:webHidden/>
          </w:rPr>
        </w:r>
        <w:r w:rsidR="00260629" w:rsidRPr="00610B1B">
          <w:rPr>
            <w:noProof/>
            <w:webHidden/>
          </w:rPr>
          <w:fldChar w:fldCharType="separate"/>
        </w:r>
        <w:r w:rsidR="00260629" w:rsidRPr="00610B1B">
          <w:rPr>
            <w:noProof/>
            <w:webHidden/>
          </w:rPr>
          <w:t>339</w:t>
        </w:r>
        <w:r w:rsidR="00260629" w:rsidRPr="00610B1B">
          <w:rPr>
            <w:noProof/>
            <w:webHidden/>
          </w:rPr>
          <w:fldChar w:fldCharType="end"/>
        </w:r>
      </w:hyperlink>
    </w:p>
    <w:p w14:paraId="56DD699E" w14:textId="17B83823" w:rsidR="00260629" w:rsidRPr="00610B1B" w:rsidRDefault="00DB227B">
      <w:pPr>
        <w:pStyle w:val="TableofFigures"/>
        <w:tabs>
          <w:tab w:val="right" w:leader="dot" w:pos="9017"/>
        </w:tabs>
        <w:rPr>
          <w:rFonts w:asciiTheme="minorHAnsi" w:eastAsiaTheme="minorEastAsia" w:hAnsiTheme="minorHAnsi" w:cstheme="minorBidi"/>
          <w:noProof/>
          <w:color w:val="auto"/>
          <w:sz w:val="22"/>
          <w:szCs w:val="22"/>
          <w:lang w:val="en-US" w:eastAsia="en-US" w:bidi="ar-SA"/>
        </w:rPr>
      </w:pPr>
      <w:hyperlink w:anchor="_Toc83391619" w:history="1">
        <w:r w:rsidR="00260629" w:rsidRPr="00610B1B">
          <w:rPr>
            <w:rStyle w:val="Hyperlink"/>
            <w:rFonts w:cs="Times New Roman"/>
            <w:noProof/>
          </w:rPr>
          <w:t>Таблица 23: Участници в дълбочинното интервю</w:t>
        </w:r>
        <w:r w:rsidR="00260629" w:rsidRPr="00610B1B">
          <w:rPr>
            <w:noProof/>
            <w:webHidden/>
          </w:rPr>
          <w:tab/>
        </w:r>
        <w:r w:rsidR="00260629" w:rsidRPr="00610B1B">
          <w:rPr>
            <w:noProof/>
            <w:webHidden/>
          </w:rPr>
          <w:fldChar w:fldCharType="begin"/>
        </w:r>
        <w:r w:rsidR="00260629" w:rsidRPr="00610B1B">
          <w:rPr>
            <w:noProof/>
            <w:webHidden/>
          </w:rPr>
          <w:instrText xml:space="preserve"> PAGEREF _Toc83391619 \h </w:instrText>
        </w:r>
        <w:r w:rsidR="00260629" w:rsidRPr="00610B1B">
          <w:rPr>
            <w:noProof/>
            <w:webHidden/>
          </w:rPr>
        </w:r>
        <w:r w:rsidR="00260629" w:rsidRPr="00610B1B">
          <w:rPr>
            <w:noProof/>
            <w:webHidden/>
          </w:rPr>
          <w:fldChar w:fldCharType="separate"/>
        </w:r>
        <w:r w:rsidR="00260629" w:rsidRPr="00610B1B">
          <w:rPr>
            <w:noProof/>
            <w:webHidden/>
          </w:rPr>
          <w:t>346</w:t>
        </w:r>
        <w:r w:rsidR="00260629" w:rsidRPr="00610B1B">
          <w:rPr>
            <w:noProof/>
            <w:webHidden/>
          </w:rPr>
          <w:fldChar w:fldCharType="end"/>
        </w:r>
      </w:hyperlink>
    </w:p>
    <w:p w14:paraId="2B06221D" w14:textId="0729AEA4" w:rsidR="00406A3D" w:rsidRPr="00610B1B" w:rsidRDefault="00FC431F" w:rsidP="00453BA1">
      <w:pPr>
        <w:pStyle w:val="TableofFigures"/>
        <w:tabs>
          <w:tab w:val="right" w:leader="dot" w:pos="9017"/>
        </w:tabs>
        <w:ind w:left="-426"/>
        <w:rPr>
          <w:rFonts w:cs="Times New Roman"/>
          <w:b/>
        </w:rPr>
      </w:pPr>
      <w:r w:rsidRPr="00610B1B">
        <w:rPr>
          <w:rFonts w:cs="Times New Roman"/>
        </w:rPr>
        <w:fldChar w:fldCharType="end"/>
      </w:r>
    </w:p>
    <w:p w14:paraId="06EF309F" w14:textId="55EAA789" w:rsidR="006230C0" w:rsidRPr="00610B1B" w:rsidRDefault="006230C0" w:rsidP="00D32D6A">
      <w:pPr>
        <w:spacing w:after="120"/>
        <w:ind w:right="-153"/>
        <w:rPr>
          <w:rFonts w:ascii="Times New Roman" w:hAnsi="Times New Roman" w:cs="Times New Roman"/>
          <w:sz w:val="24"/>
          <w:szCs w:val="24"/>
          <w:lang w:val="bg-BG"/>
        </w:rPr>
        <w:sectPr w:rsidR="006230C0" w:rsidRPr="00610B1B" w:rsidSect="00DA01CC">
          <w:headerReference w:type="default" r:id="rId11"/>
          <w:footerReference w:type="default" r:id="rId12"/>
          <w:pgSz w:w="11907" w:h="16839" w:code="9"/>
          <w:pgMar w:top="1134" w:right="1440" w:bottom="1440" w:left="1440" w:header="708" w:footer="708" w:gutter="0"/>
          <w:pgNumType w:fmt="lowerRoman" w:start="0"/>
          <w:cols w:space="708"/>
          <w:titlePg/>
          <w:docGrid w:linePitch="360"/>
        </w:sectPr>
      </w:pPr>
    </w:p>
    <w:p w14:paraId="7BB4F2D8" w14:textId="77777777" w:rsidR="00725023" w:rsidRPr="00610B1B" w:rsidRDefault="00725023" w:rsidP="00A43DF1">
      <w:pPr>
        <w:pStyle w:val="Heading1"/>
        <w:spacing w:before="0"/>
        <w:ind w:right="-153"/>
        <w:rPr>
          <w:rFonts w:cs="Times New Roman"/>
        </w:rPr>
      </w:pPr>
      <w:bookmarkStart w:id="5" w:name="_Toc83391349"/>
      <w:r w:rsidRPr="00610B1B">
        <w:rPr>
          <w:rFonts w:cs="Times New Roman"/>
        </w:rPr>
        <w:lastRenderedPageBreak/>
        <w:t>РЕЗЮМЕ</w:t>
      </w:r>
      <w:bookmarkEnd w:id="5"/>
    </w:p>
    <w:p w14:paraId="71C67356" w14:textId="77777777"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Морският пространствен план на Република България за периода 2021-2035 г. се разработва въз основа на договор</w:t>
      </w:r>
      <w:r w:rsidRPr="00610B1B">
        <w:rPr>
          <w:rFonts w:ascii="Times New Roman" w:hAnsi="Times New Roman" w:cs="Times New Roman"/>
          <w:lang w:val="bg-BG"/>
        </w:rPr>
        <w:t xml:space="preserve"> </w:t>
      </w:r>
      <w:r w:rsidRPr="00610B1B">
        <w:rPr>
          <w:rFonts w:ascii="Times New Roman" w:hAnsi="Times New Roman" w:cs="Times New Roman"/>
          <w:bCs/>
          <w:sz w:val="24"/>
          <w:szCs w:val="24"/>
          <w:lang w:val="bg-BG"/>
        </w:rPr>
        <w:t>№ РД-02.29.198/25.07.2019 г.</w:t>
      </w:r>
      <w:r w:rsidRPr="00610B1B">
        <w:rPr>
          <w:rFonts w:ascii="Times New Roman" w:hAnsi="Times New Roman" w:cs="Times New Roman"/>
          <w:b/>
          <w:sz w:val="24"/>
          <w:szCs w:val="24"/>
          <w:lang w:val="bg-BG"/>
        </w:rPr>
        <w:t xml:space="preserve"> </w:t>
      </w:r>
      <w:r w:rsidRPr="00610B1B">
        <w:rPr>
          <w:rFonts w:ascii="Times New Roman" w:hAnsi="Times New Roman" w:cs="Times New Roman"/>
          <w:bCs/>
          <w:sz w:val="24"/>
          <w:szCs w:val="24"/>
          <w:lang w:val="bg-BG"/>
        </w:rPr>
        <w:t>между Министерството на регионалното развитие и благоустройството и Националния център за териториално развитие ЕАД.</w:t>
      </w:r>
    </w:p>
    <w:p w14:paraId="65439457" w14:textId="0BF56CD5"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 xml:space="preserve">Мотивите </w:t>
      </w:r>
      <w:r w:rsidRPr="00610B1B">
        <w:rPr>
          <w:rFonts w:ascii="Times New Roman" w:hAnsi="Times New Roman" w:cs="Times New Roman"/>
          <w:bCs/>
          <w:sz w:val="24"/>
          <w:szCs w:val="24"/>
          <w:lang w:val="bg-BG"/>
        </w:rPr>
        <w:t xml:space="preserve">за възлагането на Морския пространствен план на Република България са повишеният натиск върху морските пространства, влошаването </w:t>
      </w:r>
      <w:r w:rsidRPr="00610B1B">
        <w:rPr>
          <w:rFonts w:ascii="Times New Roman" w:hAnsi="Times New Roman" w:cs="Times New Roman"/>
          <w:sz w:val="24"/>
          <w:szCs w:val="24"/>
          <w:lang w:val="bg-BG"/>
        </w:rPr>
        <w:t>на състоянието на морската околна среда и загубата на биоразнообразие, налагащи прилагането на интегрирана морска политика и задължението за прилагане на рамковите директиви на ЕС</w:t>
      </w:r>
      <w:r w:rsidR="00836952" w:rsidRPr="00610B1B">
        <w:rPr>
          <w:rFonts w:ascii="Times New Roman" w:hAnsi="Times New Roman" w:cs="Times New Roman"/>
          <w:sz w:val="24"/>
          <w:szCs w:val="24"/>
          <w:lang w:val="bg-BG"/>
        </w:rPr>
        <w:t xml:space="preserve"> – </w:t>
      </w:r>
      <w:r w:rsidRPr="00610B1B">
        <w:rPr>
          <w:rFonts w:ascii="Times New Roman" w:hAnsi="Times New Roman" w:cs="Times New Roman"/>
          <w:sz w:val="24"/>
          <w:szCs w:val="24"/>
          <w:lang w:val="bg-BG"/>
        </w:rPr>
        <w:t>за водите (2000/60/ЕО), за морска стратегия (2008/56/ЕО) и за морско пространствено планиране</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(2014/89/ЕС).</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Държавите-членки на ЕС трябва да представят в ЕК одобрени морски пространствени планове до 31 март 2021 г. </w:t>
      </w:r>
    </w:p>
    <w:p w14:paraId="6C9EAF3C" w14:textId="455591ED"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hAnsi="Times New Roman" w:cs="Times New Roman"/>
          <w:sz w:val="24"/>
          <w:szCs w:val="24"/>
          <w:lang w:val="bg-BG"/>
        </w:rPr>
        <w:t>Директива 2014/89/ЕС определя „</w:t>
      </w:r>
      <w:r w:rsidRPr="00610B1B">
        <w:rPr>
          <w:rFonts w:ascii="Times New Roman" w:hAnsi="Times New Roman" w:cs="Times New Roman"/>
          <w:b/>
          <w:bCs/>
          <w:sz w:val="24"/>
          <w:szCs w:val="24"/>
          <w:lang w:val="bg-BG"/>
        </w:rPr>
        <w:t>морското пространствено планиране</w:t>
      </w:r>
      <w:r w:rsidRPr="00610B1B">
        <w:rPr>
          <w:rFonts w:ascii="Times New Roman" w:hAnsi="Times New Roman" w:cs="Times New Roman"/>
          <w:sz w:val="24"/>
          <w:szCs w:val="24"/>
          <w:lang w:val="bg-BG"/>
        </w:rPr>
        <w:t xml:space="preserve"> като процес, чрез който органите в държавите-членки анализират и организират човешките дейности в морските райони за постигане на екологични, икономически и социални цели“. </w:t>
      </w:r>
      <w:r w:rsidRPr="00610B1B">
        <w:rPr>
          <w:rFonts w:ascii="Times New Roman" w:eastAsia="Arial Unicode MS" w:hAnsi="Times New Roman" w:cs="Times New Roman"/>
          <w:sz w:val="24"/>
          <w:szCs w:val="24"/>
          <w:lang w:val="bg-BG"/>
        </w:rPr>
        <w:t>Съгласно</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b/>
          <w:bCs/>
          <w:sz w:val="24"/>
          <w:szCs w:val="24"/>
          <w:lang w:val="bg-BG"/>
        </w:rPr>
        <w:t xml:space="preserve">Интегрираната морска политика </w:t>
      </w:r>
      <w:r w:rsidRPr="00610B1B">
        <w:rPr>
          <w:rFonts w:ascii="Times New Roman" w:eastAsia="Arial Unicode MS" w:hAnsi="Times New Roman" w:cs="Times New Roman"/>
          <w:sz w:val="24"/>
          <w:szCs w:val="24"/>
          <w:lang w:val="bg-BG"/>
        </w:rPr>
        <w:t>на ЕС то е „трансверсален политически инструмент, позволяващ на публичните органи и заинтересованите страни да прилагат координиран, интегриран и трансграничен подход“. Прилагането на екосистемен подход ще допринесе „за насърчаване на устойчивото развитие и растеж на морските и крайбрежните икономики и за устойчивото използване на морските и крайбрежни ресурси“.</w:t>
      </w:r>
      <w:r w:rsidRPr="00610B1B">
        <w:rPr>
          <w:rFonts w:ascii="Times New Roman" w:eastAsia="Arial Unicode MS" w:hAnsi="Times New Roman" w:cs="Times New Roman"/>
          <w:sz w:val="24"/>
          <w:szCs w:val="24"/>
          <w:vertAlign w:val="superscript"/>
          <w:lang w:val="bg-BG"/>
        </w:rPr>
        <w:footnoteReference w:id="1"/>
      </w:r>
    </w:p>
    <w:p w14:paraId="1EB584A3" w14:textId="36992D1E"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Териториалният обхват</w:t>
      </w:r>
      <w:r w:rsidRPr="00610B1B">
        <w:rPr>
          <w:rFonts w:ascii="Times New Roman" w:eastAsia="Arial Unicode MS" w:hAnsi="Times New Roman" w:cs="Times New Roman"/>
          <w:sz w:val="24"/>
          <w:szCs w:val="24"/>
          <w:lang w:val="bg-BG"/>
        </w:rPr>
        <w:t xml:space="preserve"> на плана е определен в Закона за морските пространства, вътрешните водни пътища и пристанищата на Република България (ЗМПВВППРБ) и включва морските пространства съгласно чл. 5 ал. 1 и крайбрежните морски води съгл. §1, т. 54 от ДР на Закона за водите (ЗВ). В Директивата и в програмните документи и методически указания се посочва, че морските пространствени планове обхващат само акваторията, тъй като не предвиждат дейности по устройство на територията. Изискванията да се интегрира морското пространствено планиране с интегрираното управление на крайбрежните зони, да се изследват взаимодействията между морето и сушата, налагат да се проследят дейностите на брега, които въздействат върху прилежащите морски пространства. Именно поради това, при определяне обхвата на плана е включена крайбрежната територия от зона А (100 m) и зона Б (2 km)</w:t>
      </w:r>
      <w:r w:rsidRPr="00610B1B">
        <w:rPr>
          <w:rFonts w:ascii="Times New Roman" w:hAnsi="Times New Roman" w:cs="Times New Roman"/>
          <w:sz w:val="24"/>
          <w:szCs w:val="24"/>
          <w:lang w:val="bg-BG"/>
        </w:rPr>
        <w:t xml:space="preserve"> на </w:t>
      </w:r>
      <w:r w:rsidRPr="00610B1B">
        <w:rPr>
          <w:rFonts w:ascii="Times New Roman" w:eastAsia="Arial Unicode MS" w:hAnsi="Times New Roman" w:cs="Times New Roman"/>
          <w:sz w:val="24"/>
          <w:szCs w:val="24"/>
          <w:lang w:val="bg-BG"/>
        </w:rPr>
        <w:t xml:space="preserve">Закона за устройство на Черноморското крайбрежие (ЗУЧК), където са съсредоточени важни обекти и съоръжения на транспортната, техническата, туристическата и екологичната инфраструктура. </w:t>
      </w:r>
    </w:p>
    <w:p w14:paraId="34AE3429" w14:textId="41F59F28"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 xml:space="preserve">Тази своеобразна „сухоземна“ граница на разработката се променя при специфични изисквания и обхват на изходните данни. Демографската динамика се проследява от данните за населението на 14-те Черноморски общини, за градовете Варна и Бургас, за важни курортни населени места и големи черноморски курорти. Анализът на биоразнообразието и състоянието на защитените територии и защитените зони, освен </w:t>
      </w:r>
      <w:r w:rsidRPr="00610B1B">
        <w:rPr>
          <w:rFonts w:ascii="Times New Roman" w:eastAsia="Arial Unicode MS" w:hAnsi="Times New Roman" w:cs="Times New Roman"/>
          <w:sz w:val="24"/>
          <w:szCs w:val="24"/>
          <w:lang w:val="bg-BG"/>
        </w:rPr>
        <w:lastRenderedPageBreak/>
        <w:t>обявените в морето, обхваща и някои елементи на Националната екологична мрежа (НЕМ) на брега, които имат акваториална част.</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Културното наследство се разглежда въз основа на информацията за обектите под вода, но и с най-важните световни и национални обекти на брега, между които и Старинен Несебър, уникален паметник на Световното културно наследство.</w:t>
      </w:r>
      <w:r w:rsidRPr="00610B1B">
        <w:rPr>
          <w:rFonts w:ascii="Times New Roman" w:hAnsi="Times New Roman" w:cs="Times New Roman"/>
          <w:lang w:val="bg-BG"/>
        </w:rPr>
        <w:t xml:space="preserve"> </w:t>
      </w:r>
      <w:r w:rsidRPr="00610B1B">
        <w:rPr>
          <w:rFonts w:ascii="Times New Roman" w:eastAsia="Arial Unicode MS" w:hAnsi="Times New Roman" w:cs="Times New Roman"/>
          <w:sz w:val="24"/>
          <w:szCs w:val="24"/>
          <w:lang w:val="bg-BG"/>
        </w:rPr>
        <w:t>Въздействията от климатичните промени, хазарда и риска от зачестилите природни бедствия са проследени в обхвата на рисковите зони, чиито</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 xml:space="preserve">граници са определени в действащи национални и регионални стратегически документи. Рискът от наводнения е разгледан в зоните, определени в ПУРН 2016-2021 г. и в подготвените им актуализации. </w:t>
      </w:r>
    </w:p>
    <w:p w14:paraId="1A13E5A9" w14:textId="7BE1D878"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Пристанищната дейност и морският транспорт, като важни сектори от морската икономика са анализирани заедно с пристанищата и с връзките им с националната инфраструктура и с важните центрове и коридори на TEN-T.</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 xml:space="preserve">Сектор Рибарство също има обекти на брега – рибарски пристанища и стоянки, обекти на преработвателната промишленост. Туризмът, освен бурното развитие на морските курорти, има ясно определени съпътстващи дейности в морските пространства, за които в България има по-малко опит – плуване, гмуркане, гребане, сърфинг, кайт-сърфинг, водни ски, разходки с яхти, лодки и скутери, подводен риболов и др. Черноморските курорти се разглеждат и във връзка с натиска, който тяхното презастрояване поражда в морските пространства и по морския бряг. </w:t>
      </w:r>
    </w:p>
    <w:p w14:paraId="085E32EE" w14:textId="357C61D3"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МППРБ не предвижда ново строителство или промяна в начините на трайно ползване на крайбрежната територия, която е обект на Общите устройствени планове на черноморските общини. Той дава основни стратегически насоки за подобряване на взаимодействията между акваторията и прилежащата територия и за координиране на дейностите в морските сектори. От него не произтича реализация на инвестиционни инициативи, които се планират и процедират в условията на законовата рамка за устройство на територията (ЗУТ, ЗУЧК и ЗМПВВППРБ). МППРБ се съобразява с приоритетите на общностни, регионални, национални и локални документи, свързани с устойчивото развитие на морските пространства.</w:t>
      </w:r>
      <w:r w:rsidR="00D66FE0" w:rsidRPr="00610B1B">
        <w:rPr>
          <w:rFonts w:ascii="Times New Roman" w:eastAsia="Arial Unicode MS" w:hAnsi="Times New Roman" w:cs="Times New Roman"/>
          <w:sz w:val="24"/>
          <w:szCs w:val="24"/>
          <w:lang w:val="bg-BG"/>
        </w:rPr>
        <w:t xml:space="preserve"> </w:t>
      </w:r>
    </w:p>
    <w:p w14:paraId="20D48039" w14:textId="77777777"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Главна цел</w:t>
      </w:r>
      <w:r w:rsidRPr="00610B1B">
        <w:rPr>
          <w:rFonts w:ascii="Times New Roman" w:eastAsia="Arial Unicode MS" w:hAnsi="Times New Roman" w:cs="Times New Roman"/>
          <w:sz w:val="24"/>
          <w:szCs w:val="24"/>
          <w:lang w:val="bg-BG"/>
        </w:rPr>
        <w:t xml:space="preserve"> на Морския пространствен план на Р. България, е създаването на условия за устойчив растеж на морската икономика, за постигане на стабилно развитие на българския черноморски регион, чрез ефективно използване на природните ресурси, съобразено с изискванията за интегрирано опазване на морската среда. МППРБ трябва да съвмести безконфликтно съществуващи и бъдещи дейности по използване на морските пространства, отчитайки мерките за постигане на добро състояние на морската околна среда на Програмата от мерки към Морската стратегия на Р. България. </w:t>
      </w:r>
    </w:p>
    <w:p w14:paraId="1347C12F" w14:textId="42CD655E"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Специфичните цели</w:t>
      </w:r>
      <w:r w:rsidRPr="00610B1B">
        <w:rPr>
          <w:rFonts w:ascii="Times New Roman" w:eastAsia="Arial Unicode MS" w:hAnsi="Times New Roman" w:cs="Times New Roman"/>
          <w:sz w:val="24"/>
          <w:szCs w:val="24"/>
          <w:lang w:val="bg-BG"/>
        </w:rPr>
        <w:t xml:space="preserve"> на Морския пространствен план са съобразени с изискванията на Директива 2014/89/ЕС и на ЗМПВВППРБ и определят задачите, които трябва да бъдат изпълнени: i) анализ на състоянието на морските пространства на база налична информация; ii) анализ на ресурсите в морските пространства (биологични, минерални, материални); iii) анализ на дейности и ползвания в морските пространства, конфликтни точки</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 xml:space="preserve">и зони и потенциал за безконфликтно интегриране; iv) разработване на прогнозни сценарии и избор на предпочитан вариант при съчетание на икономически, социални и </w:t>
      </w:r>
      <w:r w:rsidRPr="00610B1B">
        <w:rPr>
          <w:rFonts w:ascii="Times New Roman" w:eastAsia="Arial Unicode MS" w:hAnsi="Times New Roman" w:cs="Times New Roman"/>
          <w:sz w:val="24"/>
          <w:szCs w:val="24"/>
          <w:lang w:val="bg-BG"/>
        </w:rPr>
        <w:lastRenderedPageBreak/>
        <w:t>екологични цели; v) определяне на визия и стратегически цели за развитие към избраните хоризонти – краткосрочен до 2024 г. и дългосрочен до 2035 г.; и vi) разработване на процедури за прилагане, управление, изпълнение, наблюдение и контрол.</w:t>
      </w:r>
    </w:p>
    <w:p w14:paraId="42CADD93" w14:textId="79BB4508"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 xml:space="preserve">При изготвянето на МППРБ са приложени задължителните </w:t>
      </w:r>
      <w:r w:rsidRPr="00610B1B">
        <w:rPr>
          <w:rFonts w:ascii="Times New Roman" w:eastAsia="Arial Unicode MS" w:hAnsi="Times New Roman" w:cs="Times New Roman"/>
          <w:b/>
          <w:bCs/>
          <w:sz w:val="24"/>
          <w:szCs w:val="24"/>
          <w:lang w:val="bg-BG"/>
        </w:rPr>
        <w:t>подходи за морско планиране</w:t>
      </w:r>
      <w:r w:rsidRPr="00610B1B">
        <w:rPr>
          <w:rFonts w:ascii="Times New Roman" w:eastAsia="Arial Unicode MS" w:hAnsi="Times New Roman" w:cs="Times New Roman"/>
          <w:sz w:val="24"/>
          <w:szCs w:val="24"/>
          <w:lang w:val="bg-BG"/>
        </w:rPr>
        <w:t xml:space="preserve"> (екосистемен, интегриран и трансграничен) и подходящи принципи, методи и инструменти за събиране и обработка на информацията, за системен и документален анализ, за прогнозиране и стратегическо планиране, за групово експертно вземане на решения и за обществени консултации. Основен инструмент при разработването на МППРБ е ГИС.</w:t>
      </w:r>
      <w:r w:rsidR="00D66FE0" w:rsidRPr="00610B1B">
        <w:rPr>
          <w:rFonts w:ascii="Times New Roman" w:eastAsia="Arial Unicode MS" w:hAnsi="Times New Roman" w:cs="Times New Roman"/>
          <w:sz w:val="24"/>
          <w:szCs w:val="24"/>
          <w:lang w:val="bg-BG"/>
        </w:rPr>
        <w:t xml:space="preserve"> </w:t>
      </w:r>
    </w:p>
    <w:p w14:paraId="7BA31E66" w14:textId="749C1787"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hAnsi="Times New Roman" w:cs="Times New Roman"/>
          <w:b/>
          <w:sz w:val="24"/>
          <w:szCs w:val="24"/>
          <w:lang w:val="bg-BG"/>
        </w:rPr>
        <w:t>Законодателната рамка</w:t>
      </w:r>
      <w:r w:rsidRPr="00610B1B">
        <w:rPr>
          <w:rFonts w:ascii="Times New Roman" w:hAnsi="Times New Roman" w:cs="Times New Roman"/>
          <w:bCs/>
          <w:sz w:val="24"/>
          <w:szCs w:val="24"/>
          <w:lang w:val="bg-BG"/>
        </w:rPr>
        <w:t xml:space="preserve"> на МППРБ се определя от законодателни, програмни и стратегически документи - международни (конвенции, протоколи, харти), Европейски (регламенти, директиви, решения, програми, стратегии и инициативи); регионални конвенции и протоколи за Черноморския регион; национални (закони, наредби, указания, концепции, стратегии, планове и програми от мерки); примери от добрите практики на други държави. Опазването на океаните и моретата,</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заложено още в края на 1950-те години, днес се свързва с </w:t>
      </w:r>
      <w:r w:rsidRPr="00610B1B">
        <w:rPr>
          <w:rFonts w:ascii="Times New Roman" w:eastAsia="Arial Unicode MS" w:hAnsi="Times New Roman" w:cs="Times New Roman"/>
          <w:bCs/>
          <w:sz w:val="24"/>
          <w:szCs w:val="24"/>
          <w:lang w:val="bg-BG"/>
        </w:rPr>
        <w:t xml:space="preserve">глобалната ЦУР14 на </w:t>
      </w:r>
      <w:r w:rsidRPr="00610B1B">
        <w:rPr>
          <w:rFonts w:ascii="Times New Roman" w:eastAsia="Arial Unicode MS" w:hAnsi="Times New Roman" w:cs="Times New Roman"/>
          <w:sz w:val="24"/>
          <w:szCs w:val="24"/>
          <w:lang w:val="bg-BG"/>
        </w:rPr>
        <w:t xml:space="preserve">Програмата на ООН </w:t>
      </w:r>
      <w:r w:rsidRPr="00610B1B">
        <w:rPr>
          <w:rFonts w:ascii="Times New Roman" w:eastAsia="Arial Unicode MS" w:hAnsi="Times New Roman" w:cs="Times New Roman"/>
          <w:b/>
          <w:bCs/>
          <w:sz w:val="24"/>
          <w:szCs w:val="24"/>
          <w:lang w:val="bg-BG"/>
        </w:rPr>
        <w:t>Дневен ред 2030</w:t>
      </w:r>
      <w:r w:rsidRPr="00610B1B">
        <w:rPr>
          <w:rFonts w:ascii="Times New Roman" w:eastAsia="Arial Unicode MS" w:hAnsi="Times New Roman" w:cs="Times New Roman"/>
          <w:sz w:val="24"/>
          <w:szCs w:val="24"/>
          <w:vertAlign w:val="superscript"/>
          <w:lang w:val="bg-BG"/>
        </w:rPr>
        <w:footnoteReference w:id="2"/>
      </w:r>
      <w:r w:rsidRPr="00610B1B">
        <w:rPr>
          <w:rFonts w:ascii="Times New Roman" w:eastAsia="Arial Unicode MS" w:hAnsi="Times New Roman" w:cs="Times New Roman"/>
          <w:sz w:val="24"/>
          <w:szCs w:val="24"/>
          <w:lang w:val="bg-BG"/>
        </w:rPr>
        <w:t>, която предвижда намаляване на морското замърсяване до 2025 г., възстановяване на морските екосистеми до 2020 г., преустановяване на разрушителните риболовни практики</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и преосмисляне на субсидирането на рибарството. В същия срок се предлага да се съхранят минимум 10% от крайбрежните и морски зони, да се стимулират научните изследвания и трансфера на морски технологии, повишаването на научните знания, развитието на изследователския капацитет и на информационната основа. До 2030 г. се очаква повишаване на икономическите ползи за най-слабо развитите държави</w:t>
      </w:r>
      <w:r w:rsidRPr="00610B1B">
        <w:rPr>
          <w:rFonts w:ascii="Times New Roman" w:eastAsia="Arial Unicode MS" w:hAnsi="Times New Roman" w:cs="Times New Roman"/>
          <w:i/>
          <w:sz w:val="24"/>
          <w:szCs w:val="24"/>
          <w:lang w:val="bg-BG"/>
        </w:rPr>
        <w:t xml:space="preserve"> „чрез устойчиво управление на рибарството, аквакултурите и туризма</w:t>
      </w:r>
      <w:r w:rsidRPr="00610B1B">
        <w:rPr>
          <w:rFonts w:ascii="Times New Roman" w:eastAsia="Arial Unicode MS" w:hAnsi="Times New Roman" w:cs="Times New Roman"/>
          <w:sz w:val="24"/>
          <w:szCs w:val="24"/>
          <w:lang w:val="bg-BG"/>
        </w:rPr>
        <w:t xml:space="preserve">“. </w:t>
      </w:r>
    </w:p>
    <w:p w14:paraId="3BD232A1" w14:textId="5DCD797D" w:rsidR="004B17B0" w:rsidRPr="00610B1B" w:rsidRDefault="004B17B0"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 xml:space="preserve">След основополагащите документи е </w:t>
      </w:r>
      <w:r w:rsidRPr="00610B1B">
        <w:rPr>
          <w:rFonts w:ascii="Times New Roman" w:eastAsia="Arial Unicode MS" w:hAnsi="Times New Roman" w:cs="Times New Roman"/>
          <w:b/>
          <w:bCs/>
          <w:sz w:val="24"/>
          <w:szCs w:val="24"/>
          <w:lang w:val="bg-BG"/>
        </w:rPr>
        <w:t xml:space="preserve">Конвенцията на ООН по морско право </w:t>
      </w:r>
      <w:r w:rsidRPr="00610B1B">
        <w:rPr>
          <w:rFonts w:ascii="Times New Roman" w:eastAsia="Arial Unicode MS" w:hAnsi="Times New Roman" w:cs="Times New Roman"/>
          <w:sz w:val="24"/>
          <w:szCs w:val="24"/>
          <w:lang w:val="bg-BG"/>
        </w:rPr>
        <w:t>(</w:t>
      </w:r>
      <w:r w:rsidR="006665AB" w:rsidRPr="00610B1B">
        <w:rPr>
          <w:rFonts w:ascii="Times New Roman" w:eastAsia="Arial Unicode MS" w:hAnsi="Times New Roman" w:cs="Times New Roman"/>
          <w:sz w:val="24"/>
          <w:szCs w:val="24"/>
          <w:lang w:val="bg-BG"/>
        </w:rPr>
        <w:t xml:space="preserve">1982 </w:t>
      </w:r>
      <w:r w:rsidRPr="00610B1B">
        <w:rPr>
          <w:rFonts w:ascii="Times New Roman" w:eastAsia="Arial Unicode MS" w:hAnsi="Times New Roman" w:cs="Times New Roman"/>
          <w:sz w:val="24"/>
          <w:szCs w:val="24"/>
          <w:lang w:val="bg-BG"/>
        </w:rPr>
        <w:t>г.)</w:t>
      </w:r>
      <w:r w:rsidRPr="00610B1B">
        <w:rPr>
          <w:rFonts w:ascii="Times New Roman" w:eastAsia="Arial Unicode MS" w:hAnsi="Times New Roman" w:cs="Times New Roman"/>
          <w:sz w:val="24"/>
          <w:szCs w:val="24"/>
          <w:vertAlign w:val="superscript"/>
          <w:lang w:val="bg-BG"/>
        </w:rPr>
        <w:footnoteReference w:id="3"/>
      </w:r>
      <w:r w:rsidRPr="00610B1B">
        <w:rPr>
          <w:rFonts w:ascii="Times New Roman" w:eastAsia="Arial Unicode MS" w:hAnsi="Times New Roman" w:cs="Times New Roman"/>
          <w:sz w:val="24"/>
          <w:szCs w:val="24"/>
          <w:lang w:val="bg-BG"/>
        </w:rPr>
        <w:t xml:space="preserve">, в която зоната на морското и океанско дъно и техните недра, отвъд националната юрисдикция, и техните ресурси, са обявени за общо наследство на човечеството. Тя задава дефинициите, фиксира границите на морските пространства и принципите за определянето им и установява ангажиментите на участниците в използването на тези пространства. </w:t>
      </w:r>
    </w:p>
    <w:p w14:paraId="0B94464C" w14:textId="75E2A378" w:rsidR="004050A5" w:rsidRPr="00610B1B" w:rsidRDefault="004B17B0" w:rsidP="00A43DF1">
      <w:pPr>
        <w:spacing w:after="24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Европейският съюз регламентира развитието и прилагането на интегрираната морска политика в държавите-членки с акцент върху рибарството и корабоплаването. За МППРБ най-важен документ е </w:t>
      </w:r>
      <w:r w:rsidRPr="00610B1B">
        <w:rPr>
          <w:rFonts w:ascii="Times New Roman" w:hAnsi="Times New Roman" w:cs="Times New Roman"/>
          <w:b/>
          <w:sz w:val="24"/>
          <w:szCs w:val="24"/>
          <w:lang w:val="bg-BG"/>
        </w:rPr>
        <w:t xml:space="preserve">Директива 2014/89/ЕС </w:t>
      </w:r>
      <w:r w:rsidRPr="00610B1B">
        <w:rPr>
          <w:rFonts w:ascii="Times New Roman" w:hAnsi="Times New Roman" w:cs="Times New Roman"/>
          <w:bCs/>
          <w:sz w:val="24"/>
          <w:szCs w:val="24"/>
          <w:lang w:val="bg-BG"/>
        </w:rPr>
        <w:t xml:space="preserve">на Европейския парламент и на Съвета от 23 юли 2014 г. за установяване на рамка за морско пространствено планиране, която определя методическия подход за разработване и прилагане на морските пространствени планове. Транспонирана е в българското законодателство чрез ЗМВВППРБ, в който се обосновават правната, институционалната и методологична рамка на пилотния за страната документ. </w:t>
      </w:r>
    </w:p>
    <w:p w14:paraId="695DFEC6" w14:textId="77777777" w:rsidR="004B17B0" w:rsidRPr="00610B1B" w:rsidRDefault="004B17B0"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lastRenderedPageBreak/>
        <w:t>Конвенцията за опазване на Черно море от замърсяване</w:t>
      </w:r>
      <w:r w:rsidRPr="00610B1B">
        <w:rPr>
          <w:rFonts w:ascii="Times New Roman" w:eastAsia="Arial Unicode MS" w:hAnsi="Times New Roman" w:cs="Times New Roman"/>
          <w:sz w:val="24"/>
          <w:szCs w:val="24"/>
          <w:lang w:val="bg-BG"/>
        </w:rPr>
        <w:t xml:space="preserve"> (Букурещ, 1992 г.), разглежда замърсяването от дейности на сушата, в морето и континенталния шелф, от кораби, дъмпинг или трансграничен пренос на опасни вещества и подпомага сътрудничеството за установяване на научни критерии за определяне на правила, стандарти, препоръчителни практики и процедури за предотвратяване, намаляване и контрол на замърсяването</w:t>
      </w:r>
      <w:r w:rsidRPr="00610B1B">
        <w:rPr>
          <w:rFonts w:ascii="Times New Roman" w:eastAsia="Arial Unicode MS" w:hAnsi="Times New Roman" w:cs="Times New Roman"/>
          <w:sz w:val="24"/>
          <w:szCs w:val="24"/>
          <w:vertAlign w:val="superscript"/>
          <w:lang w:val="bg-BG"/>
        </w:rPr>
        <w:footnoteReference w:id="4"/>
      </w:r>
      <w:r w:rsidRPr="00610B1B">
        <w:rPr>
          <w:rFonts w:ascii="Times New Roman" w:eastAsia="Arial Unicode MS" w:hAnsi="Times New Roman" w:cs="Times New Roman"/>
          <w:sz w:val="24"/>
          <w:szCs w:val="24"/>
          <w:lang w:val="bg-BG"/>
        </w:rPr>
        <w:t xml:space="preserve">. През 2009 г. в София се приема Стратегически план за действие за опазване и възстановяване на Черно море, който изисква отчитане на дейността в крайбрежните зони и въздействието им върху състоянието на морската среда. През 2018 г. в Бургас се приема Визия за иновативен и интелигентен син растеж. Тези международни, общностни, регионални, национални законодателни и стратегически документи са в основата на прогнозните предвиждания. </w:t>
      </w:r>
    </w:p>
    <w:p w14:paraId="5603D103" w14:textId="77777777" w:rsidR="004B17B0" w:rsidRPr="00610B1B" w:rsidRDefault="004B17B0"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b/>
          <w:bCs/>
          <w:color w:val="000000"/>
          <w:sz w:val="24"/>
          <w:szCs w:val="24"/>
          <w:lang w:val="bg-BG"/>
        </w:rPr>
        <w:t>Времевият обхват</w:t>
      </w:r>
      <w:r w:rsidRPr="00610B1B">
        <w:rPr>
          <w:rFonts w:ascii="Times New Roman" w:eastAsia="Times New Roman" w:hAnsi="Times New Roman" w:cs="Times New Roman"/>
          <w:color w:val="000000"/>
          <w:sz w:val="24"/>
          <w:szCs w:val="24"/>
          <w:lang w:val="bg-BG"/>
        </w:rPr>
        <w:t xml:space="preserve"> на МППРБ е регламентиран в Техническата спецификация. Той се разработва за периода 2021–2035 г. или за срок от 15 години, актуализацията му се извършва след 10 години или през 2030 г., когато изтичат сроковете и на други важни национални планове и секторни стратегии. Краткосрочните прогнози са до 2024 г. включително.</w:t>
      </w:r>
    </w:p>
    <w:p w14:paraId="6B764D2F" w14:textId="77777777"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Тематичният обхват</w:t>
      </w:r>
      <w:r w:rsidRPr="00610B1B">
        <w:rPr>
          <w:rFonts w:ascii="Times New Roman" w:hAnsi="Times New Roman" w:cs="Times New Roman"/>
          <w:bCs/>
          <w:sz w:val="24"/>
          <w:szCs w:val="24"/>
          <w:lang w:val="bg-BG"/>
        </w:rPr>
        <w:t xml:space="preserve"> на МППРБ, съгласно действащия у нас нормативен документ, покрива всички тематични области от Директива 2014/89/ЕС - транспортни системи за движение, зони и полигони за военни учения; проучвания за разработване и използване/добив на ресурси; рибарство и аквакултури; туризъм, рекреационни и спортни дейности в морето; научни изследвания; защитени зони и защитени територии от НЕМ; културно наследство и подводна археология; подводни линейни обекти на техническата инфраструктура; инсталации и съоръжения, свързани с корабоплаването и с разработването и използването на минералните и енергийните ресурси; пристанища и пристанищна дейност с прилежащите им площи; дейности в морската икономика, с техния разширяващ се обхват през последните десетилетия и необходимите пространства и ресурси. </w:t>
      </w:r>
    </w:p>
    <w:p w14:paraId="347BEFE6" w14:textId="5806BC85"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Източниците на информация</w:t>
      </w:r>
      <w:r w:rsidRPr="00610B1B">
        <w:rPr>
          <w:rFonts w:ascii="Times New Roman" w:hAnsi="Times New Roman" w:cs="Times New Roman"/>
          <w:bCs/>
          <w:sz w:val="24"/>
          <w:szCs w:val="24"/>
          <w:lang w:val="bg-BG"/>
        </w:rPr>
        <w:t xml:space="preserve"> обхващат широк набор от официални институции, мрежи и бази данни и публикации, свързани с тематиката, целите и задачите на плана. Използвани са данни на свободен достъп от Европейската платформа за МПП (MSP Platform), ЕMODneт, ЕЕА и др. При изготвянето на МППРБ е използвана информация от научни разработки на участниците в екипа, собствена база данни на НЦТР,</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резултати от Социално-икономическия анализ на районите, който е в процес на актуализация. </w:t>
      </w:r>
    </w:p>
    <w:p w14:paraId="11AF0CB8" w14:textId="339AFE04"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Състоянието на националните морски пространства</w:t>
      </w:r>
      <w:r w:rsidRPr="00610B1B">
        <w:rPr>
          <w:rFonts w:ascii="Times New Roman" w:hAnsi="Times New Roman" w:cs="Times New Roman"/>
          <w:bCs/>
          <w:sz w:val="24"/>
          <w:szCs w:val="24"/>
          <w:lang w:val="bg-BG"/>
        </w:rPr>
        <w:t xml:space="preserve"> е анализирано по компоненти на средата и в съответствие с развиващите се дейности, наличните ресурси и последиците от различни ползвания. Всичко това се изследва съобразно специфичните характеристики на Черно море. То е елипсоиден полузатворен басейн, разположен в Северното полукълбо, между Европа и Азия. Единствената връзка със световния океан е през Средиземно море чрез Босфора. На север чрез протока Керч Черно море се свързва с Азовско море. Северозападният шелф е единственото акумулативно тяло, където се вливат трите най-</w:t>
      </w:r>
      <w:r w:rsidRPr="00610B1B">
        <w:rPr>
          <w:rFonts w:ascii="Times New Roman" w:hAnsi="Times New Roman" w:cs="Times New Roman"/>
          <w:bCs/>
          <w:sz w:val="24"/>
          <w:szCs w:val="24"/>
          <w:lang w:val="bg-BG"/>
        </w:rPr>
        <w:lastRenderedPageBreak/>
        <w:t>големи европейски реки - Дунав, Днепър и Днестър. Големият сладководен речен вток на повърхността и притокът на солени средиземноморски води в дълбоководната част на морето през Босфора, създават уникална двуслойна термохалинна водна стратификация. На дълбочина по-голяма от 150–200 m е установена постоянна сероводородна зона, в която кислородът е изчерпан. Черно море е най-големият безкислороден басейн в света. Богатите на кислород повърхностни води, от които зависи животът в морето са около 13% от обема на водната маса. Тази особеност влияе върху екологичното състояние на морската среда и разнообразието на организмите, които зависят от нея. Поради затворения характер</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и положителния сладководен баланс, водното ниво на Черно море е с 30 до 50 cm по-високо от това на Мраморно море, което създава две течения. Повърхностното течение</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пренася от Черно в Мраморно море води със соленост 17–18‰, а придънното течение увлича в Черно море вода от Мраморно море със соленост 38‰. Особеност на крайбрежието е, че е изградено в северната си част от седиментни скали, а в южната - от магмени. В крайбрежните териториални води липсват големи острови, което е типично за Черно море. Отвореността на Черноморския регион на север и североизток и липсата на орографска преграда е предпоставка за нахлуване на студени въздушни маси през зимата и екстремни отрицателни температури по крайбрежието. През топлото полугодие бризовата</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циркулация ограничава високите температури на въздуха. Характерна е неголямата височина на ветровите вълни, със средногодишни</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стойности в северозападната част около 2 m. По българското крайбрежие</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вълните са с височина средно 31 cm, поради плитката шелфова част. </w:t>
      </w:r>
      <w:r w:rsidRPr="00610B1B">
        <w:rPr>
          <w:rFonts w:ascii="Times New Roman" w:eastAsia="Times New Roman" w:hAnsi="Times New Roman" w:cs="Times New Roman"/>
          <w:spacing w:val="-1"/>
          <w:sz w:val="24"/>
          <w:szCs w:val="24"/>
          <w:lang w:val="bg-BG" w:eastAsia="bg-BG"/>
        </w:rPr>
        <w:t xml:space="preserve">Типични са малките колебания на морската вода при приливите и отливите. </w:t>
      </w:r>
      <w:r w:rsidRPr="00610B1B">
        <w:rPr>
          <w:rFonts w:ascii="Times New Roman" w:eastAsia="Times New Roman" w:hAnsi="Times New Roman" w:cs="Times New Roman"/>
          <w:sz w:val="24"/>
          <w:szCs w:val="24"/>
          <w:lang w:val="bg-BG" w:bidi="en-US"/>
        </w:rPr>
        <w:t>Най-големите приливи (до 17 сm) се наблюдават в Одеския залив, а максималният прилив в Бургас е 11,2 сm.</w:t>
      </w:r>
    </w:p>
    <w:p w14:paraId="0387B13C" w14:textId="2422E9F5" w:rsidR="004B17B0" w:rsidRPr="00610B1B" w:rsidRDefault="004B17B0" w:rsidP="00D32D6A">
      <w:pPr>
        <w:spacing w:after="120"/>
        <w:ind w:right="-153"/>
        <w:jc w:val="both"/>
        <w:rPr>
          <w:rFonts w:ascii="Times New Roman" w:eastAsia="Times New Roman" w:hAnsi="Times New Roman" w:cs="Times New Roman"/>
          <w:sz w:val="24"/>
          <w:szCs w:val="24"/>
          <w:lang w:val="bg-BG" w:bidi="en-US"/>
        </w:rPr>
      </w:pPr>
      <w:r w:rsidRPr="00610B1B">
        <w:rPr>
          <w:rFonts w:ascii="Times New Roman" w:eastAsia="Times New Roman" w:hAnsi="Times New Roman" w:cs="Times New Roman"/>
          <w:sz w:val="24"/>
          <w:szCs w:val="24"/>
          <w:lang w:val="bg-BG" w:bidi="en-US"/>
        </w:rPr>
        <w:t>Черно море е характерно</w:t>
      </w:r>
      <w:r w:rsidR="00D66FE0" w:rsidRPr="00610B1B">
        <w:rPr>
          <w:rFonts w:ascii="Times New Roman" w:eastAsia="Times New Roman" w:hAnsi="Times New Roman" w:cs="Times New Roman"/>
          <w:sz w:val="24"/>
          <w:szCs w:val="24"/>
          <w:lang w:val="bg-BG" w:bidi="en-US"/>
        </w:rPr>
        <w:t xml:space="preserve"> </w:t>
      </w:r>
      <w:r w:rsidRPr="00610B1B">
        <w:rPr>
          <w:rFonts w:ascii="Times New Roman" w:eastAsia="Times New Roman" w:hAnsi="Times New Roman" w:cs="Times New Roman"/>
          <w:sz w:val="24"/>
          <w:szCs w:val="24"/>
          <w:lang w:val="bg-BG" w:bidi="en-US"/>
        </w:rPr>
        <w:t>с ограниченото си биоразнообразие. Фауната му е около три пъти по-бедна от тази на Средиземно море, поради сероводорода в дълбоководната зона, ниската соленост на водите и ограничената връзка със Световния океан. Пространствата в прилежащото крайбрежие обаче са</w:t>
      </w:r>
      <w:r w:rsidR="00D66FE0" w:rsidRPr="00610B1B">
        <w:rPr>
          <w:rFonts w:ascii="Times New Roman" w:eastAsia="Times New Roman" w:hAnsi="Times New Roman" w:cs="Times New Roman"/>
          <w:sz w:val="24"/>
          <w:szCs w:val="24"/>
          <w:lang w:val="bg-BG" w:bidi="en-US"/>
        </w:rPr>
        <w:t xml:space="preserve"> </w:t>
      </w:r>
      <w:r w:rsidRPr="00610B1B">
        <w:rPr>
          <w:rFonts w:ascii="Times New Roman" w:eastAsia="Times New Roman" w:hAnsi="Times New Roman" w:cs="Times New Roman"/>
          <w:sz w:val="24"/>
          <w:szCs w:val="24"/>
          <w:lang w:val="bg-BG" w:bidi="en-US"/>
        </w:rPr>
        <w:t xml:space="preserve">известни с богато биоразнообразие. По българското крайбрежие и над прилежаща акватория преминава един от европейските пътища на мигриращите птици – </w:t>
      </w:r>
      <w:r w:rsidRPr="00610B1B">
        <w:rPr>
          <w:rFonts w:ascii="Times New Roman" w:eastAsia="Times New Roman" w:hAnsi="Times New Roman" w:cs="Times New Roman"/>
          <w:i/>
          <w:iCs/>
          <w:sz w:val="24"/>
          <w:szCs w:val="24"/>
          <w:lang w:val="bg-BG" w:bidi="en-US"/>
        </w:rPr>
        <w:t>Via Pontica</w:t>
      </w:r>
      <w:r w:rsidRPr="00610B1B">
        <w:rPr>
          <w:rFonts w:ascii="Times New Roman" w:eastAsia="Times New Roman" w:hAnsi="Times New Roman" w:cs="Times New Roman"/>
          <w:sz w:val="24"/>
          <w:szCs w:val="24"/>
          <w:lang w:val="bg-BG" w:bidi="en-US"/>
        </w:rPr>
        <w:t>. Тук са обявени десетки защитени територии по Закона за защитените територии и защитени зони по Закона за биологичното разнообразие. Общата защитена площ на българското морско пространство е 247 724 ha, над 80% от извънселищните територии по бреговата линия също са под защита.</w:t>
      </w:r>
    </w:p>
    <w:p w14:paraId="07A6FBBB" w14:textId="4FFD1F2E" w:rsidR="004B17B0" w:rsidRPr="00610B1B" w:rsidRDefault="004B17B0" w:rsidP="00D32D6A">
      <w:pPr>
        <w:spacing w:after="120"/>
        <w:ind w:right="-153"/>
        <w:jc w:val="both"/>
        <w:rPr>
          <w:rFonts w:ascii="Times New Roman" w:eastAsia="Times New Roman" w:hAnsi="Times New Roman" w:cs="Times New Roman"/>
          <w:sz w:val="24"/>
          <w:szCs w:val="24"/>
          <w:lang w:val="bg-BG" w:bidi="en-US"/>
        </w:rPr>
      </w:pPr>
      <w:r w:rsidRPr="00610B1B">
        <w:rPr>
          <w:rFonts w:ascii="Times New Roman" w:eastAsia="Times New Roman" w:hAnsi="Times New Roman" w:cs="Times New Roman"/>
          <w:sz w:val="24"/>
          <w:szCs w:val="24"/>
          <w:lang w:val="bg-BG" w:bidi="en-US"/>
        </w:rPr>
        <w:t>От шестте държави, разположени около басейна на Черно море само две са членки на ЕС. Бреговете са с различна степен на урбанизация и усвояване на териториите. Към 31.12.2018 г. населението на Черноморските общини у нас</w:t>
      </w:r>
      <w:r w:rsidR="00D66FE0" w:rsidRPr="00610B1B">
        <w:rPr>
          <w:rFonts w:ascii="Times New Roman" w:eastAsia="Times New Roman" w:hAnsi="Times New Roman" w:cs="Times New Roman"/>
          <w:sz w:val="24"/>
          <w:szCs w:val="24"/>
          <w:lang w:val="bg-BG" w:bidi="en-US"/>
        </w:rPr>
        <w:t xml:space="preserve"> </w:t>
      </w:r>
      <w:r w:rsidRPr="00610B1B">
        <w:rPr>
          <w:rFonts w:ascii="Times New Roman" w:eastAsia="Times New Roman" w:hAnsi="Times New Roman" w:cs="Times New Roman"/>
          <w:sz w:val="24"/>
          <w:szCs w:val="24"/>
          <w:lang w:val="bg-BG" w:bidi="en-US"/>
        </w:rPr>
        <w:t xml:space="preserve">е 726 745 души, което представлява 10.4% от населението на България. В сравнение с края на 2011 г. населението на морските общини се увеличава с 0.04%, докато в страната намалява с 4.5%. На брега на Черно море са разположени два от големите градове в страната, с население към края на 2019 г., съответно Варна с 336 216 д. и Бургас с 201 779 д. </w:t>
      </w:r>
    </w:p>
    <w:p w14:paraId="2C13D980"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eastAsia="bg-BG"/>
        </w:rPr>
        <w:t xml:space="preserve">Около 70% от общото количество замърсители, постъпващи в морето са от черноморските страни. Част от тях и останалите 30% (от другите 11 страни във водосбора) се вливат в Черно море чрез р. Дунав. Това е едно от най-засегнатите морета от прекомерно съдържание на хранителни вещества и органична пренатовареност, поради използването </w:t>
      </w:r>
      <w:r w:rsidRPr="00610B1B">
        <w:rPr>
          <w:rFonts w:ascii="Times New Roman" w:hAnsi="Times New Roman" w:cs="Times New Roman"/>
          <w:sz w:val="24"/>
          <w:szCs w:val="24"/>
          <w:lang w:val="bg-BG" w:eastAsia="bg-BG"/>
        </w:rPr>
        <w:lastRenderedPageBreak/>
        <w:t>на торове в земеделието, непречистени отпадъчни води от животновъдни обекти и населени места и замърсяване от индустриални центрове. Най-силно засегната от еутрофикация е северозападната част на Черно море, където се вливат Дунав, Днепър и Днестър. Пренасяните големи количества фосфати и нитрати са причина за масирано развитие на фитопланктона и измиране на дънни организми. Допълнително натоварват морската среда инвазията на чуждестранни видове, дънното тралиране и преуловът. Установява се значително намаляване на рибните запаси.</w:t>
      </w:r>
      <w:r w:rsidRPr="00610B1B">
        <w:rPr>
          <w:rFonts w:ascii="Times New Roman" w:hAnsi="Times New Roman" w:cs="Times New Roman"/>
          <w:sz w:val="24"/>
          <w:szCs w:val="24"/>
          <w:lang w:val="bg-BG"/>
        </w:rPr>
        <w:t xml:space="preserve"> Състоянието на морската околна среда е проследено въз основа данните от мониторинга по определените дескриптори и предоставените доклади от БДЧР, РЗИ, ИО и ИБЕИ на БАН. Изводите от анализа дават възможност да се изгради обобщената картина за съществуващото състояние с всички най-важни силни и слаби страни, предизвикателства и заплахи. </w:t>
      </w:r>
    </w:p>
    <w:p w14:paraId="108BCF8E" w14:textId="77777777" w:rsidR="004B17B0" w:rsidRPr="00610B1B" w:rsidRDefault="004B17B0" w:rsidP="00D32D6A">
      <w:pPr>
        <w:spacing w:after="120"/>
        <w:ind w:right="-153"/>
        <w:jc w:val="both"/>
        <w:rPr>
          <w:rFonts w:ascii="Times New Roman" w:hAnsi="Times New Roman" w:cs="Times New Roman"/>
          <w:lang w:val="bg-BG"/>
        </w:rPr>
      </w:pPr>
      <w:r w:rsidRPr="00610B1B">
        <w:rPr>
          <w:rFonts w:ascii="Times New Roman" w:hAnsi="Times New Roman" w:cs="Times New Roman"/>
          <w:sz w:val="24"/>
          <w:szCs w:val="24"/>
          <w:lang w:val="bg-BG"/>
        </w:rPr>
        <w:t xml:space="preserve">Сред </w:t>
      </w:r>
      <w:r w:rsidRPr="00610B1B">
        <w:rPr>
          <w:rFonts w:ascii="Times New Roman" w:hAnsi="Times New Roman" w:cs="Times New Roman"/>
          <w:b/>
          <w:bCs/>
          <w:sz w:val="24"/>
          <w:szCs w:val="24"/>
          <w:lang w:val="bg-BG"/>
        </w:rPr>
        <w:t>силните страни</w:t>
      </w:r>
      <w:r w:rsidRPr="00610B1B">
        <w:rPr>
          <w:rFonts w:ascii="Times New Roman" w:hAnsi="Times New Roman" w:cs="Times New Roman"/>
          <w:sz w:val="24"/>
          <w:szCs w:val="24"/>
          <w:lang w:val="bg-BG"/>
        </w:rPr>
        <w:t xml:space="preserve"> на морските пространства, представени последователно за различните компоненти на средата и дейностите в Черно море са разнообразният и живописен морски бряг, полегатото пясъчно дъно и достатъчно големите заливи, в които се осъществяват разнообразни дейности и имат достъп различни по големина съвременни плавателни съдове. Съществуват добри познания за характеристиките на морската среда и тяхната сезонна и междугодишна динамика, поддържа се добър международен обмен на данни.</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В крайбрежната зона има многообразие от термоминерални води с различни физични и химични характеристики, минерализация и лечебни свойства, с неусвоен потенциал.</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Благоприятният климат с подходящи температури на въздуха през всички сезони, късата и прохладна пролет, продължителната топла есен и меката зима, температурите на морската вода, предразполагат към по-дълго използване на крайбрежието за морски туризъм. Въздействията на морския бриз в летния сезон подобряват климатичния комфорт.</w:t>
      </w:r>
      <w:r w:rsidRPr="00610B1B">
        <w:rPr>
          <w:rFonts w:ascii="Times New Roman" w:hAnsi="Times New Roman" w:cs="Times New Roman"/>
          <w:lang w:val="bg-BG"/>
        </w:rPr>
        <w:t xml:space="preserve"> </w:t>
      </w:r>
    </w:p>
    <w:p w14:paraId="5EA63C12" w14:textId="77777777" w:rsidR="004B17B0" w:rsidRPr="00610B1B" w:rsidRDefault="004B17B0" w:rsidP="00D32D6A">
      <w:pPr>
        <w:spacing w:after="120"/>
        <w:ind w:right="-153"/>
        <w:jc w:val="both"/>
        <w:rPr>
          <w:rFonts w:ascii="Times New Roman" w:hAnsi="Times New Roman" w:cs="Times New Roman"/>
          <w:lang w:val="bg-BG"/>
        </w:rPr>
      </w:pPr>
      <w:r w:rsidRPr="00610B1B">
        <w:rPr>
          <w:rFonts w:ascii="Times New Roman" w:hAnsi="Times New Roman" w:cs="Times New Roman"/>
          <w:sz w:val="24"/>
          <w:szCs w:val="24"/>
          <w:lang w:val="bg-BG"/>
        </w:rPr>
        <w:t>Прилагат се приетите стратегически документи в областта на биоразнообразието, горите, селското стопанство, изменението на климата и други, свързани с морето и прилежащото крайбрежие, сектори. Законодателството на ЕС в областта на биоразнообразието и управление на водите и интегрираната морска политика и морско пространствено планиране са транспонирани в националното законодателство. Изпълнява се мониторинг и се прилагат мерки от Програмата от мерки към Морската стратегия на Р. България съгл. чл. 13 от РДМС и мерки по чл. 11 от РДВ. България съхранява уникални за страната и Европа представители на растителния и животински свят и запазени хабитати в акваторията на Черно море и крайбрежната зона. Изградена е екологична мрежа от защитени територии и защитени зони със съхранено биоразнообразие. В населените места по Черноморското крайбрежие демографската картина е относително стабилна. Увеличава се населението на градовете Варна, Бургас и Несебър, висок е относителният дял на градското население с висше образование (26.8%), при 19.6% средно за страната. Съществуват добра образователна система и традиции за обучение на морски кадри, с потенциал за развитие.</w:t>
      </w:r>
      <w:r w:rsidRPr="00610B1B">
        <w:rPr>
          <w:rFonts w:ascii="Times New Roman" w:hAnsi="Times New Roman" w:cs="Times New Roman"/>
          <w:lang w:val="bg-BG"/>
        </w:rPr>
        <w:t xml:space="preserve"> </w:t>
      </w:r>
    </w:p>
    <w:p w14:paraId="2A5B754D" w14:textId="2F7580A3"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Сравнително благоприятното географско местоположение на страната осигурява възможности за превози на товари при сравнително ниски разходи и висока ефективност.</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 xml:space="preserve">Извършва се непрекъснато наблюдение на кораби над 12 метра и мониторинг на риболовни кораби, извършващи улов на квотиран вид риба (калкан). Установено е добро </w:t>
      </w:r>
      <w:r w:rsidRPr="00610B1B">
        <w:rPr>
          <w:rFonts w:ascii="Times New Roman" w:hAnsi="Times New Roman" w:cs="Times New Roman"/>
          <w:sz w:val="24"/>
          <w:szCs w:val="24"/>
          <w:lang w:val="bg-BG"/>
        </w:rPr>
        <w:lastRenderedPageBreak/>
        <w:t>сътрудничество с други администрации по отношение на техническите характеристики на риболовните кораби с ИА „Морска администрация“ (ИАМА) и борбата с незаконния, недеклариран и нерегулиран риболов (Гранична полиция, БАБХ), Европейската агенция за контрол в рибарството (EFCA), Frontex, European Maritime Safety Agency (EMSA). Поддържа се база данни за анализ и оценка на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биологичните и социално-икономическите показатели в сектор „Рибарство и аквакултури“, с важна роля в управлението на живите водни ресурси. </w:t>
      </w:r>
    </w:p>
    <w:p w14:paraId="11AFE0FE"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Съществуват разнообразни и пространствено наситени туристически ресурси (природно и културно наследство, климат, атрактивно крайбрежие, минерални води, биоразнообразие, защитени територии и видове, условия и продукти за много видове туризъм в 4 сезона), а също и стабилен контекст - икономически растеж, финансова система и валута, данъчна и осигурителна политика, членство в ЕС, принадлежност към най-големия туристически пазар – европейския, съгласуваност на българската туристическа политика с международната, действащ стратегически планов документ. Към силните страни се добавя и привлекателността на дестинация „България” поради достъпност, близост до генериращи пазари, конкурентни цени, сигурност, национална идентичност и изявен морски туризъм.</w:t>
      </w:r>
    </w:p>
    <w:p w14:paraId="235737D5"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 развитието на морските транспортните услуги и инфраструктура от значение са разположението на страната в Черноморския регион, добрата обвързаност с транспортната инфраструктура на брега и с различните видове транспорт – въздушен, пътен и ж.п., и потенциал за интермодалност и синергия. Геоложкото пространство на земните недра на континенталния шелф е добре проучено, той е перспективен източник на нетрадиционни природни ресурси - сероводород и газохидрати. Климатичните условия и географските дадености са благоприятни за добив на морска сол. Широк спектър от морски дейности определя важната функция на Черно море като източник на икономически растеж и заетост (2% от БВП и 3% от заетостта в страната като пряк ефект) с потенциал за развитие на всички основни морски дейности и важен фактор за поддържане на жизнени крайбрежни райони.</w:t>
      </w:r>
    </w:p>
    <w:p w14:paraId="6405ABC3"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България притежава уникално и многообразно недвижимо културно наследство, което обхваща периоди от праисторията до ХХ век, за разкриването на което допринася и Черно море с находките под вода. Местоположението на голяма част от тези обекти е непосредствено на бреговата ивица на България. Установен е траен интерес към националното културно наследство от наши и чуждестранни туристи и изследователи.</w:t>
      </w:r>
    </w:p>
    <w:p w14:paraId="489B3952" w14:textId="7EF1634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Сред </w:t>
      </w:r>
      <w:r w:rsidRPr="00610B1B">
        <w:rPr>
          <w:rFonts w:ascii="Times New Roman" w:hAnsi="Times New Roman" w:cs="Times New Roman"/>
          <w:b/>
          <w:bCs/>
          <w:sz w:val="24"/>
          <w:szCs w:val="24"/>
          <w:lang w:val="bg-BG"/>
        </w:rPr>
        <w:t>слабите страни</w:t>
      </w:r>
      <w:r w:rsidRPr="00610B1B">
        <w:rPr>
          <w:rFonts w:ascii="Times New Roman" w:hAnsi="Times New Roman" w:cs="Times New Roman"/>
          <w:sz w:val="24"/>
          <w:szCs w:val="24"/>
          <w:lang w:val="bg-BG"/>
        </w:rPr>
        <w:t xml:space="preserve"> в характеристиките на компонентите на морската среда и проблемите в свързаните с морето сектори, са посочени завишеното антропогенно натоварване и свръхурбанизацията в критични зони от крайбрежието с повишен риск от свлачища, които застрашават изградената инфраструктура и качеството на морската околна среда в прилежащата акватория. Интензивната абразия в обширни области с клифов бряг се усложнява от свлачищните процеси. Липсват достатъчно знания за акваториалната част и за най-активната, интензивно експлоатирана и най-богата на биоразнообразие зона в нея.</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Липсват данни за извеждане на многогодишни тенденции на изменение на хидроложките характеристики, необходими за отчитане на промените в </w:t>
      </w:r>
      <w:r w:rsidRPr="00610B1B">
        <w:rPr>
          <w:rFonts w:ascii="Times New Roman" w:hAnsi="Times New Roman" w:cs="Times New Roman"/>
          <w:sz w:val="24"/>
          <w:szCs w:val="24"/>
          <w:lang w:val="bg-BG"/>
        </w:rPr>
        <w:lastRenderedPageBreak/>
        <w:t>климата. Не са достатъчни времевата честота и пространственото покритие на мониторинга на някои основни характеристики, не достига капацитет за моделиране и прогнозиране на хидродинамичните процеси в морската среда, в т.ч. с оглед на климатичните промени. Не са изучени достатъчно процесите на взаимодействие между вълните и теченията и морското дъно в крайбрежните зони на страната, както и влиянието на хидротехническите съоръжения върху бреговата динамика. Много от източниците на минерална вода не са оценени и утвърдени, а други, въпреки че са изпитани, каптирани и водата изпробвана, не са каталогизирани. Малък е броят на дните с валежи, което ограничава подхранването на водните източници и създава условия за воден стрес. Сред недостатъците в климатичните характеристики са резките промени в баричното налягане и предпоставки за драстични промени в нивото на морското равнище, наличието на дни с бурен вятър и щормова вълна, с разрушително въздействие върху брега и ограничаваща корабоплаването в района.</w:t>
      </w:r>
    </w:p>
    <w:p w14:paraId="05F2E4B2" w14:textId="33E87C99" w:rsidR="004B17B0" w:rsidRPr="00610B1B" w:rsidRDefault="004B17B0" w:rsidP="00D32D6A">
      <w:pPr>
        <w:spacing w:after="120"/>
        <w:ind w:right="-153"/>
        <w:jc w:val="both"/>
        <w:rPr>
          <w:rFonts w:ascii="Times New Roman" w:hAnsi="Times New Roman" w:cs="Times New Roman"/>
          <w:lang w:val="bg-BG"/>
        </w:rPr>
      </w:pPr>
      <w:r w:rsidRPr="00610B1B">
        <w:rPr>
          <w:rFonts w:ascii="Times New Roman" w:hAnsi="Times New Roman" w:cs="Times New Roman"/>
          <w:sz w:val="24"/>
          <w:szCs w:val="24"/>
          <w:lang w:val="bg-BG"/>
        </w:rPr>
        <w:t xml:space="preserve">Забавеното изпълнение на заложените мерки в ПУРБ 2016-2021 г. и в Програмата от мерки по чл. 13 от РДМС се отразява на състоянието на морската среда по някои показатели - фитопланктон, зоопланктон (поради наличието на инвазивни видове), риби, морски бозайници. Засушаванията променят статуса на влажните зони и водят до намаляване на рибните запаси. </w:t>
      </w:r>
      <w:r w:rsidR="00D66FE0" w:rsidRPr="00610B1B">
        <w:rPr>
          <w:rFonts w:ascii="Times New Roman" w:hAnsi="Times New Roman" w:cs="Times New Roman"/>
          <w:sz w:val="24"/>
          <w:szCs w:val="24"/>
          <w:lang w:val="bg-BG"/>
        </w:rPr>
        <w:t>Замърсяването на крайбрежните морски води оказва влияние върху функционирането на екосистемите и би</w:t>
      </w:r>
      <w:r w:rsidR="00610CA1" w:rsidRPr="00610B1B">
        <w:rPr>
          <w:rFonts w:ascii="Times New Roman" w:hAnsi="Times New Roman" w:cs="Times New Roman"/>
          <w:sz w:val="24"/>
          <w:szCs w:val="24"/>
          <w:lang w:val="en-US"/>
        </w:rPr>
        <w:t>o</w:t>
      </w:r>
      <w:r w:rsidR="00D66FE0" w:rsidRPr="00610B1B">
        <w:rPr>
          <w:rFonts w:ascii="Times New Roman" w:hAnsi="Times New Roman" w:cs="Times New Roman"/>
          <w:sz w:val="24"/>
          <w:szCs w:val="24"/>
          <w:lang w:val="bg-BG"/>
        </w:rPr>
        <w:t xml:space="preserve">логичното разнообразие, което се отразява негативно и върху рибните ресурси. Независимо от </w:t>
      </w:r>
      <w:r w:rsidR="00610CA1" w:rsidRPr="00610B1B">
        <w:rPr>
          <w:rFonts w:ascii="Times New Roman" w:hAnsi="Times New Roman" w:cs="Times New Roman"/>
          <w:sz w:val="24"/>
          <w:szCs w:val="24"/>
          <w:lang w:val="bg-BG"/>
        </w:rPr>
        <w:t>положените</w:t>
      </w:r>
      <w:r w:rsidR="00D66FE0" w:rsidRPr="00610B1B">
        <w:rPr>
          <w:rFonts w:ascii="Times New Roman" w:hAnsi="Times New Roman" w:cs="Times New Roman"/>
          <w:sz w:val="24"/>
          <w:szCs w:val="24"/>
          <w:lang w:val="bg-BG"/>
        </w:rPr>
        <w:t xml:space="preserve"> усилия на Република България за намаляване на натиска върху рибните запаси, част от рибните ресурси не се използват устойчиво, поради: неподходящи методи за риболов с негативно въздействие върху морската среда, ниската степен на инвестиране в подмяната на риболовните уреди с по-селективни, незаконен, недеклариран и нерегулиран риболов. Насърчаването на браншовите организации в сектор „Рибарство и аквакултури“ към използването селективна риболовна техника е плавен процес, който ще допринесе за доброто състояние на морската околна среда и ще съдейства за баланса на рибните запаси, включително и при най</w:t>
      </w:r>
      <w:r w:rsidR="003F5D95"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ценния вид с висока пазарна цена – калканът, при който вече се наблюдава устойчивост, за което сочат научните доклади от Оценка на запаса на калкан в българските води на Черно море и повишаването на квотата му за България.</w:t>
      </w:r>
      <w:r w:rsidRPr="00610B1B">
        <w:rPr>
          <w:rFonts w:ascii="Times New Roman" w:hAnsi="Times New Roman" w:cs="Times New Roman"/>
          <w:lang w:val="bg-BG"/>
        </w:rPr>
        <w:t xml:space="preserve"> </w:t>
      </w:r>
    </w:p>
    <w:p w14:paraId="523C3556" w14:textId="42696254"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урбанизационните процеси, които се отразяват върху морската околна среда, съществува дисбаланс в териториалното разпределение на градското население – в градовете Варна и Бургас е съсредоточено над 84.0% от населението на Черноморските общини. Това претоварва средата със застрояване, трафик, отпадъци и унищожава част от природната среда. Дисбалансът спрямо хинтерланда се засилва през летните месеци, когато антропогенното присъствие многократно нараства. Остава отрицателен естественият прираст на населението, дори в големите градове Варна и Бургас.</w:t>
      </w:r>
    </w:p>
    <w:p w14:paraId="6AD718AE" w14:textId="18186334"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развиващите се дейности в акваторията и в прилежащата крайбрежна зона има редица слаби страни и проблеми, които настоящата криза ще засили. Значителна част от тях са резултат от липсата на стимулиращи мерки, вкл. финансови, за отделни сектори, за закупуване на нови кораби, за поставянето им под български флаг, за научно-изследователска и развойна дейност. Районът на плаване на българския риболовен флот е ограничен, той оперира само в Черно море с 1 857 риболовни съда, 95% от които са по-</w:t>
      </w:r>
      <w:r w:rsidRPr="00610B1B">
        <w:rPr>
          <w:rFonts w:ascii="Times New Roman" w:hAnsi="Times New Roman" w:cs="Times New Roman"/>
          <w:sz w:val="24"/>
          <w:szCs w:val="24"/>
          <w:lang w:val="bg-BG"/>
        </w:rPr>
        <w:lastRenderedPageBreak/>
        <w:t xml:space="preserve">малки от 12 m. Недостатъчно е оборудването им, производствените инсталации са остарели, недостатъчно се използват научните достижения и новите технологии. Липсва диверсификация на морските аквакултури, отглежда се предимно черна мида. Контролът </w:t>
      </w:r>
      <w:r w:rsidR="00D66FE0" w:rsidRPr="00610B1B">
        <w:rPr>
          <w:rFonts w:ascii="Times New Roman" w:hAnsi="Times New Roman" w:cs="Times New Roman"/>
          <w:sz w:val="24"/>
          <w:szCs w:val="24"/>
          <w:lang w:val="bg-BG"/>
        </w:rPr>
        <w:t xml:space="preserve">на българските власти </w:t>
      </w:r>
      <w:r w:rsidRPr="00610B1B">
        <w:rPr>
          <w:rFonts w:ascii="Times New Roman" w:hAnsi="Times New Roman" w:cs="Times New Roman"/>
          <w:sz w:val="24"/>
          <w:szCs w:val="24"/>
          <w:lang w:val="bg-BG"/>
        </w:rPr>
        <w:t>върху дейността е недостатъчен, не се отстраняват инсталациите от морето след преустановяване на дейността на мидени плантации.</w:t>
      </w:r>
    </w:p>
    <w:p w14:paraId="58DAAF64"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 Актуализираната Национална стратегия за устойчиво развитие на туризма в Р. България 2014-2030 г. се посочват нискоефективното функциониране на сектора с подчертана сезонност, екстензивното използване на туристическите ресурси, ниската средногодишна заетост на легловата база, ниския среден приход от турист, намаляването на престоя, сивия сектор. Съществува силен натиск върху околната среда поради неустойчивото управление на ресурсите и претоварването на крайбрежието и инфраструктурата с пренаселени курорти. Не е приета концепция за адаптация на сектора към климатичните промени, насоките за която са дадени в НСАИКПД. </w:t>
      </w:r>
    </w:p>
    <w:p w14:paraId="5887639F" w14:textId="27554146"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Пристанищната дейност се ограничава от морално и физически остарялата пристанищна инфраструктура и претоварна техника и липсата на достатъчно специализирани пристанищни терминали, които да осигуряват високоефективна и конкурентна обработка на товарите и да задоволят потребностите от пристанищни съоръжения и акватории, съответстващи на съвременните параметри на корабите. Недостатъците в добивната дейност са свързани с малките находища с локално значение и слабите перспективи за откриване на нови находища на нефт и природен газ, слабата изученост на дълбоководната акватория за наличие и вероятни струпвания и потенциални залежи от газохидрати, силните колебания в солодобива след приватизацията. За повечето сектори в синята икономика са характерни зависимостта от</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малки и средни предприятия, слабите възможности за иновации и растеж,</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неоползотвореният потенциал за технологични и високоефективни устойчиви морски дейности и небалансираният пазар на труда (сезонност, липса на квалифицирани кадри и др.). </w:t>
      </w:r>
    </w:p>
    <w:p w14:paraId="5D05B1DD" w14:textId="77777777" w:rsidR="004B17B0" w:rsidRPr="00610B1B" w:rsidRDefault="004B17B0" w:rsidP="00D32D6A">
      <w:pPr>
        <w:tabs>
          <w:tab w:val="left" w:pos="6750"/>
        </w:tabs>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Голяма част от слабите страни в дейността по проучването и опазването на културното наследство са свързани с недостатъчния финансов ресурс, а за подводното наследство и с липсата на достатъчно и добре мотивирани и подготвени кадри за изследване на морето. Последното изисква подходящи плавателни съдове и съвременно оборудване, с каквито страната ни не разполага. За по-голямата част от НКЦ, разположени в бреговата зона, не са извършени консервационно-реставрационните работи, липсва съпътстваща социализация на обектите и пространството около тях с граници и режими на опазване. Значими археологически обекти са в зони под егидата на гранична полиция, в защитени или горски територии, без достъп за проучване, опазване и социализация.</w:t>
      </w:r>
    </w:p>
    <w:p w14:paraId="3E8542BA"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Систематизираните най-важни </w:t>
      </w:r>
      <w:r w:rsidRPr="00610B1B">
        <w:rPr>
          <w:rFonts w:ascii="Times New Roman" w:hAnsi="Times New Roman" w:cs="Times New Roman"/>
          <w:b/>
          <w:bCs/>
          <w:sz w:val="24"/>
          <w:szCs w:val="24"/>
          <w:lang w:val="bg-BG"/>
        </w:rPr>
        <w:t xml:space="preserve">възможности </w:t>
      </w:r>
      <w:r w:rsidRPr="00610B1B">
        <w:rPr>
          <w:rFonts w:ascii="Times New Roman" w:hAnsi="Times New Roman" w:cs="Times New Roman"/>
          <w:sz w:val="24"/>
          <w:szCs w:val="24"/>
          <w:lang w:val="bg-BG"/>
        </w:rPr>
        <w:t xml:space="preserve">в отделните сектори са в основата на прогнозните сценарии за развитие, устойчиво използване и опазване на морските пространства и дават насоките за формулиране и обсъждане на мерки за подобряване на екологичното състояние и развитие на потенциала на морето. Част от тях се разкриват в усъвършенстването на законодателната и нормативна уредба, което да подобри координацията между секторите и интегрирането на дейностите. Друга част са свързани с потенциала за научни изследвания, подобряване на информационната основа и </w:t>
      </w:r>
      <w:r w:rsidRPr="00610B1B">
        <w:rPr>
          <w:rFonts w:ascii="Times New Roman" w:hAnsi="Times New Roman" w:cs="Times New Roman"/>
          <w:sz w:val="24"/>
          <w:szCs w:val="24"/>
          <w:lang w:val="bg-BG"/>
        </w:rPr>
        <w:lastRenderedPageBreak/>
        <w:t xml:space="preserve">достъпността до актуални данни, трети в усъвършенстване на наблюдението на ерозионно-абразионните процеси, на динамиката на морския бряг, на термохалинните процеси по Черноморското крайбрежие, териториалните води и ИИЗ на Р. България. С целенасочени и обединени усилия на изследователите ще се изясни влиянието на климатичните промени върху морската екосистема за устойчиво управление. </w:t>
      </w:r>
    </w:p>
    <w:p w14:paraId="195DB270"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Оползотворяването на потенциала на минералните води по крайбрежието ще разнообрази туристическия продукт, ще привлече интерес и инвестиции и ще удължи туристическия сезон при по-равномерно натоварване на материалната база и инфраструктура.</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 xml:space="preserve">Възможностите за използване на климатичните характеристики и промени в полза на климатичния комфорт и за стимулиране на дейностите в прилежащите на морето територии, включват привличане на туристи през летния сезон от страни с по-горещ климат, прилагане на иновативни решения за намаляване на риска от наводнения за защита на хора, сгради и инфраструктура, развитие на зелената система на населените места по крайбрежието и създаване на зони за охлаждане с помощта на ландшафтната архитектура. </w:t>
      </w:r>
    </w:p>
    <w:p w14:paraId="3A933680"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 подобряване на дейностите по опазване на биоразнообразието и намаляване на натиска върху екосистемите основните възможности са в увеличаване на контрола върху човешките дейности в морето и в крайбрежните територии (изхвърляне на баластни води от корабите, приток на хранителни вещества в морската среда от земеделие, промишленост, урбанизирани територии). Заедно с устойчивото използване на рибните ресурси, което е условие за увеличаване на приходите и заетостта в сектор рибарство, се търсят нови пазари за риба и рибни специалитети. Въвеждането на инженерно-биологичен метод за брегозащита ще намали загубата на дънни местообитания поради затрупване, запечатване и влошена циркулация. Използването на нови методи за риболов, няма да увреждат дънните местообитания и ще намалят случайния улов на не-целеви видове риби. Въвеждането на нови мерки и методи в различните сектори трябва да се предхожда от анализ и оценка на ефективността на съществуващите мерки по чл. 11 от РДВ и чл. 13 от РДМС. За реализиране на част от тези възможности се препоръчва повишаване на институционалния, административния и експертния капацитет в различните сектори, чрез привличане и задържане на български квалифицирани кадри в центровете за растеж - Варна и Бургас.</w:t>
      </w:r>
    </w:p>
    <w:p w14:paraId="3C9E8EBD" w14:textId="7BA37455"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сферата на морския транспорт съществуват възможности за привличане на български и чуждестранни инвеститори за модернизация на сектора чрез инвестиции и нови технологии, привличане на международен транзитен трафик за увеличаване обема на морските превози и внедряване на модерни системи за повишаване безопасността и надеждността на морските транспортни услуги. Свързани с това са и предложенията за модернизация на пристанищата чрез ПЧП и европейски фондове и за изграждане на модерни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интермодални терминали, за което има потенциал във Варна и в Бургас. Освен възможностите за подобряване на селективността на риболовните уреди за постигане на устойчив и отговорен риболов и намаляване на отрицателното му въздействие върху околната среда, следва да се прецени капацитет</w:t>
      </w:r>
      <w:r w:rsidR="00D66FE0" w:rsidRPr="00610B1B">
        <w:rPr>
          <w:rFonts w:ascii="Times New Roman" w:hAnsi="Times New Roman" w:cs="Times New Roman"/>
          <w:sz w:val="24"/>
          <w:szCs w:val="24"/>
          <w:lang w:val="bg-BG"/>
        </w:rPr>
        <w:t>ът</w:t>
      </w:r>
      <w:r w:rsidRPr="00610B1B">
        <w:rPr>
          <w:rFonts w:ascii="Times New Roman" w:hAnsi="Times New Roman" w:cs="Times New Roman"/>
          <w:sz w:val="24"/>
          <w:szCs w:val="24"/>
          <w:lang w:val="bg-BG"/>
        </w:rPr>
        <w:t xml:space="preserve"> на риболовния флот. Необходимо е да се разнообрази асортимент</w:t>
      </w:r>
      <w:r w:rsidR="00D66FE0" w:rsidRPr="00610B1B">
        <w:rPr>
          <w:rFonts w:ascii="Times New Roman" w:hAnsi="Times New Roman" w:cs="Times New Roman"/>
          <w:sz w:val="24"/>
          <w:szCs w:val="24"/>
          <w:lang w:val="bg-BG"/>
        </w:rPr>
        <w:t>ът</w:t>
      </w:r>
      <w:r w:rsidRPr="00610B1B">
        <w:rPr>
          <w:rFonts w:ascii="Times New Roman" w:hAnsi="Times New Roman" w:cs="Times New Roman"/>
          <w:sz w:val="24"/>
          <w:szCs w:val="24"/>
          <w:lang w:val="bg-BG"/>
        </w:rPr>
        <w:t xml:space="preserve"> на аквакултурите и да се засили </w:t>
      </w:r>
      <w:r w:rsidR="00D66FE0" w:rsidRPr="00610B1B">
        <w:rPr>
          <w:rFonts w:ascii="Times New Roman" w:hAnsi="Times New Roman" w:cs="Times New Roman"/>
          <w:sz w:val="24"/>
          <w:szCs w:val="24"/>
          <w:lang w:val="bg-BG"/>
        </w:rPr>
        <w:t xml:space="preserve">държавният </w:t>
      </w:r>
      <w:r w:rsidRPr="00610B1B">
        <w:rPr>
          <w:rFonts w:ascii="Times New Roman" w:hAnsi="Times New Roman" w:cs="Times New Roman"/>
          <w:sz w:val="24"/>
          <w:szCs w:val="24"/>
          <w:lang w:val="bg-BG"/>
        </w:rPr>
        <w:t>контрол</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върху тази дейност. Диверсифицирането на доходите на рибарите може да се осъществи чрез </w:t>
      </w:r>
      <w:r w:rsidRPr="00610B1B">
        <w:rPr>
          <w:rFonts w:ascii="Times New Roman" w:hAnsi="Times New Roman" w:cs="Times New Roman"/>
          <w:sz w:val="24"/>
          <w:szCs w:val="24"/>
          <w:lang w:val="bg-BG"/>
        </w:rPr>
        <w:lastRenderedPageBreak/>
        <w:t>допълнителни дейности</w:t>
      </w:r>
      <w:r w:rsidR="00D66FE0" w:rsidRPr="00610B1B">
        <w:rPr>
          <w:rFonts w:ascii="Times New Roman" w:hAnsi="Times New Roman" w:cs="Times New Roman"/>
          <w:sz w:val="24"/>
          <w:szCs w:val="24"/>
          <w:lang w:val="bg-BG"/>
        </w:rPr>
        <w:t xml:space="preserve"> – </w:t>
      </w:r>
      <w:r w:rsidRPr="00610B1B">
        <w:rPr>
          <w:rFonts w:ascii="Times New Roman" w:hAnsi="Times New Roman" w:cs="Times New Roman"/>
          <w:sz w:val="24"/>
          <w:szCs w:val="24"/>
          <w:lang w:val="bg-BG"/>
        </w:rPr>
        <w:t>туризъм, ресторантьорство, екосистемни услуги, в съответствие със същността на риболовния бизнес.</w:t>
      </w:r>
    </w:p>
    <w:p w14:paraId="29D6B204" w14:textId="77777777"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Най-много възможности се разкриват в неоползотворените туристически ресурси и недоразвитите устойчиви алтернативни форми на туризма за удължаване на сезона и пренасочване на туристи от конкурентни дестинации с геополитически напрежения, икономически кризи и неблагоприятен климат. Не са оползотворени пълноценно възможностите за морски спортни дейности и забавления в морето, което е с благоприятна температура, соленост и вълнови режим, както и синергията и добавената стойност от съчетаването на опазването на околната среда и биоразнообразието със социализирането на културното наследство и туризма. Културният туризъм във Варна и в Бургас ще се обогати от доразвиване на зоните за свободен достъп в двете най-големи пристанища и обвързването им с градските и с морските пространства. Разработването на потенциала на крайбрежните езера и лимани за добив на лечебна кал ще привлече интерес и ще разнообрази предлагания туристически продукт.</w:t>
      </w:r>
    </w:p>
    <w:p w14:paraId="2C7816A0" w14:textId="79E4234A" w:rsidR="004B17B0" w:rsidRPr="00610B1B" w:rsidRDefault="004B17B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областта на добивната дейност не съществуват много опции, поради ограничените ресурси, но е възможно да се използват по-добре благоприятните условия за акумулация на инертни материали (пясъци) пригодни за строителни нужди в прибрежната зона, включително за изграждане на изкуствени острови. Повече потенциал ще се разкрие след по-добро проучване на геоложкото пространство на земните недра на българския континентален шелф. За балансирано развитие на успешна морска икономика е необходимо да се</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създадат планови и устройствени предпоставки, съобразени със социално-икономическите аспекти и необходимостта от адекватна защита на уязвимата морска екосистема. Препоръчително е да се използва по-ефективно подкрепата от ЕК за синята икономика и за насърчаване на синия растеж,</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за създаване на междусекторни и трансгранични синергии. Важен стимул за икономическо развитие е и културното наследство, чийто пълен потенциал на черноморското крайбрежие и под вода и интегриране в различни туристически продукти предстои да се разкрие. Необходимо е да се изследват възможностите за експониране на обектите на културното наследство в защитени територии или в такива с охранителен режим, за прилагане на методите на интегрираната консервация и за създаване на адекватна социализирана среда, която да повиши културата на туризъм и да </w:t>
      </w:r>
      <w:r w:rsidR="009346C3" w:rsidRPr="00610B1B">
        <w:rPr>
          <w:rFonts w:ascii="Times New Roman" w:hAnsi="Times New Roman" w:cs="Times New Roman"/>
          <w:sz w:val="24"/>
          <w:szCs w:val="24"/>
          <w:lang w:val="bg-BG"/>
        </w:rPr>
        <w:t xml:space="preserve">се </w:t>
      </w:r>
      <w:r w:rsidRPr="00610B1B">
        <w:rPr>
          <w:rFonts w:ascii="Times New Roman" w:hAnsi="Times New Roman" w:cs="Times New Roman"/>
          <w:sz w:val="24"/>
          <w:szCs w:val="24"/>
          <w:lang w:val="bg-BG"/>
        </w:rPr>
        <w:t xml:space="preserve">насити със съдържание и качество. При експониране на културното наследство, и особено на това под вода, за по-пълноценно комуникиране на неговата стойност ще се разчита на съвременни, щадящи средата технологии. </w:t>
      </w:r>
    </w:p>
    <w:p w14:paraId="1608C36E" w14:textId="77777777"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sz w:val="24"/>
          <w:szCs w:val="24"/>
          <w:lang w:val="bg-BG"/>
        </w:rPr>
        <w:t>Освен идентифицираните силни и слаби страни, възможности и заплахи при разработването на п</w:t>
      </w:r>
      <w:r w:rsidRPr="00610B1B">
        <w:rPr>
          <w:rFonts w:ascii="Times New Roman" w:hAnsi="Times New Roman" w:cs="Times New Roman"/>
          <w:bCs/>
          <w:sz w:val="24"/>
          <w:szCs w:val="24"/>
          <w:lang w:val="bg-BG"/>
        </w:rPr>
        <w:t>рогнозните сценарии за използване, опазване и устойчиво развитие на националните морски пространства са отчетени въздействията на основните политически, икономически, социални, екологични, урбанистични и технологични</w:t>
      </w:r>
      <w:r w:rsidRPr="00610B1B">
        <w:rPr>
          <w:rFonts w:ascii="Times New Roman" w:hAnsi="Times New Roman" w:cs="Times New Roman"/>
          <w:lang w:val="bg-BG"/>
        </w:rPr>
        <w:t xml:space="preserve"> </w:t>
      </w:r>
      <w:r w:rsidRPr="00610B1B">
        <w:rPr>
          <w:rFonts w:ascii="Times New Roman" w:hAnsi="Times New Roman" w:cs="Times New Roman"/>
          <w:bCs/>
          <w:sz w:val="24"/>
          <w:szCs w:val="24"/>
          <w:lang w:val="bg-BG"/>
        </w:rPr>
        <w:t>фактори.</w:t>
      </w:r>
      <w:r w:rsidRPr="00610B1B">
        <w:rPr>
          <w:rFonts w:ascii="Times New Roman" w:hAnsi="Times New Roman" w:cs="Times New Roman"/>
          <w:b/>
          <w:sz w:val="24"/>
          <w:szCs w:val="24"/>
          <w:lang w:val="bg-BG"/>
        </w:rPr>
        <w:t xml:space="preserve"> </w:t>
      </w:r>
      <w:r w:rsidRPr="00610B1B">
        <w:rPr>
          <w:rFonts w:ascii="Times New Roman" w:hAnsi="Times New Roman" w:cs="Times New Roman"/>
          <w:bCs/>
          <w:sz w:val="24"/>
          <w:szCs w:val="24"/>
          <w:lang w:val="bg-BG"/>
        </w:rPr>
        <w:t>Изследването на тези фактори и техните проявления показва, че е редно да се приемат като принципни, да се допълват и следят въздействията им при различни комбинации в прогнозните сценарии.</w:t>
      </w:r>
    </w:p>
    <w:p w14:paraId="693E1B7D" w14:textId="1EB65C41"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Стартирайки от нулевата алтернатива, са разработени </w:t>
      </w:r>
      <w:r w:rsidRPr="00610B1B">
        <w:rPr>
          <w:rFonts w:ascii="Times New Roman" w:hAnsi="Times New Roman" w:cs="Times New Roman"/>
          <w:b/>
          <w:bCs/>
          <w:sz w:val="24"/>
          <w:szCs w:val="24"/>
          <w:lang w:val="bg-BG"/>
        </w:rPr>
        <w:t>4 прогнозни сценария за бъдещото</w:t>
      </w:r>
      <w:r w:rsidRPr="00610B1B">
        <w:rPr>
          <w:rFonts w:ascii="Times New Roman" w:hAnsi="Times New Roman" w:cs="Times New Roman"/>
          <w:bCs/>
          <w:sz w:val="24"/>
          <w:szCs w:val="24"/>
          <w:lang w:val="bg-BG"/>
        </w:rPr>
        <w:t xml:space="preserve"> устойчиво развитие на морските пространства, ефективното и балансирано </w:t>
      </w:r>
      <w:r w:rsidRPr="00610B1B">
        <w:rPr>
          <w:rFonts w:ascii="Times New Roman" w:hAnsi="Times New Roman" w:cs="Times New Roman"/>
          <w:bCs/>
          <w:sz w:val="24"/>
          <w:szCs w:val="24"/>
          <w:lang w:val="bg-BG"/>
        </w:rPr>
        <w:lastRenderedPageBreak/>
        <w:t>използване на морските ресурси и съвместяване на дейностите в тях. „Нулев сценарий“ е възможен при допускането във времевия хоризонт на плана нито една секторна политика или фактор да не оказват съществено въздействие върху сегашните ползвания на морските пространства. За изграждането на прогнозните сценарии се използват трите опорни точки на устойчивото развитие (икономическа, социална и екологична), във всеки сценарий е приоритизиран съответен аспект. Първият сценарий „Икономически/Син растеж“</w:t>
      </w:r>
      <w:r w:rsidRPr="00610B1B">
        <w:rPr>
          <w:rFonts w:ascii="Times New Roman" w:hAnsi="Times New Roman" w:cs="Times New Roman"/>
          <w:lang w:val="bg-BG"/>
        </w:rPr>
        <w:t xml:space="preserve"> </w:t>
      </w:r>
      <w:r w:rsidRPr="00610B1B">
        <w:rPr>
          <w:rFonts w:ascii="Times New Roman" w:hAnsi="Times New Roman" w:cs="Times New Roman"/>
          <w:bCs/>
          <w:sz w:val="24"/>
          <w:szCs w:val="24"/>
          <w:lang w:val="bg-BG"/>
        </w:rPr>
        <w:t>се развива на основата на пълна експлоатация на морските ресурси. Насочен е към икономически пробив,</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конкурентоспособност и висока добавена стойност на морските индустрии. Включени са развитие на пристанищата, товарен и пътнически морски транспорт, круизен и рекреационен туризъм. Насърчаван приоритет е развитието на технологиите и иновациите във всички морски икономически сектори. Развитието на рибарството е в рамките на наличните рибни ресурси и международно установените квоти. Концесиите за проучване и добив на нефт и газ преминават към фаза „добив“ с налагане на интересите на мощни международни и национални компании. Своевременната технологична трансформация на икономиката, свързана с морето, както и повишаването на ресурсната</w:t>
      </w:r>
      <w:r w:rsidR="00DE3A13" w:rsidRPr="00610B1B">
        <w:rPr>
          <w:rFonts w:ascii="Times New Roman" w:hAnsi="Times New Roman" w:cs="Times New Roman"/>
          <w:bCs/>
          <w:sz w:val="24"/>
          <w:szCs w:val="24"/>
          <w:lang w:val="bg-BG"/>
        </w:rPr>
        <w:t xml:space="preserve"> ѝ </w:t>
      </w:r>
      <w:r w:rsidRPr="00610B1B">
        <w:rPr>
          <w:rFonts w:ascii="Times New Roman" w:hAnsi="Times New Roman" w:cs="Times New Roman"/>
          <w:bCs/>
          <w:sz w:val="24"/>
          <w:szCs w:val="24"/>
          <w:lang w:val="bg-BG"/>
        </w:rPr>
        <w:t>ефективност, имат потенциала да я изведат на по-висока траектория на растеж, да я доближат до философията на синята икономика. Рисковете при този сценарий са изчерпване на ресурсите, натоварване на морската околна среда, прокарване на вредни за морето решения, поради недостатъчен опит и знания за екоиновации и биотехнологии в синята икономика.</w:t>
      </w:r>
    </w:p>
    <w:p w14:paraId="0EB18406" w14:textId="77777777"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Вторият сценарий „Екология“</w:t>
      </w:r>
      <w:r w:rsidRPr="00610B1B">
        <w:rPr>
          <w:rFonts w:ascii="Times New Roman" w:hAnsi="Times New Roman" w:cs="Times New Roman"/>
          <w:sz w:val="24"/>
          <w:szCs w:val="24"/>
          <w:lang w:val="bg-BG"/>
        </w:rPr>
        <w:t xml:space="preserve"> е фокусиран върху </w:t>
      </w:r>
      <w:r w:rsidRPr="00610B1B">
        <w:rPr>
          <w:rFonts w:ascii="Times New Roman" w:hAnsi="Times New Roman" w:cs="Times New Roman"/>
          <w:bCs/>
          <w:sz w:val="24"/>
          <w:szCs w:val="24"/>
          <w:lang w:val="bg-BG"/>
        </w:rPr>
        <w:t xml:space="preserve">опазването на уникалната и крехка екосистема на Черно море, която е приоритет и ограничител в развитието на всички морски ползвания. Морската политика подкрепя дейностите, гарантиращи безопасен и чист морски транспорт, устойчиво рибарство и аквакултури, ефективен и устойчив туризъм. За да се осигури интегритет, жизненост и биоразнообразие на морската екосистема, се разширяват и прецизират защитени зони в морските пространства и режимите за опазването им. Предприемачеството се съсредоточава в двата областни центъра Варна и Бургас, където приоритетно ще се развиват клъстери, базирани на смарт технологии в морски индустрии. Ще се повиши ефективността на инвестициите в мерки за опазване на околната среда, особено в пристанищата и пристанищните зони. Чистата околна среда, адекватната инфраструктура, плажовете със сертификат „Син флаг“ и съхраненото природно и културно наследство ще създадат качествени възможности за рекреация. Доброто екологично състояние на морето осигурява достатъчно рибни ресурси и възможност за стабилен улов в оптимално допустимите граници. Съхранената екосистема създава дългосрочна и икономически обоснована среда за значими инвестиции в „зелени“ технологии, към които са насочени изследвания и иновации. Увеличените разходи за опазване на околната среда за сметка на реалната икономика ще породят социални напрежения между привърженици и противници на сценария. </w:t>
      </w:r>
    </w:p>
    <w:p w14:paraId="4B228616" w14:textId="2C8A30D6" w:rsidR="004B17B0" w:rsidRPr="00610B1B" w:rsidRDefault="004B17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Третият сценарий „Социално равновесие“</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 xml:space="preserve">поставя </w:t>
      </w:r>
      <w:r w:rsidRPr="00610B1B">
        <w:rPr>
          <w:rFonts w:ascii="Times New Roman" w:hAnsi="Times New Roman" w:cs="Times New Roman"/>
          <w:bCs/>
          <w:sz w:val="24"/>
          <w:szCs w:val="24"/>
          <w:lang w:val="bg-BG"/>
        </w:rPr>
        <w:t xml:space="preserve">човека в центъра на прогнозите и е изграден върху политиката за социално сближаване и балансирано развитие на черноморските общини, диверсифицирани местни икономики, осигуряващи целогодишна заетост и приоритетна подкрепа за морските дейности с атрактивни доходи – туризъм и рекреация, рибарство и аквакултури, пътнически морски транспорт, стимулирана </w:t>
      </w:r>
      <w:r w:rsidRPr="00610B1B">
        <w:rPr>
          <w:rFonts w:ascii="Times New Roman" w:hAnsi="Times New Roman" w:cs="Times New Roman"/>
          <w:bCs/>
          <w:sz w:val="24"/>
          <w:szCs w:val="24"/>
          <w:lang w:val="bg-BG"/>
        </w:rPr>
        <w:lastRenderedPageBreak/>
        <w:t>ревитализация на аграрни дейности в хинтерланда. Този сценарий залага на качествена инфраструктура, включително пътища, ВиК системи, електроснабдяване, широколентов достъп до скоростен интернет, равнопоставен достъп до качествени услуги. Хипотетичната промяна в основния критерий за възходящо развитие – от сегашния стремеж към бърз икономически растеж към по-бавен, ще бъде за сметка на повишено качество на живот в по-чиста околна среда, с повече свободно време, при повишена култура на потребление. Равномерното пространствено разпределение на държавната подкрепа, ще подкрепи макар и с по-бавни темпове, развитието на предприемачеството по цялото крайбрежие, осигурявайки широка заетост, висока икономическа активност и в резултат, намалени диспропорции в доходите и повишено благосъстояние на всички местни общности. Както в регионалните центрове Варна и Бургас, така и в останалите черноморски общини, ще се развият мрежи за коопериране, образование и изграждане на капацитет за МСП. С подкрепата за риболова и аквакултурите ще се развива рибопреработвателната индустрия за местния пазар и за износ. Културният и селският туризъм ще обогатят палитрата от туристическо предлагане, ангажирайки все по-голям пространствен и времеви обхват. Паралелно с това се развиват услуги в по-високите ценови нива на туристическото предлагане и постепенен преход от „масов“, към устойчив, щадящ и ефективен туризъм. Благодарение на регионалната и общата социално-икономическа политика на държавата, демографските показатели се стабилизират и постепенно се подобряват. Рисковете от силна социална сегрегация са намалени.</w:t>
      </w:r>
      <w:r w:rsidRPr="00610B1B">
        <w:rPr>
          <w:rFonts w:ascii="Times New Roman" w:hAnsi="Times New Roman" w:cs="Times New Roman"/>
          <w:lang w:val="bg-BG"/>
        </w:rPr>
        <w:t xml:space="preserve"> </w:t>
      </w:r>
      <w:r w:rsidRPr="00610B1B">
        <w:rPr>
          <w:rFonts w:ascii="Times New Roman" w:hAnsi="Times New Roman" w:cs="Times New Roman"/>
          <w:bCs/>
          <w:sz w:val="24"/>
          <w:szCs w:val="24"/>
          <w:lang w:val="bg-BG"/>
        </w:rPr>
        <w:t>В резултат на този сценарий природните ресурси на морето и крайбрежието се оползотворяват в рамките на устойчиво възпроизводство. Екологичните стандарти се обогатяват с по-стриктни изисквания за качество на околната среда. Засилват се превантивните мерки за ограничаване на бреговите свлачища, абразията и ерозията, увеличават се инвестициите в предотвратяване на</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природни бедствия. </w:t>
      </w:r>
    </w:p>
    <w:p w14:paraId="067EE4C5" w14:textId="3E1D146C" w:rsidR="004B17B0" w:rsidRPr="00610B1B" w:rsidRDefault="004B17B0" w:rsidP="00D32D6A">
      <w:pPr>
        <w:spacing w:after="120"/>
        <w:ind w:right="-153"/>
        <w:jc w:val="both"/>
        <w:rPr>
          <w:rFonts w:ascii="Times New Roman" w:eastAsia="Calibri" w:hAnsi="Times New Roman" w:cs="Times New Roman"/>
          <w:color w:val="000000"/>
          <w:sz w:val="24"/>
          <w:szCs w:val="24"/>
          <w:lang w:val="bg-BG"/>
        </w:rPr>
      </w:pPr>
      <w:r w:rsidRPr="00610B1B">
        <w:rPr>
          <w:rFonts w:ascii="Times New Roman" w:hAnsi="Times New Roman" w:cs="Times New Roman"/>
          <w:bCs/>
          <w:sz w:val="24"/>
          <w:szCs w:val="24"/>
          <w:lang w:val="bg-BG"/>
        </w:rPr>
        <w:t xml:space="preserve">Четвъртият сценарий интегрира най-добрите прогнозни предложения от трите сценария и избягва крайностите, които намаляват натиска в една сфера за сметка на други. Избраният сценарий по дефинираните критерии </w:t>
      </w:r>
      <w:r w:rsidRPr="00610B1B">
        <w:rPr>
          <w:rFonts w:ascii="Times New Roman" w:eastAsia="Calibri" w:hAnsi="Times New Roman" w:cs="Times New Roman"/>
          <w:sz w:val="24"/>
          <w:szCs w:val="24"/>
          <w:lang w:val="bg-BG"/>
        </w:rPr>
        <w:t xml:space="preserve">има три различни </w:t>
      </w:r>
      <w:r w:rsidRPr="00610B1B">
        <w:rPr>
          <w:rFonts w:ascii="Times New Roman" w:eastAsia="Calibri" w:hAnsi="Times New Roman" w:cs="Times New Roman"/>
          <w:color w:val="000000"/>
          <w:sz w:val="24"/>
          <w:szCs w:val="24"/>
          <w:lang w:val="bg-BG"/>
        </w:rPr>
        <w:t>обхвата за развитие – 1) балансиране на трите аспекта на устойчивото развитие (икономически, екологичен и социален) в обхвата на националните морски пространства; 2) интегрирана морска политика за устойчиво развитие в Черноморския регион, обхващаща шестте държави с излаз на Черно море – България, Румъния, Украйна, Русия, Грузия и Турция и 3) съчетаване на морското пространствено планиране с интегрираното управление на крайбрежни зони.</w:t>
      </w:r>
      <w:r w:rsidR="00D66FE0" w:rsidRPr="00610B1B">
        <w:rPr>
          <w:rFonts w:ascii="Times New Roman" w:eastAsia="Calibri" w:hAnsi="Times New Roman" w:cs="Times New Roman"/>
          <w:color w:val="000000"/>
          <w:sz w:val="24"/>
          <w:szCs w:val="24"/>
          <w:lang w:val="bg-BG"/>
        </w:rPr>
        <w:t xml:space="preserve"> </w:t>
      </w:r>
      <w:r w:rsidRPr="00610B1B">
        <w:rPr>
          <w:rFonts w:ascii="Times New Roman" w:eastAsia="Calibri" w:hAnsi="Times New Roman" w:cs="Times New Roman"/>
          <w:color w:val="000000"/>
          <w:sz w:val="24"/>
          <w:szCs w:val="24"/>
          <w:lang w:val="bg-BG"/>
        </w:rPr>
        <w:t>Той интерпретира най-добрите идеи от икономическия, екологичния и социалния сценарии. Икономическите аспекти се разгръщат на основата на повишени конкурентоспособност и добавена стойност, приложени съвременни технологии и иновации във водещите морски сектори. Най-голям потенциал за развитие имат пристанищната дейност и морския транспорт, ако се реализират обновяването на пристанищата и съвременното технологично оборудване, с което да се повиши ефективността и качеството за обслужване на пътници и обработка на товари.</w:t>
      </w:r>
      <w:r w:rsidR="00D66FE0" w:rsidRPr="00610B1B">
        <w:rPr>
          <w:rFonts w:ascii="Times New Roman" w:eastAsia="Calibri" w:hAnsi="Times New Roman" w:cs="Times New Roman"/>
          <w:color w:val="000000"/>
          <w:sz w:val="24"/>
          <w:szCs w:val="24"/>
          <w:lang w:val="bg-BG"/>
        </w:rPr>
        <w:t xml:space="preserve"> </w:t>
      </w:r>
      <w:r w:rsidRPr="00610B1B">
        <w:rPr>
          <w:rFonts w:ascii="Times New Roman" w:eastAsia="Calibri" w:hAnsi="Times New Roman" w:cs="Times New Roman"/>
          <w:color w:val="000000"/>
          <w:sz w:val="24"/>
          <w:szCs w:val="24"/>
          <w:lang w:val="bg-BG"/>
        </w:rPr>
        <w:t>Развитието на рибарството не може да надхвърли рамките на наличните рибни запаси и установените квоти, но може да бъде подпомогнато за своевременно модернизиране на</w:t>
      </w:r>
      <w:r w:rsidR="00D66FE0" w:rsidRPr="00610B1B">
        <w:rPr>
          <w:rFonts w:ascii="Times New Roman" w:eastAsia="Calibri" w:hAnsi="Times New Roman" w:cs="Times New Roman"/>
          <w:color w:val="000000"/>
          <w:sz w:val="24"/>
          <w:szCs w:val="24"/>
          <w:lang w:val="bg-BG"/>
        </w:rPr>
        <w:t xml:space="preserve"> </w:t>
      </w:r>
      <w:r w:rsidRPr="00610B1B">
        <w:rPr>
          <w:rFonts w:ascii="Times New Roman" w:eastAsia="Calibri" w:hAnsi="Times New Roman" w:cs="Times New Roman"/>
          <w:color w:val="000000"/>
          <w:sz w:val="24"/>
          <w:szCs w:val="24"/>
          <w:lang w:val="bg-BG"/>
        </w:rPr>
        <w:t xml:space="preserve">риболовния флот, подобряване на риболовните техники и завишаването на контрола върху тази </w:t>
      </w:r>
      <w:r w:rsidRPr="00610B1B">
        <w:rPr>
          <w:rFonts w:ascii="Times New Roman" w:eastAsia="Calibri" w:hAnsi="Times New Roman" w:cs="Times New Roman"/>
          <w:color w:val="000000"/>
          <w:sz w:val="24"/>
          <w:szCs w:val="24"/>
          <w:lang w:val="bg-BG"/>
        </w:rPr>
        <w:lastRenderedPageBreak/>
        <w:t xml:space="preserve">дейност. Така ще се запази добро състояние на морската околна среда, от което зависи опазването на видовете и рибните ресурси. Разнообразяването на асортимента на аквакултурите, решаването на конфликтите с туристическия сектор и рекреационните морски дейности в близост до брега, повишаването на контрола върху съоръженията и обектите по време и след приключване на експлоатацията, ще увеличи значимостта и приноса на този сектор. Туризмът, с най-високите стойности на заетост и БДС сред всички свързани с морската икономика дейности, също оптимизира параметрите си за леглова база и урбанизирани територии в крайбрежната зона, увеличаване на асортимента на услугите и повишаване на качеството, развитие на алтернативни форми, рекреационни и спортни дейности в прилежащата акватория. Добивът на луга и лечебна кал, производството на козметични и лечебни продукти от морската вода и от солта ще привлекат интерес към съпътстващи лечебни и козметични процедури в системата на СПА туризма. Ще се развиват биотехнологии, свързани с морето, ще се търси по-добро и ефективно обвързване на бизнеса, научните изследвания и образованието. </w:t>
      </w:r>
    </w:p>
    <w:p w14:paraId="4D1B06D3" w14:textId="1A406700" w:rsidR="004B17B0" w:rsidRPr="00610B1B" w:rsidRDefault="004B17B0" w:rsidP="00D32D6A">
      <w:pPr>
        <w:spacing w:after="120"/>
        <w:ind w:right="-153"/>
        <w:jc w:val="both"/>
        <w:rPr>
          <w:rFonts w:ascii="Times New Roman" w:eastAsia="Calibri" w:hAnsi="Times New Roman" w:cs="Times New Roman"/>
          <w:color w:val="000000"/>
          <w:sz w:val="24"/>
          <w:szCs w:val="24"/>
          <w:lang w:val="bg-BG"/>
        </w:rPr>
      </w:pPr>
      <w:r w:rsidRPr="00610B1B">
        <w:rPr>
          <w:rFonts w:ascii="Times New Roman" w:eastAsia="Calibri" w:hAnsi="Times New Roman" w:cs="Times New Roman"/>
          <w:color w:val="000000"/>
          <w:sz w:val="24"/>
          <w:szCs w:val="24"/>
          <w:lang w:val="bg-BG"/>
        </w:rPr>
        <w:t>Ще продължават проучванията за добив на нефт и газ при засилен контрол и екологични норми, ще се развият технологиите за извличане на енергия от сероводород и добив на газохидрати от морското дъно. Ще се съхрани добивът на морска сол по традиционни способи. Ще се развиват и съпътстващите морските сектори дейности за производство на специализиран текстил, въжета, екипировка и облекла за водни спортове. Ще се подкрепи изследователската дейност в морските пространства за по-пълно разкриване на културните ценности, останки от цивилизации и исторически събития и ще се реализират възможностите за най-добрите начини за експониране на това богатство, удовлетворяващо разбиранията за модерна интерактивна експозиция. Военните учения и обучения в морето ще увеличат своята значимост за подготовката на кадри за морски изследвания и за спасяване в морето</w:t>
      </w:r>
      <w:r w:rsidR="009346C3" w:rsidRPr="00610B1B">
        <w:rPr>
          <w:rFonts w:ascii="Times New Roman" w:eastAsia="Calibri" w:hAnsi="Times New Roman" w:cs="Times New Roman"/>
          <w:color w:val="000000"/>
          <w:sz w:val="24"/>
          <w:szCs w:val="24"/>
          <w:lang w:val="bg-BG"/>
        </w:rPr>
        <w:t>, за</w:t>
      </w:r>
      <w:r w:rsidRPr="00610B1B">
        <w:rPr>
          <w:rFonts w:ascii="Times New Roman" w:eastAsia="Calibri" w:hAnsi="Times New Roman" w:cs="Times New Roman"/>
          <w:color w:val="000000"/>
          <w:sz w:val="24"/>
          <w:szCs w:val="24"/>
          <w:lang w:val="bg-BG"/>
        </w:rPr>
        <w:t xml:space="preserve"> поддържане на висока степен на сигурност при критични вълнения и бури, ограничаване на трафика на хора, наркотици и оръжие.</w:t>
      </w:r>
    </w:p>
    <w:p w14:paraId="20E19B67" w14:textId="32E26723" w:rsidR="004B17B0" w:rsidRPr="00610B1B" w:rsidRDefault="004B17B0" w:rsidP="00D32D6A">
      <w:pPr>
        <w:spacing w:after="120"/>
        <w:ind w:right="-153"/>
        <w:jc w:val="both"/>
        <w:rPr>
          <w:rFonts w:ascii="Times New Roman" w:eastAsia="Calibri" w:hAnsi="Times New Roman" w:cs="Times New Roman"/>
          <w:color w:val="000000"/>
          <w:sz w:val="24"/>
          <w:szCs w:val="24"/>
          <w:lang w:val="bg-BG"/>
        </w:rPr>
      </w:pPr>
      <w:r w:rsidRPr="00610B1B">
        <w:rPr>
          <w:rFonts w:ascii="Times New Roman" w:eastAsia="Calibri" w:hAnsi="Times New Roman" w:cs="Times New Roman"/>
          <w:color w:val="000000"/>
          <w:sz w:val="24"/>
          <w:szCs w:val="24"/>
          <w:lang w:val="bg-BG"/>
        </w:rPr>
        <w:t>Съхраняването на морската околна среда, възстановяването на нейното добро състояние и опазване на биоразнообразието съпътства всички предвидени дейности по този сценарий, защото само това ще гарантира успешното развитие на всички морски сектори. Устойчивото опазване и използване на ресурсите, намаляването на натиска от отпадъчни води, баластни води, подводен шум, инвазивни видове, замърсяване от аварии, отлагане на драгажни маси, и завишения контрол върху нелегален, незаконен и нерегламентиран улов на рибни ресурси ще създаде условия за възстановяване на доброто екологично състояние на морската околна среда в съответствие с РДМС.</w:t>
      </w:r>
      <w:r w:rsidR="00C415D1" w:rsidRPr="00610B1B">
        <w:rPr>
          <w:rFonts w:ascii="Times New Roman" w:eastAsia="Calibri" w:hAnsi="Times New Roman" w:cs="Times New Roman"/>
          <w:color w:val="000000"/>
          <w:sz w:val="24"/>
          <w:szCs w:val="24"/>
          <w:lang w:val="bg-BG"/>
        </w:rPr>
        <w:t xml:space="preserve"> </w:t>
      </w:r>
    </w:p>
    <w:p w14:paraId="0A139497" w14:textId="77777777" w:rsidR="004B17B0" w:rsidRPr="00610B1B" w:rsidRDefault="004B17B0" w:rsidP="00D32D6A">
      <w:pPr>
        <w:spacing w:after="120"/>
        <w:ind w:right="-153"/>
        <w:jc w:val="both"/>
        <w:rPr>
          <w:rFonts w:ascii="Times New Roman" w:eastAsia="Calibri" w:hAnsi="Times New Roman" w:cs="Times New Roman"/>
          <w:color w:val="000000"/>
          <w:sz w:val="24"/>
          <w:szCs w:val="24"/>
          <w:lang w:val="bg-BG"/>
        </w:rPr>
      </w:pPr>
      <w:r w:rsidRPr="00610B1B">
        <w:rPr>
          <w:rFonts w:ascii="Times New Roman" w:eastAsia="Calibri" w:hAnsi="Times New Roman" w:cs="Times New Roman"/>
          <w:color w:val="000000"/>
          <w:sz w:val="24"/>
          <w:szCs w:val="24"/>
          <w:lang w:val="bg-BG"/>
        </w:rPr>
        <w:t>В този сценарий са заложени и необходимите предпоставки за намаляване на диспропорциите, на негативните демографски процеси, за равнопоставеност, за подпомагане на местните рибарски общности и МСП, за създаване на условия за активно и отговорно участие в разработването и прилагането на МППРБ. Факторите, стимулиращи развитието по този сценарий, са основните движещи сили с политически, икономически, екологичен, технологичен и социален характер.</w:t>
      </w:r>
    </w:p>
    <w:p w14:paraId="2C3813FD"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lastRenderedPageBreak/>
        <w:t xml:space="preserve">Общата идея на сценария е да се координират всички секторни политики на морските индустрии, за да се постигне устойчиво ползване на Черно море и на екосистемните му услуги, в името на устойчивото развитие на местните общности. </w:t>
      </w:r>
    </w:p>
    <w:p w14:paraId="7E638E0C" w14:textId="35866BDE"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Визията за общата картина под мотото „Черно море – отворена врата към света, българското черноморско крайбрежие – наша отговорност и наследство“ се гради в контекст с три различни мащаба: глобален, Европейски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и национален и описва желания резултат чрез ясни послания. Приетата визия за Морския пространствен план след проведено обсъждане, анкета и консултации с Консултативния съвет е следната:</w:t>
      </w:r>
    </w:p>
    <w:p w14:paraId="4C4D6AF4" w14:textId="77777777" w:rsidR="004B17B0" w:rsidRPr="00610B1B" w:rsidRDefault="004B17B0" w:rsidP="005D00D4">
      <w:pPr>
        <w:pBdr>
          <w:top w:val="single" w:sz="4" w:space="1" w:color="auto"/>
          <w:left w:val="single" w:sz="4" w:space="4" w:color="auto"/>
          <w:bottom w:val="single" w:sz="4" w:space="1" w:color="auto"/>
          <w:right w:val="single" w:sz="4" w:space="4" w:color="auto"/>
        </w:pBdr>
        <w:shd w:val="clear" w:color="auto" w:fill="BEE6F0"/>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През 2035 г. в морските пространства на Република България е постигнато и се поддържа добро състояние на морската среда и богато биологично разнообразие. Най-значимите морски екосистемни услуги и културни ценности са възстановени и опазени. Морските пространства се използват от иновативна, конкурентна и устойчива Синя икономика. Морският пространствен план осигурява предвидимост и сигурност в морските пространства, координация и синергия между ползванията и намалява вредните въздействия от човешката дейност. Сътрудничеството между управлението, науката и икономиката създава нови знания и култура, услуги и биотехнологии в подкрепа на Синия растеж и подобреното благосъстояние на местните общности.</w:t>
      </w:r>
    </w:p>
    <w:p w14:paraId="510CF193" w14:textId="68F15CE3" w:rsidR="004B17B0" w:rsidRPr="00610B1B" w:rsidRDefault="005A2FDC" w:rsidP="00CB7F09">
      <w:pPr>
        <w:pStyle w:val="Default"/>
        <w:spacing w:after="120" w:line="276" w:lineRule="auto"/>
        <w:jc w:val="both"/>
        <w:rPr>
          <w:rFonts w:cs="Times New Roman"/>
          <w:lang w:val="bg-BG"/>
        </w:rPr>
      </w:pPr>
      <w:r w:rsidRPr="00610B1B">
        <w:rPr>
          <w:rFonts w:eastAsia="Calibri" w:cs="Times New Roman"/>
          <w:noProof/>
          <w:lang w:val="bg-BG" w:eastAsia="bg-BG"/>
        </w:rPr>
        <mc:AlternateContent>
          <mc:Choice Requires="wps">
            <w:drawing>
              <wp:anchor distT="45720" distB="45720" distL="114300" distR="114300" simplePos="0" relativeHeight="251716608" behindDoc="0" locked="0" layoutInCell="1" allowOverlap="1" wp14:anchorId="78A2B479" wp14:editId="34468FB5">
                <wp:simplePos x="0" y="0"/>
                <wp:positionH relativeFrom="column">
                  <wp:posOffset>685800</wp:posOffset>
                </wp:positionH>
                <wp:positionV relativeFrom="paragraph">
                  <wp:posOffset>451485</wp:posOffset>
                </wp:positionV>
                <wp:extent cx="4452620" cy="279400"/>
                <wp:effectExtent l="0" t="0" r="24130" b="2540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2620" cy="279400"/>
                        </a:xfrm>
                        <a:prstGeom prst="rect">
                          <a:avLst/>
                        </a:prstGeom>
                        <a:solidFill>
                          <a:srgbClr val="FFFFFF"/>
                        </a:solidFill>
                        <a:ln w="9525">
                          <a:solidFill>
                            <a:srgbClr val="000000"/>
                          </a:solidFill>
                          <a:miter lim="800000"/>
                          <a:headEnd/>
                          <a:tailEnd/>
                        </a:ln>
                      </wps:spPr>
                      <wps:txbx>
                        <w:txbxContent>
                          <w:p w14:paraId="48704596" w14:textId="77777777" w:rsidR="00C717D0" w:rsidRPr="004D1A76" w:rsidRDefault="00C717D0" w:rsidP="005D00D4">
                            <w:pPr>
                              <w:shd w:val="clear" w:color="auto" w:fill="BEE6F0"/>
                              <w:jc w:val="center"/>
                              <w:rPr>
                                <w:rFonts w:ascii="Times New Roman" w:hAnsi="Times New Roman" w:cs="Times New Roman"/>
                                <w:sz w:val="24"/>
                                <w:szCs w:val="24"/>
                              </w:rPr>
                            </w:pPr>
                            <w:r w:rsidRPr="00302EDA">
                              <w:rPr>
                                <w:rFonts w:ascii="Times New Roman" w:hAnsi="Times New Roman" w:cs="Times New Roman"/>
                                <w:b/>
                                <w:sz w:val="24"/>
                                <w:szCs w:val="24"/>
                                <w:lang w:val="bg-BG"/>
                              </w:rPr>
                              <w:t>Главна цел</w:t>
                            </w:r>
                            <w:r w:rsidRPr="004D1A76">
                              <w:rPr>
                                <w:rFonts w:ascii="Times New Roman" w:hAnsi="Times New Roman" w:cs="Times New Roman"/>
                                <w:sz w:val="24"/>
                                <w:szCs w:val="24"/>
                                <w:lang w:val="bg-BG"/>
                              </w:rPr>
                              <w:t>:</w:t>
                            </w:r>
                            <w:r w:rsidRPr="004D1A76">
                              <w:rPr>
                                <w:rFonts w:ascii="Times New Roman" w:hAnsi="Times New Roman" w:cs="Times New Roman"/>
                                <w:sz w:val="24"/>
                                <w:szCs w:val="24"/>
                              </w:rPr>
                              <w:t xml:space="preserve"> </w:t>
                            </w:r>
                            <w:r w:rsidRPr="004D1A76">
                              <w:rPr>
                                <w:rFonts w:ascii="Times New Roman" w:hAnsi="Times New Roman" w:cs="Times New Roman"/>
                                <w:sz w:val="24"/>
                                <w:szCs w:val="24"/>
                                <w:lang w:val="bg-BG"/>
                              </w:rPr>
                              <w:t>Устойчиво ползване за устойчиво развитие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2B479" id="Text Box 2" o:spid="_x0000_s1027" type="#_x0000_t202" style="position:absolute;left:0;text-align:left;margin-left:54pt;margin-top:35.55pt;width:350.6pt;height:22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">
                <v:textbox>
                  <w:txbxContent>
                    <w:p w14:paraId="48704596" w14:textId="77777777" w:rsidR="00C717D0" w:rsidRPr="004D1A76" w:rsidRDefault="00C717D0" w:rsidP="005D00D4">
                      <w:pPr>
                        <w:shd w:val="clear" w:color="auto" w:fill="BEE6F0"/>
                        <w:jc w:val="center"/>
                        <w:rPr>
                          <w:rFonts w:ascii="Times New Roman" w:hAnsi="Times New Roman" w:cs="Times New Roman"/>
                          <w:sz w:val="24"/>
                          <w:szCs w:val="24"/>
                        </w:rPr>
                      </w:pPr>
                      <w:r w:rsidRPr="00302EDA">
                        <w:rPr>
                          <w:rFonts w:ascii="Times New Roman" w:hAnsi="Times New Roman" w:cs="Times New Roman"/>
                          <w:b/>
                          <w:sz w:val="24"/>
                          <w:szCs w:val="24"/>
                          <w:lang w:val="bg-BG"/>
                        </w:rPr>
                        <w:t>Главна цел</w:t>
                      </w:r>
                      <w:r w:rsidRPr="004D1A76">
                        <w:rPr>
                          <w:rFonts w:ascii="Times New Roman" w:hAnsi="Times New Roman" w:cs="Times New Roman"/>
                          <w:sz w:val="24"/>
                          <w:szCs w:val="24"/>
                          <w:lang w:val="bg-BG"/>
                        </w:rPr>
                        <w:t>:</w:t>
                      </w:r>
                      <w:r w:rsidRPr="004D1A76">
                        <w:rPr>
                          <w:rFonts w:ascii="Times New Roman" w:hAnsi="Times New Roman" w:cs="Times New Roman"/>
                          <w:sz w:val="24"/>
                          <w:szCs w:val="24"/>
                        </w:rPr>
                        <w:t xml:space="preserve"> </w:t>
                      </w:r>
                      <w:r w:rsidRPr="004D1A76">
                        <w:rPr>
                          <w:rFonts w:ascii="Times New Roman" w:hAnsi="Times New Roman" w:cs="Times New Roman"/>
                          <w:sz w:val="24"/>
                          <w:szCs w:val="24"/>
                          <w:lang w:val="bg-BG"/>
                        </w:rPr>
                        <w:t>Устойчиво ползване за устойчиво развитие</w:t>
                      </w:r>
                    </w:p>
                  </w:txbxContent>
                </v:textbox>
                <w10:wrap type="square"/>
              </v:shape>
            </w:pict>
          </mc:Fallback>
        </mc:AlternateContent>
      </w:r>
      <w:r w:rsidR="004B17B0" w:rsidRPr="00610B1B">
        <w:rPr>
          <w:rFonts w:cs="Times New Roman"/>
          <w:lang w:val="bg-BG"/>
        </w:rPr>
        <w:t>Постигането на тази визия се осъществява с предложения стратегически пакет от главна цел, стратегически и специфични цели и мерки.</w:t>
      </w:r>
    </w:p>
    <w:p w14:paraId="789C738F" w14:textId="47281D1B" w:rsidR="004B17B0" w:rsidRPr="00610B1B" w:rsidRDefault="004B17B0" w:rsidP="004050A5">
      <w:pPr>
        <w:spacing w:after="120"/>
        <w:ind w:left="-284"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noProof/>
          <w:sz w:val="24"/>
          <w:szCs w:val="24"/>
          <w:lang w:val="bg-BG" w:eastAsia="bg-BG"/>
        </w:rPr>
        <w:drawing>
          <wp:inline distT="0" distB="0" distL="0" distR="0" wp14:anchorId="387EB44B" wp14:editId="1F331A8A">
            <wp:extent cx="6209665" cy="4330700"/>
            <wp:effectExtent l="0" t="0" r="19685" b="0"/>
            <wp:docPr id="231" name="Diagram 2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250A2904" w14:textId="1E447FDE"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sz w:val="24"/>
          <w:szCs w:val="24"/>
          <w:lang w:val="bg-BG"/>
        </w:rPr>
        <w:lastRenderedPageBreak/>
        <w:t>Зонирането на морските пространства</w:t>
      </w:r>
      <w:r w:rsidRPr="00610B1B">
        <w:rPr>
          <w:rFonts w:ascii="Times New Roman" w:eastAsia="Calibri" w:hAnsi="Times New Roman" w:cs="Times New Roman"/>
          <w:sz w:val="24"/>
          <w:szCs w:val="24"/>
          <w:lang w:val="bg-BG"/>
        </w:rPr>
        <w:t xml:space="preserve"> прилага част от основните принципи, приети в План за действие за рехабилитация на Черно море през 1996</w:t>
      </w:r>
      <w:r w:rsidR="00D703D4" w:rsidRPr="00610B1B">
        <w:rPr>
          <w:rFonts w:ascii="Times New Roman" w:eastAsia="Calibri" w:hAnsi="Times New Roman" w:cs="Times New Roman"/>
          <w:sz w:val="24"/>
          <w:szCs w:val="24"/>
          <w:lang w:val="bg-BG"/>
        </w:rPr>
        <w:t> </w:t>
      </w:r>
      <w:r w:rsidRPr="00610B1B">
        <w:rPr>
          <w:rFonts w:ascii="Times New Roman" w:eastAsia="Calibri" w:hAnsi="Times New Roman" w:cs="Times New Roman"/>
          <w:sz w:val="24"/>
          <w:szCs w:val="24"/>
          <w:lang w:val="bg-BG"/>
        </w:rPr>
        <w:t>г. и актуализирани през 2006</w:t>
      </w:r>
      <w:r w:rsidR="00D703D4" w:rsidRPr="00610B1B">
        <w:rPr>
          <w:rFonts w:ascii="Times New Roman" w:eastAsia="Calibri" w:hAnsi="Times New Roman" w:cs="Times New Roman"/>
          <w:sz w:val="24"/>
          <w:szCs w:val="24"/>
          <w:lang w:val="bg-BG"/>
        </w:rPr>
        <w:t> </w:t>
      </w:r>
      <w:r w:rsidRPr="00610B1B">
        <w:rPr>
          <w:rFonts w:ascii="Times New Roman" w:eastAsia="Calibri" w:hAnsi="Times New Roman" w:cs="Times New Roman"/>
          <w:sz w:val="24"/>
          <w:szCs w:val="24"/>
          <w:lang w:val="bg-BG"/>
        </w:rPr>
        <w:t xml:space="preserve">г. на срещата в София, които са запазили своята актуалност. Те са свързани с концепцията за устойчиво развитие в съответствие с капацитета на Черноморските екосистеми и интересите на бъдещите поколения; с превантивните мерки, ограничаващи рисковете за хората, живите ресурси и морските екосистеми; с оценката на въздействието върху околната среда и на последствията от правителствените политики, програми и планове; със стимулирането на чисти технологии, устойчиви практики и икономически стимули за въвеждане на екологични технологии и дейности, с прозрачността, информираността и участието на гражданското общество. Към тези общи принципи, засягащи всички по-важни въпроси за устойчиво развитие на Черноморския регион, са добавени и директно насочените към функционалното зониране принципи за </w:t>
      </w:r>
      <w:r w:rsidRPr="00610B1B">
        <w:rPr>
          <w:rFonts w:ascii="Times New Roman" w:eastAsia="Calibri" w:hAnsi="Times New Roman" w:cs="Times New Roman"/>
          <w:i/>
          <w:iCs/>
          <w:sz w:val="24"/>
          <w:szCs w:val="24"/>
          <w:lang w:val="bg-BG"/>
        </w:rPr>
        <w:t>организационна ефективност</w:t>
      </w:r>
      <w:r w:rsidRPr="00610B1B">
        <w:rPr>
          <w:rFonts w:ascii="Times New Roman" w:eastAsia="Calibri" w:hAnsi="Times New Roman" w:cs="Times New Roman"/>
          <w:sz w:val="24"/>
          <w:szCs w:val="24"/>
          <w:lang w:val="bg-BG"/>
        </w:rPr>
        <w:t xml:space="preserve"> при съвместяване на функциите; </w:t>
      </w:r>
      <w:r w:rsidRPr="00610B1B">
        <w:rPr>
          <w:rFonts w:ascii="Times New Roman" w:eastAsia="Calibri" w:hAnsi="Times New Roman" w:cs="Times New Roman"/>
          <w:i/>
          <w:iCs/>
          <w:sz w:val="24"/>
          <w:szCs w:val="24"/>
          <w:lang w:val="bg-BG"/>
        </w:rPr>
        <w:t>технологична ефективност</w:t>
      </w:r>
      <w:r w:rsidRPr="00610B1B">
        <w:rPr>
          <w:rFonts w:ascii="Times New Roman" w:eastAsia="Calibri" w:hAnsi="Times New Roman" w:cs="Times New Roman"/>
          <w:sz w:val="24"/>
          <w:szCs w:val="24"/>
          <w:lang w:val="bg-BG"/>
        </w:rPr>
        <w:t xml:space="preserve"> чрез интегриране на дейностите и операциите в морските пространства; и </w:t>
      </w:r>
      <w:r w:rsidRPr="00610B1B">
        <w:rPr>
          <w:rFonts w:ascii="Times New Roman" w:eastAsia="Calibri" w:hAnsi="Times New Roman" w:cs="Times New Roman"/>
          <w:i/>
          <w:iCs/>
          <w:sz w:val="24"/>
          <w:szCs w:val="24"/>
          <w:lang w:val="bg-BG"/>
        </w:rPr>
        <w:t>функционална съвместимост и синергия</w:t>
      </w:r>
      <w:r w:rsidRPr="00610B1B">
        <w:rPr>
          <w:rFonts w:ascii="Times New Roman" w:eastAsia="Calibri" w:hAnsi="Times New Roman" w:cs="Times New Roman"/>
          <w:sz w:val="24"/>
          <w:szCs w:val="24"/>
          <w:lang w:val="bg-BG"/>
        </w:rPr>
        <w:t xml:space="preserve"> от безконфликтното съчетаване на взаимно допълващи се дейности за постигане на по-висока добавена стойност и по-високо качество на морските ползвания. </w:t>
      </w:r>
    </w:p>
    <w:p w14:paraId="11D43FDE" w14:textId="424FEB12"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За целите на Морския пространствен план на Република България се предлага групирането на функциите и ползванията в четири вида зони, а именно: i) зони със забрана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за ползване; ii) зони със специфичен режим на опазване; iii) мултифункционални зони; и iv) зони за бъдещо развитие.</w:t>
      </w:r>
    </w:p>
    <w:p w14:paraId="16A2F115"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За всяка от тези зони се систематизират режимите, които трябва да бъдат спазвани и правилата на взаимодействие с други функции и дейности. Отчитайки динамичния характер на средата и на документа Морски пространствен план, това зониране също има динамичен характер за да отразява промените, при изменение на условията на средата, технологиите, националните или секторните приоритети и потребности.</w:t>
      </w:r>
    </w:p>
    <w:p w14:paraId="04076669" w14:textId="2277948E"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В </w:t>
      </w:r>
      <w:r w:rsidRPr="00610B1B">
        <w:rPr>
          <w:rFonts w:ascii="Times New Roman" w:eastAsia="Calibri" w:hAnsi="Times New Roman" w:cs="Times New Roman"/>
          <w:b/>
          <w:bCs/>
          <w:sz w:val="24"/>
          <w:szCs w:val="24"/>
          <w:lang w:val="bg-BG"/>
        </w:rPr>
        <w:t>зоните със забрана за ползване (Ззп)</w:t>
      </w:r>
      <w:r w:rsidRPr="00610B1B">
        <w:rPr>
          <w:rFonts w:ascii="Times New Roman" w:eastAsia="Calibri" w:hAnsi="Times New Roman" w:cs="Times New Roman"/>
          <w:sz w:val="24"/>
          <w:szCs w:val="24"/>
          <w:lang w:val="bg-BG"/>
        </w:rPr>
        <w:t xml:space="preserve"> попадат онези зони, при които е възможна само една единствена функция, поради законови забрани и несъвместимост с останалите функции и ползвания на морските пространства, поради риск за безопасността и сигурността, живота и здравето на хората, опасност от инциденти и повреди на важна инфраструктура или на културни ценности.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В тази група се включват зоните за военни учения и обучения с постоянна забрана, зоните със забрани за корабоплаване и заставане на котва, а също така и зоните с подводни линейни обекти на техническата инфраструктура, които има опасност да бъдат засегнати от други дейности на морското дъно. Отчетени са двата вида зони – с постоянно действаща забрана и с временна забрана за ползване. </w:t>
      </w:r>
    </w:p>
    <w:p w14:paraId="2AF06AF7"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Основните цели са гарантиране на суверенитета, безопасността и сигурността в морските пространства на Република България и опазване на изградената подводна техническа инфраструктура, съоръженията и оборудването от увреждане. Режимите на ползване се определят съобразно международното морско право, действащото национално законодателство, целите за дългосрочно устойчиво развитие и интегрирано опазване на морската околна среда. </w:t>
      </w:r>
    </w:p>
    <w:p w14:paraId="64444EA2" w14:textId="7D618392"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bCs/>
          <w:sz w:val="24"/>
          <w:szCs w:val="24"/>
          <w:lang w:val="bg-BG"/>
        </w:rPr>
        <w:lastRenderedPageBreak/>
        <w:t xml:space="preserve">Зоните със специфичен режим на </w:t>
      </w:r>
      <w:r w:rsidR="002F26AA" w:rsidRPr="00610B1B">
        <w:rPr>
          <w:rFonts w:ascii="Times New Roman" w:eastAsia="Calibri" w:hAnsi="Times New Roman" w:cs="Times New Roman"/>
          <w:b/>
          <w:bCs/>
          <w:sz w:val="24"/>
          <w:szCs w:val="24"/>
          <w:lang w:val="bg-BG"/>
        </w:rPr>
        <w:t>опазване</w:t>
      </w:r>
      <w:r w:rsidRPr="00610B1B">
        <w:rPr>
          <w:rFonts w:ascii="Times New Roman" w:eastAsia="Calibri" w:hAnsi="Times New Roman" w:cs="Times New Roman"/>
          <w:b/>
          <w:bCs/>
          <w:sz w:val="24"/>
          <w:szCs w:val="24"/>
          <w:lang w:val="bg-BG"/>
        </w:rPr>
        <w:t xml:space="preserve"> (Зср)</w:t>
      </w:r>
      <w:r w:rsidRPr="00610B1B">
        <w:rPr>
          <w:rFonts w:ascii="Times New Roman" w:eastAsia="Calibri" w:hAnsi="Times New Roman" w:cs="Times New Roman"/>
          <w:sz w:val="24"/>
          <w:szCs w:val="24"/>
          <w:lang w:val="bg-BG"/>
        </w:rPr>
        <w:t xml:space="preserve"> обхващат морски защитени зони и защитени територии от Националната екологична мрежа и зоните за опазване на културното наследство, зоните за опазване на водите по чл. 119а от Закона за водите. Към тях се включват и зони, предложени от ИО и ИБЕИ на БАН, които приоритетно се използват за проучване и мониторинг на състоянието на морската околна среда, разположени в близост до изследователски бази. </w:t>
      </w:r>
    </w:p>
    <w:p w14:paraId="2B8992F1" w14:textId="467D12BA"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Основните цели на този вид зони са съхраняване и проучване на природни и културни ценности, което да увеличи знанието на настоящите и бъдещите поколения за тяхната значимост и принос към биологичното разнообразие в морските пространства на Европа, към световната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и националната история. </w:t>
      </w:r>
    </w:p>
    <w:p w14:paraId="57D6E537"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Режимите за достъп и ползване на защитени зони и защитени територии от НЕМ се определят в съответствие с техния статут, решението за обявяването им и ограниченията съгласно стандартните формуляри, заповедите за обявяване или плановете за управление. Те се съобразяват с международните конвенции, ратифицирани от Р. България, Директивите на Европейския съюз за местообитанията и за птиците, националните законови и подзаконови актове. В тази категория се включат и охранителните зони на Несебър и Созопол с широчина от 1 km, както и други подобни с широчина 500 m, отразени в Общите устройствени планове на крайбрежните общини и в МППРБ.</w:t>
      </w:r>
    </w:p>
    <w:p w14:paraId="6A245BA0"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bCs/>
          <w:sz w:val="24"/>
          <w:szCs w:val="24"/>
          <w:lang w:val="bg-BG"/>
        </w:rPr>
        <w:t xml:space="preserve">Мултифункционалните зони (Змф) </w:t>
      </w:r>
      <w:r w:rsidRPr="00610B1B">
        <w:rPr>
          <w:rFonts w:ascii="Times New Roman" w:eastAsia="Calibri" w:hAnsi="Times New Roman" w:cs="Times New Roman"/>
          <w:sz w:val="24"/>
          <w:szCs w:val="24"/>
          <w:lang w:val="bg-BG"/>
        </w:rPr>
        <w:t xml:space="preserve">подобно на използваните в други страни „зони за общо ползване“, съчетават безконфликтно няколко различни съвместими функции в определеното морско пространство. По същество и в момента почти всички национални морски пространства съчетават няколко функции, с изключение за зоните със забранен достъп, свързани с военни учения и обучения. Възможни са всякакви съчетания с изключение на такива, със специфични законово регламентирани ограничения, включително и споменатите по-горе. Ограниченията, с които се съобразява интегрирането на функциите в тези зони са общи, произтичащи от международното и европейско морско право и от националната правна уредба, и специфични, които са свързани с развитие на отделни сектори на морската икономика. </w:t>
      </w:r>
    </w:p>
    <w:p w14:paraId="0FDBF181"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Основните цели са безконфликтно съчетаване на съвместими функции за по-ефективно използване на морските пространства; постигане на положителна синергия и икономия на пространство и от мащаба и по-добро координиране на секторните политики, свързани с морето. Режимите на ползване на мултифункционалните зони се определят от възможните съчетания, в основата на които са съвместими безконфликтни дейности. </w:t>
      </w:r>
    </w:p>
    <w:p w14:paraId="03CC9651"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bCs/>
          <w:sz w:val="24"/>
          <w:szCs w:val="24"/>
          <w:lang w:val="bg-BG"/>
        </w:rPr>
        <w:t>Зоните за бъдещо развитие (Збр)</w:t>
      </w:r>
      <w:r w:rsidRPr="00610B1B">
        <w:rPr>
          <w:rFonts w:ascii="Times New Roman" w:eastAsia="Calibri" w:hAnsi="Times New Roman" w:cs="Times New Roman"/>
          <w:sz w:val="24"/>
          <w:szCs w:val="24"/>
          <w:lang w:val="bg-BG"/>
        </w:rPr>
        <w:t xml:space="preserve"> са определени поради идентифицираните пропуски в познанието за отдалечените части от акваторията и морските пространства, в които по-големите дълбочини изискват специфични технологии и оборудване и значителен ресурс за научни изследвания, които впоследствие обосновават ползвания със значение за знанието и за синята икономика. Подобни проучвания се осъществяват в колаборация с различни научни институции, големи компании и международни организации. Поради ограничената информация за потенциала на подобни зони в момента са идентифицирани само такива, които могат да съчетаят и друг вид мащабни научно-изследователски проекти в обхвата на ИИЗ. </w:t>
      </w:r>
    </w:p>
    <w:p w14:paraId="5AAF5A98" w14:textId="1E3A4315"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lastRenderedPageBreak/>
        <w:t>Основните цели на този тип зони са разкриване на потенциала на морските пространства извън обхвата на териториалното море и прилежащата зона за допълване на знанието и пълноценно използване на ресурсите. Достъпът до тези зони и режимите за ползване се осъществяват в съответствие с международните конвенции и протоколи, Европейските регламенти и Директиви свързани с опазване на морската среда, на водите, на биоразнообразието и на създаване на рамка за морско пространствено планиране, със Закона за морските пространства, вътрешните водни пътища и пристанищата на Република България и относимите законови и подзаконови актове.</w:t>
      </w:r>
      <w:r w:rsidR="00D66FE0" w:rsidRPr="00610B1B">
        <w:rPr>
          <w:rFonts w:ascii="Times New Roman" w:eastAsia="Calibri" w:hAnsi="Times New Roman" w:cs="Times New Roman"/>
          <w:sz w:val="24"/>
          <w:szCs w:val="24"/>
          <w:lang w:val="bg-BG"/>
        </w:rPr>
        <w:t xml:space="preserve"> </w:t>
      </w:r>
    </w:p>
    <w:p w14:paraId="143369C4" w14:textId="1186191C"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sz w:val="24"/>
          <w:szCs w:val="24"/>
          <w:lang w:val="bg-BG"/>
        </w:rPr>
        <w:t>Предвидените ползвания и дейности</w:t>
      </w:r>
      <w:r w:rsidRPr="00610B1B">
        <w:rPr>
          <w:rFonts w:ascii="Times New Roman" w:eastAsia="Calibri" w:hAnsi="Times New Roman" w:cs="Times New Roman"/>
          <w:sz w:val="24"/>
          <w:szCs w:val="24"/>
          <w:lang w:val="bg-BG"/>
        </w:rPr>
        <w:t>, групирани в тези четири вида функционални зони са описани подробно с ограничаващите режими и законодателните основания за това, като е илюстрирана и връзката с графичната част на плана.</w:t>
      </w:r>
      <w:r w:rsidR="00C415D1" w:rsidRPr="00610B1B">
        <w:rPr>
          <w:rFonts w:ascii="Times New Roman" w:eastAsia="Calibri" w:hAnsi="Times New Roman" w:cs="Times New Roman"/>
          <w:sz w:val="24"/>
          <w:szCs w:val="24"/>
          <w:lang w:val="bg-BG"/>
        </w:rPr>
        <w:t xml:space="preserve"> </w:t>
      </w:r>
    </w:p>
    <w:p w14:paraId="136D30F0" w14:textId="5E3EC5F5"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sz w:val="24"/>
          <w:szCs w:val="24"/>
          <w:lang w:val="bg-BG"/>
        </w:rPr>
        <w:t>Прилагането на плана и оценката на резултатите</w:t>
      </w:r>
      <w:r w:rsidRPr="00610B1B">
        <w:rPr>
          <w:rFonts w:ascii="Times New Roman" w:eastAsia="Calibri" w:hAnsi="Times New Roman" w:cs="Times New Roman"/>
          <w:sz w:val="24"/>
          <w:szCs w:val="24"/>
          <w:lang w:val="bg-BG"/>
        </w:rPr>
        <w:t xml:space="preserve"> са разгледани чрез систематизиране на отговорностите и ролята на различните заинтересовани страни, ангажиментите им по поддържането, актуализирането и изменението на МППРБ и препоръките към най-важните участници в този процес. Институциите, ангажирани с възлагането, разработването, актуализирането, прилагането на плана и оценката на напредъка и въздействията, изграждат сложната институционална рамка на Морския пространствен план на Република България с разнопосочни и многообразни връзки и взаимодействия. Компетентните органи по прилагането на Морския пространствен план на Република България и наблюдението на изпълнението на предложените мерки за опазване на околната среда в морските води и координирането на секторните политики са Министерският съвет, министърът на регионалното развитие и благоустройството, министърът на околната среда и водите, министърът на транспорта, съобщенията, министърът на земеделието, министърът на културата, министърът на отбраната, министрите на вътрешните и на външните работи, министърът на </w:t>
      </w:r>
      <w:r w:rsidRPr="00DB227B">
        <w:rPr>
          <w:rFonts w:ascii="Times New Roman" w:eastAsia="Calibri" w:hAnsi="Times New Roman" w:cs="Times New Roman"/>
          <w:sz w:val="24"/>
          <w:szCs w:val="24"/>
          <w:lang w:val="bg-BG"/>
        </w:rPr>
        <w:t>икономиката</w:t>
      </w:r>
      <w:r w:rsidR="00DF653E" w:rsidRPr="00DB227B">
        <w:rPr>
          <w:rFonts w:ascii="Times New Roman" w:eastAsia="Calibri" w:hAnsi="Times New Roman" w:cs="Times New Roman"/>
          <w:sz w:val="24"/>
          <w:szCs w:val="24"/>
          <w:lang w:val="bg-BG"/>
        </w:rPr>
        <w:t xml:space="preserve"> </w:t>
      </w:r>
      <w:r w:rsidR="00DF653E" w:rsidRPr="00422C95">
        <w:rPr>
          <w:rFonts w:ascii="Times New Roman" w:eastAsia="Calibri" w:hAnsi="Times New Roman" w:cs="Times New Roman"/>
          <w:sz w:val="24"/>
          <w:szCs w:val="24"/>
          <w:lang w:val="bg-BG"/>
        </w:rPr>
        <w:t>и индустрията</w:t>
      </w:r>
      <w:r w:rsidRPr="00C717D0">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министърът на туризма, министърът на здравеопазването, министърът на енергетиката, директорите на ИА „Морска администрация“, ДП „Пристанищна инфраструктура“, ИА „Рибарство и аквакултури“ и Басейновата дирекция за Черноморския район, или оправомощени от тях длъжностни лица. Техните правомощия и ангажименти са систематизирани в зависимост от действащите законови и подзаконови актове и съответните устройствени правилници.</w:t>
      </w:r>
      <w:r w:rsidR="00D66FE0" w:rsidRPr="00610B1B">
        <w:rPr>
          <w:rFonts w:ascii="Times New Roman" w:eastAsia="Calibri" w:hAnsi="Times New Roman" w:cs="Times New Roman"/>
          <w:sz w:val="24"/>
          <w:szCs w:val="24"/>
          <w:lang w:val="bg-BG"/>
        </w:rPr>
        <w:t xml:space="preserve"> </w:t>
      </w:r>
    </w:p>
    <w:p w14:paraId="5EFB2B85"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Съгласно чл. 51е ал. 1 на ЗМПВВППРБ морският пространствен план на Република България се приема от Националния експертен съвет по устройство на територията и регионална политика след съгласуване с Консултативния съвет по въпросите на морското пространствено планиране и се одобрява с решение на Министерския съвет по доклад на Министъра на регионалното развитие и благоустройството. </w:t>
      </w:r>
    </w:p>
    <w:p w14:paraId="64C18054"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Той подлежи на преразглеждане на всеки 10 години. Законът позволява морският пространствен план на Република България да бъде преразгледан и извън срока, ако настъпят съществени промени в обществено-икономическите условия, при които е бил одобрен. Изменението му се възлага и изпълнява при условията на неговото създаване като се прилагат разпоредбите на ал. 1 на чл. 51е и чл. 51д.</w:t>
      </w:r>
    </w:p>
    <w:p w14:paraId="6E650FBF"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lastRenderedPageBreak/>
        <w:t xml:space="preserve">Предложената </w:t>
      </w:r>
      <w:r w:rsidRPr="00610B1B">
        <w:rPr>
          <w:rFonts w:ascii="Times New Roman" w:eastAsia="Calibri" w:hAnsi="Times New Roman" w:cs="Times New Roman"/>
          <w:b/>
          <w:sz w:val="24"/>
          <w:szCs w:val="24"/>
          <w:lang w:val="bg-BG"/>
        </w:rPr>
        <w:t>система за наблюдение на прилагането на МППРБ</w:t>
      </w:r>
      <w:r w:rsidRPr="00610B1B">
        <w:rPr>
          <w:rFonts w:ascii="Times New Roman" w:eastAsia="Calibri" w:hAnsi="Times New Roman" w:cs="Times New Roman"/>
          <w:sz w:val="24"/>
          <w:szCs w:val="24"/>
          <w:lang w:val="bg-BG"/>
        </w:rPr>
        <w:t>, съставена от качествени и количествени индикатори, е разработена въз основа на опита на други държави в морското пространствено планиране и Ръководството за оценка на Морски пространствени планове на Океанографската комисия на ЮНЕСКО (2014) и отчита националния контекст. Индикаторите са разделени в три групи: i) индикатори за управление, ii) социално-икономически и iii) екологични индикатори; и обхваща индикатори на 2 нива - синтезни индикатори и показатели. Синтезните индикатори отразяват резултати от прилагането на МППРБ и могат да имат качествен, количествен или смесен характер. Информационното обслужване на синтезните индикатори може да разчита на един или няколко статистически показателя от номенклатурата на НСИ или друга официална институция, както и на експертни оценки или целеви научни изследвания.</w:t>
      </w:r>
    </w:p>
    <w:p w14:paraId="361A0E8B"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Принципът за </w:t>
      </w:r>
      <w:r w:rsidRPr="00610B1B">
        <w:rPr>
          <w:rFonts w:ascii="Times New Roman" w:eastAsia="Calibri" w:hAnsi="Times New Roman" w:cs="Times New Roman"/>
          <w:b/>
          <w:sz w:val="24"/>
          <w:szCs w:val="24"/>
          <w:lang w:val="bg-BG"/>
        </w:rPr>
        <w:t>партньорство, публичност и прозрачност</w:t>
      </w:r>
      <w:r w:rsidRPr="00610B1B">
        <w:rPr>
          <w:rFonts w:ascii="Times New Roman" w:eastAsia="Calibri" w:hAnsi="Times New Roman" w:cs="Times New Roman"/>
          <w:sz w:val="24"/>
          <w:szCs w:val="24"/>
          <w:lang w:val="bg-BG"/>
        </w:rPr>
        <w:t xml:space="preserve"> на всички нива е важен механизъм за повишаване на устойчивостта на взетите решения и планираните цели и задачи, за ефективността на тяхната реализация, особено при подобна нова за страната дейност, каквото е морското пространствено планиране. Главната цел на прилагането на информираност и публичност при разработването на МППРБ е повишаване на обществената осведоменост и осигуряване на прозрачност при генерирането на идеите за бъдещото развитие, опазване и използване на морските пространства.</w:t>
      </w:r>
    </w:p>
    <w:p w14:paraId="20ACC397"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Основна отговорност за осигуряване на информация и публичност на процеса на разработване, съгласуване, актуализиране и изпълнение на МППРБ има Министърът на регионалното развитие и благоустройството, подпомаган Консултативния съвет по въпросите на морското пространствено планиране и от ГД „Стратегическо планиране и програми за регионално развитие“ на МРРБ. Във всички етапи на разработване и прилагане участват и разпределят отговорности помежду си всички групи партньори, идентифицирани на най-ранен етап: административни структури (централни, териториални) на изпълнителната власт, икономически и социални партньори, НПО, граждански сдружения, широка общественост, като в зависимост от етапа, нивото на съучастие е различно. </w:t>
      </w:r>
    </w:p>
    <w:p w14:paraId="1ED82A36" w14:textId="2C830C04"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При взаимодействие между целевите групи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са приложени всички приети форми за информиране, консултиране и съгласуваност, ангажираност и активно участие. Проведени са консултации с компетентните институции, дълбочинни интервюта с 31 участващи експерти от различни области, анкети за избор на визия, мултдисциплинарен и интерактивен семинар с 57 участници, заседания на Консултативния съвет и множество експертни работни срещи под различни форми, съобразени с противоепидемичните мерки, въведени в страната от 13 март 2020 г. Резултатите са анализирани и най-добрите предложения са отразени в настоящата версия на документа. </w:t>
      </w:r>
    </w:p>
    <w:p w14:paraId="65D80F7D" w14:textId="10D3AFB4"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Морският пространствен план се разработва паралелно с Екологичната оценка, съгласно предписанията на компетентния орган - Министерството на околната среда и водите. Документът се придружава от аналитични карти и схеми,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изготвени с помощта на ГИС, от база данни и метаданни. Разработената ГИС платформа ще улесни поддържането и </w:t>
      </w:r>
      <w:r w:rsidRPr="00610B1B">
        <w:rPr>
          <w:rFonts w:ascii="Times New Roman" w:eastAsia="Calibri" w:hAnsi="Times New Roman" w:cs="Times New Roman"/>
          <w:sz w:val="24"/>
          <w:szCs w:val="24"/>
          <w:lang w:val="bg-BG"/>
        </w:rPr>
        <w:lastRenderedPageBreak/>
        <w:t>прилагането на Морския пространствен план на Република България до неговата първа актуализация и ще подобри координацията между секторите на морската икономика.</w:t>
      </w:r>
    </w:p>
    <w:p w14:paraId="2CD71F41"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В конкретните предложения са включени зони за наблюдения и морски изследвания на Института по океанология, на Института по биоразнообразие и екосистемни услуги, на Националния институт по метеорология и хидрология на БАН, на СУ „Св. Климент Охридски“, разширяване на обхвата на защитена местност „Кокетрайс“ и определяне на 500 метрови охранителни зони около резерват „Калиакра“, около островите „Св. Св. Иван и Петър“ и Змийски остров, съобразяване на основните трасета на морския трафик със защитените зони и морските защитени територии. </w:t>
      </w:r>
    </w:p>
    <w:p w14:paraId="53D6C938" w14:textId="6B9DF849"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Определени са 4 ареала с концентрация на културни ценности и два за потънали кораби, в които да се планират бъдещите изследвания и развитието на идеите за интерактивна интерпретация на събитията и атмосферата около недвижимото културно наследство под вода и на бреговата зона.</w:t>
      </w:r>
      <w:r w:rsidR="00D66FE0" w:rsidRPr="00610B1B">
        <w:rPr>
          <w:rFonts w:ascii="Times New Roman" w:eastAsia="Calibri" w:hAnsi="Times New Roman" w:cs="Times New Roman"/>
          <w:sz w:val="24"/>
          <w:szCs w:val="24"/>
          <w:lang w:val="bg-BG"/>
        </w:rPr>
        <w:t xml:space="preserve"> </w:t>
      </w:r>
    </w:p>
    <w:p w14:paraId="71F2438E" w14:textId="77777777"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Определени са зоните за опазване на водите за отглеждане на ценни видове риба и за отглеждане на аквакултура. Отредени са зоните за забрана на други дейности в близост до полигони за военни учения и за подготовка на водолази, за заставане на котва, локализирани са забранените за драгиране и риболов с придънни средства райони и полигони. </w:t>
      </w:r>
    </w:p>
    <w:p w14:paraId="76169319" w14:textId="22986CA3"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Маркирани са определените зони за къпане в морето, пред плажовете и в свързани с водните спортове и атракциите крайбрежни морски води пред курортите и ваканционните селища. В тези зони не се позволява монтирането на даляни и инсталации за отглеждане на аквакултура.</w:t>
      </w:r>
      <w:r w:rsidR="00D66FE0" w:rsidRPr="00610B1B">
        <w:rPr>
          <w:rFonts w:ascii="Times New Roman" w:eastAsia="Calibri" w:hAnsi="Times New Roman" w:cs="Times New Roman"/>
          <w:sz w:val="24"/>
          <w:szCs w:val="24"/>
          <w:lang w:val="bg-BG"/>
        </w:rPr>
        <w:t xml:space="preserve"> </w:t>
      </w:r>
    </w:p>
    <w:p w14:paraId="5B16114E" w14:textId="40429EAC" w:rsidR="004B17B0" w:rsidRPr="00610B1B" w:rsidRDefault="004B17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Стимулират се биотехнологиите и иновациите в секторите на синята икономика и научните изследвания при задължителното им обвързване с образованието, практиката 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бизнеса. Всички тези предложения се обединяват в многофункционални зони, в които могат да се развиват безконфликтно при редуциране на конфликтите между сушата и морето и между отделните дейности в морските пространства, като отчитат приоритетите на най-важните стратегически секторни документи с хоризонт, съвпадащ с този на плана. Допълнително ще бъдат систематизирани предложения, които са резултат от обществените консултации, насочени към подобряване на работата на институциите. Те са основа за координиране на секторните политики в единното национално морско пространство и изграждат платформата за вземане на информирани решения за бъдещото устойчиво развитие. </w:t>
      </w:r>
    </w:p>
    <w:p w14:paraId="1CD6D436" w14:textId="2B7D18CB" w:rsidR="00F85D31" w:rsidRPr="00610B1B" w:rsidRDefault="00F85D31"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Идентифицираните зони с натрупване на най-много конфликти – Варненски и Бургаски залив и 3</w:t>
      </w:r>
      <w:r w:rsidR="00610CA1" w:rsidRPr="00E63187">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милната зона навътре в морето се предлагат </w:t>
      </w:r>
      <w:r w:rsidR="00EB0A4C" w:rsidRPr="00610B1B">
        <w:rPr>
          <w:rFonts w:ascii="Times New Roman" w:eastAsia="Calibri" w:hAnsi="Times New Roman" w:cs="Times New Roman"/>
          <w:sz w:val="24"/>
          <w:szCs w:val="24"/>
          <w:lang w:val="bg-BG"/>
        </w:rPr>
        <w:t xml:space="preserve">на следващ етап </w:t>
      </w:r>
      <w:r w:rsidRPr="00610B1B">
        <w:rPr>
          <w:rFonts w:ascii="Times New Roman" w:eastAsia="Calibri" w:hAnsi="Times New Roman" w:cs="Times New Roman"/>
          <w:sz w:val="24"/>
          <w:szCs w:val="24"/>
          <w:lang w:val="bg-BG"/>
        </w:rPr>
        <w:t>да бъдат разработени в по-голяма подробност, като фрагменти на МППРБ, въз основа на събраната информация и след съгласуването на дейностите в националните морски пространства между всички държавни институции, местни администрации и заинтересовани страни. Това ще бъде следващата важна стъпка в процеса на морското пространствено планиране.</w:t>
      </w:r>
    </w:p>
    <w:p w14:paraId="458BD73C" w14:textId="39700C92" w:rsidR="007023E9" w:rsidRPr="00610B1B" w:rsidRDefault="007023E9" w:rsidP="00D32D6A">
      <w:pPr>
        <w:spacing w:after="120"/>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br w:type="page"/>
      </w:r>
    </w:p>
    <w:p w14:paraId="17872A60" w14:textId="4A676B4D" w:rsidR="00B862CF" w:rsidRPr="00610B1B" w:rsidRDefault="001D3664" w:rsidP="00D32D6A">
      <w:pPr>
        <w:pStyle w:val="Heading1"/>
        <w:tabs>
          <w:tab w:val="left" w:pos="1170"/>
        </w:tabs>
        <w:spacing w:before="0" w:line="276" w:lineRule="auto"/>
        <w:ind w:right="-153"/>
        <w:rPr>
          <w:rFonts w:cs="Times New Roman"/>
          <w:color w:val="C00000"/>
        </w:rPr>
      </w:pPr>
      <w:bookmarkStart w:id="6" w:name="_Toc83391350"/>
      <w:r w:rsidRPr="00610B1B">
        <w:rPr>
          <w:rFonts w:cs="Times New Roman"/>
        </w:rPr>
        <w:lastRenderedPageBreak/>
        <w:t xml:space="preserve">1. </w:t>
      </w:r>
      <w:r w:rsidR="00B862CF" w:rsidRPr="00610B1B">
        <w:rPr>
          <w:rFonts w:cs="Times New Roman"/>
        </w:rPr>
        <w:t>ВЪВЕДЕНИЕ</w:t>
      </w:r>
      <w:bookmarkEnd w:id="6"/>
      <w:r w:rsidR="007815F4" w:rsidRPr="00610B1B">
        <w:rPr>
          <w:rFonts w:cs="Times New Roman"/>
        </w:rPr>
        <w:t xml:space="preserve"> </w:t>
      </w:r>
    </w:p>
    <w:p w14:paraId="3EC61B30" w14:textId="4CBDBA1F" w:rsidR="0001651D" w:rsidRPr="00610B1B" w:rsidRDefault="00D70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Повишеният натиск върху морските пространства, свръхексплоатацията на морските ресурси, увеличаването на конфликтите между дейностите, осъществява</w:t>
      </w:r>
      <w:r w:rsidR="0001651D" w:rsidRPr="00610B1B">
        <w:rPr>
          <w:rFonts w:ascii="Times New Roman" w:hAnsi="Times New Roman" w:cs="Times New Roman"/>
          <w:sz w:val="24"/>
          <w:szCs w:val="24"/>
          <w:lang w:val="bg-BG"/>
        </w:rPr>
        <w:t>ни</w:t>
      </w:r>
      <w:r w:rsidRPr="00610B1B">
        <w:rPr>
          <w:rFonts w:ascii="Times New Roman" w:hAnsi="Times New Roman" w:cs="Times New Roman"/>
          <w:sz w:val="24"/>
          <w:szCs w:val="24"/>
          <w:lang w:val="bg-BG"/>
        </w:rPr>
        <w:t xml:space="preserve"> в морето, довели до влошаване на състоянието на морската околна среда и загуба на биоразнообразие налагат прилагането на интегрирана морска политика.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Допълнителен мотив</w:t>
      </w:r>
      <w:r w:rsidR="0001651D" w:rsidRPr="00610B1B">
        <w:rPr>
          <w:rFonts w:ascii="Times New Roman" w:hAnsi="Times New Roman" w:cs="Times New Roman"/>
          <w:sz w:val="24"/>
          <w:szCs w:val="24"/>
          <w:lang w:val="bg-BG"/>
        </w:rPr>
        <w:t xml:space="preserve"> за това </w:t>
      </w:r>
      <w:r w:rsidRPr="00610B1B">
        <w:rPr>
          <w:rFonts w:ascii="Times New Roman" w:hAnsi="Times New Roman" w:cs="Times New Roman"/>
          <w:sz w:val="24"/>
          <w:szCs w:val="24"/>
          <w:lang w:val="bg-BG"/>
        </w:rPr>
        <w:t xml:space="preserve">е засилената урбанизация на крайбрежните зони, заедно с всички последици от концентрацията на хора, дейности, съоръжения и инфраструктура. </w:t>
      </w:r>
      <w:r w:rsidR="00DE1E92" w:rsidRPr="00610B1B">
        <w:rPr>
          <w:rFonts w:ascii="Times New Roman" w:hAnsi="Times New Roman" w:cs="Times New Roman"/>
          <w:sz w:val="24"/>
          <w:szCs w:val="24"/>
          <w:lang w:val="bg-BG"/>
        </w:rPr>
        <w:t xml:space="preserve">По данни на Европейската агенция по околна среда </w:t>
      </w:r>
      <w:r w:rsidR="000F1A0C" w:rsidRPr="00610B1B">
        <w:rPr>
          <w:rFonts w:ascii="Times New Roman" w:hAnsi="Times New Roman" w:cs="Times New Roman"/>
          <w:sz w:val="24"/>
          <w:szCs w:val="24"/>
          <w:lang w:val="bg-BG"/>
        </w:rPr>
        <w:t xml:space="preserve">населението в зоната </w:t>
      </w:r>
      <w:r w:rsidR="00DE1E92" w:rsidRPr="00610B1B">
        <w:rPr>
          <w:rFonts w:ascii="Times New Roman" w:hAnsi="Times New Roman" w:cs="Times New Roman"/>
          <w:sz w:val="24"/>
          <w:szCs w:val="24"/>
          <w:lang w:val="bg-BG"/>
        </w:rPr>
        <w:t xml:space="preserve">до 50 km от брега е </w:t>
      </w:r>
      <w:r w:rsidR="00DB0FAB" w:rsidRPr="00610B1B">
        <w:rPr>
          <w:rFonts w:ascii="Times New Roman" w:hAnsi="Times New Roman" w:cs="Times New Roman"/>
          <w:sz w:val="24"/>
          <w:szCs w:val="24"/>
          <w:lang w:val="bg-BG"/>
        </w:rPr>
        <w:t>нараснало</w:t>
      </w:r>
      <w:r w:rsidR="00DE1E92" w:rsidRPr="00610B1B">
        <w:rPr>
          <w:rFonts w:ascii="Times New Roman" w:hAnsi="Times New Roman" w:cs="Times New Roman"/>
          <w:sz w:val="24"/>
          <w:szCs w:val="24"/>
          <w:lang w:val="bg-BG"/>
        </w:rPr>
        <w:t xml:space="preserve"> от 41% през 2011 г. на около 50% към 19 март 2019 г.</w:t>
      </w:r>
      <w:r w:rsidR="00DE1E92" w:rsidRPr="00610B1B">
        <w:rPr>
          <w:rStyle w:val="FootnoteReference"/>
          <w:rFonts w:ascii="Times New Roman" w:hAnsi="Times New Roman" w:cs="Times New Roman"/>
          <w:sz w:val="24"/>
          <w:szCs w:val="24"/>
          <w:lang w:val="bg-BG"/>
        </w:rPr>
        <w:footnoteReference w:id="5"/>
      </w:r>
      <w:r w:rsidR="00D66FE0" w:rsidRPr="00610B1B">
        <w:rPr>
          <w:rFonts w:ascii="Times New Roman" w:hAnsi="Times New Roman" w:cs="Times New Roman"/>
          <w:sz w:val="24"/>
          <w:szCs w:val="24"/>
          <w:lang w:val="bg-BG"/>
        </w:rPr>
        <w:t xml:space="preserve"> </w:t>
      </w:r>
    </w:p>
    <w:p w14:paraId="02708605" w14:textId="4CFFE941" w:rsidR="00494F47" w:rsidRPr="00610B1B" w:rsidRDefault="00494F47" w:rsidP="00D32D6A">
      <w:pPr>
        <w:spacing w:after="120"/>
        <w:ind w:right="-153"/>
        <w:jc w:val="both"/>
        <w:rPr>
          <w:rFonts w:ascii="Times New Roman" w:eastAsia="Arial Unicode MS" w:hAnsi="Times New Roman" w:cs="Times New Roman"/>
          <w:sz w:val="24"/>
          <w:szCs w:val="24"/>
          <w:lang w:val="bg-BG"/>
        </w:rPr>
      </w:pPr>
      <w:bookmarkStart w:id="7" w:name="_Hlk38386290"/>
      <w:r w:rsidRPr="00610B1B">
        <w:rPr>
          <w:rFonts w:ascii="Times New Roman" w:hAnsi="Times New Roman" w:cs="Times New Roman"/>
          <w:sz w:val="24"/>
          <w:szCs w:val="24"/>
          <w:lang w:val="bg-BG"/>
        </w:rPr>
        <w:t xml:space="preserve">Междуправителствената океанографска комисия към ЮНЕСКО определя </w:t>
      </w:r>
      <w:r w:rsidRPr="00610B1B">
        <w:rPr>
          <w:rFonts w:ascii="Times New Roman" w:eastAsia="Arial Unicode MS" w:hAnsi="Times New Roman" w:cs="Times New Roman"/>
          <w:bCs/>
          <w:sz w:val="24"/>
          <w:szCs w:val="24"/>
          <w:lang w:val="bg-BG"/>
        </w:rPr>
        <w:t>морското пространствено планиране</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като</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„публичен процес за анализ, пространствено и времево разпределени</w:t>
      </w:r>
      <w:r w:rsidR="0075098D" w:rsidRPr="00610B1B">
        <w:rPr>
          <w:rFonts w:ascii="Times New Roman" w:eastAsia="Arial Unicode MS" w:hAnsi="Times New Roman" w:cs="Times New Roman"/>
          <w:sz w:val="24"/>
          <w:szCs w:val="24"/>
          <w:lang w:val="bg-BG"/>
        </w:rPr>
        <w:t>е на човешките дейности в морски</w:t>
      </w:r>
      <w:r w:rsidRPr="00610B1B">
        <w:rPr>
          <w:rFonts w:ascii="Times New Roman" w:eastAsia="Arial Unicode MS" w:hAnsi="Times New Roman" w:cs="Times New Roman"/>
          <w:sz w:val="24"/>
          <w:szCs w:val="24"/>
          <w:lang w:val="bg-BG"/>
        </w:rPr>
        <w:t>т</w:t>
      </w:r>
      <w:r w:rsidR="0075098D" w:rsidRPr="00610B1B">
        <w:rPr>
          <w:rFonts w:ascii="Times New Roman" w:eastAsia="Arial Unicode MS" w:hAnsi="Times New Roman" w:cs="Times New Roman"/>
          <w:sz w:val="24"/>
          <w:szCs w:val="24"/>
          <w:lang w:val="bg-BG"/>
        </w:rPr>
        <w:t>е</w:t>
      </w:r>
      <w:r w:rsidRPr="00610B1B">
        <w:rPr>
          <w:rFonts w:ascii="Times New Roman" w:eastAsia="Arial Unicode MS" w:hAnsi="Times New Roman" w:cs="Times New Roman"/>
          <w:sz w:val="24"/>
          <w:szCs w:val="24"/>
          <w:lang w:val="bg-BG"/>
        </w:rPr>
        <w:t xml:space="preserve"> пространств</w:t>
      </w:r>
      <w:r w:rsidR="0075098D" w:rsidRPr="00610B1B">
        <w:rPr>
          <w:rFonts w:ascii="Times New Roman" w:eastAsia="Arial Unicode MS" w:hAnsi="Times New Roman" w:cs="Times New Roman"/>
          <w:sz w:val="24"/>
          <w:szCs w:val="24"/>
          <w:lang w:val="bg-BG"/>
        </w:rPr>
        <w:t>а</w:t>
      </w:r>
      <w:r w:rsidRPr="00610B1B">
        <w:rPr>
          <w:rFonts w:ascii="Times New Roman" w:eastAsia="Arial Unicode MS" w:hAnsi="Times New Roman" w:cs="Times New Roman"/>
          <w:sz w:val="24"/>
          <w:szCs w:val="24"/>
          <w:lang w:val="bg-BG"/>
        </w:rPr>
        <w:t xml:space="preserve"> за постигане на екологичните, икономическите и социалните цели на политическия дневен ред.“</w:t>
      </w:r>
      <w:r w:rsidRPr="00610B1B">
        <w:rPr>
          <w:rFonts w:ascii="Times New Roman" w:eastAsia="Arial Unicode MS" w:hAnsi="Times New Roman" w:cs="Times New Roman"/>
          <w:sz w:val="24"/>
          <w:szCs w:val="24"/>
          <w:vertAlign w:val="superscript"/>
          <w:lang w:val="bg-BG"/>
        </w:rPr>
        <w:footnoteReference w:id="6"/>
      </w:r>
      <w:r w:rsidRPr="00610B1B">
        <w:rPr>
          <w:rFonts w:ascii="Times New Roman" w:eastAsia="Arial Unicode MS" w:hAnsi="Times New Roman" w:cs="Times New Roman"/>
          <w:sz w:val="24"/>
          <w:szCs w:val="24"/>
          <w:lang w:val="bg-BG"/>
        </w:rPr>
        <w:t xml:space="preserve"> </w:t>
      </w:r>
    </w:p>
    <w:p w14:paraId="186DFAAC" w14:textId="747CE95B" w:rsidR="00494F47" w:rsidRPr="00610B1B" w:rsidRDefault="00725023" w:rsidP="00D32D6A">
      <w:pPr>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Съгласно</w:t>
      </w:r>
      <w:r w:rsidR="00494F47" w:rsidRPr="00610B1B">
        <w:rPr>
          <w:rFonts w:ascii="Times New Roman" w:eastAsia="Arial Unicode MS" w:hAnsi="Times New Roman" w:cs="Times New Roman"/>
          <w:sz w:val="24"/>
          <w:szCs w:val="24"/>
          <w:lang w:val="bg-BG"/>
        </w:rPr>
        <w:t xml:space="preserve"> Интегрираната морска политика </w:t>
      </w:r>
      <w:r w:rsidRPr="00610B1B">
        <w:rPr>
          <w:rFonts w:ascii="Times New Roman" w:eastAsia="Arial Unicode MS" w:hAnsi="Times New Roman" w:cs="Times New Roman"/>
          <w:sz w:val="24"/>
          <w:szCs w:val="24"/>
          <w:lang w:val="bg-BG"/>
        </w:rPr>
        <w:t xml:space="preserve">на </w:t>
      </w:r>
      <w:r w:rsidR="00494F47" w:rsidRPr="00610B1B">
        <w:rPr>
          <w:rFonts w:ascii="Times New Roman" w:eastAsia="Arial Unicode MS" w:hAnsi="Times New Roman" w:cs="Times New Roman"/>
          <w:sz w:val="24"/>
          <w:szCs w:val="24"/>
          <w:lang w:val="bg-BG"/>
        </w:rPr>
        <w:t xml:space="preserve">Европейския съюз морското пространствено планиране </w:t>
      </w:r>
      <w:r w:rsidRPr="00610B1B">
        <w:rPr>
          <w:rFonts w:ascii="Times New Roman" w:eastAsia="Arial Unicode MS" w:hAnsi="Times New Roman" w:cs="Times New Roman"/>
          <w:sz w:val="24"/>
          <w:szCs w:val="24"/>
          <w:lang w:val="bg-BG"/>
        </w:rPr>
        <w:t>е</w:t>
      </w:r>
      <w:r w:rsidR="00494F47" w:rsidRPr="00610B1B">
        <w:rPr>
          <w:rFonts w:ascii="Times New Roman" w:eastAsia="Arial Unicode MS" w:hAnsi="Times New Roman" w:cs="Times New Roman"/>
          <w:sz w:val="24"/>
          <w:szCs w:val="24"/>
          <w:lang w:val="bg-BG"/>
        </w:rPr>
        <w:t xml:space="preserve"> „трансверсален политически инструмент, позволяващ на публичните органи и заинтересованите страни да прилагат координиран, интегриран и трансграничен подход“. Очаква се прилагането на екосистемен подход да допринесе „за насърчаване на устойчивото развитие и растеж на морските и крайбрежните икономики и за устойчивото използване на морските и крайбрежните ресурси“.</w:t>
      </w:r>
      <w:r w:rsidR="00494F47" w:rsidRPr="00610B1B">
        <w:rPr>
          <w:rFonts w:ascii="Times New Roman" w:eastAsia="Arial Unicode MS" w:hAnsi="Times New Roman" w:cs="Times New Roman"/>
          <w:sz w:val="24"/>
          <w:szCs w:val="24"/>
          <w:vertAlign w:val="superscript"/>
          <w:lang w:val="bg-BG"/>
        </w:rPr>
        <w:footnoteReference w:id="7"/>
      </w:r>
    </w:p>
    <w:p w14:paraId="119FD2EC" w14:textId="0A50A18E" w:rsidR="00761260" w:rsidRPr="00610B1B" w:rsidRDefault="00494F4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Разработването на Морския пространствен план на Република </w:t>
      </w:r>
      <w:r w:rsidR="00C002BA" w:rsidRPr="00610B1B">
        <w:rPr>
          <w:rFonts w:ascii="Times New Roman" w:hAnsi="Times New Roman" w:cs="Times New Roman"/>
          <w:sz w:val="24"/>
          <w:szCs w:val="24"/>
          <w:lang w:val="bg-BG"/>
        </w:rPr>
        <w:t xml:space="preserve">България 2021–2035 г. </w:t>
      </w:r>
      <w:r w:rsidRPr="00610B1B">
        <w:rPr>
          <w:rFonts w:ascii="Times New Roman" w:hAnsi="Times New Roman" w:cs="Times New Roman"/>
          <w:sz w:val="24"/>
          <w:szCs w:val="24"/>
          <w:lang w:val="bg-BG"/>
        </w:rPr>
        <w:t xml:space="preserve">отговаря на </w:t>
      </w:r>
      <w:r w:rsidR="00C002BA" w:rsidRPr="00610B1B">
        <w:rPr>
          <w:rFonts w:ascii="Times New Roman" w:hAnsi="Times New Roman" w:cs="Times New Roman"/>
          <w:sz w:val="24"/>
          <w:szCs w:val="24"/>
          <w:lang w:val="bg-BG"/>
        </w:rPr>
        <w:t>изискван</w:t>
      </w:r>
      <w:r w:rsidRPr="00610B1B">
        <w:rPr>
          <w:rFonts w:ascii="Times New Roman" w:hAnsi="Times New Roman" w:cs="Times New Roman"/>
          <w:sz w:val="24"/>
          <w:szCs w:val="24"/>
          <w:lang w:val="bg-BG"/>
        </w:rPr>
        <w:t>ето</w:t>
      </w:r>
      <w:r w:rsidR="00C002BA" w:rsidRPr="00610B1B">
        <w:rPr>
          <w:rFonts w:ascii="Times New Roman" w:hAnsi="Times New Roman" w:cs="Times New Roman"/>
          <w:sz w:val="24"/>
          <w:szCs w:val="24"/>
          <w:lang w:val="bg-BG"/>
        </w:rPr>
        <w:t xml:space="preserve"> на </w:t>
      </w:r>
      <w:r w:rsidR="006575D8" w:rsidRPr="00610B1B">
        <w:rPr>
          <w:rFonts w:ascii="Times New Roman" w:hAnsi="Times New Roman" w:cs="Times New Roman"/>
          <w:sz w:val="24"/>
          <w:szCs w:val="24"/>
          <w:lang w:val="bg-BG"/>
        </w:rPr>
        <w:t>Директива 2014/89/ЕС на Европейския Парламент и на Съвета, за установяване на рамка на пространствено морско планиране, всяка държава членка на ЕС да представи пред Европейската комисия одобрен план до края на м. март 20</w:t>
      </w:r>
      <w:r w:rsidRPr="00610B1B">
        <w:rPr>
          <w:rFonts w:ascii="Times New Roman" w:hAnsi="Times New Roman" w:cs="Times New Roman"/>
          <w:sz w:val="24"/>
          <w:szCs w:val="24"/>
          <w:lang w:val="bg-BG"/>
        </w:rPr>
        <w:t>21</w:t>
      </w:r>
      <w:r w:rsidR="006575D8" w:rsidRPr="00610B1B">
        <w:rPr>
          <w:rFonts w:ascii="Times New Roman" w:hAnsi="Times New Roman" w:cs="Times New Roman"/>
          <w:sz w:val="24"/>
          <w:szCs w:val="24"/>
          <w:lang w:val="bg-BG"/>
        </w:rPr>
        <w:t xml:space="preserve"> г.</w:t>
      </w:r>
      <w:r w:rsidR="00D66FE0" w:rsidRPr="00610B1B">
        <w:rPr>
          <w:rFonts w:ascii="Times New Roman" w:hAnsi="Times New Roman" w:cs="Times New Roman"/>
          <w:sz w:val="24"/>
          <w:szCs w:val="24"/>
          <w:lang w:val="bg-BG"/>
        </w:rPr>
        <w:t xml:space="preserve"> </w:t>
      </w:r>
    </w:p>
    <w:p w14:paraId="39F26A9C" w14:textId="77777777" w:rsidR="000E7C6A" w:rsidRPr="00610B1B" w:rsidRDefault="000E7C6A" w:rsidP="00D32D6A">
      <w:pPr>
        <w:spacing w:after="120"/>
        <w:ind w:right="-153"/>
        <w:jc w:val="both"/>
        <w:rPr>
          <w:rFonts w:ascii="Times New Roman" w:hAnsi="Times New Roman" w:cs="Times New Roman"/>
          <w:sz w:val="24"/>
          <w:szCs w:val="24"/>
          <w:lang w:val="bg-BG"/>
        </w:rPr>
      </w:pPr>
    </w:p>
    <w:p w14:paraId="3B6B6DF1" w14:textId="35938AFD" w:rsidR="00062DA1" w:rsidRPr="00610B1B" w:rsidRDefault="00725023" w:rsidP="00D32D6A">
      <w:pPr>
        <w:pStyle w:val="Heading2"/>
        <w:spacing w:before="0" w:line="276" w:lineRule="auto"/>
        <w:ind w:right="-153"/>
        <w:rPr>
          <w:rFonts w:cs="Times New Roman"/>
        </w:rPr>
      </w:pPr>
      <w:bookmarkStart w:id="8" w:name="_Toc83391351"/>
      <w:bookmarkEnd w:id="7"/>
      <w:r w:rsidRPr="00610B1B">
        <w:rPr>
          <w:rFonts w:cs="Times New Roman"/>
        </w:rPr>
        <w:t>1.1</w:t>
      </w:r>
      <w:r w:rsidR="001D3664" w:rsidRPr="00610B1B">
        <w:rPr>
          <w:rFonts w:cs="Times New Roman"/>
        </w:rPr>
        <w:t>.</w:t>
      </w:r>
      <w:r w:rsidR="000F1A0C" w:rsidRPr="00610B1B">
        <w:rPr>
          <w:rFonts w:cs="Times New Roman"/>
        </w:rPr>
        <w:t xml:space="preserve"> Обща рамка и връзка с други документи</w:t>
      </w:r>
      <w:bookmarkEnd w:id="8"/>
    </w:p>
    <w:p w14:paraId="6DAE0F97" w14:textId="350AF03A" w:rsidR="00F373EE" w:rsidRPr="00610B1B" w:rsidRDefault="001D3664" w:rsidP="00D32D6A">
      <w:pPr>
        <w:pStyle w:val="Heading3"/>
        <w:spacing w:before="0" w:line="276" w:lineRule="auto"/>
        <w:ind w:right="-153"/>
        <w:rPr>
          <w:rFonts w:cs="Times New Roman"/>
        </w:rPr>
      </w:pPr>
      <w:bookmarkStart w:id="9" w:name="_Toc83391352"/>
      <w:r w:rsidRPr="00610B1B">
        <w:rPr>
          <w:rFonts w:cs="Times New Roman"/>
        </w:rPr>
        <w:t>1.</w:t>
      </w:r>
      <w:r w:rsidR="00725023" w:rsidRPr="00610B1B">
        <w:rPr>
          <w:rFonts w:cs="Times New Roman"/>
        </w:rPr>
        <w:t>1</w:t>
      </w:r>
      <w:r w:rsidRPr="00610B1B">
        <w:rPr>
          <w:rFonts w:cs="Times New Roman"/>
        </w:rPr>
        <w:t xml:space="preserve">.1. </w:t>
      </w:r>
      <w:r w:rsidR="00F373EE" w:rsidRPr="00610B1B">
        <w:rPr>
          <w:rFonts w:cs="Times New Roman"/>
        </w:rPr>
        <w:t>Методологична рамка</w:t>
      </w:r>
      <w:bookmarkEnd w:id="9"/>
    </w:p>
    <w:p w14:paraId="30E2A921" w14:textId="499C6E81" w:rsidR="00F373EE" w:rsidRPr="00610B1B" w:rsidRDefault="00F373EE"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Методологичната рамка на Морския пространствен план на Република България се определя от системата от подходи</w:t>
      </w:r>
      <w:r w:rsidR="00C306D4" w:rsidRPr="00610B1B">
        <w:rPr>
          <w:rFonts w:ascii="Times New Roman" w:hAnsi="Times New Roman" w:cs="Times New Roman"/>
          <w:bCs/>
          <w:sz w:val="24"/>
          <w:szCs w:val="24"/>
          <w:lang w:val="bg-BG"/>
        </w:rPr>
        <w:t>, принципи</w:t>
      </w:r>
      <w:r w:rsidRPr="00610B1B">
        <w:rPr>
          <w:rFonts w:ascii="Times New Roman" w:hAnsi="Times New Roman" w:cs="Times New Roman"/>
          <w:bCs/>
          <w:sz w:val="24"/>
          <w:szCs w:val="24"/>
          <w:lang w:val="bg-BG"/>
        </w:rPr>
        <w:t xml:space="preserve"> и методи, прилагани в процеса на разработване, консултиране, одобряване</w:t>
      </w:r>
      <w:r w:rsidR="00725023"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наблюдение </w:t>
      </w:r>
      <w:r w:rsidR="00725023" w:rsidRPr="00610B1B">
        <w:rPr>
          <w:rFonts w:ascii="Times New Roman" w:hAnsi="Times New Roman" w:cs="Times New Roman"/>
          <w:bCs/>
          <w:sz w:val="24"/>
          <w:szCs w:val="24"/>
          <w:lang w:val="bg-BG"/>
        </w:rPr>
        <w:t xml:space="preserve">и </w:t>
      </w:r>
      <w:r w:rsidRPr="00610B1B">
        <w:rPr>
          <w:rFonts w:ascii="Times New Roman" w:hAnsi="Times New Roman" w:cs="Times New Roman"/>
          <w:bCs/>
          <w:sz w:val="24"/>
          <w:szCs w:val="24"/>
          <w:lang w:val="bg-BG"/>
        </w:rPr>
        <w:t>контрол върху прилагането на плана.</w:t>
      </w:r>
      <w:r w:rsidR="00D66FE0" w:rsidRPr="00610B1B">
        <w:rPr>
          <w:rFonts w:ascii="Times New Roman" w:hAnsi="Times New Roman" w:cs="Times New Roman"/>
          <w:bCs/>
          <w:sz w:val="24"/>
          <w:szCs w:val="24"/>
          <w:lang w:val="bg-BG"/>
        </w:rPr>
        <w:t xml:space="preserve"> </w:t>
      </w:r>
    </w:p>
    <w:p w14:paraId="3D53BC26" w14:textId="1A2D429D" w:rsidR="00A007D8" w:rsidRPr="00610B1B" w:rsidRDefault="00C306D4"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Екосистемният подход</w:t>
      </w:r>
      <w:r w:rsidRPr="00610B1B">
        <w:rPr>
          <w:rFonts w:ascii="Times New Roman" w:hAnsi="Times New Roman" w:cs="Times New Roman"/>
          <w:bCs/>
          <w:sz w:val="24"/>
          <w:szCs w:val="24"/>
          <w:lang w:val="bg-BG"/>
        </w:rPr>
        <w:t xml:space="preserve"> е в основата на морското </w:t>
      </w:r>
      <w:r w:rsidR="009D7952" w:rsidRPr="00610B1B">
        <w:rPr>
          <w:rFonts w:ascii="Times New Roman" w:hAnsi="Times New Roman" w:cs="Times New Roman"/>
          <w:bCs/>
          <w:sz w:val="24"/>
          <w:szCs w:val="24"/>
          <w:lang w:val="bg-BG"/>
        </w:rPr>
        <w:t>пространствено</w:t>
      </w:r>
      <w:r w:rsidRPr="00610B1B">
        <w:rPr>
          <w:rFonts w:ascii="Times New Roman" w:hAnsi="Times New Roman" w:cs="Times New Roman"/>
          <w:bCs/>
          <w:sz w:val="24"/>
          <w:szCs w:val="24"/>
          <w:lang w:val="bg-BG"/>
        </w:rPr>
        <w:t xml:space="preserve"> планиране, тъй като то трябва да бъде съобразено със състоянието на морските екосистеми. </w:t>
      </w:r>
      <w:r w:rsidR="000F1A0C" w:rsidRPr="00610B1B">
        <w:rPr>
          <w:rFonts w:ascii="Times New Roman" w:hAnsi="Times New Roman" w:cs="Times New Roman"/>
          <w:bCs/>
          <w:sz w:val="24"/>
          <w:szCs w:val="24"/>
          <w:lang w:val="bg-BG"/>
        </w:rPr>
        <w:t>Подходът</w:t>
      </w:r>
      <w:r w:rsidR="00A007D8" w:rsidRPr="00610B1B">
        <w:rPr>
          <w:rFonts w:ascii="Times New Roman" w:hAnsi="Times New Roman" w:cs="Times New Roman"/>
          <w:bCs/>
          <w:sz w:val="24"/>
          <w:szCs w:val="24"/>
          <w:lang w:val="bg-BG"/>
        </w:rPr>
        <w:t xml:space="preserve"> се свързва с Конвенцията за биологичното разнообразие (1992 г.) и се тълкува като „стратегия за интегрирано управление на земята, водите и живите ресурси, която насърчава опазването </w:t>
      </w:r>
      <w:r w:rsidR="00A007D8" w:rsidRPr="00610B1B">
        <w:rPr>
          <w:rFonts w:ascii="Times New Roman" w:hAnsi="Times New Roman" w:cs="Times New Roman"/>
          <w:bCs/>
          <w:sz w:val="24"/>
          <w:szCs w:val="24"/>
          <w:lang w:val="bg-BG"/>
        </w:rPr>
        <w:lastRenderedPageBreak/>
        <w:t>и устойчивото използване по справедлив начин“.</w:t>
      </w:r>
      <w:r w:rsidR="00A007D8" w:rsidRPr="00610B1B">
        <w:rPr>
          <w:rStyle w:val="FootnoteReference"/>
          <w:rFonts w:ascii="Times New Roman" w:hAnsi="Times New Roman" w:cs="Times New Roman"/>
          <w:bCs/>
          <w:sz w:val="24"/>
          <w:szCs w:val="24"/>
          <w:lang w:val="bg-BG"/>
        </w:rPr>
        <w:footnoteReference w:id="8"/>
      </w:r>
      <w:r w:rsidR="00A007D8" w:rsidRPr="00610B1B">
        <w:rPr>
          <w:rFonts w:ascii="Times New Roman" w:hAnsi="Times New Roman" w:cs="Times New Roman"/>
          <w:bCs/>
          <w:sz w:val="24"/>
          <w:szCs w:val="24"/>
          <w:lang w:val="bg-BG"/>
        </w:rPr>
        <w:t xml:space="preserve"> </w:t>
      </w:r>
      <w:r w:rsidR="00453CE0" w:rsidRPr="00610B1B">
        <w:rPr>
          <w:rFonts w:ascii="Times New Roman" w:eastAsia="Calibri" w:hAnsi="Times New Roman" w:cs="Times New Roman"/>
          <w:bCs/>
          <w:sz w:val="24"/>
          <w:szCs w:val="24"/>
          <w:lang w:val="bg-BG"/>
        </w:rPr>
        <w:t xml:space="preserve">Управлението </w:t>
      </w:r>
      <w:r w:rsidR="00A007D8" w:rsidRPr="00610B1B">
        <w:rPr>
          <w:rFonts w:ascii="Times New Roman" w:eastAsia="Calibri" w:hAnsi="Times New Roman" w:cs="Times New Roman"/>
          <w:bCs/>
          <w:sz w:val="24"/>
          <w:szCs w:val="24"/>
          <w:lang w:val="bg-BG"/>
        </w:rPr>
        <w:t>на</w:t>
      </w:r>
      <w:r w:rsidR="00D66FE0" w:rsidRPr="00610B1B">
        <w:rPr>
          <w:rFonts w:ascii="Times New Roman" w:eastAsia="Calibri" w:hAnsi="Times New Roman" w:cs="Times New Roman"/>
          <w:bCs/>
          <w:sz w:val="24"/>
          <w:szCs w:val="24"/>
          <w:lang w:val="bg-BG"/>
        </w:rPr>
        <w:t xml:space="preserve"> </w:t>
      </w:r>
      <w:r w:rsidR="00A007D8" w:rsidRPr="00610B1B">
        <w:rPr>
          <w:rFonts w:ascii="Times New Roman" w:eastAsia="Calibri" w:hAnsi="Times New Roman" w:cs="Times New Roman"/>
          <w:bCs/>
          <w:sz w:val="24"/>
          <w:szCs w:val="24"/>
          <w:lang w:val="bg-BG"/>
        </w:rPr>
        <w:t xml:space="preserve">човешките дейности на базата на екосистемния подход гарантира запазване на натиска от </w:t>
      </w:r>
      <w:r w:rsidR="00453CE0" w:rsidRPr="00610B1B">
        <w:rPr>
          <w:rFonts w:ascii="Times New Roman" w:eastAsia="Calibri" w:hAnsi="Times New Roman" w:cs="Times New Roman"/>
          <w:bCs/>
          <w:sz w:val="24"/>
          <w:szCs w:val="24"/>
          <w:lang w:val="bg-BG"/>
        </w:rPr>
        <w:t xml:space="preserve">тези </w:t>
      </w:r>
      <w:r w:rsidR="00A007D8" w:rsidRPr="00610B1B">
        <w:rPr>
          <w:rFonts w:ascii="Times New Roman" w:eastAsia="Calibri" w:hAnsi="Times New Roman" w:cs="Times New Roman"/>
          <w:bCs/>
          <w:sz w:val="24"/>
          <w:szCs w:val="24"/>
          <w:lang w:val="bg-BG"/>
        </w:rPr>
        <w:t>дейност</w:t>
      </w:r>
      <w:r w:rsidR="00453CE0" w:rsidRPr="00610B1B">
        <w:rPr>
          <w:rFonts w:ascii="Times New Roman" w:eastAsia="Calibri" w:hAnsi="Times New Roman" w:cs="Times New Roman"/>
          <w:bCs/>
          <w:sz w:val="24"/>
          <w:szCs w:val="24"/>
          <w:lang w:val="bg-BG"/>
        </w:rPr>
        <w:t>и</w:t>
      </w:r>
      <w:r w:rsidR="00A007D8" w:rsidRPr="00610B1B">
        <w:rPr>
          <w:rFonts w:ascii="Times New Roman" w:eastAsia="Calibri" w:hAnsi="Times New Roman" w:cs="Times New Roman"/>
          <w:bCs/>
          <w:sz w:val="24"/>
          <w:szCs w:val="24"/>
          <w:lang w:val="bg-BG"/>
        </w:rPr>
        <w:t xml:space="preserve"> в „граници</w:t>
      </w:r>
      <w:r w:rsidR="00453CE0" w:rsidRPr="00610B1B">
        <w:rPr>
          <w:rFonts w:ascii="Times New Roman" w:eastAsia="Calibri" w:hAnsi="Times New Roman" w:cs="Times New Roman"/>
          <w:bCs/>
          <w:sz w:val="24"/>
          <w:szCs w:val="24"/>
          <w:lang w:val="bg-BG"/>
        </w:rPr>
        <w:t>те</w:t>
      </w:r>
      <w:r w:rsidR="00A007D8" w:rsidRPr="00610B1B">
        <w:rPr>
          <w:rFonts w:ascii="Times New Roman" w:eastAsia="Calibri" w:hAnsi="Times New Roman" w:cs="Times New Roman"/>
          <w:bCs/>
          <w:sz w:val="24"/>
          <w:szCs w:val="24"/>
          <w:lang w:val="bg-BG"/>
        </w:rPr>
        <w:t xml:space="preserve">, съвместими с постигането на добро състояние на околната среда“, </w:t>
      </w:r>
      <w:r w:rsidR="00453CE0" w:rsidRPr="00610B1B">
        <w:rPr>
          <w:rFonts w:ascii="Times New Roman" w:eastAsia="Calibri" w:hAnsi="Times New Roman" w:cs="Times New Roman"/>
          <w:bCs/>
          <w:sz w:val="24"/>
          <w:szCs w:val="24"/>
          <w:lang w:val="bg-BG"/>
        </w:rPr>
        <w:t xml:space="preserve">не </w:t>
      </w:r>
      <w:r w:rsidR="00A007D8" w:rsidRPr="00610B1B">
        <w:rPr>
          <w:rFonts w:ascii="Times New Roman" w:eastAsia="Calibri" w:hAnsi="Times New Roman" w:cs="Times New Roman"/>
          <w:bCs/>
          <w:sz w:val="24"/>
          <w:szCs w:val="24"/>
          <w:lang w:val="bg-BG"/>
        </w:rPr>
        <w:t>застрашава способността на морските екосистеми да се справят с промени</w:t>
      </w:r>
      <w:r w:rsidR="00453CE0" w:rsidRPr="00610B1B">
        <w:rPr>
          <w:rFonts w:ascii="Times New Roman" w:eastAsia="Calibri" w:hAnsi="Times New Roman" w:cs="Times New Roman"/>
          <w:bCs/>
          <w:sz w:val="24"/>
          <w:szCs w:val="24"/>
          <w:lang w:val="bg-BG"/>
        </w:rPr>
        <w:t>те</w:t>
      </w:r>
      <w:r w:rsidR="00A007D8" w:rsidRPr="00610B1B">
        <w:rPr>
          <w:rFonts w:ascii="Times New Roman" w:eastAsia="Calibri" w:hAnsi="Times New Roman" w:cs="Times New Roman"/>
          <w:bCs/>
          <w:sz w:val="24"/>
          <w:szCs w:val="24"/>
          <w:lang w:val="bg-BG"/>
        </w:rPr>
        <w:t xml:space="preserve">, </w:t>
      </w:r>
      <w:r w:rsidR="00453CE0" w:rsidRPr="00610B1B">
        <w:rPr>
          <w:rFonts w:ascii="Times New Roman" w:eastAsia="Calibri" w:hAnsi="Times New Roman" w:cs="Times New Roman"/>
          <w:bCs/>
          <w:sz w:val="24"/>
          <w:szCs w:val="24"/>
          <w:lang w:val="bg-BG"/>
        </w:rPr>
        <w:t>и</w:t>
      </w:r>
      <w:r w:rsidR="00A007D8" w:rsidRPr="00610B1B">
        <w:rPr>
          <w:rFonts w:ascii="Times New Roman" w:eastAsia="Calibri" w:hAnsi="Times New Roman" w:cs="Times New Roman"/>
          <w:bCs/>
          <w:sz w:val="24"/>
          <w:szCs w:val="24"/>
          <w:lang w:val="bg-BG"/>
        </w:rPr>
        <w:t xml:space="preserve"> гарантира устойчиво използване на морските продукти и услуги от сегашното и от бъдещите поколения“</w:t>
      </w:r>
      <w:r w:rsidR="00A007D8" w:rsidRPr="00610B1B">
        <w:rPr>
          <w:rFonts w:ascii="Times New Roman" w:eastAsia="Calibri" w:hAnsi="Times New Roman" w:cs="Times New Roman"/>
          <w:bCs/>
          <w:sz w:val="24"/>
          <w:szCs w:val="24"/>
          <w:vertAlign w:val="superscript"/>
          <w:lang w:val="bg-BG"/>
        </w:rPr>
        <w:footnoteReference w:id="9"/>
      </w:r>
      <w:r w:rsidR="00A007D8" w:rsidRPr="00610B1B">
        <w:rPr>
          <w:rFonts w:ascii="Times New Roman" w:eastAsia="Calibri" w:hAnsi="Times New Roman" w:cs="Times New Roman"/>
          <w:bCs/>
          <w:sz w:val="24"/>
          <w:szCs w:val="24"/>
          <w:lang w:val="bg-BG"/>
        </w:rPr>
        <w:t>.</w:t>
      </w:r>
    </w:p>
    <w:p w14:paraId="5065C1B0" w14:textId="7CFD50F0" w:rsidR="00A007D8" w:rsidRPr="00610B1B" w:rsidRDefault="00A007D8"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Интегрираният подход</w:t>
      </w:r>
      <w:r w:rsidRPr="00610B1B">
        <w:rPr>
          <w:rFonts w:ascii="Times New Roman" w:eastAsia="Calibri" w:hAnsi="Times New Roman" w:cs="Times New Roman"/>
          <w:bCs/>
          <w:sz w:val="24"/>
          <w:szCs w:val="24"/>
          <w:lang w:val="bg-BG"/>
        </w:rPr>
        <w:t>, заедно с холистичния, обединя</w:t>
      </w:r>
      <w:r w:rsidR="00453CE0" w:rsidRPr="00610B1B">
        <w:rPr>
          <w:rFonts w:ascii="Times New Roman" w:eastAsia="Calibri" w:hAnsi="Times New Roman" w:cs="Times New Roman"/>
          <w:bCs/>
          <w:sz w:val="24"/>
          <w:szCs w:val="24"/>
          <w:lang w:val="bg-BG"/>
        </w:rPr>
        <w:t>ва</w:t>
      </w:r>
      <w:r w:rsidRPr="00610B1B">
        <w:rPr>
          <w:rFonts w:ascii="Times New Roman" w:eastAsia="Calibri" w:hAnsi="Times New Roman" w:cs="Times New Roman"/>
          <w:bCs/>
          <w:sz w:val="24"/>
          <w:szCs w:val="24"/>
          <w:lang w:val="bg-BG"/>
        </w:rPr>
        <w:t xml:space="preserve">т участниците в процеса на морското пространствено планиране – от една страна участниците в разработването и прилагането на политиките за морските пространства, а от друга, всички останали заинтересовани страни, представители на местните власти, </w:t>
      </w:r>
      <w:r w:rsidR="009D7952" w:rsidRPr="00610B1B">
        <w:rPr>
          <w:rFonts w:ascii="Times New Roman" w:eastAsia="Calibri" w:hAnsi="Times New Roman" w:cs="Times New Roman"/>
          <w:bCs/>
          <w:sz w:val="24"/>
          <w:szCs w:val="24"/>
          <w:lang w:val="bg-BG"/>
        </w:rPr>
        <w:t>бизнеса</w:t>
      </w:r>
      <w:r w:rsidRPr="00610B1B">
        <w:rPr>
          <w:rFonts w:ascii="Times New Roman" w:eastAsia="Calibri" w:hAnsi="Times New Roman" w:cs="Times New Roman"/>
          <w:bCs/>
          <w:sz w:val="24"/>
          <w:szCs w:val="24"/>
          <w:lang w:val="bg-BG"/>
        </w:rPr>
        <w:t xml:space="preserve"> и общностите. </w:t>
      </w:r>
      <w:r w:rsidR="00A21981" w:rsidRPr="00610B1B">
        <w:rPr>
          <w:rFonts w:ascii="Times New Roman" w:eastAsia="Calibri" w:hAnsi="Times New Roman" w:cs="Times New Roman"/>
          <w:bCs/>
          <w:sz w:val="24"/>
          <w:szCs w:val="24"/>
          <w:lang w:val="bg-BG"/>
        </w:rPr>
        <w:t>Подобно на териториалното, м</w:t>
      </w:r>
      <w:r w:rsidRPr="00610B1B">
        <w:rPr>
          <w:rFonts w:ascii="Times New Roman" w:eastAsia="Calibri" w:hAnsi="Times New Roman" w:cs="Times New Roman"/>
          <w:bCs/>
          <w:sz w:val="24"/>
          <w:szCs w:val="24"/>
          <w:lang w:val="bg-BG"/>
        </w:rPr>
        <w:t>орското пространствено планиране интегрира секторни</w:t>
      </w:r>
      <w:r w:rsidR="00A21981" w:rsidRPr="00610B1B">
        <w:rPr>
          <w:rFonts w:ascii="Times New Roman" w:eastAsia="Calibri" w:hAnsi="Times New Roman" w:cs="Times New Roman"/>
          <w:bCs/>
          <w:sz w:val="24"/>
          <w:szCs w:val="24"/>
          <w:lang w:val="bg-BG"/>
        </w:rPr>
        <w:t>те</w:t>
      </w:r>
      <w:r w:rsidRPr="00610B1B">
        <w:rPr>
          <w:rFonts w:ascii="Times New Roman" w:eastAsia="Calibri" w:hAnsi="Times New Roman" w:cs="Times New Roman"/>
          <w:bCs/>
          <w:sz w:val="24"/>
          <w:szCs w:val="24"/>
          <w:lang w:val="bg-BG"/>
        </w:rPr>
        <w:t xml:space="preserve"> политики и техните </w:t>
      </w:r>
      <w:r w:rsidR="00453CE0" w:rsidRPr="00610B1B">
        <w:rPr>
          <w:rFonts w:ascii="Times New Roman" w:eastAsia="Calibri" w:hAnsi="Times New Roman" w:cs="Times New Roman"/>
          <w:bCs/>
          <w:sz w:val="24"/>
          <w:szCs w:val="24"/>
          <w:lang w:val="bg-BG"/>
        </w:rPr>
        <w:t xml:space="preserve">пространствени </w:t>
      </w:r>
      <w:r w:rsidRPr="00610B1B">
        <w:rPr>
          <w:rFonts w:ascii="Times New Roman" w:eastAsia="Calibri" w:hAnsi="Times New Roman" w:cs="Times New Roman"/>
          <w:bCs/>
          <w:sz w:val="24"/>
          <w:szCs w:val="24"/>
          <w:lang w:val="bg-BG"/>
        </w:rPr>
        <w:t>измерения, създава платформа за коопериране и координиране на секторните приоритети и действия за постиг</w:t>
      </w:r>
      <w:r w:rsidR="00453CE0" w:rsidRPr="00610B1B">
        <w:rPr>
          <w:rFonts w:ascii="Times New Roman" w:eastAsia="Calibri" w:hAnsi="Times New Roman" w:cs="Times New Roman"/>
          <w:bCs/>
          <w:sz w:val="24"/>
          <w:szCs w:val="24"/>
          <w:lang w:val="bg-BG"/>
        </w:rPr>
        <w:t>а</w:t>
      </w:r>
      <w:r w:rsidRPr="00610B1B">
        <w:rPr>
          <w:rFonts w:ascii="Times New Roman" w:eastAsia="Calibri" w:hAnsi="Times New Roman" w:cs="Times New Roman"/>
          <w:bCs/>
          <w:sz w:val="24"/>
          <w:szCs w:val="24"/>
          <w:lang w:val="bg-BG"/>
        </w:rPr>
        <w:t xml:space="preserve">не </w:t>
      </w:r>
      <w:r w:rsidR="00453CE0" w:rsidRPr="00610B1B">
        <w:rPr>
          <w:rFonts w:ascii="Times New Roman" w:eastAsia="Calibri" w:hAnsi="Times New Roman" w:cs="Times New Roman"/>
          <w:bCs/>
          <w:sz w:val="24"/>
          <w:szCs w:val="24"/>
          <w:lang w:val="bg-BG"/>
        </w:rPr>
        <w:t xml:space="preserve">на </w:t>
      </w:r>
      <w:r w:rsidRPr="00610B1B">
        <w:rPr>
          <w:rFonts w:ascii="Times New Roman" w:eastAsia="Calibri" w:hAnsi="Times New Roman" w:cs="Times New Roman"/>
          <w:bCs/>
          <w:sz w:val="24"/>
          <w:szCs w:val="24"/>
          <w:lang w:val="bg-BG"/>
        </w:rPr>
        <w:t>по-значителен синергичен ефект. Интегрираният подход подобр</w:t>
      </w:r>
      <w:r w:rsidR="00A21981" w:rsidRPr="00610B1B">
        <w:rPr>
          <w:rFonts w:ascii="Times New Roman" w:eastAsia="Calibri" w:hAnsi="Times New Roman" w:cs="Times New Roman"/>
          <w:bCs/>
          <w:sz w:val="24"/>
          <w:szCs w:val="24"/>
          <w:lang w:val="bg-BG"/>
        </w:rPr>
        <w:t xml:space="preserve">ява </w:t>
      </w:r>
      <w:r w:rsidRPr="00610B1B">
        <w:rPr>
          <w:rFonts w:ascii="Times New Roman" w:eastAsia="Calibri" w:hAnsi="Times New Roman" w:cs="Times New Roman"/>
          <w:bCs/>
          <w:sz w:val="24"/>
          <w:szCs w:val="24"/>
          <w:lang w:val="bg-BG"/>
        </w:rPr>
        <w:t>взаимодействието между морето и земята и намал</w:t>
      </w:r>
      <w:r w:rsidR="00A21981" w:rsidRPr="00610B1B">
        <w:rPr>
          <w:rFonts w:ascii="Times New Roman" w:eastAsia="Calibri" w:hAnsi="Times New Roman" w:cs="Times New Roman"/>
          <w:bCs/>
          <w:sz w:val="24"/>
          <w:szCs w:val="24"/>
          <w:lang w:val="bg-BG"/>
        </w:rPr>
        <w:t>ява</w:t>
      </w:r>
      <w:r w:rsidRPr="00610B1B">
        <w:rPr>
          <w:rFonts w:ascii="Times New Roman" w:eastAsia="Calibri" w:hAnsi="Times New Roman" w:cs="Times New Roman"/>
          <w:bCs/>
          <w:sz w:val="24"/>
          <w:szCs w:val="24"/>
          <w:lang w:val="bg-BG"/>
        </w:rPr>
        <w:t xml:space="preserve"> конфликтите между различните ползвания на морските ресурси и пространства. </w:t>
      </w:r>
    </w:p>
    <w:p w14:paraId="0C837C77" w14:textId="44459A30" w:rsidR="00A007D8" w:rsidRPr="00610B1B" w:rsidRDefault="00A007D8"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Трансграничният подход</w:t>
      </w:r>
      <w:r w:rsidRPr="00610B1B">
        <w:rPr>
          <w:rFonts w:ascii="Times New Roman" w:eastAsia="Calibri" w:hAnsi="Times New Roman" w:cs="Times New Roman"/>
          <w:bCs/>
          <w:sz w:val="24"/>
          <w:szCs w:val="24"/>
          <w:lang w:val="bg-BG"/>
        </w:rPr>
        <w:t xml:space="preserve"> обедин</w:t>
      </w:r>
      <w:r w:rsidR="00A21981" w:rsidRPr="00610B1B">
        <w:rPr>
          <w:rFonts w:ascii="Times New Roman" w:eastAsia="Calibri" w:hAnsi="Times New Roman" w:cs="Times New Roman"/>
          <w:bCs/>
          <w:sz w:val="24"/>
          <w:szCs w:val="24"/>
          <w:lang w:val="bg-BG"/>
        </w:rPr>
        <w:t>ява</w:t>
      </w:r>
      <w:r w:rsidRPr="00610B1B">
        <w:rPr>
          <w:rFonts w:ascii="Times New Roman" w:eastAsia="Calibri" w:hAnsi="Times New Roman" w:cs="Times New Roman"/>
          <w:bCs/>
          <w:sz w:val="24"/>
          <w:szCs w:val="24"/>
          <w:lang w:val="bg-BG"/>
        </w:rPr>
        <w:t xml:space="preserve"> усилията на държавите в Черноморския </w:t>
      </w:r>
      <w:r w:rsidR="00601122" w:rsidRPr="00610B1B">
        <w:rPr>
          <w:rFonts w:ascii="Times New Roman" w:eastAsia="Calibri" w:hAnsi="Times New Roman" w:cs="Times New Roman"/>
          <w:bCs/>
          <w:sz w:val="24"/>
          <w:szCs w:val="24"/>
          <w:lang w:val="bg-BG"/>
        </w:rPr>
        <w:t>регион</w:t>
      </w:r>
      <w:r w:rsidRPr="00610B1B">
        <w:rPr>
          <w:rFonts w:ascii="Times New Roman" w:eastAsia="Calibri" w:hAnsi="Times New Roman" w:cs="Times New Roman"/>
          <w:bCs/>
          <w:sz w:val="24"/>
          <w:szCs w:val="24"/>
          <w:lang w:val="bg-BG"/>
        </w:rPr>
        <w:t xml:space="preserve"> и най-вече на тези, които имат споделени морски граници</w:t>
      </w:r>
      <w:r w:rsidR="00654188" w:rsidRPr="00610B1B">
        <w:rPr>
          <w:rFonts w:ascii="Times New Roman" w:eastAsia="Calibri" w:hAnsi="Times New Roman" w:cs="Times New Roman"/>
          <w:bCs/>
          <w:sz w:val="24"/>
          <w:szCs w:val="24"/>
          <w:lang w:val="bg-BG"/>
        </w:rPr>
        <w:t>,</w:t>
      </w:r>
      <w:r w:rsidRPr="00610B1B">
        <w:rPr>
          <w:rFonts w:ascii="Times New Roman" w:eastAsia="Calibri" w:hAnsi="Times New Roman" w:cs="Times New Roman"/>
          <w:bCs/>
          <w:sz w:val="24"/>
          <w:szCs w:val="24"/>
          <w:lang w:val="bg-BG"/>
        </w:rPr>
        <w:t xml:space="preserve"> в опазване на морската среда и ресурси, на биологичното разнообразие и потенциала за съвм</w:t>
      </w:r>
      <w:r w:rsidR="00601122" w:rsidRPr="00610B1B">
        <w:rPr>
          <w:rFonts w:ascii="Times New Roman" w:eastAsia="Calibri" w:hAnsi="Times New Roman" w:cs="Times New Roman"/>
          <w:bCs/>
          <w:sz w:val="24"/>
          <w:szCs w:val="24"/>
          <w:lang w:val="bg-BG"/>
        </w:rPr>
        <w:t>естяване на разнообразната човеш</w:t>
      </w:r>
      <w:r w:rsidRPr="00610B1B">
        <w:rPr>
          <w:rFonts w:ascii="Times New Roman" w:eastAsia="Calibri" w:hAnsi="Times New Roman" w:cs="Times New Roman"/>
          <w:bCs/>
          <w:sz w:val="24"/>
          <w:szCs w:val="24"/>
          <w:lang w:val="bg-BG"/>
        </w:rPr>
        <w:t xml:space="preserve">ка дейност. </w:t>
      </w:r>
      <w:r w:rsidR="00654188" w:rsidRPr="00610B1B">
        <w:rPr>
          <w:rFonts w:ascii="Times New Roman" w:eastAsia="Calibri" w:hAnsi="Times New Roman" w:cs="Times New Roman"/>
          <w:bCs/>
          <w:sz w:val="24"/>
          <w:szCs w:val="24"/>
          <w:lang w:val="bg-BG"/>
        </w:rPr>
        <w:t>Той</w:t>
      </w:r>
      <w:r w:rsidRPr="00610B1B">
        <w:rPr>
          <w:rFonts w:ascii="Times New Roman" w:eastAsia="Calibri" w:hAnsi="Times New Roman" w:cs="Times New Roman"/>
          <w:bCs/>
          <w:sz w:val="24"/>
          <w:szCs w:val="24"/>
          <w:lang w:val="bg-BG"/>
        </w:rPr>
        <w:t xml:space="preserve"> се прилага на всички етапи и равнища чрез подходящо избрани общи методи и обмен на информация, формулиране на обща визия и споделени принципи, цели и индикатори за мониторинг и оценка.</w:t>
      </w:r>
      <w:r w:rsidR="00DF5070" w:rsidRPr="00610B1B">
        <w:rPr>
          <w:rFonts w:ascii="Times New Roman" w:eastAsia="Calibri" w:hAnsi="Times New Roman" w:cs="Times New Roman"/>
          <w:bCs/>
          <w:sz w:val="24"/>
          <w:szCs w:val="24"/>
          <w:lang w:val="bg-BG"/>
        </w:rPr>
        <w:t xml:space="preserve"> </w:t>
      </w:r>
      <w:r w:rsidR="00654188" w:rsidRPr="00610B1B">
        <w:rPr>
          <w:rFonts w:ascii="Times New Roman" w:eastAsia="Calibri" w:hAnsi="Times New Roman" w:cs="Times New Roman"/>
          <w:bCs/>
          <w:sz w:val="24"/>
          <w:szCs w:val="24"/>
          <w:lang w:val="bg-BG"/>
        </w:rPr>
        <w:t xml:space="preserve">Подходът </w:t>
      </w:r>
      <w:r w:rsidR="00DF5070" w:rsidRPr="00610B1B">
        <w:rPr>
          <w:rFonts w:ascii="Times New Roman" w:eastAsia="Calibri" w:hAnsi="Times New Roman" w:cs="Times New Roman"/>
          <w:bCs/>
          <w:sz w:val="24"/>
          <w:szCs w:val="24"/>
          <w:lang w:val="bg-BG"/>
        </w:rPr>
        <w:t>повишава капацитета за съвместни научни изследвания.</w:t>
      </w:r>
      <w:r w:rsidRPr="00610B1B">
        <w:rPr>
          <w:rFonts w:ascii="Times New Roman" w:eastAsia="Calibri" w:hAnsi="Times New Roman" w:cs="Times New Roman"/>
          <w:bCs/>
          <w:sz w:val="24"/>
          <w:szCs w:val="24"/>
          <w:lang w:val="bg-BG"/>
        </w:rPr>
        <w:t xml:space="preserve"> </w:t>
      </w:r>
    </w:p>
    <w:p w14:paraId="2E4FC146" w14:textId="50C447C3" w:rsidR="00B6024B" w:rsidRPr="00610B1B" w:rsidRDefault="00601122" w:rsidP="00D32D6A">
      <w:pPr>
        <w:tabs>
          <w:tab w:val="left" w:pos="4230"/>
        </w:tabs>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Основните принципи, изведени от съществуващата практика в морското пространствено планиране в</w:t>
      </w:r>
      <w:r w:rsidR="00B6024B" w:rsidRPr="00610B1B">
        <w:rPr>
          <w:rFonts w:ascii="Times New Roman" w:hAnsi="Times New Roman" w:cs="Times New Roman"/>
          <w:bCs/>
          <w:sz w:val="24"/>
          <w:szCs w:val="24"/>
          <w:lang w:val="bg-BG"/>
        </w:rPr>
        <w:t xml:space="preserve"> Съобщението на Европейската комисия </w:t>
      </w:r>
      <w:r w:rsidR="00F55A23" w:rsidRPr="00610B1B">
        <w:rPr>
          <w:rFonts w:ascii="Times New Roman" w:hAnsi="Times New Roman" w:cs="Times New Roman"/>
          <w:bCs/>
          <w:sz w:val="24"/>
          <w:szCs w:val="24"/>
          <w:lang w:val="bg-BG"/>
        </w:rPr>
        <w:t>„Пътна карта за морско пространствено планиране: за постигане на общи принципи в ЕС“</w:t>
      </w:r>
      <w:r w:rsidR="00F55A23" w:rsidRPr="00610B1B">
        <w:rPr>
          <w:rStyle w:val="FootnoteReference"/>
          <w:rFonts w:ascii="Times New Roman" w:hAnsi="Times New Roman" w:cs="Times New Roman"/>
          <w:bCs/>
          <w:sz w:val="24"/>
          <w:szCs w:val="24"/>
          <w:lang w:val="bg-BG"/>
        </w:rPr>
        <w:footnoteReference w:id="10"/>
      </w:r>
      <w:r w:rsidR="00F55A23" w:rsidRPr="00610B1B">
        <w:rPr>
          <w:rFonts w:ascii="Times New Roman" w:hAnsi="Times New Roman" w:cs="Times New Roman"/>
          <w:bCs/>
          <w:sz w:val="24"/>
          <w:szCs w:val="24"/>
          <w:lang w:val="bg-BG"/>
        </w:rPr>
        <w:t xml:space="preserve"> от 2008 г. </w:t>
      </w:r>
      <w:r w:rsidRPr="00610B1B">
        <w:rPr>
          <w:rFonts w:ascii="Times New Roman" w:hAnsi="Times New Roman" w:cs="Times New Roman"/>
          <w:bCs/>
          <w:sz w:val="24"/>
          <w:szCs w:val="24"/>
          <w:lang w:val="bg-BG"/>
        </w:rPr>
        <w:t xml:space="preserve">са </w:t>
      </w:r>
      <w:r w:rsidR="00755752" w:rsidRPr="00610B1B">
        <w:rPr>
          <w:rFonts w:ascii="Times New Roman" w:hAnsi="Times New Roman" w:cs="Times New Roman"/>
          <w:bCs/>
          <w:sz w:val="24"/>
          <w:szCs w:val="24"/>
          <w:lang w:val="bg-BG"/>
        </w:rPr>
        <w:t xml:space="preserve">интерпретирани </w:t>
      </w:r>
      <w:r w:rsidR="00D65324" w:rsidRPr="00610B1B">
        <w:rPr>
          <w:rFonts w:ascii="Times New Roman" w:hAnsi="Times New Roman" w:cs="Times New Roman"/>
          <w:bCs/>
          <w:sz w:val="24"/>
          <w:szCs w:val="24"/>
          <w:lang w:val="bg-BG"/>
        </w:rPr>
        <w:t>както следва</w:t>
      </w:r>
      <w:r w:rsidR="00755752" w:rsidRPr="00610B1B">
        <w:rPr>
          <w:rFonts w:ascii="Times New Roman" w:hAnsi="Times New Roman" w:cs="Times New Roman"/>
          <w:bCs/>
          <w:sz w:val="24"/>
          <w:szCs w:val="24"/>
          <w:lang w:val="bg-BG"/>
        </w:rPr>
        <w:t>:</w:t>
      </w:r>
    </w:p>
    <w:p w14:paraId="2698727D" w14:textId="0F337FBA" w:rsidR="00755752" w:rsidRPr="00610B1B" w:rsidRDefault="000212A3"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Пространствена, времева, технологична и екологична съвместимост</w:t>
      </w:r>
      <w:r w:rsidRPr="00610B1B">
        <w:rPr>
          <w:rFonts w:ascii="Times New Roman" w:hAnsi="Times New Roman" w:cs="Times New Roman"/>
          <w:bCs/>
          <w:sz w:val="24"/>
          <w:szCs w:val="24"/>
          <w:lang w:val="bg-BG"/>
        </w:rPr>
        <w:t xml:space="preserve"> - </w:t>
      </w:r>
      <w:r w:rsidR="00755752" w:rsidRPr="00610B1B">
        <w:rPr>
          <w:rFonts w:ascii="Times New Roman" w:hAnsi="Times New Roman" w:cs="Times New Roman"/>
          <w:bCs/>
          <w:sz w:val="24"/>
          <w:szCs w:val="24"/>
          <w:lang w:val="bg-BG"/>
        </w:rPr>
        <w:t>Съобразяване на</w:t>
      </w:r>
      <w:r w:rsidR="00D66FE0" w:rsidRPr="00610B1B">
        <w:rPr>
          <w:rFonts w:ascii="Times New Roman" w:hAnsi="Times New Roman" w:cs="Times New Roman"/>
          <w:bCs/>
          <w:sz w:val="24"/>
          <w:szCs w:val="24"/>
          <w:lang w:val="bg-BG"/>
        </w:rPr>
        <w:t xml:space="preserve"> </w:t>
      </w:r>
      <w:r w:rsidR="00755752" w:rsidRPr="00610B1B">
        <w:rPr>
          <w:rFonts w:ascii="Times New Roman" w:hAnsi="Times New Roman" w:cs="Times New Roman"/>
          <w:bCs/>
          <w:sz w:val="24"/>
          <w:szCs w:val="24"/>
          <w:lang w:val="bg-BG"/>
        </w:rPr>
        <w:t>предложените мерки и дейности с вида, разположението и характера на съответните зони</w:t>
      </w:r>
      <w:r w:rsidR="00DC512E" w:rsidRPr="00610B1B">
        <w:rPr>
          <w:rFonts w:ascii="Times New Roman" w:hAnsi="Times New Roman" w:cs="Times New Roman"/>
          <w:bCs/>
          <w:sz w:val="24"/>
          <w:szCs w:val="24"/>
          <w:lang w:val="bg-BG"/>
        </w:rPr>
        <w:t>,</w:t>
      </w:r>
      <w:r w:rsidR="00755752" w:rsidRPr="00610B1B">
        <w:rPr>
          <w:rFonts w:ascii="Times New Roman" w:hAnsi="Times New Roman" w:cs="Times New Roman"/>
          <w:bCs/>
          <w:sz w:val="24"/>
          <w:szCs w:val="24"/>
          <w:lang w:val="bg-BG"/>
        </w:rPr>
        <w:t xml:space="preserve"> пространствени</w:t>
      </w:r>
      <w:r w:rsidR="00654188" w:rsidRPr="00610B1B">
        <w:rPr>
          <w:rFonts w:ascii="Times New Roman" w:hAnsi="Times New Roman" w:cs="Times New Roman"/>
          <w:bCs/>
          <w:sz w:val="24"/>
          <w:szCs w:val="24"/>
          <w:lang w:val="bg-BG"/>
        </w:rPr>
        <w:t>те</w:t>
      </w:r>
      <w:r w:rsidR="00755752" w:rsidRPr="00610B1B">
        <w:rPr>
          <w:rFonts w:ascii="Times New Roman" w:hAnsi="Times New Roman" w:cs="Times New Roman"/>
          <w:bCs/>
          <w:sz w:val="24"/>
          <w:szCs w:val="24"/>
          <w:lang w:val="bg-BG"/>
        </w:rPr>
        <w:t xml:space="preserve"> и времеви</w:t>
      </w:r>
      <w:r w:rsidR="00654188" w:rsidRPr="00610B1B">
        <w:rPr>
          <w:rFonts w:ascii="Times New Roman" w:hAnsi="Times New Roman" w:cs="Times New Roman"/>
          <w:bCs/>
          <w:sz w:val="24"/>
          <w:szCs w:val="24"/>
          <w:lang w:val="bg-BG"/>
        </w:rPr>
        <w:t>те им</w:t>
      </w:r>
      <w:r w:rsidR="00755752" w:rsidRPr="00610B1B">
        <w:rPr>
          <w:rFonts w:ascii="Times New Roman" w:hAnsi="Times New Roman" w:cs="Times New Roman"/>
          <w:bCs/>
          <w:sz w:val="24"/>
          <w:szCs w:val="24"/>
          <w:lang w:val="bg-BG"/>
        </w:rPr>
        <w:t xml:space="preserve"> измерения и </w:t>
      </w:r>
      <w:r w:rsidR="00DC512E" w:rsidRPr="00610B1B">
        <w:rPr>
          <w:rFonts w:ascii="Times New Roman" w:hAnsi="Times New Roman" w:cs="Times New Roman"/>
          <w:bCs/>
          <w:sz w:val="24"/>
          <w:szCs w:val="24"/>
          <w:lang w:val="bg-BG"/>
        </w:rPr>
        <w:t>екологични</w:t>
      </w:r>
      <w:r w:rsidR="00654188" w:rsidRPr="00610B1B">
        <w:rPr>
          <w:rFonts w:ascii="Times New Roman" w:hAnsi="Times New Roman" w:cs="Times New Roman"/>
          <w:bCs/>
          <w:sz w:val="24"/>
          <w:szCs w:val="24"/>
          <w:lang w:val="bg-BG"/>
        </w:rPr>
        <w:t>те</w:t>
      </w:r>
      <w:r w:rsidR="00DC512E" w:rsidRPr="00610B1B">
        <w:rPr>
          <w:rFonts w:ascii="Times New Roman" w:hAnsi="Times New Roman" w:cs="Times New Roman"/>
          <w:bCs/>
          <w:sz w:val="24"/>
          <w:szCs w:val="24"/>
          <w:lang w:val="bg-BG"/>
        </w:rPr>
        <w:t xml:space="preserve"> въздействия</w:t>
      </w:r>
      <w:r w:rsidR="00755752" w:rsidRPr="00610B1B">
        <w:rPr>
          <w:rFonts w:ascii="Times New Roman" w:hAnsi="Times New Roman" w:cs="Times New Roman"/>
          <w:bCs/>
          <w:sz w:val="24"/>
          <w:szCs w:val="24"/>
          <w:lang w:val="bg-BG"/>
        </w:rPr>
        <w:t xml:space="preserve">; </w:t>
      </w:r>
    </w:p>
    <w:p w14:paraId="46728B17" w14:textId="36539F10" w:rsidR="00755752" w:rsidRPr="00610B1B" w:rsidRDefault="000212A3"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Ясно целеполагане в краткосрочен и дългосрочен план</w:t>
      </w:r>
      <w:r w:rsidRPr="00610B1B">
        <w:rPr>
          <w:rFonts w:ascii="Times New Roman" w:hAnsi="Times New Roman" w:cs="Times New Roman"/>
          <w:bCs/>
          <w:sz w:val="24"/>
          <w:szCs w:val="24"/>
          <w:lang w:val="bg-BG"/>
        </w:rPr>
        <w:t xml:space="preserve"> - </w:t>
      </w:r>
      <w:r w:rsidR="00755752" w:rsidRPr="00610B1B">
        <w:rPr>
          <w:rFonts w:ascii="Times New Roman" w:hAnsi="Times New Roman" w:cs="Times New Roman"/>
          <w:bCs/>
          <w:sz w:val="24"/>
          <w:szCs w:val="24"/>
          <w:lang w:val="bg-BG"/>
        </w:rPr>
        <w:t>Определяне на ясни краткосрочни и дългосрочни цели за прилагане и управление на морското пространствено планиране, които да ограничат възможните конфликти между секторите</w:t>
      </w:r>
      <w:r w:rsidR="00D66FE0" w:rsidRPr="00610B1B">
        <w:rPr>
          <w:rFonts w:ascii="Times New Roman" w:hAnsi="Times New Roman" w:cs="Times New Roman"/>
          <w:bCs/>
          <w:sz w:val="24"/>
          <w:szCs w:val="24"/>
          <w:lang w:val="bg-BG"/>
        </w:rPr>
        <w:t xml:space="preserve"> </w:t>
      </w:r>
      <w:r w:rsidR="00755752" w:rsidRPr="00610B1B">
        <w:rPr>
          <w:rFonts w:ascii="Times New Roman" w:hAnsi="Times New Roman" w:cs="Times New Roman"/>
          <w:bCs/>
          <w:sz w:val="24"/>
          <w:szCs w:val="24"/>
          <w:lang w:val="bg-BG"/>
        </w:rPr>
        <w:t>в морското пространство;</w:t>
      </w:r>
    </w:p>
    <w:p w14:paraId="530D6480" w14:textId="18EA8354" w:rsidR="00755752" w:rsidRPr="00610B1B" w:rsidRDefault="00951CE9"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Публичност, п</w:t>
      </w:r>
      <w:r w:rsidR="000212A3" w:rsidRPr="00610B1B">
        <w:rPr>
          <w:rFonts w:ascii="Times New Roman" w:hAnsi="Times New Roman" w:cs="Times New Roman"/>
          <w:b/>
          <w:i/>
          <w:iCs/>
          <w:sz w:val="24"/>
          <w:szCs w:val="24"/>
          <w:lang w:val="bg-BG"/>
        </w:rPr>
        <w:t>розрачност и информираност</w:t>
      </w:r>
      <w:r w:rsidR="000212A3" w:rsidRPr="00610B1B">
        <w:rPr>
          <w:rFonts w:ascii="Times New Roman" w:hAnsi="Times New Roman" w:cs="Times New Roman"/>
          <w:bCs/>
          <w:sz w:val="24"/>
          <w:szCs w:val="24"/>
          <w:lang w:val="bg-BG"/>
        </w:rPr>
        <w:t xml:space="preserve"> - </w:t>
      </w:r>
      <w:r w:rsidR="00654188" w:rsidRPr="00610B1B">
        <w:rPr>
          <w:rFonts w:ascii="Times New Roman" w:hAnsi="Times New Roman" w:cs="Times New Roman"/>
          <w:bCs/>
          <w:sz w:val="24"/>
          <w:szCs w:val="24"/>
          <w:lang w:val="bg-BG"/>
        </w:rPr>
        <w:t xml:space="preserve">Използване </w:t>
      </w:r>
      <w:r w:rsidR="00DC512E" w:rsidRPr="00610B1B">
        <w:rPr>
          <w:rFonts w:ascii="Times New Roman" w:hAnsi="Times New Roman" w:cs="Times New Roman"/>
          <w:bCs/>
          <w:sz w:val="24"/>
          <w:szCs w:val="24"/>
          <w:lang w:val="bg-BG"/>
        </w:rPr>
        <w:t>на всички инструменти</w:t>
      </w:r>
      <w:r w:rsidR="00BB67D1" w:rsidRPr="00610B1B">
        <w:rPr>
          <w:rFonts w:ascii="Times New Roman" w:hAnsi="Times New Roman" w:cs="Times New Roman"/>
          <w:bCs/>
          <w:sz w:val="24"/>
          <w:szCs w:val="24"/>
          <w:lang w:val="bg-BG"/>
        </w:rPr>
        <w:t xml:space="preserve"> </w:t>
      </w:r>
      <w:r w:rsidR="00DC512E" w:rsidRPr="00610B1B">
        <w:rPr>
          <w:rFonts w:ascii="Times New Roman" w:hAnsi="Times New Roman" w:cs="Times New Roman"/>
          <w:bCs/>
          <w:sz w:val="24"/>
          <w:szCs w:val="24"/>
          <w:lang w:val="bg-BG"/>
        </w:rPr>
        <w:t xml:space="preserve">за информиране </w:t>
      </w:r>
      <w:r w:rsidR="00BB67D1" w:rsidRPr="00610B1B">
        <w:rPr>
          <w:rFonts w:ascii="Times New Roman" w:hAnsi="Times New Roman" w:cs="Times New Roman"/>
          <w:bCs/>
          <w:sz w:val="24"/>
          <w:szCs w:val="24"/>
          <w:lang w:val="bg-BG"/>
        </w:rPr>
        <w:t xml:space="preserve">във всички стъпки </w:t>
      </w:r>
      <w:r w:rsidR="00DC512E" w:rsidRPr="00610B1B">
        <w:rPr>
          <w:rFonts w:ascii="Times New Roman" w:hAnsi="Times New Roman" w:cs="Times New Roman"/>
          <w:bCs/>
          <w:sz w:val="24"/>
          <w:szCs w:val="24"/>
          <w:lang w:val="bg-BG"/>
        </w:rPr>
        <w:t>от</w:t>
      </w:r>
      <w:r w:rsidR="00BB67D1" w:rsidRPr="00610B1B">
        <w:rPr>
          <w:rFonts w:ascii="Times New Roman" w:hAnsi="Times New Roman" w:cs="Times New Roman"/>
          <w:bCs/>
          <w:sz w:val="24"/>
          <w:szCs w:val="24"/>
          <w:lang w:val="bg-BG"/>
        </w:rPr>
        <w:t xml:space="preserve"> процеса на разработване, </w:t>
      </w:r>
      <w:r w:rsidR="00BB67D1" w:rsidRPr="00610B1B">
        <w:rPr>
          <w:rFonts w:ascii="Times New Roman" w:hAnsi="Times New Roman" w:cs="Times New Roman"/>
          <w:bCs/>
          <w:sz w:val="24"/>
          <w:szCs w:val="24"/>
          <w:lang w:val="bg-BG"/>
        </w:rPr>
        <w:lastRenderedPageBreak/>
        <w:t>консултиране, оценка, съгласуване, одобряване и прилагане на морския пространствен план;</w:t>
      </w:r>
    </w:p>
    <w:p w14:paraId="7D244361" w14:textId="68ABBD17" w:rsidR="00BB67D1" w:rsidRPr="00610B1B" w:rsidRDefault="00951CE9"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Обществено</w:t>
      </w:r>
      <w:r w:rsidR="000212A3" w:rsidRPr="00610B1B">
        <w:rPr>
          <w:rFonts w:ascii="Times New Roman" w:hAnsi="Times New Roman" w:cs="Times New Roman"/>
          <w:b/>
          <w:i/>
          <w:iCs/>
          <w:sz w:val="24"/>
          <w:szCs w:val="24"/>
          <w:lang w:val="bg-BG"/>
        </w:rPr>
        <w:t xml:space="preserve"> участие</w:t>
      </w:r>
      <w:r w:rsidRPr="00610B1B">
        <w:rPr>
          <w:rFonts w:ascii="Times New Roman" w:hAnsi="Times New Roman" w:cs="Times New Roman"/>
          <w:b/>
          <w:i/>
          <w:iCs/>
          <w:sz w:val="24"/>
          <w:szCs w:val="24"/>
          <w:lang w:val="bg-BG"/>
        </w:rPr>
        <w:t>,</w:t>
      </w:r>
      <w:r w:rsidR="000212A3" w:rsidRPr="00610B1B">
        <w:rPr>
          <w:rFonts w:ascii="Times New Roman" w:hAnsi="Times New Roman" w:cs="Times New Roman"/>
          <w:b/>
          <w:i/>
          <w:iCs/>
          <w:sz w:val="24"/>
          <w:szCs w:val="24"/>
          <w:lang w:val="bg-BG"/>
        </w:rPr>
        <w:t xml:space="preserve"> </w:t>
      </w:r>
      <w:r w:rsidRPr="00610B1B">
        <w:rPr>
          <w:rFonts w:ascii="Times New Roman" w:hAnsi="Times New Roman" w:cs="Times New Roman"/>
          <w:b/>
          <w:i/>
          <w:iCs/>
          <w:sz w:val="24"/>
          <w:szCs w:val="24"/>
          <w:lang w:val="bg-BG"/>
        </w:rPr>
        <w:t xml:space="preserve">професионална </w:t>
      </w:r>
      <w:r w:rsidR="000212A3" w:rsidRPr="00610B1B">
        <w:rPr>
          <w:rFonts w:ascii="Times New Roman" w:hAnsi="Times New Roman" w:cs="Times New Roman"/>
          <w:b/>
          <w:i/>
          <w:iCs/>
          <w:sz w:val="24"/>
          <w:szCs w:val="24"/>
          <w:lang w:val="bg-BG"/>
        </w:rPr>
        <w:t>ангажираност</w:t>
      </w:r>
      <w:r w:rsidRPr="00610B1B">
        <w:rPr>
          <w:rFonts w:ascii="Times New Roman" w:hAnsi="Times New Roman" w:cs="Times New Roman"/>
          <w:b/>
          <w:i/>
          <w:iCs/>
          <w:sz w:val="24"/>
          <w:szCs w:val="24"/>
          <w:lang w:val="bg-BG"/>
        </w:rPr>
        <w:t xml:space="preserve"> и обогатяване на знанията</w:t>
      </w:r>
      <w:r w:rsidR="00DE3A13" w:rsidRPr="00610B1B">
        <w:rPr>
          <w:rFonts w:ascii="Times New Roman" w:hAnsi="Times New Roman" w:cs="Times New Roman"/>
          <w:b/>
          <w:i/>
          <w:iCs/>
          <w:sz w:val="24"/>
          <w:szCs w:val="24"/>
          <w:lang w:val="bg-BG"/>
        </w:rPr>
        <w:t xml:space="preserve"> –</w:t>
      </w:r>
      <w:r w:rsidR="00DE3A13" w:rsidRPr="00610B1B">
        <w:rPr>
          <w:rFonts w:ascii="Times New Roman" w:hAnsi="Times New Roman" w:cs="Times New Roman"/>
          <w:bCs/>
          <w:sz w:val="24"/>
          <w:szCs w:val="24"/>
          <w:lang w:val="bg-BG"/>
        </w:rPr>
        <w:t xml:space="preserve"> </w:t>
      </w:r>
      <w:r w:rsidR="00BB67D1" w:rsidRPr="00610B1B">
        <w:rPr>
          <w:rFonts w:ascii="Times New Roman" w:hAnsi="Times New Roman" w:cs="Times New Roman"/>
          <w:bCs/>
          <w:sz w:val="24"/>
          <w:szCs w:val="24"/>
          <w:lang w:val="bg-BG"/>
        </w:rPr>
        <w:t>Привличане на всички заинтересовани страни в разработване</w:t>
      </w:r>
      <w:r w:rsidR="007431DC" w:rsidRPr="00610B1B">
        <w:rPr>
          <w:rFonts w:ascii="Times New Roman" w:hAnsi="Times New Roman" w:cs="Times New Roman"/>
          <w:bCs/>
          <w:sz w:val="24"/>
          <w:szCs w:val="24"/>
          <w:lang w:val="bg-BG"/>
        </w:rPr>
        <w:t>то</w:t>
      </w:r>
      <w:r w:rsidR="00BB67D1" w:rsidRPr="00610B1B">
        <w:rPr>
          <w:rFonts w:ascii="Times New Roman" w:hAnsi="Times New Roman" w:cs="Times New Roman"/>
          <w:bCs/>
          <w:sz w:val="24"/>
          <w:szCs w:val="24"/>
          <w:lang w:val="bg-BG"/>
        </w:rPr>
        <w:t xml:space="preserve"> на плана и използване на местни</w:t>
      </w:r>
      <w:r w:rsidR="00601122" w:rsidRPr="00610B1B">
        <w:rPr>
          <w:rFonts w:ascii="Times New Roman" w:hAnsi="Times New Roman" w:cs="Times New Roman"/>
          <w:bCs/>
          <w:sz w:val="24"/>
          <w:szCs w:val="24"/>
          <w:lang w:val="bg-BG"/>
        </w:rPr>
        <w:t>те ресурси и знания</w:t>
      </w:r>
      <w:r w:rsidR="00BB67D1" w:rsidRPr="00610B1B">
        <w:rPr>
          <w:rFonts w:ascii="Times New Roman" w:hAnsi="Times New Roman" w:cs="Times New Roman"/>
          <w:bCs/>
          <w:sz w:val="24"/>
          <w:szCs w:val="24"/>
          <w:lang w:val="bg-BG"/>
        </w:rPr>
        <w:t xml:space="preserve"> за повишаване качеството на морското пространствено планиране; </w:t>
      </w:r>
    </w:p>
    <w:p w14:paraId="0FBBB4FC" w14:textId="31561C8B" w:rsidR="00BB67D1" w:rsidRPr="00610B1B" w:rsidRDefault="00951CE9"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Национална и регионална координация и съгласуваност на действията</w:t>
      </w:r>
      <w:r w:rsidR="00DE3A13" w:rsidRPr="00610B1B">
        <w:rPr>
          <w:rFonts w:ascii="Times New Roman" w:hAnsi="Times New Roman" w:cs="Times New Roman"/>
          <w:b/>
          <w:i/>
          <w:iCs/>
          <w:sz w:val="24"/>
          <w:szCs w:val="24"/>
          <w:lang w:val="bg-BG"/>
        </w:rPr>
        <w:t xml:space="preserve"> –</w:t>
      </w:r>
      <w:r w:rsidR="00DE3A13" w:rsidRPr="00610B1B">
        <w:rPr>
          <w:rFonts w:ascii="Times New Roman" w:hAnsi="Times New Roman" w:cs="Times New Roman"/>
          <w:bCs/>
          <w:sz w:val="24"/>
          <w:szCs w:val="24"/>
          <w:lang w:val="bg-BG"/>
        </w:rPr>
        <w:t xml:space="preserve"> </w:t>
      </w:r>
      <w:r w:rsidR="00BB67D1" w:rsidRPr="00610B1B">
        <w:rPr>
          <w:rFonts w:ascii="Times New Roman" w:hAnsi="Times New Roman" w:cs="Times New Roman"/>
          <w:bCs/>
          <w:sz w:val="24"/>
          <w:szCs w:val="24"/>
          <w:lang w:val="bg-BG"/>
        </w:rPr>
        <w:t xml:space="preserve">Подобряване на вътрешната координация в страната и между страните от Черноморския регион и опростяване на процедурите </w:t>
      </w:r>
      <w:r w:rsidR="00DC512E" w:rsidRPr="00610B1B">
        <w:rPr>
          <w:rFonts w:ascii="Times New Roman" w:hAnsi="Times New Roman" w:cs="Times New Roman"/>
          <w:bCs/>
          <w:sz w:val="24"/>
          <w:szCs w:val="24"/>
          <w:lang w:val="bg-BG"/>
        </w:rPr>
        <w:t>за</w:t>
      </w:r>
      <w:r w:rsidR="00BB67D1" w:rsidRPr="00610B1B">
        <w:rPr>
          <w:rFonts w:ascii="Times New Roman" w:hAnsi="Times New Roman" w:cs="Times New Roman"/>
          <w:bCs/>
          <w:sz w:val="24"/>
          <w:szCs w:val="24"/>
          <w:lang w:val="bg-BG"/>
        </w:rPr>
        <w:t xml:space="preserve"> вземане н</w:t>
      </w:r>
      <w:r w:rsidR="00271C7A" w:rsidRPr="00610B1B">
        <w:rPr>
          <w:rFonts w:ascii="Times New Roman" w:hAnsi="Times New Roman" w:cs="Times New Roman"/>
          <w:bCs/>
          <w:sz w:val="24"/>
          <w:szCs w:val="24"/>
          <w:lang w:val="bg-BG"/>
        </w:rPr>
        <w:t xml:space="preserve">а решения </w:t>
      </w:r>
      <w:r w:rsidR="00601122" w:rsidRPr="00610B1B">
        <w:rPr>
          <w:rFonts w:ascii="Times New Roman" w:hAnsi="Times New Roman" w:cs="Times New Roman"/>
          <w:bCs/>
          <w:sz w:val="24"/>
          <w:szCs w:val="24"/>
          <w:lang w:val="bg-BG"/>
        </w:rPr>
        <w:t>за</w:t>
      </w:r>
      <w:r w:rsidR="00271C7A" w:rsidRPr="00610B1B">
        <w:rPr>
          <w:rFonts w:ascii="Times New Roman" w:hAnsi="Times New Roman" w:cs="Times New Roman"/>
          <w:bCs/>
          <w:sz w:val="24"/>
          <w:szCs w:val="24"/>
          <w:lang w:val="bg-BG"/>
        </w:rPr>
        <w:t xml:space="preserve"> осъществя</w:t>
      </w:r>
      <w:r w:rsidR="00BB67D1" w:rsidRPr="00610B1B">
        <w:rPr>
          <w:rFonts w:ascii="Times New Roman" w:hAnsi="Times New Roman" w:cs="Times New Roman"/>
          <w:bCs/>
          <w:sz w:val="24"/>
          <w:szCs w:val="24"/>
          <w:lang w:val="bg-BG"/>
        </w:rPr>
        <w:t>ване на дейностите, чрез използване на опита, традициите и капацитета на създадените органи по силата на Конвенцията за Черно море;</w:t>
      </w:r>
    </w:p>
    <w:p w14:paraId="19BF7399" w14:textId="7D3B6E30" w:rsidR="00B6024B" w:rsidRPr="00610B1B" w:rsidRDefault="00951CE9"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Правна регламентираност</w:t>
      </w:r>
      <w:r w:rsidRPr="00610B1B">
        <w:rPr>
          <w:rFonts w:ascii="Times New Roman" w:hAnsi="Times New Roman" w:cs="Times New Roman"/>
          <w:bCs/>
          <w:sz w:val="24"/>
          <w:szCs w:val="24"/>
          <w:lang w:val="bg-BG"/>
        </w:rPr>
        <w:t xml:space="preserve"> – </w:t>
      </w:r>
      <w:r w:rsidR="00DC512E" w:rsidRPr="00610B1B">
        <w:rPr>
          <w:rFonts w:ascii="Times New Roman" w:hAnsi="Times New Roman" w:cs="Times New Roman"/>
          <w:bCs/>
          <w:sz w:val="24"/>
          <w:szCs w:val="24"/>
          <w:lang w:val="bg-BG"/>
        </w:rPr>
        <w:t xml:space="preserve">Ясно </w:t>
      </w:r>
      <w:r w:rsidRPr="00610B1B">
        <w:rPr>
          <w:rFonts w:ascii="Times New Roman" w:hAnsi="Times New Roman" w:cs="Times New Roman"/>
          <w:bCs/>
          <w:sz w:val="24"/>
          <w:szCs w:val="24"/>
          <w:lang w:val="bg-BG"/>
        </w:rPr>
        <w:t xml:space="preserve">определени </w:t>
      </w:r>
      <w:r w:rsidR="00DF5070" w:rsidRPr="00610B1B">
        <w:rPr>
          <w:rFonts w:ascii="Times New Roman" w:hAnsi="Times New Roman" w:cs="Times New Roman"/>
          <w:bCs/>
          <w:sz w:val="24"/>
          <w:szCs w:val="24"/>
          <w:lang w:val="bg-BG"/>
        </w:rPr>
        <w:t xml:space="preserve">режими и права за ползване на морските пространства и </w:t>
      </w:r>
      <w:r w:rsidRPr="00610B1B">
        <w:rPr>
          <w:rFonts w:ascii="Times New Roman" w:hAnsi="Times New Roman" w:cs="Times New Roman"/>
          <w:bCs/>
          <w:sz w:val="24"/>
          <w:szCs w:val="24"/>
          <w:lang w:val="bg-BG"/>
        </w:rPr>
        <w:t xml:space="preserve">ангажименти </w:t>
      </w:r>
      <w:r w:rsidR="00DF5070" w:rsidRPr="00610B1B">
        <w:rPr>
          <w:rFonts w:ascii="Times New Roman" w:hAnsi="Times New Roman" w:cs="Times New Roman"/>
          <w:bCs/>
          <w:sz w:val="24"/>
          <w:szCs w:val="24"/>
          <w:lang w:val="bg-BG"/>
        </w:rPr>
        <w:t xml:space="preserve">в </w:t>
      </w:r>
      <w:r w:rsidRPr="00610B1B">
        <w:rPr>
          <w:rFonts w:ascii="Times New Roman" w:hAnsi="Times New Roman" w:cs="Times New Roman"/>
          <w:bCs/>
          <w:sz w:val="24"/>
          <w:szCs w:val="24"/>
          <w:lang w:val="bg-BG"/>
        </w:rPr>
        <w:t>прилагане</w:t>
      </w:r>
      <w:r w:rsidR="00DF5070" w:rsidRPr="00610B1B">
        <w:rPr>
          <w:rFonts w:ascii="Times New Roman" w:hAnsi="Times New Roman" w:cs="Times New Roman"/>
          <w:bCs/>
          <w:sz w:val="24"/>
          <w:szCs w:val="24"/>
          <w:lang w:val="bg-BG"/>
        </w:rPr>
        <w:t>то</w:t>
      </w:r>
      <w:r w:rsidRPr="00610B1B">
        <w:rPr>
          <w:rFonts w:ascii="Times New Roman" w:hAnsi="Times New Roman" w:cs="Times New Roman"/>
          <w:bCs/>
          <w:sz w:val="24"/>
          <w:szCs w:val="24"/>
          <w:lang w:val="bg-BG"/>
        </w:rPr>
        <w:t xml:space="preserve"> на морския пространствен план, обвързан</w:t>
      </w:r>
      <w:r w:rsidR="00DF5070" w:rsidRPr="00610B1B">
        <w:rPr>
          <w:rFonts w:ascii="Times New Roman" w:hAnsi="Times New Roman" w:cs="Times New Roman"/>
          <w:bCs/>
          <w:sz w:val="24"/>
          <w:szCs w:val="24"/>
          <w:lang w:val="bg-BG"/>
        </w:rPr>
        <w:t>о</w:t>
      </w:r>
      <w:r w:rsidRPr="00610B1B">
        <w:rPr>
          <w:rFonts w:ascii="Times New Roman" w:hAnsi="Times New Roman" w:cs="Times New Roman"/>
          <w:bCs/>
          <w:sz w:val="24"/>
          <w:szCs w:val="24"/>
          <w:lang w:val="bg-BG"/>
        </w:rPr>
        <w:t xml:space="preserve"> с действащото законодателство, допълнено с </w:t>
      </w:r>
      <w:r w:rsidR="0000740D" w:rsidRPr="00610B1B">
        <w:rPr>
          <w:rFonts w:ascii="Times New Roman" w:hAnsi="Times New Roman" w:cs="Times New Roman"/>
          <w:bCs/>
          <w:sz w:val="24"/>
          <w:szCs w:val="24"/>
          <w:lang w:val="bg-BG"/>
        </w:rPr>
        <w:t>този нов вид дейност по планиране и програмиране на междусекторното взаимодействие;</w:t>
      </w:r>
    </w:p>
    <w:p w14:paraId="370ABFF2" w14:textId="79930BB0" w:rsidR="0000740D" w:rsidRPr="00610B1B" w:rsidRDefault="0000740D"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 xml:space="preserve">Трансгранично сътрудничество </w:t>
      </w:r>
      <w:r w:rsidRPr="00610B1B">
        <w:rPr>
          <w:rFonts w:ascii="Times New Roman" w:hAnsi="Times New Roman" w:cs="Times New Roman"/>
          <w:bCs/>
          <w:sz w:val="24"/>
          <w:szCs w:val="24"/>
          <w:lang w:val="bg-BG"/>
        </w:rPr>
        <w:t>– Разработване, обсъждане и съгласуване на дейностите за опазване на екосистемите и на процедурите и стандартите за наблюдение и оценка на тяхното състояние в зоните за трансгранично сътрудничество и взаимодействие;</w:t>
      </w:r>
    </w:p>
    <w:p w14:paraId="19344D62" w14:textId="0408D591" w:rsidR="0000740D" w:rsidRPr="00610B1B" w:rsidRDefault="0000740D"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 xml:space="preserve">Гъвкавост </w:t>
      </w:r>
      <w:r w:rsidR="005E7CAF" w:rsidRPr="00610B1B">
        <w:rPr>
          <w:rFonts w:ascii="Times New Roman" w:hAnsi="Times New Roman" w:cs="Times New Roman"/>
          <w:b/>
          <w:i/>
          <w:iCs/>
          <w:sz w:val="24"/>
          <w:szCs w:val="24"/>
          <w:lang w:val="bg-BG"/>
        </w:rPr>
        <w:t xml:space="preserve">на процеса на планиране и </w:t>
      </w:r>
      <w:r w:rsidR="00601122" w:rsidRPr="00610B1B">
        <w:rPr>
          <w:rFonts w:ascii="Times New Roman" w:hAnsi="Times New Roman" w:cs="Times New Roman"/>
          <w:b/>
          <w:i/>
          <w:iCs/>
          <w:sz w:val="24"/>
          <w:szCs w:val="24"/>
          <w:lang w:val="bg-BG"/>
        </w:rPr>
        <w:t>постоянство в</w:t>
      </w:r>
      <w:r w:rsidR="005E7CAF" w:rsidRPr="00610B1B">
        <w:rPr>
          <w:rFonts w:ascii="Times New Roman" w:hAnsi="Times New Roman" w:cs="Times New Roman"/>
          <w:b/>
          <w:i/>
          <w:iCs/>
          <w:sz w:val="24"/>
          <w:szCs w:val="24"/>
          <w:lang w:val="bg-BG"/>
        </w:rPr>
        <w:t xml:space="preserve"> наблюдението</w:t>
      </w:r>
      <w:r w:rsidR="00DE3A13" w:rsidRPr="00610B1B">
        <w:rPr>
          <w:rFonts w:ascii="Times New Roman" w:hAnsi="Times New Roman" w:cs="Times New Roman"/>
          <w:b/>
          <w:i/>
          <w:iCs/>
          <w:sz w:val="24"/>
          <w:szCs w:val="24"/>
          <w:lang w:val="bg-BG"/>
        </w:rPr>
        <w:t xml:space="preserve"> –</w:t>
      </w:r>
      <w:r w:rsidRPr="00610B1B">
        <w:rPr>
          <w:rFonts w:ascii="Times New Roman" w:hAnsi="Times New Roman" w:cs="Times New Roman"/>
          <w:bCs/>
          <w:sz w:val="24"/>
          <w:szCs w:val="24"/>
          <w:lang w:val="bg-BG"/>
        </w:rPr>
        <w:t xml:space="preserve"> </w:t>
      </w:r>
      <w:r w:rsidR="00613E92" w:rsidRPr="00610B1B">
        <w:rPr>
          <w:rFonts w:ascii="Times New Roman" w:hAnsi="Times New Roman" w:cs="Times New Roman"/>
          <w:bCs/>
          <w:sz w:val="24"/>
          <w:szCs w:val="24"/>
          <w:lang w:val="bg-BG"/>
        </w:rPr>
        <w:t>Осигуряване на такъв процес и формат на морско пространствен</w:t>
      </w:r>
      <w:r w:rsidR="00DC512E" w:rsidRPr="00610B1B">
        <w:rPr>
          <w:rFonts w:ascii="Times New Roman" w:hAnsi="Times New Roman" w:cs="Times New Roman"/>
          <w:bCs/>
          <w:sz w:val="24"/>
          <w:szCs w:val="24"/>
          <w:lang w:val="bg-BG"/>
        </w:rPr>
        <w:t>о планиране, кои</w:t>
      </w:r>
      <w:r w:rsidR="00613E92" w:rsidRPr="00610B1B">
        <w:rPr>
          <w:rFonts w:ascii="Times New Roman" w:hAnsi="Times New Roman" w:cs="Times New Roman"/>
          <w:bCs/>
          <w:sz w:val="24"/>
          <w:szCs w:val="24"/>
          <w:lang w:val="bg-BG"/>
        </w:rPr>
        <w:t xml:space="preserve">то позволяват да се отчита динамиката на морската среда и промените в нея и да се прилагат ясни механизми за мониторинг, оценка и ревизиране на плана; </w:t>
      </w:r>
    </w:p>
    <w:p w14:paraId="17AE314C" w14:textId="73C2D927" w:rsidR="00C35CCD" w:rsidRPr="00610B1B" w:rsidRDefault="00C35CCD"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Съгласуваност</w:t>
      </w:r>
      <w:r w:rsidR="00D66FE0" w:rsidRPr="00610B1B">
        <w:rPr>
          <w:rFonts w:ascii="Times New Roman" w:hAnsi="Times New Roman" w:cs="Times New Roman"/>
          <w:b/>
          <w:i/>
          <w:iCs/>
          <w:sz w:val="24"/>
          <w:szCs w:val="24"/>
          <w:lang w:val="bg-BG"/>
        </w:rPr>
        <w:t xml:space="preserve"> </w:t>
      </w:r>
      <w:r w:rsidRPr="00610B1B">
        <w:rPr>
          <w:rFonts w:ascii="Times New Roman" w:hAnsi="Times New Roman" w:cs="Times New Roman"/>
          <w:b/>
          <w:i/>
          <w:iCs/>
          <w:sz w:val="24"/>
          <w:szCs w:val="24"/>
          <w:lang w:val="bg-BG"/>
        </w:rPr>
        <w:t xml:space="preserve">на сухоземното и морското пространствено планиране </w:t>
      </w:r>
      <w:r w:rsidR="005E7CAF" w:rsidRPr="00610B1B">
        <w:rPr>
          <w:rFonts w:ascii="Times New Roman" w:hAnsi="Times New Roman" w:cs="Times New Roman"/>
          <w:bCs/>
          <w:sz w:val="24"/>
          <w:szCs w:val="24"/>
          <w:lang w:val="bg-BG"/>
        </w:rPr>
        <w:t>–</w:t>
      </w:r>
      <w:r w:rsidRPr="00610B1B">
        <w:rPr>
          <w:rFonts w:ascii="Times New Roman" w:hAnsi="Times New Roman" w:cs="Times New Roman"/>
          <w:b/>
          <w:i/>
          <w:iCs/>
          <w:sz w:val="24"/>
          <w:szCs w:val="24"/>
          <w:lang w:val="bg-BG"/>
        </w:rPr>
        <w:t xml:space="preserve"> </w:t>
      </w:r>
      <w:r w:rsidR="005E7CAF" w:rsidRPr="00610B1B">
        <w:rPr>
          <w:rFonts w:ascii="Times New Roman" w:hAnsi="Times New Roman" w:cs="Times New Roman"/>
          <w:bCs/>
          <w:sz w:val="24"/>
          <w:szCs w:val="24"/>
          <w:lang w:val="bg-BG"/>
        </w:rPr>
        <w:t>Съвместяване на двата инструмента за прилагане на Интегрираната морска политика – Интегрираното управление на крайбрежни зони и Морското пространствено планиране за обвързване на дейностите на сушата с тези, базирани в морето и намаляване на вредните им въздействия.</w:t>
      </w:r>
      <w:r w:rsidR="00D66FE0" w:rsidRPr="00610B1B">
        <w:rPr>
          <w:rFonts w:ascii="Times New Roman" w:hAnsi="Times New Roman" w:cs="Times New Roman"/>
          <w:bCs/>
          <w:sz w:val="24"/>
          <w:szCs w:val="24"/>
          <w:lang w:val="bg-BG"/>
        </w:rPr>
        <w:t xml:space="preserve"> </w:t>
      </w:r>
    </w:p>
    <w:p w14:paraId="099D6F4D" w14:textId="30CF1E9C" w:rsidR="00184F3D" w:rsidRPr="00610B1B" w:rsidRDefault="00613E92" w:rsidP="00B46189">
      <w:pPr>
        <w:pStyle w:val="ListParagraph"/>
        <w:numPr>
          <w:ilvl w:val="0"/>
          <w:numId w:val="5"/>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
          <w:i/>
          <w:iCs/>
          <w:sz w:val="24"/>
          <w:szCs w:val="24"/>
          <w:lang w:val="bg-BG"/>
        </w:rPr>
        <w:t>Информационна осигуреност</w:t>
      </w:r>
      <w:r w:rsidRPr="00610B1B">
        <w:rPr>
          <w:rFonts w:ascii="Times New Roman" w:hAnsi="Times New Roman" w:cs="Times New Roman"/>
          <w:bCs/>
          <w:sz w:val="24"/>
          <w:szCs w:val="24"/>
          <w:lang w:val="bg-BG"/>
        </w:rPr>
        <w:t xml:space="preserve"> </w:t>
      </w:r>
      <w:r w:rsidRPr="00610B1B">
        <w:rPr>
          <w:rFonts w:ascii="Times New Roman" w:hAnsi="Times New Roman" w:cs="Times New Roman"/>
          <w:b/>
          <w:i/>
          <w:iCs/>
          <w:sz w:val="24"/>
          <w:szCs w:val="24"/>
          <w:lang w:val="bg-BG"/>
        </w:rPr>
        <w:t>и научна обоснованост</w:t>
      </w:r>
      <w:r w:rsidR="00DE3A13" w:rsidRPr="00610B1B">
        <w:rPr>
          <w:rFonts w:ascii="Times New Roman" w:hAnsi="Times New Roman" w:cs="Times New Roman"/>
          <w:b/>
          <w:i/>
          <w:iCs/>
          <w:sz w:val="24"/>
          <w:szCs w:val="24"/>
          <w:lang w:val="bg-BG"/>
        </w:rPr>
        <w:t xml:space="preserve"> </w:t>
      </w:r>
      <w:r w:rsidR="00DE3A13"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Принципът съответства на заявената готовност за съдействие на държавите членки и реализираните дейности за доразвиване на базата данни </w:t>
      </w:r>
      <w:r w:rsidR="007431DC" w:rsidRPr="00610B1B">
        <w:rPr>
          <w:rFonts w:ascii="Times New Roman" w:hAnsi="Times New Roman" w:cs="Times New Roman"/>
          <w:bCs/>
          <w:sz w:val="24"/>
          <w:szCs w:val="24"/>
          <w:lang w:val="bg-BG"/>
        </w:rPr>
        <w:t>за</w:t>
      </w:r>
      <w:r w:rsidRPr="00610B1B">
        <w:rPr>
          <w:rFonts w:ascii="Times New Roman" w:hAnsi="Times New Roman" w:cs="Times New Roman"/>
          <w:bCs/>
          <w:sz w:val="24"/>
          <w:szCs w:val="24"/>
          <w:lang w:val="bg-BG"/>
        </w:rPr>
        <w:t xml:space="preserve"> използването на актуална, точна и подробна информация, която формира научните основи на морското пространствено планиране</w:t>
      </w:r>
      <w:r w:rsidR="00184F3D" w:rsidRPr="00610B1B">
        <w:rPr>
          <w:rFonts w:ascii="Times New Roman" w:hAnsi="Times New Roman" w:cs="Times New Roman"/>
          <w:bCs/>
          <w:sz w:val="24"/>
          <w:szCs w:val="24"/>
          <w:lang w:val="bg-BG"/>
        </w:rPr>
        <w:t>.</w:t>
      </w:r>
    </w:p>
    <w:p w14:paraId="223F4C72" w14:textId="5AF663D0" w:rsidR="00457431" w:rsidRPr="00610B1B" w:rsidRDefault="00457431"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Cs/>
          <w:sz w:val="24"/>
          <w:szCs w:val="24"/>
          <w:lang w:val="bg-BG"/>
        </w:rPr>
        <w:t xml:space="preserve">Основен инструмент в разработването на морския пространствен план е </w:t>
      </w:r>
      <w:r w:rsidRPr="00610B1B">
        <w:rPr>
          <w:rFonts w:ascii="Times New Roman" w:hAnsi="Times New Roman" w:cs="Times New Roman"/>
          <w:b/>
          <w:sz w:val="24"/>
          <w:szCs w:val="24"/>
          <w:lang w:val="bg-BG"/>
        </w:rPr>
        <w:t xml:space="preserve">Географската информационна система. </w:t>
      </w:r>
      <w:r w:rsidRPr="00610B1B">
        <w:rPr>
          <w:rFonts w:ascii="Times New Roman" w:hAnsi="Times New Roman" w:cs="Times New Roman"/>
          <w:sz w:val="24"/>
          <w:szCs w:val="24"/>
          <w:lang w:val="bg-BG"/>
        </w:rPr>
        <w:t>Изграждането и разработването на Информационна система на Морски пространствен план на Република България е част от информационно осигуряване на процеса по реализация, поддържане, мониторинг и актуализация на плана.</w:t>
      </w:r>
      <w:r w:rsidR="00737394" w:rsidRPr="00610B1B">
        <w:rPr>
          <w:rFonts w:ascii="Times New Roman" w:hAnsi="Times New Roman" w:cs="Times New Roman"/>
          <w:sz w:val="24"/>
          <w:szCs w:val="24"/>
          <w:lang w:val="bg-BG"/>
        </w:rPr>
        <w:t xml:space="preserve"> Структурата </w:t>
      </w:r>
      <w:r w:rsidRPr="00610B1B">
        <w:rPr>
          <w:rFonts w:ascii="Times New Roman" w:hAnsi="Times New Roman" w:cs="Times New Roman"/>
          <w:sz w:val="24"/>
          <w:szCs w:val="24"/>
          <w:lang w:val="bg-BG"/>
        </w:rPr>
        <w:t xml:space="preserve">на базата данни отговаря на изискванията за спецификацията на данните за тема “Sea region” от Анекс 3 на Директива 2007/2/ЕО (INSPIRE) - D2.8.III.16 Data </w:t>
      </w:r>
      <w:r w:rsidRPr="00610B1B">
        <w:rPr>
          <w:rFonts w:ascii="Times New Roman" w:hAnsi="Times New Roman" w:cs="Times New Roman"/>
          <w:sz w:val="24"/>
          <w:szCs w:val="24"/>
          <w:lang w:val="bg-BG"/>
        </w:rPr>
        <w:lastRenderedPageBreak/>
        <w:t xml:space="preserve">Specification on </w:t>
      </w:r>
      <w:r w:rsidRPr="00610B1B">
        <w:rPr>
          <w:rFonts w:ascii="Times New Roman" w:hAnsi="Times New Roman" w:cs="Times New Roman"/>
          <w:i/>
          <w:iCs/>
          <w:sz w:val="24"/>
          <w:szCs w:val="24"/>
          <w:lang w:val="bg-BG"/>
        </w:rPr>
        <w:t xml:space="preserve">Sea Regions </w:t>
      </w:r>
      <w:r w:rsidRPr="00610B1B">
        <w:rPr>
          <w:rFonts w:ascii="Times New Roman" w:hAnsi="Times New Roman" w:cs="Times New Roman"/>
          <w:sz w:val="24"/>
          <w:szCs w:val="24"/>
          <w:lang w:val="bg-BG"/>
        </w:rPr>
        <w:t>– Technical Guidelines</w:t>
      </w:r>
      <w:r w:rsidR="005F6EAB" w:rsidRPr="00610B1B">
        <w:rPr>
          <w:rStyle w:val="FootnoteReference"/>
          <w:rFonts w:ascii="Times New Roman" w:hAnsi="Times New Roman" w:cs="Times New Roman"/>
          <w:sz w:val="24"/>
          <w:szCs w:val="24"/>
          <w:lang w:val="bg-BG"/>
        </w:rPr>
        <w:footnoteReference w:id="11"/>
      </w:r>
      <w:r w:rsidR="00737394"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Структурата от метаданни съответства на ISO 19115.</w:t>
      </w:r>
      <w:r w:rsidR="00737394"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Координатната референтна система, която </w:t>
      </w:r>
      <w:r w:rsidR="00737394" w:rsidRPr="00610B1B">
        <w:rPr>
          <w:rFonts w:ascii="Times New Roman" w:hAnsi="Times New Roman" w:cs="Times New Roman"/>
          <w:sz w:val="24"/>
          <w:szCs w:val="24"/>
          <w:lang w:val="bg-BG"/>
        </w:rPr>
        <w:t>се</w:t>
      </w:r>
      <w:r w:rsidRPr="00610B1B">
        <w:rPr>
          <w:rFonts w:ascii="Times New Roman" w:hAnsi="Times New Roman" w:cs="Times New Roman"/>
          <w:sz w:val="24"/>
          <w:szCs w:val="24"/>
          <w:lang w:val="bg-BG"/>
        </w:rPr>
        <w:t xml:space="preserve"> използва е BGS2005 UTM 35N с EPSG код 7800</w:t>
      </w:r>
      <w:r w:rsidR="009576A9" w:rsidRPr="00610B1B">
        <w:rPr>
          <w:rFonts w:ascii="Times New Roman" w:hAnsi="Times New Roman" w:cs="Times New Roman"/>
          <w:sz w:val="24"/>
          <w:szCs w:val="24"/>
          <w:lang w:val="bg-BG"/>
        </w:rPr>
        <w:t>.</w:t>
      </w:r>
      <w:r w:rsidRPr="00610B1B">
        <w:rPr>
          <w:rStyle w:val="FootnoteReference"/>
          <w:rFonts w:ascii="Times New Roman" w:hAnsi="Times New Roman" w:cs="Times New Roman"/>
          <w:sz w:val="24"/>
          <w:szCs w:val="24"/>
          <w:lang w:val="bg-BG"/>
        </w:rPr>
        <w:footnoteReference w:id="12"/>
      </w:r>
    </w:p>
    <w:p w14:paraId="70954667" w14:textId="016CD5A9" w:rsidR="002D7650" w:rsidRPr="00610B1B" w:rsidRDefault="002D765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Данните, които </w:t>
      </w:r>
      <w:r w:rsidR="00737394" w:rsidRPr="00610B1B">
        <w:rPr>
          <w:rFonts w:ascii="Times New Roman" w:hAnsi="Times New Roman" w:cs="Times New Roman"/>
          <w:sz w:val="24"/>
          <w:szCs w:val="24"/>
          <w:lang w:val="bg-BG"/>
        </w:rPr>
        <w:t>са</w:t>
      </w:r>
      <w:r w:rsidRPr="00610B1B">
        <w:rPr>
          <w:rFonts w:ascii="Times New Roman" w:hAnsi="Times New Roman" w:cs="Times New Roman"/>
          <w:sz w:val="24"/>
          <w:szCs w:val="24"/>
          <w:lang w:val="bg-BG"/>
        </w:rPr>
        <w:t xml:space="preserve"> анализирани за целите на морското пространствено планиране, са получени от три </w:t>
      </w:r>
      <w:r w:rsidR="00954840" w:rsidRPr="00610B1B">
        <w:rPr>
          <w:rFonts w:ascii="Times New Roman" w:hAnsi="Times New Roman" w:cs="Times New Roman"/>
          <w:sz w:val="24"/>
          <w:szCs w:val="24"/>
          <w:lang w:val="bg-BG"/>
        </w:rPr>
        <w:t xml:space="preserve">вида </w:t>
      </w:r>
      <w:r w:rsidRPr="00610B1B">
        <w:rPr>
          <w:rFonts w:ascii="Times New Roman" w:hAnsi="Times New Roman" w:cs="Times New Roman"/>
          <w:sz w:val="24"/>
          <w:szCs w:val="24"/>
          <w:lang w:val="bg-BG"/>
        </w:rPr>
        <w:t>национални източни</w:t>
      </w:r>
      <w:r w:rsidR="00954840" w:rsidRPr="00610B1B">
        <w:rPr>
          <w:rFonts w:ascii="Times New Roman" w:hAnsi="Times New Roman" w:cs="Times New Roman"/>
          <w:sz w:val="24"/>
          <w:szCs w:val="24"/>
          <w:lang w:val="bg-BG"/>
        </w:rPr>
        <w:t>ци</w:t>
      </w:r>
      <w:r w:rsidR="00D6532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от администратори</w:t>
      </w:r>
      <w:r w:rsidR="00D65324" w:rsidRPr="00610B1B">
        <w:rPr>
          <w:rFonts w:ascii="Times New Roman" w:hAnsi="Times New Roman" w:cs="Times New Roman"/>
          <w:sz w:val="24"/>
          <w:szCs w:val="24"/>
          <w:lang w:val="bg-BG"/>
        </w:rPr>
        <w:t xml:space="preserve"> с </w:t>
      </w:r>
      <w:r w:rsidRPr="00610B1B">
        <w:rPr>
          <w:rFonts w:ascii="Times New Roman" w:hAnsi="Times New Roman" w:cs="Times New Roman"/>
          <w:sz w:val="24"/>
          <w:szCs w:val="24"/>
          <w:lang w:val="bg-BG"/>
        </w:rPr>
        <w:t>правомощия за</w:t>
      </w:r>
      <w:r w:rsidR="00737394" w:rsidRPr="00610B1B">
        <w:rPr>
          <w:rFonts w:ascii="Times New Roman" w:hAnsi="Times New Roman" w:cs="Times New Roman"/>
          <w:sz w:val="24"/>
          <w:szCs w:val="24"/>
          <w:lang w:val="bg-BG"/>
        </w:rPr>
        <w:t xml:space="preserve"> създаване и поддържане </w:t>
      </w:r>
      <w:r w:rsidR="00D65324" w:rsidRPr="00610B1B">
        <w:rPr>
          <w:rFonts w:ascii="Times New Roman" w:hAnsi="Times New Roman" w:cs="Times New Roman"/>
          <w:sz w:val="24"/>
          <w:szCs w:val="24"/>
          <w:lang w:val="bg-BG"/>
        </w:rPr>
        <w:t xml:space="preserve">на данните; </w:t>
      </w:r>
      <w:r w:rsidRPr="00610B1B">
        <w:rPr>
          <w:rFonts w:ascii="Times New Roman" w:hAnsi="Times New Roman" w:cs="Times New Roman"/>
          <w:sz w:val="24"/>
          <w:szCs w:val="24"/>
          <w:lang w:val="bg-BG"/>
        </w:rPr>
        <w:t>неофициални</w:t>
      </w:r>
      <w:r w:rsidR="00D65324" w:rsidRPr="00610B1B">
        <w:rPr>
          <w:rFonts w:ascii="Times New Roman" w:hAnsi="Times New Roman" w:cs="Times New Roman"/>
          <w:sz w:val="24"/>
          <w:szCs w:val="24"/>
          <w:lang w:val="bg-BG"/>
        </w:rPr>
        <w:t xml:space="preserve">, статични </w:t>
      </w:r>
      <w:r w:rsidRPr="00610B1B">
        <w:rPr>
          <w:rFonts w:ascii="Times New Roman" w:hAnsi="Times New Roman" w:cs="Times New Roman"/>
          <w:sz w:val="24"/>
          <w:szCs w:val="24"/>
          <w:lang w:val="bg-BG"/>
        </w:rPr>
        <w:t>източници, предоставени еднократно от анализи, мониторингови доклади и от приключили национални и европейски проекти</w:t>
      </w:r>
      <w:r w:rsidR="00D65324" w:rsidRPr="00610B1B">
        <w:rPr>
          <w:rFonts w:ascii="Times New Roman" w:hAnsi="Times New Roman" w:cs="Times New Roman"/>
          <w:sz w:val="24"/>
          <w:szCs w:val="24"/>
          <w:lang w:val="bg-BG"/>
        </w:rPr>
        <w:t xml:space="preserve">; и </w:t>
      </w:r>
      <w:r w:rsidRPr="00610B1B">
        <w:rPr>
          <w:rFonts w:ascii="Times New Roman" w:hAnsi="Times New Roman" w:cs="Times New Roman"/>
          <w:sz w:val="24"/>
          <w:szCs w:val="24"/>
          <w:lang w:val="bg-BG"/>
        </w:rPr>
        <w:t xml:space="preserve">пространствени данни, получени във вид на слоеве посредством </w:t>
      </w:r>
      <w:r w:rsidR="00737394" w:rsidRPr="00610B1B">
        <w:rPr>
          <w:rFonts w:ascii="Times New Roman" w:hAnsi="Times New Roman" w:cs="Times New Roman"/>
          <w:sz w:val="24"/>
          <w:szCs w:val="24"/>
          <w:lang w:val="bg-BG"/>
        </w:rPr>
        <w:t xml:space="preserve">Web </w:t>
      </w:r>
      <w:r w:rsidR="00A13509" w:rsidRPr="00610B1B">
        <w:rPr>
          <w:rFonts w:ascii="Times New Roman" w:hAnsi="Times New Roman" w:cs="Times New Roman"/>
          <w:sz w:val="24"/>
          <w:szCs w:val="24"/>
          <w:lang w:val="bg-BG"/>
        </w:rPr>
        <w:t>базирани услуги (WMS)</w:t>
      </w:r>
      <w:r w:rsidR="00737394" w:rsidRPr="00610B1B">
        <w:rPr>
          <w:rFonts w:ascii="Times New Roman" w:hAnsi="Times New Roman" w:cs="Times New Roman"/>
          <w:sz w:val="24"/>
          <w:szCs w:val="24"/>
          <w:lang w:val="bg-BG"/>
        </w:rPr>
        <w:t xml:space="preserve">. </w:t>
      </w:r>
      <w:r w:rsidR="00D65324"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зползвани </w:t>
      </w:r>
      <w:r w:rsidR="00D65324" w:rsidRPr="00610B1B">
        <w:rPr>
          <w:rFonts w:ascii="Times New Roman" w:hAnsi="Times New Roman" w:cs="Times New Roman"/>
          <w:sz w:val="24"/>
          <w:szCs w:val="24"/>
          <w:lang w:val="bg-BG"/>
        </w:rPr>
        <w:t xml:space="preserve">са </w:t>
      </w:r>
      <w:r w:rsidRPr="00610B1B">
        <w:rPr>
          <w:rFonts w:ascii="Times New Roman" w:hAnsi="Times New Roman" w:cs="Times New Roman"/>
          <w:sz w:val="24"/>
          <w:szCs w:val="24"/>
          <w:lang w:val="bg-BG"/>
        </w:rPr>
        <w:t>и източници от web платформи, като например E</w:t>
      </w:r>
      <w:r w:rsidR="00954840" w:rsidRPr="00610B1B">
        <w:rPr>
          <w:rFonts w:ascii="Times New Roman" w:hAnsi="Times New Roman" w:cs="Times New Roman"/>
          <w:sz w:val="24"/>
          <w:szCs w:val="24"/>
          <w:lang w:val="bg-BG"/>
        </w:rPr>
        <w:t>MOD</w:t>
      </w:r>
      <w:r w:rsidRPr="00610B1B">
        <w:rPr>
          <w:rFonts w:ascii="Times New Roman" w:hAnsi="Times New Roman" w:cs="Times New Roman"/>
          <w:sz w:val="24"/>
          <w:szCs w:val="24"/>
          <w:lang w:val="bg-BG"/>
        </w:rPr>
        <w:t>N</w:t>
      </w:r>
      <w:r w:rsidR="00954840" w:rsidRPr="00610B1B">
        <w:rPr>
          <w:rFonts w:ascii="Times New Roman" w:hAnsi="Times New Roman" w:cs="Times New Roman"/>
          <w:sz w:val="24"/>
          <w:szCs w:val="24"/>
          <w:lang w:val="bg-BG"/>
        </w:rPr>
        <w:t>et</w:t>
      </w:r>
      <w:r w:rsidR="0075083C" w:rsidRPr="00610B1B">
        <w:rPr>
          <w:rStyle w:val="FootnoteReference"/>
          <w:rFonts w:ascii="Times New Roman" w:hAnsi="Times New Roman" w:cs="Times New Roman"/>
          <w:sz w:val="24"/>
          <w:szCs w:val="24"/>
          <w:lang w:val="bg-BG"/>
        </w:rPr>
        <w:footnoteReference w:id="13"/>
      </w:r>
      <w:r w:rsidR="00737394" w:rsidRPr="00610B1B">
        <w:rPr>
          <w:rFonts w:ascii="Times New Roman" w:hAnsi="Times New Roman" w:cs="Times New Roman"/>
          <w:sz w:val="24"/>
          <w:szCs w:val="24"/>
          <w:lang w:val="bg-BG"/>
        </w:rPr>
        <w:t xml:space="preserve">, European MSP Platform, </w:t>
      </w:r>
      <w:r w:rsidR="00954840" w:rsidRPr="00610B1B">
        <w:rPr>
          <w:rFonts w:ascii="Times New Roman" w:hAnsi="Times New Roman" w:cs="Times New Roman"/>
          <w:sz w:val="24"/>
          <w:szCs w:val="24"/>
          <w:lang w:val="bg-BG"/>
        </w:rPr>
        <w:t>EEA</w:t>
      </w:r>
      <w:r w:rsidR="00954840" w:rsidRPr="00610B1B">
        <w:rPr>
          <w:rStyle w:val="FootnoteReference"/>
          <w:rFonts w:ascii="Times New Roman" w:hAnsi="Times New Roman" w:cs="Times New Roman"/>
          <w:sz w:val="24"/>
          <w:szCs w:val="24"/>
          <w:lang w:val="bg-BG"/>
        </w:rPr>
        <w:footnoteReference w:id="14"/>
      </w:r>
      <w:r w:rsidR="00954840" w:rsidRPr="00610B1B">
        <w:rPr>
          <w:rFonts w:ascii="Times New Roman" w:hAnsi="Times New Roman" w:cs="Times New Roman"/>
          <w:sz w:val="24"/>
          <w:szCs w:val="24"/>
          <w:lang w:val="bg-BG"/>
        </w:rPr>
        <w:t>,</w:t>
      </w:r>
      <w:r w:rsidR="00954840" w:rsidRPr="00610B1B">
        <w:rPr>
          <w:rFonts w:ascii="Times New Roman" w:hAnsi="Times New Roman" w:cs="Times New Roman"/>
          <w:lang w:val="bg-BG"/>
        </w:rPr>
        <w:t xml:space="preserve"> </w:t>
      </w:r>
      <w:r w:rsidR="00DA0827" w:rsidRPr="00610B1B">
        <w:rPr>
          <w:rFonts w:ascii="Times New Roman" w:hAnsi="Times New Roman" w:cs="Times New Roman"/>
          <w:sz w:val="24"/>
          <w:szCs w:val="24"/>
          <w:lang w:val="bg-BG"/>
        </w:rPr>
        <w:t>EUNIS</w:t>
      </w:r>
      <w:r w:rsidR="00DA0827" w:rsidRPr="00610B1B">
        <w:rPr>
          <w:rFonts w:ascii="Times New Roman" w:hAnsi="Times New Roman" w:cs="Times New Roman"/>
          <w:lang w:val="bg-BG"/>
        </w:rPr>
        <w:t xml:space="preserve">, </w:t>
      </w:r>
      <w:r w:rsidR="00954840" w:rsidRPr="00610B1B">
        <w:rPr>
          <w:rFonts w:ascii="Times New Roman" w:hAnsi="Times New Roman" w:cs="Times New Roman"/>
          <w:sz w:val="24"/>
          <w:szCs w:val="24"/>
          <w:lang w:val="bg-BG"/>
        </w:rPr>
        <w:t>Marine Information System for Europe</w:t>
      </w:r>
      <w:r w:rsidR="006861EF" w:rsidRPr="00610B1B">
        <w:rPr>
          <w:rFonts w:ascii="Times New Roman" w:hAnsi="Times New Roman" w:cs="Times New Roman"/>
          <w:sz w:val="24"/>
          <w:szCs w:val="24"/>
          <w:lang w:val="bg-BG"/>
        </w:rPr>
        <w:t xml:space="preserve"> (WISE Marine)</w:t>
      </w:r>
      <w:r w:rsidR="00954840" w:rsidRPr="00610B1B">
        <w:rPr>
          <w:rStyle w:val="FootnoteReference"/>
          <w:rFonts w:ascii="Times New Roman" w:hAnsi="Times New Roman" w:cs="Times New Roman"/>
          <w:sz w:val="24"/>
          <w:szCs w:val="24"/>
          <w:lang w:val="bg-BG"/>
        </w:rPr>
        <w:footnoteReference w:id="15"/>
      </w:r>
      <w:r w:rsidR="00954840" w:rsidRPr="00610B1B">
        <w:rPr>
          <w:rFonts w:ascii="Times New Roman" w:hAnsi="Times New Roman" w:cs="Times New Roman"/>
          <w:sz w:val="24"/>
          <w:szCs w:val="24"/>
          <w:lang w:val="bg-BG"/>
        </w:rPr>
        <w:t>,</w:t>
      </w:r>
      <w:r w:rsidR="00954840" w:rsidRPr="00610B1B">
        <w:rPr>
          <w:rFonts w:ascii="Times New Roman" w:hAnsi="Times New Roman" w:cs="Times New Roman"/>
          <w:lang w:val="bg-BG"/>
        </w:rPr>
        <w:t xml:space="preserve"> </w:t>
      </w:r>
      <w:r w:rsidR="00737394" w:rsidRPr="00610B1B">
        <w:rPr>
          <w:rFonts w:ascii="Times New Roman" w:hAnsi="Times New Roman" w:cs="Times New Roman"/>
          <w:sz w:val="24"/>
          <w:szCs w:val="24"/>
          <w:lang w:val="bg-BG"/>
        </w:rPr>
        <w:t xml:space="preserve">EUROSTAT, ESPON, </w:t>
      </w:r>
      <w:r w:rsidR="00F17BA3" w:rsidRPr="00610B1B">
        <w:rPr>
          <w:rFonts w:ascii="Times New Roman" w:hAnsi="Times New Roman" w:cs="Times New Roman"/>
          <w:sz w:val="24"/>
          <w:szCs w:val="24"/>
          <w:lang w:val="bg-BG"/>
        </w:rPr>
        <w:t xml:space="preserve">Eвропейски атлас на моретата. </w:t>
      </w:r>
    </w:p>
    <w:p w14:paraId="474D77C1" w14:textId="77777777" w:rsidR="00261A06" w:rsidRPr="00610B1B" w:rsidRDefault="00261A06" w:rsidP="00D32D6A">
      <w:pPr>
        <w:spacing w:after="120"/>
        <w:ind w:right="-153"/>
        <w:jc w:val="both"/>
        <w:rPr>
          <w:rFonts w:ascii="Times New Roman" w:hAnsi="Times New Roman" w:cs="Times New Roman"/>
          <w:sz w:val="24"/>
          <w:szCs w:val="24"/>
          <w:lang w:val="bg-BG"/>
        </w:rPr>
      </w:pPr>
    </w:p>
    <w:p w14:paraId="1948C7AF" w14:textId="62E71F3D" w:rsidR="00F373EE" w:rsidRPr="00610B1B" w:rsidRDefault="00F17BA3" w:rsidP="00D32D6A">
      <w:pPr>
        <w:pStyle w:val="Heading3"/>
        <w:spacing w:before="0" w:line="276" w:lineRule="auto"/>
        <w:ind w:right="-153"/>
        <w:rPr>
          <w:rFonts w:cs="Times New Roman"/>
        </w:rPr>
      </w:pPr>
      <w:bookmarkStart w:id="10" w:name="_Toc83391353"/>
      <w:r w:rsidRPr="00610B1B">
        <w:rPr>
          <w:rFonts w:cs="Times New Roman"/>
        </w:rPr>
        <w:t>1.1</w:t>
      </w:r>
      <w:r w:rsidR="001D3664" w:rsidRPr="00610B1B">
        <w:rPr>
          <w:rFonts w:cs="Times New Roman"/>
        </w:rPr>
        <w:t xml:space="preserve">.2. </w:t>
      </w:r>
      <w:r w:rsidR="00F373EE" w:rsidRPr="00610B1B">
        <w:rPr>
          <w:rFonts w:cs="Times New Roman"/>
        </w:rPr>
        <w:t>Институционална рамка</w:t>
      </w:r>
      <w:bookmarkEnd w:id="10"/>
      <w:r w:rsidR="00D66FE0" w:rsidRPr="00610B1B">
        <w:rPr>
          <w:rFonts w:cs="Times New Roman"/>
        </w:rPr>
        <w:t xml:space="preserve"> </w:t>
      </w:r>
    </w:p>
    <w:p w14:paraId="6DC96630" w14:textId="5E86346E" w:rsidR="000D2FE8" w:rsidRPr="00610B1B" w:rsidRDefault="00B6024B"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Институционалната рамка на морското пространствено планиране в България и на неговия основен инструмент – Морския пространствен план на страната, е определена в </w:t>
      </w:r>
      <w:r w:rsidR="002947B3" w:rsidRPr="00610B1B">
        <w:rPr>
          <w:rFonts w:ascii="Times New Roman" w:hAnsi="Times New Roman" w:cs="Times New Roman"/>
          <w:bCs/>
          <w:sz w:val="24"/>
          <w:szCs w:val="24"/>
          <w:lang w:val="bg-BG"/>
        </w:rPr>
        <w:t xml:space="preserve">Раздел VІІ „Използване на морските пространства и опазване на морската среда“ </w:t>
      </w:r>
      <w:r w:rsidRPr="00610B1B">
        <w:rPr>
          <w:rFonts w:ascii="Times New Roman" w:hAnsi="Times New Roman" w:cs="Times New Roman"/>
          <w:bCs/>
          <w:sz w:val="24"/>
          <w:szCs w:val="24"/>
          <w:lang w:val="bg-BG"/>
        </w:rPr>
        <w:t>на Закона за морските пространства, вътрешните водни пътища и пристанища на Република България</w:t>
      </w:r>
      <w:r w:rsidR="00004E6B" w:rsidRPr="00610B1B">
        <w:rPr>
          <w:rFonts w:ascii="Times New Roman" w:hAnsi="Times New Roman" w:cs="Times New Roman"/>
          <w:bCs/>
          <w:sz w:val="24"/>
          <w:szCs w:val="24"/>
          <w:lang w:val="bg-BG"/>
        </w:rPr>
        <w:t xml:space="preserve"> (ЗМПВВППРБ)</w:t>
      </w:r>
      <w:r w:rsidR="002947B3" w:rsidRPr="00610B1B">
        <w:rPr>
          <w:rFonts w:ascii="Times New Roman" w:hAnsi="Times New Roman" w:cs="Times New Roman"/>
          <w:bCs/>
          <w:sz w:val="24"/>
          <w:szCs w:val="24"/>
          <w:lang w:val="bg-BG"/>
        </w:rPr>
        <w:t>.</w:t>
      </w:r>
      <w:r w:rsidRPr="00610B1B">
        <w:rPr>
          <w:rStyle w:val="FootnoteReference"/>
          <w:rFonts w:ascii="Times New Roman" w:hAnsi="Times New Roman" w:cs="Times New Roman"/>
          <w:bCs/>
          <w:sz w:val="24"/>
          <w:szCs w:val="24"/>
          <w:lang w:val="bg-BG"/>
        </w:rPr>
        <w:footnoteReference w:id="16"/>
      </w:r>
      <w:r w:rsidR="00A13509" w:rsidRPr="00610B1B">
        <w:rPr>
          <w:rFonts w:ascii="Times New Roman" w:hAnsi="Times New Roman" w:cs="Times New Roman"/>
          <w:bCs/>
          <w:sz w:val="24"/>
          <w:szCs w:val="24"/>
          <w:lang w:val="bg-BG"/>
        </w:rPr>
        <w:t xml:space="preserve"> Ръководството </w:t>
      </w:r>
      <w:r w:rsidR="002947B3" w:rsidRPr="00610B1B">
        <w:rPr>
          <w:rFonts w:ascii="Times New Roman" w:hAnsi="Times New Roman" w:cs="Times New Roman"/>
          <w:bCs/>
          <w:sz w:val="24"/>
          <w:szCs w:val="24"/>
          <w:lang w:val="bg-BG"/>
        </w:rPr>
        <w:t>и координация</w:t>
      </w:r>
      <w:r w:rsidR="00A13509" w:rsidRPr="00610B1B">
        <w:rPr>
          <w:rFonts w:ascii="Times New Roman" w:hAnsi="Times New Roman" w:cs="Times New Roman"/>
          <w:bCs/>
          <w:sz w:val="24"/>
          <w:szCs w:val="24"/>
          <w:lang w:val="bg-BG"/>
        </w:rPr>
        <w:t>та</w:t>
      </w:r>
      <w:r w:rsidR="002947B3" w:rsidRPr="00610B1B">
        <w:rPr>
          <w:rFonts w:ascii="Times New Roman" w:hAnsi="Times New Roman" w:cs="Times New Roman"/>
          <w:bCs/>
          <w:sz w:val="24"/>
          <w:szCs w:val="24"/>
          <w:lang w:val="bg-BG"/>
        </w:rPr>
        <w:t xml:space="preserve"> на дейността по морско пространствено планиране се осъществява от министъра на регионалното развитие и благоустройството, който отговаря и за изработването и поддържането на Морския пространствен план на Република България</w:t>
      </w:r>
      <w:r w:rsidR="00A13509" w:rsidRPr="00610B1B">
        <w:rPr>
          <w:rFonts w:ascii="Times New Roman" w:hAnsi="Times New Roman" w:cs="Times New Roman"/>
          <w:lang w:val="bg-BG"/>
        </w:rPr>
        <w:t xml:space="preserve"> (</w:t>
      </w:r>
      <w:r w:rsidR="00A13509" w:rsidRPr="00610B1B">
        <w:rPr>
          <w:rFonts w:ascii="Times New Roman" w:hAnsi="Times New Roman" w:cs="Times New Roman"/>
          <w:bCs/>
          <w:sz w:val="24"/>
          <w:szCs w:val="24"/>
          <w:lang w:val="bg-BG"/>
        </w:rPr>
        <w:t>чл. 51б).</w:t>
      </w:r>
      <w:r w:rsidR="002947B3" w:rsidRPr="00610B1B">
        <w:rPr>
          <w:rFonts w:ascii="Times New Roman" w:hAnsi="Times New Roman" w:cs="Times New Roman"/>
          <w:bCs/>
          <w:sz w:val="24"/>
          <w:szCs w:val="24"/>
          <w:lang w:val="bg-BG"/>
        </w:rPr>
        <w:t xml:space="preserve"> Работата му се подпомага от Консултативен съвет, в който са включени представители на всички заинтересовани страни за да се </w:t>
      </w:r>
      <w:r w:rsidR="00D65324" w:rsidRPr="00610B1B">
        <w:rPr>
          <w:rFonts w:ascii="Times New Roman" w:hAnsi="Times New Roman" w:cs="Times New Roman"/>
          <w:bCs/>
          <w:sz w:val="24"/>
          <w:szCs w:val="24"/>
          <w:lang w:val="bg-BG"/>
        </w:rPr>
        <w:t xml:space="preserve">улесни </w:t>
      </w:r>
      <w:r w:rsidR="002947B3" w:rsidRPr="00610B1B">
        <w:rPr>
          <w:rFonts w:ascii="Times New Roman" w:hAnsi="Times New Roman" w:cs="Times New Roman"/>
          <w:bCs/>
          <w:sz w:val="24"/>
          <w:szCs w:val="24"/>
          <w:lang w:val="bg-BG"/>
        </w:rPr>
        <w:t>сътрудничеството и координацията между сектори</w:t>
      </w:r>
      <w:r w:rsidR="00F17BA3" w:rsidRPr="00610B1B">
        <w:rPr>
          <w:rFonts w:ascii="Times New Roman" w:hAnsi="Times New Roman" w:cs="Times New Roman"/>
          <w:bCs/>
          <w:sz w:val="24"/>
          <w:szCs w:val="24"/>
          <w:lang w:val="bg-BG"/>
        </w:rPr>
        <w:t>те</w:t>
      </w:r>
      <w:r w:rsidR="002947B3" w:rsidRPr="00610B1B">
        <w:rPr>
          <w:rFonts w:ascii="Times New Roman" w:hAnsi="Times New Roman" w:cs="Times New Roman"/>
          <w:bCs/>
          <w:sz w:val="24"/>
          <w:szCs w:val="24"/>
          <w:lang w:val="bg-BG"/>
        </w:rPr>
        <w:t xml:space="preserve">. </w:t>
      </w:r>
      <w:r w:rsidR="00776513" w:rsidRPr="00610B1B">
        <w:rPr>
          <w:rFonts w:ascii="Times New Roman" w:hAnsi="Times New Roman" w:cs="Times New Roman"/>
          <w:bCs/>
          <w:sz w:val="24"/>
          <w:szCs w:val="24"/>
          <w:lang w:val="bg-BG"/>
        </w:rPr>
        <w:t xml:space="preserve">Дейността на министъра в областта на морското пространствено планиране се подпомага от </w:t>
      </w:r>
      <w:r w:rsidR="00937850" w:rsidRPr="00610B1B">
        <w:rPr>
          <w:rFonts w:ascii="Times New Roman" w:hAnsi="Times New Roman" w:cs="Times New Roman"/>
          <w:bCs/>
          <w:sz w:val="24"/>
          <w:szCs w:val="24"/>
          <w:lang w:val="bg-BG"/>
        </w:rPr>
        <w:t>всички подразделения на м</w:t>
      </w:r>
      <w:r w:rsidR="00004E6B" w:rsidRPr="00610B1B">
        <w:rPr>
          <w:rFonts w:ascii="Times New Roman" w:hAnsi="Times New Roman" w:cs="Times New Roman"/>
          <w:bCs/>
          <w:sz w:val="24"/>
          <w:szCs w:val="24"/>
          <w:lang w:val="bg-BG"/>
        </w:rPr>
        <w:t>и</w:t>
      </w:r>
      <w:r w:rsidR="00937850" w:rsidRPr="00610B1B">
        <w:rPr>
          <w:rFonts w:ascii="Times New Roman" w:hAnsi="Times New Roman" w:cs="Times New Roman"/>
          <w:bCs/>
          <w:sz w:val="24"/>
          <w:szCs w:val="24"/>
          <w:lang w:val="bg-BG"/>
        </w:rPr>
        <w:t>нистерството, свързани със стратег</w:t>
      </w:r>
      <w:r w:rsidR="00447993" w:rsidRPr="00610B1B">
        <w:rPr>
          <w:rFonts w:ascii="Times New Roman" w:hAnsi="Times New Roman" w:cs="Times New Roman"/>
          <w:bCs/>
          <w:sz w:val="24"/>
          <w:szCs w:val="24"/>
          <w:lang w:val="bg-BG"/>
        </w:rPr>
        <w:t>и</w:t>
      </w:r>
      <w:r w:rsidR="00937850" w:rsidRPr="00610B1B">
        <w:rPr>
          <w:rFonts w:ascii="Times New Roman" w:hAnsi="Times New Roman" w:cs="Times New Roman"/>
          <w:bCs/>
          <w:sz w:val="24"/>
          <w:szCs w:val="24"/>
          <w:lang w:val="bg-BG"/>
        </w:rPr>
        <w:t>ческото регионално, пространствено</w:t>
      </w:r>
      <w:r w:rsidR="00004E6B" w:rsidRPr="00610B1B">
        <w:rPr>
          <w:rFonts w:ascii="Times New Roman" w:hAnsi="Times New Roman" w:cs="Times New Roman"/>
          <w:bCs/>
          <w:sz w:val="24"/>
          <w:szCs w:val="24"/>
          <w:lang w:val="bg-BG"/>
        </w:rPr>
        <w:t>то</w:t>
      </w:r>
      <w:r w:rsidR="00937850" w:rsidRPr="00610B1B">
        <w:rPr>
          <w:rFonts w:ascii="Times New Roman" w:hAnsi="Times New Roman" w:cs="Times New Roman"/>
          <w:bCs/>
          <w:sz w:val="24"/>
          <w:szCs w:val="24"/>
          <w:lang w:val="bg-BG"/>
        </w:rPr>
        <w:t xml:space="preserve"> и устройствено</w:t>
      </w:r>
      <w:r w:rsidR="00004E6B" w:rsidRPr="00610B1B">
        <w:rPr>
          <w:rFonts w:ascii="Times New Roman" w:hAnsi="Times New Roman" w:cs="Times New Roman"/>
          <w:bCs/>
          <w:sz w:val="24"/>
          <w:szCs w:val="24"/>
          <w:lang w:val="bg-BG"/>
        </w:rPr>
        <w:t>то</w:t>
      </w:r>
      <w:r w:rsidR="00937850" w:rsidRPr="00610B1B">
        <w:rPr>
          <w:rFonts w:ascii="Times New Roman" w:hAnsi="Times New Roman" w:cs="Times New Roman"/>
          <w:bCs/>
          <w:sz w:val="24"/>
          <w:szCs w:val="24"/>
          <w:lang w:val="bg-BG"/>
        </w:rPr>
        <w:t xml:space="preserve"> планиране,</w:t>
      </w:r>
      <w:r w:rsidR="00A0638E" w:rsidRPr="00D03DA8">
        <w:rPr>
          <w:rFonts w:ascii="Times New Roman" w:hAnsi="Times New Roman" w:cs="Times New Roman"/>
          <w:bCs/>
          <w:sz w:val="24"/>
          <w:szCs w:val="24"/>
          <w:lang w:val="bg-BG"/>
        </w:rPr>
        <w:t xml:space="preserve"> </w:t>
      </w:r>
      <w:r w:rsidR="00A0638E">
        <w:rPr>
          <w:rFonts w:ascii="Times New Roman" w:hAnsi="Times New Roman" w:cs="Times New Roman"/>
          <w:bCs/>
          <w:sz w:val="24"/>
          <w:szCs w:val="24"/>
          <w:lang w:val="bg-BG"/>
        </w:rPr>
        <w:t>превенцията и защитата на крайбрежните урбанизирани територии</w:t>
      </w:r>
      <w:r w:rsidR="00937850" w:rsidRPr="00610B1B">
        <w:rPr>
          <w:rFonts w:ascii="Times New Roman" w:hAnsi="Times New Roman" w:cs="Times New Roman"/>
          <w:bCs/>
          <w:sz w:val="24"/>
          <w:szCs w:val="24"/>
          <w:lang w:val="bg-BG"/>
        </w:rPr>
        <w:t xml:space="preserve"> за опазване на бреговете от абразионни, ерозионни и свлачищни процеси</w:t>
      </w:r>
      <w:r w:rsidR="00004E6B" w:rsidRPr="00610B1B">
        <w:rPr>
          <w:rFonts w:ascii="Times New Roman" w:hAnsi="Times New Roman" w:cs="Times New Roman"/>
          <w:bCs/>
          <w:sz w:val="24"/>
          <w:szCs w:val="24"/>
          <w:lang w:val="bg-BG"/>
        </w:rPr>
        <w:t xml:space="preserve"> и от </w:t>
      </w:r>
      <w:r w:rsidR="00937850" w:rsidRPr="00610B1B">
        <w:rPr>
          <w:rFonts w:ascii="Times New Roman" w:hAnsi="Times New Roman" w:cs="Times New Roman"/>
          <w:bCs/>
          <w:sz w:val="24"/>
          <w:szCs w:val="24"/>
          <w:lang w:val="bg-BG"/>
        </w:rPr>
        <w:t xml:space="preserve">АГКК </w:t>
      </w:r>
      <w:r w:rsidR="00004E6B" w:rsidRPr="00610B1B">
        <w:rPr>
          <w:rFonts w:ascii="Times New Roman" w:hAnsi="Times New Roman" w:cs="Times New Roman"/>
          <w:bCs/>
          <w:sz w:val="24"/>
          <w:szCs w:val="24"/>
          <w:lang w:val="bg-BG"/>
        </w:rPr>
        <w:t xml:space="preserve">във връзка с предоставените правомощия за </w:t>
      </w:r>
      <w:r w:rsidR="00921474" w:rsidRPr="00610B1B">
        <w:rPr>
          <w:rFonts w:ascii="Times New Roman" w:hAnsi="Times New Roman" w:cs="Times New Roman"/>
          <w:bCs/>
          <w:sz w:val="24"/>
          <w:szCs w:val="24"/>
          <w:lang w:val="bg-BG"/>
        </w:rPr>
        <w:t>поддържане на</w:t>
      </w:r>
      <w:r w:rsidR="00921474" w:rsidRPr="00610B1B">
        <w:rPr>
          <w:rFonts w:ascii="Times New Roman" w:hAnsi="Times New Roman" w:cs="Times New Roman"/>
          <w:lang w:val="bg-BG"/>
        </w:rPr>
        <w:t xml:space="preserve"> </w:t>
      </w:r>
      <w:r w:rsidR="00921474" w:rsidRPr="00610B1B">
        <w:rPr>
          <w:rFonts w:ascii="Times New Roman" w:hAnsi="Times New Roman" w:cs="Times New Roman"/>
          <w:bCs/>
          <w:sz w:val="24"/>
          <w:szCs w:val="24"/>
          <w:lang w:val="bg-BG"/>
        </w:rPr>
        <w:t>държавния геодезически, картографски и кадастрален фонд и на мрежата от мареографни станции</w:t>
      </w:r>
      <w:r w:rsidR="000D2FE8" w:rsidRPr="00610B1B">
        <w:rPr>
          <w:rFonts w:ascii="Times New Roman" w:hAnsi="Times New Roman" w:cs="Times New Roman"/>
          <w:bCs/>
          <w:sz w:val="24"/>
          <w:szCs w:val="24"/>
          <w:lang w:val="bg-BG"/>
        </w:rPr>
        <w:t xml:space="preserve">. </w:t>
      </w:r>
      <w:r w:rsidR="00447993" w:rsidRPr="00610B1B">
        <w:rPr>
          <w:rFonts w:ascii="Times New Roman" w:hAnsi="Times New Roman" w:cs="Times New Roman"/>
          <w:bCs/>
          <w:sz w:val="24"/>
          <w:szCs w:val="24"/>
          <w:lang w:val="bg-BG"/>
        </w:rPr>
        <w:t>В процеса на одобряване на морския пространствен план и неговата екологична оценка, както и при наблюдение изпълнение</w:t>
      </w:r>
      <w:r w:rsidR="00A13509" w:rsidRPr="00610B1B">
        <w:rPr>
          <w:rFonts w:ascii="Times New Roman" w:hAnsi="Times New Roman" w:cs="Times New Roman"/>
          <w:bCs/>
          <w:sz w:val="24"/>
          <w:szCs w:val="24"/>
          <w:lang w:val="bg-BG"/>
        </w:rPr>
        <w:t>то</w:t>
      </w:r>
      <w:r w:rsidR="00447993" w:rsidRPr="00610B1B">
        <w:rPr>
          <w:rFonts w:ascii="Times New Roman" w:hAnsi="Times New Roman" w:cs="Times New Roman"/>
          <w:bCs/>
          <w:sz w:val="24"/>
          <w:szCs w:val="24"/>
          <w:lang w:val="bg-BG"/>
        </w:rPr>
        <w:t xml:space="preserve"> на предписанията на компетентния орган участват МОСВ и </w:t>
      </w:r>
      <w:r w:rsidR="008A49C4" w:rsidRPr="00610B1B">
        <w:rPr>
          <w:rFonts w:ascii="Times New Roman" w:hAnsi="Times New Roman" w:cs="Times New Roman"/>
          <w:bCs/>
          <w:sz w:val="24"/>
          <w:szCs w:val="24"/>
          <w:lang w:val="bg-BG"/>
        </w:rPr>
        <w:t xml:space="preserve">МЗ с </w:t>
      </w:r>
      <w:r w:rsidR="00107E3C" w:rsidRPr="00610B1B">
        <w:rPr>
          <w:rFonts w:ascii="Times New Roman" w:hAnsi="Times New Roman" w:cs="Times New Roman"/>
          <w:bCs/>
          <w:sz w:val="24"/>
          <w:szCs w:val="24"/>
          <w:lang w:val="bg-BG"/>
        </w:rPr>
        <w:t>техните</w:t>
      </w:r>
      <w:r w:rsidR="008A49C4" w:rsidRPr="00610B1B">
        <w:rPr>
          <w:rFonts w:ascii="Times New Roman" w:hAnsi="Times New Roman" w:cs="Times New Roman"/>
          <w:bCs/>
          <w:sz w:val="24"/>
          <w:szCs w:val="24"/>
          <w:lang w:val="bg-BG"/>
        </w:rPr>
        <w:t xml:space="preserve"> </w:t>
      </w:r>
      <w:r w:rsidR="00447993" w:rsidRPr="00610B1B">
        <w:rPr>
          <w:rFonts w:ascii="Times New Roman" w:hAnsi="Times New Roman" w:cs="Times New Roman"/>
          <w:bCs/>
          <w:sz w:val="24"/>
          <w:szCs w:val="24"/>
          <w:lang w:val="bg-BG"/>
        </w:rPr>
        <w:t xml:space="preserve">подразделения, </w:t>
      </w:r>
      <w:r w:rsidR="008A49C4" w:rsidRPr="00610B1B">
        <w:rPr>
          <w:rFonts w:ascii="Times New Roman" w:hAnsi="Times New Roman" w:cs="Times New Roman"/>
          <w:bCs/>
          <w:sz w:val="24"/>
          <w:szCs w:val="24"/>
          <w:lang w:val="bg-BG"/>
        </w:rPr>
        <w:t>к</w:t>
      </w:r>
      <w:r w:rsidR="00447993" w:rsidRPr="00610B1B">
        <w:rPr>
          <w:rFonts w:ascii="Times New Roman" w:hAnsi="Times New Roman" w:cs="Times New Roman"/>
          <w:bCs/>
          <w:sz w:val="24"/>
          <w:szCs w:val="24"/>
          <w:lang w:val="bg-BG"/>
        </w:rPr>
        <w:t>акто и неправителствения</w:t>
      </w:r>
      <w:r w:rsidR="008A49C4" w:rsidRPr="00610B1B">
        <w:rPr>
          <w:rFonts w:ascii="Times New Roman" w:hAnsi="Times New Roman" w:cs="Times New Roman"/>
          <w:bCs/>
          <w:sz w:val="24"/>
          <w:szCs w:val="24"/>
          <w:lang w:val="bg-BG"/>
        </w:rPr>
        <w:t>т</w:t>
      </w:r>
      <w:r w:rsidR="00447993" w:rsidRPr="00610B1B">
        <w:rPr>
          <w:rFonts w:ascii="Times New Roman" w:hAnsi="Times New Roman" w:cs="Times New Roman"/>
          <w:bCs/>
          <w:sz w:val="24"/>
          <w:szCs w:val="24"/>
          <w:lang w:val="bg-BG"/>
        </w:rPr>
        <w:t xml:space="preserve"> сектор. В оценката на въздействието в трансграничен контекст се включват съответните институции от Румъния и Турция, както и Комисията за опазване на Черно море от замърсяване</w:t>
      </w:r>
      <w:r w:rsidR="00447993" w:rsidRPr="00610B1B">
        <w:rPr>
          <w:rStyle w:val="FootnoteReference"/>
          <w:rFonts w:ascii="Times New Roman" w:hAnsi="Times New Roman" w:cs="Times New Roman"/>
          <w:bCs/>
          <w:sz w:val="24"/>
          <w:szCs w:val="24"/>
          <w:lang w:val="bg-BG"/>
        </w:rPr>
        <w:footnoteReference w:id="17"/>
      </w:r>
      <w:r w:rsidR="00447993" w:rsidRPr="00610B1B">
        <w:rPr>
          <w:rFonts w:ascii="Times New Roman" w:hAnsi="Times New Roman" w:cs="Times New Roman"/>
          <w:bCs/>
          <w:sz w:val="24"/>
          <w:szCs w:val="24"/>
          <w:lang w:val="bg-BG"/>
        </w:rPr>
        <w:t xml:space="preserve">. </w:t>
      </w:r>
    </w:p>
    <w:p w14:paraId="4E54F2C5" w14:textId="1EBDBDC5" w:rsidR="00CB6AEC" w:rsidRPr="00610B1B" w:rsidRDefault="000D2FE8"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lastRenderedPageBreak/>
        <w:t>В управлението на морския трафик и пристанищата водеща роля има Мини</w:t>
      </w:r>
      <w:r w:rsidR="002947B3" w:rsidRPr="00610B1B">
        <w:rPr>
          <w:rFonts w:ascii="Times New Roman" w:hAnsi="Times New Roman" w:cs="Times New Roman"/>
          <w:bCs/>
          <w:sz w:val="24"/>
          <w:szCs w:val="24"/>
          <w:lang w:val="bg-BG"/>
        </w:rPr>
        <w:t>стерството на транспортаи съобщенията</w:t>
      </w:r>
      <w:r w:rsidRPr="00610B1B">
        <w:rPr>
          <w:rFonts w:ascii="Times New Roman" w:hAnsi="Times New Roman" w:cs="Times New Roman"/>
          <w:bCs/>
          <w:sz w:val="24"/>
          <w:szCs w:val="24"/>
          <w:lang w:val="bg-BG"/>
        </w:rPr>
        <w:t xml:space="preserve">, подпомагано от </w:t>
      </w:r>
      <w:r w:rsidR="002947B3" w:rsidRPr="00610B1B">
        <w:rPr>
          <w:rFonts w:ascii="Times New Roman" w:hAnsi="Times New Roman" w:cs="Times New Roman"/>
          <w:bCs/>
          <w:sz w:val="24"/>
          <w:szCs w:val="24"/>
          <w:lang w:val="bg-BG"/>
        </w:rPr>
        <w:t>ИА „Морска администрация“</w:t>
      </w:r>
      <w:r w:rsidRPr="00610B1B">
        <w:rPr>
          <w:rFonts w:ascii="Times New Roman" w:hAnsi="Times New Roman" w:cs="Times New Roman"/>
          <w:bCs/>
          <w:sz w:val="24"/>
          <w:szCs w:val="24"/>
          <w:lang w:val="bg-BG"/>
        </w:rPr>
        <w:t>,</w:t>
      </w:r>
      <w:r w:rsidR="002947B3" w:rsidRPr="00610B1B">
        <w:rPr>
          <w:rFonts w:ascii="Times New Roman" w:hAnsi="Times New Roman" w:cs="Times New Roman"/>
          <w:bCs/>
          <w:sz w:val="24"/>
          <w:szCs w:val="24"/>
          <w:lang w:val="bg-BG"/>
        </w:rPr>
        <w:t xml:space="preserve"> </w:t>
      </w:r>
      <w:r w:rsidR="00776513" w:rsidRPr="00610B1B">
        <w:rPr>
          <w:rFonts w:ascii="Times New Roman" w:hAnsi="Times New Roman" w:cs="Times New Roman"/>
          <w:bCs/>
          <w:sz w:val="24"/>
          <w:szCs w:val="24"/>
          <w:lang w:val="bg-BG"/>
        </w:rPr>
        <w:t>ДП „Пристанищна инфраструктура“</w:t>
      </w:r>
      <w:r w:rsidRPr="00610B1B">
        <w:rPr>
          <w:rFonts w:ascii="Times New Roman" w:hAnsi="Times New Roman" w:cs="Times New Roman"/>
          <w:bCs/>
          <w:sz w:val="24"/>
          <w:szCs w:val="24"/>
          <w:lang w:val="bg-BG"/>
        </w:rPr>
        <w:t xml:space="preserve"> </w:t>
      </w:r>
      <w:r w:rsidR="00CB6AEC" w:rsidRPr="00610B1B">
        <w:rPr>
          <w:rFonts w:ascii="Times New Roman" w:hAnsi="Times New Roman" w:cs="Times New Roman"/>
          <w:bCs/>
          <w:sz w:val="24"/>
          <w:szCs w:val="24"/>
          <w:lang w:val="bg-BG"/>
        </w:rPr>
        <w:t>с дирекция „Ръководство на корабния трафик – Черно море“ и двата информационни центъра във Варна и Бургас.</w:t>
      </w:r>
      <w:r w:rsidR="00D66FE0" w:rsidRPr="00610B1B">
        <w:rPr>
          <w:rFonts w:ascii="Times New Roman" w:hAnsi="Times New Roman" w:cs="Times New Roman"/>
          <w:bCs/>
          <w:sz w:val="24"/>
          <w:szCs w:val="24"/>
          <w:lang w:val="bg-BG"/>
        </w:rPr>
        <w:t xml:space="preserve"> </w:t>
      </w:r>
      <w:r w:rsidR="00447993" w:rsidRPr="00610B1B">
        <w:rPr>
          <w:rFonts w:ascii="Times New Roman" w:hAnsi="Times New Roman" w:cs="Times New Roman"/>
          <w:bCs/>
          <w:sz w:val="24"/>
          <w:szCs w:val="24"/>
          <w:lang w:val="bg-BG"/>
        </w:rPr>
        <w:t xml:space="preserve">Координацията на трафика се осъществява в съответствие с </w:t>
      </w:r>
      <w:r w:rsidR="00AF41FD" w:rsidRPr="00610B1B">
        <w:rPr>
          <w:rFonts w:ascii="Times New Roman" w:hAnsi="Times New Roman" w:cs="Times New Roman"/>
          <w:bCs/>
          <w:sz w:val="24"/>
          <w:szCs w:val="24"/>
          <w:lang w:val="bg-BG"/>
        </w:rPr>
        <w:t>действащото международно законодателство, а системите за движение се одобр</w:t>
      </w:r>
      <w:r w:rsidR="008A49C4" w:rsidRPr="00610B1B">
        <w:rPr>
          <w:rFonts w:ascii="Times New Roman" w:hAnsi="Times New Roman" w:cs="Times New Roman"/>
          <w:bCs/>
          <w:sz w:val="24"/>
          <w:szCs w:val="24"/>
          <w:lang w:val="bg-BG"/>
        </w:rPr>
        <w:t>яват</w:t>
      </w:r>
      <w:r w:rsidR="00AF41FD" w:rsidRPr="00610B1B">
        <w:rPr>
          <w:rFonts w:ascii="Times New Roman" w:hAnsi="Times New Roman" w:cs="Times New Roman"/>
          <w:bCs/>
          <w:sz w:val="24"/>
          <w:szCs w:val="24"/>
          <w:lang w:val="bg-BG"/>
        </w:rPr>
        <w:t xml:space="preserve"> от Министерски съвет и от Комитета по морска безопасност на Международната морска организация.</w:t>
      </w:r>
    </w:p>
    <w:p w14:paraId="0C8BA633" w14:textId="780195CE" w:rsidR="00CB6AEC" w:rsidRPr="00610B1B" w:rsidRDefault="005C52C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Рибарството </w:t>
      </w:r>
      <w:r w:rsidR="00CB6AEC" w:rsidRPr="00610B1B">
        <w:rPr>
          <w:rFonts w:ascii="Times New Roman" w:hAnsi="Times New Roman" w:cs="Times New Roman"/>
          <w:bCs/>
          <w:sz w:val="24"/>
          <w:szCs w:val="24"/>
          <w:lang w:val="bg-BG"/>
        </w:rPr>
        <w:t xml:space="preserve">и аквакултурите </w:t>
      </w:r>
      <w:r w:rsidRPr="00610B1B">
        <w:rPr>
          <w:rFonts w:ascii="Times New Roman" w:hAnsi="Times New Roman" w:cs="Times New Roman"/>
          <w:bCs/>
          <w:sz w:val="24"/>
          <w:szCs w:val="24"/>
          <w:lang w:val="bg-BG"/>
        </w:rPr>
        <w:t>са под наблюдението на</w:t>
      </w:r>
      <w:r w:rsidR="00CB6AEC" w:rsidRPr="00610B1B">
        <w:rPr>
          <w:rFonts w:ascii="Times New Roman" w:hAnsi="Times New Roman" w:cs="Times New Roman"/>
          <w:bCs/>
          <w:sz w:val="24"/>
          <w:szCs w:val="24"/>
          <w:lang w:val="bg-BG"/>
        </w:rPr>
        <w:t xml:space="preserve"> </w:t>
      </w:r>
      <w:r w:rsidR="000A6746">
        <w:rPr>
          <w:rFonts w:ascii="Times New Roman" w:hAnsi="Times New Roman" w:cs="Times New Roman"/>
          <w:bCs/>
          <w:sz w:val="24"/>
          <w:szCs w:val="24"/>
          <w:lang w:val="bg-BG"/>
        </w:rPr>
        <w:t>Министерство на земеделието</w:t>
      </w:r>
      <w:r w:rsidR="008A49C4" w:rsidRPr="00610B1B">
        <w:rPr>
          <w:rFonts w:ascii="Times New Roman" w:hAnsi="Times New Roman" w:cs="Times New Roman"/>
          <w:bCs/>
          <w:sz w:val="24"/>
          <w:szCs w:val="24"/>
          <w:lang w:val="bg-BG"/>
        </w:rPr>
        <w:t>чрез ИА „Рибарство и аквакултури“</w:t>
      </w:r>
      <w:r w:rsidR="00CB6AEC" w:rsidRPr="00610B1B">
        <w:rPr>
          <w:rFonts w:ascii="Times New Roman" w:hAnsi="Times New Roman" w:cs="Times New Roman"/>
          <w:bCs/>
          <w:sz w:val="24"/>
          <w:szCs w:val="24"/>
          <w:lang w:val="bg-BG"/>
        </w:rPr>
        <w:t>.</w:t>
      </w:r>
      <w:r w:rsidR="00D66FE0" w:rsidRPr="00610B1B">
        <w:rPr>
          <w:rFonts w:ascii="Times New Roman" w:hAnsi="Times New Roman" w:cs="Times New Roman"/>
          <w:bCs/>
          <w:sz w:val="24"/>
          <w:szCs w:val="24"/>
          <w:lang w:val="bg-BG"/>
        </w:rPr>
        <w:t xml:space="preserve"> </w:t>
      </w:r>
      <w:r w:rsidR="0037269C" w:rsidRPr="00610B1B">
        <w:rPr>
          <w:rFonts w:ascii="Times New Roman" w:hAnsi="Times New Roman" w:cs="Times New Roman"/>
          <w:bCs/>
          <w:sz w:val="24"/>
          <w:szCs w:val="24"/>
          <w:lang w:val="bg-BG"/>
        </w:rPr>
        <w:t xml:space="preserve">Изпълнителният директор на ИАРА определя </w:t>
      </w:r>
      <w:r w:rsidR="008A49C4" w:rsidRPr="00610B1B">
        <w:rPr>
          <w:rFonts w:ascii="Times New Roman" w:hAnsi="Times New Roman" w:cs="Times New Roman"/>
          <w:bCs/>
          <w:sz w:val="24"/>
          <w:szCs w:val="24"/>
          <w:lang w:val="bg-BG"/>
        </w:rPr>
        <w:t xml:space="preserve">със заповед </w:t>
      </w:r>
      <w:r w:rsidR="0037269C" w:rsidRPr="00610B1B">
        <w:rPr>
          <w:rFonts w:ascii="Times New Roman" w:hAnsi="Times New Roman" w:cs="Times New Roman"/>
          <w:bCs/>
          <w:sz w:val="24"/>
          <w:szCs w:val="24"/>
          <w:lang w:val="bg-BG"/>
        </w:rPr>
        <w:t>условията за улов на видовете риба или други водни организми, за които е определен общ допустим улов и/или квота</w:t>
      </w:r>
      <w:r w:rsidR="00D66FE0" w:rsidRPr="00610B1B">
        <w:rPr>
          <w:rFonts w:ascii="Times New Roman" w:hAnsi="Times New Roman" w:cs="Times New Roman"/>
          <w:bCs/>
          <w:sz w:val="24"/>
          <w:szCs w:val="24"/>
          <w:lang w:val="bg-BG"/>
        </w:rPr>
        <w:t xml:space="preserve"> </w:t>
      </w:r>
      <w:r w:rsidR="0037269C" w:rsidRPr="00610B1B">
        <w:rPr>
          <w:rFonts w:ascii="Times New Roman" w:hAnsi="Times New Roman" w:cs="Times New Roman"/>
          <w:bCs/>
          <w:sz w:val="24"/>
          <w:szCs w:val="24"/>
          <w:lang w:val="bg-BG"/>
        </w:rPr>
        <w:t>или такива са определени от Е</w:t>
      </w:r>
      <w:r w:rsidR="008A49C4" w:rsidRPr="00610B1B">
        <w:rPr>
          <w:rFonts w:ascii="Times New Roman" w:hAnsi="Times New Roman" w:cs="Times New Roman"/>
          <w:bCs/>
          <w:sz w:val="24"/>
          <w:szCs w:val="24"/>
          <w:lang w:val="bg-BG"/>
        </w:rPr>
        <w:t>С</w:t>
      </w:r>
      <w:r w:rsidR="0037269C" w:rsidRPr="00610B1B">
        <w:rPr>
          <w:rFonts w:ascii="Times New Roman" w:hAnsi="Times New Roman" w:cs="Times New Roman"/>
          <w:bCs/>
          <w:sz w:val="24"/>
          <w:szCs w:val="24"/>
          <w:lang w:val="bg-BG"/>
        </w:rPr>
        <w:t xml:space="preserve"> за водите на Черно море. </w:t>
      </w:r>
      <w:r w:rsidR="007C0D77" w:rsidRPr="00610B1B">
        <w:rPr>
          <w:rFonts w:ascii="Times New Roman" w:hAnsi="Times New Roman" w:cs="Times New Roman"/>
          <w:bCs/>
          <w:sz w:val="24"/>
          <w:szCs w:val="24"/>
          <w:lang w:val="bg-BG"/>
        </w:rPr>
        <w:t xml:space="preserve">Допълнително интересите в сектора и тези на местните общности </w:t>
      </w:r>
      <w:r w:rsidRPr="00610B1B">
        <w:rPr>
          <w:rFonts w:ascii="Times New Roman" w:hAnsi="Times New Roman" w:cs="Times New Roman"/>
          <w:bCs/>
          <w:sz w:val="24"/>
          <w:szCs w:val="24"/>
          <w:lang w:val="bg-BG"/>
        </w:rPr>
        <w:t xml:space="preserve">се защитават и от </w:t>
      </w:r>
      <w:r w:rsidR="007C0D77" w:rsidRPr="00610B1B">
        <w:rPr>
          <w:rFonts w:ascii="Times New Roman" w:hAnsi="Times New Roman" w:cs="Times New Roman"/>
          <w:bCs/>
          <w:sz w:val="24"/>
          <w:szCs w:val="24"/>
          <w:lang w:val="bg-BG"/>
        </w:rPr>
        <w:t>местните рибарски инициативни групи и асоциациите на рибарите.</w:t>
      </w:r>
      <w:r w:rsidR="0064716E" w:rsidRPr="00610B1B">
        <w:rPr>
          <w:rFonts w:ascii="Times New Roman" w:hAnsi="Times New Roman" w:cs="Times New Roman"/>
          <w:bCs/>
          <w:sz w:val="24"/>
          <w:szCs w:val="24"/>
          <w:lang w:val="bg-BG"/>
        </w:rPr>
        <w:t xml:space="preserve"> Дейността се подпомага и от Националната рибарска мрежа.</w:t>
      </w:r>
      <w:r w:rsidR="007C0D77" w:rsidRPr="00610B1B">
        <w:rPr>
          <w:rFonts w:ascii="Times New Roman" w:hAnsi="Times New Roman" w:cs="Times New Roman"/>
          <w:bCs/>
          <w:sz w:val="24"/>
          <w:szCs w:val="24"/>
          <w:lang w:val="bg-BG"/>
        </w:rPr>
        <w:t xml:space="preserve"> Контрол вър</w:t>
      </w:r>
      <w:r w:rsidR="003D2B62" w:rsidRPr="00610B1B">
        <w:rPr>
          <w:rFonts w:ascii="Times New Roman" w:hAnsi="Times New Roman" w:cs="Times New Roman"/>
          <w:bCs/>
          <w:sz w:val="24"/>
          <w:szCs w:val="24"/>
          <w:lang w:val="bg-BG"/>
        </w:rPr>
        <w:t>х</w:t>
      </w:r>
      <w:r w:rsidR="007C0D77" w:rsidRPr="00610B1B">
        <w:rPr>
          <w:rFonts w:ascii="Times New Roman" w:hAnsi="Times New Roman" w:cs="Times New Roman"/>
          <w:bCs/>
          <w:sz w:val="24"/>
          <w:szCs w:val="24"/>
          <w:lang w:val="bg-BG"/>
        </w:rPr>
        <w:t>у дейността на предприятията за преработка</w:t>
      </w:r>
      <w:r w:rsidRPr="00610B1B">
        <w:rPr>
          <w:rFonts w:ascii="Times New Roman" w:hAnsi="Times New Roman" w:cs="Times New Roman"/>
          <w:bCs/>
          <w:sz w:val="24"/>
          <w:szCs w:val="24"/>
          <w:lang w:val="bg-BG"/>
        </w:rPr>
        <w:t xml:space="preserve"> на риба и рибни продукти се осъ</w:t>
      </w:r>
      <w:r w:rsidR="007C0D77" w:rsidRPr="00610B1B">
        <w:rPr>
          <w:rFonts w:ascii="Times New Roman" w:hAnsi="Times New Roman" w:cs="Times New Roman"/>
          <w:bCs/>
          <w:sz w:val="24"/>
          <w:szCs w:val="24"/>
          <w:lang w:val="bg-BG"/>
        </w:rPr>
        <w:t xml:space="preserve">ществява както от Българската агенция за безопасност на храните (БАБХ), така и </w:t>
      </w:r>
      <w:r w:rsidRPr="00610B1B">
        <w:rPr>
          <w:rFonts w:ascii="Times New Roman" w:hAnsi="Times New Roman" w:cs="Times New Roman"/>
          <w:bCs/>
          <w:sz w:val="24"/>
          <w:szCs w:val="24"/>
          <w:lang w:val="bg-BG"/>
        </w:rPr>
        <w:t xml:space="preserve">от </w:t>
      </w:r>
      <w:r w:rsidR="007C0D77" w:rsidRPr="00610B1B">
        <w:rPr>
          <w:rFonts w:ascii="Times New Roman" w:hAnsi="Times New Roman" w:cs="Times New Roman"/>
          <w:bCs/>
          <w:sz w:val="24"/>
          <w:szCs w:val="24"/>
          <w:lang w:val="bg-BG"/>
        </w:rPr>
        <w:t xml:space="preserve">Регионални здравни инспекции в Добрич, Варна и Бургас. </w:t>
      </w:r>
      <w:r w:rsidR="00AF41FD" w:rsidRPr="00610B1B">
        <w:rPr>
          <w:rFonts w:ascii="Times New Roman" w:hAnsi="Times New Roman" w:cs="Times New Roman"/>
          <w:bCs/>
          <w:sz w:val="24"/>
          <w:szCs w:val="24"/>
          <w:lang w:val="bg-BG"/>
        </w:rPr>
        <w:t>На по-високо равнище сектор</w:t>
      </w:r>
      <w:r w:rsidR="00A13509" w:rsidRPr="00610B1B">
        <w:rPr>
          <w:rFonts w:ascii="Times New Roman" w:hAnsi="Times New Roman" w:cs="Times New Roman"/>
          <w:bCs/>
          <w:sz w:val="24"/>
          <w:szCs w:val="24"/>
          <w:lang w:val="bg-BG"/>
        </w:rPr>
        <w:t>ът</w:t>
      </w:r>
      <w:r w:rsidR="00AF41FD" w:rsidRPr="00610B1B">
        <w:rPr>
          <w:rFonts w:ascii="Times New Roman" w:hAnsi="Times New Roman" w:cs="Times New Roman"/>
          <w:bCs/>
          <w:sz w:val="24"/>
          <w:szCs w:val="24"/>
          <w:lang w:val="bg-BG"/>
        </w:rPr>
        <w:t xml:space="preserve"> се </w:t>
      </w:r>
      <w:r w:rsidR="008A49C4" w:rsidRPr="00610B1B">
        <w:rPr>
          <w:rFonts w:ascii="Times New Roman" w:hAnsi="Times New Roman" w:cs="Times New Roman"/>
          <w:bCs/>
          <w:sz w:val="24"/>
          <w:szCs w:val="24"/>
          <w:lang w:val="bg-BG"/>
        </w:rPr>
        <w:t xml:space="preserve">наблюдава </w:t>
      </w:r>
      <w:r w:rsidR="00AF41FD" w:rsidRPr="00610B1B">
        <w:rPr>
          <w:rFonts w:ascii="Times New Roman" w:hAnsi="Times New Roman" w:cs="Times New Roman"/>
          <w:bCs/>
          <w:sz w:val="24"/>
          <w:szCs w:val="24"/>
          <w:lang w:val="bg-BG"/>
        </w:rPr>
        <w:t xml:space="preserve">от Европейската агенция за контрол на рибарството (ЕFCA), която </w:t>
      </w:r>
      <w:r w:rsidR="00A13509" w:rsidRPr="00610B1B">
        <w:rPr>
          <w:rFonts w:ascii="Times New Roman" w:hAnsi="Times New Roman" w:cs="Times New Roman"/>
          <w:bCs/>
          <w:sz w:val="24"/>
          <w:szCs w:val="24"/>
          <w:lang w:val="bg-BG"/>
        </w:rPr>
        <w:t xml:space="preserve">следи за правилното прилагане на </w:t>
      </w:r>
      <w:r w:rsidR="00AF41FD" w:rsidRPr="00610B1B">
        <w:rPr>
          <w:rFonts w:ascii="Times New Roman" w:hAnsi="Times New Roman" w:cs="Times New Roman"/>
          <w:bCs/>
          <w:sz w:val="24"/>
          <w:szCs w:val="24"/>
          <w:lang w:val="bg-BG"/>
        </w:rPr>
        <w:t>общите стандарти и на общата политика в областта на рибарството (ОПОР). Данни за състоянието на сектора с</w:t>
      </w:r>
      <w:r w:rsidRPr="00610B1B">
        <w:rPr>
          <w:rFonts w:ascii="Times New Roman" w:hAnsi="Times New Roman" w:cs="Times New Roman"/>
          <w:bCs/>
          <w:sz w:val="24"/>
          <w:szCs w:val="24"/>
          <w:lang w:val="bg-BG"/>
        </w:rPr>
        <w:t>е</w:t>
      </w:r>
      <w:r w:rsidR="00AF41FD" w:rsidRPr="00610B1B">
        <w:rPr>
          <w:rFonts w:ascii="Times New Roman" w:hAnsi="Times New Roman" w:cs="Times New Roman"/>
          <w:bCs/>
          <w:sz w:val="24"/>
          <w:szCs w:val="24"/>
          <w:lang w:val="bg-BG"/>
        </w:rPr>
        <w:t xml:space="preserve"> анализират </w:t>
      </w:r>
      <w:r w:rsidRPr="00610B1B">
        <w:rPr>
          <w:rFonts w:ascii="Times New Roman" w:hAnsi="Times New Roman" w:cs="Times New Roman"/>
          <w:bCs/>
          <w:sz w:val="24"/>
          <w:szCs w:val="24"/>
          <w:lang w:val="bg-BG"/>
        </w:rPr>
        <w:t xml:space="preserve">и предават </w:t>
      </w:r>
      <w:r w:rsidR="00AF41FD" w:rsidRPr="00610B1B">
        <w:rPr>
          <w:rFonts w:ascii="Times New Roman" w:hAnsi="Times New Roman" w:cs="Times New Roman"/>
          <w:bCs/>
          <w:sz w:val="24"/>
          <w:szCs w:val="24"/>
          <w:lang w:val="bg-BG"/>
        </w:rPr>
        <w:t xml:space="preserve">и в </w:t>
      </w:r>
      <w:r w:rsidR="00B8154C" w:rsidRPr="00610B1B">
        <w:rPr>
          <w:rFonts w:ascii="Times New Roman" w:hAnsi="Times New Roman" w:cs="Times New Roman"/>
          <w:bCs/>
          <w:sz w:val="24"/>
          <w:szCs w:val="24"/>
          <w:lang w:val="bg-BG"/>
        </w:rPr>
        <w:t>О</w:t>
      </w:r>
      <w:r w:rsidR="00AF41FD" w:rsidRPr="00610B1B">
        <w:rPr>
          <w:rFonts w:ascii="Times New Roman" w:hAnsi="Times New Roman" w:cs="Times New Roman"/>
          <w:bCs/>
          <w:sz w:val="24"/>
          <w:szCs w:val="24"/>
          <w:lang w:val="bg-BG"/>
        </w:rPr>
        <w:t>рганизация</w:t>
      </w:r>
      <w:r w:rsidR="00B8154C" w:rsidRPr="00610B1B">
        <w:rPr>
          <w:rFonts w:ascii="Times New Roman" w:hAnsi="Times New Roman" w:cs="Times New Roman"/>
          <w:bCs/>
          <w:sz w:val="24"/>
          <w:szCs w:val="24"/>
          <w:lang w:val="bg-BG"/>
        </w:rPr>
        <w:t>та</w:t>
      </w:r>
      <w:r w:rsidR="00AF41FD" w:rsidRPr="00610B1B">
        <w:rPr>
          <w:rFonts w:ascii="Times New Roman" w:hAnsi="Times New Roman" w:cs="Times New Roman"/>
          <w:bCs/>
          <w:sz w:val="24"/>
          <w:szCs w:val="24"/>
          <w:lang w:val="bg-BG"/>
        </w:rPr>
        <w:t xml:space="preserve"> по храните и земеделието (FAO).</w:t>
      </w:r>
      <w:r w:rsidR="00AF41FD" w:rsidRPr="00610B1B">
        <w:rPr>
          <w:rStyle w:val="FootnoteReference"/>
          <w:rFonts w:ascii="Times New Roman" w:hAnsi="Times New Roman" w:cs="Times New Roman"/>
          <w:bCs/>
          <w:sz w:val="24"/>
          <w:szCs w:val="24"/>
          <w:lang w:val="bg-BG"/>
        </w:rPr>
        <w:footnoteReference w:id="18"/>
      </w:r>
    </w:p>
    <w:p w14:paraId="48A9E522" w14:textId="2D69FD8D" w:rsidR="00577575" w:rsidRPr="00610B1B" w:rsidRDefault="00CB6AE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управлението, развитието и контрола върху състоянието и функционирането на техническата инфраструктура в Черно море </w:t>
      </w:r>
      <w:r w:rsidR="00DF653E" w:rsidRPr="004D033E">
        <w:rPr>
          <w:rFonts w:ascii="Times New Roman" w:hAnsi="Times New Roman" w:cs="Times New Roman"/>
          <w:bCs/>
          <w:sz w:val="24"/>
          <w:szCs w:val="24"/>
          <w:lang w:val="bg-BG"/>
        </w:rPr>
        <w:t>съществена</w:t>
      </w:r>
      <w:r w:rsidR="00DF653E">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роля има Министерството на транспорта и съобщенията. </w:t>
      </w:r>
      <w:r w:rsidR="00130DCC" w:rsidRPr="00610B1B">
        <w:rPr>
          <w:rFonts w:ascii="Times New Roman" w:hAnsi="Times New Roman" w:cs="Times New Roman"/>
          <w:bCs/>
          <w:sz w:val="24"/>
          <w:szCs w:val="24"/>
          <w:lang w:val="bg-BG"/>
        </w:rPr>
        <w:t>В осъществяването на преноса на нефт участва и терминал „Росенец“</w:t>
      </w:r>
      <w:r w:rsidR="00664D72" w:rsidRPr="00610B1B">
        <w:rPr>
          <w:rFonts w:ascii="Times New Roman" w:hAnsi="Times New Roman" w:cs="Times New Roman"/>
          <w:bCs/>
          <w:sz w:val="24"/>
          <w:szCs w:val="24"/>
          <w:lang w:val="bg-BG"/>
        </w:rPr>
        <w:t xml:space="preserve">, част от пристанище за обществен транспорт </w:t>
      </w:r>
      <w:r w:rsidR="00130DCC" w:rsidRPr="00610B1B">
        <w:rPr>
          <w:rFonts w:ascii="Times New Roman" w:hAnsi="Times New Roman" w:cs="Times New Roman"/>
          <w:bCs/>
          <w:sz w:val="24"/>
          <w:szCs w:val="24"/>
          <w:lang w:val="bg-BG"/>
        </w:rPr>
        <w:t>Бургас</w:t>
      </w:r>
      <w:r w:rsidR="00567A0E" w:rsidRPr="00610B1B">
        <w:rPr>
          <w:rFonts w:ascii="Times New Roman" w:hAnsi="Times New Roman" w:cs="Times New Roman"/>
          <w:bCs/>
          <w:sz w:val="24"/>
          <w:szCs w:val="24"/>
          <w:lang w:val="bg-BG"/>
        </w:rPr>
        <w:t>, предоставен с договор от 2011 г. за срок от 35 години на Лукойл Нефтохим Бургас“ АД срещу правото и задължението да извършва пристанищни услуги по чл. 116 ал. 3 т. 2 от ЗМПВВППРБ</w:t>
      </w:r>
      <w:r w:rsidR="005503A4">
        <w:rPr>
          <w:rFonts w:ascii="Times New Roman" w:hAnsi="Times New Roman" w:cs="Times New Roman"/>
          <w:bCs/>
          <w:sz w:val="24"/>
          <w:szCs w:val="24"/>
          <w:lang w:val="bg-BG"/>
        </w:rPr>
        <w:t xml:space="preserve"> </w:t>
      </w:r>
      <w:r w:rsidR="005503A4" w:rsidRPr="005503A4">
        <w:rPr>
          <w:rFonts w:ascii="Times New Roman" w:hAnsi="Times New Roman" w:cs="Times New Roman"/>
          <w:bCs/>
          <w:sz w:val="24"/>
          <w:szCs w:val="24"/>
          <w:lang w:val="bg-BG"/>
        </w:rPr>
        <w:t>(понастоящем по чл. 116, ал.2 т.1 и т.2 от ЗМПВВППРБ)</w:t>
      </w:r>
      <w:r w:rsidR="00567A0E" w:rsidRPr="00610B1B">
        <w:rPr>
          <w:rFonts w:ascii="Times New Roman" w:hAnsi="Times New Roman" w:cs="Times New Roman"/>
          <w:bCs/>
          <w:sz w:val="24"/>
          <w:szCs w:val="24"/>
          <w:lang w:val="bg-BG"/>
        </w:rPr>
        <w:t xml:space="preserve">. </w:t>
      </w:r>
      <w:r w:rsidR="00577575" w:rsidRPr="00610B1B">
        <w:rPr>
          <w:rFonts w:ascii="Times New Roman" w:hAnsi="Times New Roman" w:cs="Times New Roman"/>
          <w:bCs/>
          <w:sz w:val="24"/>
          <w:szCs w:val="24"/>
          <w:lang w:val="bg-BG"/>
        </w:rPr>
        <w:t xml:space="preserve">Проучванията за добив на нефт и газ в Черно море се </w:t>
      </w:r>
      <w:r w:rsidR="005C52CC" w:rsidRPr="00610B1B">
        <w:rPr>
          <w:rFonts w:ascii="Times New Roman" w:hAnsi="Times New Roman" w:cs="Times New Roman"/>
          <w:bCs/>
          <w:sz w:val="24"/>
          <w:szCs w:val="24"/>
          <w:lang w:val="bg-BG"/>
        </w:rPr>
        <w:t xml:space="preserve">провеждат </w:t>
      </w:r>
      <w:r w:rsidR="00577575" w:rsidRPr="00610B1B">
        <w:rPr>
          <w:rFonts w:ascii="Times New Roman" w:hAnsi="Times New Roman" w:cs="Times New Roman"/>
          <w:bCs/>
          <w:sz w:val="24"/>
          <w:szCs w:val="24"/>
          <w:lang w:val="bg-BG"/>
        </w:rPr>
        <w:t>след решение на Министерски съвет по доклад на министъра на енергетиката</w:t>
      </w:r>
      <w:r w:rsidR="005C52CC" w:rsidRPr="00610B1B">
        <w:rPr>
          <w:rFonts w:ascii="Times New Roman" w:hAnsi="Times New Roman" w:cs="Times New Roman"/>
          <w:bCs/>
          <w:sz w:val="24"/>
          <w:szCs w:val="24"/>
          <w:lang w:val="bg-BG"/>
        </w:rPr>
        <w:t>, а</w:t>
      </w:r>
      <w:r w:rsidR="00577575" w:rsidRPr="00610B1B">
        <w:rPr>
          <w:rFonts w:ascii="Times New Roman" w:hAnsi="Times New Roman" w:cs="Times New Roman"/>
          <w:bCs/>
          <w:sz w:val="24"/>
          <w:szCs w:val="24"/>
          <w:lang w:val="bg-BG"/>
        </w:rPr>
        <w:t xml:space="preserve"> използването на морските ресурси се осъществява </w:t>
      </w:r>
      <w:r w:rsidR="00B13BC8" w:rsidRPr="00610B1B">
        <w:rPr>
          <w:rFonts w:ascii="Times New Roman" w:hAnsi="Times New Roman" w:cs="Times New Roman"/>
          <w:bCs/>
          <w:sz w:val="24"/>
          <w:szCs w:val="24"/>
          <w:lang w:val="bg-BG"/>
        </w:rPr>
        <w:t>в съответствие със Закона за подземните богатства</w:t>
      </w:r>
      <w:r w:rsidR="00B13BC8" w:rsidRPr="00610B1B">
        <w:rPr>
          <w:rStyle w:val="FootnoteReference"/>
          <w:rFonts w:ascii="Times New Roman" w:hAnsi="Times New Roman" w:cs="Times New Roman"/>
          <w:bCs/>
          <w:sz w:val="24"/>
          <w:szCs w:val="24"/>
          <w:lang w:val="bg-BG"/>
        </w:rPr>
        <w:footnoteReference w:id="19"/>
      </w:r>
      <w:r w:rsidR="00B13BC8" w:rsidRPr="00610B1B">
        <w:rPr>
          <w:rFonts w:ascii="Times New Roman" w:hAnsi="Times New Roman" w:cs="Times New Roman"/>
          <w:bCs/>
          <w:sz w:val="24"/>
          <w:szCs w:val="24"/>
          <w:lang w:val="bg-BG"/>
        </w:rPr>
        <w:t xml:space="preserve"> и </w:t>
      </w:r>
      <w:r w:rsidR="00577575" w:rsidRPr="00610B1B">
        <w:rPr>
          <w:rFonts w:ascii="Times New Roman" w:hAnsi="Times New Roman" w:cs="Times New Roman"/>
          <w:bCs/>
          <w:sz w:val="24"/>
          <w:szCs w:val="24"/>
          <w:lang w:val="bg-BG"/>
        </w:rPr>
        <w:t>Закона за концесиите</w:t>
      </w:r>
      <w:r w:rsidR="00B13BC8" w:rsidRPr="00610B1B">
        <w:rPr>
          <w:rStyle w:val="FootnoteReference"/>
          <w:rFonts w:ascii="Times New Roman" w:hAnsi="Times New Roman" w:cs="Times New Roman"/>
          <w:bCs/>
          <w:sz w:val="24"/>
          <w:szCs w:val="24"/>
          <w:lang w:val="bg-BG"/>
        </w:rPr>
        <w:footnoteReference w:id="20"/>
      </w:r>
      <w:r w:rsidR="00B13BC8" w:rsidRPr="00610B1B">
        <w:rPr>
          <w:rFonts w:ascii="Times New Roman" w:hAnsi="Times New Roman" w:cs="Times New Roman"/>
          <w:bCs/>
          <w:sz w:val="24"/>
          <w:szCs w:val="24"/>
          <w:lang w:val="bg-BG"/>
        </w:rPr>
        <w:t>.</w:t>
      </w:r>
      <w:r w:rsidR="00577575" w:rsidRPr="00610B1B">
        <w:rPr>
          <w:rFonts w:ascii="Times New Roman" w:hAnsi="Times New Roman" w:cs="Times New Roman"/>
          <w:bCs/>
          <w:sz w:val="24"/>
          <w:szCs w:val="24"/>
          <w:lang w:val="bg-BG"/>
        </w:rPr>
        <w:t xml:space="preserve"> </w:t>
      </w:r>
    </w:p>
    <w:p w14:paraId="551B212A" w14:textId="5FA0AF34" w:rsidR="007C0D77" w:rsidRPr="00610B1B" w:rsidRDefault="007C0D7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Туризмът, чието развитие зависи от екологични, икономически и социални фактори, от състоянието на околната среда и на туристическите ресурси, от</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изградеността на комуникационно-транспортната, инженерно-техническата, социалната и туристическата инфраструктура</w:t>
      </w:r>
      <w:r w:rsidR="00732482"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се наблюдава от Министерството на туризма, </w:t>
      </w:r>
      <w:r w:rsidR="00B8154C" w:rsidRPr="00610B1B">
        <w:rPr>
          <w:rFonts w:ascii="Times New Roman" w:hAnsi="Times New Roman" w:cs="Times New Roman"/>
          <w:bCs/>
          <w:sz w:val="24"/>
          <w:szCs w:val="24"/>
          <w:lang w:val="bg-BG"/>
        </w:rPr>
        <w:t>Министерство на з</w:t>
      </w:r>
      <w:r w:rsidR="00DB0FAB" w:rsidRPr="00610B1B">
        <w:rPr>
          <w:rFonts w:ascii="Times New Roman" w:hAnsi="Times New Roman" w:cs="Times New Roman"/>
          <w:bCs/>
          <w:sz w:val="24"/>
          <w:szCs w:val="24"/>
          <w:lang w:val="bg-BG"/>
        </w:rPr>
        <w:t>д</w:t>
      </w:r>
      <w:r w:rsidR="00B8154C" w:rsidRPr="00610B1B">
        <w:rPr>
          <w:rFonts w:ascii="Times New Roman" w:hAnsi="Times New Roman" w:cs="Times New Roman"/>
          <w:bCs/>
          <w:sz w:val="24"/>
          <w:szCs w:val="24"/>
          <w:lang w:val="bg-BG"/>
        </w:rPr>
        <w:t xml:space="preserve">равеопазването, </w:t>
      </w:r>
      <w:r w:rsidRPr="00610B1B">
        <w:rPr>
          <w:rFonts w:ascii="Times New Roman" w:hAnsi="Times New Roman" w:cs="Times New Roman"/>
          <w:bCs/>
          <w:sz w:val="24"/>
          <w:szCs w:val="24"/>
          <w:lang w:val="bg-BG"/>
        </w:rPr>
        <w:t xml:space="preserve">от </w:t>
      </w:r>
      <w:r w:rsidR="009D7952" w:rsidRPr="00610B1B">
        <w:rPr>
          <w:rFonts w:ascii="Times New Roman" w:hAnsi="Times New Roman" w:cs="Times New Roman"/>
          <w:bCs/>
          <w:sz w:val="24"/>
          <w:szCs w:val="24"/>
          <w:lang w:val="bg-BG"/>
        </w:rPr>
        <w:t>браншовите</w:t>
      </w:r>
      <w:r w:rsidRPr="00610B1B">
        <w:rPr>
          <w:rFonts w:ascii="Times New Roman" w:hAnsi="Times New Roman" w:cs="Times New Roman"/>
          <w:bCs/>
          <w:sz w:val="24"/>
          <w:szCs w:val="24"/>
          <w:lang w:val="bg-BG"/>
        </w:rPr>
        <w:t xml:space="preserve"> организации </w:t>
      </w:r>
      <w:r w:rsidR="00B8154C" w:rsidRPr="00610B1B">
        <w:rPr>
          <w:rFonts w:ascii="Times New Roman" w:hAnsi="Times New Roman" w:cs="Times New Roman"/>
          <w:bCs/>
          <w:sz w:val="24"/>
          <w:szCs w:val="24"/>
          <w:lang w:val="bg-BG"/>
        </w:rPr>
        <w:t>в сектора</w:t>
      </w:r>
      <w:r w:rsidRPr="00610B1B">
        <w:rPr>
          <w:rFonts w:ascii="Times New Roman" w:hAnsi="Times New Roman" w:cs="Times New Roman"/>
          <w:bCs/>
          <w:sz w:val="24"/>
          <w:szCs w:val="24"/>
          <w:lang w:val="bg-BG"/>
        </w:rPr>
        <w:t xml:space="preserve">. В изграждането на материалната база </w:t>
      </w:r>
      <w:r w:rsidR="001D18C9" w:rsidRPr="00610B1B">
        <w:rPr>
          <w:rFonts w:ascii="Times New Roman" w:hAnsi="Times New Roman" w:cs="Times New Roman"/>
          <w:bCs/>
          <w:sz w:val="24"/>
          <w:szCs w:val="24"/>
          <w:lang w:val="bg-BG"/>
        </w:rPr>
        <w:t>участват частния и държавния</w:t>
      </w:r>
      <w:r w:rsidR="00B81DFE" w:rsidRPr="00610B1B">
        <w:rPr>
          <w:rFonts w:ascii="Times New Roman" w:hAnsi="Times New Roman" w:cs="Times New Roman"/>
          <w:bCs/>
          <w:sz w:val="24"/>
          <w:szCs w:val="24"/>
          <w:lang w:val="bg-BG"/>
        </w:rPr>
        <w:t xml:space="preserve"> сектор</w:t>
      </w:r>
      <w:r w:rsidR="001D18C9" w:rsidRPr="00610B1B">
        <w:rPr>
          <w:rFonts w:ascii="Times New Roman" w:hAnsi="Times New Roman" w:cs="Times New Roman"/>
          <w:bCs/>
          <w:sz w:val="24"/>
          <w:szCs w:val="24"/>
          <w:lang w:val="bg-BG"/>
        </w:rPr>
        <w:t xml:space="preserve">, а в одобряването на проектите вземат участие широк кръг от институции – МРРБ за националните курорти, общините за останалите курортни образувания, експлоатационните дружества и компетентните органи по </w:t>
      </w:r>
      <w:r w:rsidR="001D18C9" w:rsidRPr="00610B1B">
        <w:rPr>
          <w:rFonts w:ascii="Times New Roman" w:hAnsi="Times New Roman" w:cs="Times New Roman"/>
          <w:bCs/>
          <w:sz w:val="24"/>
          <w:szCs w:val="24"/>
          <w:lang w:val="bg-BG"/>
        </w:rPr>
        <w:lastRenderedPageBreak/>
        <w:t xml:space="preserve">опазване на околната среда (МОСВ и РИОСВ, МЗ и РЗИ) и др. </w:t>
      </w:r>
      <w:r w:rsidR="002045B4" w:rsidRPr="00610B1B">
        <w:rPr>
          <w:rFonts w:ascii="Times New Roman" w:hAnsi="Times New Roman" w:cs="Times New Roman"/>
          <w:bCs/>
          <w:sz w:val="24"/>
          <w:szCs w:val="24"/>
          <w:lang w:val="bg-BG"/>
        </w:rPr>
        <w:t xml:space="preserve">На международно ниво тенденциите в сектора се </w:t>
      </w:r>
      <w:r w:rsidR="00732482" w:rsidRPr="00610B1B">
        <w:rPr>
          <w:rFonts w:ascii="Times New Roman" w:hAnsi="Times New Roman" w:cs="Times New Roman"/>
          <w:bCs/>
          <w:sz w:val="24"/>
          <w:szCs w:val="24"/>
          <w:lang w:val="bg-BG"/>
        </w:rPr>
        <w:t>наблюдават</w:t>
      </w:r>
      <w:r w:rsidR="002045B4" w:rsidRPr="00610B1B">
        <w:rPr>
          <w:rFonts w:ascii="Times New Roman" w:hAnsi="Times New Roman" w:cs="Times New Roman"/>
          <w:bCs/>
          <w:sz w:val="24"/>
          <w:szCs w:val="24"/>
          <w:lang w:val="bg-BG"/>
        </w:rPr>
        <w:t xml:space="preserve"> от Световната туристическа организация, която периодично анализ</w:t>
      </w:r>
      <w:r w:rsidR="00732482" w:rsidRPr="00610B1B">
        <w:rPr>
          <w:rFonts w:ascii="Times New Roman" w:hAnsi="Times New Roman" w:cs="Times New Roman"/>
          <w:bCs/>
          <w:sz w:val="24"/>
          <w:szCs w:val="24"/>
          <w:lang w:val="bg-BG"/>
        </w:rPr>
        <w:t>ира</w:t>
      </w:r>
      <w:r w:rsidR="002045B4" w:rsidRPr="00610B1B">
        <w:rPr>
          <w:rFonts w:ascii="Times New Roman" w:hAnsi="Times New Roman" w:cs="Times New Roman"/>
          <w:bCs/>
          <w:sz w:val="24"/>
          <w:szCs w:val="24"/>
          <w:lang w:val="bg-BG"/>
        </w:rPr>
        <w:t xml:space="preserve"> и оцен</w:t>
      </w:r>
      <w:r w:rsidR="00732482" w:rsidRPr="00610B1B">
        <w:rPr>
          <w:rFonts w:ascii="Times New Roman" w:hAnsi="Times New Roman" w:cs="Times New Roman"/>
          <w:bCs/>
          <w:sz w:val="24"/>
          <w:szCs w:val="24"/>
          <w:lang w:val="bg-BG"/>
        </w:rPr>
        <w:t>ява</w:t>
      </w:r>
      <w:r w:rsidR="002045B4" w:rsidRPr="00610B1B">
        <w:rPr>
          <w:rFonts w:ascii="Times New Roman" w:hAnsi="Times New Roman" w:cs="Times New Roman"/>
          <w:bCs/>
          <w:sz w:val="24"/>
          <w:szCs w:val="24"/>
          <w:lang w:val="bg-BG"/>
        </w:rPr>
        <w:t xml:space="preserve"> развитието </w:t>
      </w:r>
      <w:r w:rsidR="00732482" w:rsidRPr="00610B1B">
        <w:rPr>
          <w:rFonts w:ascii="Times New Roman" w:hAnsi="Times New Roman" w:cs="Times New Roman"/>
          <w:bCs/>
          <w:sz w:val="24"/>
          <w:szCs w:val="24"/>
          <w:lang w:val="bg-BG"/>
        </w:rPr>
        <w:t xml:space="preserve">на туризма </w:t>
      </w:r>
      <w:r w:rsidR="002045B4" w:rsidRPr="00610B1B">
        <w:rPr>
          <w:rFonts w:ascii="Times New Roman" w:hAnsi="Times New Roman" w:cs="Times New Roman"/>
          <w:bCs/>
          <w:sz w:val="24"/>
          <w:szCs w:val="24"/>
          <w:lang w:val="bg-BG"/>
        </w:rPr>
        <w:t xml:space="preserve">в отделни региони и държави. </w:t>
      </w:r>
    </w:p>
    <w:p w14:paraId="72E0FF11" w14:textId="5901DA59" w:rsidR="00CB6AEC" w:rsidRPr="00610B1B" w:rsidRDefault="005C52C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 о</w:t>
      </w:r>
      <w:r w:rsidR="00CB6AEC" w:rsidRPr="00610B1B">
        <w:rPr>
          <w:rFonts w:ascii="Times New Roman" w:hAnsi="Times New Roman" w:cs="Times New Roman"/>
          <w:bCs/>
          <w:sz w:val="24"/>
          <w:szCs w:val="24"/>
          <w:lang w:val="bg-BG"/>
        </w:rPr>
        <w:t>пазването на морската околна среда, на добрия</w:t>
      </w:r>
      <w:r w:rsidR="00DE3A13" w:rsidRPr="00610B1B">
        <w:rPr>
          <w:rFonts w:ascii="Times New Roman" w:hAnsi="Times New Roman" w:cs="Times New Roman"/>
          <w:bCs/>
          <w:sz w:val="24"/>
          <w:szCs w:val="24"/>
          <w:lang w:val="bg-BG"/>
        </w:rPr>
        <w:t xml:space="preserve"> ѝ </w:t>
      </w:r>
      <w:r w:rsidR="00CB6AEC" w:rsidRPr="00610B1B">
        <w:rPr>
          <w:rFonts w:ascii="Times New Roman" w:hAnsi="Times New Roman" w:cs="Times New Roman"/>
          <w:bCs/>
          <w:sz w:val="24"/>
          <w:szCs w:val="24"/>
          <w:lang w:val="bg-BG"/>
        </w:rPr>
        <w:t xml:space="preserve">екологичен статус и биоразнообразие, участват институции, свързани с </w:t>
      </w:r>
      <w:r w:rsidR="002947B3" w:rsidRPr="00610B1B">
        <w:rPr>
          <w:rFonts w:ascii="Times New Roman" w:hAnsi="Times New Roman" w:cs="Times New Roman"/>
          <w:bCs/>
          <w:sz w:val="24"/>
          <w:szCs w:val="24"/>
          <w:lang w:val="bg-BG"/>
        </w:rPr>
        <w:t>Министерство</w:t>
      </w:r>
      <w:r w:rsidR="00CB6AEC" w:rsidRPr="00610B1B">
        <w:rPr>
          <w:rFonts w:ascii="Times New Roman" w:hAnsi="Times New Roman" w:cs="Times New Roman"/>
          <w:bCs/>
          <w:sz w:val="24"/>
          <w:szCs w:val="24"/>
          <w:lang w:val="bg-BG"/>
        </w:rPr>
        <w:t>то</w:t>
      </w:r>
      <w:r w:rsidR="002947B3" w:rsidRPr="00610B1B">
        <w:rPr>
          <w:rFonts w:ascii="Times New Roman" w:hAnsi="Times New Roman" w:cs="Times New Roman"/>
          <w:bCs/>
          <w:sz w:val="24"/>
          <w:szCs w:val="24"/>
          <w:lang w:val="bg-BG"/>
        </w:rPr>
        <w:t xml:space="preserve"> на околната среда и водите</w:t>
      </w:r>
      <w:r w:rsidR="00CB6AEC"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и</w:t>
      </w:r>
      <w:r w:rsidR="00CB6AEC" w:rsidRPr="00610B1B">
        <w:rPr>
          <w:rFonts w:ascii="Times New Roman" w:hAnsi="Times New Roman" w:cs="Times New Roman"/>
          <w:bCs/>
          <w:sz w:val="24"/>
          <w:szCs w:val="24"/>
          <w:lang w:val="bg-BG"/>
        </w:rPr>
        <w:t xml:space="preserve"> Изпълнителната агенция по околна среда (ИАОС)</w:t>
      </w:r>
      <w:r w:rsidR="003D2B62" w:rsidRPr="00610B1B">
        <w:rPr>
          <w:rFonts w:ascii="Times New Roman" w:hAnsi="Times New Roman" w:cs="Times New Roman"/>
          <w:bCs/>
          <w:sz w:val="24"/>
          <w:szCs w:val="24"/>
          <w:lang w:val="bg-BG"/>
        </w:rPr>
        <w:t>;</w:t>
      </w:r>
      <w:r w:rsidR="00CB6AEC" w:rsidRPr="00610B1B">
        <w:rPr>
          <w:rFonts w:ascii="Times New Roman" w:hAnsi="Times New Roman" w:cs="Times New Roman"/>
          <w:bCs/>
          <w:sz w:val="24"/>
          <w:szCs w:val="24"/>
          <w:lang w:val="bg-BG"/>
        </w:rPr>
        <w:t xml:space="preserve"> </w:t>
      </w:r>
      <w:r w:rsidR="002947B3" w:rsidRPr="00610B1B">
        <w:rPr>
          <w:rFonts w:ascii="Times New Roman" w:hAnsi="Times New Roman" w:cs="Times New Roman"/>
          <w:bCs/>
          <w:sz w:val="24"/>
          <w:szCs w:val="24"/>
          <w:lang w:val="bg-BG"/>
        </w:rPr>
        <w:t>БД Черноморски район</w:t>
      </w:r>
      <w:r w:rsidR="003D2B62" w:rsidRPr="00610B1B">
        <w:rPr>
          <w:rFonts w:ascii="Times New Roman" w:hAnsi="Times New Roman" w:cs="Times New Roman"/>
          <w:bCs/>
          <w:sz w:val="24"/>
          <w:szCs w:val="24"/>
          <w:lang w:val="bg-BG"/>
        </w:rPr>
        <w:t>;</w:t>
      </w:r>
      <w:r w:rsidR="00CB6AEC" w:rsidRPr="00610B1B">
        <w:rPr>
          <w:rFonts w:ascii="Times New Roman" w:hAnsi="Times New Roman" w:cs="Times New Roman"/>
          <w:bCs/>
          <w:sz w:val="24"/>
          <w:szCs w:val="24"/>
          <w:lang w:val="bg-BG"/>
        </w:rPr>
        <w:t xml:space="preserve"> Регионалните инспекции по околната среда и водите (РИОСВ) в</w:t>
      </w:r>
      <w:r w:rsidR="007C0D77" w:rsidRPr="00610B1B">
        <w:rPr>
          <w:rFonts w:ascii="Times New Roman" w:hAnsi="Times New Roman" w:cs="Times New Roman"/>
          <w:bCs/>
          <w:sz w:val="24"/>
          <w:szCs w:val="24"/>
          <w:lang w:val="bg-BG"/>
        </w:rPr>
        <w:t>ъв</w:t>
      </w:r>
      <w:r w:rsidR="00CB6AEC" w:rsidRPr="00610B1B">
        <w:rPr>
          <w:rFonts w:ascii="Times New Roman" w:hAnsi="Times New Roman" w:cs="Times New Roman"/>
          <w:bCs/>
          <w:sz w:val="24"/>
          <w:szCs w:val="24"/>
          <w:lang w:val="bg-BG"/>
        </w:rPr>
        <w:t xml:space="preserve"> Варна и Бургас</w:t>
      </w:r>
      <w:r w:rsidR="003D2B62" w:rsidRPr="00610B1B">
        <w:rPr>
          <w:rFonts w:ascii="Times New Roman" w:hAnsi="Times New Roman" w:cs="Times New Roman"/>
          <w:bCs/>
          <w:sz w:val="24"/>
          <w:szCs w:val="24"/>
          <w:lang w:val="bg-BG"/>
        </w:rPr>
        <w:t>;</w:t>
      </w:r>
      <w:r w:rsidR="00CB6AEC" w:rsidRPr="00610B1B">
        <w:rPr>
          <w:rFonts w:ascii="Times New Roman" w:hAnsi="Times New Roman" w:cs="Times New Roman"/>
          <w:bCs/>
          <w:sz w:val="24"/>
          <w:szCs w:val="24"/>
          <w:lang w:val="bg-BG"/>
        </w:rPr>
        <w:t xml:space="preserve"> </w:t>
      </w:r>
      <w:r w:rsidR="007C0D77" w:rsidRPr="00610B1B">
        <w:rPr>
          <w:rFonts w:ascii="Times New Roman" w:hAnsi="Times New Roman" w:cs="Times New Roman"/>
          <w:bCs/>
          <w:sz w:val="24"/>
          <w:szCs w:val="24"/>
          <w:lang w:val="bg-BG"/>
        </w:rPr>
        <w:t xml:space="preserve">четирите </w:t>
      </w:r>
      <w:r w:rsidR="00CB6AEC" w:rsidRPr="00610B1B">
        <w:rPr>
          <w:rFonts w:ascii="Times New Roman" w:hAnsi="Times New Roman" w:cs="Times New Roman"/>
          <w:bCs/>
          <w:sz w:val="24"/>
          <w:szCs w:val="24"/>
          <w:lang w:val="bg-BG"/>
        </w:rPr>
        <w:t>институт</w:t>
      </w:r>
      <w:r w:rsidR="007C0D77" w:rsidRPr="00610B1B">
        <w:rPr>
          <w:rFonts w:ascii="Times New Roman" w:hAnsi="Times New Roman" w:cs="Times New Roman"/>
          <w:bCs/>
          <w:sz w:val="24"/>
          <w:szCs w:val="24"/>
          <w:lang w:val="bg-BG"/>
        </w:rPr>
        <w:t>а</w:t>
      </w:r>
      <w:r w:rsidR="00CB6AEC" w:rsidRPr="00610B1B">
        <w:rPr>
          <w:rFonts w:ascii="Times New Roman" w:hAnsi="Times New Roman" w:cs="Times New Roman"/>
          <w:bCs/>
          <w:sz w:val="24"/>
          <w:szCs w:val="24"/>
          <w:lang w:val="bg-BG"/>
        </w:rPr>
        <w:t xml:space="preserve"> на БАН – по океанология, по биоразнообразие и екосистемни услуги, по метеорология и хидрология, по геофизика, геодезия и география.</w:t>
      </w:r>
      <w:r w:rsidR="001F7EA6"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На общностно ниво се поддържа контакт и се изпраща информация към Европейската агенция по околна среда (EEA) и </w:t>
      </w:r>
      <w:r w:rsidR="00665C7D" w:rsidRPr="00610B1B">
        <w:rPr>
          <w:rFonts w:ascii="Times New Roman" w:hAnsi="Times New Roman" w:cs="Times New Roman"/>
          <w:bCs/>
          <w:sz w:val="24"/>
          <w:szCs w:val="24"/>
          <w:lang w:val="bg-BG"/>
        </w:rPr>
        <w:t>Европейската мрежа за морски наблюдения и данни (E</w:t>
      </w:r>
      <w:r w:rsidR="009F2BF6" w:rsidRPr="00610B1B">
        <w:rPr>
          <w:rFonts w:ascii="Times New Roman" w:hAnsi="Times New Roman" w:cs="Times New Roman"/>
          <w:bCs/>
          <w:sz w:val="24"/>
          <w:szCs w:val="24"/>
          <w:lang w:val="bg-BG"/>
        </w:rPr>
        <w:t>MODn</w:t>
      </w:r>
      <w:r w:rsidR="00665C7D" w:rsidRPr="00610B1B">
        <w:rPr>
          <w:rFonts w:ascii="Times New Roman" w:hAnsi="Times New Roman" w:cs="Times New Roman"/>
          <w:bCs/>
          <w:sz w:val="24"/>
          <w:szCs w:val="24"/>
          <w:lang w:val="bg-BG"/>
        </w:rPr>
        <w:t>et)</w:t>
      </w:r>
      <w:r w:rsidR="00665C7D" w:rsidRPr="00610B1B">
        <w:rPr>
          <w:rStyle w:val="FootnoteReference"/>
          <w:rFonts w:ascii="Times New Roman" w:hAnsi="Times New Roman" w:cs="Times New Roman"/>
          <w:bCs/>
          <w:sz w:val="24"/>
          <w:szCs w:val="24"/>
          <w:lang w:val="bg-BG"/>
        </w:rPr>
        <w:footnoteReference w:id="21"/>
      </w:r>
      <w:r w:rsidR="00665C7D" w:rsidRPr="00610B1B">
        <w:rPr>
          <w:rFonts w:ascii="Times New Roman" w:hAnsi="Times New Roman" w:cs="Times New Roman"/>
          <w:bCs/>
          <w:sz w:val="24"/>
          <w:szCs w:val="24"/>
          <w:lang w:val="bg-BG"/>
        </w:rPr>
        <w:t>, а на регионално – Комисията за опазване на Черно море от замърсяване.</w:t>
      </w:r>
    </w:p>
    <w:p w14:paraId="396A0B6D" w14:textId="16FCDA94" w:rsidR="001D18C9" w:rsidRPr="00610B1B" w:rsidRDefault="00CB6AE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Опазването и изследването на </w:t>
      </w:r>
      <w:r w:rsidR="001D18C9" w:rsidRPr="00610B1B">
        <w:rPr>
          <w:rFonts w:ascii="Times New Roman" w:hAnsi="Times New Roman" w:cs="Times New Roman"/>
          <w:bCs/>
          <w:sz w:val="24"/>
          <w:szCs w:val="24"/>
          <w:lang w:val="bg-BG"/>
        </w:rPr>
        <w:t>културното наследство под вода и в непосредствената контактна зона на брега</w:t>
      </w:r>
      <w:r w:rsidR="00D36276" w:rsidRPr="00610B1B">
        <w:rPr>
          <w:rFonts w:ascii="Times New Roman" w:hAnsi="Times New Roman" w:cs="Times New Roman"/>
          <w:bCs/>
          <w:sz w:val="24"/>
          <w:szCs w:val="24"/>
          <w:lang w:val="bg-BG"/>
        </w:rPr>
        <w:t>,</w:t>
      </w:r>
      <w:r w:rsidR="001D18C9" w:rsidRPr="00610B1B">
        <w:rPr>
          <w:rFonts w:ascii="Times New Roman" w:hAnsi="Times New Roman" w:cs="Times New Roman"/>
          <w:bCs/>
          <w:sz w:val="24"/>
          <w:szCs w:val="24"/>
          <w:lang w:val="bg-BG"/>
        </w:rPr>
        <w:t xml:space="preserve"> се осъществява </w:t>
      </w:r>
      <w:r w:rsidR="00B81DFE" w:rsidRPr="00610B1B">
        <w:rPr>
          <w:rFonts w:ascii="Times New Roman" w:hAnsi="Times New Roman" w:cs="Times New Roman"/>
          <w:bCs/>
          <w:sz w:val="24"/>
          <w:szCs w:val="24"/>
          <w:lang w:val="bg-BG"/>
        </w:rPr>
        <w:t>от</w:t>
      </w:r>
      <w:r w:rsidR="00D36276" w:rsidRPr="00610B1B">
        <w:rPr>
          <w:rFonts w:ascii="Times New Roman" w:hAnsi="Times New Roman" w:cs="Times New Roman"/>
          <w:bCs/>
          <w:sz w:val="24"/>
          <w:szCs w:val="24"/>
          <w:lang w:val="bg-BG"/>
        </w:rPr>
        <w:t xml:space="preserve"> </w:t>
      </w:r>
      <w:r w:rsidR="001D18C9" w:rsidRPr="00610B1B">
        <w:rPr>
          <w:rFonts w:ascii="Times New Roman" w:hAnsi="Times New Roman" w:cs="Times New Roman"/>
          <w:bCs/>
          <w:sz w:val="24"/>
          <w:szCs w:val="24"/>
          <w:lang w:val="bg-BG"/>
        </w:rPr>
        <w:t>Министерството на културата с активната роля на Центъра за подводна археология</w:t>
      </w:r>
      <w:r w:rsidR="00496361" w:rsidRPr="00610B1B">
        <w:rPr>
          <w:rFonts w:ascii="Times New Roman" w:hAnsi="Times New Roman" w:cs="Times New Roman"/>
          <w:bCs/>
          <w:sz w:val="24"/>
          <w:szCs w:val="24"/>
          <w:lang w:val="bg-BG"/>
        </w:rPr>
        <w:t>, Националния археологически институт с музей на БАН</w:t>
      </w:r>
      <w:r w:rsidR="00732482" w:rsidRPr="00610B1B">
        <w:rPr>
          <w:rFonts w:ascii="Times New Roman" w:hAnsi="Times New Roman" w:cs="Times New Roman"/>
          <w:bCs/>
          <w:sz w:val="24"/>
          <w:szCs w:val="24"/>
          <w:lang w:val="bg-BG"/>
        </w:rPr>
        <w:t>, Националния институт за недвижимо културно наследство и</w:t>
      </w:r>
      <w:r w:rsidR="00496361" w:rsidRPr="00610B1B">
        <w:rPr>
          <w:rFonts w:ascii="Times New Roman" w:hAnsi="Times New Roman" w:cs="Times New Roman"/>
          <w:bCs/>
          <w:sz w:val="24"/>
          <w:szCs w:val="24"/>
          <w:lang w:val="bg-BG"/>
        </w:rPr>
        <w:t xml:space="preserve"> музеите по Черноморското крайбрежие.</w:t>
      </w:r>
      <w:r w:rsidR="001D18C9" w:rsidRPr="00610B1B">
        <w:rPr>
          <w:rFonts w:ascii="Times New Roman" w:hAnsi="Times New Roman" w:cs="Times New Roman"/>
          <w:bCs/>
          <w:sz w:val="24"/>
          <w:szCs w:val="24"/>
          <w:lang w:val="bg-BG"/>
        </w:rPr>
        <w:t xml:space="preserve"> </w:t>
      </w:r>
      <w:r w:rsidR="006B7E10" w:rsidRPr="00610B1B">
        <w:rPr>
          <w:rFonts w:ascii="Times New Roman" w:hAnsi="Times New Roman" w:cs="Times New Roman"/>
          <w:bCs/>
          <w:sz w:val="24"/>
          <w:szCs w:val="24"/>
          <w:lang w:val="bg-BG"/>
        </w:rPr>
        <w:t xml:space="preserve">В </w:t>
      </w:r>
      <w:r w:rsidR="00D36276" w:rsidRPr="00610B1B">
        <w:rPr>
          <w:rFonts w:ascii="Times New Roman" w:hAnsi="Times New Roman" w:cs="Times New Roman"/>
          <w:bCs/>
          <w:sz w:val="24"/>
          <w:szCs w:val="24"/>
          <w:lang w:val="bg-BG"/>
        </w:rPr>
        <w:t xml:space="preserve">контрола върху </w:t>
      </w:r>
      <w:r w:rsidR="006B7E10" w:rsidRPr="00610B1B">
        <w:rPr>
          <w:rFonts w:ascii="Times New Roman" w:hAnsi="Times New Roman" w:cs="Times New Roman"/>
          <w:bCs/>
          <w:sz w:val="24"/>
          <w:szCs w:val="24"/>
          <w:lang w:val="bg-BG"/>
        </w:rPr>
        <w:t>опазването на недвижимите културни ценности, особено на тези със световно значение, участват и ЮНЕСКО и ИКОМОС.</w:t>
      </w:r>
    </w:p>
    <w:p w14:paraId="5BF6AF2E" w14:textId="7D19FAAA" w:rsidR="003D2B62" w:rsidRPr="00610B1B" w:rsidRDefault="00130DC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Военните </w:t>
      </w:r>
      <w:r w:rsidR="003D2B62" w:rsidRPr="00610B1B">
        <w:rPr>
          <w:rFonts w:ascii="Times New Roman" w:hAnsi="Times New Roman" w:cs="Times New Roman"/>
          <w:bCs/>
          <w:sz w:val="24"/>
          <w:szCs w:val="24"/>
          <w:lang w:val="bg-BG"/>
        </w:rPr>
        <w:t>учения и дейности, опазването на морските граници, сигурността и безопасността</w:t>
      </w:r>
      <w:r w:rsidR="003D2B62" w:rsidRPr="00610B1B">
        <w:rPr>
          <w:rFonts w:ascii="Times New Roman" w:hAnsi="Times New Roman" w:cs="Times New Roman"/>
          <w:lang w:val="bg-BG"/>
        </w:rPr>
        <w:t xml:space="preserve"> </w:t>
      </w:r>
      <w:r w:rsidR="003D2B62" w:rsidRPr="00610B1B">
        <w:rPr>
          <w:rFonts w:ascii="Times New Roman" w:hAnsi="Times New Roman" w:cs="Times New Roman"/>
          <w:bCs/>
          <w:sz w:val="24"/>
          <w:szCs w:val="24"/>
          <w:lang w:val="bg-BG"/>
        </w:rPr>
        <w:t xml:space="preserve">в Черно море са свързани дейности помежду си, както и с част от структурите, съоръженията, мрежите и дейностите на крайбрежието. В съгласуването и контрола по изпълнението </w:t>
      </w:r>
      <w:r w:rsidR="000F6E27" w:rsidRPr="00610B1B">
        <w:rPr>
          <w:rFonts w:ascii="Times New Roman" w:hAnsi="Times New Roman" w:cs="Times New Roman"/>
          <w:bCs/>
          <w:sz w:val="24"/>
          <w:szCs w:val="24"/>
          <w:lang w:val="bg-BG"/>
        </w:rPr>
        <w:t xml:space="preserve">им </w:t>
      </w:r>
      <w:r w:rsidR="003D2B62" w:rsidRPr="00610B1B">
        <w:rPr>
          <w:rFonts w:ascii="Times New Roman" w:hAnsi="Times New Roman" w:cs="Times New Roman"/>
          <w:bCs/>
          <w:sz w:val="24"/>
          <w:szCs w:val="24"/>
          <w:lang w:val="bg-BG"/>
        </w:rPr>
        <w:t xml:space="preserve">участват </w:t>
      </w:r>
      <w:r w:rsidR="001F7EA6" w:rsidRPr="00610B1B">
        <w:rPr>
          <w:rFonts w:ascii="Times New Roman" w:hAnsi="Times New Roman" w:cs="Times New Roman"/>
          <w:bCs/>
          <w:sz w:val="24"/>
          <w:szCs w:val="24"/>
          <w:lang w:val="bg-BG"/>
        </w:rPr>
        <w:t xml:space="preserve">Министерството на вътрешните работи с </w:t>
      </w:r>
      <w:r w:rsidR="00776513" w:rsidRPr="00610B1B">
        <w:rPr>
          <w:rFonts w:ascii="Times New Roman" w:hAnsi="Times New Roman" w:cs="Times New Roman"/>
          <w:bCs/>
          <w:sz w:val="24"/>
          <w:szCs w:val="24"/>
          <w:lang w:val="bg-BG"/>
        </w:rPr>
        <w:t>ГД</w:t>
      </w:r>
      <w:r w:rsidR="001F7EA6" w:rsidRPr="00610B1B">
        <w:rPr>
          <w:rFonts w:ascii="Times New Roman" w:hAnsi="Times New Roman" w:cs="Times New Roman"/>
          <w:bCs/>
          <w:sz w:val="24"/>
          <w:szCs w:val="24"/>
          <w:lang w:val="bg-BG"/>
        </w:rPr>
        <w:t xml:space="preserve"> „Гранична полиция“</w:t>
      </w:r>
      <w:r w:rsidR="00776513" w:rsidRPr="00610B1B">
        <w:rPr>
          <w:rFonts w:ascii="Times New Roman" w:hAnsi="Times New Roman" w:cs="Times New Roman"/>
          <w:bCs/>
          <w:sz w:val="24"/>
          <w:szCs w:val="24"/>
          <w:lang w:val="bg-BG"/>
        </w:rPr>
        <w:t>;</w:t>
      </w:r>
      <w:r w:rsidR="001F7EA6" w:rsidRPr="00610B1B">
        <w:rPr>
          <w:rFonts w:ascii="Times New Roman" w:hAnsi="Times New Roman" w:cs="Times New Roman"/>
          <w:bCs/>
          <w:sz w:val="24"/>
          <w:szCs w:val="24"/>
          <w:lang w:val="bg-BG"/>
        </w:rPr>
        <w:t xml:space="preserve"> Министерството на външните работи</w:t>
      </w:r>
      <w:r w:rsidR="00776513" w:rsidRPr="00610B1B">
        <w:rPr>
          <w:rFonts w:ascii="Times New Roman" w:hAnsi="Times New Roman" w:cs="Times New Roman"/>
          <w:bCs/>
          <w:sz w:val="24"/>
          <w:szCs w:val="24"/>
          <w:lang w:val="bg-BG"/>
        </w:rPr>
        <w:t xml:space="preserve">; </w:t>
      </w:r>
      <w:r w:rsidR="004E6C8D">
        <w:rPr>
          <w:rFonts w:ascii="Times New Roman" w:hAnsi="Times New Roman" w:cs="Times New Roman"/>
          <w:bCs/>
          <w:sz w:val="24"/>
          <w:szCs w:val="24"/>
          <w:lang w:val="bg-BG"/>
        </w:rPr>
        <w:t>МТС</w:t>
      </w:r>
      <w:r w:rsidR="00DF50FE" w:rsidRPr="00610B1B">
        <w:rPr>
          <w:rFonts w:ascii="Times New Roman" w:hAnsi="Times New Roman" w:cs="Times New Roman"/>
          <w:bCs/>
          <w:sz w:val="24"/>
          <w:szCs w:val="24"/>
          <w:lang w:val="bg-BG"/>
        </w:rPr>
        <w:t xml:space="preserve"> с ИАМА и Министерство на отбраната.</w:t>
      </w:r>
      <w:r w:rsidR="002D6F65" w:rsidRPr="00610B1B">
        <w:rPr>
          <w:rFonts w:ascii="Times New Roman" w:hAnsi="Times New Roman" w:cs="Times New Roman"/>
          <w:bCs/>
          <w:sz w:val="24"/>
          <w:szCs w:val="24"/>
          <w:lang w:val="bg-BG"/>
        </w:rPr>
        <w:t xml:space="preserve"> Дейностите в морските пространства се наблюдават от Международната морска организация и </w:t>
      </w:r>
      <w:r w:rsidR="00B8154C" w:rsidRPr="00610B1B">
        <w:rPr>
          <w:rFonts w:ascii="Times New Roman" w:hAnsi="Times New Roman" w:cs="Times New Roman"/>
          <w:bCs/>
          <w:sz w:val="24"/>
          <w:szCs w:val="24"/>
          <w:lang w:val="bg-BG"/>
        </w:rPr>
        <w:t xml:space="preserve">нейните </w:t>
      </w:r>
      <w:r w:rsidR="002D6F65" w:rsidRPr="00610B1B">
        <w:rPr>
          <w:rFonts w:ascii="Times New Roman" w:hAnsi="Times New Roman" w:cs="Times New Roman"/>
          <w:bCs/>
          <w:sz w:val="24"/>
          <w:szCs w:val="24"/>
          <w:lang w:val="bg-BG"/>
        </w:rPr>
        <w:t xml:space="preserve">структури и от създадения съгласно </w:t>
      </w:r>
      <w:r w:rsidR="003D2B62" w:rsidRPr="00610B1B">
        <w:rPr>
          <w:rFonts w:ascii="Times New Roman" w:hAnsi="Times New Roman" w:cs="Times New Roman"/>
          <w:bCs/>
          <w:sz w:val="24"/>
          <w:szCs w:val="24"/>
          <w:lang w:val="bg-BG"/>
        </w:rPr>
        <w:t>Регламент (ЕО) № 2099/2002 на Европейския парламент и на Съвета от 5 ноември 2002 г</w:t>
      </w:r>
      <w:r w:rsidR="000F6E27" w:rsidRPr="00610B1B">
        <w:rPr>
          <w:rFonts w:ascii="Times New Roman" w:hAnsi="Times New Roman" w:cs="Times New Roman"/>
          <w:bCs/>
          <w:sz w:val="24"/>
          <w:szCs w:val="24"/>
          <w:lang w:val="bg-BG"/>
        </w:rPr>
        <w:t>.</w:t>
      </w:r>
      <w:r w:rsidR="003D2B62" w:rsidRPr="00610B1B">
        <w:rPr>
          <w:rFonts w:ascii="Times New Roman" w:hAnsi="Times New Roman" w:cs="Times New Roman"/>
          <w:bCs/>
          <w:sz w:val="24"/>
          <w:szCs w:val="24"/>
          <w:lang w:val="bg-BG"/>
        </w:rPr>
        <w:t xml:space="preserve"> Комитет по морска безопасност и предотвратяване на замърсяването от кораби (КМБПЗК)</w:t>
      </w:r>
      <w:r w:rsidR="002D6F65" w:rsidRPr="00610B1B">
        <w:rPr>
          <w:rFonts w:ascii="Times New Roman" w:hAnsi="Times New Roman" w:cs="Times New Roman"/>
          <w:bCs/>
          <w:sz w:val="24"/>
          <w:szCs w:val="24"/>
          <w:lang w:val="bg-BG"/>
        </w:rPr>
        <w:t xml:space="preserve">. </w:t>
      </w:r>
    </w:p>
    <w:p w14:paraId="33C86F13" w14:textId="4DA67AA7" w:rsidR="002D6F65" w:rsidRPr="00610B1B" w:rsidRDefault="0073248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Институционалната </w:t>
      </w:r>
      <w:r w:rsidR="002D6F65" w:rsidRPr="00610B1B">
        <w:rPr>
          <w:rFonts w:ascii="Times New Roman" w:hAnsi="Times New Roman" w:cs="Times New Roman"/>
          <w:bCs/>
          <w:sz w:val="24"/>
          <w:szCs w:val="24"/>
          <w:lang w:val="bg-BG"/>
        </w:rPr>
        <w:t xml:space="preserve">рамка на морското пространствено планиране показва разнообразието от институции и необходими компетенции за интегриране и координиране на различните функции, дейности и ползвания в </w:t>
      </w:r>
      <w:r w:rsidR="006B0C4A" w:rsidRPr="00610B1B">
        <w:rPr>
          <w:rFonts w:ascii="Times New Roman" w:hAnsi="Times New Roman" w:cs="Times New Roman"/>
          <w:bCs/>
          <w:sz w:val="24"/>
          <w:szCs w:val="24"/>
          <w:lang w:val="bg-BG"/>
        </w:rPr>
        <w:t xml:space="preserve">морските пространства на </w:t>
      </w:r>
      <w:r w:rsidR="00D36276" w:rsidRPr="00610B1B">
        <w:rPr>
          <w:rFonts w:ascii="Times New Roman" w:hAnsi="Times New Roman" w:cs="Times New Roman"/>
          <w:bCs/>
          <w:sz w:val="24"/>
          <w:szCs w:val="24"/>
          <w:lang w:val="bg-BG"/>
        </w:rPr>
        <w:t>Р. България</w:t>
      </w:r>
      <w:r w:rsidR="006B0C4A" w:rsidRPr="00610B1B">
        <w:rPr>
          <w:rFonts w:ascii="Times New Roman" w:hAnsi="Times New Roman" w:cs="Times New Roman"/>
          <w:bCs/>
          <w:sz w:val="24"/>
          <w:szCs w:val="24"/>
          <w:lang w:val="bg-BG"/>
        </w:rPr>
        <w:t xml:space="preserve">. </w:t>
      </w:r>
      <w:r w:rsidR="00F42362" w:rsidRPr="00610B1B">
        <w:rPr>
          <w:rFonts w:ascii="Times New Roman" w:hAnsi="Times New Roman" w:cs="Times New Roman"/>
          <w:bCs/>
          <w:sz w:val="24"/>
          <w:szCs w:val="24"/>
          <w:lang w:val="bg-BG"/>
        </w:rPr>
        <w:t xml:space="preserve">Необходимият </w:t>
      </w:r>
      <w:r w:rsidR="006B0C4A" w:rsidRPr="00610B1B">
        <w:rPr>
          <w:rFonts w:ascii="Times New Roman" w:hAnsi="Times New Roman" w:cs="Times New Roman"/>
          <w:bCs/>
          <w:sz w:val="24"/>
          <w:szCs w:val="24"/>
          <w:lang w:val="bg-BG"/>
        </w:rPr>
        <w:t>институционален и експертен капацитет тепърва ще се надгражда, за</w:t>
      </w:r>
      <w:r w:rsidR="002D6F65" w:rsidRPr="00610B1B">
        <w:rPr>
          <w:rFonts w:ascii="Times New Roman" w:hAnsi="Times New Roman" w:cs="Times New Roman"/>
          <w:bCs/>
          <w:sz w:val="24"/>
          <w:szCs w:val="24"/>
          <w:lang w:val="bg-BG"/>
        </w:rPr>
        <w:t xml:space="preserve"> </w:t>
      </w:r>
      <w:r w:rsidR="006B0C4A" w:rsidRPr="00610B1B">
        <w:rPr>
          <w:rFonts w:ascii="Times New Roman" w:hAnsi="Times New Roman" w:cs="Times New Roman"/>
          <w:bCs/>
          <w:sz w:val="24"/>
          <w:szCs w:val="24"/>
          <w:lang w:val="bg-BG"/>
        </w:rPr>
        <w:t xml:space="preserve">да се постигне </w:t>
      </w:r>
      <w:r w:rsidR="00F42362" w:rsidRPr="00610B1B">
        <w:rPr>
          <w:rFonts w:ascii="Times New Roman" w:hAnsi="Times New Roman" w:cs="Times New Roman"/>
          <w:bCs/>
          <w:sz w:val="24"/>
          <w:szCs w:val="24"/>
          <w:lang w:val="bg-BG"/>
        </w:rPr>
        <w:t>търсения</w:t>
      </w:r>
      <w:r w:rsidR="006B0C4A" w:rsidRPr="00610B1B">
        <w:rPr>
          <w:rFonts w:ascii="Times New Roman" w:hAnsi="Times New Roman" w:cs="Times New Roman"/>
          <w:bCs/>
          <w:sz w:val="24"/>
          <w:szCs w:val="24"/>
          <w:lang w:val="bg-BG"/>
        </w:rPr>
        <w:t xml:space="preserve"> баланс между сектори</w:t>
      </w:r>
      <w:r w:rsidR="00B8154C" w:rsidRPr="00610B1B">
        <w:rPr>
          <w:rFonts w:ascii="Times New Roman" w:hAnsi="Times New Roman" w:cs="Times New Roman"/>
          <w:bCs/>
          <w:sz w:val="24"/>
          <w:szCs w:val="24"/>
          <w:lang w:val="bg-BG"/>
        </w:rPr>
        <w:t>те</w:t>
      </w:r>
      <w:r w:rsidR="006B0C4A" w:rsidRPr="00610B1B">
        <w:rPr>
          <w:rFonts w:ascii="Times New Roman" w:hAnsi="Times New Roman" w:cs="Times New Roman"/>
          <w:bCs/>
          <w:sz w:val="24"/>
          <w:szCs w:val="24"/>
          <w:lang w:val="bg-BG"/>
        </w:rPr>
        <w:t xml:space="preserve"> и безконфликтно</w:t>
      </w:r>
      <w:r w:rsidR="00F42362" w:rsidRPr="00610B1B">
        <w:rPr>
          <w:rFonts w:ascii="Times New Roman" w:hAnsi="Times New Roman" w:cs="Times New Roman"/>
          <w:bCs/>
          <w:sz w:val="24"/>
          <w:szCs w:val="24"/>
          <w:lang w:val="bg-BG"/>
        </w:rPr>
        <w:t>то</w:t>
      </w:r>
      <w:r w:rsidR="006B0C4A" w:rsidRPr="00610B1B">
        <w:rPr>
          <w:rFonts w:ascii="Times New Roman" w:hAnsi="Times New Roman" w:cs="Times New Roman"/>
          <w:bCs/>
          <w:sz w:val="24"/>
          <w:szCs w:val="24"/>
          <w:lang w:val="bg-BG"/>
        </w:rPr>
        <w:t xml:space="preserve"> съвместяване на </w:t>
      </w:r>
      <w:r w:rsidR="002045B4" w:rsidRPr="00610B1B">
        <w:rPr>
          <w:rFonts w:ascii="Times New Roman" w:hAnsi="Times New Roman" w:cs="Times New Roman"/>
          <w:bCs/>
          <w:sz w:val="24"/>
          <w:szCs w:val="24"/>
          <w:lang w:val="bg-BG"/>
        </w:rPr>
        <w:t>техните основни дейности в единното морско пространство.</w:t>
      </w:r>
    </w:p>
    <w:p w14:paraId="06BC31E9" w14:textId="77777777" w:rsidR="006665AB" w:rsidRPr="00610B1B" w:rsidRDefault="006665AB" w:rsidP="00D32D6A">
      <w:pPr>
        <w:spacing w:after="120"/>
        <w:ind w:right="-153"/>
        <w:jc w:val="both"/>
        <w:rPr>
          <w:rFonts w:ascii="Times New Roman" w:hAnsi="Times New Roman" w:cs="Times New Roman"/>
          <w:bCs/>
          <w:sz w:val="24"/>
          <w:szCs w:val="24"/>
          <w:lang w:val="bg-BG"/>
        </w:rPr>
      </w:pPr>
    </w:p>
    <w:p w14:paraId="236597F6" w14:textId="16855F72" w:rsidR="00761260" w:rsidRPr="00610B1B" w:rsidRDefault="00D36276" w:rsidP="00D32D6A">
      <w:pPr>
        <w:pStyle w:val="Heading3"/>
        <w:spacing w:before="0" w:line="276" w:lineRule="auto"/>
        <w:ind w:right="-153"/>
        <w:rPr>
          <w:rFonts w:cs="Times New Roman"/>
        </w:rPr>
      </w:pPr>
      <w:bookmarkStart w:id="11" w:name="_Toc83391354"/>
      <w:r w:rsidRPr="00610B1B">
        <w:rPr>
          <w:rFonts w:cs="Times New Roman"/>
        </w:rPr>
        <w:t>1.1</w:t>
      </w:r>
      <w:r w:rsidR="001D3664" w:rsidRPr="00610B1B">
        <w:rPr>
          <w:rFonts w:cs="Times New Roman"/>
        </w:rPr>
        <w:t xml:space="preserve">.3. </w:t>
      </w:r>
      <w:r w:rsidR="00F373EE" w:rsidRPr="00610B1B">
        <w:rPr>
          <w:rFonts w:cs="Times New Roman"/>
        </w:rPr>
        <w:t>Законодателна рамка</w:t>
      </w:r>
      <w:bookmarkEnd w:id="11"/>
      <w:r w:rsidR="00F373EE" w:rsidRPr="00610B1B">
        <w:rPr>
          <w:rFonts w:cs="Times New Roman"/>
        </w:rPr>
        <w:t xml:space="preserve"> </w:t>
      </w:r>
    </w:p>
    <w:p w14:paraId="268BA5C4" w14:textId="0AE75ABB" w:rsidR="00927AF9" w:rsidRPr="00610B1B" w:rsidRDefault="00D36276" w:rsidP="00D32D6A">
      <w:pPr>
        <w:pStyle w:val="Heading4"/>
        <w:spacing w:before="0" w:line="276" w:lineRule="auto"/>
        <w:ind w:right="-153"/>
        <w:rPr>
          <w:rFonts w:cs="Times New Roman"/>
        </w:rPr>
      </w:pPr>
      <w:r w:rsidRPr="00610B1B">
        <w:rPr>
          <w:rFonts w:cs="Times New Roman"/>
        </w:rPr>
        <w:t>1.1</w:t>
      </w:r>
      <w:r w:rsidR="001D3664" w:rsidRPr="00610B1B">
        <w:rPr>
          <w:rFonts w:cs="Times New Roman"/>
        </w:rPr>
        <w:t xml:space="preserve">.3.1. </w:t>
      </w:r>
      <w:r w:rsidR="00927AF9" w:rsidRPr="00610B1B">
        <w:rPr>
          <w:rFonts w:cs="Times New Roman"/>
        </w:rPr>
        <w:t>Международни документи</w:t>
      </w:r>
    </w:p>
    <w:p w14:paraId="52B6BE93" w14:textId="4E47D9F6" w:rsidR="00065426" w:rsidRPr="00610B1B" w:rsidRDefault="00F46597"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 xml:space="preserve">Загрижеността </w:t>
      </w:r>
      <w:r w:rsidR="002A1BEF" w:rsidRPr="00610B1B">
        <w:rPr>
          <w:rFonts w:ascii="Times New Roman" w:eastAsia="Arial Unicode MS" w:hAnsi="Times New Roman" w:cs="Times New Roman"/>
          <w:sz w:val="24"/>
          <w:szCs w:val="24"/>
          <w:lang w:val="bg-BG"/>
        </w:rPr>
        <w:t>на човечеството за океаните и морската околна среда</w:t>
      </w:r>
      <w:r w:rsidRPr="00610B1B">
        <w:rPr>
          <w:rFonts w:ascii="Times New Roman" w:eastAsia="Arial Unicode MS" w:hAnsi="Times New Roman" w:cs="Times New Roman"/>
          <w:sz w:val="24"/>
          <w:szCs w:val="24"/>
          <w:lang w:val="bg-BG"/>
        </w:rPr>
        <w:t xml:space="preserve"> и за прекомерната експлоатация на техните ресурси </w:t>
      </w:r>
      <w:r w:rsidR="002A1BEF" w:rsidRPr="00610B1B">
        <w:rPr>
          <w:rFonts w:ascii="Times New Roman" w:eastAsia="Arial Unicode MS" w:hAnsi="Times New Roman" w:cs="Times New Roman"/>
          <w:sz w:val="24"/>
          <w:szCs w:val="24"/>
          <w:lang w:val="bg-BG"/>
        </w:rPr>
        <w:t>се свързва с</w:t>
      </w:r>
      <w:r w:rsidR="00E9140D" w:rsidRPr="00610B1B">
        <w:rPr>
          <w:rFonts w:ascii="Times New Roman" w:eastAsia="Arial Unicode MS" w:hAnsi="Times New Roman" w:cs="Times New Roman"/>
          <w:sz w:val="24"/>
          <w:szCs w:val="24"/>
          <w:lang w:val="bg-BG"/>
        </w:rPr>
        <w:t xml:space="preserve"> края на 1950-те години и първата </w:t>
      </w:r>
      <w:r w:rsidR="00E9140D" w:rsidRPr="00610B1B">
        <w:rPr>
          <w:rFonts w:ascii="Times New Roman" w:eastAsia="Arial Unicode MS" w:hAnsi="Times New Roman" w:cs="Times New Roman"/>
          <w:sz w:val="24"/>
          <w:szCs w:val="24"/>
          <w:lang w:val="bg-BG"/>
        </w:rPr>
        <w:lastRenderedPageBreak/>
        <w:t xml:space="preserve">конференция на ООН по морско право, </w:t>
      </w:r>
      <w:r w:rsidRPr="00610B1B">
        <w:rPr>
          <w:rFonts w:ascii="Times New Roman" w:eastAsia="Arial Unicode MS" w:hAnsi="Times New Roman" w:cs="Times New Roman"/>
          <w:sz w:val="24"/>
          <w:szCs w:val="24"/>
          <w:lang w:val="bg-BG"/>
        </w:rPr>
        <w:t xml:space="preserve">с </w:t>
      </w:r>
      <w:r w:rsidR="00E9140D" w:rsidRPr="00610B1B">
        <w:rPr>
          <w:rFonts w:ascii="Times New Roman" w:eastAsia="Arial Unicode MS" w:hAnsi="Times New Roman" w:cs="Times New Roman"/>
          <w:sz w:val="24"/>
          <w:szCs w:val="24"/>
          <w:lang w:val="bg-BG"/>
        </w:rPr>
        <w:t>поставянето на първите морски пространства под защита през 1960-те</w:t>
      </w:r>
      <w:r w:rsidR="00FB0267"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 xml:space="preserve">с </w:t>
      </w:r>
      <w:r w:rsidR="00FB0267" w:rsidRPr="00610B1B">
        <w:rPr>
          <w:rFonts w:ascii="Times New Roman" w:eastAsia="Arial Unicode MS" w:hAnsi="Times New Roman" w:cs="Times New Roman"/>
          <w:sz w:val="24"/>
          <w:szCs w:val="24"/>
          <w:lang w:val="bg-BG"/>
        </w:rPr>
        <w:t xml:space="preserve">включването на опазването на моретата и крайбрежните територии и разумното използване на техните ресурси като важно условие за поддържане на живота на планетата в отделен раздел на </w:t>
      </w:r>
      <w:r w:rsidR="00FB0267" w:rsidRPr="00610B1B">
        <w:rPr>
          <w:rFonts w:ascii="Times New Roman" w:eastAsia="Arial Unicode MS" w:hAnsi="Times New Roman" w:cs="Times New Roman"/>
          <w:b/>
          <w:bCs/>
          <w:sz w:val="24"/>
          <w:szCs w:val="24"/>
          <w:lang w:val="bg-BG"/>
        </w:rPr>
        <w:t>Дневен ред 21</w:t>
      </w:r>
      <w:r w:rsidR="00FB0267" w:rsidRPr="00610B1B">
        <w:rPr>
          <w:rFonts w:ascii="Times New Roman" w:eastAsia="Arial Unicode MS" w:hAnsi="Times New Roman" w:cs="Times New Roman"/>
          <w:sz w:val="24"/>
          <w:szCs w:val="24"/>
          <w:lang w:val="bg-BG"/>
        </w:rPr>
        <w:t xml:space="preserve"> през 1992 г. (Глава 17)</w:t>
      </w:r>
      <w:r w:rsidR="00FB0267" w:rsidRPr="00610B1B">
        <w:rPr>
          <w:rStyle w:val="FootnoteReference"/>
          <w:rFonts w:ascii="Times New Roman" w:eastAsia="Arial Unicode MS" w:hAnsi="Times New Roman" w:cs="Times New Roman"/>
          <w:sz w:val="24"/>
          <w:szCs w:val="24"/>
          <w:lang w:val="bg-BG"/>
        </w:rPr>
        <w:footnoteReference w:id="22"/>
      </w:r>
      <w:r w:rsidR="00FB0267" w:rsidRPr="00610B1B">
        <w:rPr>
          <w:rFonts w:ascii="Times New Roman" w:eastAsia="Arial Unicode MS" w:hAnsi="Times New Roman" w:cs="Times New Roman"/>
          <w:sz w:val="24"/>
          <w:szCs w:val="24"/>
          <w:lang w:val="bg-BG"/>
        </w:rPr>
        <w:t xml:space="preserve">. </w:t>
      </w:r>
      <w:r w:rsidR="00065426" w:rsidRPr="00610B1B">
        <w:rPr>
          <w:rFonts w:ascii="Times New Roman" w:eastAsia="Arial Unicode MS" w:hAnsi="Times New Roman" w:cs="Times New Roman"/>
          <w:sz w:val="24"/>
          <w:szCs w:val="24"/>
          <w:lang w:val="bg-BG"/>
        </w:rPr>
        <w:t>През следв</w:t>
      </w:r>
      <w:r w:rsidR="001F1F61" w:rsidRPr="00610B1B">
        <w:rPr>
          <w:rFonts w:ascii="Times New Roman" w:eastAsia="Arial Unicode MS" w:hAnsi="Times New Roman" w:cs="Times New Roman"/>
          <w:sz w:val="24"/>
          <w:szCs w:val="24"/>
          <w:lang w:val="bg-BG"/>
        </w:rPr>
        <w:t xml:space="preserve">ащото десетилетие се изготвят </w:t>
      </w:r>
      <w:r w:rsidR="00065426" w:rsidRPr="00610B1B">
        <w:rPr>
          <w:rFonts w:ascii="Times New Roman" w:eastAsia="Arial Unicode MS" w:hAnsi="Times New Roman" w:cs="Times New Roman"/>
          <w:sz w:val="24"/>
          <w:szCs w:val="24"/>
          <w:lang w:val="bg-BG"/>
        </w:rPr>
        <w:t xml:space="preserve">първите планове за интегрирано управление на крайбрежни зони, между които за Средиземно, Балтийско и Адриатическо море. </w:t>
      </w:r>
      <w:r w:rsidR="00B8154C" w:rsidRPr="00610B1B">
        <w:rPr>
          <w:rFonts w:ascii="Times New Roman" w:eastAsia="Arial Unicode MS" w:hAnsi="Times New Roman" w:cs="Times New Roman"/>
          <w:sz w:val="24"/>
          <w:szCs w:val="24"/>
          <w:lang w:val="bg-BG"/>
        </w:rPr>
        <w:t xml:space="preserve">В периода 1996-1998 г. МРРБ </w:t>
      </w:r>
      <w:r w:rsidR="00184BAA" w:rsidRPr="00610B1B">
        <w:rPr>
          <w:rFonts w:ascii="Times New Roman" w:eastAsia="Arial Unicode MS" w:hAnsi="Times New Roman" w:cs="Times New Roman"/>
          <w:sz w:val="24"/>
          <w:szCs w:val="24"/>
          <w:lang w:val="bg-BG"/>
        </w:rPr>
        <w:t>съвместно със</w:t>
      </w:r>
      <w:r w:rsidR="00065426" w:rsidRPr="00610B1B">
        <w:rPr>
          <w:rFonts w:ascii="Times New Roman" w:eastAsia="Arial Unicode MS" w:hAnsi="Times New Roman" w:cs="Times New Roman"/>
          <w:sz w:val="24"/>
          <w:szCs w:val="24"/>
          <w:lang w:val="bg-BG"/>
        </w:rPr>
        <w:t xml:space="preserve"> Световна банка</w:t>
      </w:r>
      <w:r w:rsidR="00184BAA" w:rsidRPr="00610B1B">
        <w:rPr>
          <w:rFonts w:ascii="Times New Roman" w:eastAsia="Arial Unicode MS" w:hAnsi="Times New Roman" w:cs="Times New Roman"/>
          <w:sz w:val="24"/>
          <w:szCs w:val="24"/>
          <w:lang w:val="bg-BG"/>
        </w:rPr>
        <w:t xml:space="preserve"> изпълнява програма за интегрирано управление на крайбрежни зони, с </w:t>
      </w:r>
      <w:r w:rsidR="00065426" w:rsidRPr="00610B1B">
        <w:rPr>
          <w:rFonts w:ascii="Times New Roman" w:eastAsia="Arial Unicode MS" w:hAnsi="Times New Roman" w:cs="Times New Roman"/>
          <w:sz w:val="24"/>
          <w:szCs w:val="24"/>
          <w:lang w:val="bg-BG"/>
        </w:rPr>
        <w:t>финанс</w:t>
      </w:r>
      <w:r w:rsidR="00184BAA" w:rsidRPr="00610B1B">
        <w:rPr>
          <w:rFonts w:ascii="Times New Roman" w:eastAsia="Arial Unicode MS" w:hAnsi="Times New Roman" w:cs="Times New Roman"/>
          <w:sz w:val="24"/>
          <w:szCs w:val="24"/>
          <w:lang w:val="bg-BG"/>
        </w:rPr>
        <w:t xml:space="preserve">овата подкрепа на </w:t>
      </w:r>
      <w:r w:rsidR="00065426" w:rsidRPr="00610B1B">
        <w:rPr>
          <w:rFonts w:ascii="Times New Roman" w:eastAsia="Arial Unicode MS" w:hAnsi="Times New Roman" w:cs="Times New Roman"/>
          <w:sz w:val="24"/>
          <w:szCs w:val="24"/>
          <w:lang w:val="bg-BG"/>
        </w:rPr>
        <w:t>Глобалния фонд за околната среда</w:t>
      </w:r>
      <w:r w:rsidR="00E169D0" w:rsidRPr="00610B1B">
        <w:rPr>
          <w:rFonts w:ascii="Times New Roman" w:eastAsia="Arial Unicode MS" w:hAnsi="Times New Roman" w:cs="Times New Roman"/>
          <w:sz w:val="24"/>
          <w:szCs w:val="24"/>
          <w:lang w:val="bg-BG"/>
        </w:rPr>
        <w:t>. Р</w:t>
      </w:r>
      <w:r w:rsidR="00184BAA" w:rsidRPr="00610B1B">
        <w:rPr>
          <w:rFonts w:ascii="Times New Roman" w:eastAsia="Arial Unicode MS" w:hAnsi="Times New Roman" w:cs="Times New Roman"/>
          <w:sz w:val="24"/>
          <w:szCs w:val="24"/>
          <w:lang w:val="bg-BG"/>
        </w:rPr>
        <w:t xml:space="preserve">азработват </w:t>
      </w:r>
      <w:r w:rsidR="00E169D0" w:rsidRPr="00610B1B">
        <w:rPr>
          <w:rFonts w:ascii="Times New Roman" w:eastAsia="Arial Unicode MS" w:hAnsi="Times New Roman" w:cs="Times New Roman"/>
          <w:sz w:val="24"/>
          <w:szCs w:val="24"/>
          <w:lang w:val="bg-BG"/>
        </w:rPr>
        <w:t xml:space="preserve">се </w:t>
      </w:r>
      <w:r w:rsidR="00184BAA" w:rsidRPr="00610B1B">
        <w:rPr>
          <w:rFonts w:ascii="Times New Roman" w:eastAsia="Arial Unicode MS" w:hAnsi="Times New Roman" w:cs="Times New Roman"/>
          <w:sz w:val="24"/>
          <w:szCs w:val="24"/>
          <w:lang w:val="bg-BG"/>
        </w:rPr>
        <w:t>първите териториалноустройствени планове на Черноморските общини при новите условия на възстановена собственост, цифров кадастър и ГИС базирани технологии</w:t>
      </w:r>
      <w:r w:rsidR="00E169D0"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 </w:t>
      </w:r>
      <w:r w:rsidR="004D724C" w:rsidRPr="00610B1B">
        <w:rPr>
          <w:rFonts w:ascii="Times New Roman" w:eastAsia="Arial Unicode MS" w:hAnsi="Times New Roman" w:cs="Times New Roman"/>
          <w:sz w:val="24"/>
          <w:szCs w:val="24"/>
          <w:lang w:val="bg-BG"/>
        </w:rPr>
        <w:t xml:space="preserve">изготвени </w:t>
      </w:r>
      <w:r w:rsidRPr="00610B1B">
        <w:rPr>
          <w:rFonts w:ascii="Times New Roman" w:eastAsia="Arial Unicode MS" w:hAnsi="Times New Roman" w:cs="Times New Roman"/>
          <w:sz w:val="24"/>
          <w:szCs w:val="24"/>
          <w:lang w:val="bg-BG"/>
        </w:rPr>
        <w:t xml:space="preserve">за първи път </w:t>
      </w:r>
      <w:r w:rsidR="00732482" w:rsidRPr="00610B1B">
        <w:rPr>
          <w:rFonts w:ascii="Times New Roman" w:eastAsia="Arial Unicode MS" w:hAnsi="Times New Roman" w:cs="Times New Roman"/>
          <w:sz w:val="24"/>
          <w:szCs w:val="24"/>
          <w:lang w:val="bg-BG"/>
        </w:rPr>
        <w:t>Стратегически е</w:t>
      </w:r>
      <w:r w:rsidRPr="00610B1B">
        <w:rPr>
          <w:rFonts w:ascii="Times New Roman" w:eastAsia="Arial Unicode MS" w:hAnsi="Times New Roman" w:cs="Times New Roman"/>
          <w:sz w:val="24"/>
          <w:szCs w:val="24"/>
          <w:lang w:val="bg-BG"/>
        </w:rPr>
        <w:t>кологичн</w:t>
      </w:r>
      <w:r w:rsidR="004D724C" w:rsidRPr="00610B1B">
        <w:rPr>
          <w:rFonts w:ascii="Times New Roman" w:eastAsia="Arial Unicode MS" w:hAnsi="Times New Roman" w:cs="Times New Roman"/>
          <w:sz w:val="24"/>
          <w:szCs w:val="24"/>
          <w:lang w:val="bg-BG"/>
        </w:rPr>
        <w:t>и</w:t>
      </w:r>
      <w:r w:rsidRPr="00610B1B">
        <w:rPr>
          <w:rFonts w:ascii="Times New Roman" w:eastAsia="Arial Unicode MS" w:hAnsi="Times New Roman" w:cs="Times New Roman"/>
          <w:sz w:val="24"/>
          <w:szCs w:val="24"/>
          <w:lang w:val="bg-BG"/>
        </w:rPr>
        <w:t xml:space="preserve"> оценк</w:t>
      </w:r>
      <w:r w:rsidR="004D724C" w:rsidRPr="00610B1B">
        <w:rPr>
          <w:rFonts w:ascii="Times New Roman" w:eastAsia="Arial Unicode MS" w:hAnsi="Times New Roman" w:cs="Times New Roman"/>
          <w:sz w:val="24"/>
          <w:szCs w:val="24"/>
          <w:lang w:val="bg-BG"/>
        </w:rPr>
        <w:t>и</w:t>
      </w:r>
      <w:r w:rsidRPr="00610B1B">
        <w:rPr>
          <w:rFonts w:ascii="Times New Roman" w:eastAsia="Arial Unicode MS" w:hAnsi="Times New Roman" w:cs="Times New Roman"/>
          <w:sz w:val="24"/>
          <w:szCs w:val="24"/>
          <w:lang w:val="bg-BG"/>
        </w:rPr>
        <w:t xml:space="preserve"> на въздействието</w:t>
      </w:r>
      <w:r w:rsidR="00184BAA" w:rsidRPr="00610B1B">
        <w:rPr>
          <w:rFonts w:ascii="Times New Roman" w:eastAsia="Arial Unicode MS" w:hAnsi="Times New Roman" w:cs="Times New Roman"/>
          <w:sz w:val="24"/>
          <w:szCs w:val="24"/>
          <w:lang w:val="bg-BG"/>
        </w:rPr>
        <w:t>.</w:t>
      </w:r>
      <w:r w:rsidR="00D66FE0" w:rsidRPr="00610B1B">
        <w:rPr>
          <w:rFonts w:ascii="Times New Roman" w:eastAsia="Arial Unicode MS" w:hAnsi="Times New Roman" w:cs="Times New Roman"/>
          <w:sz w:val="24"/>
          <w:szCs w:val="24"/>
          <w:lang w:val="bg-BG"/>
        </w:rPr>
        <w:t xml:space="preserve"> </w:t>
      </w:r>
    </w:p>
    <w:p w14:paraId="08A31859" w14:textId="4590A310" w:rsidR="00065426" w:rsidRPr="00610B1B" w:rsidRDefault="00F46597"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Cs/>
          <w:sz w:val="24"/>
          <w:szCs w:val="24"/>
          <w:lang w:val="bg-BG"/>
        </w:rPr>
        <w:t>На опазването и устойчивото използване на океаните, моретата и морските ресурси</w:t>
      </w:r>
      <w:r w:rsidR="00D66FE0" w:rsidRPr="00610B1B">
        <w:rPr>
          <w:rFonts w:ascii="Times New Roman" w:eastAsia="Arial Unicode MS" w:hAnsi="Times New Roman" w:cs="Times New Roman"/>
          <w:bCs/>
          <w:sz w:val="24"/>
          <w:szCs w:val="24"/>
          <w:lang w:val="bg-BG"/>
        </w:rPr>
        <w:t xml:space="preserve"> </w:t>
      </w:r>
      <w:r w:rsidRPr="00610B1B">
        <w:rPr>
          <w:rFonts w:ascii="Times New Roman" w:eastAsia="Arial Unicode MS" w:hAnsi="Times New Roman" w:cs="Times New Roman"/>
          <w:bCs/>
          <w:sz w:val="24"/>
          <w:szCs w:val="24"/>
          <w:lang w:val="bg-BG"/>
        </w:rPr>
        <w:t>е посветена ед</w:t>
      </w:r>
      <w:r w:rsidR="001E600B" w:rsidRPr="00610B1B">
        <w:rPr>
          <w:rFonts w:ascii="Times New Roman" w:eastAsia="Arial Unicode MS" w:hAnsi="Times New Roman" w:cs="Times New Roman"/>
          <w:bCs/>
          <w:sz w:val="24"/>
          <w:szCs w:val="24"/>
          <w:lang w:val="bg-BG"/>
        </w:rPr>
        <w:t xml:space="preserve">на от глобалните цели на устойчивото развитие (ЦУР14) на </w:t>
      </w:r>
      <w:r w:rsidR="00065426" w:rsidRPr="00610B1B">
        <w:rPr>
          <w:rFonts w:ascii="Times New Roman" w:eastAsia="Arial Unicode MS" w:hAnsi="Times New Roman" w:cs="Times New Roman"/>
          <w:sz w:val="24"/>
          <w:szCs w:val="24"/>
          <w:lang w:val="bg-BG"/>
        </w:rPr>
        <w:t xml:space="preserve">Програмата на ООН за устойчиво развитие </w:t>
      </w:r>
      <w:r w:rsidR="001E600B" w:rsidRPr="00610B1B">
        <w:rPr>
          <w:rFonts w:ascii="Times New Roman" w:eastAsia="Arial Unicode MS" w:hAnsi="Times New Roman" w:cs="Times New Roman"/>
          <w:sz w:val="24"/>
          <w:szCs w:val="24"/>
          <w:lang w:val="bg-BG"/>
        </w:rPr>
        <w:t>(</w:t>
      </w:r>
      <w:r w:rsidR="00065426" w:rsidRPr="00610B1B">
        <w:rPr>
          <w:rFonts w:ascii="Times New Roman" w:eastAsia="Arial Unicode MS" w:hAnsi="Times New Roman" w:cs="Times New Roman"/>
          <w:b/>
          <w:bCs/>
          <w:sz w:val="24"/>
          <w:szCs w:val="24"/>
          <w:lang w:val="bg-BG"/>
        </w:rPr>
        <w:t>Дневен ред 2030</w:t>
      </w:r>
      <w:r w:rsidR="001E600B" w:rsidRPr="00610B1B">
        <w:rPr>
          <w:rFonts w:ascii="Times New Roman" w:eastAsia="Arial Unicode MS" w:hAnsi="Times New Roman" w:cs="Times New Roman"/>
          <w:sz w:val="24"/>
          <w:szCs w:val="24"/>
          <w:lang w:val="bg-BG"/>
        </w:rPr>
        <w:t>)</w:t>
      </w:r>
      <w:r w:rsidR="00065426" w:rsidRPr="00610B1B">
        <w:rPr>
          <w:rFonts w:ascii="Times New Roman" w:eastAsia="Arial Unicode MS" w:hAnsi="Times New Roman" w:cs="Times New Roman"/>
          <w:sz w:val="24"/>
          <w:szCs w:val="24"/>
          <w:vertAlign w:val="superscript"/>
          <w:lang w:val="bg-BG"/>
        </w:rPr>
        <w:footnoteReference w:id="23"/>
      </w:r>
      <w:r w:rsidR="00065426" w:rsidRPr="00610B1B">
        <w:rPr>
          <w:rFonts w:ascii="Times New Roman" w:eastAsia="Arial Unicode MS" w:hAnsi="Times New Roman" w:cs="Times New Roman"/>
          <w:sz w:val="24"/>
          <w:szCs w:val="24"/>
          <w:lang w:val="bg-BG"/>
        </w:rPr>
        <w:t>. Освен намаляване на морското замърсяване до 2025 г., до 2020 г. следва да се приложат адекватни мерки за възстановяване на морските екосистеми</w:t>
      </w:r>
      <w:r w:rsidR="004D724C" w:rsidRPr="00610B1B">
        <w:rPr>
          <w:rFonts w:ascii="Times New Roman" w:eastAsia="Arial Unicode MS" w:hAnsi="Times New Roman" w:cs="Times New Roman"/>
          <w:sz w:val="24"/>
          <w:szCs w:val="24"/>
          <w:lang w:val="bg-BG"/>
        </w:rPr>
        <w:t>,</w:t>
      </w:r>
      <w:r w:rsidR="00065426" w:rsidRPr="00610B1B">
        <w:rPr>
          <w:rFonts w:ascii="Times New Roman" w:eastAsia="Arial Unicode MS" w:hAnsi="Times New Roman" w:cs="Times New Roman"/>
          <w:sz w:val="24"/>
          <w:szCs w:val="24"/>
          <w:lang w:val="bg-BG"/>
        </w:rPr>
        <w:t xml:space="preserve"> да се преустановят разрушителните риболовни практики, </w:t>
      </w:r>
      <w:r w:rsidR="004D724C" w:rsidRPr="00610B1B">
        <w:rPr>
          <w:rFonts w:ascii="Times New Roman" w:eastAsia="Arial Unicode MS" w:hAnsi="Times New Roman" w:cs="Times New Roman"/>
          <w:sz w:val="24"/>
          <w:szCs w:val="24"/>
          <w:lang w:val="bg-BG"/>
        </w:rPr>
        <w:t xml:space="preserve">да се </w:t>
      </w:r>
      <w:r w:rsidR="00065426" w:rsidRPr="00610B1B">
        <w:rPr>
          <w:rFonts w:ascii="Times New Roman" w:eastAsia="Arial Unicode MS" w:hAnsi="Times New Roman" w:cs="Times New Roman"/>
          <w:sz w:val="24"/>
          <w:szCs w:val="24"/>
          <w:lang w:val="bg-BG"/>
        </w:rPr>
        <w:t>преосмисл</w:t>
      </w:r>
      <w:r w:rsidR="004D724C" w:rsidRPr="00610B1B">
        <w:rPr>
          <w:rFonts w:ascii="Times New Roman" w:eastAsia="Arial Unicode MS" w:hAnsi="Times New Roman" w:cs="Times New Roman"/>
          <w:sz w:val="24"/>
          <w:szCs w:val="24"/>
          <w:lang w:val="bg-BG"/>
        </w:rPr>
        <w:t>и</w:t>
      </w:r>
      <w:r w:rsidR="00065426" w:rsidRPr="00610B1B">
        <w:rPr>
          <w:rFonts w:ascii="Times New Roman" w:eastAsia="Arial Unicode MS" w:hAnsi="Times New Roman" w:cs="Times New Roman"/>
          <w:sz w:val="24"/>
          <w:szCs w:val="24"/>
          <w:lang w:val="bg-BG"/>
        </w:rPr>
        <w:t xml:space="preserve"> системата за субсидиране на рибарството. В същия срок </w:t>
      </w:r>
      <w:r w:rsidR="00007BFA" w:rsidRPr="00610B1B">
        <w:rPr>
          <w:rFonts w:ascii="Times New Roman" w:eastAsia="Arial Unicode MS" w:hAnsi="Times New Roman" w:cs="Times New Roman"/>
          <w:sz w:val="24"/>
          <w:szCs w:val="24"/>
          <w:lang w:val="bg-BG"/>
        </w:rPr>
        <w:t>следва</w:t>
      </w:r>
      <w:r w:rsidR="00065426" w:rsidRPr="00610B1B">
        <w:rPr>
          <w:rFonts w:ascii="Times New Roman" w:eastAsia="Arial Unicode MS" w:hAnsi="Times New Roman" w:cs="Times New Roman"/>
          <w:sz w:val="24"/>
          <w:szCs w:val="24"/>
          <w:lang w:val="bg-BG"/>
        </w:rPr>
        <w:t xml:space="preserve"> да се гарантира съхранението на минимум 10% от крайбрежните и морски зони, да се стимулират научните изследвания и трансфера на морски технологии, посредством повишаване на научните знания, развитието на изследователския капацитет и на информационната основа. До 2030 г. се предвижда повишаване на икономическите ползи за най-слабо развитите държави</w:t>
      </w:r>
      <w:r w:rsidR="00065426" w:rsidRPr="00610B1B">
        <w:rPr>
          <w:rFonts w:ascii="Times New Roman" w:eastAsia="Arial Unicode MS" w:hAnsi="Times New Roman" w:cs="Times New Roman"/>
          <w:i/>
          <w:sz w:val="24"/>
          <w:szCs w:val="24"/>
          <w:lang w:val="bg-BG"/>
        </w:rPr>
        <w:t xml:space="preserve"> </w:t>
      </w:r>
      <w:r w:rsidR="00065426" w:rsidRPr="00610B1B">
        <w:rPr>
          <w:rFonts w:ascii="Times New Roman" w:eastAsia="Arial Unicode MS" w:hAnsi="Times New Roman" w:cs="Times New Roman"/>
          <w:iCs/>
          <w:sz w:val="24"/>
          <w:szCs w:val="24"/>
          <w:lang w:val="bg-BG"/>
        </w:rPr>
        <w:t>„чрез устойчиво управление на рибарството, аквакултурите и туризма“.</w:t>
      </w:r>
      <w:r w:rsidR="004D724C" w:rsidRPr="00610B1B">
        <w:rPr>
          <w:rFonts w:ascii="Times New Roman" w:eastAsia="Arial Unicode MS" w:hAnsi="Times New Roman" w:cs="Times New Roman"/>
          <w:sz w:val="24"/>
          <w:szCs w:val="24"/>
          <w:lang w:val="bg-BG"/>
        </w:rPr>
        <w:t xml:space="preserve"> </w:t>
      </w:r>
      <w:r w:rsidR="00065426" w:rsidRPr="00610B1B">
        <w:rPr>
          <w:rFonts w:ascii="Times New Roman" w:eastAsia="Arial Unicode MS" w:hAnsi="Times New Roman" w:cs="Times New Roman"/>
          <w:sz w:val="24"/>
          <w:szCs w:val="24"/>
          <w:lang w:val="bg-BG"/>
        </w:rPr>
        <w:t>Програмата насърчава държави</w:t>
      </w:r>
      <w:r w:rsidR="002A1892" w:rsidRPr="00610B1B">
        <w:rPr>
          <w:rFonts w:ascii="Times New Roman" w:eastAsia="Arial Unicode MS" w:hAnsi="Times New Roman" w:cs="Times New Roman"/>
          <w:sz w:val="24"/>
          <w:szCs w:val="24"/>
          <w:lang w:val="bg-BG"/>
        </w:rPr>
        <w:t>те</w:t>
      </w:r>
      <w:r w:rsidR="00065426" w:rsidRPr="00610B1B">
        <w:rPr>
          <w:rFonts w:ascii="Times New Roman" w:eastAsia="Arial Unicode MS" w:hAnsi="Times New Roman" w:cs="Times New Roman"/>
          <w:sz w:val="24"/>
          <w:szCs w:val="24"/>
          <w:lang w:val="bg-BG"/>
        </w:rPr>
        <w:t xml:space="preserve"> да инкорпорират тези глобални цели в стратегическите си документи за устойчиво развитие чрез подходящи инструменти за планиране и адекватни национални мерки. </w:t>
      </w:r>
      <w:r w:rsidR="002A1892" w:rsidRPr="00610B1B">
        <w:rPr>
          <w:rFonts w:ascii="Times New Roman" w:eastAsia="Arial Unicode MS" w:hAnsi="Times New Roman" w:cs="Times New Roman"/>
          <w:sz w:val="24"/>
          <w:szCs w:val="24"/>
          <w:lang w:val="bg-BG"/>
        </w:rPr>
        <w:t>Европейският съюз поема своите ангажименти в сътрудничеството с ООН и обвързва глобалните цели на документа, включително и ЦУР14</w:t>
      </w:r>
      <w:r w:rsidR="00E169D0" w:rsidRPr="00610B1B">
        <w:rPr>
          <w:rFonts w:ascii="Times New Roman" w:eastAsia="Arial Unicode MS" w:hAnsi="Times New Roman" w:cs="Times New Roman"/>
          <w:sz w:val="24"/>
          <w:szCs w:val="24"/>
          <w:lang w:val="bg-BG"/>
        </w:rPr>
        <w:t>,</w:t>
      </w:r>
      <w:r w:rsidR="002A1892" w:rsidRPr="00610B1B">
        <w:rPr>
          <w:rFonts w:ascii="Times New Roman" w:eastAsia="Arial Unicode MS" w:hAnsi="Times New Roman" w:cs="Times New Roman"/>
          <w:sz w:val="24"/>
          <w:szCs w:val="24"/>
          <w:lang w:val="bg-BG"/>
        </w:rPr>
        <w:t xml:space="preserve"> със своите политики за сигурност, за адаптиране към измененията на климата</w:t>
      </w:r>
      <w:r w:rsidR="00E169D0" w:rsidRPr="00610B1B">
        <w:rPr>
          <w:rFonts w:ascii="Times New Roman" w:eastAsia="Arial Unicode MS" w:hAnsi="Times New Roman" w:cs="Times New Roman"/>
          <w:sz w:val="24"/>
          <w:szCs w:val="24"/>
          <w:lang w:val="bg-BG"/>
        </w:rPr>
        <w:t>,</w:t>
      </w:r>
      <w:r w:rsidR="002A1892" w:rsidRPr="00610B1B">
        <w:rPr>
          <w:rFonts w:ascii="Times New Roman" w:eastAsia="Arial Unicode MS" w:hAnsi="Times New Roman" w:cs="Times New Roman"/>
          <w:sz w:val="24"/>
          <w:szCs w:val="24"/>
          <w:lang w:val="bg-BG"/>
        </w:rPr>
        <w:t xml:space="preserve"> </w:t>
      </w:r>
      <w:r w:rsidR="00E169D0" w:rsidRPr="00610B1B">
        <w:rPr>
          <w:rFonts w:ascii="Times New Roman" w:eastAsia="Arial Unicode MS" w:hAnsi="Times New Roman" w:cs="Times New Roman"/>
          <w:sz w:val="24"/>
          <w:szCs w:val="24"/>
          <w:lang w:val="bg-BG"/>
        </w:rPr>
        <w:t xml:space="preserve">външната политика </w:t>
      </w:r>
      <w:r w:rsidR="002A1892" w:rsidRPr="00610B1B">
        <w:rPr>
          <w:rFonts w:ascii="Times New Roman" w:eastAsia="Arial Unicode MS" w:hAnsi="Times New Roman" w:cs="Times New Roman"/>
          <w:sz w:val="24"/>
          <w:szCs w:val="24"/>
          <w:lang w:val="bg-BG"/>
        </w:rPr>
        <w:t xml:space="preserve">и интегрираната морска политика с двата си най-важни документа – морска стратегия и морски пространствен план. </w:t>
      </w:r>
    </w:p>
    <w:p w14:paraId="3164DBEF" w14:textId="1B0A8ED7" w:rsidR="0051606B" w:rsidRPr="00610B1B" w:rsidRDefault="00065426"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Конвенцията на ООН по морско право</w:t>
      </w:r>
      <w:r w:rsidR="002A1892" w:rsidRPr="00610B1B">
        <w:rPr>
          <w:rFonts w:ascii="Times New Roman" w:eastAsia="Arial Unicode MS" w:hAnsi="Times New Roman" w:cs="Times New Roman"/>
          <w:b/>
          <w:bCs/>
          <w:sz w:val="24"/>
          <w:szCs w:val="24"/>
          <w:lang w:val="bg-BG"/>
        </w:rPr>
        <w:t xml:space="preserve"> </w:t>
      </w:r>
      <w:r w:rsidR="002A1892"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приета </w:t>
      </w:r>
      <w:r w:rsidR="006665AB" w:rsidRPr="00610B1B">
        <w:rPr>
          <w:rFonts w:ascii="Times New Roman" w:eastAsia="Arial Unicode MS" w:hAnsi="Times New Roman" w:cs="Times New Roman"/>
          <w:sz w:val="24"/>
          <w:szCs w:val="24"/>
          <w:lang w:val="bg-BG"/>
        </w:rPr>
        <w:t xml:space="preserve">1982 </w:t>
      </w:r>
      <w:r w:rsidR="002A1892" w:rsidRPr="00610B1B">
        <w:rPr>
          <w:rFonts w:ascii="Times New Roman" w:eastAsia="Arial Unicode MS" w:hAnsi="Times New Roman" w:cs="Times New Roman"/>
          <w:sz w:val="24"/>
          <w:szCs w:val="24"/>
          <w:lang w:val="bg-BG"/>
        </w:rPr>
        <w:t>г., в</w:t>
      </w:r>
      <w:r w:rsidRPr="00610B1B">
        <w:rPr>
          <w:rFonts w:ascii="Times New Roman" w:eastAsia="Arial Unicode MS" w:hAnsi="Times New Roman" w:cs="Times New Roman"/>
          <w:sz w:val="24"/>
          <w:szCs w:val="24"/>
          <w:lang w:val="bg-BG"/>
        </w:rPr>
        <w:t xml:space="preserve"> сила </w:t>
      </w:r>
      <w:r w:rsidR="002A1892" w:rsidRPr="00610B1B">
        <w:rPr>
          <w:rFonts w:ascii="Times New Roman" w:eastAsia="Arial Unicode MS" w:hAnsi="Times New Roman" w:cs="Times New Roman"/>
          <w:sz w:val="24"/>
          <w:szCs w:val="24"/>
          <w:lang w:val="bg-BG"/>
        </w:rPr>
        <w:t>от</w:t>
      </w:r>
      <w:r w:rsidRPr="00610B1B">
        <w:rPr>
          <w:rFonts w:ascii="Times New Roman" w:eastAsia="Arial Unicode MS" w:hAnsi="Times New Roman" w:cs="Times New Roman"/>
          <w:sz w:val="24"/>
          <w:szCs w:val="24"/>
          <w:lang w:val="bg-BG"/>
        </w:rPr>
        <w:t xml:space="preserve"> 1993 г.</w:t>
      </w:r>
      <w:r w:rsidR="002A1892" w:rsidRPr="00610B1B">
        <w:rPr>
          <w:rFonts w:ascii="Times New Roman" w:eastAsia="Arial Unicode MS" w:hAnsi="Times New Roman" w:cs="Times New Roman"/>
          <w:sz w:val="24"/>
          <w:szCs w:val="24"/>
          <w:lang w:val="bg-BG"/>
        </w:rPr>
        <w:t>)</w:t>
      </w:r>
      <w:r w:rsidR="002A1892" w:rsidRPr="00610B1B">
        <w:rPr>
          <w:rStyle w:val="FootnoteReference"/>
          <w:rFonts w:ascii="Times New Roman" w:eastAsia="Arial Unicode MS" w:hAnsi="Times New Roman" w:cs="Times New Roman"/>
          <w:sz w:val="24"/>
          <w:szCs w:val="24"/>
          <w:lang w:val="bg-BG"/>
        </w:rPr>
        <w:footnoteReference w:id="24"/>
      </w:r>
      <w:r w:rsidRPr="00610B1B">
        <w:rPr>
          <w:rFonts w:ascii="Times New Roman" w:eastAsia="Arial Unicode MS" w:hAnsi="Times New Roman" w:cs="Times New Roman"/>
          <w:sz w:val="24"/>
          <w:szCs w:val="24"/>
          <w:lang w:val="bg-BG"/>
        </w:rPr>
        <w:t xml:space="preserve"> е основополагащ документ, който отразява промените, след конференции</w:t>
      </w:r>
      <w:r w:rsidR="002A1892" w:rsidRPr="00610B1B">
        <w:rPr>
          <w:rFonts w:ascii="Times New Roman" w:eastAsia="Arial Unicode MS" w:hAnsi="Times New Roman" w:cs="Times New Roman"/>
          <w:sz w:val="24"/>
          <w:szCs w:val="24"/>
          <w:lang w:val="bg-BG"/>
        </w:rPr>
        <w:t>те</w:t>
      </w:r>
      <w:r w:rsidRPr="00610B1B">
        <w:rPr>
          <w:rFonts w:ascii="Times New Roman" w:eastAsia="Arial Unicode MS" w:hAnsi="Times New Roman" w:cs="Times New Roman"/>
          <w:sz w:val="24"/>
          <w:szCs w:val="24"/>
          <w:lang w:val="bg-BG"/>
        </w:rPr>
        <w:t xml:space="preserve"> в Женева през 1958 и 1960 г.</w:t>
      </w:r>
      <w:r w:rsidR="002A1892"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 обединява приетите Женевски конвенции, регламентира опазването, използването и изучаването на моретата и океаните и техните ресурси. </w:t>
      </w:r>
      <w:r w:rsidR="00E169D0" w:rsidRPr="00610B1B">
        <w:rPr>
          <w:rFonts w:ascii="Times New Roman" w:eastAsia="Arial Unicode MS" w:hAnsi="Times New Roman" w:cs="Times New Roman"/>
          <w:sz w:val="24"/>
          <w:szCs w:val="24"/>
          <w:lang w:val="bg-BG"/>
        </w:rPr>
        <w:t>Конвенцията</w:t>
      </w:r>
      <w:r w:rsidRPr="00610B1B">
        <w:rPr>
          <w:rFonts w:ascii="Times New Roman" w:eastAsia="Arial Unicode MS" w:hAnsi="Times New Roman" w:cs="Times New Roman"/>
          <w:sz w:val="24"/>
          <w:szCs w:val="24"/>
          <w:lang w:val="bg-BG"/>
        </w:rPr>
        <w:t xml:space="preserve"> доразвива принципите на </w:t>
      </w:r>
      <w:r w:rsidR="00E169D0" w:rsidRPr="00610B1B">
        <w:rPr>
          <w:rFonts w:ascii="Times New Roman" w:eastAsia="Arial Unicode MS" w:hAnsi="Times New Roman" w:cs="Times New Roman"/>
          <w:sz w:val="24"/>
          <w:szCs w:val="24"/>
          <w:lang w:val="bg-BG"/>
        </w:rPr>
        <w:t xml:space="preserve">Резолюция </w:t>
      </w:r>
      <w:r w:rsidRPr="00610B1B">
        <w:rPr>
          <w:rFonts w:ascii="Times New Roman" w:eastAsia="Arial Unicode MS" w:hAnsi="Times New Roman" w:cs="Times New Roman"/>
          <w:sz w:val="24"/>
          <w:szCs w:val="24"/>
          <w:lang w:val="bg-BG"/>
        </w:rPr>
        <w:t xml:space="preserve">2749 (XXV) от 17 декември 1970 г. от Общото събрание на организацията относно зоната на морско и океанско дъно и техните недра отвъд пределите на националната юрисдикция и техните ресурси, обявени за общо наследство на човечеството. Тя </w:t>
      </w:r>
      <w:r w:rsidR="004D724C" w:rsidRPr="00610B1B">
        <w:rPr>
          <w:rFonts w:ascii="Times New Roman" w:eastAsia="Arial Unicode MS" w:hAnsi="Times New Roman" w:cs="Times New Roman"/>
          <w:sz w:val="24"/>
          <w:szCs w:val="24"/>
          <w:lang w:val="bg-BG"/>
        </w:rPr>
        <w:t xml:space="preserve">цели </w:t>
      </w:r>
      <w:r w:rsidRPr="00610B1B">
        <w:rPr>
          <w:rFonts w:ascii="Times New Roman" w:eastAsia="Arial Unicode MS" w:hAnsi="Times New Roman" w:cs="Times New Roman"/>
          <w:sz w:val="24"/>
          <w:szCs w:val="24"/>
          <w:lang w:val="bg-BG"/>
        </w:rPr>
        <w:t>подобр</w:t>
      </w:r>
      <w:r w:rsidR="004D724C" w:rsidRPr="00610B1B">
        <w:rPr>
          <w:rFonts w:ascii="Times New Roman" w:eastAsia="Arial Unicode MS" w:hAnsi="Times New Roman" w:cs="Times New Roman"/>
          <w:sz w:val="24"/>
          <w:szCs w:val="24"/>
          <w:lang w:val="bg-BG"/>
        </w:rPr>
        <w:t>яването на</w:t>
      </w:r>
      <w:r w:rsidRPr="00610B1B">
        <w:rPr>
          <w:rFonts w:ascii="Times New Roman" w:eastAsia="Arial Unicode MS" w:hAnsi="Times New Roman" w:cs="Times New Roman"/>
          <w:sz w:val="24"/>
          <w:szCs w:val="24"/>
          <w:lang w:val="bg-BG"/>
        </w:rPr>
        <w:t xml:space="preserve"> сигурността, сътрудничеството и икономическия и социалния напредък. Конвенцията дава определенията на използваната </w:t>
      </w:r>
      <w:r w:rsidRPr="00610B1B">
        <w:rPr>
          <w:rFonts w:ascii="Times New Roman" w:eastAsia="Arial Unicode MS" w:hAnsi="Times New Roman" w:cs="Times New Roman"/>
          <w:sz w:val="24"/>
          <w:szCs w:val="24"/>
          <w:lang w:val="bg-BG"/>
        </w:rPr>
        <w:lastRenderedPageBreak/>
        <w:t>терминология, фиксира границите на морск</w:t>
      </w:r>
      <w:r w:rsidR="004D724C" w:rsidRPr="00610B1B">
        <w:rPr>
          <w:rFonts w:ascii="Times New Roman" w:eastAsia="Arial Unicode MS" w:hAnsi="Times New Roman" w:cs="Times New Roman"/>
          <w:sz w:val="24"/>
          <w:szCs w:val="24"/>
          <w:lang w:val="bg-BG"/>
        </w:rPr>
        <w:t>ите</w:t>
      </w:r>
      <w:r w:rsidRPr="00610B1B">
        <w:rPr>
          <w:rFonts w:ascii="Times New Roman" w:eastAsia="Arial Unicode MS" w:hAnsi="Times New Roman" w:cs="Times New Roman"/>
          <w:sz w:val="24"/>
          <w:szCs w:val="24"/>
          <w:lang w:val="bg-BG"/>
        </w:rPr>
        <w:t xml:space="preserve"> пространств</w:t>
      </w:r>
      <w:r w:rsidR="004D724C" w:rsidRPr="00610B1B">
        <w:rPr>
          <w:rFonts w:ascii="Times New Roman" w:eastAsia="Arial Unicode MS" w:hAnsi="Times New Roman" w:cs="Times New Roman"/>
          <w:sz w:val="24"/>
          <w:szCs w:val="24"/>
          <w:lang w:val="bg-BG"/>
        </w:rPr>
        <w:t>а</w:t>
      </w:r>
      <w:r w:rsidRPr="00610B1B">
        <w:rPr>
          <w:rFonts w:ascii="Times New Roman" w:eastAsia="Arial Unicode MS" w:hAnsi="Times New Roman" w:cs="Times New Roman"/>
          <w:sz w:val="24"/>
          <w:szCs w:val="24"/>
          <w:lang w:val="bg-BG"/>
        </w:rPr>
        <w:t xml:space="preserve"> и принципите за определянето им и последователно развива ангажиментите на държавите и на другите участници в използването на т</w:t>
      </w:r>
      <w:r w:rsidR="004D724C" w:rsidRPr="00610B1B">
        <w:rPr>
          <w:rFonts w:ascii="Times New Roman" w:eastAsia="Arial Unicode MS" w:hAnsi="Times New Roman" w:cs="Times New Roman"/>
          <w:sz w:val="24"/>
          <w:szCs w:val="24"/>
          <w:lang w:val="bg-BG"/>
        </w:rPr>
        <w:t>ези</w:t>
      </w:r>
      <w:r w:rsidRPr="00610B1B">
        <w:rPr>
          <w:rFonts w:ascii="Times New Roman" w:eastAsia="Arial Unicode MS" w:hAnsi="Times New Roman" w:cs="Times New Roman"/>
          <w:sz w:val="24"/>
          <w:szCs w:val="24"/>
          <w:lang w:val="bg-BG"/>
        </w:rPr>
        <w:t xml:space="preserve"> пространств</w:t>
      </w:r>
      <w:r w:rsidR="004D724C" w:rsidRPr="00610B1B">
        <w:rPr>
          <w:rFonts w:ascii="Times New Roman" w:eastAsia="Arial Unicode MS" w:hAnsi="Times New Roman" w:cs="Times New Roman"/>
          <w:sz w:val="24"/>
          <w:szCs w:val="24"/>
          <w:lang w:val="bg-BG"/>
        </w:rPr>
        <w:t>а</w:t>
      </w:r>
      <w:r w:rsidRPr="00610B1B">
        <w:rPr>
          <w:rFonts w:ascii="Times New Roman" w:eastAsia="Arial Unicode MS" w:hAnsi="Times New Roman" w:cs="Times New Roman"/>
          <w:sz w:val="24"/>
          <w:szCs w:val="24"/>
          <w:lang w:val="bg-BG"/>
        </w:rPr>
        <w:t xml:space="preserve">. </w:t>
      </w:r>
      <w:r w:rsidR="0051606B" w:rsidRPr="00610B1B">
        <w:rPr>
          <w:rFonts w:ascii="Times New Roman" w:eastAsia="Arial Unicode MS" w:hAnsi="Times New Roman" w:cs="Times New Roman"/>
          <w:sz w:val="24"/>
          <w:szCs w:val="24"/>
          <w:lang w:val="bg-BG"/>
        </w:rPr>
        <w:t>Конвенцията е ратифицирана от Р</w:t>
      </w:r>
      <w:r w:rsidR="006665AB" w:rsidRPr="00610B1B">
        <w:rPr>
          <w:rFonts w:ascii="Times New Roman" w:eastAsia="Arial Unicode MS" w:hAnsi="Times New Roman" w:cs="Times New Roman"/>
          <w:sz w:val="24"/>
          <w:szCs w:val="24"/>
          <w:lang w:val="bg-BG"/>
        </w:rPr>
        <w:t>. </w:t>
      </w:r>
      <w:r w:rsidR="0051606B" w:rsidRPr="00610B1B">
        <w:rPr>
          <w:rFonts w:ascii="Times New Roman" w:eastAsia="Arial Unicode MS" w:hAnsi="Times New Roman" w:cs="Times New Roman"/>
          <w:sz w:val="24"/>
          <w:szCs w:val="24"/>
          <w:lang w:val="bg-BG"/>
        </w:rPr>
        <w:t>България</w:t>
      </w:r>
      <w:r w:rsidR="006665AB" w:rsidRPr="00610B1B">
        <w:rPr>
          <w:rFonts w:ascii="Times New Roman" w:eastAsia="Arial Unicode MS" w:hAnsi="Times New Roman" w:cs="Times New Roman"/>
          <w:sz w:val="24"/>
          <w:szCs w:val="24"/>
          <w:lang w:val="bg-BG"/>
        </w:rPr>
        <w:t>,</w:t>
      </w:r>
      <w:r w:rsidR="0051606B" w:rsidRPr="00610B1B">
        <w:rPr>
          <w:rFonts w:ascii="Times New Roman" w:eastAsia="Arial Unicode MS" w:hAnsi="Times New Roman" w:cs="Times New Roman"/>
          <w:sz w:val="24"/>
          <w:szCs w:val="24"/>
          <w:lang w:val="bg-BG"/>
        </w:rPr>
        <w:t xml:space="preserve"> обнародван</w:t>
      </w:r>
      <w:r w:rsidR="006665AB" w:rsidRPr="00610B1B">
        <w:rPr>
          <w:rFonts w:ascii="Times New Roman" w:eastAsia="Arial Unicode MS" w:hAnsi="Times New Roman" w:cs="Times New Roman"/>
          <w:sz w:val="24"/>
          <w:szCs w:val="24"/>
          <w:lang w:val="bg-BG"/>
        </w:rPr>
        <w:t>а е</w:t>
      </w:r>
      <w:r w:rsidR="0051606B" w:rsidRPr="00610B1B">
        <w:rPr>
          <w:rFonts w:ascii="Times New Roman" w:eastAsia="Arial Unicode MS" w:hAnsi="Times New Roman" w:cs="Times New Roman"/>
          <w:sz w:val="24"/>
          <w:szCs w:val="24"/>
          <w:lang w:val="bg-BG"/>
        </w:rPr>
        <w:t xml:space="preserve"> в ДВ бр. 73/1996 г. и бр.74/1996 г. </w:t>
      </w:r>
      <w:r w:rsidR="00007BFA" w:rsidRPr="00610B1B">
        <w:rPr>
          <w:rFonts w:ascii="Times New Roman" w:eastAsia="Arial Unicode MS" w:hAnsi="Times New Roman" w:cs="Times New Roman"/>
          <w:sz w:val="24"/>
          <w:szCs w:val="24"/>
          <w:lang w:val="bg-BG"/>
        </w:rPr>
        <w:t xml:space="preserve">и </w:t>
      </w:r>
      <w:r w:rsidR="0051606B" w:rsidRPr="00610B1B">
        <w:rPr>
          <w:rFonts w:ascii="Times New Roman" w:eastAsia="Arial Unicode MS" w:hAnsi="Times New Roman" w:cs="Times New Roman"/>
          <w:sz w:val="24"/>
          <w:szCs w:val="24"/>
          <w:lang w:val="bg-BG"/>
        </w:rPr>
        <w:t>транспониран</w:t>
      </w:r>
      <w:r w:rsidR="00007BFA" w:rsidRPr="00610B1B">
        <w:rPr>
          <w:rFonts w:ascii="Times New Roman" w:eastAsia="Arial Unicode MS" w:hAnsi="Times New Roman" w:cs="Times New Roman"/>
          <w:sz w:val="24"/>
          <w:szCs w:val="24"/>
          <w:lang w:val="bg-BG"/>
        </w:rPr>
        <w:t>а</w:t>
      </w:r>
      <w:r w:rsidR="0051606B" w:rsidRPr="00610B1B">
        <w:rPr>
          <w:rFonts w:ascii="Times New Roman" w:eastAsia="Arial Unicode MS" w:hAnsi="Times New Roman" w:cs="Times New Roman"/>
          <w:sz w:val="24"/>
          <w:szCs w:val="24"/>
          <w:lang w:val="bg-BG"/>
        </w:rPr>
        <w:t xml:space="preserve"> в националното </w:t>
      </w:r>
      <w:r w:rsidR="00007BFA" w:rsidRPr="00610B1B">
        <w:rPr>
          <w:rFonts w:ascii="Times New Roman" w:eastAsia="Arial Unicode MS" w:hAnsi="Times New Roman" w:cs="Times New Roman"/>
          <w:sz w:val="24"/>
          <w:szCs w:val="24"/>
          <w:lang w:val="bg-BG"/>
        </w:rPr>
        <w:t xml:space="preserve">ни </w:t>
      </w:r>
      <w:r w:rsidR="0051606B" w:rsidRPr="00610B1B">
        <w:rPr>
          <w:rFonts w:ascii="Times New Roman" w:eastAsia="Arial Unicode MS" w:hAnsi="Times New Roman" w:cs="Times New Roman"/>
          <w:sz w:val="24"/>
          <w:szCs w:val="24"/>
          <w:lang w:val="bg-BG"/>
        </w:rPr>
        <w:t>законодателство чрез Закона за морските пространства, вътрешните водни пътища и пристанищата на Република България.</w:t>
      </w:r>
      <w:r w:rsidR="0051606B" w:rsidRPr="00610B1B">
        <w:rPr>
          <w:rStyle w:val="FootnoteReference"/>
          <w:rFonts w:ascii="Times New Roman" w:eastAsia="Arial Unicode MS" w:hAnsi="Times New Roman" w:cs="Times New Roman"/>
          <w:sz w:val="24"/>
          <w:szCs w:val="24"/>
          <w:lang w:val="bg-BG"/>
        </w:rPr>
        <w:footnoteReference w:id="25"/>
      </w:r>
      <w:r w:rsidR="0051606B" w:rsidRPr="00610B1B">
        <w:rPr>
          <w:rFonts w:ascii="Times New Roman" w:eastAsia="Arial Unicode MS" w:hAnsi="Times New Roman" w:cs="Times New Roman"/>
          <w:sz w:val="24"/>
          <w:szCs w:val="24"/>
          <w:lang w:val="bg-BG"/>
        </w:rPr>
        <w:t xml:space="preserve"> </w:t>
      </w:r>
    </w:p>
    <w:p w14:paraId="65D91F44" w14:textId="695660F6" w:rsidR="00065426" w:rsidRPr="00610B1B" w:rsidRDefault="00065426"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 xml:space="preserve">Международната конвенция за предотвратяване на замърсяването от кораби </w:t>
      </w:r>
      <w:r w:rsidR="00C17AAC" w:rsidRPr="00610B1B">
        <w:rPr>
          <w:rFonts w:ascii="Times New Roman" w:eastAsia="Arial Unicode MS" w:hAnsi="Times New Roman" w:cs="Times New Roman"/>
          <w:sz w:val="24"/>
          <w:szCs w:val="24"/>
          <w:lang w:val="bg-BG"/>
        </w:rPr>
        <w:t>от 1973 г.,</w:t>
      </w:r>
      <w:r w:rsidR="00C17AAC" w:rsidRPr="00610B1B">
        <w:rPr>
          <w:rFonts w:ascii="Times New Roman" w:eastAsia="Arial Unicode MS" w:hAnsi="Times New Roman" w:cs="Times New Roman"/>
          <w:b/>
          <w:bCs/>
          <w:sz w:val="24"/>
          <w:szCs w:val="24"/>
          <w:lang w:val="bg-BG"/>
        </w:rPr>
        <w:t xml:space="preserve"> </w:t>
      </w:r>
      <w:r w:rsidR="00C17AAC" w:rsidRPr="00610B1B">
        <w:rPr>
          <w:rFonts w:ascii="Times New Roman" w:eastAsia="Arial Unicode MS" w:hAnsi="Times New Roman" w:cs="Times New Roman"/>
          <w:sz w:val="24"/>
          <w:szCs w:val="24"/>
          <w:lang w:val="bg-BG"/>
        </w:rPr>
        <w:t>изменена с протоколи от 1978 г. и от 1997 г. (MARPOL 73/78)</w:t>
      </w:r>
      <w:r w:rsidR="00C17AAC" w:rsidRPr="00610B1B">
        <w:rPr>
          <w:rFonts w:ascii="Times New Roman" w:eastAsia="Arial Unicode MS" w:hAnsi="Times New Roman" w:cs="Times New Roman"/>
          <w:b/>
          <w:bCs/>
          <w:sz w:val="24"/>
          <w:szCs w:val="24"/>
          <w:lang w:val="bg-BG"/>
        </w:rPr>
        <w:t xml:space="preserve"> </w:t>
      </w:r>
      <w:r w:rsidRPr="00610B1B">
        <w:rPr>
          <w:rFonts w:ascii="Times New Roman" w:eastAsia="Arial Unicode MS" w:hAnsi="Times New Roman" w:cs="Times New Roman"/>
          <w:sz w:val="24"/>
          <w:szCs w:val="24"/>
          <w:lang w:val="bg-BG"/>
        </w:rPr>
        <w:t>е сред най-важните международни конвенции за опазване на морската среда</w:t>
      </w:r>
      <w:r w:rsidRPr="00610B1B">
        <w:rPr>
          <w:rFonts w:ascii="Times New Roman" w:eastAsia="Arial Unicode MS" w:hAnsi="Times New Roman" w:cs="Times New Roman"/>
          <w:sz w:val="24"/>
          <w:szCs w:val="24"/>
          <w:vertAlign w:val="superscript"/>
          <w:lang w:val="bg-BG"/>
        </w:rPr>
        <w:footnoteReference w:id="26"/>
      </w:r>
      <w:r w:rsidRPr="00610B1B">
        <w:rPr>
          <w:rFonts w:ascii="Times New Roman" w:eastAsia="Arial Unicode MS" w:hAnsi="Times New Roman" w:cs="Times New Roman"/>
          <w:sz w:val="24"/>
          <w:szCs w:val="24"/>
          <w:lang w:val="bg-BG"/>
        </w:rPr>
        <w:t xml:space="preserve">. </w:t>
      </w:r>
      <w:r w:rsidR="00C17AAC" w:rsidRPr="00610B1B">
        <w:rPr>
          <w:rFonts w:ascii="Times New Roman" w:eastAsia="Arial Unicode MS" w:hAnsi="Times New Roman" w:cs="Times New Roman"/>
          <w:sz w:val="24"/>
          <w:szCs w:val="24"/>
          <w:lang w:val="bg-BG"/>
        </w:rPr>
        <w:t xml:space="preserve">Разработена </w:t>
      </w:r>
      <w:r w:rsidRPr="00610B1B">
        <w:rPr>
          <w:rFonts w:ascii="Times New Roman" w:eastAsia="Arial Unicode MS" w:hAnsi="Times New Roman" w:cs="Times New Roman"/>
          <w:sz w:val="24"/>
          <w:szCs w:val="24"/>
          <w:lang w:val="bg-BG"/>
        </w:rPr>
        <w:t xml:space="preserve">от Международната морска организация (ММО) </w:t>
      </w:r>
      <w:r w:rsidR="00C17AAC" w:rsidRPr="00610B1B">
        <w:rPr>
          <w:rFonts w:ascii="Times New Roman" w:eastAsia="Arial Unicode MS" w:hAnsi="Times New Roman" w:cs="Times New Roman"/>
          <w:sz w:val="24"/>
          <w:szCs w:val="24"/>
          <w:lang w:val="bg-BG"/>
        </w:rPr>
        <w:t xml:space="preserve">тя </w:t>
      </w:r>
      <w:r w:rsidRPr="00610B1B">
        <w:rPr>
          <w:rFonts w:ascii="Times New Roman" w:eastAsia="Arial Unicode MS" w:hAnsi="Times New Roman" w:cs="Times New Roman"/>
          <w:sz w:val="24"/>
          <w:szCs w:val="24"/>
          <w:lang w:val="bg-BG"/>
        </w:rPr>
        <w:t>цел</w:t>
      </w:r>
      <w:r w:rsidR="00C17AAC" w:rsidRPr="00610B1B">
        <w:rPr>
          <w:rFonts w:ascii="Times New Roman" w:eastAsia="Arial Unicode MS" w:hAnsi="Times New Roman" w:cs="Times New Roman"/>
          <w:sz w:val="24"/>
          <w:szCs w:val="24"/>
          <w:lang w:val="bg-BG"/>
        </w:rPr>
        <w:t>и</w:t>
      </w:r>
      <w:r w:rsidRPr="00610B1B">
        <w:rPr>
          <w:rFonts w:ascii="Times New Roman" w:eastAsia="Arial Unicode MS" w:hAnsi="Times New Roman" w:cs="Times New Roman"/>
          <w:sz w:val="24"/>
          <w:szCs w:val="24"/>
          <w:lang w:val="bg-BG"/>
        </w:rPr>
        <w:t xml:space="preserve"> запаз</w:t>
      </w:r>
      <w:r w:rsidR="00C17AAC" w:rsidRPr="00610B1B">
        <w:rPr>
          <w:rFonts w:ascii="Times New Roman" w:eastAsia="Arial Unicode MS" w:hAnsi="Times New Roman" w:cs="Times New Roman"/>
          <w:sz w:val="24"/>
          <w:szCs w:val="24"/>
          <w:lang w:val="bg-BG"/>
        </w:rPr>
        <w:t>ването на</w:t>
      </w:r>
      <w:r w:rsidRPr="00610B1B">
        <w:rPr>
          <w:rFonts w:ascii="Times New Roman" w:eastAsia="Arial Unicode MS" w:hAnsi="Times New Roman" w:cs="Times New Roman"/>
          <w:sz w:val="24"/>
          <w:szCs w:val="24"/>
          <w:lang w:val="bg-BG"/>
        </w:rPr>
        <w:t xml:space="preserve"> морската среда и </w:t>
      </w:r>
      <w:r w:rsidR="00C17AAC" w:rsidRPr="00610B1B">
        <w:rPr>
          <w:rFonts w:ascii="Times New Roman" w:eastAsia="Arial Unicode MS" w:hAnsi="Times New Roman" w:cs="Times New Roman"/>
          <w:sz w:val="24"/>
          <w:szCs w:val="24"/>
          <w:lang w:val="bg-BG"/>
        </w:rPr>
        <w:t xml:space="preserve">пълното </w:t>
      </w:r>
      <w:r w:rsidRPr="00610B1B">
        <w:rPr>
          <w:rFonts w:ascii="Times New Roman" w:eastAsia="Arial Unicode MS" w:hAnsi="Times New Roman" w:cs="Times New Roman"/>
          <w:sz w:val="24"/>
          <w:szCs w:val="24"/>
          <w:lang w:val="bg-BG"/>
        </w:rPr>
        <w:t>елиминира</w:t>
      </w:r>
      <w:r w:rsidR="00C17AAC" w:rsidRPr="00610B1B">
        <w:rPr>
          <w:rFonts w:ascii="Times New Roman" w:eastAsia="Arial Unicode MS" w:hAnsi="Times New Roman" w:cs="Times New Roman"/>
          <w:sz w:val="24"/>
          <w:szCs w:val="24"/>
          <w:lang w:val="bg-BG"/>
        </w:rPr>
        <w:t>не на</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 xml:space="preserve">замърсяването с петрол и вредни вещества, </w:t>
      </w:r>
      <w:r w:rsidR="00007BFA" w:rsidRPr="00610B1B">
        <w:rPr>
          <w:rFonts w:ascii="Times New Roman" w:eastAsia="Arial Unicode MS" w:hAnsi="Times New Roman" w:cs="Times New Roman"/>
          <w:sz w:val="24"/>
          <w:szCs w:val="24"/>
          <w:lang w:val="bg-BG"/>
        </w:rPr>
        <w:t>и намаляване</w:t>
      </w:r>
      <w:r w:rsidRPr="00610B1B">
        <w:rPr>
          <w:rFonts w:ascii="Times New Roman" w:eastAsia="Arial Unicode MS" w:hAnsi="Times New Roman" w:cs="Times New Roman"/>
          <w:sz w:val="24"/>
          <w:szCs w:val="24"/>
          <w:lang w:val="bg-BG"/>
        </w:rPr>
        <w:t xml:space="preserve"> до минимум инцидентите с разливи и замърсяването на водите.</w:t>
      </w:r>
      <w:r w:rsidR="00C17AAC" w:rsidRPr="00610B1B">
        <w:rPr>
          <w:rFonts w:ascii="Times New Roman" w:eastAsia="Arial Unicode MS" w:hAnsi="Times New Roman" w:cs="Times New Roman"/>
          <w:sz w:val="24"/>
          <w:szCs w:val="24"/>
          <w:lang w:val="bg-BG"/>
        </w:rPr>
        <w:t xml:space="preserve"> Ратифицирана е със закон от НС на Република България, обн. ДВ</w:t>
      </w:r>
      <w:r w:rsidR="00D66FE0" w:rsidRPr="00610B1B">
        <w:rPr>
          <w:rFonts w:ascii="Times New Roman" w:eastAsia="Arial Unicode MS" w:hAnsi="Times New Roman" w:cs="Times New Roman"/>
          <w:sz w:val="24"/>
          <w:szCs w:val="24"/>
          <w:lang w:val="bg-BG"/>
        </w:rPr>
        <w:t xml:space="preserve"> </w:t>
      </w:r>
      <w:r w:rsidR="00C17AAC" w:rsidRPr="00610B1B">
        <w:rPr>
          <w:rFonts w:ascii="Times New Roman" w:eastAsia="Arial Unicode MS" w:hAnsi="Times New Roman" w:cs="Times New Roman"/>
          <w:sz w:val="24"/>
          <w:szCs w:val="24"/>
          <w:lang w:val="bg-BG"/>
        </w:rPr>
        <w:t>бр. 94</w:t>
      </w:r>
      <w:r w:rsidR="00D60400" w:rsidRPr="00610B1B">
        <w:rPr>
          <w:rFonts w:ascii="Times New Roman" w:eastAsia="Arial Unicode MS" w:hAnsi="Times New Roman" w:cs="Times New Roman"/>
          <w:sz w:val="24"/>
          <w:szCs w:val="24"/>
          <w:lang w:val="bg-BG"/>
        </w:rPr>
        <w:t>/</w:t>
      </w:r>
      <w:r w:rsidR="00C17AAC" w:rsidRPr="00610B1B">
        <w:rPr>
          <w:rFonts w:ascii="Times New Roman" w:eastAsia="Arial Unicode MS" w:hAnsi="Times New Roman" w:cs="Times New Roman"/>
          <w:sz w:val="24"/>
          <w:szCs w:val="24"/>
          <w:lang w:val="bg-BG"/>
        </w:rPr>
        <w:t>22.10.2004 г., изм. и доп. ДВ бр. 96/20.11.2018</w:t>
      </w:r>
      <w:r w:rsidR="00D703D4" w:rsidRPr="00610B1B">
        <w:rPr>
          <w:rFonts w:ascii="Times New Roman" w:eastAsia="Arial Unicode MS" w:hAnsi="Times New Roman" w:cs="Times New Roman"/>
          <w:sz w:val="24"/>
          <w:szCs w:val="24"/>
          <w:lang w:val="bg-BG"/>
        </w:rPr>
        <w:t> </w:t>
      </w:r>
      <w:r w:rsidR="00C17AAC" w:rsidRPr="00610B1B">
        <w:rPr>
          <w:rFonts w:ascii="Times New Roman" w:eastAsia="Arial Unicode MS" w:hAnsi="Times New Roman" w:cs="Times New Roman"/>
          <w:sz w:val="24"/>
          <w:szCs w:val="24"/>
          <w:lang w:val="bg-BG"/>
        </w:rPr>
        <w:t xml:space="preserve">г. </w:t>
      </w:r>
    </w:p>
    <w:p w14:paraId="2D164563" w14:textId="3A21F081" w:rsidR="00065426" w:rsidRPr="00610B1B" w:rsidRDefault="00065426"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Конвенцията за опазване на подводното културно наследство</w:t>
      </w:r>
      <w:r w:rsidR="00E169D0" w:rsidRPr="00610B1B">
        <w:rPr>
          <w:rFonts w:ascii="Times New Roman" w:eastAsia="Arial Unicode MS" w:hAnsi="Times New Roman" w:cs="Times New Roman"/>
          <w:b/>
          <w:bCs/>
          <w:sz w:val="24"/>
          <w:szCs w:val="24"/>
          <w:lang w:val="bg-BG"/>
        </w:rPr>
        <w:t>,</w:t>
      </w:r>
      <w:r w:rsidRPr="00610B1B">
        <w:rPr>
          <w:rFonts w:ascii="Times New Roman" w:eastAsia="Arial Unicode MS" w:hAnsi="Times New Roman" w:cs="Times New Roman"/>
          <w:sz w:val="24"/>
          <w:szCs w:val="24"/>
          <w:lang w:val="bg-BG"/>
        </w:rPr>
        <w:t xml:space="preserve"> приета на Генералната конференция на </w:t>
      </w:r>
      <w:r w:rsidR="00E169D0" w:rsidRPr="00610B1B">
        <w:rPr>
          <w:rFonts w:ascii="Times New Roman" w:eastAsia="Arial Unicode MS" w:hAnsi="Times New Roman" w:cs="Times New Roman"/>
          <w:sz w:val="24"/>
          <w:szCs w:val="24"/>
          <w:lang w:val="bg-BG"/>
        </w:rPr>
        <w:t>ЮНЕСКО</w:t>
      </w:r>
      <w:r w:rsidRPr="00610B1B">
        <w:rPr>
          <w:rFonts w:ascii="Times New Roman" w:eastAsia="Arial Unicode MS" w:hAnsi="Times New Roman" w:cs="Times New Roman"/>
          <w:sz w:val="24"/>
          <w:szCs w:val="24"/>
          <w:lang w:val="bg-BG"/>
        </w:rPr>
        <w:t xml:space="preserve"> през 2001 г. в Париж</w:t>
      </w:r>
      <w:r w:rsidR="00E169D0" w:rsidRPr="00610B1B">
        <w:rPr>
          <w:rFonts w:ascii="Times New Roman" w:eastAsia="Arial Unicode MS" w:hAnsi="Times New Roman" w:cs="Times New Roman"/>
          <w:sz w:val="24"/>
          <w:szCs w:val="24"/>
          <w:lang w:val="bg-BG"/>
        </w:rPr>
        <w:t xml:space="preserve">, </w:t>
      </w:r>
      <w:r w:rsidR="00E978AD" w:rsidRPr="00610B1B">
        <w:rPr>
          <w:rFonts w:ascii="Times New Roman" w:eastAsia="Arial Unicode MS" w:hAnsi="Times New Roman" w:cs="Times New Roman"/>
          <w:sz w:val="24"/>
          <w:szCs w:val="24"/>
          <w:lang w:val="bg-BG"/>
        </w:rPr>
        <w:t xml:space="preserve">определя подводното културно наследство като „следи </w:t>
      </w:r>
      <w:r w:rsidRPr="00610B1B">
        <w:rPr>
          <w:rFonts w:ascii="Times New Roman" w:eastAsia="Arial Unicode MS" w:hAnsi="Times New Roman" w:cs="Times New Roman"/>
          <w:sz w:val="24"/>
          <w:szCs w:val="24"/>
          <w:lang w:val="bg-BG"/>
        </w:rPr>
        <w:t>от човешко съществувание от културно, историческо или археологическо естество, частично или изцяло потънали, периодично или постоянно, от минимум 100 години</w:t>
      </w:r>
      <w:r w:rsidR="00E978AD"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vertAlign w:val="superscript"/>
          <w:lang w:val="bg-BG"/>
        </w:rPr>
        <w:footnoteReference w:id="27"/>
      </w:r>
      <w:r w:rsidR="00E978AD" w:rsidRPr="00610B1B">
        <w:rPr>
          <w:rFonts w:ascii="Times New Roman" w:eastAsia="Arial Unicode MS" w:hAnsi="Times New Roman" w:cs="Times New Roman"/>
          <w:sz w:val="24"/>
          <w:szCs w:val="24"/>
          <w:lang w:val="bg-BG"/>
        </w:rPr>
        <w:t xml:space="preserve"> (Чл. 10) Това</w:t>
      </w:r>
      <w:r w:rsidRPr="00610B1B">
        <w:rPr>
          <w:rFonts w:ascii="Times New Roman" w:eastAsia="Arial Unicode MS" w:hAnsi="Times New Roman" w:cs="Times New Roman"/>
          <w:sz w:val="24"/>
          <w:szCs w:val="24"/>
          <w:lang w:val="bg-BG"/>
        </w:rPr>
        <w:t xml:space="preserve"> включва селища, конструкции, сгради, предмети и тленни останки, плавателни съдове и други превозни средства и части от тях и праисторически предмети, с </w:t>
      </w:r>
      <w:r w:rsidR="00903006" w:rsidRPr="00610B1B">
        <w:rPr>
          <w:rFonts w:ascii="Times New Roman" w:eastAsia="Arial Unicode MS" w:hAnsi="Times New Roman" w:cs="Times New Roman"/>
          <w:sz w:val="24"/>
          <w:szCs w:val="24"/>
          <w:lang w:val="bg-BG"/>
        </w:rPr>
        <w:t xml:space="preserve">техния </w:t>
      </w:r>
      <w:r w:rsidRPr="00610B1B">
        <w:rPr>
          <w:rFonts w:ascii="Times New Roman" w:eastAsia="Arial Unicode MS" w:hAnsi="Times New Roman" w:cs="Times New Roman"/>
          <w:sz w:val="24"/>
          <w:szCs w:val="24"/>
          <w:lang w:val="bg-BG"/>
        </w:rPr>
        <w:t xml:space="preserve">археологически и природен контекст. Държавите по тази конвенция, имат изключителното право да регламентират намесите в подводното културно наследство в техните вътрешни териториални води и в </w:t>
      </w:r>
      <w:r w:rsidR="004D724C" w:rsidRPr="00610B1B">
        <w:rPr>
          <w:rFonts w:ascii="Times New Roman" w:eastAsia="Arial Unicode MS" w:hAnsi="Times New Roman" w:cs="Times New Roman"/>
          <w:sz w:val="24"/>
          <w:szCs w:val="24"/>
          <w:lang w:val="bg-BG"/>
        </w:rPr>
        <w:t>прилежащата</w:t>
      </w:r>
      <w:r w:rsidRPr="00610B1B">
        <w:rPr>
          <w:rFonts w:ascii="Times New Roman" w:eastAsia="Arial Unicode MS" w:hAnsi="Times New Roman" w:cs="Times New Roman"/>
          <w:sz w:val="24"/>
          <w:szCs w:val="24"/>
          <w:lang w:val="bg-BG"/>
        </w:rPr>
        <w:t xml:space="preserve"> зона, без да нарушават други международни спогодби и прав</w:t>
      </w:r>
      <w:r w:rsidR="004D724C" w:rsidRPr="00610B1B">
        <w:rPr>
          <w:rFonts w:ascii="Times New Roman" w:eastAsia="Arial Unicode MS" w:hAnsi="Times New Roman" w:cs="Times New Roman"/>
          <w:sz w:val="24"/>
          <w:szCs w:val="24"/>
          <w:lang w:val="bg-BG"/>
        </w:rPr>
        <w:t>а</w:t>
      </w:r>
      <w:r w:rsidRPr="00610B1B">
        <w:rPr>
          <w:rFonts w:ascii="Times New Roman" w:eastAsia="Arial Unicode MS" w:hAnsi="Times New Roman" w:cs="Times New Roman"/>
          <w:sz w:val="24"/>
          <w:szCs w:val="24"/>
          <w:lang w:val="bg-BG"/>
        </w:rPr>
        <w:t>. Тяхно задължение е да защитават подводното културно наследство в изключителната икономическа зона и върху континенталния шелф</w:t>
      </w:r>
      <w:r w:rsidR="00E978AD"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 xml:space="preserve">Ратифицирана е от България със закон, </w:t>
      </w:r>
      <w:r w:rsidR="00357AC3" w:rsidRPr="00610B1B">
        <w:rPr>
          <w:rFonts w:ascii="Times New Roman" w:eastAsia="Arial Unicode MS" w:hAnsi="Times New Roman" w:cs="Times New Roman"/>
          <w:sz w:val="24"/>
          <w:szCs w:val="24"/>
          <w:lang w:val="bg-BG"/>
        </w:rPr>
        <w:t>обн.</w:t>
      </w:r>
      <w:r w:rsidRPr="00610B1B">
        <w:rPr>
          <w:rFonts w:ascii="Times New Roman" w:eastAsia="Arial Unicode MS" w:hAnsi="Times New Roman" w:cs="Times New Roman"/>
          <w:sz w:val="24"/>
          <w:szCs w:val="24"/>
          <w:lang w:val="bg-BG"/>
        </w:rPr>
        <w:t xml:space="preserve"> ДВ, бр. 84/2003 г.</w:t>
      </w:r>
      <w:r w:rsidR="00007BFA"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 в сила от 2 януари 2009 г. Съгласно чл. 6. </w:t>
      </w:r>
      <w:r w:rsidR="00357AC3" w:rsidRPr="00610B1B">
        <w:rPr>
          <w:rFonts w:ascii="Times New Roman" w:eastAsia="Arial Unicode MS" w:hAnsi="Times New Roman" w:cs="Times New Roman"/>
          <w:sz w:val="24"/>
          <w:szCs w:val="24"/>
          <w:lang w:val="bg-BG"/>
        </w:rPr>
        <w:t>ал</w:t>
      </w:r>
      <w:r w:rsidRPr="00610B1B">
        <w:rPr>
          <w:rFonts w:ascii="Times New Roman" w:eastAsia="Arial Unicode MS" w:hAnsi="Times New Roman" w:cs="Times New Roman"/>
          <w:sz w:val="24"/>
          <w:szCs w:val="24"/>
          <w:lang w:val="bg-BG"/>
        </w:rPr>
        <w:t>. 1 т.1 от Закона за културното наследство</w:t>
      </w:r>
      <w:r w:rsidR="004D724C" w:rsidRPr="00610B1B">
        <w:rPr>
          <w:rStyle w:val="FootnoteReference"/>
          <w:rFonts w:ascii="Times New Roman" w:eastAsia="Arial Unicode MS" w:hAnsi="Times New Roman" w:cs="Times New Roman"/>
          <w:sz w:val="24"/>
          <w:szCs w:val="24"/>
          <w:lang w:val="bg-BG"/>
        </w:rPr>
        <w:footnoteReference w:id="28"/>
      </w:r>
      <w:r w:rsidRPr="00610B1B">
        <w:rPr>
          <w:rFonts w:ascii="Times New Roman" w:eastAsia="Arial Unicode MS" w:hAnsi="Times New Roman" w:cs="Times New Roman"/>
          <w:sz w:val="24"/>
          <w:szCs w:val="24"/>
          <w:lang w:val="bg-BG"/>
        </w:rPr>
        <w:t xml:space="preserve"> културно наследство са и подводните археологически обекти и резервати. </w:t>
      </w:r>
    </w:p>
    <w:p w14:paraId="28979C12" w14:textId="1F129A2E" w:rsidR="00065426" w:rsidRPr="00610B1B" w:rsidRDefault="00065426"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Конвенцията за биологичното разнообразие</w:t>
      </w:r>
      <w:r w:rsidRPr="00610B1B">
        <w:rPr>
          <w:rFonts w:ascii="Times New Roman" w:eastAsia="Arial Unicode MS" w:hAnsi="Times New Roman" w:cs="Times New Roman"/>
          <w:sz w:val="24"/>
          <w:szCs w:val="24"/>
          <w:lang w:val="bg-BG"/>
        </w:rPr>
        <w:t xml:space="preserve"> </w:t>
      </w:r>
      <w:r w:rsidR="00C27865"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1992 г.</w:t>
      </w:r>
      <w:r w:rsidR="00C27865"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 цели опазване на биологичното разнообразие, устойчиво използване на неговите компоненти и справедлива и разумна подялба на ползите, произтичащи от използването на генетични ресурси чрез трансфер на технологии, </w:t>
      </w:r>
      <w:r w:rsidR="00007BFA" w:rsidRPr="00610B1B">
        <w:rPr>
          <w:rFonts w:ascii="Times New Roman" w:eastAsia="Arial Unicode MS" w:hAnsi="Times New Roman" w:cs="Times New Roman"/>
          <w:sz w:val="24"/>
          <w:szCs w:val="24"/>
          <w:lang w:val="bg-BG"/>
        </w:rPr>
        <w:t>отчитайки</w:t>
      </w:r>
      <w:r w:rsidRPr="00610B1B">
        <w:rPr>
          <w:rFonts w:ascii="Times New Roman" w:eastAsia="Arial Unicode MS" w:hAnsi="Times New Roman" w:cs="Times New Roman"/>
          <w:sz w:val="24"/>
          <w:szCs w:val="24"/>
          <w:lang w:val="bg-BG"/>
        </w:rPr>
        <w:t xml:space="preserve"> права</w:t>
      </w:r>
      <w:r w:rsidR="00903006" w:rsidRPr="00610B1B">
        <w:rPr>
          <w:rFonts w:ascii="Times New Roman" w:eastAsia="Arial Unicode MS" w:hAnsi="Times New Roman" w:cs="Times New Roman"/>
          <w:sz w:val="24"/>
          <w:szCs w:val="24"/>
          <w:lang w:val="bg-BG"/>
        </w:rPr>
        <w:t>та</w:t>
      </w:r>
      <w:r w:rsidRPr="00610B1B">
        <w:rPr>
          <w:rFonts w:ascii="Times New Roman" w:eastAsia="Arial Unicode MS" w:hAnsi="Times New Roman" w:cs="Times New Roman"/>
          <w:sz w:val="24"/>
          <w:szCs w:val="24"/>
          <w:lang w:val="bg-BG"/>
        </w:rPr>
        <w:t xml:space="preserve"> върху тези ресурси.</w:t>
      </w:r>
      <w:r w:rsidR="00357AC3"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Всяка държава запазва суверенното си право да използва собствени</w:t>
      </w:r>
      <w:r w:rsidR="00C37F62" w:rsidRPr="00610B1B">
        <w:rPr>
          <w:rFonts w:ascii="Times New Roman" w:eastAsia="Arial Unicode MS" w:hAnsi="Times New Roman" w:cs="Times New Roman"/>
          <w:sz w:val="24"/>
          <w:szCs w:val="24"/>
          <w:lang w:val="bg-BG"/>
        </w:rPr>
        <w:t>те си</w:t>
      </w:r>
      <w:r w:rsidRPr="00610B1B">
        <w:rPr>
          <w:rFonts w:ascii="Times New Roman" w:eastAsia="Arial Unicode MS" w:hAnsi="Times New Roman" w:cs="Times New Roman"/>
          <w:sz w:val="24"/>
          <w:szCs w:val="24"/>
          <w:lang w:val="bg-BG"/>
        </w:rPr>
        <w:t xml:space="preserve"> ресурси съобразно националната екологична политика и гарантира, че дейностите или контрола не причиняват щети на околната среда на други държави или региони. Задължение на всяка държава е да осигурява условия за опазване на екосистемите, естествените местообитания и поддържането на ценните популации от видове в естествената им среда, да възстановява деградирали екосистеми и да осигурява възстановяването на застрашени видове чрез разработване и прилагане на планове или стратегии за управление. Конвенцията е ратифицирана от Р. България със </w:t>
      </w:r>
      <w:r w:rsidRPr="00610B1B">
        <w:rPr>
          <w:rFonts w:ascii="Times New Roman" w:eastAsia="Arial Unicode MS" w:hAnsi="Times New Roman" w:cs="Times New Roman"/>
          <w:sz w:val="24"/>
          <w:szCs w:val="24"/>
          <w:lang w:val="bg-BG"/>
        </w:rPr>
        <w:lastRenderedPageBreak/>
        <w:t>закон, обнародван в Д</w:t>
      </w:r>
      <w:r w:rsidR="00C37F62" w:rsidRPr="00610B1B">
        <w:rPr>
          <w:rFonts w:ascii="Times New Roman" w:eastAsia="Arial Unicode MS" w:hAnsi="Times New Roman" w:cs="Times New Roman"/>
          <w:sz w:val="24"/>
          <w:szCs w:val="24"/>
          <w:lang w:val="bg-BG"/>
        </w:rPr>
        <w:t>В</w:t>
      </w:r>
      <w:r w:rsidRPr="00610B1B">
        <w:rPr>
          <w:rFonts w:ascii="Times New Roman" w:eastAsia="Arial Unicode MS" w:hAnsi="Times New Roman" w:cs="Times New Roman"/>
          <w:sz w:val="24"/>
          <w:szCs w:val="24"/>
          <w:lang w:val="bg-BG"/>
        </w:rPr>
        <w:t xml:space="preserve"> бр. 22/15.03.1996 г. Постановките на конвенцията важат и за морските пространства. В изпълнение на своите ангажименти България поставя под защита част от крайбрежните зони и акваторията на Черно море</w:t>
      </w:r>
      <w:r w:rsidR="00C26B3C" w:rsidRPr="00610B1B">
        <w:rPr>
          <w:rFonts w:ascii="Times New Roman" w:eastAsia="Arial Unicode MS" w:hAnsi="Times New Roman" w:cs="Times New Roman"/>
          <w:sz w:val="24"/>
          <w:szCs w:val="24"/>
          <w:lang w:val="bg-BG"/>
        </w:rPr>
        <w:t xml:space="preserve"> и</w:t>
      </w:r>
      <w:r w:rsidRPr="00610B1B">
        <w:rPr>
          <w:rFonts w:ascii="Times New Roman" w:eastAsia="Arial Unicode MS" w:hAnsi="Times New Roman" w:cs="Times New Roman"/>
          <w:sz w:val="24"/>
          <w:szCs w:val="24"/>
          <w:lang w:val="bg-BG"/>
        </w:rPr>
        <w:t xml:space="preserve"> ги превръща във важен елемент от </w:t>
      </w:r>
      <w:r w:rsidR="00C26B3C" w:rsidRPr="00610B1B">
        <w:rPr>
          <w:rFonts w:ascii="Times New Roman" w:eastAsia="Arial Unicode MS" w:hAnsi="Times New Roman" w:cs="Times New Roman"/>
          <w:sz w:val="24"/>
          <w:szCs w:val="24"/>
          <w:lang w:val="bg-BG"/>
        </w:rPr>
        <w:t>НЕМ</w:t>
      </w:r>
      <w:r w:rsidRPr="00610B1B">
        <w:rPr>
          <w:rFonts w:ascii="Times New Roman" w:eastAsia="Arial Unicode MS" w:hAnsi="Times New Roman" w:cs="Times New Roman"/>
          <w:sz w:val="24"/>
          <w:szCs w:val="24"/>
          <w:lang w:val="bg-BG"/>
        </w:rPr>
        <w:t>.</w:t>
      </w:r>
    </w:p>
    <w:p w14:paraId="628F48B2" w14:textId="7FE5B420" w:rsidR="00065426" w:rsidRPr="00610B1B" w:rsidRDefault="00065426"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Рамковата конвенция на ООН по изменение на климата</w:t>
      </w:r>
      <w:r w:rsidR="00E6252F" w:rsidRPr="00610B1B">
        <w:rPr>
          <w:rFonts w:ascii="Times New Roman" w:eastAsia="Arial Unicode MS" w:hAnsi="Times New Roman" w:cs="Times New Roman"/>
          <w:b/>
          <w:bCs/>
          <w:sz w:val="24"/>
          <w:szCs w:val="24"/>
          <w:lang w:val="bg-BG"/>
        </w:rPr>
        <w:t xml:space="preserve"> (РКООНИК)</w:t>
      </w:r>
      <w:r w:rsidR="00800DA1" w:rsidRPr="00610B1B">
        <w:rPr>
          <w:rFonts w:ascii="Times New Roman" w:eastAsia="Arial Unicode MS" w:hAnsi="Times New Roman" w:cs="Times New Roman"/>
          <w:sz w:val="24"/>
          <w:szCs w:val="24"/>
          <w:lang w:val="bg-BG"/>
        </w:rPr>
        <w:t>,</w:t>
      </w:r>
      <w:r w:rsidR="00EB2E49" w:rsidRPr="00610B1B">
        <w:rPr>
          <w:rStyle w:val="FootnoteReference"/>
          <w:rFonts w:ascii="Times New Roman" w:eastAsia="Arial Unicode MS" w:hAnsi="Times New Roman" w:cs="Times New Roman"/>
          <w:sz w:val="24"/>
          <w:szCs w:val="24"/>
          <w:lang w:val="bg-BG"/>
        </w:rPr>
        <w:footnoteReference w:id="29"/>
      </w:r>
      <w:r w:rsidRPr="00610B1B">
        <w:rPr>
          <w:rFonts w:ascii="Times New Roman" w:eastAsia="Arial Unicode MS" w:hAnsi="Times New Roman" w:cs="Times New Roman"/>
          <w:sz w:val="24"/>
          <w:szCs w:val="24"/>
          <w:lang w:val="bg-BG"/>
        </w:rPr>
        <w:t xml:space="preserve"> </w:t>
      </w:r>
      <w:r w:rsidR="00927AF9" w:rsidRPr="00610B1B">
        <w:rPr>
          <w:rFonts w:ascii="Times New Roman" w:eastAsia="Arial Unicode MS" w:hAnsi="Times New Roman" w:cs="Times New Roman"/>
          <w:sz w:val="24"/>
          <w:szCs w:val="24"/>
          <w:lang w:val="bg-BG"/>
        </w:rPr>
        <w:t xml:space="preserve">една от трите основополагащи за устойчивото развитие конвенции от </w:t>
      </w:r>
      <w:r w:rsidRPr="00610B1B">
        <w:rPr>
          <w:rFonts w:ascii="Times New Roman" w:eastAsia="Arial Unicode MS" w:hAnsi="Times New Roman" w:cs="Times New Roman"/>
          <w:sz w:val="24"/>
          <w:szCs w:val="24"/>
          <w:lang w:val="bg-BG"/>
        </w:rPr>
        <w:t xml:space="preserve">световния форум в Рио де Жанейро </w:t>
      </w:r>
      <w:r w:rsidR="00927AF9"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1992 г.</w:t>
      </w:r>
      <w:r w:rsidR="00927AF9"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 поставя за цел стабилизирането и намаляването на концентрациите на парникови газове в атмосферата до ниво, което би предотвратило опасна антропогенна намеса в климатичната система. </w:t>
      </w:r>
      <w:r w:rsidR="00927AF9" w:rsidRPr="00610B1B">
        <w:rPr>
          <w:rFonts w:ascii="Times New Roman" w:eastAsia="Arial Unicode MS" w:hAnsi="Times New Roman" w:cs="Times New Roman"/>
          <w:sz w:val="24"/>
          <w:szCs w:val="24"/>
          <w:lang w:val="bg-BG"/>
        </w:rPr>
        <w:t>Тя</w:t>
      </w:r>
      <w:r w:rsidRPr="00610B1B">
        <w:rPr>
          <w:rFonts w:ascii="Times New Roman" w:eastAsia="Arial Unicode MS" w:hAnsi="Times New Roman" w:cs="Times New Roman"/>
          <w:sz w:val="24"/>
          <w:szCs w:val="24"/>
          <w:lang w:val="bg-BG"/>
        </w:rPr>
        <w:t xml:space="preserve"> насърчава сътрудничеството между страните в областта на научни, технологични, технически</w:t>
      </w:r>
      <w:r w:rsidR="00927AF9" w:rsidRPr="00610B1B">
        <w:rPr>
          <w:rFonts w:ascii="Times New Roman" w:eastAsia="Arial Unicode MS" w:hAnsi="Times New Roman" w:cs="Times New Roman"/>
          <w:sz w:val="24"/>
          <w:szCs w:val="24"/>
          <w:lang w:val="bg-BG"/>
        </w:rPr>
        <w:t xml:space="preserve"> и</w:t>
      </w:r>
      <w:r w:rsidRPr="00610B1B">
        <w:rPr>
          <w:rFonts w:ascii="Times New Roman" w:eastAsia="Arial Unicode MS" w:hAnsi="Times New Roman" w:cs="Times New Roman"/>
          <w:sz w:val="24"/>
          <w:szCs w:val="24"/>
          <w:lang w:val="bg-BG"/>
        </w:rPr>
        <w:t xml:space="preserve"> социално-икономически изследвания, систематични наблюдения и развиване на бази от данни, свързани с климатичната система и предназначени за по-нататъшни проучвания за намаляване на несигурността в предвижданията и ограничаване на последствията от климатичните промени. Рамковата конвенция е ратифицирана от Р. България със закон, обнародван в Д</w:t>
      </w:r>
      <w:r w:rsidR="00EB2E49" w:rsidRPr="00610B1B">
        <w:rPr>
          <w:rFonts w:ascii="Times New Roman" w:eastAsia="Arial Unicode MS" w:hAnsi="Times New Roman" w:cs="Times New Roman"/>
          <w:sz w:val="24"/>
          <w:szCs w:val="24"/>
          <w:lang w:val="bg-BG"/>
        </w:rPr>
        <w:t>В</w:t>
      </w:r>
      <w:r w:rsidRPr="00610B1B">
        <w:rPr>
          <w:rFonts w:ascii="Times New Roman" w:eastAsia="Arial Unicode MS" w:hAnsi="Times New Roman" w:cs="Times New Roman"/>
          <w:sz w:val="24"/>
          <w:szCs w:val="24"/>
          <w:lang w:val="bg-BG"/>
        </w:rPr>
        <w:t xml:space="preserve"> бр. 28/28.03.1995 г. </w:t>
      </w:r>
    </w:p>
    <w:p w14:paraId="7F7A5CC6" w14:textId="11FF2690" w:rsidR="00E81C4F" w:rsidRPr="00610B1B" w:rsidRDefault="00065426"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iCs/>
          <w:sz w:val="24"/>
          <w:szCs w:val="24"/>
          <w:lang w:val="bg-BG"/>
        </w:rPr>
        <w:t>Международна</w:t>
      </w:r>
      <w:r w:rsidR="00EB2E49" w:rsidRPr="00610B1B">
        <w:rPr>
          <w:rFonts w:ascii="Times New Roman" w:eastAsia="Arial Unicode MS" w:hAnsi="Times New Roman" w:cs="Times New Roman"/>
          <w:b/>
          <w:bCs/>
          <w:iCs/>
          <w:sz w:val="24"/>
          <w:szCs w:val="24"/>
          <w:lang w:val="bg-BG"/>
        </w:rPr>
        <w:t>та</w:t>
      </w:r>
      <w:r w:rsidRPr="00610B1B">
        <w:rPr>
          <w:rFonts w:ascii="Times New Roman" w:eastAsia="Arial Unicode MS" w:hAnsi="Times New Roman" w:cs="Times New Roman"/>
          <w:b/>
          <w:bCs/>
          <w:iCs/>
          <w:sz w:val="24"/>
          <w:szCs w:val="24"/>
          <w:lang w:val="bg-BG"/>
        </w:rPr>
        <w:t xml:space="preserve"> конвенция за контрол и управление на корабнитe баластни води и седименти</w:t>
      </w:r>
      <w:r w:rsidR="00EB2E49" w:rsidRPr="00610B1B">
        <w:rPr>
          <w:rFonts w:ascii="Times New Roman" w:eastAsia="Arial Unicode MS" w:hAnsi="Times New Roman" w:cs="Times New Roman"/>
          <w:b/>
          <w:bCs/>
          <w:iCs/>
          <w:sz w:val="24"/>
          <w:szCs w:val="24"/>
          <w:lang w:val="bg-BG"/>
        </w:rPr>
        <w:t xml:space="preserve"> </w:t>
      </w:r>
      <w:r w:rsidR="00EB2E49" w:rsidRPr="00610B1B">
        <w:rPr>
          <w:rFonts w:ascii="Times New Roman" w:eastAsia="Arial Unicode MS" w:hAnsi="Times New Roman" w:cs="Times New Roman"/>
          <w:iCs/>
          <w:sz w:val="24"/>
          <w:szCs w:val="24"/>
          <w:lang w:val="bg-BG"/>
        </w:rPr>
        <w:t>е р</w:t>
      </w:r>
      <w:r w:rsidRPr="00610B1B">
        <w:rPr>
          <w:rFonts w:ascii="Times New Roman" w:eastAsia="Arial Unicode MS" w:hAnsi="Times New Roman" w:cs="Times New Roman"/>
          <w:sz w:val="24"/>
          <w:szCs w:val="24"/>
          <w:lang w:val="bg-BG"/>
        </w:rPr>
        <w:t>атифицирана със закон, приет от 44-то Народно събрание на 16 март 2018 г.</w:t>
      </w:r>
      <w:r w:rsidR="00DE08C2" w:rsidRPr="00610B1B">
        <w:rPr>
          <w:rFonts w:ascii="Times New Roman" w:eastAsia="Arial Unicode MS" w:hAnsi="Times New Roman" w:cs="Times New Roman"/>
          <w:sz w:val="24"/>
          <w:szCs w:val="24"/>
          <w:lang w:val="bg-BG"/>
        </w:rPr>
        <w:t>, обн.</w:t>
      </w:r>
      <w:r w:rsidRPr="00610B1B">
        <w:rPr>
          <w:rFonts w:ascii="Times New Roman" w:eastAsia="Arial Unicode MS" w:hAnsi="Times New Roman" w:cs="Times New Roman"/>
          <w:sz w:val="24"/>
          <w:szCs w:val="24"/>
          <w:lang w:val="bg-BG"/>
        </w:rPr>
        <w:t xml:space="preserve"> ДВ, бр. 28 от 2018 г. </w:t>
      </w:r>
      <w:r w:rsidR="00DE08C2" w:rsidRPr="00610B1B">
        <w:rPr>
          <w:rFonts w:ascii="Times New Roman" w:eastAsia="Arial Unicode MS" w:hAnsi="Times New Roman" w:cs="Times New Roman"/>
          <w:sz w:val="24"/>
          <w:szCs w:val="24"/>
          <w:lang w:val="bg-BG"/>
        </w:rPr>
        <w:t>и е в</w:t>
      </w:r>
      <w:r w:rsidRPr="00610B1B">
        <w:rPr>
          <w:rFonts w:ascii="Times New Roman" w:eastAsia="Arial Unicode MS" w:hAnsi="Times New Roman" w:cs="Times New Roman"/>
          <w:sz w:val="24"/>
          <w:szCs w:val="24"/>
          <w:lang w:val="bg-BG"/>
        </w:rPr>
        <w:t xml:space="preserve"> сила за Република България</w:t>
      </w:r>
      <w:r w:rsidR="00D66FE0"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от 30 юли 2018 г.</w:t>
      </w:r>
      <w:r w:rsidR="00903006" w:rsidRPr="00610B1B">
        <w:rPr>
          <w:rFonts w:ascii="Times New Roman" w:eastAsia="Arial Unicode MS" w:hAnsi="Times New Roman" w:cs="Times New Roman"/>
          <w:sz w:val="24"/>
          <w:szCs w:val="24"/>
          <w:lang w:val="bg-BG"/>
        </w:rPr>
        <w:t xml:space="preserve"> Тя </w:t>
      </w:r>
      <w:r w:rsidRPr="00610B1B">
        <w:rPr>
          <w:rFonts w:ascii="Times New Roman" w:eastAsia="Arial Unicode MS" w:hAnsi="Times New Roman" w:cs="Times New Roman"/>
          <w:sz w:val="24"/>
          <w:szCs w:val="24"/>
          <w:lang w:val="bg-BG"/>
        </w:rPr>
        <w:t>задължава страните да изпълняват в пълен обем разпоредбите</w:t>
      </w:r>
      <w:r w:rsidR="00DE3A13" w:rsidRPr="00610B1B">
        <w:rPr>
          <w:rFonts w:ascii="Times New Roman" w:eastAsia="Arial Unicode MS" w:hAnsi="Times New Roman" w:cs="Times New Roman"/>
          <w:sz w:val="24"/>
          <w:szCs w:val="24"/>
          <w:lang w:val="bg-BG"/>
        </w:rPr>
        <w:t xml:space="preserve"> ѝ,</w:t>
      </w:r>
      <w:r w:rsidRPr="00610B1B">
        <w:rPr>
          <w:rFonts w:ascii="Times New Roman" w:eastAsia="Arial Unicode MS" w:hAnsi="Times New Roman" w:cs="Times New Roman"/>
          <w:sz w:val="24"/>
          <w:szCs w:val="24"/>
          <w:lang w:val="bg-BG"/>
        </w:rPr>
        <w:t xml:space="preserve"> за да се предотврати, сведе до минимум и </w:t>
      </w:r>
      <w:r w:rsidR="00DE08C2" w:rsidRPr="00610B1B">
        <w:rPr>
          <w:rFonts w:ascii="Times New Roman" w:eastAsia="Arial Unicode MS" w:hAnsi="Times New Roman" w:cs="Times New Roman"/>
          <w:sz w:val="24"/>
          <w:szCs w:val="24"/>
          <w:lang w:val="bg-BG"/>
        </w:rPr>
        <w:t>да се</w:t>
      </w:r>
      <w:r w:rsidRPr="00610B1B">
        <w:rPr>
          <w:rFonts w:ascii="Times New Roman" w:eastAsia="Arial Unicode MS" w:hAnsi="Times New Roman" w:cs="Times New Roman"/>
          <w:sz w:val="24"/>
          <w:szCs w:val="24"/>
          <w:lang w:val="bg-BG"/>
        </w:rPr>
        <w:t xml:space="preserve"> елиминира пренасянето на вредни водни организми и патогени чрез контрола и управлението на корабните баластни води и седименти.</w:t>
      </w:r>
      <w:r w:rsidR="00E81C4F" w:rsidRPr="00610B1B">
        <w:rPr>
          <w:rFonts w:ascii="Times New Roman" w:eastAsia="Arial Unicode MS" w:hAnsi="Times New Roman" w:cs="Times New Roman"/>
          <w:sz w:val="24"/>
          <w:szCs w:val="24"/>
          <w:lang w:val="bg-BG"/>
        </w:rPr>
        <w:t xml:space="preserve"> </w:t>
      </w:r>
      <w:r w:rsidR="006665AB" w:rsidRPr="00610B1B">
        <w:rPr>
          <w:rFonts w:ascii="Times New Roman" w:eastAsia="Arial Unicode MS" w:hAnsi="Times New Roman" w:cs="Times New Roman"/>
          <w:sz w:val="24"/>
          <w:szCs w:val="24"/>
          <w:lang w:val="bg-BG"/>
        </w:rPr>
        <w:t>Съгласно становището на ИАМА</w:t>
      </w:r>
      <w:r w:rsidR="006665AB" w:rsidRPr="00610B1B">
        <w:rPr>
          <w:rStyle w:val="FootnoteReference"/>
          <w:rFonts w:ascii="Times New Roman" w:eastAsia="Arial Unicode MS" w:hAnsi="Times New Roman" w:cs="Times New Roman"/>
          <w:sz w:val="24"/>
          <w:szCs w:val="24"/>
          <w:lang w:val="bg-BG"/>
        </w:rPr>
        <w:footnoteReference w:id="30"/>
      </w:r>
      <w:r w:rsidR="006665AB" w:rsidRPr="00610B1B">
        <w:rPr>
          <w:rFonts w:ascii="Times New Roman" w:eastAsia="Arial Unicode MS" w:hAnsi="Times New Roman" w:cs="Times New Roman"/>
          <w:sz w:val="24"/>
          <w:szCs w:val="24"/>
          <w:lang w:val="bg-BG"/>
        </w:rPr>
        <w:t>, конвенцията изисква съоръжения за седименти от баластни танкове да са разположени и в местата, където се извършва кораборемонт. Събирането и преработката на корабни баластни води касае замърсени/омаслени баластни води от танкери, чиято цел е преработката им за премахване на съдържанието на нефтопродукт, но не и на живите организми, които могат да се окажат чужди и инвазивни.</w:t>
      </w:r>
    </w:p>
    <w:p w14:paraId="5E5B9AED" w14:textId="26BBDB6D" w:rsidR="00927AF9" w:rsidRPr="00610B1B" w:rsidRDefault="00126AA7" w:rsidP="00D32D6A">
      <w:pPr>
        <w:pStyle w:val="Heading4"/>
        <w:spacing w:before="0" w:line="276" w:lineRule="auto"/>
        <w:ind w:right="-153"/>
        <w:rPr>
          <w:rFonts w:cs="Times New Roman"/>
        </w:rPr>
      </w:pPr>
      <w:r w:rsidRPr="00610B1B">
        <w:rPr>
          <w:rFonts w:cs="Times New Roman"/>
        </w:rPr>
        <w:t>1.1</w:t>
      </w:r>
      <w:r w:rsidR="001D3664" w:rsidRPr="00610B1B">
        <w:rPr>
          <w:rFonts w:cs="Times New Roman"/>
        </w:rPr>
        <w:t xml:space="preserve">.3.2. </w:t>
      </w:r>
      <w:r w:rsidR="00927AF9" w:rsidRPr="00610B1B">
        <w:rPr>
          <w:rFonts w:cs="Times New Roman"/>
        </w:rPr>
        <w:t>Европейски документи</w:t>
      </w:r>
    </w:p>
    <w:p w14:paraId="3F47369B" w14:textId="011632A8" w:rsidR="005F22D9" w:rsidRPr="00610B1B" w:rsidRDefault="00471DF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Европейският съюз </w:t>
      </w:r>
      <w:r w:rsidR="00C26B3C" w:rsidRPr="00610B1B">
        <w:rPr>
          <w:rFonts w:ascii="Times New Roman" w:hAnsi="Times New Roman" w:cs="Times New Roman"/>
          <w:bCs/>
          <w:sz w:val="24"/>
          <w:szCs w:val="24"/>
          <w:lang w:val="bg-BG"/>
        </w:rPr>
        <w:t xml:space="preserve">транспонира основните постановки на </w:t>
      </w:r>
      <w:r w:rsidRPr="00610B1B">
        <w:rPr>
          <w:rFonts w:ascii="Times New Roman" w:hAnsi="Times New Roman" w:cs="Times New Roman"/>
          <w:bCs/>
          <w:sz w:val="24"/>
          <w:szCs w:val="24"/>
          <w:lang w:val="bg-BG"/>
        </w:rPr>
        <w:t xml:space="preserve">международни </w:t>
      </w:r>
      <w:r w:rsidR="00994F47" w:rsidRPr="00610B1B">
        <w:rPr>
          <w:rFonts w:ascii="Times New Roman" w:hAnsi="Times New Roman" w:cs="Times New Roman"/>
          <w:bCs/>
          <w:sz w:val="24"/>
          <w:szCs w:val="24"/>
          <w:lang w:val="bg-BG"/>
        </w:rPr>
        <w:t xml:space="preserve">организации, </w:t>
      </w:r>
      <w:r w:rsidRPr="00610B1B">
        <w:rPr>
          <w:rFonts w:ascii="Times New Roman" w:hAnsi="Times New Roman" w:cs="Times New Roman"/>
          <w:bCs/>
          <w:sz w:val="24"/>
          <w:szCs w:val="24"/>
          <w:lang w:val="bg-BG"/>
        </w:rPr>
        <w:t>форуми и документи</w:t>
      </w:r>
      <w:r w:rsidR="00C26B3C" w:rsidRPr="00610B1B">
        <w:rPr>
          <w:rFonts w:ascii="Times New Roman" w:hAnsi="Times New Roman" w:cs="Times New Roman"/>
          <w:bCs/>
          <w:sz w:val="24"/>
          <w:szCs w:val="24"/>
          <w:lang w:val="bg-BG"/>
        </w:rPr>
        <w:t xml:space="preserve"> </w:t>
      </w:r>
      <w:r w:rsidR="00DE08C2" w:rsidRPr="00610B1B">
        <w:rPr>
          <w:rFonts w:ascii="Times New Roman" w:hAnsi="Times New Roman" w:cs="Times New Roman"/>
          <w:bCs/>
          <w:sz w:val="24"/>
          <w:szCs w:val="24"/>
          <w:lang w:val="bg-BG"/>
        </w:rPr>
        <w:t xml:space="preserve">за прилагане на интегрирана морска политика </w:t>
      </w:r>
      <w:r w:rsidRPr="00610B1B">
        <w:rPr>
          <w:rFonts w:ascii="Times New Roman" w:hAnsi="Times New Roman" w:cs="Times New Roman"/>
          <w:bCs/>
          <w:sz w:val="24"/>
          <w:szCs w:val="24"/>
          <w:lang w:val="bg-BG"/>
        </w:rPr>
        <w:t xml:space="preserve">в законодателните си документи – регламенти, директиви, </w:t>
      </w:r>
      <w:r w:rsidR="005F22D9" w:rsidRPr="00610B1B">
        <w:rPr>
          <w:rFonts w:ascii="Times New Roman" w:hAnsi="Times New Roman" w:cs="Times New Roman"/>
          <w:bCs/>
          <w:sz w:val="24"/>
          <w:szCs w:val="24"/>
          <w:lang w:val="bg-BG"/>
        </w:rPr>
        <w:t xml:space="preserve">препоръки и становища. </w:t>
      </w:r>
      <w:r w:rsidR="00DE08C2" w:rsidRPr="00610B1B">
        <w:rPr>
          <w:rFonts w:ascii="Times New Roman" w:hAnsi="Times New Roman" w:cs="Times New Roman"/>
          <w:bCs/>
          <w:sz w:val="24"/>
          <w:szCs w:val="24"/>
          <w:lang w:val="bg-BG"/>
        </w:rPr>
        <w:t>Н</w:t>
      </w:r>
      <w:r w:rsidR="005F22D9" w:rsidRPr="00610B1B">
        <w:rPr>
          <w:rFonts w:ascii="Times New Roman" w:hAnsi="Times New Roman" w:cs="Times New Roman"/>
          <w:bCs/>
          <w:sz w:val="24"/>
          <w:szCs w:val="24"/>
          <w:lang w:val="bg-BG"/>
        </w:rPr>
        <w:t>ай-много регламенти са посветени на рибарството</w:t>
      </w:r>
      <w:r w:rsidR="00994F47" w:rsidRPr="00610B1B">
        <w:rPr>
          <w:rFonts w:ascii="Times New Roman" w:hAnsi="Times New Roman" w:cs="Times New Roman"/>
          <w:bCs/>
          <w:sz w:val="24"/>
          <w:szCs w:val="24"/>
          <w:lang w:val="bg-BG"/>
        </w:rPr>
        <w:t xml:space="preserve"> и корабоплаването</w:t>
      </w:r>
      <w:r w:rsidR="005F22D9" w:rsidRPr="00610B1B">
        <w:rPr>
          <w:rFonts w:ascii="Times New Roman" w:hAnsi="Times New Roman" w:cs="Times New Roman"/>
          <w:bCs/>
          <w:sz w:val="24"/>
          <w:szCs w:val="24"/>
          <w:lang w:val="bg-BG"/>
        </w:rPr>
        <w:t xml:space="preserve">. </w:t>
      </w:r>
    </w:p>
    <w:p w14:paraId="1612C365" w14:textId="392CB36B" w:rsidR="005F22D9" w:rsidRPr="00610B1B" w:rsidRDefault="005F22D9"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 xml:space="preserve">Директива 2014/89/ЕС </w:t>
      </w:r>
      <w:r w:rsidRPr="00610B1B">
        <w:rPr>
          <w:rFonts w:ascii="Times New Roman" w:hAnsi="Times New Roman" w:cs="Times New Roman"/>
          <w:bCs/>
          <w:sz w:val="24"/>
          <w:szCs w:val="24"/>
          <w:lang w:val="bg-BG"/>
        </w:rPr>
        <w:t xml:space="preserve">на Европейския парламент и на Съвета от 23 юли 2014 г. за установяване на рамка за морско пространствено планиране е основополагащ документ за прилагането на методически подход при разработване на националните морски пространствени планове. Тя доразвива идеите от предходни международни и Европейски документи за прилагането на </w:t>
      </w:r>
      <w:r w:rsidRPr="00610B1B">
        <w:rPr>
          <w:rFonts w:ascii="Times New Roman" w:hAnsi="Times New Roman" w:cs="Times New Roman"/>
          <w:bCs/>
          <w:i/>
          <w:iCs/>
          <w:sz w:val="24"/>
          <w:szCs w:val="24"/>
          <w:lang w:val="bg-BG"/>
        </w:rPr>
        <w:t>координиран, интегриран и</w:t>
      </w:r>
      <w:r w:rsidR="00D66FE0" w:rsidRPr="00610B1B">
        <w:rPr>
          <w:rFonts w:ascii="Times New Roman" w:hAnsi="Times New Roman" w:cs="Times New Roman"/>
          <w:bCs/>
          <w:i/>
          <w:iCs/>
          <w:sz w:val="24"/>
          <w:szCs w:val="24"/>
          <w:lang w:val="bg-BG"/>
        </w:rPr>
        <w:t xml:space="preserve"> </w:t>
      </w:r>
      <w:r w:rsidRPr="00610B1B">
        <w:rPr>
          <w:rFonts w:ascii="Times New Roman" w:hAnsi="Times New Roman" w:cs="Times New Roman"/>
          <w:bCs/>
          <w:i/>
          <w:iCs/>
          <w:sz w:val="24"/>
          <w:szCs w:val="24"/>
          <w:lang w:val="bg-BG"/>
        </w:rPr>
        <w:t>трансграничен подход</w:t>
      </w:r>
      <w:r w:rsidRPr="00610B1B">
        <w:rPr>
          <w:rFonts w:ascii="Times New Roman" w:hAnsi="Times New Roman" w:cs="Times New Roman"/>
          <w:bCs/>
          <w:sz w:val="24"/>
          <w:szCs w:val="24"/>
          <w:lang w:val="bg-BG"/>
        </w:rPr>
        <w:t xml:space="preserve">, съчетан с </w:t>
      </w:r>
      <w:r w:rsidRPr="00610B1B">
        <w:rPr>
          <w:rFonts w:ascii="Times New Roman" w:hAnsi="Times New Roman" w:cs="Times New Roman"/>
          <w:bCs/>
          <w:i/>
          <w:iCs/>
          <w:sz w:val="24"/>
          <w:szCs w:val="24"/>
          <w:lang w:val="bg-BG"/>
        </w:rPr>
        <w:t>екосистемния подход</w:t>
      </w:r>
      <w:r w:rsidRPr="00610B1B">
        <w:rPr>
          <w:rFonts w:ascii="Times New Roman" w:hAnsi="Times New Roman" w:cs="Times New Roman"/>
          <w:bCs/>
          <w:sz w:val="24"/>
          <w:szCs w:val="24"/>
          <w:lang w:val="bg-BG"/>
        </w:rPr>
        <w:t xml:space="preserve"> и дефинира </w:t>
      </w:r>
      <w:r w:rsidRPr="00610B1B">
        <w:rPr>
          <w:rFonts w:ascii="Times New Roman" w:hAnsi="Times New Roman" w:cs="Times New Roman"/>
          <w:bCs/>
          <w:i/>
          <w:iCs/>
          <w:sz w:val="24"/>
          <w:szCs w:val="24"/>
          <w:lang w:val="bg-BG"/>
        </w:rPr>
        <w:t>интегрираната морска политика</w:t>
      </w:r>
      <w:r w:rsidRPr="00610B1B">
        <w:rPr>
          <w:rFonts w:ascii="Times New Roman" w:hAnsi="Times New Roman" w:cs="Times New Roman"/>
          <w:bCs/>
          <w:sz w:val="24"/>
          <w:szCs w:val="24"/>
          <w:lang w:val="bg-BG"/>
        </w:rPr>
        <w:t xml:space="preserve"> (ИМП), като </w:t>
      </w:r>
      <w:r w:rsidR="00DE08C2" w:rsidRPr="00610B1B">
        <w:rPr>
          <w:rFonts w:ascii="Times New Roman" w:hAnsi="Times New Roman" w:cs="Times New Roman"/>
          <w:bCs/>
          <w:sz w:val="24"/>
          <w:szCs w:val="24"/>
          <w:lang w:val="bg-BG"/>
        </w:rPr>
        <w:t>п</w:t>
      </w:r>
      <w:r w:rsidRPr="00610B1B">
        <w:rPr>
          <w:rFonts w:ascii="Times New Roman" w:hAnsi="Times New Roman" w:cs="Times New Roman"/>
          <w:bCs/>
          <w:sz w:val="24"/>
          <w:szCs w:val="24"/>
          <w:lang w:val="bg-BG"/>
        </w:rPr>
        <w:t xml:space="preserve">олитика, която насърчава </w:t>
      </w:r>
      <w:r w:rsidR="00DE08C2"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координирано</w:t>
      </w:r>
      <w:r w:rsidR="00DE08C2" w:rsidRPr="00610B1B">
        <w:rPr>
          <w:rFonts w:ascii="Times New Roman" w:hAnsi="Times New Roman" w:cs="Times New Roman"/>
          <w:bCs/>
          <w:sz w:val="24"/>
          <w:szCs w:val="24"/>
          <w:lang w:val="bg-BG"/>
        </w:rPr>
        <w:t>то</w:t>
      </w:r>
      <w:r w:rsidRPr="00610B1B">
        <w:rPr>
          <w:rFonts w:ascii="Times New Roman" w:hAnsi="Times New Roman" w:cs="Times New Roman"/>
          <w:bCs/>
          <w:sz w:val="24"/>
          <w:szCs w:val="24"/>
          <w:lang w:val="bg-BG"/>
        </w:rPr>
        <w:t xml:space="preserve"> и съгласувано вземане на решения за постигане на устойчиво развитие, икономически растеж и социално сближаване на държавите-членки, по-специално в крайбрежните, островните и отдалечените регион</w:t>
      </w:r>
      <w:r w:rsidR="00AB3B7E" w:rsidRPr="00610B1B">
        <w:rPr>
          <w:rFonts w:ascii="Times New Roman" w:hAnsi="Times New Roman" w:cs="Times New Roman"/>
          <w:bCs/>
          <w:sz w:val="24"/>
          <w:szCs w:val="24"/>
          <w:lang w:val="bg-BG"/>
        </w:rPr>
        <w:t>и</w:t>
      </w:r>
      <w:r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lastRenderedPageBreak/>
        <w:t>както и на свързаните с морето сектори</w:t>
      </w:r>
      <w:r w:rsidR="00DE08C2"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посредством съгласувани политики и международно сътрудничество. </w:t>
      </w:r>
    </w:p>
    <w:p w14:paraId="7C01CD8F" w14:textId="0FEBCEC2" w:rsidR="005F22D9" w:rsidRPr="00610B1B" w:rsidRDefault="005F22D9"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чл. 3 т.1 и 2 </w:t>
      </w:r>
      <w:r w:rsidRPr="00610B1B">
        <w:rPr>
          <w:rFonts w:ascii="Times New Roman" w:hAnsi="Times New Roman" w:cs="Times New Roman"/>
          <w:bCs/>
          <w:i/>
          <w:iCs/>
          <w:sz w:val="24"/>
          <w:szCs w:val="24"/>
          <w:lang w:val="bg-BG"/>
        </w:rPr>
        <w:t>морското пространствено планиране</w:t>
      </w:r>
      <w:r w:rsidRPr="00610B1B">
        <w:rPr>
          <w:rFonts w:ascii="Times New Roman" w:hAnsi="Times New Roman" w:cs="Times New Roman"/>
          <w:bCs/>
          <w:sz w:val="24"/>
          <w:szCs w:val="24"/>
          <w:lang w:val="bg-BG"/>
        </w:rPr>
        <w:t xml:space="preserve"> се определя като „процес, чрез който съответните органи на държавите членки анализират и организират човешките дейности в морските райони за постигане на екологичните, икономическите и социалните цели“. </w:t>
      </w:r>
      <w:r w:rsidR="00705E9E" w:rsidRPr="00610B1B">
        <w:rPr>
          <w:rFonts w:ascii="Times New Roman" w:hAnsi="Times New Roman" w:cs="Times New Roman"/>
          <w:bCs/>
          <w:sz w:val="24"/>
          <w:szCs w:val="24"/>
          <w:lang w:val="bg-BG"/>
        </w:rPr>
        <w:t>То е</w:t>
      </w:r>
      <w:r w:rsidRPr="00610B1B">
        <w:rPr>
          <w:rFonts w:ascii="Times New Roman" w:hAnsi="Times New Roman" w:cs="Times New Roman"/>
          <w:bCs/>
          <w:sz w:val="24"/>
          <w:szCs w:val="24"/>
          <w:lang w:val="bg-BG"/>
        </w:rPr>
        <w:t xml:space="preserve"> инструмент</w:t>
      </w:r>
      <w:r w:rsidR="00AF2EB7" w:rsidRPr="00610B1B">
        <w:rPr>
          <w:rFonts w:ascii="Times New Roman" w:hAnsi="Times New Roman" w:cs="Times New Roman"/>
          <w:bCs/>
          <w:sz w:val="24"/>
          <w:szCs w:val="24"/>
          <w:lang w:val="bg-BG"/>
        </w:rPr>
        <w:t xml:space="preserve"> за</w:t>
      </w:r>
      <w:r w:rsidRPr="00610B1B">
        <w:rPr>
          <w:rFonts w:ascii="Times New Roman" w:hAnsi="Times New Roman" w:cs="Times New Roman"/>
          <w:bCs/>
          <w:sz w:val="24"/>
          <w:szCs w:val="24"/>
          <w:lang w:val="bg-BG"/>
        </w:rPr>
        <w:t xml:space="preserve"> осигурява</w:t>
      </w:r>
      <w:r w:rsidR="00AF2EB7" w:rsidRPr="00610B1B">
        <w:rPr>
          <w:rFonts w:ascii="Times New Roman" w:hAnsi="Times New Roman" w:cs="Times New Roman"/>
          <w:bCs/>
          <w:sz w:val="24"/>
          <w:szCs w:val="24"/>
          <w:lang w:val="bg-BG"/>
        </w:rPr>
        <w:t>не на</w:t>
      </w:r>
      <w:r w:rsidRPr="00610B1B">
        <w:rPr>
          <w:rFonts w:ascii="Times New Roman" w:hAnsi="Times New Roman" w:cs="Times New Roman"/>
          <w:bCs/>
          <w:sz w:val="24"/>
          <w:szCs w:val="24"/>
          <w:lang w:val="bg-BG"/>
        </w:rPr>
        <w:t xml:space="preserve"> дългосрочна стабилност и предвидимост и </w:t>
      </w:r>
      <w:r w:rsidR="00AF2EB7" w:rsidRPr="00610B1B">
        <w:rPr>
          <w:rFonts w:ascii="Times New Roman" w:hAnsi="Times New Roman" w:cs="Times New Roman"/>
          <w:bCs/>
          <w:sz w:val="24"/>
          <w:szCs w:val="24"/>
          <w:lang w:val="bg-BG"/>
        </w:rPr>
        <w:t>з</w:t>
      </w:r>
      <w:r w:rsidRPr="00610B1B">
        <w:rPr>
          <w:rFonts w:ascii="Times New Roman" w:hAnsi="Times New Roman" w:cs="Times New Roman"/>
          <w:bCs/>
          <w:sz w:val="24"/>
          <w:szCs w:val="24"/>
          <w:lang w:val="bg-BG"/>
        </w:rPr>
        <w:t>а балансира</w:t>
      </w:r>
      <w:r w:rsidR="00AF2EB7" w:rsidRPr="00610B1B">
        <w:rPr>
          <w:rFonts w:ascii="Times New Roman" w:hAnsi="Times New Roman" w:cs="Times New Roman"/>
          <w:bCs/>
          <w:sz w:val="24"/>
          <w:szCs w:val="24"/>
          <w:lang w:val="bg-BG"/>
        </w:rPr>
        <w:t>не на</w:t>
      </w:r>
      <w:r w:rsidRPr="00610B1B">
        <w:rPr>
          <w:rFonts w:ascii="Times New Roman" w:hAnsi="Times New Roman" w:cs="Times New Roman"/>
          <w:bCs/>
          <w:sz w:val="24"/>
          <w:szCs w:val="24"/>
          <w:lang w:val="bg-BG"/>
        </w:rPr>
        <w:t xml:space="preserve"> интересите в усвояването на морск</w:t>
      </w:r>
      <w:r w:rsidR="0075098D" w:rsidRPr="00610B1B">
        <w:rPr>
          <w:rFonts w:ascii="Times New Roman" w:hAnsi="Times New Roman" w:cs="Times New Roman"/>
          <w:bCs/>
          <w:sz w:val="24"/>
          <w:szCs w:val="24"/>
          <w:lang w:val="bg-BG"/>
        </w:rPr>
        <w:t>и</w:t>
      </w:r>
      <w:r w:rsidRPr="00610B1B">
        <w:rPr>
          <w:rFonts w:ascii="Times New Roman" w:hAnsi="Times New Roman" w:cs="Times New Roman"/>
          <w:bCs/>
          <w:sz w:val="24"/>
          <w:szCs w:val="24"/>
          <w:lang w:val="bg-BG"/>
        </w:rPr>
        <w:t>т</w:t>
      </w:r>
      <w:r w:rsidR="0075098D" w:rsidRPr="00610B1B">
        <w:rPr>
          <w:rFonts w:ascii="Times New Roman" w:hAnsi="Times New Roman" w:cs="Times New Roman"/>
          <w:bCs/>
          <w:sz w:val="24"/>
          <w:szCs w:val="24"/>
          <w:lang w:val="bg-BG"/>
        </w:rPr>
        <w:t>е</w:t>
      </w:r>
      <w:r w:rsidRPr="00610B1B">
        <w:rPr>
          <w:rFonts w:ascii="Times New Roman" w:hAnsi="Times New Roman" w:cs="Times New Roman"/>
          <w:bCs/>
          <w:sz w:val="24"/>
          <w:szCs w:val="24"/>
          <w:lang w:val="bg-BG"/>
        </w:rPr>
        <w:t xml:space="preserve"> пространств</w:t>
      </w:r>
      <w:r w:rsidR="0075098D" w:rsidRPr="00610B1B">
        <w:rPr>
          <w:rFonts w:ascii="Times New Roman" w:hAnsi="Times New Roman" w:cs="Times New Roman"/>
          <w:bCs/>
          <w:sz w:val="24"/>
          <w:szCs w:val="24"/>
          <w:lang w:val="bg-BG"/>
        </w:rPr>
        <w:t>а</w:t>
      </w:r>
      <w:r w:rsidRPr="00610B1B">
        <w:rPr>
          <w:rFonts w:ascii="Times New Roman" w:hAnsi="Times New Roman" w:cs="Times New Roman"/>
          <w:bCs/>
          <w:sz w:val="24"/>
          <w:szCs w:val="24"/>
          <w:lang w:val="bg-BG"/>
        </w:rPr>
        <w:t xml:space="preserve"> и в зоните с интензивно използване</w:t>
      </w:r>
      <w:r w:rsidR="00A065D0" w:rsidRPr="00610B1B">
        <w:rPr>
          <w:rFonts w:ascii="Times New Roman" w:hAnsi="Times New Roman" w:cs="Times New Roman"/>
          <w:bCs/>
          <w:sz w:val="24"/>
          <w:szCs w:val="24"/>
          <w:lang w:val="bg-BG"/>
        </w:rPr>
        <w:t>, за хоризонтална и междусекторна координация</w:t>
      </w:r>
      <w:r w:rsidRPr="00610B1B">
        <w:rPr>
          <w:rFonts w:ascii="Times New Roman" w:hAnsi="Times New Roman" w:cs="Times New Roman"/>
          <w:bCs/>
          <w:sz w:val="24"/>
          <w:szCs w:val="24"/>
          <w:lang w:val="bg-BG"/>
        </w:rPr>
        <w:t>. Директива</w:t>
      </w:r>
      <w:r w:rsidR="00AF2EB7" w:rsidRPr="00610B1B">
        <w:rPr>
          <w:rFonts w:ascii="Times New Roman" w:hAnsi="Times New Roman" w:cs="Times New Roman"/>
          <w:bCs/>
          <w:sz w:val="24"/>
          <w:szCs w:val="24"/>
          <w:lang w:val="bg-BG"/>
        </w:rPr>
        <w:t>та</w:t>
      </w:r>
      <w:r w:rsidRPr="00610B1B">
        <w:rPr>
          <w:rFonts w:ascii="Times New Roman" w:hAnsi="Times New Roman" w:cs="Times New Roman"/>
          <w:bCs/>
          <w:sz w:val="24"/>
          <w:szCs w:val="24"/>
          <w:lang w:val="bg-BG"/>
        </w:rPr>
        <w:t xml:space="preserve"> </w:t>
      </w:r>
      <w:r w:rsidR="00AF2EB7" w:rsidRPr="00610B1B">
        <w:rPr>
          <w:rFonts w:ascii="Times New Roman" w:hAnsi="Times New Roman" w:cs="Times New Roman"/>
          <w:bCs/>
          <w:sz w:val="24"/>
          <w:szCs w:val="24"/>
          <w:lang w:val="bg-BG"/>
        </w:rPr>
        <w:t xml:space="preserve">дава препоръки за зониране на дейностите в </w:t>
      </w:r>
      <w:r w:rsidRPr="00610B1B">
        <w:rPr>
          <w:rFonts w:ascii="Times New Roman" w:hAnsi="Times New Roman" w:cs="Times New Roman"/>
          <w:bCs/>
          <w:sz w:val="24"/>
          <w:szCs w:val="24"/>
          <w:lang w:val="bg-BG"/>
        </w:rPr>
        <w:t>морските пространства</w:t>
      </w:r>
      <w:r w:rsidR="00AF2EB7" w:rsidRPr="00610B1B">
        <w:rPr>
          <w:rFonts w:ascii="Times New Roman" w:hAnsi="Times New Roman" w:cs="Times New Roman"/>
          <w:bCs/>
          <w:sz w:val="24"/>
          <w:szCs w:val="24"/>
          <w:lang w:val="bg-BG"/>
        </w:rPr>
        <w:t xml:space="preserve"> и </w:t>
      </w:r>
      <w:r w:rsidR="00AB3B7E" w:rsidRPr="00610B1B">
        <w:rPr>
          <w:rFonts w:ascii="Times New Roman" w:hAnsi="Times New Roman" w:cs="Times New Roman"/>
          <w:bCs/>
          <w:sz w:val="24"/>
          <w:szCs w:val="24"/>
          <w:lang w:val="bg-BG"/>
        </w:rPr>
        <w:t xml:space="preserve">за </w:t>
      </w:r>
      <w:r w:rsidR="00AF2EB7" w:rsidRPr="00610B1B">
        <w:rPr>
          <w:rFonts w:ascii="Times New Roman" w:hAnsi="Times New Roman" w:cs="Times New Roman"/>
          <w:bCs/>
          <w:sz w:val="24"/>
          <w:szCs w:val="24"/>
          <w:lang w:val="bg-BG"/>
        </w:rPr>
        <w:t>определя</w:t>
      </w:r>
      <w:r w:rsidR="00AB3B7E" w:rsidRPr="00610B1B">
        <w:rPr>
          <w:rFonts w:ascii="Times New Roman" w:hAnsi="Times New Roman" w:cs="Times New Roman"/>
          <w:bCs/>
          <w:sz w:val="24"/>
          <w:szCs w:val="24"/>
          <w:lang w:val="bg-BG"/>
        </w:rPr>
        <w:t>не на</w:t>
      </w:r>
      <w:r w:rsidR="00AF2EB7"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морски</w:t>
      </w:r>
      <w:r w:rsidR="00AF2EB7"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транспортни маршрути и трафик потоци</w:t>
      </w:r>
      <w:r w:rsidR="00AF2EB7" w:rsidRPr="00610B1B">
        <w:rPr>
          <w:rFonts w:ascii="Times New Roman" w:hAnsi="Times New Roman" w:cs="Times New Roman"/>
          <w:bCs/>
          <w:sz w:val="24"/>
          <w:szCs w:val="24"/>
          <w:lang w:val="bg-BG"/>
        </w:rPr>
        <w:t xml:space="preserve"> и </w:t>
      </w:r>
      <w:r w:rsidRPr="00610B1B">
        <w:rPr>
          <w:rFonts w:ascii="Times New Roman" w:hAnsi="Times New Roman" w:cs="Times New Roman"/>
          <w:bCs/>
          <w:sz w:val="24"/>
          <w:szCs w:val="24"/>
          <w:lang w:val="bg-BG"/>
        </w:rPr>
        <w:t>трасета</w:t>
      </w:r>
      <w:r w:rsidR="00AF2EB7" w:rsidRPr="00610B1B">
        <w:rPr>
          <w:rFonts w:ascii="Times New Roman" w:hAnsi="Times New Roman" w:cs="Times New Roman"/>
          <w:bCs/>
          <w:sz w:val="24"/>
          <w:szCs w:val="24"/>
          <w:lang w:val="bg-BG"/>
        </w:rPr>
        <w:t>та</w:t>
      </w:r>
      <w:r w:rsidRPr="00610B1B">
        <w:rPr>
          <w:rFonts w:ascii="Times New Roman" w:hAnsi="Times New Roman" w:cs="Times New Roman"/>
          <w:bCs/>
          <w:sz w:val="24"/>
          <w:szCs w:val="24"/>
          <w:lang w:val="bg-BG"/>
        </w:rPr>
        <w:t xml:space="preserve"> на подводни</w:t>
      </w:r>
      <w:r w:rsidR="00AF2EB7"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кабели и тръбопроводи.</w:t>
      </w:r>
      <w:r w:rsidR="00A065D0" w:rsidRPr="00610B1B">
        <w:rPr>
          <w:rFonts w:ascii="Times New Roman" w:hAnsi="Times New Roman" w:cs="Times New Roman"/>
          <w:bCs/>
          <w:sz w:val="24"/>
          <w:szCs w:val="24"/>
          <w:lang w:val="bg-BG"/>
        </w:rPr>
        <w:t xml:space="preserve"> Тя </w:t>
      </w:r>
      <w:r w:rsidRPr="00610B1B">
        <w:rPr>
          <w:rFonts w:ascii="Times New Roman" w:hAnsi="Times New Roman" w:cs="Times New Roman"/>
          <w:bCs/>
          <w:sz w:val="24"/>
          <w:szCs w:val="24"/>
          <w:lang w:val="bg-BG"/>
        </w:rPr>
        <w:t>не засяга компетентността на държавите членки да разработват и определят, в границите на морските си води, обхвата и съдържанието на своите морски пространствени планове</w:t>
      </w:r>
      <w:r w:rsidR="006B59C6"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Директивата посочва, че вътрешните крайбрежни води не са предмет</w:t>
      </w:r>
      <w:r w:rsidR="00DE08C2" w:rsidRPr="00610B1B">
        <w:rPr>
          <w:rFonts w:ascii="Times New Roman" w:hAnsi="Times New Roman" w:cs="Times New Roman"/>
          <w:bCs/>
          <w:sz w:val="24"/>
          <w:szCs w:val="24"/>
          <w:lang w:val="bg-BG"/>
        </w:rPr>
        <w:t xml:space="preserve"> на морското пространствено планиране</w:t>
      </w:r>
      <w:r w:rsidRPr="00610B1B">
        <w:rPr>
          <w:rFonts w:ascii="Times New Roman" w:hAnsi="Times New Roman" w:cs="Times New Roman"/>
          <w:bCs/>
          <w:sz w:val="24"/>
          <w:szCs w:val="24"/>
          <w:lang w:val="bg-BG"/>
        </w:rPr>
        <w:t xml:space="preserve">, когато са включени в териториалноустройствените и градоустройствени планове за вътрешността и когато това е посочено в морския пространствен план. Във връзка с това методиката за разработване на тези планове във възможно най-голяма степен следва да се гради върху съществуващи национални, регионални и местни правила и механизми. </w:t>
      </w:r>
    </w:p>
    <w:p w14:paraId="60778B2D" w14:textId="1B66C3EC" w:rsidR="001B7B97" w:rsidRPr="00610B1B" w:rsidRDefault="001B7B9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Директива 2014/89/ЕС е транспонирана в българското законодателство чрез Закона за морските пространства, вътрешните водни пътища и пристанищата на Република България през 2018 г., в който се обосновават правната, институционалната и методологичната рамка на морския пространствен план на страната. </w:t>
      </w:r>
    </w:p>
    <w:p w14:paraId="366C033E" w14:textId="230F8701" w:rsidR="001B7B97" w:rsidRPr="00610B1B" w:rsidRDefault="001B7B9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Директива 2008/56/ЕО</w:t>
      </w:r>
      <w:r w:rsidRPr="00610B1B">
        <w:rPr>
          <w:rFonts w:ascii="Times New Roman" w:hAnsi="Times New Roman" w:cs="Times New Roman"/>
          <w:bCs/>
          <w:sz w:val="24"/>
          <w:szCs w:val="24"/>
          <w:lang w:val="bg-BG"/>
        </w:rPr>
        <w:t xml:space="preserve"> на Европейския парламент и на Съвета от 17 юни 2008 г. за създаване на рамка за действие на Общността в областта на политиката за морска среда (Рамкова директива за морска стратегия) се определя като “екологичен стълб” на интегрираната морска политика, която насърчава устойчивото използване на моретата, постигането на добро екологично състояние в морските води на ЕС до 2020 г. и опазването на ресурсната база, от която зависят икономическите и социални дейности, свързани с морското пространство.</w:t>
      </w:r>
      <w:r w:rsidR="00A065D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Освен дефинициите за морски води и крайбрежни води</w:t>
      </w:r>
      <w:r w:rsidR="00A065D0"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Директивата определя и понятието „морски регион“</w:t>
      </w:r>
      <w:r w:rsidR="00A065D0"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и като такъв е определено Черно море. Дадена е възможност за определяне на подрегиони за прилагане на директивата „на подходящо ниво на морските води”. (чл. 4) </w:t>
      </w:r>
      <w:r w:rsidR="00CC5EB6" w:rsidRPr="00610B1B">
        <w:rPr>
          <w:rFonts w:ascii="Times New Roman" w:hAnsi="Times New Roman" w:cs="Times New Roman"/>
          <w:bCs/>
          <w:sz w:val="24"/>
          <w:szCs w:val="24"/>
          <w:lang w:val="bg-BG"/>
        </w:rPr>
        <w:t>В този смисъл</w:t>
      </w:r>
      <w:r w:rsidRPr="00610B1B">
        <w:rPr>
          <w:rFonts w:ascii="Times New Roman" w:hAnsi="Times New Roman" w:cs="Times New Roman"/>
          <w:bCs/>
          <w:sz w:val="24"/>
          <w:szCs w:val="24"/>
          <w:lang w:val="bg-BG"/>
        </w:rPr>
        <w:t xml:space="preserve"> българските морски води могат да се определят като подрегион в Черно море.</w:t>
      </w:r>
    </w:p>
    <w:p w14:paraId="0356F605" w14:textId="47EDE54C" w:rsidR="009C4D65" w:rsidRPr="00610B1B" w:rsidRDefault="001B7B9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Основополагащ принцип за осъществяването на морското пространствено планиране е екосистемният подход, който се прилага при управлението на човешките дейности в морското пространство. Документът регламентира условията за разработване на стратегически документи, компетентните органи, възможностите за международно сътрудничество, за мониторинг и контрол по прилагането на морски стратегии. Директивата е отговор на поетите ангажименти н</w:t>
      </w:r>
      <w:r w:rsidR="009C4D65" w:rsidRPr="00610B1B">
        <w:rPr>
          <w:rFonts w:ascii="Times New Roman" w:hAnsi="Times New Roman" w:cs="Times New Roman"/>
          <w:bCs/>
          <w:sz w:val="24"/>
          <w:szCs w:val="24"/>
          <w:lang w:val="bg-BG"/>
        </w:rPr>
        <w:t>а</w:t>
      </w:r>
      <w:r w:rsidRPr="00610B1B">
        <w:rPr>
          <w:rFonts w:ascii="Times New Roman" w:hAnsi="Times New Roman" w:cs="Times New Roman"/>
          <w:bCs/>
          <w:sz w:val="24"/>
          <w:szCs w:val="24"/>
          <w:lang w:val="bg-BG"/>
        </w:rPr>
        <w:t xml:space="preserve"> ЕС по важни въпроси и документи, </w:t>
      </w:r>
      <w:r w:rsidR="009C4D65" w:rsidRPr="00610B1B">
        <w:rPr>
          <w:rFonts w:ascii="Times New Roman" w:hAnsi="Times New Roman" w:cs="Times New Roman"/>
          <w:bCs/>
          <w:sz w:val="24"/>
          <w:szCs w:val="24"/>
          <w:lang w:val="bg-BG"/>
        </w:rPr>
        <w:t>като</w:t>
      </w:r>
      <w:r w:rsidRPr="00610B1B">
        <w:rPr>
          <w:rFonts w:ascii="Times New Roman" w:hAnsi="Times New Roman" w:cs="Times New Roman"/>
          <w:bCs/>
          <w:sz w:val="24"/>
          <w:szCs w:val="24"/>
          <w:lang w:val="bg-BG"/>
        </w:rPr>
        <w:t xml:space="preserve"> Конвенцията за биологично разнообразие, Конвенцията на ООН по морско право (UNCLOS),</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Конвенцията за опазването на Черно море от замърсяване. Тя разглежда морската среда като ценно наследство, което следва да бъде съхранено, защитено и </w:t>
      </w:r>
      <w:r w:rsidRPr="00610B1B">
        <w:rPr>
          <w:rFonts w:ascii="Times New Roman" w:hAnsi="Times New Roman" w:cs="Times New Roman"/>
          <w:bCs/>
          <w:sz w:val="24"/>
          <w:szCs w:val="24"/>
          <w:lang w:val="bg-BG"/>
        </w:rPr>
        <w:lastRenderedPageBreak/>
        <w:t>възстановено, за да бъдат моретата и океаните „чисти, здравословни и продуктивни“ и да се опази</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биологичното разнообразие в тях. </w:t>
      </w:r>
    </w:p>
    <w:p w14:paraId="31F7A155" w14:textId="50E14317" w:rsidR="00345AB3" w:rsidRPr="00610B1B" w:rsidRDefault="00CC5EB6"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Във връзка с транспонирането на изискванията на Рамковата директива за Морска стратегия 2008/56/ЕС в българското законодателство и изпълнение на изискванията на чл. 1 т. 1 и 2 на документа, е разработена и приета Морска стратегия на Република България в няколко части – първоначална оценка на състоянието на морската околна среда в съответствие с дефинициите за добро състояние, </w:t>
      </w:r>
      <w:r w:rsidR="00ED3341" w:rsidRPr="00610B1B">
        <w:rPr>
          <w:rFonts w:ascii="Times New Roman" w:hAnsi="Times New Roman" w:cs="Times New Roman"/>
          <w:bCs/>
          <w:sz w:val="24"/>
          <w:szCs w:val="24"/>
          <w:lang w:val="bg-BG"/>
        </w:rPr>
        <w:t>2010 г.</w:t>
      </w:r>
      <w:r w:rsidRPr="00610B1B">
        <w:rPr>
          <w:rStyle w:val="FootnoteReference"/>
          <w:rFonts w:ascii="Times New Roman" w:hAnsi="Times New Roman" w:cs="Times New Roman"/>
          <w:bCs/>
          <w:sz w:val="24"/>
          <w:szCs w:val="24"/>
          <w:lang w:val="bg-BG"/>
        </w:rPr>
        <w:footnoteReference w:id="31"/>
      </w:r>
      <w:r w:rsidR="00345AB3" w:rsidRPr="00610B1B">
        <w:rPr>
          <w:rFonts w:ascii="Times New Roman" w:hAnsi="Times New Roman" w:cs="Times New Roman"/>
          <w:bCs/>
          <w:sz w:val="24"/>
          <w:szCs w:val="24"/>
          <w:lang w:val="bg-BG"/>
        </w:rPr>
        <w:t>;</w:t>
      </w:r>
      <w:r w:rsidR="00D66FE0" w:rsidRPr="00610B1B">
        <w:rPr>
          <w:rFonts w:ascii="Times New Roman" w:hAnsi="Times New Roman" w:cs="Times New Roman"/>
          <w:bCs/>
          <w:sz w:val="24"/>
          <w:szCs w:val="24"/>
          <w:lang w:val="bg-BG"/>
        </w:rPr>
        <w:t xml:space="preserve"> </w:t>
      </w:r>
      <w:r w:rsidR="00345AB3" w:rsidRPr="00610B1B">
        <w:rPr>
          <w:rFonts w:ascii="Times New Roman" w:hAnsi="Times New Roman" w:cs="Times New Roman"/>
          <w:bCs/>
          <w:sz w:val="24"/>
          <w:szCs w:val="24"/>
          <w:lang w:val="bg-BG"/>
        </w:rPr>
        <w:t xml:space="preserve">Програма </w:t>
      </w:r>
      <w:r w:rsidRPr="00610B1B">
        <w:rPr>
          <w:rFonts w:ascii="Times New Roman" w:hAnsi="Times New Roman" w:cs="Times New Roman"/>
          <w:bCs/>
          <w:sz w:val="24"/>
          <w:szCs w:val="24"/>
          <w:lang w:val="bg-BG"/>
        </w:rPr>
        <w:t>за мониторинг</w:t>
      </w:r>
      <w:r w:rsidR="00ED3341" w:rsidRPr="00610B1B">
        <w:rPr>
          <w:rFonts w:ascii="Times New Roman" w:hAnsi="Times New Roman" w:cs="Times New Roman"/>
          <w:bCs/>
          <w:sz w:val="24"/>
          <w:szCs w:val="24"/>
          <w:lang w:val="bg-BG"/>
        </w:rPr>
        <w:t>, 2014</w:t>
      </w:r>
      <w:r w:rsidR="00D703D4" w:rsidRPr="00610B1B">
        <w:rPr>
          <w:rFonts w:ascii="Times New Roman" w:hAnsi="Times New Roman" w:cs="Times New Roman"/>
          <w:bCs/>
          <w:sz w:val="24"/>
          <w:szCs w:val="24"/>
          <w:lang w:val="bg-BG"/>
        </w:rPr>
        <w:t> </w:t>
      </w:r>
      <w:r w:rsidR="00ED3341" w:rsidRPr="00610B1B">
        <w:rPr>
          <w:rFonts w:ascii="Times New Roman" w:hAnsi="Times New Roman" w:cs="Times New Roman"/>
          <w:bCs/>
          <w:sz w:val="24"/>
          <w:szCs w:val="24"/>
          <w:lang w:val="bg-BG"/>
        </w:rPr>
        <w:t>г.</w:t>
      </w:r>
      <w:r w:rsidR="00345AB3" w:rsidRPr="00610B1B">
        <w:rPr>
          <w:rStyle w:val="FootnoteReference"/>
          <w:rFonts w:ascii="Times New Roman" w:hAnsi="Times New Roman" w:cs="Times New Roman"/>
          <w:bCs/>
          <w:sz w:val="24"/>
          <w:szCs w:val="24"/>
          <w:lang w:val="bg-BG"/>
        </w:rPr>
        <w:footnoteReference w:id="32"/>
      </w:r>
      <w:r w:rsidR="00345AB3" w:rsidRPr="00610B1B">
        <w:rPr>
          <w:rFonts w:ascii="Times New Roman" w:hAnsi="Times New Roman" w:cs="Times New Roman"/>
          <w:bCs/>
          <w:sz w:val="24"/>
          <w:szCs w:val="24"/>
          <w:lang w:val="bg-BG"/>
        </w:rPr>
        <w:t xml:space="preserve"> и Програма от</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мерки </w:t>
      </w:r>
      <w:r w:rsidR="00345AB3" w:rsidRPr="00610B1B">
        <w:rPr>
          <w:rFonts w:ascii="Times New Roman" w:hAnsi="Times New Roman" w:cs="Times New Roman"/>
          <w:bCs/>
          <w:sz w:val="24"/>
          <w:szCs w:val="24"/>
          <w:lang w:val="bg-BG"/>
        </w:rPr>
        <w:t>за периода 2016 – 2021 г.</w:t>
      </w:r>
      <w:r w:rsidR="00345AB3" w:rsidRPr="00610B1B">
        <w:rPr>
          <w:rStyle w:val="FootnoteReference"/>
          <w:rFonts w:ascii="Times New Roman" w:hAnsi="Times New Roman" w:cs="Times New Roman"/>
          <w:bCs/>
          <w:sz w:val="24"/>
          <w:szCs w:val="24"/>
          <w:lang w:val="bg-BG"/>
        </w:rPr>
        <w:footnoteReference w:id="33"/>
      </w:r>
      <w:r w:rsidR="00345AB3" w:rsidRPr="00610B1B">
        <w:rPr>
          <w:rFonts w:ascii="Times New Roman" w:hAnsi="Times New Roman" w:cs="Times New Roman"/>
          <w:bCs/>
          <w:sz w:val="24"/>
          <w:szCs w:val="24"/>
          <w:lang w:val="bg-BG"/>
        </w:rPr>
        <w:t xml:space="preserve"> Морският пространствен план на Р. България възприема екосистемния подход и използва дескрипторите от националната морска стратегия за да проследи екологичното състояние на морската среда и </w:t>
      </w:r>
      <w:r w:rsidR="00A065D0" w:rsidRPr="00610B1B">
        <w:rPr>
          <w:rFonts w:ascii="Times New Roman" w:hAnsi="Times New Roman" w:cs="Times New Roman"/>
          <w:bCs/>
          <w:sz w:val="24"/>
          <w:szCs w:val="24"/>
          <w:lang w:val="bg-BG"/>
        </w:rPr>
        <w:t xml:space="preserve">да </w:t>
      </w:r>
      <w:r w:rsidR="00345AB3" w:rsidRPr="00610B1B">
        <w:rPr>
          <w:rFonts w:ascii="Times New Roman" w:hAnsi="Times New Roman" w:cs="Times New Roman"/>
          <w:bCs/>
          <w:sz w:val="24"/>
          <w:szCs w:val="24"/>
          <w:lang w:val="bg-BG"/>
        </w:rPr>
        <w:t>анализира резултатите от ежегодния мониторинг.</w:t>
      </w:r>
    </w:p>
    <w:p w14:paraId="4C34176C" w14:textId="651308AE" w:rsidR="00345AB3" w:rsidRPr="00610B1B" w:rsidRDefault="00345AB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Директива 2000/60/ЕO</w:t>
      </w:r>
      <w:r w:rsidRPr="00610B1B">
        <w:rPr>
          <w:rFonts w:ascii="Times New Roman" w:hAnsi="Times New Roman" w:cs="Times New Roman"/>
          <w:bCs/>
          <w:sz w:val="24"/>
          <w:szCs w:val="24"/>
          <w:lang w:val="bg-BG"/>
        </w:rPr>
        <w:t xml:space="preserve"> на Европейския Парламент и на Съвета от 23 октомври 2000 г. за установяване на рамка за действията на Общността в областта на политиката за водите (Рамковата директива за водите, РДВ)</w:t>
      </w:r>
      <w:r w:rsidR="007F4D0C" w:rsidRPr="00610B1B">
        <w:rPr>
          <w:rStyle w:val="FootnoteReference"/>
          <w:rFonts w:ascii="Times New Roman" w:hAnsi="Times New Roman" w:cs="Times New Roman"/>
          <w:bCs/>
          <w:sz w:val="24"/>
          <w:szCs w:val="24"/>
          <w:lang w:val="bg-BG"/>
        </w:rPr>
        <w:footnoteReference w:id="34"/>
      </w:r>
      <w:r w:rsidRPr="00610B1B">
        <w:rPr>
          <w:rFonts w:ascii="Times New Roman" w:hAnsi="Times New Roman" w:cs="Times New Roman"/>
          <w:bCs/>
          <w:sz w:val="24"/>
          <w:szCs w:val="24"/>
          <w:lang w:val="bg-BG"/>
        </w:rPr>
        <w:t xml:space="preserve"> има за цел опазването на вътрешно-териториалните повърхностни води, преходните води, крайбрежните води и подземните води, подобряването на техните качества, състоянието на водните екосистеми, подпомага устойчивото използване на водите на база дългосрочно опазване на наличните водни ресурси и намаляването на въздействията от промените </w:t>
      </w:r>
      <w:r w:rsidR="00FB3133" w:rsidRPr="00610B1B">
        <w:rPr>
          <w:rFonts w:ascii="Times New Roman" w:hAnsi="Times New Roman" w:cs="Times New Roman"/>
          <w:bCs/>
          <w:sz w:val="24"/>
          <w:szCs w:val="24"/>
          <w:lang w:val="bg-BG"/>
        </w:rPr>
        <w:t>на</w:t>
      </w:r>
      <w:r w:rsidRPr="00610B1B">
        <w:rPr>
          <w:rFonts w:ascii="Times New Roman" w:hAnsi="Times New Roman" w:cs="Times New Roman"/>
          <w:bCs/>
          <w:sz w:val="24"/>
          <w:szCs w:val="24"/>
          <w:lang w:val="bg-BG"/>
        </w:rPr>
        <w:t xml:space="preserve"> климата с периодите на засушавания и наводнения. </w:t>
      </w:r>
    </w:p>
    <w:p w14:paraId="767ED0EB" w14:textId="76596B5F" w:rsidR="00345AB3" w:rsidRPr="00610B1B" w:rsidRDefault="00345AB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Директивата </w:t>
      </w:r>
      <w:r w:rsidR="00FB3133" w:rsidRPr="00610B1B">
        <w:rPr>
          <w:rFonts w:ascii="Times New Roman" w:hAnsi="Times New Roman" w:cs="Times New Roman"/>
          <w:bCs/>
          <w:sz w:val="24"/>
          <w:szCs w:val="24"/>
          <w:lang w:val="bg-BG"/>
        </w:rPr>
        <w:t xml:space="preserve">определя обхвата на крайбрежните повърхностни води и </w:t>
      </w:r>
      <w:r w:rsidRPr="00610B1B">
        <w:rPr>
          <w:rFonts w:ascii="Times New Roman" w:hAnsi="Times New Roman" w:cs="Times New Roman"/>
          <w:bCs/>
          <w:sz w:val="24"/>
          <w:szCs w:val="24"/>
          <w:lang w:val="bg-BG"/>
        </w:rPr>
        <w:t xml:space="preserve">съдържа разпоредби, приложими за </w:t>
      </w:r>
      <w:r w:rsidR="00FB3133" w:rsidRPr="00610B1B">
        <w:rPr>
          <w:rFonts w:ascii="Times New Roman" w:hAnsi="Times New Roman" w:cs="Times New Roman"/>
          <w:bCs/>
          <w:sz w:val="24"/>
          <w:szCs w:val="24"/>
          <w:lang w:val="bg-BG"/>
        </w:rPr>
        <w:t>тях</w:t>
      </w:r>
      <w:r w:rsidRPr="00610B1B">
        <w:rPr>
          <w:rFonts w:ascii="Times New Roman" w:hAnsi="Times New Roman" w:cs="Times New Roman"/>
          <w:bCs/>
          <w:sz w:val="24"/>
          <w:szCs w:val="24"/>
          <w:lang w:val="bg-BG"/>
        </w:rPr>
        <w:t xml:space="preserve">. Тя изисква от държавите-членки да изработят планове за управление на речните басейни (ПУРБ) и определя съдържанието </w:t>
      </w:r>
      <w:r w:rsidR="00AB3B7E" w:rsidRPr="00610B1B">
        <w:rPr>
          <w:rFonts w:ascii="Times New Roman" w:hAnsi="Times New Roman" w:cs="Times New Roman"/>
          <w:bCs/>
          <w:sz w:val="24"/>
          <w:szCs w:val="24"/>
          <w:lang w:val="bg-BG"/>
        </w:rPr>
        <w:t>им</w:t>
      </w:r>
      <w:r w:rsidRPr="00610B1B">
        <w:rPr>
          <w:rFonts w:ascii="Times New Roman" w:hAnsi="Times New Roman" w:cs="Times New Roman"/>
          <w:bCs/>
          <w:sz w:val="24"/>
          <w:szCs w:val="24"/>
          <w:lang w:val="bg-BG"/>
        </w:rPr>
        <w:t xml:space="preserve">. Директивата е транспонирана </w:t>
      </w:r>
      <w:r w:rsidR="00AB3B7E" w:rsidRPr="00610B1B">
        <w:rPr>
          <w:rFonts w:ascii="Times New Roman" w:hAnsi="Times New Roman" w:cs="Times New Roman"/>
          <w:bCs/>
          <w:sz w:val="24"/>
          <w:szCs w:val="24"/>
          <w:lang w:val="bg-BG"/>
        </w:rPr>
        <w:t xml:space="preserve">в </w:t>
      </w:r>
      <w:r w:rsidR="00DB0FAB" w:rsidRPr="00610B1B">
        <w:rPr>
          <w:rFonts w:ascii="Times New Roman" w:hAnsi="Times New Roman" w:cs="Times New Roman"/>
          <w:bCs/>
          <w:sz w:val="24"/>
          <w:szCs w:val="24"/>
          <w:lang w:val="bg-BG"/>
        </w:rPr>
        <w:t>България</w:t>
      </w:r>
      <w:r w:rsidR="00AB3B7E" w:rsidRPr="00610B1B">
        <w:rPr>
          <w:rFonts w:ascii="Times New Roman" w:hAnsi="Times New Roman" w:cs="Times New Roman"/>
          <w:bCs/>
          <w:sz w:val="24"/>
          <w:szCs w:val="24"/>
          <w:lang w:val="bg-BG"/>
        </w:rPr>
        <w:t xml:space="preserve"> чрез</w:t>
      </w:r>
      <w:r w:rsidRPr="00610B1B">
        <w:rPr>
          <w:rFonts w:ascii="Times New Roman" w:hAnsi="Times New Roman" w:cs="Times New Roman"/>
          <w:bCs/>
          <w:sz w:val="24"/>
          <w:szCs w:val="24"/>
          <w:lang w:val="bg-BG"/>
        </w:rPr>
        <w:t xml:space="preserve"> Закона за водите (обн. ДВ бр. 67/1999 г.). Планове за управление на речните басейни са изготвени за четирите </w:t>
      </w:r>
      <w:r w:rsidR="00AB3B7E" w:rsidRPr="00610B1B">
        <w:rPr>
          <w:rFonts w:ascii="Times New Roman" w:hAnsi="Times New Roman" w:cs="Times New Roman"/>
          <w:bCs/>
          <w:sz w:val="24"/>
          <w:szCs w:val="24"/>
          <w:lang w:val="bg-BG"/>
        </w:rPr>
        <w:t>района</w:t>
      </w:r>
      <w:r w:rsidRPr="00610B1B">
        <w:rPr>
          <w:rFonts w:ascii="Times New Roman" w:hAnsi="Times New Roman" w:cs="Times New Roman"/>
          <w:bCs/>
          <w:sz w:val="24"/>
          <w:szCs w:val="24"/>
          <w:lang w:val="bg-BG"/>
        </w:rPr>
        <w:t xml:space="preserve"> в България, единият от които е за Черноморския район за басейново управление на водите за периода 2016–2021</w:t>
      </w:r>
      <w:r w:rsidR="00DE3A13"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г., приет с Решение на МС </w:t>
      </w:r>
      <w:r w:rsidR="00625BCA"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1107/29.12.2016 г. Към него е изготвена Екологична оценка и Програма от мерки.</w:t>
      </w:r>
      <w:r w:rsidR="00FB3133" w:rsidRPr="00610B1B">
        <w:rPr>
          <w:rFonts w:ascii="Times New Roman" w:hAnsi="Times New Roman" w:cs="Times New Roman"/>
          <w:bCs/>
          <w:sz w:val="24"/>
          <w:szCs w:val="24"/>
          <w:lang w:val="bg-BG"/>
        </w:rPr>
        <w:t xml:space="preserve"> </w:t>
      </w:r>
    </w:p>
    <w:p w14:paraId="1D7A5403" w14:textId="36A277F8" w:rsidR="00345AB3" w:rsidRPr="00610B1B" w:rsidRDefault="00345AB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Директива 92/43/EИО</w:t>
      </w:r>
      <w:r w:rsidRPr="00610B1B">
        <w:rPr>
          <w:rFonts w:ascii="Times New Roman" w:hAnsi="Times New Roman" w:cs="Times New Roman"/>
          <w:bCs/>
          <w:sz w:val="24"/>
          <w:szCs w:val="24"/>
          <w:lang w:val="bg-BG"/>
        </w:rPr>
        <w:t xml:space="preserve"> на Съвета от 21 май 1992 г. за опазване на естествените местообитания и на дивата флора и фауна (Директива за хабитатите) и </w:t>
      </w:r>
      <w:r w:rsidR="00625BCA" w:rsidRPr="00610B1B">
        <w:rPr>
          <w:rFonts w:ascii="Times New Roman" w:hAnsi="Times New Roman" w:cs="Times New Roman"/>
          <w:b/>
          <w:sz w:val="24"/>
          <w:szCs w:val="24"/>
          <w:lang w:val="bg-BG"/>
        </w:rPr>
        <w:t xml:space="preserve">Директива 2009/147/ЕО </w:t>
      </w:r>
      <w:r w:rsidR="00625BCA" w:rsidRPr="00610B1B">
        <w:rPr>
          <w:rFonts w:ascii="Times New Roman" w:hAnsi="Times New Roman" w:cs="Times New Roman"/>
          <w:bCs/>
          <w:sz w:val="24"/>
          <w:szCs w:val="24"/>
          <w:lang w:val="bg-BG"/>
        </w:rPr>
        <w:t>на Европейския парламент и на Съвета от 30 ноември 2009 година относно опазването на дивите птици</w:t>
      </w:r>
      <w:r w:rsidRPr="00610B1B">
        <w:rPr>
          <w:rFonts w:ascii="Times New Roman" w:hAnsi="Times New Roman" w:cs="Times New Roman"/>
          <w:bCs/>
          <w:sz w:val="24"/>
          <w:szCs w:val="24"/>
          <w:lang w:val="bg-BG"/>
        </w:rPr>
        <w:t xml:space="preserve"> (Директива за птиците) са два документа, свързани с поетите международни ангажименти на Европейския съюз за опазване на биологичното разнообразие. </w:t>
      </w:r>
      <w:r w:rsidR="00FB3133" w:rsidRPr="00610B1B">
        <w:rPr>
          <w:rFonts w:ascii="Times New Roman" w:hAnsi="Times New Roman" w:cs="Times New Roman"/>
          <w:bCs/>
          <w:sz w:val="24"/>
          <w:szCs w:val="24"/>
          <w:lang w:val="bg-BG"/>
        </w:rPr>
        <w:t xml:space="preserve">Те </w:t>
      </w:r>
      <w:r w:rsidRPr="00610B1B">
        <w:rPr>
          <w:rFonts w:ascii="Times New Roman" w:hAnsi="Times New Roman" w:cs="Times New Roman"/>
          <w:bCs/>
          <w:sz w:val="24"/>
          <w:szCs w:val="24"/>
          <w:lang w:val="bg-BG"/>
        </w:rPr>
        <w:t xml:space="preserve">поставят изискване държавите да определят защитени зони за опазване и съхраняване на местните видове, както и естествените им райони. </w:t>
      </w:r>
      <w:r w:rsidR="00FB3133" w:rsidRPr="00610B1B">
        <w:rPr>
          <w:rFonts w:ascii="Times New Roman" w:hAnsi="Times New Roman" w:cs="Times New Roman"/>
          <w:bCs/>
          <w:sz w:val="24"/>
          <w:szCs w:val="24"/>
          <w:lang w:val="bg-BG"/>
        </w:rPr>
        <w:t>Директивите се</w:t>
      </w:r>
      <w:r w:rsidRPr="00610B1B">
        <w:rPr>
          <w:rFonts w:ascii="Times New Roman" w:hAnsi="Times New Roman" w:cs="Times New Roman"/>
          <w:bCs/>
          <w:sz w:val="24"/>
          <w:szCs w:val="24"/>
          <w:lang w:val="bg-BG"/>
        </w:rPr>
        <w:t xml:space="preserve"> прилагат и в управлението и опазването на морската среда. С</w:t>
      </w:r>
      <w:r w:rsidR="00FB3133" w:rsidRPr="00610B1B">
        <w:rPr>
          <w:rFonts w:ascii="Times New Roman" w:hAnsi="Times New Roman" w:cs="Times New Roman"/>
          <w:bCs/>
          <w:sz w:val="24"/>
          <w:szCs w:val="24"/>
          <w:lang w:val="bg-BG"/>
        </w:rPr>
        <w:t>ъгласно двата документа</w:t>
      </w:r>
      <w:r w:rsidRPr="00610B1B">
        <w:rPr>
          <w:rFonts w:ascii="Times New Roman" w:hAnsi="Times New Roman" w:cs="Times New Roman"/>
          <w:bCs/>
          <w:sz w:val="24"/>
          <w:szCs w:val="24"/>
          <w:lang w:val="bg-BG"/>
        </w:rPr>
        <w:t xml:space="preserve"> страните членки на ЕС поставят под защита ча</w:t>
      </w:r>
      <w:r w:rsidR="00126AA7" w:rsidRPr="00610B1B">
        <w:rPr>
          <w:rFonts w:ascii="Times New Roman" w:hAnsi="Times New Roman" w:cs="Times New Roman"/>
          <w:bCs/>
          <w:sz w:val="24"/>
          <w:szCs w:val="24"/>
          <w:lang w:val="bg-BG"/>
        </w:rPr>
        <w:t xml:space="preserve">ст от морските си пространства. </w:t>
      </w:r>
      <w:r w:rsidRPr="00610B1B">
        <w:rPr>
          <w:rFonts w:ascii="Times New Roman" w:hAnsi="Times New Roman" w:cs="Times New Roman"/>
          <w:bCs/>
          <w:sz w:val="24"/>
          <w:szCs w:val="24"/>
          <w:lang w:val="bg-BG"/>
        </w:rPr>
        <w:t xml:space="preserve">Транспонирайки директивите в националното законодателство България определя </w:t>
      </w:r>
      <w:r w:rsidRPr="00610B1B">
        <w:rPr>
          <w:rFonts w:ascii="Times New Roman" w:hAnsi="Times New Roman" w:cs="Times New Roman"/>
          <w:bCs/>
          <w:sz w:val="24"/>
          <w:szCs w:val="24"/>
          <w:lang w:val="bg-BG"/>
        </w:rPr>
        <w:lastRenderedPageBreak/>
        <w:t>обхвата на защитените зони Натура 2000 в Черно море и разширява Националната екологична мрежа.</w:t>
      </w:r>
    </w:p>
    <w:p w14:paraId="18B83E82" w14:textId="29D12F75" w:rsidR="00345AB3" w:rsidRPr="00610B1B" w:rsidRDefault="00345AB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Директива 2001/42/ЕО</w:t>
      </w:r>
      <w:r w:rsidRPr="00610B1B">
        <w:rPr>
          <w:rFonts w:ascii="Times New Roman" w:hAnsi="Times New Roman" w:cs="Times New Roman"/>
          <w:bCs/>
          <w:sz w:val="24"/>
          <w:szCs w:val="24"/>
          <w:lang w:val="bg-BG"/>
        </w:rPr>
        <w:t xml:space="preserve"> на Европейския парламент и на Съвета от 27 юни 2001 г. относно оценката на последиците на някои планове и програми върху околната среда цели да допринесе за интегрирането на планове и програми с опазването на околната среда.</w:t>
      </w:r>
      <w:r w:rsidR="00D66FE0" w:rsidRPr="00610B1B">
        <w:rPr>
          <w:rFonts w:ascii="Times New Roman" w:hAnsi="Times New Roman" w:cs="Times New Roman"/>
          <w:bCs/>
          <w:sz w:val="24"/>
          <w:szCs w:val="24"/>
          <w:lang w:val="bg-BG"/>
        </w:rPr>
        <w:t xml:space="preserve"> </w:t>
      </w:r>
      <w:r w:rsidR="00994F47" w:rsidRPr="00610B1B">
        <w:rPr>
          <w:rFonts w:ascii="Times New Roman" w:hAnsi="Times New Roman" w:cs="Times New Roman"/>
          <w:bCs/>
          <w:sz w:val="24"/>
          <w:szCs w:val="24"/>
          <w:lang w:val="bg-BG"/>
        </w:rPr>
        <w:t>По силата на тази директива Мор</w:t>
      </w:r>
      <w:r w:rsidR="009D7952" w:rsidRPr="00610B1B">
        <w:rPr>
          <w:rFonts w:ascii="Times New Roman" w:hAnsi="Times New Roman" w:cs="Times New Roman"/>
          <w:bCs/>
          <w:sz w:val="24"/>
          <w:szCs w:val="24"/>
          <w:lang w:val="bg-BG"/>
        </w:rPr>
        <w:t>с</w:t>
      </w:r>
      <w:r w:rsidR="00994F47" w:rsidRPr="00610B1B">
        <w:rPr>
          <w:rFonts w:ascii="Times New Roman" w:hAnsi="Times New Roman" w:cs="Times New Roman"/>
          <w:bCs/>
          <w:sz w:val="24"/>
          <w:szCs w:val="24"/>
          <w:lang w:val="bg-BG"/>
        </w:rPr>
        <w:t xml:space="preserve">ките пространствени планове подлежат на задължителна екологична оценка, което се потвърждава и в разпоредбите на Директива 2014/89/ЕС. </w:t>
      </w:r>
      <w:r w:rsidRPr="00610B1B">
        <w:rPr>
          <w:rFonts w:ascii="Times New Roman" w:hAnsi="Times New Roman" w:cs="Times New Roman"/>
          <w:bCs/>
          <w:sz w:val="24"/>
          <w:szCs w:val="24"/>
          <w:lang w:val="bg-BG"/>
        </w:rPr>
        <w:t>Директивата третира и въпросите, свързани с Конвенцията за оценка на въздействието върху околната среда в трансграничен контекст на Икономическата комисия на ООН за Европа от 25 февруари 1991 г. Това означава</w:t>
      </w:r>
      <w:r w:rsidR="00EA2980"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че националния</w:t>
      </w:r>
      <w:r w:rsidR="00994F47" w:rsidRPr="00610B1B">
        <w:rPr>
          <w:rFonts w:ascii="Times New Roman" w:hAnsi="Times New Roman" w:cs="Times New Roman"/>
          <w:bCs/>
          <w:sz w:val="24"/>
          <w:szCs w:val="24"/>
          <w:lang w:val="bg-BG"/>
        </w:rPr>
        <w:t>т</w:t>
      </w:r>
      <w:r w:rsidRPr="00610B1B">
        <w:rPr>
          <w:rFonts w:ascii="Times New Roman" w:hAnsi="Times New Roman" w:cs="Times New Roman"/>
          <w:bCs/>
          <w:sz w:val="24"/>
          <w:szCs w:val="24"/>
          <w:lang w:val="bg-BG"/>
        </w:rPr>
        <w:t xml:space="preserve"> план за морско пространствено планиране подлежи на екологична оценка и на консултации със съседните страни в Черноморския регион.</w:t>
      </w:r>
      <w:r w:rsidR="00126AA7"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Директивата </w:t>
      </w:r>
      <w:r w:rsidR="00543E0C" w:rsidRPr="00610B1B">
        <w:rPr>
          <w:rFonts w:ascii="Times New Roman" w:hAnsi="Times New Roman" w:cs="Times New Roman"/>
          <w:bCs/>
          <w:sz w:val="24"/>
          <w:szCs w:val="24"/>
          <w:lang w:val="bg-BG"/>
        </w:rPr>
        <w:t xml:space="preserve">е </w:t>
      </w:r>
      <w:r w:rsidRPr="00610B1B">
        <w:rPr>
          <w:rFonts w:ascii="Times New Roman" w:hAnsi="Times New Roman" w:cs="Times New Roman"/>
          <w:bCs/>
          <w:sz w:val="24"/>
          <w:szCs w:val="24"/>
          <w:lang w:val="bg-BG"/>
        </w:rPr>
        <w:t>транспонирана у нас посредством Закона за опазване на околната среда (обн. ДВ бр. 91/2002 г.) и Наредбата за условията и реда за извършване на екологична оценка на планове и програми (обн. ДВ бр. 57/2004 г.).</w:t>
      </w:r>
    </w:p>
    <w:p w14:paraId="5F2CA62C" w14:textId="4E8AEF26" w:rsidR="000B73C4" w:rsidRPr="00610B1B" w:rsidRDefault="00126AA7" w:rsidP="00D32D6A">
      <w:pPr>
        <w:pStyle w:val="Heading4"/>
        <w:spacing w:before="0" w:line="276" w:lineRule="auto"/>
        <w:ind w:right="-153"/>
        <w:rPr>
          <w:rFonts w:cs="Times New Roman"/>
        </w:rPr>
      </w:pPr>
      <w:r w:rsidRPr="00610B1B">
        <w:rPr>
          <w:rFonts w:cs="Times New Roman"/>
        </w:rPr>
        <w:t>1.1</w:t>
      </w:r>
      <w:r w:rsidR="000B73C4" w:rsidRPr="00610B1B">
        <w:rPr>
          <w:rFonts w:cs="Times New Roman"/>
        </w:rPr>
        <w:t>.3.3 Регионални документи</w:t>
      </w:r>
    </w:p>
    <w:p w14:paraId="322CCE14" w14:textId="23D36FD1" w:rsidR="00126AA7" w:rsidRPr="00610B1B" w:rsidRDefault="000B73C4"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b/>
          <w:bCs/>
          <w:sz w:val="24"/>
          <w:szCs w:val="24"/>
          <w:lang w:val="bg-BG"/>
        </w:rPr>
        <w:t>Конвенцията за опазване на Черно море от замърсяване</w:t>
      </w:r>
      <w:r w:rsidR="00126AA7" w:rsidRPr="00610B1B">
        <w:rPr>
          <w:rFonts w:ascii="Times New Roman" w:eastAsia="Arial Unicode MS" w:hAnsi="Times New Roman" w:cs="Times New Roman"/>
          <w:bCs/>
          <w:sz w:val="24"/>
          <w:szCs w:val="24"/>
          <w:lang w:val="bg-BG"/>
        </w:rPr>
        <w:t>,</w:t>
      </w:r>
      <w:r w:rsidRPr="00610B1B">
        <w:rPr>
          <w:rFonts w:ascii="Times New Roman" w:eastAsia="Arial Unicode MS" w:hAnsi="Times New Roman" w:cs="Times New Roman"/>
          <w:sz w:val="24"/>
          <w:szCs w:val="24"/>
          <w:lang w:val="bg-BG"/>
        </w:rPr>
        <w:t xml:space="preserve"> приета през 1992 г. в Букурещ</w:t>
      </w:r>
      <w:r w:rsidR="00126AA7" w:rsidRPr="00610B1B">
        <w:rPr>
          <w:rFonts w:ascii="Times New Roman" w:eastAsia="Arial Unicode MS" w:hAnsi="Times New Roman" w:cs="Times New Roman"/>
          <w:sz w:val="24"/>
          <w:szCs w:val="24"/>
          <w:lang w:val="bg-BG"/>
        </w:rPr>
        <w:t>,</w:t>
      </w:r>
      <w:r w:rsidRPr="00610B1B">
        <w:rPr>
          <w:rFonts w:ascii="Times New Roman" w:eastAsia="Arial Unicode MS" w:hAnsi="Times New Roman" w:cs="Times New Roman"/>
          <w:sz w:val="24"/>
          <w:szCs w:val="24"/>
          <w:lang w:val="bg-BG"/>
        </w:rPr>
        <w:t xml:space="preserve"> отразява постановките от предходни международни документи за ограничаване на замърсяванията, приети в периода 1972–1990 г. Тя се прилага за Черно море с определена за целта южна граница, представляваща линията, която свързва носовете Келагра и Далян.</w:t>
      </w:r>
      <w:r w:rsidRPr="00610B1B">
        <w:rPr>
          <w:rFonts w:ascii="Times New Roman" w:eastAsia="Arial Unicode MS" w:hAnsi="Times New Roman" w:cs="Times New Roman"/>
          <w:sz w:val="24"/>
          <w:szCs w:val="24"/>
          <w:vertAlign w:val="superscript"/>
          <w:lang w:val="bg-BG"/>
        </w:rPr>
        <w:footnoteReference w:id="35"/>
      </w:r>
      <w:r w:rsidRPr="00610B1B">
        <w:rPr>
          <w:rFonts w:ascii="Times New Roman" w:eastAsia="Arial Unicode MS" w:hAnsi="Times New Roman" w:cs="Times New Roman"/>
          <w:sz w:val="24"/>
          <w:szCs w:val="24"/>
          <w:lang w:val="bg-BG"/>
        </w:rPr>
        <w:t xml:space="preserve"> (чл. 1. ал. 1). Документът разглежда замърсяването от дейности на сушата, в морето и континенталния шелф, от кораби, дъмпинг или трансграничен пренос на опасни вещества. Страните по конвенцията си сътрудничат помежду си и с други страни за установяване на подходящи научни критерии за определяне на правила, стандарти, препоръчителни практики и процедури за предотвратяване, намаляване и контрол на замърсяването на морската среда на Черно море</w:t>
      </w:r>
      <w:r w:rsidRPr="00610B1B">
        <w:rPr>
          <w:rFonts w:ascii="Times New Roman" w:eastAsia="Arial Unicode MS" w:hAnsi="Times New Roman" w:cs="Times New Roman"/>
          <w:sz w:val="24"/>
          <w:szCs w:val="24"/>
          <w:vertAlign w:val="superscript"/>
          <w:lang w:val="bg-BG"/>
        </w:rPr>
        <w:footnoteReference w:id="36"/>
      </w:r>
      <w:r w:rsidRPr="00610B1B">
        <w:rPr>
          <w:rFonts w:ascii="Times New Roman" w:eastAsia="Arial Unicode MS" w:hAnsi="Times New Roman" w:cs="Times New Roman"/>
          <w:sz w:val="24"/>
          <w:szCs w:val="24"/>
          <w:lang w:val="bg-BG"/>
        </w:rPr>
        <w:t>. За постигане на</w:t>
      </w:r>
      <w:r w:rsidR="00E42AC4" w:rsidRPr="00610B1B">
        <w:rPr>
          <w:rFonts w:ascii="Times New Roman" w:eastAsia="Arial Unicode MS" w:hAnsi="Times New Roman" w:cs="Times New Roman"/>
          <w:sz w:val="24"/>
          <w:szCs w:val="24"/>
          <w:lang w:val="bg-BG"/>
        </w:rPr>
        <w:t xml:space="preserve"> тези</w:t>
      </w:r>
      <w:r w:rsidRPr="00610B1B">
        <w:rPr>
          <w:rFonts w:ascii="Times New Roman" w:eastAsia="Arial Unicode MS" w:hAnsi="Times New Roman" w:cs="Times New Roman"/>
          <w:sz w:val="24"/>
          <w:szCs w:val="24"/>
          <w:lang w:val="bg-BG"/>
        </w:rPr>
        <w:t xml:space="preserve"> цели е учредена Комисия по опазване на Черно море от замърсяване, в която са представени всички държави, страни по конвенцията. Към нея имат право да се присъединят и държави</w:t>
      </w:r>
      <w:r w:rsidR="006F54EE" w:rsidRPr="00610B1B">
        <w:rPr>
          <w:rFonts w:ascii="Times New Roman" w:eastAsia="Arial Unicode MS" w:hAnsi="Times New Roman" w:cs="Times New Roman"/>
          <w:sz w:val="24"/>
          <w:szCs w:val="24"/>
          <w:lang w:val="bg-BG"/>
        </w:rPr>
        <w:t xml:space="preserve"> без</w:t>
      </w:r>
      <w:r w:rsidRPr="00610B1B">
        <w:rPr>
          <w:rFonts w:ascii="Times New Roman" w:eastAsia="Arial Unicode MS" w:hAnsi="Times New Roman" w:cs="Times New Roman"/>
          <w:sz w:val="24"/>
          <w:szCs w:val="24"/>
          <w:lang w:val="bg-BG"/>
        </w:rPr>
        <w:t xml:space="preserve"> излаз на Черно море. Ратифицираният от Република България документ е обнародван в ДВ. бр.49/17.06.1994 г. </w:t>
      </w:r>
      <w:r w:rsidR="00126AA7" w:rsidRPr="00610B1B">
        <w:rPr>
          <w:rFonts w:ascii="Times New Roman" w:eastAsia="Arial Unicode MS" w:hAnsi="Times New Roman" w:cs="Times New Roman"/>
          <w:sz w:val="24"/>
          <w:szCs w:val="24"/>
          <w:lang w:val="bg-BG"/>
        </w:rPr>
        <w:t xml:space="preserve">През 2009 г. в София се приема Стратегически план за действие за опазване и възстановяване на Черно море, който изисква отчитане на дейността в крайбрежните зони и въздействието им върху състоянието на морската среда. През 2018 г. в Бургас се приема Визия за иновативен и интелигентен син растеж. </w:t>
      </w:r>
    </w:p>
    <w:p w14:paraId="636D1BF9" w14:textId="0CF9835B" w:rsidR="000B73C4" w:rsidRPr="00610B1B" w:rsidRDefault="00126AA7" w:rsidP="00D32D6A">
      <w:pPr>
        <w:widowControl w:val="0"/>
        <w:spacing w:after="120"/>
        <w:ind w:right="-153"/>
        <w:jc w:val="both"/>
        <w:rPr>
          <w:rFonts w:ascii="Times New Roman" w:eastAsia="Arial Unicode MS" w:hAnsi="Times New Roman" w:cs="Times New Roman"/>
          <w:sz w:val="24"/>
          <w:szCs w:val="24"/>
          <w:lang w:val="bg-BG"/>
        </w:rPr>
      </w:pPr>
      <w:r w:rsidRPr="00610B1B">
        <w:rPr>
          <w:rFonts w:ascii="Times New Roman" w:eastAsia="Arial Unicode MS" w:hAnsi="Times New Roman" w:cs="Times New Roman"/>
          <w:sz w:val="24"/>
          <w:szCs w:val="24"/>
          <w:lang w:val="bg-BG"/>
        </w:rPr>
        <w:t xml:space="preserve">Всички </w:t>
      </w:r>
      <w:r w:rsidR="00DC1E0D" w:rsidRPr="00610B1B">
        <w:rPr>
          <w:rFonts w:ascii="Times New Roman" w:eastAsia="Arial Unicode MS" w:hAnsi="Times New Roman" w:cs="Times New Roman"/>
          <w:sz w:val="24"/>
          <w:szCs w:val="24"/>
          <w:lang w:val="bg-BG"/>
        </w:rPr>
        <w:t xml:space="preserve">тези </w:t>
      </w:r>
      <w:r w:rsidRPr="00610B1B">
        <w:rPr>
          <w:rFonts w:ascii="Times New Roman" w:eastAsia="Arial Unicode MS" w:hAnsi="Times New Roman" w:cs="Times New Roman"/>
          <w:sz w:val="24"/>
          <w:szCs w:val="24"/>
          <w:lang w:val="bg-BG"/>
        </w:rPr>
        <w:t>важни международни, общностни, регионални, национални законодателни и стратегически документи</w:t>
      </w:r>
      <w:r w:rsidR="00DC1E0D" w:rsidRPr="00610B1B">
        <w:rPr>
          <w:rFonts w:ascii="Times New Roman" w:eastAsia="Arial Unicode MS" w:hAnsi="Times New Roman" w:cs="Times New Roman"/>
          <w:sz w:val="24"/>
          <w:szCs w:val="24"/>
          <w:lang w:val="bg-BG"/>
        </w:rPr>
        <w:t xml:space="preserve"> </w:t>
      </w:r>
      <w:r w:rsidRPr="00610B1B">
        <w:rPr>
          <w:rFonts w:ascii="Times New Roman" w:eastAsia="Arial Unicode MS" w:hAnsi="Times New Roman" w:cs="Times New Roman"/>
          <w:sz w:val="24"/>
          <w:szCs w:val="24"/>
          <w:lang w:val="bg-BG"/>
        </w:rPr>
        <w:t>са в основата на прогнозните предвиждания на морския пространствен план на Р. България.</w:t>
      </w:r>
      <w:r w:rsidR="000B73C4" w:rsidRPr="00610B1B">
        <w:rPr>
          <w:rFonts w:ascii="Times New Roman" w:eastAsia="Arial Unicode MS" w:hAnsi="Times New Roman" w:cs="Times New Roman"/>
          <w:sz w:val="24"/>
          <w:szCs w:val="24"/>
          <w:lang w:val="bg-BG"/>
        </w:rPr>
        <w:t xml:space="preserve"> </w:t>
      </w:r>
    </w:p>
    <w:p w14:paraId="7828D9D5" w14:textId="0BD40EA6" w:rsidR="00927AF9" w:rsidRPr="00610B1B" w:rsidRDefault="00126AA7" w:rsidP="00D32D6A">
      <w:pPr>
        <w:pStyle w:val="Heading4"/>
        <w:spacing w:before="0" w:line="276" w:lineRule="auto"/>
        <w:ind w:right="-153"/>
        <w:rPr>
          <w:rFonts w:cs="Times New Roman"/>
        </w:rPr>
      </w:pPr>
      <w:r w:rsidRPr="00610B1B">
        <w:rPr>
          <w:rFonts w:cs="Times New Roman"/>
        </w:rPr>
        <w:t>1.1</w:t>
      </w:r>
      <w:r w:rsidR="001D3664" w:rsidRPr="00610B1B">
        <w:rPr>
          <w:rFonts w:cs="Times New Roman"/>
        </w:rPr>
        <w:t>.3.4. Национални документи</w:t>
      </w:r>
    </w:p>
    <w:p w14:paraId="0E5D13B8" w14:textId="5D8D9F7D" w:rsidR="001D6DD8" w:rsidRPr="00610B1B" w:rsidRDefault="00994F4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От национал</w:t>
      </w:r>
      <w:r w:rsidR="00B24CCA" w:rsidRPr="00610B1B">
        <w:rPr>
          <w:rFonts w:ascii="Times New Roman" w:hAnsi="Times New Roman" w:cs="Times New Roman"/>
          <w:bCs/>
          <w:sz w:val="24"/>
          <w:szCs w:val="24"/>
          <w:lang w:val="bg-BG"/>
        </w:rPr>
        <w:t>ни</w:t>
      </w:r>
      <w:r w:rsidR="00543E0C" w:rsidRPr="00610B1B">
        <w:rPr>
          <w:rFonts w:ascii="Times New Roman" w:hAnsi="Times New Roman" w:cs="Times New Roman"/>
          <w:bCs/>
          <w:sz w:val="24"/>
          <w:szCs w:val="24"/>
          <w:lang w:val="bg-BG"/>
        </w:rPr>
        <w:t>те</w:t>
      </w:r>
      <w:r w:rsidR="00B24CCA" w:rsidRPr="00610B1B">
        <w:rPr>
          <w:rFonts w:ascii="Times New Roman" w:hAnsi="Times New Roman" w:cs="Times New Roman"/>
          <w:bCs/>
          <w:sz w:val="24"/>
          <w:szCs w:val="24"/>
          <w:lang w:val="bg-BG"/>
        </w:rPr>
        <w:t xml:space="preserve"> законови и подзаконови документи са разгледани само </w:t>
      </w:r>
      <w:r w:rsidR="003473EF" w:rsidRPr="00610B1B">
        <w:rPr>
          <w:rFonts w:ascii="Times New Roman" w:hAnsi="Times New Roman" w:cs="Times New Roman"/>
          <w:bCs/>
          <w:sz w:val="24"/>
          <w:szCs w:val="24"/>
          <w:lang w:val="bg-BG"/>
        </w:rPr>
        <w:t>онези, които имат</w:t>
      </w:r>
      <w:r w:rsidR="00543E0C" w:rsidRPr="00610B1B">
        <w:rPr>
          <w:rFonts w:ascii="Times New Roman" w:hAnsi="Times New Roman" w:cs="Times New Roman"/>
          <w:bCs/>
          <w:sz w:val="24"/>
          <w:szCs w:val="24"/>
          <w:lang w:val="bg-BG"/>
        </w:rPr>
        <w:t xml:space="preserve"> общо приложение </w:t>
      </w:r>
      <w:r w:rsidR="001D6DD8" w:rsidRPr="00610B1B">
        <w:rPr>
          <w:rFonts w:ascii="Times New Roman" w:hAnsi="Times New Roman" w:cs="Times New Roman"/>
          <w:bCs/>
          <w:sz w:val="24"/>
          <w:szCs w:val="24"/>
          <w:lang w:val="bg-BG"/>
        </w:rPr>
        <w:t>в</w:t>
      </w:r>
      <w:r w:rsidR="00543E0C" w:rsidRPr="00610B1B">
        <w:rPr>
          <w:rFonts w:ascii="Times New Roman" w:hAnsi="Times New Roman" w:cs="Times New Roman"/>
          <w:bCs/>
          <w:sz w:val="24"/>
          <w:szCs w:val="24"/>
          <w:lang w:val="bg-BG"/>
        </w:rPr>
        <w:t xml:space="preserve"> </w:t>
      </w:r>
      <w:r w:rsidR="00B24CCA" w:rsidRPr="00610B1B">
        <w:rPr>
          <w:rFonts w:ascii="Times New Roman" w:hAnsi="Times New Roman" w:cs="Times New Roman"/>
          <w:bCs/>
          <w:sz w:val="24"/>
          <w:szCs w:val="24"/>
          <w:lang w:val="bg-BG"/>
        </w:rPr>
        <w:t>морското пространствено планиране</w:t>
      </w:r>
      <w:r w:rsidR="003473EF" w:rsidRPr="00610B1B">
        <w:rPr>
          <w:rFonts w:ascii="Times New Roman" w:hAnsi="Times New Roman" w:cs="Times New Roman"/>
          <w:bCs/>
          <w:sz w:val="24"/>
          <w:szCs w:val="24"/>
          <w:lang w:val="bg-BG"/>
        </w:rPr>
        <w:t xml:space="preserve"> и </w:t>
      </w:r>
      <w:r w:rsidR="00B24CCA" w:rsidRPr="00610B1B">
        <w:rPr>
          <w:rFonts w:ascii="Times New Roman" w:hAnsi="Times New Roman" w:cs="Times New Roman"/>
          <w:bCs/>
          <w:sz w:val="24"/>
          <w:szCs w:val="24"/>
          <w:lang w:val="bg-BG"/>
        </w:rPr>
        <w:t>тр</w:t>
      </w:r>
      <w:r w:rsidR="00543E0C" w:rsidRPr="00610B1B">
        <w:rPr>
          <w:rFonts w:ascii="Times New Roman" w:hAnsi="Times New Roman" w:cs="Times New Roman"/>
          <w:bCs/>
          <w:sz w:val="24"/>
          <w:szCs w:val="24"/>
          <w:lang w:val="bg-BG"/>
        </w:rPr>
        <w:t>а</w:t>
      </w:r>
      <w:r w:rsidR="00B24CCA" w:rsidRPr="00610B1B">
        <w:rPr>
          <w:rFonts w:ascii="Times New Roman" w:hAnsi="Times New Roman" w:cs="Times New Roman"/>
          <w:bCs/>
          <w:sz w:val="24"/>
          <w:szCs w:val="24"/>
          <w:lang w:val="bg-BG"/>
        </w:rPr>
        <w:t>нспонира</w:t>
      </w:r>
      <w:r w:rsidR="003473EF" w:rsidRPr="00610B1B">
        <w:rPr>
          <w:rFonts w:ascii="Times New Roman" w:hAnsi="Times New Roman" w:cs="Times New Roman"/>
          <w:bCs/>
          <w:sz w:val="24"/>
          <w:szCs w:val="24"/>
          <w:lang w:val="bg-BG"/>
        </w:rPr>
        <w:t>т</w:t>
      </w:r>
      <w:r w:rsidR="00B24CCA" w:rsidRPr="00610B1B">
        <w:rPr>
          <w:rFonts w:ascii="Times New Roman" w:hAnsi="Times New Roman" w:cs="Times New Roman"/>
          <w:bCs/>
          <w:sz w:val="24"/>
          <w:szCs w:val="24"/>
          <w:lang w:val="bg-BG"/>
        </w:rPr>
        <w:t xml:space="preserve"> </w:t>
      </w:r>
      <w:r w:rsidR="001D6DD8" w:rsidRPr="00610B1B">
        <w:rPr>
          <w:rFonts w:ascii="Times New Roman" w:hAnsi="Times New Roman" w:cs="Times New Roman"/>
          <w:bCs/>
          <w:sz w:val="24"/>
          <w:szCs w:val="24"/>
          <w:lang w:val="bg-BG"/>
        </w:rPr>
        <w:t xml:space="preserve">цитираните </w:t>
      </w:r>
      <w:r w:rsidR="001D6DD8" w:rsidRPr="00610B1B">
        <w:rPr>
          <w:rFonts w:ascii="Times New Roman" w:hAnsi="Times New Roman" w:cs="Times New Roman"/>
          <w:bCs/>
          <w:sz w:val="24"/>
          <w:szCs w:val="24"/>
          <w:lang w:val="bg-BG"/>
        </w:rPr>
        <w:lastRenderedPageBreak/>
        <w:t xml:space="preserve">основополагащи конвенции и директиви. Специализираното законодателство </w:t>
      </w:r>
      <w:r w:rsidR="00E42AC4" w:rsidRPr="00610B1B">
        <w:rPr>
          <w:rFonts w:ascii="Times New Roman" w:hAnsi="Times New Roman" w:cs="Times New Roman"/>
          <w:bCs/>
          <w:sz w:val="24"/>
          <w:szCs w:val="24"/>
          <w:lang w:val="bg-BG"/>
        </w:rPr>
        <w:t>се анализира</w:t>
      </w:r>
      <w:r w:rsidR="001D6DD8" w:rsidRPr="00610B1B">
        <w:rPr>
          <w:rFonts w:ascii="Times New Roman" w:hAnsi="Times New Roman" w:cs="Times New Roman"/>
          <w:bCs/>
          <w:sz w:val="24"/>
          <w:szCs w:val="24"/>
          <w:lang w:val="bg-BG"/>
        </w:rPr>
        <w:t xml:space="preserve"> във връзка с развитието на съответния сектор. </w:t>
      </w:r>
    </w:p>
    <w:p w14:paraId="1948C463" w14:textId="1601E62D" w:rsidR="00294C28" w:rsidRPr="00610B1B" w:rsidRDefault="00294C28"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bCs/>
          <w:sz w:val="24"/>
          <w:szCs w:val="24"/>
          <w:lang w:val="bg-BG"/>
        </w:rPr>
        <w:t>Конституцията на Република България</w:t>
      </w:r>
      <w:r w:rsidRPr="00610B1B">
        <w:rPr>
          <w:rFonts w:ascii="Times New Roman" w:hAnsi="Times New Roman" w:cs="Times New Roman"/>
          <w:bCs/>
          <w:sz w:val="24"/>
          <w:szCs w:val="24"/>
          <w:lang w:val="bg-BG"/>
        </w:rPr>
        <w:t>, приета от Седмото Велико Народно Събрание определя</w:t>
      </w:r>
      <w:r w:rsidR="003473EF" w:rsidRPr="00610B1B">
        <w:rPr>
          <w:rFonts w:ascii="Times New Roman" w:hAnsi="Times New Roman" w:cs="Times New Roman"/>
          <w:bCs/>
          <w:sz w:val="24"/>
          <w:szCs w:val="24"/>
          <w:lang w:val="bg-BG"/>
        </w:rPr>
        <w:t xml:space="preserve"> правата на държавата върху </w:t>
      </w:r>
      <w:r w:rsidR="00A36D74" w:rsidRPr="00610B1B">
        <w:rPr>
          <w:rFonts w:ascii="Times New Roman" w:hAnsi="Times New Roman" w:cs="Times New Roman"/>
          <w:bCs/>
          <w:sz w:val="24"/>
          <w:szCs w:val="24"/>
          <w:lang w:val="bg-BG"/>
        </w:rPr>
        <w:t>крайбрежната плажна ивица, върху континенталния шелф и в изключителната икономическа зона за проучване, разработване, използване, опазване и стопанисване на биологичните, минералните и енергийните ресурси на тези морски пространства.</w:t>
      </w:r>
      <w:r w:rsidRPr="00610B1B">
        <w:rPr>
          <w:rStyle w:val="FootnoteReference"/>
          <w:rFonts w:ascii="Times New Roman" w:hAnsi="Times New Roman" w:cs="Times New Roman"/>
          <w:bCs/>
          <w:sz w:val="24"/>
          <w:szCs w:val="24"/>
          <w:lang w:val="bg-BG"/>
        </w:rPr>
        <w:footnoteReference w:id="37"/>
      </w:r>
    </w:p>
    <w:p w14:paraId="6D17C968" w14:textId="4A70275E" w:rsidR="00215939" w:rsidRPr="00610B1B" w:rsidRDefault="001D6DD8"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морските пространства, вътрешните водни пътища и пристанищата на Република България</w:t>
      </w:r>
      <w:r w:rsidRPr="00610B1B">
        <w:rPr>
          <w:rFonts w:ascii="Times New Roman" w:hAnsi="Times New Roman" w:cs="Times New Roman"/>
          <w:bCs/>
          <w:sz w:val="24"/>
          <w:szCs w:val="24"/>
          <w:lang w:val="bg-BG"/>
        </w:rPr>
        <w:t xml:space="preserve"> (ЗМПВВППРБ), обн. ДВ бр. 12/2000 г. изм</w:t>
      </w:r>
      <w:r w:rsidR="00E42AC4" w:rsidRPr="00610B1B">
        <w:rPr>
          <w:rFonts w:ascii="Times New Roman" w:hAnsi="Times New Roman" w:cs="Times New Roman"/>
          <w:bCs/>
          <w:sz w:val="24"/>
          <w:szCs w:val="24"/>
          <w:lang w:val="bg-BG"/>
        </w:rPr>
        <w:t>. и доп.</w:t>
      </w:r>
      <w:r w:rsidRPr="00610B1B">
        <w:rPr>
          <w:rFonts w:ascii="Times New Roman" w:hAnsi="Times New Roman" w:cs="Times New Roman"/>
          <w:bCs/>
          <w:sz w:val="24"/>
          <w:szCs w:val="24"/>
          <w:lang w:val="bg-BG"/>
        </w:rPr>
        <w:t xml:space="preserve"> ДВ бр. </w:t>
      </w:r>
      <w:r w:rsidR="00E42AC4" w:rsidRPr="00610B1B">
        <w:rPr>
          <w:rFonts w:ascii="Times New Roman" w:hAnsi="Times New Roman" w:cs="Times New Roman"/>
          <w:bCs/>
          <w:sz w:val="24"/>
          <w:szCs w:val="24"/>
          <w:lang w:val="bg-BG"/>
        </w:rPr>
        <w:t>2</w:t>
      </w:r>
      <w:r w:rsidRPr="00610B1B">
        <w:rPr>
          <w:rFonts w:ascii="Times New Roman" w:hAnsi="Times New Roman" w:cs="Times New Roman"/>
          <w:bCs/>
          <w:sz w:val="24"/>
          <w:szCs w:val="24"/>
          <w:lang w:val="bg-BG"/>
        </w:rPr>
        <w:t>8/</w:t>
      </w:r>
      <w:r w:rsidR="00E42AC4" w:rsidRPr="00610B1B">
        <w:rPr>
          <w:rFonts w:ascii="Times New Roman" w:hAnsi="Times New Roman" w:cs="Times New Roman"/>
          <w:bCs/>
          <w:sz w:val="24"/>
          <w:szCs w:val="24"/>
          <w:lang w:val="bg-BG"/>
        </w:rPr>
        <w:t>29</w:t>
      </w:r>
      <w:r w:rsidRPr="00610B1B">
        <w:rPr>
          <w:rFonts w:ascii="Times New Roman" w:hAnsi="Times New Roman" w:cs="Times New Roman"/>
          <w:bCs/>
          <w:sz w:val="24"/>
          <w:szCs w:val="24"/>
          <w:lang w:val="bg-BG"/>
        </w:rPr>
        <w:t>.0</w:t>
      </w:r>
      <w:r w:rsidR="00E42AC4" w:rsidRPr="00610B1B">
        <w:rPr>
          <w:rFonts w:ascii="Times New Roman" w:hAnsi="Times New Roman" w:cs="Times New Roman"/>
          <w:bCs/>
          <w:sz w:val="24"/>
          <w:szCs w:val="24"/>
          <w:lang w:val="bg-BG"/>
        </w:rPr>
        <w:t>3</w:t>
      </w:r>
      <w:r w:rsidRPr="00610B1B">
        <w:rPr>
          <w:rFonts w:ascii="Times New Roman" w:hAnsi="Times New Roman" w:cs="Times New Roman"/>
          <w:bCs/>
          <w:sz w:val="24"/>
          <w:szCs w:val="24"/>
          <w:lang w:val="bg-BG"/>
        </w:rPr>
        <w:t>.201</w:t>
      </w:r>
      <w:r w:rsidR="00E42AC4" w:rsidRPr="00610B1B">
        <w:rPr>
          <w:rFonts w:ascii="Times New Roman" w:hAnsi="Times New Roman" w:cs="Times New Roman"/>
          <w:bCs/>
          <w:sz w:val="24"/>
          <w:szCs w:val="24"/>
          <w:lang w:val="bg-BG"/>
        </w:rPr>
        <w:t>8 г.</w:t>
      </w:r>
      <w:r w:rsidRPr="00610B1B">
        <w:rPr>
          <w:rStyle w:val="FootnoteReference"/>
          <w:rFonts w:ascii="Times New Roman" w:hAnsi="Times New Roman" w:cs="Times New Roman"/>
          <w:bCs/>
          <w:sz w:val="24"/>
          <w:szCs w:val="24"/>
          <w:lang w:val="bg-BG"/>
        </w:rPr>
        <w:footnoteReference w:id="38"/>
      </w:r>
      <w:r w:rsidR="00823A0B" w:rsidRPr="00610B1B">
        <w:rPr>
          <w:rFonts w:ascii="Times New Roman" w:hAnsi="Times New Roman" w:cs="Times New Roman"/>
          <w:bCs/>
          <w:sz w:val="24"/>
          <w:szCs w:val="24"/>
          <w:lang w:val="bg-BG"/>
        </w:rPr>
        <w:t>,</w:t>
      </w:r>
      <w:r w:rsidR="00E42AC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урежда правния режим на морските пространства, вътрешните водни пътища и пристанищата на</w:t>
      </w:r>
      <w:r w:rsidR="005134FE" w:rsidRPr="00610B1B">
        <w:rPr>
          <w:rFonts w:ascii="Times New Roman" w:hAnsi="Times New Roman" w:cs="Times New Roman"/>
          <w:bCs/>
          <w:sz w:val="24"/>
          <w:szCs w:val="24"/>
          <w:lang w:val="bg-BG"/>
        </w:rPr>
        <w:t xml:space="preserve"> страната</w:t>
      </w:r>
      <w:r w:rsidRPr="00610B1B">
        <w:rPr>
          <w:rFonts w:ascii="Times New Roman" w:hAnsi="Times New Roman" w:cs="Times New Roman"/>
          <w:bCs/>
          <w:sz w:val="24"/>
          <w:szCs w:val="24"/>
          <w:lang w:val="bg-BG"/>
        </w:rPr>
        <w:t xml:space="preserve"> и има за водеща цел</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„опазването на морската и речната среда при корабоплаване и поддържането на екологичното равновесие”. Определенията за включените в морските пространства на България морски води следват изискванията на КООНМП</w:t>
      </w:r>
      <w:r w:rsidR="00215939" w:rsidRPr="00610B1B">
        <w:rPr>
          <w:rFonts w:ascii="Times New Roman" w:hAnsi="Times New Roman" w:cs="Times New Roman"/>
          <w:bCs/>
          <w:sz w:val="24"/>
          <w:szCs w:val="24"/>
          <w:lang w:val="bg-BG"/>
        </w:rPr>
        <w:t>. Морското пространствено планиране е инкорпорирано в Раздел VII. „Използване на морските пространства и опазване на морската среда“. С тези текстове от 2018 г. се регламентират правомощията на държавните органи, обхват</w:t>
      </w:r>
      <w:r w:rsidR="008C3197" w:rsidRPr="00610B1B">
        <w:rPr>
          <w:rFonts w:ascii="Times New Roman" w:hAnsi="Times New Roman" w:cs="Times New Roman"/>
          <w:bCs/>
          <w:sz w:val="24"/>
          <w:szCs w:val="24"/>
          <w:lang w:val="bg-BG"/>
        </w:rPr>
        <w:t>а и съдържанието</w:t>
      </w:r>
      <w:r w:rsidR="00215939" w:rsidRPr="00610B1B">
        <w:rPr>
          <w:rFonts w:ascii="Times New Roman" w:hAnsi="Times New Roman" w:cs="Times New Roman"/>
          <w:bCs/>
          <w:sz w:val="24"/>
          <w:szCs w:val="24"/>
          <w:lang w:val="bg-BG"/>
        </w:rPr>
        <w:t xml:space="preserve"> на морск</w:t>
      </w:r>
      <w:r w:rsidR="008C3197" w:rsidRPr="00610B1B">
        <w:rPr>
          <w:rFonts w:ascii="Times New Roman" w:hAnsi="Times New Roman" w:cs="Times New Roman"/>
          <w:bCs/>
          <w:sz w:val="24"/>
          <w:szCs w:val="24"/>
          <w:lang w:val="bg-BG"/>
        </w:rPr>
        <w:t>ия пространствен план</w:t>
      </w:r>
      <w:r w:rsidR="00215939" w:rsidRPr="00610B1B">
        <w:rPr>
          <w:rFonts w:ascii="Times New Roman" w:hAnsi="Times New Roman" w:cs="Times New Roman"/>
          <w:bCs/>
          <w:sz w:val="24"/>
          <w:szCs w:val="24"/>
          <w:lang w:val="bg-BG"/>
        </w:rPr>
        <w:t xml:space="preserve">, </w:t>
      </w:r>
      <w:r w:rsidR="008C3197" w:rsidRPr="00610B1B">
        <w:rPr>
          <w:rFonts w:ascii="Times New Roman" w:hAnsi="Times New Roman" w:cs="Times New Roman"/>
          <w:bCs/>
          <w:sz w:val="24"/>
          <w:szCs w:val="24"/>
          <w:lang w:val="bg-BG"/>
        </w:rPr>
        <w:t>процедурите по неговото разработване, консултиране и одобряване.</w:t>
      </w:r>
    </w:p>
    <w:p w14:paraId="0EDCE364" w14:textId="026AFDC4" w:rsidR="008152C1" w:rsidRPr="00610B1B" w:rsidRDefault="008C3197" w:rsidP="00D32D6A">
      <w:pPr>
        <w:spacing w:after="120"/>
        <w:ind w:right="-153"/>
        <w:jc w:val="both"/>
        <w:rPr>
          <w:rFonts w:ascii="Times New Roman" w:hAnsi="Times New Roman" w:cs="Times New Roman"/>
          <w:lang w:val="bg-BG"/>
        </w:rPr>
      </w:pPr>
      <w:r w:rsidRPr="00610B1B">
        <w:rPr>
          <w:rFonts w:ascii="Times New Roman" w:hAnsi="Times New Roman" w:cs="Times New Roman"/>
          <w:bCs/>
          <w:sz w:val="24"/>
          <w:szCs w:val="24"/>
          <w:lang w:val="bg-BG"/>
        </w:rPr>
        <w:t>Допълнително със ЗМПВВППРБ се определят възможностите за научни изследвания в континенталния шелф и в изключителната икономическа зона с разрешение на Министерския съвет по реда и условията на Конвенцията на ООН по морско право</w:t>
      </w:r>
      <w:r w:rsidR="00441DF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изграждането на подводни линейни обекти и изискванията към тях. Предоставянето на особено право на ползване върху континенталния шелф и изключителната икономическа зона за проучване, разработване, използване, опазване и стопанисване на биологичните, минералните и енергийните ресурси се извършват по реда на Закона за концесиите</w:t>
      </w:r>
      <w:r w:rsidRPr="00610B1B">
        <w:rPr>
          <w:rStyle w:val="FootnoteReference"/>
          <w:rFonts w:ascii="Times New Roman" w:hAnsi="Times New Roman" w:cs="Times New Roman"/>
          <w:bCs/>
          <w:sz w:val="24"/>
          <w:szCs w:val="24"/>
          <w:lang w:val="bg-BG"/>
        </w:rPr>
        <w:footnoteReference w:id="39"/>
      </w:r>
      <w:r w:rsidRPr="00610B1B">
        <w:rPr>
          <w:rFonts w:ascii="Times New Roman" w:hAnsi="Times New Roman" w:cs="Times New Roman"/>
          <w:bCs/>
          <w:sz w:val="24"/>
          <w:szCs w:val="24"/>
          <w:lang w:val="bg-BG"/>
        </w:rPr>
        <w:t xml:space="preserve"> и на Закона за подземните богатства</w:t>
      </w:r>
      <w:r w:rsidRPr="00610B1B">
        <w:rPr>
          <w:rStyle w:val="FootnoteReference"/>
          <w:rFonts w:ascii="Times New Roman" w:hAnsi="Times New Roman" w:cs="Times New Roman"/>
          <w:bCs/>
          <w:sz w:val="24"/>
          <w:szCs w:val="24"/>
          <w:lang w:val="bg-BG"/>
        </w:rPr>
        <w:footnoteReference w:id="40"/>
      </w:r>
      <w:r w:rsidRPr="00610B1B">
        <w:rPr>
          <w:rFonts w:ascii="Times New Roman" w:hAnsi="Times New Roman" w:cs="Times New Roman"/>
          <w:bCs/>
          <w:sz w:val="24"/>
          <w:szCs w:val="24"/>
          <w:lang w:val="bg-BG"/>
        </w:rPr>
        <w:t>.</w:t>
      </w:r>
      <w:r w:rsidR="008152C1" w:rsidRPr="00610B1B">
        <w:rPr>
          <w:rFonts w:ascii="Times New Roman" w:hAnsi="Times New Roman" w:cs="Times New Roman"/>
          <w:lang w:val="bg-BG"/>
        </w:rPr>
        <w:t xml:space="preserve"> </w:t>
      </w:r>
    </w:p>
    <w:p w14:paraId="4A0FE948" w14:textId="4E294CBC" w:rsidR="00F133A3" w:rsidRPr="00610B1B" w:rsidRDefault="008152C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водите</w:t>
      </w:r>
      <w:r w:rsidR="00EE6959" w:rsidRPr="00610B1B">
        <w:rPr>
          <w:rStyle w:val="FootnoteReference"/>
          <w:rFonts w:ascii="Times New Roman" w:hAnsi="Times New Roman" w:cs="Times New Roman"/>
          <w:bCs/>
          <w:sz w:val="24"/>
          <w:szCs w:val="24"/>
          <w:lang w:val="bg-BG"/>
        </w:rPr>
        <w:footnoteReference w:id="41"/>
      </w:r>
      <w:r w:rsidR="00F133A3" w:rsidRPr="00610B1B">
        <w:rPr>
          <w:rFonts w:ascii="Times New Roman" w:hAnsi="Times New Roman" w:cs="Times New Roman"/>
          <w:bCs/>
          <w:sz w:val="24"/>
          <w:szCs w:val="24"/>
          <w:lang w:val="bg-BG"/>
        </w:rPr>
        <w:t xml:space="preserve"> пренася постановките на Рамковата директива за водите на ЕС</w:t>
      </w:r>
      <w:r w:rsidR="00C06AC4" w:rsidRPr="00610B1B">
        <w:rPr>
          <w:rFonts w:ascii="Times New Roman" w:hAnsi="Times New Roman" w:cs="Times New Roman"/>
          <w:bCs/>
          <w:sz w:val="24"/>
          <w:szCs w:val="24"/>
          <w:lang w:val="bg-BG"/>
        </w:rPr>
        <w:t xml:space="preserve">, </w:t>
      </w:r>
      <w:r w:rsidR="00F133A3" w:rsidRPr="00610B1B">
        <w:rPr>
          <w:rFonts w:ascii="Times New Roman" w:hAnsi="Times New Roman" w:cs="Times New Roman"/>
          <w:bCs/>
          <w:sz w:val="24"/>
          <w:szCs w:val="24"/>
          <w:lang w:val="bg-BG"/>
        </w:rPr>
        <w:t xml:space="preserve">разглежда водите на Република България като „общонационален неделим природен ресурс“ и урежда собствеността и интегрираното им управление. Той </w:t>
      </w:r>
      <w:r w:rsidR="00C06AC4" w:rsidRPr="00610B1B">
        <w:rPr>
          <w:rFonts w:ascii="Times New Roman" w:hAnsi="Times New Roman" w:cs="Times New Roman"/>
          <w:bCs/>
          <w:sz w:val="24"/>
          <w:szCs w:val="24"/>
          <w:lang w:val="bg-BG"/>
        </w:rPr>
        <w:t>и</w:t>
      </w:r>
      <w:r w:rsidR="00F133A3" w:rsidRPr="00610B1B">
        <w:rPr>
          <w:rFonts w:ascii="Times New Roman" w:hAnsi="Times New Roman" w:cs="Times New Roman"/>
          <w:bCs/>
          <w:sz w:val="24"/>
          <w:szCs w:val="24"/>
          <w:lang w:val="bg-BG"/>
        </w:rPr>
        <w:t xml:space="preserve">ма за цел да </w:t>
      </w:r>
      <w:r w:rsidR="000B73C4" w:rsidRPr="00610B1B">
        <w:rPr>
          <w:rFonts w:ascii="Times New Roman" w:hAnsi="Times New Roman" w:cs="Times New Roman"/>
          <w:bCs/>
          <w:sz w:val="24"/>
          <w:szCs w:val="24"/>
          <w:lang w:val="bg-BG"/>
        </w:rPr>
        <w:t xml:space="preserve">гарантира </w:t>
      </w:r>
      <w:r w:rsidR="00F133A3" w:rsidRPr="00610B1B">
        <w:rPr>
          <w:rFonts w:ascii="Times New Roman" w:hAnsi="Times New Roman" w:cs="Times New Roman"/>
          <w:bCs/>
          <w:sz w:val="24"/>
          <w:szCs w:val="24"/>
          <w:lang w:val="bg-BG"/>
        </w:rPr>
        <w:t>осигу</w:t>
      </w:r>
      <w:r w:rsidR="000B73C4" w:rsidRPr="00610B1B">
        <w:rPr>
          <w:rFonts w:ascii="Times New Roman" w:hAnsi="Times New Roman" w:cs="Times New Roman"/>
          <w:bCs/>
          <w:sz w:val="24"/>
          <w:szCs w:val="24"/>
          <w:lang w:val="bg-BG"/>
        </w:rPr>
        <w:t xml:space="preserve">ряването на </w:t>
      </w:r>
      <w:r w:rsidR="00F133A3" w:rsidRPr="00610B1B">
        <w:rPr>
          <w:rFonts w:ascii="Times New Roman" w:hAnsi="Times New Roman" w:cs="Times New Roman"/>
          <w:bCs/>
          <w:sz w:val="24"/>
          <w:szCs w:val="24"/>
          <w:lang w:val="bg-BG"/>
        </w:rPr>
        <w:t xml:space="preserve">достатъчно количество и добро качество на повърхностните и подземните води за устойчиво, балансирано и справедливо водоползване; да предпази </w:t>
      </w:r>
      <w:r w:rsidR="00C06AC4" w:rsidRPr="00610B1B">
        <w:rPr>
          <w:rFonts w:ascii="Times New Roman" w:hAnsi="Times New Roman" w:cs="Times New Roman"/>
          <w:bCs/>
          <w:sz w:val="24"/>
          <w:szCs w:val="24"/>
          <w:lang w:val="bg-BG"/>
        </w:rPr>
        <w:t xml:space="preserve">повърхностните, подземните и </w:t>
      </w:r>
      <w:r w:rsidR="00F133A3" w:rsidRPr="00610B1B">
        <w:rPr>
          <w:rFonts w:ascii="Times New Roman" w:hAnsi="Times New Roman" w:cs="Times New Roman"/>
          <w:bCs/>
          <w:sz w:val="24"/>
          <w:szCs w:val="24"/>
          <w:lang w:val="bg-BG"/>
        </w:rPr>
        <w:t>водите</w:t>
      </w:r>
      <w:r w:rsidR="00C06AC4" w:rsidRPr="00610B1B">
        <w:rPr>
          <w:rFonts w:ascii="Times New Roman" w:hAnsi="Times New Roman" w:cs="Times New Roman"/>
          <w:bCs/>
          <w:sz w:val="24"/>
          <w:szCs w:val="24"/>
          <w:lang w:val="bg-BG"/>
        </w:rPr>
        <w:t xml:space="preserve"> на</w:t>
      </w:r>
      <w:r w:rsidR="00F133A3" w:rsidRPr="00610B1B">
        <w:rPr>
          <w:rFonts w:ascii="Times New Roman" w:hAnsi="Times New Roman" w:cs="Times New Roman"/>
          <w:bCs/>
          <w:sz w:val="24"/>
          <w:szCs w:val="24"/>
          <w:lang w:val="bg-BG"/>
        </w:rPr>
        <w:t xml:space="preserve"> Черно море от замърсяване</w:t>
      </w:r>
      <w:r w:rsidR="00C06AC4" w:rsidRPr="00610B1B">
        <w:rPr>
          <w:rFonts w:ascii="Times New Roman" w:hAnsi="Times New Roman" w:cs="Times New Roman"/>
          <w:bCs/>
          <w:sz w:val="24"/>
          <w:szCs w:val="24"/>
          <w:lang w:val="bg-BG"/>
        </w:rPr>
        <w:t>; да намали вредните въздействия от наводнения и засушавания и рисковете, свързани с изме</w:t>
      </w:r>
      <w:r w:rsidR="00B362E0" w:rsidRPr="00610B1B">
        <w:rPr>
          <w:rFonts w:ascii="Times New Roman" w:hAnsi="Times New Roman" w:cs="Times New Roman"/>
          <w:bCs/>
          <w:sz w:val="24"/>
          <w:szCs w:val="24"/>
          <w:lang w:val="bg-BG"/>
        </w:rPr>
        <w:t>нен</w:t>
      </w:r>
      <w:r w:rsidR="00C06AC4" w:rsidRPr="00610B1B">
        <w:rPr>
          <w:rFonts w:ascii="Times New Roman" w:hAnsi="Times New Roman" w:cs="Times New Roman"/>
          <w:bCs/>
          <w:sz w:val="24"/>
          <w:szCs w:val="24"/>
          <w:lang w:val="bg-BG"/>
        </w:rPr>
        <w:t>ието на климата.</w:t>
      </w:r>
      <w:r w:rsidR="00B362E0" w:rsidRPr="00610B1B">
        <w:rPr>
          <w:rFonts w:ascii="Times New Roman" w:hAnsi="Times New Roman" w:cs="Times New Roman"/>
          <w:bCs/>
          <w:sz w:val="24"/>
          <w:szCs w:val="24"/>
          <w:lang w:val="bg-BG"/>
        </w:rPr>
        <w:t xml:space="preserve"> </w:t>
      </w:r>
      <w:r w:rsidR="00B95EA5" w:rsidRPr="00610B1B">
        <w:rPr>
          <w:rFonts w:ascii="Times New Roman" w:hAnsi="Times New Roman" w:cs="Times New Roman"/>
          <w:bCs/>
          <w:sz w:val="24"/>
          <w:szCs w:val="24"/>
          <w:lang w:val="bg-BG"/>
        </w:rPr>
        <w:t>Законът урежда собствеността върху водите, водните обекти и съоръжения и определя в</w:t>
      </w:r>
      <w:r w:rsidR="00B362E0" w:rsidRPr="00610B1B">
        <w:rPr>
          <w:rFonts w:ascii="Times New Roman" w:hAnsi="Times New Roman" w:cs="Times New Roman"/>
          <w:bCs/>
          <w:sz w:val="24"/>
          <w:szCs w:val="24"/>
          <w:lang w:val="bg-BG"/>
        </w:rPr>
        <w:t xml:space="preserve">ътрешните морски води и териториалното море </w:t>
      </w:r>
      <w:r w:rsidR="00B95EA5" w:rsidRPr="00610B1B">
        <w:rPr>
          <w:rFonts w:ascii="Times New Roman" w:hAnsi="Times New Roman" w:cs="Times New Roman"/>
          <w:bCs/>
          <w:sz w:val="24"/>
          <w:szCs w:val="24"/>
          <w:lang w:val="bg-BG"/>
        </w:rPr>
        <w:t>като</w:t>
      </w:r>
      <w:r w:rsidR="00B362E0" w:rsidRPr="00610B1B">
        <w:rPr>
          <w:rFonts w:ascii="Times New Roman" w:hAnsi="Times New Roman" w:cs="Times New Roman"/>
          <w:bCs/>
          <w:sz w:val="24"/>
          <w:szCs w:val="24"/>
          <w:lang w:val="bg-BG"/>
        </w:rPr>
        <w:t xml:space="preserve"> изключителна държавна собственост (чл. 14 ал. 1), </w:t>
      </w:r>
      <w:r w:rsidR="00B95EA5" w:rsidRPr="00610B1B">
        <w:rPr>
          <w:rFonts w:ascii="Times New Roman" w:hAnsi="Times New Roman" w:cs="Times New Roman"/>
          <w:bCs/>
          <w:sz w:val="24"/>
          <w:szCs w:val="24"/>
          <w:lang w:val="bg-BG"/>
        </w:rPr>
        <w:t xml:space="preserve">а </w:t>
      </w:r>
      <w:r w:rsidR="00B362E0" w:rsidRPr="00610B1B">
        <w:rPr>
          <w:rFonts w:ascii="Times New Roman" w:hAnsi="Times New Roman" w:cs="Times New Roman"/>
          <w:bCs/>
          <w:sz w:val="24"/>
          <w:szCs w:val="24"/>
          <w:lang w:val="bg-BG"/>
        </w:rPr>
        <w:t xml:space="preserve">морското дъно и неговите недра в тези граници </w:t>
      </w:r>
      <w:r w:rsidR="00B95EA5" w:rsidRPr="00610B1B">
        <w:rPr>
          <w:rFonts w:ascii="Times New Roman" w:hAnsi="Times New Roman" w:cs="Times New Roman"/>
          <w:bCs/>
          <w:sz w:val="24"/>
          <w:szCs w:val="24"/>
          <w:lang w:val="bg-BG"/>
        </w:rPr>
        <w:t>за</w:t>
      </w:r>
      <w:r w:rsidR="00B362E0" w:rsidRPr="00610B1B">
        <w:rPr>
          <w:rFonts w:ascii="Times New Roman" w:hAnsi="Times New Roman" w:cs="Times New Roman"/>
          <w:bCs/>
          <w:sz w:val="24"/>
          <w:szCs w:val="24"/>
          <w:lang w:val="bg-BG"/>
        </w:rPr>
        <w:t xml:space="preserve"> </w:t>
      </w:r>
      <w:r w:rsidR="00B95EA5" w:rsidRPr="00610B1B">
        <w:rPr>
          <w:rFonts w:ascii="Times New Roman" w:hAnsi="Times New Roman" w:cs="Times New Roman"/>
          <w:bCs/>
          <w:sz w:val="24"/>
          <w:szCs w:val="24"/>
          <w:lang w:val="bg-BG"/>
        </w:rPr>
        <w:t>п</w:t>
      </w:r>
      <w:r w:rsidR="00B362E0" w:rsidRPr="00610B1B">
        <w:rPr>
          <w:rFonts w:ascii="Times New Roman" w:hAnsi="Times New Roman" w:cs="Times New Roman"/>
          <w:bCs/>
          <w:sz w:val="24"/>
          <w:szCs w:val="24"/>
          <w:lang w:val="bg-BG"/>
        </w:rPr>
        <w:t>ублична държавна собственост</w:t>
      </w:r>
      <w:r w:rsidR="00D66FE0" w:rsidRPr="00610B1B">
        <w:rPr>
          <w:rFonts w:ascii="Times New Roman" w:hAnsi="Times New Roman" w:cs="Times New Roman"/>
          <w:bCs/>
          <w:sz w:val="24"/>
          <w:szCs w:val="24"/>
          <w:lang w:val="bg-BG"/>
        </w:rPr>
        <w:t xml:space="preserve"> </w:t>
      </w:r>
      <w:r w:rsidR="00B95EA5" w:rsidRPr="00610B1B">
        <w:rPr>
          <w:rFonts w:ascii="Times New Roman" w:hAnsi="Times New Roman" w:cs="Times New Roman"/>
          <w:bCs/>
          <w:sz w:val="24"/>
          <w:szCs w:val="24"/>
          <w:lang w:val="bg-BG"/>
        </w:rPr>
        <w:t>(чл. 12)</w:t>
      </w:r>
      <w:r w:rsidR="00B362E0" w:rsidRPr="00610B1B">
        <w:rPr>
          <w:rFonts w:ascii="Times New Roman" w:hAnsi="Times New Roman" w:cs="Times New Roman"/>
          <w:bCs/>
          <w:sz w:val="24"/>
          <w:szCs w:val="24"/>
          <w:lang w:val="bg-BG"/>
        </w:rPr>
        <w:t>.</w:t>
      </w:r>
      <w:r w:rsidR="00461A34" w:rsidRPr="00610B1B">
        <w:rPr>
          <w:rFonts w:ascii="Times New Roman" w:hAnsi="Times New Roman" w:cs="Times New Roman"/>
          <w:bCs/>
          <w:sz w:val="24"/>
          <w:szCs w:val="24"/>
          <w:lang w:val="bg-BG"/>
        </w:rPr>
        <w:t xml:space="preserve"> </w:t>
      </w:r>
    </w:p>
    <w:p w14:paraId="06F80AC6" w14:textId="236D145D" w:rsidR="009F53C3" w:rsidRPr="00610B1B" w:rsidRDefault="009F53C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lastRenderedPageBreak/>
        <w:t xml:space="preserve">Създадена по силата на този Закон </w:t>
      </w:r>
      <w:r w:rsidR="002530F8" w:rsidRPr="00610B1B">
        <w:rPr>
          <w:rFonts w:ascii="Times New Roman" w:hAnsi="Times New Roman" w:cs="Times New Roman"/>
          <w:bCs/>
          <w:sz w:val="24"/>
          <w:szCs w:val="24"/>
          <w:lang w:val="bg-BG"/>
        </w:rPr>
        <w:t>Дирекция за басейново управление на водите в Черном</w:t>
      </w:r>
      <w:r w:rsidRPr="00610B1B">
        <w:rPr>
          <w:rFonts w:ascii="Times New Roman" w:hAnsi="Times New Roman" w:cs="Times New Roman"/>
          <w:bCs/>
          <w:sz w:val="24"/>
          <w:szCs w:val="24"/>
          <w:lang w:val="bg-BG"/>
        </w:rPr>
        <w:t>о</w:t>
      </w:r>
      <w:r w:rsidR="002530F8" w:rsidRPr="00610B1B">
        <w:rPr>
          <w:rFonts w:ascii="Times New Roman" w:hAnsi="Times New Roman" w:cs="Times New Roman"/>
          <w:bCs/>
          <w:sz w:val="24"/>
          <w:szCs w:val="24"/>
          <w:lang w:val="bg-BG"/>
        </w:rPr>
        <w:t>рския район със седалище във Варна</w:t>
      </w:r>
      <w:r w:rsidR="00461A3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в своите правомощия обхваща </w:t>
      </w:r>
      <w:r w:rsidR="002530F8" w:rsidRPr="00610B1B">
        <w:rPr>
          <w:rFonts w:ascii="Times New Roman" w:hAnsi="Times New Roman" w:cs="Times New Roman"/>
          <w:bCs/>
          <w:sz w:val="24"/>
          <w:szCs w:val="24"/>
          <w:lang w:val="bg-BG"/>
        </w:rPr>
        <w:t>водосборните области на реките, вливащи се в Черно море от северната до южната граница, включително вътрешните морски води и териториалното море</w:t>
      </w:r>
      <w:r w:rsidRPr="00610B1B">
        <w:rPr>
          <w:rFonts w:ascii="Times New Roman" w:hAnsi="Times New Roman" w:cs="Times New Roman"/>
          <w:bCs/>
          <w:sz w:val="24"/>
          <w:szCs w:val="24"/>
          <w:lang w:val="bg-BG"/>
        </w:rPr>
        <w:t>.</w:t>
      </w:r>
      <w:r w:rsidR="000B73C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Съгласно преходните и заключителните разпоредби опазването на крайбрежните води, вътрешните морски води и териториалното море от замърсяване от други източници освен тези, намиращи се на брега, се урежда от ЗМПВВППРБ.</w:t>
      </w:r>
    </w:p>
    <w:p w14:paraId="2D075C0C" w14:textId="1DB0FE0C" w:rsidR="008152C1" w:rsidRPr="00610B1B" w:rsidRDefault="008152C1" w:rsidP="00D32D6A">
      <w:pPr>
        <w:spacing w:after="120"/>
        <w:ind w:right="-153"/>
        <w:jc w:val="both"/>
        <w:rPr>
          <w:rFonts w:ascii="Times New Roman" w:hAnsi="Times New Roman" w:cs="Times New Roman"/>
          <w:b/>
          <w:sz w:val="24"/>
          <w:szCs w:val="24"/>
          <w:lang w:val="bg-BG"/>
        </w:rPr>
      </w:pPr>
      <w:r w:rsidRPr="00610B1B">
        <w:rPr>
          <w:rFonts w:ascii="Times New Roman" w:hAnsi="Times New Roman" w:cs="Times New Roman"/>
          <w:b/>
          <w:sz w:val="24"/>
          <w:szCs w:val="24"/>
          <w:lang w:val="bg-BG"/>
        </w:rPr>
        <w:t>Законът за регионалното развитие</w:t>
      </w:r>
      <w:r w:rsidR="009F53C3" w:rsidRPr="00610B1B">
        <w:rPr>
          <w:rStyle w:val="FootnoteReference"/>
          <w:rFonts w:ascii="Times New Roman" w:hAnsi="Times New Roman" w:cs="Times New Roman"/>
          <w:bCs/>
          <w:sz w:val="24"/>
          <w:szCs w:val="24"/>
          <w:lang w:val="bg-BG"/>
        </w:rPr>
        <w:footnoteReference w:id="42"/>
      </w:r>
      <w:r w:rsidR="00B15D09" w:rsidRPr="00610B1B">
        <w:rPr>
          <w:rFonts w:ascii="Times New Roman" w:hAnsi="Times New Roman" w:cs="Times New Roman"/>
          <w:bCs/>
          <w:sz w:val="24"/>
          <w:szCs w:val="24"/>
          <w:lang w:val="bg-BG"/>
        </w:rPr>
        <w:t xml:space="preserve"> предвижда държавната политика </w:t>
      </w:r>
      <w:r w:rsidR="00051251" w:rsidRPr="00610B1B">
        <w:rPr>
          <w:rFonts w:ascii="Times New Roman" w:hAnsi="Times New Roman" w:cs="Times New Roman"/>
          <w:bCs/>
          <w:sz w:val="24"/>
          <w:szCs w:val="24"/>
          <w:lang w:val="bg-BG"/>
        </w:rPr>
        <w:t xml:space="preserve">в тази област </w:t>
      </w:r>
      <w:r w:rsidR="00B15D09" w:rsidRPr="00610B1B">
        <w:rPr>
          <w:rFonts w:ascii="Times New Roman" w:hAnsi="Times New Roman" w:cs="Times New Roman"/>
          <w:bCs/>
          <w:sz w:val="24"/>
          <w:szCs w:val="24"/>
          <w:lang w:val="bg-BG"/>
        </w:rPr>
        <w:t>да се основава на принципи, които осигуряват концентрация на ресурси, междуведомствена координация на дейност</w:t>
      </w:r>
      <w:r w:rsidR="00051251" w:rsidRPr="00610B1B">
        <w:rPr>
          <w:rFonts w:ascii="Times New Roman" w:hAnsi="Times New Roman" w:cs="Times New Roman"/>
          <w:bCs/>
          <w:sz w:val="24"/>
          <w:szCs w:val="24"/>
          <w:lang w:val="bg-BG"/>
        </w:rPr>
        <w:t>ите</w:t>
      </w:r>
      <w:r w:rsidR="00B15D09" w:rsidRPr="00610B1B">
        <w:rPr>
          <w:rFonts w:ascii="Times New Roman" w:hAnsi="Times New Roman" w:cs="Times New Roman"/>
          <w:bCs/>
          <w:sz w:val="24"/>
          <w:szCs w:val="24"/>
          <w:lang w:val="bg-BG"/>
        </w:rPr>
        <w:t xml:space="preserve"> в процеса на планирането, програмирането, ресурсното осигуряване, реализацията, наблюдението и оценката</w:t>
      </w:r>
      <w:r w:rsidR="00A36D74" w:rsidRPr="00610B1B">
        <w:rPr>
          <w:rFonts w:ascii="Times New Roman" w:hAnsi="Times New Roman" w:cs="Times New Roman"/>
          <w:bCs/>
          <w:sz w:val="24"/>
          <w:szCs w:val="24"/>
          <w:lang w:val="bg-BG"/>
        </w:rPr>
        <w:t xml:space="preserve">. Той изисква </w:t>
      </w:r>
      <w:r w:rsidR="00B15D09" w:rsidRPr="00610B1B">
        <w:rPr>
          <w:rFonts w:ascii="Times New Roman" w:hAnsi="Times New Roman" w:cs="Times New Roman"/>
          <w:bCs/>
          <w:sz w:val="24"/>
          <w:szCs w:val="24"/>
          <w:lang w:val="bg-BG"/>
        </w:rPr>
        <w:t xml:space="preserve">съгласуваност </w:t>
      </w:r>
      <w:r w:rsidR="00A36D74" w:rsidRPr="00610B1B">
        <w:rPr>
          <w:rFonts w:ascii="Times New Roman" w:hAnsi="Times New Roman" w:cs="Times New Roman"/>
          <w:bCs/>
          <w:sz w:val="24"/>
          <w:szCs w:val="24"/>
          <w:lang w:val="bg-BG"/>
        </w:rPr>
        <w:t xml:space="preserve">между </w:t>
      </w:r>
      <w:r w:rsidR="00B15D09" w:rsidRPr="00610B1B">
        <w:rPr>
          <w:rFonts w:ascii="Times New Roman" w:hAnsi="Times New Roman" w:cs="Times New Roman"/>
          <w:bCs/>
          <w:sz w:val="24"/>
          <w:szCs w:val="24"/>
          <w:lang w:val="bg-BG"/>
        </w:rPr>
        <w:t>секторни и хоризонтални политики, инструменти и действия на международно, национално, регионално и местно равнище</w:t>
      </w:r>
      <w:r w:rsidR="00A36D74" w:rsidRPr="00610B1B">
        <w:rPr>
          <w:rFonts w:ascii="Times New Roman" w:hAnsi="Times New Roman" w:cs="Times New Roman"/>
          <w:bCs/>
          <w:sz w:val="24"/>
          <w:szCs w:val="24"/>
          <w:lang w:val="bg-BG"/>
        </w:rPr>
        <w:t xml:space="preserve"> и прилагане на принципите за </w:t>
      </w:r>
      <w:r w:rsidR="00B15D09" w:rsidRPr="00610B1B">
        <w:rPr>
          <w:rFonts w:ascii="Times New Roman" w:hAnsi="Times New Roman" w:cs="Times New Roman"/>
          <w:bCs/>
          <w:sz w:val="24"/>
          <w:szCs w:val="24"/>
          <w:lang w:val="bg-BG"/>
        </w:rPr>
        <w:t xml:space="preserve">партньорство, публичност и прозрачност. Тези принципи са в основата и на морското пространствено планиране. </w:t>
      </w:r>
      <w:r w:rsidR="00A36D74" w:rsidRPr="00610B1B">
        <w:rPr>
          <w:rFonts w:ascii="Times New Roman" w:hAnsi="Times New Roman" w:cs="Times New Roman"/>
          <w:bCs/>
          <w:sz w:val="24"/>
          <w:szCs w:val="24"/>
          <w:lang w:val="bg-BG"/>
        </w:rPr>
        <w:t xml:space="preserve">Заедно с </w:t>
      </w:r>
      <w:r w:rsidR="00BF6C28" w:rsidRPr="00610B1B">
        <w:rPr>
          <w:rFonts w:ascii="Times New Roman" w:hAnsi="Times New Roman" w:cs="Times New Roman"/>
          <w:bCs/>
          <w:sz w:val="24"/>
          <w:szCs w:val="24"/>
          <w:lang w:val="bg-BG"/>
        </w:rPr>
        <w:t>Националната концепция за пространствено развитие</w:t>
      </w:r>
      <w:r w:rsidR="00A36D74" w:rsidRPr="00610B1B">
        <w:rPr>
          <w:rFonts w:ascii="Times New Roman" w:hAnsi="Times New Roman" w:cs="Times New Roman"/>
          <w:bCs/>
          <w:sz w:val="24"/>
          <w:szCs w:val="24"/>
          <w:lang w:val="bg-BG"/>
        </w:rPr>
        <w:t xml:space="preserve"> за периода 2013-2025 г. (Актуализация 2019 г.)</w:t>
      </w:r>
      <w:r w:rsidR="00BF6C28" w:rsidRPr="00610B1B">
        <w:rPr>
          <w:rFonts w:ascii="Times New Roman" w:hAnsi="Times New Roman" w:cs="Times New Roman"/>
          <w:bCs/>
          <w:sz w:val="24"/>
          <w:szCs w:val="24"/>
          <w:lang w:val="bg-BG"/>
        </w:rPr>
        <w:t xml:space="preserve"> и Морският пространствен план координира секторните и хоризонталните политики. Двата документа са свързани </w:t>
      </w:r>
      <w:r w:rsidR="00110E77" w:rsidRPr="00610B1B">
        <w:rPr>
          <w:rFonts w:ascii="Times New Roman" w:hAnsi="Times New Roman" w:cs="Times New Roman"/>
          <w:bCs/>
          <w:sz w:val="24"/>
          <w:szCs w:val="24"/>
          <w:lang w:val="bg-BG"/>
        </w:rPr>
        <w:t xml:space="preserve">с </w:t>
      </w:r>
      <w:r w:rsidR="00BF6C28" w:rsidRPr="00610B1B">
        <w:rPr>
          <w:rFonts w:ascii="Times New Roman" w:hAnsi="Times New Roman" w:cs="Times New Roman"/>
          <w:bCs/>
          <w:sz w:val="24"/>
          <w:szCs w:val="24"/>
          <w:lang w:val="bg-BG"/>
        </w:rPr>
        <w:t xml:space="preserve">националните секторни </w:t>
      </w:r>
      <w:r w:rsidR="00A36D74" w:rsidRPr="00610B1B">
        <w:rPr>
          <w:rFonts w:ascii="Times New Roman" w:hAnsi="Times New Roman" w:cs="Times New Roman"/>
          <w:bCs/>
          <w:sz w:val="24"/>
          <w:szCs w:val="24"/>
          <w:lang w:val="bg-BG"/>
        </w:rPr>
        <w:t>документи</w:t>
      </w:r>
      <w:r w:rsidR="00BF6C28" w:rsidRPr="00610B1B">
        <w:rPr>
          <w:rFonts w:ascii="Times New Roman" w:hAnsi="Times New Roman" w:cs="Times New Roman"/>
          <w:bCs/>
          <w:sz w:val="24"/>
          <w:szCs w:val="24"/>
          <w:lang w:val="bg-BG"/>
        </w:rPr>
        <w:t xml:space="preserve"> и задават насоките за развитие на по-ниските йерархични нива </w:t>
      </w:r>
      <w:r w:rsidR="00110E77" w:rsidRPr="00610B1B">
        <w:rPr>
          <w:rFonts w:ascii="Times New Roman" w:hAnsi="Times New Roman" w:cs="Times New Roman"/>
          <w:bCs/>
          <w:sz w:val="24"/>
          <w:szCs w:val="24"/>
          <w:lang w:val="bg-BG"/>
        </w:rPr>
        <w:t>– двата региона за планиране от ниво 2 (СИР и ЮИР), неформалните райони и зони, включително и тези за трансгранично сътрудничество, общините, разположени на крайбрежието, чието развитие ползва всички предимства от контакта с морето.</w:t>
      </w:r>
      <w:r w:rsidR="00D66FE0" w:rsidRPr="00610B1B">
        <w:rPr>
          <w:rFonts w:ascii="Times New Roman" w:hAnsi="Times New Roman" w:cs="Times New Roman"/>
          <w:bCs/>
          <w:sz w:val="24"/>
          <w:szCs w:val="24"/>
          <w:lang w:val="bg-BG"/>
        </w:rPr>
        <w:t xml:space="preserve"> </w:t>
      </w:r>
    </w:p>
    <w:p w14:paraId="15559386" w14:textId="74AE2FD2" w:rsidR="00802BCE" w:rsidRPr="00610B1B" w:rsidRDefault="00802BCE" w:rsidP="00D32D6A">
      <w:pPr>
        <w:spacing w:after="120"/>
        <w:ind w:right="-153"/>
        <w:jc w:val="both"/>
        <w:rPr>
          <w:rFonts w:ascii="Times New Roman" w:hAnsi="Times New Roman" w:cs="Times New Roman"/>
          <w:b/>
          <w:sz w:val="24"/>
          <w:szCs w:val="24"/>
          <w:lang w:val="bg-BG"/>
        </w:rPr>
      </w:pPr>
      <w:r w:rsidRPr="00610B1B">
        <w:rPr>
          <w:rFonts w:ascii="Times New Roman" w:hAnsi="Times New Roman" w:cs="Times New Roman"/>
          <w:b/>
          <w:sz w:val="24"/>
          <w:szCs w:val="24"/>
          <w:lang w:val="bg-BG"/>
        </w:rPr>
        <w:t>Законът за устройство на територията</w:t>
      </w:r>
      <w:r w:rsidRPr="00610B1B">
        <w:rPr>
          <w:rStyle w:val="FootnoteReference"/>
          <w:rFonts w:ascii="Times New Roman" w:hAnsi="Times New Roman" w:cs="Times New Roman"/>
          <w:b/>
          <w:sz w:val="24"/>
          <w:szCs w:val="24"/>
          <w:lang w:val="bg-BG"/>
        </w:rPr>
        <w:footnoteReference w:id="43"/>
      </w:r>
      <w:r w:rsidRPr="00610B1B">
        <w:rPr>
          <w:rFonts w:ascii="Times New Roman" w:hAnsi="Times New Roman" w:cs="Times New Roman"/>
          <w:b/>
          <w:sz w:val="24"/>
          <w:szCs w:val="24"/>
          <w:lang w:val="bg-BG"/>
        </w:rPr>
        <w:t xml:space="preserve"> </w:t>
      </w:r>
      <w:r w:rsidR="00634C54" w:rsidRPr="00610B1B">
        <w:rPr>
          <w:rFonts w:ascii="Times New Roman" w:hAnsi="Times New Roman" w:cs="Times New Roman"/>
          <w:bCs/>
          <w:sz w:val="24"/>
          <w:szCs w:val="24"/>
          <w:lang w:val="bg-BG"/>
        </w:rPr>
        <w:t xml:space="preserve">обединява пространственото планиране, инвестиционното проектиране, строителството и контрола като важни елементи на </w:t>
      </w:r>
      <w:r w:rsidR="0093127F" w:rsidRPr="00610B1B">
        <w:rPr>
          <w:rFonts w:ascii="Times New Roman" w:hAnsi="Times New Roman" w:cs="Times New Roman"/>
          <w:bCs/>
          <w:sz w:val="24"/>
          <w:szCs w:val="24"/>
          <w:lang w:val="bg-BG"/>
        </w:rPr>
        <w:t xml:space="preserve">процеса на създаване на застроената околна среда и </w:t>
      </w:r>
      <w:r w:rsidR="00634C54" w:rsidRPr="00610B1B">
        <w:rPr>
          <w:rFonts w:ascii="Times New Roman" w:hAnsi="Times New Roman" w:cs="Times New Roman"/>
          <w:bCs/>
          <w:sz w:val="24"/>
          <w:szCs w:val="24"/>
          <w:lang w:val="bg-BG"/>
        </w:rPr>
        <w:t xml:space="preserve">определя ангажиментите на </w:t>
      </w:r>
      <w:r w:rsidR="0093127F" w:rsidRPr="00610B1B">
        <w:rPr>
          <w:rFonts w:ascii="Times New Roman" w:hAnsi="Times New Roman" w:cs="Times New Roman"/>
          <w:bCs/>
          <w:sz w:val="24"/>
          <w:szCs w:val="24"/>
          <w:lang w:val="bg-BG"/>
        </w:rPr>
        <w:t xml:space="preserve">отговорните </w:t>
      </w:r>
      <w:r w:rsidR="00634C54" w:rsidRPr="00610B1B">
        <w:rPr>
          <w:rFonts w:ascii="Times New Roman" w:hAnsi="Times New Roman" w:cs="Times New Roman"/>
          <w:bCs/>
          <w:sz w:val="24"/>
          <w:szCs w:val="24"/>
          <w:lang w:val="bg-BG"/>
        </w:rPr>
        <w:t xml:space="preserve">институции в </w:t>
      </w:r>
      <w:r w:rsidR="0093127F" w:rsidRPr="00610B1B">
        <w:rPr>
          <w:rFonts w:ascii="Times New Roman" w:hAnsi="Times New Roman" w:cs="Times New Roman"/>
          <w:bCs/>
          <w:sz w:val="24"/>
          <w:szCs w:val="24"/>
          <w:lang w:val="bg-BG"/>
        </w:rPr>
        <w:t>този процес.</w:t>
      </w:r>
      <w:r w:rsidR="00D66FE0" w:rsidRPr="00610B1B">
        <w:rPr>
          <w:rFonts w:ascii="Times New Roman" w:hAnsi="Times New Roman" w:cs="Times New Roman"/>
          <w:bCs/>
          <w:sz w:val="24"/>
          <w:szCs w:val="24"/>
          <w:lang w:val="bg-BG"/>
        </w:rPr>
        <w:t xml:space="preserve"> </w:t>
      </w:r>
      <w:r w:rsidR="003A2389" w:rsidRPr="00610B1B">
        <w:rPr>
          <w:rFonts w:ascii="Times New Roman" w:hAnsi="Times New Roman" w:cs="Times New Roman"/>
          <w:bCs/>
          <w:sz w:val="24"/>
          <w:szCs w:val="24"/>
          <w:lang w:val="bg-BG"/>
        </w:rPr>
        <w:t xml:space="preserve">Законът се свързва с морското пространствено планиране </w:t>
      </w:r>
      <w:r w:rsidR="00126CF5" w:rsidRPr="00610B1B">
        <w:rPr>
          <w:rFonts w:ascii="Times New Roman" w:hAnsi="Times New Roman" w:cs="Times New Roman"/>
          <w:bCs/>
          <w:sz w:val="24"/>
          <w:szCs w:val="24"/>
          <w:lang w:val="bg-BG"/>
        </w:rPr>
        <w:t>посредством правилата за възлагане, разработване, одобряване и прилагане на общите устройствени планове на черноморските общини</w:t>
      </w:r>
      <w:r w:rsidR="00126CF5" w:rsidRPr="00831E16">
        <w:rPr>
          <w:rFonts w:ascii="Times New Roman" w:hAnsi="Times New Roman" w:cs="Times New Roman"/>
          <w:bCs/>
          <w:sz w:val="24"/>
          <w:szCs w:val="24"/>
          <w:lang w:val="bg-BG"/>
        </w:rPr>
        <w:t xml:space="preserve">, </w:t>
      </w:r>
      <w:r w:rsidR="00AE50C9" w:rsidRPr="00831E16">
        <w:rPr>
          <w:rFonts w:ascii="Times New Roman" w:hAnsi="Times New Roman" w:cs="Times New Roman"/>
          <w:bCs/>
          <w:sz w:val="24"/>
          <w:szCs w:val="24"/>
          <w:lang w:val="bg-BG"/>
        </w:rPr>
        <w:t>специализираните подробни устройствени планове на пристанищата и на специализираните пристанищни обекти</w:t>
      </w:r>
      <w:r w:rsidR="00126CF5" w:rsidRPr="00831E16">
        <w:rPr>
          <w:rFonts w:ascii="Times New Roman" w:hAnsi="Times New Roman" w:cs="Times New Roman"/>
          <w:bCs/>
          <w:sz w:val="24"/>
          <w:szCs w:val="24"/>
          <w:lang w:val="bg-BG"/>
        </w:rPr>
        <w:t xml:space="preserve">, </w:t>
      </w:r>
      <w:r w:rsidR="00831E16" w:rsidRPr="00831E16">
        <w:rPr>
          <w:rFonts w:ascii="Times New Roman" w:hAnsi="Times New Roman" w:cs="Times New Roman"/>
          <w:bCs/>
          <w:sz w:val="24"/>
          <w:szCs w:val="24"/>
          <w:lang w:val="bg-BG"/>
        </w:rPr>
        <w:t xml:space="preserve">редът за регистрирането и мониторинга на свлачищните райони и абразионните процеси по Черноморското крайбрежие, разрешаването на геозащитни мерки и дейности </w:t>
      </w:r>
      <w:r w:rsidR="00831E16">
        <w:rPr>
          <w:rFonts w:ascii="Times New Roman" w:hAnsi="Times New Roman" w:cs="Times New Roman"/>
          <w:bCs/>
          <w:sz w:val="24"/>
          <w:szCs w:val="24"/>
          <w:lang w:val="bg-BG"/>
        </w:rPr>
        <w:t xml:space="preserve">за </w:t>
      </w:r>
      <w:r w:rsidR="00126CF5" w:rsidRPr="00610B1B">
        <w:rPr>
          <w:rFonts w:ascii="Times New Roman" w:hAnsi="Times New Roman" w:cs="Times New Roman"/>
          <w:bCs/>
          <w:sz w:val="24"/>
          <w:szCs w:val="24"/>
          <w:lang w:val="bg-BG"/>
        </w:rPr>
        <w:t xml:space="preserve">овладяване </w:t>
      </w:r>
      <w:r w:rsidR="003A2389" w:rsidRPr="00610B1B">
        <w:rPr>
          <w:rFonts w:ascii="Times New Roman" w:hAnsi="Times New Roman" w:cs="Times New Roman"/>
          <w:bCs/>
          <w:sz w:val="24"/>
          <w:szCs w:val="24"/>
          <w:lang w:val="bg-BG"/>
        </w:rPr>
        <w:t>на свлачищните, ерозионните и абразионните процеси</w:t>
      </w:r>
      <w:r w:rsidR="00126CF5" w:rsidRPr="00610B1B">
        <w:rPr>
          <w:rFonts w:ascii="Times New Roman" w:hAnsi="Times New Roman" w:cs="Times New Roman"/>
          <w:bCs/>
          <w:sz w:val="24"/>
          <w:szCs w:val="24"/>
          <w:lang w:val="bg-BG"/>
        </w:rPr>
        <w:t xml:space="preserve"> и за изграждането на техническата инфраструктура.</w:t>
      </w:r>
    </w:p>
    <w:p w14:paraId="01EBB954" w14:textId="4D7399BB" w:rsidR="009D7337" w:rsidRPr="00610B1B" w:rsidRDefault="008152C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устройство на Черноморското крайбрежие</w:t>
      </w:r>
      <w:r w:rsidR="000D13E1" w:rsidRPr="00610B1B">
        <w:rPr>
          <w:rStyle w:val="FootnoteReference"/>
          <w:rFonts w:ascii="Times New Roman" w:hAnsi="Times New Roman" w:cs="Times New Roman"/>
          <w:bCs/>
          <w:sz w:val="24"/>
          <w:szCs w:val="24"/>
          <w:lang w:val="bg-BG"/>
        </w:rPr>
        <w:footnoteReference w:id="44"/>
      </w:r>
      <w:r w:rsidR="00110E77" w:rsidRPr="00610B1B">
        <w:rPr>
          <w:rFonts w:ascii="Times New Roman" w:hAnsi="Times New Roman" w:cs="Times New Roman"/>
          <w:bCs/>
          <w:sz w:val="24"/>
          <w:szCs w:val="24"/>
          <w:lang w:val="bg-BG"/>
        </w:rPr>
        <w:t xml:space="preserve"> </w:t>
      </w:r>
      <w:r w:rsidR="000D13E1" w:rsidRPr="00610B1B">
        <w:rPr>
          <w:rFonts w:ascii="Times New Roman" w:hAnsi="Times New Roman" w:cs="Times New Roman"/>
          <w:bCs/>
          <w:sz w:val="24"/>
          <w:szCs w:val="24"/>
          <w:lang w:val="bg-BG"/>
        </w:rPr>
        <w:t>урежда обществените отношения</w:t>
      </w:r>
      <w:r w:rsidR="00825C6F" w:rsidRPr="00610B1B">
        <w:rPr>
          <w:rFonts w:ascii="Times New Roman" w:hAnsi="Times New Roman" w:cs="Times New Roman"/>
          <w:bCs/>
          <w:sz w:val="24"/>
          <w:szCs w:val="24"/>
          <w:lang w:val="bg-BG"/>
        </w:rPr>
        <w:t xml:space="preserve"> в</w:t>
      </w:r>
      <w:r w:rsidR="000D13E1" w:rsidRPr="00610B1B">
        <w:rPr>
          <w:rFonts w:ascii="Times New Roman" w:hAnsi="Times New Roman" w:cs="Times New Roman"/>
          <w:bCs/>
          <w:sz w:val="24"/>
          <w:szCs w:val="24"/>
          <w:lang w:val="bg-BG"/>
        </w:rPr>
        <w:t xml:space="preserve"> обхвата на Черноморското крайбрежие и плажната ивица; правомощията и координацията на дейността на централните и териториалните органи на изпълнителната и местната власт, правилата и нормативите за устройство, ползване, застрояване и опазване на Черноморското крайбрежие</w:t>
      </w:r>
      <w:r w:rsidR="004436CF" w:rsidRPr="00610B1B">
        <w:rPr>
          <w:rFonts w:ascii="Times New Roman" w:hAnsi="Times New Roman" w:cs="Times New Roman"/>
          <w:bCs/>
          <w:sz w:val="24"/>
          <w:szCs w:val="24"/>
          <w:lang w:val="bg-BG"/>
        </w:rPr>
        <w:t xml:space="preserve">, </w:t>
      </w:r>
      <w:r w:rsidR="000D13E1" w:rsidRPr="00610B1B">
        <w:rPr>
          <w:rFonts w:ascii="Times New Roman" w:hAnsi="Times New Roman" w:cs="Times New Roman"/>
          <w:bCs/>
          <w:sz w:val="24"/>
          <w:szCs w:val="24"/>
          <w:lang w:val="bg-BG"/>
        </w:rPr>
        <w:t>управлението на плажовете и предоставянето на услуги. Той цели да осигури интегрирано и координирано управление на крайбрежните зони; публич</w:t>
      </w:r>
      <w:r w:rsidR="00825C6F" w:rsidRPr="00610B1B">
        <w:rPr>
          <w:rFonts w:ascii="Times New Roman" w:hAnsi="Times New Roman" w:cs="Times New Roman"/>
          <w:bCs/>
          <w:sz w:val="24"/>
          <w:szCs w:val="24"/>
          <w:lang w:val="bg-BG"/>
        </w:rPr>
        <w:t>е</w:t>
      </w:r>
      <w:r w:rsidR="000D13E1" w:rsidRPr="00610B1B">
        <w:rPr>
          <w:rFonts w:ascii="Times New Roman" w:hAnsi="Times New Roman" w:cs="Times New Roman"/>
          <w:bCs/>
          <w:sz w:val="24"/>
          <w:szCs w:val="24"/>
          <w:lang w:val="bg-BG"/>
        </w:rPr>
        <w:t xml:space="preserve">н достъп до морските плажове; опазване, съхраняване и разумно използване </w:t>
      </w:r>
      <w:r w:rsidR="000D13E1" w:rsidRPr="00610B1B">
        <w:rPr>
          <w:rFonts w:ascii="Times New Roman" w:hAnsi="Times New Roman" w:cs="Times New Roman"/>
          <w:bCs/>
          <w:sz w:val="24"/>
          <w:szCs w:val="24"/>
          <w:lang w:val="bg-BG"/>
        </w:rPr>
        <w:lastRenderedPageBreak/>
        <w:t>на природните ресурси; предотвратяване и намаляване на замърсяването на Черноморското крайбрежие; защита на морския бряг от ерозия, абразия и свлачищни процеси; възстановяване и опазване на естествения ландшафт и културно</w:t>
      </w:r>
      <w:r w:rsidR="00825C6F" w:rsidRPr="00610B1B">
        <w:rPr>
          <w:rFonts w:ascii="Times New Roman" w:hAnsi="Times New Roman" w:cs="Times New Roman"/>
          <w:bCs/>
          <w:sz w:val="24"/>
          <w:szCs w:val="24"/>
          <w:lang w:val="bg-BG"/>
        </w:rPr>
        <w:t>то</w:t>
      </w:r>
      <w:r w:rsidR="000D13E1" w:rsidRPr="00610B1B">
        <w:rPr>
          <w:rFonts w:ascii="Times New Roman" w:hAnsi="Times New Roman" w:cs="Times New Roman"/>
          <w:bCs/>
          <w:sz w:val="24"/>
          <w:szCs w:val="24"/>
          <w:lang w:val="bg-BG"/>
        </w:rPr>
        <w:t xml:space="preserve"> наследство.</w:t>
      </w:r>
      <w:r w:rsidR="00126CF5" w:rsidRPr="00610B1B">
        <w:rPr>
          <w:rFonts w:ascii="Times New Roman" w:hAnsi="Times New Roman" w:cs="Times New Roman"/>
          <w:bCs/>
          <w:sz w:val="24"/>
          <w:szCs w:val="24"/>
          <w:lang w:val="bg-BG"/>
        </w:rPr>
        <w:t xml:space="preserve"> </w:t>
      </w:r>
      <w:r w:rsidR="009D7337" w:rsidRPr="00610B1B">
        <w:rPr>
          <w:rFonts w:ascii="Times New Roman" w:hAnsi="Times New Roman" w:cs="Times New Roman"/>
          <w:bCs/>
          <w:sz w:val="24"/>
          <w:szCs w:val="24"/>
          <w:lang w:val="bg-BG"/>
        </w:rPr>
        <w:t>Към крайбрежието попада</w:t>
      </w:r>
      <w:r w:rsidR="004436CF" w:rsidRPr="00610B1B">
        <w:rPr>
          <w:rFonts w:ascii="Times New Roman" w:hAnsi="Times New Roman" w:cs="Times New Roman"/>
          <w:bCs/>
          <w:sz w:val="24"/>
          <w:szCs w:val="24"/>
          <w:lang w:val="bg-BG"/>
        </w:rPr>
        <w:t xml:space="preserve"> и</w:t>
      </w:r>
      <w:r w:rsidR="009D7337" w:rsidRPr="00610B1B">
        <w:rPr>
          <w:rFonts w:ascii="Times New Roman" w:hAnsi="Times New Roman" w:cs="Times New Roman"/>
          <w:bCs/>
          <w:sz w:val="24"/>
          <w:szCs w:val="24"/>
          <w:lang w:val="bg-BG"/>
        </w:rPr>
        <w:t xml:space="preserve"> 200 метровата зона от акваторията, измерена от бреговата линия</w:t>
      </w:r>
      <w:r w:rsidR="004436CF" w:rsidRPr="00610B1B">
        <w:rPr>
          <w:rFonts w:ascii="Times New Roman" w:hAnsi="Times New Roman" w:cs="Times New Roman"/>
          <w:bCs/>
          <w:sz w:val="24"/>
          <w:szCs w:val="24"/>
          <w:lang w:val="bg-BG"/>
        </w:rPr>
        <w:t>, която се използва активно за рекреация и водни спортове</w:t>
      </w:r>
      <w:r w:rsidR="009D7337" w:rsidRPr="00610B1B">
        <w:rPr>
          <w:rFonts w:ascii="Times New Roman" w:hAnsi="Times New Roman" w:cs="Times New Roman"/>
          <w:bCs/>
          <w:sz w:val="24"/>
          <w:szCs w:val="24"/>
          <w:lang w:val="bg-BG"/>
        </w:rPr>
        <w:t xml:space="preserve">. </w:t>
      </w:r>
    </w:p>
    <w:p w14:paraId="5413C7DE" w14:textId="6E7B33E0" w:rsidR="009D7337" w:rsidRPr="00610B1B" w:rsidRDefault="009D733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Собствеността върху плажовете е изключителна държавна</w:t>
      </w:r>
      <w:r w:rsidR="006956E0" w:rsidRPr="00610B1B">
        <w:rPr>
          <w:rFonts w:ascii="Times New Roman" w:hAnsi="Times New Roman" w:cs="Times New Roman"/>
          <w:bCs/>
          <w:sz w:val="24"/>
          <w:szCs w:val="24"/>
          <w:lang w:val="bg-BG"/>
        </w:rPr>
        <w:t>, те могат да се отдават на концесия за срок от 20 години</w:t>
      </w:r>
      <w:r w:rsidRPr="00610B1B">
        <w:rPr>
          <w:rFonts w:ascii="Times New Roman" w:hAnsi="Times New Roman" w:cs="Times New Roman"/>
          <w:bCs/>
          <w:sz w:val="24"/>
          <w:szCs w:val="24"/>
          <w:lang w:val="bg-BG"/>
        </w:rPr>
        <w:t>. Публична държавна собственост, която не може да бъде обявена за частна, освен плажовете</w:t>
      </w:r>
      <w:r w:rsidR="00016AB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w:t>
      </w:r>
      <w:r w:rsidR="0085174B" w:rsidRPr="00610B1B">
        <w:rPr>
          <w:rFonts w:ascii="Times New Roman" w:hAnsi="Times New Roman" w:cs="Times New Roman"/>
          <w:bCs/>
          <w:sz w:val="24"/>
          <w:szCs w:val="24"/>
          <w:lang w:val="bg-BG"/>
        </w:rPr>
        <w:t>са</w:t>
      </w:r>
      <w:r w:rsidRPr="00610B1B">
        <w:rPr>
          <w:rFonts w:ascii="Times New Roman" w:hAnsi="Times New Roman" w:cs="Times New Roman"/>
          <w:bCs/>
          <w:sz w:val="24"/>
          <w:szCs w:val="24"/>
          <w:lang w:val="bg-BG"/>
        </w:rPr>
        <w:t xml:space="preserve"> брегоукрепителни и брегозащитни системи и съоръжения за предпазване от вредното въздействие на водите, изградени в имоти</w:t>
      </w:r>
      <w:r w:rsidR="004436CF"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w:t>
      </w:r>
      <w:r w:rsidR="004436CF" w:rsidRPr="00610B1B">
        <w:rPr>
          <w:rFonts w:ascii="Times New Roman" w:hAnsi="Times New Roman" w:cs="Times New Roman"/>
          <w:bCs/>
          <w:sz w:val="24"/>
          <w:szCs w:val="24"/>
          <w:lang w:val="bg-BG"/>
        </w:rPr>
        <w:t>д</w:t>
      </w:r>
      <w:r w:rsidRPr="00610B1B">
        <w:rPr>
          <w:rFonts w:ascii="Times New Roman" w:hAnsi="Times New Roman" w:cs="Times New Roman"/>
          <w:bCs/>
          <w:sz w:val="24"/>
          <w:szCs w:val="24"/>
          <w:lang w:val="bg-BG"/>
        </w:rPr>
        <w:t xml:space="preserve">ържавна собственост, извън населените места; прилежащите крайбрежни езера, лагуни, лимани и влажни зони; пясъчните дюни; островите, включително и създадените в резултат на човешка дейност. </w:t>
      </w:r>
      <w:r w:rsidR="004436CF" w:rsidRPr="00610B1B">
        <w:rPr>
          <w:rFonts w:ascii="Times New Roman" w:hAnsi="Times New Roman" w:cs="Times New Roman"/>
          <w:bCs/>
          <w:sz w:val="24"/>
          <w:szCs w:val="24"/>
          <w:lang w:val="bg-BG"/>
        </w:rPr>
        <w:t>Б</w:t>
      </w:r>
      <w:r w:rsidRPr="00610B1B">
        <w:rPr>
          <w:rFonts w:ascii="Times New Roman" w:hAnsi="Times New Roman" w:cs="Times New Roman"/>
          <w:bCs/>
          <w:sz w:val="24"/>
          <w:szCs w:val="24"/>
          <w:lang w:val="bg-BG"/>
        </w:rPr>
        <w:t>регозащитни</w:t>
      </w:r>
      <w:r w:rsidR="004436CF"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и брегоукрепителни</w:t>
      </w:r>
      <w:r w:rsidR="004436CF"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съоръжения, извън обхвата на имотите, държавна собственост</w:t>
      </w:r>
      <w:r w:rsidR="006956E0" w:rsidRPr="00610B1B">
        <w:rPr>
          <w:rFonts w:ascii="Times New Roman" w:hAnsi="Times New Roman" w:cs="Times New Roman"/>
          <w:bCs/>
          <w:sz w:val="24"/>
          <w:szCs w:val="24"/>
          <w:lang w:val="bg-BG"/>
        </w:rPr>
        <w:t>,</w:t>
      </w:r>
      <w:r w:rsidR="004436CF" w:rsidRPr="00610B1B">
        <w:rPr>
          <w:rFonts w:ascii="Times New Roman" w:hAnsi="Times New Roman" w:cs="Times New Roman"/>
          <w:bCs/>
          <w:sz w:val="24"/>
          <w:szCs w:val="24"/>
          <w:lang w:val="bg-BG"/>
        </w:rPr>
        <w:t xml:space="preserve"> са публична общинска собственост</w:t>
      </w:r>
      <w:r w:rsidRPr="00610B1B">
        <w:rPr>
          <w:rFonts w:ascii="Times New Roman" w:hAnsi="Times New Roman" w:cs="Times New Roman"/>
          <w:bCs/>
          <w:sz w:val="24"/>
          <w:szCs w:val="24"/>
          <w:lang w:val="bg-BG"/>
        </w:rPr>
        <w:t>.</w:t>
      </w:r>
      <w:r w:rsidR="00D07D69" w:rsidRPr="00610B1B">
        <w:rPr>
          <w:rFonts w:ascii="Times New Roman" w:hAnsi="Times New Roman" w:cs="Times New Roman"/>
          <w:lang w:val="bg-BG"/>
        </w:rPr>
        <w:t xml:space="preserve"> </w:t>
      </w:r>
    </w:p>
    <w:p w14:paraId="181D4D6A" w14:textId="60B309A0" w:rsidR="00D07D69" w:rsidRPr="00610B1B" w:rsidRDefault="000D13E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Със </w:t>
      </w:r>
      <w:r w:rsidR="00D07D69" w:rsidRPr="00610B1B">
        <w:rPr>
          <w:rFonts w:ascii="Times New Roman" w:hAnsi="Times New Roman" w:cs="Times New Roman"/>
          <w:bCs/>
          <w:sz w:val="24"/>
          <w:szCs w:val="24"/>
          <w:lang w:val="bg-BG"/>
        </w:rPr>
        <w:t xml:space="preserve">ЗУЧК </w:t>
      </w:r>
      <w:r w:rsidRPr="00610B1B">
        <w:rPr>
          <w:rFonts w:ascii="Times New Roman" w:hAnsi="Times New Roman" w:cs="Times New Roman"/>
          <w:bCs/>
          <w:sz w:val="24"/>
          <w:szCs w:val="24"/>
          <w:lang w:val="bg-BG"/>
        </w:rPr>
        <w:t>са определени зоните</w:t>
      </w:r>
      <w:r w:rsidR="00857179" w:rsidRPr="00610B1B">
        <w:rPr>
          <w:rFonts w:ascii="Times New Roman" w:hAnsi="Times New Roman" w:cs="Times New Roman"/>
          <w:bCs/>
          <w:sz w:val="24"/>
          <w:szCs w:val="24"/>
          <w:lang w:val="bg-BG"/>
        </w:rPr>
        <w:t xml:space="preserve"> с </w:t>
      </w:r>
      <w:r w:rsidRPr="00610B1B">
        <w:rPr>
          <w:rFonts w:ascii="Times New Roman" w:hAnsi="Times New Roman" w:cs="Times New Roman"/>
          <w:bCs/>
          <w:sz w:val="24"/>
          <w:szCs w:val="24"/>
          <w:lang w:val="bg-BG"/>
        </w:rPr>
        <w:t xml:space="preserve">различни режими </w:t>
      </w:r>
      <w:r w:rsidR="009D7337" w:rsidRPr="00610B1B">
        <w:rPr>
          <w:rFonts w:ascii="Times New Roman" w:hAnsi="Times New Roman" w:cs="Times New Roman"/>
          <w:bCs/>
          <w:sz w:val="24"/>
          <w:szCs w:val="24"/>
          <w:lang w:val="bg-BG"/>
        </w:rPr>
        <w:t xml:space="preserve">на устройство </w:t>
      </w:r>
      <w:r w:rsidRPr="00610B1B">
        <w:rPr>
          <w:rFonts w:ascii="Times New Roman" w:hAnsi="Times New Roman" w:cs="Times New Roman"/>
          <w:bCs/>
          <w:sz w:val="24"/>
          <w:szCs w:val="24"/>
          <w:lang w:val="bg-BG"/>
        </w:rPr>
        <w:t xml:space="preserve">в съответствие с тяхната привлекателност, чувствителност и натовареност. </w:t>
      </w:r>
      <w:r w:rsidR="00D07D69" w:rsidRPr="00610B1B">
        <w:rPr>
          <w:rFonts w:ascii="Times New Roman" w:hAnsi="Times New Roman" w:cs="Times New Roman"/>
          <w:bCs/>
          <w:sz w:val="24"/>
          <w:szCs w:val="24"/>
          <w:lang w:val="bg-BG"/>
        </w:rPr>
        <w:t xml:space="preserve">Зона </w:t>
      </w:r>
      <w:r w:rsidR="002F377F" w:rsidRPr="00610B1B">
        <w:rPr>
          <w:rFonts w:ascii="Times New Roman" w:hAnsi="Times New Roman" w:cs="Times New Roman"/>
          <w:bCs/>
          <w:sz w:val="24"/>
          <w:szCs w:val="24"/>
          <w:lang w:val="bg-BG"/>
        </w:rPr>
        <w:t>„А“</w:t>
      </w:r>
      <w:r w:rsidR="00D07D69" w:rsidRPr="00610B1B">
        <w:rPr>
          <w:rFonts w:ascii="Times New Roman" w:hAnsi="Times New Roman" w:cs="Times New Roman"/>
          <w:bCs/>
          <w:sz w:val="24"/>
          <w:szCs w:val="24"/>
          <w:lang w:val="bg-BG"/>
        </w:rPr>
        <w:t>, с режим на особена териториалноустройствена защита обхваща частта на акваторията на Черно море</w:t>
      </w:r>
      <w:r w:rsidR="00D66FE0" w:rsidRPr="00610B1B">
        <w:rPr>
          <w:rFonts w:ascii="Times New Roman" w:hAnsi="Times New Roman" w:cs="Times New Roman"/>
          <w:bCs/>
          <w:sz w:val="24"/>
          <w:szCs w:val="24"/>
          <w:lang w:val="bg-BG"/>
        </w:rPr>
        <w:t xml:space="preserve"> </w:t>
      </w:r>
      <w:r w:rsidR="00D07D69" w:rsidRPr="00610B1B">
        <w:rPr>
          <w:rFonts w:ascii="Times New Roman" w:hAnsi="Times New Roman" w:cs="Times New Roman"/>
          <w:bCs/>
          <w:sz w:val="24"/>
          <w:szCs w:val="24"/>
          <w:lang w:val="bg-BG"/>
        </w:rPr>
        <w:t xml:space="preserve">с широчина 200 m, измерена от бреговата линия, крайбрежната плажна ивица и част от територията, попадаща в ивица с широчина 100 m извън населените места, измерена по хоризонтала от границите на морския бряг или на морските плажове. Зона </w:t>
      </w:r>
      <w:r w:rsidR="002F377F" w:rsidRPr="00610B1B">
        <w:rPr>
          <w:rFonts w:ascii="Times New Roman" w:hAnsi="Times New Roman" w:cs="Times New Roman"/>
          <w:bCs/>
          <w:sz w:val="24"/>
          <w:szCs w:val="24"/>
          <w:lang w:val="bg-BG"/>
        </w:rPr>
        <w:t>„Б“</w:t>
      </w:r>
      <w:r w:rsidR="00D07D69" w:rsidRPr="00610B1B">
        <w:rPr>
          <w:rFonts w:ascii="Times New Roman" w:hAnsi="Times New Roman" w:cs="Times New Roman"/>
          <w:bCs/>
          <w:sz w:val="24"/>
          <w:szCs w:val="24"/>
          <w:lang w:val="bg-BG"/>
        </w:rPr>
        <w:t xml:space="preserve">, със специфични характеристики и специален режим за опазване на териториалните ресурси, обхваща териториите в ивицата с широчина 2 km от границата на зона </w:t>
      </w:r>
      <w:r w:rsidR="002F377F" w:rsidRPr="00610B1B">
        <w:rPr>
          <w:rFonts w:ascii="Times New Roman" w:hAnsi="Times New Roman" w:cs="Times New Roman"/>
          <w:bCs/>
          <w:sz w:val="24"/>
          <w:szCs w:val="24"/>
          <w:lang w:val="bg-BG"/>
        </w:rPr>
        <w:t>„А“</w:t>
      </w:r>
      <w:r w:rsidR="00D07D69" w:rsidRPr="00610B1B">
        <w:rPr>
          <w:rFonts w:ascii="Times New Roman" w:hAnsi="Times New Roman" w:cs="Times New Roman"/>
          <w:bCs/>
          <w:sz w:val="24"/>
          <w:szCs w:val="24"/>
          <w:lang w:val="bg-BG"/>
        </w:rPr>
        <w:t>, с изключение на урбанизиранит</w:t>
      </w:r>
      <w:r w:rsidR="0037269C" w:rsidRPr="00610B1B">
        <w:rPr>
          <w:rFonts w:ascii="Times New Roman" w:hAnsi="Times New Roman" w:cs="Times New Roman"/>
          <w:bCs/>
          <w:sz w:val="24"/>
          <w:szCs w:val="24"/>
          <w:lang w:val="bg-BG"/>
        </w:rPr>
        <w:t>е територии</w:t>
      </w:r>
      <w:r w:rsidR="00D07D69" w:rsidRPr="00610B1B">
        <w:rPr>
          <w:rFonts w:ascii="Times New Roman" w:hAnsi="Times New Roman" w:cs="Times New Roman"/>
          <w:bCs/>
          <w:sz w:val="24"/>
          <w:szCs w:val="24"/>
          <w:lang w:val="bg-BG"/>
        </w:rPr>
        <w:t>.</w:t>
      </w:r>
      <w:r w:rsidR="003B00FD" w:rsidRPr="00610B1B">
        <w:rPr>
          <w:rFonts w:ascii="Times New Roman" w:hAnsi="Times New Roman" w:cs="Times New Roman"/>
          <w:bCs/>
          <w:sz w:val="24"/>
          <w:szCs w:val="24"/>
          <w:lang w:val="bg-BG"/>
        </w:rPr>
        <w:t xml:space="preserve"> </w:t>
      </w:r>
      <w:r w:rsidR="00857179" w:rsidRPr="00610B1B">
        <w:rPr>
          <w:rFonts w:ascii="Times New Roman" w:hAnsi="Times New Roman" w:cs="Times New Roman"/>
          <w:bCs/>
          <w:i/>
          <w:iCs/>
          <w:sz w:val="24"/>
          <w:szCs w:val="24"/>
          <w:lang w:val="bg-BG"/>
        </w:rPr>
        <w:t>Именно в</w:t>
      </w:r>
      <w:r w:rsidR="003B00FD" w:rsidRPr="00610B1B">
        <w:rPr>
          <w:rFonts w:ascii="Times New Roman" w:hAnsi="Times New Roman" w:cs="Times New Roman"/>
          <w:bCs/>
          <w:i/>
          <w:iCs/>
          <w:sz w:val="24"/>
          <w:szCs w:val="24"/>
          <w:lang w:val="bg-BG"/>
        </w:rPr>
        <w:t xml:space="preserve"> тези граници на двете зони са търсени най-важните взаимодействия между пространственото планиране на територията и в акваторията. </w:t>
      </w:r>
    </w:p>
    <w:p w14:paraId="46C3734D" w14:textId="1638F01B" w:rsidR="002478BD" w:rsidRPr="00610B1B" w:rsidRDefault="008152C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биологичното разнообразие</w:t>
      </w:r>
      <w:r w:rsidR="003B00FD" w:rsidRPr="00610B1B">
        <w:rPr>
          <w:rStyle w:val="FootnoteReference"/>
          <w:rFonts w:ascii="Times New Roman" w:hAnsi="Times New Roman" w:cs="Times New Roman"/>
          <w:bCs/>
          <w:sz w:val="24"/>
          <w:szCs w:val="24"/>
          <w:lang w:val="bg-BG"/>
        </w:rPr>
        <w:footnoteReference w:id="45"/>
      </w:r>
      <w:r w:rsidR="009A114F" w:rsidRPr="00610B1B">
        <w:rPr>
          <w:rFonts w:ascii="Times New Roman" w:hAnsi="Times New Roman" w:cs="Times New Roman"/>
          <w:b/>
          <w:sz w:val="24"/>
          <w:szCs w:val="24"/>
          <w:lang w:val="bg-BG"/>
        </w:rPr>
        <w:t xml:space="preserve"> </w:t>
      </w:r>
      <w:r w:rsidR="009A114F" w:rsidRPr="00610B1B">
        <w:rPr>
          <w:rFonts w:ascii="Times New Roman" w:hAnsi="Times New Roman" w:cs="Times New Roman"/>
          <w:bCs/>
          <w:sz w:val="24"/>
          <w:szCs w:val="24"/>
          <w:lang w:val="bg-BG"/>
        </w:rPr>
        <w:t>се фокусира върху</w:t>
      </w:r>
      <w:r w:rsidR="009A114F" w:rsidRPr="00610B1B">
        <w:rPr>
          <w:rFonts w:ascii="Times New Roman" w:hAnsi="Times New Roman" w:cs="Times New Roman"/>
          <w:b/>
          <w:sz w:val="24"/>
          <w:szCs w:val="24"/>
          <w:lang w:val="bg-BG"/>
        </w:rPr>
        <w:t xml:space="preserve"> </w:t>
      </w:r>
      <w:r w:rsidR="009A114F" w:rsidRPr="00610B1B">
        <w:rPr>
          <w:rFonts w:ascii="Times New Roman" w:hAnsi="Times New Roman" w:cs="Times New Roman"/>
          <w:bCs/>
          <w:sz w:val="24"/>
          <w:szCs w:val="24"/>
          <w:lang w:val="bg-BG"/>
        </w:rPr>
        <w:t xml:space="preserve">елементите на националната екологична мрежа, създадена </w:t>
      </w:r>
      <w:r w:rsidR="0085174B" w:rsidRPr="00610B1B">
        <w:rPr>
          <w:rFonts w:ascii="Times New Roman" w:hAnsi="Times New Roman" w:cs="Times New Roman"/>
          <w:bCs/>
          <w:sz w:val="24"/>
          <w:szCs w:val="24"/>
          <w:lang w:val="bg-BG"/>
        </w:rPr>
        <w:t>за</w:t>
      </w:r>
      <w:r w:rsidR="009A114F" w:rsidRPr="00610B1B">
        <w:rPr>
          <w:rFonts w:ascii="Times New Roman" w:hAnsi="Times New Roman" w:cs="Times New Roman"/>
          <w:bCs/>
          <w:sz w:val="24"/>
          <w:szCs w:val="24"/>
          <w:lang w:val="bg-BG"/>
        </w:rPr>
        <w:t xml:space="preserve"> да съхрани биологичното разнообразие. Той</w:t>
      </w:r>
      <w:r w:rsidR="00225025" w:rsidRPr="00610B1B">
        <w:rPr>
          <w:rFonts w:ascii="Times New Roman" w:hAnsi="Times New Roman" w:cs="Times New Roman"/>
          <w:bCs/>
          <w:sz w:val="24"/>
          <w:szCs w:val="24"/>
          <w:lang w:val="bg-BG"/>
        </w:rPr>
        <w:t xml:space="preserve"> </w:t>
      </w:r>
      <w:r w:rsidR="009A114F" w:rsidRPr="00610B1B">
        <w:rPr>
          <w:rFonts w:ascii="Times New Roman" w:hAnsi="Times New Roman" w:cs="Times New Roman"/>
          <w:bCs/>
          <w:sz w:val="24"/>
          <w:szCs w:val="24"/>
          <w:lang w:val="bg-BG"/>
        </w:rPr>
        <w:t xml:space="preserve">не предлага по-различни регулации </w:t>
      </w:r>
      <w:r w:rsidR="00225025" w:rsidRPr="00610B1B">
        <w:rPr>
          <w:rFonts w:ascii="Times New Roman" w:hAnsi="Times New Roman" w:cs="Times New Roman"/>
          <w:bCs/>
          <w:sz w:val="24"/>
          <w:szCs w:val="24"/>
          <w:lang w:val="bg-BG"/>
        </w:rPr>
        <w:t xml:space="preserve">за </w:t>
      </w:r>
      <w:r w:rsidR="009A114F" w:rsidRPr="00610B1B">
        <w:rPr>
          <w:rFonts w:ascii="Times New Roman" w:hAnsi="Times New Roman" w:cs="Times New Roman"/>
          <w:bCs/>
          <w:sz w:val="24"/>
          <w:szCs w:val="24"/>
          <w:lang w:val="bg-BG"/>
        </w:rPr>
        <w:t xml:space="preserve">опазване на защитените местообитанията и на защитените и застрашените видове за </w:t>
      </w:r>
      <w:r w:rsidR="00225025" w:rsidRPr="00610B1B">
        <w:rPr>
          <w:rFonts w:ascii="Times New Roman" w:hAnsi="Times New Roman" w:cs="Times New Roman"/>
          <w:bCs/>
          <w:sz w:val="24"/>
          <w:szCs w:val="24"/>
          <w:lang w:val="bg-BG"/>
        </w:rPr>
        <w:t>целите на морското пространствено планиране</w:t>
      </w:r>
      <w:r w:rsidR="009A114F" w:rsidRPr="00610B1B">
        <w:rPr>
          <w:rFonts w:ascii="Times New Roman" w:hAnsi="Times New Roman" w:cs="Times New Roman"/>
          <w:bCs/>
          <w:sz w:val="24"/>
          <w:szCs w:val="24"/>
          <w:lang w:val="bg-BG"/>
        </w:rPr>
        <w:t>. Поставените под защита зони в акваторията на Черно море са част от Националната екологична мрежа (НЕМ) и от екологичната мрежа НАТУРА 2000 на Европейския съюз, към която важат същите ограничения и изисквания, правила и норми</w:t>
      </w:r>
      <w:r w:rsidR="002478BD" w:rsidRPr="00610B1B">
        <w:rPr>
          <w:rFonts w:ascii="Times New Roman" w:hAnsi="Times New Roman" w:cs="Times New Roman"/>
          <w:bCs/>
          <w:sz w:val="24"/>
          <w:szCs w:val="24"/>
          <w:lang w:val="bg-BG"/>
        </w:rPr>
        <w:t xml:space="preserve">, както към тези, разположени по крайбрежието и </w:t>
      </w:r>
      <w:r w:rsidR="0085174B" w:rsidRPr="00610B1B">
        <w:rPr>
          <w:rFonts w:ascii="Times New Roman" w:hAnsi="Times New Roman" w:cs="Times New Roman"/>
          <w:bCs/>
          <w:sz w:val="24"/>
          <w:szCs w:val="24"/>
          <w:lang w:val="bg-BG"/>
        </w:rPr>
        <w:t>вътрешността</w:t>
      </w:r>
      <w:r w:rsidR="002478BD" w:rsidRPr="00610B1B">
        <w:rPr>
          <w:rFonts w:ascii="Times New Roman" w:hAnsi="Times New Roman" w:cs="Times New Roman"/>
          <w:bCs/>
          <w:sz w:val="24"/>
          <w:szCs w:val="24"/>
          <w:lang w:val="bg-BG"/>
        </w:rPr>
        <w:t xml:space="preserve"> на страната</w:t>
      </w:r>
      <w:r w:rsidR="009A114F" w:rsidRPr="00610B1B">
        <w:rPr>
          <w:rFonts w:ascii="Times New Roman" w:hAnsi="Times New Roman" w:cs="Times New Roman"/>
          <w:bCs/>
          <w:sz w:val="24"/>
          <w:szCs w:val="24"/>
          <w:lang w:val="bg-BG"/>
        </w:rPr>
        <w:t xml:space="preserve">. </w:t>
      </w:r>
      <w:r w:rsidR="002478BD" w:rsidRPr="00610B1B">
        <w:rPr>
          <w:rFonts w:ascii="Times New Roman" w:hAnsi="Times New Roman" w:cs="Times New Roman"/>
          <w:bCs/>
          <w:sz w:val="24"/>
          <w:szCs w:val="24"/>
          <w:lang w:val="bg-BG"/>
        </w:rPr>
        <w:t xml:space="preserve">За целите на Морския пространствен план се разглеждат само онези елементи на НЕМ, които са в акваторията или в бреговата част на прилежащата крайбрежна зона в съприкосновение с морето. </w:t>
      </w:r>
    </w:p>
    <w:p w14:paraId="63D9F363" w14:textId="5E3EC4A5" w:rsidR="008152C1" w:rsidRPr="00610B1B" w:rsidRDefault="008152C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защитените територии</w:t>
      </w:r>
      <w:r w:rsidR="009A114F" w:rsidRPr="00610B1B">
        <w:rPr>
          <w:rStyle w:val="FootnoteReference"/>
          <w:rFonts w:ascii="Times New Roman" w:hAnsi="Times New Roman" w:cs="Times New Roman"/>
          <w:bCs/>
          <w:sz w:val="24"/>
          <w:szCs w:val="24"/>
          <w:lang w:val="bg-BG"/>
        </w:rPr>
        <w:footnoteReference w:id="46"/>
      </w:r>
      <w:r w:rsidR="009A114F" w:rsidRPr="00610B1B">
        <w:rPr>
          <w:rFonts w:ascii="Times New Roman" w:hAnsi="Times New Roman" w:cs="Times New Roman"/>
          <w:b/>
          <w:sz w:val="24"/>
          <w:szCs w:val="24"/>
          <w:lang w:val="bg-BG"/>
        </w:rPr>
        <w:t xml:space="preserve"> </w:t>
      </w:r>
      <w:r w:rsidR="009A114F" w:rsidRPr="00610B1B">
        <w:rPr>
          <w:rFonts w:ascii="Times New Roman" w:hAnsi="Times New Roman" w:cs="Times New Roman"/>
          <w:bCs/>
          <w:sz w:val="24"/>
          <w:szCs w:val="24"/>
          <w:lang w:val="bg-BG"/>
        </w:rPr>
        <w:t>третира по аналогичен начин като Закона за биологичното разнообразие защитените територии</w:t>
      </w:r>
      <w:r w:rsidR="0037269C" w:rsidRPr="00610B1B">
        <w:rPr>
          <w:rFonts w:ascii="Times New Roman" w:hAnsi="Times New Roman" w:cs="Times New Roman"/>
          <w:bCs/>
          <w:sz w:val="24"/>
          <w:szCs w:val="24"/>
          <w:lang w:val="bg-BG"/>
        </w:rPr>
        <w:t xml:space="preserve"> и определя различни категории</w:t>
      </w:r>
      <w:r w:rsidR="002478BD" w:rsidRPr="00610B1B">
        <w:rPr>
          <w:rFonts w:ascii="Times New Roman" w:hAnsi="Times New Roman" w:cs="Times New Roman"/>
          <w:bCs/>
          <w:sz w:val="24"/>
          <w:szCs w:val="24"/>
          <w:lang w:val="bg-BG"/>
        </w:rPr>
        <w:t>, урежда тяхното „предназначение и режим на опазване и ползване, обявяване и управление“. Съгласно чл. 5. на този закон и в съответствие със световната практика в България са въведени категории</w:t>
      </w:r>
      <w:r w:rsidR="0037269C" w:rsidRPr="00610B1B">
        <w:rPr>
          <w:rFonts w:ascii="Times New Roman" w:hAnsi="Times New Roman" w:cs="Times New Roman"/>
          <w:bCs/>
          <w:sz w:val="24"/>
          <w:szCs w:val="24"/>
          <w:lang w:val="bg-BG"/>
        </w:rPr>
        <w:t>те резерват, национален парк, природна забележителност, поддържан резерват,</w:t>
      </w:r>
      <w:r w:rsidR="002478BD" w:rsidRPr="00610B1B">
        <w:rPr>
          <w:rFonts w:ascii="Times New Roman" w:hAnsi="Times New Roman" w:cs="Times New Roman"/>
          <w:bCs/>
          <w:sz w:val="24"/>
          <w:szCs w:val="24"/>
          <w:lang w:val="bg-BG"/>
        </w:rPr>
        <w:t xml:space="preserve"> природен парк и защитена местност.</w:t>
      </w:r>
      <w:r w:rsidR="00FE5635" w:rsidRPr="00610B1B">
        <w:rPr>
          <w:rFonts w:ascii="Times New Roman" w:hAnsi="Times New Roman" w:cs="Times New Roman"/>
          <w:bCs/>
          <w:sz w:val="24"/>
          <w:szCs w:val="24"/>
          <w:lang w:val="bg-BG"/>
        </w:rPr>
        <w:t xml:space="preserve"> </w:t>
      </w:r>
      <w:r w:rsidR="0085174B" w:rsidRPr="00610B1B">
        <w:rPr>
          <w:rFonts w:ascii="Times New Roman" w:hAnsi="Times New Roman" w:cs="Times New Roman"/>
          <w:bCs/>
          <w:sz w:val="24"/>
          <w:szCs w:val="24"/>
          <w:lang w:val="bg-BG"/>
        </w:rPr>
        <w:t>В обхвата на м</w:t>
      </w:r>
      <w:r w:rsidR="00FE5635" w:rsidRPr="00610B1B">
        <w:rPr>
          <w:rFonts w:ascii="Times New Roman" w:hAnsi="Times New Roman" w:cs="Times New Roman"/>
          <w:bCs/>
          <w:sz w:val="24"/>
          <w:szCs w:val="24"/>
          <w:lang w:val="bg-BG"/>
        </w:rPr>
        <w:t xml:space="preserve">орския </w:t>
      </w:r>
      <w:r w:rsidR="00FE5635" w:rsidRPr="00610B1B">
        <w:rPr>
          <w:rFonts w:ascii="Times New Roman" w:hAnsi="Times New Roman" w:cs="Times New Roman"/>
          <w:bCs/>
          <w:sz w:val="24"/>
          <w:szCs w:val="24"/>
          <w:lang w:val="bg-BG"/>
        </w:rPr>
        <w:lastRenderedPageBreak/>
        <w:t xml:space="preserve">пространствен план </w:t>
      </w:r>
      <w:r w:rsidR="00A97E58" w:rsidRPr="00610B1B">
        <w:rPr>
          <w:rFonts w:ascii="Times New Roman" w:hAnsi="Times New Roman" w:cs="Times New Roman"/>
          <w:bCs/>
          <w:sz w:val="24"/>
          <w:szCs w:val="24"/>
          <w:lang w:val="bg-BG"/>
        </w:rPr>
        <w:t xml:space="preserve">са включени само онези защитени територии, чието екологично равновесие и биологично разнообразие зависят </w:t>
      </w:r>
      <w:r w:rsidR="0037269C" w:rsidRPr="00610B1B">
        <w:rPr>
          <w:rFonts w:ascii="Times New Roman" w:hAnsi="Times New Roman" w:cs="Times New Roman"/>
          <w:bCs/>
          <w:sz w:val="24"/>
          <w:szCs w:val="24"/>
          <w:lang w:val="bg-BG"/>
        </w:rPr>
        <w:t xml:space="preserve">от </w:t>
      </w:r>
      <w:r w:rsidR="00A97E58" w:rsidRPr="00610B1B">
        <w:rPr>
          <w:rFonts w:ascii="Times New Roman" w:hAnsi="Times New Roman" w:cs="Times New Roman"/>
          <w:bCs/>
          <w:sz w:val="24"/>
          <w:szCs w:val="24"/>
          <w:lang w:val="bg-BG"/>
        </w:rPr>
        <w:t xml:space="preserve">или могат да повлияят върху състоянието на морската околна среда. </w:t>
      </w:r>
    </w:p>
    <w:p w14:paraId="33DA4A46" w14:textId="447C9AF7" w:rsidR="008152C1" w:rsidRPr="00610B1B" w:rsidRDefault="008152C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подземните богатства</w:t>
      </w:r>
      <w:r w:rsidRPr="00610B1B">
        <w:rPr>
          <w:rStyle w:val="FootnoteReference"/>
          <w:rFonts w:ascii="Times New Roman" w:hAnsi="Times New Roman" w:cs="Times New Roman"/>
          <w:bCs/>
          <w:sz w:val="24"/>
          <w:szCs w:val="24"/>
          <w:lang w:val="bg-BG"/>
        </w:rPr>
        <w:footnoteReference w:id="47"/>
      </w:r>
      <w:r w:rsidRPr="00610B1B">
        <w:rPr>
          <w:rFonts w:ascii="Times New Roman" w:hAnsi="Times New Roman" w:cs="Times New Roman"/>
          <w:bCs/>
          <w:sz w:val="24"/>
          <w:szCs w:val="24"/>
          <w:lang w:val="bg-BG"/>
        </w:rPr>
        <w:t xml:space="preserve"> урежда условията и реда за търсене, проучване и добив на подземните богатства на територията на Република България, в континенталния шелф и в изключителната икономическа зона в Черно море; опазването на земните недра и управлението на отпадъците от проучвателната, добивната и преработвателната дейност.</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Той не се прилага за добив на соли и елементи от морската вода. </w:t>
      </w:r>
    </w:p>
    <w:p w14:paraId="7AF4F896" w14:textId="215FEDDD" w:rsidR="008152C1" w:rsidRPr="00610B1B" w:rsidRDefault="008152C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
          <w:sz w:val="24"/>
          <w:szCs w:val="24"/>
          <w:lang w:val="bg-BG"/>
        </w:rPr>
        <w:t>Законът за рибарство и аквакултури</w:t>
      </w:r>
      <w:r w:rsidR="00EE6959" w:rsidRPr="00610B1B">
        <w:rPr>
          <w:rStyle w:val="FootnoteReference"/>
          <w:rFonts w:ascii="Times New Roman" w:hAnsi="Times New Roman" w:cs="Times New Roman"/>
          <w:bCs/>
          <w:sz w:val="24"/>
          <w:szCs w:val="24"/>
          <w:lang w:val="bg-BG"/>
        </w:rPr>
        <w:footnoteReference w:id="48"/>
      </w:r>
      <w:r w:rsidRPr="00610B1B">
        <w:rPr>
          <w:rFonts w:ascii="Times New Roman" w:hAnsi="Times New Roman" w:cs="Times New Roman"/>
          <w:bCs/>
          <w:sz w:val="24"/>
          <w:szCs w:val="24"/>
          <w:lang w:val="bg-BG"/>
        </w:rPr>
        <w:t xml:space="preserve"> урежда отношенията, свързани със собствеността, организацията, управлението, ползването и опазването на рибните ресурси във водите на Република България, търговията с риба и други водни организми. Законът има за цел да осигури „устойчиво развитие на рибните ресурси, възстановяване и опазване на биологичното равновесие и обогатяване на разнообразието </w:t>
      </w:r>
      <w:r w:rsidR="004617B8" w:rsidRPr="00610B1B">
        <w:rPr>
          <w:rFonts w:ascii="Times New Roman" w:hAnsi="Times New Roman" w:cs="Times New Roman"/>
          <w:bCs/>
          <w:sz w:val="24"/>
          <w:szCs w:val="24"/>
          <w:lang w:val="bg-BG"/>
        </w:rPr>
        <w:t>им</w:t>
      </w:r>
      <w:r w:rsidRPr="00610B1B">
        <w:rPr>
          <w:rFonts w:ascii="Times New Roman" w:hAnsi="Times New Roman" w:cs="Times New Roman"/>
          <w:bCs/>
          <w:sz w:val="24"/>
          <w:szCs w:val="24"/>
          <w:lang w:val="bg-BG"/>
        </w:rPr>
        <w:t xml:space="preserve"> във водните екосистеми; развитие на стопанския и любителския риболов и аквакултурите и повишаване потреблението на риба и рибни продукти в страната</w:t>
      </w:r>
      <w:r w:rsidR="00EE6959"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w:t>
      </w:r>
      <w:r w:rsidR="00BB033C"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Важно място е отделено на опазването на рибните ресурси </w:t>
      </w:r>
      <w:r w:rsidR="00EE6959" w:rsidRPr="00610B1B">
        <w:rPr>
          <w:rFonts w:ascii="Times New Roman" w:hAnsi="Times New Roman" w:cs="Times New Roman"/>
          <w:bCs/>
          <w:sz w:val="24"/>
          <w:szCs w:val="24"/>
          <w:lang w:val="bg-BG"/>
        </w:rPr>
        <w:t>и са пре</w:t>
      </w:r>
      <w:r w:rsidRPr="00610B1B">
        <w:rPr>
          <w:rFonts w:ascii="Times New Roman" w:hAnsi="Times New Roman" w:cs="Times New Roman"/>
          <w:bCs/>
          <w:sz w:val="24"/>
          <w:szCs w:val="24"/>
          <w:lang w:val="bg-BG"/>
        </w:rPr>
        <w:t>двидени мерки и дейности, които пряко касаят черноморските води - улова, методите и съоръженията за риболов, срокове</w:t>
      </w:r>
      <w:r w:rsidR="00BB033C" w:rsidRPr="00610B1B">
        <w:rPr>
          <w:rFonts w:ascii="Times New Roman" w:hAnsi="Times New Roman" w:cs="Times New Roman"/>
          <w:bCs/>
          <w:sz w:val="24"/>
          <w:szCs w:val="24"/>
          <w:lang w:val="bg-BG"/>
        </w:rPr>
        <w:t>те и</w:t>
      </w:r>
      <w:r w:rsidRPr="00610B1B">
        <w:rPr>
          <w:rFonts w:ascii="Times New Roman" w:hAnsi="Times New Roman" w:cs="Times New Roman"/>
          <w:bCs/>
          <w:sz w:val="24"/>
          <w:szCs w:val="24"/>
          <w:lang w:val="bg-BG"/>
        </w:rPr>
        <w:t xml:space="preserve"> забрани</w:t>
      </w:r>
      <w:r w:rsidR="00BB033C"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w:t>
      </w:r>
    </w:p>
    <w:p w14:paraId="086588A1" w14:textId="349B22ED" w:rsidR="00DB2DA1" w:rsidRPr="00610B1B" w:rsidRDefault="00DB2DA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w:t>
      </w:r>
      <w:r w:rsidRPr="00610B1B">
        <w:rPr>
          <w:rFonts w:ascii="Times New Roman" w:hAnsi="Times New Roman" w:cs="Times New Roman"/>
          <w:b/>
          <w:sz w:val="24"/>
          <w:szCs w:val="24"/>
          <w:lang w:val="bg-BG"/>
        </w:rPr>
        <w:t>Закона за здравето</w:t>
      </w:r>
      <w:r w:rsidRPr="00610B1B">
        <w:rPr>
          <w:rStyle w:val="FootnoteReference"/>
          <w:rFonts w:ascii="Times New Roman" w:hAnsi="Times New Roman" w:cs="Times New Roman"/>
          <w:bCs/>
          <w:sz w:val="24"/>
          <w:szCs w:val="24"/>
          <w:lang w:val="bg-BG"/>
        </w:rPr>
        <w:footnoteReference w:id="49"/>
      </w:r>
      <w:r w:rsidRPr="00610B1B">
        <w:rPr>
          <w:rFonts w:ascii="Times New Roman" w:hAnsi="Times New Roman" w:cs="Times New Roman"/>
          <w:bCs/>
          <w:sz w:val="24"/>
          <w:szCs w:val="24"/>
          <w:lang w:val="bg-BG"/>
        </w:rPr>
        <w:t xml:space="preserve"> </w:t>
      </w:r>
      <w:r w:rsidR="002F377F" w:rsidRPr="00610B1B">
        <w:rPr>
          <w:rFonts w:ascii="Times New Roman" w:hAnsi="Times New Roman" w:cs="Times New Roman"/>
          <w:bCs/>
          <w:sz w:val="24"/>
          <w:szCs w:val="24"/>
          <w:lang w:val="bg-BG"/>
        </w:rPr>
        <w:t>к</w:t>
      </w:r>
      <w:r w:rsidR="006A569B" w:rsidRPr="00610B1B">
        <w:rPr>
          <w:rFonts w:ascii="Times New Roman" w:hAnsi="Times New Roman" w:cs="Times New Roman"/>
          <w:bCs/>
          <w:sz w:val="24"/>
          <w:szCs w:val="24"/>
          <w:lang w:val="bg-BG"/>
        </w:rPr>
        <w:t>ато</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курортни ресурси</w:t>
      </w:r>
      <w:r w:rsidR="006A569B"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са определени крайбрежната плажна ивица и местностите с благоприятни за профилактика, лечение и рехабилитация биоклиматични условия. Министърът на здравеопазването съвместно с министъра на регионалното развитие и благоустройството, министъра на околната среда и водите и министъра на туризма определят с наредби условията и реда за използването и опазването на курортните ресурси</w:t>
      </w:r>
      <w:r w:rsidR="006A569B" w:rsidRPr="00610B1B">
        <w:rPr>
          <w:rFonts w:ascii="Times New Roman" w:hAnsi="Times New Roman" w:cs="Times New Roman"/>
          <w:bCs/>
          <w:sz w:val="24"/>
          <w:szCs w:val="24"/>
          <w:lang w:val="bg-BG"/>
        </w:rPr>
        <w:t xml:space="preserve"> и</w:t>
      </w:r>
      <w:r w:rsidRPr="00610B1B">
        <w:rPr>
          <w:rFonts w:ascii="Times New Roman" w:hAnsi="Times New Roman" w:cs="Times New Roman"/>
          <w:bCs/>
          <w:sz w:val="24"/>
          <w:szCs w:val="24"/>
          <w:lang w:val="bg-BG"/>
        </w:rPr>
        <w:t xml:space="preserve"> определя</w:t>
      </w:r>
      <w:r w:rsidR="006A569B" w:rsidRPr="00610B1B">
        <w:rPr>
          <w:rFonts w:ascii="Times New Roman" w:hAnsi="Times New Roman" w:cs="Times New Roman"/>
          <w:bCs/>
          <w:sz w:val="24"/>
          <w:szCs w:val="24"/>
          <w:lang w:val="bg-BG"/>
        </w:rPr>
        <w:t>т</w:t>
      </w:r>
      <w:r w:rsidRPr="00610B1B">
        <w:rPr>
          <w:rFonts w:ascii="Times New Roman" w:hAnsi="Times New Roman" w:cs="Times New Roman"/>
          <w:bCs/>
          <w:sz w:val="24"/>
          <w:szCs w:val="24"/>
          <w:lang w:val="bg-BG"/>
        </w:rPr>
        <w:t xml:space="preserve"> капацитета на тези територии и акваторията. Утвърждават се</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охранителни зони и охранителен режим за опазване на крайбрежната плажна ивица и местностите с благоприятни и подходящи за профилактика, лечение и рехабилитация биоклиматични условия, както и </w:t>
      </w:r>
      <w:r w:rsidR="006A569B" w:rsidRPr="00610B1B">
        <w:rPr>
          <w:rFonts w:ascii="Times New Roman" w:hAnsi="Times New Roman" w:cs="Times New Roman"/>
          <w:bCs/>
          <w:sz w:val="24"/>
          <w:szCs w:val="24"/>
          <w:lang w:val="bg-BG"/>
        </w:rPr>
        <w:t xml:space="preserve">за </w:t>
      </w:r>
      <w:r w:rsidRPr="00610B1B">
        <w:rPr>
          <w:rFonts w:ascii="Times New Roman" w:hAnsi="Times New Roman" w:cs="Times New Roman"/>
          <w:bCs/>
          <w:sz w:val="24"/>
          <w:szCs w:val="24"/>
          <w:lang w:val="bg-BG"/>
        </w:rPr>
        <w:t>експлоатацията на плажовете по Черноморското крайбрежие</w:t>
      </w:r>
      <w:r w:rsidR="008C0BBF" w:rsidRPr="00610B1B">
        <w:rPr>
          <w:rFonts w:ascii="Times New Roman" w:hAnsi="Times New Roman" w:cs="Times New Roman"/>
          <w:bCs/>
          <w:sz w:val="24"/>
          <w:szCs w:val="24"/>
          <w:lang w:val="bg-BG"/>
        </w:rPr>
        <w:t xml:space="preserve">, изискванията към които са развити в </w:t>
      </w:r>
      <w:r w:rsidRPr="00610B1B">
        <w:rPr>
          <w:rFonts w:ascii="Times New Roman" w:hAnsi="Times New Roman" w:cs="Times New Roman"/>
          <w:bCs/>
          <w:sz w:val="24"/>
          <w:szCs w:val="24"/>
          <w:lang w:val="bg-BG"/>
        </w:rPr>
        <w:t>Наредба № 14 за курортните ресурси, курортните местности и курортите</w:t>
      </w:r>
      <w:r w:rsidR="008C0BBF" w:rsidRPr="00610B1B">
        <w:rPr>
          <w:rFonts w:ascii="Times New Roman" w:hAnsi="Times New Roman" w:cs="Times New Roman"/>
          <w:bCs/>
          <w:sz w:val="24"/>
          <w:szCs w:val="24"/>
          <w:lang w:val="bg-BG"/>
        </w:rPr>
        <w:t>.</w:t>
      </w:r>
      <w:r w:rsidR="00BB033C" w:rsidRPr="00610B1B">
        <w:rPr>
          <w:rStyle w:val="FootnoteReference"/>
          <w:rFonts w:ascii="Times New Roman" w:hAnsi="Times New Roman" w:cs="Times New Roman"/>
          <w:bCs/>
          <w:sz w:val="24"/>
          <w:szCs w:val="24"/>
          <w:lang w:val="bg-BG"/>
        </w:rPr>
        <w:footnoteReference w:id="50"/>
      </w:r>
      <w:r w:rsidRPr="00610B1B">
        <w:rPr>
          <w:rFonts w:ascii="Times New Roman" w:hAnsi="Times New Roman" w:cs="Times New Roman"/>
          <w:bCs/>
          <w:sz w:val="24"/>
          <w:szCs w:val="24"/>
          <w:lang w:val="bg-BG"/>
        </w:rPr>
        <w:t xml:space="preserve"> </w:t>
      </w:r>
    </w:p>
    <w:p w14:paraId="6364CC7E" w14:textId="71933798" w:rsidR="00DB0EF5" w:rsidRPr="00610B1B" w:rsidRDefault="00DB0EF5"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Всеки сектор регулира основните дейности, режими, права и задължения, опазването от замърсяване, помощта при аварии и бедствия, </w:t>
      </w:r>
      <w:r w:rsidR="00DB0FAB" w:rsidRPr="00610B1B">
        <w:rPr>
          <w:rFonts w:ascii="Times New Roman" w:hAnsi="Times New Roman" w:cs="Times New Roman"/>
          <w:bCs/>
          <w:sz w:val="24"/>
          <w:szCs w:val="24"/>
          <w:lang w:val="bg-BG"/>
        </w:rPr>
        <w:t>включително</w:t>
      </w:r>
      <w:r w:rsidRPr="00610B1B">
        <w:rPr>
          <w:rFonts w:ascii="Times New Roman" w:hAnsi="Times New Roman" w:cs="Times New Roman"/>
          <w:bCs/>
          <w:sz w:val="24"/>
          <w:szCs w:val="24"/>
          <w:lang w:val="bg-BG"/>
        </w:rPr>
        <w:t xml:space="preserve"> и в морските пространства</w:t>
      </w:r>
      <w:r w:rsidR="002F377F" w:rsidRPr="00610B1B">
        <w:rPr>
          <w:rFonts w:ascii="Times New Roman" w:hAnsi="Times New Roman" w:cs="Times New Roman"/>
          <w:bCs/>
          <w:sz w:val="24"/>
          <w:szCs w:val="24"/>
          <w:lang w:val="bg-BG"/>
        </w:rPr>
        <w:t>,</w:t>
      </w:r>
      <w:r w:rsidR="002F377F" w:rsidRPr="00610B1B">
        <w:rPr>
          <w:rFonts w:ascii="Times New Roman" w:hAnsi="Times New Roman" w:cs="Times New Roman"/>
          <w:lang w:val="bg-BG"/>
        </w:rPr>
        <w:t xml:space="preserve"> </w:t>
      </w:r>
      <w:r w:rsidR="002F377F" w:rsidRPr="00610B1B">
        <w:rPr>
          <w:rFonts w:ascii="Times New Roman" w:hAnsi="Times New Roman" w:cs="Times New Roman"/>
          <w:bCs/>
          <w:sz w:val="24"/>
          <w:szCs w:val="24"/>
          <w:lang w:val="bg-BG"/>
        </w:rPr>
        <w:t>със специ</w:t>
      </w:r>
      <w:r w:rsidR="00B81075" w:rsidRPr="00610B1B">
        <w:rPr>
          <w:rFonts w:ascii="Times New Roman" w:hAnsi="Times New Roman" w:cs="Times New Roman"/>
          <w:bCs/>
          <w:sz w:val="24"/>
          <w:szCs w:val="24"/>
          <w:lang w:val="bg-BG"/>
        </w:rPr>
        <w:t>фични</w:t>
      </w:r>
      <w:r w:rsidR="002F377F" w:rsidRPr="00610B1B">
        <w:rPr>
          <w:rFonts w:ascii="Times New Roman" w:hAnsi="Times New Roman" w:cs="Times New Roman"/>
          <w:bCs/>
          <w:sz w:val="24"/>
          <w:szCs w:val="24"/>
          <w:lang w:val="bg-BG"/>
        </w:rPr>
        <w:t xml:space="preserve"> закони и подзаконови актове</w:t>
      </w:r>
      <w:r w:rsidRPr="00610B1B">
        <w:rPr>
          <w:rFonts w:ascii="Times New Roman" w:hAnsi="Times New Roman" w:cs="Times New Roman"/>
          <w:bCs/>
          <w:sz w:val="24"/>
          <w:szCs w:val="24"/>
          <w:lang w:val="bg-BG"/>
        </w:rPr>
        <w:t>.</w:t>
      </w:r>
    </w:p>
    <w:p w14:paraId="2530CCC6" w14:textId="383BD624" w:rsidR="00836952" w:rsidRPr="00610B1B" w:rsidRDefault="00836952" w:rsidP="00836952">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Всички тези важни международни, общностни, регионални, национални законодателни и стратегически документи са в основата на прогнозните предвиждания на морския пространствен план на Р. България.</w:t>
      </w:r>
    </w:p>
    <w:p w14:paraId="6A92ECE1" w14:textId="77777777" w:rsidR="00906585" w:rsidRPr="00610B1B" w:rsidRDefault="00906585" w:rsidP="00836952">
      <w:pPr>
        <w:spacing w:after="120"/>
        <w:ind w:right="-153"/>
        <w:jc w:val="both"/>
        <w:rPr>
          <w:rFonts w:ascii="Times New Roman" w:hAnsi="Times New Roman" w:cs="Times New Roman"/>
          <w:bCs/>
          <w:sz w:val="24"/>
          <w:szCs w:val="24"/>
          <w:lang w:val="bg-BG"/>
        </w:rPr>
      </w:pPr>
    </w:p>
    <w:p w14:paraId="42B3E722" w14:textId="6959FB5E" w:rsidR="00110E77" w:rsidRPr="00610B1B" w:rsidRDefault="00935FA2" w:rsidP="00D32D6A">
      <w:pPr>
        <w:pStyle w:val="Heading3"/>
        <w:spacing w:before="0" w:line="276" w:lineRule="auto"/>
        <w:ind w:right="-153"/>
        <w:rPr>
          <w:rFonts w:cs="Times New Roman"/>
        </w:rPr>
      </w:pPr>
      <w:bookmarkStart w:id="12" w:name="_Toc83391355"/>
      <w:bookmarkStart w:id="13" w:name="_Hlk128062445"/>
      <w:bookmarkStart w:id="14" w:name="_Hlk39999902"/>
      <w:r w:rsidRPr="00610B1B">
        <w:rPr>
          <w:rFonts w:cs="Times New Roman"/>
        </w:rPr>
        <w:lastRenderedPageBreak/>
        <w:t>1.1</w:t>
      </w:r>
      <w:r w:rsidR="001D3664" w:rsidRPr="00610B1B">
        <w:rPr>
          <w:rFonts w:cs="Times New Roman"/>
        </w:rPr>
        <w:t xml:space="preserve">.4. </w:t>
      </w:r>
      <w:r w:rsidR="00110E77" w:rsidRPr="00610B1B">
        <w:rPr>
          <w:rFonts w:cs="Times New Roman"/>
        </w:rPr>
        <w:t>Пространствена</w:t>
      </w:r>
      <w:r w:rsidR="00370CEC" w:rsidRPr="00610B1B">
        <w:rPr>
          <w:rFonts w:cs="Times New Roman"/>
        </w:rPr>
        <w:t>,</w:t>
      </w:r>
      <w:r w:rsidR="00110E77" w:rsidRPr="00610B1B">
        <w:rPr>
          <w:rFonts w:cs="Times New Roman"/>
        </w:rPr>
        <w:t xml:space="preserve"> </w:t>
      </w:r>
      <w:r w:rsidR="006E5961" w:rsidRPr="00610B1B">
        <w:rPr>
          <w:rFonts w:cs="Times New Roman"/>
        </w:rPr>
        <w:t>времев</w:t>
      </w:r>
      <w:r w:rsidR="00D10B41" w:rsidRPr="00610B1B">
        <w:rPr>
          <w:rFonts w:cs="Times New Roman"/>
        </w:rPr>
        <w:t>а</w:t>
      </w:r>
      <w:r w:rsidR="00370CEC" w:rsidRPr="00610B1B">
        <w:rPr>
          <w:rFonts w:cs="Times New Roman"/>
        </w:rPr>
        <w:t xml:space="preserve"> и тематичн</w:t>
      </w:r>
      <w:r w:rsidR="00D10B41" w:rsidRPr="00610B1B">
        <w:rPr>
          <w:rFonts w:cs="Times New Roman"/>
        </w:rPr>
        <w:t>а</w:t>
      </w:r>
      <w:r w:rsidR="006E5961" w:rsidRPr="00610B1B">
        <w:rPr>
          <w:rFonts w:cs="Times New Roman"/>
        </w:rPr>
        <w:t xml:space="preserve"> </w:t>
      </w:r>
      <w:r w:rsidR="00D10B41" w:rsidRPr="00610B1B">
        <w:rPr>
          <w:rFonts w:cs="Times New Roman"/>
        </w:rPr>
        <w:t>рамка</w:t>
      </w:r>
      <w:bookmarkEnd w:id="12"/>
    </w:p>
    <w:p w14:paraId="10ED4FF0" w14:textId="596D8233" w:rsidR="00D06DF6" w:rsidRPr="001C5219" w:rsidRDefault="006E596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Пространствената рамка на Морския пространствен план на Република България се определя от Директива 2014/89/ЕС и транспонираните </w:t>
      </w:r>
      <w:r w:rsidR="002F377F" w:rsidRPr="00610B1B">
        <w:rPr>
          <w:rFonts w:ascii="Times New Roman" w:hAnsi="Times New Roman" w:cs="Times New Roman"/>
          <w:bCs/>
          <w:sz w:val="24"/>
          <w:szCs w:val="24"/>
          <w:lang w:val="bg-BG"/>
        </w:rPr>
        <w:t>регулации</w:t>
      </w:r>
      <w:r w:rsidRPr="00610B1B">
        <w:rPr>
          <w:rFonts w:ascii="Times New Roman" w:hAnsi="Times New Roman" w:cs="Times New Roman"/>
          <w:bCs/>
          <w:sz w:val="24"/>
          <w:szCs w:val="24"/>
          <w:lang w:val="bg-BG"/>
        </w:rPr>
        <w:t xml:space="preserve"> в националното законодателство посредством ЗМПВВППРБ</w:t>
      </w:r>
      <w:r w:rsidR="00D06DF6" w:rsidRPr="00610B1B">
        <w:rPr>
          <w:rFonts w:ascii="Times New Roman" w:hAnsi="Times New Roman" w:cs="Times New Roman"/>
          <w:bCs/>
          <w:sz w:val="24"/>
          <w:szCs w:val="24"/>
          <w:lang w:val="bg-BG"/>
        </w:rPr>
        <w:t xml:space="preserve">. </w:t>
      </w:r>
      <w:r w:rsidR="00EF7660" w:rsidRPr="00610B1B">
        <w:rPr>
          <w:rFonts w:ascii="Times New Roman" w:hAnsi="Times New Roman" w:cs="Times New Roman"/>
          <w:bCs/>
          <w:sz w:val="24"/>
          <w:szCs w:val="24"/>
          <w:lang w:val="bg-BG"/>
        </w:rPr>
        <w:t>Националните морски пространства имат сложна структура и включват земните недра, морското дъно, мор</w:t>
      </w:r>
      <w:r w:rsidR="00B81075" w:rsidRPr="00610B1B">
        <w:rPr>
          <w:rFonts w:ascii="Times New Roman" w:hAnsi="Times New Roman" w:cs="Times New Roman"/>
          <w:bCs/>
          <w:sz w:val="24"/>
          <w:szCs w:val="24"/>
          <w:lang w:val="bg-BG"/>
        </w:rPr>
        <w:t>ските води</w:t>
      </w:r>
      <w:r w:rsidR="00EF7660" w:rsidRPr="00610B1B">
        <w:rPr>
          <w:rFonts w:ascii="Times New Roman" w:hAnsi="Times New Roman" w:cs="Times New Roman"/>
          <w:bCs/>
          <w:sz w:val="24"/>
          <w:szCs w:val="24"/>
          <w:lang w:val="bg-BG"/>
        </w:rPr>
        <w:t xml:space="preserve"> и функционално са свързани с въздушното пространство и Космоса над тях. </w:t>
      </w:r>
      <w:r w:rsidR="00D06DF6" w:rsidRPr="00610B1B">
        <w:rPr>
          <w:rFonts w:ascii="Times New Roman" w:hAnsi="Times New Roman" w:cs="Times New Roman"/>
          <w:bCs/>
          <w:sz w:val="24"/>
          <w:szCs w:val="24"/>
          <w:lang w:val="bg-BG"/>
        </w:rPr>
        <w:t>Съгласно чл. 51в</w:t>
      </w:r>
      <w:r w:rsidR="00D66FE0" w:rsidRPr="00610B1B">
        <w:rPr>
          <w:rFonts w:ascii="Times New Roman" w:hAnsi="Times New Roman" w:cs="Times New Roman"/>
          <w:bCs/>
          <w:sz w:val="24"/>
          <w:szCs w:val="24"/>
          <w:lang w:val="bg-BG"/>
        </w:rPr>
        <w:t xml:space="preserve"> </w:t>
      </w:r>
      <w:r w:rsidR="00D06DF6" w:rsidRPr="00610B1B">
        <w:rPr>
          <w:rFonts w:ascii="Times New Roman" w:hAnsi="Times New Roman" w:cs="Times New Roman"/>
          <w:bCs/>
          <w:sz w:val="24"/>
          <w:szCs w:val="24"/>
          <w:lang w:val="bg-BG"/>
        </w:rPr>
        <w:t>ал. 1 той обхваща морските пространства на страната определени в чл. 5, ал. 1 на закон</w:t>
      </w:r>
      <w:r w:rsidR="00935FA2" w:rsidRPr="00610B1B">
        <w:rPr>
          <w:rFonts w:ascii="Times New Roman" w:hAnsi="Times New Roman" w:cs="Times New Roman"/>
          <w:bCs/>
          <w:sz w:val="24"/>
          <w:szCs w:val="24"/>
          <w:lang w:val="bg-BG"/>
        </w:rPr>
        <w:t>а</w:t>
      </w:r>
      <w:r w:rsidR="00D06DF6" w:rsidRPr="00610B1B">
        <w:rPr>
          <w:rFonts w:ascii="Times New Roman" w:hAnsi="Times New Roman" w:cs="Times New Roman"/>
          <w:bCs/>
          <w:sz w:val="24"/>
          <w:szCs w:val="24"/>
          <w:lang w:val="bg-BG"/>
        </w:rPr>
        <w:t>, както и крайбрежните морски води по смисъла на § 1, т. 54 от допълнителните разпоредби на Закона за водите. Морските пространства на Р. България включват</w:t>
      </w:r>
      <w:r w:rsidR="00E51B86" w:rsidRPr="00610B1B">
        <w:rPr>
          <w:rFonts w:ascii="Times New Roman" w:hAnsi="Times New Roman" w:cs="Times New Roman"/>
          <w:bCs/>
          <w:sz w:val="24"/>
          <w:szCs w:val="24"/>
          <w:lang w:val="bg-BG"/>
        </w:rPr>
        <w:t xml:space="preserve"> вътрешните морски води, териториалното море, прилежащата зона, континенталния шелф и изключителната икономическа зона. </w:t>
      </w:r>
      <w:r w:rsidR="007E0558">
        <w:rPr>
          <w:rFonts w:ascii="Times New Roman" w:hAnsi="Times New Roman" w:cs="Times New Roman"/>
          <w:bCs/>
          <w:sz w:val="24"/>
          <w:szCs w:val="24"/>
          <w:lang w:val="bg-BG"/>
        </w:rPr>
        <w:t>Подчертава се в чл.51в ал.2, че п</w:t>
      </w:r>
      <w:r w:rsidR="007E0558" w:rsidRPr="007E0558">
        <w:rPr>
          <w:rFonts w:ascii="Times New Roman" w:hAnsi="Times New Roman" w:cs="Times New Roman"/>
          <w:bCs/>
          <w:sz w:val="24"/>
          <w:szCs w:val="24"/>
          <w:lang w:val="bg-BG"/>
        </w:rPr>
        <w:t>ланът не се използва за определяне и делимитация на морските граници в съответствие с Конвенцията на Организацията на обединените нации по морско право, сключена в Монтего Бей, Ямайка, на 10 декември 1982 г</w:t>
      </w:r>
      <w:r w:rsidR="007E0558">
        <w:rPr>
          <w:rFonts w:ascii="Times New Roman" w:hAnsi="Times New Roman" w:cs="Times New Roman"/>
          <w:bCs/>
          <w:sz w:val="24"/>
          <w:szCs w:val="24"/>
          <w:lang w:val="bg-BG"/>
        </w:rPr>
        <w:t>.</w:t>
      </w:r>
    </w:p>
    <w:p w14:paraId="554E2BE7" w14:textId="0C09D4EA" w:rsidR="00235374" w:rsidRPr="00610B1B" w:rsidRDefault="00E51B86"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Вътрешните </w:t>
      </w:r>
      <w:r w:rsidR="00D06DF6" w:rsidRPr="00610B1B">
        <w:rPr>
          <w:rFonts w:ascii="Times New Roman" w:hAnsi="Times New Roman" w:cs="Times New Roman"/>
          <w:bCs/>
          <w:i/>
          <w:iCs/>
          <w:sz w:val="24"/>
          <w:szCs w:val="24"/>
          <w:lang w:val="bg-BG"/>
        </w:rPr>
        <w:t>морски води</w:t>
      </w:r>
      <w:r w:rsidR="0023537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са</w:t>
      </w:r>
      <w:r w:rsidR="00D66FE0"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водите между бреговата линия и изходните линии, от които се измерва ширината на териториалното море;</w:t>
      </w:r>
      <w:r w:rsidR="0042507B"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водите на пристанищата, ограничени откъм морето с линията, съединяваща най-отдалечените точки в морето на котвените места, хидротехническите и постоянни</w:t>
      </w:r>
      <w:r w:rsidR="0003485E" w:rsidRPr="00610B1B">
        <w:rPr>
          <w:rFonts w:ascii="Times New Roman" w:hAnsi="Times New Roman" w:cs="Times New Roman"/>
          <w:bCs/>
          <w:sz w:val="24"/>
          <w:szCs w:val="24"/>
          <w:lang w:val="bg-BG"/>
        </w:rPr>
        <w:t>те</w:t>
      </w:r>
      <w:r w:rsidR="00235374" w:rsidRPr="00610B1B">
        <w:rPr>
          <w:rFonts w:ascii="Times New Roman" w:hAnsi="Times New Roman" w:cs="Times New Roman"/>
          <w:bCs/>
          <w:sz w:val="24"/>
          <w:szCs w:val="24"/>
          <w:lang w:val="bg-BG"/>
        </w:rPr>
        <w:t xml:space="preserve"> пристанищни съоръжения;</w:t>
      </w:r>
      <w:r w:rsidR="0042507B"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Варненския залив между бреговата линия и правата линия, съединяваща н</w:t>
      </w:r>
      <w:r w:rsidR="00290200" w:rsidRPr="00610B1B">
        <w:rPr>
          <w:rFonts w:ascii="Times New Roman" w:hAnsi="Times New Roman" w:cs="Times New Roman"/>
          <w:bCs/>
          <w:sz w:val="24"/>
          <w:szCs w:val="24"/>
          <w:lang w:val="bg-BG"/>
        </w:rPr>
        <w:t>ос</w:t>
      </w:r>
      <w:r w:rsidR="0042507B"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Св. Константин с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Иланджик;</w:t>
      </w:r>
      <w:r w:rsidR="0042507B"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Бургаския залив между бреговата линия и линия</w:t>
      </w:r>
      <w:r w:rsidRPr="00610B1B">
        <w:rPr>
          <w:rFonts w:ascii="Times New Roman" w:hAnsi="Times New Roman" w:cs="Times New Roman"/>
          <w:bCs/>
          <w:sz w:val="24"/>
          <w:szCs w:val="24"/>
          <w:lang w:val="bg-BG"/>
        </w:rPr>
        <w:t>та</w:t>
      </w:r>
      <w:r w:rsidR="00235374" w:rsidRPr="00610B1B">
        <w:rPr>
          <w:rFonts w:ascii="Times New Roman" w:hAnsi="Times New Roman" w:cs="Times New Roman"/>
          <w:bCs/>
          <w:sz w:val="24"/>
          <w:szCs w:val="24"/>
          <w:lang w:val="bg-BG"/>
        </w:rPr>
        <w:t>, съединяваща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Емине с Маслен нос</w:t>
      </w:r>
      <w:r w:rsidR="0042507B" w:rsidRPr="00610B1B">
        <w:rPr>
          <w:rFonts w:ascii="Times New Roman" w:hAnsi="Times New Roman" w:cs="Times New Roman"/>
          <w:bCs/>
          <w:sz w:val="24"/>
          <w:szCs w:val="24"/>
          <w:lang w:val="bg-BG"/>
        </w:rPr>
        <w:t xml:space="preserve"> и </w:t>
      </w:r>
      <w:r w:rsidR="00235374" w:rsidRPr="00610B1B">
        <w:rPr>
          <w:rFonts w:ascii="Times New Roman" w:hAnsi="Times New Roman" w:cs="Times New Roman"/>
          <w:bCs/>
          <w:sz w:val="24"/>
          <w:szCs w:val="24"/>
          <w:lang w:val="bg-BG"/>
        </w:rPr>
        <w:t>водите между бреговата линия и правите изходни линии, съединяващи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Калиакра с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Тузлата,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Тузлата с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Екрене и Маслен нос с н</w:t>
      </w:r>
      <w:r w:rsidR="00290200" w:rsidRPr="00610B1B">
        <w:rPr>
          <w:rFonts w:ascii="Times New Roman" w:hAnsi="Times New Roman" w:cs="Times New Roman"/>
          <w:bCs/>
          <w:sz w:val="24"/>
          <w:szCs w:val="24"/>
          <w:lang w:val="bg-BG"/>
        </w:rPr>
        <w:t>ос</w:t>
      </w:r>
      <w:r w:rsidR="00235374" w:rsidRPr="00610B1B">
        <w:rPr>
          <w:rFonts w:ascii="Times New Roman" w:hAnsi="Times New Roman" w:cs="Times New Roman"/>
          <w:bCs/>
          <w:sz w:val="24"/>
          <w:szCs w:val="24"/>
          <w:lang w:val="bg-BG"/>
        </w:rPr>
        <w:t xml:space="preserve"> Рохи.</w:t>
      </w:r>
      <w:r w:rsidR="00846281" w:rsidRPr="00610B1B">
        <w:rPr>
          <w:rFonts w:ascii="Times New Roman" w:hAnsi="Times New Roman" w:cs="Times New Roman"/>
          <w:bCs/>
          <w:sz w:val="24"/>
          <w:szCs w:val="24"/>
          <w:lang w:val="bg-BG"/>
        </w:rPr>
        <w:t xml:space="preserve"> </w:t>
      </w:r>
      <w:r w:rsidR="00E66DAD" w:rsidRPr="00610B1B">
        <w:rPr>
          <w:rFonts w:ascii="Times New Roman" w:hAnsi="Times New Roman" w:cs="Times New Roman"/>
          <w:bCs/>
          <w:sz w:val="24"/>
          <w:szCs w:val="24"/>
          <w:lang w:val="bg-BG"/>
        </w:rPr>
        <w:t>Общата площ на акваторията в тези граници е 971.871 km</w:t>
      </w:r>
      <w:r w:rsidR="00E66DAD" w:rsidRPr="00610B1B">
        <w:rPr>
          <w:rFonts w:ascii="Times New Roman" w:hAnsi="Times New Roman" w:cs="Times New Roman"/>
          <w:bCs/>
          <w:sz w:val="24"/>
          <w:szCs w:val="24"/>
          <w:vertAlign w:val="superscript"/>
          <w:lang w:val="bg-BG"/>
        </w:rPr>
        <w:t>2</w:t>
      </w:r>
      <w:r w:rsidR="00E66DAD" w:rsidRPr="00610B1B">
        <w:rPr>
          <w:rFonts w:ascii="Times New Roman" w:hAnsi="Times New Roman" w:cs="Times New Roman"/>
          <w:bCs/>
          <w:sz w:val="24"/>
          <w:szCs w:val="24"/>
          <w:lang w:val="bg-BG"/>
        </w:rPr>
        <w:t xml:space="preserve">. </w:t>
      </w:r>
    </w:p>
    <w:p w14:paraId="4B9BB061" w14:textId="6FA5767B" w:rsidR="005C55F7" w:rsidRPr="00610B1B" w:rsidRDefault="0079712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Териториалното </w:t>
      </w:r>
      <w:r w:rsidR="00D06DF6" w:rsidRPr="00610B1B">
        <w:rPr>
          <w:rFonts w:ascii="Times New Roman" w:hAnsi="Times New Roman" w:cs="Times New Roman"/>
          <w:bCs/>
          <w:i/>
          <w:iCs/>
          <w:sz w:val="24"/>
          <w:szCs w:val="24"/>
          <w:lang w:val="bg-BG"/>
        </w:rPr>
        <w:t>море</w:t>
      </w:r>
      <w:r w:rsidRPr="00610B1B">
        <w:rPr>
          <w:rFonts w:ascii="Times New Roman" w:hAnsi="Times New Roman" w:cs="Times New Roman"/>
          <w:bCs/>
          <w:i/>
          <w:iCs/>
          <w:sz w:val="24"/>
          <w:szCs w:val="24"/>
          <w:lang w:val="bg-BG"/>
        </w:rPr>
        <w:t>,</w:t>
      </w:r>
      <w:r w:rsidR="00235374" w:rsidRPr="00610B1B">
        <w:rPr>
          <w:rFonts w:ascii="Times New Roman" w:hAnsi="Times New Roman" w:cs="Times New Roman"/>
          <w:bCs/>
          <w:sz w:val="24"/>
          <w:szCs w:val="24"/>
          <w:lang w:val="bg-BG"/>
        </w:rPr>
        <w:t xml:space="preserve"> </w:t>
      </w:r>
      <w:r w:rsidR="002129A9" w:rsidRPr="00610B1B">
        <w:rPr>
          <w:rFonts w:ascii="Times New Roman" w:hAnsi="Times New Roman" w:cs="Times New Roman"/>
          <w:bCs/>
          <w:sz w:val="24"/>
          <w:szCs w:val="24"/>
          <w:lang w:val="bg-BG"/>
        </w:rPr>
        <w:t xml:space="preserve">определено в съответствие с чл. </w:t>
      </w:r>
      <w:r w:rsidR="00C11A47" w:rsidRPr="00610B1B">
        <w:rPr>
          <w:rFonts w:ascii="Times New Roman" w:hAnsi="Times New Roman" w:cs="Times New Roman"/>
          <w:bCs/>
          <w:sz w:val="24"/>
          <w:szCs w:val="24"/>
          <w:lang w:val="bg-BG"/>
        </w:rPr>
        <w:t>3, 4 и 5 на КООНМП</w:t>
      </w:r>
      <w:r w:rsidRPr="00610B1B">
        <w:rPr>
          <w:rFonts w:ascii="Times New Roman" w:hAnsi="Times New Roman" w:cs="Times New Roman"/>
          <w:bCs/>
          <w:sz w:val="24"/>
          <w:szCs w:val="24"/>
          <w:lang w:val="bg-BG"/>
        </w:rPr>
        <w:t>,</w:t>
      </w:r>
      <w:r w:rsidR="00235374" w:rsidRPr="00610B1B">
        <w:rPr>
          <w:rFonts w:ascii="Times New Roman" w:hAnsi="Times New Roman" w:cs="Times New Roman"/>
          <w:bCs/>
          <w:sz w:val="24"/>
          <w:szCs w:val="24"/>
          <w:lang w:val="bg-BG"/>
        </w:rPr>
        <w:t xml:space="preserve"> включва прилежащата към брега и вътрешните морски води морска ивица с широчина 12 морски мили, измервана от изходните линии</w:t>
      </w:r>
      <w:r w:rsidR="00C11A47"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на най-големия отлив от брега или правите линии, съединяващи двете крайни точки на заливите.</w:t>
      </w:r>
      <w:r w:rsidR="008A62D8" w:rsidRPr="00610B1B">
        <w:rPr>
          <w:rStyle w:val="FootnoteReference"/>
          <w:rFonts w:ascii="Times New Roman" w:hAnsi="Times New Roman" w:cs="Times New Roman"/>
          <w:bCs/>
          <w:sz w:val="24"/>
          <w:szCs w:val="24"/>
          <w:lang w:val="bg-BG"/>
        </w:rPr>
        <w:footnoteReference w:id="51"/>
      </w:r>
      <w:r w:rsidR="00C11A47"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Териториалното море на Република България се разграничава от териториалното море на съседните държави с географския паралел от точката на сухоземната граница, опираща се на морския бряг</w:t>
      </w:r>
      <w:r w:rsidR="00C11A47" w:rsidRPr="00610B1B">
        <w:rPr>
          <w:rFonts w:ascii="Times New Roman" w:hAnsi="Times New Roman" w:cs="Times New Roman"/>
          <w:bCs/>
          <w:sz w:val="24"/>
          <w:szCs w:val="24"/>
          <w:lang w:val="bg-BG"/>
        </w:rPr>
        <w:t>, а в</w:t>
      </w:r>
      <w:r w:rsidR="00235374" w:rsidRPr="00610B1B">
        <w:rPr>
          <w:rFonts w:ascii="Times New Roman" w:hAnsi="Times New Roman" w:cs="Times New Roman"/>
          <w:bCs/>
          <w:sz w:val="24"/>
          <w:szCs w:val="24"/>
          <w:lang w:val="bg-BG"/>
        </w:rPr>
        <w:t xml:space="preserve">ъншната и страничните </w:t>
      </w:r>
      <w:r w:rsidR="00C11A47" w:rsidRPr="00610B1B">
        <w:rPr>
          <w:rFonts w:ascii="Times New Roman" w:hAnsi="Times New Roman" w:cs="Times New Roman"/>
          <w:bCs/>
          <w:sz w:val="24"/>
          <w:szCs w:val="24"/>
          <w:lang w:val="bg-BG"/>
        </w:rPr>
        <w:t xml:space="preserve">му </w:t>
      </w:r>
      <w:r w:rsidR="00235374" w:rsidRPr="00610B1B">
        <w:rPr>
          <w:rFonts w:ascii="Times New Roman" w:hAnsi="Times New Roman" w:cs="Times New Roman"/>
          <w:bCs/>
          <w:sz w:val="24"/>
          <w:szCs w:val="24"/>
          <w:lang w:val="bg-BG"/>
        </w:rPr>
        <w:t xml:space="preserve">граници са държавна граница на </w:t>
      </w:r>
      <w:r w:rsidR="00C11A47" w:rsidRPr="00610B1B">
        <w:rPr>
          <w:rFonts w:ascii="Times New Roman" w:hAnsi="Times New Roman" w:cs="Times New Roman"/>
          <w:bCs/>
          <w:sz w:val="24"/>
          <w:szCs w:val="24"/>
          <w:lang w:val="bg-BG"/>
        </w:rPr>
        <w:t>страната</w:t>
      </w:r>
      <w:r w:rsidR="00235374" w:rsidRPr="00610B1B">
        <w:rPr>
          <w:rFonts w:ascii="Times New Roman" w:hAnsi="Times New Roman" w:cs="Times New Roman"/>
          <w:bCs/>
          <w:sz w:val="24"/>
          <w:szCs w:val="24"/>
          <w:lang w:val="bg-BG"/>
        </w:rPr>
        <w:t>.</w:t>
      </w:r>
      <w:r w:rsidR="00C11A47" w:rsidRPr="00610B1B">
        <w:rPr>
          <w:rFonts w:ascii="Times New Roman" w:hAnsi="Times New Roman" w:cs="Times New Roman"/>
          <w:bCs/>
          <w:sz w:val="24"/>
          <w:szCs w:val="24"/>
          <w:lang w:val="bg-BG"/>
        </w:rPr>
        <w:t xml:space="preserve"> </w:t>
      </w:r>
    </w:p>
    <w:p w14:paraId="22A14C52" w14:textId="73379571" w:rsidR="00235374" w:rsidRPr="00610B1B" w:rsidRDefault="0079712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Прилежащата </w:t>
      </w:r>
      <w:r w:rsidR="00D06DF6" w:rsidRPr="00610B1B">
        <w:rPr>
          <w:rFonts w:ascii="Times New Roman" w:hAnsi="Times New Roman" w:cs="Times New Roman"/>
          <w:bCs/>
          <w:i/>
          <w:iCs/>
          <w:sz w:val="24"/>
          <w:szCs w:val="24"/>
          <w:lang w:val="bg-BG"/>
        </w:rPr>
        <w:t>зона</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е </w:t>
      </w:r>
      <w:r w:rsidR="00235374" w:rsidRPr="00610B1B">
        <w:rPr>
          <w:rFonts w:ascii="Times New Roman" w:hAnsi="Times New Roman" w:cs="Times New Roman"/>
          <w:bCs/>
          <w:sz w:val="24"/>
          <w:szCs w:val="24"/>
          <w:lang w:val="bg-BG"/>
        </w:rPr>
        <w:t>морската ивица, която се опира до териториалното море и се разпростира на разстояние 24 морски мили от изходните линии, от които се измерва ширината на териториалното море.</w:t>
      </w:r>
      <w:r w:rsidR="00175A82" w:rsidRPr="00610B1B">
        <w:rPr>
          <w:rFonts w:ascii="Times New Roman" w:hAnsi="Times New Roman" w:cs="Times New Roman"/>
          <w:bCs/>
          <w:sz w:val="24"/>
          <w:szCs w:val="24"/>
          <w:lang w:val="bg-BG"/>
        </w:rPr>
        <w:t xml:space="preserve"> В нея Република България чрез Министерството на вътрешните работи и Министерството на отбраната </w:t>
      </w:r>
      <w:r w:rsidR="00235374" w:rsidRPr="00610B1B">
        <w:rPr>
          <w:rFonts w:ascii="Times New Roman" w:hAnsi="Times New Roman" w:cs="Times New Roman"/>
          <w:bCs/>
          <w:sz w:val="24"/>
          <w:szCs w:val="24"/>
          <w:lang w:val="bg-BG"/>
        </w:rPr>
        <w:t>осъществява контрол за предотвратяване нарушаването на митническите, финансовите, граничните и здравните изисквания в пределите на страната, включително и в териториалното море.</w:t>
      </w:r>
    </w:p>
    <w:p w14:paraId="50883EB8" w14:textId="34548B39" w:rsidR="00235374" w:rsidRPr="00610B1B" w:rsidRDefault="0079712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Континенталният </w:t>
      </w:r>
      <w:r w:rsidR="00235374" w:rsidRPr="00610B1B">
        <w:rPr>
          <w:rFonts w:ascii="Times New Roman" w:hAnsi="Times New Roman" w:cs="Times New Roman"/>
          <w:bCs/>
          <w:i/>
          <w:iCs/>
          <w:sz w:val="24"/>
          <w:szCs w:val="24"/>
          <w:lang w:val="bg-BG"/>
        </w:rPr>
        <w:t>шелф</w:t>
      </w:r>
      <w:r w:rsidR="0023537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включва</w:t>
      </w:r>
      <w:r w:rsidR="00235374" w:rsidRPr="00610B1B">
        <w:rPr>
          <w:rFonts w:ascii="Times New Roman" w:hAnsi="Times New Roman" w:cs="Times New Roman"/>
          <w:bCs/>
          <w:sz w:val="24"/>
          <w:szCs w:val="24"/>
          <w:lang w:val="bg-BG"/>
        </w:rPr>
        <w:t xml:space="preserve"> морското дъно и недрата на подводния район, </w:t>
      </w:r>
      <w:r w:rsidRPr="00610B1B">
        <w:rPr>
          <w:rFonts w:ascii="Times New Roman" w:hAnsi="Times New Roman" w:cs="Times New Roman"/>
          <w:bCs/>
          <w:sz w:val="24"/>
          <w:szCs w:val="24"/>
          <w:lang w:val="bg-BG"/>
        </w:rPr>
        <w:t xml:space="preserve">които са </w:t>
      </w:r>
      <w:r w:rsidR="00235374" w:rsidRPr="00610B1B">
        <w:rPr>
          <w:rFonts w:ascii="Times New Roman" w:hAnsi="Times New Roman" w:cs="Times New Roman"/>
          <w:bCs/>
          <w:sz w:val="24"/>
          <w:szCs w:val="24"/>
          <w:lang w:val="bg-BG"/>
        </w:rPr>
        <w:t>естествено продължение на сухоземната територия</w:t>
      </w:r>
      <w:r w:rsidRPr="00610B1B">
        <w:rPr>
          <w:rFonts w:ascii="Times New Roman" w:hAnsi="Times New Roman" w:cs="Times New Roman"/>
          <w:bCs/>
          <w:sz w:val="24"/>
          <w:szCs w:val="24"/>
          <w:lang w:val="bg-BG"/>
        </w:rPr>
        <w:t xml:space="preserve"> и се </w:t>
      </w:r>
      <w:r w:rsidR="00235374" w:rsidRPr="00610B1B">
        <w:rPr>
          <w:rFonts w:ascii="Times New Roman" w:hAnsi="Times New Roman" w:cs="Times New Roman"/>
          <w:bCs/>
          <w:sz w:val="24"/>
          <w:szCs w:val="24"/>
          <w:lang w:val="bg-BG"/>
        </w:rPr>
        <w:t>разпростира</w:t>
      </w:r>
      <w:r w:rsidRPr="00610B1B">
        <w:rPr>
          <w:rFonts w:ascii="Times New Roman" w:hAnsi="Times New Roman" w:cs="Times New Roman"/>
          <w:bCs/>
          <w:sz w:val="24"/>
          <w:szCs w:val="24"/>
          <w:lang w:val="bg-BG"/>
        </w:rPr>
        <w:t xml:space="preserve">т </w:t>
      </w:r>
      <w:r w:rsidR="00235374" w:rsidRPr="00610B1B">
        <w:rPr>
          <w:rFonts w:ascii="Times New Roman" w:hAnsi="Times New Roman" w:cs="Times New Roman"/>
          <w:bCs/>
          <w:sz w:val="24"/>
          <w:szCs w:val="24"/>
          <w:lang w:val="bg-BG"/>
        </w:rPr>
        <w:t>отвъд териториалното море до установените граници с континенталния шелф на другите прилежащи и срещулежащи черноморски държави</w:t>
      </w:r>
      <w:r w:rsidRPr="00610B1B">
        <w:rPr>
          <w:rFonts w:ascii="Times New Roman" w:hAnsi="Times New Roman" w:cs="Times New Roman"/>
          <w:bCs/>
          <w:sz w:val="24"/>
          <w:szCs w:val="24"/>
          <w:lang w:val="bg-BG"/>
        </w:rPr>
        <w:t>,</w:t>
      </w:r>
      <w:r w:rsidR="00235374" w:rsidRPr="00610B1B">
        <w:rPr>
          <w:rFonts w:ascii="Times New Roman" w:hAnsi="Times New Roman" w:cs="Times New Roman"/>
          <w:bCs/>
          <w:sz w:val="24"/>
          <w:szCs w:val="24"/>
          <w:lang w:val="bg-BG"/>
        </w:rPr>
        <w:t xml:space="preserve"> в съответствие с международното </w:t>
      </w:r>
      <w:r w:rsidR="00235374" w:rsidRPr="00610B1B">
        <w:rPr>
          <w:rFonts w:ascii="Times New Roman" w:hAnsi="Times New Roman" w:cs="Times New Roman"/>
          <w:bCs/>
          <w:sz w:val="24"/>
          <w:szCs w:val="24"/>
          <w:lang w:val="bg-BG"/>
        </w:rPr>
        <w:lastRenderedPageBreak/>
        <w:t>право</w:t>
      </w:r>
      <w:r w:rsidR="00E51B86" w:rsidRPr="00610B1B">
        <w:rPr>
          <w:rFonts w:ascii="Times New Roman" w:hAnsi="Times New Roman" w:cs="Times New Roman"/>
          <w:bCs/>
          <w:sz w:val="24"/>
          <w:szCs w:val="24"/>
          <w:lang w:val="bg-BG"/>
        </w:rPr>
        <w:t xml:space="preserve">. В </w:t>
      </w:r>
      <w:r w:rsidR="00235374" w:rsidRPr="00610B1B">
        <w:rPr>
          <w:rFonts w:ascii="Times New Roman" w:hAnsi="Times New Roman" w:cs="Times New Roman"/>
          <w:bCs/>
          <w:sz w:val="24"/>
          <w:szCs w:val="24"/>
          <w:lang w:val="bg-BG"/>
        </w:rPr>
        <w:t xml:space="preserve">континенталния шелф </w:t>
      </w:r>
      <w:r w:rsidR="00E51B86" w:rsidRPr="00610B1B">
        <w:rPr>
          <w:rFonts w:ascii="Times New Roman" w:hAnsi="Times New Roman" w:cs="Times New Roman"/>
          <w:bCs/>
          <w:sz w:val="24"/>
          <w:szCs w:val="24"/>
          <w:lang w:val="bg-BG"/>
        </w:rPr>
        <w:t xml:space="preserve">страната упражнява </w:t>
      </w:r>
      <w:r w:rsidR="00235374" w:rsidRPr="00610B1B">
        <w:rPr>
          <w:rFonts w:ascii="Times New Roman" w:hAnsi="Times New Roman" w:cs="Times New Roman"/>
          <w:bCs/>
          <w:sz w:val="24"/>
          <w:szCs w:val="24"/>
          <w:lang w:val="bg-BG"/>
        </w:rPr>
        <w:t>суверенни</w:t>
      </w:r>
      <w:r w:rsidR="00E51B86" w:rsidRPr="00610B1B">
        <w:rPr>
          <w:rFonts w:ascii="Times New Roman" w:hAnsi="Times New Roman" w:cs="Times New Roman"/>
          <w:bCs/>
          <w:sz w:val="24"/>
          <w:szCs w:val="24"/>
          <w:lang w:val="bg-BG"/>
        </w:rPr>
        <w:t>те си</w:t>
      </w:r>
      <w:r w:rsidR="00235374" w:rsidRPr="00610B1B">
        <w:rPr>
          <w:rFonts w:ascii="Times New Roman" w:hAnsi="Times New Roman" w:cs="Times New Roman"/>
          <w:bCs/>
          <w:sz w:val="24"/>
          <w:szCs w:val="24"/>
          <w:lang w:val="bg-BG"/>
        </w:rPr>
        <w:t xml:space="preserve"> права за търсене, проучване, разработване, използване, опазване и стопанисване на </w:t>
      </w:r>
      <w:r w:rsidR="00E51B86" w:rsidRPr="00610B1B">
        <w:rPr>
          <w:rFonts w:ascii="Times New Roman" w:hAnsi="Times New Roman" w:cs="Times New Roman"/>
          <w:bCs/>
          <w:sz w:val="24"/>
          <w:szCs w:val="24"/>
          <w:lang w:val="bg-BG"/>
        </w:rPr>
        <w:t>е</w:t>
      </w:r>
      <w:r w:rsidR="00235374" w:rsidRPr="00610B1B">
        <w:rPr>
          <w:rFonts w:ascii="Times New Roman" w:hAnsi="Times New Roman" w:cs="Times New Roman"/>
          <w:bCs/>
          <w:sz w:val="24"/>
          <w:szCs w:val="24"/>
          <w:lang w:val="bg-BG"/>
        </w:rPr>
        <w:t>нергийни</w:t>
      </w:r>
      <w:r w:rsidR="00143CBE" w:rsidRPr="00610B1B">
        <w:rPr>
          <w:rFonts w:ascii="Times New Roman" w:hAnsi="Times New Roman" w:cs="Times New Roman"/>
          <w:bCs/>
          <w:sz w:val="24"/>
          <w:szCs w:val="24"/>
          <w:lang w:val="bg-BG"/>
        </w:rPr>
        <w:t>те</w:t>
      </w:r>
      <w:r w:rsidR="00235374" w:rsidRPr="00610B1B">
        <w:rPr>
          <w:rFonts w:ascii="Times New Roman" w:hAnsi="Times New Roman" w:cs="Times New Roman"/>
          <w:bCs/>
          <w:sz w:val="24"/>
          <w:szCs w:val="24"/>
          <w:lang w:val="bg-BG"/>
        </w:rPr>
        <w:t>, минерални</w:t>
      </w:r>
      <w:r w:rsidR="00143CBE" w:rsidRPr="00610B1B">
        <w:rPr>
          <w:rFonts w:ascii="Times New Roman" w:hAnsi="Times New Roman" w:cs="Times New Roman"/>
          <w:bCs/>
          <w:sz w:val="24"/>
          <w:szCs w:val="24"/>
          <w:lang w:val="bg-BG"/>
        </w:rPr>
        <w:t>те</w:t>
      </w:r>
      <w:r w:rsidR="00235374" w:rsidRPr="00610B1B">
        <w:rPr>
          <w:rFonts w:ascii="Times New Roman" w:hAnsi="Times New Roman" w:cs="Times New Roman"/>
          <w:bCs/>
          <w:sz w:val="24"/>
          <w:szCs w:val="24"/>
          <w:lang w:val="bg-BG"/>
        </w:rPr>
        <w:t xml:space="preserve"> и други небиологични ресурси на морското дъно и в неговите недра, и живите организми, принадлежащи към прикрепените видове.</w:t>
      </w:r>
      <w:r w:rsidR="00E51B86" w:rsidRPr="00610B1B">
        <w:rPr>
          <w:rFonts w:ascii="Times New Roman" w:hAnsi="Times New Roman" w:cs="Times New Roman"/>
          <w:bCs/>
          <w:sz w:val="24"/>
          <w:szCs w:val="24"/>
          <w:lang w:val="bg-BG"/>
        </w:rPr>
        <w:t xml:space="preserve"> </w:t>
      </w:r>
    </w:p>
    <w:bookmarkEnd w:id="13"/>
    <w:p w14:paraId="3B62ECB8" w14:textId="5630CF3B" w:rsidR="00D06DF6" w:rsidRPr="00610B1B" w:rsidRDefault="0079712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Изключителната </w:t>
      </w:r>
      <w:r w:rsidR="00D06DF6" w:rsidRPr="00610B1B">
        <w:rPr>
          <w:rFonts w:ascii="Times New Roman" w:hAnsi="Times New Roman" w:cs="Times New Roman"/>
          <w:bCs/>
          <w:i/>
          <w:iCs/>
          <w:sz w:val="24"/>
          <w:szCs w:val="24"/>
          <w:lang w:val="bg-BG"/>
        </w:rPr>
        <w:t>икономическа зона</w:t>
      </w:r>
      <w:r w:rsidR="00235374" w:rsidRPr="00610B1B">
        <w:rPr>
          <w:rFonts w:ascii="Times New Roman" w:hAnsi="Times New Roman" w:cs="Times New Roman"/>
          <w:bCs/>
          <w:sz w:val="24"/>
          <w:szCs w:val="24"/>
          <w:lang w:val="bg-BG"/>
        </w:rPr>
        <w:t xml:space="preserve"> се простира отвъд границите на териториалното море на разстояние до 200 морски мили от изходните линии, от които се измерва ширината на териториалното море.</w:t>
      </w:r>
      <w:r w:rsidR="00776CC6" w:rsidRPr="00610B1B">
        <w:rPr>
          <w:rFonts w:ascii="Times New Roman" w:hAnsi="Times New Roman" w:cs="Times New Roman"/>
          <w:lang w:val="bg-BG"/>
        </w:rPr>
        <w:t xml:space="preserve"> </w:t>
      </w:r>
      <w:r w:rsidR="00776CC6" w:rsidRPr="00610B1B">
        <w:rPr>
          <w:rFonts w:ascii="Times New Roman" w:hAnsi="Times New Roman" w:cs="Times New Roman"/>
          <w:sz w:val="24"/>
          <w:szCs w:val="24"/>
          <w:lang w:val="bg-BG"/>
        </w:rPr>
        <w:t xml:space="preserve">По данни на БДЧР </w:t>
      </w:r>
      <w:r w:rsidR="00776CC6" w:rsidRPr="00610B1B">
        <w:rPr>
          <w:rFonts w:ascii="Times New Roman" w:hAnsi="Times New Roman" w:cs="Times New Roman"/>
          <w:bCs/>
          <w:sz w:val="24"/>
          <w:szCs w:val="24"/>
          <w:lang w:val="bg-BG"/>
        </w:rPr>
        <w:t>тя е с площ от 29 052 km</w:t>
      </w:r>
      <w:r w:rsidR="00776CC6" w:rsidRPr="00610B1B">
        <w:rPr>
          <w:rFonts w:ascii="Times New Roman" w:hAnsi="Times New Roman" w:cs="Times New Roman"/>
          <w:bCs/>
          <w:sz w:val="24"/>
          <w:szCs w:val="24"/>
          <w:vertAlign w:val="superscript"/>
          <w:lang w:val="bg-BG"/>
        </w:rPr>
        <w:t>2</w:t>
      </w:r>
      <w:r w:rsidR="00776CC6" w:rsidRPr="00610B1B">
        <w:rPr>
          <w:rFonts w:ascii="Times New Roman" w:hAnsi="Times New Roman" w:cs="Times New Roman"/>
          <w:bCs/>
          <w:sz w:val="24"/>
          <w:szCs w:val="24"/>
          <w:lang w:val="bg-BG"/>
        </w:rPr>
        <w:t>, или</w:t>
      </w:r>
      <w:r w:rsidR="00D66FE0" w:rsidRPr="00610B1B">
        <w:rPr>
          <w:rFonts w:ascii="Times New Roman" w:hAnsi="Times New Roman" w:cs="Times New Roman"/>
          <w:bCs/>
          <w:sz w:val="24"/>
          <w:szCs w:val="24"/>
          <w:lang w:val="bg-BG"/>
        </w:rPr>
        <w:t xml:space="preserve"> </w:t>
      </w:r>
      <w:r w:rsidR="00776CC6" w:rsidRPr="00610B1B">
        <w:rPr>
          <w:rFonts w:ascii="Times New Roman" w:hAnsi="Times New Roman" w:cs="Times New Roman"/>
          <w:bCs/>
          <w:sz w:val="24"/>
          <w:szCs w:val="24"/>
          <w:lang w:val="bg-BG"/>
        </w:rPr>
        <w:t>6,8% от общата площ (421 638 km</w:t>
      </w:r>
      <w:r w:rsidR="00776CC6" w:rsidRPr="00610B1B">
        <w:rPr>
          <w:rFonts w:ascii="Times New Roman" w:hAnsi="Times New Roman" w:cs="Times New Roman"/>
          <w:bCs/>
          <w:sz w:val="24"/>
          <w:szCs w:val="24"/>
          <w:vertAlign w:val="superscript"/>
          <w:lang w:val="bg-BG"/>
        </w:rPr>
        <w:t>2</w:t>
      </w:r>
      <w:r w:rsidR="00776CC6" w:rsidRPr="00610B1B">
        <w:rPr>
          <w:rFonts w:ascii="Times New Roman" w:hAnsi="Times New Roman" w:cs="Times New Roman"/>
          <w:bCs/>
          <w:sz w:val="24"/>
          <w:szCs w:val="24"/>
          <w:lang w:val="bg-BG"/>
        </w:rPr>
        <w:t xml:space="preserve">). Споразумението между Р. България и Р. Турция за определяне на границата в района на устието на река Резовска/Мутлудере и разграничаване на морските пространства между двете държави в Черно море е обнародвано в ДВ бр. 68 /30.07.1999 г. </w:t>
      </w:r>
      <w:r w:rsidR="00B61304" w:rsidRPr="00610B1B">
        <w:rPr>
          <w:rFonts w:ascii="Times New Roman" w:hAnsi="Times New Roman" w:cs="Times New Roman"/>
          <w:bCs/>
          <w:sz w:val="24"/>
          <w:szCs w:val="24"/>
          <w:lang w:val="bg-BG"/>
        </w:rPr>
        <w:t>По с</w:t>
      </w:r>
      <w:r w:rsidR="00776CC6" w:rsidRPr="00610B1B">
        <w:rPr>
          <w:rFonts w:ascii="Times New Roman" w:hAnsi="Times New Roman" w:cs="Times New Roman"/>
          <w:bCs/>
          <w:sz w:val="24"/>
          <w:szCs w:val="24"/>
          <w:lang w:val="bg-BG"/>
        </w:rPr>
        <w:t xml:space="preserve">поразумението с </w:t>
      </w:r>
      <w:r w:rsidR="001A48C4">
        <w:rPr>
          <w:rFonts w:ascii="Times New Roman" w:hAnsi="Times New Roman" w:cs="Times New Roman"/>
          <w:bCs/>
          <w:sz w:val="24"/>
          <w:szCs w:val="24"/>
          <w:lang w:val="bg-BG"/>
        </w:rPr>
        <w:t>Румъния</w:t>
      </w:r>
      <w:r w:rsidR="00776CC6" w:rsidRPr="00610B1B">
        <w:rPr>
          <w:rFonts w:ascii="Times New Roman" w:hAnsi="Times New Roman" w:cs="Times New Roman"/>
          <w:bCs/>
          <w:sz w:val="24"/>
          <w:szCs w:val="24"/>
          <w:lang w:val="bg-BG"/>
        </w:rPr>
        <w:t xml:space="preserve"> все още</w:t>
      </w:r>
      <w:r w:rsidR="00B61304" w:rsidRPr="00610B1B">
        <w:rPr>
          <w:rFonts w:ascii="Times New Roman" w:hAnsi="Times New Roman" w:cs="Times New Roman"/>
          <w:bCs/>
          <w:sz w:val="24"/>
          <w:szCs w:val="24"/>
          <w:lang w:val="bg-BG"/>
        </w:rPr>
        <w:t xml:space="preserve"> се водят преговори. </w:t>
      </w:r>
      <w:r w:rsidR="00235374" w:rsidRPr="00610B1B">
        <w:rPr>
          <w:rFonts w:ascii="Times New Roman" w:hAnsi="Times New Roman" w:cs="Times New Roman"/>
          <w:bCs/>
          <w:sz w:val="24"/>
          <w:szCs w:val="24"/>
          <w:lang w:val="bg-BG"/>
        </w:rPr>
        <w:t>В изключителната икономическа зона Република България осъществява</w:t>
      </w:r>
      <w:r w:rsidR="00B61304" w:rsidRPr="00610B1B">
        <w:rPr>
          <w:rFonts w:ascii="Times New Roman" w:hAnsi="Times New Roman" w:cs="Times New Roman"/>
          <w:bCs/>
          <w:sz w:val="24"/>
          <w:szCs w:val="24"/>
          <w:lang w:val="bg-BG"/>
        </w:rPr>
        <w:t xml:space="preserve"> своите суверенни права, </w:t>
      </w:r>
      <w:r w:rsidR="00B81075" w:rsidRPr="00610B1B">
        <w:rPr>
          <w:rFonts w:ascii="Times New Roman" w:hAnsi="Times New Roman" w:cs="Times New Roman"/>
          <w:bCs/>
          <w:sz w:val="24"/>
          <w:szCs w:val="24"/>
          <w:lang w:val="bg-BG"/>
        </w:rPr>
        <w:t>провежда</w:t>
      </w:r>
      <w:r w:rsidR="00B61304" w:rsidRPr="00610B1B">
        <w:rPr>
          <w:rFonts w:ascii="Times New Roman" w:hAnsi="Times New Roman" w:cs="Times New Roman"/>
          <w:bCs/>
          <w:sz w:val="24"/>
          <w:szCs w:val="24"/>
          <w:lang w:val="bg-BG"/>
        </w:rPr>
        <w:t xml:space="preserve"> морски научни изследвания в съответствие с</w:t>
      </w:r>
      <w:r w:rsidR="00D66FE0" w:rsidRPr="00610B1B">
        <w:rPr>
          <w:rFonts w:ascii="Times New Roman" w:hAnsi="Times New Roman" w:cs="Times New Roman"/>
          <w:bCs/>
          <w:sz w:val="24"/>
          <w:szCs w:val="24"/>
          <w:lang w:val="bg-BG"/>
        </w:rPr>
        <w:t xml:space="preserve"> </w:t>
      </w:r>
      <w:r w:rsidR="00235374" w:rsidRPr="00610B1B">
        <w:rPr>
          <w:rFonts w:ascii="Times New Roman" w:hAnsi="Times New Roman" w:cs="Times New Roman"/>
          <w:bCs/>
          <w:sz w:val="24"/>
          <w:szCs w:val="24"/>
          <w:lang w:val="bg-BG"/>
        </w:rPr>
        <w:t>общопризнатите принципи и норми на международното право.</w:t>
      </w:r>
      <w:r w:rsidR="00C415D1" w:rsidRPr="00610B1B">
        <w:rPr>
          <w:rFonts w:ascii="Times New Roman" w:hAnsi="Times New Roman" w:cs="Times New Roman"/>
          <w:bCs/>
          <w:sz w:val="24"/>
          <w:szCs w:val="24"/>
          <w:lang w:val="bg-BG"/>
        </w:rPr>
        <w:t xml:space="preserve"> </w:t>
      </w:r>
    </w:p>
    <w:p w14:paraId="22BD6DC1" w14:textId="72840BBE" w:rsidR="00D06DF6" w:rsidRPr="00610B1B" w:rsidRDefault="00D06DF6"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Вътрешните морски води и териториалното море, както и въздушното пространство над тях, тяхното дъно и неговите недра са част от територията на Република България, върху които тя осъществява своя суверенитет.</w:t>
      </w:r>
      <w:r w:rsidR="00B6130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В прилежащата зона, в континенталния шелф и в изключителната икономическа зона Република България осъществява суверенни права, юрисдикция и контрол, определени </w:t>
      </w:r>
      <w:r w:rsidR="00B61304" w:rsidRPr="00610B1B">
        <w:rPr>
          <w:rFonts w:ascii="Times New Roman" w:hAnsi="Times New Roman" w:cs="Times New Roman"/>
          <w:bCs/>
          <w:sz w:val="24"/>
          <w:szCs w:val="24"/>
          <w:lang w:val="bg-BG"/>
        </w:rPr>
        <w:t>със ЗМПВВППРБ</w:t>
      </w:r>
      <w:r w:rsidRPr="00610B1B">
        <w:rPr>
          <w:rFonts w:ascii="Times New Roman" w:hAnsi="Times New Roman" w:cs="Times New Roman"/>
          <w:bCs/>
          <w:sz w:val="24"/>
          <w:szCs w:val="24"/>
          <w:lang w:val="bg-BG"/>
        </w:rPr>
        <w:t>.</w:t>
      </w:r>
      <w:r w:rsidR="00B61304" w:rsidRPr="00610B1B">
        <w:rPr>
          <w:rFonts w:ascii="Times New Roman" w:hAnsi="Times New Roman" w:cs="Times New Roman"/>
          <w:bCs/>
          <w:sz w:val="24"/>
          <w:szCs w:val="24"/>
          <w:lang w:val="bg-BG"/>
        </w:rPr>
        <w:t xml:space="preserve"> </w:t>
      </w:r>
    </w:p>
    <w:p w14:paraId="58A78255" w14:textId="2E68F642" w:rsidR="0042507B" w:rsidRPr="00610B1B" w:rsidRDefault="0042507B"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w:t>
      </w:r>
      <w:r w:rsidR="00DA4A02" w:rsidRPr="00610B1B">
        <w:rPr>
          <w:rFonts w:ascii="Times New Roman" w:hAnsi="Times New Roman" w:cs="Times New Roman"/>
          <w:bCs/>
          <w:i/>
          <w:iCs/>
          <w:sz w:val="24"/>
          <w:szCs w:val="24"/>
          <w:lang w:val="bg-BG"/>
        </w:rPr>
        <w:t>К</w:t>
      </w:r>
      <w:r w:rsidRPr="00610B1B">
        <w:rPr>
          <w:rFonts w:ascii="Times New Roman" w:hAnsi="Times New Roman" w:cs="Times New Roman"/>
          <w:bCs/>
          <w:i/>
          <w:iCs/>
          <w:sz w:val="24"/>
          <w:szCs w:val="24"/>
          <w:lang w:val="bg-BG"/>
        </w:rPr>
        <w:t>райбрежни</w:t>
      </w:r>
      <w:r w:rsidR="00DA4A02" w:rsidRPr="00610B1B">
        <w:rPr>
          <w:rFonts w:ascii="Times New Roman" w:hAnsi="Times New Roman" w:cs="Times New Roman"/>
          <w:bCs/>
          <w:i/>
          <w:iCs/>
          <w:sz w:val="24"/>
          <w:szCs w:val="24"/>
          <w:lang w:val="bg-BG"/>
        </w:rPr>
        <w:t>те</w:t>
      </w:r>
      <w:r w:rsidRPr="00610B1B">
        <w:rPr>
          <w:rFonts w:ascii="Times New Roman" w:hAnsi="Times New Roman" w:cs="Times New Roman"/>
          <w:bCs/>
          <w:i/>
          <w:iCs/>
          <w:sz w:val="24"/>
          <w:szCs w:val="24"/>
          <w:lang w:val="bg-BG"/>
        </w:rPr>
        <w:t xml:space="preserve"> морски води</w:t>
      </w:r>
      <w:r w:rsidRPr="00610B1B">
        <w:rPr>
          <w:rFonts w:ascii="Times New Roman" w:hAnsi="Times New Roman" w:cs="Times New Roman"/>
          <w:bCs/>
          <w:sz w:val="24"/>
          <w:szCs w:val="24"/>
          <w:lang w:val="bg-BG"/>
        </w:rPr>
        <w:t xml:space="preserve">" </w:t>
      </w:r>
      <w:r w:rsidR="00B61304" w:rsidRPr="00610B1B">
        <w:rPr>
          <w:rFonts w:ascii="Times New Roman" w:hAnsi="Times New Roman" w:cs="Times New Roman"/>
          <w:bCs/>
          <w:sz w:val="24"/>
          <w:szCs w:val="24"/>
          <w:lang w:val="bg-BG"/>
        </w:rPr>
        <w:t>съгласно т. 54 на параграф 1 от Допълнителните разпоредби на Закона за водите</w:t>
      </w:r>
      <w:r w:rsidR="00DA4A02" w:rsidRPr="00610B1B">
        <w:rPr>
          <w:rFonts w:ascii="Times New Roman" w:hAnsi="Times New Roman" w:cs="Times New Roman"/>
          <w:bCs/>
          <w:sz w:val="24"/>
          <w:szCs w:val="24"/>
          <w:lang w:val="bg-BG"/>
        </w:rPr>
        <w:t>,</w:t>
      </w:r>
      <w:r w:rsidR="00B61304"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са повърхностни</w:t>
      </w:r>
      <w:r w:rsidR="00B61304"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води, намиращи се откъм сушата спрямо крайбрежната линия, всяка точка от която отстои на една морска миля в посока към вътрешността на морето от най-близката точка на изходната линия, от която се измерва обхватът на териториалното море, </w:t>
      </w:r>
      <w:r w:rsidR="00B81075" w:rsidRPr="00610B1B">
        <w:rPr>
          <w:rFonts w:ascii="Times New Roman" w:hAnsi="Times New Roman" w:cs="Times New Roman"/>
          <w:bCs/>
          <w:sz w:val="24"/>
          <w:szCs w:val="24"/>
          <w:lang w:val="bg-BG"/>
        </w:rPr>
        <w:t>и</w:t>
      </w:r>
      <w:r w:rsidRPr="00610B1B">
        <w:rPr>
          <w:rFonts w:ascii="Times New Roman" w:hAnsi="Times New Roman" w:cs="Times New Roman"/>
          <w:bCs/>
          <w:sz w:val="24"/>
          <w:szCs w:val="24"/>
          <w:lang w:val="bg-BG"/>
        </w:rPr>
        <w:t xml:space="preserve"> където е възможно, продължава до външната граница на преходните води</w:t>
      </w:r>
      <w:r w:rsidR="00B61304" w:rsidRPr="00610B1B">
        <w:rPr>
          <w:rFonts w:ascii="Times New Roman" w:hAnsi="Times New Roman" w:cs="Times New Roman"/>
          <w:bCs/>
          <w:sz w:val="24"/>
          <w:szCs w:val="24"/>
          <w:lang w:val="bg-BG"/>
        </w:rPr>
        <w:t>.</w:t>
      </w:r>
    </w:p>
    <w:p w14:paraId="4C0D79E1" w14:textId="2B8DBAB5" w:rsidR="0042507B" w:rsidRPr="00610B1B" w:rsidRDefault="00B61304"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hAnsi="Times New Roman" w:cs="Times New Roman"/>
          <w:bCs/>
          <w:sz w:val="24"/>
          <w:szCs w:val="24"/>
          <w:lang w:val="bg-BG"/>
        </w:rPr>
        <w:t>Морският пространствен план и Екологичната оценка, заедно с</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Оценката за съвместимост, отделят специално внимание и на водите</w:t>
      </w:r>
      <w:r w:rsidR="008A4ECC" w:rsidRPr="00610B1B">
        <w:rPr>
          <w:rFonts w:ascii="Times New Roman" w:hAnsi="Times New Roman" w:cs="Times New Roman"/>
          <w:bCs/>
          <w:sz w:val="24"/>
          <w:szCs w:val="24"/>
          <w:lang w:val="bg-BG"/>
        </w:rPr>
        <w:t xml:space="preserve"> по чл. 119 ал. 1 т. 2, 3, 4 и 5, а именно </w:t>
      </w:r>
      <w:r w:rsidR="0042507B" w:rsidRPr="00610B1B">
        <w:rPr>
          <w:rFonts w:ascii="Times New Roman" w:eastAsia="Times New Roman" w:hAnsi="Times New Roman" w:cs="Times New Roman"/>
          <w:color w:val="000000"/>
          <w:sz w:val="24"/>
          <w:szCs w:val="24"/>
          <w:lang w:val="bg-BG"/>
        </w:rPr>
        <w:t>за отдих и водни спортове</w:t>
      </w:r>
      <w:r w:rsidR="008A4ECC" w:rsidRPr="00610B1B">
        <w:rPr>
          <w:rFonts w:ascii="Times New Roman" w:eastAsia="Times New Roman" w:hAnsi="Times New Roman" w:cs="Times New Roman"/>
          <w:color w:val="000000"/>
          <w:sz w:val="24"/>
          <w:szCs w:val="24"/>
          <w:lang w:val="bg-BG"/>
        </w:rPr>
        <w:t xml:space="preserve"> и </w:t>
      </w:r>
      <w:r w:rsidR="0042507B" w:rsidRPr="00610B1B">
        <w:rPr>
          <w:rFonts w:ascii="Times New Roman" w:eastAsia="Times New Roman" w:hAnsi="Times New Roman" w:cs="Times New Roman"/>
          <w:color w:val="000000"/>
          <w:sz w:val="24"/>
          <w:szCs w:val="24"/>
          <w:lang w:val="bg-BG"/>
        </w:rPr>
        <w:t>зони</w:t>
      </w:r>
      <w:r w:rsidR="00785AEB" w:rsidRPr="00610B1B">
        <w:rPr>
          <w:rFonts w:ascii="Times New Roman" w:eastAsia="Times New Roman" w:hAnsi="Times New Roman" w:cs="Times New Roman"/>
          <w:color w:val="000000"/>
          <w:sz w:val="24"/>
          <w:szCs w:val="24"/>
          <w:lang w:val="bg-BG"/>
        </w:rPr>
        <w:t>те</w:t>
      </w:r>
      <w:r w:rsidR="0042507B" w:rsidRPr="00610B1B">
        <w:rPr>
          <w:rFonts w:ascii="Times New Roman" w:eastAsia="Times New Roman" w:hAnsi="Times New Roman" w:cs="Times New Roman"/>
          <w:color w:val="000000"/>
          <w:sz w:val="24"/>
          <w:szCs w:val="24"/>
          <w:lang w:val="bg-BG"/>
        </w:rPr>
        <w:t xml:space="preserve"> за къпане, съгласно </w:t>
      </w:r>
      <w:r w:rsidR="008A4ECC" w:rsidRPr="00610B1B">
        <w:rPr>
          <w:rFonts w:ascii="Times New Roman" w:eastAsia="Times New Roman" w:hAnsi="Times New Roman" w:cs="Times New Roman"/>
          <w:color w:val="000000"/>
          <w:sz w:val="24"/>
          <w:szCs w:val="24"/>
          <w:lang w:val="bg-BG"/>
        </w:rPr>
        <w:t>Наредба</w:t>
      </w:r>
      <w:r w:rsidR="00785AEB" w:rsidRPr="00610B1B">
        <w:rPr>
          <w:rFonts w:ascii="Times New Roman" w:eastAsia="Times New Roman" w:hAnsi="Times New Roman" w:cs="Times New Roman"/>
          <w:color w:val="000000"/>
          <w:sz w:val="24"/>
          <w:szCs w:val="24"/>
          <w:lang w:val="bg-BG"/>
        </w:rPr>
        <w:t xml:space="preserve"> № 11</w:t>
      </w:r>
      <w:r w:rsidR="008A4ECC" w:rsidRPr="00610B1B">
        <w:rPr>
          <w:rFonts w:ascii="Times New Roman" w:eastAsia="Times New Roman" w:hAnsi="Times New Roman" w:cs="Times New Roman"/>
          <w:color w:val="000000"/>
          <w:sz w:val="24"/>
          <w:szCs w:val="24"/>
          <w:lang w:val="bg-BG"/>
        </w:rPr>
        <w:t xml:space="preserve"> за </w:t>
      </w:r>
      <w:r w:rsidR="00785AEB" w:rsidRPr="00610B1B">
        <w:rPr>
          <w:rFonts w:ascii="Times New Roman" w:eastAsia="Times New Roman" w:hAnsi="Times New Roman" w:cs="Times New Roman"/>
          <w:color w:val="000000"/>
          <w:sz w:val="24"/>
          <w:szCs w:val="24"/>
          <w:lang w:val="bg-BG"/>
        </w:rPr>
        <w:t>к</w:t>
      </w:r>
      <w:r w:rsidR="00AB7FDB" w:rsidRPr="00610B1B">
        <w:rPr>
          <w:rFonts w:ascii="Times New Roman" w:eastAsia="Times New Roman" w:hAnsi="Times New Roman" w:cs="Times New Roman"/>
          <w:color w:val="000000"/>
          <w:sz w:val="24"/>
          <w:szCs w:val="24"/>
          <w:lang w:val="bg-BG"/>
        </w:rPr>
        <w:t>ачеството на водите за къпане</w:t>
      </w:r>
      <w:r w:rsidR="00AB7FDB" w:rsidRPr="00610B1B">
        <w:rPr>
          <w:rStyle w:val="FootnoteReference"/>
          <w:rFonts w:ascii="Times New Roman" w:eastAsia="Times New Roman" w:hAnsi="Times New Roman" w:cs="Times New Roman"/>
          <w:color w:val="000000"/>
          <w:sz w:val="24"/>
          <w:szCs w:val="24"/>
          <w:lang w:val="bg-BG"/>
        </w:rPr>
        <w:footnoteReference w:id="52"/>
      </w:r>
      <w:r w:rsidR="00D10B41" w:rsidRPr="00610B1B">
        <w:rPr>
          <w:rFonts w:ascii="Times New Roman" w:eastAsia="Times New Roman" w:hAnsi="Times New Roman" w:cs="Times New Roman"/>
          <w:color w:val="000000"/>
          <w:sz w:val="24"/>
          <w:szCs w:val="24"/>
          <w:lang w:val="bg-BG"/>
        </w:rPr>
        <w:t>.</w:t>
      </w:r>
      <w:r w:rsidR="008A4ECC" w:rsidRPr="00610B1B">
        <w:rPr>
          <w:rFonts w:ascii="Times New Roman" w:eastAsia="Times New Roman" w:hAnsi="Times New Roman" w:cs="Times New Roman"/>
          <w:color w:val="000000"/>
          <w:sz w:val="24"/>
          <w:szCs w:val="24"/>
          <w:lang w:val="bg-BG"/>
        </w:rPr>
        <w:t xml:space="preserve"> </w:t>
      </w:r>
    </w:p>
    <w:p w14:paraId="430F9F0D" w14:textId="7EDF7E6D" w:rsidR="00785AEB" w:rsidRPr="00610B1B" w:rsidRDefault="0000713E"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rPr>
        <w:t>Независимо, че в</w:t>
      </w:r>
      <w:r w:rsidR="00D10B41" w:rsidRPr="00610B1B">
        <w:rPr>
          <w:rFonts w:ascii="Times New Roman" w:eastAsia="Times New Roman" w:hAnsi="Times New Roman" w:cs="Times New Roman"/>
          <w:color w:val="000000"/>
          <w:sz w:val="24"/>
          <w:szCs w:val="24"/>
          <w:lang w:val="bg-BG"/>
        </w:rPr>
        <w:t xml:space="preserve"> </w:t>
      </w:r>
      <w:r w:rsidRPr="00610B1B">
        <w:rPr>
          <w:rFonts w:ascii="Times New Roman" w:eastAsia="Times New Roman" w:hAnsi="Times New Roman" w:cs="Times New Roman"/>
          <w:color w:val="000000"/>
          <w:sz w:val="24"/>
          <w:szCs w:val="24"/>
          <w:lang w:val="bg-BG"/>
        </w:rPr>
        <w:t>ЗМПВВППРБ няма категоричен запис за прилежащите крайбрежни зони, з</w:t>
      </w:r>
      <w:r w:rsidR="002A2D48" w:rsidRPr="00610B1B">
        <w:rPr>
          <w:rFonts w:ascii="Times New Roman" w:eastAsia="Times New Roman" w:hAnsi="Times New Roman" w:cs="Times New Roman"/>
          <w:color w:val="000000"/>
          <w:sz w:val="24"/>
          <w:szCs w:val="24"/>
          <w:lang w:val="bg-BG"/>
        </w:rPr>
        <w:t xml:space="preserve">а целите на Морския пространствен план </w:t>
      </w:r>
      <w:r w:rsidRPr="00610B1B">
        <w:rPr>
          <w:rFonts w:ascii="Times New Roman" w:eastAsia="Times New Roman" w:hAnsi="Times New Roman" w:cs="Times New Roman"/>
          <w:color w:val="000000"/>
          <w:sz w:val="24"/>
          <w:szCs w:val="24"/>
          <w:lang w:val="bg-BG"/>
        </w:rPr>
        <w:t>те</w:t>
      </w:r>
      <w:r w:rsidR="002A2D48" w:rsidRPr="00610B1B">
        <w:rPr>
          <w:rFonts w:ascii="Times New Roman" w:eastAsia="Times New Roman" w:hAnsi="Times New Roman" w:cs="Times New Roman"/>
          <w:color w:val="000000"/>
          <w:sz w:val="24"/>
          <w:szCs w:val="24"/>
          <w:lang w:val="bg-BG"/>
        </w:rPr>
        <w:t xml:space="preserve"> присъстват в границите на зоните за особена териториалн</w:t>
      </w:r>
      <w:r w:rsidRPr="00610B1B">
        <w:rPr>
          <w:rFonts w:ascii="Times New Roman" w:eastAsia="Times New Roman" w:hAnsi="Times New Roman" w:cs="Times New Roman"/>
          <w:color w:val="000000"/>
          <w:sz w:val="24"/>
          <w:szCs w:val="24"/>
          <w:lang w:val="bg-BG"/>
        </w:rPr>
        <w:t xml:space="preserve">оустройствена </w:t>
      </w:r>
      <w:r w:rsidR="002A2D48" w:rsidRPr="00610B1B">
        <w:rPr>
          <w:rFonts w:ascii="Times New Roman" w:eastAsia="Times New Roman" w:hAnsi="Times New Roman" w:cs="Times New Roman"/>
          <w:color w:val="000000"/>
          <w:sz w:val="24"/>
          <w:szCs w:val="24"/>
          <w:lang w:val="bg-BG"/>
        </w:rPr>
        <w:t>защита</w:t>
      </w:r>
      <w:r w:rsidR="00143CBE" w:rsidRPr="00610B1B">
        <w:rPr>
          <w:rFonts w:ascii="Times New Roman" w:eastAsia="Times New Roman" w:hAnsi="Times New Roman" w:cs="Times New Roman"/>
          <w:color w:val="000000"/>
          <w:sz w:val="24"/>
          <w:szCs w:val="24"/>
          <w:lang w:val="bg-BG"/>
        </w:rPr>
        <w:t xml:space="preserve"> „А“ и „Б“,</w:t>
      </w:r>
      <w:r w:rsidR="002A2D48" w:rsidRPr="00610B1B">
        <w:rPr>
          <w:rFonts w:ascii="Times New Roman" w:eastAsia="Times New Roman" w:hAnsi="Times New Roman" w:cs="Times New Roman"/>
          <w:color w:val="000000"/>
          <w:sz w:val="24"/>
          <w:szCs w:val="24"/>
          <w:lang w:val="bg-BG"/>
        </w:rPr>
        <w:t xml:space="preserve"> определени със Закона за устройство на Черноморското крайбрежие. В този обхват попадат по-важни</w:t>
      </w:r>
      <w:r w:rsidR="00860503" w:rsidRPr="00610B1B">
        <w:rPr>
          <w:rFonts w:ascii="Times New Roman" w:eastAsia="Times New Roman" w:hAnsi="Times New Roman" w:cs="Times New Roman"/>
          <w:color w:val="000000"/>
          <w:sz w:val="24"/>
          <w:szCs w:val="24"/>
          <w:lang w:val="bg-BG"/>
        </w:rPr>
        <w:t>те</w:t>
      </w:r>
      <w:r w:rsidR="002A2D48" w:rsidRPr="00610B1B">
        <w:rPr>
          <w:rFonts w:ascii="Times New Roman" w:eastAsia="Times New Roman" w:hAnsi="Times New Roman" w:cs="Times New Roman"/>
          <w:color w:val="000000"/>
          <w:sz w:val="24"/>
          <w:szCs w:val="24"/>
          <w:lang w:val="bg-BG"/>
        </w:rPr>
        <w:t xml:space="preserve"> обекти и съоръжения на транспортната, туристическата, техническата и пристанищната инфраструктура, свързани с развитието на дейностите в Черно море и които имат въздействие върху качеството на средата и на предлаганите услуги.</w:t>
      </w:r>
      <w:r w:rsidR="00D66FE0" w:rsidRPr="00610B1B">
        <w:rPr>
          <w:rFonts w:ascii="Times New Roman" w:eastAsia="Times New Roman" w:hAnsi="Times New Roman" w:cs="Times New Roman"/>
          <w:color w:val="000000"/>
          <w:sz w:val="24"/>
          <w:szCs w:val="24"/>
          <w:lang w:val="bg-BG"/>
        </w:rPr>
        <w:t xml:space="preserve"> </w:t>
      </w:r>
      <w:r w:rsidRPr="00610B1B">
        <w:rPr>
          <w:rFonts w:ascii="Times New Roman" w:eastAsia="Times New Roman" w:hAnsi="Times New Roman" w:cs="Times New Roman"/>
          <w:color w:val="000000"/>
          <w:sz w:val="24"/>
          <w:szCs w:val="24"/>
          <w:lang w:val="bg-BG"/>
        </w:rPr>
        <w:t xml:space="preserve">Мотивите за подобно решение са продиктувани от изискването за обвързване на инструментите на Интегрираната морска политика, за управление на крайбрежни зони и за морско пространствено планиране. </w:t>
      </w:r>
    </w:p>
    <w:bookmarkEnd w:id="14"/>
    <w:p w14:paraId="150D884F" w14:textId="11A435BF" w:rsidR="00FB070F" w:rsidRPr="00610B1B" w:rsidRDefault="00FB070F"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rPr>
        <w:lastRenderedPageBreak/>
        <w:t>Пространственият обхват на плана има още едно измерение, което го отличава значително от териториалното планиране. Дейностите в акваторията се осъществяват</w:t>
      </w:r>
      <w:r w:rsidR="00CA7AF8" w:rsidRPr="00610B1B">
        <w:rPr>
          <w:rFonts w:ascii="Times New Roman" w:eastAsia="Times New Roman" w:hAnsi="Times New Roman" w:cs="Times New Roman"/>
          <w:color w:val="000000"/>
          <w:sz w:val="24"/>
          <w:szCs w:val="24"/>
          <w:lang w:val="bg-BG"/>
        </w:rPr>
        <w:t xml:space="preserve"> на морското дъно, във водния стълб</w:t>
      </w:r>
      <w:r w:rsidR="00860503" w:rsidRPr="00610B1B">
        <w:rPr>
          <w:rFonts w:ascii="Times New Roman" w:eastAsia="Times New Roman" w:hAnsi="Times New Roman" w:cs="Times New Roman"/>
          <w:color w:val="000000"/>
          <w:sz w:val="24"/>
          <w:szCs w:val="24"/>
          <w:lang w:val="bg-BG"/>
        </w:rPr>
        <w:t xml:space="preserve">, </w:t>
      </w:r>
      <w:r w:rsidR="00CA7AF8" w:rsidRPr="00610B1B">
        <w:rPr>
          <w:rFonts w:ascii="Times New Roman" w:eastAsia="Times New Roman" w:hAnsi="Times New Roman" w:cs="Times New Roman"/>
          <w:color w:val="000000"/>
          <w:sz w:val="24"/>
          <w:szCs w:val="24"/>
          <w:lang w:val="bg-BG"/>
        </w:rPr>
        <w:t>на водната повърхност</w:t>
      </w:r>
      <w:r w:rsidR="00860503" w:rsidRPr="00610B1B">
        <w:rPr>
          <w:rFonts w:ascii="Times New Roman" w:eastAsia="Times New Roman" w:hAnsi="Times New Roman" w:cs="Times New Roman"/>
          <w:color w:val="000000"/>
          <w:sz w:val="24"/>
          <w:szCs w:val="24"/>
          <w:lang w:val="bg-BG"/>
        </w:rPr>
        <w:t xml:space="preserve">, а някои и над нея. </w:t>
      </w:r>
      <w:r w:rsidR="00CA7AF8" w:rsidRPr="00610B1B">
        <w:rPr>
          <w:rFonts w:ascii="Times New Roman" w:eastAsia="Times New Roman" w:hAnsi="Times New Roman" w:cs="Times New Roman"/>
          <w:color w:val="000000"/>
          <w:sz w:val="24"/>
          <w:szCs w:val="24"/>
          <w:lang w:val="bg-BG"/>
        </w:rPr>
        <w:t xml:space="preserve">Това напластяване в трето </w:t>
      </w:r>
      <w:r w:rsidR="00860503" w:rsidRPr="00610B1B">
        <w:rPr>
          <w:rFonts w:ascii="Times New Roman" w:eastAsia="Times New Roman" w:hAnsi="Times New Roman" w:cs="Times New Roman"/>
          <w:color w:val="000000"/>
          <w:sz w:val="24"/>
          <w:szCs w:val="24"/>
          <w:lang w:val="bg-BG"/>
        </w:rPr>
        <w:t xml:space="preserve">пространствено </w:t>
      </w:r>
      <w:r w:rsidR="00CA7AF8" w:rsidRPr="00610B1B">
        <w:rPr>
          <w:rFonts w:ascii="Times New Roman" w:eastAsia="Times New Roman" w:hAnsi="Times New Roman" w:cs="Times New Roman"/>
          <w:color w:val="000000"/>
          <w:sz w:val="24"/>
          <w:szCs w:val="24"/>
          <w:lang w:val="bg-BG"/>
        </w:rPr>
        <w:t>измерение, го отличава от териториалното планиране и функционално</w:t>
      </w:r>
      <w:r w:rsidR="00860503" w:rsidRPr="00610B1B">
        <w:rPr>
          <w:rFonts w:ascii="Times New Roman" w:eastAsia="Times New Roman" w:hAnsi="Times New Roman" w:cs="Times New Roman"/>
          <w:color w:val="000000"/>
          <w:sz w:val="24"/>
          <w:szCs w:val="24"/>
          <w:lang w:val="bg-BG"/>
        </w:rPr>
        <w:t>то</w:t>
      </w:r>
      <w:r w:rsidR="00CA7AF8" w:rsidRPr="00610B1B">
        <w:rPr>
          <w:rFonts w:ascii="Times New Roman" w:eastAsia="Times New Roman" w:hAnsi="Times New Roman" w:cs="Times New Roman"/>
          <w:color w:val="000000"/>
          <w:sz w:val="24"/>
          <w:szCs w:val="24"/>
          <w:lang w:val="bg-BG"/>
        </w:rPr>
        <w:t xml:space="preserve"> зониране, независимо </w:t>
      </w:r>
      <w:r w:rsidR="00860503" w:rsidRPr="00610B1B">
        <w:rPr>
          <w:rFonts w:ascii="Times New Roman" w:eastAsia="Times New Roman" w:hAnsi="Times New Roman" w:cs="Times New Roman"/>
          <w:color w:val="000000"/>
          <w:sz w:val="24"/>
          <w:szCs w:val="24"/>
          <w:lang w:val="bg-BG"/>
        </w:rPr>
        <w:t>че има дейности, които се осъ</w:t>
      </w:r>
      <w:r w:rsidR="00CA7AF8" w:rsidRPr="00610B1B">
        <w:rPr>
          <w:rFonts w:ascii="Times New Roman" w:eastAsia="Times New Roman" w:hAnsi="Times New Roman" w:cs="Times New Roman"/>
          <w:color w:val="000000"/>
          <w:sz w:val="24"/>
          <w:szCs w:val="24"/>
          <w:lang w:val="bg-BG"/>
        </w:rPr>
        <w:t xml:space="preserve">ществяват под земята или на няколко нива. </w:t>
      </w:r>
      <w:r w:rsidR="00860503" w:rsidRPr="00610B1B">
        <w:rPr>
          <w:rFonts w:ascii="Times New Roman" w:eastAsia="Times New Roman" w:hAnsi="Times New Roman" w:cs="Times New Roman"/>
          <w:color w:val="000000"/>
          <w:sz w:val="24"/>
          <w:szCs w:val="24"/>
          <w:lang w:val="bg-BG"/>
        </w:rPr>
        <w:t xml:space="preserve">Самата </w:t>
      </w:r>
      <w:r w:rsidR="00261BD3" w:rsidRPr="00610B1B">
        <w:rPr>
          <w:rFonts w:ascii="Times New Roman" w:eastAsia="Times New Roman" w:hAnsi="Times New Roman" w:cs="Times New Roman"/>
          <w:color w:val="000000"/>
          <w:sz w:val="24"/>
          <w:szCs w:val="24"/>
          <w:lang w:val="bg-BG"/>
        </w:rPr>
        <w:t>Рамкова директива за морска стратегия към определенията за „морски води“ и за „крайбрежни води“ добавя и морското дъно и геоложката основа. (чл. 3 ал. 1)</w:t>
      </w:r>
    </w:p>
    <w:p w14:paraId="6AEB5CC1" w14:textId="7BBE8952" w:rsidR="004A4473" w:rsidRPr="00610B1B" w:rsidRDefault="0000713E"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i/>
          <w:iCs/>
          <w:color w:val="000000"/>
          <w:sz w:val="24"/>
          <w:szCs w:val="24"/>
          <w:lang w:val="bg-BG"/>
        </w:rPr>
        <w:t>Времевият обхват</w:t>
      </w:r>
      <w:r w:rsidRPr="00610B1B">
        <w:rPr>
          <w:rFonts w:ascii="Times New Roman" w:eastAsia="Times New Roman" w:hAnsi="Times New Roman" w:cs="Times New Roman"/>
          <w:color w:val="000000"/>
          <w:sz w:val="24"/>
          <w:szCs w:val="24"/>
          <w:lang w:val="bg-BG"/>
        </w:rPr>
        <w:t xml:space="preserve"> на Морския пространствен план е регламентиран в Техническата спецификация. Той се разработва</w:t>
      </w:r>
      <w:r w:rsidR="00D66FE0" w:rsidRPr="00610B1B">
        <w:rPr>
          <w:rFonts w:ascii="Times New Roman" w:eastAsia="Times New Roman" w:hAnsi="Times New Roman" w:cs="Times New Roman"/>
          <w:color w:val="000000"/>
          <w:sz w:val="24"/>
          <w:szCs w:val="24"/>
          <w:lang w:val="bg-BG"/>
        </w:rPr>
        <w:t xml:space="preserve"> </w:t>
      </w:r>
      <w:r w:rsidRPr="00610B1B">
        <w:rPr>
          <w:rFonts w:ascii="Times New Roman" w:eastAsia="Times New Roman" w:hAnsi="Times New Roman" w:cs="Times New Roman"/>
          <w:color w:val="000000"/>
          <w:sz w:val="24"/>
          <w:szCs w:val="24"/>
          <w:lang w:val="bg-BG"/>
        </w:rPr>
        <w:t xml:space="preserve">за периода 2021–2035 г. или за срок от </w:t>
      </w:r>
      <w:r w:rsidR="00E057DD" w:rsidRPr="00610B1B">
        <w:rPr>
          <w:rFonts w:ascii="Times New Roman" w:eastAsia="Times New Roman" w:hAnsi="Times New Roman" w:cs="Times New Roman"/>
          <w:color w:val="000000"/>
          <w:sz w:val="24"/>
          <w:szCs w:val="24"/>
          <w:lang w:val="bg-BG"/>
        </w:rPr>
        <w:t>15 години. Съгласно Методологията за стратегическо планиране в Република България</w:t>
      </w:r>
      <w:r w:rsidR="00E057DD" w:rsidRPr="00610B1B">
        <w:rPr>
          <w:rStyle w:val="FootnoteReference"/>
          <w:rFonts w:ascii="Times New Roman" w:eastAsia="Times New Roman" w:hAnsi="Times New Roman" w:cs="Times New Roman"/>
          <w:color w:val="000000"/>
          <w:sz w:val="24"/>
          <w:szCs w:val="24"/>
          <w:lang w:val="bg-BG"/>
        </w:rPr>
        <w:footnoteReference w:id="53"/>
      </w:r>
      <w:r w:rsidR="00E057DD" w:rsidRPr="00610B1B">
        <w:rPr>
          <w:rFonts w:ascii="Times New Roman" w:eastAsia="Times New Roman" w:hAnsi="Times New Roman" w:cs="Times New Roman"/>
          <w:color w:val="000000"/>
          <w:sz w:val="24"/>
          <w:szCs w:val="24"/>
          <w:lang w:val="bg-BG"/>
        </w:rPr>
        <w:t xml:space="preserve"> това отговаря на времевия обхват на дългосрочните стратегически документи, с период на действие над 10 години. </w:t>
      </w:r>
      <w:r w:rsidR="004A4473" w:rsidRPr="00610B1B">
        <w:rPr>
          <w:rFonts w:ascii="Times New Roman" w:eastAsia="Times New Roman" w:hAnsi="Times New Roman" w:cs="Times New Roman"/>
          <w:color w:val="000000"/>
          <w:sz w:val="24"/>
          <w:szCs w:val="24"/>
          <w:lang w:val="bg-BG"/>
        </w:rPr>
        <w:t>Краткосрочните прогнози са до 2024 г.</w:t>
      </w:r>
      <w:r w:rsidR="00944BC6" w:rsidRPr="00610B1B">
        <w:rPr>
          <w:rFonts w:ascii="Times New Roman" w:eastAsia="Times New Roman" w:hAnsi="Times New Roman" w:cs="Times New Roman"/>
          <w:color w:val="000000"/>
          <w:sz w:val="24"/>
          <w:szCs w:val="24"/>
          <w:lang w:val="bg-BG"/>
        </w:rPr>
        <w:t xml:space="preserve"> включително</w:t>
      </w:r>
      <w:r w:rsidR="004A4473" w:rsidRPr="00610B1B">
        <w:rPr>
          <w:rFonts w:ascii="Times New Roman" w:eastAsia="Times New Roman" w:hAnsi="Times New Roman" w:cs="Times New Roman"/>
          <w:color w:val="000000"/>
          <w:sz w:val="24"/>
          <w:szCs w:val="24"/>
          <w:lang w:val="bg-BG"/>
        </w:rPr>
        <w:t xml:space="preserve"> Актуализацията на документа следва да се извърши след 10 години или през 2030 г.</w:t>
      </w:r>
      <w:r w:rsidR="00944BC6" w:rsidRPr="00610B1B">
        <w:rPr>
          <w:rFonts w:ascii="Times New Roman" w:eastAsia="Times New Roman" w:hAnsi="Times New Roman" w:cs="Times New Roman"/>
          <w:color w:val="000000"/>
          <w:sz w:val="24"/>
          <w:szCs w:val="24"/>
          <w:lang w:val="bg-BG"/>
        </w:rPr>
        <w:t xml:space="preserve"> </w:t>
      </w:r>
      <w:r w:rsidR="004A4473" w:rsidRPr="00610B1B">
        <w:rPr>
          <w:rFonts w:ascii="Times New Roman" w:eastAsia="Times New Roman" w:hAnsi="Times New Roman" w:cs="Times New Roman"/>
          <w:color w:val="000000"/>
          <w:sz w:val="24"/>
          <w:szCs w:val="24"/>
          <w:lang w:val="bg-BG"/>
        </w:rPr>
        <w:t>когато изтичат сроковете на други важни стратегически документи като</w:t>
      </w:r>
      <w:r w:rsidR="00E057DD" w:rsidRPr="00610B1B">
        <w:rPr>
          <w:rFonts w:ascii="Times New Roman" w:eastAsia="Times New Roman" w:hAnsi="Times New Roman" w:cs="Times New Roman"/>
          <w:color w:val="000000"/>
          <w:sz w:val="24"/>
          <w:szCs w:val="24"/>
          <w:lang w:val="bg-BG"/>
        </w:rPr>
        <w:t xml:space="preserve"> Националната програма за развитие</w:t>
      </w:r>
      <w:r w:rsidR="009620CF" w:rsidRPr="00610B1B">
        <w:rPr>
          <w:rFonts w:ascii="Times New Roman" w:eastAsia="Times New Roman" w:hAnsi="Times New Roman" w:cs="Times New Roman"/>
          <w:color w:val="000000"/>
          <w:sz w:val="24"/>
          <w:szCs w:val="24"/>
          <w:lang w:val="bg-BG"/>
        </w:rPr>
        <w:t>: България 2030</w:t>
      </w:r>
      <w:r w:rsidR="004A4473" w:rsidRPr="00610B1B">
        <w:rPr>
          <w:rFonts w:ascii="Times New Roman" w:eastAsia="Times New Roman" w:hAnsi="Times New Roman" w:cs="Times New Roman"/>
          <w:color w:val="000000"/>
          <w:sz w:val="24"/>
          <w:szCs w:val="24"/>
          <w:lang w:val="bg-BG"/>
        </w:rPr>
        <w:t xml:space="preserve"> и свързани с морската икономика секторни стратегии. </w:t>
      </w:r>
    </w:p>
    <w:p w14:paraId="7AF959A4" w14:textId="6E392D13" w:rsidR="00D06DF6" w:rsidRPr="00610B1B" w:rsidRDefault="00370CE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Тематичният обхват</w:t>
      </w:r>
      <w:r w:rsidRPr="00610B1B">
        <w:rPr>
          <w:rFonts w:ascii="Times New Roman" w:hAnsi="Times New Roman" w:cs="Times New Roman"/>
          <w:bCs/>
          <w:sz w:val="24"/>
          <w:szCs w:val="24"/>
          <w:lang w:val="bg-BG"/>
        </w:rPr>
        <w:t xml:space="preserve"> на </w:t>
      </w:r>
      <w:r w:rsidR="009620CF" w:rsidRPr="00610B1B">
        <w:rPr>
          <w:rFonts w:ascii="Times New Roman" w:hAnsi="Times New Roman" w:cs="Times New Roman"/>
          <w:bCs/>
          <w:sz w:val="24"/>
          <w:szCs w:val="24"/>
          <w:lang w:val="bg-BG"/>
        </w:rPr>
        <w:t xml:space="preserve">Морския пространствен план на Република България </w:t>
      </w:r>
      <w:r w:rsidRPr="00610B1B">
        <w:rPr>
          <w:rFonts w:ascii="Times New Roman" w:hAnsi="Times New Roman" w:cs="Times New Roman"/>
          <w:bCs/>
          <w:sz w:val="24"/>
          <w:szCs w:val="24"/>
          <w:lang w:val="bg-BG"/>
        </w:rPr>
        <w:t xml:space="preserve">се определя от действащия законов документ, в който са застъпени </w:t>
      </w:r>
      <w:r w:rsidR="009620CF" w:rsidRPr="00610B1B">
        <w:rPr>
          <w:rFonts w:ascii="Times New Roman" w:hAnsi="Times New Roman" w:cs="Times New Roman"/>
          <w:bCs/>
          <w:sz w:val="24"/>
          <w:szCs w:val="24"/>
          <w:lang w:val="bg-BG"/>
        </w:rPr>
        <w:t>всички тематични области</w:t>
      </w:r>
      <w:r w:rsidRPr="00610B1B">
        <w:rPr>
          <w:rFonts w:ascii="Times New Roman" w:hAnsi="Times New Roman" w:cs="Times New Roman"/>
          <w:bCs/>
          <w:sz w:val="24"/>
          <w:szCs w:val="24"/>
          <w:lang w:val="bg-BG"/>
        </w:rPr>
        <w:t xml:space="preserve"> от</w:t>
      </w:r>
      <w:r w:rsidR="009620CF" w:rsidRPr="00610B1B">
        <w:rPr>
          <w:rFonts w:ascii="Times New Roman" w:hAnsi="Times New Roman" w:cs="Times New Roman"/>
          <w:bCs/>
          <w:sz w:val="24"/>
          <w:szCs w:val="24"/>
          <w:lang w:val="bg-BG"/>
        </w:rPr>
        <w:t xml:space="preserve"> Директива 2014/89/ЕС</w:t>
      </w:r>
      <w:r w:rsidR="006275FA" w:rsidRPr="00610B1B">
        <w:rPr>
          <w:rFonts w:ascii="Times New Roman" w:hAnsi="Times New Roman" w:cs="Times New Roman"/>
          <w:bCs/>
          <w:sz w:val="24"/>
          <w:szCs w:val="24"/>
          <w:lang w:val="bg-BG"/>
        </w:rPr>
        <w:t>. Посочените компоненти на средата, системи, зони, коридори и полигони са в основата на дейностите, за които ще се търси безконфликтно съвместяване при зонирането на морското пространство. Те обхващат транспортните системи за движение, зоните и полигоните за военни учения; зоните за проучвания, разработване и използване/добив на р</w:t>
      </w:r>
      <w:r w:rsidR="00D06DF6" w:rsidRPr="00610B1B">
        <w:rPr>
          <w:rFonts w:ascii="Times New Roman" w:hAnsi="Times New Roman" w:cs="Times New Roman"/>
          <w:bCs/>
          <w:sz w:val="24"/>
          <w:szCs w:val="24"/>
          <w:lang w:val="bg-BG"/>
        </w:rPr>
        <w:t>есурси;</w:t>
      </w:r>
      <w:r w:rsidR="006275FA" w:rsidRPr="00610B1B">
        <w:rPr>
          <w:rFonts w:ascii="Times New Roman" w:hAnsi="Times New Roman" w:cs="Times New Roman"/>
          <w:bCs/>
          <w:sz w:val="24"/>
          <w:szCs w:val="24"/>
          <w:lang w:val="bg-BG"/>
        </w:rPr>
        <w:t xml:space="preserve"> рибарството и аквакултурите; туризма, </w:t>
      </w:r>
      <w:r w:rsidR="00D10B41" w:rsidRPr="00610B1B">
        <w:rPr>
          <w:rFonts w:ascii="Times New Roman" w:hAnsi="Times New Roman" w:cs="Times New Roman"/>
          <w:bCs/>
          <w:sz w:val="24"/>
          <w:szCs w:val="24"/>
          <w:lang w:val="bg-BG"/>
        </w:rPr>
        <w:t xml:space="preserve">морските </w:t>
      </w:r>
      <w:r w:rsidR="006275FA" w:rsidRPr="00610B1B">
        <w:rPr>
          <w:rFonts w:ascii="Times New Roman" w:hAnsi="Times New Roman" w:cs="Times New Roman"/>
          <w:bCs/>
          <w:sz w:val="24"/>
          <w:szCs w:val="24"/>
          <w:lang w:val="bg-BG"/>
        </w:rPr>
        <w:t>рекреационни и спортни дейности</w:t>
      </w:r>
      <w:r w:rsidR="00D06DF6" w:rsidRPr="00610B1B">
        <w:rPr>
          <w:rFonts w:ascii="Times New Roman" w:hAnsi="Times New Roman" w:cs="Times New Roman"/>
          <w:bCs/>
          <w:sz w:val="24"/>
          <w:szCs w:val="24"/>
          <w:lang w:val="bg-BG"/>
        </w:rPr>
        <w:t>;</w:t>
      </w:r>
      <w:r w:rsidR="006275FA" w:rsidRPr="00610B1B">
        <w:rPr>
          <w:rFonts w:ascii="Times New Roman" w:hAnsi="Times New Roman" w:cs="Times New Roman"/>
          <w:bCs/>
          <w:sz w:val="24"/>
          <w:szCs w:val="24"/>
          <w:lang w:val="bg-BG"/>
        </w:rPr>
        <w:t xml:space="preserve"> научните изследвания</w:t>
      </w:r>
      <w:r w:rsidR="00D06DF6" w:rsidRPr="00610B1B">
        <w:rPr>
          <w:rFonts w:ascii="Times New Roman" w:hAnsi="Times New Roman" w:cs="Times New Roman"/>
          <w:bCs/>
          <w:sz w:val="24"/>
          <w:szCs w:val="24"/>
          <w:lang w:val="bg-BG"/>
        </w:rPr>
        <w:t>;</w:t>
      </w:r>
      <w:r w:rsidR="006275FA" w:rsidRPr="00610B1B">
        <w:rPr>
          <w:rFonts w:ascii="Times New Roman" w:hAnsi="Times New Roman" w:cs="Times New Roman"/>
          <w:bCs/>
          <w:sz w:val="24"/>
          <w:szCs w:val="24"/>
          <w:lang w:val="bg-BG"/>
        </w:rPr>
        <w:t xml:space="preserve"> защитените з</w:t>
      </w:r>
      <w:r w:rsidR="00D06DF6" w:rsidRPr="00610B1B">
        <w:rPr>
          <w:rFonts w:ascii="Times New Roman" w:hAnsi="Times New Roman" w:cs="Times New Roman"/>
          <w:bCs/>
          <w:sz w:val="24"/>
          <w:szCs w:val="24"/>
          <w:lang w:val="bg-BG"/>
        </w:rPr>
        <w:t>они и защитените територии от Националната екологична мрежа;</w:t>
      </w:r>
      <w:r w:rsidR="006275FA" w:rsidRPr="00610B1B">
        <w:rPr>
          <w:rFonts w:ascii="Times New Roman" w:hAnsi="Times New Roman" w:cs="Times New Roman"/>
          <w:bCs/>
          <w:sz w:val="24"/>
          <w:szCs w:val="24"/>
          <w:lang w:val="bg-BG"/>
        </w:rPr>
        <w:t xml:space="preserve"> културното наследство и подводната археология; подводните линейни обекти на техническата инфраструктура; </w:t>
      </w:r>
      <w:r w:rsidR="00D06DF6" w:rsidRPr="00610B1B">
        <w:rPr>
          <w:rFonts w:ascii="Times New Roman" w:hAnsi="Times New Roman" w:cs="Times New Roman"/>
          <w:bCs/>
          <w:sz w:val="24"/>
          <w:szCs w:val="24"/>
          <w:lang w:val="bg-BG"/>
        </w:rPr>
        <w:t>инсталациите и съоръженията, свързани с корабоплаването</w:t>
      </w:r>
      <w:r w:rsidR="006275FA" w:rsidRPr="00610B1B">
        <w:rPr>
          <w:rFonts w:ascii="Times New Roman" w:hAnsi="Times New Roman" w:cs="Times New Roman"/>
          <w:bCs/>
          <w:sz w:val="24"/>
          <w:szCs w:val="24"/>
          <w:lang w:val="bg-BG"/>
        </w:rPr>
        <w:t xml:space="preserve"> и с разработването и използването на минералните и енергийните ресурси; различните пристанища и пристанищната дейност с прилежащи</w:t>
      </w:r>
      <w:r w:rsidR="00D10B41" w:rsidRPr="00610B1B">
        <w:rPr>
          <w:rFonts w:ascii="Times New Roman" w:hAnsi="Times New Roman" w:cs="Times New Roman"/>
          <w:bCs/>
          <w:sz w:val="24"/>
          <w:szCs w:val="24"/>
          <w:lang w:val="bg-BG"/>
        </w:rPr>
        <w:t>те</w:t>
      </w:r>
      <w:r w:rsidR="006275FA" w:rsidRPr="00610B1B">
        <w:rPr>
          <w:rFonts w:ascii="Times New Roman" w:hAnsi="Times New Roman" w:cs="Times New Roman"/>
          <w:bCs/>
          <w:sz w:val="24"/>
          <w:szCs w:val="24"/>
          <w:lang w:val="bg-BG"/>
        </w:rPr>
        <w:t xml:space="preserve"> площи за осъществяване</w:t>
      </w:r>
      <w:r w:rsidR="00D10B41" w:rsidRPr="00610B1B">
        <w:rPr>
          <w:rFonts w:ascii="Times New Roman" w:hAnsi="Times New Roman" w:cs="Times New Roman"/>
          <w:bCs/>
          <w:sz w:val="24"/>
          <w:szCs w:val="24"/>
          <w:lang w:val="bg-BG"/>
        </w:rPr>
        <w:t>то</w:t>
      </w:r>
      <w:r w:rsidR="00DE3A13" w:rsidRPr="00610B1B">
        <w:rPr>
          <w:rFonts w:ascii="Times New Roman" w:hAnsi="Times New Roman" w:cs="Times New Roman"/>
          <w:bCs/>
          <w:sz w:val="24"/>
          <w:szCs w:val="24"/>
          <w:lang w:val="bg-BG"/>
        </w:rPr>
        <w:t xml:space="preserve"> ѝ.</w:t>
      </w:r>
      <w:r w:rsidR="000D2AAD" w:rsidRPr="00610B1B">
        <w:rPr>
          <w:rFonts w:ascii="Times New Roman" w:hAnsi="Times New Roman" w:cs="Times New Roman"/>
          <w:bCs/>
          <w:sz w:val="24"/>
          <w:szCs w:val="24"/>
          <w:lang w:val="bg-BG"/>
        </w:rPr>
        <w:t xml:space="preserve"> Анализирани са </w:t>
      </w:r>
      <w:r w:rsidR="006275FA" w:rsidRPr="00610B1B">
        <w:rPr>
          <w:rFonts w:ascii="Times New Roman" w:hAnsi="Times New Roman" w:cs="Times New Roman"/>
          <w:bCs/>
          <w:sz w:val="24"/>
          <w:szCs w:val="24"/>
          <w:lang w:val="bg-BG"/>
        </w:rPr>
        <w:t>свързаните с</w:t>
      </w:r>
      <w:r w:rsidR="00D10B41" w:rsidRPr="00610B1B">
        <w:rPr>
          <w:rFonts w:ascii="Times New Roman" w:hAnsi="Times New Roman" w:cs="Times New Roman"/>
          <w:bCs/>
          <w:sz w:val="24"/>
          <w:szCs w:val="24"/>
          <w:lang w:val="bg-BG"/>
        </w:rPr>
        <w:t xml:space="preserve">ъс </w:t>
      </w:r>
      <w:r w:rsidR="006275FA" w:rsidRPr="00610B1B">
        <w:rPr>
          <w:rFonts w:ascii="Times New Roman" w:hAnsi="Times New Roman" w:cs="Times New Roman"/>
          <w:bCs/>
          <w:sz w:val="24"/>
          <w:szCs w:val="24"/>
          <w:lang w:val="bg-BG"/>
        </w:rPr>
        <w:t xml:space="preserve">синята икономика дейности, </w:t>
      </w:r>
      <w:r w:rsidR="00D10B41" w:rsidRPr="00610B1B">
        <w:rPr>
          <w:rFonts w:ascii="Times New Roman" w:hAnsi="Times New Roman" w:cs="Times New Roman"/>
          <w:bCs/>
          <w:sz w:val="24"/>
          <w:szCs w:val="24"/>
          <w:lang w:val="bg-BG"/>
        </w:rPr>
        <w:t xml:space="preserve">с </w:t>
      </w:r>
      <w:r w:rsidR="006275FA" w:rsidRPr="00610B1B">
        <w:rPr>
          <w:rFonts w:ascii="Times New Roman" w:hAnsi="Times New Roman" w:cs="Times New Roman"/>
          <w:bCs/>
          <w:sz w:val="24"/>
          <w:szCs w:val="24"/>
          <w:lang w:val="bg-BG"/>
        </w:rPr>
        <w:t xml:space="preserve">техния разширяващ се обхват през последните десетилетия и </w:t>
      </w:r>
      <w:r w:rsidR="00FB070F" w:rsidRPr="00610B1B">
        <w:rPr>
          <w:rFonts w:ascii="Times New Roman" w:hAnsi="Times New Roman" w:cs="Times New Roman"/>
          <w:bCs/>
          <w:sz w:val="24"/>
          <w:szCs w:val="24"/>
          <w:lang w:val="bg-BG"/>
        </w:rPr>
        <w:t>необходимите пространства</w:t>
      </w:r>
      <w:r w:rsidR="000D2AAD" w:rsidRPr="00610B1B">
        <w:rPr>
          <w:rFonts w:ascii="Times New Roman" w:hAnsi="Times New Roman" w:cs="Times New Roman"/>
          <w:bCs/>
          <w:sz w:val="24"/>
          <w:szCs w:val="24"/>
          <w:lang w:val="bg-BG"/>
        </w:rPr>
        <w:t>, инфраструктура</w:t>
      </w:r>
      <w:r w:rsidR="00FB070F" w:rsidRPr="00610B1B">
        <w:rPr>
          <w:rFonts w:ascii="Times New Roman" w:hAnsi="Times New Roman" w:cs="Times New Roman"/>
          <w:bCs/>
          <w:sz w:val="24"/>
          <w:szCs w:val="24"/>
          <w:lang w:val="bg-BG"/>
        </w:rPr>
        <w:t xml:space="preserve"> и ресурси. </w:t>
      </w:r>
    </w:p>
    <w:p w14:paraId="22832721" w14:textId="77777777" w:rsidR="00261A06" w:rsidRPr="00610B1B" w:rsidRDefault="00261A06" w:rsidP="00D32D6A">
      <w:pPr>
        <w:spacing w:after="120"/>
        <w:ind w:right="-153"/>
        <w:jc w:val="both"/>
        <w:rPr>
          <w:rFonts w:ascii="Times New Roman" w:hAnsi="Times New Roman" w:cs="Times New Roman"/>
          <w:bCs/>
          <w:sz w:val="24"/>
          <w:szCs w:val="24"/>
          <w:lang w:val="bg-BG"/>
        </w:rPr>
      </w:pPr>
    </w:p>
    <w:p w14:paraId="739AA22C" w14:textId="7B4A0CAA" w:rsidR="009D4A0E" w:rsidRPr="00610B1B" w:rsidRDefault="004A4473" w:rsidP="00D32D6A">
      <w:pPr>
        <w:pStyle w:val="Heading3"/>
        <w:spacing w:before="0" w:line="276" w:lineRule="auto"/>
        <w:ind w:right="-153"/>
        <w:rPr>
          <w:rFonts w:cs="Times New Roman"/>
        </w:rPr>
      </w:pPr>
      <w:bookmarkStart w:id="15" w:name="_Toc83391356"/>
      <w:r w:rsidRPr="00610B1B">
        <w:rPr>
          <w:rFonts w:cs="Times New Roman"/>
        </w:rPr>
        <w:t>1.1</w:t>
      </w:r>
      <w:r w:rsidR="00B601CD" w:rsidRPr="00610B1B">
        <w:rPr>
          <w:rFonts w:cs="Times New Roman"/>
        </w:rPr>
        <w:t>.</w:t>
      </w:r>
      <w:r w:rsidR="00370CEC" w:rsidRPr="00610B1B">
        <w:rPr>
          <w:rFonts w:cs="Times New Roman"/>
        </w:rPr>
        <w:t>5</w:t>
      </w:r>
      <w:r w:rsidR="00B601CD" w:rsidRPr="00610B1B">
        <w:rPr>
          <w:rFonts w:cs="Times New Roman"/>
        </w:rPr>
        <w:t xml:space="preserve">. </w:t>
      </w:r>
      <w:r w:rsidR="009D4A0E" w:rsidRPr="00610B1B">
        <w:rPr>
          <w:rFonts w:cs="Times New Roman"/>
        </w:rPr>
        <w:t xml:space="preserve">Връзка с </w:t>
      </w:r>
      <w:r w:rsidRPr="00610B1B">
        <w:rPr>
          <w:rFonts w:cs="Times New Roman"/>
        </w:rPr>
        <w:t>други политики и документи</w:t>
      </w:r>
      <w:bookmarkEnd w:id="15"/>
    </w:p>
    <w:p w14:paraId="62E1C61F" w14:textId="01C68BF4" w:rsidR="00010F9A" w:rsidRPr="00610B1B" w:rsidRDefault="00010F9A"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Основен документ в Морското пространствено планиране е ръководството на ЮНЕСКО „</w:t>
      </w:r>
      <w:r w:rsidRPr="00610B1B">
        <w:rPr>
          <w:rFonts w:ascii="Times New Roman" w:hAnsi="Times New Roman" w:cs="Times New Roman"/>
          <w:bCs/>
          <w:i/>
          <w:iCs/>
          <w:sz w:val="24"/>
          <w:szCs w:val="24"/>
          <w:lang w:val="bg-BG"/>
        </w:rPr>
        <w:t>Морско пространствено планиране, Подход „Стъпка по стъпка“. Към базирано на екосистемния подход управление</w:t>
      </w:r>
      <w:r w:rsidRPr="00610B1B">
        <w:rPr>
          <w:rFonts w:ascii="Times New Roman" w:hAnsi="Times New Roman" w:cs="Times New Roman"/>
          <w:bCs/>
          <w:sz w:val="24"/>
          <w:szCs w:val="24"/>
          <w:lang w:val="bg-BG"/>
        </w:rPr>
        <w:t>“.</w:t>
      </w:r>
      <w:r w:rsidRPr="00610B1B">
        <w:rPr>
          <w:rStyle w:val="FootnoteReference"/>
          <w:rFonts w:ascii="Times New Roman" w:hAnsi="Times New Roman" w:cs="Times New Roman"/>
          <w:bCs/>
          <w:sz w:val="24"/>
          <w:szCs w:val="24"/>
          <w:lang w:val="bg-BG"/>
        </w:rPr>
        <w:footnoteReference w:id="54"/>
      </w:r>
      <w:r w:rsidRPr="00610B1B">
        <w:rPr>
          <w:rFonts w:ascii="Times New Roman" w:hAnsi="Times New Roman" w:cs="Times New Roman"/>
          <w:bCs/>
          <w:sz w:val="24"/>
          <w:szCs w:val="24"/>
          <w:lang w:val="bg-BG"/>
        </w:rPr>
        <w:t xml:space="preserve"> То представя най-ценното от световната практика от първата стъпка – осъзнаването на необходимостта от подобен вид планиране до адаптирането на плана към промените и конкретните местни условия </w:t>
      </w:r>
      <w:r w:rsidR="004F2A16" w:rsidRPr="00610B1B">
        <w:rPr>
          <w:rFonts w:ascii="Times New Roman" w:hAnsi="Times New Roman" w:cs="Times New Roman"/>
          <w:bCs/>
          <w:sz w:val="24"/>
          <w:szCs w:val="24"/>
          <w:lang w:val="bg-BG"/>
        </w:rPr>
        <w:t>за</w:t>
      </w:r>
      <w:r w:rsidRPr="00610B1B">
        <w:rPr>
          <w:rFonts w:ascii="Times New Roman" w:hAnsi="Times New Roman" w:cs="Times New Roman"/>
          <w:bCs/>
          <w:sz w:val="24"/>
          <w:szCs w:val="24"/>
          <w:lang w:val="bg-BG"/>
        </w:rPr>
        <w:t xml:space="preserve"> </w:t>
      </w:r>
      <w:r w:rsidR="004F2A16" w:rsidRPr="00610B1B">
        <w:rPr>
          <w:rFonts w:ascii="Times New Roman" w:hAnsi="Times New Roman" w:cs="Times New Roman"/>
          <w:bCs/>
          <w:sz w:val="24"/>
          <w:szCs w:val="24"/>
          <w:lang w:val="bg-BG"/>
        </w:rPr>
        <w:t xml:space="preserve">намиране на </w:t>
      </w:r>
      <w:r w:rsidR="009D7952" w:rsidRPr="00610B1B">
        <w:rPr>
          <w:rFonts w:ascii="Times New Roman" w:hAnsi="Times New Roman" w:cs="Times New Roman"/>
          <w:bCs/>
          <w:sz w:val="24"/>
          <w:szCs w:val="24"/>
          <w:lang w:val="bg-BG"/>
        </w:rPr>
        <w:lastRenderedPageBreak/>
        <w:t>алтернативни</w:t>
      </w:r>
      <w:r w:rsidR="004F2A16" w:rsidRPr="00610B1B">
        <w:rPr>
          <w:rFonts w:ascii="Times New Roman" w:hAnsi="Times New Roman" w:cs="Times New Roman"/>
          <w:bCs/>
          <w:sz w:val="24"/>
          <w:szCs w:val="24"/>
          <w:lang w:val="bg-BG"/>
        </w:rPr>
        <w:t xml:space="preserve"> решения за постигане на целите в процеса на </w:t>
      </w:r>
      <w:r w:rsidRPr="00610B1B">
        <w:rPr>
          <w:rFonts w:ascii="Times New Roman" w:hAnsi="Times New Roman" w:cs="Times New Roman"/>
          <w:bCs/>
          <w:sz w:val="24"/>
          <w:szCs w:val="24"/>
          <w:lang w:val="bg-BG"/>
        </w:rPr>
        <w:t>приложение.</w:t>
      </w:r>
      <w:r w:rsidR="004F2A16" w:rsidRPr="00610B1B">
        <w:rPr>
          <w:rFonts w:ascii="Times New Roman" w:hAnsi="Times New Roman" w:cs="Times New Roman"/>
          <w:bCs/>
          <w:sz w:val="24"/>
          <w:szCs w:val="24"/>
          <w:lang w:val="bg-BG"/>
        </w:rPr>
        <w:t xml:space="preserve"> </w:t>
      </w:r>
      <w:r w:rsidR="004A4473" w:rsidRPr="00610B1B">
        <w:rPr>
          <w:rFonts w:ascii="Times New Roman" w:hAnsi="Times New Roman" w:cs="Times New Roman"/>
          <w:bCs/>
          <w:sz w:val="24"/>
          <w:szCs w:val="24"/>
          <w:lang w:val="bg-BG"/>
        </w:rPr>
        <w:t>В началото на 2019 година България е извървяла, успешно част от първоначалните стъпки.</w:t>
      </w:r>
    </w:p>
    <w:p w14:paraId="1C4A99C0" w14:textId="1167354C" w:rsidR="004F2A16" w:rsidRPr="00610B1B" w:rsidRDefault="004F2A16"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 Европейските програмни и стратегически документи</w:t>
      </w:r>
      <w:r w:rsidR="00B82791" w:rsidRPr="00610B1B">
        <w:rPr>
          <w:rFonts w:ascii="Times New Roman" w:hAnsi="Times New Roman" w:cs="Times New Roman"/>
          <w:bCs/>
          <w:sz w:val="24"/>
          <w:szCs w:val="24"/>
          <w:lang w:val="bg-BG"/>
        </w:rPr>
        <w:t xml:space="preserve"> от началото на настоящия</w:t>
      </w:r>
      <w:r w:rsidR="004A4473" w:rsidRPr="00610B1B">
        <w:rPr>
          <w:rFonts w:ascii="Times New Roman" w:hAnsi="Times New Roman" w:cs="Times New Roman"/>
          <w:bCs/>
          <w:sz w:val="24"/>
          <w:szCs w:val="24"/>
          <w:lang w:val="bg-BG"/>
        </w:rPr>
        <w:t xml:space="preserve"> век</w:t>
      </w:r>
      <w:r w:rsidRPr="00610B1B">
        <w:rPr>
          <w:rFonts w:ascii="Times New Roman" w:hAnsi="Times New Roman" w:cs="Times New Roman"/>
          <w:bCs/>
          <w:sz w:val="24"/>
          <w:szCs w:val="24"/>
          <w:lang w:val="bg-BG"/>
        </w:rPr>
        <w:t xml:space="preserve">, формирали насоките на пространствената политика на ЕС фокусът е територията, </w:t>
      </w:r>
      <w:r w:rsidR="00B82791" w:rsidRPr="00610B1B">
        <w:rPr>
          <w:rFonts w:ascii="Times New Roman" w:hAnsi="Times New Roman" w:cs="Times New Roman"/>
          <w:bCs/>
          <w:sz w:val="24"/>
          <w:szCs w:val="24"/>
          <w:lang w:val="bg-BG"/>
        </w:rPr>
        <w:t xml:space="preserve">регионалното и </w:t>
      </w:r>
      <w:r w:rsidRPr="00610B1B">
        <w:rPr>
          <w:rFonts w:ascii="Times New Roman" w:hAnsi="Times New Roman" w:cs="Times New Roman"/>
          <w:bCs/>
          <w:sz w:val="24"/>
          <w:szCs w:val="24"/>
          <w:lang w:val="bg-BG"/>
        </w:rPr>
        <w:t>градско</w:t>
      </w:r>
      <w:r w:rsidR="00B82791" w:rsidRPr="00610B1B">
        <w:rPr>
          <w:rFonts w:ascii="Times New Roman" w:hAnsi="Times New Roman" w:cs="Times New Roman"/>
          <w:bCs/>
          <w:sz w:val="24"/>
          <w:szCs w:val="24"/>
          <w:lang w:val="bg-BG"/>
        </w:rPr>
        <w:t>то</w:t>
      </w:r>
      <w:r w:rsidRPr="00610B1B">
        <w:rPr>
          <w:rFonts w:ascii="Times New Roman" w:hAnsi="Times New Roman" w:cs="Times New Roman"/>
          <w:bCs/>
          <w:sz w:val="24"/>
          <w:szCs w:val="24"/>
          <w:lang w:val="bg-BG"/>
        </w:rPr>
        <w:t xml:space="preserve"> развитие</w:t>
      </w:r>
      <w:r w:rsidR="00B82791"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намаляване</w:t>
      </w:r>
      <w:r w:rsidR="00DC23F6" w:rsidRPr="00610B1B">
        <w:rPr>
          <w:rFonts w:ascii="Times New Roman" w:hAnsi="Times New Roman" w:cs="Times New Roman"/>
          <w:bCs/>
          <w:sz w:val="24"/>
          <w:szCs w:val="24"/>
          <w:lang w:val="bg-BG"/>
        </w:rPr>
        <w:t>то</w:t>
      </w:r>
      <w:r w:rsidRPr="00610B1B">
        <w:rPr>
          <w:rFonts w:ascii="Times New Roman" w:hAnsi="Times New Roman" w:cs="Times New Roman"/>
          <w:bCs/>
          <w:sz w:val="24"/>
          <w:szCs w:val="24"/>
          <w:lang w:val="bg-BG"/>
        </w:rPr>
        <w:t xml:space="preserve"> на различията</w:t>
      </w:r>
      <w:r w:rsidR="00B82791" w:rsidRPr="00610B1B">
        <w:rPr>
          <w:rFonts w:ascii="Times New Roman" w:hAnsi="Times New Roman" w:cs="Times New Roman"/>
          <w:bCs/>
          <w:sz w:val="24"/>
          <w:szCs w:val="24"/>
          <w:lang w:val="bg-BG"/>
        </w:rPr>
        <w:t xml:space="preserve"> в селските райони, транспорта и основните входове към Европа – пристанищата.</w:t>
      </w:r>
      <w:r w:rsidRPr="00610B1B">
        <w:rPr>
          <w:rFonts w:ascii="Times New Roman" w:hAnsi="Times New Roman" w:cs="Times New Roman"/>
          <w:bCs/>
          <w:sz w:val="24"/>
          <w:szCs w:val="24"/>
          <w:lang w:val="bg-BG"/>
        </w:rPr>
        <w:t xml:space="preserve"> </w:t>
      </w:r>
      <w:r w:rsidR="00B82791" w:rsidRPr="00610B1B">
        <w:rPr>
          <w:rFonts w:ascii="Times New Roman" w:hAnsi="Times New Roman" w:cs="Times New Roman"/>
          <w:bCs/>
          <w:sz w:val="24"/>
          <w:szCs w:val="24"/>
          <w:lang w:val="bg-BG"/>
        </w:rPr>
        <w:t>Въпреки ясната връзка с дейностите, осъществявани в моретата и океаните</w:t>
      </w:r>
      <w:r w:rsidR="004A4473" w:rsidRPr="00610B1B">
        <w:rPr>
          <w:rFonts w:ascii="Times New Roman" w:hAnsi="Times New Roman" w:cs="Times New Roman"/>
          <w:bCs/>
          <w:sz w:val="24"/>
          <w:szCs w:val="24"/>
          <w:lang w:val="bg-BG"/>
        </w:rPr>
        <w:t>,</w:t>
      </w:r>
      <w:r w:rsidR="00B82791" w:rsidRPr="00610B1B">
        <w:rPr>
          <w:rFonts w:ascii="Times New Roman" w:hAnsi="Times New Roman" w:cs="Times New Roman"/>
          <w:bCs/>
          <w:sz w:val="24"/>
          <w:szCs w:val="24"/>
          <w:lang w:val="bg-BG"/>
        </w:rPr>
        <w:t xml:space="preserve"> като морския транспорт, който обхваща над 90% от транспорта на ЕС,</w:t>
      </w:r>
      <w:r w:rsidRPr="00610B1B">
        <w:rPr>
          <w:rFonts w:ascii="Times New Roman" w:hAnsi="Times New Roman" w:cs="Times New Roman"/>
          <w:bCs/>
          <w:sz w:val="24"/>
          <w:szCs w:val="24"/>
          <w:lang w:val="bg-BG"/>
        </w:rPr>
        <w:t xml:space="preserve"> на морското пространствено планиране е отделено незначително </w:t>
      </w:r>
      <w:r w:rsidR="00B82791" w:rsidRPr="00610B1B">
        <w:rPr>
          <w:rFonts w:ascii="Times New Roman" w:hAnsi="Times New Roman" w:cs="Times New Roman"/>
          <w:bCs/>
          <w:sz w:val="24"/>
          <w:szCs w:val="24"/>
          <w:lang w:val="bg-BG"/>
        </w:rPr>
        <w:t>внимание</w:t>
      </w:r>
      <w:r w:rsidRPr="00610B1B">
        <w:rPr>
          <w:rFonts w:ascii="Times New Roman" w:hAnsi="Times New Roman" w:cs="Times New Roman"/>
          <w:bCs/>
          <w:sz w:val="24"/>
          <w:szCs w:val="24"/>
          <w:lang w:val="bg-BG"/>
        </w:rPr>
        <w:t xml:space="preserve">. </w:t>
      </w:r>
      <w:r w:rsidR="00B82791" w:rsidRPr="00610B1B">
        <w:rPr>
          <w:rFonts w:ascii="Times New Roman" w:hAnsi="Times New Roman" w:cs="Times New Roman"/>
          <w:bCs/>
          <w:sz w:val="24"/>
          <w:szCs w:val="24"/>
          <w:lang w:val="bg-BG"/>
        </w:rPr>
        <w:t xml:space="preserve">Интегрираното управление на крайбрежни зони и морското пространствено планиране винаги са били разглеждани като два отделни инструмента на Интегрираната морска политика. </w:t>
      </w:r>
      <w:r w:rsidR="004A4473" w:rsidRPr="00610B1B">
        <w:rPr>
          <w:rFonts w:ascii="Times New Roman" w:hAnsi="Times New Roman" w:cs="Times New Roman"/>
          <w:bCs/>
          <w:sz w:val="24"/>
          <w:szCs w:val="24"/>
          <w:lang w:val="bg-BG"/>
        </w:rPr>
        <w:t xml:space="preserve">И сега </w:t>
      </w:r>
      <w:r w:rsidR="00B82791" w:rsidRPr="00610B1B">
        <w:rPr>
          <w:rFonts w:ascii="Times New Roman" w:hAnsi="Times New Roman" w:cs="Times New Roman"/>
          <w:bCs/>
          <w:sz w:val="24"/>
          <w:szCs w:val="24"/>
          <w:lang w:val="bg-BG"/>
        </w:rPr>
        <w:t xml:space="preserve">всяка държава членка трябва да изработи два документа – Морска стратегия и Морски пространствен план. </w:t>
      </w:r>
    </w:p>
    <w:p w14:paraId="2A82A5B4" w14:textId="3B7EC00F" w:rsidR="001B64DC" w:rsidRPr="00610B1B" w:rsidRDefault="00DC23F6"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Европейската стратегия за морска сигурност</w:t>
      </w:r>
      <w:r w:rsidRPr="00610B1B">
        <w:rPr>
          <w:rStyle w:val="FootnoteReference"/>
          <w:rFonts w:ascii="Times New Roman" w:hAnsi="Times New Roman" w:cs="Times New Roman"/>
          <w:bCs/>
          <w:i/>
          <w:iCs/>
          <w:sz w:val="24"/>
          <w:szCs w:val="24"/>
          <w:lang w:val="bg-BG"/>
        </w:rPr>
        <w:footnoteReference w:id="55"/>
      </w:r>
      <w:r w:rsidRPr="00610B1B">
        <w:rPr>
          <w:rFonts w:ascii="Times New Roman" w:hAnsi="Times New Roman" w:cs="Times New Roman"/>
          <w:bCs/>
          <w:sz w:val="24"/>
          <w:szCs w:val="24"/>
          <w:lang w:val="bg-BG"/>
        </w:rPr>
        <w:t xml:space="preserve"> е план за обвързване на политиката за сигурност на ЕС с Интегрираната морска политика и </w:t>
      </w:r>
      <w:r w:rsidR="00A65B0D" w:rsidRPr="00610B1B">
        <w:rPr>
          <w:rFonts w:ascii="Times New Roman" w:hAnsi="Times New Roman" w:cs="Times New Roman"/>
          <w:bCs/>
          <w:sz w:val="24"/>
          <w:szCs w:val="24"/>
          <w:lang w:val="bg-BG"/>
        </w:rPr>
        <w:t xml:space="preserve">е насочена към </w:t>
      </w:r>
      <w:r w:rsidRPr="00610B1B">
        <w:rPr>
          <w:rFonts w:ascii="Times New Roman" w:hAnsi="Times New Roman" w:cs="Times New Roman"/>
          <w:bCs/>
          <w:sz w:val="24"/>
          <w:szCs w:val="24"/>
          <w:lang w:val="bg-BG"/>
        </w:rPr>
        <w:t>основни</w:t>
      </w:r>
      <w:r w:rsidR="00ED1BFE"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предизвикателства, които засягат хората, дейностите и инфраструктурата. Тя е изградена на 4 основни принципа – междусекторна </w:t>
      </w:r>
      <w:r w:rsidR="00A65B0D" w:rsidRPr="00610B1B">
        <w:rPr>
          <w:rFonts w:ascii="Times New Roman" w:hAnsi="Times New Roman" w:cs="Times New Roman"/>
          <w:bCs/>
          <w:sz w:val="24"/>
          <w:szCs w:val="24"/>
          <w:lang w:val="bg-BG"/>
        </w:rPr>
        <w:t>координация, функционална интеграция,</w:t>
      </w:r>
      <w:r w:rsidR="00D66FE0" w:rsidRPr="00610B1B">
        <w:rPr>
          <w:rFonts w:ascii="Times New Roman" w:hAnsi="Times New Roman" w:cs="Times New Roman"/>
          <w:bCs/>
          <w:sz w:val="24"/>
          <w:szCs w:val="24"/>
          <w:lang w:val="bg-BG"/>
        </w:rPr>
        <w:t xml:space="preserve"> </w:t>
      </w:r>
      <w:r w:rsidR="00A65B0D" w:rsidRPr="00610B1B">
        <w:rPr>
          <w:rFonts w:ascii="Times New Roman" w:hAnsi="Times New Roman" w:cs="Times New Roman"/>
          <w:bCs/>
          <w:sz w:val="24"/>
          <w:szCs w:val="24"/>
          <w:lang w:val="bg-BG"/>
        </w:rPr>
        <w:t>многостранно сътрудничество и спазване на правилата за постигане на по-голяма ефективност.</w:t>
      </w:r>
      <w:r w:rsidR="001B64DC" w:rsidRPr="00610B1B">
        <w:rPr>
          <w:rFonts w:ascii="Times New Roman" w:hAnsi="Times New Roman" w:cs="Times New Roman"/>
          <w:bCs/>
          <w:sz w:val="24"/>
          <w:szCs w:val="24"/>
          <w:lang w:val="bg-BG"/>
        </w:rPr>
        <w:t xml:space="preserve"> </w:t>
      </w:r>
      <w:r w:rsidR="006463BC" w:rsidRPr="00610B1B">
        <w:rPr>
          <w:rFonts w:ascii="Times New Roman" w:hAnsi="Times New Roman" w:cs="Times New Roman"/>
          <w:bCs/>
          <w:sz w:val="24"/>
          <w:szCs w:val="24"/>
          <w:lang w:val="bg-BG"/>
        </w:rPr>
        <w:t xml:space="preserve">Стратегията </w:t>
      </w:r>
      <w:r w:rsidR="001B64DC" w:rsidRPr="00610B1B">
        <w:rPr>
          <w:rFonts w:ascii="Times New Roman" w:hAnsi="Times New Roman" w:cs="Times New Roman"/>
          <w:bCs/>
          <w:sz w:val="24"/>
          <w:szCs w:val="24"/>
          <w:lang w:val="bg-BG"/>
        </w:rPr>
        <w:t>има комплексен характер</w:t>
      </w:r>
      <w:r w:rsidR="00ED1BFE" w:rsidRPr="00610B1B">
        <w:rPr>
          <w:rFonts w:ascii="Times New Roman" w:hAnsi="Times New Roman" w:cs="Times New Roman"/>
          <w:bCs/>
          <w:sz w:val="24"/>
          <w:szCs w:val="24"/>
          <w:lang w:val="bg-BG"/>
        </w:rPr>
        <w:t xml:space="preserve"> и</w:t>
      </w:r>
      <w:r w:rsidR="001B64DC" w:rsidRPr="00610B1B">
        <w:rPr>
          <w:rFonts w:ascii="Times New Roman" w:hAnsi="Times New Roman" w:cs="Times New Roman"/>
          <w:bCs/>
          <w:sz w:val="24"/>
          <w:szCs w:val="24"/>
          <w:lang w:val="bg-BG"/>
        </w:rPr>
        <w:t xml:space="preserve"> обхваща мерките </w:t>
      </w:r>
      <w:r w:rsidR="00ED1BFE" w:rsidRPr="00610B1B">
        <w:rPr>
          <w:rFonts w:ascii="Times New Roman" w:hAnsi="Times New Roman" w:cs="Times New Roman"/>
          <w:bCs/>
          <w:sz w:val="24"/>
          <w:szCs w:val="24"/>
          <w:lang w:val="bg-BG"/>
        </w:rPr>
        <w:t>за</w:t>
      </w:r>
      <w:r w:rsidR="001B64DC" w:rsidRPr="00610B1B">
        <w:rPr>
          <w:rFonts w:ascii="Times New Roman" w:hAnsi="Times New Roman" w:cs="Times New Roman"/>
          <w:bCs/>
          <w:sz w:val="24"/>
          <w:szCs w:val="24"/>
          <w:lang w:val="bg-BG"/>
        </w:rPr>
        <w:t xml:space="preserve"> общата сигурност и мира, свободата на корабоплаването, съобразено с морското право, контрола върху външните граници на ЕС, морската инфраструктура </w:t>
      </w:r>
      <w:r w:rsidR="006463BC" w:rsidRPr="00610B1B">
        <w:rPr>
          <w:rFonts w:ascii="Times New Roman" w:hAnsi="Times New Roman" w:cs="Times New Roman"/>
          <w:bCs/>
          <w:sz w:val="24"/>
          <w:szCs w:val="24"/>
          <w:lang w:val="bg-BG"/>
        </w:rPr>
        <w:t>(</w:t>
      </w:r>
      <w:r w:rsidR="001B64DC" w:rsidRPr="00610B1B">
        <w:rPr>
          <w:rFonts w:ascii="Times New Roman" w:hAnsi="Times New Roman" w:cs="Times New Roman"/>
          <w:bCs/>
          <w:sz w:val="24"/>
          <w:szCs w:val="24"/>
          <w:lang w:val="bg-BG"/>
        </w:rPr>
        <w:t>пристанища, брегозащита, подводни кабели и тръбопроводи, офшорни платформи и оборудване за научни изследвания</w:t>
      </w:r>
      <w:r w:rsidR="006463BC" w:rsidRPr="00610B1B">
        <w:rPr>
          <w:rFonts w:ascii="Times New Roman" w:hAnsi="Times New Roman" w:cs="Times New Roman"/>
          <w:bCs/>
          <w:sz w:val="24"/>
          <w:szCs w:val="24"/>
          <w:lang w:val="bg-BG"/>
        </w:rPr>
        <w:t>)</w:t>
      </w:r>
      <w:r w:rsidR="001B64DC" w:rsidRPr="00610B1B">
        <w:rPr>
          <w:rFonts w:ascii="Times New Roman" w:hAnsi="Times New Roman" w:cs="Times New Roman"/>
          <w:bCs/>
          <w:sz w:val="24"/>
          <w:szCs w:val="24"/>
          <w:lang w:val="bg-BG"/>
        </w:rPr>
        <w:t xml:space="preserve">, природни ресурси, качество на морската среда и адаптация към климатичните промени. </w:t>
      </w:r>
      <w:r w:rsidR="00ED1BFE" w:rsidRPr="00610B1B">
        <w:rPr>
          <w:rFonts w:ascii="Times New Roman" w:hAnsi="Times New Roman" w:cs="Times New Roman"/>
          <w:bCs/>
          <w:sz w:val="24"/>
          <w:szCs w:val="24"/>
          <w:lang w:val="bg-BG"/>
        </w:rPr>
        <w:t>О</w:t>
      </w:r>
      <w:r w:rsidR="001B64DC" w:rsidRPr="00610B1B">
        <w:rPr>
          <w:rFonts w:ascii="Times New Roman" w:hAnsi="Times New Roman" w:cs="Times New Roman"/>
          <w:bCs/>
          <w:sz w:val="24"/>
          <w:szCs w:val="24"/>
          <w:lang w:val="bg-BG"/>
        </w:rPr>
        <w:t>бхват</w:t>
      </w:r>
      <w:r w:rsidR="00ED1BFE" w:rsidRPr="00610B1B">
        <w:rPr>
          <w:rFonts w:ascii="Times New Roman" w:hAnsi="Times New Roman" w:cs="Times New Roman"/>
          <w:bCs/>
          <w:sz w:val="24"/>
          <w:szCs w:val="24"/>
          <w:lang w:val="bg-BG"/>
        </w:rPr>
        <w:t>ът</w:t>
      </w:r>
      <w:r w:rsidR="001B64DC" w:rsidRPr="00610B1B">
        <w:rPr>
          <w:rFonts w:ascii="Times New Roman" w:hAnsi="Times New Roman" w:cs="Times New Roman"/>
          <w:bCs/>
          <w:sz w:val="24"/>
          <w:szCs w:val="24"/>
          <w:lang w:val="bg-BG"/>
        </w:rPr>
        <w:t xml:space="preserve"> е много по-мащабен от националните морски стратегии на държавите-членки на ЕС, фокусирани </w:t>
      </w:r>
      <w:r w:rsidR="00C46043" w:rsidRPr="00610B1B">
        <w:rPr>
          <w:rFonts w:ascii="Times New Roman" w:hAnsi="Times New Roman" w:cs="Times New Roman"/>
          <w:bCs/>
          <w:sz w:val="24"/>
          <w:szCs w:val="24"/>
          <w:lang w:val="bg-BG"/>
        </w:rPr>
        <w:t xml:space="preserve">предимно </w:t>
      </w:r>
      <w:r w:rsidR="001B64DC" w:rsidRPr="00610B1B">
        <w:rPr>
          <w:rFonts w:ascii="Times New Roman" w:hAnsi="Times New Roman" w:cs="Times New Roman"/>
          <w:bCs/>
          <w:sz w:val="24"/>
          <w:szCs w:val="24"/>
          <w:lang w:val="bg-BG"/>
        </w:rPr>
        <w:t>върху екологичните аспекти и състоянието на морската среда</w:t>
      </w:r>
      <w:r w:rsidR="00C46043" w:rsidRPr="00610B1B">
        <w:rPr>
          <w:rFonts w:ascii="Times New Roman" w:hAnsi="Times New Roman" w:cs="Times New Roman"/>
          <w:bCs/>
          <w:sz w:val="24"/>
          <w:szCs w:val="24"/>
          <w:lang w:val="bg-BG"/>
        </w:rPr>
        <w:t>.</w:t>
      </w:r>
      <w:r w:rsidR="001B64DC" w:rsidRPr="00610B1B">
        <w:rPr>
          <w:rFonts w:ascii="Times New Roman" w:hAnsi="Times New Roman" w:cs="Times New Roman"/>
          <w:bCs/>
          <w:sz w:val="24"/>
          <w:szCs w:val="24"/>
          <w:lang w:val="bg-BG"/>
        </w:rPr>
        <w:t xml:space="preserve"> </w:t>
      </w:r>
    </w:p>
    <w:p w14:paraId="5E1A40D6" w14:textId="0A7E4ACE" w:rsidR="00BE7649" w:rsidRPr="00610B1B" w:rsidRDefault="006463B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Общият </w:t>
      </w:r>
      <w:r w:rsidR="00950DC7" w:rsidRPr="00610B1B">
        <w:rPr>
          <w:rFonts w:ascii="Times New Roman" w:hAnsi="Times New Roman" w:cs="Times New Roman"/>
          <w:bCs/>
          <w:i/>
          <w:iCs/>
          <w:sz w:val="24"/>
          <w:szCs w:val="24"/>
          <w:lang w:val="bg-BG"/>
        </w:rPr>
        <w:t xml:space="preserve">Дневен </w:t>
      </w:r>
      <w:r w:rsidRPr="00610B1B">
        <w:rPr>
          <w:rFonts w:ascii="Times New Roman" w:hAnsi="Times New Roman" w:cs="Times New Roman"/>
          <w:bCs/>
          <w:i/>
          <w:iCs/>
          <w:sz w:val="24"/>
          <w:szCs w:val="24"/>
          <w:lang w:val="bg-BG"/>
        </w:rPr>
        <w:t>ред за Черно море</w:t>
      </w:r>
      <w:r w:rsidRPr="00610B1B">
        <w:rPr>
          <w:rFonts w:ascii="Times New Roman" w:hAnsi="Times New Roman" w:cs="Times New Roman"/>
          <w:bCs/>
          <w:sz w:val="24"/>
          <w:szCs w:val="24"/>
          <w:lang w:val="bg-BG"/>
        </w:rPr>
        <w:t>, официално поставен на обсъждане на 17 февруари</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2020 г.</w:t>
      </w:r>
      <w:r w:rsidR="00BE7649" w:rsidRPr="00610B1B">
        <w:rPr>
          <w:rStyle w:val="FootnoteReference"/>
          <w:rFonts w:ascii="Times New Roman" w:hAnsi="Times New Roman" w:cs="Times New Roman"/>
          <w:bCs/>
          <w:sz w:val="24"/>
          <w:szCs w:val="24"/>
          <w:lang w:val="bg-BG"/>
        </w:rPr>
        <w:footnoteReference w:id="56"/>
      </w:r>
      <w:r w:rsidR="00950DC7" w:rsidRPr="00610B1B">
        <w:rPr>
          <w:rFonts w:ascii="Times New Roman" w:hAnsi="Times New Roman" w:cs="Times New Roman"/>
          <w:bCs/>
          <w:sz w:val="24"/>
          <w:szCs w:val="24"/>
          <w:lang w:val="bg-BG"/>
        </w:rPr>
        <w:t>,</w:t>
      </w:r>
      <w:r w:rsidR="00BE7649" w:rsidRPr="00610B1B">
        <w:rPr>
          <w:rFonts w:ascii="Times New Roman" w:hAnsi="Times New Roman" w:cs="Times New Roman"/>
          <w:bCs/>
          <w:sz w:val="24"/>
          <w:szCs w:val="24"/>
          <w:lang w:val="bg-BG"/>
        </w:rPr>
        <w:t xml:space="preserve"> </w:t>
      </w:r>
      <w:r w:rsidR="00950DC7" w:rsidRPr="00610B1B">
        <w:rPr>
          <w:rFonts w:ascii="Times New Roman" w:hAnsi="Times New Roman" w:cs="Times New Roman"/>
          <w:bCs/>
          <w:sz w:val="24"/>
          <w:szCs w:val="24"/>
          <w:lang w:val="bg-BG"/>
        </w:rPr>
        <w:t>цели да идентифицира важните за региона проекти, но също така да подпомогне развиването на знания и отговорност за морското пространство, пренасяйки примера за координирани действия</w:t>
      </w:r>
      <w:r w:rsidR="00D66FE0" w:rsidRPr="00610B1B">
        <w:rPr>
          <w:rFonts w:ascii="Times New Roman" w:hAnsi="Times New Roman" w:cs="Times New Roman"/>
          <w:bCs/>
          <w:sz w:val="24"/>
          <w:szCs w:val="24"/>
          <w:lang w:val="bg-BG"/>
        </w:rPr>
        <w:t xml:space="preserve"> </w:t>
      </w:r>
      <w:r w:rsidR="00075703" w:rsidRPr="00610B1B">
        <w:rPr>
          <w:rFonts w:ascii="Times New Roman" w:hAnsi="Times New Roman" w:cs="Times New Roman"/>
          <w:bCs/>
          <w:sz w:val="24"/>
          <w:szCs w:val="24"/>
          <w:lang w:val="bg-BG"/>
        </w:rPr>
        <w:t>от</w:t>
      </w:r>
      <w:r w:rsidR="00950DC7" w:rsidRPr="00610B1B">
        <w:rPr>
          <w:rFonts w:ascii="Times New Roman" w:hAnsi="Times New Roman" w:cs="Times New Roman"/>
          <w:bCs/>
          <w:sz w:val="24"/>
          <w:szCs w:val="24"/>
          <w:lang w:val="bg-BG"/>
        </w:rPr>
        <w:t xml:space="preserve"> други морски региони в ЕС. Т</w:t>
      </w:r>
      <w:r w:rsidR="00553BBF" w:rsidRPr="00610B1B">
        <w:rPr>
          <w:rFonts w:ascii="Times New Roman" w:hAnsi="Times New Roman" w:cs="Times New Roman"/>
          <w:bCs/>
          <w:sz w:val="24"/>
          <w:szCs w:val="24"/>
          <w:lang w:val="bg-BG"/>
        </w:rPr>
        <w:t>ази</w:t>
      </w:r>
      <w:r w:rsidR="00950DC7" w:rsidRPr="00610B1B">
        <w:rPr>
          <w:rFonts w:ascii="Times New Roman" w:hAnsi="Times New Roman" w:cs="Times New Roman"/>
          <w:bCs/>
          <w:sz w:val="24"/>
          <w:szCs w:val="24"/>
          <w:lang w:val="bg-BG"/>
        </w:rPr>
        <w:t xml:space="preserve"> стратегическа програма за развитие на синята икономика в черноморските страни</w:t>
      </w:r>
      <w:r w:rsidR="00553BBF" w:rsidRPr="00610B1B">
        <w:rPr>
          <w:rFonts w:ascii="Times New Roman" w:hAnsi="Times New Roman" w:cs="Times New Roman"/>
          <w:bCs/>
          <w:sz w:val="24"/>
          <w:szCs w:val="24"/>
          <w:lang w:val="bg-BG"/>
        </w:rPr>
        <w:t xml:space="preserve"> е продължение на работата по надграждане на общата визия (Бургас, 2018 г.)</w:t>
      </w:r>
      <w:r w:rsidR="00AA191D" w:rsidRPr="00610B1B">
        <w:rPr>
          <w:rFonts w:ascii="Times New Roman" w:hAnsi="Times New Roman" w:cs="Times New Roman"/>
          <w:bCs/>
          <w:sz w:val="24"/>
          <w:szCs w:val="24"/>
          <w:lang w:val="bg-BG"/>
        </w:rPr>
        <w:t xml:space="preserve"> и определяне на общите цели и приоритети за морски научни изследвания и иновации. </w:t>
      </w:r>
    </w:p>
    <w:p w14:paraId="296AC0C5" w14:textId="21829150" w:rsidR="00085647" w:rsidRPr="00610B1B" w:rsidRDefault="00BC381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На национално ниво Морският пространствен план</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е свързан с два еднакво важни стратегически документа - </w:t>
      </w:r>
      <w:r w:rsidRPr="00610B1B">
        <w:rPr>
          <w:rFonts w:ascii="Times New Roman" w:hAnsi="Times New Roman" w:cs="Times New Roman"/>
          <w:bCs/>
          <w:i/>
          <w:iCs/>
          <w:sz w:val="24"/>
          <w:szCs w:val="24"/>
          <w:lang w:val="bg-BG"/>
        </w:rPr>
        <w:t>Морската стратегия на Република България</w:t>
      </w:r>
      <w:r w:rsidR="00047852" w:rsidRPr="00610B1B">
        <w:rPr>
          <w:rFonts w:ascii="Times New Roman" w:hAnsi="Times New Roman" w:cs="Times New Roman"/>
          <w:bCs/>
          <w:i/>
          <w:iCs/>
          <w:sz w:val="24"/>
          <w:szCs w:val="24"/>
          <w:lang w:val="bg-BG"/>
        </w:rPr>
        <w:t xml:space="preserve"> (2016-2021 г.)</w:t>
      </w:r>
      <w:r w:rsidRPr="00610B1B">
        <w:rPr>
          <w:rFonts w:ascii="Times New Roman" w:hAnsi="Times New Roman" w:cs="Times New Roman"/>
          <w:bCs/>
          <w:sz w:val="24"/>
          <w:szCs w:val="24"/>
          <w:lang w:val="bg-BG"/>
        </w:rPr>
        <w:t xml:space="preserve"> и </w:t>
      </w:r>
      <w:r w:rsidRPr="00610B1B">
        <w:rPr>
          <w:rFonts w:ascii="Times New Roman" w:hAnsi="Times New Roman" w:cs="Times New Roman"/>
          <w:bCs/>
          <w:i/>
          <w:sz w:val="24"/>
          <w:szCs w:val="24"/>
          <w:lang w:val="bg-BG"/>
        </w:rPr>
        <w:t>Националната концепция за пространствено развитие</w:t>
      </w:r>
      <w:r w:rsidR="00047852" w:rsidRPr="00610B1B">
        <w:rPr>
          <w:rFonts w:ascii="Times New Roman" w:hAnsi="Times New Roman" w:cs="Times New Roman"/>
          <w:bCs/>
          <w:i/>
          <w:sz w:val="24"/>
          <w:szCs w:val="24"/>
          <w:lang w:val="bg-BG"/>
        </w:rPr>
        <w:t xml:space="preserve"> за периода 2013-2025 г</w:t>
      </w:r>
      <w:r w:rsidR="00047852"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w:t>
      </w:r>
      <w:r w:rsidR="009B501C" w:rsidRPr="00610B1B">
        <w:rPr>
          <w:rFonts w:ascii="Times New Roman" w:hAnsi="Times New Roman" w:cs="Times New Roman"/>
          <w:bCs/>
          <w:sz w:val="24"/>
          <w:szCs w:val="24"/>
          <w:lang w:val="bg-BG"/>
        </w:rPr>
        <w:t>(</w:t>
      </w:r>
      <w:r w:rsidR="009B501C" w:rsidRPr="00610B1B">
        <w:rPr>
          <w:rFonts w:ascii="Times New Roman" w:hAnsi="Times New Roman" w:cs="Times New Roman"/>
          <w:bCs/>
          <w:i/>
          <w:iCs/>
          <w:sz w:val="24"/>
          <w:szCs w:val="24"/>
          <w:lang w:val="bg-BG"/>
        </w:rPr>
        <w:t>Актуализация 2019 г</w:t>
      </w:r>
      <w:r w:rsidR="009B501C"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Първият документ е изготвен в </w:t>
      </w:r>
      <w:r w:rsidR="009D7952" w:rsidRPr="00610B1B">
        <w:rPr>
          <w:rFonts w:ascii="Times New Roman" w:hAnsi="Times New Roman" w:cs="Times New Roman"/>
          <w:bCs/>
          <w:sz w:val="24"/>
          <w:szCs w:val="24"/>
          <w:lang w:val="bg-BG"/>
        </w:rPr>
        <w:t>съответствие</w:t>
      </w:r>
      <w:r w:rsidR="001B64DC" w:rsidRPr="00610B1B">
        <w:rPr>
          <w:rFonts w:ascii="Times New Roman" w:hAnsi="Times New Roman" w:cs="Times New Roman"/>
          <w:bCs/>
          <w:sz w:val="24"/>
          <w:szCs w:val="24"/>
          <w:lang w:val="bg-BG"/>
        </w:rPr>
        <w:t xml:space="preserve"> с изискванията на </w:t>
      </w:r>
      <w:r w:rsidRPr="00610B1B">
        <w:rPr>
          <w:rFonts w:ascii="Times New Roman" w:hAnsi="Times New Roman" w:cs="Times New Roman"/>
          <w:bCs/>
          <w:sz w:val="24"/>
          <w:szCs w:val="24"/>
          <w:lang w:val="bg-BG"/>
        </w:rPr>
        <w:t xml:space="preserve">Директива 2008/56/ЕО на Европейския Парламент и на Съвета от 17 юни 2008 година за създаване на рамка за действие на Общността в областта на политиката за морска среда (Рамкова директива за морска стратегия). </w:t>
      </w:r>
      <w:r w:rsidR="00282315" w:rsidRPr="00610B1B">
        <w:rPr>
          <w:rFonts w:ascii="Times New Roman" w:hAnsi="Times New Roman" w:cs="Times New Roman"/>
          <w:bCs/>
          <w:sz w:val="24"/>
          <w:szCs w:val="24"/>
          <w:lang w:val="bg-BG"/>
        </w:rPr>
        <w:t xml:space="preserve">Морската стратегия </w:t>
      </w:r>
      <w:r w:rsidRPr="00610B1B">
        <w:rPr>
          <w:rFonts w:ascii="Times New Roman" w:hAnsi="Times New Roman" w:cs="Times New Roman"/>
          <w:bCs/>
          <w:sz w:val="24"/>
          <w:szCs w:val="24"/>
          <w:lang w:val="bg-BG"/>
        </w:rPr>
        <w:t xml:space="preserve">обхваща Първоначалната </w:t>
      </w:r>
      <w:r w:rsidRPr="00610B1B">
        <w:rPr>
          <w:rFonts w:ascii="Times New Roman" w:hAnsi="Times New Roman" w:cs="Times New Roman"/>
          <w:bCs/>
          <w:sz w:val="24"/>
          <w:szCs w:val="24"/>
          <w:lang w:val="bg-BG"/>
        </w:rPr>
        <w:lastRenderedPageBreak/>
        <w:t>оценка на състоянието на морската околна среда (чл. 8 РДМС), дефинициите за добро състояние на морската околна среда (чл. 9 РДМС) и определянето на екологичните цели и свързаните с тях индикатори (чл. 10 РДМС), разработени през 2012 г.</w:t>
      </w:r>
      <w:r w:rsidR="00047852" w:rsidRPr="00610B1B">
        <w:rPr>
          <w:rStyle w:val="FootnoteReference"/>
          <w:rFonts w:ascii="Times New Roman" w:hAnsi="Times New Roman" w:cs="Times New Roman"/>
          <w:bCs/>
          <w:sz w:val="24"/>
          <w:szCs w:val="24"/>
          <w:lang w:val="bg-BG"/>
        </w:rPr>
        <w:footnoteReference w:id="57"/>
      </w:r>
      <w:r w:rsidR="005B352A" w:rsidRPr="00610B1B">
        <w:rPr>
          <w:rFonts w:ascii="Times New Roman" w:hAnsi="Times New Roman" w:cs="Times New Roman"/>
          <w:bCs/>
          <w:sz w:val="24"/>
          <w:szCs w:val="24"/>
          <w:lang w:val="bg-BG"/>
        </w:rPr>
        <w:t xml:space="preserve"> с участието на Института по Океанология при БАН. </w:t>
      </w:r>
      <w:r w:rsidRPr="00610B1B">
        <w:rPr>
          <w:rFonts w:ascii="Times New Roman" w:hAnsi="Times New Roman" w:cs="Times New Roman"/>
          <w:bCs/>
          <w:sz w:val="24"/>
          <w:szCs w:val="24"/>
          <w:lang w:val="bg-BG"/>
        </w:rPr>
        <w:t xml:space="preserve">През 2014 г. </w:t>
      </w:r>
      <w:r w:rsidR="00047852" w:rsidRPr="00610B1B">
        <w:rPr>
          <w:rFonts w:ascii="Times New Roman" w:hAnsi="Times New Roman" w:cs="Times New Roman"/>
          <w:bCs/>
          <w:sz w:val="24"/>
          <w:szCs w:val="24"/>
          <w:lang w:val="bg-BG"/>
        </w:rPr>
        <w:t>е разработена втората част – Програмата за мониторинг.</w:t>
      </w:r>
      <w:r w:rsidR="00047852" w:rsidRPr="00610B1B">
        <w:rPr>
          <w:rStyle w:val="FootnoteReference"/>
          <w:rFonts w:ascii="Times New Roman" w:hAnsi="Times New Roman" w:cs="Times New Roman"/>
          <w:bCs/>
          <w:sz w:val="24"/>
          <w:szCs w:val="24"/>
          <w:lang w:val="bg-BG"/>
        </w:rPr>
        <w:footnoteReference w:id="58"/>
      </w:r>
      <w:r w:rsidR="00047852" w:rsidRPr="00610B1B">
        <w:rPr>
          <w:rFonts w:ascii="Times New Roman" w:hAnsi="Times New Roman" w:cs="Times New Roman"/>
          <w:bCs/>
          <w:sz w:val="24"/>
          <w:szCs w:val="24"/>
          <w:lang w:val="bg-BG"/>
        </w:rPr>
        <w:t xml:space="preserve"> </w:t>
      </w:r>
      <w:r w:rsidR="00E261CD" w:rsidRPr="00610B1B">
        <w:rPr>
          <w:rFonts w:ascii="Times New Roman" w:hAnsi="Times New Roman" w:cs="Times New Roman"/>
          <w:bCs/>
          <w:sz w:val="24"/>
          <w:szCs w:val="24"/>
          <w:lang w:val="bg-BG"/>
        </w:rPr>
        <w:t>Програмата от мерки е третата част от Морската стратегия на Р. България и е разработена в периода 2015-2016 г.</w:t>
      </w:r>
      <w:r w:rsidR="00085647" w:rsidRPr="00610B1B">
        <w:rPr>
          <w:rFonts w:ascii="Times New Roman" w:hAnsi="Times New Roman" w:cs="Times New Roman"/>
          <w:bCs/>
          <w:sz w:val="24"/>
          <w:szCs w:val="24"/>
          <w:lang w:val="bg-BG"/>
        </w:rPr>
        <w:t xml:space="preserve"> от Басейнова Дирекция Черноморски район.</w:t>
      </w:r>
      <w:r w:rsidR="00E261CD" w:rsidRPr="00610B1B">
        <w:rPr>
          <w:rStyle w:val="FootnoteReference"/>
          <w:rFonts w:ascii="Times New Roman" w:hAnsi="Times New Roman" w:cs="Times New Roman"/>
          <w:bCs/>
          <w:sz w:val="24"/>
          <w:szCs w:val="24"/>
          <w:lang w:val="bg-BG"/>
        </w:rPr>
        <w:footnoteReference w:id="59"/>
      </w:r>
      <w:r w:rsidR="00E261CD" w:rsidRPr="00610B1B">
        <w:rPr>
          <w:rFonts w:ascii="Times New Roman" w:hAnsi="Times New Roman" w:cs="Times New Roman"/>
          <w:bCs/>
          <w:sz w:val="24"/>
          <w:szCs w:val="24"/>
          <w:lang w:val="bg-BG"/>
        </w:rPr>
        <w:t xml:space="preserve"> Посредством </w:t>
      </w:r>
      <w:r w:rsidR="00694464" w:rsidRPr="00610B1B">
        <w:rPr>
          <w:rFonts w:ascii="Times New Roman" w:hAnsi="Times New Roman" w:cs="Times New Roman"/>
          <w:bCs/>
          <w:sz w:val="24"/>
          <w:szCs w:val="24"/>
          <w:lang w:val="bg-BG"/>
        </w:rPr>
        <w:t xml:space="preserve">предложените в РДМС </w:t>
      </w:r>
      <w:r w:rsidR="00E261CD" w:rsidRPr="00610B1B">
        <w:rPr>
          <w:rFonts w:ascii="Times New Roman" w:hAnsi="Times New Roman" w:cs="Times New Roman"/>
          <w:bCs/>
          <w:sz w:val="24"/>
          <w:szCs w:val="24"/>
          <w:lang w:val="bg-BG"/>
        </w:rPr>
        <w:t xml:space="preserve">11 дескриптора се наблюдават промените, които настъпват в резултат на въздействието на отпадъчните води от пречиствателни мрежи и съоръжения, </w:t>
      </w:r>
      <w:r w:rsidR="00E50494" w:rsidRPr="00610B1B">
        <w:rPr>
          <w:rFonts w:ascii="Times New Roman" w:hAnsi="Times New Roman" w:cs="Times New Roman"/>
          <w:bCs/>
          <w:sz w:val="24"/>
          <w:szCs w:val="24"/>
          <w:lang w:val="bg-BG"/>
        </w:rPr>
        <w:t>на</w:t>
      </w:r>
      <w:r w:rsidR="005B352A" w:rsidRPr="00610B1B">
        <w:rPr>
          <w:rFonts w:ascii="Times New Roman" w:hAnsi="Times New Roman" w:cs="Times New Roman"/>
          <w:bCs/>
          <w:sz w:val="24"/>
          <w:szCs w:val="24"/>
          <w:lang w:val="bg-BG"/>
        </w:rPr>
        <w:t xml:space="preserve"> </w:t>
      </w:r>
      <w:r w:rsidR="00E261CD" w:rsidRPr="00610B1B">
        <w:rPr>
          <w:rFonts w:ascii="Times New Roman" w:hAnsi="Times New Roman" w:cs="Times New Roman"/>
          <w:bCs/>
          <w:sz w:val="24"/>
          <w:szCs w:val="24"/>
          <w:lang w:val="bg-BG"/>
        </w:rPr>
        <w:t>земеделието, индустрията, корабоплаването, пристанищата и пристанищната дейност, рибарството и аквакултур</w:t>
      </w:r>
      <w:r w:rsidR="005B352A" w:rsidRPr="00610B1B">
        <w:rPr>
          <w:rFonts w:ascii="Times New Roman" w:hAnsi="Times New Roman" w:cs="Times New Roman"/>
          <w:bCs/>
          <w:sz w:val="24"/>
          <w:szCs w:val="24"/>
          <w:lang w:val="bg-BG"/>
        </w:rPr>
        <w:t>и</w:t>
      </w:r>
      <w:r w:rsidR="00E261CD" w:rsidRPr="00610B1B">
        <w:rPr>
          <w:rFonts w:ascii="Times New Roman" w:hAnsi="Times New Roman" w:cs="Times New Roman"/>
          <w:bCs/>
          <w:sz w:val="24"/>
          <w:szCs w:val="24"/>
          <w:lang w:val="bg-BG"/>
        </w:rPr>
        <w:t>т</w:t>
      </w:r>
      <w:r w:rsidR="005B352A" w:rsidRPr="00610B1B">
        <w:rPr>
          <w:rFonts w:ascii="Times New Roman" w:hAnsi="Times New Roman" w:cs="Times New Roman"/>
          <w:bCs/>
          <w:sz w:val="24"/>
          <w:szCs w:val="24"/>
          <w:lang w:val="bg-BG"/>
        </w:rPr>
        <w:t>е</w:t>
      </w:r>
      <w:r w:rsidR="00E261CD" w:rsidRPr="00610B1B">
        <w:rPr>
          <w:rFonts w:ascii="Times New Roman" w:hAnsi="Times New Roman" w:cs="Times New Roman"/>
          <w:bCs/>
          <w:sz w:val="24"/>
          <w:szCs w:val="24"/>
          <w:lang w:val="bg-BG"/>
        </w:rPr>
        <w:t xml:space="preserve">, туризма и рекреационните и спортни дейности, </w:t>
      </w:r>
      <w:r w:rsidR="00E50494" w:rsidRPr="00610B1B">
        <w:rPr>
          <w:rFonts w:ascii="Times New Roman" w:hAnsi="Times New Roman" w:cs="Times New Roman"/>
          <w:bCs/>
          <w:sz w:val="24"/>
          <w:szCs w:val="24"/>
          <w:lang w:val="bg-BG"/>
        </w:rPr>
        <w:t>на</w:t>
      </w:r>
      <w:r w:rsidR="00E261CD" w:rsidRPr="00610B1B">
        <w:rPr>
          <w:rFonts w:ascii="Times New Roman" w:hAnsi="Times New Roman" w:cs="Times New Roman"/>
          <w:bCs/>
          <w:sz w:val="24"/>
          <w:szCs w:val="24"/>
          <w:lang w:val="bg-BG"/>
        </w:rPr>
        <w:t xml:space="preserve"> други проучвателни дейности в морската среда. </w:t>
      </w:r>
      <w:r w:rsidR="005B352A" w:rsidRPr="00610B1B">
        <w:rPr>
          <w:rFonts w:ascii="Times New Roman" w:hAnsi="Times New Roman" w:cs="Times New Roman"/>
          <w:bCs/>
          <w:sz w:val="24"/>
          <w:szCs w:val="24"/>
          <w:lang w:val="bg-BG"/>
        </w:rPr>
        <w:t xml:space="preserve">Натоварването от различни източници на натиск е изследвано в периода 2000 – 2011 г. </w:t>
      </w:r>
      <w:r w:rsidR="00282315" w:rsidRPr="00610B1B">
        <w:rPr>
          <w:rFonts w:ascii="Times New Roman" w:hAnsi="Times New Roman" w:cs="Times New Roman"/>
          <w:bCs/>
          <w:sz w:val="24"/>
          <w:szCs w:val="24"/>
          <w:lang w:val="bg-BG"/>
        </w:rPr>
        <w:t>и са</w:t>
      </w:r>
      <w:r w:rsidR="005B352A" w:rsidRPr="00610B1B">
        <w:rPr>
          <w:rFonts w:ascii="Times New Roman" w:hAnsi="Times New Roman" w:cs="Times New Roman"/>
          <w:bCs/>
          <w:sz w:val="24"/>
          <w:szCs w:val="24"/>
          <w:lang w:val="bg-BG"/>
        </w:rPr>
        <w:t xml:space="preserve"> идентифицира</w:t>
      </w:r>
      <w:r w:rsidR="00282315" w:rsidRPr="00610B1B">
        <w:rPr>
          <w:rFonts w:ascii="Times New Roman" w:hAnsi="Times New Roman" w:cs="Times New Roman"/>
          <w:bCs/>
          <w:sz w:val="24"/>
          <w:szCs w:val="24"/>
          <w:lang w:val="bg-BG"/>
        </w:rPr>
        <w:t>ни</w:t>
      </w:r>
      <w:r w:rsidR="005B352A" w:rsidRPr="00610B1B">
        <w:rPr>
          <w:rFonts w:ascii="Times New Roman" w:hAnsi="Times New Roman" w:cs="Times New Roman"/>
          <w:bCs/>
          <w:sz w:val="24"/>
          <w:szCs w:val="24"/>
          <w:lang w:val="bg-BG"/>
        </w:rPr>
        <w:t xml:space="preserve"> районите с висока степен на замърсяване – Варненски и Бургаски заливи, и с висок риск от замърсяване – районите на Шабла и устието на р. Камчия. Оценката на социално-икономическото развитие на секторите, осъществяващи дейности в морска среда и пряко или косвено въздействащи върху нейното състояние е извършена за периода 2006–2011 г. </w:t>
      </w:r>
      <w:r w:rsidR="00085647" w:rsidRPr="00610B1B">
        <w:rPr>
          <w:rFonts w:ascii="Times New Roman" w:hAnsi="Times New Roman" w:cs="Times New Roman"/>
          <w:bCs/>
          <w:sz w:val="24"/>
          <w:szCs w:val="24"/>
          <w:lang w:val="bg-BG"/>
        </w:rPr>
        <w:t>Морската стратегия се придружава от Екологична оценка</w:t>
      </w:r>
      <w:r w:rsidR="00F85215" w:rsidRPr="00610B1B">
        <w:rPr>
          <w:rStyle w:val="FootnoteReference"/>
          <w:rFonts w:ascii="Times New Roman" w:hAnsi="Times New Roman" w:cs="Times New Roman"/>
          <w:bCs/>
          <w:sz w:val="24"/>
          <w:szCs w:val="24"/>
          <w:lang w:val="bg-BG"/>
        </w:rPr>
        <w:footnoteReference w:id="60"/>
      </w:r>
      <w:r w:rsidR="00085647" w:rsidRPr="00610B1B">
        <w:rPr>
          <w:rFonts w:ascii="Times New Roman" w:hAnsi="Times New Roman" w:cs="Times New Roman"/>
          <w:bCs/>
          <w:sz w:val="24"/>
          <w:szCs w:val="24"/>
          <w:lang w:val="bg-BG"/>
        </w:rPr>
        <w:t xml:space="preserve"> в съответствие с разпоредбите на Директива 2001/42/EО и Наредбата за условията и реда на извършване на екологична оценка на планове и програми</w:t>
      </w:r>
      <w:r w:rsidR="00085647" w:rsidRPr="00610B1B">
        <w:rPr>
          <w:rStyle w:val="FootnoteReference"/>
          <w:rFonts w:ascii="Times New Roman" w:hAnsi="Times New Roman" w:cs="Times New Roman"/>
          <w:bCs/>
          <w:sz w:val="24"/>
          <w:szCs w:val="24"/>
          <w:lang w:val="bg-BG"/>
        </w:rPr>
        <w:footnoteReference w:id="61"/>
      </w:r>
      <w:r w:rsidR="00085647" w:rsidRPr="00610B1B">
        <w:rPr>
          <w:rFonts w:ascii="Times New Roman" w:hAnsi="Times New Roman" w:cs="Times New Roman"/>
          <w:bCs/>
          <w:sz w:val="24"/>
          <w:szCs w:val="24"/>
          <w:lang w:val="bg-BG"/>
        </w:rPr>
        <w:t xml:space="preserve">, </w:t>
      </w:r>
      <w:r w:rsidR="00F85215" w:rsidRPr="00610B1B">
        <w:rPr>
          <w:rFonts w:ascii="Times New Roman" w:hAnsi="Times New Roman" w:cs="Times New Roman"/>
          <w:bCs/>
          <w:sz w:val="24"/>
          <w:szCs w:val="24"/>
          <w:lang w:val="bg-BG"/>
        </w:rPr>
        <w:t xml:space="preserve">неразделна част от която е и Докладът за оценката </w:t>
      </w:r>
      <w:r w:rsidR="00EB0B29" w:rsidRPr="00610B1B">
        <w:rPr>
          <w:rFonts w:ascii="Times New Roman" w:hAnsi="Times New Roman" w:cs="Times New Roman"/>
          <w:bCs/>
          <w:sz w:val="24"/>
          <w:szCs w:val="24"/>
          <w:lang w:val="bg-BG"/>
        </w:rPr>
        <w:t xml:space="preserve">на степента на въздействие. </w:t>
      </w:r>
    </w:p>
    <w:p w14:paraId="30C3AB0E" w14:textId="056D7366" w:rsidR="00EB0B29" w:rsidRPr="00610B1B" w:rsidRDefault="0008564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Наблюд</w:t>
      </w:r>
      <w:r w:rsidR="005B352A" w:rsidRPr="00610B1B">
        <w:rPr>
          <w:rFonts w:ascii="Times New Roman" w:hAnsi="Times New Roman" w:cs="Times New Roman"/>
          <w:bCs/>
          <w:sz w:val="24"/>
          <w:szCs w:val="24"/>
          <w:lang w:val="bg-BG"/>
        </w:rPr>
        <w:t>ението на морската среда се осъществява от екипа на ИО при БАН</w:t>
      </w:r>
      <w:r w:rsidR="00EB0B29" w:rsidRPr="00610B1B">
        <w:rPr>
          <w:rFonts w:ascii="Times New Roman" w:hAnsi="Times New Roman" w:cs="Times New Roman"/>
          <w:bCs/>
          <w:sz w:val="24"/>
          <w:szCs w:val="24"/>
          <w:lang w:val="bg-BG"/>
        </w:rPr>
        <w:t>, а ежегодните доклади се приемат и публикуват от БДЧР. За да се осъществи по-добра</w:t>
      </w:r>
      <w:r w:rsidR="00D66FE0" w:rsidRPr="00610B1B">
        <w:rPr>
          <w:rFonts w:ascii="Times New Roman" w:hAnsi="Times New Roman" w:cs="Times New Roman"/>
          <w:bCs/>
          <w:sz w:val="24"/>
          <w:szCs w:val="24"/>
          <w:lang w:val="bg-BG"/>
        </w:rPr>
        <w:t xml:space="preserve"> </w:t>
      </w:r>
      <w:r w:rsidR="00EB0B29" w:rsidRPr="00610B1B">
        <w:rPr>
          <w:rFonts w:ascii="Times New Roman" w:hAnsi="Times New Roman" w:cs="Times New Roman"/>
          <w:bCs/>
          <w:sz w:val="24"/>
          <w:szCs w:val="24"/>
          <w:lang w:val="bg-BG"/>
        </w:rPr>
        <w:t xml:space="preserve">методологична връзка </w:t>
      </w:r>
      <w:r w:rsidR="009B501C" w:rsidRPr="00610B1B">
        <w:rPr>
          <w:rFonts w:ascii="Times New Roman" w:hAnsi="Times New Roman" w:cs="Times New Roman"/>
          <w:bCs/>
          <w:sz w:val="24"/>
          <w:szCs w:val="24"/>
          <w:lang w:val="bg-BG"/>
        </w:rPr>
        <w:t xml:space="preserve">с този </w:t>
      </w:r>
      <w:r w:rsidR="00EB0B29" w:rsidRPr="00610B1B">
        <w:rPr>
          <w:rFonts w:ascii="Times New Roman" w:hAnsi="Times New Roman" w:cs="Times New Roman"/>
          <w:bCs/>
          <w:sz w:val="24"/>
          <w:szCs w:val="24"/>
          <w:lang w:val="bg-BG"/>
        </w:rPr>
        <w:t>документ, именно тази информация е в основата на анализа на компонентите и на състоянието на околната среда</w:t>
      </w:r>
      <w:r w:rsidR="009B501C" w:rsidRPr="00610B1B">
        <w:rPr>
          <w:rFonts w:ascii="Times New Roman" w:hAnsi="Times New Roman" w:cs="Times New Roman"/>
          <w:bCs/>
          <w:sz w:val="24"/>
          <w:szCs w:val="24"/>
          <w:lang w:val="bg-BG"/>
        </w:rPr>
        <w:t xml:space="preserve"> в морския пространствен план</w:t>
      </w:r>
      <w:r w:rsidR="00042C3E" w:rsidRPr="00610B1B">
        <w:rPr>
          <w:rFonts w:ascii="Times New Roman" w:hAnsi="Times New Roman" w:cs="Times New Roman"/>
          <w:bCs/>
          <w:sz w:val="24"/>
          <w:szCs w:val="24"/>
          <w:lang w:val="bg-BG"/>
        </w:rPr>
        <w:t xml:space="preserve">, за да се формират </w:t>
      </w:r>
      <w:r w:rsidR="00B92588" w:rsidRPr="00610B1B">
        <w:rPr>
          <w:rFonts w:ascii="Times New Roman" w:hAnsi="Times New Roman" w:cs="Times New Roman"/>
          <w:bCs/>
          <w:sz w:val="24"/>
          <w:szCs w:val="24"/>
          <w:lang w:val="bg-BG"/>
        </w:rPr>
        <w:t>прогнозните сценарии и приоритети за безконфликтно съчетаване на разнообразните дейности в морск</w:t>
      </w:r>
      <w:r w:rsidR="00E50494" w:rsidRPr="00610B1B">
        <w:rPr>
          <w:rFonts w:ascii="Times New Roman" w:hAnsi="Times New Roman" w:cs="Times New Roman"/>
          <w:bCs/>
          <w:sz w:val="24"/>
          <w:szCs w:val="24"/>
          <w:lang w:val="bg-BG"/>
        </w:rPr>
        <w:t>и</w:t>
      </w:r>
      <w:r w:rsidR="00B92588" w:rsidRPr="00610B1B">
        <w:rPr>
          <w:rFonts w:ascii="Times New Roman" w:hAnsi="Times New Roman" w:cs="Times New Roman"/>
          <w:bCs/>
          <w:sz w:val="24"/>
          <w:szCs w:val="24"/>
          <w:lang w:val="bg-BG"/>
        </w:rPr>
        <w:t>т</w:t>
      </w:r>
      <w:r w:rsidR="00E50494" w:rsidRPr="00610B1B">
        <w:rPr>
          <w:rFonts w:ascii="Times New Roman" w:hAnsi="Times New Roman" w:cs="Times New Roman"/>
          <w:bCs/>
          <w:sz w:val="24"/>
          <w:szCs w:val="24"/>
          <w:lang w:val="bg-BG"/>
        </w:rPr>
        <w:t>е</w:t>
      </w:r>
      <w:r w:rsidR="00B92588" w:rsidRPr="00610B1B">
        <w:rPr>
          <w:rFonts w:ascii="Times New Roman" w:hAnsi="Times New Roman" w:cs="Times New Roman"/>
          <w:bCs/>
          <w:sz w:val="24"/>
          <w:szCs w:val="24"/>
          <w:lang w:val="bg-BG"/>
        </w:rPr>
        <w:t xml:space="preserve"> пространств</w:t>
      </w:r>
      <w:r w:rsidR="00E50494" w:rsidRPr="00610B1B">
        <w:rPr>
          <w:rFonts w:ascii="Times New Roman" w:hAnsi="Times New Roman" w:cs="Times New Roman"/>
          <w:bCs/>
          <w:sz w:val="24"/>
          <w:szCs w:val="24"/>
          <w:lang w:val="bg-BG"/>
        </w:rPr>
        <w:t>а</w:t>
      </w:r>
      <w:r w:rsidR="00B92588" w:rsidRPr="00610B1B">
        <w:rPr>
          <w:rFonts w:ascii="Times New Roman" w:hAnsi="Times New Roman" w:cs="Times New Roman"/>
          <w:bCs/>
          <w:sz w:val="24"/>
          <w:szCs w:val="24"/>
          <w:lang w:val="bg-BG"/>
        </w:rPr>
        <w:t xml:space="preserve">. </w:t>
      </w:r>
    </w:p>
    <w:p w14:paraId="759FA945" w14:textId="638D16AC" w:rsidR="00282315" w:rsidRPr="00610B1B" w:rsidRDefault="00EB0B29"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Морската стратегия и Морски</w:t>
      </w:r>
      <w:r w:rsidR="00B92588" w:rsidRPr="00610B1B">
        <w:rPr>
          <w:rFonts w:ascii="Times New Roman" w:hAnsi="Times New Roman" w:cs="Times New Roman"/>
          <w:bCs/>
          <w:sz w:val="24"/>
          <w:szCs w:val="24"/>
          <w:lang w:val="bg-BG"/>
        </w:rPr>
        <w:t>я</w:t>
      </w:r>
      <w:r w:rsidRPr="00610B1B">
        <w:rPr>
          <w:rFonts w:ascii="Times New Roman" w:hAnsi="Times New Roman" w:cs="Times New Roman"/>
          <w:bCs/>
          <w:sz w:val="24"/>
          <w:szCs w:val="24"/>
          <w:lang w:val="bg-BG"/>
        </w:rPr>
        <w:t>т пространствен план имат сходни и допълващи се цели, но докато фокусът на първия документ е добрия</w:t>
      </w:r>
      <w:r w:rsidR="00B92588" w:rsidRPr="00610B1B">
        <w:rPr>
          <w:rFonts w:ascii="Times New Roman" w:hAnsi="Times New Roman" w:cs="Times New Roman"/>
          <w:bCs/>
          <w:sz w:val="24"/>
          <w:szCs w:val="24"/>
          <w:lang w:val="bg-BG"/>
        </w:rPr>
        <w:t>т</w:t>
      </w:r>
      <w:r w:rsidRPr="00610B1B">
        <w:rPr>
          <w:rFonts w:ascii="Times New Roman" w:hAnsi="Times New Roman" w:cs="Times New Roman"/>
          <w:bCs/>
          <w:sz w:val="24"/>
          <w:szCs w:val="24"/>
          <w:lang w:val="bg-BG"/>
        </w:rPr>
        <w:t xml:space="preserve"> статус на околната морска среда с предимство на екологичните цели, то </w:t>
      </w:r>
      <w:r w:rsidR="00B92588" w:rsidRPr="00610B1B">
        <w:rPr>
          <w:rFonts w:ascii="Times New Roman" w:hAnsi="Times New Roman" w:cs="Times New Roman"/>
          <w:bCs/>
          <w:sz w:val="24"/>
          <w:szCs w:val="24"/>
          <w:lang w:val="bg-BG"/>
        </w:rPr>
        <w:t>вторият</w:t>
      </w:r>
      <w:r w:rsidRPr="00610B1B">
        <w:rPr>
          <w:rFonts w:ascii="Times New Roman" w:hAnsi="Times New Roman" w:cs="Times New Roman"/>
          <w:bCs/>
          <w:sz w:val="24"/>
          <w:szCs w:val="24"/>
          <w:lang w:val="bg-BG"/>
        </w:rPr>
        <w:t xml:space="preserve"> надгражда тези цели и ги допълва със социални и икономически цели, които </w:t>
      </w:r>
      <w:r w:rsidR="00B92588" w:rsidRPr="00610B1B">
        <w:rPr>
          <w:rFonts w:ascii="Times New Roman" w:hAnsi="Times New Roman" w:cs="Times New Roman"/>
          <w:bCs/>
          <w:sz w:val="24"/>
          <w:szCs w:val="24"/>
          <w:lang w:val="bg-BG"/>
        </w:rPr>
        <w:t xml:space="preserve">са предпоставка за </w:t>
      </w:r>
      <w:r w:rsidRPr="00610B1B">
        <w:rPr>
          <w:rFonts w:ascii="Times New Roman" w:hAnsi="Times New Roman" w:cs="Times New Roman"/>
          <w:bCs/>
          <w:sz w:val="24"/>
          <w:szCs w:val="24"/>
          <w:lang w:val="bg-BG"/>
        </w:rPr>
        <w:t xml:space="preserve">устойчиво развитие. </w:t>
      </w:r>
    </w:p>
    <w:p w14:paraId="39DE954F" w14:textId="775F4309" w:rsidR="00EA7ED2" w:rsidRPr="00610B1B" w:rsidRDefault="00282315"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А</w:t>
      </w:r>
      <w:r w:rsidR="00454F11" w:rsidRPr="00610B1B">
        <w:rPr>
          <w:rFonts w:ascii="Times New Roman" w:hAnsi="Times New Roman" w:cs="Times New Roman"/>
          <w:bCs/>
          <w:sz w:val="24"/>
          <w:szCs w:val="24"/>
          <w:lang w:val="bg-BG"/>
        </w:rPr>
        <w:t>налогично на Националната концепция за пространствено развитие</w:t>
      </w:r>
      <w:r w:rsidRPr="00610B1B">
        <w:rPr>
          <w:rFonts w:ascii="Times New Roman" w:hAnsi="Times New Roman" w:cs="Times New Roman"/>
          <w:bCs/>
          <w:sz w:val="24"/>
          <w:szCs w:val="24"/>
          <w:lang w:val="bg-BG"/>
        </w:rPr>
        <w:t xml:space="preserve"> и</w:t>
      </w:r>
      <w:r w:rsidR="00454F11"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Морският пространствен план </w:t>
      </w:r>
      <w:r w:rsidR="00454F11" w:rsidRPr="00610B1B">
        <w:rPr>
          <w:rFonts w:ascii="Times New Roman" w:hAnsi="Times New Roman" w:cs="Times New Roman"/>
          <w:bCs/>
          <w:sz w:val="24"/>
          <w:szCs w:val="24"/>
          <w:lang w:val="bg-BG"/>
        </w:rPr>
        <w:t>има важна роля за координиране на секторните политики в единното национално пространство</w:t>
      </w:r>
      <w:r w:rsidRPr="00610B1B">
        <w:rPr>
          <w:rFonts w:ascii="Times New Roman" w:hAnsi="Times New Roman" w:cs="Times New Roman"/>
          <w:bCs/>
          <w:sz w:val="24"/>
          <w:szCs w:val="24"/>
          <w:lang w:val="bg-BG"/>
        </w:rPr>
        <w:t xml:space="preserve">, част от което са морските пространства </w:t>
      </w:r>
      <w:r w:rsidR="00454F11" w:rsidRPr="00610B1B">
        <w:rPr>
          <w:rFonts w:ascii="Times New Roman" w:hAnsi="Times New Roman" w:cs="Times New Roman"/>
          <w:bCs/>
          <w:sz w:val="24"/>
          <w:szCs w:val="24"/>
          <w:lang w:val="bg-BG"/>
        </w:rPr>
        <w:t xml:space="preserve">на Черно море, както и въздушното пространство над тях, тяхното дъно и неговите недра, съгл. </w:t>
      </w:r>
      <w:r w:rsidR="009E1C5C" w:rsidRPr="00610B1B">
        <w:rPr>
          <w:rFonts w:ascii="Times New Roman" w:hAnsi="Times New Roman" w:cs="Times New Roman"/>
          <w:bCs/>
          <w:sz w:val="24"/>
          <w:szCs w:val="24"/>
          <w:lang w:val="bg-BG"/>
        </w:rPr>
        <w:t>чл</w:t>
      </w:r>
      <w:r w:rsidR="00454F11" w:rsidRPr="00610B1B">
        <w:rPr>
          <w:rFonts w:ascii="Times New Roman" w:hAnsi="Times New Roman" w:cs="Times New Roman"/>
          <w:bCs/>
          <w:sz w:val="24"/>
          <w:szCs w:val="24"/>
          <w:lang w:val="bg-BG"/>
        </w:rPr>
        <w:t>. 5 ал. 2 на</w:t>
      </w:r>
      <w:r w:rsidR="00D66FE0" w:rsidRPr="00610B1B">
        <w:rPr>
          <w:rFonts w:ascii="Times New Roman" w:hAnsi="Times New Roman" w:cs="Times New Roman"/>
          <w:bCs/>
          <w:sz w:val="24"/>
          <w:szCs w:val="24"/>
          <w:lang w:val="bg-BG"/>
        </w:rPr>
        <w:t xml:space="preserve"> </w:t>
      </w:r>
      <w:r w:rsidR="009E1C5C" w:rsidRPr="00610B1B">
        <w:rPr>
          <w:rFonts w:ascii="Times New Roman" w:hAnsi="Times New Roman" w:cs="Times New Roman"/>
          <w:bCs/>
          <w:sz w:val="24"/>
          <w:szCs w:val="24"/>
          <w:lang w:val="bg-BG"/>
        </w:rPr>
        <w:t>ЗМПВВППРБ</w:t>
      </w:r>
      <w:r w:rsidR="00454F11" w:rsidRPr="00610B1B">
        <w:rPr>
          <w:rFonts w:ascii="Times New Roman" w:hAnsi="Times New Roman" w:cs="Times New Roman"/>
          <w:bCs/>
          <w:sz w:val="24"/>
          <w:szCs w:val="24"/>
          <w:lang w:val="bg-BG"/>
        </w:rPr>
        <w:t>.</w:t>
      </w:r>
      <w:r w:rsidR="007520B0" w:rsidRPr="00610B1B">
        <w:rPr>
          <w:rFonts w:ascii="Times New Roman" w:hAnsi="Times New Roman" w:cs="Times New Roman"/>
          <w:bCs/>
          <w:sz w:val="24"/>
          <w:szCs w:val="24"/>
          <w:lang w:val="bg-BG"/>
        </w:rPr>
        <w:t xml:space="preserve"> </w:t>
      </w:r>
    </w:p>
    <w:p w14:paraId="407EE3B8" w14:textId="3A3F8D4D" w:rsidR="00EA7ED2" w:rsidRPr="00610B1B" w:rsidRDefault="00EA7ED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И двата документа са </w:t>
      </w:r>
      <w:r w:rsidR="00E50494" w:rsidRPr="00610B1B">
        <w:rPr>
          <w:rFonts w:ascii="Times New Roman" w:hAnsi="Times New Roman" w:cs="Times New Roman"/>
          <w:bCs/>
          <w:sz w:val="24"/>
          <w:szCs w:val="24"/>
          <w:lang w:val="bg-BG"/>
        </w:rPr>
        <w:t>об</w:t>
      </w:r>
      <w:r w:rsidRPr="00610B1B">
        <w:rPr>
          <w:rFonts w:ascii="Times New Roman" w:hAnsi="Times New Roman" w:cs="Times New Roman"/>
          <w:bCs/>
          <w:sz w:val="24"/>
          <w:szCs w:val="24"/>
          <w:lang w:val="bg-BG"/>
        </w:rPr>
        <w:t xml:space="preserve">вързани от </w:t>
      </w:r>
      <w:r w:rsidRPr="00610B1B">
        <w:rPr>
          <w:rFonts w:ascii="Times New Roman" w:hAnsi="Times New Roman" w:cs="Times New Roman"/>
          <w:bCs/>
          <w:i/>
          <w:iCs/>
          <w:sz w:val="24"/>
          <w:szCs w:val="24"/>
          <w:lang w:val="bg-BG"/>
        </w:rPr>
        <w:t>Водещите принципи за устойчиво пространствено развитие на Европейския континент</w:t>
      </w:r>
      <w:r w:rsidRPr="00610B1B">
        <w:rPr>
          <w:rFonts w:ascii="Times New Roman" w:hAnsi="Times New Roman" w:cs="Times New Roman"/>
          <w:bCs/>
          <w:sz w:val="24"/>
          <w:szCs w:val="24"/>
          <w:lang w:val="bg-BG"/>
        </w:rPr>
        <w:t xml:space="preserve"> на Конференцията на министрите, отговорни за </w:t>
      </w:r>
      <w:r w:rsidRPr="00610B1B">
        <w:rPr>
          <w:rFonts w:ascii="Times New Roman" w:hAnsi="Times New Roman" w:cs="Times New Roman"/>
          <w:bCs/>
          <w:sz w:val="24"/>
          <w:szCs w:val="24"/>
          <w:lang w:val="bg-BG"/>
        </w:rPr>
        <w:lastRenderedPageBreak/>
        <w:t>пространственото развитие (СЕМАТ).</w:t>
      </w:r>
      <w:r w:rsidRPr="00610B1B">
        <w:rPr>
          <w:rStyle w:val="FootnoteReference"/>
          <w:rFonts w:ascii="Times New Roman" w:hAnsi="Times New Roman" w:cs="Times New Roman"/>
          <w:bCs/>
          <w:sz w:val="24"/>
          <w:szCs w:val="24"/>
          <w:lang w:val="bg-BG"/>
        </w:rPr>
        <w:footnoteReference w:id="62"/>
      </w:r>
      <w:r w:rsidRPr="00610B1B">
        <w:rPr>
          <w:rFonts w:ascii="Times New Roman" w:hAnsi="Times New Roman" w:cs="Times New Roman"/>
          <w:bCs/>
          <w:sz w:val="24"/>
          <w:szCs w:val="24"/>
          <w:lang w:val="bg-BG"/>
        </w:rPr>
        <w:t xml:space="preserve"> </w:t>
      </w:r>
      <w:r w:rsidR="00282315" w:rsidRPr="00610B1B">
        <w:rPr>
          <w:rFonts w:ascii="Times New Roman" w:hAnsi="Times New Roman" w:cs="Times New Roman"/>
          <w:bCs/>
          <w:sz w:val="24"/>
          <w:szCs w:val="24"/>
          <w:lang w:val="bg-BG"/>
        </w:rPr>
        <w:t xml:space="preserve">Акцентът при </w:t>
      </w:r>
      <w:r w:rsidRPr="00610B1B">
        <w:rPr>
          <w:rFonts w:ascii="Times New Roman" w:hAnsi="Times New Roman" w:cs="Times New Roman"/>
          <w:bCs/>
          <w:sz w:val="24"/>
          <w:szCs w:val="24"/>
          <w:lang w:val="bg-BG"/>
        </w:rPr>
        <w:t>крайбрежните региони и островите е поставен върху интегрираното управление и взаимодействи</w:t>
      </w:r>
      <w:r w:rsidR="00CD7942" w:rsidRPr="00610B1B">
        <w:rPr>
          <w:rFonts w:ascii="Times New Roman" w:hAnsi="Times New Roman" w:cs="Times New Roman"/>
          <w:bCs/>
          <w:sz w:val="24"/>
          <w:szCs w:val="24"/>
          <w:lang w:val="bg-BG"/>
        </w:rPr>
        <w:t xml:space="preserve">е </w:t>
      </w:r>
      <w:r w:rsidRPr="00610B1B">
        <w:rPr>
          <w:rFonts w:ascii="Times New Roman" w:hAnsi="Times New Roman" w:cs="Times New Roman"/>
          <w:bCs/>
          <w:sz w:val="24"/>
          <w:szCs w:val="24"/>
          <w:lang w:val="bg-BG"/>
        </w:rPr>
        <w:t>между сушата и морето</w:t>
      </w:r>
      <w:r w:rsidR="00282315" w:rsidRPr="00610B1B">
        <w:rPr>
          <w:rFonts w:ascii="Times New Roman" w:hAnsi="Times New Roman" w:cs="Times New Roman"/>
          <w:bCs/>
          <w:sz w:val="24"/>
          <w:szCs w:val="24"/>
          <w:lang w:val="bg-BG"/>
        </w:rPr>
        <w:t>. К</w:t>
      </w:r>
      <w:r w:rsidRPr="00610B1B">
        <w:rPr>
          <w:rFonts w:ascii="Times New Roman" w:hAnsi="Times New Roman" w:cs="Times New Roman"/>
          <w:bCs/>
          <w:sz w:val="24"/>
          <w:szCs w:val="24"/>
          <w:lang w:val="bg-BG"/>
        </w:rPr>
        <w:t xml:space="preserve">райбрежните зони </w:t>
      </w:r>
      <w:r w:rsidR="00CD7942" w:rsidRPr="00610B1B">
        <w:rPr>
          <w:rFonts w:ascii="Times New Roman" w:hAnsi="Times New Roman" w:cs="Times New Roman"/>
          <w:bCs/>
          <w:sz w:val="24"/>
          <w:szCs w:val="24"/>
          <w:lang w:val="bg-BG"/>
        </w:rPr>
        <w:t xml:space="preserve">се разглеждат </w:t>
      </w:r>
      <w:r w:rsidRPr="00610B1B">
        <w:rPr>
          <w:rFonts w:ascii="Times New Roman" w:hAnsi="Times New Roman" w:cs="Times New Roman"/>
          <w:bCs/>
          <w:sz w:val="24"/>
          <w:szCs w:val="24"/>
          <w:lang w:val="bg-BG"/>
        </w:rPr>
        <w:t>като изходни пунктове за изследване на морските и подводни ресурси</w:t>
      </w:r>
      <w:r w:rsidR="00CD7942" w:rsidRPr="00610B1B">
        <w:rPr>
          <w:rFonts w:ascii="Times New Roman" w:hAnsi="Times New Roman" w:cs="Times New Roman"/>
          <w:bCs/>
          <w:sz w:val="24"/>
          <w:szCs w:val="24"/>
          <w:lang w:val="bg-BG"/>
        </w:rPr>
        <w:t>, за добив и конверсия на енергия, места за концентрация на производствени и бизнес дейности, привлекателни</w:t>
      </w:r>
      <w:r w:rsidRPr="00610B1B">
        <w:rPr>
          <w:rFonts w:ascii="Times New Roman" w:hAnsi="Times New Roman" w:cs="Times New Roman"/>
          <w:bCs/>
          <w:sz w:val="24"/>
          <w:szCs w:val="24"/>
          <w:lang w:val="bg-BG"/>
        </w:rPr>
        <w:t xml:space="preserve"> за туризма,</w:t>
      </w:r>
      <w:r w:rsidR="00CD7942" w:rsidRPr="00610B1B">
        <w:rPr>
          <w:rFonts w:ascii="Times New Roman" w:hAnsi="Times New Roman" w:cs="Times New Roman"/>
          <w:bCs/>
          <w:sz w:val="24"/>
          <w:szCs w:val="24"/>
          <w:lang w:val="bg-BG"/>
        </w:rPr>
        <w:t xml:space="preserve"> но и силно чувствителни. </w:t>
      </w:r>
    </w:p>
    <w:p w14:paraId="794600C2" w14:textId="1A32D620" w:rsidR="00817C8F" w:rsidRPr="00610B1B" w:rsidRDefault="007520B0"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 xml:space="preserve">Националната концепция за пространствено развитие за периода 2013-2025 г. </w:t>
      </w:r>
      <w:r w:rsidRPr="00610B1B">
        <w:rPr>
          <w:rFonts w:ascii="Times New Roman" w:hAnsi="Times New Roman" w:cs="Times New Roman"/>
          <w:bCs/>
          <w:sz w:val="24"/>
          <w:szCs w:val="24"/>
          <w:lang w:val="bg-BG"/>
        </w:rPr>
        <w:t xml:space="preserve">е актуализирана през 2019 г. </w:t>
      </w:r>
      <w:r w:rsidR="00B92588" w:rsidRPr="00610B1B">
        <w:rPr>
          <w:rFonts w:ascii="Times New Roman" w:hAnsi="Times New Roman" w:cs="Times New Roman"/>
          <w:bCs/>
          <w:sz w:val="24"/>
          <w:szCs w:val="24"/>
          <w:lang w:val="bg-BG"/>
        </w:rPr>
        <w:t>в контекста на нов</w:t>
      </w:r>
      <w:r w:rsidR="00075703" w:rsidRPr="00610B1B">
        <w:rPr>
          <w:rFonts w:ascii="Times New Roman" w:hAnsi="Times New Roman" w:cs="Times New Roman"/>
          <w:bCs/>
          <w:sz w:val="24"/>
          <w:szCs w:val="24"/>
          <w:lang w:val="bg-BG"/>
        </w:rPr>
        <w:t>ия</w:t>
      </w:r>
      <w:r w:rsidR="00B92588" w:rsidRPr="00610B1B">
        <w:rPr>
          <w:rFonts w:ascii="Times New Roman" w:hAnsi="Times New Roman" w:cs="Times New Roman"/>
          <w:bCs/>
          <w:sz w:val="24"/>
          <w:szCs w:val="24"/>
          <w:lang w:val="bg-BG"/>
        </w:rPr>
        <w:t xml:space="preserve"> подход в политиката за регионално развитие.</w:t>
      </w:r>
      <w:r w:rsidR="00A94A97" w:rsidRPr="00610B1B">
        <w:rPr>
          <w:rFonts w:ascii="Times New Roman" w:hAnsi="Times New Roman" w:cs="Times New Roman"/>
          <w:bCs/>
          <w:sz w:val="24"/>
          <w:szCs w:val="24"/>
          <w:lang w:val="bg-BG"/>
        </w:rPr>
        <w:t xml:space="preserve"> </w:t>
      </w:r>
      <w:r w:rsidR="00B92588" w:rsidRPr="00610B1B">
        <w:rPr>
          <w:rFonts w:ascii="Times New Roman" w:hAnsi="Times New Roman" w:cs="Times New Roman"/>
          <w:bCs/>
          <w:sz w:val="24"/>
          <w:szCs w:val="24"/>
          <w:lang w:val="bg-BG"/>
        </w:rPr>
        <w:t>Ролята</w:t>
      </w:r>
      <w:r w:rsidR="00DE3A13" w:rsidRPr="00610B1B">
        <w:rPr>
          <w:rFonts w:ascii="Times New Roman" w:hAnsi="Times New Roman" w:cs="Times New Roman"/>
          <w:bCs/>
          <w:sz w:val="24"/>
          <w:szCs w:val="24"/>
          <w:lang w:val="bg-BG"/>
        </w:rPr>
        <w:t xml:space="preserve"> ѝ </w:t>
      </w:r>
      <w:r w:rsidR="00B92588" w:rsidRPr="00610B1B">
        <w:rPr>
          <w:rFonts w:ascii="Times New Roman" w:hAnsi="Times New Roman" w:cs="Times New Roman"/>
          <w:bCs/>
          <w:sz w:val="24"/>
          <w:szCs w:val="24"/>
          <w:lang w:val="bg-BG"/>
        </w:rPr>
        <w:t xml:space="preserve">като пространствен координатор на процесите в територията и секторните политики се осъвременява в контекста на общоевропейското пространствено полицентрично развитие, с акцент върху комплексно, интегрирано планиране и засилена стратегическа ориентация. Чрез актуализацията на </w:t>
      </w:r>
      <w:r w:rsidR="00075703" w:rsidRPr="00610B1B">
        <w:rPr>
          <w:rFonts w:ascii="Times New Roman" w:hAnsi="Times New Roman" w:cs="Times New Roman"/>
          <w:bCs/>
          <w:sz w:val="24"/>
          <w:szCs w:val="24"/>
          <w:lang w:val="bg-BG"/>
        </w:rPr>
        <w:t>документа</w:t>
      </w:r>
      <w:r w:rsidR="00B92588" w:rsidRPr="00610B1B">
        <w:rPr>
          <w:rFonts w:ascii="Times New Roman" w:hAnsi="Times New Roman" w:cs="Times New Roman"/>
          <w:bCs/>
          <w:sz w:val="24"/>
          <w:szCs w:val="24"/>
          <w:lang w:val="bg-BG"/>
        </w:rPr>
        <w:t xml:space="preserve"> се създава необходимата информационна и планова основа за Оперативна</w:t>
      </w:r>
      <w:r w:rsidR="005C34D0" w:rsidRPr="00610B1B">
        <w:rPr>
          <w:rFonts w:ascii="Times New Roman" w:hAnsi="Times New Roman" w:cs="Times New Roman"/>
          <w:bCs/>
          <w:sz w:val="24"/>
          <w:szCs w:val="24"/>
          <w:lang w:val="bg-BG"/>
        </w:rPr>
        <w:t>та</w:t>
      </w:r>
      <w:r w:rsidR="00B92588" w:rsidRPr="00610B1B">
        <w:rPr>
          <w:rFonts w:ascii="Times New Roman" w:hAnsi="Times New Roman" w:cs="Times New Roman"/>
          <w:bCs/>
          <w:sz w:val="24"/>
          <w:szCs w:val="24"/>
          <w:lang w:val="bg-BG"/>
        </w:rPr>
        <w:t xml:space="preserve"> програма за развитие на регионите </w:t>
      </w:r>
      <w:r w:rsidR="005C34D0" w:rsidRPr="00610B1B">
        <w:rPr>
          <w:rFonts w:ascii="Times New Roman" w:hAnsi="Times New Roman" w:cs="Times New Roman"/>
          <w:bCs/>
          <w:sz w:val="24"/>
          <w:szCs w:val="24"/>
          <w:lang w:val="bg-BG"/>
        </w:rPr>
        <w:t>(</w:t>
      </w:r>
      <w:r w:rsidR="00B92588" w:rsidRPr="00610B1B">
        <w:rPr>
          <w:rFonts w:ascii="Times New Roman" w:hAnsi="Times New Roman" w:cs="Times New Roman"/>
          <w:bCs/>
          <w:sz w:val="24"/>
          <w:szCs w:val="24"/>
          <w:lang w:val="bg-BG"/>
        </w:rPr>
        <w:t>2021-2027 г.</w:t>
      </w:r>
      <w:r w:rsidR="005C34D0" w:rsidRPr="00610B1B">
        <w:rPr>
          <w:rFonts w:ascii="Times New Roman" w:hAnsi="Times New Roman" w:cs="Times New Roman"/>
          <w:bCs/>
          <w:sz w:val="24"/>
          <w:szCs w:val="24"/>
          <w:lang w:val="bg-BG"/>
        </w:rPr>
        <w:t>).</w:t>
      </w:r>
      <w:r w:rsidR="00D66FE0" w:rsidRPr="00610B1B">
        <w:rPr>
          <w:rFonts w:ascii="Times New Roman" w:hAnsi="Times New Roman" w:cs="Times New Roman"/>
          <w:bCs/>
          <w:sz w:val="24"/>
          <w:szCs w:val="24"/>
          <w:lang w:val="bg-BG"/>
        </w:rPr>
        <w:t xml:space="preserve"> </w:t>
      </w:r>
      <w:r w:rsidR="00AF76DE" w:rsidRPr="00610B1B">
        <w:rPr>
          <w:rFonts w:ascii="Times New Roman" w:hAnsi="Times New Roman" w:cs="Times New Roman"/>
          <w:bCs/>
          <w:sz w:val="24"/>
          <w:szCs w:val="24"/>
          <w:lang w:val="bg-BG"/>
        </w:rPr>
        <w:t>В актуализирания документ се</w:t>
      </w:r>
      <w:r w:rsidR="00B92588" w:rsidRPr="00610B1B">
        <w:rPr>
          <w:rFonts w:ascii="Times New Roman" w:hAnsi="Times New Roman" w:cs="Times New Roman"/>
          <w:bCs/>
          <w:sz w:val="24"/>
          <w:szCs w:val="24"/>
          <w:lang w:val="bg-BG"/>
        </w:rPr>
        <w:t xml:space="preserve"> отделя по-голямо внимание на</w:t>
      </w:r>
      <w:r w:rsidR="00A94A97" w:rsidRPr="00610B1B">
        <w:rPr>
          <w:rFonts w:ascii="Times New Roman" w:hAnsi="Times New Roman" w:cs="Times New Roman"/>
          <w:bCs/>
          <w:sz w:val="24"/>
          <w:szCs w:val="24"/>
          <w:lang w:val="bg-BG"/>
        </w:rPr>
        <w:t xml:space="preserve"> регионите за планиране</w:t>
      </w:r>
      <w:r w:rsidR="00B92588" w:rsidRPr="00610B1B">
        <w:rPr>
          <w:rFonts w:ascii="Times New Roman" w:hAnsi="Times New Roman" w:cs="Times New Roman"/>
          <w:bCs/>
          <w:sz w:val="24"/>
          <w:szCs w:val="24"/>
          <w:lang w:val="bg-BG"/>
        </w:rPr>
        <w:t xml:space="preserve"> от ниво 2, на по-</w:t>
      </w:r>
      <w:r w:rsidR="00AF76DE" w:rsidRPr="00610B1B">
        <w:rPr>
          <w:rFonts w:ascii="Times New Roman" w:hAnsi="Times New Roman" w:cs="Times New Roman"/>
          <w:bCs/>
          <w:sz w:val="24"/>
          <w:szCs w:val="24"/>
          <w:lang w:val="bg-BG"/>
        </w:rPr>
        <w:t xml:space="preserve">доброто управление на </w:t>
      </w:r>
      <w:r w:rsidR="00B92588" w:rsidRPr="00610B1B">
        <w:rPr>
          <w:rFonts w:ascii="Times New Roman" w:hAnsi="Times New Roman" w:cs="Times New Roman"/>
          <w:bCs/>
          <w:sz w:val="24"/>
          <w:szCs w:val="24"/>
          <w:lang w:val="bg-BG"/>
        </w:rPr>
        <w:t xml:space="preserve">развитието им чрез интегрирани инвестиции, в унисон с тенденциите за засилване на регионалното и териториалното измерение на европейските политики. </w:t>
      </w:r>
      <w:r w:rsidR="005C34D0" w:rsidRPr="00610B1B">
        <w:rPr>
          <w:rFonts w:ascii="Times New Roman" w:hAnsi="Times New Roman" w:cs="Times New Roman"/>
          <w:bCs/>
          <w:sz w:val="24"/>
          <w:szCs w:val="24"/>
          <w:lang w:val="bg-BG"/>
        </w:rPr>
        <w:t xml:space="preserve">Най-съществената </w:t>
      </w:r>
      <w:r w:rsidR="00B92588" w:rsidRPr="00610B1B">
        <w:rPr>
          <w:rFonts w:ascii="Times New Roman" w:hAnsi="Times New Roman" w:cs="Times New Roman"/>
          <w:bCs/>
          <w:sz w:val="24"/>
          <w:szCs w:val="24"/>
          <w:lang w:val="bg-BG"/>
        </w:rPr>
        <w:t>„надстройк</w:t>
      </w:r>
      <w:r w:rsidR="005C34D0" w:rsidRPr="00610B1B">
        <w:rPr>
          <w:rFonts w:ascii="Times New Roman" w:hAnsi="Times New Roman" w:cs="Times New Roman"/>
          <w:bCs/>
          <w:sz w:val="24"/>
          <w:szCs w:val="24"/>
          <w:lang w:val="bg-BG"/>
        </w:rPr>
        <w:t>а</w:t>
      </w:r>
      <w:r w:rsidR="00B92588" w:rsidRPr="00610B1B">
        <w:rPr>
          <w:rFonts w:ascii="Times New Roman" w:hAnsi="Times New Roman" w:cs="Times New Roman"/>
          <w:bCs/>
          <w:sz w:val="24"/>
          <w:szCs w:val="24"/>
          <w:lang w:val="bg-BG"/>
        </w:rPr>
        <w:t>”</w:t>
      </w:r>
      <w:r w:rsidR="005C34D0" w:rsidRPr="00610B1B">
        <w:rPr>
          <w:rFonts w:ascii="Times New Roman" w:hAnsi="Times New Roman" w:cs="Times New Roman"/>
          <w:bCs/>
          <w:sz w:val="24"/>
          <w:szCs w:val="24"/>
          <w:lang w:val="bg-BG"/>
        </w:rPr>
        <w:t xml:space="preserve"> на НКПР </w:t>
      </w:r>
      <w:r w:rsidR="00B92588" w:rsidRPr="00610B1B">
        <w:rPr>
          <w:rFonts w:ascii="Times New Roman" w:hAnsi="Times New Roman" w:cs="Times New Roman"/>
          <w:bCs/>
          <w:sz w:val="24"/>
          <w:szCs w:val="24"/>
          <w:lang w:val="bg-BG"/>
        </w:rPr>
        <w:t>е интегриран</w:t>
      </w:r>
      <w:r w:rsidR="00A94A97" w:rsidRPr="00610B1B">
        <w:rPr>
          <w:rFonts w:ascii="Times New Roman" w:hAnsi="Times New Roman" w:cs="Times New Roman"/>
          <w:bCs/>
          <w:sz w:val="24"/>
          <w:szCs w:val="24"/>
          <w:lang w:val="bg-BG"/>
        </w:rPr>
        <w:t>ето на стратегическата</w:t>
      </w:r>
      <w:r w:rsidR="00DE3A13" w:rsidRPr="00610B1B">
        <w:rPr>
          <w:rFonts w:ascii="Times New Roman" w:hAnsi="Times New Roman" w:cs="Times New Roman"/>
          <w:bCs/>
          <w:sz w:val="24"/>
          <w:szCs w:val="24"/>
          <w:lang w:val="bg-BG"/>
        </w:rPr>
        <w:t xml:space="preserve"> ѝ </w:t>
      </w:r>
      <w:r w:rsidR="00A94A97" w:rsidRPr="00610B1B">
        <w:rPr>
          <w:rFonts w:ascii="Times New Roman" w:hAnsi="Times New Roman" w:cs="Times New Roman"/>
          <w:bCs/>
          <w:sz w:val="24"/>
          <w:szCs w:val="24"/>
          <w:lang w:val="bg-BG"/>
        </w:rPr>
        <w:t xml:space="preserve">част </w:t>
      </w:r>
      <w:r w:rsidR="00B92588" w:rsidRPr="00610B1B">
        <w:rPr>
          <w:rFonts w:ascii="Times New Roman" w:hAnsi="Times New Roman" w:cs="Times New Roman"/>
          <w:bCs/>
          <w:sz w:val="24"/>
          <w:szCs w:val="24"/>
          <w:lang w:val="bg-BG"/>
        </w:rPr>
        <w:t>с целите на Националната стратегия за регионално развитие на Република България (2012-2022 г.)</w:t>
      </w:r>
      <w:r w:rsidR="008C0BBF" w:rsidRPr="00610B1B">
        <w:rPr>
          <w:rFonts w:ascii="Times New Roman" w:hAnsi="Times New Roman" w:cs="Times New Roman"/>
          <w:bCs/>
          <w:sz w:val="24"/>
          <w:szCs w:val="24"/>
          <w:lang w:val="bg-BG"/>
        </w:rPr>
        <w:t xml:space="preserve"> и насоките за развитие </w:t>
      </w:r>
      <w:r w:rsidR="00836952" w:rsidRPr="00610B1B">
        <w:rPr>
          <w:rFonts w:ascii="Times New Roman" w:hAnsi="Times New Roman" w:cs="Times New Roman"/>
          <w:bCs/>
          <w:sz w:val="24"/>
          <w:szCs w:val="24"/>
          <w:lang w:val="bg-BG"/>
        </w:rPr>
        <w:t>на регионите за планиране от ниво 2, между които и Североизточен и Югоизточен.</w:t>
      </w:r>
    </w:p>
    <w:p w14:paraId="6EAA7598" w14:textId="0CD84924" w:rsidR="009E1C5C" w:rsidRPr="00610B1B" w:rsidRDefault="00817C8F"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w:t>
      </w:r>
      <w:r w:rsidR="005C34D0" w:rsidRPr="00610B1B">
        <w:rPr>
          <w:rFonts w:ascii="Times New Roman" w:hAnsi="Times New Roman" w:cs="Times New Roman"/>
          <w:bCs/>
          <w:sz w:val="24"/>
          <w:szCs w:val="24"/>
          <w:lang w:val="bg-BG"/>
        </w:rPr>
        <w:t>а</w:t>
      </w:r>
      <w:r w:rsidRPr="00610B1B">
        <w:rPr>
          <w:rFonts w:ascii="Times New Roman" w:hAnsi="Times New Roman" w:cs="Times New Roman"/>
          <w:bCs/>
          <w:sz w:val="24"/>
          <w:szCs w:val="24"/>
          <w:lang w:val="bg-BG"/>
        </w:rPr>
        <w:t xml:space="preserve">ктуализацията на НКПР </w:t>
      </w:r>
      <w:r w:rsidR="00DF6C3A" w:rsidRPr="00610B1B">
        <w:rPr>
          <w:rFonts w:ascii="Times New Roman" w:hAnsi="Times New Roman" w:cs="Times New Roman"/>
          <w:bCs/>
          <w:sz w:val="24"/>
          <w:szCs w:val="24"/>
          <w:lang w:val="bg-BG"/>
        </w:rPr>
        <w:t>ч</w:t>
      </w:r>
      <w:r w:rsidRPr="00610B1B">
        <w:rPr>
          <w:rFonts w:ascii="Times New Roman" w:hAnsi="Times New Roman" w:cs="Times New Roman"/>
          <w:bCs/>
          <w:sz w:val="24"/>
          <w:szCs w:val="24"/>
          <w:lang w:val="bg-BG"/>
        </w:rPr>
        <w:t xml:space="preserve">ерноморските територии </w:t>
      </w:r>
      <w:r w:rsidR="000D2AAD" w:rsidRPr="00610B1B">
        <w:rPr>
          <w:rFonts w:ascii="Times New Roman" w:hAnsi="Times New Roman" w:cs="Times New Roman"/>
          <w:bCs/>
          <w:sz w:val="24"/>
          <w:szCs w:val="24"/>
          <w:lang w:val="bg-BG"/>
        </w:rPr>
        <w:t xml:space="preserve">се запазват </w:t>
      </w:r>
      <w:r w:rsidRPr="00610B1B">
        <w:rPr>
          <w:rFonts w:ascii="Times New Roman" w:hAnsi="Times New Roman" w:cs="Times New Roman"/>
          <w:bCs/>
          <w:sz w:val="24"/>
          <w:szCs w:val="24"/>
          <w:lang w:val="bg-BG"/>
        </w:rPr>
        <w:t xml:space="preserve">като специфични неформални райони, дефинирани и институционализирани </w:t>
      </w:r>
      <w:r w:rsidR="005C34D0" w:rsidRPr="00610B1B">
        <w:rPr>
          <w:rFonts w:ascii="Times New Roman" w:hAnsi="Times New Roman" w:cs="Times New Roman"/>
          <w:bCs/>
          <w:sz w:val="24"/>
          <w:szCs w:val="24"/>
          <w:lang w:val="bg-BG"/>
        </w:rPr>
        <w:t xml:space="preserve">с </w:t>
      </w:r>
      <w:r w:rsidRPr="00610B1B">
        <w:rPr>
          <w:rFonts w:ascii="Times New Roman" w:hAnsi="Times New Roman" w:cs="Times New Roman"/>
          <w:bCs/>
          <w:sz w:val="24"/>
          <w:szCs w:val="24"/>
          <w:lang w:val="bg-BG"/>
        </w:rPr>
        <w:t xml:space="preserve">международно консолидиран стратегически документ за развитие. Черноморското крайбрежие е обект и на специален закон (ЗУЧК). Пренасяйки целите на съвместната оперативна програма за </w:t>
      </w:r>
      <w:r w:rsidR="000D2AAD" w:rsidRPr="00610B1B">
        <w:rPr>
          <w:rFonts w:ascii="Times New Roman" w:hAnsi="Times New Roman" w:cs="Times New Roman"/>
          <w:bCs/>
          <w:sz w:val="24"/>
          <w:szCs w:val="24"/>
          <w:lang w:val="bg-BG"/>
        </w:rPr>
        <w:t>териториално</w:t>
      </w:r>
      <w:r w:rsidRPr="00610B1B">
        <w:rPr>
          <w:rFonts w:ascii="Times New Roman" w:hAnsi="Times New Roman" w:cs="Times New Roman"/>
          <w:bCs/>
          <w:sz w:val="24"/>
          <w:szCs w:val="24"/>
          <w:lang w:val="bg-BG"/>
        </w:rPr>
        <w:t xml:space="preserve"> сътрудничество „Черноморски басейн 2014-2020“, финансирана по Европейски инструмент за съседство</w:t>
      </w:r>
      <w:r w:rsidR="008C0BBF" w:rsidRPr="00610B1B">
        <w:rPr>
          <w:rFonts w:ascii="Times New Roman" w:hAnsi="Times New Roman" w:cs="Times New Roman"/>
          <w:bCs/>
          <w:sz w:val="24"/>
          <w:szCs w:val="24"/>
          <w:lang w:val="bg-BG"/>
        </w:rPr>
        <w:t xml:space="preserve"> в</w:t>
      </w:r>
      <w:r w:rsidRPr="00610B1B">
        <w:rPr>
          <w:rFonts w:ascii="Times New Roman" w:hAnsi="Times New Roman" w:cs="Times New Roman"/>
          <w:bCs/>
          <w:sz w:val="24"/>
          <w:szCs w:val="24"/>
          <w:lang w:val="bg-BG"/>
        </w:rPr>
        <w:t xml:space="preserve"> Актуализацията </w:t>
      </w:r>
      <w:r w:rsidR="008C0BBF" w:rsidRPr="00610B1B">
        <w:rPr>
          <w:rFonts w:ascii="Times New Roman" w:hAnsi="Times New Roman" w:cs="Times New Roman"/>
          <w:bCs/>
          <w:sz w:val="24"/>
          <w:szCs w:val="24"/>
          <w:lang w:val="bg-BG"/>
        </w:rPr>
        <w:t xml:space="preserve">се </w:t>
      </w:r>
      <w:r w:rsidRPr="00610B1B">
        <w:rPr>
          <w:rFonts w:ascii="Times New Roman" w:hAnsi="Times New Roman" w:cs="Times New Roman"/>
          <w:bCs/>
          <w:sz w:val="24"/>
          <w:szCs w:val="24"/>
          <w:lang w:val="bg-BG"/>
        </w:rPr>
        <w:t>потвърждава необходимостта от насърчаване на бизнеса и предприемачеството в туризма и културата, на търговията и модернизацията на свързани</w:t>
      </w:r>
      <w:r w:rsidR="000D2AAD" w:rsidRPr="00610B1B">
        <w:rPr>
          <w:rFonts w:ascii="Times New Roman" w:hAnsi="Times New Roman" w:cs="Times New Roman"/>
          <w:bCs/>
          <w:sz w:val="24"/>
          <w:szCs w:val="24"/>
          <w:lang w:val="bg-BG"/>
        </w:rPr>
        <w:t xml:space="preserve"> с морската икономика</w:t>
      </w:r>
      <w:r w:rsidRPr="00610B1B">
        <w:rPr>
          <w:rFonts w:ascii="Times New Roman" w:hAnsi="Times New Roman" w:cs="Times New Roman"/>
          <w:bCs/>
          <w:sz w:val="24"/>
          <w:szCs w:val="24"/>
          <w:lang w:val="bg-BG"/>
        </w:rPr>
        <w:t xml:space="preserve"> сектори, на съвместния мониторинг на среда</w:t>
      </w:r>
      <w:r w:rsidR="008C0BBF" w:rsidRPr="00610B1B">
        <w:rPr>
          <w:rFonts w:ascii="Times New Roman" w:hAnsi="Times New Roman" w:cs="Times New Roman"/>
          <w:bCs/>
          <w:sz w:val="24"/>
          <w:szCs w:val="24"/>
          <w:lang w:val="bg-BG"/>
        </w:rPr>
        <w:t>та</w:t>
      </w:r>
      <w:r w:rsidRPr="00610B1B">
        <w:rPr>
          <w:rFonts w:ascii="Times New Roman" w:hAnsi="Times New Roman" w:cs="Times New Roman"/>
          <w:bCs/>
          <w:sz w:val="24"/>
          <w:szCs w:val="24"/>
          <w:lang w:val="bg-BG"/>
        </w:rPr>
        <w:t xml:space="preserve"> и управлението на морските отпадъци</w:t>
      </w:r>
      <w:r w:rsidR="00370CEC"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w:t>
      </w:r>
    </w:p>
    <w:p w14:paraId="308B35D2" w14:textId="4F3068F8" w:rsidR="00057D7B" w:rsidRPr="00610B1B" w:rsidRDefault="00C05A14"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Водещ документ и определящ приоритетите на политиката в областта на туризма е Актуализираната </w:t>
      </w:r>
      <w:r w:rsidRPr="00610B1B">
        <w:rPr>
          <w:rFonts w:ascii="Times New Roman" w:hAnsi="Times New Roman" w:cs="Times New Roman"/>
          <w:bCs/>
          <w:i/>
          <w:iCs/>
          <w:sz w:val="24"/>
          <w:szCs w:val="24"/>
          <w:lang w:val="bg-BG"/>
        </w:rPr>
        <w:t>Национална стратегия за устойчиво развитие на туризма</w:t>
      </w:r>
      <w:r w:rsidRPr="00610B1B">
        <w:rPr>
          <w:rFonts w:ascii="Times New Roman" w:hAnsi="Times New Roman" w:cs="Times New Roman"/>
          <w:bCs/>
          <w:sz w:val="24"/>
          <w:szCs w:val="24"/>
          <w:lang w:val="bg-BG"/>
        </w:rPr>
        <w:t xml:space="preserve"> </w:t>
      </w:r>
      <w:r w:rsidR="00A52EE7" w:rsidRPr="00610B1B">
        <w:rPr>
          <w:rFonts w:ascii="Times New Roman" w:hAnsi="Times New Roman" w:cs="Times New Roman"/>
          <w:bCs/>
          <w:i/>
          <w:iCs/>
          <w:sz w:val="24"/>
          <w:szCs w:val="24"/>
          <w:lang w:val="bg-BG"/>
        </w:rPr>
        <w:t>в Република България (2014 -2030 г.)</w:t>
      </w:r>
      <w:r w:rsidR="00A52EE7" w:rsidRPr="00610B1B">
        <w:rPr>
          <w:rStyle w:val="FootnoteReference"/>
          <w:rFonts w:ascii="Times New Roman" w:hAnsi="Times New Roman" w:cs="Times New Roman"/>
          <w:bCs/>
          <w:i/>
          <w:iCs/>
          <w:sz w:val="24"/>
          <w:szCs w:val="24"/>
          <w:lang w:val="bg-BG"/>
        </w:rPr>
        <w:footnoteReference w:id="63"/>
      </w:r>
      <w:r w:rsidR="00A52EE7" w:rsidRPr="00610B1B">
        <w:rPr>
          <w:rFonts w:ascii="Times New Roman" w:hAnsi="Times New Roman" w:cs="Times New Roman"/>
          <w:bCs/>
          <w:i/>
          <w:iCs/>
          <w:sz w:val="24"/>
          <w:szCs w:val="24"/>
          <w:lang w:val="bg-BG"/>
        </w:rPr>
        <w:t xml:space="preserve"> </w:t>
      </w:r>
      <w:r w:rsidR="004A51AB" w:rsidRPr="00610B1B">
        <w:rPr>
          <w:rFonts w:ascii="Times New Roman" w:hAnsi="Times New Roman" w:cs="Times New Roman"/>
          <w:bCs/>
          <w:sz w:val="24"/>
          <w:szCs w:val="24"/>
          <w:lang w:val="bg-BG"/>
        </w:rPr>
        <w:t>Целите и приоритетите</w:t>
      </w:r>
      <w:r w:rsidR="00057D7B" w:rsidRPr="00610B1B">
        <w:rPr>
          <w:rFonts w:ascii="Times New Roman" w:hAnsi="Times New Roman" w:cs="Times New Roman"/>
          <w:bCs/>
          <w:sz w:val="24"/>
          <w:szCs w:val="24"/>
          <w:lang w:val="bg-BG"/>
        </w:rPr>
        <w:t xml:space="preserve"> в</w:t>
      </w:r>
      <w:r w:rsidR="004A51AB" w:rsidRPr="00610B1B">
        <w:rPr>
          <w:rFonts w:ascii="Times New Roman" w:hAnsi="Times New Roman" w:cs="Times New Roman"/>
          <w:bCs/>
          <w:sz w:val="24"/>
          <w:szCs w:val="24"/>
          <w:lang w:val="bg-BG"/>
        </w:rPr>
        <w:t xml:space="preserve"> морския туризъм са насочени към решаване на проблемите с презастрояването на крайбрежието и натоварването на техническата инфраструктура, удължаване</w:t>
      </w:r>
      <w:r w:rsidR="005C34D0" w:rsidRPr="00610B1B">
        <w:rPr>
          <w:rFonts w:ascii="Times New Roman" w:hAnsi="Times New Roman" w:cs="Times New Roman"/>
          <w:bCs/>
          <w:sz w:val="24"/>
          <w:szCs w:val="24"/>
          <w:lang w:val="bg-BG"/>
        </w:rPr>
        <w:t>то</w:t>
      </w:r>
      <w:r w:rsidR="004A51AB" w:rsidRPr="00610B1B">
        <w:rPr>
          <w:rFonts w:ascii="Times New Roman" w:hAnsi="Times New Roman" w:cs="Times New Roman"/>
          <w:bCs/>
          <w:sz w:val="24"/>
          <w:szCs w:val="24"/>
          <w:lang w:val="bg-BG"/>
        </w:rPr>
        <w:t xml:space="preserve"> на летния туристически сезон, увеличаване на дела на по-скъпия и престижен клубен морски ваканционен туризъм, за сметка на евтиния от типа </w:t>
      </w:r>
      <w:r w:rsidR="000D2AAD" w:rsidRPr="00610B1B">
        <w:rPr>
          <w:rFonts w:ascii="Times New Roman" w:hAnsi="Times New Roman" w:cs="Times New Roman"/>
          <w:bCs/>
          <w:sz w:val="24"/>
          <w:szCs w:val="24"/>
          <w:lang w:val="bg-BG"/>
        </w:rPr>
        <w:t>„</w:t>
      </w:r>
      <w:r w:rsidR="004A51AB" w:rsidRPr="00610B1B">
        <w:rPr>
          <w:rFonts w:ascii="Times New Roman" w:hAnsi="Times New Roman" w:cs="Times New Roman"/>
          <w:bCs/>
          <w:sz w:val="24"/>
          <w:szCs w:val="24"/>
          <w:lang w:val="bg-BG"/>
        </w:rPr>
        <w:t>all inclusive</w:t>
      </w:r>
      <w:r w:rsidR="000D2AAD" w:rsidRPr="00610B1B">
        <w:rPr>
          <w:rFonts w:ascii="Times New Roman" w:hAnsi="Times New Roman" w:cs="Times New Roman"/>
          <w:bCs/>
          <w:sz w:val="24"/>
          <w:szCs w:val="24"/>
          <w:lang w:val="bg-BG"/>
        </w:rPr>
        <w:t>“</w:t>
      </w:r>
      <w:r w:rsidR="004A51AB" w:rsidRPr="00610B1B">
        <w:rPr>
          <w:rFonts w:ascii="Times New Roman" w:hAnsi="Times New Roman" w:cs="Times New Roman"/>
          <w:bCs/>
          <w:sz w:val="24"/>
          <w:szCs w:val="24"/>
          <w:lang w:val="bg-BG"/>
        </w:rPr>
        <w:t>, подобряване на околната и бизнес средата за развитието на устойчивия туризъм</w:t>
      </w:r>
      <w:r w:rsidR="00057D7B" w:rsidRPr="00610B1B">
        <w:rPr>
          <w:rFonts w:ascii="Times New Roman" w:hAnsi="Times New Roman" w:cs="Times New Roman"/>
          <w:bCs/>
          <w:sz w:val="24"/>
          <w:szCs w:val="24"/>
          <w:lang w:val="bg-BG"/>
        </w:rPr>
        <w:t>, който не пренебрегва благосъстоянието на местните общности.</w:t>
      </w:r>
      <w:r w:rsidR="00D66FE0" w:rsidRPr="00610B1B">
        <w:rPr>
          <w:rFonts w:ascii="Times New Roman" w:hAnsi="Times New Roman" w:cs="Times New Roman"/>
          <w:bCs/>
          <w:sz w:val="24"/>
          <w:szCs w:val="24"/>
          <w:lang w:val="bg-BG"/>
        </w:rPr>
        <w:t xml:space="preserve"> </w:t>
      </w:r>
      <w:r w:rsidR="000D2AAD" w:rsidRPr="00610B1B">
        <w:rPr>
          <w:rFonts w:ascii="Times New Roman" w:hAnsi="Times New Roman" w:cs="Times New Roman"/>
          <w:bCs/>
          <w:sz w:val="24"/>
          <w:szCs w:val="24"/>
          <w:lang w:val="bg-BG"/>
        </w:rPr>
        <w:t xml:space="preserve">Адаптацията </w:t>
      </w:r>
      <w:r w:rsidR="003F61FA" w:rsidRPr="00610B1B">
        <w:rPr>
          <w:rFonts w:ascii="Times New Roman" w:hAnsi="Times New Roman" w:cs="Times New Roman"/>
          <w:bCs/>
          <w:sz w:val="24"/>
          <w:szCs w:val="24"/>
          <w:lang w:val="bg-BG"/>
        </w:rPr>
        <w:t xml:space="preserve">към изменението на климата ще даде отражение върху летния туризъм и продължителността на най-подходящия сезон за рекреационни, </w:t>
      </w:r>
      <w:r w:rsidR="009D7952" w:rsidRPr="00610B1B">
        <w:rPr>
          <w:rFonts w:ascii="Times New Roman" w:hAnsi="Times New Roman" w:cs="Times New Roman"/>
          <w:bCs/>
          <w:sz w:val="24"/>
          <w:szCs w:val="24"/>
          <w:lang w:val="bg-BG"/>
        </w:rPr>
        <w:t>развлекателни</w:t>
      </w:r>
      <w:r w:rsidR="003F61FA" w:rsidRPr="00610B1B">
        <w:rPr>
          <w:rFonts w:ascii="Times New Roman" w:hAnsi="Times New Roman" w:cs="Times New Roman"/>
          <w:bCs/>
          <w:sz w:val="24"/>
          <w:szCs w:val="24"/>
          <w:lang w:val="bg-BG"/>
        </w:rPr>
        <w:t xml:space="preserve"> и спортни дейности край и в морето. В прогнозните сценарии и модели на </w:t>
      </w:r>
      <w:r w:rsidR="005C34D0" w:rsidRPr="00610B1B">
        <w:rPr>
          <w:rFonts w:ascii="Times New Roman" w:hAnsi="Times New Roman" w:cs="Times New Roman"/>
          <w:bCs/>
          <w:sz w:val="24"/>
          <w:szCs w:val="24"/>
          <w:lang w:val="bg-BG"/>
        </w:rPr>
        <w:t>М</w:t>
      </w:r>
      <w:r w:rsidR="003F61FA" w:rsidRPr="00610B1B">
        <w:rPr>
          <w:rFonts w:ascii="Times New Roman" w:hAnsi="Times New Roman" w:cs="Times New Roman"/>
          <w:bCs/>
          <w:sz w:val="24"/>
          <w:szCs w:val="24"/>
          <w:lang w:val="bg-BG"/>
        </w:rPr>
        <w:t xml:space="preserve">орския пространствен </w:t>
      </w:r>
      <w:r w:rsidR="003F61FA" w:rsidRPr="00610B1B">
        <w:rPr>
          <w:rFonts w:ascii="Times New Roman" w:hAnsi="Times New Roman" w:cs="Times New Roman"/>
          <w:bCs/>
          <w:sz w:val="24"/>
          <w:szCs w:val="24"/>
          <w:lang w:val="bg-BG"/>
        </w:rPr>
        <w:lastRenderedPageBreak/>
        <w:t>план тези взаимодействия се търсят при решаване на конфликтите и оползотворяване на потенциала на туристическите ресурси в крайбрежна</w:t>
      </w:r>
      <w:r w:rsidR="005C34D0" w:rsidRPr="00610B1B">
        <w:rPr>
          <w:rFonts w:ascii="Times New Roman" w:hAnsi="Times New Roman" w:cs="Times New Roman"/>
          <w:bCs/>
          <w:sz w:val="24"/>
          <w:szCs w:val="24"/>
          <w:lang w:val="bg-BG"/>
        </w:rPr>
        <w:t>та</w:t>
      </w:r>
      <w:r w:rsidR="003F61FA" w:rsidRPr="00610B1B">
        <w:rPr>
          <w:rFonts w:ascii="Times New Roman" w:hAnsi="Times New Roman" w:cs="Times New Roman"/>
          <w:bCs/>
          <w:sz w:val="24"/>
          <w:szCs w:val="24"/>
          <w:lang w:val="bg-BG"/>
        </w:rPr>
        <w:t xml:space="preserve"> зона и </w:t>
      </w:r>
      <w:r w:rsidR="005C34D0" w:rsidRPr="00610B1B">
        <w:rPr>
          <w:rFonts w:ascii="Times New Roman" w:hAnsi="Times New Roman" w:cs="Times New Roman"/>
          <w:bCs/>
          <w:sz w:val="24"/>
          <w:szCs w:val="24"/>
          <w:lang w:val="bg-BG"/>
        </w:rPr>
        <w:t>в</w:t>
      </w:r>
      <w:r w:rsidR="003F61FA" w:rsidRPr="00610B1B">
        <w:rPr>
          <w:rFonts w:ascii="Times New Roman" w:hAnsi="Times New Roman" w:cs="Times New Roman"/>
          <w:bCs/>
          <w:sz w:val="24"/>
          <w:szCs w:val="24"/>
          <w:lang w:val="bg-BG"/>
        </w:rPr>
        <w:t xml:space="preserve"> акваторията</w:t>
      </w:r>
      <w:r w:rsidR="00FA3E3F" w:rsidRPr="00610B1B">
        <w:rPr>
          <w:rFonts w:ascii="Times New Roman" w:hAnsi="Times New Roman" w:cs="Times New Roman"/>
          <w:bCs/>
          <w:sz w:val="24"/>
          <w:szCs w:val="24"/>
          <w:lang w:val="bg-BG"/>
        </w:rPr>
        <w:t>.</w:t>
      </w:r>
      <w:r w:rsidR="003F61FA" w:rsidRPr="00610B1B">
        <w:rPr>
          <w:rFonts w:ascii="Times New Roman" w:hAnsi="Times New Roman" w:cs="Times New Roman"/>
          <w:bCs/>
          <w:sz w:val="24"/>
          <w:szCs w:val="24"/>
          <w:lang w:val="bg-BG"/>
        </w:rPr>
        <w:t xml:space="preserve"> </w:t>
      </w:r>
    </w:p>
    <w:p w14:paraId="75E01961" w14:textId="6DE96653" w:rsidR="00FA3E3F" w:rsidRPr="00610B1B" w:rsidRDefault="00057D7B"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Приоритетите </w:t>
      </w:r>
      <w:r w:rsidR="00065180" w:rsidRPr="00610B1B">
        <w:rPr>
          <w:rFonts w:ascii="Times New Roman" w:hAnsi="Times New Roman" w:cs="Times New Roman"/>
          <w:bCs/>
          <w:sz w:val="24"/>
          <w:szCs w:val="24"/>
          <w:lang w:val="bg-BG"/>
        </w:rPr>
        <w:t xml:space="preserve">на Р. България </w:t>
      </w:r>
      <w:r w:rsidRPr="00610B1B">
        <w:rPr>
          <w:rFonts w:ascii="Times New Roman" w:hAnsi="Times New Roman" w:cs="Times New Roman"/>
          <w:bCs/>
          <w:sz w:val="24"/>
          <w:szCs w:val="24"/>
          <w:lang w:val="bg-BG"/>
        </w:rPr>
        <w:t xml:space="preserve">в сектора „Рибарство и аквакултури“ </w:t>
      </w:r>
      <w:r w:rsidR="00C8621A" w:rsidRPr="00610B1B">
        <w:rPr>
          <w:rFonts w:ascii="Times New Roman" w:hAnsi="Times New Roman" w:cs="Times New Roman"/>
          <w:bCs/>
          <w:sz w:val="24"/>
          <w:szCs w:val="24"/>
          <w:lang w:val="bg-BG"/>
        </w:rPr>
        <w:t>са обвързани с</w:t>
      </w:r>
      <w:r w:rsidRPr="00610B1B">
        <w:rPr>
          <w:rFonts w:ascii="Times New Roman" w:hAnsi="Times New Roman" w:cs="Times New Roman"/>
          <w:bCs/>
          <w:sz w:val="24"/>
          <w:szCs w:val="24"/>
          <w:lang w:val="bg-BG"/>
        </w:rPr>
        <w:t xml:space="preserve"> прилагането на </w:t>
      </w:r>
      <w:r w:rsidR="00065180" w:rsidRPr="00610B1B">
        <w:rPr>
          <w:rFonts w:ascii="Times New Roman" w:hAnsi="Times New Roman" w:cs="Times New Roman"/>
          <w:bCs/>
          <w:sz w:val="24"/>
          <w:szCs w:val="24"/>
          <w:lang w:val="bg-BG"/>
        </w:rPr>
        <w:t xml:space="preserve">Общата </w:t>
      </w:r>
      <w:r w:rsidRPr="00610B1B">
        <w:rPr>
          <w:rFonts w:ascii="Times New Roman" w:hAnsi="Times New Roman" w:cs="Times New Roman"/>
          <w:bCs/>
          <w:sz w:val="24"/>
          <w:szCs w:val="24"/>
          <w:lang w:val="bg-BG"/>
        </w:rPr>
        <w:t>политика по рибарство на ЕС</w:t>
      </w:r>
      <w:r w:rsidR="00065180" w:rsidRPr="00610B1B">
        <w:rPr>
          <w:rFonts w:ascii="Times New Roman" w:hAnsi="Times New Roman" w:cs="Times New Roman"/>
          <w:bCs/>
          <w:sz w:val="24"/>
          <w:szCs w:val="24"/>
          <w:lang w:val="bg-BG"/>
        </w:rPr>
        <w:t xml:space="preserve"> с нейните последни промени от 2014</w:t>
      </w:r>
      <w:r w:rsidR="00751B5D" w:rsidRPr="00610B1B">
        <w:rPr>
          <w:rFonts w:ascii="Times New Roman" w:hAnsi="Times New Roman" w:cs="Times New Roman"/>
          <w:bCs/>
          <w:sz w:val="24"/>
          <w:szCs w:val="24"/>
          <w:lang w:val="bg-BG"/>
        </w:rPr>
        <w:t> </w:t>
      </w:r>
      <w:r w:rsidR="00065180" w:rsidRPr="00610B1B">
        <w:rPr>
          <w:rFonts w:ascii="Times New Roman" w:hAnsi="Times New Roman" w:cs="Times New Roman"/>
          <w:bCs/>
          <w:sz w:val="24"/>
          <w:szCs w:val="24"/>
          <w:lang w:val="bg-BG"/>
        </w:rPr>
        <w:t>г., както и Интегрираната морска политика. Те</w:t>
      </w:r>
      <w:r w:rsidR="003F61FA"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са пренесени в действащата </w:t>
      </w:r>
      <w:r w:rsidR="002B75E3" w:rsidRPr="00610B1B">
        <w:rPr>
          <w:rFonts w:ascii="Times New Roman" w:hAnsi="Times New Roman" w:cs="Times New Roman"/>
          <w:bCs/>
          <w:i/>
          <w:iCs/>
          <w:sz w:val="24"/>
          <w:szCs w:val="24"/>
          <w:lang w:val="bg-BG"/>
        </w:rPr>
        <w:t xml:space="preserve">Програма </w:t>
      </w:r>
      <w:r w:rsidRPr="00610B1B">
        <w:rPr>
          <w:rFonts w:ascii="Times New Roman" w:hAnsi="Times New Roman" w:cs="Times New Roman"/>
          <w:bCs/>
          <w:i/>
          <w:iCs/>
          <w:sz w:val="24"/>
          <w:szCs w:val="24"/>
          <w:lang w:val="bg-BG"/>
        </w:rPr>
        <w:t xml:space="preserve">за </w:t>
      </w:r>
      <w:r w:rsidR="002B75E3" w:rsidRPr="00610B1B">
        <w:rPr>
          <w:rFonts w:ascii="Times New Roman" w:hAnsi="Times New Roman" w:cs="Times New Roman"/>
          <w:bCs/>
          <w:i/>
          <w:iCs/>
          <w:sz w:val="24"/>
          <w:szCs w:val="24"/>
          <w:lang w:val="bg-BG"/>
        </w:rPr>
        <w:t>Морско дело и рибарство</w:t>
      </w:r>
      <w:r w:rsidR="002B75E3" w:rsidRPr="00610B1B">
        <w:rPr>
          <w:rFonts w:ascii="Times New Roman" w:hAnsi="Times New Roman" w:cs="Times New Roman"/>
          <w:bCs/>
          <w:sz w:val="24"/>
          <w:szCs w:val="24"/>
          <w:lang w:val="bg-BG"/>
        </w:rPr>
        <w:t xml:space="preserve"> за </w:t>
      </w:r>
      <w:r w:rsidRPr="00610B1B">
        <w:rPr>
          <w:rFonts w:ascii="Times New Roman" w:hAnsi="Times New Roman" w:cs="Times New Roman"/>
          <w:bCs/>
          <w:sz w:val="24"/>
          <w:szCs w:val="24"/>
          <w:lang w:val="bg-BG"/>
        </w:rPr>
        <w:t>период</w:t>
      </w:r>
      <w:r w:rsidR="00065180" w:rsidRPr="00610B1B">
        <w:rPr>
          <w:rFonts w:ascii="Times New Roman" w:hAnsi="Times New Roman" w:cs="Times New Roman"/>
          <w:bCs/>
          <w:sz w:val="24"/>
          <w:szCs w:val="24"/>
          <w:lang w:val="bg-BG"/>
        </w:rPr>
        <w:t>а</w:t>
      </w:r>
      <w:r w:rsidRPr="00610B1B">
        <w:rPr>
          <w:rFonts w:ascii="Times New Roman" w:hAnsi="Times New Roman" w:cs="Times New Roman"/>
          <w:bCs/>
          <w:sz w:val="24"/>
          <w:szCs w:val="24"/>
          <w:lang w:val="bg-BG"/>
        </w:rPr>
        <w:t xml:space="preserve"> 2014-2020 г. </w:t>
      </w:r>
      <w:r w:rsidR="00C8621A" w:rsidRPr="00610B1B">
        <w:rPr>
          <w:rFonts w:ascii="Times New Roman" w:hAnsi="Times New Roman" w:cs="Times New Roman"/>
          <w:bCs/>
          <w:sz w:val="24"/>
          <w:szCs w:val="24"/>
          <w:lang w:val="bg-BG"/>
        </w:rPr>
        <w:t xml:space="preserve">Важни </w:t>
      </w:r>
      <w:r w:rsidR="00FA3E3F" w:rsidRPr="00610B1B">
        <w:rPr>
          <w:rFonts w:ascii="Times New Roman" w:hAnsi="Times New Roman" w:cs="Times New Roman"/>
          <w:bCs/>
          <w:sz w:val="24"/>
          <w:szCs w:val="24"/>
          <w:lang w:val="bg-BG"/>
        </w:rPr>
        <w:t>за безконфликтното развитие на сектора са устойчивото, иновативното, конкурентоспособното и основано на знанията</w:t>
      </w:r>
      <w:r w:rsidR="00D66FE0" w:rsidRPr="00610B1B">
        <w:rPr>
          <w:rFonts w:ascii="Times New Roman" w:hAnsi="Times New Roman" w:cs="Times New Roman"/>
          <w:bCs/>
          <w:sz w:val="24"/>
          <w:szCs w:val="24"/>
          <w:lang w:val="bg-BG"/>
        </w:rPr>
        <w:t xml:space="preserve"> </w:t>
      </w:r>
      <w:r w:rsidR="00FA3E3F" w:rsidRPr="00610B1B">
        <w:rPr>
          <w:rFonts w:ascii="Times New Roman" w:hAnsi="Times New Roman" w:cs="Times New Roman"/>
          <w:bCs/>
          <w:sz w:val="24"/>
          <w:szCs w:val="24"/>
          <w:lang w:val="bg-BG"/>
        </w:rPr>
        <w:t>рибарство</w:t>
      </w:r>
      <w:r w:rsidR="00065180" w:rsidRPr="00610B1B">
        <w:rPr>
          <w:rFonts w:ascii="Times New Roman" w:hAnsi="Times New Roman" w:cs="Times New Roman"/>
          <w:bCs/>
          <w:sz w:val="24"/>
          <w:szCs w:val="24"/>
          <w:lang w:val="bg-BG"/>
        </w:rPr>
        <w:t xml:space="preserve"> и отглеждане на аквакултури;</w:t>
      </w:r>
      <w:r w:rsidR="00FA3E3F" w:rsidRPr="00610B1B">
        <w:rPr>
          <w:rFonts w:ascii="Times New Roman" w:hAnsi="Times New Roman" w:cs="Times New Roman"/>
          <w:bCs/>
          <w:sz w:val="24"/>
          <w:szCs w:val="24"/>
          <w:lang w:val="bg-BG"/>
        </w:rPr>
        <w:t xml:space="preserve"> ефективно</w:t>
      </w:r>
      <w:r w:rsidR="00065180" w:rsidRPr="00610B1B">
        <w:rPr>
          <w:rFonts w:ascii="Times New Roman" w:hAnsi="Times New Roman" w:cs="Times New Roman"/>
          <w:bCs/>
          <w:sz w:val="24"/>
          <w:szCs w:val="24"/>
          <w:lang w:val="bg-BG"/>
        </w:rPr>
        <w:t>то</w:t>
      </w:r>
      <w:r w:rsidR="00FA3E3F" w:rsidRPr="00610B1B">
        <w:rPr>
          <w:rFonts w:ascii="Times New Roman" w:hAnsi="Times New Roman" w:cs="Times New Roman"/>
          <w:bCs/>
          <w:sz w:val="24"/>
          <w:szCs w:val="24"/>
          <w:lang w:val="bg-BG"/>
        </w:rPr>
        <w:t xml:space="preserve"> използване на ресурсите;</w:t>
      </w:r>
      <w:r w:rsidR="00065180" w:rsidRPr="00610B1B">
        <w:rPr>
          <w:rFonts w:ascii="Times New Roman" w:hAnsi="Times New Roman" w:cs="Times New Roman"/>
          <w:bCs/>
          <w:sz w:val="24"/>
          <w:szCs w:val="24"/>
          <w:lang w:val="bg-BG"/>
        </w:rPr>
        <w:t xml:space="preserve"> разнообразяването на производствата, задоволяването на потребностите на населението</w:t>
      </w:r>
      <w:r w:rsidR="00D66FE0" w:rsidRPr="00610B1B">
        <w:rPr>
          <w:rFonts w:ascii="Times New Roman" w:hAnsi="Times New Roman" w:cs="Times New Roman"/>
          <w:bCs/>
          <w:sz w:val="24"/>
          <w:szCs w:val="24"/>
          <w:lang w:val="bg-BG"/>
        </w:rPr>
        <w:t xml:space="preserve"> </w:t>
      </w:r>
      <w:r w:rsidR="00065180" w:rsidRPr="00610B1B">
        <w:rPr>
          <w:rFonts w:ascii="Times New Roman" w:hAnsi="Times New Roman" w:cs="Times New Roman"/>
          <w:bCs/>
          <w:sz w:val="24"/>
          <w:szCs w:val="24"/>
          <w:lang w:val="bg-BG"/>
        </w:rPr>
        <w:t xml:space="preserve">с риба и рибни продукти; </w:t>
      </w:r>
      <w:r w:rsidR="002B75E3" w:rsidRPr="00610B1B">
        <w:rPr>
          <w:rFonts w:ascii="Times New Roman" w:hAnsi="Times New Roman" w:cs="Times New Roman"/>
          <w:bCs/>
          <w:sz w:val="24"/>
          <w:szCs w:val="24"/>
          <w:lang w:val="bg-BG"/>
        </w:rPr>
        <w:t>подпомагане</w:t>
      </w:r>
      <w:r w:rsidR="00371619" w:rsidRPr="00610B1B">
        <w:rPr>
          <w:rFonts w:ascii="Times New Roman" w:hAnsi="Times New Roman" w:cs="Times New Roman"/>
          <w:bCs/>
          <w:sz w:val="24"/>
          <w:szCs w:val="24"/>
          <w:lang w:val="bg-BG"/>
        </w:rPr>
        <w:t>то</w:t>
      </w:r>
      <w:r w:rsidR="002B75E3" w:rsidRPr="00610B1B">
        <w:rPr>
          <w:rFonts w:ascii="Times New Roman" w:hAnsi="Times New Roman" w:cs="Times New Roman"/>
          <w:bCs/>
          <w:sz w:val="24"/>
          <w:szCs w:val="24"/>
          <w:lang w:val="bg-BG"/>
        </w:rPr>
        <w:t xml:space="preserve"> на региони</w:t>
      </w:r>
      <w:r w:rsidR="00C8621A" w:rsidRPr="00610B1B">
        <w:rPr>
          <w:rFonts w:ascii="Times New Roman" w:hAnsi="Times New Roman" w:cs="Times New Roman"/>
          <w:bCs/>
          <w:sz w:val="24"/>
          <w:szCs w:val="24"/>
          <w:lang w:val="bg-BG"/>
        </w:rPr>
        <w:t>те</w:t>
      </w:r>
      <w:r w:rsidR="002B75E3" w:rsidRPr="00610B1B">
        <w:rPr>
          <w:rFonts w:ascii="Times New Roman" w:hAnsi="Times New Roman" w:cs="Times New Roman"/>
          <w:bCs/>
          <w:sz w:val="24"/>
          <w:szCs w:val="24"/>
          <w:lang w:val="bg-BG"/>
        </w:rPr>
        <w:t>, чието благополучие зависи от рибарството. Н</w:t>
      </w:r>
      <w:r w:rsidR="00065180" w:rsidRPr="00610B1B">
        <w:rPr>
          <w:rFonts w:ascii="Times New Roman" w:hAnsi="Times New Roman" w:cs="Times New Roman"/>
          <w:bCs/>
          <w:sz w:val="24"/>
          <w:szCs w:val="24"/>
          <w:lang w:val="bg-BG"/>
        </w:rPr>
        <w:t xml:space="preserve">ай-сериозните конфликти, </w:t>
      </w:r>
      <w:r w:rsidR="005C34D0" w:rsidRPr="00610B1B">
        <w:rPr>
          <w:rFonts w:ascii="Times New Roman" w:hAnsi="Times New Roman" w:cs="Times New Roman"/>
          <w:bCs/>
          <w:sz w:val="24"/>
          <w:szCs w:val="24"/>
          <w:lang w:val="bg-BG"/>
        </w:rPr>
        <w:t>очакващи</w:t>
      </w:r>
      <w:r w:rsidR="00065180" w:rsidRPr="00610B1B">
        <w:rPr>
          <w:rFonts w:ascii="Times New Roman" w:hAnsi="Times New Roman" w:cs="Times New Roman"/>
          <w:bCs/>
          <w:sz w:val="24"/>
          <w:szCs w:val="24"/>
          <w:lang w:val="bg-BG"/>
        </w:rPr>
        <w:t xml:space="preserve"> решение са между аквакултурите и туризма, между рибарството и аквакултурите и опазването на околната среда. </w:t>
      </w:r>
    </w:p>
    <w:p w14:paraId="456CB6C2" w14:textId="70171FC6" w:rsidR="00DA1A9B" w:rsidRPr="00610B1B" w:rsidRDefault="002B75E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сферата на опазването на </w:t>
      </w:r>
      <w:r w:rsidRPr="00610B1B">
        <w:rPr>
          <w:rFonts w:ascii="Times New Roman" w:hAnsi="Times New Roman" w:cs="Times New Roman"/>
          <w:bCs/>
          <w:i/>
          <w:iCs/>
          <w:sz w:val="24"/>
          <w:szCs w:val="24"/>
          <w:lang w:val="bg-BG"/>
        </w:rPr>
        <w:t>културното наследство</w:t>
      </w:r>
      <w:r w:rsidRPr="00610B1B">
        <w:rPr>
          <w:rFonts w:ascii="Times New Roman" w:hAnsi="Times New Roman" w:cs="Times New Roman"/>
          <w:bCs/>
          <w:sz w:val="24"/>
          <w:szCs w:val="24"/>
          <w:lang w:val="bg-BG"/>
        </w:rPr>
        <w:t xml:space="preserve"> все още няма приет национален стратегически документ, поради което връзките между този сектор и Морския пространствен план се търсят посредством законодателната уредба и общоприетите международни и европейски документи, с които постепенно се разширява</w:t>
      </w:r>
      <w:r w:rsidR="008C6018" w:rsidRPr="00610B1B">
        <w:rPr>
          <w:rFonts w:ascii="Times New Roman" w:hAnsi="Times New Roman" w:cs="Times New Roman"/>
          <w:bCs/>
          <w:sz w:val="24"/>
          <w:szCs w:val="24"/>
          <w:lang w:val="bg-BG"/>
        </w:rPr>
        <w:t>т</w:t>
      </w:r>
      <w:r w:rsidRPr="00610B1B">
        <w:rPr>
          <w:rFonts w:ascii="Times New Roman" w:hAnsi="Times New Roman" w:cs="Times New Roman"/>
          <w:bCs/>
          <w:sz w:val="24"/>
          <w:szCs w:val="24"/>
          <w:lang w:val="bg-BG"/>
        </w:rPr>
        <w:t xml:space="preserve"> времевия</w:t>
      </w:r>
      <w:r w:rsidR="008C6018" w:rsidRPr="00610B1B">
        <w:rPr>
          <w:rFonts w:ascii="Times New Roman" w:hAnsi="Times New Roman" w:cs="Times New Roman"/>
          <w:bCs/>
          <w:sz w:val="24"/>
          <w:szCs w:val="24"/>
          <w:lang w:val="bg-BG"/>
        </w:rPr>
        <w:t>т, териториалният</w:t>
      </w:r>
      <w:r w:rsidRPr="00610B1B">
        <w:rPr>
          <w:rFonts w:ascii="Times New Roman" w:hAnsi="Times New Roman" w:cs="Times New Roman"/>
          <w:bCs/>
          <w:sz w:val="24"/>
          <w:szCs w:val="24"/>
          <w:lang w:val="bg-BG"/>
        </w:rPr>
        <w:t xml:space="preserve"> и тематичен обхват на </w:t>
      </w:r>
      <w:r w:rsidR="008C6018" w:rsidRPr="00610B1B">
        <w:rPr>
          <w:rFonts w:ascii="Times New Roman" w:hAnsi="Times New Roman" w:cs="Times New Roman"/>
          <w:bCs/>
          <w:sz w:val="24"/>
          <w:szCs w:val="24"/>
          <w:lang w:val="bg-BG"/>
        </w:rPr>
        <w:t xml:space="preserve">културното наследство и </w:t>
      </w:r>
      <w:r w:rsidRPr="00610B1B">
        <w:rPr>
          <w:rFonts w:ascii="Times New Roman" w:hAnsi="Times New Roman" w:cs="Times New Roman"/>
          <w:bCs/>
          <w:sz w:val="24"/>
          <w:szCs w:val="24"/>
          <w:lang w:val="bg-BG"/>
        </w:rPr>
        <w:t xml:space="preserve">дейността по </w:t>
      </w:r>
      <w:r w:rsidR="008C6018" w:rsidRPr="00610B1B">
        <w:rPr>
          <w:rFonts w:ascii="Times New Roman" w:hAnsi="Times New Roman" w:cs="Times New Roman"/>
          <w:bCs/>
          <w:sz w:val="24"/>
          <w:szCs w:val="24"/>
          <w:lang w:val="bg-BG"/>
        </w:rPr>
        <w:t xml:space="preserve">неговото </w:t>
      </w:r>
      <w:r w:rsidRPr="00610B1B">
        <w:rPr>
          <w:rFonts w:ascii="Times New Roman" w:hAnsi="Times New Roman" w:cs="Times New Roman"/>
          <w:bCs/>
          <w:sz w:val="24"/>
          <w:szCs w:val="24"/>
          <w:lang w:val="bg-BG"/>
        </w:rPr>
        <w:t xml:space="preserve">разкриване, проучване, консервация, адаптация, социализация и интегрирано опазване. </w:t>
      </w:r>
      <w:r w:rsidR="008C6018" w:rsidRPr="00610B1B">
        <w:rPr>
          <w:rFonts w:ascii="Times New Roman" w:hAnsi="Times New Roman" w:cs="Times New Roman"/>
          <w:bCs/>
          <w:sz w:val="24"/>
          <w:szCs w:val="24"/>
          <w:lang w:val="bg-BG"/>
        </w:rPr>
        <w:t>Повишава се и неговата социална ор</w:t>
      </w:r>
      <w:r w:rsidR="00DA1A9B" w:rsidRPr="00610B1B">
        <w:rPr>
          <w:rFonts w:ascii="Times New Roman" w:hAnsi="Times New Roman" w:cs="Times New Roman"/>
          <w:bCs/>
          <w:sz w:val="24"/>
          <w:szCs w:val="24"/>
          <w:lang w:val="bg-BG"/>
        </w:rPr>
        <w:t>иентираност и значението му като ресурс и стимулатор за устойчиво развитие</w:t>
      </w:r>
      <w:r w:rsidR="008C6018" w:rsidRPr="00610B1B">
        <w:rPr>
          <w:rFonts w:ascii="Times New Roman" w:hAnsi="Times New Roman" w:cs="Times New Roman"/>
          <w:bCs/>
          <w:sz w:val="24"/>
          <w:szCs w:val="24"/>
          <w:lang w:val="bg-BG"/>
        </w:rPr>
        <w:t xml:space="preserve"> и </w:t>
      </w:r>
      <w:r w:rsidR="00DA1A9B" w:rsidRPr="00610B1B">
        <w:rPr>
          <w:rFonts w:ascii="Times New Roman" w:hAnsi="Times New Roman" w:cs="Times New Roman"/>
          <w:bCs/>
          <w:sz w:val="24"/>
          <w:szCs w:val="24"/>
          <w:lang w:val="bg-BG"/>
        </w:rPr>
        <w:t xml:space="preserve">важна част от обществения капитал. </w:t>
      </w:r>
      <w:r w:rsidR="000472CD" w:rsidRPr="00610B1B">
        <w:rPr>
          <w:rFonts w:ascii="Times New Roman" w:hAnsi="Times New Roman" w:cs="Times New Roman"/>
          <w:bCs/>
          <w:sz w:val="24"/>
          <w:szCs w:val="24"/>
          <w:lang w:val="bg-BG"/>
        </w:rPr>
        <w:t xml:space="preserve">Морският пространствен план има отношение към </w:t>
      </w:r>
      <w:r w:rsidR="00B21B7A" w:rsidRPr="00610B1B">
        <w:rPr>
          <w:rFonts w:ascii="Times New Roman" w:hAnsi="Times New Roman" w:cs="Times New Roman"/>
          <w:bCs/>
          <w:sz w:val="24"/>
          <w:szCs w:val="24"/>
          <w:lang w:val="bg-BG"/>
        </w:rPr>
        <w:t xml:space="preserve">почти </w:t>
      </w:r>
      <w:r w:rsidR="000472CD" w:rsidRPr="00610B1B">
        <w:rPr>
          <w:rFonts w:ascii="Times New Roman" w:hAnsi="Times New Roman" w:cs="Times New Roman"/>
          <w:bCs/>
          <w:sz w:val="24"/>
          <w:szCs w:val="24"/>
          <w:lang w:val="bg-BG"/>
        </w:rPr>
        <w:t>всички международни и европейски документи, но с най-голямо значение е Конвенцията за опазване на подводното културно наследство</w:t>
      </w:r>
      <w:r w:rsidR="00C8621A" w:rsidRPr="00610B1B">
        <w:rPr>
          <w:rFonts w:ascii="Times New Roman" w:hAnsi="Times New Roman" w:cs="Times New Roman"/>
          <w:bCs/>
          <w:sz w:val="24"/>
          <w:szCs w:val="24"/>
          <w:lang w:val="bg-BG"/>
        </w:rPr>
        <w:t>.</w:t>
      </w:r>
      <w:r w:rsidR="001C77B4" w:rsidRPr="00610B1B">
        <w:rPr>
          <w:rFonts w:ascii="Times New Roman" w:hAnsi="Times New Roman" w:cs="Times New Roman"/>
          <w:bCs/>
          <w:sz w:val="24"/>
          <w:szCs w:val="24"/>
          <w:lang w:val="bg-BG"/>
        </w:rPr>
        <w:t xml:space="preserve"> </w:t>
      </w:r>
      <w:r w:rsidR="000472CD" w:rsidRPr="00610B1B">
        <w:rPr>
          <w:rFonts w:ascii="Times New Roman" w:hAnsi="Times New Roman" w:cs="Times New Roman"/>
          <w:bCs/>
          <w:sz w:val="24"/>
          <w:szCs w:val="24"/>
          <w:lang w:val="bg-BG"/>
        </w:rPr>
        <w:t xml:space="preserve">Присъствието на Старинния град Несебър като уникален паметник на ЮНЕСКО, обвързва предвижданията на плана с </w:t>
      </w:r>
      <w:r w:rsidR="00DA1A9B" w:rsidRPr="00610B1B">
        <w:rPr>
          <w:rFonts w:ascii="Times New Roman" w:hAnsi="Times New Roman" w:cs="Times New Roman"/>
          <w:bCs/>
          <w:sz w:val="24"/>
          <w:szCs w:val="24"/>
          <w:lang w:val="bg-BG"/>
        </w:rPr>
        <w:t>Вашингтонската харта (1987)</w:t>
      </w:r>
      <w:r w:rsidR="000472CD" w:rsidRPr="00610B1B">
        <w:rPr>
          <w:rFonts w:ascii="Times New Roman" w:hAnsi="Times New Roman" w:cs="Times New Roman"/>
          <w:bCs/>
          <w:sz w:val="24"/>
          <w:szCs w:val="24"/>
          <w:lang w:val="bg-BG"/>
        </w:rPr>
        <w:t xml:space="preserve"> и постановките</w:t>
      </w:r>
      <w:r w:rsidR="00DE3A13" w:rsidRPr="00610B1B">
        <w:rPr>
          <w:rFonts w:ascii="Times New Roman" w:hAnsi="Times New Roman" w:cs="Times New Roman"/>
          <w:bCs/>
          <w:sz w:val="24"/>
          <w:szCs w:val="24"/>
          <w:lang w:val="bg-BG"/>
        </w:rPr>
        <w:t xml:space="preserve"> ѝ </w:t>
      </w:r>
      <w:r w:rsidR="00DA1A9B" w:rsidRPr="00610B1B">
        <w:rPr>
          <w:rFonts w:ascii="Times New Roman" w:hAnsi="Times New Roman" w:cs="Times New Roman"/>
          <w:bCs/>
          <w:sz w:val="24"/>
          <w:szCs w:val="24"/>
          <w:lang w:val="bg-BG"/>
        </w:rPr>
        <w:t>за историческия град</w:t>
      </w:r>
      <w:r w:rsidR="000472CD" w:rsidRPr="00610B1B">
        <w:rPr>
          <w:rFonts w:ascii="Times New Roman" w:hAnsi="Times New Roman" w:cs="Times New Roman"/>
          <w:bCs/>
          <w:sz w:val="24"/>
          <w:szCs w:val="24"/>
          <w:lang w:val="bg-BG"/>
        </w:rPr>
        <w:t xml:space="preserve">, с </w:t>
      </w:r>
      <w:r w:rsidR="00DA1A9B" w:rsidRPr="00610B1B">
        <w:rPr>
          <w:rFonts w:ascii="Times New Roman" w:hAnsi="Times New Roman" w:cs="Times New Roman"/>
          <w:bCs/>
          <w:sz w:val="24"/>
          <w:szCs w:val="24"/>
          <w:lang w:val="bg-BG"/>
        </w:rPr>
        <w:t xml:space="preserve">Конвенцията за световното наследство (1974) </w:t>
      </w:r>
      <w:r w:rsidR="000472CD" w:rsidRPr="00610B1B">
        <w:rPr>
          <w:rFonts w:ascii="Times New Roman" w:hAnsi="Times New Roman" w:cs="Times New Roman"/>
          <w:bCs/>
          <w:sz w:val="24"/>
          <w:szCs w:val="24"/>
          <w:lang w:val="bg-BG"/>
        </w:rPr>
        <w:t xml:space="preserve">и </w:t>
      </w:r>
      <w:r w:rsidR="00DA1A9B" w:rsidRPr="00610B1B">
        <w:rPr>
          <w:rFonts w:ascii="Times New Roman" w:hAnsi="Times New Roman" w:cs="Times New Roman"/>
          <w:bCs/>
          <w:sz w:val="24"/>
          <w:szCs w:val="24"/>
          <w:lang w:val="bg-BG"/>
        </w:rPr>
        <w:t>дефинира</w:t>
      </w:r>
      <w:r w:rsidR="000472CD" w:rsidRPr="00610B1B">
        <w:rPr>
          <w:rFonts w:ascii="Times New Roman" w:hAnsi="Times New Roman" w:cs="Times New Roman"/>
          <w:bCs/>
          <w:sz w:val="24"/>
          <w:szCs w:val="24"/>
          <w:lang w:val="bg-BG"/>
        </w:rPr>
        <w:t>ните</w:t>
      </w:r>
      <w:r w:rsidR="00DA1A9B" w:rsidRPr="00610B1B">
        <w:rPr>
          <w:rFonts w:ascii="Times New Roman" w:hAnsi="Times New Roman" w:cs="Times New Roman"/>
          <w:bCs/>
          <w:sz w:val="24"/>
          <w:szCs w:val="24"/>
          <w:lang w:val="bg-BG"/>
        </w:rPr>
        <w:t xml:space="preserve"> културни пейзажи, </w:t>
      </w:r>
      <w:r w:rsidR="000472CD" w:rsidRPr="00610B1B">
        <w:rPr>
          <w:rFonts w:ascii="Times New Roman" w:hAnsi="Times New Roman" w:cs="Times New Roman"/>
          <w:bCs/>
          <w:sz w:val="24"/>
          <w:szCs w:val="24"/>
          <w:lang w:val="bg-BG"/>
        </w:rPr>
        <w:t>с Рамковата конвенция (2005) и</w:t>
      </w:r>
      <w:r w:rsidR="00DA1A9B" w:rsidRPr="00610B1B">
        <w:rPr>
          <w:rFonts w:ascii="Times New Roman" w:hAnsi="Times New Roman" w:cs="Times New Roman"/>
          <w:bCs/>
          <w:sz w:val="24"/>
          <w:szCs w:val="24"/>
          <w:lang w:val="bg-BG"/>
        </w:rPr>
        <w:t xml:space="preserve"> интегралната културна среда, </w:t>
      </w:r>
      <w:r w:rsidR="000472CD" w:rsidRPr="00610B1B">
        <w:rPr>
          <w:rFonts w:ascii="Times New Roman" w:hAnsi="Times New Roman" w:cs="Times New Roman"/>
          <w:bCs/>
          <w:sz w:val="24"/>
          <w:szCs w:val="24"/>
          <w:lang w:val="bg-BG"/>
        </w:rPr>
        <w:t>с Хартата на културните маршрути на ИКОМОС (2005) или пътищата на „културния диалог“. Традициите, обичаите</w:t>
      </w:r>
      <w:r w:rsidR="00DA1A9B" w:rsidRPr="00610B1B">
        <w:rPr>
          <w:rFonts w:ascii="Times New Roman" w:hAnsi="Times New Roman" w:cs="Times New Roman"/>
          <w:bCs/>
          <w:sz w:val="24"/>
          <w:szCs w:val="24"/>
          <w:lang w:val="bg-BG"/>
        </w:rPr>
        <w:t xml:space="preserve">, обредите и ритуалите, културните празници и събития, </w:t>
      </w:r>
      <w:r w:rsidR="000472CD" w:rsidRPr="00610B1B">
        <w:rPr>
          <w:rFonts w:ascii="Times New Roman" w:hAnsi="Times New Roman" w:cs="Times New Roman"/>
          <w:bCs/>
          <w:sz w:val="24"/>
          <w:szCs w:val="24"/>
          <w:lang w:val="bg-BG"/>
        </w:rPr>
        <w:t>и най-вече свързани</w:t>
      </w:r>
      <w:r w:rsidR="00D305F0" w:rsidRPr="00610B1B">
        <w:rPr>
          <w:rFonts w:ascii="Times New Roman" w:hAnsi="Times New Roman" w:cs="Times New Roman"/>
          <w:bCs/>
          <w:sz w:val="24"/>
          <w:szCs w:val="24"/>
          <w:lang w:val="bg-BG"/>
        </w:rPr>
        <w:t>те</w:t>
      </w:r>
      <w:r w:rsidR="000472CD" w:rsidRPr="00610B1B">
        <w:rPr>
          <w:rFonts w:ascii="Times New Roman" w:hAnsi="Times New Roman" w:cs="Times New Roman"/>
          <w:bCs/>
          <w:sz w:val="24"/>
          <w:szCs w:val="24"/>
          <w:lang w:val="bg-BG"/>
        </w:rPr>
        <w:t xml:space="preserve"> с морето, </w:t>
      </w:r>
      <w:r w:rsidR="00DA1A9B" w:rsidRPr="00610B1B">
        <w:rPr>
          <w:rFonts w:ascii="Times New Roman" w:hAnsi="Times New Roman" w:cs="Times New Roman"/>
          <w:bCs/>
          <w:sz w:val="24"/>
          <w:szCs w:val="24"/>
          <w:lang w:val="bg-BG"/>
        </w:rPr>
        <w:t>се опазват съгласно Конвенцията за опазване на нематериалното културно наследство на ЮНЕСКО (2003) поради</w:t>
      </w:r>
      <w:r w:rsidR="00D66FE0" w:rsidRPr="00610B1B">
        <w:rPr>
          <w:rFonts w:ascii="Times New Roman" w:hAnsi="Times New Roman" w:cs="Times New Roman"/>
          <w:bCs/>
          <w:sz w:val="24"/>
          <w:szCs w:val="24"/>
          <w:lang w:val="bg-BG"/>
        </w:rPr>
        <w:t xml:space="preserve"> </w:t>
      </w:r>
      <w:r w:rsidR="00DA1A9B" w:rsidRPr="00610B1B">
        <w:rPr>
          <w:rFonts w:ascii="Times New Roman" w:hAnsi="Times New Roman" w:cs="Times New Roman"/>
          <w:bCs/>
          <w:sz w:val="24"/>
          <w:szCs w:val="24"/>
          <w:lang w:val="bg-BG"/>
        </w:rPr>
        <w:t>роля</w:t>
      </w:r>
      <w:r w:rsidR="000472CD" w:rsidRPr="00610B1B">
        <w:rPr>
          <w:rFonts w:ascii="Times New Roman" w:hAnsi="Times New Roman" w:cs="Times New Roman"/>
          <w:bCs/>
          <w:sz w:val="24"/>
          <w:szCs w:val="24"/>
          <w:lang w:val="bg-BG"/>
        </w:rPr>
        <w:t>та им</w:t>
      </w:r>
      <w:r w:rsidR="00DA1A9B" w:rsidRPr="00610B1B">
        <w:rPr>
          <w:rFonts w:ascii="Times New Roman" w:hAnsi="Times New Roman" w:cs="Times New Roman"/>
          <w:bCs/>
          <w:sz w:val="24"/>
          <w:szCs w:val="24"/>
          <w:lang w:val="bg-BG"/>
        </w:rPr>
        <w:t xml:space="preserve"> за развитие на чувството за принадлежност, самобитност и приемственост.</w:t>
      </w:r>
    </w:p>
    <w:p w14:paraId="6834DFF6" w14:textId="67C52339" w:rsidR="001C77B4" w:rsidRPr="00610B1B" w:rsidRDefault="008C0BBF"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w:t>
      </w:r>
      <w:r w:rsidR="000472CD" w:rsidRPr="00610B1B">
        <w:rPr>
          <w:rFonts w:ascii="Times New Roman" w:hAnsi="Times New Roman" w:cs="Times New Roman"/>
          <w:bCs/>
          <w:sz w:val="24"/>
          <w:szCs w:val="24"/>
          <w:lang w:val="bg-BG"/>
        </w:rPr>
        <w:t>публикуван</w:t>
      </w:r>
      <w:r w:rsidRPr="00610B1B">
        <w:rPr>
          <w:rFonts w:ascii="Times New Roman" w:hAnsi="Times New Roman" w:cs="Times New Roman"/>
          <w:bCs/>
          <w:sz w:val="24"/>
          <w:szCs w:val="24"/>
          <w:lang w:val="bg-BG"/>
        </w:rPr>
        <w:t>ия през 2019 г.</w:t>
      </w:r>
      <w:r w:rsidR="000472CD" w:rsidRPr="00610B1B">
        <w:rPr>
          <w:rFonts w:ascii="Times New Roman" w:hAnsi="Times New Roman" w:cs="Times New Roman"/>
          <w:bCs/>
          <w:sz w:val="24"/>
          <w:szCs w:val="24"/>
          <w:lang w:val="bg-BG"/>
        </w:rPr>
        <w:t xml:space="preserve"> проект на </w:t>
      </w:r>
      <w:r w:rsidR="000472CD" w:rsidRPr="00610B1B">
        <w:rPr>
          <w:rFonts w:ascii="Times New Roman" w:hAnsi="Times New Roman" w:cs="Times New Roman"/>
          <w:bCs/>
          <w:i/>
          <w:iCs/>
          <w:sz w:val="24"/>
          <w:szCs w:val="24"/>
          <w:lang w:val="bg-BG"/>
        </w:rPr>
        <w:t xml:space="preserve">Стратегия за </w:t>
      </w:r>
      <w:r w:rsidR="000C5716" w:rsidRPr="00610B1B">
        <w:rPr>
          <w:rFonts w:ascii="Times New Roman" w:hAnsi="Times New Roman" w:cs="Times New Roman"/>
          <w:bCs/>
          <w:i/>
          <w:iCs/>
          <w:sz w:val="24"/>
          <w:szCs w:val="24"/>
          <w:lang w:val="bg-BG"/>
        </w:rPr>
        <w:t>развитието на българската култура (2019-2029 г</w:t>
      </w:r>
      <w:r w:rsidR="000C5716" w:rsidRPr="00610B1B">
        <w:rPr>
          <w:rFonts w:ascii="Times New Roman" w:hAnsi="Times New Roman" w:cs="Times New Roman"/>
          <w:bCs/>
          <w:sz w:val="24"/>
          <w:szCs w:val="24"/>
          <w:lang w:val="bg-BG"/>
        </w:rPr>
        <w:t>.)</w:t>
      </w:r>
      <w:r w:rsidR="000C5716" w:rsidRPr="00610B1B">
        <w:rPr>
          <w:rStyle w:val="FootnoteReference"/>
          <w:rFonts w:ascii="Times New Roman" w:hAnsi="Times New Roman" w:cs="Times New Roman"/>
          <w:bCs/>
          <w:sz w:val="24"/>
          <w:szCs w:val="24"/>
          <w:lang w:val="bg-BG"/>
        </w:rPr>
        <w:footnoteReference w:id="64"/>
      </w:r>
      <w:r w:rsidRPr="00610B1B">
        <w:rPr>
          <w:rFonts w:ascii="Times New Roman" w:hAnsi="Times New Roman" w:cs="Times New Roman"/>
          <w:bCs/>
          <w:sz w:val="24"/>
          <w:szCs w:val="24"/>
          <w:lang w:val="bg-BG"/>
        </w:rPr>
        <w:t xml:space="preserve"> </w:t>
      </w:r>
      <w:r w:rsidR="00371619" w:rsidRPr="00610B1B">
        <w:rPr>
          <w:rFonts w:ascii="Times New Roman" w:hAnsi="Times New Roman" w:cs="Times New Roman"/>
          <w:bCs/>
          <w:sz w:val="24"/>
          <w:szCs w:val="24"/>
          <w:lang w:val="bg-BG"/>
        </w:rPr>
        <w:t>са определени</w:t>
      </w:r>
      <w:r w:rsidR="001C77B4" w:rsidRPr="00610B1B">
        <w:rPr>
          <w:rFonts w:ascii="Times New Roman" w:hAnsi="Times New Roman" w:cs="Times New Roman"/>
          <w:bCs/>
          <w:sz w:val="24"/>
          <w:szCs w:val="24"/>
          <w:lang w:val="bg-BG"/>
        </w:rPr>
        <w:t xml:space="preserve"> </w:t>
      </w:r>
      <w:r w:rsidR="000C5716" w:rsidRPr="00610B1B">
        <w:rPr>
          <w:rFonts w:ascii="Times New Roman" w:hAnsi="Times New Roman" w:cs="Times New Roman"/>
          <w:bCs/>
          <w:sz w:val="24"/>
          <w:szCs w:val="24"/>
          <w:lang w:val="bg-BG"/>
        </w:rPr>
        <w:t>приоритети</w:t>
      </w:r>
      <w:r w:rsidR="00B21B7A" w:rsidRPr="00610B1B">
        <w:rPr>
          <w:rFonts w:ascii="Times New Roman" w:hAnsi="Times New Roman" w:cs="Times New Roman"/>
          <w:bCs/>
          <w:sz w:val="24"/>
          <w:szCs w:val="24"/>
          <w:lang w:val="bg-BG"/>
        </w:rPr>
        <w:t>те</w:t>
      </w:r>
      <w:r w:rsidR="000C5716" w:rsidRPr="00610B1B">
        <w:rPr>
          <w:rFonts w:ascii="Times New Roman" w:hAnsi="Times New Roman" w:cs="Times New Roman"/>
          <w:bCs/>
          <w:sz w:val="24"/>
          <w:szCs w:val="24"/>
          <w:lang w:val="bg-BG"/>
        </w:rPr>
        <w:t xml:space="preserve"> на културната политика на България</w:t>
      </w:r>
      <w:r w:rsidR="001C77B4" w:rsidRPr="00610B1B">
        <w:rPr>
          <w:rFonts w:ascii="Times New Roman" w:hAnsi="Times New Roman" w:cs="Times New Roman"/>
          <w:bCs/>
          <w:sz w:val="24"/>
          <w:szCs w:val="24"/>
          <w:lang w:val="bg-BG"/>
        </w:rPr>
        <w:t xml:space="preserve">, </w:t>
      </w:r>
      <w:r w:rsidR="00371619" w:rsidRPr="00610B1B">
        <w:rPr>
          <w:rFonts w:ascii="Times New Roman" w:hAnsi="Times New Roman" w:cs="Times New Roman"/>
          <w:bCs/>
          <w:sz w:val="24"/>
          <w:szCs w:val="24"/>
          <w:lang w:val="bg-BG"/>
        </w:rPr>
        <w:t xml:space="preserve">които </w:t>
      </w:r>
      <w:r w:rsidR="000C5716" w:rsidRPr="00610B1B">
        <w:rPr>
          <w:rFonts w:ascii="Times New Roman" w:hAnsi="Times New Roman" w:cs="Times New Roman"/>
          <w:bCs/>
          <w:sz w:val="24"/>
          <w:szCs w:val="24"/>
          <w:lang w:val="bg-BG"/>
        </w:rPr>
        <w:t>съхранява</w:t>
      </w:r>
      <w:r w:rsidR="00B21B7A" w:rsidRPr="00610B1B">
        <w:rPr>
          <w:rFonts w:ascii="Times New Roman" w:hAnsi="Times New Roman" w:cs="Times New Roman"/>
          <w:bCs/>
          <w:sz w:val="24"/>
          <w:szCs w:val="24"/>
          <w:lang w:val="bg-BG"/>
        </w:rPr>
        <w:t>т</w:t>
      </w:r>
      <w:r w:rsidR="000C5716" w:rsidRPr="00610B1B">
        <w:rPr>
          <w:rFonts w:ascii="Times New Roman" w:hAnsi="Times New Roman" w:cs="Times New Roman"/>
          <w:bCs/>
          <w:sz w:val="24"/>
          <w:szCs w:val="24"/>
          <w:lang w:val="bg-BG"/>
        </w:rPr>
        <w:t xml:space="preserve"> културната памет</w:t>
      </w:r>
      <w:r w:rsidR="001C77B4" w:rsidRPr="00610B1B">
        <w:rPr>
          <w:rFonts w:ascii="Times New Roman" w:hAnsi="Times New Roman" w:cs="Times New Roman"/>
          <w:bCs/>
          <w:sz w:val="24"/>
          <w:szCs w:val="24"/>
          <w:lang w:val="bg-BG"/>
        </w:rPr>
        <w:t>.</w:t>
      </w:r>
      <w:r w:rsidR="00111F72"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В</w:t>
      </w:r>
      <w:r w:rsidR="001C77B4" w:rsidRPr="00610B1B">
        <w:rPr>
          <w:rFonts w:ascii="Times New Roman" w:hAnsi="Times New Roman" w:cs="Times New Roman"/>
          <w:bCs/>
          <w:sz w:val="24"/>
          <w:szCs w:val="24"/>
          <w:lang w:val="bg-BG"/>
        </w:rPr>
        <w:t xml:space="preserve"> областта на културното наследство </w:t>
      </w:r>
      <w:r w:rsidRPr="00610B1B">
        <w:rPr>
          <w:rFonts w:ascii="Times New Roman" w:hAnsi="Times New Roman" w:cs="Times New Roman"/>
          <w:bCs/>
          <w:sz w:val="24"/>
          <w:szCs w:val="24"/>
          <w:lang w:val="bg-BG"/>
        </w:rPr>
        <w:t>фокусът е в</w:t>
      </w:r>
      <w:r w:rsidR="001C77B4" w:rsidRPr="00610B1B">
        <w:rPr>
          <w:rFonts w:ascii="Times New Roman" w:hAnsi="Times New Roman" w:cs="Times New Roman"/>
          <w:bCs/>
          <w:sz w:val="24"/>
          <w:szCs w:val="24"/>
          <w:lang w:val="bg-BG"/>
        </w:rPr>
        <w:t xml:space="preserve"> неговото опазване и социализация и разкриването му като фактор за устойчиво развитие, идентичност и културен диалог. За постигането на стратегически</w:t>
      </w:r>
      <w:r w:rsidR="00111F72" w:rsidRPr="00610B1B">
        <w:rPr>
          <w:rFonts w:ascii="Times New Roman" w:hAnsi="Times New Roman" w:cs="Times New Roman"/>
          <w:bCs/>
          <w:sz w:val="24"/>
          <w:szCs w:val="24"/>
          <w:lang w:val="bg-BG"/>
        </w:rPr>
        <w:t>те</w:t>
      </w:r>
      <w:r w:rsidR="001C77B4" w:rsidRPr="00610B1B">
        <w:rPr>
          <w:rFonts w:ascii="Times New Roman" w:hAnsi="Times New Roman" w:cs="Times New Roman"/>
          <w:bCs/>
          <w:sz w:val="24"/>
          <w:szCs w:val="24"/>
          <w:lang w:val="bg-BG"/>
        </w:rPr>
        <w:t xml:space="preserve"> цели се предвижда прилагане на интегриран подход</w:t>
      </w:r>
      <w:r w:rsidR="00570BB7" w:rsidRPr="00610B1B">
        <w:rPr>
          <w:rFonts w:ascii="Times New Roman" w:hAnsi="Times New Roman" w:cs="Times New Roman"/>
          <w:bCs/>
          <w:sz w:val="24"/>
          <w:szCs w:val="24"/>
          <w:lang w:val="bg-BG"/>
        </w:rPr>
        <w:t xml:space="preserve"> </w:t>
      </w:r>
      <w:r w:rsidR="001C77B4" w:rsidRPr="00610B1B">
        <w:rPr>
          <w:rFonts w:ascii="Times New Roman" w:hAnsi="Times New Roman" w:cs="Times New Roman"/>
          <w:bCs/>
          <w:sz w:val="24"/>
          <w:szCs w:val="24"/>
          <w:lang w:val="bg-BG"/>
        </w:rPr>
        <w:t>за</w:t>
      </w:r>
      <w:r w:rsidR="00570BB7" w:rsidRPr="00610B1B">
        <w:rPr>
          <w:rFonts w:ascii="Times New Roman" w:hAnsi="Times New Roman" w:cs="Times New Roman"/>
          <w:bCs/>
          <w:sz w:val="24"/>
          <w:szCs w:val="24"/>
          <w:lang w:val="bg-BG"/>
        </w:rPr>
        <w:t xml:space="preserve"> </w:t>
      </w:r>
      <w:r w:rsidR="001C77B4" w:rsidRPr="00610B1B">
        <w:rPr>
          <w:rFonts w:ascii="Times New Roman" w:hAnsi="Times New Roman" w:cs="Times New Roman"/>
          <w:bCs/>
          <w:sz w:val="24"/>
          <w:szCs w:val="24"/>
          <w:lang w:val="bg-BG"/>
        </w:rPr>
        <w:t>по-добра комуникация и координация между всички участници</w:t>
      </w:r>
      <w:r w:rsidR="00570BB7" w:rsidRPr="00610B1B">
        <w:rPr>
          <w:rFonts w:ascii="Times New Roman" w:hAnsi="Times New Roman" w:cs="Times New Roman"/>
          <w:bCs/>
          <w:sz w:val="24"/>
          <w:szCs w:val="24"/>
          <w:lang w:val="bg-BG"/>
        </w:rPr>
        <w:t xml:space="preserve"> </w:t>
      </w:r>
      <w:r w:rsidR="001C77B4" w:rsidRPr="00610B1B">
        <w:rPr>
          <w:rFonts w:ascii="Times New Roman" w:hAnsi="Times New Roman" w:cs="Times New Roman"/>
          <w:bCs/>
          <w:sz w:val="24"/>
          <w:szCs w:val="24"/>
          <w:lang w:val="bg-BG"/>
        </w:rPr>
        <w:t xml:space="preserve">в процесите по опазване. </w:t>
      </w:r>
      <w:r w:rsidR="00570BB7" w:rsidRPr="00610B1B">
        <w:rPr>
          <w:rFonts w:ascii="Times New Roman" w:hAnsi="Times New Roman" w:cs="Times New Roman"/>
          <w:bCs/>
          <w:sz w:val="24"/>
          <w:szCs w:val="24"/>
          <w:lang w:val="bg-BG"/>
        </w:rPr>
        <w:t xml:space="preserve">И в този документ е търсена по-добра интеграция с различни секторни политики в областта на околната среда, </w:t>
      </w:r>
      <w:r w:rsidR="00570BB7" w:rsidRPr="00610B1B">
        <w:rPr>
          <w:rFonts w:ascii="Times New Roman" w:hAnsi="Times New Roman" w:cs="Times New Roman"/>
          <w:bCs/>
          <w:sz w:val="24"/>
          <w:szCs w:val="24"/>
          <w:lang w:val="bg-BG"/>
        </w:rPr>
        <w:lastRenderedPageBreak/>
        <w:t xml:space="preserve">териториалното устройство и туризма, която следва да бъде приложена и в морското пространствено планиране. </w:t>
      </w:r>
    </w:p>
    <w:p w14:paraId="51BF958D" w14:textId="7F6A939E" w:rsidR="001C77B4" w:rsidRPr="00610B1B" w:rsidRDefault="00444F8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Водещите национални документи, които определят политиките в областта на околната среда са подчинени на глобалните приоритети и документи и тези на Европейския съюз</w:t>
      </w:r>
      <w:r w:rsidR="008C0BBF" w:rsidRPr="00610B1B">
        <w:rPr>
          <w:rFonts w:ascii="Times New Roman" w:hAnsi="Times New Roman" w:cs="Times New Roman"/>
          <w:bCs/>
          <w:sz w:val="24"/>
          <w:szCs w:val="24"/>
          <w:lang w:val="bg-BG"/>
        </w:rPr>
        <w:t xml:space="preserve">, свързани с </w:t>
      </w:r>
      <w:r w:rsidR="00CF208F" w:rsidRPr="00610B1B">
        <w:rPr>
          <w:rFonts w:ascii="Times New Roman" w:hAnsi="Times New Roman" w:cs="Times New Roman"/>
          <w:bCs/>
          <w:sz w:val="24"/>
          <w:szCs w:val="24"/>
          <w:lang w:val="bg-BG"/>
        </w:rPr>
        <w:t>опазване</w:t>
      </w:r>
      <w:r w:rsidR="008C0BBF" w:rsidRPr="00610B1B">
        <w:rPr>
          <w:rFonts w:ascii="Times New Roman" w:hAnsi="Times New Roman" w:cs="Times New Roman"/>
          <w:bCs/>
          <w:sz w:val="24"/>
          <w:szCs w:val="24"/>
          <w:lang w:val="bg-BG"/>
        </w:rPr>
        <w:t>то</w:t>
      </w:r>
      <w:r w:rsidR="00CF208F" w:rsidRPr="00610B1B">
        <w:rPr>
          <w:rFonts w:ascii="Times New Roman" w:hAnsi="Times New Roman" w:cs="Times New Roman"/>
          <w:bCs/>
          <w:sz w:val="24"/>
          <w:szCs w:val="24"/>
          <w:lang w:val="bg-BG"/>
        </w:rPr>
        <w:t xml:space="preserve"> на биоразнообразието, адаптацията към изменението на климата, интегрираното управление на водите. </w:t>
      </w:r>
      <w:r w:rsidR="00391E87" w:rsidRPr="00610B1B">
        <w:rPr>
          <w:rFonts w:ascii="Times New Roman" w:hAnsi="Times New Roman" w:cs="Times New Roman"/>
          <w:bCs/>
          <w:sz w:val="24"/>
          <w:szCs w:val="24"/>
          <w:lang w:val="bg-BG"/>
        </w:rPr>
        <w:t xml:space="preserve">В тази група попадат документи, свързани пряко или косвено с качеството на морските води, а именно: </w:t>
      </w:r>
      <w:r w:rsidR="00391E87" w:rsidRPr="00610B1B">
        <w:rPr>
          <w:rFonts w:ascii="Times New Roman" w:hAnsi="Times New Roman" w:cs="Times New Roman"/>
          <w:bCs/>
          <w:i/>
          <w:iCs/>
          <w:sz w:val="24"/>
          <w:szCs w:val="24"/>
          <w:lang w:val="bg-BG"/>
        </w:rPr>
        <w:t>Националната стратегия за управление и развитие на водния сектор</w:t>
      </w:r>
      <w:r w:rsidR="00391E87" w:rsidRPr="00610B1B">
        <w:rPr>
          <w:rFonts w:ascii="Times New Roman" w:hAnsi="Times New Roman" w:cs="Times New Roman"/>
          <w:bCs/>
          <w:sz w:val="24"/>
          <w:szCs w:val="24"/>
          <w:lang w:val="bg-BG"/>
        </w:rPr>
        <w:t xml:space="preserve"> (НСУРВС) в Република България, разработена във връзка с изискванията на чл. 151 от Закона за водите; </w:t>
      </w:r>
      <w:r w:rsidR="00391E87" w:rsidRPr="00610B1B">
        <w:rPr>
          <w:rFonts w:ascii="Times New Roman" w:hAnsi="Times New Roman" w:cs="Times New Roman"/>
          <w:bCs/>
          <w:i/>
          <w:iCs/>
          <w:sz w:val="24"/>
          <w:szCs w:val="24"/>
          <w:lang w:val="bg-BG"/>
        </w:rPr>
        <w:t>Стратегията за развитие и управление на водоснабдяването и канализацията в Република България за периода 2014-2023 г.</w:t>
      </w:r>
      <w:r w:rsidR="00391E87" w:rsidRPr="00610B1B">
        <w:rPr>
          <w:rFonts w:ascii="Times New Roman" w:hAnsi="Times New Roman" w:cs="Times New Roman"/>
          <w:bCs/>
          <w:sz w:val="24"/>
          <w:szCs w:val="24"/>
          <w:lang w:val="bg-BG"/>
        </w:rPr>
        <w:t xml:space="preserve">, одобрена с Решение № 269 на Министерски съвет от 07 май 2014 г.; </w:t>
      </w:r>
      <w:r w:rsidR="00E55D2B" w:rsidRPr="00610B1B">
        <w:rPr>
          <w:rFonts w:ascii="Times New Roman" w:hAnsi="Times New Roman" w:cs="Times New Roman"/>
          <w:bCs/>
          <w:i/>
          <w:iCs/>
          <w:sz w:val="24"/>
          <w:szCs w:val="24"/>
          <w:lang w:val="bg-BG"/>
        </w:rPr>
        <w:t>Националната стратегия за адаптация към изменението на климата и План за действие</w:t>
      </w:r>
      <w:r w:rsidR="00E55D2B" w:rsidRPr="00610B1B">
        <w:rPr>
          <w:rFonts w:ascii="Times New Roman" w:hAnsi="Times New Roman" w:cs="Times New Roman"/>
          <w:bCs/>
          <w:sz w:val="24"/>
          <w:szCs w:val="24"/>
          <w:lang w:val="bg-BG"/>
        </w:rPr>
        <w:t>, приета с Решение на Министерски съвет № 621 от 25.10.2019 г.</w:t>
      </w:r>
      <w:r w:rsidR="00E55D2B" w:rsidRPr="00610B1B">
        <w:rPr>
          <w:rStyle w:val="FootnoteReference"/>
          <w:rFonts w:ascii="Times New Roman" w:hAnsi="Times New Roman" w:cs="Times New Roman"/>
          <w:bCs/>
          <w:sz w:val="24"/>
          <w:szCs w:val="24"/>
          <w:lang w:val="bg-BG"/>
        </w:rPr>
        <w:footnoteReference w:id="65"/>
      </w:r>
      <w:r w:rsidR="00D305F0" w:rsidRPr="00610B1B">
        <w:rPr>
          <w:rFonts w:ascii="Times New Roman" w:hAnsi="Times New Roman" w:cs="Times New Roman"/>
          <w:bCs/>
          <w:sz w:val="24"/>
          <w:szCs w:val="24"/>
          <w:lang w:val="bg-BG"/>
        </w:rPr>
        <w:t xml:space="preserve"> В последния документ рибарството е сред силно уязвимите сектори, а морските пространства и развиващите се там дейности </w:t>
      </w:r>
      <w:r w:rsidR="00E35EF8" w:rsidRPr="00610B1B">
        <w:rPr>
          <w:rFonts w:ascii="Times New Roman" w:hAnsi="Times New Roman" w:cs="Times New Roman"/>
          <w:bCs/>
          <w:sz w:val="24"/>
          <w:szCs w:val="24"/>
          <w:lang w:val="bg-BG"/>
        </w:rPr>
        <w:t>се разглеждат</w:t>
      </w:r>
      <w:r w:rsidR="00D305F0" w:rsidRPr="00610B1B">
        <w:rPr>
          <w:rFonts w:ascii="Times New Roman" w:hAnsi="Times New Roman" w:cs="Times New Roman"/>
          <w:bCs/>
          <w:sz w:val="24"/>
          <w:szCs w:val="24"/>
          <w:lang w:val="bg-BG"/>
        </w:rPr>
        <w:t xml:space="preserve"> към оценката на транспорта, на </w:t>
      </w:r>
      <w:r w:rsidR="00371619" w:rsidRPr="00610B1B">
        <w:rPr>
          <w:rFonts w:ascii="Times New Roman" w:hAnsi="Times New Roman" w:cs="Times New Roman"/>
          <w:bCs/>
          <w:sz w:val="24"/>
          <w:szCs w:val="24"/>
          <w:lang w:val="bg-BG"/>
        </w:rPr>
        <w:t xml:space="preserve">летния </w:t>
      </w:r>
      <w:r w:rsidR="00D305F0" w:rsidRPr="00610B1B">
        <w:rPr>
          <w:rFonts w:ascii="Times New Roman" w:hAnsi="Times New Roman" w:cs="Times New Roman"/>
          <w:bCs/>
          <w:sz w:val="24"/>
          <w:szCs w:val="24"/>
          <w:lang w:val="bg-BG"/>
        </w:rPr>
        <w:t>туриз</w:t>
      </w:r>
      <w:r w:rsidR="00371619" w:rsidRPr="00610B1B">
        <w:rPr>
          <w:rFonts w:ascii="Times New Roman" w:hAnsi="Times New Roman" w:cs="Times New Roman"/>
          <w:bCs/>
          <w:sz w:val="24"/>
          <w:szCs w:val="24"/>
          <w:lang w:val="bg-BG"/>
        </w:rPr>
        <w:t>ъ</w:t>
      </w:r>
      <w:r w:rsidR="00D305F0" w:rsidRPr="00610B1B">
        <w:rPr>
          <w:rFonts w:ascii="Times New Roman" w:hAnsi="Times New Roman" w:cs="Times New Roman"/>
          <w:bCs/>
          <w:sz w:val="24"/>
          <w:szCs w:val="24"/>
          <w:lang w:val="bg-BG"/>
        </w:rPr>
        <w:t>м</w:t>
      </w:r>
      <w:r w:rsidR="00371619" w:rsidRPr="00610B1B">
        <w:rPr>
          <w:rFonts w:ascii="Times New Roman" w:hAnsi="Times New Roman" w:cs="Times New Roman"/>
          <w:bCs/>
          <w:sz w:val="24"/>
          <w:szCs w:val="24"/>
          <w:lang w:val="bg-BG"/>
        </w:rPr>
        <w:t>,</w:t>
      </w:r>
      <w:r w:rsidR="00D66FE0" w:rsidRPr="00610B1B">
        <w:rPr>
          <w:rFonts w:ascii="Times New Roman" w:hAnsi="Times New Roman" w:cs="Times New Roman"/>
          <w:bCs/>
          <w:sz w:val="24"/>
          <w:szCs w:val="24"/>
          <w:lang w:val="bg-BG"/>
        </w:rPr>
        <w:t xml:space="preserve"> </w:t>
      </w:r>
      <w:r w:rsidR="00D305F0" w:rsidRPr="00610B1B">
        <w:rPr>
          <w:rFonts w:ascii="Times New Roman" w:hAnsi="Times New Roman" w:cs="Times New Roman"/>
          <w:bCs/>
          <w:sz w:val="24"/>
          <w:szCs w:val="24"/>
          <w:lang w:val="bg-BG"/>
        </w:rPr>
        <w:t>на градската среда и въздействия</w:t>
      </w:r>
      <w:r w:rsidR="00E35EF8" w:rsidRPr="00610B1B">
        <w:rPr>
          <w:rFonts w:ascii="Times New Roman" w:hAnsi="Times New Roman" w:cs="Times New Roman"/>
          <w:bCs/>
          <w:sz w:val="24"/>
          <w:szCs w:val="24"/>
          <w:lang w:val="bg-BG"/>
        </w:rPr>
        <w:t>та</w:t>
      </w:r>
      <w:r w:rsidR="00D305F0" w:rsidRPr="00610B1B">
        <w:rPr>
          <w:rFonts w:ascii="Times New Roman" w:hAnsi="Times New Roman" w:cs="Times New Roman"/>
          <w:bCs/>
          <w:sz w:val="24"/>
          <w:szCs w:val="24"/>
          <w:lang w:val="bg-BG"/>
        </w:rPr>
        <w:t xml:space="preserve"> </w:t>
      </w:r>
      <w:r w:rsidR="00371619" w:rsidRPr="00610B1B">
        <w:rPr>
          <w:rFonts w:ascii="Times New Roman" w:hAnsi="Times New Roman" w:cs="Times New Roman"/>
          <w:bCs/>
          <w:sz w:val="24"/>
          <w:szCs w:val="24"/>
          <w:lang w:val="bg-BG"/>
        </w:rPr>
        <w:t xml:space="preserve">на климатичните промени </w:t>
      </w:r>
      <w:r w:rsidR="00D305F0" w:rsidRPr="00610B1B">
        <w:rPr>
          <w:rFonts w:ascii="Times New Roman" w:hAnsi="Times New Roman" w:cs="Times New Roman"/>
          <w:bCs/>
          <w:sz w:val="24"/>
          <w:szCs w:val="24"/>
          <w:lang w:val="bg-BG"/>
        </w:rPr>
        <w:t>върху крайбрежните градове.</w:t>
      </w:r>
      <w:r w:rsidR="00A46DD3" w:rsidRPr="00610B1B">
        <w:rPr>
          <w:rFonts w:ascii="Times New Roman" w:hAnsi="Times New Roman" w:cs="Times New Roman"/>
          <w:bCs/>
          <w:sz w:val="24"/>
          <w:szCs w:val="24"/>
          <w:lang w:val="bg-BG"/>
        </w:rPr>
        <w:t xml:space="preserve"> </w:t>
      </w:r>
    </w:p>
    <w:p w14:paraId="6A9F9C1F" w14:textId="4B0B747F" w:rsidR="00DE3432" w:rsidRPr="00610B1B" w:rsidRDefault="00EA19F6"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Морския пространствен план са проследени очакваните въздействия в резултат от изменението на климата и зачестилите природни бедствия и негативни хидрогеоложки и геоложки процеси – застрашените зони от наводнения и/или от повишаване на морското равнище и рисковите зони с активни свлачищни процеси. За преодоляване на първите опасности и намиране на подходящи решения е използвана информацията от актуализирания </w:t>
      </w:r>
      <w:r w:rsidRPr="00610B1B">
        <w:rPr>
          <w:rFonts w:ascii="Times New Roman" w:hAnsi="Times New Roman" w:cs="Times New Roman"/>
          <w:bCs/>
          <w:i/>
          <w:iCs/>
          <w:sz w:val="24"/>
          <w:szCs w:val="24"/>
          <w:lang w:val="bg-BG"/>
        </w:rPr>
        <w:t>План за управление на риска от наводнения</w:t>
      </w:r>
      <w:r w:rsidRPr="00610B1B">
        <w:rPr>
          <w:rFonts w:ascii="Times New Roman" w:hAnsi="Times New Roman" w:cs="Times New Roman"/>
          <w:bCs/>
          <w:sz w:val="24"/>
          <w:szCs w:val="24"/>
          <w:lang w:val="bg-BG"/>
        </w:rPr>
        <w:t xml:space="preserve"> в Черноморския район за басейново управление на водите (2016–2021 г.). За намаляване на рисковете от свлачища, срутища, ерозия и абразия с</w:t>
      </w:r>
      <w:r w:rsidR="0071406A" w:rsidRPr="00610B1B">
        <w:rPr>
          <w:rFonts w:ascii="Times New Roman" w:hAnsi="Times New Roman" w:cs="Times New Roman"/>
          <w:bCs/>
          <w:sz w:val="24"/>
          <w:szCs w:val="24"/>
          <w:lang w:val="bg-BG"/>
        </w:rPr>
        <w:t xml:space="preserve">е прилага </w:t>
      </w:r>
      <w:r w:rsidR="0071406A" w:rsidRPr="00610B1B">
        <w:rPr>
          <w:rFonts w:ascii="Times New Roman" w:hAnsi="Times New Roman" w:cs="Times New Roman"/>
          <w:bCs/>
          <w:i/>
          <w:iCs/>
          <w:sz w:val="24"/>
          <w:szCs w:val="24"/>
          <w:lang w:val="bg-BG"/>
        </w:rPr>
        <w:t>Национална програма</w:t>
      </w:r>
      <w:r w:rsidR="00DE3432" w:rsidRPr="00610B1B">
        <w:rPr>
          <w:rFonts w:ascii="Times New Roman" w:hAnsi="Times New Roman" w:cs="Times New Roman"/>
          <w:bCs/>
          <w:i/>
          <w:iCs/>
          <w:sz w:val="24"/>
          <w:szCs w:val="24"/>
          <w:lang w:val="bg-BG"/>
        </w:rPr>
        <w:t>та</w:t>
      </w:r>
      <w:r w:rsidR="0071406A" w:rsidRPr="00610B1B">
        <w:rPr>
          <w:rFonts w:ascii="Times New Roman" w:hAnsi="Times New Roman" w:cs="Times New Roman"/>
          <w:bCs/>
          <w:i/>
          <w:iCs/>
          <w:sz w:val="24"/>
          <w:szCs w:val="24"/>
          <w:lang w:val="bg-BG"/>
        </w:rPr>
        <w:t xml:space="preserve"> за превенция и ограничаване на свлачищата на територията на Република България, ерозията и абразията по Дунавското и Черноморското крайбрежие 2015-2020 г. и допълнение към нея с нововъзникналите до 15 април 2015 г. свлачища</w:t>
      </w:r>
      <w:r w:rsidR="00DE3432" w:rsidRPr="00610B1B">
        <w:rPr>
          <w:rFonts w:ascii="Times New Roman" w:hAnsi="Times New Roman" w:cs="Times New Roman"/>
          <w:bCs/>
          <w:sz w:val="24"/>
          <w:szCs w:val="24"/>
          <w:lang w:val="bg-BG"/>
        </w:rPr>
        <w:t>,</w:t>
      </w:r>
      <w:r w:rsidR="0071406A" w:rsidRPr="00610B1B">
        <w:rPr>
          <w:rStyle w:val="FootnoteReference"/>
          <w:rFonts w:ascii="Times New Roman" w:hAnsi="Times New Roman" w:cs="Times New Roman"/>
          <w:bCs/>
          <w:sz w:val="24"/>
          <w:szCs w:val="24"/>
          <w:lang w:val="bg-BG"/>
        </w:rPr>
        <w:footnoteReference w:id="66"/>
      </w:r>
      <w:r w:rsidRPr="00610B1B">
        <w:rPr>
          <w:rFonts w:ascii="Times New Roman" w:hAnsi="Times New Roman" w:cs="Times New Roman"/>
          <w:bCs/>
          <w:sz w:val="24"/>
          <w:szCs w:val="24"/>
          <w:lang w:val="bg-BG"/>
        </w:rPr>
        <w:t xml:space="preserve"> </w:t>
      </w:r>
      <w:r w:rsidR="00DE3432" w:rsidRPr="00610B1B">
        <w:rPr>
          <w:rFonts w:ascii="Times New Roman" w:hAnsi="Times New Roman" w:cs="Times New Roman"/>
          <w:bCs/>
          <w:sz w:val="24"/>
          <w:szCs w:val="24"/>
          <w:lang w:val="bg-BG"/>
        </w:rPr>
        <w:t xml:space="preserve">изготвена за Министерството на регионалното развитие и благоустройството от </w:t>
      </w:r>
      <w:r w:rsidR="00831E16" w:rsidRPr="00831E16">
        <w:rPr>
          <w:rFonts w:ascii="Times New Roman" w:hAnsi="Times New Roman" w:cs="Times New Roman"/>
          <w:bCs/>
          <w:sz w:val="24"/>
          <w:szCs w:val="24"/>
          <w:lang w:val="bg-BG"/>
        </w:rPr>
        <w:t>Института по геофизика, геодезия и география на БАН с Геологическия институт “Страшимир Димитров” на БАН.</w:t>
      </w:r>
      <w:r w:rsidR="00831E16">
        <w:rPr>
          <w:rFonts w:ascii="Times New Roman" w:hAnsi="Times New Roman" w:cs="Times New Roman"/>
          <w:bCs/>
          <w:sz w:val="24"/>
          <w:szCs w:val="24"/>
          <w:lang w:val="bg-BG"/>
        </w:rPr>
        <w:t xml:space="preserve"> </w:t>
      </w:r>
      <w:r w:rsidR="00DE3432" w:rsidRPr="00610B1B">
        <w:rPr>
          <w:rFonts w:ascii="Times New Roman" w:hAnsi="Times New Roman" w:cs="Times New Roman"/>
          <w:bCs/>
          <w:sz w:val="24"/>
          <w:szCs w:val="24"/>
          <w:lang w:val="bg-BG"/>
        </w:rPr>
        <w:t>В засегнатите от абразия зони на Черноморския бряг в участъците Сиврибурун – н</w:t>
      </w:r>
      <w:r w:rsidR="00371619"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Шабла; н</w:t>
      </w:r>
      <w:r w:rsidR="00371619"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w:t>
      </w:r>
      <w:r w:rsidR="00DB0FAB" w:rsidRPr="00610B1B">
        <w:rPr>
          <w:rFonts w:ascii="Times New Roman" w:hAnsi="Times New Roman" w:cs="Times New Roman"/>
          <w:bCs/>
          <w:sz w:val="24"/>
          <w:szCs w:val="24"/>
          <w:lang w:val="bg-BG"/>
        </w:rPr>
        <w:t>Ш</w:t>
      </w:r>
      <w:r w:rsidR="00DE3432" w:rsidRPr="00610B1B">
        <w:rPr>
          <w:rFonts w:ascii="Times New Roman" w:hAnsi="Times New Roman" w:cs="Times New Roman"/>
          <w:bCs/>
          <w:sz w:val="24"/>
          <w:szCs w:val="24"/>
          <w:lang w:val="bg-BG"/>
        </w:rPr>
        <w:t>абла – н</w:t>
      </w:r>
      <w:r w:rsidR="00371619" w:rsidRPr="00610B1B">
        <w:rPr>
          <w:rFonts w:ascii="Times New Roman" w:hAnsi="Times New Roman" w:cs="Times New Roman"/>
          <w:bCs/>
          <w:sz w:val="24"/>
          <w:szCs w:val="24"/>
          <w:lang w:val="bg-BG"/>
        </w:rPr>
        <w:t>ос</w:t>
      </w:r>
      <w:r w:rsidR="00D66FE0" w:rsidRPr="00610B1B">
        <w:rPr>
          <w:rFonts w:ascii="Times New Roman" w:hAnsi="Times New Roman" w:cs="Times New Roman"/>
          <w:bCs/>
          <w:sz w:val="24"/>
          <w:szCs w:val="24"/>
          <w:lang w:val="bg-BG"/>
        </w:rPr>
        <w:t xml:space="preserve"> </w:t>
      </w:r>
      <w:r w:rsidR="00DE3432" w:rsidRPr="00610B1B">
        <w:rPr>
          <w:rFonts w:ascii="Times New Roman" w:hAnsi="Times New Roman" w:cs="Times New Roman"/>
          <w:bCs/>
          <w:sz w:val="24"/>
          <w:szCs w:val="24"/>
          <w:lang w:val="bg-BG"/>
        </w:rPr>
        <w:t>Калиакра; н</w:t>
      </w:r>
      <w:r w:rsidR="00371619"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Калиакра – н</w:t>
      </w:r>
      <w:r w:rsidR="00552C23"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Галата; н</w:t>
      </w:r>
      <w:r w:rsidR="00552C23"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Галата – н</w:t>
      </w:r>
      <w:r w:rsidR="00552C23"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Емине; н</w:t>
      </w:r>
      <w:r w:rsidR="00552C23" w:rsidRPr="00610B1B">
        <w:rPr>
          <w:rFonts w:ascii="Times New Roman" w:hAnsi="Times New Roman" w:cs="Times New Roman"/>
          <w:bCs/>
          <w:sz w:val="24"/>
          <w:szCs w:val="24"/>
          <w:lang w:val="bg-BG"/>
        </w:rPr>
        <w:t>ос</w:t>
      </w:r>
      <w:r w:rsidR="00DE3432" w:rsidRPr="00610B1B">
        <w:rPr>
          <w:rFonts w:ascii="Times New Roman" w:hAnsi="Times New Roman" w:cs="Times New Roman"/>
          <w:bCs/>
          <w:sz w:val="24"/>
          <w:szCs w:val="24"/>
          <w:lang w:val="bg-BG"/>
        </w:rPr>
        <w:t xml:space="preserve"> Емине – Созопол (Бургаски залив); и Созопол – устието на р. Резовска се предлагат иновативни методи за изследване на динамичните процеси в бреговата зона и шелфа и изграждане на екологични съоръжения, които да изпълняват повече функции. </w:t>
      </w:r>
    </w:p>
    <w:p w14:paraId="1A74865D" w14:textId="2B76CA64" w:rsidR="00444F8C" w:rsidRPr="00610B1B" w:rsidRDefault="00444F8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Интегрираната транспортна стратегия в периода до 2030 г.</w:t>
      </w:r>
      <w:r w:rsidRPr="00610B1B">
        <w:rPr>
          <w:rFonts w:ascii="Times New Roman" w:hAnsi="Times New Roman" w:cs="Times New Roman"/>
          <w:bCs/>
          <w:sz w:val="24"/>
          <w:szCs w:val="24"/>
          <w:lang w:val="bg-BG"/>
        </w:rPr>
        <w:t>, приета с Решение № 336/23.06.2017 г. на Министерски съвет е най-актуалният стратегически документ</w:t>
      </w:r>
      <w:r w:rsidR="00A46DD3" w:rsidRPr="00610B1B">
        <w:rPr>
          <w:rFonts w:ascii="Times New Roman" w:hAnsi="Times New Roman" w:cs="Times New Roman"/>
          <w:bCs/>
          <w:sz w:val="24"/>
          <w:szCs w:val="24"/>
          <w:lang w:val="bg-BG"/>
        </w:rPr>
        <w:t xml:space="preserve">, който предлага </w:t>
      </w:r>
      <w:r w:rsidRPr="00610B1B">
        <w:rPr>
          <w:rFonts w:ascii="Times New Roman" w:hAnsi="Times New Roman" w:cs="Times New Roman"/>
          <w:bCs/>
          <w:sz w:val="24"/>
          <w:szCs w:val="24"/>
          <w:lang w:val="bg-BG"/>
        </w:rPr>
        <w:t>всеобхватен план за устойчиво развитие на транспортната система на Република България и рамка за инвестиции в транспорта. Стратегията определя приноса на страната към Единното европейско транспортно пространство</w:t>
      </w:r>
      <w:r w:rsidR="00552C23" w:rsidRPr="00610B1B">
        <w:rPr>
          <w:rFonts w:ascii="Times New Roman" w:hAnsi="Times New Roman" w:cs="Times New Roman"/>
          <w:bCs/>
          <w:sz w:val="24"/>
          <w:szCs w:val="24"/>
          <w:lang w:val="bg-BG"/>
        </w:rPr>
        <w:t xml:space="preserve"> и </w:t>
      </w:r>
      <w:r w:rsidRPr="00610B1B">
        <w:rPr>
          <w:rFonts w:ascii="Times New Roman" w:hAnsi="Times New Roman" w:cs="Times New Roman"/>
          <w:bCs/>
          <w:sz w:val="24"/>
          <w:szCs w:val="24"/>
          <w:lang w:val="bg-BG"/>
        </w:rPr>
        <w:t xml:space="preserve">съответства на Общите </w:t>
      </w:r>
      <w:r w:rsidRPr="00610B1B">
        <w:rPr>
          <w:rFonts w:ascii="Times New Roman" w:hAnsi="Times New Roman" w:cs="Times New Roman"/>
          <w:bCs/>
          <w:sz w:val="24"/>
          <w:szCs w:val="24"/>
          <w:lang w:val="bg-BG"/>
        </w:rPr>
        <w:lastRenderedPageBreak/>
        <w:t>приоритети, съгласно чл. 10 от Регламент (ЕС) № 1315/2013 на Европейския парламент и на Съвета, включително приоритети за инвестиции в основната и разширената TEN-Т мрежа.</w:t>
      </w:r>
      <w:r w:rsidR="00CF208F" w:rsidRPr="00610B1B">
        <w:rPr>
          <w:rFonts w:ascii="Times New Roman" w:hAnsi="Times New Roman" w:cs="Times New Roman"/>
          <w:bCs/>
          <w:sz w:val="24"/>
          <w:szCs w:val="24"/>
          <w:lang w:val="bg-BG"/>
        </w:rPr>
        <w:t xml:space="preserve"> Общите водещи цели за всички видове транспорт са повишаване на ефективността и конкурентността, осигуряване на вътрешна и външна свързаност и достъпност и намаляване на вредните въздействия от транспорта. </w:t>
      </w:r>
      <w:r w:rsidR="008320F5" w:rsidRPr="00610B1B">
        <w:rPr>
          <w:rFonts w:ascii="Times New Roman" w:hAnsi="Times New Roman" w:cs="Times New Roman"/>
          <w:bCs/>
          <w:sz w:val="24"/>
          <w:szCs w:val="24"/>
          <w:lang w:val="bg-BG"/>
        </w:rPr>
        <w:t>Н</w:t>
      </w:r>
      <w:r w:rsidR="00CF208F" w:rsidRPr="00610B1B">
        <w:rPr>
          <w:rFonts w:ascii="Times New Roman" w:hAnsi="Times New Roman" w:cs="Times New Roman"/>
          <w:bCs/>
          <w:sz w:val="24"/>
          <w:szCs w:val="24"/>
          <w:lang w:val="bg-BG"/>
        </w:rPr>
        <w:t>ай-голямо значение при разработването на Морския пространствен план имат прогнозите и мерките предвидени за морския транспорт, но съвременните изисквания за интермодалност и интеграция на ресурсите налагат да бъдат взети под внимание предвижданията за всички видове транспорт.</w:t>
      </w:r>
      <w:r w:rsidR="00D66FE0" w:rsidRPr="00610B1B">
        <w:rPr>
          <w:rFonts w:ascii="Times New Roman" w:hAnsi="Times New Roman" w:cs="Times New Roman"/>
          <w:bCs/>
          <w:sz w:val="24"/>
          <w:szCs w:val="24"/>
          <w:lang w:val="bg-BG"/>
        </w:rPr>
        <w:t xml:space="preserve"> </w:t>
      </w:r>
      <w:r w:rsidR="008320F5" w:rsidRPr="00610B1B">
        <w:rPr>
          <w:rFonts w:ascii="Times New Roman" w:hAnsi="Times New Roman" w:cs="Times New Roman"/>
          <w:bCs/>
          <w:sz w:val="24"/>
          <w:szCs w:val="24"/>
          <w:lang w:val="bg-BG"/>
        </w:rPr>
        <w:t xml:space="preserve">За </w:t>
      </w:r>
      <w:r w:rsidR="00CF208F" w:rsidRPr="00610B1B">
        <w:rPr>
          <w:rFonts w:ascii="Times New Roman" w:hAnsi="Times New Roman" w:cs="Times New Roman"/>
          <w:bCs/>
          <w:sz w:val="24"/>
          <w:szCs w:val="24"/>
          <w:lang w:val="bg-BG"/>
        </w:rPr>
        <w:t xml:space="preserve">развитието на морския транспорт от значение </w:t>
      </w:r>
      <w:r w:rsidR="00A46DD3" w:rsidRPr="00610B1B">
        <w:rPr>
          <w:rFonts w:ascii="Times New Roman" w:hAnsi="Times New Roman" w:cs="Times New Roman"/>
          <w:bCs/>
          <w:sz w:val="24"/>
          <w:szCs w:val="24"/>
          <w:lang w:val="bg-BG"/>
        </w:rPr>
        <w:t>е</w:t>
      </w:r>
      <w:r w:rsidR="00CF208F" w:rsidRPr="00610B1B">
        <w:rPr>
          <w:rFonts w:ascii="Times New Roman" w:hAnsi="Times New Roman" w:cs="Times New Roman"/>
          <w:bCs/>
          <w:sz w:val="24"/>
          <w:szCs w:val="24"/>
          <w:lang w:val="bg-BG"/>
        </w:rPr>
        <w:t xml:space="preserve"> не само модернизацията на пристанищата</w:t>
      </w:r>
      <w:r w:rsidR="00552C23" w:rsidRPr="00610B1B">
        <w:rPr>
          <w:rFonts w:ascii="Times New Roman" w:hAnsi="Times New Roman" w:cs="Times New Roman"/>
          <w:bCs/>
          <w:sz w:val="24"/>
          <w:szCs w:val="24"/>
          <w:lang w:val="bg-BG"/>
        </w:rPr>
        <w:t xml:space="preserve"> и</w:t>
      </w:r>
      <w:r w:rsidR="00CF208F" w:rsidRPr="00610B1B">
        <w:rPr>
          <w:rFonts w:ascii="Times New Roman" w:hAnsi="Times New Roman" w:cs="Times New Roman"/>
          <w:bCs/>
          <w:sz w:val="24"/>
          <w:szCs w:val="24"/>
          <w:lang w:val="bg-BG"/>
        </w:rPr>
        <w:t xml:space="preserve"> пристанищната инфраструктура и съоръжения, но също така и връзките с работещите предприятия и техните потребности във вътрешността на страната. </w:t>
      </w:r>
    </w:p>
    <w:p w14:paraId="1F6424F7" w14:textId="23D74E4E" w:rsidR="00315EBC" w:rsidRPr="00610B1B" w:rsidRDefault="00A46DD3"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Стратегическите </w:t>
      </w:r>
      <w:r w:rsidR="00315EBC" w:rsidRPr="00610B1B">
        <w:rPr>
          <w:rFonts w:ascii="Times New Roman" w:hAnsi="Times New Roman" w:cs="Times New Roman"/>
          <w:bCs/>
          <w:sz w:val="24"/>
          <w:szCs w:val="24"/>
          <w:lang w:val="bg-BG"/>
        </w:rPr>
        <w:t>документ</w:t>
      </w:r>
      <w:r w:rsidRPr="00610B1B">
        <w:rPr>
          <w:rFonts w:ascii="Times New Roman" w:hAnsi="Times New Roman" w:cs="Times New Roman"/>
          <w:bCs/>
          <w:sz w:val="24"/>
          <w:szCs w:val="24"/>
          <w:lang w:val="bg-BG"/>
        </w:rPr>
        <w:t>и</w:t>
      </w:r>
      <w:r w:rsidR="00315EBC"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в енергетиката </w:t>
      </w:r>
      <w:r w:rsidR="00315EBC" w:rsidRPr="00610B1B">
        <w:rPr>
          <w:rFonts w:ascii="Times New Roman" w:hAnsi="Times New Roman" w:cs="Times New Roman"/>
          <w:bCs/>
          <w:sz w:val="24"/>
          <w:szCs w:val="24"/>
          <w:lang w:val="bg-BG"/>
        </w:rPr>
        <w:t>отразяват политиката на страната</w:t>
      </w:r>
      <w:r w:rsidRPr="00610B1B">
        <w:rPr>
          <w:rFonts w:ascii="Times New Roman" w:hAnsi="Times New Roman" w:cs="Times New Roman"/>
          <w:bCs/>
          <w:sz w:val="24"/>
          <w:szCs w:val="24"/>
          <w:lang w:val="bg-BG"/>
        </w:rPr>
        <w:t xml:space="preserve"> в сектора</w:t>
      </w:r>
      <w:r w:rsidR="00315EBC" w:rsidRPr="00610B1B">
        <w:rPr>
          <w:rFonts w:ascii="Times New Roman" w:hAnsi="Times New Roman" w:cs="Times New Roman"/>
          <w:bCs/>
          <w:sz w:val="24"/>
          <w:szCs w:val="24"/>
          <w:lang w:val="bg-BG"/>
        </w:rPr>
        <w:t>, насочен</w:t>
      </w:r>
      <w:r w:rsidRPr="00610B1B">
        <w:rPr>
          <w:rFonts w:ascii="Times New Roman" w:hAnsi="Times New Roman" w:cs="Times New Roman"/>
          <w:bCs/>
          <w:sz w:val="24"/>
          <w:szCs w:val="24"/>
          <w:lang w:val="bg-BG"/>
        </w:rPr>
        <w:t>а</w:t>
      </w:r>
      <w:r w:rsidR="00315EBC" w:rsidRPr="00610B1B">
        <w:rPr>
          <w:rFonts w:ascii="Times New Roman" w:hAnsi="Times New Roman" w:cs="Times New Roman"/>
          <w:bCs/>
          <w:sz w:val="24"/>
          <w:szCs w:val="24"/>
          <w:lang w:val="bg-BG"/>
        </w:rPr>
        <w:t xml:space="preserve"> към сигурност </w:t>
      </w:r>
      <w:r w:rsidR="00FB2736" w:rsidRPr="00610B1B">
        <w:rPr>
          <w:rFonts w:ascii="Times New Roman" w:hAnsi="Times New Roman" w:cs="Times New Roman"/>
          <w:bCs/>
          <w:sz w:val="24"/>
          <w:szCs w:val="24"/>
          <w:lang w:val="bg-BG"/>
        </w:rPr>
        <w:t xml:space="preserve">и диверсификация </w:t>
      </w:r>
      <w:r w:rsidR="00315EBC" w:rsidRPr="00610B1B">
        <w:rPr>
          <w:rFonts w:ascii="Times New Roman" w:hAnsi="Times New Roman" w:cs="Times New Roman"/>
          <w:bCs/>
          <w:sz w:val="24"/>
          <w:szCs w:val="24"/>
          <w:lang w:val="bg-BG"/>
        </w:rPr>
        <w:t>на доставките, енергийна ефективност</w:t>
      </w:r>
      <w:r w:rsidR="00A65092" w:rsidRPr="00610B1B">
        <w:rPr>
          <w:rFonts w:ascii="Times New Roman" w:hAnsi="Times New Roman" w:cs="Times New Roman"/>
          <w:bCs/>
          <w:sz w:val="24"/>
          <w:szCs w:val="24"/>
          <w:lang w:val="bg-BG"/>
        </w:rPr>
        <w:t xml:space="preserve"> и</w:t>
      </w:r>
      <w:r w:rsidR="00315EBC" w:rsidRPr="00610B1B">
        <w:rPr>
          <w:rFonts w:ascii="Times New Roman" w:hAnsi="Times New Roman" w:cs="Times New Roman"/>
          <w:bCs/>
          <w:sz w:val="24"/>
          <w:szCs w:val="24"/>
          <w:lang w:val="bg-BG"/>
        </w:rPr>
        <w:t xml:space="preserve"> увеличаване дела на възобновяемите източници. </w:t>
      </w:r>
      <w:r w:rsidR="00315EBC" w:rsidRPr="00610B1B">
        <w:rPr>
          <w:rFonts w:ascii="Times New Roman" w:hAnsi="Times New Roman" w:cs="Times New Roman"/>
          <w:bCs/>
          <w:i/>
          <w:iCs/>
          <w:sz w:val="24"/>
          <w:szCs w:val="24"/>
          <w:lang w:val="bg-BG"/>
        </w:rPr>
        <w:t>Актуализацията на енергийната стратегия на Република България до 2020 г</w:t>
      </w:r>
      <w:r w:rsidR="00315EBC" w:rsidRPr="00610B1B">
        <w:rPr>
          <w:rFonts w:ascii="Times New Roman" w:hAnsi="Times New Roman" w:cs="Times New Roman"/>
          <w:bCs/>
          <w:sz w:val="24"/>
          <w:szCs w:val="24"/>
          <w:lang w:val="bg-BG"/>
        </w:rPr>
        <w:t>.</w:t>
      </w:r>
      <w:r w:rsidR="00315EBC" w:rsidRPr="00610B1B">
        <w:rPr>
          <w:rStyle w:val="FootnoteReference"/>
          <w:rFonts w:ascii="Times New Roman" w:hAnsi="Times New Roman" w:cs="Times New Roman"/>
          <w:bCs/>
          <w:sz w:val="24"/>
          <w:szCs w:val="24"/>
          <w:lang w:val="bg-BG"/>
        </w:rPr>
        <w:footnoteReference w:id="67"/>
      </w:r>
      <w:r w:rsidR="00315EBC" w:rsidRPr="00610B1B">
        <w:rPr>
          <w:rFonts w:ascii="Times New Roman" w:hAnsi="Times New Roman" w:cs="Times New Roman"/>
          <w:bCs/>
          <w:sz w:val="24"/>
          <w:szCs w:val="24"/>
          <w:lang w:val="bg-BG"/>
        </w:rPr>
        <w:t xml:space="preserve"> отчита значителната промяна в маршрутите на доставка на природен газ през територията на България </w:t>
      </w:r>
      <w:r w:rsidR="000E47EC" w:rsidRPr="00610B1B">
        <w:rPr>
          <w:rFonts w:ascii="Times New Roman" w:hAnsi="Times New Roman" w:cs="Times New Roman"/>
          <w:bCs/>
          <w:sz w:val="24"/>
          <w:szCs w:val="24"/>
          <w:lang w:val="bg-BG"/>
        </w:rPr>
        <w:t xml:space="preserve">след 2020 г. </w:t>
      </w:r>
      <w:r w:rsidRPr="00610B1B">
        <w:rPr>
          <w:rFonts w:ascii="Times New Roman" w:hAnsi="Times New Roman" w:cs="Times New Roman"/>
          <w:bCs/>
          <w:sz w:val="24"/>
          <w:szCs w:val="24"/>
          <w:lang w:val="bg-BG"/>
        </w:rPr>
        <w:t xml:space="preserve">и плановете за </w:t>
      </w:r>
      <w:r w:rsidR="00315EBC" w:rsidRPr="00610B1B">
        <w:rPr>
          <w:rFonts w:ascii="Times New Roman" w:hAnsi="Times New Roman" w:cs="Times New Roman"/>
          <w:bCs/>
          <w:sz w:val="24"/>
          <w:szCs w:val="24"/>
          <w:lang w:val="bg-BG"/>
        </w:rPr>
        <w:t>изграждане на ключови инфраструктурни проекти в региона, които ще променят основната посока и маршрути на потоците природен газ</w:t>
      </w:r>
      <w:r w:rsidR="000E47EC" w:rsidRPr="00610B1B">
        <w:rPr>
          <w:rFonts w:ascii="Times New Roman" w:hAnsi="Times New Roman" w:cs="Times New Roman"/>
          <w:bCs/>
          <w:sz w:val="24"/>
          <w:szCs w:val="24"/>
          <w:lang w:val="bg-BG"/>
        </w:rPr>
        <w:t xml:space="preserve">. </w:t>
      </w:r>
      <w:r w:rsidR="00315EBC" w:rsidRPr="00610B1B">
        <w:rPr>
          <w:rFonts w:ascii="Times New Roman" w:hAnsi="Times New Roman" w:cs="Times New Roman"/>
          <w:bCs/>
          <w:sz w:val="24"/>
          <w:szCs w:val="24"/>
          <w:lang w:val="bg-BG"/>
        </w:rPr>
        <w:t>От стратегическо значение е запазване</w:t>
      </w:r>
      <w:r w:rsidR="00552C23" w:rsidRPr="00610B1B">
        <w:rPr>
          <w:rFonts w:ascii="Times New Roman" w:hAnsi="Times New Roman" w:cs="Times New Roman"/>
          <w:bCs/>
          <w:sz w:val="24"/>
          <w:szCs w:val="24"/>
          <w:lang w:val="bg-BG"/>
        </w:rPr>
        <w:t>то</w:t>
      </w:r>
      <w:r w:rsidR="00315EBC" w:rsidRPr="00610B1B">
        <w:rPr>
          <w:rFonts w:ascii="Times New Roman" w:hAnsi="Times New Roman" w:cs="Times New Roman"/>
          <w:bCs/>
          <w:sz w:val="24"/>
          <w:szCs w:val="24"/>
          <w:lang w:val="bg-BG"/>
        </w:rPr>
        <w:t xml:space="preserve"> </w:t>
      </w:r>
      <w:r w:rsidR="008320F5" w:rsidRPr="00610B1B">
        <w:rPr>
          <w:rFonts w:ascii="Times New Roman" w:hAnsi="Times New Roman" w:cs="Times New Roman"/>
          <w:bCs/>
          <w:sz w:val="24"/>
          <w:szCs w:val="24"/>
          <w:lang w:val="bg-BG"/>
        </w:rPr>
        <w:t xml:space="preserve">на </w:t>
      </w:r>
      <w:r w:rsidR="00315EBC" w:rsidRPr="00610B1B">
        <w:rPr>
          <w:rFonts w:ascii="Times New Roman" w:hAnsi="Times New Roman" w:cs="Times New Roman"/>
          <w:bCs/>
          <w:sz w:val="24"/>
          <w:szCs w:val="24"/>
          <w:lang w:val="bg-BG"/>
        </w:rPr>
        <w:t>ключовата роля на България на газовата карта на Европа. С актуализирането на стратегията и предприемането на необходимите стъпки за изграждане на газовата инфраструктура ще се гарантира сигурността и диверсификацията на доставките на природен газ, както за България, така и в региона.</w:t>
      </w:r>
    </w:p>
    <w:p w14:paraId="70E352C1" w14:textId="1CE5179E" w:rsidR="00B5159C" w:rsidRPr="00610B1B" w:rsidRDefault="00315EB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Националният план за действие по енергийна ефективност 2014–2020</w:t>
      </w:r>
      <w:r w:rsidRPr="00610B1B">
        <w:rPr>
          <w:rFonts w:ascii="Times New Roman" w:hAnsi="Times New Roman" w:cs="Times New Roman"/>
          <w:bCs/>
          <w:sz w:val="24"/>
          <w:szCs w:val="24"/>
          <w:lang w:val="bg-BG"/>
        </w:rPr>
        <w:t xml:space="preserve"> г. </w:t>
      </w:r>
      <w:r w:rsidR="00867495" w:rsidRPr="00610B1B">
        <w:rPr>
          <w:rFonts w:ascii="Times New Roman" w:hAnsi="Times New Roman" w:cs="Times New Roman"/>
          <w:bCs/>
          <w:sz w:val="24"/>
          <w:szCs w:val="24"/>
          <w:lang w:val="bg-BG"/>
        </w:rPr>
        <w:t>и неговата актуализация от 2017 г.</w:t>
      </w:r>
      <w:r w:rsidR="00B5159C" w:rsidRPr="00610B1B">
        <w:rPr>
          <w:rStyle w:val="FootnoteReference"/>
          <w:rFonts w:ascii="Times New Roman" w:hAnsi="Times New Roman" w:cs="Times New Roman"/>
          <w:bCs/>
          <w:sz w:val="24"/>
          <w:szCs w:val="24"/>
          <w:lang w:val="bg-BG"/>
        </w:rPr>
        <w:footnoteReference w:id="68"/>
      </w:r>
      <w:r w:rsidR="00867495" w:rsidRPr="00610B1B">
        <w:rPr>
          <w:rFonts w:ascii="Times New Roman" w:hAnsi="Times New Roman" w:cs="Times New Roman"/>
          <w:bCs/>
          <w:sz w:val="24"/>
          <w:szCs w:val="24"/>
          <w:lang w:val="bg-BG"/>
        </w:rPr>
        <w:t xml:space="preserve">, </w:t>
      </w:r>
      <w:r w:rsidR="008320F5" w:rsidRPr="00610B1B">
        <w:rPr>
          <w:rFonts w:ascii="Times New Roman" w:hAnsi="Times New Roman" w:cs="Times New Roman"/>
          <w:bCs/>
          <w:sz w:val="24"/>
          <w:szCs w:val="24"/>
          <w:lang w:val="bg-BG"/>
        </w:rPr>
        <w:t>съответстваща на и</w:t>
      </w:r>
      <w:r w:rsidR="00867495" w:rsidRPr="00610B1B">
        <w:rPr>
          <w:rFonts w:ascii="Times New Roman" w:hAnsi="Times New Roman" w:cs="Times New Roman"/>
          <w:bCs/>
          <w:sz w:val="24"/>
          <w:szCs w:val="24"/>
          <w:lang w:val="bg-BG"/>
        </w:rPr>
        <w:t>зискванията на чл.</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24, ал. 2 от Директива 2012/27/ЕС</w:t>
      </w:r>
      <w:r w:rsidR="00632B55" w:rsidRPr="00610B1B">
        <w:rPr>
          <w:rFonts w:ascii="Times New Roman" w:hAnsi="Times New Roman" w:cs="Times New Roman"/>
          <w:bCs/>
          <w:sz w:val="24"/>
          <w:szCs w:val="24"/>
          <w:lang w:val="bg-BG"/>
        </w:rPr>
        <w:t xml:space="preserve"> имат за цел да</w:t>
      </w:r>
      <w:r w:rsidR="00B5159C" w:rsidRPr="00610B1B">
        <w:rPr>
          <w:rFonts w:ascii="Times New Roman" w:hAnsi="Times New Roman" w:cs="Times New Roman"/>
          <w:bCs/>
          <w:sz w:val="24"/>
          <w:szCs w:val="24"/>
          <w:lang w:val="bg-BG"/>
        </w:rPr>
        <w:t xml:space="preserve"> изведа</w:t>
      </w:r>
      <w:r w:rsidR="008320F5" w:rsidRPr="00610B1B">
        <w:rPr>
          <w:rFonts w:ascii="Times New Roman" w:hAnsi="Times New Roman" w:cs="Times New Roman"/>
          <w:bCs/>
          <w:sz w:val="24"/>
          <w:szCs w:val="24"/>
          <w:lang w:val="bg-BG"/>
        </w:rPr>
        <w:t>т</w:t>
      </w:r>
      <w:r w:rsidR="00B5159C" w:rsidRPr="00610B1B">
        <w:rPr>
          <w:rFonts w:ascii="Times New Roman" w:hAnsi="Times New Roman" w:cs="Times New Roman"/>
          <w:bCs/>
          <w:sz w:val="24"/>
          <w:szCs w:val="24"/>
          <w:lang w:val="bg-BG"/>
        </w:rPr>
        <w:t xml:space="preserve"> енергийната ефективност на водещо място в енергийната политика на страната заедно с енергийната сигурност, </w:t>
      </w:r>
      <w:r w:rsidR="007023E9" w:rsidRPr="00610B1B">
        <w:rPr>
          <w:rFonts w:ascii="Times New Roman" w:hAnsi="Times New Roman" w:cs="Times New Roman"/>
          <w:bCs/>
          <w:sz w:val="24"/>
          <w:szCs w:val="24"/>
          <w:lang w:val="bg-BG"/>
        </w:rPr>
        <w:t>конкурентоспособността</w:t>
      </w:r>
      <w:r w:rsidR="00B5159C" w:rsidRPr="00610B1B">
        <w:rPr>
          <w:rFonts w:ascii="Times New Roman" w:hAnsi="Times New Roman" w:cs="Times New Roman"/>
          <w:bCs/>
          <w:sz w:val="24"/>
          <w:szCs w:val="24"/>
          <w:lang w:val="bg-BG"/>
        </w:rPr>
        <w:t xml:space="preserve"> и устойчивото развитие. Това е особено важно поради високата енергоемкост на нашите производства, комплекси, сгради и съоръжения, а Морският пространствен план ще насочи част от мерки</w:t>
      </w:r>
      <w:r w:rsidR="008320F5" w:rsidRPr="00610B1B">
        <w:rPr>
          <w:rFonts w:ascii="Times New Roman" w:hAnsi="Times New Roman" w:cs="Times New Roman"/>
          <w:bCs/>
          <w:sz w:val="24"/>
          <w:szCs w:val="24"/>
          <w:lang w:val="bg-BG"/>
        </w:rPr>
        <w:t>те</w:t>
      </w:r>
      <w:r w:rsidR="00B5159C" w:rsidRPr="00610B1B">
        <w:rPr>
          <w:rFonts w:ascii="Times New Roman" w:hAnsi="Times New Roman" w:cs="Times New Roman"/>
          <w:bCs/>
          <w:sz w:val="24"/>
          <w:szCs w:val="24"/>
          <w:lang w:val="bg-BG"/>
        </w:rPr>
        <w:t xml:space="preserve"> в тази област към секторите на синята икономика. </w:t>
      </w:r>
    </w:p>
    <w:p w14:paraId="244D8133" w14:textId="5B735008" w:rsidR="00B5159C" w:rsidRPr="00610B1B" w:rsidRDefault="00B5159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i/>
          <w:iCs/>
          <w:sz w:val="24"/>
          <w:szCs w:val="24"/>
          <w:lang w:val="bg-BG"/>
        </w:rPr>
        <w:t>Националният план за действие за енергията от възобновяеми източници</w:t>
      </w:r>
      <w:r w:rsidR="0039202C" w:rsidRPr="00610B1B">
        <w:rPr>
          <w:rFonts w:ascii="Times New Roman" w:hAnsi="Times New Roman" w:cs="Times New Roman"/>
          <w:bCs/>
          <w:sz w:val="24"/>
          <w:szCs w:val="24"/>
          <w:lang w:val="bg-BG"/>
        </w:rPr>
        <w:t>,</w:t>
      </w:r>
      <w:r w:rsidR="0039202C" w:rsidRPr="00610B1B">
        <w:rPr>
          <w:rStyle w:val="FootnoteReference"/>
          <w:rFonts w:ascii="Times New Roman" w:hAnsi="Times New Roman" w:cs="Times New Roman"/>
          <w:bCs/>
          <w:sz w:val="24"/>
          <w:szCs w:val="24"/>
          <w:lang w:val="bg-BG"/>
        </w:rPr>
        <w:footnoteReference w:id="69"/>
      </w:r>
      <w:r w:rsidR="0039202C" w:rsidRPr="00610B1B">
        <w:rPr>
          <w:rFonts w:ascii="Times New Roman" w:hAnsi="Times New Roman" w:cs="Times New Roman"/>
          <w:bCs/>
          <w:sz w:val="24"/>
          <w:szCs w:val="24"/>
          <w:lang w:val="bg-BG"/>
        </w:rPr>
        <w:t xml:space="preserve"> приет от Министерски съвет с решение от 2013 г. и валиден до края на 2020 г., стъпва на прогнозното крайно потребление на електроенергия, на състоянието на икономиката и инвестиционния интерес. Задължителната национална цел на Р. България е за 16% дял на енергията от възобновяеми източници (ВИ) в брутното крайно потребление на енергия през 2020 г., което означава 1 718 ktoe енергия от ВИ. В Морския пространствен план </w:t>
      </w:r>
      <w:r w:rsidR="00BD144C" w:rsidRPr="00610B1B">
        <w:rPr>
          <w:rFonts w:ascii="Times New Roman" w:hAnsi="Times New Roman" w:cs="Times New Roman"/>
          <w:bCs/>
          <w:sz w:val="24"/>
          <w:szCs w:val="24"/>
          <w:lang w:val="bg-BG"/>
        </w:rPr>
        <w:t>с</w:t>
      </w:r>
      <w:r w:rsidR="0039202C" w:rsidRPr="00610B1B">
        <w:rPr>
          <w:rFonts w:ascii="Times New Roman" w:hAnsi="Times New Roman" w:cs="Times New Roman"/>
          <w:bCs/>
          <w:sz w:val="24"/>
          <w:szCs w:val="24"/>
          <w:lang w:val="bg-BG"/>
        </w:rPr>
        <w:t>е търсят онези резерви, които са свързани с морските технологии, съоръжения и индустрии</w:t>
      </w:r>
      <w:r w:rsidR="00BD144C" w:rsidRPr="00610B1B">
        <w:rPr>
          <w:rFonts w:ascii="Times New Roman" w:hAnsi="Times New Roman" w:cs="Times New Roman"/>
          <w:bCs/>
          <w:sz w:val="24"/>
          <w:szCs w:val="24"/>
          <w:lang w:val="bg-BG"/>
        </w:rPr>
        <w:t>, за да се разкрият повече иновативни решения</w:t>
      </w:r>
      <w:r w:rsidR="0039202C" w:rsidRPr="00610B1B">
        <w:rPr>
          <w:rFonts w:ascii="Times New Roman" w:hAnsi="Times New Roman" w:cs="Times New Roman"/>
          <w:bCs/>
          <w:sz w:val="24"/>
          <w:szCs w:val="24"/>
          <w:lang w:val="bg-BG"/>
        </w:rPr>
        <w:t>.</w:t>
      </w:r>
      <w:r w:rsidR="00D66FE0" w:rsidRPr="00610B1B">
        <w:rPr>
          <w:rFonts w:ascii="Times New Roman" w:hAnsi="Times New Roman" w:cs="Times New Roman"/>
          <w:bCs/>
          <w:sz w:val="24"/>
          <w:szCs w:val="24"/>
          <w:lang w:val="bg-BG"/>
        </w:rPr>
        <w:t xml:space="preserve"> </w:t>
      </w:r>
    </w:p>
    <w:p w14:paraId="2B4339B3" w14:textId="28E14C4E" w:rsidR="00C668AE" w:rsidRPr="00610B1B" w:rsidRDefault="00A65092"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lastRenderedPageBreak/>
        <w:t>Последният документ „</w:t>
      </w:r>
      <w:r w:rsidRPr="00610B1B">
        <w:rPr>
          <w:rFonts w:ascii="Times New Roman" w:hAnsi="Times New Roman" w:cs="Times New Roman"/>
          <w:bCs/>
          <w:i/>
          <w:iCs/>
          <w:sz w:val="24"/>
          <w:szCs w:val="24"/>
          <w:lang w:val="bg-BG"/>
        </w:rPr>
        <w:t>Интегриран план в областта на енергетиката и климата на Република България 2021-2030 г</w:t>
      </w:r>
      <w:r w:rsidRPr="00610B1B">
        <w:rPr>
          <w:rFonts w:ascii="Times New Roman" w:hAnsi="Times New Roman" w:cs="Times New Roman"/>
          <w:bCs/>
          <w:sz w:val="24"/>
          <w:szCs w:val="24"/>
          <w:lang w:val="bg-BG"/>
        </w:rPr>
        <w:t>.</w:t>
      </w:r>
      <w:r w:rsidR="00C668AE"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(НПЕК)</w:t>
      </w:r>
      <w:r w:rsidR="00C668AE" w:rsidRPr="00610B1B">
        <w:rPr>
          <w:rFonts w:ascii="Times New Roman" w:hAnsi="Times New Roman" w:cs="Times New Roman"/>
          <w:sz w:val="24"/>
          <w:szCs w:val="24"/>
          <w:lang w:val="bg-BG"/>
        </w:rPr>
        <w:t xml:space="preserve"> е разработен в съответствие с изискванията на Регламент (ЕС) 2018/1999 на Европейския парламент и на Съвета</w:t>
      </w:r>
      <w:r w:rsidR="00D66FE0" w:rsidRPr="00610B1B">
        <w:rPr>
          <w:rFonts w:ascii="Times New Roman" w:hAnsi="Times New Roman" w:cs="Times New Roman"/>
          <w:sz w:val="24"/>
          <w:szCs w:val="24"/>
          <w:lang w:val="bg-BG"/>
        </w:rPr>
        <w:t xml:space="preserve"> </w:t>
      </w:r>
      <w:r w:rsidR="00C668AE" w:rsidRPr="00610B1B">
        <w:rPr>
          <w:rFonts w:ascii="Times New Roman" w:hAnsi="Times New Roman" w:cs="Times New Roman"/>
          <w:sz w:val="24"/>
          <w:szCs w:val="24"/>
          <w:lang w:val="bg-BG"/>
        </w:rPr>
        <w:t xml:space="preserve">от 11.12.2018 г. относно управлението на Енергийния съюз и </w:t>
      </w:r>
      <w:r w:rsidR="00E03A23" w:rsidRPr="00610B1B">
        <w:rPr>
          <w:rFonts w:ascii="Times New Roman" w:hAnsi="Times New Roman" w:cs="Times New Roman"/>
          <w:sz w:val="24"/>
          <w:szCs w:val="24"/>
          <w:lang w:val="bg-BG"/>
        </w:rPr>
        <w:t xml:space="preserve">на действията в областта на климата. Той има за цел да стимулира </w:t>
      </w:r>
      <w:r w:rsidR="00C668AE" w:rsidRPr="00610B1B">
        <w:rPr>
          <w:rFonts w:ascii="Times New Roman" w:hAnsi="Times New Roman" w:cs="Times New Roman"/>
          <w:bCs/>
          <w:sz w:val="24"/>
          <w:szCs w:val="24"/>
          <w:lang w:val="bg-BG"/>
        </w:rPr>
        <w:t>нисковъглеродн</w:t>
      </w:r>
      <w:r w:rsidR="00E03A23" w:rsidRPr="00610B1B">
        <w:rPr>
          <w:rFonts w:ascii="Times New Roman" w:hAnsi="Times New Roman" w:cs="Times New Roman"/>
          <w:bCs/>
          <w:sz w:val="24"/>
          <w:szCs w:val="24"/>
          <w:lang w:val="bg-BG"/>
        </w:rPr>
        <w:t>ата</w:t>
      </w:r>
      <w:r w:rsidR="00C668AE" w:rsidRPr="00610B1B">
        <w:rPr>
          <w:rFonts w:ascii="Times New Roman" w:hAnsi="Times New Roman" w:cs="Times New Roman"/>
          <w:bCs/>
          <w:sz w:val="24"/>
          <w:szCs w:val="24"/>
          <w:lang w:val="bg-BG"/>
        </w:rPr>
        <w:t xml:space="preserve"> икономика;</w:t>
      </w:r>
      <w:r w:rsidR="00E03A23" w:rsidRPr="00610B1B">
        <w:rPr>
          <w:rFonts w:ascii="Times New Roman" w:hAnsi="Times New Roman" w:cs="Times New Roman"/>
          <w:bCs/>
          <w:sz w:val="24"/>
          <w:szCs w:val="24"/>
          <w:lang w:val="bg-BG"/>
        </w:rPr>
        <w:t xml:space="preserve"> да подпомогне </w:t>
      </w:r>
      <w:r w:rsidR="00C668AE" w:rsidRPr="00610B1B">
        <w:rPr>
          <w:rFonts w:ascii="Times New Roman" w:hAnsi="Times New Roman" w:cs="Times New Roman"/>
          <w:bCs/>
          <w:sz w:val="24"/>
          <w:szCs w:val="24"/>
          <w:lang w:val="bg-BG"/>
        </w:rPr>
        <w:t>конкурентоспособна</w:t>
      </w:r>
      <w:r w:rsidR="00E03A23" w:rsidRPr="00610B1B">
        <w:rPr>
          <w:rFonts w:ascii="Times New Roman" w:hAnsi="Times New Roman" w:cs="Times New Roman"/>
          <w:bCs/>
          <w:sz w:val="24"/>
          <w:szCs w:val="24"/>
          <w:lang w:val="bg-BG"/>
        </w:rPr>
        <w:t>та</w:t>
      </w:r>
      <w:r w:rsidR="00C668AE" w:rsidRPr="00610B1B">
        <w:rPr>
          <w:rFonts w:ascii="Times New Roman" w:hAnsi="Times New Roman" w:cs="Times New Roman"/>
          <w:bCs/>
          <w:sz w:val="24"/>
          <w:szCs w:val="24"/>
          <w:lang w:val="bg-BG"/>
        </w:rPr>
        <w:t xml:space="preserve"> и сигурна енергетика;</w:t>
      </w:r>
      <w:r w:rsidR="00E03A23" w:rsidRPr="00610B1B">
        <w:rPr>
          <w:rFonts w:ascii="Times New Roman" w:hAnsi="Times New Roman" w:cs="Times New Roman"/>
          <w:bCs/>
          <w:sz w:val="24"/>
          <w:szCs w:val="24"/>
          <w:lang w:val="bg-BG"/>
        </w:rPr>
        <w:t xml:space="preserve"> да намали </w:t>
      </w:r>
      <w:r w:rsidR="00C668AE" w:rsidRPr="00610B1B">
        <w:rPr>
          <w:rFonts w:ascii="Times New Roman" w:hAnsi="Times New Roman" w:cs="Times New Roman"/>
          <w:bCs/>
          <w:sz w:val="24"/>
          <w:szCs w:val="24"/>
          <w:lang w:val="bg-BG"/>
        </w:rPr>
        <w:t>зависимостта от внос на горива и енергия;</w:t>
      </w:r>
      <w:r w:rsidR="00E03A23" w:rsidRPr="00610B1B">
        <w:rPr>
          <w:rFonts w:ascii="Times New Roman" w:hAnsi="Times New Roman" w:cs="Times New Roman"/>
          <w:bCs/>
          <w:sz w:val="24"/>
          <w:szCs w:val="24"/>
          <w:lang w:val="bg-BG"/>
        </w:rPr>
        <w:t xml:space="preserve"> и да гарантира достъпните цени на енергията за всички потребители. </w:t>
      </w:r>
    </w:p>
    <w:p w14:paraId="76B8816A" w14:textId="44C82F45" w:rsidR="00BD144C" w:rsidRPr="00610B1B" w:rsidRDefault="00BD144C"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В изброените, както и в някои други програмни и стратегически документи с аналогична тематика, са потърсени онези цели и приоритети, които </w:t>
      </w:r>
      <w:r w:rsidR="000E47EC" w:rsidRPr="00610B1B">
        <w:rPr>
          <w:rFonts w:ascii="Times New Roman" w:hAnsi="Times New Roman" w:cs="Times New Roman"/>
          <w:bCs/>
          <w:sz w:val="24"/>
          <w:szCs w:val="24"/>
          <w:lang w:val="bg-BG"/>
        </w:rPr>
        <w:t>трябва</w:t>
      </w:r>
      <w:r w:rsidRPr="00610B1B">
        <w:rPr>
          <w:rFonts w:ascii="Times New Roman" w:hAnsi="Times New Roman" w:cs="Times New Roman"/>
          <w:bCs/>
          <w:sz w:val="24"/>
          <w:szCs w:val="24"/>
          <w:lang w:val="bg-BG"/>
        </w:rPr>
        <w:t xml:space="preserve"> да бъдат адаптирани за целите на морското пространствено планиране, за да се повиши стойността на предложените стратегически и специфични цели и програми от мерки.</w:t>
      </w:r>
      <w:r w:rsidR="00D66FE0" w:rsidRPr="00610B1B">
        <w:rPr>
          <w:rFonts w:ascii="Times New Roman" w:hAnsi="Times New Roman" w:cs="Times New Roman"/>
          <w:bCs/>
          <w:sz w:val="24"/>
          <w:szCs w:val="24"/>
          <w:lang w:val="bg-BG"/>
        </w:rPr>
        <w:t xml:space="preserve"> </w:t>
      </w:r>
    </w:p>
    <w:p w14:paraId="4ECA3226" w14:textId="77777777" w:rsidR="00A43DF1" w:rsidRPr="00610B1B" w:rsidRDefault="00A43DF1" w:rsidP="00D32D6A">
      <w:pPr>
        <w:spacing w:after="120"/>
        <w:ind w:right="-153"/>
        <w:jc w:val="both"/>
        <w:rPr>
          <w:rFonts w:ascii="Times New Roman" w:hAnsi="Times New Roman" w:cs="Times New Roman"/>
          <w:bCs/>
          <w:sz w:val="24"/>
          <w:szCs w:val="24"/>
          <w:lang w:val="bg-BG"/>
        </w:rPr>
      </w:pPr>
    </w:p>
    <w:p w14:paraId="4C908659" w14:textId="581B3D6B" w:rsidR="00B862CF" w:rsidRPr="00610B1B" w:rsidRDefault="00B601CD" w:rsidP="00D32D6A">
      <w:pPr>
        <w:pStyle w:val="Heading2"/>
        <w:spacing w:before="0" w:line="276" w:lineRule="auto"/>
        <w:ind w:right="-153"/>
        <w:rPr>
          <w:rFonts w:cs="Times New Roman"/>
        </w:rPr>
      </w:pPr>
      <w:bookmarkStart w:id="16" w:name="_Toc83391357"/>
      <w:r w:rsidRPr="00610B1B">
        <w:rPr>
          <w:rFonts w:cs="Times New Roman"/>
        </w:rPr>
        <w:t>1.</w:t>
      </w:r>
      <w:r w:rsidR="000E47EC" w:rsidRPr="00610B1B">
        <w:rPr>
          <w:rFonts w:cs="Times New Roman"/>
        </w:rPr>
        <w:t>2</w:t>
      </w:r>
      <w:r w:rsidRPr="00610B1B">
        <w:rPr>
          <w:rFonts w:cs="Times New Roman"/>
        </w:rPr>
        <w:t xml:space="preserve">. </w:t>
      </w:r>
      <w:r w:rsidR="00425D9F" w:rsidRPr="00610B1B">
        <w:rPr>
          <w:rFonts w:cs="Times New Roman"/>
        </w:rPr>
        <w:t>Главн</w:t>
      </w:r>
      <w:r w:rsidR="00953799" w:rsidRPr="00610B1B">
        <w:rPr>
          <w:rFonts w:cs="Times New Roman"/>
        </w:rPr>
        <w:t xml:space="preserve">а и специфични </w:t>
      </w:r>
      <w:r w:rsidR="00B862CF" w:rsidRPr="00610B1B">
        <w:rPr>
          <w:rFonts w:cs="Times New Roman"/>
        </w:rPr>
        <w:t>цел</w:t>
      </w:r>
      <w:r w:rsidR="00953799" w:rsidRPr="00610B1B">
        <w:rPr>
          <w:rFonts w:cs="Times New Roman"/>
        </w:rPr>
        <w:t>и</w:t>
      </w:r>
      <w:r w:rsidR="00B862CF" w:rsidRPr="00610B1B">
        <w:rPr>
          <w:rFonts w:cs="Times New Roman"/>
        </w:rPr>
        <w:t xml:space="preserve"> и задачи</w:t>
      </w:r>
      <w:r w:rsidR="00727038" w:rsidRPr="00610B1B">
        <w:rPr>
          <w:rFonts w:cs="Times New Roman"/>
        </w:rPr>
        <w:t xml:space="preserve"> </w:t>
      </w:r>
      <w:r w:rsidR="00953799" w:rsidRPr="00610B1B">
        <w:rPr>
          <w:rFonts w:cs="Times New Roman"/>
        </w:rPr>
        <w:t xml:space="preserve">при </w:t>
      </w:r>
      <w:r w:rsidR="00E03A23" w:rsidRPr="00610B1B">
        <w:rPr>
          <w:rFonts w:cs="Times New Roman"/>
        </w:rPr>
        <w:t xml:space="preserve">разработването на </w:t>
      </w:r>
      <w:r w:rsidR="00727038" w:rsidRPr="00610B1B">
        <w:rPr>
          <w:rFonts w:cs="Times New Roman"/>
        </w:rPr>
        <w:t>МППРБ</w:t>
      </w:r>
      <w:bookmarkEnd w:id="16"/>
    </w:p>
    <w:p w14:paraId="44E22E66" w14:textId="53E3EE0A" w:rsidR="00852978" w:rsidRPr="00610B1B" w:rsidRDefault="00852978" w:rsidP="00D32D6A">
      <w:pPr>
        <w:pStyle w:val="ListParagraph"/>
        <w:spacing w:after="120"/>
        <w:ind w:left="0"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Главна цел </w:t>
      </w:r>
      <w:r w:rsidR="00E03A23" w:rsidRPr="00610B1B">
        <w:rPr>
          <w:rFonts w:ascii="Times New Roman" w:hAnsi="Times New Roman" w:cs="Times New Roman"/>
          <w:bCs/>
          <w:sz w:val="24"/>
          <w:szCs w:val="24"/>
          <w:lang w:val="bg-BG"/>
        </w:rPr>
        <w:t xml:space="preserve">при разработването </w:t>
      </w:r>
      <w:r w:rsidRPr="00610B1B">
        <w:rPr>
          <w:rFonts w:ascii="Times New Roman" w:hAnsi="Times New Roman" w:cs="Times New Roman"/>
          <w:bCs/>
          <w:sz w:val="24"/>
          <w:szCs w:val="24"/>
          <w:lang w:val="bg-BG"/>
        </w:rPr>
        <w:t>на Морския пространствен план на Р. България, е създаването на условия за устойчив растеж на морската икономика, за постигане на стабилно развитие на българския черноморски регион, чрез ефективно използване на природните ресурси, съобразено с изискванията за интегрирано опазване на морската среда. МППРБ трябва да съвмести безконфликтно съществуващи и бъдещи дейности по използване на морските пространства, отчитайки мерките за постигане на добро състояние на морската околна среда на Програмата от мерки към Морската стратегия на Р. България.</w:t>
      </w:r>
    </w:p>
    <w:p w14:paraId="71996FC4" w14:textId="1A1466AF" w:rsidR="00307986" w:rsidRPr="00610B1B" w:rsidRDefault="00953799" w:rsidP="00D32D6A">
      <w:pPr>
        <w:pStyle w:val="ListParagraph"/>
        <w:spacing w:after="120"/>
        <w:ind w:left="0"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Специфичните цели в разработването </w:t>
      </w:r>
      <w:r w:rsidR="00307986" w:rsidRPr="00610B1B">
        <w:rPr>
          <w:rFonts w:ascii="Times New Roman" w:hAnsi="Times New Roman" w:cs="Times New Roman"/>
          <w:bCs/>
          <w:sz w:val="24"/>
          <w:szCs w:val="24"/>
          <w:lang w:val="bg-BG"/>
        </w:rPr>
        <w:t xml:space="preserve">на Морския пространствен план са съобразени с изискванията на Директива 2014/89/ЕС и на ЗМПВВППРБ и определят </w:t>
      </w:r>
      <w:r w:rsidR="00372D5F" w:rsidRPr="00610B1B">
        <w:rPr>
          <w:rFonts w:ascii="Times New Roman" w:hAnsi="Times New Roman" w:cs="Times New Roman"/>
          <w:bCs/>
          <w:sz w:val="24"/>
          <w:szCs w:val="24"/>
          <w:lang w:val="bg-BG"/>
        </w:rPr>
        <w:t xml:space="preserve">и </w:t>
      </w:r>
      <w:r w:rsidR="00307986" w:rsidRPr="00610B1B">
        <w:rPr>
          <w:rFonts w:ascii="Times New Roman" w:hAnsi="Times New Roman" w:cs="Times New Roman"/>
          <w:bCs/>
          <w:sz w:val="24"/>
          <w:szCs w:val="24"/>
          <w:lang w:val="bg-BG"/>
        </w:rPr>
        <w:t xml:space="preserve">задачите, които трябва да бъдат изпълнени: </w:t>
      </w:r>
    </w:p>
    <w:p w14:paraId="33B05CC8" w14:textId="6B37F18D" w:rsidR="00425D9F" w:rsidRPr="00610B1B" w:rsidRDefault="00307986"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Системен </w:t>
      </w:r>
      <w:r w:rsidR="00425D9F" w:rsidRPr="00610B1B">
        <w:rPr>
          <w:rFonts w:ascii="Times New Roman" w:hAnsi="Times New Roman" w:cs="Times New Roman"/>
          <w:bCs/>
          <w:sz w:val="24"/>
          <w:szCs w:val="24"/>
          <w:lang w:val="bg-BG"/>
        </w:rPr>
        <w:t>анализ на екологична</w:t>
      </w:r>
      <w:r w:rsidR="00F95B14" w:rsidRPr="00610B1B">
        <w:rPr>
          <w:rFonts w:ascii="Times New Roman" w:hAnsi="Times New Roman" w:cs="Times New Roman"/>
          <w:bCs/>
          <w:sz w:val="24"/>
          <w:szCs w:val="24"/>
          <w:lang w:val="bg-BG"/>
        </w:rPr>
        <w:t>та</w:t>
      </w:r>
      <w:r w:rsidR="00425D9F" w:rsidRPr="00610B1B">
        <w:rPr>
          <w:rFonts w:ascii="Times New Roman" w:hAnsi="Times New Roman" w:cs="Times New Roman"/>
          <w:bCs/>
          <w:sz w:val="24"/>
          <w:szCs w:val="24"/>
          <w:lang w:val="bg-BG"/>
        </w:rPr>
        <w:t>, геоморфоложка</w:t>
      </w:r>
      <w:r w:rsidR="00F95B14" w:rsidRPr="00610B1B">
        <w:rPr>
          <w:rFonts w:ascii="Times New Roman" w:hAnsi="Times New Roman" w:cs="Times New Roman"/>
          <w:bCs/>
          <w:sz w:val="24"/>
          <w:szCs w:val="24"/>
          <w:lang w:val="bg-BG"/>
        </w:rPr>
        <w:t>та</w:t>
      </w:r>
      <w:r w:rsidR="00425D9F" w:rsidRPr="00610B1B">
        <w:rPr>
          <w:rFonts w:ascii="Times New Roman" w:hAnsi="Times New Roman" w:cs="Times New Roman"/>
          <w:bCs/>
          <w:sz w:val="24"/>
          <w:szCs w:val="24"/>
          <w:lang w:val="bg-BG"/>
        </w:rPr>
        <w:t xml:space="preserve"> и хидроложка</w:t>
      </w:r>
      <w:r w:rsidR="00F95B14" w:rsidRPr="00610B1B">
        <w:rPr>
          <w:rFonts w:ascii="Times New Roman" w:hAnsi="Times New Roman" w:cs="Times New Roman"/>
          <w:bCs/>
          <w:sz w:val="24"/>
          <w:szCs w:val="24"/>
          <w:lang w:val="bg-BG"/>
        </w:rPr>
        <w:t>та</w:t>
      </w:r>
      <w:r w:rsidR="00425D9F" w:rsidRPr="00610B1B">
        <w:rPr>
          <w:rFonts w:ascii="Times New Roman" w:hAnsi="Times New Roman" w:cs="Times New Roman"/>
          <w:bCs/>
          <w:sz w:val="24"/>
          <w:szCs w:val="24"/>
          <w:lang w:val="bg-BG"/>
        </w:rPr>
        <w:t xml:space="preserve"> информация за морските пространства на Р. България и на извършваните дейности, отчитайки особеностите на Черноморския регион, състоянието на биологичните, материалните и енергийните ресурси, взаимодействията между сушата и морето и сътрудничество</w:t>
      </w:r>
      <w:r w:rsidR="00852978" w:rsidRPr="00610B1B">
        <w:rPr>
          <w:rFonts w:ascii="Times New Roman" w:hAnsi="Times New Roman" w:cs="Times New Roman"/>
          <w:bCs/>
          <w:sz w:val="24"/>
          <w:szCs w:val="24"/>
          <w:lang w:val="bg-BG"/>
        </w:rPr>
        <w:t>то</w:t>
      </w:r>
      <w:r w:rsidR="00425D9F" w:rsidRPr="00610B1B">
        <w:rPr>
          <w:rFonts w:ascii="Times New Roman" w:hAnsi="Times New Roman" w:cs="Times New Roman"/>
          <w:bCs/>
          <w:sz w:val="24"/>
          <w:szCs w:val="24"/>
          <w:lang w:val="bg-BG"/>
        </w:rPr>
        <w:t xml:space="preserve"> в региона</w:t>
      </w:r>
      <w:r w:rsidR="00852978" w:rsidRPr="00610B1B">
        <w:rPr>
          <w:rFonts w:ascii="Times New Roman" w:hAnsi="Times New Roman" w:cs="Times New Roman"/>
          <w:bCs/>
          <w:sz w:val="24"/>
          <w:szCs w:val="24"/>
          <w:lang w:val="bg-BG"/>
        </w:rPr>
        <w:t>,</w:t>
      </w:r>
      <w:r w:rsidR="00425D9F" w:rsidRPr="00610B1B">
        <w:rPr>
          <w:rFonts w:ascii="Times New Roman" w:hAnsi="Times New Roman" w:cs="Times New Roman"/>
          <w:bCs/>
          <w:sz w:val="24"/>
          <w:szCs w:val="24"/>
          <w:lang w:val="bg-BG"/>
        </w:rPr>
        <w:t xml:space="preserve"> систематизиране на изводи за проблемите и потенциала за развитие.</w:t>
      </w:r>
    </w:p>
    <w:p w14:paraId="42CB3979" w14:textId="30E67F27" w:rsidR="00425D9F" w:rsidRPr="00610B1B" w:rsidRDefault="00425D9F"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Разработване на прогнози и сценарии за безконфликтно мултифункционално използване на морските пространства и прилежащите крайбрежни зони на основата на система от пространствени принципи</w:t>
      </w:r>
      <w:r w:rsidR="00D84E05" w:rsidRPr="00610B1B">
        <w:rPr>
          <w:rFonts w:ascii="Times New Roman" w:hAnsi="Times New Roman" w:cs="Times New Roman"/>
          <w:bCs/>
          <w:sz w:val="24"/>
          <w:szCs w:val="24"/>
          <w:lang w:val="bg-BG"/>
        </w:rPr>
        <w:t>,</w:t>
      </w:r>
      <w:r w:rsidR="00852978" w:rsidRPr="00610B1B">
        <w:rPr>
          <w:rFonts w:ascii="Times New Roman" w:hAnsi="Times New Roman" w:cs="Times New Roman"/>
          <w:bCs/>
          <w:sz w:val="24"/>
          <w:szCs w:val="24"/>
          <w:lang w:val="bg-BG"/>
        </w:rPr>
        <w:t xml:space="preserve"> критерии за избор на оптимален сценарий, </w:t>
      </w:r>
      <w:r w:rsidRPr="00610B1B">
        <w:rPr>
          <w:rFonts w:ascii="Times New Roman" w:hAnsi="Times New Roman" w:cs="Times New Roman"/>
          <w:bCs/>
          <w:sz w:val="24"/>
          <w:szCs w:val="24"/>
          <w:lang w:val="bg-BG"/>
        </w:rPr>
        <w:t xml:space="preserve">ГИС базирани анализи и </w:t>
      </w:r>
      <w:r w:rsidR="003A146E" w:rsidRPr="00610B1B">
        <w:rPr>
          <w:rFonts w:ascii="Times New Roman" w:hAnsi="Times New Roman" w:cs="Times New Roman"/>
          <w:bCs/>
          <w:sz w:val="24"/>
          <w:szCs w:val="24"/>
          <w:lang w:val="bg-BG"/>
        </w:rPr>
        <w:t xml:space="preserve">методически </w:t>
      </w:r>
      <w:r w:rsidRPr="00610B1B">
        <w:rPr>
          <w:rFonts w:ascii="Times New Roman" w:hAnsi="Times New Roman" w:cs="Times New Roman"/>
          <w:bCs/>
          <w:sz w:val="24"/>
          <w:szCs w:val="24"/>
          <w:lang w:val="bg-BG"/>
        </w:rPr>
        <w:t xml:space="preserve">указания, </w:t>
      </w:r>
      <w:r w:rsidR="003528BC" w:rsidRPr="00610B1B">
        <w:rPr>
          <w:rFonts w:ascii="Times New Roman" w:hAnsi="Times New Roman" w:cs="Times New Roman"/>
          <w:bCs/>
          <w:sz w:val="24"/>
          <w:szCs w:val="24"/>
          <w:lang w:val="bg-BG"/>
        </w:rPr>
        <w:t xml:space="preserve">изготвени </w:t>
      </w:r>
      <w:r w:rsidR="008C0BBF" w:rsidRPr="00610B1B">
        <w:rPr>
          <w:rFonts w:ascii="Times New Roman" w:hAnsi="Times New Roman" w:cs="Times New Roman"/>
          <w:bCs/>
          <w:sz w:val="24"/>
          <w:szCs w:val="24"/>
          <w:lang w:val="bg-BG"/>
        </w:rPr>
        <w:t>по</w:t>
      </w:r>
      <w:r w:rsidR="003528BC"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проект MARSPLAN-BS</w:t>
      </w:r>
      <w:r w:rsidR="00552C23" w:rsidRPr="00610B1B">
        <w:rPr>
          <w:rStyle w:val="FootnoteReference"/>
          <w:rFonts w:ascii="Times New Roman" w:hAnsi="Times New Roman" w:cs="Times New Roman"/>
          <w:bCs/>
          <w:sz w:val="24"/>
          <w:szCs w:val="24"/>
          <w:lang w:val="bg-BG"/>
        </w:rPr>
        <w:footnoteReference w:id="70"/>
      </w:r>
      <w:r w:rsidRPr="00610B1B">
        <w:rPr>
          <w:rFonts w:ascii="Times New Roman" w:hAnsi="Times New Roman" w:cs="Times New Roman"/>
          <w:bCs/>
          <w:sz w:val="24"/>
          <w:szCs w:val="24"/>
          <w:lang w:val="bg-BG"/>
        </w:rPr>
        <w:t>.</w:t>
      </w:r>
    </w:p>
    <w:p w14:paraId="34AC6466" w14:textId="500764FD" w:rsidR="00852978" w:rsidRPr="00610B1B" w:rsidRDefault="00852978"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Разработване и широко експертно и публично консултиране на дългосрочна визия</w:t>
      </w:r>
      <w:r w:rsidR="004C08D4"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стратегически </w:t>
      </w:r>
      <w:r w:rsidR="004C08D4" w:rsidRPr="00610B1B">
        <w:rPr>
          <w:rFonts w:ascii="Times New Roman" w:hAnsi="Times New Roman" w:cs="Times New Roman"/>
          <w:bCs/>
          <w:sz w:val="24"/>
          <w:szCs w:val="24"/>
          <w:lang w:val="bg-BG"/>
        </w:rPr>
        <w:t xml:space="preserve">и специфични </w:t>
      </w:r>
      <w:r w:rsidRPr="00610B1B">
        <w:rPr>
          <w:rFonts w:ascii="Times New Roman" w:hAnsi="Times New Roman" w:cs="Times New Roman"/>
          <w:bCs/>
          <w:sz w:val="24"/>
          <w:szCs w:val="24"/>
          <w:lang w:val="bg-BG"/>
        </w:rPr>
        <w:t>цели в съответствие с изводите от анализа на</w:t>
      </w:r>
      <w:r w:rsidR="00D66FE0" w:rsidRPr="00610B1B">
        <w:rPr>
          <w:rFonts w:ascii="Times New Roman" w:hAnsi="Times New Roman" w:cs="Times New Roman"/>
          <w:bCs/>
          <w:sz w:val="24"/>
          <w:szCs w:val="24"/>
          <w:lang w:val="bg-BG"/>
        </w:rPr>
        <w:t xml:space="preserve"> </w:t>
      </w:r>
      <w:r w:rsidR="004C08D4" w:rsidRPr="00610B1B">
        <w:rPr>
          <w:rFonts w:ascii="Times New Roman" w:hAnsi="Times New Roman" w:cs="Times New Roman"/>
          <w:bCs/>
          <w:sz w:val="24"/>
          <w:szCs w:val="24"/>
          <w:lang w:val="bg-BG"/>
        </w:rPr>
        <w:lastRenderedPageBreak/>
        <w:t>теку</w:t>
      </w:r>
      <w:r w:rsidRPr="00610B1B">
        <w:rPr>
          <w:rFonts w:ascii="Times New Roman" w:hAnsi="Times New Roman" w:cs="Times New Roman"/>
          <w:bCs/>
          <w:sz w:val="24"/>
          <w:szCs w:val="24"/>
          <w:lang w:val="bg-BG"/>
        </w:rPr>
        <w:t xml:space="preserve">щото състояние, съвременните изисквания за устойчиво използване и опазване на морските ресурси, социално-икономическия потенциал, тенденциите за развитие на </w:t>
      </w:r>
      <w:r w:rsidR="003528BC" w:rsidRPr="00610B1B">
        <w:rPr>
          <w:rFonts w:ascii="Times New Roman" w:hAnsi="Times New Roman" w:cs="Times New Roman"/>
          <w:bCs/>
          <w:sz w:val="24"/>
          <w:szCs w:val="24"/>
          <w:lang w:val="bg-BG"/>
        </w:rPr>
        <w:t xml:space="preserve">Черноморския </w:t>
      </w:r>
      <w:r w:rsidRPr="00610B1B">
        <w:rPr>
          <w:rFonts w:ascii="Times New Roman" w:hAnsi="Times New Roman" w:cs="Times New Roman"/>
          <w:bCs/>
          <w:sz w:val="24"/>
          <w:szCs w:val="24"/>
          <w:lang w:val="bg-BG"/>
        </w:rPr>
        <w:t>регион, избрания сценарий и установеното</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сътрудничество.</w:t>
      </w:r>
    </w:p>
    <w:p w14:paraId="496F5FF7" w14:textId="2E5FAFDB" w:rsidR="00246EED" w:rsidRPr="00610B1B" w:rsidRDefault="00246EED"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Разработване на </w:t>
      </w:r>
      <w:r w:rsidR="00D34FF8" w:rsidRPr="00610B1B">
        <w:rPr>
          <w:rFonts w:ascii="Times New Roman" w:hAnsi="Times New Roman" w:cs="Times New Roman"/>
          <w:bCs/>
          <w:sz w:val="24"/>
          <w:szCs w:val="24"/>
          <w:lang w:val="bg-BG"/>
        </w:rPr>
        <w:t>препоръки към участниците в</w:t>
      </w:r>
      <w:r w:rsidRPr="00610B1B">
        <w:rPr>
          <w:rFonts w:ascii="Times New Roman" w:hAnsi="Times New Roman" w:cs="Times New Roman"/>
          <w:bCs/>
          <w:sz w:val="24"/>
          <w:szCs w:val="24"/>
          <w:lang w:val="bg-BG"/>
        </w:rPr>
        <w:t xml:space="preserve"> прилагане</w:t>
      </w:r>
      <w:r w:rsidR="00D34FF8" w:rsidRPr="00610B1B">
        <w:rPr>
          <w:rFonts w:ascii="Times New Roman" w:hAnsi="Times New Roman" w:cs="Times New Roman"/>
          <w:bCs/>
          <w:sz w:val="24"/>
          <w:szCs w:val="24"/>
          <w:lang w:val="bg-BG"/>
        </w:rPr>
        <w:t>то</w:t>
      </w:r>
      <w:r w:rsidRPr="00610B1B">
        <w:rPr>
          <w:rFonts w:ascii="Times New Roman" w:hAnsi="Times New Roman" w:cs="Times New Roman"/>
          <w:bCs/>
          <w:sz w:val="24"/>
          <w:szCs w:val="24"/>
          <w:lang w:val="bg-BG"/>
        </w:rPr>
        <w:t xml:space="preserve"> на Морския пространствен план, с които да бъдат постигнати заложените в документа главни и специфични цели.</w:t>
      </w:r>
    </w:p>
    <w:p w14:paraId="0968A63C" w14:textId="1ABCFD57" w:rsidR="00425D9F" w:rsidRPr="00610B1B" w:rsidRDefault="00425D9F"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Създаване на целеви пакет от икономически, социални и екологични цели и индикатори за наблюдение на напредъка в постигането им и за управление и ефективно изпълнение на МППРБ, отчитайки програмата </w:t>
      </w:r>
      <w:r w:rsidR="003528BC" w:rsidRPr="00610B1B">
        <w:rPr>
          <w:rFonts w:ascii="Times New Roman" w:hAnsi="Times New Roman" w:cs="Times New Roman"/>
          <w:bCs/>
          <w:sz w:val="24"/>
          <w:szCs w:val="24"/>
          <w:lang w:val="bg-BG"/>
        </w:rPr>
        <w:t>от мерки</w:t>
      </w:r>
      <w:r w:rsidRPr="00610B1B">
        <w:rPr>
          <w:rFonts w:ascii="Times New Roman" w:hAnsi="Times New Roman" w:cs="Times New Roman"/>
          <w:bCs/>
          <w:sz w:val="24"/>
          <w:szCs w:val="24"/>
          <w:lang w:val="bg-BG"/>
        </w:rPr>
        <w:t xml:space="preserve"> и програмата </w:t>
      </w:r>
      <w:r w:rsidR="003528BC" w:rsidRPr="00610B1B">
        <w:rPr>
          <w:rFonts w:ascii="Times New Roman" w:hAnsi="Times New Roman" w:cs="Times New Roman"/>
          <w:bCs/>
          <w:sz w:val="24"/>
          <w:szCs w:val="24"/>
          <w:lang w:val="bg-BG"/>
        </w:rPr>
        <w:t>за мониторинг</w:t>
      </w:r>
      <w:r w:rsidRPr="00610B1B">
        <w:rPr>
          <w:rFonts w:ascii="Times New Roman" w:hAnsi="Times New Roman" w:cs="Times New Roman"/>
          <w:bCs/>
          <w:sz w:val="24"/>
          <w:szCs w:val="24"/>
          <w:lang w:val="bg-BG"/>
        </w:rPr>
        <w:t>, заложени в Морската стратегия на Република България.</w:t>
      </w:r>
    </w:p>
    <w:p w14:paraId="32713CA3" w14:textId="77777777" w:rsidR="00307986" w:rsidRPr="00610B1B" w:rsidRDefault="00425D9F"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Обвързване на законодателната рамка на МППРБ с действащата нормативна уредба в страната, в ЕС и останалите черноморски страни, както и с най-важните и съотносими международни конвенции, протоколи и декларации.</w:t>
      </w:r>
    </w:p>
    <w:p w14:paraId="2AF9A677" w14:textId="1D1B18D4" w:rsidR="00425D9F" w:rsidRPr="00610B1B" w:rsidRDefault="00425D9F"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Събиране и актуализиране на информация</w:t>
      </w:r>
      <w:r w:rsidR="004C08D4" w:rsidRPr="00610B1B">
        <w:rPr>
          <w:rFonts w:ascii="Times New Roman" w:hAnsi="Times New Roman" w:cs="Times New Roman"/>
          <w:bCs/>
          <w:sz w:val="24"/>
          <w:szCs w:val="24"/>
          <w:lang w:val="bg-BG"/>
        </w:rPr>
        <w:t>та</w:t>
      </w:r>
      <w:r w:rsidRPr="00610B1B">
        <w:rPr>
          <w:rFonts w:ascii="Times New Roman" w:hAnsi="Times New Roman" w:cs="Times New Roman"/>
          <w:bCs/>
          <w:sz w:val="24"/>
          <w:szCs w:val="24"/>
          <w:lang w:val="bg-BG"/>
        </w:rPr>
        <w:t xml:space="preserve"> в ГИС база данни на МППРБ и </w:t>
      </w:r>
      <w:r w:rsidR="00307986" w:rsidRPr="00610B1B">
        <w:rPr>
          <w:rFonts w:ascii="Times New Roman" w:hAnsi="Times New Roman" w:cs="Times New Roman"/>
          <w:bCs/>
          <w:sz w:val="24"/>
          <w:szCs w:val="24"/>
          <w:lang w:val="bg-BG"/>
        </w:rPr>
        <w:t xml:space="preserve">използването им за анализи и </w:t>
      </w:r>
      <w:r w:rsidR="003528BC" w:rsidRPr="00610B1B">
        <w:rPr>
          <w:rFonts w:ascii="Times New Roman" w:hAnsi="Times New Roman" w:cs="Times New Roman"/>
          <w:bCs/>
          <w:sz w:val="24"/>
          <w:szCs w:val="24"/>
          <w:lang w:val="bg-BG"/>
        </w:rPr>
        <w:t xml:space="preserve">графични </w:t>
      </w:r>
      <w:r w:rsidR="00307986" w:rsidRPr="00610B1B">
        <w:rPr>
          <w:rFonts w:ascii="Times New Roman" w:hAnsi="Times New Roman" w:cs="Times New Roman"/>
          <w:bCs/>
          <w:sz w:val="24"/>
          <w:szCs w:val="24"/>
          <w:lang w:val="bg-BG"/>
        </w:rPr>
        <w:t xml:space="preserve">илюстрации </w:t>
      </w:r>
      <w:r w:rsidRPr="00610B1B">
        <w:rPr>
          <w:rFonts w:ascii="Times New Roman" w:hAnsi="Times New Roman" w:cs="Times New Roman"/>
          <w:bCs/>
          <w:sz w:val="24"/>
          <w:szCs w:val="24"/>
          <w:lang w:val="bg-BG"/>
        </w:rPr>
        <w:t>с отразени обекти, маршрути и коридори, функционални зони за безконфликтно съвместяване на дейностите в морското пространство, включително и такива за трансгранично сътрудничество.</w:t>
      </w:r>
    </w:p>
    <w:p w14:paraId="4673E2FF" w14:textId="6F0251D4" w:rsidR="00425D9F" w:rsidRPr="00610B1B" w:rsidRDefault="00425D9F"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Изготвяне на Екологична оценка и Оценка за съвместимост като неотменна част на МППРБ и в трансграничен контекст, съгласно изискванията на </w:t>
      </w:r>
      <w:r w:rsidR="00E34F7C" w:rsidRPr="00610B1B">
        <w:rPr>
          <w:rFonts w:ascii="Times New Roman" w:hAnsi="Times New Roman" w:cs="Times New Roman"/>
          <w:bCs/>
          <w:sz w:val="24"/>
          <w:szCs w:val="24"/>
          <w:lang w:val="bg-BG"/>
        </w:rPr>
        <w:t xml:space="preserve">действащото национално законодателство по </w:t>
      </w:r>
      <w:r w:rsidRPr="00610B1B">
        <w:rPr>
          <w:rFonts w:ascii="Times New Roman" w:hAnsi="Times New Roman" w:cs="Times New Roman"/>
          <w:bCs/>
          <w:sz w:val="24"/>
          <w:szCs w:val="24"/>
          <w:lang w:val="bg-BG"/>
        </w:rPr>
        <w:t>опазване на околната среда</w:t>
      </w:r>
      <w:r w:rsidR="00E34F7C" w:rsidRPr="00610B1B">
        <w:rPr>
          <w:rFonts w:ascii="Times New Roman" w:hAnsi="Times New Roman" w:cs="Times New Roman"/>
          <w:bCs/>
          <w:sz w:val="24"/>
          <w:szCs w:val="24"/>
          <w:lang w:val="bg-BG"/>
        </w:rPr>
        <w:t xml:space="preserve"> и биоразнообразието,</w:t>
      </w:r>
      <w:r w:rsidRPr="00610B1B">
        <w:rPr>
          <w:rFonts w:ascii="Times New Roman" w:hAnsi="Times New Roman" w:cs="Times New Roman"/>
          <w:bCs/>
          <w:sz w:val="24"/>
          <w:szCs w:val="24"/>
          <w:lang w:val="bg-BG"/>
        </w:rPr>
        <w:t xml:space="preserve"> Конвенцията за оценка на въздействието върху околната среда в трансграничен контекст</w:t>
      </w:r>
      <w:r w:rsidR="00D84E05" w:rsidRPr="00610B1B">
        <w:rPr>
          <w:rStyle w:val="FootnoteReference"/>
          <w:rFonts w:ascii="Times New Roman" w:hAnsi="Times New Roman" w:cs="Times New Roman"/>
          <w:bCs/>
          <w:sz w:val="24"/>
          <w:szCs w:val="24"/>
          <w:lang w:val="bg-BG"/>
        </w:rPr>
        <w:footnoteReference w:id="71"/>
      </w:r>
      <w:r w:rsidRPr="00610B1B">
        <w:rPr>
          <w:rFonts w:ascii="Times New Roman" w:hAnsi="Times New Roman" w:cs="Times New Roman"/>
          <w:bCs/>
          <w:sz w:val="24"/>
          <w:szCs w:val="24"/>
          <w:lang w:val="bg-BG"/>
        </w:rPr>
        <w:t xml:space="preserve"> и Протокола за стратегическа екологична оценка към </w:t>
      </w:r>
      <w:r w:rsidR="0080451D" w:rsidRPr="00610B1B">
        <w:rPr>
          <w:rFonts w:ascii="Times New Roman" w:hAnsi="Times New Roman" w:cs="Times New Roman"/>
          <w:bCs/>
          <w:sz w:val="24"/>
          <w:szCs w:val="24"/>
          <w:lang w:val="bg-BG"/>
        </w:rPr>
        <w:t>нея</w:t>
      </w:r>
      <w:r w:rsidRPr="00610B1B">
        <w:rPr>
          <w:rFonts w:ascii="Times New Roman" w:hAnsi="Times New Roman" w:cs="Times New Roman"/>
          <w:bCs/>
          <w:sz w:val="24"/>
          <w:szCs w:val="24"/>
          <w:lang w:val="bg-BG"/>
        </w:rPr>
        <w:t xml:space="preserve"> от 2010 г.</w:t>
      </w:r>
      <w:r w:rsidR="00D66FE0" w:rsidRPr="00610B1B">
        <w:rPr>
          <w:rFonts w:ascii="Times New Roman" w:hAnsi="Times New Roman" w:cs="Times New Roman"/>
          <w:bCs/>
          <w:sz w:val="24"/>
          <w:szCs w:val="24"/>
          <w:lang w:val="bg-BG"/>
        </w:rPr>
        <w:t xml:space="preserve"> </w:t>
      </w:r>
    </w:p>
    <w:p w14:paraId="1FC06608" w14:textId="6CBCA585" w:rsidR="00425D9F" w:rsidRPr="00610B1B" w:rsidRDefault="00425D9F" w:rsidP="00B46189">
      <w:pPr>
        <w:pStyle w:val="ListParagraph"/>
        <w:numPr>
          <w:ilvl w:val="0"/>
          <w:numId w:val="6"/>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Систематизиране на принципи, правила и процедури за публични консултации и обществени обсъждания на МППРБ и на оценките на въздействието към него и провеждане на процедурите с компетентните органи, участници, заинтересовани и потенциално засегнати страни.</w:t>
      </w:r>
      <w:r w:rsidR="00D66FE0" w:rsidRPr="00610B1B">
        <w:rPr>
          <w:rFonts w:ascii="Times New Roman" w:hAnsi="Times New Roman" w:cs="Times New Roman"/>
          <w:bCs/>
          <w:sz w:val="24"/>
          <w:szCs w:val="24"/>
          <w:lang w:val="bg-BG"/>
        </w:rPr>
        <w:t xml:space="preserve"> </w:t>
      </w:r>
    </w:p>
    <w:p w14:paraId="683F3301" w14:textId="1DF9CA91" w:rsidR="00834542" w:rsidRPr="00610B1B" w:rsidRDefault="003528BC" w:rsidP="00D32D6A">
      <w:pPr>
        <w:pStyle w:val="ListParagraph"/>
        <w:spacing w:after="120"/>
        <w:ind w:left="0"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Систематизираните в няколко групи за</w:t>
      </w:r>
      <w:r w:rsidR="00425D9F" w:rsidRPr="00610B1B">
        <w:rPr>
          <w:rFonts w:ascii="Times New Roman" w:hAnsi="Times New Roman" w:cs="Times New Roman"/>
          <w:bCs/>
          <w:sz w:val="24"/>
          <w:szCs w:val="24"/>
          <w:lang w:val="bg-BG"/>
        </w:rPr>
        <w:t>дачи на Морския пространствен план</w:t>
      </w:r>
      <w:r w:rsidR="00246EED" w:rsidRPr="00610B1B">
        <w:rPr>
          <w:rFonts w:ascii="Times New Roman" w:hAnsi="Times New Roman" w:cs="Times New Roman"/>
          <w:bCs/>
          <w:sz w:val="24"/>
          <w:szCs w:val="24"/>
          <w:lang w:val="bg-BG"/>
        </w:rPr>
        <w:t xml:space="preserve"> </w:t>
      </w:r>
      <w:r w:rsidR="00425D9F" w:rsidRPr="00610B1B">
        <w:rPr>
          <w:rFonts w:ascii="Times New Roman" w:hAnsi="Times New Roman" w:cs="Times New Roman"/>
          <w:bCs/>
          <w:sz w:val="24"/>
          <w:szCs w:val="24"/>
          <w:lang w:val="bg-BG"/>
        </w:rPr>
        <w:t>съответства</w:t>
      </w:r>
      <w:r w:rsidR="00246EED" w:rsidRPr="00610B1B">
        <w:rPr>
          <w:rFonts w:ascii="Times New Roman" w:hAnsi="Times New Roman" w:cs="Times New Roman"/>
          <w:bCs/>
          <w:sz w:val="24"/>
          <w:szCs w:val="24"/>
          <w:lang w:val="bg-BG"/>
        </w:rPr>
        <w:t>т</w:t>
      </w:r>
      <w:r w:rsidR="00425D9F" w:rsidRPr="00610B1B">
        <w:rPr>
          <w:rFonts w:ascii="Times New Roman" w:hAnsi="Times New Roman" w:cs="Times New Roman"/>
          <w:bCs/>
          <w:sz w:val="24"/>
          <w:szCs w:val="24"/>
          <w:lang w:val="bg-BG"/>
        </w:rPr>
        <w:t xml:space="preserve"> на възприетите и прилагани в света 10 стъпки за морско пространствено планиране</w:t>
      </w:r>
      <w:r w:rsidR="00834542" w:rsidRPr="00610B1B">
        <w:rPr>
          <w:rFonts w:ascii="Times New Roman" w:hAnsi="Times New Roman" w:cs="Times New Roman"/>
          <w:bCs/>
          <w:sz w:val="24"/>
          <w:szCs w:val="24"/>
          <w:lang w:val="bg-BG"/>
        </w:rPr>
        <w:t xml:space="preserve"> и изграждат структурата на документа. </w:t>
      </w:r>
    </w:p>
    <w:p w14:paraId="03DFBAAF" w14:textId="77777777" w:rsidR="00834542" w:rsidRPr="00610B1B" w:rsidRDefault="00834542" w:rsidP="00D32D6A">
      <w:pPr>
        <w:spacing w:after="120"/>
        <w:ind w:right="-153"/>
        <w:rPr>
          <w:rFonts w:ascii="Times New Roman" w:eastAsia="Source Han Sans CN Regular" w:hAnsi="Times New Roman" w:cs="Times New Roman"/>
          <w:b/>
          <w:bCs/>
          <w:sz w:val="36"/>
          <w:szCs w:val="36"/>
          <w:lang w:val="bg-BG" w:eastAsia="zh-CN" w:bidi="hi-IN"/>
        </w:rPr>
      </w:pPr>
      <w:r w:rsidRPr="00610B1B">
        <w:rPr>
          <w:rFonts w:ascii="Times New Roman" w:hAnsi="Times New Roman" w:cs="Times New Roman"/>
          <w:lang w:val="bg-BG"/>
        </w:rPr>
        <w:br w:type="page"/>
      </w:r>
    </w:p>
    <w:p w14:paraId="6C031AD7" w14:textId="0E2A327E" w:rsidR="00E45540" w:rsidRPr="00610B1B" w:rsidRDefault="00430786" w:rsidP="00D32D6A">
      <w:pPr>
        <w:pStyle w:val="Heading1"/>
        <w:spacing w:before="0" w:line="276" w:lineRule="auto"/>
        <w:ind w:right="-153"/>
        <w:rPr>
          <w:rFonts w:cs="Times New Roman"/>
        </w:rPr>
      </w:pPr>
      <w:bookmarkStart w:id="17" w:name="_Toc83391358"/>
      <w:r w:rsidRPr="00610B1B">
        <w:rPr>
          <w:rFonts w:cs="Times New Roman"/>
        </w:rPr>
        <w:lastRenderedPageBreak/>
        <w:t xml:space="preserve">2. </w:t>
      </w:r>
      <w:r w:rsidR="00E45540" w:rsidRPr="00610B1B">
        <w:rPr>
          <w:rFonts w:cs="Times New Roman"/>
        </w:rPr>
        <w:t>СЪСТОЯНИЕ НА НАЦИОНАЛНОТО МОРСКО ПРОСТРАНСТВО</w:t>
      </w:r>
      <w:bookmarkEnd w:id="17"/>
    </w:p>
    <w:p w14:paraId="1A415E35" w14:textId="77777777" w:rsidR="00430786" w:rsidRPr="00610B1B" w:rsidRDefault="00430786" w:rsidP="00D32D6A">
      <w:pPr>
        <w:pStyle w:val="Heading2"/>
        <w:spacing w:before="0" w:line="276" w:lineRule="auto"/>
        <w:ind w:right="-153"/>
        <w:rPr>
          <w:rFonts w:cs="Times New Roman"/>
        </w:rPr>
      </w:pPr>
      <w:bookmarkStart w:id="18" w:name="_Toc83391359"/>
      <w:r w:rsidRPr="00610B1B">
        <w:rPr>
          <w:rFonts w:cs="Times New Roman"/>
        </w:rPr>
        <w:t>2.1. Особености на Черноморския регион</w:t>
      </w:r>
      <w:bookmarkEnd w:id="18"/>
    </w:p>
    <w:p w14:paraId="58C7D84A" w14:textId="40787F56" w:rsidR="00430786" w:rsidRPr="00610B1B" w:rsidRDefault="0083454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 xml:space="preserve">Черно море е </w:t>
      </w:r>
      <w:r w:rsidRPr="00610B1B">
        <w:rPr>
          <w:rFonts w:ascii="Times New Roman" w:eastAsia="Times New Roman" w:hAnsi="Times New Roman" w:cs="Times New Roman"/>
          <w:b/>
          <w:i/>
          <w:sz w:val="24"/>
          <w:szCs w:val="24"/>
          <w:lang w:val="bg-BG" w:eastAsia="bg-BG"/>
        </w:rPr>
        <w:t>полузатворен басейн</w:t>
      </w:r>
      <w:r w:rsidRPr="00610B1B">
        <w:rPr>
          <w:rFonts w:ascii="Times New Roman" w:eastAsia="Times New Roman" w:hAnsi="Times New Roman" w:cs="Times New Roman"/>
          <w:sz w:val="24"/>
          <w:szCs w:val="24"/>
          <w:lang w:val="bg-BG" w:eastAsia="bg-BG"/>
        </w:rPr>
        <w:t>, разположен между Европа и Азия</w:t>
      </w:r>
      <w:r w:rsidR="005E308D" w:rsidRPr="00610B1B">
        <w:rPr>
          <w:rFonts w:ascii="Times New Roman" w:eastAsia="Times New Roman" w:hAnsi="Times New Roman" w:cs="Times New Roman"/>
          <w:sz w:val="24"/>
          <w:szCs w:val="24"/>
          <w:lang w:val="bg-BG" w:eastAsia="bg-BG"/>
        </w:rPr>
        <w:t xml:space="preserve"> с е</w:t>
      </w:r>
      <w:r w:rsidRPr="00610B1B">
        <w:rPr>
          <w:rFonts w:ascii="Times New Roman" w:eastAsia="Times New Roman" w:hAnsi="Times New Roman" w:cs="Times New Roman"/>
          <w:sz w:val="24"/>
          <w:szCs w:val="24"/>
          <w:lang w:val="bg-BG" w:eastAsia="bg-BG"/>
        </w:rPr>
        <w:t xml:space="preserve">динствена връзка със световния океан през Средиземно море чрез Босфора. На север чрез протока Керч </w:t>
      </w:r>
      <w:r w:rsidR="005E308D" w:rsidRPr="00610B1B">
        <w:rPr>
          <w:rFonts w:ascii="Times New Roman" w:eastAsia="Times New Roman" w:hAnsi="Times New Roman" w:cs="Times New Roman"/>
          <w:sz w:val="24"/>
          <w:szCs w:val="24"/>
          <w:lang w:val="bg-BG" w:eastAsia="bg-BG"/>
        </w:rPr>
        <w:t>то</w:t>
      </w:r>
      <w:r w:rsidRPr="00610B1B">
        <w:rPr>
          <w:rFonts w:ascii="Times New Roman" w:eastAsia="Times New Roman" w:hAnsi="Times New Roman" w:cs="Times New Roman"/>
          <w:sz w:val="24"/>
          <w:szCs w:val="24"/>
          <w:lang w:val="bg-BG" w:eastAsia="bg-BG"/>
        </w:rPr>
        <w:t xml:space="preserve"> се свързва с Азовско море. </w:t>
      </w:r>
      <w:r w:rsidR="00430786" w:rsidRPr="00610B1B">
        <w:rPr>
          <w:rFonts w:ascii="Times New Roman" w:eastAsia="Times New Roman" w:hAnsi="Times New Roman" w:cs="Times New Roman"/>
          <w:sz w:val="24"/>
          <w:szCs w:val="24"/>
          <w:lang w:val="bg-BG" w:eastAsia="bg-BG"/>
        </w:rPr>
        <w:t>Българската акватория заема най-западните части от Черноморския басейн.</w:t>
      </w:r>
    </w:p>
    <w:p w14:paraId="3D9E2610" w14:textId="22DC0956" w:rsidR="00430786" w:rsidRPr="00610B1B" w:rsidRDefault="00221514"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Българското </w:t>
      </w:r>
      <w:r w:rsidR="00430786" w:rsidRPr="00610B1B">
        <w:rPr>
          <w:rFonts w:ascii="Times New Roman" w:eastAsia="Times New Roman" w:hAnsi="Times New Roman" w:cs="Times New Roman"/>
          <w:sz w:val="24"/>
          <w:szCs w:val="24"/>
          <w:lang w:val="bg-BG"/>
        </w:rPr>
        <w:t>Черноморско крайбрежие в геоложко отношение е изградено в северната си част от седиментни скали, а в южната</w:t>
      </w:r>
      <w:r w:rsidR="00834542" w:rsidRPr="00610B1B">
        <w:rPr>
          <w:rFonts w:ascii="Times New Roman" w:eastAsia="Times New Roman" w:hAnsi="Times New Roman" w:cs="Times New Roman"/>
          <w:sz w:val="24"/>
          <w:szCs w:val="24"/>
          <w:lang w:val="bg-BG"/>
        </w:rPr>
        <w:t xml:space="preserve"> </w:t>
      </w:r>
      <w:r w:rsidR="00430786" w:rsidRPr="00610B1B">
        <w:rPr>
          <w:rFonts w:ascii="Times New Roman" w:eastAsia="Times New Roman" w:hAnsi="Times New Roman" w:cs="Times New Roman"/>
          <w:sz w:val="24"/>
          <w:szCs w:val="24"/>
          <w:lang w:val="bg-BG"/>
        </w:rPr>
        <w:t>– от магмени скали</w:t>
      </w:r>
      <w:r w:rsidR="00834542" w:rsidRPr="00610B1B">
        <w:rPr>
          <w:rFonts w:ascii="Times New Roman" w:eastAsia="Times New Roman" w:hAnsi="Times New Roman" w:cs="Times New Roman"/>
          <w:sz w:val="24"/>
          <w:szCs w:val="24"/>
          <w:lang w:val="bg-BG"/>
        </w:rPr>
        <w:t>,</w:t>
      </w:r>
      <w:r w:rsidR="00430786" w:rsidRPr="00610B1B">
        <w:rPr>
          <w:rFonts w:ascii="Times New Roman" w:eastAsia="Times New Roman" w:hAnsi="Times New Roman" w:cs="Times New Roman"/>
          <w:sz w:val="24"/>
          <w:szCs w:val="24"/>
          <w:lang w:val="bg-BG"/>
        </w:rPr>
        <w:t xml:space="preserve"> придружени с пирокластични материали и по-малко седиментни скали. Тези скални формации продължават и под морските води. </w:t>
      </w:r>
      <w:r w:rsidR="00EB7F85" w:rsidRPr="00610B1B">
        <w:rPr>
          <w:rFonts w:ascii="Times New Roman" w:eastAsia="Times New Roman" w:hAnsi="Times New Roman" w:cs="Times New Roman"/>
          <w:sz w:val="24"/>
          <w:szCs w:val="24"/>
          <w:lang w:val="bg-BG"/>
        </w:rPr>
        <w:t xml:space="preserve">Друга особеност </w:t>
      </w:r>
      <w:r w:rsidR="00430786" w:rsidRPr="00610B1B">
        <w:rPr>
          <w:rFonts w:ascii="Times New Roman" w:hAnsi="Times New Roman" w:cs="Times New Roman"/>
          <w:sz w:val="24"/>
          <w:szCs w:val="24"/>
          <w:lang w:val="bg-BG"/>
        </w:rPr>
        <w:t xml:space="preserve">е </w:t>
      </w:r>
      <w:r w:rsidR="00430786" w:rsidRPr="00610B1B">
        <w:rPr>
          <w:rFonts w:ascii="Times New Roman" w:hAnsi="Times New Roman" w:cs="Times New Roman"/>
          <w:b/>
          <w:i/>
          <w:sz w:val="24"/>
          <w:szCs w:val="24"/>
          <w:lang w:val="bg-BG"/>
        </w:rPr>
        <w:t xml:space="preserve">слабата </w:t>
      </w:r>
      <w:r w:rsidR="00F53A42" w:rsidRPr="00610B1B">
        <w:rPr>
          <w:rFonts w:ascii="Times New Roman" w:hAnsi="Times New Roman" w:cs="Times New Roman"/>
          <w:b/>
          <w:i/>
          <w:sz w:val="24"/>
          <w:szCs w:val="24"/>
          <w:lang w:val="bg-BG"/>
        </w:rPr>
        <w:t xml:space="preserve">му </w:t>
      </w:r>
      <w:r w:rsidR="00430786" w:rsidRPr="00610B1B">
        <w:rPr>
          <w:rFonts w:ascii="Times New Roman" w:hAnsi="Times New Roman" w:cs="Times New Roman"/>
          <w:b/>
          <w:i/>
          <w:sz w:val="24"/>
          <w:szCs w:val="24"/>
          <w:lang w:val="bg-BG"/>
        </w:rPr>
        <w:t>разчлененост</w:t>
      </w:r>
      <w:r w:rsidR="00430786" w:rsidRPr="00610B1B">
        <w:rPr>
          <w:rFonts w:ascii="Times New Roman" w:hAnsi="Times New Roman" w:cs="Times New Roman"/>
          <w:i/>
          <w:sz w:val="24"/>
          <w:szCs w:val="24"/>
          <w:lang w:val="bg-BG"/>
        </w:rPr>
        <w:t>.</w:t>
      </w:r>
      <w:r w:rsidR="00430786" w:rsidRPr="00610B1B">
        <w:rPr>
          <w:rFonts w:ascii="Times New Roman" w:hAnsi="Times New Roman" w:cs="Times New Roman"/>
          <w:sz w:val="24"/>
          <w:szCs w:val="24"/>
          <w:lang w:val="bg-BG"/>
        </w:rPr>
        <w:t xml:space="preserve"> В крайбрежните териториални води </w:t>
      </w:r>
      <w:r w:rsidR="00EB7F85" w:rsidRPr="00610B1B">
        <w:rPr>
          <w:rFonts w:ascii="Times New Roman" w:hAnsi="Times New Roman" w:cs="Times New Roman"/>
          <w:sz w:val="24"/>
          <w:szCs w:val="24"/>
          <w:lang w:val="bg-BG"/>
        </w:rPr>
        <w:t>няма</w:t>
      </w:r>
      <w:r w:rsidR="00430786" w:rsidRPr="00610B1B">
        <w:rPr>
          <w:rFonts w:ascii="Times New Roman" w:hAnsi="Times New Roman" w:cs="Times New Roman"/>
          <w:sz w:val="24"/>
          <w:szCs w:val="24"/>
          <w:lang w:val="bg-BG"/>
        </w:rPr>
        <w:t xml:space="preserve"> големи острови, което е типично за Черно море. </w:t>
      </w:r>
      <w:r w:rsidR="00430786" w:rsidRPr="00610B1B">
        <w:rPr>
          <w:rFonts w:ascii="Times New Roman" w:eastAsia="Times New Roman" w:hAnsi="Times New Roman" w:cs="Times New Roman"/>
          <w:sz w:val="24"/>
          <w:szCs w:val="24"/>
          <w:lang w:val="bg-BG"/>
        </w:rPr>
        <w:t>Плажовете заемат 1/3 от дължината на българския бряг. Най-големите плажове са разположени северно от Варна и между Бургас и нос Емине.</w:t>
      </w:r>
      <w:r w:rsidR="00F53A42" w:rsidRPr="00610B1B">
        <w:rPr>
          <w:rFonts w:ascii="Times New Roman" w:eastAsia="Times New Roman" w:hAnsi="Times New Roman" w:cs="Times New Roman"/>
          <w:sz w:val="24"/>
          <w:szCs w:val="24"/>
          <w:lang w:val="bg-BG"/>
        </w:rPr>
        <w:t xml:space="preserve"> </w:t>
      </w:r>
    </w:p>
    <w:p w14:paraId="77270A5A" w14:textId="1BD19209" w:rsidR="00430786" w:rsidRPr="00610B1B" w:rsidRDefault="00EB7F85"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i/>
          <w:sz w:val="24"/>
          <w:szCs w:val="24"/>
          <w:lang w:val="bg-BG"/>
        </w:rPr>
        <w:t xml:space="preserve">Свлачищната </w:t>
      </w:r>
      <w:r w:rsidR="00430786" w:rsidRPr="00610B1B">
        <w:rPr>
          <w:rFonts w:ascii="Times New Roman" w:hAnsi="Times New Roman" w:cs="Times New Roman"/>
          <w:b/>
          <w:i/>
          <w:sz w:val="24"/>
          <w:szCs w:val="24"/>
          <w:lang w:val="bg-BG"/>
        </w:rPr>
        <w:t>дейност</w:t>
      </w:r>
      <w:r w:rsidR="00430786" w:rsidRPr="00610B1B">
        <w:rPr>
          <w:rFonts w:ascii="Times New Roman" w:hAnsi="Times New Roman" w:cs="Times New Roman"/>
          <w:i/>
          <w:sz w:val="24"/>
          <w:szCs w:val="24"/>
          <w:lang w:val="bg-BG"/>
        </w:rPr>
        <w:t xml:space="preserve"> </w:t>
      </w:r>
      <w:r w:rsidR="00430786" w:rsidRPr="00610B1B">
        <w:rPr>
          <w:rFonts w:ascii="Times New Roman" w:hAnsi="Times New Roman" w:cs="Times New Roman"/>
          <w:sz w:val="24"/>
          <w:szCs w:val="24"/>
          <w:lang w:val="bg-BG"/>
        </w:rPr>
        <w:t>по българското Черноморско крайбрежие, ко</w:t>
      </w:r>
      <w:r w:rsidR="00011F0B" w:rsidRPr="00610B1B">
        <w:rPr>
          <w:rFonts w:ascii="Times New Roman" w:hAnsi="Times New Roman" w:cs="Times New Roman"/>
          <w:sz w:val="24"/>
          <w:szCs w:val="24"/>
          <w:lang w:val="bg-BG"/>
        </w:rPr>
        <w:t>я</w:t>
      </w:r>
      <w:r w:rsidR="00430786" w:rsidRPr="00610B1B">
        <w:rPr>
          <w:rFonts w:ascii="Times New Roman" w:hAnsi="Times New Roman" w:cs="Times New Roman"/>
          <w:sz w:val="24"/>
          <w:szCs w:val="24"/>
          <w:lang w:val="bg-BG"/>
        </w:rPr>
        <w:t>то заема около 13% от морския бряг</w:t>
      </w:r>
      <w:r w:rsidRPr="00610B1B">
        <w:rPr>
          <w:rFonts w:ascii="Times New Roman" w:hAnsi="Times New Roman" w:cs="Times New Roman"/>
          <w:sz w:val="24"/>
          <w:szCs w:val="24"/>
          <w:lang w:val="bg-BG"/>
        </w:rPr>
        <w:t xml:space="preserve"> е по-изявена в С</w:t>
      </w:r>
      <w:r w:rsidR="00430786" w:rsidRPr="00610B1B">
        <w:rPr>
          <w:rFonts w:ascii="Times New Roman" w:hAnsi="Times New Roman" w:cs="Times New Roman"/>
          <w:sz w:val="24"/>
          <w:szCs w:val="24"/>
          <w:lang w:val="bg-BG"/>
        </w:rPr>
        <w:t>еверните части на крайбрежието</w:t>
      </w:r>
      <w:r w:rsidRPr="00610B1B">
        <w:rPr>
          <w:rFonts w:ascii="Times New Roman" w:hAnsi="Times New Roman" w:cs="Times New Roman"/>
          <w:sz w:val="24"/>
          <w:szCs w:val="24"/>
          <w:lang w:val="bg-BG"/>
        </w:rPr>
        <w:t>, поради</w:t>
      </w:r>
      <w:r w:rsidR="00430786" w:rsidRPr="00610B1B">
        <w:rPr>
          <w:rFonts w:ascii="Times New Roman" w:hAnsi="Times New Roman" w:cs="Times New Roman"/>
          <w:sz w:val="24"/>
          <w:szCs w:val="24"/>
          <w:lang w:val="bg-BG"/>
        </w:rPr>
        <w:t xml:space="preserve"> значителни</w:t>
      </w:r>
      <w:r w:rsidR="00D934B0" w:rsidRPr="00610B1B">
        <w:rPr>
          <w:rFonts w:ascii="Times New Roman" w:hAnsi="Times New Roman" w:cs="Times New Roman"/>
          <w:sz w:val="24"/>
          <w:szCs w:val="24"/>
          <w:lang w:val="bg-BG"/>
        </w:rPr>
        <w:t>те</w:t>
      </w:r>
      <w:r w:rsidR="00430786" w:rsidRPr="00610B1B">
        <w:rPr>
          <w:rFonts w:ascii="Times New Roman" w:hAnsi="Times New Roman" w:cs="Times New Roman"/>
          <w:sz w:val="24"/>
          <w:szCs w:val="24"/>
          <w:lang w:val="bg-BG"/>
        </w:rPr>
        <w:t xml:space="preserve"> площ</w:t>
      </w:r>
      <w:r w:rsidR="005E308D" w:rsidRPr="00610B1B">
        <w:rPr>
          <w:rFonts w:ascii="Times New Roman" w:hAnsi="Times New Roman" w:cs="Times New Roman"/>
          <w:sz w:val="24"/>
          <w:szCs w:val="24"/>
          <w:lang w:val="bg-BG"/>
        </w:rPr>
        <w:t>и</w:t>
      </w:r>
      <w:r w:rsidR="00430786" w:rsidRPr="00610B1B">
        <w:rPr>
          <w:rFonts w:ascii="Times New Roman" w:hAnsi="Times New Roman" w:cs="Times New Roman"/>
          <w:sz w:val="24"/>
          <w:szCs w:val="24"/>
          <w:lang w:val="bg-BG"/>
        </w:rPr>
        <w:t xml:space="preserve"> седиментни скали и високи наклони, активирани допълнително от човешката намеса.</w:t>
      </w:r>
    </w:p>
    <w:p w14:paraId="37115CF5" w14:textId="1E977026" w:rsidR="00430786" w:rsidRPr="00610B1B" w:rsidRDefault="00430786" w:rsidP="00D32D6A">
      <w:pPr>
        <w:spacing w:after="120"/>
        <w:ind w:right="-153"/>
        <w:jc w:val="both"/>
        <w:rPr>
          <w:rFonts w:ascii="Times New Roman" w:hAnsi="Times New Roman" w:cs="Times New Roman"/>
          <w:sz w:val="24"/>
          <w:szCs w:val="24"/>
          <w:lang w:val="bg-BG"/>
        </w:rPr>
      </w:pPr>
      <w:r w:rsidRPr="00610B1B">
        <w:rPr>
          <w:rFonts w:ascii="Times New Roman" w:eastAsia="Times New Roman" w:hAnsi="Times New Roman" w:cs="Times New Roman"/>
          <w:b/>
          <w:i/>
          <w:sz w:val="24"/>
          <w:szCs w:val="24"/>
          <w:lang w:val="bg-BG"/>
        </w:rPr>
        <w:t>Климатът</w:t>
      </w:r>
      <w:r w:rsidRPr="00610B1B">
        <w:rPr>
          <w:rFonts w:ascii="Times New Roman" w:eastAsia="Times New Roman" w:hAnsi="Times New Roman" w:cs="Times New Roman"/>
          <w:sz w:val="24"/>
          <w:szCs w:val="24"/>
          <w:lang w:val="bg-BG"/>
        </w:rPr>
        <w:t xml:space="preserve"> се формира под влияние на общата атмосферна циркулация и влиянието на морския басейн, което е силно ограничено на запад. </w:t>
      </w:r>
      <w:r w:rsidR="00D934B0" w:rsidRPr="00610B1B">
        <w:rPr>
          <w:rFonts w:ascii="Times New Roman" w:eastAsia="Times New Roman" w:hAnsi="Times New Roman" w:cs="Times New Roman"/>
          <w:sz w:val="24"/>
          <w:szCs w:val="24"/>
          <w:lang w:val="bg-BG"/>
        </w:rPr>
        <w:t xml:space="preserve">Отвореността </w:t>
      </w:r>
      <w:r w:rsidRPr="00610B1B">
        <w:rPr>
          <w:rFonts w:ascii="Times New Roman" w:eastAsia="Times New Roman" w:hAnsi="Times New Roman" w:cs="Times New Roman"/>
          <w:sz w:val="24"/>
          <w:szCs w:val="24"/>
          <w:lang w:val="bg-BG"/>
        </w:rPr>
        <w:t>на Черноморския регион на север и североизток</w:t>
      </w:r>
      <w:r w:rsidR="00D934B0" w:rsidRPr="00610B1B">
        <w:rPr>
          <w:rFonts w:ascii="Times New Roman" w:eastAsia="Times New Roman" w:hAnsi="Times New Roman" w:cs="Times New Roman"/>
          <w:sz w:val="24"/>
          <w:szCs w:val="24"/>
          <w:lang w:val="bg-BG"/>
        </w:rPr>
        <w:t xml:space="preserve"> е </w:t>
      </w:r>
      <w:r w:rsidRPr="00610B1B">
        <w:rPr>
          <w:rFonts w:ascii="Times New Roman" w:eastAsia="Times New Roman" w:hAnsi="Times New Roman" w:cs="Times New Roman"/>
          <w:sz w:val="24"/>
          <w:szCs w:val="24"/>
          <w:lang w:val="bg-BG"/>
        </w:rPr>
        <w:t>една от причините българският сектор</w:t>
      </w:r>
      <w:r w:rsidR="00204AF3" w:rsidRPr="00610B1B">
        <w:rPr>
          <w:rFonts w:ascii="Times New Roman" w:eastAsia="Times New Roman" w:hAnsi="Times New Roman" w:cs="Times New Roman"/>
          <w:sz w:val="24"/>
          <w:szCs w:val="24"/>
          <w:lang w:val="bg-BG"/>
        </w:rPr>
        <w:t xml:space="preserve"> на Черно море и крайбрежие да са по-студени</w:t>
      </w:r>
      <w:r w:rsidRPr="00610B1B">
        <w:rPr>
          <w:rFonts w:ascii="Times New Roman" w:eastAsia="Times New Roman" w:hAnsi="Times New Roman" w:cs="Times New Roman"/>
          <w:sz w:val="24"/>
          <w:szCs w:val="24"/>
          <w:lang w:val="bg-BG"/>
        </w:rPr>
        <w:t xml:space="preserve"> през зимата от югоизточния сектор на морето </w:t>
      </w:r>
      <w:r w:rsidR="00204AF3" w:rsidRPr="00610B1B">
        <w:rPr>
          <w:rFonts w:ascii="Times New Roman" w:hAnsi="Times New Roman" w:cs="Times New Roman"/>
          <w:sz w:val="24"/>
          <w:szCs w:val="24"/>
          <w:lang w:val="bg-BG"/>
        </w:rPr>
        <w:t xml:space="preserve">и прилежащата акватория. </w:t>
      </w:r>
      <w:r w:rsidRPr="00610B1B">
        <w:rPr>
          <w:rFonts w:ascii="Times New Roman" w:hAnsi="Times New Roman" w:cs="Times New Roman"/>
          <w:sz w:val="24"/>
          <w:szCs w:val="24"/>
          <w:lang w:val="bg-BG"/>
        </w:rPr>
        <w:t>Климатичното влияние на морския</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басейн е най-осезателно при повишаване на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януарски температури на въздуха, които са между 1,0 и 3,2°С, и при отчетените малки годишни температурни амплитуди. През топлото полугодие е характерна </w:t>
      </w:r>
      <w:r w:rsidRPr="00610B1B">
        <w:rPr>
          <w:rFonts w:ascii="Times New Roman" w:hAnsi="Times New Roman" w:cs="Times New Roman"/>
          <w:b/>
          <w:i/>
          <w:sz w:val="24"/>
          <w:szCs w:val="24"/>
          <w:lang w:val="bg-BG"/>
        </w:rPr>
        <w:t>бризовата циркулация</w:t>
      </w:r>
      <w:r w:rsidRPr="00610B1B">
        <w:rPr>
          <w:rFonts w:ascii="Times New Roman" w:hAnsi="Times New Roman" w:cs="Times New Roman"/>
          <w:sz w:val="24"/>
          <w:szCs w:val="24"/>
          <w:lang w:val="bg-BG"/>
        </w:rPr>
        <w:t xml:space="preserve">, която ограничава високите температури на въздуха. Скоростта на бризовия вятър </w:t>
      </w:r>
      <w:r w:rsidRPr="00610B1B">
        <w:rPr>
          <w:rFonts w:ascii="Times New Roman" w:eastAsia="Times New Roman" w:hAnsi="Times New Roman" w:cs="Times New Roman"/>
          <w:sz w:val="24"/>
          <w:szCs w:val="24"/>
          <w:lang w:val="bg-BG" w:bidi="en-US"/>
        </w:rPr>
        <w:t>достига до 3-5 m/s през деня и 1-3 m/s през нощта.</w:t>
      </w:r>
      <w:r w:rsidRPr="00610B1B">
        <w:rPr>
          <w:rFonts w:ascii="Times New Roman" w:hAnsi="Times New Roman" w:cs="Times New Roman"/>
          <w:sz w:val="24"/>
          <w:szCs w:val="24"/>
          <w:lang w:val="bg-BG"/>
        </w:rPr>
        <w:t xml:space="preserve"> </w:t>
      </w:r>
    </w:p>
    <w:p w14:paraId="3027EEAF" w14:textId="164EFDB3" w:rsidR="00430786" w:rsidRPr="00610B1B" w:rsidRDefault="0043078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 Северното крайбрежие сезонните суми на валежите се изравняват, докато при Южното Черноморие преобладават валежите през студеното полугодие, свидетелство за засилване на </w:t>
      </w:r>
      <w:r w:rsidRPr="00610B1B">
        <w:rPr>
          <w:rFonts w:ascii="Times New Roman" w:hAnsi="Times New Roman" w:cs="Times New Roman"/>
          <w:b/>
          <w:i/>
          <w:sz w:val="24"/>
          <w:szCs w:val="24"/>
          <w:lang w:val="bg-BG"/>
        </w:rPr>
        <w:t>средиземноморското климатично влияние</w:t>
      </w:r>
      <w:r w:rsidRPr="00610B1B">
        <w:rPr>
          <w:rFonts w:ascii="Times New Roman" w:hAnsi="Times New Roman" w:cs="Times New Roman"/>
          <w:sz w:val="24"/>
          <w:szCs w:val="24"/>
          <w:lang w:val="bg-BG"/>
        </w:rPr>
        <w:t xml:space="preserve">. </w:t>
      </w:r>
      <w:r w:rsidR="001802D1" w:rsidRPr="00610B1B">
        <w:rPr>
          <w:rFonts w:ascii="Times New Roman" w:hAnsi="Times New Roman" w:cs="Times New Roman"/>
          <w:sz w:val="24"/>
          <w:szCs w:val="24"/>
          <w:lang w:val="bg-BG"/>
        </w:rPr>
        <w:t xml:space="preserve">В </w:t>
      </w:r>
      <w:r w:rsidRPr="00610B1B">
        <w:rPr>
          <w:rFonts w:ascii="Times New Roman" w:hAnsi="Times New Roman" w:cs="Times New Roman"/>
          <w:sz w:val="24"/>
          <w:szCs w:val="24"/>
          <w:lang w:val="bg-BG"/>
        </w:rPr>
        <w:t>район</w:t>
      </w:r>
      <w:r w:rsidR="005B3535"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между Балчик и Калиакра са измерени най-малките годишни валежи в България</w:t>
      </w:r>
      <w:r w:rsidR="00EB7F85" w:rsidRPr="00610B1B">
        <w:rPr>
          <w:rFonts w:ascii="Times New Roman" w:hAnsi="Times New Roman" w:cs="Times New Roman"/>
          <w:sz w:val="24"/>
          <w:szCs w:val="24"/>
          <w:lang w:val="bg-BG"/>
        </w:rPr>
        <w:t xml:space="preserve"> </w:t>
      </w:r>
      <w:r w:rsidR="00AC5F2E" w:rsidRPr="00610B1B">
        <w:rPr>
          <w:rFonts w:ascii="Times New Roman" w:eastAsia="Times New Roman" w:hAnsi="Times New Roman" w:cs="Times New Roman"/>
          <w:sz w:val="24"/>
          <w:szCs w:val="24"/>
          <w:lang w:val="bg-BG" w:eastAsia="bg-BG"/>
        </w:rPr>
        <w:t>–</w:t>
      </w:r>
      <w:r w:rsidR="00EB7F85" w:rsidRPr="00610B1B">
        <w:rPr>
          <w:rFonts w:ascii="Times New Roman" w:eastAsia="Times New Roman" w:hAnsi="Times New Roman" w:cs="Times New Roman"/>
          <w:sz w:val="24"/>
          <w:szCs w:val="24"/>
          <w:lang w:val="bg-BG" w:eastAsia="bg-BG"/>
        </w:rPr>
        <w:t xml:space="preserve"> </w:t>
      </w:r>
      <w:r w:rsidRPr="00610B1B">
        <w:rPr>
          <w:rFonts w:ascii="Times New Roman" w:hAnsi="Times New Roman" w:cs="Times New Roman"/>
          <w:sz w:val="24"/>
          <w:szCs w:val="24"/>
          <w:lang w:val="bg-BG"/>
        </w:rPr>
        <w:t>под 450</w:t>
      </w:r>
      <w:r w:rsidR="00AC5F2E" w:rsidRPr="00610B1B">
        <w:rPr>
          <w:rFonts w:ascii="Times New Roman" w:hAnsi="Times New Roman" w:cs="Times New Roman"/>
          <w:sz w:val="24"/>
          <w:szCs w:val="24"/>
          <w:lang w:val="bg-BG"/>
        </w:rPr>
        <w:t> </w:t>
      </w:r>
      <w:r w:rsidR="005B3535"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 xml:space="preserve">. </w:t>
      </w:r>
    </w:p>
    <w:p w14:paraId="1E115D22" w14:textId="014C7866" w:rsidR="00430786" w:rsidRPr="00610B1B" w:rsidRDefault="0043078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Една от най-важните особености на Черно море</w:t>
      </w:r>
      <w:r w:rsidR="00011F0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неговата изолираност</w:t>
      </w:r>
      <w:r w:rsidR="00011F0B" w:rsidRPr="00610B1B">
        <w:rPr>
          <w:rFonts w:ascii="Times New Roman" w:hAnsi="Times New Roman" w:cs="Times New Roman"/>
          <w:sz w:val="24"/>
          <w:szCs w:val="24"/>
          <w:lang w:val="bg-BG"/>
        </w:rPr>
        <w:t xml:space="preserve">, е </w:t>
      </w:r>
      <w:r w:rsidRPr="00610B1B">
        <w:rPr>
          <w:rFonts w:ascii="Times New Roman" w:hAnsi="Times New Roman" w:cs="Times New Roman"/>
          <w:sz w:val="24"/>
          <w:szCs w:val="24"/>
          <w:lang w:val="bg-BG"/>
        </w:rPr>
        <w:t xml:space="preserve">предпоставка за </w:t>
      </w:r>
      <w:r w:rsidRPr="00610B1B">
        <w:rPr>
          <w:rFonts w:ascii="Times New Roman" w:hAnsi="Times New Roman" w:cs="Times New Roman"/>
          <w:b/>
          <w:i/>
          <w:sz w:val="24"/>
          <w:szCs w:val="24"/>
          <w:lang w:val="bg-BG"/>
        </w:rPr>
        <w:t>затруднен обмен на водни маси</w:t>
      </w:r>
      <w:r w:rsidRPr="00610B1B">
        <w:rPr>
          <w:rFonts w:ascii="Times New Roman" w:hAnsi="Times New Roman" w:cs="Times New Roman"/>
          <w:sz w:val="24"/>
          <w:szCs w:val="24"/>
          <w:lang w:val="bg-BG"/>
        </w:rPr>
        <w:t xml:space="preserve"> и задържане на постъпващото замърсяване. Вливащият се голям речен приток поддържа ниска соленост на морските води. Водните </w:t>
      </w:r>
      <w:r w:rsidRPr="00610B1B">
        <w:rPr>
          <w:rFonts w:ascii="Times New Roman" w:eastAsia="TT24o00" w:hAnsi="Times New Roman" w:cs="Times New Roman"/>
          <w:sz w:val="24"/>
          <w:szCs w:val="24"/>
          <w:lang w:val="bg-BG"/>
        </w:rPr>
        <w:t>маси на Черно море се формират от постъпващите речни води, валежите, обмен</w:t>
      </w:r>
      <w:r w:rsidR="00011F0B" w:rsidRPr="00610B1B">
        <w:rPr>
          <w:rFonts w:ascii="Times New Roman" w:eastAsia="TT24o00" w:hAnsi="Times New Roman" w:cs="Times New Roman"/>
          <w:sz w:val="24"/>
          <w:szCs w:val="24"/>
          <w:lang w:val="bg-BG"/>
        </w:rPr>
        <w:t>а</w:t>
      </w:r>
      <w:r w:rsidRPr="00610B1B">
        <w:rPr>
          <w:rFonts w:ascii="Times New Roman" w:eastAsia="TT24o00" w:hAnsi="Times New Roman" w:cs="Times New Roman"/>
          <w:sz w:val="24"/>
          <w:szCs w:val="24"/>
          <w:lang w:val="bg-BG"/>
        </w:rPr>
        <w:t xml:space="preserve"> с водите на Мраморно и Азовско море и изпарението. </w:t>
      </w:r>
    </w:p>
    <w:p w14:paraId="1B2EB580" w14:textId="2EA015D5" w:rsidR="00430786" w:rsidRPr="00610B1B" w:rsidRDefault="00430786" w:rsidP="00D32D6A">
      <w:pPr>
        <w:spacing w:after="120"/>
        <w:ind w:right="-153"/>
        <w:jc w:val="both"/>
        <w:rPr>
          <w:rFonts w:ascii="Times New Roman" w:hAnsi="Times New Roman" w:cs="Times New Roman"/>
          <w:sz w:val="24"/>
          <w:szCs w:val="24"/>
          <w:lang w:val="bg-BG"/>
        </w:rPr>
      </w:pPr>
      <w:r w:rsidRPr="00610B1B">
        <w:rPr>
          <w:rFonts w:ascii="Times New Roman" w:eastAsia="Times New Roman" w:hAnsi="Times New Roman" w:cs="Times New Roman"/>
          <w:sz w:val="24"/>
          <w:szCs w:val="24"/>
          <w:lang w:val="bg-BG" w:bidi="en-US"/>
        </w:rPr>
        <w:t>Черно море е едно от моретата</w:t>
      </w:r>
      <w:r w:rsidR="005B3535" w:rsidRPr="00610B1B">
        <w:rPr>
          <w:rFonts w:ascii="Times New Roman" w:eastAsia="Times New Roman" w:hAnsi="Times New Roman" w:cs="Times New Roman"/>
          <w:sz w:val="24"/>
          <w:szCs w:val="24"/>
          <w:lang w:val="bg-BG" w:bidi="en-US"/>
        </w:rPr>
        <w:t xml:space="preserve"> с</w:t>
      </w:r>
      <w:r w:rsidRPr="00610B1B">
        <w:rPr>
          <w:rFonts w:ascii="Times New Roman" w:eastAsia="Times New Roman" w:hAnsi="Times New Roman" w:cs="Times New Roman"/>
          <w:sz w:val="24"/>
          <w:szCs w:val="24"/>
          <w:lang w:val="bg-BG" w:bidi="en-US"/>
        </w:rPr>
        <w:t xml:space="preserve"> </w:t>
      </w:r>
      <w:r w:rsidRPr="00610B1B">
        <w:rPr>
          <w:rFonts w:ascii="Times New Roman" w:eastAsia="Times New Roman" w:hAnsi="Times New Roman" w:cs="Times New Roman"/>
          <w:b/>
          <w:i/>
          <w:sz w:val="24"/>
          <w:szCs w:val="24"/>
          <w:lang w:val="bg-BG" w:bidi="en-US"/>
        </w:rPr>
        <w:t>положителен сладководен</w:t>
      </w:r>
      <w:r w:rsidR="00D66FE0" w:rsidRPr="00610B1B">
        <w:rPr>
          <w:rFonts w:ascii="Times New Roman" w:eastAsia="Times New Roman" w:hAnsi="Times New Roman" w:cs="Times New Roman"/>
          <w:b/>
          <w:i/>
          <w:sz w:val="24"/>
          <w:szCs w:val="24"/>
          <w:lang w:val="bg-BG" w:bidi="en-US"/>
        </w:rPr>
        <w:t xml:space="preserve"> </w:t>
      </w:r>
      <w:r w:rsidRPr="00610B1B">
        <w:rPr>
          <w:rFonts w:ascii="Times New Roman" w:eastAsia="Times New Roman" w:hAnsi="Times New Roman" w:cs="Times New Roman"/>
          <w:b/>
          <w:i/>
          <w:sz w:val="24"/>
          <w:szCs w:val="24"/>
          <w:lang w:val="bg-BG" w:bidi="en-US"/>
        </w:rPr>
        <w:t>ба</w:t>
      </w:r>
      <w:r w:rsidRPr="00610B1B">
        <w:rPr>
          <w:rFonts w:ascii="Times New Roman" w:eastAsia="Times New Roman" w:hAnsi="Times New Roman" w:cs="Times New Roman"/>
          <w:b/>
          <w:sz w:val="24"/>
          <w:szCs w:val="24"/>
          <w:lang w:val="bg-BG" w:bidi="en-US"/>
        </w:rPr>
        <w:t>ланс</w:t>
      </w:r>
      <w:r w:rsidRPr="00610B1B">
        <w:rPr>
          <w:rFonts w:ascii="Times New Roman" w:eastAsia="Times New Roman" w:hAnsi="Times New Roman" w:cs="Times New Roman"/>
          <w:sz w:val="24"/>
          <w:szCs w:val="24"/>
          <w:lang w:val="bg-BG" w:bidi="en-US"/>
        </w:rPr>
        <w:t xml:space="preserve">. </w:t>
      </w:r>
      <w:r w:rsidR="001802D1" w:rsidRPr="00610B1B">
        <w:rPr>
          <w:rFonts w:ascii="Times New Roman" w:eastAsia="Times New Roman" w:hAnsi="Times New Roman" w:cs="Times New Roman"/>
          <w:sz w:val="24"/>
          <w:szCs w:val="24"/>
          <w:lang w:val="bg-BG" w:bidi="en-US"/>
        </w:rPr>
        <w:t xml:space="preserve">За черноморските води е характерна </w:t>
      </w:r>
      <w:r w:rsidR="001802D1" w:rsidRPr="00610B1B">
        <w:rPr>
          <w:rFonts w:ascii="Times New Roman" w:eastAsia="Times New Roman" w:hAnsi="Times New Roman" w:cs="Times New Roman"/>
          <w:b/>
          <w:i/>
          <w:sz w:val="24"/>
          <w:szCs w:val="24"/>
          <w:lang w:val="bg-BG" w:bidi="en-US"/>
        </w:rPr>
        <w:t>ниска соленост – 18‰</w:t>
      </w:r>
      <w:r w:rsidR="001802D1" w:rsidRPr="00610B1B">
        <w:rPr>
          <w:rFonts w:ascii="Times New Roman" w:eastAsia="Times New Roman" w:hAnsi="Times New Roman" w:cs="Times New Roman"/>
          <w:i/>
          <w:sz w:val="24"/>
          <w:szCs w:val="24"/>
          <w:lang w:val="bg-BG" w:bidi="en-US"/>
        </w:rPr>
        <w:t>,</w:t>
      </w:r>
      <w:r w:rsidR="001802D1" w:rsidRPr="00610B1B">
        <w:rPr>
          <w:rFonts w:ascii="Times New Roman" w:eastAsia="Times New Roman" w:hAnsi="Times New Roman" w:cs="Times New Roman"/>
          <w:sz w:val="24"/>
          <w:szCs w:val="24"/>
          <w:lang w:val="bg-BG" w:bidi="en-US"/>
        </w:rPr>
        <w:t xml:space="preserve"> която в близост до брега под влиянието на речните води, намалява, а сезонните колебания са значителни. Постоянен слой с високи </w:t>
      </w:r>
      <w:r w:rsidR="001802D1" w:rsidRPr="00610B1B">
        <w:rPr>
          <w:rFonts w:ascii="Times New Roman" w:eastAsia="Times New Roman" w:hAnsi="Times New Roman" w:cs="Times New Roman"/>
          <w:sz w:val="24"/>
          <w:szCs w:val="24"/>
          <w:lang w:val="bg-BG" w:bidi="en-US"/>
        </w:rPr>
        <w:lastRenderedPageBreak/>
        <w:t>градиенти на солеността е разположен между 120 и 200 m. Този слой затруднява</w:t>
      </w:r>
      <w:r w:rsidR="00D66FE0" w:rsidRPr="00610B1B">
        <w:rPr>
          <w:rFonts w:ascii="Times New Roman" w:eastAsia="Times New Roman" w:hAnsi="Times New Roman" w:cs="Times New Roman"/>
          <w:sz w:val="24"/>
          <w:szCs w:val="24"/>
          <w:lang w:val="bg-BG" w:bidi="en-US"/>
        </w:rPr>
        <w:t xml:space="preserve"> </w:t>
      </w:r>
      <w:r w:rsidR="001802D1" w:rsidRPr="00610B1B">
        <w:rPr>
          <w:rFonts w:ascii="Times New Roman" w:eastAsia="Times New Roman" w:hAnsi="Times New Roman" w:cs="Times New Roman"/>
          <w:sz w:val="24"/>
          <w:szCs w:val="24"/>
          <w:lang w:val="bg-BG" w:bidi="en-US"/>
        </w:rPr>
        <w:t xml:space="preserve">процесите на вертикално смесване между водните маси и поддържа устойчиви слоеве на кислорода и сероводорода. </w:t>
      </w:r>
      <w:r w:rsidRPr="00610B1B">
        <w:rPr>
          <w:rFonts w:ascii="Times New Roman" w:eastAsia="Times New Roman" w:hAnsi="Times New Roman" w:cs="Times New Roman"/>
          <w:sz w:val="24"/>
          <w:szCs w:val="24"/>
          <w:lang w:val="bg-BG" w:bidi="en-US"/>
        </w:rPr>
        <w:t>Поради затворения характер</w:t>
      </w:r>
      <w:r w:rsidR="00D66FE0" w:rsidRPr="00610B1B">
        <w:rPr>
          <w:rFonts w:ascii="Times New Roman" w:eastAsia="Times New Roman" w:hAnsi="Times New Roman" w:cs="Times New Roman"/>
          <w:sz w:val="24"/>
          <w:szCs w:val="24"/>
          <w:lang w:val="bg-BG" w:bidi="en-US"/>
        </w:rPr>
        <w:t xml:space="preserve"> </w:t>
      </w:r>
      <w:r w:rsidRPr="00610B1B">
        <w:rPr>
          <w:rFonts w:ascii="Times New Roman" w:eastAsia="Times New Roman" w:hAnsi="Times New Roman" w:cs="Times New Roman"/>
          <w:sz w:val="24"/>
          <w:szCs w:val="24"/>
          <w:lang w:val="bg-BG" w:bidi="en-US"/>
        </w:rPr>
        <w:t>и положителния сладководен баланс</w:t>
      </w:r>
      <w:r w:rsidR="003764FC" w:rsidRPr="00610B1B">
        <w:rPr>
          <w:rFonts w:ascii="Times New Roman" w:eastAsia="Times New Roman" w:hAnsi="Times New Roman" w:cs="Times New Roman"/>
          <w:sz w:val="24"/>
          <w:szCs w:val="24"/>
          <w:lang w:val="bg-BG" w:bidi="en-US"/>
        </w:rPr>
        <w:t>,</w:t>
      </w:r>
      <w:r w:rsidRPr="00610B1B">
        <w:rPr>
          <w:rFonts w:ascii="Times New Roman" w:eastAsia="Times New Roman" w:hAnsi="Times New Roman" w:cs="Times New Roman"/>
          <w:sz w:val="24"/>
          <w:szCs w:val="24"/>
          <w:lang w:val="bg-BG" w:bidi="en-US"/>
        </w:rPr>
        <w:t xml:space="preserve"> водното ниво на Черно море е с 30 до 50 </w:t>
      </w:r>
      <w:r w:rsidR="005B3535" w:rsidRPr="00610B1B">
        <w:rPr>
          <w:rFonts w:ascii="Times New Roman" w:eastAsia="Times New Roman" w:hAnsi="Times New Roman" w:cs="Times New Roman"/>
          <w:sz w:val="24"/>
          <w:szCs w:val="24"/>
          <w:lang w:val="bg-BG" w:bidi="en-US"/>
        </w:rPr>
        <w:t>cm</w:t>
      </w:r>
      <w:r w:rsidRPr="00610B1B">
        <w:rPr>
          <w:rFonts w:ascii="Times New Roman" w:eastAsia="Times New Roman" w:hAnsi="Times New Roman" w:cs="Times New Roman"/>
          <w:sz w:val="24"/>
          <w:szCs w:val="24"/>
          <w:lang w:val="bg-BG" w:bidi="en-US"/>
        </w:rPr>
        <w:t xml:space="preserve"> по-високо от това на Мраморно море. </w:t>
      </w:r>
      <w:r w:rsidRPr="00610B1B">
        <w:rPr>
          <w:rFonts w:ascii="Times New Roman" w:eastAsia="Times New Roman" w:hAnsi="Times New Roman" w:cs="Times New Roman"/>
          <w:sz w:val="24"/>
          <w:szCs w:val="24"/>
          <w:lang w:val="bg-BG" w:eastAsia="bg-BG"/>
        </w:rPr>
        <w:t>В резултат на това излишните води се оттичат през Босфора в Мраморно море.</w:t>
      </w:r>
      <w:r w:rsidR="00D66FE0" w:rsidRPr="00610B1B">
        <w:rPr>
          <w:rFonts w:ascii="Times New Roman" w:eastAsia="TT24o00" w:hAnsi="Times New Roman" w:cs="Times New Roman"/>
          <w:sz w:val="24"/>
          <w:szCs w:val="24"/>
          <w:lang w:val="bg-BG"/>
        </w:rPr>
        <w:t xml:space="preserve"> </w:t>
      </w:r>
      <w:r w:rsidRPr="00610B1B">
        <w:rPr>
          <w:rFonts w:ascii="Times New Roman" w:eastAsia="TT24o00" w:hAnsi="Times New Roman" w:cs="Times New Roman"/>
          <w:sz w:val="24"/>
          <w:szCs w:val="24"/>
          <w:lang w:val="bg-BG"/>
        </w:rPr>
        <w:t>Повърхностното течение</w:t>
      </w:r>
      <w:r w:rsidR="00D66FE0" w:rsidRPr="00610B1B">
        <w:rPr>
          <w:rFonts w:ascii="Times New Roman" w:eastAsia="TT24o00" w:hAnsi="Times New Roman" w:cs="Times New Roman"/>
          <w:sz w:val="24"/>
          <w:szCs w:val="24"/>
          <w:lang w:val="bg-BG"/>
        </w:rPr>
        <w:t xml:space="preserve"> </w:t>
      </w:r>
      <w:r w:rsidRPr="00610B1B">
        <w:rPr>
          <w:rFonts w:ascii="Times New Roman" w:eastAsia="TT24o00" w:hAnsi="Times New Roman" w:cs="Times New Roman"/>
          <w:sz w:val="24"/>
          <w:szCs w:val="24"/>
          <w:lang w:val="bg-BG"/>
        </w:rPr>
        <w:t>пренася от Черно в Мраморно море води със соленост 17–18‰</w:t>
      </w:r>
      <w:r w:rsidR="003764FC" w:rsidRPr="00610B1B">
        <w:rPr>
          <w:rFonts w:ascii="Times New Roman" w:eastAsia="TT24o00" w:hAnsi="Times New Roman" w:cs="Times New Roman"/>
          <w:sz w:val="24"/>
          <w:szCs w:val="24"/>
          <w:lang w:val="bg-BG"/>
        </w:rPr>
        <w:t>, а п</w:t>
      </w:r>
      <w:r w:rsidRPr="00610B1B">
        <w:rPr>
          <w:rFonts w:ascii="Times New Roman" w:eastAsia="TT24o00" w:hAnsi="Times New Roman" w:cs="Times New Roman"/>
          <w:sz w:val="24"/>
          <w:szCs w:val="24"/>
          <w:lang w:val="bg-BG"/>
        </w:rPr>
        <w:t xml:space="preserve">ридънното течение, увлича в Черно море вода от Мраморно море със соленост 38‰. </w:t>
      </w:r>
    </w:p>
    <w:p w14:paraId="0F6043A9" w14:textId="4099481D" w:rsidR="00430786" w:rsidRPr="00610B1B" w:rsidRDefault="003764FC" w:rsidP="00D32D6A">
      <w:pPr>
        <w:spacing w:after="120"/>
        <w:ind w:right="-153"/>
        <w:jc w:val="both"/>
        <w:rPr>
          <w:rFonts w:ascii="Times New Roman" w:hAnsi="Times New Roman" w:cs="Times New Roman"/>
          <w:sz w:val="24"/>
          <w:szCs w:val="24"/>
          <w:lang w:val="bg-BG"/>
        </w:rPr>
      </w:pPr>
      <w:r w:rsidRPr="00610B1B">
        <w:rPr>
          <w:rFonts w:ascii="Times New Roman" w:eastAsia="Times New Roman" w:hAnsi="Times New Roman" w:cs="Times New Roman"/>
          <w:sz w:val="24"/>
          <w:szCs w:val="24"/>
          <w:lang w:val="bg-BG" w:eastAsia="bg-BG"/>
        </w:rPr>
        <w:t xml:space="preserve">При </w:t>
      </w:r>
      <w:r w:rsidR="00430786" w:rsidRPr="00610B1B">
        <w:rPr>
          <w:rFonts w:ascii="Times New Roman" w:eastAsia="Times New Roman" w:hAnsi="Times New Roman" w:cs="Times New Roman"/>
          <w:sz w:val="24"/>
          <w:szCs w:val="24"/>
          <w:lang w:val="bg-BG" w:eastAsia="bg-BG"/>
        </w:rPr>
        <w:t>дълбочина, по-голяма от 150</w:t>
      </w:r>
      <w:r w:rsidR="00AC5F2E" w:rsidRPr="00610B1B">
        <w:rPr>
          <w:rFonts w:ascii="Times New Roman" w:eastAsia="Times New Roman" w:hAnsi="Times New Roman" w:cs="Times New Roman"/>
          <w:sz w:val="24"/>
          <w:szCs w:val="24"/>
          <w:lang w:val="bg-BG" w:eastAsia="bg-BG"/>
        </w:rPr>
        <w:t>-</w:t>
      </w:r>
      <w:r w:rsidR="00430786" w:rsidRPr="00610B1B">
        <w:rPr>
          <w:rFonts w:ascii="Times New Roman" w:eastAsia="Times New Roman" w:hAnsi="Times New Roman" w:cs="Times New Roman"/>
          <w:sz w:val="24"/>
          <w:szCs w:val="24"/>
          <w:lang w:val="bg-BG" w:eastAsia="bg-BG"/>
        </w:rPr>
        <w:t xml:space="preserve">200 </w:t>
      </w:r>
      <w:r w:rsidR="005B3535" w:rsidRPr="00610B1B">
        <w:rPr>
          <w:rFonts w:ascii="Times New Roman" w:eastAsia="Times New Roman" w:hAnsi="Times New Roman" w:cs="Times New Roman"/>
          <w:sz w:val="24"/>
          <w:szCs w:val="24"/>
          <w:lang w:val="bg-BG" w:eastAsia="bg-BG"/>
        </w:rPr>
        <w:t>m</w:t>
      </w:r>
      <w:r w:rsidR="00430786" w:rsidRPr="00610B1B">
        <w:rPr>
          <w:rFonts w:ascii="Times New Roman" w:eastAsia="Times New Roman" w:hAnsi="Times New Roman" w:cs="Times New Roman"/>
          <w:sz w:val="24"/>
          <w:szCs w:val="24"/>
          <w:lang w:val="bg-BG" w:eastAsia="bg-BG"/>
        </w:rPr>
        <w:t xml:space="preserve"> е установена постоянна сероводородна зона</w:t>
      </w:r>
      <w:r w:rsidR="001802D1" w:rsidRPr="00610B1B">
        <w:rPr>
          <w:rFonts w:ascii="Times New Roman" w:eastAsia="Times New Roman" w:hAnsi="Times New Roman" w:cs="Times New Roman"/>
          <w:sz w:val="24"/>
          <w:szCs w:val="24"/>
          <w:lang w:val="bg-BG" w:eastAsia="bg-BG"/>
        </w:rPr>
        <w:t>, в която</w:t>
      </w:r>
      <w:r w:rsidR="00430786" w:rsidRPr="00610B1B">
        <w:rPr>
          <w:rFonts w:ascii="Times New Roman" w:eastAsia="Times New Roman" w:hAnsi="Times New Roman" w:cs="Times New Roman"/>
          <w:sz w:val="24"/>
          <w:szCs w:val="24"/>
          <w:lang w:val="bg-BG" w:eastAsia="bg-BG"/>
        </w:rPr>
        <w:t xml:space="preserve"> кислородът е изчерпан</w:t>
      </w:r>
      <w:r w:rsidRPr="00610B1B">
        <w:rPr>
          <w:rFonts w:ascii="Times New Roman" w:eastAsia="Times New Roman" w:hAnsi="Times New Roman" w:cs="Times New Roman"/>
          <w:sz w:val="24"/>
          <w:szCs w:val="24"/>
          <w:lang w:val="bg-BG" w:eastAsia="bg-BG"/>
        </w:rPr>
        <w:t xml:space="preserve">, което превръща </w:t>
      </w:r>
      <w:r w:rsidR="00430786" w:rsidRPr="00610B1B">
        <w:rPr>
          <w:rFonts w:ascii="Times New Roman" w:eastAsia="Times New Roman" w:hAnsi="Times New Roman" w:cs="Times New Roman"/>
          <w:sz w:val="24"/>
          <w:szCs w:val="24"/>
          <w:lang w:val="bg-BG" w:eastAsia="bg-BG"/>
        </w:rPr>
        <w:t xml:space="preserve">Черно море </w:t>
      </w:r>
      <w:r w:rsidRPr="00610B1B">
        <w:rPr>
          <w:rFonts w:ascii="Times New Roman" w:eastAsia="Times New Roman" w:hAnsi="Times New Roman" w:cs="Times New Roman"/>
          <w:sz w:val="24"/>
          <w:szCs w:val="24"/>
          <w:lang w:val="bg-BG" w:eastAsia="bg-BG"/>
        </w:rPr>
        <w:t xml:space="preserve">в </w:t>
      </w:r>
      <w:r w:rsidR="00430786" w:rsidRPr="00610B1B">
        <w:rPr>
          <w:rFonts w:ascii="Times New Roman" w:eastAsia="Times New Roman" w:hAnsi="Times New Roman" w:cs="Times New Roman"/>
          <w:b/>
          <w:i/>
          <w:sz w:val="24"/>
          <w:szCs w:val="24"/>
          <w:lang w:val="bg-BG" w:eastAsia="bg-BG"/>
        </w:rPr>
        <w:t>най-големия безкислороден басейн в света</w:t>
      </w:r>
      <w:r w:rsidR="00B61E10" w:rsidRPr="00610B1B">
        <w:rPr>
          <w:rFonts w:ascii="Times New Roman" w:eastAsia="Times New Roman" w:hAnsi="Times New Roman" w:cs="Times New Roman"/>
          <w:sz w:val="24"/>
          <w:szCs w:val="24"/>
          <w:lang w:val="bg-BG" w:eastAsia="bg-BG"/>
        </w:rPr>
        <w:t xml:space="preserve">. </w:t>
      </w:r>
      <w:r w:rsidR="00430786" w:rsidRPr="00610B1B">
        <w:rPr>
          <w:rFonts w:ascii="Times New Roman" w:eastAsia="Times New Roman" w:hAnsi="Times New Roman" w:cs="Times New Roman"/>
          <w:sz w:val="24"/>
          <w:szCs w:val="24"/>
          <w:lang w:val="bg-BG" w:eastAsia="bg-BG"/>
        </w:rPr>
        <w:t>Богатите на кислород повърхностни води</w:t>
      </w:r>
      <w:r w:rsidR="005B3535" w:rsidRPr="00610B1B">
        <w:rPr>
          <w:rFonts w:ascii="Times New Roman" w:eastAsia="Times New Roman" w:hAnsi="Times New Roman" w:cs="Times New Roman"/>
          <w:sz w:val="24"/>
          <w:szCs w:val="24"/>
          <w:lang w:val="bg-BG" w:eastAsia="bg-BG"/>
        </w:rPr>
        <w:t>,</w:t>
      </w:r>
      <w:r w:rsidR="00430786" w:rsidRPr="00610B1B">
        <w:rPr>
          <w:rFonts w:ascii="Times New Roman" w:eastAsia="Times New Roman" w:hAnsi="Times New Roman" w:cs="Times New Roman"/>
          <w:sz w:val="24"/>
          <w:szCs w:val="24"/>
          <w:lang w:val="bg-BG" w:eastAsia="bg-BG"/>
        </w:rPr>
        <w:t xml:space="preserve"> от които зависи живот</w:t>
      </w:r>
      <w:r w:rsidR="00E425BA" w:rsidRPr="00610B1B">
        <w:rPr>
          <w:rFonts w:ascii="Times New Roman" w:eastAsia="Times New Roman" w:hAnsi="Times New Roman" w:cs="Times New Roman"/>
          <w:sz w:val="24"/>
          <w:szCs w:val="24"/>
          <w:lang w:val="bg-BG" w:eastAsia="bg-BG"/>
        </w:rPr>
        <w:t>ът</w:t>
      </w:r>
      <w:r w:rsidR="00430786" w:rsidRPr="00610B1B">
        <w:rPr>
          <w:rFonts w:ascii="Times New Roman" w:eastAsia="Times New Roman" w:hAnsi="Times New Roman" w:cs="Times New Roman"/>
          <w:sz w:val="24"/>
          <w:szCs w:val="24"/>
          <w:lang w:val="bg-BG" w:eastAsia="bg-BG"/>
        </w:rPr>
        <w:t xml:space="preserve"> в</w:t>
      </w:r>
      <w:r w:rsidR="00E425BA" w:rsidRPr="00610B1B">
        <w:rPr>
          <w:rFonts w:ascii="Times New Roman" w:eastAsia="Times New Roman" w:hAnsi="Times New Roman" w:cs="Times New Roman"/>
          <w:sz w:val="24"/>
          <w:szCs w:val="24"/>
          <w:lang w:val="bg-BG" w:eastAsia="bg-BG"/>
        </w:rPr>
        <w:t xml:space="preserve"> </w:t>
      </w:r>
      <w:r w:rsidR="00430786" w:rsidRPr="00610B1B">
        <w:rPr>
          <w:rFonts w:ascii="Times New Roman" w:eastAsia="Times New Roman" w:hAnsi="Times New Roman" w:cs="Times New Roman"/>
          <w:sz w:val="24"/>
          <w:szCs w:val="24"/>
          <w:lang w:val="bg-BG" w:eastAsia="bg-BG"/>
        </w:rPr>
        <w:t xml:space="preserve">морето, представляват около 13% от обема на водната маса. Тази особеност влияе върху екологичното състояние на морската среда и разнообразието на организмите. </w:t>
      </w:r>
    </w:p>
    <w:p w14:paraId="649F388A" w14:textId="2BBD10C3" w:rsidR="005B3535" w:rsidRPr="00610B1B" w:rsidRDefault="00430786" w:rsidP="00D32D6A">
      <w:pPr>
        <w:spacing w:after="120"/>
        <w:ind w:right="-153"/>
        <w:jc w:val="both"/>
        <w:rPr>
          <w:rFonts w:ascii="Times New Roman" w:eastAsia="Times New Roman" w:hAnsi="Times New Roman" w:cs="Times New Roman"/>
          <w:spacing w:val="-1"/>
          <w:sz w:val="24"/>
          <w:szCs w:val="24"/>
          <w:lang w:val="bg-BG" w:eastAsia="bg-BG"/>
        </w:rPr>
      </w:pPr>
      <w:r w:rsidRPr="00610B1B">
        <w:rPr>
          <w:rFonts w:ascii="Times New Roman" w:eastAsia="Times New Roman" w:hAnsi="Times New Roman" w:cs="Times New Roman"/>
          <w:spacing w:val="-1"/>
          <w:sz w:val="24"/>
          <w:szCs w:val="24"/>
          <w:lang w:val="bg-BG" w:eastAsia="bg-BG"/>
        </w:rPr>
        <w:t xml:space="preserve">В Черно море са формирани два затворени кръга на движение на водата </w:t>
      </w:r>
      <w:r w:rsidR="00AC5F2E"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pacing w:val="-1"/>
          <w:sz w:val="24"/>
          <w:szCs w:val="24"/>
          <w:lang w:val="bg-BG" w:eastAsia="bg-BG"/>
        </w:rPr>
        <w:t xml:space="preserve"> в западната и в източната част на Черно море. Покрай българския бряг преми</w:t>
      </w:r>
      <w:r w:rsidRPr="00610B1B">
        <w:rPr>
          <w:rFonts w:ascii="Times New Roman" w:eastAsia="Times New Roman" w:hAnsi="Times New Roman" w:cs="Times New Roman"/>
          <w:spacing w:val="-1"/>
          <w:sz w:val="24"/>
          <w:szCs w:val="24"/>
          <w:lang w:val="bg-BG" w:eastAsia="bg-BG"/>
        </w:rPr>
        <w:softHyphen/>
        <w:t>нава западният кръг на морското течение</w:t>
      </w:r>
      <w:r w:rsidR="00E425BA" w:rsidRPr="00610B1B">
        <w:rPr>
          <w:rFonts w:ascii="Times New Roman" w:eastAsia="Times New Roman" w:hAnsi="Times New Roman" w:cs="Times New Roman"/>
          <w:spacing w:val="-1"/>
          <w:sz w:val="24"/>
          <w:szCs w:val="24"/>
          <w:lang w:val="bg-BG" w:eastAsia="bg-BG"/>
        </w:rPr>
        <w:t xml:space="preserve"> и</w:t>
      </w:r>
      <w:r w:rsidRPr="00610B1B">
        <w:rPr>
          <w:rFonts w:ascii="Times New Roman" w:hAnsi="Times New Roman" w:cs="Times New Roman"/>
          <w:sz w:val="24"/>
          <w:szCs w:val="24"/>
          <w:lang w:val="bg-BG"/>
        </w:rPr>
        <w:t xml:space="preserve"> са регистрирани най-високите скорости на движение н</w:t>
      </w:r>
      <w:r w:rsidR="00F52D77"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морските течения в целия Черноморски басейн. </w:t>
      </w:r>
      <w:r w:rsidRPr="00610B1B">
        <w:rPr>
          <w:rFonts w:ascii="Times New Roman" w:eastAsia="Times New Roman" w:hAnsi="Times New Roman" w:cs="Times New Roman"/>
          <w:spacing w:val="-1"/>
          <w:sz w:val="24"/>
          <w:szCs w:val="24"/>
          <w:lang w:val="bg-BG" w:eastAsia="bg-BG"/>
        </w:rPr>
        <w:t>В откритите водни пространства практически може да няма морски течения</w:t>
      </w:r>
      <w:r w:rsidR="000669A5" w:rsidRPr="00610B1B">
        <w:rPr>
          <w:rFonts w:ascii="Times New Roman" w:eastAsia="Times New Roman" w:hAnsi="Times New Roman" w:cs="Times New Roman"/>
          <w:spacing w:val="-1"/>
          <w:sz w:val="24"/>
          <w:szCs w:val="24"/>
          <w:lang w:val="bg-BG" w:eastAsia="bg-BG"/>
        </w:rPr>
        <w:t>, а д</w:t>
      </w:r>
      <w:r w:rsidRPr="00610B1B">
        <w:rPr>
          <w:rFonts w:ascii="Times New Roman" w:eastAsia="Times New Roman" w:hAnsi="Times New Roman" w:cs="Times New Roman"/>
          <w:spacing w:val="-1"/>
          <w:sz w:val="24"/>
          <w:szCs w:val="24"/>
          <w:lang w:val="bg-BG" w:eastAsia="bg-BG"/>
        </w:rPr>
        <w:t>вижението н</w:t>
      </w:r>
      <w:r w:rsidR="004E20F4"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pacing w:val="-1"/>
          <w:sz w:val="24"/>
          <w:szCs w:val="24"/>
          <w:lang w:val="bg-BG" w:eastAsia="bg-BG"/>
        </w:rPr>
        <w:t xml:space="preserve"> водата </w:t>
      </w:r>
      <w:r w:rsidR="000669A5" w:rsidRPr="00610B1B">
        <w:rPr>
          <w:rFonts w:ascii="Times New Roman" w:eastAsia="Times New Roman" w:hAnsi="Times New Roman" w:cs="Times New Roman"/>
          <w:spacing w:val="-1"/>
          <w:sz w:val="24"/>
          <w:szCs w:val="24"/>
          <w:lang w:val="bg-BG" w:eastAsia="bg-BG"/>
        </w:rPr>
        <w:t xml:space="preserve">да </w:t>
      </w:r>
      <w:r w:rsidRPr="00610B1B">
        <w:rPr>
          <w:rFonts w:ascii="Times New Roman" w:eastAsia="Times New Roman" w:hAnsi="Times New Roman" w:cs="Times New Roman"/>
          <w:spacing w:val="-1"/>
          <w:sz w:val="24"/>
          <w:szCs w:val="24"/>
          <w:lang w:val="bg-BG" w:eastAsia="bg-BG"/>
        </w:rPr>
        <w:t>се извършва под влияние на вятъра.</w:t>
      </w:r>
      <w:r w:rsidR="00214E8E"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bCs/>
          <w:spacing w:val="-1"/>
          <w:sz w:val="24"/>
          <w:szCs w:val="24"/>
          <w:lang w:val="bg-BG" w:eastAsia="bg-BG"/>
        </w:rPr>
        <w:t>Характерно за Черно море е неголямата височина на ветровите въ</w:t>
      </w:r>
      <w:r w:rsidR="008C6A3B" w:rsidRPr="00610B1B">
        <w:rPr>
          <w:rFonts w:ascii="Times New Roman" w:eastAsia="Times New Roman" w:hAnsi="Times New Roman" w:cs="Times New Roman"/>
          <w:bCs/>
          <w:spacing w:val="-1"/>
          <w:sz w:val="24"/>
          <w:szCs w:val="24"/>
          <w:lang w:val="bg-BG" w:eastAsia="bg-BG"/>
        </w:rPr>
        <w:t>л</w:t>
      </w:r>
      <w:r w:rsidRPr="00610B1B">
        <w:rPr>
          <w:rFonts w:ascii="Times New Roman" w:eastAsia="Times New Roman" w:hAnsi="Times New Roman" w:cs="Times New Roman"/>
          <w:bCs/>
          <w:spacing w:val="-1"/>
          <w:sz w:val="24"/>
          <w:szCs w:val="24"/>
          <w:lang w:val="bg-BG" w:eastAsia="bg-BG"/>
        </w:rPr>
        <w:t>ни.</w:t>
      </w:r>
      <w:r w:rsidRPr="00610B1B">
        <w:rPr>
          <w:rFonts w:ascii="Times New Roman" w:eastAsia="Times New Roman" w:hAnsi="Times New Roman" w:cs="Times New Roman"/>
          <w:spacing w:val="-1"/>
          <w:sz w:val="24"/>
          <w:szCs w:val="24"/>
          <w:lang w:val="bg-BG" w:eastAsia="bg-BG"/>
        </w:rPr>
        <w:t xml:space="preserve"> </w:t>
      </w:r>
      <w:r w:rsidR="002E7BED" w:rsidRPr="00610B1B">
        <w:rPr>
          <w:rFonts w:ascii="Times New Roman" w:eastAsia="Times New Roman" w:hAnsi="Times New Roman" w:cs="Times New Roman"/>
          <w:spacing w:val="-1"/>
          <w:sz w:val="24"/>
          <w:szCs w:val="24"/>
          <w:lang w:val="bg-BG" w:eastAsia="bg-BG"/>
        </w:rPr>
        <w:t>П</w:t>
      </w:r>
      <w:r w:rsidRPr="00610B1B">
        <w:rPr>
          <w:rFonts w:ascii="Times New Roman" w:eastAsia="Times New Roman" w:hAnsi="Times New Roman" w:cs="Times New Roman"/>
          <w:spacing w:val="-1"/>
          <w:sz w:val="24"/>
          <w:szCs w:val="24"/>
          <w:lang w:val="bg-BG" w:eastAsia="bg-BG"/>
        </w:rPr>
        <w:t>ри силен източен и се</w:t>
      </w:r>
      <w:r w:rsidRPr="00610B1B">
        <w:rPr>
          <w:rFonts w:ascii="Times New Roman" w:eastAsia="Times New Roman" w:hAnsi="Times New Roman" w:cs="Times New Roman"/>
          <w:spacing w:val="-1"/>
          <w:sz w:val="24"/>
          <w:szCs w:val="24"/>
          <w:lang w:val="bg-BG" w:eastAsia="bg-BG"/>
        </w:rPr>
        <w:softHyphen/>
        <w:t>вероизточен вят</w:t>
      </w:r>
      <w:r w:rsidR="002E7BED" w:rsidRPr="00610B1B">
        <w:rPr>
          <w:rFonts w:ascii="Times New Roman" w:eastAsia="Times New Roman" w:hAnsi="Times New Roman" w:cs="Times New Roman"/>
          <w:spacing w:val="-1"/>
          <w:sz w:val="24"/>
          <w:szCs w:val="24"/>
          <w:lang w:val="bg-BG" w:eastAsia="bg-BG"/>
        </w:rPr>
        <w:t xml:space="preserve">ър </w:t>
      </w:r>
      <w:r w:rsidRPr="00610B1B">
        <w:rPr>
          <w:rFonts w:ascii="Times New Roman" w:eastAsia="Times New Roman" w:hAnsi="Times New Roman" w:cs="Times New Roman"/>
          <w:spacing w:val="-1"/>
          <w:sz w:val="24"/>
          <w:szCs w:val="24"/>
          <w:lang w:val="bg-BG" w:eastAsia="bg-BG"/>
        </w:rPr>
        <w:t xml:space="preserve">през зимата се образуват вълни, високи до 5-6 </w:t>
      </w:r>
      <w:r w:rsidR="005B3535" w:rsidRPr="00610B1B">
        <w:rPr>
          <w:rFonts w:ascii="Times New Roman" w:eastAsia="Times New Roman" w:hAnsi="Times New Roman" w:cs="Times New Roman"/>
          <w:spacing w:val="-1"/>
          <w:sz w:val="24"/>
          <w:szCs w:val="24"/>
          <w:lang w:val="bg-BG" w:eastAsia="bg-BG"/>
        </w:rPr>
        <w:t>m</w:t>
      </w:r>
      <w:r w:rsidRPr="00610B1B">
        <w:rPr>
          <w:rFonts w:ascii="Times New Roman" w:eastAsia="Times New Roman" w:hAnsi="Times New Roman" w:cs="Times New Roman"/>
          <w:spacing w:val="-1"/>
          <w:sz w:val="24"/>
          <w:szCs w:val="24"/>
          <w:lang w:val="bg-BG" w:eastAsia="bg-BG"/>
        </w:rPr>
        <w:t xml:space="preserve"> и с дължина до 70-80 </w:t>
      </w:r>
      <w:r w:rsidR="005B3535" w:rsidRPr="00610B1B">
        <w:rPr>
          <w:rFonts w:ascii="Times New Roman" w:eastAsia="Times New Roman" w:hAnsi="Times New Roman" w:cs="Times New Roman"/>
          <w:spacing w:val="-1"/>
          <w:sz w:val="24"/>
          <w:szCs w:val="24"/>
          <w:lang w:val="bg-BG" w:eastAsia="bg-BG"/>
        </w:rPr>
        <w:t>m</w:t>
      </w:r>
      <w:r w:rsidR="000669A5" w:rsidRPr="00610B1B">
        <w:rPr>
          <w:rFonts w:ascii="Times New Roman" w:eastAsia="Times New Roman" w:hAnsi="Times New Roman" w:cs="Times New Roman"/>
          <w:spacing w:val="-1"/>
          <w:sz w:val="24"/>
          <w:szCs w:val="24"/>
          <w:lang w:val="bg-BG" w:eastAsia="bg-BG"/>
        </w:rPr>
        <w:t xml:space="preserve">, които </w:t>
      </w:r>
      <w:r w:rsidRPr="00610B1B">
        <w:rPr>
          <w:rFonts w:ascii="Times New Roman" w:eastAsia="Times New Roman" w:hAnsi="Times New Roman" w:cs="Times New Roman"/>
          <w:spacing w:val="-1"/>
          <w:sz w:val="24"/>
          <w:szCs w:val="24"/>
          <w:lang w:val="bg-BG" w:eastAsia="bg-BG"/>
        </w:rPr>
        <w:t>нанас</w:t>
      </w:r>
      <w:r w:rsidR="004E20F4" w:rsidRPr="00610B1B">
        <w:rPr>
          <w:rFonts w:ascii="Times New Roman" w:eastAsia="Times New Roman" w:hAnsi="Times New Roman" w:cs="Times New Roman"/>
          <w:spacing w:val="-1"/>
          <w:sz w:val="24"/>
          <w:szCs w:val="24"/>
          <w:lang w:val="bg-BG" w:eastAsia="bg-BG"/>
        </w:rPr>
        <w:t>я</w:t>
      </w:r>
      <w:r w:rsidRPr="00610B1B">
        <w:rPr>
          <w:rFonts w:ascii="Times New Roman" w:eastAsia="Times New Roman" w:hAnsi="Times New Roman" w:cs="Times New Roman"/>
          <w:spacing w:val="-1"/>
          <w:sz w:val="24"/>
          <w:szCs w:val="24"/>
          <w:lang w:val="bg-BG" w:eastAsia="bg-BG"/>
        </w:rPr>
        <w:t>т сериозни щети на съоръженията по крайб</w:t>
      </w:r>
      <w:r w:rsidRPr="00610B1B">
        <w:rPr>
          <w:rFonts w:ascii="Times New Roman" w:eastAsia="Times New Roman" w:hAnsi="Times New Roman" w:cs="Times New Roman"/>
          <w:spacing w:val="-1"/>
          <w:sz w:val="24"/>
          <w:szCs w:val="24"/>
          <w:lang w:val="bg-BG" w:eastAsia="bg-BG"/>
        </w:rPr>
        <w:softHyphen/>
        <w:t>режието.</w:t>
      </w:r>
      <w:r w:rsidR="005B3535"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 xml:space="preserve">За Черно море са типични </w:t>
      </w:r>
      <w:r w:rsidRPr="00610B1B">
        <w:rPr>
          <w:rFonts w:ascii="Times New Roman" w:eastAsia="Times New Roman" w:hAnsi="Times New Roman" w:cs="Times New Roman"/>
          <w:b/>
          <w:i/>
          <w:spacing w:val="-1"/>
          <w:sz w:val="24"/>
          <w:szCs w:val="24"/>
          <w:lang w:val="bg-BG" w:eastAsia="bg-BG"/>
        </w:rPr>
        <w:t>малките колебания на морската вода при приливите и отливите</w:t>
      </w:r>
      <w:r w:rsidRPr="00610B1B">
        <w:rPr>
          <w:rFonts w:ascii="Times New Roman" w:eastAsia="Times New Roman" w:hAnsi="Times New Roman" w:cs="Times New Roman"/>
          <w:spacing w:val="-1"/>
          <w:sz w:val="24"/>
          <w:szCs w:val="24"/>
          <w:lang w:val="bg-BG" w:eastAsia="bg-BG"/>
        </w:rPr>
        <w:t>.</w:t>
      </w:r>
      <w:r w:rsidR="005B3535" w:rsidRPr="00610B1B">
        <w:rPr>
          <w:rFonts w:ascii="Times New Roman" w:eastAsia="Times New Roman" w:hAnsi="Times New Roman" w:cs="Times New Roman"/>
          <w:spacing w:val="-1"/>
          <w:sz w:val="24"/>
          <w:szCs w:val="24"/>
          <w:lang w:val="bg-BG" w:eastAsia="bg-BG"/>
        </w:rPr>
        <w:t xml:space="preserve"> </w:t>
      </w:r>
    </w:p>
    <w:p w14:paraId="4455F992" w14:textId="1615E087" w:rsidR="005B3535" w:rsidRPr="00610B1B" w:rsidRDefault="00430786" w:rsidP="00D32D6A">
      <w:pPr>
        <w:spacing w:after="120"/>
        <w:ind w:right="-153"/>
        <w:jc w:val="both"/>
        <w:rPr>
          <w:rFonts w:ascii="Times New Roman" w:eastAsia="Times New Roman" w:hAnsi="Times New Roman" w:cs="Times New Roman"/>
          <w:spacing w:val="-1"/>
          <w:sz w:val="24"/>
          <w:szCs w:val="24"/>
          <w:lang w:val="bg-BG" w:eastAsia="bg-BG"/>
        </w:rPr>
      </w:pPr>
      <w:r w:rsidRPr="00610B1B">
        <w:rPr>
          <w:rFonts w:ascii="Times New Roman" w:eastAsia="Times New Roman" w:hAnsi="Times New Roman" w:cs="Times New Roman"/>
          <w:sz w:val="24"/>
          <w:szCs w:val="24"/>
          <w:lang w:val="bg-BG" w:bidi="en-US"/>
        </w:rPr>
        <w:t xml:space="preserve">Черно море е характерно с </w:t>
      </w:r>
      <w:r w:rsidRPr="00610B1B">
        <w:rPr>
          <w:rFonts w:ascii="Times New Roman" w:eastAsia="Times New Roman" w:hAnsi="Times New Roman" w:cs="Times New Roman"/>
          <w:b/>
          <w:i/>
          <w:sz w:val="24"/>
          <w:szCs w:val="24"/>
          <w:lang w:val="bg-BG" w:bidi="en-US"/>
        </w:rPr>
        <w:t>ограниченото си биоразнообразие</w:t>
      </w:r>
      <w:r w:rsidRPr="00610B1B">
        <w:rPr>
          <w:rFonts w:ascii="Times New Roman" w:eastAsia="Times New Roman" w:hAnsi="Times New Roman" w:cs="Times New Roman"/>
          <w:sz w:val="24"/>
          <w:szCs w:val="24"/>
          <w:lang w:val="bg-BG" w:bidi="en-US"/>
        </w:rPr>
        <w:t xml:space="preserve">. Фауната </w:t>
      </w:r>
      <w:r w:rsidR="00A05030" w:rsidRPr="00610B1B">
        <w:rPr>
          <w:rFonts w:ascii="Times New Roman" w:eastAsia="Times New Roman" w:hAnsi="Times New Roman" w:cs="Times New Roman"/>
          <w:sz w:val="24"/>
          <w:szCs w:val="24"/>
          <w:lang w:val="bg-BG" w:bidi="en-US"/>
        </w:rPr>
        <w:t>му</w:t>
      </w:r>
      <w:r w:rsidRPr="00610B1B">
        <w:rPr>
          <w:rFonts w:ascii="Times New Roman" w:eastAsia="Times New Roman" w:hAnsi="Times New Roman" w:cs="Times New Roman"/>
          <w:sz w:val="24"/>
          <w:szCs w:val="24"/>
          <w:lang w:val="bg-BG" w:bidi="en-US"/>
        </w:rPr>
        <w:t xml:space="preserve"> е около три пъти по-бедна от </w:t>
      </w:r>
      <w:r w:rsidR="00A05030" w:rsidRPr="00610B1B">
        <w:rPr>
          <w:rFonts w:ascii="Times New Roman" w:eastAsia="Times New Roman" w:hAnsi="Times New Roman" w:cs="Times New Roman"/>
          <w:sz w:val="24"/>
          <w:szCs w:val="24"/>
          <w:lang w:val="bg-BG" w:bidi="en-US"/>
        </w:rPr>
        <w:t>фауната</w:t>
      </w:r>
      <w:r w:rsidRPr="00610B1B">
        <w:rPr>
          <w:rFonts w:ascii="Times New Roman" w:eastAsia="Times New Roman" w:hAnsi="Times New Roman" w:cs="Times New Roman"/>
          <w:sz w:val="24"/>
          <w:szCs w:val="24"/>
          <w:lang w:val="bg-BG" w:bidi="en-US"/>
        </w:rPr>
        <w:t xml:space="preserve"> на Средиземно море</w:t>
      </w:r>
      <w:r w:rsidR="00A05030" w:rsidRPr="00610B1B">
        <w:rPr>
          <w:rFonts w:ascii="Times New Roman" w:eastAsia="Times New Roman" w:hAnsi="Times New Roman" w:cs="Times New Roman"/>
          <w:sz w:val="24"/>
          <w:szCs w:val="24"/>
          <w:lang w:val="bg-BG" w:bidi="en-US"/>
        </w:rPr>
        <w:t>, поради</w:t>
      </w:r>
      <w:r w:rsidRPr="00610B1B">
        <w:rPr>
          <w:rFonts w:ascii="Times New Roman" w:eastAsia="Times New Roman" w:hAnsi="Times New Roman" w:cs="Times New Roman"/>
          <w:sz w:val="24"/>
          <w:szCs w:val="24"/>
          <w:lang w:val="bg-BG" w:bidi="en-US"/>
        </w:rPr>
        <w:t xml:space="preserve"> сероводород</w:t>
      </w:r>
      <w:r w:rsidR="000669A5" w:rsidRPr="00610B1B">
        <w:rPr>
          <w:rFonts w:ascii="Times New Roman" w:eastAsia="Times New Roman" w:hAnsi="Times New Roman" w:cs="Times New Roman"/>
          <w:sz w:val="24"/>
          <w:szCs w:val="24"/>
          <w:lang w:val="bg-BG" w:bidi="en-US"/>
        </w:rPr>
        <w:t>а</w:t>
      </w:r>
      <w:r w:rsidRPr="00610B1B">
        <w:rPr>
          <w:rFonts w:ascii="Times New Roman" w:eastAsia="Times New Roman" w:hAnsi="Times New Roman" w:cs="Times New Roman"/>
          <w:sz w:val="24"/>
          <w:szCs w:val="24"/>
          <w:lang w:val="bg-BG" w:bidi="en-US"/>
        </w:rPr>
        <w:t xml:space="preserve"> в дълбоководната зона на басейна, заемаща 87% от обема му, ниската соленост на водите</w:t>
      </w:r>
      <w:r w:rsidR="00D66FE0" w:rsidRPr="00610B1B">
        <w:rPr>
          <w:rFonts w:ascii="Times New Roman" w:eastAsia="Times New Roman" w:hAnsi="Times New Roman" w:cs="Times New Roman"/>
          <w:sz w:val="24"/>
          <w:szCs w:val="24"/>
          <w:lang w:val="bg-BG" w:bidi="en-US"/>
        </w:rPr>
        <w:t xml:space="preserve"> </w:t>
      </w:r>
      <w:r w:rsidRPr="00610B1B">
        <w:rPr>
          <w:rFonts w:ascii="Times New Roman" w:eastAsia="Times New Roman" w:hAnsi="Times New Roman" w:cs="Times New Roman"/>
          <w:sz w:val="24"/>
          <w:szCs w:val="24"/>
          <w:lang w:val="bg-BG" w:bidi="en-US"/>
        </w:rPr>
        <w:t xml:space="preserve">и ограничената връзка на морето със Световния океан. </w:t>
      </w:r>
    </w:p>
    <w:p w14:paraId="2E3114B0" w14:textId="7779702A" w:rsidR="00B40160" w:rsidRPr="00610B1B" w:rsidRDefault="00430786" w:rsidP="00D32D6A">
      <w:pPr>
        <w:spacing w:after="120"/>
        <w:ind w:right="-153"/>
        <w:jc w:val="both"/>
        <w:rPr>
          <w:rFonts w:ascii="Times New Roman" w:eastAsia="Times New Roman" w:hAnsi="Times New Roman" w:cs="Times New Roman"/>
          <w:spacing w:val="-1"/>
          <w:sz w:val="24"/>
          <w:szCs w:val="24"/>
          <w:lang w:val="bg-BG" w:eastAsia="bg-BG"/>
        </w:rPr>
      </w:pPr>
      <w:r w:rsidRPr="00610B1B">
        <w:rPr>
          <w:rFonts w:ascii="Times New Roman" w:eastAsia="Times New Roman" w:hAnsi="Times New Roman" w:cs="Times New Roman"/>
          <w:spacing w:val="-1"/>
          <w:sz w:val="24"/>
          <w:szCs w:val="24"/>
          <w:lang w:val="bg-BG" w:eastAsia="bg-BG"/>
        </w:rPr>
        <w:t xml:space="preserve">За разлика от морските води, прилежащото крайбрежие </w:t>
      </w:r>
      <w:r w:rsidR="003764FC" w:rsidRPr="00610B1B">
        <w:rPr>
          <w:rFonts w:ascii="Times New Roman" w:eastAsia="Times New Roman" w:hAnsi="Times New Roman" w:cs="Times New Roman"/>
          <w:spacing w:val="-1"/>
          <w:sz w:val="24"/>
          <w:szCs w:val="24"/>
          <w:lang w:val="bg-BG" w:eastAsia="bg-BG"/>
        </w:rPr>
        <w:t>е</w:t>
      </w:r>
      <w:r w:rsidR="00D66FE0"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известн</w:t>
      </w:r>
      <w:r w:rsidR="003764FC" w:rsidRPr="00610B1B">
        <w:rPr>
          <w:rFonts w:ascii="Times New Roman" w:eastAsia="Times New Roman" w:hAnsi="Times New Roman" w:cs="Times New Roman"/>
          <w:spacing w:val="-1"/>
          <w:sz w:val="24"/>
          <w:szCs w:val="24"/>
          <w:lang w:val="bg-BG" w:eastAsia="bg-BG"/>
        </w:rPr>
        <w:t>о</w:t>
      </w:r>
      <w:r w:rsidRPr="00610B1B">
        <w:rPr>
          <w:rFonts w:ascii="Times New Roman" w:eastAsia="Times New Roman" w:hAnsi="Times New Roman" w:cs="Times New Roman"/>
          <w:spacing w:val="-1"/>
          <w:sz w:val="24"/>
          <w:szCs w:val="24"/>
          <w:lang w:val="bg-BG" w:eastAsia="bg-BG"/>
        </w:rPr>
        <w:t xml:space="preserve"> с богатото си биоразнообразие. По българското крайбрежие и </w:t>
      </w:r>
      <w:r w:rsidR="003764FC" w:rsidRPr="00610B1B">
        <w:rPr>
          <w:rFonts w:ascii="Times New Roman" w:eastAsia="Times New Roman" w:hAnsi="Times New Roman" w:cs="Times New Roman"/>
          <w:spacing w:val="-1"/>
          <w:sz w:val="24"/>
          <w:szCs w:val="24"/>
          <w:lang w:val="bg-BG" w:eastAsia="bg-BG"/>
        </w:rPr>
        <w:t xml:space="preserve">над </w:t>
      </w:r>
      <w:r w:rsidRPr="00610B1B">
        <w:rPr>
          <w:rFonts w:ascii="Times New Roman" w:eastAsia="Times New Roman" w:hAnsi="Times New Roman" w:cs="Times New Roman"/>
          <w:spacing w:val="-1"/>
          <w:sz w:val="24"/>
          <w:szCs w:val="24"/>
          <w:lang w:val="bg-BG" w:eastAsia="bg-BG"/>
        </w:rPr>
        <w:t xml:space="preserve">прилежаща акватория преминава един от най-значимите европейски пътища на </w:t>
      </w:r>
      <w:r w:rsidR="004E20F4" w:rsidRPr="00610B1B">
        <w:rPr>
          <w:rFonts w:ascii="Times New Roman" w:eastAsia="Times New Roman" w:hAnsi="Times New Roman" w:cs="Times New Roman"/>
          <w:spacing w:val="-1"/>
          <w:sz w:val="24"/>
          <w:szCs w:val="24"/>
          <w:lang w:val="bg-BG" w:eastAsia="bg-BG"/>
        </w:rPr>
        <w:t xml:space="preserve">мигриращите </w:t>
      </w:r>
      <w:r w:rsidRPr="00610B1B">
        <w:rPr>
          <w:rFonts w:ascii="Times New Roman" w:eastAsia="Times New Roman" w:hAnsi="Times New Roman" w:cs="Times New Roman"/>
          <w:spacing w:val="-1"/>
          <w:sz w:val="24"/>
          <w:szCs w:val="24"/>
          <w:lang w:val="bg-BG" w:eastAsia="bg-BG"/>
        </w:rPr>
        <w:t>птици</w:t>
      </w:r>
      <w:r w:rsidR="004E20F4" w:rsidRPr="00610B1B">
        <w:rPr>
          <w:rFonts w:ascii="Times New Roman" w:eastAsia="Times New Roman" w:hAnsi="Times New Roman" w:cs="Times New Roman"/>
          <w:spacing w:val="-1"/>
          <w:sz w:val="24"/>
          <w:szCs w:val="24"/>
          <w:lang w:val="bg-BG" w:eastAsia="bg-BG"/>
        </w:rPr>
        <w:t xml:space="preserve"> </w:t>
      </w:r>
      <w:r w:rsidR="00B40160" w:rsidRPr="00610B1B">
        <w:rPr>
          <w:rFonts w:ascii="Times New Roman" w:eastAsia="Times New Roman" w:hAnsi="Times New Roman" w:cs="Times New Roman"/>
          <w:i/>
          <w:iCs/>
          <w:spacing w:val="-1"/>
          <w:sz w:val="24"/>
          <w:szCs w:val="24"/>
          <w:lang w:val="bg-BG" w:eastAsia="bg-BG"/>
        </w:rPr>
        <w:t>Via Pontica</w:t>
      </w:r>
      <w:r w:rsidRPr="00610B1B">
        <w:rPr>
          <w:rFonts w:ascii="Times New Roman" w:eastAsia="Times New Roman" w:hAnsi="Times New Roman" w:cs="Times New Roman"/>
          <w:spacing w:val="-1"/>
          <w:sz w:val="24"/>
          <w:szCs w:val="24"/>
          <w:lang w:val="bg-BG" w:eastAsia="bg-BG"/>
        </w:rPr>
        <w:t xml:space="preserve">. </w:t>
      </w:r>
      <w:r w:rsidR="00F52D77" w:rsidRPr="00610B1B">
        <w:rPr>
          <w:rFonts w:ascii="Times New Roman" w:eastAsia="Times New Roman" w:hAnsi="Times New Roman" w:cs="Times New Roman"/>
          <w:spacing w:val="-1"/>
          <w:sz w:val="24"/>
          <w:szCs w:val="24"/>
          <w:lang w:val="bg-BG" w:eastAsia="bg-BG"/>
        </w:rPr>
        <w:t>Т</w:t>
      </w:r>
      <w:r w:rsidRPr="00610B1B">
        <w:rPr>
          <w:rFonts w:ascii="Times New Roman" w:eastAsia="Times New Roman" w:hAnsi="Times New Roman" w:cs="Times New Roman"/>
          <w:spacing w:val="-1"/>
          <w:sz w:val="24"/>
          <w:szCs w:val="24"/>
          <w:lang w:val="bg-BG" w:eastAsia="bg-BG"/>
        </w:rPr>
        <w:t>ук са обявени десетки защитени територии по Закона за защитените територии и защитени зони по НАТУРА 2000</w:t>
      </w:r>
      <w:r w:rsidR="002E7BED" w:rsidRPr="00610B1B">
        <w:rPr>
          <w:rFonts w:ascii="Times New Roman" w:eastAsia="Times New Roman" w:hAnsi="Times New Roman" w:cs="Times New Roman"/>
          <w:spacing w:val="-1"/>
          <w:sz w:val="24"/>
          <w:szCs w:val="24"/>
          <w:lang w:val="bg-BG" w:eastAsia="bg-BG"/>
        </w:rPr>
        <w:t xml:space="preserve"> съгласно Закона за биологичното разнообразие</w:t>
      </w:r>
      <w:r w:rsidRPr="00610B1B">
        <w:rPr>
          <w:rFonts w:ascii="Times New Roman" w:eastAsia="Times New Roman" w:hAnsi="Times New Roman" w:cs="Times New Roman"/>
          <w:spacing w:val="-1"/>
          <w:sz w:val="24"/>
          <w:szCs w:val="24"/>
          <w:lang w:val="bg-BG" w:eastAsia="bg-BG"/>
        </w:rPr>
        <w:t>. Общата защитена площ на българск</w:t>
      </w:r>
      <w:r w:rsidR="0075098D" w:rsidRPr="00610B1B">
        <w:rPr>
          <w:rFonts w:ascii="Times New Roman" w:eastAsia="Times New Roman" w:hAnsi="Times New Roman" w:cs="Times New Roman"/>
          <w:spacing w:val="-1"/>
          <w:sz w:val="24"/>
          <w:szCs w:val="24"/>
          <w:lang w:val="bg-BG" w:eastAsia="bg-BG"/>
        </w:rPr>
        <w:t>ите</w:t>
      </w:r>
      <w:r w:rsidRPr="00610B1B">
        <w:rPr>
          <w:rFonts w:ascii="Times New Roman" w:eastAsia="Times New Roman" w:hAnsi="Times New Roman" w:cs="Times New Roman"/>
          <w:spacing w:val="-1"/>
          <w:sz w:val="24"/>
          <w:szCs w:val="24"/>
          <w:lang w:val="bg-BG" w:eastAsia="bg-BG"/>
        </w:rPr>
        <w:t xml:space="preserve"> морск</w:t>
      </w:r>
      <w:r w:rsidR="0075098D"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pacing w:val="-1"/>
          <w:sz w:val="24"/>
          <w:szCs w:val="24"/>
          <w:lang w:val="bg-BG" w:eastAsia="bg-BG"/>
        </w:rPr>
        <w:t xml:space="preserve"> пространс</w:t>
      </w:r>
      <w:r w:rsidR="00B40160" w:rsidRPr="00610B1B">
        <w:rPr>
          <w:rFonts w:ascii="Times New Roman" w:eastAsia="Times New Roman" w:hAnsi="Times New Roman" w:cs="Times New Roman"/>
          <w:spacing w:val="-1"/>
          <w:sz w:val="24"/>
          <w:szCs w:val="24"/>
          <w:lang w:val="bg-BG" w:eastAsia="bg-BG"/>
        </w:rPr>
        <w:t>т</w:t>
      </w:r>
      <w:r w:rsidR="0075098D" w:rsidRPr="00610B1B">
        <w:rPr>
          <w:rFonts w:ascii="Times New Roman" w:eastAsia="Times New Roman" w:hAnsi="Times New Roman" w:cs="Times New Roman"/>
          <w:spacing w:val="-1"/>
          <w:sz w:val="24"/>
          <w:szCs w:val="24"/>
          <w:lang w:val="bg-BG" w:eastAsia="bg-BG"/>
        </w:rPr>
        <w:t>ва</w:t>
      </w:r>
      <w:r w:rsidRPr="00610B1B">
        <w:rPr>
          <w:rFonts w:ascii="Times New Roman" w:eastAsia="Times New Roman" w:hAnsi="Times New Roman" w:cs="Times New Roman"/>
          <w:spacing w:val="-1"/>
          <w:sz w:val="24"/>
          <w:szCs w:val="24"/>
          <w:lang w:val="bg-BG" w:eastAsia="bg-BG"/>
        </w:rPr>
        <w:t xml:space="preserve"> е </w:t>
      </w:r>
      <w:r w:rsidRPr="00610B1B">
        <w:rPr>
          <w:rFonts w:ascii="Times New Roman" w:eastAsia="Times New Roman" w:hAnsi="Times New Roman" w:cs="Times New Roman"/>
          <w:sz w:val="24"/>
          <w:szCs w:val="24"/>
          <w:lang w:val="bg-BG" w:eastAsia="bg-BG"/>
        </w:rPr>
        <w:t xml:space="preserve">247 724 </w:t>
      </w:r>
      <w:r w:rsidR="00B40160" w:rsidRPr="00610B1B">
        <w:rPr>
          <w:rFonts w:ascii="Times New Roman" w:eastAsia="Times New Roman" w:hAnsi="Times New Roman" w:cs="Times New Roman"/>
          <w:sz w:val="24"/>
          <w:szCs w:val="24"/>
          <w:lang w:val="bg-BG" w:eastAsia="bg-BG"/>
        </w:rPr>
        <w:t>ha</w:t>
      </w:r>
      <w:r w:rsidR="000669A5" w:rsidRPr="00610B1B">
        <w:rPr>
          <w:rFonts w:ascii="Times New Roman" w:eastAsia="Times New Roman" w:hAnsi="Times New Roman" w:cs="Times New Roman"/>
          <w:sz w:val="24"/>
          <w:szCs w:val="24"/>
          <w:lang w:val="bg-BG" w:eastAsia="bg-BG"/>
        </w:rPr>
        <w:t>. Н</w:t>
      </w:r>
      <w:r w:rsidRPr="00610B1B">
        <w:rPr>
          <w:rFonts w:ascii="Times New Roman" w:eastAsia="Times New Roman" w:hAnsi="Times New Roman" w:cs="Times New Roman"/>
          <w:sz w:val="24"/>
          <w:szCs w:val="24"/>
          <w:lang w:val="bg-BG" w:eastAsia="bg-BG"/>
        </w:rPr>
        <w:t>ад 80% от извънселищните територии по бреговата линия също са под защита.</w:t>
      </w:r>
    </w:p>
    <w:p w14:paraId="1B717918" w14:textId="292AB05F" w:rsidR="00B40160" w:rsidRPr="00610B1B" w:rsidRDefault="00F52D77" w:rsidP="00D32D6A">
      <w:pPr>
        <w:spacing w:after="120"/>
        <w:ind w:right="-153"/>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t>Около</w:t>
      </w:r>
      <w:r w:rsidR="00430786" w:rsidRPr="00610B1B">
        <w:rPr>
          <w:rFonts w:ascii="Times New Roman" w:hAnsi="Times New Roman" w:cs="Times New Roman"/>
          <w:sz w:val="24"/>
          <w:szCs w:val="24"/>
          <w:lang w:val="bg-BG" w:eastAsia="bg-BG"/>
        </w:rPr>
        <w:t xml:space="preserve"> 70% от общото количество замърсители, постъпващи в морето</w:t>
      </w:r>
      <w:r w:rsidR="002E7BED" w:rsidRPr="00610B1B">
        <w:rPr>
          <w:rFonts w:ascii="Times New Roman" w:hAnsi="Times New Roman" w:cs="Times New Roman"/>
          <w:sz w:val="24"/>
          <w:szCs w:val="24"/>
          <w:lang w:val="bg-BG" w:eastAsia="bg-BG"/>
        </w:rPr>
        <w:t>,</w:t>
      </w:r>
      <w:r w:rsidR="00430786" w:rsidRPr="00610B1B">
        <w:rPr>
          <w:rFonts w:ascii="Times New Roman" w:hAnsi="Times New Roman" w:cs="Times New Roman"/>
          <w:sz w:val="24"/>
          <w:szCs w:val="24"/>
          <w:lang w:val="bg-BG" w:eastAsia="bg-BG"/>
        </w:rPr>
        <w:t xml:space="preserve"> са с произход от черноморските страни. Поради затворения характер на морето и липсата на по-голяма проточност, екологичното въздействие се увеличава значително за разлика от подобни ситуации при други морски басейни.</w:t>
      </w:r>
      <w:r w:rsidR="0008394A" w:rsidRPr="00610B1B">
        <w:rPr>
          <w:rFonts w:ascii="Times New Roman" w:hAnsi="Times New Roman" w:cs="Times New Roman"/>
          <w:sz w:val="24"/>
          <w:szCs w:val="24"/>
          <w:lang w:val="bg-BG" w:eastAsia="bg-BG"/>
        </w:rPr>
        <w:t xml:space="preserve"> </w:t>
      </w:r>
      <w:r w:rsidR="00430786" w:rsidRPr="00610B1B">
        <w:rPr>
          <w:rFonts w:ascii="Times New Roman" w:hAnsi="Times New Roman" w:cs="Times New Roman"/>
          <w:sz w:val="24"/>
          <w:szCs w:val="24"/>
          <w:lang w:val="bg-BG" w:eastAsia="bg-BG"/>
        </w:rPr>
        <w:t>Най-силно засегната от еутрофикацията е северозападната част на Черно море, където се вливат реки</w:t>
      </w:r>
      <w:r w:rsidR="0008394A" w:rsidRPr="00610B1B">
        <w:rPr>
          <w:rFonts w:ascii="Times New Roman" w:hAnsi="Times New Roman" w:cs="Times New Roman"/>
          <w:sz w:val="24"/>
          <w:szCs w:val="24"/>
          <w:lang w:val="bg-BG" w:eastAsia="bg-BG"/>
        </w:rPr>
        <w:t>те</w:t>
      </w:r>
      <w:r w:rsidR="00430786" w:rsidRPr="00610B1B">
        <w:rPr>
          <w:rFonts w:ascii="Times New Roman" w:hAnsi="Times New Roman" w:cs="Times New Roman"/>
          <w:sz w:val="24"/>
          <w:szCs w:val="24"/>
          <w:lang w:val="bg-BG" w:eastAsia="bg-BG"/>
        </w:rPr>
        <w:t xml:space="preserve"> Дунав, Днепър и Днестър. Големите количества фосфати и нитрати</w:t>
      </w:r>
      <w:r w:rsidR="00B40160" w:rsidRPr="00610B1B">
        <w:rPr>
          <w:rFonts w:ascii="Times New Roman" w:hAnsi="Times New Roman" w:cs="Times New Roman"/>
          <w:sz w:val="24"/>
          <w:szCs w:val="24"/>
          <w:lang w:val="bg-BG" w:eastAsia="bg-BG"/>
        </w:rPr>
        <w:t xml:space="preserve"> причин</w:t>
      </w:r>
      <w:r w:rsidR="002A63A6" w:rsidRPr="00610B1B">
        <w:rPr>
          <w:rFonts w:ascii="Times New Roman" w:hAnsi="Times New Roman" w:cs="Times New Roman"/>
          <w:sz w:val="24"/>
          <w:szCs w:val="24"/>
          <w:lang w:val="bg-BG" w:eastAsia="bg-BG"/>
        </w:rPr>
        <w:t xml:space="preserve">яват </w:t>
      </w:r>
      <w:r w:rsidR="00430786" w:rsidRPr="00610B1B">
        <w:rPr>
          <w:rFonts w:ascii="Times New Roman" w:hAnsi="Times New Roman" w:cs="Times New Roman"/>
          <w:sz w:val="24"/>
          <w:szCs w:val="24"/>
          <w:lang w:val="bg-BG" w:eastAsia="bg-BG"/>
        </w:rPr>
        <w:t>масирано развитие на фитопланктона</w:t>
      </w:r>
      <w:r w:rsidR="00F21D9C" w:rsidRPr="00610B1B">
        <w:rPr>
          <w:rFonts w:ascii="Times New Roman" w:hAnsi="Times New Roman" w:cs="Times New Roman"/>
          <w:sz w:val="24"/>
          <w:szCs w:val="24"/>
          <w:lang w:val="bg-BG" w:eastAsia="bg-BG"/>
        </w:rPr>
        <w:t xml:space="preserve"> </w:t>
      </w:r>
      <w:r w:rsidR="002A63A6" w:rsidRPr="00610B1B">
        <w:rPr>
          <w:rFonts w:ascii="Times New Roman" w:hAnsi="Times New Roman" w:cs="Times New Roman"/>
          <w:sz w:val="24"/>
          <w:szCs w:val="24"/>
          <w:lang w:val="bg-BG" w:eastAsia="bg-BG"/>
        </w:rPr>
        <w:t>с</w:t>
      </w:r>
      <w:r w:rsidR="00F21D9C" w:rsidRPr="00610B1B">
        <w:rPr>
          <w:rFonts w:ascii="Times New Roman" w:hAnsi="Times New Roman" w:cs="Times New Roman"/>
          <w:sz w:val="24"/>
          <w:szCs w:val="24"/>
          <w:lang w:val="bg-BG" w:eastAsia="bg-BG"/>
        </w:rPr>
        <w:t xml:space="preserve"> всички последици от това.</w:t>
      </w:r>
      <w:r w:rsidR="004E20F4" w:rsidRPr="00610B1B">
        <w:rPr>
          <w:rFonts w:ascii="Times New Roman" w:hAnsi="Times New Roman" w:cs="Times New Roman"/>
          <w:sz w:val="24"/>
          <w:szCs w:val="24"/>
          <w:lang w:val="bg-BG" w:eastAsia="bg-BG"/>
        </w:rPr>
        <w:t xml:space="preserve"> </w:t>
      </w:r>
      <w:r w:rsidR="00430786" w:rsidRPr="00610B1B">
        <w:rPr>
          <w:rFonts w:ascii="Times New Roman" w:hAnsi="Times New Roman" w:cs="Times New Roman"/>
          <w:sz w:val="24"/>
          <w:szCs w:val="24"/>
          <w:lang w:val="bg-BG" w:eastAsia="bg-BG"/>
        </w:rPr>
        <w:t>Допълнително натоварване върху морската среда оказват и инвазията на чуждестранни видове, дънното тралиране и преуловът. Устано</w:t>
      </w:r>
      <w:r w:rsidR="0008394A" w:rsidRPr="00610B1B">
        <w:rPr>
          <w:rFonts w:ascii="Times New Roman" w:hAnsi="Times New Roman" w:cs="Times New Roman"/>
          <w:sz w:val="24"/>
          <w:szCs w:val="24"/>
          <w:lang w:val="bg-BG" w:eastAsia="bg-BG"/>
        </w:rPr>
        <w:t xml:space="preserve">вено е </w:t>
      </w:r>
      <w:r w:rsidR="00430786" w:rsidRPr="00610B1B">
        <w:rPr>
          <w:rFonts w:ascii="Times New Roman" w:hAnsi="Times New Roman" w:cs="Times New Roman"/>
          <w:sz w:val="24"/>
          <w:szCs w:val="24"/>
          <w:lang w:val="bg-BG" w:eastAsia="bg-BG"/>
        </w:rPr>
        <w:t>значително намаляване на рибните запаси в българската морска акватория.</w:t>
      </w:r>
      <w:r w:rsidR="00430786" w:rsidRPr="00610B1B">
        <w:rPr>
          <w:rFonts w:ascii="Times New Roman" w:hAnsi="Times New Roman" w:cs="Times New Roman"/>
          <w:sz w:val="24"/>
          <w:szCs w:val="24"/>
          <w:lang w:val="bg-BG"/>
        </w:rPr>
        <w:t xml:space="preserve"> </w:t>
      </w:r>
    </w:p>
    <w:p w14:paraId="59828BD0" w14:textId="28E8F80A" w:rsidR="00B40160" w:rsidRPr="00610B1B" w:rsidRDefault="00430786" w:rsidP="00D32D6A">
      <w:pPr>
        <w:spacing w:after="120"/>
        <w:ind w:right="-153"/>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lastRenderedPageBreak/>
        <w:t>Природни</w:t>
      </w:r>
      <w:r w:rsidR="00514248" w:rsidRPr="00610B1B">
        <w:rPr>
          <w:rFonts w:ascii="Times New Roman" w:hAnsi="Times New Roman" w:cs="Times New Roman"/>
          <w:sz w:val="24"/>
          <w:szCs w:val="24"/>
          <w:lang w:val="bg-BG" w:eastAsia="bg-BG"/>
        </w:rPr>
        <w:t>те</w:t>
      </w:r>
      <w:r w:rsidRPr="00610B1B">
        <w:rPr>
          <w:rFonts w:ascii="Times New Roman" w:hAnsi="Times New Roman" w:cs="Times New Roman"/>
          <w:sz w:val="24"/>
          <w:szCs w:val="24"/>
          <w:lang w:val="bg-BG" w:eastAsia="bg-BG"/>
        </w:rPr>
        <w:t xml:space="preserve"> ресурси на българската морска акватория и прилежаща</w:t>
      </w:r>
      <w:r w:rsidR="0008394A" w:rsidRPr="00610B1B">
        <w:rPr>
          <w:rFonts w:ascii="Times New Roman" w:hAnsi="Times New Roman" w:cs="Times New Roman"/>
          <w:sz w:val="24"/>
          <w:szCs w:val="24"/>
          <w:lang w:val="bg-BG" w:eastAsia="bg-BG"/>
        </w:rPr>
        <w:t>та</w:t>
      </w:r>
      <w:r w:rsidRPr="00610B1B">
        <w:rPr>
          <w:rFonts w:ascii="Times New Roman" w:hAnsi="Times New Roman" w:cs="Times New Roman"/>
          <w:sz w:val="24"/>
          <w:szCs w:val="24"/>
          <w:lang w:val="bg-BG" w:eastAsia="bg-BG"/>
        </w:rPr>
        <w:t xml:space="preserve"> крайбрежна </w:t>
      </w:r>
      <w:r w:rsidR="00AF4C05" w:rsidRPr="00610B1B">
        <w:rPr>
          <w:rFonts w:ascii="Times New Roman" w:hAnsi="Times New Roman" w:cs="Times New Roman"/>
          <w:sz w:val="24"/>
          <w:szCs w:val="24"/>
          <w:lang w:val="bg-BG" w:eastAsia="bg-BG"/>
        </w:rPr>
        <w:t>ивица</w:t>
      </w:r>
      <w:r w:rsidRPr="00610B1B">
        <w:rPr>
          <w:rFonts w:ascii="Times New Roman" w:hAnsi="Times New Roman" w:cs="Times New Roman"/>
          <w:sz w:val="24"/>
          <w:szCs w:val="24"/>
          <w:lang w:val="bg-BG" w:eastAsia="bg-BG"/>
        </w:rPr>
        <w:t xml:space="preserve"> са предпоставка за разнообразна стопанска дейност. Климатичните ресурси са изключително подходящи за рекреативн</w:t>
      </w:r>
      <w:r w:rsidR="00B40160" w:rsidRPr="00610B1B">
        <w:rPr>
          <w:rFonts w:ascii="Times New Roman" w:hAnsi="Times New Roman" w:cs="Times New Roman"/>
          <w:sz w:val="24"/>
          <w:szCs w:val="24"/>
          <w:lang w:val="bg-BG" w:eastAsia="bg-BG"/>
        </w:rPr>
        <w:t>и</w:t>
      </w:r>
      <w:r w:rsidRPr="00610B1B">
        <w:rPr>
          <w:rFonts w:ascii="Times New Roman" w:hAnsi="Times New Roman" w:cs="Times New Roman"/>
          <w:sz w:val="24"/>
          <w:szCs w:val="24"/>
          <w:lang w:val="bg-BG" w:eastAsia="bg-BG"/>
        </w:rPr>
        <w:t xml:space="preserve"> дейност</w:t>
      </w:r>
      <w:r w:rsidR="00F21D9C" w:rsidRPr="00610B1B">
        <w:rPr>
          <w:rFonts w:ascii="Times New Roman" w:hAnsi="Times New Roman" w:cs="Times New Roman"/>
          <w:sz w:val="24"/>
          <w:szCs w:val="24"/>
          <w:lang w:val="bg-BG" w:eastAsia="bg-BG"/>
        </w:rPr>
        <w:t xml:space="preserve">и, </w:t>
      </w:r>
      <w:r w:rsidR="00F52D77" w:rsidRPr="00610B1B">
        <w:rPr>
          <w:rFonts w:ascii="Times New Roman" w:hAnsi="Times New Roman" w:cs="Times New Roman"/>
          <w:sz w:val="24"/>
          <w:szCs w:val="24"/>
          <w:lang w:val="bg-BG" w:eastAsia="bg-BG"/>
        </w:rPr>
        <w:t>крайбреж</w:t>
      </w:r>
      <w:r w:rsidR="00F21D9C" w:rsidRPr="00610B1B">
        <w:rPr>
          <w:rFonts w:ascii="Times New Roman" w:hAnsi="Times New Roman" w:cs="Times New Roman"/>
          <w:sz w:val="24"/>
          <w:szCs w:val="24"/>
          <w:lang w:val="bg-BG" w:eastAsia="bg-BG"/>
        </w:rPr>
        <w:t>е</w:t>
      </w:r>
      <w:r w:rsidR="00F52D77" w:rsidRPr="00610B1B">
        <w:rPr>
          <w:rFonts w:ascii="Times New Roman" w:hAnsi="Times New Roman" w:cs="Times New Roman"/>
          <w:sz w:val="24"/>
          <w:szCs w:val="24"/>
          <w:lang w:val="bg-BG" w:eastAsia="bg-BG"/>
        </w:rPr>
        <w:t xml:space="preserve">н и </w:t>
      </w:r>
      <w:r w:rsidRPr="00610B1B">
        <w:rPr>
          <w:rFonts w:ascii="Times New Roman" w:hAnsi="Times New Roman" w:cs="Times New Roman"/>
          <w:sz w:val="24"/>
          <w:szCs w:val="24"/>
          <w:lang w:val="bg-BG" w:eastAsia="bg-BG"/>
        </w:rPr>
        <w:t>морски туризъм</w:t>
      </w:r>
      <w:r w:rsidR="00F52D77" w:rsidRPr="00610B1B">
        <w:rPr>
          <w:rFonts w:ascii="Times New Roman" w:hAnsi="Times New Roman" w:cs="Times New Roman"/>
          <w:sz w:val="24"/>
          <w:szCs w:val="24"/>
          <w:lang w:val="bg-BG" w:eastAsia="bg-BG"/>
        </w:rPr>
        <w:t>.</w:t>
      </w:r>
      <w:r w:rsidRPr="00610B1B">
        <w:rPr>
          <w:rFonts w:ascii="Times New Roman" w:hAnsi="Times New Roman" w:cs="Times New Roman"/>
          <w:sz w:val="24"/>
          <w:szCs w:val="24"/>
          <w:lang w:val="bg-BG" w:eastAsia="bg-BG"/>
        </w:rPr>
        <w:t xml:space="preserve"> Традиционен </w:t>
      </w:r>
      <w:r w:rsidR="00DB0FAB" w:rsidRPr="00610B1B">
        <w:rPr>
          <w:rFonts w:ascii="Times New Roman" w:hAnsi="Times New Roman" w:cs="Times New Roman"/>
          <w:sz w:val="24"/>
          <w:szCs w:val="24"/>
          <w:lang w:val="bg-BG" w:eastAsia="bg-BG"/>
        </w:rPr>
        <w:t>отрасъл</w:t>
      </w:r>
      <w:r w:rsidRPr="00610B1B">
        <w:rPr>
          <w:rFonts w:ascii="Times New Roman" w:hAnsi="Times New Roman" w:cs="Times New Roman"/>
          <w:sz w:val="24"/>
          <w:szCs w:val="24"/>
          <w:lang w:val="bg-BG" w:eastAsia="bg-BG"/>
        </w:rPr>
        <w:t xml:space="preserve"> е риболовът, който губи позиции поради намалените рибни запаси, но се допълва успешно от отглеждането на морски организми в новосъздадени мидени ферми. </w:t>
      </w:r>
      <w:r w:rsidR="00F52D77" w:rsidRPr="00610B1B">
        <w:rPr>
          <w:rFonts w:ascii="Times New Roman" w:hAnsi="Times New Roman" w:cs="Times New Roman"/>
          <w:sz w:val="24"/>
          <w:szCs w:val="24"/>
          <w:lang w:val="bg-BG" w:eastAsia="bg-BG"/>
        </w:rPr>
        <w:t xml:space="preserve">Традиционни </w:t>
      </w:r>
      <w:r w:rsidRPr="00610B1B">
        <w:rPr>
          <w:rFonts w:ascii="Times New Roman" w:hAnsi="Times New Roman" w:cs="Times New Roman"/>
          <w:sz w:val="24"/>
          <w:szCs w:val="24"/>
          <w:lang w:val="bg-BG" w:eastAsia="bg-BG"/>
        </w:rPr>
        <w:t>дейности, които продължават да се развиват</w:t>
      </w:r>
      <w:r w:rsidR="00514248" w:rsidRPr="00610B1B">
        <w:rPr>
          <w:rFonts w:ascii="Times New Roman" w:hAnsi="Times New Roman" w:cs="Times New Roman"/>
          <w:sz w:val="24"/>
          <w:szCs w:val="24"/>
          <w:lang w:val="bg-BG" w:eastAsia="bg-BG"/>
        </w:rPr>
        <w:t>,</w:t>
      </w:r>
      <w:r w:rsidRPr="00610B1B">
        <w:rPr>
          <w:rFonts w:ascii="Times New Roman" w:hAnsi="Times New Roman" w:cs="Times New Roman"/>
          <w:sz w:val="24"/>
          <w:szCs w:val="24"/>
          <w:lang w:val="bg-BG" w:eastAsia="bg-BG"/>
        </w:rPr>
        <w:t xml:space="preserve"> </w:t>
      </w:r>
      <w:r w:rsidR="00B40160" w:rsidRPr="00610B1B">
        <w:rPr>
          <w:rFonts w:ascii="Times New Roman" w:hAnsi="Times New Roman" w:cs="Times New Roman"/>
          <w:sz w:val="24"/>
          <w:szCs w:val="24"/>
          <w:lang w:val="bg-BG" w:eastAsia="bg-BG"/>
        </w:rPr>
        <w:t>са</w:t>
      </w:r>
      <w:r w:rsidRPr="00610B1B">
        <w:rPr>
          <w:rFonts w:ascii="Times New Roman" w:hAnsi="Times New Roman" w:cs="Times New Roman"/>
          <w:sz w:val="24"/>
          <w:szCs w:val="24"/>
          <w:lang w:val="bg-BG" w:eastAsia="bg-BG"/>
        </w:rPr>
        <w:t xml:space="preserve"> добивът </w:t>
      </w:r>
      <w:r w:rsidR="00B40160" w:rsidRPr="00610B1B">
        <w:rPr>
          <w:rFonts w:ascii="Times New Roman" w:hAnsi="Times New Roman" w:cs="Times New Roman"/>
          <w:sz w:val="24"/>
          <w:szCs w:val="24"/>
          <w:lang w:val="bg-BG" w:eastAsia="bg-BG"/>
        </w:rPr>
        <w:t>на</w:t>
      </w:r>
      <w:r w:rsidRPr="00610B1B">
        <w:rPr>
          <w:rFonts w:ascii="Times New Roman" w:hAnsi="Times New Roman" w:cs="Times New Roman"/>
          <w:sz w:val="24"/>
          <w:szCs w:val="24"/>
          <w:lang w:val="bg-BG" w:eastAsia="bg-BG"/>
        </w:rPr>
        <w:t xml:space="preserve"> морска сол </w:t>
      </w:r>
      <w:r w:rsidR="00F52D77" w:rsidRPr="00610B1B">
        <w:rPr>
          <w:rFonts w:ascii="Times New Roman" w:hAnsi="Times New Roman" w:cs="Times New Roman"/>
          <w:sz w:val="24"/>
          <w:szCs w:val="24"/>
          <w:lang w:val="bg-BG" w:eastAsia="bg-BG"/>
        </w:rPr>
        <w:t xml:space="preserve">чрез </w:t>
      </w:r>
      <w:r w:rsidRPr="00610B1B">
        <w:rPr>
          <w:rFonts w:ascii="Times New Roman" w:hAnsi="Times New Roman" w:cs="Times New Roman"/>
          <w:sz w:val="24"/>
          <w:szCs w:val="24"/>
          <w:lang w:val="bg-BG" w:eastAsia="bg-BG"/>
        </w:rPr>
        <w:t>естествено изпарение на морска вода на големи специализирани площи</w:t>
      </w:r>
      <w:r w:rsidR="00B40160" w:rsidRPr="00610B1B">
        <w:rPr>
          <w:rFonts w:ascii="Times New Roman" w:hAnsi="Times New Roman" w:cs="Times New Roman"/>
          <w:sz w:val="24"/>
          <w:szCs w:val="24"/>
          <w:lang w:val="bg-BG" w:eastAsia="bg-BG"/>
        </w:rPr>
        <w:t>,</w:t>
      </w:r>
      <w:r w:rsidRPr="00610B1B">
        <w:rPr>
          <w:rFonts w:ascii="Times New Roman" w:hAnsi="Times New Roman" w:cs="Times New Roman"/>
          <w:sz w:val="24"/>
          <w:szCs w:val="24"/>
          <w:lang w:val="bg-BG" w:eastAsia="bg-BG"/>
        </w:rPr>
        <w:t xml:space="preserve"> добиването на лечебна морска кал и луга.</w:t>
      </w:r>
      <w:r w:rsidR="00B40160" w:rsidRPr="00610B1B">
        <w:rPr>
          <w:rFonts w:ascii="Times New Roman" w:hAnsi="Times New Roman" w:cs="Times New Roman"/>
          <w:lang w:val="bg-BG"/>
        </w:rPr>
        <w:t xml:space="preserve"> </w:t>
      </w:r>
      <w:r w:rsidR="00B40160" w:rsidRPr="00610B1B">
        <w:rPr>
          <w:rFonts w:ascii="Times New Roman" w:hAnsi="Times New Roman" w:cs="Times New Roman"/>
          <w:sz w:val="24"/>
          <w:szCs w:val="24"/>
          <w:lang w:val="bg-BG" w:eastAsia="bg-BG"/>
        </w:rPr>
        <w:t xml:space="preserve">Морските пространства са отлична предпоставка за развитие на спортни дейности, свързани с морето </w:t>
      </w:r>
      <w:r w:rsidR="002A63A6" w:rsidRPr="00610B1B">
        <w:rPr>
          <w:rFonts w:ascii="Times New Roman" w:hAnsi="Times New Roman" w:cs="Times New Roman"/>
          <w:sz w:val="24"/>
          <w:szCs w:val="24"/>
          <w:lang w:val="bg-BG" w:eastAsia="bg-BG"/>
        </w:rPr>
        <w:t>–</w:t>
      </w:r>
      <w:r w:rsidR="00B40160" w:rsidRPr="00610B1B">
        <w:rPr>
          <w:rFonts w:ascii="Times New Roman" w:hAnsi="Times New Roman" w:cs="Times New Roman"/>
          <w:sz w:val="24"/>
          <w:szCs w:val="24"/>
          <w:lang w:val="bg-BG" w:eastAsia="bg-BG"/>
        </w:rPr>
        <w:t xml:space="preserve"> </w:t>
      </w:r>
      <w:r w:rsidR="002A63A6" w:rsidRPr="00610B1B">
        <w:rPr>
          <w:rFonts w:ascii="Times New Roman" w:hAnsi="Times New Roman" w:cs="Times New Roman"/>
          <w:sz w:val="24"/>
          <w:szCs w:val="24"/>
          <w:lang w:val="bg-BG" w:eastAsia="bg-BG"/>
        </w:rPr>
        <w:t xml:space="preserve">плуване, гребане, сърф, гмуркане, </w:t>
      </w:r>
      <w:r w:rsidR="00B40160" w:rsidRPr="00610B1B">
        <w:rPr>
          <w:rFonts w:ascii="Times New Roman" w:hAnsi="Times New Roman" w:cs="Times New Roman"/>
          <w:sz w:val="24"/>
          <w:szCs w:val="24"/>
          <w:lang w:val="bg-BG" w:eastAsia="bg-BG"/>
        </w:rPr>
        <w:t>ветроходство и др.</w:t>
      </w:r>
    </w:p>
    <w:p w14:paraId="4B23EADE" w14:textId="49A8E84F" w:rsidR="00B40160" w:rsidRPr="00610B1B" w:rsidRDefault="00B4016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eastAsia="bg-BG"/>
        </w:rPr>
        <w:t>Крайбрежните части и прилежащата морска акватория са ценни и в културно-историческо отношение. Двата полуострова, които са архитектурно-исторически резервати – старите градове Созопол и Несебър, са с най-голямата концентрация на паметници на културата от национално значение. Все още в недостатъчна степен е проучено и експонирано подводното културно наследство в българската акватория на Черно море.</w:t>
      </w:r>
    </w:p>
    <w:p w14:paraId="4830D4A6" w14:textId="1E6B31F0" w:rsidR="00430786" w:rsidRPr="00610B1B" w:rsidRDefault="00430786" w:rsidP="00D32D6A">
      <w:pPr>
        <w:spacing w:after="120"/>
        <w:ind w:right="-153"/>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t>Важно място в икономиката на страната заема морския</w:t>
      </w:r>
      <w:r w:rsidR="00B40160" w:rsidRPr="00610B1B">
        <w:rPr>
          <w:rFonts w:ascii="Times New Roman" w:hAnsi="Times New Roman" w:cs="Times New Roman"/>
          <w:sz w:val="24"/>
          <w:szCs w:val="24"/>
          <w:lang w:val="bg-BG" w:eastAsia="bg-BG"/>
        </w:rPr>
        <w:t>т</w:t>
      </w:r>
      <w:r w:rsidRPr="00610B1B">
        <w:rPr>
          <w:rFonts w:ascii="Times New Roman" w:hAnsi="Times New Roman" w:cs="Times New Roman"/>
          <w:sz w:val="24"/>
          <w:szCs w:val="24"/>
          <w:lang w:val="bg-BG" w:eastAsia="bg-BG"/>
        </w:rPr>
        <w:t xml:space="preserve"> транспорт</w:t>
      </w:r>
      <w:r w:rsidR="00F21D9C" w:rsidRPr="00610B1B">
        <w:rPr>
          <w:rFonts w:ascii="Times New Roman" w:hAnsi="Times New Roman" w:cs="Times New Roman"/>
          <w:sz w:val="24"/>
          <w:szCs w:val="24"/>
          <w:lang w:val="bg-BG" w:eastAsia="bg-BG"/>
        </w:rPr>
        <w:t>. Ч</w:t>
      </w:r>
      <w:r w:rsidRPr="00610B1B">
        <w:rPr>
          <w:rFonts w:ascii="Times New Roman" w:hAnsi="Times New Roman" w:cs="Times New Roman"/>
          <w:sz w:val="24"/>
          <w:szCs w:val="24"/>
          <w:lang w:val="bg-BG" w:eastAsia="bg-BG"/>
        </w:rPr>
        <w:t xml:space="preserve">рез </w:t>
      </w:r>
      <w:r w:rsidR="00F21D9C" w:rsidRPr="00610B1B">
        <w:rPr>
          <w:rFonts w:ascii="Times New Roman" w:hAnsi="Times New Roman" w:cs="Times New Roman"/>
          <w:sz w:val="24"/>
          <w:szCs w:val="24"/>
          <w:lang w:val="bg-BG" w:eastAsia="bg-BG"/>
        </w:rPr>
        <w:t>него</w:t>
      </w:r>
      <w:r w:rsidRPr="00610B1B">
        <w:rPr>
          <w:rFonts w:ascii="Times New Roman" w:hAnsi="Times New Roman" w:cs="Times New Roman"/>
          <w:sz w:val="24"/>
          <w:szCs w:val="24"/>
          <w:lang w:val="bg-BG" w:eastAsia="bg-BG"/>
        </w:rPr>
        <w:t xml:space="preserve"> се реализира значителна част от външнотърговските връзки. През Бургаското пристанище се осъществява вноса на почти цялото количество нефт, необходим на страната. Благодарение на благоприятното транспортно-географско</w:t>
      </w:r>
      <w:r w:rsidR="00514248" w:rsidRPr="00610B1B">
        <w:rPr>
          <w:rFonts w:ascii="Times New Roman" w:hAnsi="Times New Roman" w:cs="Times New Roman"/>
          <w:sz w:val="24"/>
          <w:szCs w:val="24"/>
          <w:lang w:val="bg-BG" w:eastAsia="bg-BG"/>
        </w:rPr>
        <w:t xml:space="preserve"> </w:t>
      </w:r>
      <w:r w:rsidRPr="00610B1B">
        <w:rPr>
          <w:rFonts w:ascii="Times New Roman" w:hAnsi="Times New Roman" w:cs="Times New Roman"/>
          <w:sz w:val="24"/>
          <w:szCs w:val="24"/>
          <w:lang w:val="bg-BG" w:eastAsia="bg-BG"/>
        </w:rPr>
        <w:t xml:space="preserve">положение в големите морски градове са се развили нефтохимическа промишленост, корабостроене и кораборемонтна дейност и редица други производства. </w:t>
      </w:r>
      <w:r w:rsidR="002A63A6" w:rsidRPr="00610B1B">
        <w:rPr>
          <w:rFonts w:ascii="Times New Roman" w:hAnsi="Times New Roman" w:cs="Times New Roman"/>
          <w:sz w:val="24"/>
          <w:szCs w:val="24"/>
          <w:lang w:val="bg-BG" w:eastAsia="bg-BG"/>
        </w:rPr>
        <w:t>С</w:t>
      </w:r>
      <w:r w:rsidRPr="00610B1B">
        <w:rPr>
          <w:rFonts w:ascii="Times New Roman" w:hAnsi="Times New Roman" w:cs="Times New Roman"/>
          <w:sz w:val="24"/>
          <w:szCs w:val="24"/>
          <w:lang w:val="bg-BG" w:eastAsia="bg-BG"/>
        </w:rPr>
        <w:t>лед реализация на дълбоководната връзка през Черно море страната получава голяма част от необходимия природен газ.</w:t>
      </w:r>
    </w:p>
    <w:p w14:paraId="59A8A904" w14:textId="77777777" w:rsidR="00D703D4" w:rsidRPr="00610B1B" w:rsidRDefault="00D703D4" w:rsidP="00D32D6A">
      <w:pPr>
        <w:spacing w:after="120"/>
        <w:ind w:right="-153"/>
        <w:jc w:val="both"/>
        <w:rPr>
          <w:rFonts w:ascii="Times New Roman" w:hAnsi="Times New Roman" w:cs="Times New Roman"/>
          <w:sz w:val="24"/>
          <w:szCs w:val="24"/>
          <w:lang w:val="bg-BG" w:eastAsia="bg-BG"/>
        </w:rPr>
      </w:pPr>
    </w:p>
    <w:p w14:paraId="0B2FE334" w14:textId="77777777" w:rsidR="00B601CD" w:rsidRPr="00610B1B" w:rsidRDefault="00B601CD" w:rsidP="00D32D6A">
      <w:pPr>
        <w:pStyle w:val="Heading2"/>
        <w:spacing w:before="0" w:line="276" w:lineRule="auto"/>
        <w:ind w:right="-153"/>
        <w:rPr>
          <w:rFonts w:cs="Times New Roman"/>
        </w:rPr>
      </w:pPr>
      <w:bookmarkStart w:id="19" w:name="_Toc83391360"/>
      <w:r w:rsidRPr="00610B1B">
        <w:rPr>
          <w:rFonts w:cs="Times New Roman"/>
        </w:rPr>
        <w:t xml:space="preserve">2.2. </w:t>
      </w:r>
      <w:r w:rsidR="00BB060D" w:rsidRPr="00610B1B">
        <w:rPr>
          <w:rFonts w:cs="Times New Roman"/>
        </w:rPr>
        <w:t xml:space="preserve">Състояние на </w:t>
      </w:r>
      <w:r w:rsidR="005E0470" w:rsidRPr="00610B1B">
        <w:rPr>
          <w:rFonts w:cs="Times New Roman"/>
        </w:rPr>
        <w:t>компонентите на морската среда</w:t>
      </w:r>
      <w:r w:rsidR="00AF286B" w:rsidRPr="00610B1B">
        <w:rPr>
          <w:rFonts w:cs="Times New Roman"/>
        </w:rPr>
        <w:t xml:space="preserve"> и </w:t>
      </w:r>
      <w:r w:rsidR="0004579C" w:rsidRPr="00610B1B">
        <w:rPr>
          <w:rFonts w:cs="Times New Roman"/>
        </w:rPr>
        <w:t xml:space="preserve">взаимодействия с </w:t>
      </w:r>
      <w:r w:rsidR="00AF286B" w:rsidRPr="00610B1B">
        <w:rPr>
          <w:rFonts w:cs="Times New Roman"/>
        </w:rPr>
        <w:t>прилежащата крайбрежна зона</w:t>
      </w:r>
      <w:bookmarkEnd w:id="19"/>
    </w:p>
    <w:p w14:paraId="77FC8D78" w14:textId="4DEDA8C8" w:rsidR="00AF286B" w:rsidRPr="00610B1B" w:rsidRDefault="00B601CD" w:rsidP="00D32D6A">
      <w:pPr>
        <w:pStyle w:val="Heading3"/>
        <w:spacing w:before="0" w:line="276" w:lineRule="auto"/>
        <w:ind w:right="-153"/>
        <w:rPr>
          <w:rFonts w:cs="Times New Roman"/>
        </w:rPr>
      </w:pPr>
      <w:bookmarkStart w:id="20" w:name="_Toc83391361"/>
      <w:r w:rsidRPr="00610B1B">
        <w:rPr>
          <w:rStyle w:val="Heading3Char"/>
          <w:rFonts w:cs="Times New Roman"/>
          <w:b/>
          <w:bCs/>
        </w:rPr>
        <w:t xml:space="preserve">2.2.1. </w:t>
      </w:r>
      <w:r w:rsidR="00AF286B" w:rsidRPr="00610B1B">
        <w:rPr>
          <w:rStyle w:val="Heading3Char"/>
          <w:rFonts w:cs="Times New Roman"/>
          <w:b/>
          <w:bCs/>
        </w:rPr>
        <w:t xml:space="preserve">Геология </w:t>
      </w:r>
      <w:r w:rsidR="00556BAC" w:rsidRPr="00610B1B">
        <w:rPr>
          <w:rStyle w:val="Heading3Char"/>
          <w:rFonts w:cs="Times New Roman"/>
          <w:b/>
          <w:bCs/>
        </w:rPr>
        <w:t xml:space="preserve">и </w:t>
      </w:r>
      <w:r w:rsidR="001C58DB" w:rsidRPr="00610B1B">
        <w:rPr>
          <w:rStyle w:val="Heading3Char"/>
          <w:rFonts w:cs="Times New Roman"/>
          <w:b/>
          <w:bCs/>
        </w:rPr>
        <w:t>геоморфология</w:t>
      </w:r>
      <w:bookmarkEnd w:id="20"/>
      <w:r w:rsidRPr="00610B1B">
        <w:rPr>
          <w:rStyle w:val="Heading3Char"/>
          <w:rFonts w:cs="Times New Roman"/>
          <w:b/>
          <w:bCs/>
        </w:rPr>
        <w:t xml:space="preserve"> </w:t>
      </w:r>
    </w:p>
    <w:p w14:paraId="31F09F7B" w14:textId="790E1926" w:rsidR="00590858" w:rsidRPr="00610B1B" w:rsidRDefault="00AE66CD" w:rsidP="00D32D6A">
      <w:pPr>
        <w:pStyle w:val="Heading4"/>
        <w:spacing w:before="0" w:line="276" w:lineRule="auto"/>
        <w:ind w:right="-153"/>
        <w:rPr>
          <w:rFonts w:cs="Times New Roman"/>
        </w:rPr>
      </w:pPr>
      <w:r w:rsidRPr="00610B1B">
        <w:rPr>
          <w:rFonts w:cs="Times New Roman"/>
        </w:rPr>
        <w:t xml:space="preserve">2.2.1.1. </w:t>
      </w:r>
      <w:r w:rsidR="00590858" w:rsidRPr="00610B1B">
        <w:rPr>
          <w:rFonts w:cs="Times New Roman"/>
        </w:rPr>
        <w:t>Брегова зона</w:t>
      </w:r>
    </w:p>
    <w:p w14:paraId="5C9B0CF3" w14:textId="6F966A4C" w:rsidR="00B07D3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i/>
          <w:sz w:val="24"/>
          <w:szCs w:val="24"/>
          <w:lang w:val="bg-BG"/>
        </w:rPr>
        <w:t>Брегова</w:t>
      </w:r>
      <w:r w:rsidR="0008394A" w:rsidRPr="00610B1B">
        <w:rPr>
          <w:rFonts w:ascii="Times New Roman" w:hAnsi="Times New Roman" w:cs="Times New Roman"/>
          <w:b/>
          <w:i/>
          <w:sz w:val="24"/>
          <w:szCs w:val="24"/>
          <w:lang w:val="bg-BG"/>
        </w:rPr>
        <w:t>та</w:t>
      </w:r>
      <w:r w:rsidRPr="00610B1B">
        <w:rPr>
          <w:rFonts w:ascii="Times New Roman" w:hAnsi="Times New Roman" w:cs="Times New Roman"/>
          <w:b/>
          <w:i/>
          <w:sz w:val="24"/>
          <w:szCs w:val="24"/>
          <w:lang w:val="bg-BG"/>
        </w:rPr>
        <w:t xml:space="preserve"> линия</w:t>
      </w:r>
      <w:r w:rsidR="0008394A" w:rsidRPr="00610B1B">
        <w:rPr>
          <w:rFonts w:ascii="Times New Roman" w:hAnsi="Times New Roman" w:cs="Times New Roman"/>
          <w:bCs/>
          <w:iCs/>
          <w:sz w:val="24"/>
          <w:szCs w:val="24"/>
          <w:lang w:val="bg-BG"/>
        </w:rPr>
        <w:t xml:space="preserve"> </w:t>
      </w:r>
      <w:r w:rsidRPr="00610B1B">
        <w:rPr>
          <w:rFonts w:ascii="Times New Roman" w:hAnsi="Times New Roman" w:cs="Times New Roman"/>
          <w:sz w:val="24"/>
          <w:szCs w:val="24"/>
          <w:lang w:val="bg-BG"/>
        </w:rPr>
        <w:t xml:space="preserve">очертава прехода от суша към водна повърхност от нос Сиврибурун на север (границата с </w:t>
      </w:r>
      <w:r w:rsidR="001A48C4">
        <w:rPr>
          <w:rFonts w:ascii="Times New Roman" w:hAnsi="Times New Roman" w:cs="Times New Roman"/>
          <w:sz w:val="24"/>
          <w:szCs w:val="24"/>
          <w:lang w:val="bg-BG"/>
        </w:rPr>
        <w:t>Румъния</w:t>
      </w:r>
      <w:r w:rsidRPr="00610B1B">
        <w:rPr>
          <w:rFonts w:ascii="Times New Roman" w:hAnsi="Times New Roman" w:cs="Times New Roman"/>
          <w:sz w:val="24"/>
          <w:szCs w:val="24"/>
          <w:lang w:val="bg-BG"/>
        </w:rPr>
        <w:t>) до устието на р.</w:t>
      </w:r>
      <w:r w:rsidR="00657B78"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Резово на юг (границата с Р. Турция). </w:t>
      </w:r>
      <w:r w:rsidR="00214E8E" w:rsidRPr="00610B1B">
        <w:rPr>
          <w:rFonts w:ascii="Times New Roman" w:hAnsi="Times New Roman" w:cs="Times New Roman"/>
          <w:sz w:val="24"/>
          <w:szCs w:val="24"/>
          <w:lang w:val="bg-BG"/>
        </w:rPr>
        <w:t xml:space="preserve">Към </w:t>
      </w:r>
      <w:r w:rsidRPr="00610B1B">
        <w:rPr>
          <w:rFonts w:ascii="Times New Roman" w:hAnsi="Times New Roman" w:cs="Times New Roman"/>
          <w:sz w:val="24"/>
          <w:szCs w:val="24"/>
          <w:lang w:val="bg-BG"/>
        </w:rPr>
        <w:t>настоящия момент не съществуват данни за целенасочено измерване на дължината на бреговата линия. Не е налична и официална, унифицирана цифрова версия на бреговата линия за картопострояване в различни мащаби.</w:t>
      </w:r>
      <w:r w:rsidR="00D86F72" w:rsidRPr="00610B1B">
        <w:rPr>
          <w:rFonts w:ascii="Times New Roman" w:hAnsi="Times New Roman" w:cs="Times New Roman"/>
          <w:sz w:val="24"/>
          <w:szCs w:val="24"/>
          <w:lang w:val="bg-BG"/>
        </w:rPr>
        <w:t xml:space="preserve"> </w:t>
      </w:r>
      <w:r w:rsidR="009E1C66" w:rsidRPr="00610B1B">
        <w:rPr>
          <w:rFonts w:ascii="Times New Roman" w:hAnsi="Times New Roman" w:cs="Times New Roman"/>
          <w:sz w:val="24"/>
          <w:szCs w:val="24"/>
          <w:lang w:val="bg-BG"/>
        </w:rPr>
        <w:t>П</w:t>
      </w:r>
      <w:r w:rsidRPr="00610B1B">
        <w:rPr>
          <w:rFonts w:ascii="Times New Roman" w:hAnsi="Times New Roman" w:cs="Times New Roman"/>
          <w:sz w:val="24"/>
          <w:szCs w:val="24"/>
          <w:lang w:val="bg-BG"/>
        </w:rPr>
        <w:t>роблем</w:t>
      </w:r>
      <w:r w:rsidR="009E1C66" w:rsidRPr="00610B1B">
        <w:rPr>
          <w:rFonts w:ascii="Times New Roman" w:hAnsi="Times New Roman" w:cs="Times New Roman"/>
          <w:sz w:val="24"/>
          <w:szCs w:val="24"/>
          <w:lang w:val="bg-BG"/>
        </w:rPr>
        <w:t>ите</w:t>
      </w:r>
      <w:r w:rsidRPr="00610B1B">
        <w:rPr>
          <w:rFonts w:ascii="Times New Roman" w:hAnsi="Times New Roman" w:cs="Times New Roman"/>
          <w:sz w:val="24"/>
          <w:szCs w:val="24"/>
          <w:lang w:val="bg-BG"/>
        </w:rPr>
        <w:t xml:space="preserve"> за точната параметризация на бреговата линия </w:t>
      </w:r>
      <w:r w:rsidR="009E1C66" w:rsidRPr="00610B1B">
        <w:rPr>
          <w:rFonts w:ascii="Times New Roman" w:hAnsi="Times New Roman" w:cs="Times New Roman"/>
          <w:sz w:val="24"/>
          <w:szCs w:val="24"/>
          <w:lang w:val="bg-BG"/>
        </w:rPr>
        <w:t>са</w:t>
      </w:r>
      <w:r w:rsidRPr="00610B1B">
        <w:rPr>
          <w:rFonts w:ascii="Times New Roman" w:hAnsi="Times New Roman" w:cs="Times New Roman"/>
          <w:sz w:val="24"/>
          <w:szCs w:val="24"/>
          <w:lang w:val="bg-BG"/>
        </w:rPr>
        <w:t xml:space="preserve"> постоянните антропогенни изменения и нарастващото техногенно натоварване върху черноморското ни крайбрежие. Измененията в по-големи мащаби, като строене на пристанища, брегозащитни и брегоукрепителни елементи играят важна роля за облика на съвременната брегова морфология и оказват значително влияние върху съотношението техногенен - естествен бряг. Тези промени не могат да се прогнозират, тъй като към настоящия момент само </w:t>
      </w:r>
      <w:r w:rsidR="002A63A6" w:rsidRPr="00610B1B">
        <w:rPr>
          <w:rFonts w:ascii="Times New Roman" w:hAnsi="Times New Roman" w:cs="Times New Roman"/>
          <w:sz w:val="24"/>
          <w:szCs w:val="24"/>
          <w:lang w:val="bg-BG"/>
        </w:rPr>
        <w:t>три</w:t>
      </w:r>
      <w:r w:rsidRPr="00610B1B">
        <w:rPr>
          <w:rFonts w:ascii="Times New Roman" w:hAnsi="Times New Roman" w:cs="Times New Roman"/>
          <w:sz w:val="24"/>
          <w:szCs w:val="24"/>
          <w:lang w:val="bg-BG"/>
        </w:rPr>
        <w:t xml:space="preserve"> от 14-те приморски общини има</w:t>
      </w:r>
      <w:r w:rsidR="009E1C66"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одобрен ОУП</w:t>
      </w:r>
      <w:r w:rsidR="009E1C66" w:rsidRPr="00610B1B">
        <w:rPr>
          <w:rFonts w:ascii="Times New Roman" w:hAnsi="Times New Roman" w:cs="Times New Roman"/>
          <w:sz w:val="24"/>
          <w:szCs w:val="24"/>
          <w:lang w:val="bg-BG"/>
        </w:rPr>
        <w:t>О</w:t>
      </w:r>
      <w:r w:rsidRPr="00610B1B">
        <w:rPr>
          <w:rFonts w:ascii="Times New Roman" w:hAnsi="Times New Roman" w:cs="Times New Roman"/>
          <w:sz w:val="24"/>
          <w:szCs w:val="24"/>
          <w:lang w:val="bg-BG"/>
        </w:rPr>
        <w:t xml:space="preserve">. </w:t>
      </w:r>
    </w:p>
    <w:p w14:paraId="29EEB7E8" w14:textId="439C6956" w:rsidR="00B07D3B" w:rsidRPr="001C5219" w:rsidRDefault="00B07D3B" w:rsidP="00D32D6A">
      <w:pPr>
        <w:spacing w:after="120"/>
        <w:ind w:right="-153"/>
        <w:jc w:val="both"/>
        <w:rPr>
          <w:rFonts w:ascii="Times New Roman" w:hAnsi="Times New Roman" w:cs="Times New Roman"/>
          <w:sz w:val="24"/>
          <w:szCs w:val="24"/>
          <w:lang w:val="bg-BG"/>
        </w:rPr>
      </w:pPr>
      <w:r>
        <w:rPr>
          <w:rFonts w:ascii="Times New Roman" w:hAnsi="Times New Roman" w:cs="Times New Roman"/>
          <w:sz w:val="24"/>
          <w:szCs w:val="24"/>
          <w:lang w:val="bg-BG"/>
        </w:rPr>
        <w:lastRenderedPageBreak/>
        <w:t xml:space="preserve">Официалната дължина на източната граница на Р.България се приема за 378 </w:t>
      </w:r>
      <w:r>
        <w:rPr>
          <w:rFonts w:ascii="Times New Roman" w:hAnsi="Times New Roman" w:cs="Times New Roman"/>
          <w:sz w:val="24"/>
          <w:szCs w:val="24"/>
          <w:lang w:val="en-US"/>
        </w:rPr>
        <w:t>km</w:t>
      </w:r>
      <w:r w:rsidRPr="00522682">
        <w:rPr>
          <w:rFonts w:ascii="Times New Roman" w:hAnsi="Times New Roman" w:cs="Times New Roman"/>
          <w:sz w:val="24"/>
          <w:szCs w:val="24"/>
          <w:lang w:val="bg-BG"/>
        </w:rPr>
        <w:t xml:space="preserve">. </w:t>
      </w:r>
      <w:r>
        <w:rPr>
          <w:rFonts w:ascii="Times New Roman" w:hAnsi="Times New Roman" w:cs="Times New Roman"/>
          <w:sz w:val="24"/>
          <w:szCs w:val="24"/>
          <w:lang w:val="bg-BG"/>
        </w:rPr>
        <w:t xml:space="preserve">Дължината на бреговата линия, извлечена от предоставените от АГКК специализирани карти на морските плажове, брегоукрепителните и брегозащитните съоръжения, както и кадастралната карта за границите на поземлените имоти, граничещи с Черно море, е 503,78 </w:t>
      </w:r>
      <w:r>
        <w:rPr>
          <w:rFonts w:ascii="Times New Roman" w:hAnsi="Times New Roman" w:cs="Times New Roman"/>
          <w:sz w:val="24"/>
          <w:szCs w:val="24"/>
          <w:lang w:val="en-US"/>
        </w:rPr>
        <w:t>km</w:t>
      </w:r>
      <w:r w:rsidRPr="00522682">
        <w:rPr>
          <w:rFonts w:ascii="Times New Roman" w:hAnsi="Times New Roman" w:cs="Times New Roman"/>
          <w:sz w:val="24"/>
          <w:szCs w:val="24"/>
          <w:lang w:val="bg-BG"/>
        </w:rPr>
        <w:t>.</w:t>
      </w:r>
    </w:p>
    <w:p w14:paraId="63C91F35" w14:textId="710969E4"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Брегова</w:t>
      </w:r>
      <w:r w:rsidR="00214E8E" w:rsidRPr="00610B1B">
        <w:rPr>
          <w:rFonts w:ascii="Times New Roman" w:hAnsi="Times New Roman" w:cs="Times New Roman"/>
          <w:sz w:val="24"/>
          <w:szCs w:val="24"/>
          <w:lang w:val="bg-BG"/>
        </w:rPr>
        <w:t>та</w:t>
      </w:r>
      <w:r w:rsidRPr="00610B1B">
        <w:rPr>
          <w:rFonts w:ascii="Times New Roman" w:hAnsi="Times New Roman" w:cs="Times New Roman"/>
          <w:sz w:val="24"/>
          <w:szCs w:val="24"/>
          <w:lang w:val="bg-BG"/>
        </w:rPr>
        <w:t xml:space="preserve"> линия се определя от </w:t>
      </w:r>
      <w:r w:rsidRPr="00610B1B">
        <w:rPr>
          <w:rFonts w:ascii="Times New Roman" w:hAnsi="Times New Roman" w:cs="Times New Roman"/>
          <w:b/>
          <w:i/>
          <w:sz w:val="24"/>
          <w:szCs w:val="24"/>
          <w:lang w:val="bg-BG"/>
        </w:rPr>
        <w:t>морското равнище</w:t>
      </w:r>
      <w:r w:rsidR="00D86F72" w:rsidRPr="00610B1B">
        <w:rPr>
          <w:rFonts w:ascii="Times New Roman" w:hAnsi="Times New Roman" w:cs="Times New Roman"/>
          <w:bCs/>
          <w:iCs/>
          <w:sz w:val="24"/>
          <w:szCs w:val="24"/>
          <w:lang w:val="bg-BG"/>
        </w:rPr>
        <w:t>, за което</w:t>
      </w:r>
      <w:r w:rsidRPr="00610B1B">
        <w:rPr>
          <w:rFonts w:ascii="Times New Roman" w:hAnsi="Times New Roman" w:cs="Times New Roman"/>
          <w:sz w:val="24"/>
          <w:szCs w:val="24"/>
          <w:lang w:val="bg-BG"/>
        </w:rPr>
        <w:t xml:space="preserve"> България е възприела многогодишното средно ниво на Черно море или т. н. Черноморска височинна система (ЧВС) определена пре</w:t>
      </w:r>
      <w:r w:rsidR="00214E8E" w:rsidRPr="00610B1B">
        <w:rPr>
          <w:rFonts w:ascii="Times New Roman" w:hAnsi="Times New Roman" w:cs="Times New Roman"/>
          <w:sz w:val="24"/>
          <w:szCs w:val="24"/>
          <w:lang w:val="bg-BG"/>
        </w:rPr>
        <w:t>з</w:t>
      </w:r>
      <w:r w:rsidRPr="00610B1B">
        <w:rPr>
          <w:rFonts w:ascii="Times New Roman" w:hAnsi="Times New Roman" w:cs="Times New Roman"/>
          <w:sz w:val="24"/>
          <w:szCs w:val="24"/>
          <w:lang w:val="bg-BG"/>
        </w:rPr>
        <w:t xml:space="preserve"> 1930 г. Анализът на средномесечните стойности на морското ниво от мареографните измервания за периода 1928 - 2013 г</w:t>
      </w:r>
      <w:r w:rsidR="009E1C6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показва покачване на нивото на Черно море с 1.2-1,4 </w:t>
      </w:r>
      <w:r w:rsidR="00D86F72"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 xml:space="preserve">/год за мареографна станция Варна и 1.6 -1,7 </w:t>
      </w:r>
      <w:r w:rsidR="00D86F72"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/год за Бургас (</w:t>
      </w:r>
      <w:r w:rsidRPr="00610B1B">
        <w:rPr>
          <w:rFonts w:ascii="Times New Roman" w:hAnsi="Times New Roman" w:cs="Times New Roman"/>
          <w:i/>
          <w:sz w:val="24"/>
          <w:szCs w:val="24"/>
          <w:lang w:val="bg-BG"/>
        </w:rPr>
        <w:t>Иванов, 2017</w:t>
      </w:r>
      <w:r w:rsidRPr="00610B1B">
        <w:rPr>
          <w:rFonts w:ascii="Times New Roman" w:hAnsi="Times New Roman" w:cs="Times New Roman"/>
          <w:sz w:val="24"/>
          <w:szCs w:val="24"/>
          <w:lang w:val="bg-BG"/>
        </w:rPr>
        <w:t xml:space="preserve">). </w:t>
      </w:r>
      <w:r w:rsidR="009226DB" w:rsidRPr="00610B1B">
        <w:rPr>
          <w:rFonts w:ascii="Times New Roman" w:hAnsi="Times New Roman" w:cs="Times New Roman"/>
          <w:sz w:val="24"/>
          <w:szCs w:val="24"/>
          <w:lang w:val="bg-BG"/>
        </w:rPr>
        <w:t xml:space="preserve">Приливите </w:t>
      </w:r>
      <w:r w:rsidRPr="00610B1B">
        <w:rPr>
          <w:rFonts w:ascii="Times New Roman" w:hAnsi="Times New Roman" w:cs="Times New Roman"/>
          <w:sz w:val="24"/>
          <w:szCs w:val="24"/>
          <w:lang w:val="bg-BG"/>
        </w:rPr>
        <w:t xml:space="preserve">и отливите в Черно море са незначителни, с амплитуда около 7.0 </w:t>
      </w:r>
      <w:r w:rsidR="00D86F72" w:rsidRPr="00610B1B">
        <w:rPr>
          <w:rFonts w:ascii="Times New Roman" w:hAnsi="Times New Roman" w:cs="Times New Roman"/>
          <w:sz w:val="24"/>
          <w:szCs w:val="24"/>
          <w:lang w:val="bg-BG"/>
        </w:rPr>
        <w:t>cm</w:t>
      </w:r>
      <w:r w:rsidR="005E7E37" w:rsidRPr="00610B1B">
        <w:rPr>
          <w:rFonts w:ascii="Times New Roman" w:hAnsi="Times New Roman" w:cs="Times New Roman"/>
          <w:sz w:val="24"/>
          <w:szCs w:val="24"/>
          <w:lang w:val="bg-BG"/>
        </w:rPr>
        <w:t xml:space="preserve">. Непериодичните </w:t>
      </w:r>
      <w:r w:rsidRPr="00610B1B">
        <w:rPr>
          <w:rFonts w:ascii="Times New Roman" w:hAnsi="Times New Roman" w:cs="Times New Roman"/>
          <w:sz w:val="24"/>
          <w:szCs w:val="24"/>
          <w:lang w:val="bg-BG"/>
        </w:rPr>
        <w:t>колебания на нивото на морето са значителни и се пораждат от атмосферни явления, като бърза промяна на баричното налягане</w:t>
      </w:r>
      <w:r w:rsidR="005E7E37" w:rsidRPr="00610B1B">
        <w:rPr>
          <w:rFonts w:ascii="Times New Roman" w:hAnsi="Times New Roman" w:cs="Times New Roman"/>
          <w:sz w:val="24"/>
          <w:szCs w:val="24"/>
          <w:lang w:val="bg-BG"/>
        </w:rPr>
        <w:t>. Д</w:t>
      </w:r>
      <w:r w:rsidRPr="00610B1B">
        <w:rPr>
          <w:rFonts w:ascii="Times New Roman" w:hAnsi="Times New Roman" w:cs="Times New Roman"/>
          <w:sz w:val="24"/>
          <w:szCs w:val="24"/>
          <w:lang w:val="bg-BG"/>
        </w:rPr>
        <w:t xml:space="preserve">остигат стойности повече от 1,5-2,0 </w:t>
      </w:r>
      <w:r w:rsidR="00D86F72"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за няколко дни. Това показва, че мониторинг</w:t>
      </w:r>
      <w:r w:rsidR="00D86F72" w:rsidRPr="00610B1B">
        <w:rPr>
          <w:rFonts w:ascii="Times New Roman" w:hAnsi="Times New Roman" w:cs="Times New Roman"/>
          <w:sz w:val="24"/>
          <w:szCs w:val="24"/>
          <w:lang w:val="bg-BG"/>
        </w:rPr>
        <w:t>ът</w:t>
      </w:r>
      <w:r w:rsidRPr="00610B1B">
        <w:rPr>
          <w:rFonts w:ascii="Times New Roman" w:hAnsi="Times New Roman" w:cs="Times New Roman"/>
          <w:sz w:val="24"/>
          <w:szCs w:val="24"/>
          <w:lang w:val="bg-BG"/>
        </w:rPr>
        <w:t xml:space="preserve"> на морското ниво трябва да бъде съществена част от общата система за наблюдение на морската среда.</w:t>
      </w:r>
    </w:p>
    <w:p w14:paraId="7D86C0A5" w14:textId="552EC579" w:rsidR="00590858" w:rsidRPr="00610B1B" w:rsidRDefault="00590858" w:rsidP="00D32D6A">
      <w:pPr>
        <w:spacing w:after="120"/>
        <w:ind w:right="-153"/>
        <w:jc w:val="both"/>
        <w:rPr>
          <w:rFonts w:ascii="Times New Roman" w:hAnsi="Times New Roman" w:cs="Times New Roman"/>
          <w:b/>
          <w:sz w:val="24"/>
          <w:szCs w:val="24"/>
          <w:lang w:val="bg-BG"/>
        </w:rPr>
      </w:pPr>
      <w:r w:rsidRPr="00610B1B">
        <w:rPr>
          <w:rFonts w:ascii="Times New Roman" w:hAnsi="Times New Roman" w:cs="Times New Roman"/>
          <w:b/>
          <w:i/>
          <w:sz w:val="24"/>
          <w:szCs w:val="24"/>
          <w:lang w:val="bg-BG"/>
        </w:rPr>
        <w:t>Брегова</w:t>
      </w:r>
      <w:r w:rsidR="009E1C66" w:rsidRPr="00610B1B">
        <w:rPr>
          <w:rFonts w:ascii="Times New Roman" w:hAnsi="Times New Roman" w:cs="Times New Roman"/>
          <w:b/>
          <w:i/>
          <w:sz w:val="24"/>
          <w:szCs w:val="24"/>
          <w:lang w:val="bg-BG"/>
        </w:rPr>
        <w:t>та</w:t>
      </w:r>
      <w:r w:rsidRPr="00610B1B">
        <w:rPr>
          <w:rFonts w:ascii="Times New Roman" w:hAnsi="Times New Roman" w:cs="Times New Roman"/>
          <w:b/>
          <w:i/>
          <w:sz w:val="24"/>
          <w:szCs w:val="24"/>
          <w:lang w:val="bg-BG"/>
        </w:rPr>
        <w:t xml:space="preserve"> зона</w:t>
      </w:r>
      <w:r w:rsidRPr="00610B1B">
        <w:rPr>
          <w:rFonts w:ascii="Times New Roman" w:hAnsi="Times New Roman" w:cs="Times New Roman"/>
          <w:bCs/>
          <w:sz w:val="24"/>
          <w:szCs w:val="24"/>
          <w:lang w:val="bg-BG"/>
        </w:rPr>
        <w:t xml:space="preserve"> се определя</w:t>
      </w:r>
      <w:r w:rsidRPr="00610B1B">
        <w:rPr>
          <w:rFonts w:ascii="Times New Roman" w:hAnsi="Times New Roman" w:cs="Times New Roman"/>
          <w:sz w:val="24"/>
          <w:szCs w:val="24"/>
          <w:lang w:val="bg-BG"/>
        </w:rPr>
        <w:t xml:space="preserve"> като район на границата между сушата и морето, където морето влияе на сушата и обратно. В българското законодателство н</w:t>
      </w:r>
      <w:r w:rsidR="00D86F72" w:rsidRPr="00610B1B">
        <w:rPr>
          <w:rFonts w:ascii="Times New Roman" w:hAnsi="Times New Roman" w:cs="Times New Roman"/>
          <w:sz w:val="24"/>
          <w:szCs w:val="24"/>
          <w:lang w:val="bg-BG"/>
        </w:rPr>
        <w:t>я</w:t>
      </w:r>
      <w:r w:rsidRPr="00610B1B">
        <w:rPr>
          <w:rFonts w:ascii="Times New Roman" w:hAnsi="Times New Roman" w:cs="Times New Roman"/>
          <w:sz w:val="24"/>
          <w:szCs w:val="24"/>
          <w:lang w:val="bg-BG"/>
        </w:rPr>
        <w:t>ма строга дефиниц</w:t>
      </w:r>
      <w:r w:rsidR="00D86F72"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я, но в Закона за устройство на черноморското крайбрежие (ЗУЧК) е дефинирано понятието </w:t>
      </w:r>
      <w:r w:rsidRPr="00610B1B">
        <w:rPr>
          <w:rFonts w:ascii="Times New Roman" w:hAnsi="Times New Roman" w:cs="Times New Roman"/>
          <w:bCs/>
          <w:i/>
          <w:iCs/>
          <w:sz w:val="24"/>
          <w:szCs w:val="24"/>
          <w:lang w:val="bg-BG"/>
        </w:rPr>
        <w:t>морски бряг</w:t>
      </w:r>
      <w:r w:rsidR="00214E8E" w:rsidRPr="00610B1B">
        <w:rPr>
          <w:rFonts w:ascii="Times New Roman" w:hAnsi="Times New Roman" w:cs="Times New Roman"/>
          <w:bCs/>
          <w:i/>
          <w:iCs/>
          <w:sz w:val="24"/>
          <w:szCs w:val="24"/>
          <w:lang w:val="bg-BG"/>
        </w:rPr>
        <w:t>,</w:t>
      </w:r>
      <w:r w:rsidR="00D66FE0" w:rsidRPr="00610B1B">
        <w:rPr>
          <w:rFonts w:ascii="Times New Roman" w:hAnsi="Times New Roman" w:cs="Times New Roman"/>
          <w:bCs/>
          <w:i/>
          <w:iCs/>
          <w:sz w:val="24"/>
          <w:szCs w:val="24"/>
          <w:lang w:val="bg-BG"/>
        </w:rPr>
        <w:t xml:space="preserve"> </w:t>
      </w:r>
      <w:r w:rsidRPr="00610B1B">
        <w:rPr>
          <w:rFonts w:ascii="Times New Roman" w:hAnsi="Times New Roman" w:cs="Times New Roman"/>
          <w:sz w:val="24"/>
          <w:szCs w:val="24"/>
          <w:lang w:val="bg-BG"/>
        </w:rPr>
        <w:t xml:space="preserve">като в него се определя „зона А“ за </w:t>
      </w:r>
      <w:r w:rsidR="00AF4C05" w:rsidRPr="00610B1B">
        <w:rPr>
          <w:rFonts w:ascii="Times New Roman" w:hAnsi="Times New Roman" w:cs="Times New Roman"/>
          <w:sz w:val="24"/>
          <w:szCs w:val="24"/>
          <w:lang w:val="bg-BG"/>
        </w:rPr>
        <w:t>териториалноустройствена</w:t>
      </w:r>
      <w:r w:rsidRPr="00610B1B">
        <w:rPr>
          <w:rFonts w:ascii="Times New Roman" w:hAnsi="Times New Roman" w:cs="Times New Roman"/>
          <w:sz w:val="24"/>
          <w:szCs w:val="24"/>
          <w:lang w:val="bg-BG"/>
        </w:rPr>
        <w:t xml:space="preserve"> защита</w:t>
      </w:r>
      <w:r w:rsidR="00AE1A36" w:rsidRPr="00610B1B">
        <w:rPr>
          <w:rFonts w:ascii="Times New Roman" w:hAnsi="Times New Roman" w:cs="Times New Roman"/>
          <w:sz w:val="24"/>
          <w:szCs w:val="24"/>
          <w:lang w:val="bg-BG"/>
        </w:rPr>
        <w:t xml:space="preserve">, която </w:t>
      </w:r>
      <w:r w:rsidRPr="00610B1B">
        <w:rPr>
          <w:rFonts w:ascii="Times New Roman" w:hAnsi="Times New Roman" w:cs="Times New Roman"/>
          <w:sz w:val="24"/>
          <w:szCs w:val="24"/>
          <w:lang w:val="bg-BG"/>
        </w:rPr>
        <w:t xml:space="preserve">съвпада с определението за </w:t>
      </w:r>
      <w:r w:rsidRPr="00610B1B">
        <w:rPr>
          <w:rFonts w:ascii="Times New Roman" w:hAnsi="Times New Roman" w:cs="Times New Roman"/>
          <w:b/>
          <w:i/>
          <w:iCs/>
          <w:sz w:val="24"/>
          <w:szCs w:val="24"/>
          <w:lang w:val="bg-BG"/>
        </w:rPr>
        <w:t>брегова зона</w:t>
      </w:r>
      <w:r w:rsidRPr="00610B1B">
        <w:rPr>
          <w:rFonts w:ascii="Times New Roman" w:hAnsi="Times New Roman" w:cs="Times New Roman"/>
          <w:b/>
          <w:sz w:val="24"/>
          <w:szCs w:val="24"/>
          <w:lang w:val="bg-BG"/>
        </w:rPr>
        <w:t>.</w:t>
      </w:r>
    </w:p>
    <w:p w14:paraId="5D1AA1BD" w14:textId="65F7887B"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Съвременният динамичен облик на българското черноморско крайбрежие е предопределен от геоложките условия и специфичните локални геоморфоложки особености. Съвкупността от комплексното взаимодействие между тектонските движения на земната кора и екзогенни процеси, като абразия, ерозия и акумулация са изваяли разнообразен ландшафт </w:t>
      </w:r>
      <w:r w:rsidR="006F5000" w:rsidRPr="00610B1B">
        <w:rPr>
          <w:rFonts w:ascii="Times New Roman" w:hAnsi="Times New Roman" w:cs="Times New Roman"/>
          <w:sz w:val="24"/>
          <w:szCs w:val="24"/>
          <w:lang w:val="bg-BG"/>
        </w:rPr>
        <w:t>с</w:t>
      </w:r>
      <w:r w:rsidRPr="00610B1B">
        <w:rPr>
          <w:rFonts w:ascii="Times New Roman" w:hAnsi="Times New Roman" w:cs="Times New Roman"/>
          <w:sz w:val="24"/>
          <w:szCs w:val="24"/>
          <w:lang w:val="bg-BG"/>
        </w:rPr>
        <w:t xml:space="preserve"> дълги и широки пясъчни ивици, дюни, лагуни, лимани, лонгозни гори, скални клифове, крайбрежни езера с рядка флора и фауна, и изобилие от природни ресурси. </w:t>
      </w:r>
      <w:r w:rsidR="00E50DED" w:rsidRPr="00610B1B">
        <w:rPr>
          <w:rFonts w:ascii="Times New Roman" w:hAnsi="Times New Roman" w:cs="Times New Roman"/>
          <w:sz w:val="24"/>
          <w:szCs w:val="24"/>
          <w:lang w:val="bg-BG"/>
        </w:rPr>
        <w:t>Едновременно</w:t>
      </w:r>
      <w:r w:rsidRPr="00610B1B">
        <w:rPr>
          <w:rFonts w:ascii="Times New Roman" w:hAnsi="Times New Roman" w:cs="Times New Roman"/>
          <w:sz w:val="24"/>
          <w:szCs w:val="24"/>
          <w:lang w:val="bg-BG"/>
        </w:rPr>
        <w:t xml:space="preserve"> с това се наблюдава все по-агресивна антропогенизация, която постепенно унищожава природни</w:t>
      </w:r>
      <w:r w:rsidR="00214E8E"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дадености.</w:t>
      </w:r>
      <w:r w:rsidR="00AE1A3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Основните геоморфоложки типове бряг и прилежащите им форми на релефа по </w:t>
      </w:r>
      <w:r w:rsidR="00D86F72" w:rsidRPr="00610B1B">
        <w:rPr>
          <w:rFonts w:ascii="Times New Roman" w:hAnsi="Times New Roman" w:cs="Times New Roman"/>
          <w:sz w:val="24"/>
          <w:szCs w:val="24"/>
          <w:lang w:val="bg-BG"/>
        </w:rPr>
        <w:t>българското Черноморско крайбрежие</w:t>
      </w:r>
      <w:r w:rsidRPr="00610B1B">
        <w:rPr>
          <w:rFonts w:ascii="Times New Roman" w:hAnsi="Times New Roman" w:cs="Times New Roman"/>
          <w:sz w:val="24"/>
          <w:szCs w:val="24"/>
          <w:lang w:val="bg-BG"/>
        </w:rPr>
        <w:t xml:space="preserve"> са:</w:t>
      </w:r>
    </w:p>
    <w:p w14:paraId="61BBA96C" w14:textId="6FDDF144" w:rsidR="00590858" w:rsidRPr="00610B1B" w:rsidRDefault="00590858" w:rsidP="00D32D6A">
      <w:pPr>
        <w:spacing w:after="120"/>
        <w:ind w:right="-153"/>
        <w:jc w:val="both"/>
        <w:rPr>
          <w:rFonts w:ascii="Times New Roman" w:hAnsi="Times New Roman" w:cs="Times New Roman"/>
          <w:bCs/>
          <w:iCs/>
          <w:sz w:val="24"/>
          <w:szCs w:val="24"/>
          <w:lang w:val="bg-BG"/>
        </w:rPr>
      </w:pPr>
      <w:r w:rsidRPr="00610B1B">
        <w:rPr>
          <w:rFonts w:ascii="Times New Roman" w:hAnsi="Times New Roman" w:cs="Times New Roman"/>
          <w:bCs/>
          <w:sz w:val="24"/>
          <w:szCs w:val="24"/>
          <w:lang w:val="bg-BG"/>
        </w:rPr>
        <w:t>А.</w:t>
      </w:r>
      <w:r w:rsidR="00D86F72"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Естествен тип бряг,</w:t>
      </w:r>
      <w:r w:rsidRPr="00610B1B">
        <w:rPr>
          <w:rFonts w:ascii="Times New Roman" w:hAnsi="Times New Roman" w:cs="Times New Roman"/>
          <w:sz w:val="24"/>
          <w:szCs w:val="24"/>
          <w:lang w:val="bg-BG"/>
        </w:rPr>
        <w:t xml:space="preserve"> обусловен от локални геолого-тектонски условия и оформен от действието на ендогенни и екзогенни процеси, който се поделя на: </w:t>
      </w:r>
      <w:r w:rsidRPr="00610B1B">
        <w:rPr>
          <w:rFonts w:ascii="Times New Roman" w:hAnsi="Times New Roman" w:cs="Times New Roman"/>
          <w:bCs/>
          <w:iCs/>
          <w:sz w:val="24"/>
          <w:szCs w:val="24"/>
          <w:lang w:val="bg-BG"/>
        </w:rPr>
        <w:t>Заравнени денудационни повърхнини; Морски тераси; Ерозионни долове (дерета) и ровини. Свлачища; Ерозионно-денудационни склонове; Карстови форми; Лимани и лагуни; Клифове; Плажове и дюни и Български черноморски острови.</w:t>
      </w:r>
    </w:p>
    <w:p w14:paraId="775F854C" w14:textId="571C6F53"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Cs/>
          <w:sz w:val="24"/>
          <w:szCs w:val="24"/>
          <w:lang w:val="bg-BG"/>
        </w:rPr>
        <w:t>Б.</w:t>
      </w:r>
      <w:r w:rsidR="00D86F72"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Техногенен тип бряг.</w:t>
      </w:r>
      <w:r w:rsidRPr="00610B1B">
        <w:rPr>
          <w:rFonts w:ascii="Times New Roman" w:hAnsi="Times New Roman" w:cs="Times New Roman"/>
          <w:sz w:val="24"/>
          <w:szCs w:val="24"/>
          <w:lang w:val="bg-BG"/>
        </w:rPr>
        <w:t xml:space="preserve"> Изграждането на вълнозащитни стени и дамби по протежение на бреговата линия, както и строителството на пристанищна инфраструктура е довело до бетониране на бреговата линия и понастоящем 16,2% (или 70 km) от българския бряг е превърнат в техногенен тип бряг (</w:t>
      </w:r>
      <w:r w:rsidRPr="00610B1B">
        <w:rPr>
          <w:rFonts w:ascii="Times New Roman" w:hAnsi="Times New Roman" w:cs="Times New Roman"/>
          <w:i/>
          <w:sz w:val="24"/>
          <w:szCs w:val="24"/>
          <w:lang w:val="bg-BG"/>
        </w:rPr>
        <w:t>Коцев и др., 2019</w:t>
      </w:r>
      <w:r w:rsidRPr="00610B1B">
        <w:rPr>
          <w:rFonts w:ascii="Times New Roman" w:hAnsi="Times New Roman" w:cs="Times New Roman"/>
          <w:sz w:val="24"/>
          <w:szCs w:val="24"/>
          <w:lang w:val="bg-BG"/>
        </w:rPr>
        <w:t xml:space="preserve">). </w:t>
      </w:r>
    </w:p>
    <w:p w14:paraId="0D0ECA00" w14:textId="77777777" w:rsidR="00A643FE"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i/>
          <w:sz w:val="24"/>
          <w:szCs w:val="24"/>
          <w:lang w:val="bg-BG"/>
        </w:rPr>
        <w:t>Прибрежната зона</w:t>
      </w:r>
      <w:r w:rsidRPr="00610B1B">
        <w:rPr>
          <w:rFonts w:ascii="Times New Roman" w:hAnsi="Times New Roman" w:cs="Times New Roman"/>
          <w:sz w:val="24"/>
          <w:szCs w:val="24"/>
          <w:lang w:val="bg-BG"/>
        </w:rPr>
        <w:t xml:space="preserve"> е разположена край съвременната брегова линия и обхваща подводния брегови склон и потопени</w:t>
      </w:r>
      <w:r w:rsidR="00D86F72"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реликтни тераси. За мориста граница на тази зона </w:t>
      </w:r>
      <w:r w:rsidRPr="00610B1B">
        <w:rPr>
          <w:rFonts w:ascii="Times New Roman" w:hAnsi="Times New Roman" w:cs="Times New Roman"/>
          <w:sz w:val="24"/>
          <w:szCs w:val="24"/>
          <w:lang w:val="bg-BG"/>
        </w:rPr>
        <w:lastRenderedPageBreak/>
        <w:t>условно е приета 20-метровата изобата (</w:t>
      </w:r>
      <w:r w:rsidRPr="00610B1B">
        <w:rPr>
          <w:rFonts w:ascii="Times New Roman" w:hAnsi="Times New Roman" w:cs="Times New Roman"/>
          <w:i/>
          <w:sz w:val="24"/>
          <w:szCs w:val="24"/>
          <w:lang w:val="bg-BG"/>
        </w:rPr>
        <w:t>Димитров, 1979</w:t>
      </w:r>
      <w:r w:rsidRPr="00610B1B">
        <w:rPr>
          <w:rFonts w:ascii="Times New Roman" w:hAnsi="Times New Roman" w:cs="Times New Roman"/>
          <w:sz w:val="24"/>
          <w:szCs w:val="24"/>
          <w:lang w:val="bg-BG"/>
        </w:rPr>
        <w:t xml:space="preserve">). </w:t>
      </w:r>
      <w:r w:rsidR="00D86F72" w:rsidRPr="00610B1B">
        <w:rPr>
          <w:rFonts w:ascii="Times New Roman" w:hAnsi="Times New Roman" w:cs="Times New Roman"/>
          <w:sz w:val="24"/>
          <w:szCs w:val="24"/>
          <w:lang w:val="bg-BG"/>
        </w:rPr>
        <w:t xml:space="preserve">Тя </w:t>
      </w:r>
      <w:r w:rsidRPr="00610B1B">
        <w:rPr>
          <w:rFonts w:ascii="Times New Roman" w:hAnsi="Times New Roman" w:cs="Times New Roman"/>
          <w:sz w:val="24"/>
          <w:szCs w:val="24"/>
          <w:lang w:val="bg-BG"/>
        </w:rPr>
        <w:t xml:space="preserve">е подложена на активно вълново въздействие, като по такъв начин едновременно са застъпени процесите на абразия и акумулация. </w:t>
      </w:r>
    </w:p>
    <w:p w14:paraId="6C92EF78" w14:textId="5FE61DE3" w:rsidR="00C52B23" w:rsidRPr="00610B1B" w:rsidRDefault="006F500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Българското крайбрежие е поделено на пет основни геоморфоложки района въз основа на изграждащите го морфоструктурни единици: </w:t>
      </w:r>
      <w:r w:rsidR="00C52B23" w:rsidRPr="00610B1B">
        <w:rPr>
          <w:rFonts w:ascii="Times New Roman" w:hAnsi="Times New Roman" w:cs="Times New Roman"/>
          <w:sz w:val="24"/>
          <w:szCs w:val="24"/>
          <w:lang w:val="bg-BG"/>
        </w:rPr>
        <w:t>Източ</w:t>
      </w:r>
      <w:r w:rsidRPr="00610B1B">
        <w:rPr>
          <w:rFonts w:ascii="Times New Roman" w:hAnsi="Times New Roman" w:cs="Times New Roman"/>
          <w:sz w:val="24"/>
          <w:szCs w:val="24"/>
          <w:lang w:val="bg-BG"/>
        </w:rPr>
        <w:t>е</w:t>
      </w:r>
      <w:r w:rsidR="00C52B23" w:rsidRPr="00610B1B">
        <w:rPr>
          <w:rFonts w:ascii="Times New Roman" w:hAnsi="Times New Roman" w:cs="Times New Roman"/>
          <w:sz w:val="24"/>
          <w:szCs w:val="24"/>
          <w:lang w:val="bg-BG"/>
        </w:rPr>
        <w:t xml:space="preserve">н дял на Мизийска плоча; Долнокамчийско грабен-разломно понижение; приморска част на Старопланинската мегаструктура; Бургаски синклинорий и Медноридско-Странджански мегаантиклинорий. </w:t>
      </w:r>
    </w:p>
    <w:p w14:paraId="6433B304" w14:textId="44F635C9" w:rsidR="00590858" w:rsidRPr="00610B1B" w:rsidRDefault="00751B5D" w:rsidP="00D32D6A">
      <w:pPr>
        <w:pStyle w:val="Caption"/>
        <w:spacing w:before="0" w:after="0" w:line="240" w:lineRule="auto"/>
        <w:ind w:right="-153"/>
        <w:rPr>
          <w:rFonts w:cs="Times New Roman"/>
        </w:rPr>
      </w:pPr>
      <w:bookmarkStart w:id="21" w:name="_Toc83391464"/>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1</w:t>
      </w:r>
      <w:r w:rsidRPr="00610B1B">
        <w:rPr>
          <w:rFonts w:cs="Times New Roman"/>
        </w:rPr>
        <w:fldChar w:fldCharType="end"/>
      </w:r>
      <w:r w:rsidRPr="00610B1B">
        <w:rPr>
          <w:rFonts w:cs="Times New Roman"/>
        </w:rPr>
        <w:t>:</w:t>
      </w:r>
      <w:r w:rsidR="00590858" w:rsidRPr="00610B1B">
        <w:rPr>
          <w:rFonts w:cs="Times New Roman"/>
        </w:rPr>
        <w:t xml:space="preserve"> Геоморфоложко райониране на българското черноморско крайбрежие.</w:t>
      </w:r>
      <w:bookmarkEnd w:id="21"/>
      <w:r w:rsidR="00590858" w:rsidRPr="00610B1B">
        <w:rPr>
          <w:rFonts w:cs="Times New Roman"/>
        </w:rPr>
        <w:t xml:space="preserve"> </w:t>
      </w:r>
    </w:p>
    <w:p w14:paraId="2E679053" w14:textId="4569CC58" w:rsidR="00590858" w:rsidRPr="00610B1B" w:rsidRDefault="00590858" w:rsidP="00D32D6A">
      <w:pPr>
        <w:pStyle w:val="af"/>
        <w:spacing w:before="0" w:after="120" w:line="276" w:lineRule="auto"/>
        <w:ind w:right="-153" w:firstLine="0"/>
        <w:rPr>
          <w:rFonts w:cs="Times New Roman"/>
          <w:szCs w:val="24"/>
        </w:rPr>
      </w:pPr>
      <w:r w:rsidRPr="00610B1B">
        <w:rPr>
          <w:rFonts w:cs="Times New Roman"/>
          <w:noProof/>
          <w:szCs w:val="24"/>
          <w:lang w:eastAsia="bg-BG"/>
        </w:rPr>
        <w:drawing>
          <wp:inline distT="0" distB="0" distL="0" distR="0" wp14:anchorId="2B6B5691" wp14:editId="4FE4B30B">
            <wp:extent cx="4619708" cy="6533954"/>
            <wp:effectExtent l="0" t="0" r="0" b="635"/>
            <wp:docPr id="1"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2 Geomorpho Chart.png"/>
                    <pic:cNvPicPr/>
                  </pic:nvPicPr>
                  <pic:blipFill>
                    <a:blip r:embed="rId18">
                      <a:extLst>
                        <a:ext uri="{28A0092B-C50C-407E-A947-70E740481C1C}">
                          <a14:useLocalDpi xmlns:a14="http://schemas.microsoft.com/office/drawing/2010/main" val="0"/>
                        </a:ext>
                      </a:extLst>
                    </a:blip>
                    <a:stretch>
                      <a:fillRect/>
                    </a:stretch>
                  </pic:blipFill>
                  <pic:spPr>
                    <a:xfrm>
                      <a:off x="0" y="0"/>
                      <a:ext cx="4624731" cy="6541058"/>
                    </a:xfrm>
                    <a:prstGeom prst="rect">
                      <a:avLst/>
                    </a:prstGeom>
                  </pic:spPr>
                </pic:pic>
              </a:graphicData>
            </a:graphic>
          </wp:inline>
        </w:drawing>
      </w:r>
    </w:p>
    <w:p w14:paraId="06D13147" w14:textId="791BB365" w:rsidR="00893838" w:rsidRPr="00610B1B" w:rsidRDefault="00893838" w:rsidP="00D32D6A">
      <w:pPr>
        <w:pStyle w:val="af"/>
        <w:spacing w:before="0" w:after="120" w:line="276" w:lineRule="auto"/>
        <w:ind w:right="-153" w:firstLine="0"/>
        <w:jc w:val="left"/>
        <w:rPr>
          <w:rFonts w:cs="Times New Roman"/>
          <w:sz w:val="22"/>
        </w:rPr>
      </w:pPr>
      <w:r w:rsidRPr="00610B1B">
        <w:rPr>
          <w:rFonts w:cs="Times New Roman"/>
          <w:sz w:val="22"/>
        </w:rPr>
        <w:t>Източник: Попов, Мишев, 1974 г. обработка Л. Димитров</w:t>
      </w:r>
    </w:p>
    <w:p w14:paraId="0010DE4F" w14:textId="3434FE6B"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От инженерно-геоложка гледна точка, най-засегнати от свлачищни, абразионни и ерозионни процеси по Черноморското крайбрежие са всички клифови участъци в подрайоните в обхвата на Добруджанско–Франгенския, Долнокамчийския и Старопланински райони. В зависимост от конкретните условия на даден брегови участък, включващ и подводния брегови склон, тези процеси са по-интензивни и разрушителни при нос Калиакра, нос Галата, участъците м</w:t>
      </w:r>
      <w:r w:rsidR="00126C31"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жду гр. Каварна и гр. Балчик, между с. Кранево и к</w:t>
      </w:r>
      <w:r w:rsidR="00126C31" w:rsidRPr="00610B1B">
        <w:rPr>
          <w:rFonts w:ascii="Times New Roman" w:hAnsi="Times New Roman" w:cs="Times New Roman"/>
          <w:sz w:val="24"/>
          <w:szCs w:val="24"/>
          <w:lang w:val="bg-BG"/>
        </w:rPr>
        <w:t xml:space="preserve">урортен комплекс </w:t>
      </w:r>
      <w:r w:rsidR="006052F8"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Златни пясъци</w:t>
      </w:r>
      <w:r w:rsidR="006052F8"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p>
    <w:p w14:paraId="222D26E3" w14:textId="79B17B57" w:rsidR="00590858" w:rsidRPr="00610B1B" w:rsidRDefault="00A0638E" w:rsidP="00D32D6A">
      <w:pPr>
        <w:spacing w:after="120"/>
        <w:ind w:right="-153"/>
        <w:jc w:val="both"/>
        <w:rPr>
          <w:rFonts w:ascii="Times New Roman" w:hAnsi="Times New Roman" w:cs="Times New Roman"/>
          <w:sz w:val="24"/>
          <w:szCs w:val="24"/>
          <w:lang w:val="bg-BG"/>
        </w:rPr>
      </w:pPr>
      <w:bookmarkStart w:id="22" w:name="_Hlk128580464"/>
      <w:r>
        <w:rPr>
          <w:rFonts w:ascii="Times New Roman" w:hAnsi="Times New Roman" w:cs="Times New Roman"/>
          <w:sz w:val="24"/>
          <w:szCs w:val="24"/>
          <w:lang w:val="bg-BG"/>
        </w:rPr>
        <w:t>Дружествата по геозащита към МРРБ</w:t>
      </w:r>
      <w:r w:rsidR="00590858" w:rsidRPr="00610B1B">
        <w:rPr>
          <w:rFonts w:ascii="Times New Roman" w:hAnsi="Times New Roman" w:cs="Times New Roman"/>
          <w:sz w:val="24"/>
          <w:szCs w:val="24"/>
          <w:lang w:val="bg-BG"/>
        </w:rPr>
        <w:t xml:space="preserve"> </w:t>
      </w:r>
      <w:bookmarkEnd w:id="22"/>
      <w:r w:rsidR="00590858" w:rsidRPr="00610B1B">
        <w:rPr>
          <w:rFonts w:ascii="Times New Roman" w:hAnsi="Times New Roman" w:cs="Times New Roman"/>
          <w:sz w:val="24"/>
          <w:szCs w:val="24"/>
          <w:lang w:val="bg-BG"/>
        </w:rPr>
        <w:t>по</w:t>
      </w:r>
      <w:r w:rsidR="003659B5" w:rsidRPr="00610B1B">
        <w:rPr>
          <w:rFonts w:ascii="Times New Roman" w:hAnsi="Times New Roman" w:cs="Times New Roman"/>
          <w:sz w:val="24"/>
          <w:szCs w:val="24"/>
          <w:lang w:val="bg-BG"/>
        </w:rPr>
        <w:t>д</w:t>
      </w:r>
      <w:r w:rsidR="00590858" w:rsidRPr="00610B1B">
        <w:rPr>
          <w:rFonts w:ascii="Times New Roman" w:hAnsi="Times New Roman" w:cs="Times New Roman"/>
          <w:sz w:val="24"/>
          <w:szCs w:val="24"/>
          <w:lang w:val="bg-BG"/>
        </w:rPr>
        <w:t>държат добър регист</w:t>
      </w:r>
      <w:r w:rsidR="00126C31" w:rsidRPr="00610B1B">
        <w:rPr>
          <w:rFonts w:ascii="Times New Roman" w:hAnsi="Times New Roman" w:cs="Times New Roman"/>
          <w:sz w:val="24"/>
          <w:szCs w:val="24"/>
          <w:lang w:val="bg-BG"/>
        </w:rPr>
        <w:t>ъ</w:t>
      </w:r>
      <w:r w:rsidR="00590858" w:rsidRPr="00610B1B">
        <w:rPr>
          <w:rFonts w:ascii="Times New Roman" w:hAnsi="Times New Roman" w:cs="Times New Roman"/>
          <w:sz w:val="24"/>
          <w:szCs w:val="24"/>
          <w:lang w:val="bg-BG"/>
        </w:rPr>
        <w:t>р на свлачищата</w:t>
      </w:r>
      <w:r w:rsidR="00126C31" w:rsidRPr="00610B1B">
        <w:rPr>
          <w:rStyle w:val="FootnoteReference"/>
          <w:rFonts w:ascii="Times New Roman" w:hAnsi="Times New Roman" w:cs="Times New Roman"/>
          <w:sz w:val="24"/>
          <w:szCs w:val="24"/>
          <w:lang w:val="bg-BG"/>
        </w:rPr>
        <w:footnoteReference w:id="72"/>
      </w:r>
      <w:r>
        <w:rPr>
          <w:rFonts w:ascii="Times New Roman" w:hAnsi="Times New Roman" w:cs="Times New Roman"/>
          <w:sz w:val="24"/>
          <w:szCs w:val="24"/>
          <w:lang w:val="bg-BG"/>
        </w:rPr>
        <w:t xml:space="preserve"> съгласно </w:t>
      </w:r>
      <w:r w:rsidRPr="00A0638E">
        <w:rPr>
          <w:rFonts w:ascii="Times New Roman" w:hAnsi="Times New Roman" w:cs="Times New Roman"/>
          <w:sz w:val="24"/>
          <w:szCs w:val="24"/>
          <w:lang w:val="bg-BG"/>
        </w:rPr>
        <w:t>Наредба № РД-02-20-1 от 19.06.2014 г. за условията и реда за вписване и поддържане на регистър на свлачищните райони на територията на република България, на районите с абразионни и ерозионни процеси по Черноморското и Дунавското крайбрежие и мониторинга им</w:t>
      </w:r>
      <w:r>
        <w:rPr>
          <w:rFonts w:ascii="Times New Roman" w:hAnsi="Times New Roman" w:cs="Times New Roman"/>
          <w:sz w:val="24"/>
          <w:szCs w:val="24"/>
          <w:lang w:val="bg-BG"/>
        </w:rPr>
        <w:t>.</w:t>
      </w:r>
    </w:p>
    <w:p w14:paraId="08DDA3CD" w14:textId="21103427" w:rsidR="00590858" w:rsidRPr="00610B1B" w:rsidRDefault="00AE66CD" w:rsidP="00D32D6A">
      <w:pPr>
        <w:pStyle w:val="Heading4"/>
        <w:spacing w:before="0" w:line="276" w:lineRule="auto"/>
        <w:ind w:right="-153"/>
        <w:rPr>
          <w:rFonts w:cs="Times New Roman"/>
        </w:rPr>
      </w:pPr>
      <w:r w:rsidRPr="00610B1B">
        <w:rPr>
          <w:rFonts w:cs="Times New Roman"/>
        </w:rPr>
        <w:t xml:space="preserve">2.2.1.2. </w:t>
      </w:r>
      <w:r w:rsidR="00590858" w:rsidRPr="00610B1B">
        <w:rPr>
          <w:rFonts w:cs="Times New Roman"/>
        </w:rPr>
        <w:t>Континентален шелф и дълбоководие</w:t>
      </w:r>
    </w:p>
    <w:p w14:paraId="119B2A6E" w14:textId="13FD26C0"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Морските пространства на Република България са регламентирани от 1987 г. в Закона за морските пространства, а от 2000 г. в Закона за морските пространства, вътрешните водни пътища и пристанищата</w:t>
      </w:r>
      <w:r w:rsidR="00AC5F2E" w:rsidRPr="00610B1B">
        <w:rPr>
          <w:rFonts w:ascii="Times New Roman" w:hAnsi="Times New Roman" w:cs="Times New Roman"/>
          <w:sz w:val="24"/>
          <w:szCs w:val="24"/>
          <w:lang w:val="bg-BG"/>
        </w:rPr>
        <w:t>.</w:t>
      </w:r>
      <w:r w:rsidR="00F7392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България не е декларира</w:t>
      </w:r>
      <w:r w:rsidR="007318D7" w:rsidRPr="00610B1B">
        <w:rPr>
          <w:rFonts w:ascii="Times New Roman" w:hAnsi="Times New Roman" w:cs="Times New Roman"/>
          <w:sz w:val="24"/>
          <w:szCs w:val="24"/>
          <w:lang w:val="bg-BG"/>
        </w:rPr>
        <w:t>ла</w:t>
      </w:r>
      <w:r w:rsidRPr="00610B1B">
        <w:rPr>
          <w:rFonts w:ascii="Times New Roman" w:hAnsi="Times New Roman" w:cs="Times New Roman"/>
          <w:sz w:val="24"/>
          <w:szCs w:val="24"/>
          <w:lang w:val="bg-BG"/>
        </w:rPr>
        <w:t xml:space="preserve"> своя континентален шелф поради липса на данни за външна</w:t>
      </w:r>
      <w:r w:rsidR="00CC76AB" w:rsidRPr="00610B1B">
        <w:rPr>
          <w:rFonts w:ascii="Times New Roman" w:hAnsi="Times New Roman" w:cs="Times New Roman"/>
          <w:sz w:val="24"/>
          <w:szCs w:val="24"/>
          <w:lang w:val="bg-BG"/>
        </w:rPr>
        <w:t>та му</w:t>
      </w:r>
      <w:r w:rsidRPr="00610B1B">
        <w:rPr>
          <w:rFonts w:ascii="Times New Roman" w:hAnsi="Times New Roman" w:cs="Times New Roman"/>
          <w:sz w:val="24"/>
          <w:szCs w:val="24"/>
          <w:lang w:val="bg-BG"/>
        </w:rPr>
        <w:t xml:space="preserve"> граница. С натрупването на нови данни и знания в настоящо време т</w:t>
      </w:r>
      <w:r w:rsidR="00CC76AB" w:rsidRPr="00610B1B">
        <w:rPr>
          <w:rFonts w:ascii="Times New Roman" w:hAnsi="Times New Roman" w:cs="Times New Roman"/>
          <w:sz w:val="24"/>
          <w:szCs w:val="24"/>
          <w:lang w:val="bg-BG"/>
        </w:rPr>
        <w:t>я</w:t>
      </w:r>
      <w:r w:rsidRPr="00610B1B">
        <w:rPr>
          <w:rFonts w:ascii="Times New Roman" w:hAnsi="Times New Roman" w:cs="Times New Roman"/>
          <w:sz w:val="24"/>
          <w:szCs w:val="24"/>
          <w:lang w:val="bg-BG"/>
        </w:rPr>
        <w:t xml:space="preserve"> може надлежно да се картира.</w:t>
      </w:r>
      <w:r w:rsidR="00F73926" w:rsidRPr="00610B1B">
        <w:rPr>
          <w:rFonts w:ascii="Times New Roman" w:hAnsi="Times New Roman" w:cs="Times New Roman"/>
          <w:sz w:val="24"/>
          <w:szCs w:val="24"/>
          <w:lang w:val="bg-BG"/>
        </w:rPr>
        <w:t xml:space="preserve"> </w:t>
      </w:r>
      <w:r w:rsidR="00706318" w:rsidRPr="00610B1B">
        <w:rPr>
          <w:rFonts w:ascii="Times New Roman" w:hAnsi="Times New Roman" w:cs="Times New Roman"/>
          <w:sz w:val="24"/>
          <w:szCs w:val="24"/>
          <w:lang w:val="bg-BG"/>
        </w:rPr>
        <w:t xml:space="preserve">Северната морска </w:t>
      </w:r>
      <w:r w:rsidRPr="00610B1B">
        <w:rPr>
          <w:rFonts w:ascii="Times New Roman" w:hAnsi="Times New Roman" w:cs="Times New Roman"/>
          <w:sz w:val="24"/>
          <w:szCs w:val="24"/>
          <w:lang w:val="bg-BG"/>
        </w:rPr>
        <w:t xml:space="preserve">граница </w:t>
      </w:r>
      <w:r w:rsidR="00706318" w:rsidRPr="00610B1B">
        <w:rPr>
          <w:rFonts w:ascii="Times New Roman" w:hAnsi="Times New Roman" w:cs="Times New Roman"/>
          <w:sz w:val="24"/>
          <w:szCs w:val="24"/>
          <w:lang w:val="bg-BG"/>
        </w:rPr>
        <w:t>на Р. България</w:t>
      </w:r>
      <w:r w:rsidRPr="00610B1B">
        <w:rPr>
          <w:rFonts w:ascii="Times New Roman" w:hAnsi="Times New Roman" w:cs="Times New Roman"/>
          <w:sz w:val="24"/>
          <w:szCs w:val="24"/>
          <w:lang w:val="bg-BG"/>
        </w:rPr>
        <w:t>, налична в Световната база данни на морските граници</w:t>
      </w:r>
      <w:r w:rsidR="00D66FE0" w:rsidRPr="00610B1B">
        <w:rPr>
          <w:rFonts w:ascii="Times New Roman" w:hAnsi="Times New Roman" w:cs="Times New Roman"/>
          <w:sz w:val="24"/>
          <w:szCs w:val="24"/>
          <w:lang w:val="bg-BG"/>
        </w:rPr>
        <w:t xml:space="preserve"> </w:t>
      </w:r>
      <w:r w:rsidR="00706318" w:rsidRPr="00610B1B">
        <w:rPr>
          <w:rFonts w:ascii="Times New Roman" w:hAnsi="Times New Roman" w:cs="Times New Roman"/>
          <w:sz w:val="24"/>
          <w:szCs w:val="24"/>
          <w:lang w:val="bg-BG"/>
        </w:rPr>
        <w:t>(Maritime Boundaries Geodatabase)</w:t>
      </w:r>
      <w:r w:rsidR="00706318" w:rsidRPr="00610B1B">
        <w:rPr>
          <w:rStyle w:val="FootnoteReference"/>
          <w:rFonts w:ascii="Times New Roman" w:hAnsi="Times New Roman" w:cs="Times New Roman"/>
          <w:sz w:val="24"/>
          <w:szCs w:val="24"/>
          <w:lang w:val="bg-BG"/>
        </w:rPr>
        <w:footnoteReference w:id="73"/>
      </w:r>
      <w:r w:rsidR="00CC76AB" w:rsidRPr="00610B1B">
        <w:rPr>
          <w:rFonts w:ascii="Times New Roman" w:hAnsi="Times New Roman" w:cs="Times New Roman"/>
          <w:sz w:val="24"/>
          <w:szCs w:val="24"/>
          <w:lang w:val="bg-BG"/>
        </w:rPr>
        <w:t xml:space="preserve"> </w:t>
      </w:r>
      <w:r w:rsidRPr="00610B1B">
        <w:rPr>
          <w:rFonts w:ascii="Times New Roman" w:hAnsi="Times New Roman" w:cs="Times New Roman"/>
          <w:spacing w:val="-6"/>
          <w:sz w:val="24"/>
          <w:szCs w:val="24"/>
          <w:lang w:val="bg-BG"/>
        </w:rPr>
        <w:t xml:space="preserve">се различава </w:t>
      </w:r>
      <w:r w:rsidR="00E50DED" w:rsidRPr="00610B1B">
        <w:rPr>
          <w:rFonts w:ascii="Times New Roman" w:hAnsi="Times New Roman" w:cs="Times New Roman"/>
          <w:spacing w:val="-6"/>
          <w:sz w:val="24"/>
          <w:szCs w:val="24"/>
          <w:lang w:val="bg-BG"/>
        </w:rPr>
        <w:t>съществено</w:t>
      </w:r>
      <w:r w:rsidRPr="00610B1B">
        <w:rPr>
          <w:rFonts w:ascii="Times New Roman" w:hAnsi="Times New Roman" w:cs="Times New Roman"/>
          <w:spacing w:val="-6"/>
          <w:sz w:val="24"/>
          <w:szCs w:val="24"/>
          <w:lang w:val="bg-BG"/>
        </w:rPr>
        <w:t xml:space="preserve"> от тази</w:t>
      </w:r>
      <w:r w:rsidR="00706318" w:rsidRPr="00610B1B">
        <w:rPr>
          <w:rFonts w:ascii="Times New Roman" w:hAnsi="Times New Roman" w:cs="Times New Roman"/>
          <w:spacing w:val="-6"/>
          <w:sz w:val="24"/>
          <w:szCs w:val="24"/>
          <w:lang w:val="bg-BG"/>
        </w:rPr>
        <w:t>,</w:t>
      </w:r>
      <w:r w:rsidRPr="00610B1B">
        <w:rPr>
          <w:rFonts w:ascii="Times New Roman" w:hAnsi="Times New Roman" w:cs="Times New Roman"/>
          <w:spacing w:val="-6"/>
          <w:sz w:val="24"/>
          <w:szCs w:val="24"/>
          <w:lang w:val="bg-BG"/>
        </w:rPr>
        <w:t xml:space="preserve"> в</w:t>
      </w:r>
      <w:r w:rsidR="00706318" w:rsidRPr="00610B1B">
        <w:rPr>
          <w:rFonts w:ascii="Times New Roman" w:hAnsi="Times New Roman" w:cs="Times New Roman"/>
          <w:spacing w:val="-6"/>
          <w:sz w:val="24"/>
          <w:szCs w:val="24"/>
          <w:lang w:val="bg-BG"/>
        </w:rPr>
        <w:t>ъ</w:t>
      </w:r>
      <w:r w:rsidRPr="00610B1B">
        <w:rPr>
          <w:rFonts w:ascii="Times New Roman" w:hAnsi="Times New Roman" w:cs="Times New Roman"/>
          <w:spacing w:val="-6"/>
          <w:sz w:val="24"/>
          <w:szCs w:val="24"/>
          <w:lang w:val="bg-BG"/>
        </w:rPr>
        <w:t xml:space="preserve">зприета от органите на </w:t>
      </w:r>
      <w:r w:rsidR="00706318" w:rsidRPr="00610B1B">
        <w:rPr>
          <w:rFonts w:ascii="Times New Roman" w:hAnsi="Times New Roman" w:cs="Times New Roman"/>
          <w:spacing w:val="-6"/>
          <w:sz w:val="24"/>
          <w:szCs w:val="24"/>
          <w:lang w:val="bg-BG"/>
        </w:rPr>
        <w:t xml:space="preserve">Р. </w:t>
      </w:r>
      <w:r w:rsidRPr="00610B1B">
        <w:rPr>
          <w:rFonts w:ascii="Times New Roman" w:hAnsi="Times New Roman" w:cs="Times New Roman"/>
          <w:spacing w:val="-6"/>
          <w:sz w:val="24"/>
          <w:szCs w:val="24"/>
          <w:lang w:val="bg-BG"/>
        </w:rPr>
        <w:t>България и е в ущърб на страната, ощетявайки ни с повече от 1</w:t>
      </w:r>
      <w:r w:rsidR="00DD593B" w:rsidRPr="00610B1B">
        <w:rPr>
          <w:rFonts w:ascii="Times New Roman" w:hAnsi="Times New Roman" w:cs="Times New Roman"/>
          <w:spacing w:val="-6"/>
          <w:sz w:val="24"/>
          <w:szCs w:val="24"/>
          <w:lang w:val="bg-BG"/>
        </w:rPr>
        <w:t> </w:t>
      </w:r>
      <w:r w:rsidRPr="00610B1B">
        <w:rPr>
          <w:rFonts w:ascii="Times New Roman" w:hAnsi="Times New Roman" w:cs="Times New Roman"/>
          <w:spacing w:val="-6"/>
          <w:sz w:val="24"/>
          <w:szCs w:val="24"/>
          <w:lang w:val="bg-BG"/>
        </w:rPr>
        <w:t xml:space="preserve">000 </w:t>
      </w:r>
      <w:r w:rsidR="00706318" w:rsidRPr="00610B1B">
        <w:rPr>
          <w:rFonts w:ascii="Times New Roman" w:hAnsi="Times New Roman" w:cs="Times New Roman"/>
          <w:spacing w:val="-6"/>
          <w:sz w:val="24"/>
          <w:szCs w:val="24"/>
          <w:lang w:val="bg-BG"/>
        </w:rPr>
        <w:t>km</w:t>
      </w:r>
      <w:r w:rsidRPr="00610B1B">
        <w:rPr>
          <w:rFonts w:ascii="Times New Roman" w:hAnsi="Times New Roman" w:cs="Times New Roman"/>
          <w:spacing w:val="-6"/>
          <w:sz w:val="24"/>
          <w:szCs w:val="24"/>
          <w:vertAlign w:val="superscript"/>
          <w:lang w:val="bg-BG"/>
        </w:rPr>
        <w:t>2</w:t>
      </w:r>
      <w:r w:rsidRPr="00610B1B">
        <w:rPr>
          <w:rFonts w:ascii="Times New Roman" w:hAnsi="Times New Roman" w:cs="Times New Roman"/>
          <w:spacing w:val="-6"/>
          <w:sz w:val="24"/>
          <w:szCs w:val="24"/>
          <w:lang w:val="bg-BG"/>
        </w:rPr>
        <w:t xml:space="preserve"> </w:t>
      </w:r>
    </w:p>
    <w:p w14:paraId="5760E45D" w14:textId="4340CF6A" w:rsidR="00F73926" w:rsidRPr="00610B1B" w:rsidRDefault="00F7392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Общата площ на акваторията в Черно море под юрисдикция на Р. България</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възлиза на 32</w:t>
      </w:r>
      <w:r w:rsidR="00DD593B"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271 km</w:t>
      </w:r>
      <w:r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Предполага се, че </w:t>
      </w:r>
      <w:r w:rsidR="00DD593B" w:rsidRPr="00610B1B">
        <w:rPr>
          <w:rFonts w:ascii="Times New Roman" w:hAnsi="Times New Roman" w:cs="Times New Roman"/>
          <w:sz w:val="24"/>
          <w:szCs w:val="24"/>
          <w:lang w:val="bg-BG"/>
        </w:rPr>
        <w:t xml:space="preserve">Черно </w:t>
      </w:r>
      <w:r w:rsidRPr="00610B1B">
        <w:rPr>
          <w:rFonts w:ascii="Times New Roman" w:hAnsi="Times New Roman" w:cs="Times New Roman"/>
          <w:sz w:val="24"/>
          <w:szCs w:val="24"/>
          <w:lang w:val="bg-BG"/>
        </w:rPr>
        <w:t>море е остатък от древния океан Тетис. Много автори смятат, че образуването на басейна е протекло в периода късна креда до палеоген (</w:t>
      </w:r>
      <w:r w:rsidRPr="00610B1B">
        <w:rPr>
          <w:rFonts w:ascii="Times New Roman" w:hAnsi="Times New Roman" w:cs="Times New Roman"/>
          <w:i/>
          <w:sz w:val="24"/>
          <w:szCs w:val="24"/>
          <w:lang w:val="bg-BG"/>
        </w:rPr>
        <w:t>Tugolesov et al., 1985; Finetti et al., 1988; Geogiev, 2011</w:t>
      </w:r>
      <w:r w:rsidRPr="00610B1B">
        <w:rPr>
          <w:rFonts w:ascii="Times New Roman" w:hAnsi="Times New Roman" w:cs="Times New Roman"/>
          <w:sz w:val="24"/>
          <w:szCs w:val="24"/>
          <w:lang w:val="bg-BG"/>
        </w:rPr>
        <w:t>).</w:t>
      </w:r>
    </w:p>
    <w:p w14:paraId="6BE509C3" w14:textId="41382ADF" w:rsidR="00F73926" w:rsidRPr="00610B1B" w:rsidRDefault="00F7392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 отношение на структурата на земната кора, басейнът на Черно море се състои от Западен и Източен седиментни басейни, разделени от Средно Черноморското възвишение (хребет Андрусов-Архангелски). Българската ИИЗ попада изцяло в границите на Западния Черноморски </w:t>
      </w:r>
      <w:r w:rsidR="00C65778" w:rsidRPr="00610B1B">
        <w:rPr>
          <w:rFonts w:ascii="Times New Roman" w:hAnsi="Times New Roman" w:cs="Times New Roman"/>
          <w:sz w:val="24"/>
          <w:szCs w:val="24"/>
          <w:lang w:val="bg-BG"/>
        </w:rPr>
        <w:t xml:space="preserve">басейн </w:t>
      </w:r>
      <w:r w:rsidRPr="00610B1B">
        <w:rPr>
          <w:rFonts w:ascii="Times New Roman" w:hAnsi="Times New Roman" w:cs="Times New Roman"/>
          <w:sz w:val="24"/>
          <w:szCs w:val="24"/>
          <w:lang w:val="bg-BG"/>
        </w:rPr>
        <w:t xml:space="preserve">(ЗЧБ), лежащ на океанска и субокеанска кора. В нея се различават четири геоморфоложки зони, батиметрично лимитирани на различни нива: </w:t>
      </w:r>
      <w:r w:rsidRPr="00610B1B">
        <w:rPr>
          <w:rFonts w:ascii="Times New Roman" w:hAnsi="Times New Roman" w:cs="Times New Roman"/>
          <w:b/>
          <w:i/>
          <w:sz w:val="24"/>
          <w:szCs w:val="24"/>
          <w:lang w:val="bg-BG"/>
        </w:rPr>
        <w:t>континентален шелф</w:t>
      </w:r>
      <w:r w:rsidRPr="00610B1B">
        <w:rPr>
          <w:rFonts w:ascii="Times New Roman" w:hAnsi="Times New Roman" w:cs="Times New Roman"/>
          <w:sz w:val="24"/>
          <w:szCs w:val="24"/>
          <w:lang w:val="bg-BG"/>
        </w:rPr>
        <w:t xml:space="preserve"> – от бреговата зона до дълбочини 130-140 m; </w:t>
      </w:r>
      <w:r w:rsidRPr="00610B1B">
        <w:rPr>
          <w:rFonts w:ascii="Times New Roman" w:hAnsi="Times New Roman" w:cs="Times New Roman"/>
          <w:b/>
          <w:i/>
          <w:sz w:val="24"/>
          <w:szCs w:val="24"/>
          <w:lang w:val="bg-BG"/>
        </w:rPr>
        <w:t>континентален склон</w:t>
      </w:r>
      <w:r w:rsidRPr="00610B1B">
        <w:rPr>
          <w:rFonts w:ascii="Times New Roman" w:hAnsi="Times New Roman" w:cs="Times New Roman"/>
          <w:sz w:val="24"/>
          <w:szCs w:val="24"/>
          <w:lang w:val="bg-BG"/>
        </w:rPr>
        <w:t xml:space="preserve"> – до дълбочини около 1</w:t>
      </w:r>
      <w:r w:rsidR="006052F8"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200 m; </w:t>
      </w:r>
      <w:r w:rsidRPr="00610B1B">
        <w:rPr>
          <w:rFonts w:ascii="Times New Roman" w:hAnsi="Times New Roman" w:cs="Times New Roman"/>
          <w:b/>
          <w:i/>
          <w:sz w:val="24"/>
          <w:szCs w:val="24"/>
          <w:lang w:val="bg-BG"/>
        </w:rPr>
        <w:t>континентално подножие</w:t>
      </w:r>
      <w:r w:rsidRPr="00610B1B">
        <w:rPr>
          <w:rFonts w:ascii="Times New Roman" w:hAnsi="Times New Roman" w:cs="Times New Roman"/>
          <w:sz w:val="24"/>
          <w:szCs w:val="24"/>
          <w:lang w:val="bg-BG"/>
        </w:rPr>
        <w:t xml:space="preserve"> – до дълбочини около 1</w:t>
      </w:r>
      <w:r w:rsidR="006052F8"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800 m; и </w:t>
      </w:r>
      <w:r w:rsidRPr="00610B1B">
        <w:rPr>
          <w:rFonts w:ascii="Times New Roman" w:hAnsi="Times New Roman" w:cs="Times New Roman"/>
          <w:b/>
          <w:i/>
          <w:sz w:val="24"/>
          <w:szCs w:val="24"/>
          <w:lang w:val="bg-BG"/>
        </w:rPr>
        <w:t>абисално дъно</w:t>
      </w:r>
      <w:r w:rsidRPr="00610B1B">
        <w:rPr>
          <w:rFonts w:ascii="Times New Roman" w:hAnsi="Times New Roman" w:cs="Times New Roman"/>
          <w:sz w:val="24"/>
          <w:szCs w:val="24"/>
          <w:lang w:val="bg-BG"/>
        </w:rPr>
        <w:t>, максималната дълбочина на което в българската ИИЗ, достига до 2</w:t>
      </w:r>
      <w:r w:rsidR="006052F8"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120 m.</w:t>
      </w:r>
    </w:p>
    <w:p w14:paraId="22D1964A" w14:textId="2E0DD149" w:rsidR="00745530" w:rsidRPr="00610B1B" w:rsidRDefault="00745530" w:rsidP="00D32D6A">
      <w:pPr>
        <w:spacing w:after="120"/>
        <w:ind w:right="-153"/>
        <w:jc w:val="both"/>
        <w:rPr>
          <w:rFonts w:ascii="Times New Roman" w:hAnsi="Times New Roman" w:cs="Times New Roman"/>
          <w:sz w:val="24"/>
          <w:szCs w:val="24"/>
          <w:lang w:val="bg-BG"/>
        </w:rPr>
      </w:pPr>
    </w:p>
    <w:p w14:paraId="63229E7B" w14:textId="440A597C" w:rsidR="00745530" w:rsidRPr="00610B1B" w:rsidRDefault="00745530" w:rsidP="00D32D6A">
      <w:pPr>
        <w:spacing w:after="120"/>
        <w:ind w:right="-153"/>
        <w:jc w:val="both"/>
        <w:rPr>
          <w:rFonts w:ascii="Times New Roman" w:hAnsi="Times New Roman" w:cs="Times New Roman"/>
          <w:sz w:val="24"/>
          <w:szCs w:val="24"/>
          <w:lang w:val="bg-BG"/>
        </w:rPr>
      </w:pPr>
    </w:p>
    <w:p w14:paraId="5C17B068" w14:textId="77777777" w:rsidR="00745530" w:rsidRPr="00610B1B" w:rsidRDefault="00745530" w:rsidP="00D32D6A">
      <w:pPr>
        <w:spacing w:after="120"/>
        <w:ind w:right="-153"/>
        <w:jc w:val="both"/>
        <w:rPr>
          <w:rFonts w:ascii="Times New Roman" w:hAnsi="Times New Roman" w:cs="Times New Roman"/>
          <w:sz w:val="24"/>
          <w:szCs w:val="24"/>
          <w:lang w:val="bg-BG"/>
        </w:rPr>
      </w:pPr>
    </w:p>
    <w:p w14:paraId="311DB796" w14:textId="6937B9AD" w:rsidR="003A26CF" w:rsidRPr="00610B1B" w:rsidRDefault="003A26C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 xml:space="preserve">Главни тектонски елементи на българския континентален шелф (БКШ), проследяващи се от север на юг, са: източната част на Мизийската платформа, Долнокамчийското понижение, Източно-Старопланинската зона и Средногорската тектонска зона, като последната е представена от Бургаската падина и Странджанския антиклинорий. Въпреки голямото разнообразие от хетерогенни, хетерохронни и разнопорядкови геолого-тектонски елементи, изграждащи недрата на българския континентален шелф, те нямат отражение в съвременния му релеф, с изключение на малкото активни разломи, проявени като структурни стъпала на морското дъно в северния шелф и по неговата периферия. </w:t>
      </w:r>
    </w:p>
    <w:p w14:paraId="2513BE45" w14:textId="64E5D31D" w:rsidR="00093752" w:rsidRPr="00610B1B" w:rsidRDefault="00093752"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Съвременният релеф на българския континентален шелф е формиран под въздействието на хидродинамични процеси, основно през Холоцена, след като връзката му със Световния океан е възстановена. Присъстват и реликтни форми на релефа, образувани по време на последния ледников период (дюнното поле в периферията на шелфа). Българският континентален шелф се характеризира като относително плитководна (средна дълбочина около 130 m, в отделни участъци до 170 m) част от дъното, слабо разчленена, абразионно-акумулативна равнина, разположена между бреговата линия и границата с континенталния склон. Той представлява плавно стесняваща се от север на юг акватория с ширини по паралела от 90-100 km на север по акваториалната граница с </w:t>
      </w:r>
      <w:r w:rsidR="001A48C4">
        <w:rPr>
          <w:rFonts w:ascii="Times New Roman" w:hAnsi="Times New Roman" w:cs="Times New Roman"/>
          <w:sz w:val="24"/>
          <w:szCs w:val="24"/>
          <w:lang w:val="bg-BG"/>
        </w:rPr>
        <w:t>Румъния</w:t>
      </w:r>
      <w:r w:rsidRPr="00610B1B">
        <w:rPr>
          <w:rFonts w:ascii="Times New Roman" w:hAnsi="Times New Roman" w:cs="Times New Roman"/>
          <w:sz w:val="24"/>
          <w:szCs w:val="24"/>
          <w:lang w:val="bg-BG"/>
        </w:rPr>
        <w:t>, 60-70 km в централните си части на паралела на гр. Варна, до 45-50 km срещу устието на р. Резовска на юг. В тези граници неговата площ е 12 194 km</w:t>
      </w:r>
      <w:r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w:t>
      </w:r>
    </w:p>
    <w:p w14:paraId="78B0C22F" w14:textId="5FE0E0B7" w:rsidR="00093752" w:rsidRPr="00610B1B" w:rsidRDefault="00093752"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Краят на шелфа и началото на склона е изразен или чрез ясно колянообразно пречупване на релефа на дъното, или чрез полегато изпъкналата си форма, но винаги чрез дефинитивна промяна на наклона на дъното - от сравнително малкия регионален наклон на шелфовата равнина (от порядъка на 0.1-0.3°) до 3-5° и дори десетки градуси наклон на континенталния склон. Границата между тези геоморфоложки елементи се проследява по челния ръб на периферната шелфова тераса на дълбочини от 130-170 m, независимо, че на по-големи дълбочини могат да се срещнат и по-резки чупки в релефа на дъното. </w:t>
      </w:r>
    </w:p>
    <w:p w14:paraId="0C662154" w14:textId="4CBB2E59"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Геоморфоложки, в континенталния шелф се различават три области: </w:t>
      </w:r>
      <w:r w:rsidRPr="00610B1B">
        <w:rPr>
          <w:rFonts w:ascii="Times New Roman" w:hAnsi="Times New Roman" w:cs="Times New Roman"/>
          <w:b/>
          <w:i/>
          <w:iCs/>
          <w:sz w:val="24"/>
          <w:szCs w:val="24"/>
          <w:lang w:val="bg-BG"/>
        </w:rPr>
        <w:t>прибрежна, централна и периферна</w:t>
      </w:r>
      <w:r w:rsidRPr="00610B1B">
        <w:rPr>
          <w:rFonts w:ascii="Times New Roman" w:hAnsi="Times New Roman" w:cs="Times New Roman"/>
          <w:sz w:val="24"/>
          <w:szCs w:val="24"/>
          <w:lang w:val="bg-BG"/>
        </w:rPr>
        <w:t>, всяка със специфични особености. Основна отличителна характеристика между зоните</w:t>
      </w:r>
      <w:r w:rsidR="00C415D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е различната хидродинамична обстановка и като следствие, различна проява на абразион</w:t>
      </w:r>
      <w:r w:rsidR="007318D7" w:rsidRPr="00610B1B">
        <w:rPr>
          <w:rFonts w:ascii="Times New Roman" w:hAnsi="Times New Roman" w:cs="Times New Roman"/>
          <w:sz w:val="24"/>
          <w:szCs w:val="24"/>
          <w:lang w:val="bg-BG"/>
        </w:rPr>
        <w:t>н</w:t>
      </w:r>
      <w:r w:rsidRPr="00610B1B">
        <w:rPr>
          <w:rFonts w:ascii="Times New Roman" w:hAnsi="Times New Roman" w:cs="Times New Roman"/>
          <w:sz w:val="24"/>
          <w:szCs w:val="24"/>
          <w:lang w:val="bg-BG"/>
        </w:rPr>
        <w:t>и и акумулативни процеси, т.е. конкретната морфология и геоложка изявеност на морското дъно е в най-пряка зависимост от съвременните седиментационни и масопреносни процеси, протичащи в различните зони на шелфа</w:t>
      </w:r>
      <w:r w:rsidR="002021A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Меридионалната зоналност на шелфа се определя от хидрологичния режим по крайбрежието, като се разграничават северен шелф, от границата с </w:t>
      </w:r>
      <w:r w:rsidR="001A48C4">
        <w:rPr>
          <w:rFonts w:ascii="Times New Roman" w:hAnsi="Times New Roman" w:cs="Times New Roman"/>
          <w:sz w:val="24"/>
          <w:szCs w:val="24"/>
          <w:lang w:val="bg-BG"/>
        </w:rPr>
        <w:t>Румъния</w:t>
      </w:r>
      <w:r w:rsidRPr="00610B1B">
        <w:rPr>
          <w:rFonts w:ascii="Times New Roman" w:hAnsi="Times New Roman" w:cs="Times New Roman"/>
          <w:sz w:val="24"/>
          <w:szCs w:val="24"/>
          <w:lang w:val="bg-BG"/>
        </w:rPr>
        <w:t xml:space="preserve"> на север до паралела на гр. Варна на юг) с доминиращи абразионни процеси</w:t>
      </w:r>
      <w:r w:rsidR="00834C3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 южен шелф (до границата с Р. Турция) с преобладаващи акумулативни форми на дънния релеф.</w:t>
      </w:r>
    </w:p>
    <w:p w14:paraId="45195574" w14:textId="114FF40D"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Вътрешната, прибрежна зона</w:t>
      </w:r>
      <w:r w:rsidRPr="00610B1B">
        <w:rPr>
          <w:rFonts w:ascii="Times New Roman" w:hAnsi="Times New Roman" w:cs="Times New Roman"/>
          <w:sz w:val="24"/>
          <w:szCs w:val="24"/>
          <w:lang w:val="bg-BG"/>
        </w:rPr>
        <w:t xml:space="preserve"> е разположена край съвременната брегова линия. За мориста граница на тази зона е приета 23-25 метров</w:t>
      </w:r>
      <w:r w:rsidR="00834C30"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т</w:t>
      </w:r>
      <w:r w:rsidR="00834C30"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 xml:space="preserve"> изобати (</w:t>
      </w:r>
      <w:r w:rsidRPr="00610B1B">
        <w:rPr>
          <w:rFonts w:ascii="Times New Roman" w:hAnsi="Times New Roman" w:cs="Times New Roman"/>
          <w:i/>
          <w:sz w:val="24"/>
          <w:szCs w:val="24"/>
          <w:lang w:val="bg-BG"/>
        </w:rPr>
        <w:t>Димитров, 1979</w:t>
      </w:r>
      <w:r w:rsidRPr="00610B1B">
        <w:rPr>
          <w:rFonts w:ascii="Times New Roman" w:hAnsi="Times New Roman" w:cs="Times New Roman"/>
          <w:sz w:val="24"/>
          <w:szCs w:val="24"/>
          <w:lang w:val="bg-BG"/>
        </w:rPr>
        <w:t xml:space="preserve">). </w:t>
      </w:r>
      <w:r w:rsidR="00C65778"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я е подложена на активно вълново въздействие</w:t>
      </w:r>
      <w:r w:rsidR="00093752" w:rsidRPr="00610B1B">
        <w:rPr>
          <w:rFonts w:ascii="Times New Roman" w:hAnsi="Times New Roman" w:cs="Times New Roman"/>
          <w:sz w:val="24"/>
          <w:szCs w:val="24"/>
          <w:lang w:val="bg-BG"/>
        </w:rPr>
        <w:t xml:space="preserve"> и </w:t>
      </w:r>
      <w:r w:rsidRPr="00610B1B">
        <w:rPr>
          <w:rFonts w:ascii="Times New Roman" w:hAnsi="Times New Roman" w:cs="Times New Roman"/>
          <w:sz w:val="24"/>
          <w:szCs w:val="24"/>
          <w:lang w:val="bg-BG"/>
        </w:rPr>
        <w:t xml:space="preserve">едновременно са застъпени процесите на абразия и акумулация. </w:t>
      </w:r>
      <w:r w:rsidR="00C65778" w:rsidRPr="00610B1B">
        <w:rPr>
          <w:rFonts w:ascii="Times New Roman" w:hAnsi="Times New Roman" w:cs="Times New Roman"/>
          <w:sz w:val="24"/>
          <w:szCs w:val="24"/>
          <w:lang w:val="bg-BG"/>
        </w:rPr>
        <w:t>Обликът</w:t>
      </w:r>
      <w:r w:rsidR="00DE3A13" w:rsidRPr="00610B1B">
        <w:rPr>
          <w:rFonts w:ascii="Times New Roman" w:hAnsi="Times New Roman" w:cs="Times New Roman"/>
          <w:sz w:val="24"/>
          <w:szCs w:val="24"/>
          <w:lang w:val="bg-BG"/>
        </w:rPr>
        <w:t xml:space="preserve"> ѝ </w:t>
      </w:r>
      <w:r w:rsidRPr="00610B1B">
        <w:rPr>
          <w:rFonts w:ascii="Times New Roman" w:hAnsi="Times New Roman" w:cs="Times New Roman"/>
          <w:sz w:val="24"/>
          <w:szCs w:val="24"/>
          <w:lang w:val="bg-BG"/>
        </w:rPr>
        <w:t>е повлиян от геолого-геоморфоложките особености на прилежащата суша и обширни</w:t>
      </w:r>
      <w:r w:rsidR="00834C30"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области на интензивна абразия с клифов бряг, усложнени </w:t>
      </w:r>
      <w:r w:rsidRPr="00610B1B">
        <w:rPr>
          <w:rFonts w:ascii="Times New Roman" w:hAnsi="Times New Roman" w:cs="Times New Roman"/>
          <w:sz w:val="24"/>
          <w:szCs w:val="24"/>
          <w:lang w:val="bg-BG"/>
        </w:rPr>
        <w:lastRenderedPageBreak/>
        <w:t>от свлачищни процеси</w:t>
      </w:r>
      <w:r w:rsidR="00834C30" w:rsidRPr="00610B1B">
        <w:rPr>
          <w:rFonts w:ascii="Times New Roman" w:hAnsi="Times New Roman" w:cs="Times New Roman"/>
          <w:sz w:val="24"/>
          <w:szCs w:val="24"/>
          <w:lang w:val="bg-BG"/>
        </w:rPr>
        <w:t>. Те</w:t>
      </w:r>
      <w:r w:rsidRPr="00610B1B">
        <w:rPr>
          <w:rFonts w:ascii="Times New Roman" w:hAnsi="Times New Roman" w:cs="Times New Roman"/>
          <w:sz w:val="24"/>
          <w:szCs w:val="24"/>
          <w:lang w:val="bg-BG"/>
        </w:rPr>
        <w:t xml:space="preserve"> се прекъсват от малки заливи със засилена акумулация и обратно, </w:t>
      </w:r>
      <w:r w:rsidR="002A1729" w:rsidRPr="00610B1B">
        <w:rPr>
          <w:rFonts w:ascii="Times New Roman" w:hAnsi="Times New Roman" w:cs="Times New Roman"/>
          <w:sz w:val="24"/>
          <w:szCs w:val="24"/>
          <w:lang w:val="bg-BG"/>
        </w:rPr>
        <w:t>дълги</w:t>
      </w:r>
      <w:r w:rsidRPr="00610B1B">
        <w:rPr>
          <w:rFonts w:ascii="Times New Roman" w:hAnsi="Times New Roman" w:cs="Times New Roman"/>
          <w:sz w:val="24"/>
          <w:szCs w:val="24"/>
          <w:lang w:val="bg-BG"/>
        </w:rPr>
        <w:t xml:space="preserve"> плажни ивици се редуват с изолирани абразионни носове.</w:t>
      </w:r>
    </w:p>
    <w:p w14:paraId="735428F2" w14:textId="7398AF6F" w:rsidR="00116976" w:rsidRPr="00610B1B" w:rsidRDefault="0011697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Бургаският залив заема особено място в геоморфологията на българския континентален шелф. Той е заключен между гр. Поморие и гр. Созопол и е най-големият залив по българското Черноморско крайбрежие, с площ от 210 km</w:t>
      </w:r>
      <w:r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Новите изследвания сочат, че по геоморфоложки признаци обхватът му е по-голям, като източната му граница се разполага по меридиана на гр. Созопол. Тя се бележи по стръмно</w:t>
      </w:r>
      <w:r w:rsidR="00F33CA9" w:rsidRPr="00610B1B">
        <w:rPr>
          <w:rFonts w:ascii="Times New Roman" w:hAnsi="Times New Roman" w:cs="Times New Roman"/>
          <w:sz w:val="24"/>
          <w:szCs w:val="24"/>
          <w:lang w:val="bg-BG"/>
        </w:rPr>
        <w:t xml:space="preserve">то </w:t>
      </w:r>
      <w:r w:rsidRPr="00610B1B">
        <w:rPr>
          <w:rFonts w:ascii="Times New Roman" w:hAnsi="Times New Roman" w:cs="Times New Roman"/>
          <w:sz w:val="24"/>
          <w:szCs w:val="24"/>
          <w:lang w:val="bg-BG"/>
        </w:rPr>
        <w:t>Бургаско структурно стъпало при дълбочини 26-32 m</w:t>
      </w:r>
      <w:r w:rsidR="006052F8"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с изразен скален цокъл, свързващ Поморийската вулканска структура на север и отворения на североизток Созополски залив. На много места, в горната си част, стъпалото е усложнено от сравнително ниски (3-5 m), линейни скални банки. </w:t>
      </w:r>
      <w:r w:rsidR="006052F8" w:rsidRPr="00610B1B">
        <w:rPr>
          <w:rFonts w:ascii="Times New Roman" w:hAnsi="Times New Roman" w:cs="Times New Roman"/>
          <w:sz w:val="24"/>
          <w:szCs w:val="24"/>
          <w:lang w:val="bg-BG"/>
        </w:rPr>
        <w:t xml:space="preserve">То </w:t>
      </w:r>
      <w:r w:rsidR="00131E8B"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 xml:space="preserve"> първостепенна структурна граница, отделя Бургаския залив от централната шелфова равнина и го дефинира като самостоятелна морфоструктурна единица. </w:t>
      </w:r>
    </w:p>
    <w:p w14:paraId="225A0446" w14:textId="48A764AC" w:rsidR="00131E8B" w:rsidRPr="00610B1B" w:rsidRDefault="00131E8B"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Южно от стръмните склонове на нос Емине, поради рязката промяна на направлението на бреговата линия от север-североизто</w:t>
      </w:r>
      <w:r w:rsidR="00F33CA9" w:rsidRPr="00610B1B">
        <w:rPr>
          <w:rFonts w:ascii="Times New Roman" w:hAnsi="Times New Roman" w:cs="Times New Roman"/>
          <w:sz w:val="24"/>
          <w:szCs w:val="24"/>
          <w:lang w:val="bg-BG"/>
        </w:rPr>
        <w:t>к</w:t>
      </w:r>
      <w:r w:rsidRPr="00610B1B">
        <w:rPr>
          <w:rFonts w:ascii="Times New Roman" w:hAnsi="Times New Roman" w:cs="Times New Roman"/>
          <w:sz w:val="24"/>
          <w:szCs w:val="24"/>
          <w:lang w:val="bg-BG"/>
        </w:rPr>
        <w:t xml:space="preserve"> на изток-запад се образува характерна акумулативна форма – Еминската пясъчна коса. Изградена е от дребно до среднозърнести пясъци и е образувана през последните 3.5 - 4 хиляди години. На югоизток от нея се разполага банка Кокетрайс, изцяло изградена от холоценски седименти. Тя е с много стръмен югоизточен склон, като от билото</w:t>
      </w:r>
      <w:r w:rsidR="00432A6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разположено на 12-15 m дълбочина, основата</w:t>
      </w:r>
      <w:r w:rsidR="00DE3A13" w:rsidRPr="00610B1B">
        <w:rPr>
          <w:rFonts w:ascii="Times New Roman" w:hAnsi="Times New Roman" w:cs="Times New Roman"/>
          <w:sz w:val="24"/>
          <w:szCs w:val="24"/>
          <w:lang w:val="bg-BG"/>
        </w:rPr>
        <w:t xml:space="preserve"> ѝ </w:t>
      </w:r>
      <w:r w:rsidRPr="00610B1B">
        <w:rPr>
          <w:rFonts w:ascii="Times New Roman" w:hAnsi="Times New Roman" w:cs="Times New Roman"/>
          <w:sz w:val="24"/>
          <w:szCs w:val="24"/>
          <w:lang w:val="bg-BG"/>
        </w:rPr>
        <w:t xml:space="preserve">се разполага на 40-42 m. Върхът на банката непрекъснато ерозира, от измерена дълбочина 9.15 m при откриването </w:t>
      </w:r>
      <w:r w:rsidR="00965CCD" w:rsidRPr="00610B1B">
        <w:rPr>
          <w:rFonts w:ascii="Times New Roman" w:hAnsi="Times New Roman" w:cs="Times New Roman"/>
          <w:sz w:val="24"/>
          <w:szCs w:val="24"/>
          <w:lang w:val="bg-BG"/>
        </w:rPr>
        <w:t>ѝ</w:t>
      </w:r>
      <w:r w:rsidRPr="00610B1B">
        <w:rPr>
          <w:rFonts w:ascii="Times New Roman" w:hAnsi="Times New Roman" w:cs="Times New Roman"/>
          <w:sz w:val="24"/>
          <w:szCs w:val="24"/>
          <w:lang w:val="bg-BG"/>
        </w:rPr>
        <w:t xml:space="preserve"> през 1</w:t>
      </w:r>
      <w:r w:rsidR="00965CCD" w:rsidRPr="00610B1B">
        <w:rPr>
          <w:rFonts w:ascii="Times New Roman" w:hAnsi="Times New Roman" w:cs="Times New Roman"/>
          <w:sz w:val="24"/>
          <w:szCs w:val="24"/>
          <w:lang w:val="bg-BG"/>
        </w:rPr>
        <w:t>89</w:t>
      </w:r>
      <w:r w:rsidRPr="00610B1B">
        <w:rPr>
          <w:rFonts w:ascii="Times New Roman" w:hAnsi="Times New Roman" w:cs="Times New Roman"/>
          <w:sz w:val="24"/>
          <w:szCs w:val="24"/>
          <w:lang w:val="bg-BG"/>
        </w:rPr>
        <w:t xml:space="preserve">7 г., до 16.2 m при направените площни примери през 2010 г. </w:t>
      </w:r>
    </w:p>
    <w:p w14:paraId="51AC5B33" w14:textId="64058A5D" w:rsidR="00751B5D" w:rsidRPr="00610B1B" w:rsidRDefault="00751B5D" w:rsidP="00D32D6A">
      <w:pPr>
        <w:spacing w:after="120"/>
        <w:ind w:right="-153"/>
        <w:jc w:val="both"/>
        <w:rPr>
          <w:rFonts w:ascii="Times New Roman" w:hAnsi="Times New Roman" w:cs="Times New Roman"/>
          <w:sz w:val="24"/>
          <w:szCs w:val="24"/>
          <w:lang w:val="bg-BG"/>
        </w:rPr>
      </w:pPr>
      <w:bookmarkStart w:id="23" w:name="_Toc83391466"/>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3</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590858" w:rsidRPr="00610B1B">
        <w:rPr>
          <w:rFonts w:ascii="Times New Roman" w:hAnsi="Times New Roman" w:cs="Times New Roman"/>
          <w:sz w:val="24"/>
          <w:szCs w:val="24"/>
          <w:lang w:val="bg-BG"/>
        </w:rPr>
        <w:t>Геоморфоложка карта на българския Черноморски шелф. Геоморфол</w:t>
      </w:r>
      <w:r w:rsidR="00E50DED" w:rsidRPr="00610B1B">
        <w:rPr>
          <w:rFonts w:ascii="Times New Roman" w:hAnsi="Times New Roman" w:cs="Times New Roman"/>
          <w:sz w:val="24"/>
          <w:szCs w:val="24"/>
          <w:lang w:val="bg-BG"/>
        </w:rPr>
        <w:t>о</w:t>
      </w:r>
      <w:r w:rsidR="00590858" w:rsidRPr="00610B1B">
        <w:rPr>
          <w:rFonts w:ascii="Times New Roman" w:hAnsi="Times New Roman" w:cs="Times New Roman"/>
          <w:sz w:val="24"/>
          <w:szCs w:val="24"/>
          <w:lang w:val="bg-BG"/>
        </w:rPr>
        <w:t>жки единици (от дълбочина към брега):</w:t>
      </w:r>
      <w:bookmarkEnd w:id="23"/>
    </w:p>
    <w:p w14:paraId="570485D8" w14:textId="7A9217EA"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noProof/>
          <w:sz w:val="24"/>
          <w:szCs w:val="24"/>
          <w:lang w:val="bg-BG" w:eastAsia="bg-BG"/>
        </w:rPr>
        <w:lastRenderedPageBreak/>
        <w:drawing>
          <wp:inline distT="0" distB="0" distL="0" distR="0" wp14:anchorId="73B4E303" wp14:editId="325BBDCD">
            <wp:extent cx="5100237" cy="4396869"/>
            <wp:effectExtent l="0" t="0" r="5715" b="3810"/>
            <wp:docPr id="254" name="Picture 254" descr="G:\2018_Geomorfologiya-BG-shelf\Images-work\all-3б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2018_Geomorfologiya-BG-shelf\Images-work\all-3бг.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8171" cy="4403709"/>
                    </a:xfrm>
                    <a:prstGeom prst="rect">
                      <a:avLst/>
                    </a:prstGeom>
                    <a:noFill/>
                    <a:ln>
                      <a:noFill/>
                    </a:ln>
                  </pic:spPr>
                </pic:pic>
              </a:graphicData>
            </a:graphic>
          </wp:inline>
        </w:drawing>
      </w:r>
    </w:p>
    <w:p w14:paraId="66BF8FF6" w14:textId="7CF65B1F" w:rsidR="00834C30" w:rsidRPr="00610B1B" w:rsidRDefault="00834C30" w:rsidP="00D32D6A">
      <w:pPr>
        <w:spacing w:after="120"/>
        <w:ind w:right="-153"/>
        <w:jc w:val="both"/>
        <w:rPr>
          <w:rFonts w:ascii="Times New Roman" w:hAnsi="Times New Roman" w:cs="Times New Roman"/>
          <w:lang w:val="bg-BG"/>
        </w:rPr>
      </w:pPr>
      <w:r w:rsidRPr="00610B1B">
        <w:rPr>
          <w:rFonts w:ascii="Times New Roman" w:hAnsi="Times New Roman" w:cs="Times New Roman"/>
          <w:i/>
          <w:lang w:val="bg-BG"/>
        </w:rPr>
        <w:t>Легенда:</w:t>
      </w:r>
      <w:r w:rsidRPr="00610B1B">
        <w:rPr>
          <w:rFonts w:ascii="Times New Roman" w:hAnsi="Times New Roman" w:cs="Times New Roman"/>
          <w:lang w:val="bg-BG"/>
        </w:rPr>
        <w:t xml:space="preserve"> 1.</w:t>
      </w:r>
      <w:r w:rsidR="00D66FE0" w:rsidRPr="00610B1B">
        <w:rPr>
          <w:rFonts w:ascii="Times New Roman" w:hAnsi="Times New Roman" w:cs="Times New Roman"/>
          <w:lang w:val="bg-BG"/>
        </w:rPr>
        <w:t xml:space="preserve"> </w:t>
      </w:r>
      <w:r w:rsidRPr="00610B1B">
        <w:rPr>
          <w:rFonts w:ascii="Times New Roman" w:hAnsi="Times New Roman" w:cs="Times New Roman"/>
          <w:lang w:val="bg-BG"/>
        </w:rPr>
        <w:t xml:space="preserve">Заравнена наклонена равнина в началото на континенталния склон със свлачищни ровини; 2. Граница шелф – континентален склон; 3. Периферна шелфова тераса; 4. Потопена палео крайбрежна зона; 5. Район с реликтни дюни и отделни дюни; 6. Периферно издигане с обозначени оси на хребети, долина и дюни; 7. Периферна шелфова депресия; 8. Неравна наклонена шелфова равнина; 9. Заравнена наклонена шелфова равнина; 10. Различни морфоложки единици на Северния шелф; 11. Активни разломи (проектирани на морското дъно). </w:t>
      </w:r>
    </w:p>
    <w:p w14:paraId="0EA92BFF" w14:textId="77777777" w:rsidR="00FD37F6" w:rsidRPr="00610B1B" w:rsidRDefault="00FD37F6" w:rsidP="00FD37F6">
      <w:pPr>
        <w:spacing w:after="120"/>
        <w:ind w:right="-153"/>
        <w:jc w:val="both"/>
        <w:rPr>
          <w:rFonts w:ascii="Times New Roman" w:hAnsi="Times New Roman" w:cs="Times New Roman"/>
          <w:lang w:val="bg-BG"/>
        </w:rPr>
      </w:pPr>
      <w:r w:rsidRPr="00610B1B">
        <w:rPr>
          <w:rFonts w:ascii="Times New Roman" w:hAnsi="Times New Roman" w:cs="Times New Roman"/>
          <w:lang w:val="bg-BG"/>
        </w:rPr>
        <w:t>Източник: ИО-БАН, обработка проф. Л. Димитров</w:t>
      </w:r>
    </w:p>
    <w:p w14:paraId="102CD545" w14:textId="421E1C19" w:rsidR="00590858" w:rsidRPr="00610B1B" w:rsidRDefault="00131E8B"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w:t>
      </w:r>
      <w:r w:rsidR="00590858" w:rsidRPr="00610B1B">
        <w:rPr>
          <w:rFonts w:ascii="Times New Roman" w:hAnsi="Times New Roman" w:cs="Times New Roman"/>
          <w:sz w:val="24"/>
          <w:szCs w:val="24"/>
          <w:lang w:val="bg-BG"/>
        </w:rPr>
        <w:t xml:space="preserve"> централната зона на южния шелф се различават: </w:t>
      </w:r>
      <w:r w:rsidR="00590858" w:rsidRPr="00610B1B">
        <w:rPr>
          <w:rFonts w:ascii="Times New Roman" w:hAnsi="Times New Roman" w:cs="Times New Roman"/>
          <w:b/>
          <w:i/>
          <w:sz w:val="24"/>
          <w:szCs w:val="24"/>
          <w:lang w:val="bg-BG"/>
        </w:rPr>
        <w:t>предвалово понижение; акумулативни валове; наклонена шелфова равнина; и периферна шелфова зона</w:t>
      </w:r>
      <w:r w:rsidR="00590858" w:rsidRPr="00610B1B">
        <w:rPr>
          <w:rFonts w:ascii="Times New Roman" w:hAnsi="Times New Roman" w:cs="Times New Roman"/>
          <w:sz w:val="24"/>
          <w:szCs w:val="24"/>
          <w:lang w:val="bg-BG"/>
        </w:rPr>
        <w:t>.</w:t>
      </w:r>
      <w:r w:rsidR="00761215" w:rsidRPr="00610B1B">
        <w:rPr>
          <w:rFonts w:ascii="Times New Roman" w:hAnsi="Times New Roman" w:cs="Times New Roman"/>
          <w:sz w:val="24"/>
          <w:szCs w:val="24"/>
          <w:lang w:val="bg-BG"/>
        </w:rPr>
        <w:t xml:space="preserve"> </w:t>
      </w:r>
      <w:r w:rsidR="00590858" w:rsidRPr="00610B1B">
        <w:rPr>
          <w:rFonts w:ascii="Times New Roman" w:hAnsi="Times New Roman" w:cs="Times New Roman"/>
          <w:sz w:val="24"/>
          <w:szCs w:val="24"/>
          <w:lang w:val="bg-BG"/>
        </w:rPr>
        <w:t>Предваловото понижение се състои от две самостоятелни, вариращи в ширината си долини</w:t>
      </w:r>
      <w:r w:rsidR="00E50DED" w:rsidRPr="00610B1B">
        <w:rPr>
          <w:rFonts w:ascii="Times New Roman" w:hAnsi="Times New Roman" w:cs="Times New Roman"/>
          <w:sz w:val="24"/>
          <w:szCs w:val="24"/>
          <w:lang w:val="bg-BG"/>
        </w:rPr>
        <w:t xml:space="preserve">. </w:t>
      </w:r>
      <w:r w:rsidR="00590858" w:rsidRPr="00610B1B">
        <w:rPr>
          <w:rFonts w:ascii="Times New Roman" w:hAnsi="Times New Roman" w:cs="Times New Roman"/>
          <w:sz w:val="24"/>
          <w:szCs w:val="24"/>
          <w:lang w:val="bg-BG"/>
        </w:rPr>
        <w:t xml:space="preserve">Северната започва в Балчишкия залив и се проследява на юг до паралела на гр. Поморие до дълбочини 42-44 </w:t>
      </w:r>
      <w:r w:rsidR="00B605EB" w:rsidRPr="00610B1B">
        <w:rPr>
          <w:rFonts w:ascii="Times New Roman" w:hAnsi="Times New Roman" w:cs="Times New Roman"/>
          <w:sz w:val="24"/>
          <w:szCs w:val="24"/>
          <w:lang w:val="bg-BG"/>
        </w:rPr>
        <w:t>m</w:t>
      </w:r>
      <w:r w:rsidR="00590858" w:rsidRPr="00610B1B">
        <w:rPr>
          <w:rFonts w:ascii="Times New Roman" w:hAnsi="Times New Roman" w:cs="Times New Roman"/>
          <w:sz w:val="24"/>
          <w:szCs w:val="24"/>
          <w:lang w:val="bg-BG"/>
        </w:rPr>
        <w:t>. Южната се формира непосредствено пред Бургаското структурно стъпало и продължава на юг в морск</w:t>
      </w:r>
      <w:r w:rsidR="0075098D" w:rsidRPr="00610B1B">
        <w:rPr>
          <w:rFonts w:ascii="Times New Roman" w:hAnsi="Times New Roman" w:cs="Times New Roman"/>
          <w:sz w:val="24"/>
          <w:szCs w:val="24"/>
          <w:lang w:val="bg-BG"/>
        </w:rPr>
        <w:t>и</w:t>
      </w:r>
      <w:r w:rsidR="00590858" w:rsidRPr="00610B1B">
        <w:rPr>
          <w:rFonts w:ascii="Times New Roman" w:hAnsi="Times New Roman" w:cs="Times New Roman"/>
          <w:sz w:val="24"/>
          <w:szCs w:val="24"/>
          <w:lang w:val="bg-BG"/>
        </w:rPr>
        <w:t>т</w:t>
      </w:r>
      <w:r w:rsidR="0075098D" w:rsidRPr="00610B1B">
        <w:rPr>
          <w:rFonts w:ascii="Times New Roman" w:hAnsi="Times New Roman" w:cs="Times New Roman"/>
          <w:sz w:val="24"/>
          <w:szCs w:val="24"/>
          <w:lang w:val="bg-BG"/>
        </w:rPr>
        <w:t>е</w:t>
      </w:r>
      <w:r w:rsidR="00590858" w:rsidRPr="00610B1B">
        <w:rPr>
          <w:rFonts w:ascii="Times New Roman" w:hAnsi="Times New Roman" w:cs="Times New Roman"/>
          <w:sz w:val="24"/>
          <w:szCs w:val="24"/>
          <w:lang w:val="bg-BG"/>
        </w:rPr>
        <w:t xml:space="preserve"> пространств</w:t>
      </w:r>
      <w:r w:rsidR="0075098D" w:rsidRPr="00610B1B">
        <w:rPr>
          <w:rFonts w:ascii="Times New Roman" w:hAnsi="Times New Roman" w:cs="Times New Roman"/>
          <w:sz w:val="24"/>
          <w:szCs w:val="24"/>
          <w:lang w:val="bg-BG"/>
        </w:rPr>
        <w:t>а</w:t>
      </w:r>
      <w:r w:rsidR="00590858" w:rsidRPr="00610B1B">
        <w:rPr>
          <w:rFonts w:ascii="Times New Roman" w:hAnsi="Times New Roman" w:cs="Times New Roman"/>
          <w:sz w:val="24"/>
          <w:szCs w:val="24"/>
          <w:lang w:val="bg-BG"/>
        </w:rPr>
        <w:t xml:space="preserve"> на Р. Турция, където талвег</w:t>
      </w:r>
      <w:r w:rsidR="00B605EB" w:rsidRPr="00610B1B">
        <w:rPr>
          <w:rFonts w:ascii="Times New Roman" w:hAnsi="Times New Roman" w:cs="Times New Roman"/>
          <w:sz w:val="24"/>
          <w:szCs w:val="24"/>
          <w:lang w:val="bg-BG"/>
        </w:rPr>
        <w:t>ът</w:t>
      </w:r>
      <w:r w:rsidR="00DE3A13" w:rsidRPr="00610B1B">
        <w:rPr>
          <w:rFonts w:ascii="Times New Roman" w:hAnsi="Times New Roman" w:cs="Times New Roman"/>
          <w:sz w:val="24"/>
          <w:szCs w:val="24"/>
          <w:lang w:val="bg-BG"/>
        </w:rPr>
        <w:t xml:space="preserve"> ѝ </w:t>
      </w:r>
      <w:r w:rsidR="00590858" w:rsidRPr="00610B1B">
        <w:rPr>
          <w:rFonts w:ascii="Times New Roman" w:hAnsi="Times New Roman" w:cs="Times New Roman"/>
          <w:sz w:val="24"/>
          <w:szCs w:val="24"/>
          <w:lang w:val="bg-BG"/>
        </w:rPr>
        <w:t xml:space="preserve">достига дълбочини на морето от 75 </w:t>
      </w:r>
      <w:r w:rsidR="00B605EB" w:rsidRPr="00610B1B">
        <w:rPr>
          <w:rFonts w:ascii="Times New Roman" w:hAnsi="Times New Roman" w:cs="Times New Roman"/>
          <w:sz w:val="24"/>
          <w:szCs w:val="24"/>
          <w:lang w:val="bg-BG"/>
        </w:rPr>
        <w:t>m</w:t>
      </w:r>
      <w:r w:rsidR="00590858" w:rsidRPr="00610B1B">
        <w:rPr>
          <w:rFonts w:ascii="Times New Roman" w:hAnsi="Times New Roman" w:cs="Times New Roman"/>
          <w:sz w:val="24"/>
          <w:szCs w:val="24"/>
          <w:lang w:val="bg-BG"/>
        </w:rPr>
        <w:t xml:space="preserve">. </w:t>
      </w:r>
      <w:r w:rsidR="00432A60" w:rsidRPr="00610B1B">
        <w:rPr>
          <w:rFonts w:ascii="Times New Roman" w:hAnsi="Times New Roman" w:cs="Times New Roman"/>
          <w:sz w:val="24"/>
          <w:szCs w:val="24"/>
          <w:lang w:val="bg-BG"/>
        </w:rPr>
        <w:t>З</w:t>
      </w:r>
      <w:r w:rsidR="00590858" w:rsidRPr="00610B1B">
        <w:rPr>
          <w:rFonts w:ascii="Times New Roman" w:hAnsi="Times New Roman" w:cs="Times New Roman"/>
          <w:sz w:val="24"/>
          <w:szCs w:val="24"/>
          <w:lang w:val="bg-BG"/>
        </w:rPr>
        <w:t>а двете предваловови понижения е характерн</w:t>
      </w:r>
      <w:r w:rsidR="00B605EB" w:rsidRPr="00610B1B">
        <w:rPr>
          <w:rFonts w:ascii="Times New Roman" w:hAnsi="Times New Roman" w:cs="Times New Roman"/>
          <w:sz w:val="24"/>
          <w:szCs w:val="24"/>
          <w:lang w:val="bg-BG"/>
        </w:rPr>
        <w:t>а</w:t>
      </w:r>
      <w:r w:rsidR="00590858" w:rsidRPr="00610B1B">
        <w:rPr>
          <w:rFonts w:ascii="Times New Roman" w:hAnsi="Times New Roman" w:cs="Times New Roman"/>
          <w:sz w:val="24"/>
          <w:szCs w:val="24"/>
          <w:lang w:val="bg-BG"/>
        </w:rPr>
        <w:t xml:space="preserve"> разлятата, U-образна форма в началните им части, която преминава в остра, V-образна от </w:t>
      </w:r>
      <w:r w:rsidR="00E50DED" w:rsidRPr="00610B1B">
        <w:rPr>
          <w:rFonts w:ascii="Times New Roman" w:hAnsi="Times New Roman" w:cs="Times New Roman"/>
          <w:sz w:val="24"/>
          <w:szCs w:val="24"/>
          <w:lang w:val="bg-BG"/>
        </w:rPr>
        <w:t>центъра</w:t>
      </w:r>
      <w:r w:rsidR="00590858" w:rsidRPr="00610B1B">
        <w:rPr>
          <w:rFonts w:ascii="Times New Roman" w:hAnsi="Times New Roman" w:cs="Times New Roman"/>
          <w:sz w:val="24"/>
          <w:szCs w:val="24"/>
          <w:lang w:val="bg-BG"/>
        </w:rPr>
        <w:t xml:space="preserve"> им и по-нататък, което е указание за усилване на придънните течения в южно направление.</w:t>
      </w:r>
    </w:p>
    <w:p w14:paraId="15FA7EF7" w14:textId="7001693D"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 изток от предваловите понижения се разполагат акумулативни</w:t>
      </w:r>
      <w:r w:rsidR="00761215"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валове: Калиакренски (на юг от н</w:t>
      </w:r>
      <w:r w:rsidR="00761215" w:rsidRPr="00610B1B">
        <w:rPr>
          <w:rFonts w:ascii="Times New Roman" w:hAnsi="Times New Roman" w:cs="Times New Roman"/>
          <w:sz w:val="24"/>
          <w:szCs w:val="24"/>
          <w:lang w:val="bg-BG"/>
        </w:rPr>
        <w:t>ос</w:t>
      </w:r>
      <w:r w:rsidRPr="00610B1B">
        <w:rPr>
          <w:rFonts w:ascii="Times New Roman" w:hAnsi="Times New Roman" w:cs="Times New Roman"/>
          <w:sz w:val="24"/>
          <w:szCs w:val="24"/>
          <w:lang w:val="bg-BG"/>
        </w:rPr>
        <w:t xml:space="preserve"> Калиакра) и Емински (южно от н</w:t>
      </w:r>
      <w:r w:rsidR="00761215" w:rsidRPr="00610B1B">
        <w:rPr>
          <w:rFonts w:ascii="Times New Roman" w:hAnsi="Times New Roman" w:cs="Times New Roman"/>
          <w:sz w:val="24"/>
          <w:szCs w:val="24"/>
          <w:lang w:val="bg-BG"/>
        </w:rPr>
        <w:t>ос</w:t>
      </w:r>
      <w:r w:rsidRPr="00610B1B">
        <w:rPr>
          <w:rFonts w:ascii="Times New Roman" w:hAnsi="Times New Roman" w:cs="Times New Roman"/>
          <w:sz w:val="24"/>
          <w:szCs w:val="24"/>
          <w:lang w:val="bg-BG"/>
        </w:rPr>
        <w:t xml:space="preserve"> Емине), заемайки изцяло централните части на </w:t>
      </w:r>
      <w:r w:rsidR="00AC5F2E" w:rsidRPr="00610B1B">
        <w:rPr>
          <w:rFonts w:ascii="Times New Roman" w:hAnsi="Times New Roman" w:cs="Times New Roman"/>
          <w:sz w:val="24"/>
          <w:szCs w:val="24"/>
          <w:lang w:val="bg-BG"/>
        </w:rPr>
        <w:t>шелфа</w:t>
      </w:r>
      <w:r w:rsidRPr="00610B1B">
        <w:rPr>
          <w:rFonts w:ascii="Times New Roman" w:hAnsi="Times New Roman" w:cs="Times New Roman"/>
          <w:sz w:val="24"/>
          <w:szCs w:val="24"/>
          <w:lang w:val="bg-BG"/>
        </w:rPr>
        <w:t>. Това са големи акумулативни форми</w:t>
      </w:r>
      <w:r w:rsidR="00B605E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образувани през холоцена, от транспортирания на юг от основното черноморско течение теригенен материал, </w:t>
      </w:r>
      <w:r w:rsidRPr="00610B1B">
        <w:rPr>
          <w:rFonts w:ascii="Times New Roman" w:hAnsi="Times New Roman" w:cs="Times New Roman"/>
          <w:sz w:val="24"/>
          <w:szCs w:val="24"/>
          <w:lang w:val="bg-BG"/>
        </w:rPr>
        <w:lastRenderedPageBreak/>
        <w:t>постъпващ основно от делтата на р. Дунав. На север от н</w:t>
      </w:r>
      <w:r w:rsidR="00761215" w:rsidRPr="00610B1B">
        <w:rPr>
          <w:rFonts w:ascii="Times New Roman" w:hAnsi="Times New Roman" w:cs="Times New Roman"/>
          <w:sz w:val="24"/>
          <w:szCs w:val="24"/>
          <w:lang w:val="bg-BG"/>
        </w:rPr>
        <w:t>ос</w:t>
      </w:r>
      <w:r w:rsidRPr="00610B1B">
        <w:rPr>
          <w:rFonts w:ascii="Times New Roman" w:hAnsi="Times New Roman" w:cs="Times New Roman"/>
          <w:sz w:val="24"/>
          <w:szCs w:val="24"/>
          <w:lang w:val="bg-BG"/>
        </w:rPr>
        <w:t xml:space="preserve"> Калиакра тези валове липсват изцяло. Специфична структурна характеристика и на двата вала е</w:t>
      </w:r>
      <w:r w:rsidR="00B605E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асиметричн</w:t>
      </w:r>
      <w:r w:rsidR="00B605EB" w:rsidRPr="00610B1B">
        <w:rPr>
          <w:rFonts w:ascii="Times New Roman" w:hAnsi="Times New Roman" w:cs="Times New Roman"/>
          <w:sz w:val="24"/>
          <w:szCs w:val="24"/>
          <w:lang w:val="bg-BG"/>
        </w:rPr>
        <w:t>ият</w:t>
      </w:r>
      <w:r w:rsidRPr="00610B1B">
        <w:rPr>
          <w:rFonts w:ascii="Times New Roman" w:hAnsi="Times New Roman" w:cs="Times New Roman"/>
          <w:sz w:val="24"/>
          <w:szCs w:val="24"/>
          <w:lang w:val="bg-BG"/>
        </w:rPr>
        <w:t xml:space="preserve"> напречен профил - стръмен западен склон и спокоен, полегат източен склон.</w:t>
      </w:r>
      <w:r w:rsidR="00761215"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Източните склонове на двата вала плавно преминават в наклонената шелфова равнина, чиито релеф в близката зона е заравнен от седиментационни</w:t>
      </w:r>
      <w:r w:rsidR="00D5208C"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процеси</w:t>
      </w:r>
      <w:r w:rsidR="00761215"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образували акумулативните валове. В мористо направление процесите на интензивна седиментация все повече затихват и на дълбочини 75-85 </w:t>
      </w:r>
      <w:r w:rsidR="00B605E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релеф</w:t>
      </w:r>
      <w:r w:rsidR="00B605EB" w:rsidRPr="00610B1B">
        <w:rPr>
          <w:rFonts w:ascii="Times New Roman" w:hAnsi="Times New Roman" w:cs="Times New Roman"/>
          <w:sz w:val="24"/>
          <w:szCs w:val="24"/>
          <w:lang w:val="bg-BG"/>
        </w:rPr>
        <w:t>ът</w:t>
      </w:r>
      <w:r w:rsidRPr="00610B1B">
        <w:rPr>
          <w:rFonts w:ascii="Times New Roman" w:hAnsi="Times New Roman" w:cs="Times New Roman"/>
          <w:sz w:val="24"/>
          <w:szCs w:val="24"/>
          <w:lang w:val="bg-BG"/>
        </w:rPr>
        <w:t xml:space="preserve"> на дъното става неравен, хълмист и унаследява предхолоценския релеф. Това отчетливо се вижда в зоната на п</w:t>
      </w:r>
      <w:r w:rsidR="00B605EB"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риферното дюнно поле, където дюните</w:t>
      </w:r>
      <w:r w:rsidR="00D5208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образувани при ниско стоене на морското ниво от -120 </w:t>
      </w:r>
      <w:r w:rsidR="00B605E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през последния ледников период</w:t>
      </w:r>
      <w:r w:rsidR="00761215"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са само драпирани от съвременни седименти с дебелина под 0,5</w:t>
      </w:r>
      <w:r w:rsidR="00751B5D" w:rsidRPr="00610B1B">
        <w:rPr>
          <w:rFonts w:ascii="Times New Roman" w:hAnsi="Times New Roman" w:cs="Times New Roman"/>
          <w:sz w:val="24"/>
          <w:szCs w:val="24"/>
          <w:lang w:val="bg-BG"/>
        </w:rPr>
        <w:t> </w:t>
      </w:r>
      <w:r w:rsidR="00B605E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p>
    <w:p w14:paraId="0F09F70D" w14:textId="013110F5"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най-югоизточните части на българския шелф е развита т.н. периферна шелфова депресия</w:t>
      </w:r>
      <w:r w:rsidR="00761215" w:rsidRPr="00610B1B">
        <w:rPr>
          <w:rFonts w:ascii="Times New Roman" w:hAnsi="Times New Roman" w:cs="Times New Roman"/>
          <w:sz w:val="24"/>
          <w:szCs w:val="24"/>
          <w:lang w:val="bg-BG"/>
        </w:rPr>
        <w:t xml:space="preserve">, която е </w:t>
      </w:r>
      <w:r w:rsidRPr="00610B1B">
        <w:rPr>
          <w:rFonts w:ascii="Times New Roman" w:hAnsi="Times New Roman" w:cs="Times New Roman"/>
          <w:sz w:val="24"/>
          <w:szCs w:val="24"/>
          <w:lang w:val="bg-BG"/>
        </w:rPr>
        <w:t xml:space="preserve">затворена елипсовидна долина с дължина от 26 </w:t>
      </w:r>
      <w:r w:rsidR="00B605EB" w:rsidRPr="00610B1B">
        <w:rPr>
          <w:rFonts w:ascii="Times New Roman" w:hAnsi="Times New Roman" w:cs="Times New Roman"/>
          <w:sz w:val="24"/>
          <w:szCs w:val="24"/>
          <w:lang w:val="bg-BG"/>
        </w:rPr>
        <w:t>km</w:t>
      </w:r>
      <w:r w:rsidRPr="00610B1B">
        <w:rPr>
          <w:rFonts w:ascii="Times New Roman" w:hAnsi="Times New Roman" w:cs="Times New Roman"/>
          <w:sz w:val="24"/>
          <w:szCs w:val="24"/>
          <w:lang w:val="bg-BG"/>
        </w:rPr>
        <w:t xml:space="preserve"> и почти постоянна ширина от 5.5 </w:t>
      </w:r>
      <w:r w:rsidR="00B605EB" w:rsidRPr="00610B1B">
        <w:rPr>
          <w:rFonts w:ascii="Times New Roman" w:hAnsi="Times New Roman" w:cs="Times New Roman"/>
          <w:sz w:val="24"/>
          <w:szCs w:val="24"/>
          <w:lang w:val="bg-BG"/>
        </w:rPr>
        <w:t>km</w:t>
      </w:r>
      <w:r w:rsidRPr="00610B1B">
        <w:rPr>
          <w:rFonts w:ascii="Times New Roman" w:hAnsi="Times New Roman" w:cs="Times New Roman"/>
          <w:sz w:val="24"/>
          <w:szCs w:val="24"/>
          <w:lang w:val="bg-BG"/>
        </w:rPr>
        <w:t xml:space="preserve">. </w:t>
      </w:r>
      <w:r w:rsidR="00E50DED" w:rsidRPr="00610B1B">
        <w:rPr>
          <w:rFonts w:ascii="Times New Roman" w:hAnsi="Times New Roman" w:cs="Times New Roman"/>
          <w:sz w:val="24"/>
          <w:szCs w:val="24"/>
          <w:lang w:val="bg-BG"/>
        </w:rPr>
        <w:t>Максималната</w:t>
      </w:r>
      <w:r w:rsidRPr="00610B1B">
        <w:rPr>
          <w:rFonts w:ascii="Times New Roman" w:hAnsi="Times New Roman" w:cs="Times New Roman"/>
          <w:sz w:val="24"/>
          <w:szCs w:val="24"/>
          <w:lang w:val="bg-BG"/>
        </w:rPr>
        <w:t xml:space="preserve"> </w:t>
      </w:r>
      <w:r w:rsidR="00E50DED" w:rsidRPr="00610B1B">
        <w:rPr>
          <w:rFonts w:ascii="Times New Roman" w:hAnsi="Times New Roman" w:cs="Times New Roman"/>
          <w:sz w:val="24"/>
          <w:szCs w:val="24"/>
          <w:lang w:val="bg-BG"/>
        </w:rPr>
        <w:t>ѝ</w:t>
      </w:r>
      <w:r w:rsidRPr="00610B1B">
        <w:rPr>
          <w:rFonts w:ascii="Times New Roman" w:hAnsi="Times New Roman" w:cs="Times New Roman"/>
          <w:sz w:val="24"/>
          <w:szCs w:val="24"/>
          <w:lang w:val="bg-BG"/>
        </w:rPr>
        <w:t xml:space="preserve"> дълбочина достига 12 </w:t>
      </w:r>
      <w:r w:rsidR="00B605E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w:t>
      </w:r>
      <w:r w:rsidR="00B605E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Краят на шелфа се бележи от Периферната шелфова тераса развита по цялото му протежение, чиято източна част се явява граница между континенталния шелф и континенталния склон.</w:t>
      </w:r>
    </w:p>
    <w:p w14:paraId="0C5769E5" w14:textId="0A21D45F"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Континенталният склон се разполага на дълбочини на морето до 1</w:t>
      </w:r>
      <w:r w:rsidR="007318D7"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400</w:t>
      </w:r>
      <w:r w:rsidR="007318D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1</w:t>
      </w:r>
      <w:r w:rsidR="00D5208C"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600 </w:t>
      </w:r>
      <w:r w:rsidR="00B605E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Релефът на склона се отличава със сложна морфология, вследствие на хоризонтална и вертикална разчлененост. Характерна особеност е наличието на многобройни подводни долини, врязани на различна дълбочина, и най-често</w:t>
      </w:r>
      <w:r w:rsidR="007318D7" w:rsidRPr="00610B1B">
        <w:rPr>
          <w:rFonts w:ascii="Times New Roman" w:hAnsi="Times New Roman" w:cs="Times New Roman"/>
          <w:sz w:val="24"/>
          <w:szCs w:val="24"/>
          <w:lang w:val="bg-BG"/>
        </w:rPr>
        <w:t xml:space="preserve"> системи,</w:t>
      </w:r>
      <w:r w:rsidRPr="00610B1B">
        <w:rPr>
          <w:rFonts w:ascii="Times New Roman" w:hAnsi="Times New Roman" w:cs="Times New Roman"/>
          <w:sz w:val="24"/>
          <w:szCs w:val="24"/>
          <w:lang w:val="bg-BG"/>
        </w:rPr>
        <w:t xml:space="preserve"> формиращи конвергиращи в посока на абисалната равнина: Дунавска, Бабадагска, Тузленска, Шабленска, Варненска и т.н.</w:t>
      </w:r>
      <w:r w:rsidR="00D66FE0" w:rsidRPr="00610B1B">
        <w:rPr>
          <w:rFonts w:ascii="Times New Roman" w:hAnsi="Times New Roman" w:cs="Times New Roman"/>
          <w:sz w:val="24"/>
          <w:szCs w:val="24"/>
          <w:lang w:val="bg-BG"/>
        </w:rPr>
        <w:t xml:space="preserve"> </w:t>
      </w:r>
    </w:p>
    <w:p w14:paraId="10862433" w14:textId="26BCE1F5"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Континенталното подножие е разположено на дълбочини от 1</w:t>
      </w:r>
      <w:r w:rsidR="00D5208C"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400 до 1</w:t>
      </w:r>
      <w:r w:rsidR="00D5208C"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800 </w:t>
      </w:r>
      <w:r w:rsidR="00B605E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и представлява голяма акумул</w:t>
      </w:r>
      <w:r w:rsidR="00B605EB"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тивна форма. Релефът е слабо наклонен до хълмисто-равнинен. В тази част става преустройство на мрежата от подводни каньони, които често се сливат, след което устията им преминават в конуси на износ на седиментен материал. Абисалната равнина </w:t>
      </w:r>
      <w:r w:rsidR="00D5208C" w:rsidRPr="00610B1B">
        <w:rPr>
          <w:rFonts w:ascii="Times New Roman" w:hAnsi="Times New Roman" w:cs="Times New Roman"/>
          <w:sz w:val="24"/>
          <w:szCs w:val="24"/>
          <w:lang w:val="bg-BG"/>
        </w:rPr>
        <w:t xml:space="preserve">е </w:t>
      </w:r>
      <w:r w:rsidRPr="00610B1B">
        <w:rPr>
          <w:rFonts w:ascii="Times New Roman" w:hAnsi="Times New Roman" w:cs="Times New Roman"/>
          <w:sz w:val="24"/>
          <w:szCs w:val="24"/>
          <w:lang w:val="bg-BG"/>
        </w:rPr>
        <w:t>най-дълбоката заравнена част на морското дъно. В геоложки смисъл, това е частта от басейна с океански тип кора.</w:t>
      </w:r>
      <w:r w:rsidR="00C415D1" w:rsidRPr="00610B1B">
        <w:rPr>
          <w:rFonts w:ascii="Times New Roman" w:hAnsi="Times New Roman" w:cs="Times New Roman"/>
          <w:sz w:val="24"/>
          <w:szCs w:val="24"/>
          <w:lang w:val="bg-BG"/>
        </w:rPr>
        <w:t xml:space="preserve"> </w:t>
      </w:r>
    </w:p>
    <w:p w14:paraId="2A8D8F34" w14:textId="0C468473" w:rsidR="00B605EB"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Като вътрешно-континентален басейн в хумидната умерена зона, Черно море се характеризира с обширна водосборна площ, която обуславя активна теригенна седиментация. Кватернерният комплекс е със значителни дебелини, които нарастват от юг на север към аванделтата на р.</w:t>
      </w:r>
      <w:r w:rsidR="007318D7"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Дунав, откъдето постъпва основният обем теригенен материал. </w:t>
      </w:r>
    </w:p>
    <w:p w14:paraId="6487C523" w14:textId="63A45277" w:rsidR="00590858" w:rsidRPr="00610B1B" w:rsidRDefault="0059085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българския сектор на Черно море са развити области на контрастни седиментационни обстановки. Пространственото разпределението на темпа на седиментация в съвременния етап се контролира и от редица хидродинамични фактори, съвкупността от които определя пъстра картина на седиментогенезата. В зоната на шелфа е ясно проявено меридионално разпределение на генетичните типове седименти. На север от паралела на нос Калиакра е развита обширна зона на транзитно преминаване на теригенния материал</w:t>
      </w:r>
      <w:r w:rsidR="009A5A17" w:rsidRPr="00610B1B">
        <w:rPr>
          <w:rFonts w:ascii="Times New Roman" w:hAnsi="Times New Roman" w:cs="Times New Roman"/>
          <w:sz w:val="24"/>
          <w:szCs w:val="24"/>
          <w:lang w:val="bg-BG"/>
        </w:rPr>
        <w:t>. У</w:t>
      </w:r>
      <w:r w:rsidRPr="00610B1B">
        <w:rPr>
          <w:rFonts w:ascii="Times New Roman" w:hAnsi="Times New Roman" w:cs="Times New Roman"/>
          <w:sz w:val="24"/>
          <w:szCs w:val="24"/>
          <w:lang w:val="bg-BG"/>
        </w:rPr>
        <w:t xml:space="preserve">тайките са представени от черупчести кондензати. </w:t>
      </w:r>
      <w:r w:rsidR="00432A60"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 xml:space="preserve"> условията на байпас на кластичния материал, се засебява зона на плиткоморска карбонатна биогенна седиментация.</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На юг от тази зона започва разтоварване на дунавския теригенен материал, като на шелфа преобладават теригенните алевритови и алевро-пелитови тини. Промяна настъпва и южно от нос Емине, където също има рязка смяна на конфигурацията на брега. Там се забелязва </w:t>
      </w:r>
      <w:r w:rsidRPr="00610B1B">
        <w:rPr>
          <w:rFonts w:ascii="Times New Roman" w:hAnsi="Times New Roman" w:cs="Times New Roman"/>
          <w:sz w:val="24"/>
          <w:szCs w:val="24"/>
          <w:lang w:val="bg-BG"/>
        </w:rPr>
        <w:lastRenderedPageBreak/>
        <w:t xml:space="preserve">хомогенизация на седиментния материал и формиране на хоризонтална акумулативна равнина. </w:t>
      </w:r>
      <w:r w:rsidR="009A5A17"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ключване</w:t>
      </w:r>
      <w:r w:rsidR="009A5A17"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на локални източници на подхранване по пътя на водните маси се отчита по теригенно-минераложката асоциация на Средногорската подхранваща провинция.</w:t>
      </w:r>
    </w:p>
    <w:p w14:paraId="0835C09F" w14:textId="1581D6E9" w:rsidR="00B605EB" w:rsidRPr="00610B1B" w:rsidRDefault="009A5A1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Основните </w:t>
      </w:r>
      <w:r w:rsidRPr="00610B1B">
        <w:rPr>
          <w:rFonts w:ascii="Times New Roman" w:hAnsi="Times New Roman" w:cs="Times New Roman"/>
          <w:b/>
          <w:bCs/>
          <w:sz w:val="24"/>
          <w:szCs w:val="24"/>
          <w:lang w:val="bg-BG"/>
        </w:rPr>
        <w:t xml:space="preserve">изводи </w:t>
      </w:r>
      <w:r w:rsidRPr="00610B1B">
        <w:rPr>
          <w:rFonts w:ascii="Times New Roman" w:hAnsi="Times New Roman" w:cs="Times New Roman"/>
          <w:sz w:val="24"/>
          <w:szCs w:val="24"/>
          <w:lang w:val="bg-BG"/>
        </w:rPr>
        <w:t>от а</w:t>
      </w:r>
      <w:r w:rsidR="00B605EB" w:rsidRPr="00610B1B">
        <w:rPr>
          <w:rFonts w:ascii="Times New Roman" w:hAnsi="Times New Roman" w:cs="Times New Roman"/>
          <w:sz w:val="24"/>
          <w:szCs w:val="24"/>
          <w:lang w:val="bg-BG"/>
        </w:rPr>
        <w:t>нализ</w:t>
      </w:r>
      <w:r w:rsidRPr="00610B1B">
        <w:rPr>
          <w:rFonts w:ascii="Times New Roman" w:hAnsi="Times New Roman" w:cs="Times New Roman"/>
          <w:sz w:val="24"/>
          <w:szCs w:val="24"/>
          <w:lang w:val="bg-BG"/>
        </w:rPr>
        <w:t>а</w:t>
      </w:r>
      <w:r w:rsidR="00B605EB" w:rsidRPr="00610B1B">
        <w:rPr>
          <w:rFonts w:ascii="Times New Roman" w:hAnsi="Times New Roman" w:cs="Times New Roman"/>
          <w:sz w:val="24"/>
          <w:szCs w:val="24"/>
          <w:lang w:val="bg-BG"/>
        </w:rPr>
        <w:t xml:space="preserve"> на </w:t>
      </w:r>
      <w:r w:rsidR="00A72A41" w:rsidRPr="00610B1B">
        <w:rPr>
          <w:rFonts w:ascii="Times New Roman" w:hAnsi="Times New Roman" w:cs="Times New Roman"/>
          <w:sz w:val="24"/>
          <w:szCs w:val="24"/>
          <w:lang w:val="bg-BG"/>
        </w:rPr>
        <w:t xml:space="preserve">геоложките и геоморфоложките характеристики на бреговата зона и на континенталния шелф </w:t>
      </w:r>
      <w:r w:rsidR="00006A20" w:rsidRPr="00610B1B">
        <w:rPr>
          <w:rFonts w:ascii="Times New Roman" w:hAnsi="Times New Roman" w:cs="Times New Roman"/>
          <w:sz w:val="24"/>
          <w:szCs w:val="24"/>
          <w:lang w:val="bg-BG"/>
        </w:rPr>
        <w:t>показват, че п</w:t>
      </w:r>
      <w:r w:rsidR="00CD17AF" w:rsidRPr="00610B1B">
        <w:rPr>
          <w:rFonts w:ascii="Times New Roman" w:hAnsi="Times New Roman" w:cs="Times New Roman"/>
          <w:sz w:val="24"/>
          <w:szCs w:val="24"/>
          <w:lang w:val="bg-BG"/>
        </w:rPr>
        <w:t xml:space="preserve">ознанията за бреговата зона </w:t>
      </w:r>
      <w:r w:rsidR="00A72A41" w:rsidRPr="00610B1B">
        <w:rPr>
          <w:rFonts w:ascii="Times New Roman" w:hAnsi="Times New Roman" w:cs="Times New Roman"/>
          <w:sz w:val="24"/>
          <w:szCs w:val="24"/>
          <w:lang w:val="bg-BG"/>
        </w:rPr>
        <w:t xml:space="preserve">откъм сушата са повече от задоволителни, </w:t>
      </w:r>
      <w:r w:rsidR="00432A60" w:rsidRPr="00610B1B">
        <w:rPr>
          <w:rFonts w:ascii="Times New Roman" w:hAnsi="Times New Roman" w:cs="Times New Roman"/>
          <w:sz w:val="24"/>
          <w:szCs w:val="24"/>
          <w:lang w:val="bg-BG"/>
        </w:rPr>
        <w:t>но</w:t>
      </w:r>
      <w:r w:rsidR="00A72A41" w:rsidRPr="00610B1B">
        <w:rPr>
          <w:rFonts w:ascii="Times New Roman" w:hAnsi="Times New Roman" w:cs="Times New Roman"/>
          <w:sz w:val="24"/>
          <w:szCs w:val="24"/>
          <w:lang w:val="bg-BG"/>
        </w:rPr>
        <w:t xml:space="preserve"> тези за акваториалната </w:t>
      </w:r>
      <w:r w:rsidR="00CD17AF" w:rsidRPr="00610B1B">
        <w:rPr>
          <w:rFonts w:ascii="Times New Roman" w:hAnsi="Times New Roman" w:cs="Times New Roman"/>
          <w:sz w:val="24"/>
          <w:szCs w:val="24"/>
          <w:lang w:val="bg-BG"/>
        </w:rPr>
        <w:t xml:space="preserve">зона </w:t>
      </w:r>
      <w:r w:rsidR="00A72A41" w:rsidRPr="00610B1B">
        <w:rPr>
          <w:rFonts w:ascii="Times New Roman" w:hAnsi="Times New Roman" w:cs="Times New Roman"/>
          <w:sz w:val="24"/>
          <w:szCs w:val="24"/>
          <w:lang w:val="bg-BG"/>
        </w:rPr>
        <w:t xml:space="preserve">са откъслечни и непълни. </w:t>
      </w:r>
      <w:r w:rsidR="00CD17AF" w:rsidRPr="00610B1B">
        <w:rPr>
          <w:rFonts w:ascii="Times New Roman" w:hAnsi="Times New Roman" w:cs="Times New Roman"/>
          <w:sz w:val="24"/>
          <w:szCs w:val="24"/>
          <w:lang w:val="bg-BG"/>
        </w:rPr>
        <w:t xml:space="preserve">Това е сред причините за несигурността в прогнозите и </w:t>
      </w:r>
      <w:r w:rsidR="00761215" w:rsidRPr="00610B1B">
        <w:rPr>
          <w:rFonts w:ascii="Times New Roman" w:hAnsi="Times New Roman" w:cs="Times New Roman"/>
          <w:sz w:val="24"/>
          <w:szCs w:val="24"/>
          <w:lang w:val="bg-BG"/>
        </w:rPr>
        <w:t xml:space="preserve">в </w:t>
      </w:r>
      <w:r w:rsidR="00CD17AF" w:rsidRPr="00610B1B">
        <w:rPr>
          <w:rFonts w:ascii="Times New Roman" w:hAnsi="Times New Roman" w:cs="Times New Roman"/>
          <w:sz w:val="24"/>
          <w:szCs w:val="24"/>
          <w:lang w:val="bg-BG"/>
        </w:rPr>
        <w:t>адекватността и ефективността на мерките за подобряване на морската околна среда.</w:t>
      </w:r>
      <w:r w:rsidR="00D66FE0" w:rsidRPr="00610B1B">
        <w:rPr>
          <w:rFonts w:ascii="Times New Roman" w:hAnsi="Times New Roman" w:cs="Times New Roman"/>
          <w:sz w:val="24"/>
          <w:szCs w:val="24"/>
          <w:lang w:val="bg-BG"/>
        </w:rPr>
        <w:t xml:space="preserve"> </w:t>
      </w:r>
      <w:r w:rsidR="00CD17AF" w:rsidRPr="00610B1B">
        <w:rPr>
          <w:rFonts w:ascii="Times New Roman" w:hAnsi="Times New Roman" w:cs="Times New Roman"/>
          <w:sz w:val="24"/>
          <w:szCs w:val="24"/>
          <w:lang w:val="bg-BG"/>
        </w:rPr>
        <w:t xml:space="preserve">Необходимо е да се попълнят </w:t>
      </w:r>
      <w:r w:rsidR="00A72A41" w:rsidRPr="00610B1B">
        <w:rPr>
          <w:rFonts w:ascii="Times New Roman" w:hAnsi="Times New Roman" w:cs="Times New Roman"/>
          <w:sz w:val="24"/>
          <w:szCs w:val="24"/>
          <w:lang w:val="bg-BG"/>
        </w:rPr>
        <w:t>познанията за тази активна, интензивно експлоатирана и най-богата на биоразнообразие зона</w:t>
      </w:r>
      <w:r w:rsidR="00765BD4" w:rsidRPr="00610B1B">
        <w:rPr>
          <w:rFonts w:ascii="Times New Roman" w:hAnsi="Times New Roman" w:cs="Times New Roman"/>
          <w:sz w:val="24"/>
          <w:szCs w:val="24"/>
          <w:lang w:val="bg-BG"/>
        </w:rPr>
        <w:t xml:space="preserve"> като се </w:t>
      </w:r>
      <w:r w:rsidR="00A72A41" w:rsidRPr="00610B1B">
        <w:rPr>
          <w:rFonts w:ascii="Times New Roman" w:hAnsi="Times New Roman" w:cs="Times New Roman"/>
          <w:sz w:val="24"/>
          <w:szCs w:val="24"/>
          <w:lang w:val="bg-BG"/>
        </w:rPr>
        <w:t>възстанов</w:t>
      </w:r>
      <w:r w:rsidR="00765BD4" w:rsidRPr="00610B1B">
        <w:rPr>
          <w:rFonts w:ascii="Times New Roman" w:hAnsi="Times New Roman" w:cs="Times New Roman"/>
          <w:sz w:val="24"/>
          <w:szCs w:val="24"/>
          <w:lang w:val="bg-BG"/>
        </w:rPr>
        <w:t>и</w:t>
      </w:r>
      <w:r w:rsidR="00A72A41" w:rsidRPr="00610B1B">
        <w:rPr>
          <w:rFonts w:ascii="Times New Roman" w:hAnsi="Times New Roman" w:cs="Times New Roman"/>
          <w:sz w:val="24"/>
          <w:szCs w:val="24"/>
          <w:lang w:val="bg-BG"/>
        </w:rPr>
        <w:t xml:space="preserve"> прекъснатия</w:t>
      </w:r>
      <w:r w:rsidR="00831E16">
        <w:rPr>
          <w:rFonts w:ascii="Times New Roman" w:hAnsi="Times New Roman" w:cs="Times New Roman"/>
          <w:sz w:val="24"/>
          <w:szCs w:val="24"/>
          <w:lang w:val="bg-BG"/>
        </w:rPr>
        <w:t>т</w:t>
      </w:r>
      <w:r w:rsidR="00A72A41" w:rsidRPr="00610B1B">
        <w:rPr>
          <w:rFonts w:ascii="Times New Roman" w:hAnsi="Times New Roman" w:cs="Times New Roman"/>
          <w:sz w:val="24"/>
          <w:szCs w:val="24"/>
          <w:lang w:val="bg-BG"/>
        </w:rPr>
        <w:t xml:space="preserve"> мониторинг по Дескриптор Д7</w:t>
      </w:r>
      <w:r w:rsidR="00432A6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r w:rsidR="00A72A41" w:rsidRPr="00610B1B">
        <w:rPr>
          <w:rFonts w:ascii="Times New Roman" w:hAnsi="Times New Roman" w:cs="Times New Roman"/>
          <w:sz w:val="24"/>
          <w:szCs w:val="24"/>
          <w:lang w:val="bg-BG"/>
        </w:rPr>
        <w:t xml:space="preserve">Изменения на хидрографските условия </w:t>
      </w:r>
      <w:r w:rsidR="00CD17AF" w:rsidRPr="00610B1B">
        <w:rPr>
          <w:rFonts w:ascii="Times New Roman" w:hAnsi="Times New Roman" w:cs="Times New Roman"/>
          <w:sz w:val="24"/>
          <w:szCs w:val="24"/>
          <w:lang w:val="bg-BG"/>
        </w:rPr>
        <w:t xml:space="preserve">и </w:t>
      </w:r>
      <w:r w:rsidR="00A72A41" w:rsidRPr="00610B1B">
        <w:rPr>
          <w:rFonts w:ascii="Times New Roman" w:hAnsi="Times New Roman" w:cs="Times New Roman"/>
          <w:sz w:val="24"/>
          <w:szCs w:val="24"/>
          <w:lang w:val="bg-BG"/>
        </w:rPr>
        <w:t>подновяване на мониторинга на ерозионно-абразионните процеси по Черноморското крайбрежие.</w:t>
      </w:r>
    </w:p>
    <w:p w14:paraId="29FFC17F" w14:textId="04098796" w:rsidR="00CD17AF" w:rsidRPr="00610B1B" w:rsidRDefault="00CD17A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Необходимо е също уеднаквяване на терминологията и синхронизиране на подзаконовата нормативна база, </w:t>
      </w:r>
      <w:r w:rsidR="00F33CA9" w:rsidRPr="00610B1B">
        <w:rPr>
          <w:rFonts w:ascii="Times New Roman" w:hAnsi="Times New Roman" w:cs="Times New Roman"/>
          <w:sz w:val="24"/>
          <w:szCs w:val="24"/>
          <w:lang w:val="bg-BG"/>
        </w:rPr>
        <w:t>за да се</w:t>
      </w:r>
      <w:r w:rsidRPr="00610B1B">
        <w:rPr>
          <w:rFonts w:ascii="Times New Roman" w:hAnsi="Times New Roman" w:cs="Times New Roman"/>
          <w:sz w:val="24"/>
          <w:szCs w:val="24"/>
          <w:lang w:val="bg-BG"/>
        </w:rPr>
        <w:t xml:space="preserve"> подобр</w:t>
      </w:r>
      <w:r w:rsidR="00F33CA9"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 управлени</w:t>
      </w:r>
      <w:r w:rsidR="00432A60" w:rsidRPr="00610B1B">
        <w:rPr>
          <w:rFonts w:ascii="Times New Roman" w:hAnsi="Times New Roman" w:cs="Times New Roman"/>
          <w:sz w:val="24"/>
          <w:szCs w:val="24"/>
          <w:lang w:val="bg-BG"/>
        </w:rPr>
        <w:t>ето</w:t>
      </w:r>
      <w:r w:rsidRPr="00610B1B">
        <w:rPr>
          <w:rFonts w:ascii="Times New Roman" w:hAnsi="Times New Roman" w:cs="Times New Roman"/>
          <w:sz w:val="24"/>
          <w:szCs w:val="24"/>
          <w:lang w:val="bg-BG"/>
        </w:rPr>
        <w:t xml:space="preserve"> и контрола чрез ясни правила и отговорности. Възстановяването и разширяването на мрежата от мареографни станции по българския бряг и съчетаването им с наблюдения на хоризонталните и вертикални движения на земната кора, </w:t>
      </w:r>
      <w:r w:rsidR="00A61A4E" w:rsidRPr="00610B1B">
        <w:rPr>
          <w:rFonts w:ascii="Times New Roman" w:hAnsi="Times New Roman" w:cs="Times New Roman"/>
          <w:sz w:val="24"/>
          <w:szCs w:val="24"/>
          <w:lang w:val="bg-BG"/>
        </w:rPr>
        <w:t>поддържането</w:t>
      </w:r>
      <w:r w:rsidRPr="00610B1B">
        <w:rPr>
          <w:rFonts w:ascii="Times New Roman" w:hAnsi="Times New Roman" w:cs="Times New Roman"/>
          <w:sz w:val="24"/>
          <w:szCs w:val="24"/>
          <w:lang w:val="bg-BG"/>
        </w:rPr>
        <w:t xml:space="preserve"> и подаването на данни в реално време и свободен достъп от оторизираните органи</w:t>
      </w:r>
      <w:r w:rsidR="00006A2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също ще подобри качеството на изследванията и наблюденията.</w:t>
      </w:r>
    </w:p>
    <w:p w14:paraId="5FE244A8" w14:textId="56F074BF" w:rsidR="00AE66CD" w:rsidRPr="00610B1B" w:rsidRDefault="00590858" w:rsidP="00D32D6A">
      <w:pPr>
        <w:spacing w:after="120"/>
        <w:ind w:right="-153"/>
        <w:jc w:val="both"/>
        <w:rPr>
          <w:rFonts w:ascii="Times New Roman" w:hAnsi="Times New Roman" w:cs="Times New Roman"/>
          <w:bCs/>
          <w:iCs/>
          <w:sz w:val="24"/>
          <w:szCs w:val="24"/>
          <w:lang w:val="bg-BG"/>
        </w:rPr>
      </w:pPr>
      <w:r w:rsidRPr="00610B1B">
        <w:rPr>
          <w:rFonts w:ascii="Times New Roman" w:hAnsi="Times New Roman" w:cs="Times New Roman"/>
          <w:bCs/>
          <w:iCs/>
          <w:sz w:val="24"/>
          <w:szCs w:val="24"/>
          <w:lang w:val="bg-BG"/>
        </w:rPr>
        <w:t>Актуално</w:t>
      </w:r>
      <w:r w:rsidR="00CD17AF" w:rsidRPr="00610B1B">
        <w:rPr>
          <w:rFonts w:ascii="Times New Roman" w:hAnsi="Times New Roman" w:cs="Times New Roman"/>
          <w:bCs/>
          <w:iCs/>
          <w:sz w:val="24"/>
          <w:szCs w:val="24"/>
          <w:lang w:val="bg-BG"/>
        </w:rPr>
        <w:t>то</w:t>
      </w:r>
      <w:r w:rsidRPr="00610B1B">
        <w:rPr>
          <w:rFonts w:ascii="Times New Roman" w:hAnsi="Times New Roman" w:cs="Times New Roman"/>
          <w:bCs/>
          <w:iCs/>
          <w:sz w:val="24"/>
          <w:szCs w:val="24"/>
          <w:lang w:val="bg-BG"/>
        </w:rPr>
        <w:t xml:space="preserve"> измерване на бреговата линия по утвърдена методика и поддържането</w:t>
      </w:r>
      <w:r w:rsidR="00DE3A13" w:rsidRPr="00610B1B">
        <w:rPr>
          <w:rFonts w:ascii="Times New Roman" w:hAnsi="Times New Roman" w:cs="Times New Roman"/>
          <w:bCs/>
          <w:iCs/>
          <w:sz w:val="24"/>
          <w:szCs w:val="24"/>
          <w:lang w:val="bg-BG"/>
        </w:rPr>
        <w:t xml:space="preserve"> ѝ </w:t>
      </w:r>
      <w:r w:rsidR="00765BD4" w:rsidRPr="00610B1B">
        <w:rPr>
          <w:rFonts w:ascii="Times New Roman" w:hAnsi="Times New Roman" w:cs="Times New Roman"/>
          <w:bCs/>
          <w:iCs/>
          <w:sz w:val="24"/>
          <w:szCs w:val="24"/>
          <w:lang w:val="bg-BG"/>
        </w:rPr>
        <w:t xml:space="preserve">от </w:t>
      </w:r>
      <w:r w:rsidRPr="00610B1B">
        <w:rPr>
          <w:rFonts w:ascii="Times New Roman" w:hAnsi="Times New Roman" w:cs="Times New Roman"/>
          <w:bCs/>
          <w:iCs/>
          <w:sz w:val="24"/>
          <w:szCs w:val="24"/>
          <w:lang w:val="bg-BG"/>
        </w:rPr>
        <w:t xml:space="preserve">специализираните органи на Министерството на отбраната и Министерството на регионалното развитие и благоустройство </w:t>
      </w:r>
      <w:r w:rsidR="00CD17AF" w:rsidRPr="00610B1B">
        <w:rPr>
          <w:rFonts w:ascii="Times New Roman" w:hAnsi="Times New Roman" w:cs="Times New Roman"/>
          <w:bCs/>
          <w:iCs/>
          <w:sz w:val="24"/>
          <w:szCs w:val="24"/>
          <w:lang w:val="bg-BG"/>
        </w:rPr>
        <w:t xml:space="preserve">и </w:t>
      </w:r>
      <w:r w:rsidRPr="00610B1B">
        <w:rPr>
          <w:rFonts w:ascii="Times New Roman" w:hAnsi="Times New Roman" w:cs="Times New Roman"/>
          <w:bCs/>
          <w:iCs/>
          <w:sz w:val="24"/>
          <w:szCs w:val="24"/>
          <w:lang w:val="bg-BG"/>
        </w:rPr>
        <w:t>актуализацията</w:t>
      </w:r>
      <w:r w:rsidR="00DE3A13" w:rsidRPr="00610B1B">
        <w:rPr>
          <w:rFonts w:ascii="Times New Roman" w:hAnsi="Times New Roman" w:cs="Times New Roman"/>
          <w:bCs/>
          <w:iCs/>
          <w:sz w:val="24"/>
          <w:szCs w:val="24"/>
          <w:lang w:val="bg-BG"/>
        </w:rPr>
        <w:t xml:space="preserve"> ѝ </w:t>
      </w:r>
      <w:r w:rsidRPr="00610B1B">
        <w:rPr>
          <w:rFonts w:ascii="Times New Roman" w:hAnsi="Times New Roman" w:cs="Times New Roman"/>
          <w:bCs/>
          <w:iCs/>
          <w:sz w:val="24"/>
          <w:szCs w:val="24"/>
          <w:lang w:val="bg-BG"/>
        </w:rPr>
        <w:t>в срок</w:t>
      </w:r>
      <w:r w:rsidR="00CD17AF" w:rsidRPr="00610B1B">
        <w:rPr>
          <w:rFonts w:ascii="Times New Roman" w:hAnsi="Times New Roman" w:cs="Times New Roman"/>
          <w:bCs/>
          <w:iCs/>
          <w:sz w:val="24"/>
          <w:szCs w:val="24"/>
          <w:lang w:val="bg-BG"/>
        </w:rPr>
        <w:t>ове</w:t>
      </w:r>
      <w:r w:rsidRPr="00610B1B">
        <w:rPr>
          <w:rFonts w:ascii="Times New Roman" w:hAnsi="Times New Roman" w:cs="Times New Roman"/>
          <w:bCs/>
          <w:iCs/>
          <w:sz w:val="24"/>
          <w:szCs w:val="24"/>
          <w:lang w:val="bg-BG"/>
        </w:rPr>
        <w:t xml:space="preserve"> </w:t>
      </w:r>
      <w:r w:rsidR="00765BD4" w:rsidRPr="00610B1B">
        <w:rPr>
          <w:rFonts w:ascii="Times New Roman" w:hAnsi="Times New Roman" w:cs="Times New Roman"/>
          <w:bCs/>
          <w:iCs/>
          <w:sz w:val="24"/>
          <w:szCs w:val="24"/>
          <w:lang w:val="bg-BG"/>
        </w:rPr>
        <w:t xml:space="preserve">от </w:t>
      </w:r>
      <w:r w:rsidRPr="00610B1B">
        <w:rPr>
          <w:rFonts w:ascii="Times New Roman" w:hAnsi="Times New Roman" w:cs="Times New Roman"/>
          <w:bCs/>
          <w:iCs/>
          <w:sz w:val="24"/>
          <w:szCs w:val="24"/>
          <w:lang w:val="bg-BG"/>
        </w:rPr>
        <w:t>5 години</w:t>
      </w:r>
      <w:r w:rsidR="00006A20" w:rsidRPr="00610B1B">
        <w:rPr>
          <w:rFonts w:ascii="Times New Roman" w:hAnsi="Times New Roman" w:cs="Times New Roman"/>
          <w:bCs/>
          <w:iCs/>
          <w:sz w:val="24"/>
          <w:szCs w:val="24"/>
          <w:lang w:val="bg-BG"/>
        </w:rPr>
        <w:t xml:space="preserve"> е от значение за научните изследвания на процесите на територията</w:t>
      </w:r>
      <w:r w:rsidR="00765BD4" w:rsidRPr="00610B1B">
        <w:rPr>
          <w:rFonts w:ascii="Times New Roman" w:hAnsi="Times New Roman" w:cs="Times New Roman"/>
          <w:bCs/>
          <w:iCs/>
          <w:sz w:val="24"/>
          <w:szCs w:val="24"/>
          <w:lang w:val="bg-BG"/>
        </w:rPr>
        <w:t xml:space="preserve"> </w:t>
      </w:r>
      <w:r w:rsidR="00006A20" w:rsidRPr="00610B1B">
        <w:rPr>
          <w:rFonts w:ascii="Times New Roman" w:hAnsi="Times New Roman" w:cs="Times New Roman"/>
          <w:bCs/>
          <w:iCs/>
          <w:sz w:val="24"/>
          <w:szCs w:val="24"/>
          <w:lang w:val="bg-BG"/>
        </w:rPr>
        <w:t xml:space="preserve">и </w:t>
      </w:r>
      <w:r w:rsidR="00761215" w:rsidRPr="00610B1B">
        <w:rPr>
          <w:rFonts w:ascii="Times New Roman" w:hAnsi="Times New Roman" w:cs="Times New Roman"/>
          <w:bCs/>
          <w:iCs/>
          <w:sz w:val="24"/>
          <w:szCs w:val="24"/>
          <w:lang w:val="bg-BG"/>
        </w:rPr>
        <w:t>а</w:t>
      </w:r>
      <w:r w:rsidR="00006A20" w:rsidRPr="00610B1B">
        <w:rPr>
          <w:rFonts w:ascii="Times New Roman" w:hAnsi="Times New Roman" w:cs="Times New Roman"/>
          <w:bCs/>
          <w:iCs/>
          <w:sz w:val="24"/>
          <w:szCs w:val="24"/>
          <w:lang w:val="bg-BG"/>
        </w:rPr>
        <w:t>кваторията. У</w:t>
      </w:r>
      <w:r w:rsidRPr="00610B1B">
        <w:rPr>
          <w:rFonts w:ascii="Times New Roman" w:hAnsi="Times New Roman" w:cs="Times New Roman"/>
          <w:bCs/>
          <w:iCs/>
          <w:sz w:val="24"/>
          <w:szCs w:val="24"/>
          <w:lang w:val="bg-BG"/>
        </w:rPr>
        <w:t>твържд</w:t>
      </w:r>
      <w:r w:rsidR="00CD17AF" w:rsidRPr="00610B1B">
        <w:rPr>
          <w:rFonts w:ascii="Times New Roman" w:hAnsi="Times New Roman" w:cs="Times New Roman"/>
          <w:bCs/>
          <w:iCs/>
          <w:sz w:val="24"/>
          <w:szCs w:val="24"/>
          <w:lang w:val="bg-BG"/>
        </w:rPr>
        <w:t>а</w:t>
      </w:r>
      <w:r w:rsidRPr="00610B1B">
        <w:rPr>
          <w:rFonts w:ascii="Times New Roman" w:hAnsi="Times New Roman" w:cs="Times New Roman"/>
          <w:bCs/>
          <w:iCs/>
          <w:sz w:val="24"/>
          <w:szCs w:val="24"/>
          <w:lang w:val="bg-BG"/>
        </w:rPr>
        <w:t>в</w:t>
      </w:r>
      <w:r w:rsidR="00CD17AF" w:rsidRPr="00610B1B">
        <w:rPr>
          <w:rFonts w:ascii="Times New Roman" w:hAnsi="Times New Roman" w:cs="Times New Roman"/>
          <w:bCs/>
          <w:iCs/>
          <w:sz w:val="24"/>
          <w:szCs w:val="24"/>
          <w:lang w:val="bg-BG"/>
        </w:rPr>
        <w:t>а</w:t>
      </w:r>
      <w:r w:rsidRPr="00610B1B">
        <w:rPr>
          <w:rFonts w:ascii="Times New Roman" w:hAnsi="Times New Roman" w:cs="Times New Roman"/>
          <w:bCs/>
          <w:iCs/>
          <w:sz w:val="24"/>
          <w:szCs w:val="24"/>
          <w:lang w:val="bg-BG"/>
        </w:rPr>
        <w:t>нето на единна за България унифицирана цифрова версия на бреговата линия за картопострояване в различни мащаби</w:t>
      </w:r>
      <w:r w:rsidR="00006A20" w:rsidRPr="00610B1B">
        <w:rPr>
          <w:rFonts w:ascii="Times New Roman" w:hAnsi="Times New Roman" w:cs="Times New Roman"/>
          <w:bCs/>
          <w:iCs/>
          <w:sz w:val="24"/>
          <w:szCs w:val="24"/>
          <w:lang w:val="bg-BG"/>
        </w:rPr>
        <w:t>, заедно</w:t>
      </w:r>
      <w:r w:rsidR="00CD17AF" w:rsidRPr="00610B1B">
        <w:rPr>
          <w:rFonts w:ascii="Times New Roman" w:hAnsi="Times New Roman" w:cs="Times New Roman"/>
          <w:bCs/>
          <w:iCs/>
          <w:sz w:val="24"/>
          <w:szCs w:val="24"/>
          <w:lang w:val="bg-BG"/>
        </w:rPr>
        <w:t xml:space="preserve"> </w:t>
      </w:r>
      <w:r w:rsidR="00006A20" w:rsidRPr="00610B1B">
        <w:rPr>
          <w:rFonts w:ascii="Times New Roman" w:hAnsi="Times New Roman" w:cs="Times New Roman"/>
          <w:bCs/>
          <w:iCs/>
          <w:sz w:val="24"/>
          <w:szCs w:val="24"/>
          <w:lang w:val="bg-BG"/>
        </w:rPr>
        <w:t>с уеднаквяването на изходната информация</w:t>
      </w:r>
      <w:r w:rsidR="00D86805" w:rsidRPr="00610B1B">
        <w:rPr>
          <w:rFonts w:ascii="Times New Roman" w:hAnsi="Times New Roman" w:cs="Times New Roman"/>
          <w:bCs/>
          <w:iCs/>
          <w:sz w:val="24"/>
          <w:szCs w:val="24"/>
          <w:lang w:val="bg-BG"/>
        </w:rPr>
        <w:t>,</w:t>
      </w:r>
      <w:r w:rsidR="00006A20" w:rsidRPr="00610B1B">
        <w:rPr>
          <w:rFonts w:ascii="Times New Roman" w:hAnsi="Times New Roman" w:cs="Times New Roman"/>
          <w:bCs/>
          <w:iCs/>
          <w:sz w:val="24"/>
          <w:szCs w:val="24"/>
          <w:lang w:val="bg-BG"/>
        </w:rPr>
        <w:t xml:space="preserve"> ще предаде по-голяма достоверност и легитимност на научните изследвания и представянето</w:t>
      </w:r>
      <w:r w:rsidR="00006A20" w:rsidRPr="00610B1B">
        <w:rPr>
          <w:rFonts w:ascii="Times New Roman" w:hAnsi="Times New Roman" w:cs="Times New Roman"/>
          <w:lang w:val="bg-BG"/>
        </w:rPr>
        <w:t xml:space="preserve"> </w:t>
      </w:r>
      <w:r w:rsidR="00006A20" w:rsidRPr="00610B1B">
        <w:rPr>
          <w:rFonts w:ascii="Times New Roman" w:hAnsi="Times New Roman" w:cs="Times New Roman"/>
          <w:bCs/>
          <w:iCs/>
          <w:sz w:val="24"/>
          <w:szCs w:val="24"/>
          <w:lang w:val="bg-BG"/>
        </w:rPr>
        <w:t>в националните и световните бази данни.</w:t>
      </w:r>
      <w:r w:rsidR="00D66FE0" w:rsidRPr="00610B1B">
        <w:rPr>
          <w:rFonts w:ascii="Times New Roman" w:hAnsi="Times New Roman" w:cs="Times New Roman"/>
          <w:bCs/>
          <w:iCs/>
          <w:sz w:val="24"/>
          <w:szCs w:val="24"/>
          <w:lang w:val="bg-BG"/>
        </w:rPr>
        <w:t xml:space="preserve"> </w:t>
      </w:r>
    </w:p>
    <w:p w14:paraId="6292AF81" w14:textId="206F10BF" w:rsidR="00823BE7" w:rsidRPr="00610B1B" w:rsidRDefault="00B601CD" w:rsidP="00D32D6A">
      <w:pPr>
        <w:pStyle w:val="Heading3"/>
        <w:spacing w:before="0" w:line="276" w:lineRule="auto"/>
        <w:ind w:right="-153"/>
        <w:rPr>
          <w:rFonts w:cs="Times New Roman"/>
        </w:rPr>
      </w:pPr>
      <w:bookmarkStart w:id="24" w:name="_Toc83391362"/>
      <w:r w:rsidRPr="00610B1B">
        <w:rPr>
          <w:rFonts w:cs="Times New Roman"/>
        </w:rPr>
        <w:t xml:space="preserve">2.2.2. </w:t>
      </w:r>
      <w:r w:rsidR="00823BE7" w:rsidRPr="00610B1B">
        <w:rPr>
          <w:rFonts w:cs="Times New Roman"/>
        </w:rPr>
        <w:t>Хидрология</w:t>
      </w:r>
      <w:bookmarkEnd w:id="24"/>
      <w:r w:rsidR="00823BE7" w:rsidRPr="00610B1B">
        <w:rPr>
          <w:rFonts w:cs="Times New Roman"/>
        </w:rPr>
        <w:t xml:space="preserve"> </w:t>
      </w:r>
    </w:p>
    <w:p w14:paraId="538827C2" w14:textId="143BC21B" w:rsidR="00432A60" w:rsidRPr="00610B1B" w:rsidRDefault="004F098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Общата п</w:t>
      </w:r>
      <w:r w:rsidR="00823BE7" w:rsidRPr="00610B1B">
        <w:rPr>
          <w:rFonts w:ascii="Times New Roman" w:hAnsi="Times New Roman" w:cs="Times New Roman"/>
          <w:sz w:val="24"/>
          <w:szCs w:val="24"/>
          <w:lang w:val="bg-BG"/>
        </w:rPr>
        <w:t xml:space="preserve">лощ на Черно море </w:t>
      </w:r>
      <w:r w:rsidR="00765BD4" w:rsidRPr="00610B1B">
        <w:rPr>
          <w:rFonts w:ascii="Times New Roman" w:hAnsi="Times New Roman" w:cs="Times New Roman"/>
          <w:sz w:val="24"/>
          <w:szCs w:val="24"/>
          <w:lang w:val="bg-BG"/>
        </w:rPr>
        <w:t xml:space="preserve">от </w:t>
      </w:r>
      <w:r w:rsidR="00823BE7" w:rsidRPr="00610B1B">
        <w:rPr>
          <w:rFonts w:ascii="Times New Roman" w:hAnsi="Times New Roman" w:cs="Times New Roman"/>
          <w:sz w:val="24"/>
          <w:szCs w:val="24"/>
          <w:lang w:val="bg-BG"/>
        </w:rPr>
        <w:t xml:space="preserve">423 000 </w:t>
      </w:r>
      <w:r w:rsidR="00977A5A" w:rsidRPr="00610B1B">
        <w:rPr>
          <w:rFonts w:ascii="Times New Roman" w:hAnsi="Times New Roman" w:cs="Times New Roman"/>
          <w:sz w:val="24"/>
          <w:szCs w:val="24"/>
          <w:lang w:val="bg-BG"/>
        </w:rPr>
        <w:t>km</w:t>
      </w:r>
      <w:r w:rsidR="00823BE7" w:rsidRPr="00610B1B">
        <w:rPr>
          <w:rFonts w:ascii="Times New Roman" w:hAnsi="Times New Roman" w:cs="Times New Roman"/>
          <w:sz w:val="24"/>
          <w:szCs w:val="24"/>
          <w:vertAlign w:val="superscript"/>
          <w:lang w:val="bg-BG"/>
        </w:rPr>
        <w:t>2</w:t>
      </w:r>
      <w:r w:rsidR="00823BE7" w:rsidRPr="00610B1B">
        <w:rPr>
          <w:rFonts w:ascii="Times New Roman" w:hAnsi="Times New Roman" w:cs="Times New Roman"/>
          <w:sz w:val="24"/>
          <w:szCs w:val="24"/>
          <w:lang w:val="bg-BG"/>
        </w:rPr>
        <w:t xml:space="preserve"> е приблизително една пета от повърхността на Средиземно море. Общият му обем е 547 000 km</w:t>
      </w:r>
      <w:r w:rsidR="00823BE7" w:rsidRPr="00610B1B">
        <w:rPr>
          <w:rFonts w:ascii="Times New Roman" w:hAnsi="Times New Roman" w:cs="Times New Roman"/>
          <w:sz w:val="24"/>
          <w:szCs w:val="24"/>
          <w:vertAlign w:val="superscript"/>
          <w:lang w:val="bg-BG"/>
        </w:rPr>
        <w:t>3</w:t>
      </w:r>
      <w:r w:rsidR="00823BE7" w:rsidRPr="00610B1B">
        <w:rPr>
          <w:rFonts w:ascii="Times New Roman" w:hAnsi="Times New Roman" w:cs="Times New Roman"/>
          <w:sz w:val="24"/>
          <w:szCs w:val="24"/>
          <w:lang w:val="bg-BG"/>
        </w:rPr>
        <w:t xml:space="preserve"> и максимална</w:t>
      </w:r>
      <w:r w:rsidR="001662DD" w:rsidRPr="00610B1B">
        <w:rPr>
          <w:rFonts w:ascii="Times New Roman" w:hAnsi="Times New Roman" w:cs="Times New Roman"/>
          <w:sz w:val="24"/>
          <w:szCs w:val="24"/>
          <w:lang w:val="bg-BG"/>
        </w:rPr>
        <w:t>та</w:t>
      </w:r>
      <w:r w:rsidR="00823BE7" w:rsidRPr="00610B1B">
        <w:rPr>
          <w:rFonts w:ascii="Times New Roman" w:hAnsi="Times New Roman" w:cs="Times New Roman"/>
          <w:sz w:val="24"/>
          <w:szCs w:val="24"/>
          <w:lang w:val="bg-BG"/>
        </w:rPr>
        <w:t xml:space="preserve"> дълбочина около 2</w:t>
      </w:r>
      <w:r w:rsidR="00536C29" w:rsidRPr="00610B1B">
        <w:rPr>
          <w:rFonts w:ascii="Times New Roman" w:hAnsi="Times New Roman" w:cs="Times New Roman"/>
          <w:sz w:val="24"/>
          <w:szCs w:val="24"/>
          <w:lang w:val="bg-BG"/>
        </w:rPr>
        <w:t> </w:t>
      </w:r>
      <w:r w:rsidR="00823BE7" w:rsidRPr="00610B1B">
        <w:rPr>
          <w:rFonts w:ascii="Times New Roman" w:hAnsi="Times New Roman" w:cs="Times New Roman"/>
          <w:sz w:val="24"/>
          <w:szCs w:val="24"/>
          <w:lang w:val="bg-BG"/>
        </w:rPr>
        <w:t xml:space="preserve">200 m. </w:t>
      </w:r>
    </w:p>
    <w:p w14:paraId="25A6008B" w14:textId="5190EFF4"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Големият сладководен речен вток на повърхността и притокът на солени средиземноморски води, разпространяващи се в дълбоководната част на морето през Босфорския проток, създават условия за </w:t>
      </w:r>
      <w:r w:rsidRPr="00610B1B">
        <w:rPr>
          <w:rFonts w:ascii="Times New Roman" w:hAnsi="Times New Roman" w:cs="Times New Roman"/>
          <w:b/>
          <w:i/>
          <w:sz w:val="24"/>
          <w:szCs w:val="24"/>
          <w:lang w:val="bg-BG"/>
        </w:rPr>
        <w:t>уникална двуслойна термо-халинна водна стратификация</w:t>
      </w:r>
      <w:r w:rsidRPr="00610B1B">
        <w:rPr>
          <w:rFonts w:ascii="Times New Roman" w:hAnsi="Times New Roman" w:cs="Times New Roman"/>
          <w:sz w:val="24"/>
          <w:szCs w:val="24"/>
          <w:lang w:val="bg-BG"/>
        </w:rPr>
        <w:t xml:space="preserve">. Оттук се образува остър хало-пикноклин, разположен на дълбочина 50 - 100 </w:t>
      </w:r>
      <w:r w:rsidR="00536C29"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който разделя повърхностните и дълбоките басейнови слоеве.</w:t>
      </w:r>
      <w:r w:rsidR="00977A5A"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Вертикалната биогеохимична структура на Черно море се различава значително от типичната за океана. Рязкото стратифициране по плътност, придружено със слаба вертикална циркулация и смесване, предотвратяват вентилацията на водите под постоянния пикноклин. </w:t>
      </w:r>
      <w:r w:rsidR="00D86805" w:rsidRPr="00610B1B">
        <w:rPr>
          <w:rFonts w:ascii="Times New Roman" w:hAnsi="Times New Roman" w:cs="Times New Roman"/>
          <w:sz w:val="24"/>
          <w:szCs w:val="24"/>
          <w:lang w:val="bg-BG"/>
        </w:rPr>
        <w:t>Поради тази</w:t>
      </w:r>
      <w:r w:rsidRPr="00610B1B">
        <w:rPr>
          <w:rFonts w:ascii="Times New Roman" w:hAnsi="Times New Roman" w:cs="Times New Roman"/>
          <w:sz w:val="24"/>
          <w:szCs w:val="24"/>
          <w:lang w:val="bg-BG"/>
        </w:rPr>
        <w:t xml:space="preserve"> причина, органичната материя, която непрекъснато седиментира и </w:t>
      </w:r>
      <w:r w:rsidR="00D86805" w:rsidRPr="00610B1B">
        <w:rPr>
          <w:rFonts w:ascii="Times New Roman" w:hAnsi="Times New Roman" w:cs="Times New Roman"/>
          <w:sz w:val="24"/>
          <w:szCs w:val="24"/>
          <w:lang w:val="bg-BG"/>
        </w:rPr>
        <w:t xml:space="preserve">се </w:t>
      </w:r>
      <w:r w:rsidRPr="00610B1B">
        <w:rPr>
          <w:rFonts w:ascii="Times New Roman" w:hAnsi="Times New Roman" w:cs="Times New Roman"/>
          <w:sz w:val="24"/>
          <w:szCs w:val="24"/>
          <w:lang w:val="bg-BG"/>
        </w:rPr>
        <w:t xml:space="preserve">разлага, води </w:t>
      </w:r>
      <w:r w:rsidRPr="00610B1B">
        <w:rPr>
          <w:rFonts w:ascii="Times New Roman" w:hAnsi="Times New Roman" w:cs="Times New Roman"/>
          <w:sz w:val="24"/>
          <w:szCs w:val="24"/>
          <w:lang w:val="bg-BG"/>
        </w:rPr>
        <w:lastRenderedPageBreak/>
        <w:t xml:space="preserve">до развитие на </w:t>
      </w:r>
      <w:r w:rsidRPr="00610B1B">
        <w:rPr>
          <w:rFonts w:ascii="Times New Roman" w:hAnsi="Times New Roman" w:cs="Times New Roman"/>
          <w:b/>
          <w:i/>
          <w:sz w:val="24"/>
          <w:szCs w:val="24"/>
          <w:lang w:val="bg-BG"/>
        </w:rPr>
        <w:t>постоянна аноксия и високи концентрации на сероводород под дълбочина 120-150 m</w:t>
      </w:r>
      <w:r w:rsidRPr="00610B1B">
        <w:rPr>
          <w:rFonts w:ascii="Times New Roman" w:hAnsi="Times New Roman" w:cs="Times New Roman"/>
          <w:sz w:val="24"/>
          <w:szCs w:val="24"/>
          <w:lang w:val="bg-BG"/>
        </w:rPr>
        <w:t xml:space="preserve"> през последните 7</w:t>
      </w:r>
      <w:r w:rsidR="00536C29"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000 години. </w:t>
      </w:r>
    </w:p>
    <w:p w14:paraId="6C6F9E13" w14:textId="66B5B1C2"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Хидроложките условия в Черно море са строго специфични. Той е най-големия</w:t>
      </w:r>
      <w:r w:rsidR="00D86805"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аноксен басейн в света, със стабилна вертикална стратификация, причинена от преобладаващия речен вток и валежите. Средната аномалия на повърхностната плътност е 14 </w:t>
      </w:r>
      <w:r w:rsidR="00536C29" w:rsidRPr="00610B1B">
        <w:rPr>
          <w:rFonts w:ascii="Times New Roman" w:hAnsi="Times New Roman" w:cs="Times New Roman"/>
          <w:sz w:val="24"/>
          <w:szCs w:val="24"/>
          <w:lang w:val="bg-BG"/>
        </w:rPr>
        <w:t>kg</w:t>
      </w:r>
      <w:r w:rsidRPr="00610B1B">
        <w:rPr>
          <w:rFonts w:ascii="Times New Roman" w:hAnsi="Times New Roman" w:cs="Times New Roman"/>
          <w:sz w:val="24"/>
          <w:szCs w:val="24"/>
          <w:lang w:val="bg-BG"/>
        </w:rPr>
        <w:t>/</w:t>
      </w:r>
      <w:r w:rsidR="00536C29" w:rsidRPr="00610B1B">
        <w:rPr>
          <w:rFonts w:ascii="Times New Roman" w:hAnsi="Times New Roman" w:cs="Times New Roman"/>
          <w:sz w:val="24"/>
          <w:szCs w:val="24"/>
          <w:lang w:val="bg-BG"/>
        </w:rPr>
        <w:t>m</w:t>
      </w:r>
      <w:r w:rsidRPr="00610B1B">
        <w:rPr>
          <w:rFonts w:ascii="Times New Roman" w:hAnsi="Times New Roman" w:cs="Times New Roman"/>
          <w:sz w:val="24"/>
          <w:szCs w:val="24"/>
          <w:vertAlign w:val="superscript"/>
          <w:lang w:val="bg-BG"/>
        </w:rPr>
        <w:t>3</w:t>
      </w:r>
      <w:r w:rsidRPr="00610B1B">
        <w:rPr>
          <w:rFonts w:ascii="Times New Roman" w:hAnsi="Times New Roman" w:cs="Times New Roman"/>
          <w:sz w:val="24"/>
          <w:szCs w:val="24"/>
          <w:lang w:val="bg-BG"/>
        </w:rPr>
        <w:t xml:space="preserve">, </w:t>
      </w:r>
      <w:r w:rsidR="00D86805" w:rsidRPr="00610B1B">
        <w:rPr>
          <w:rFonts w:ascii="Times New Roman" w:hAnsi="Times New Roman" w:cs="Times New Roman"/>
          <w:sz w:val="24"/>
          <w:szCs w:val="24"/>
          <w:lang w:val="bg-BG"/>
        </w:rPr>
        <w:t xml:space="preserve">а </w:t>
      </w:r>
      <w:r w:rsidRPr="00610B1B">
        <w:rPr>
          <w:rFonts w:ascii="Times New Roman" w:hAnsi="Times New Roman" w:cs="Times New Roman"/>
          <w:sz w:val="24"/>
          <w:szCs w:val="24"/>
          <w:lang w:val="bg-BG"/>
        </w:rPr>
        <w:t>солеността е под 22‰.</w:t>
      </w:r>
      <w:r w:rsidR="00EA610C" w:rsidRPr="00610B1B">
        <w:rPr>
          <w:rFonts w:ascii="Times New Roman" w:hAnsi="Times New Roman" w:cs="Times New Roman"/>
          <w:sz w:val="24"/>
          <w:szCs w:val="24"/>
          <w:lang w:val="bg-BG"/>
        </w:rPr>
        <w:t xml:space="preserve"> Притокът </w:t>
      </w:r>
      <w:r w:rsidRPr="00610B1B">
        <w:rPr>
          <w:rFonts w:ascii="Times New Roman" w:hAnsi="Times New Roman" w:cs="Times New Roman"/>
          <w:sz w:val="24"/>
          <w:szCs w:val="24"/>
          <w:lang w:val="bg-BG"/>
        </w:rPr>
        <w:t xml:space="preserve">на средиземноморска вода през Босфора е причина солеността в дълбоководните части на басейна да е по-висока от повърхностната. Отличителна черта на Черно море е наличието на </w:t>
      </w:r>
      <w:r w:rsidRPr="00610B1B">
        <w:rPr>
          <w:rFonts w:ascii="Times New Roman" w:hAnsi="Times New Roman" w:cs="Times New Roman"/>
          <w:b/>
          <w:i/>
          <w:sz w:val="24"/>
          <w:szCs w:val="24"/>
          <w:lang w:val="bg-BG"/>
        </w:rPr>
        <w:t>постоянен халоклин - слой с високи градиенти на солеността</w:t>
      </w:r>
      <w:r w:rsidRPr="00610B1B">
        <w:rPr>
          <w:rFonts w:ascii="Times New Roman" w:hAnsi="Times New Roman" w:cs="Times New Roman"/>
          <w:sz w:val="24"/>
          <w:szCs w:val="24"/>
          <w:lang w:val="bg-BG"/>
        </w:rPr>
        <w:t xml:space="preserve">, разположен между 120 и 200 </w:t>
      </w:r>
      <w:r w:rsidR="00536C29"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дълбочина. Дълбочината му отразява баланса между повърхностните разпреснени и дълбоководните сравнително солени слоеве. Наличието на халоклина пречи на смесването и поддържа стабилността на повърхността, разделяща слоя, снабден с кислород и сероводор</w:t>
      </w:r>
      <w:r w:rsidR="00977A5A" w:rsidRPr="00610B1B">
        <w:rPr>
          <w:rFonts w:ascii="Times New Roman" w:hAnsi="Times New Roman" w:cs="Times New Roman"/>
          <w:sz w:val="24"/>
          <w:szCs w:val="24"/>
          <w:lang w:val="bg-BG"/>
        </w:rPr>
        <w:t>о</w:t>
      </w:r>
      <w:r w:rsidRPr="00610B1B">
        <w:rPr>
          <w:rFonts w:ascii="Times New Roman" w:hAnsi="Times New Roman" w:cs="Times New Roman"/>
          <w:sz w:val="24"/>
          <w:szCs w:val="24"/>
          <w:lang w:val="bg-BG"/>
        </w:rPr>
        <w:t xml:space="preserve">дния слой. </w:t>
      </w:r>
    </w:p>
    <w:p w14:paraId="111026FB" w14:textId="79F2590B" w:rsidR="00823BE7" w:rsidRPr="00610B1B" w:rsidRDefault="00977A5A" w:rsidP="00D32D6A">
      <w:pPr>
        <w:autoSpaceDE w:val="0"/>
        <w:autoSpaceDN w:val="0"/>
        <w:adjustRightInd w:val="0"/>
        <w:spacing w:after="120"/>
        <w:ind w:right="-153"/>
        <w:jc w:val="both"/>
        <w:rPr>
          <w:rFonts w:ascii="Times New Roman" w:hAnsi="Times New Roman" w:cs="Times New Roman"/>
          <w:color w:val="231F20"/>
          <w:sz w:val="24"/>
          <w:szCs w:val="24"/>
          <w:lang w:val="bg-BG"/>
        </w:rPr>
      </w:pPr>
      <w:r w:rsidRPr="00610B1B">
        <w:rPr>
          <w:rFonts w:ascii="Times New Roman" w:hAnsi="Times New Roman" w:cs="Times New Roman"/>
          <w:sz w:val="24"/>
          <w:szCs w:val="24"/>
          <w:lang w:val="bg-BG"/>
        </w:rPr>
        <w:t xml:space="preserve">Присъствието </w:t>
      </w:r>
      <w:r w:rsidR="00823BE7" w:rsidRPr="00610B1B">
        <w:rPr>
          <w:rFonts w:ascii="Times New Roman" w:hAnsi="Times New Roman" w:cs="Times New Roman"/>
          <w:sz w:val="24"/>
          <w:szCs w:val="24"/>
          <w:lang w:val="bg-BG"/>
        </w:rPr>
        <w:t xml:space="preserve">на сероводородна зона в Черно море се приема като сигурно потвърждение на хипотезата за липса на обмен между повърхностния и дълбокия (под халоклин) воден слой. Причината за </w:t>
      </w:r>
      <w:r w:rsidR="001D56B2" w:rsidRPr="00610B1B">
        <w:rPr>
          <w:rFonts w:ascii="Times New Roman" w:hAnsi="Times New Roman" w:cs="Times New Roman"/>
          <w:sz w:val="24"/>
          <w:szCs w:val="24"/>
          <w:lang w:val="bg-BG"/>
        </w:rPr>
        <w:t>това</w:t>
      </w:r>
      <w:r w:rsidR="00823BE7" w:rsidRPr="00610B1B">
        <w:rPr>
          <w:rFonts w:ascii="Times New Roman" w:hAnsi="Times New Roman" w:cs="Times New Roman"/>
          <w:sz w:val="24"/>
          <w:szCs w:val="24"/>
          <w:lang w:val="bg-BG"/>
        </w:rPr>
        <w:t xml:space="preserve"> е, че докато повърхностните слоеве редовно се попълват от речния вток и валежите, по-дълбоките слоеве на Черно море се заемат само от соления вток от придънното Босфорско течение. </w:t>
      </w:r>
      <w:r w:rsidR="00D86805" w:rsidRPr="00610B1B">
        <w:rPr>
          <w:rFonts w:ascii="Times New Roman" w:hAnsi="Times New Roman" w:cs="Times New Roman"/>
          <w:sz w:val="24"/>
          <w:szCs w:val="24"/>
          <w:lang w:val="bg-BG"/>
        </w:rPr>
        <w:t xml:space="preserve">Обемът </w:t>
      </w:r>
      <w:r w:rsidR="00823BE7" w:rsidRPr="00610B1B">
        <w:rPr>
          <w:rFonts w:ascii="Times New Roman" w:hAnsi="Times New Roman" w:cs="Times New Roman"/>
          <w:sz w:val="24"/>
          <w:szCs w:val="24"/>
          <w:lang w:val="bg-BG"/>
        </w:rPr>
        <w:t>на въвежданата вода е много малък в сравнение с общия обем на водата в басейна</w:t>
      </w:r>
      <w:r w:rsidR="00D86805" w:rsidRPr="00610B1B">
        <w:rPr>
          <w:rFonts w:ascii="Times New Roman" w:hAnsi="Times New Roman" w:cs="Times New Roman"/>
          <w:sz w:val="24"/>
          <w:szCs w:val="24"/>
          <w:lang w:val="bg-BG"/>
        </w:rPr>
        <w:t xml:space="preserve"> и </w:t>
      </w:r>
      <w:r w:rsidR="00823BE7" w:rsidRPr="00610B1B">
        <w:rPr>
          <w:rFonts w:ascii="Times New Roman" w:hAnsi="Times New Roman" w:cs="Times New Roman"/>
          <w:sz w:val="24"/>
          <w:szCs w:val="24"/>
          <w:lang w:val="bg-BG"/>
        </w:rPr>
        <w:t>е</w:t>
      </w:r>
      <w:r w:rsidR="00D66FE0" w:rsidRPr="00610B1B">
        <w:rPr>
          <w:rFonts w:ascii="Times New Roman" w:hAnsi="Times New Roman" w:cs="Times New Roman"/>
          <w:sz w:val="24"/>
          <w:szCs w:val="24"/>
          <w:lang w:val="bg-BG"/>
        </w:rPr>
        <w:t xml:space="preserve"> </w:t>
      </w:r>
      <w:r w:rsidR="00823BE7" w:rsidRPr="00610B1B">
        <w:rPr>
          <w:rFonts w:ascii="Times New Roman" w:hAnsi="Times New Roman" w:cs="Times New Roman"/>
          <w:sz w:val="24"/>
          <w:szCs w:val="24"/>
          <w:lang w:val="bg-BG"/>
        </w:rPr>
        <w:t>изчислено, че водата на по-големи дълбочини се подновява само веднъж на всеки 2</w:t>
      </w:r>
      <w:r w:rsidR="00536C29" w:rsidRPr="00610B1B">
        <w:rPr>
          <w:rFonts w:ascii="Times New Roman" w:hAnsi="Times New Roman" w:cs="Times New Roman"/>
          <w:sz w:val="24"/>
          <w:szCs w:val="24"/>
          <w:lang w:val="bg-BG"/>
        </w:rPr>
        <w:t> </w:t>
      </w:r>
      <w:r w:rsidR="00823BE7" w:rsidRPr="00610B1B">
        <w:rPr>
          <w:rFonts w:ascii="Times New Roman" w:hAnsi="Times New Roman" w:cs="Times New Roman"/>
          <w:sz w:val="24"/>
          <w:szCs w:val="24"/>
          <w:lang w:val="bg-BG"/>
        </w:rPr>
        <w:t>000</w:t>
      </w:r>
      <w:r w:rsidRPr="00610B1B">
        <w:rPr>
          <w:rFonts w:ascii="Times New Roman" w:hAnsi="Times New Roman" w:cs="Times New Roman"/>
          <w:sz w:val="24"/>
          <w:szCs w:val="24"/>
          <w:lang w:val="bg-BG"/>
        </w:rPr>
        <w:t xml:space="preserve"> </w:t>
      </w:r>
      <w:r w:rsidR="00823BE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r w:rsidR="00823BE7" w:rsidRPr="00610B1B">
        <w:rPr>
          <w:rFonts w:ascii="Times New Roman" w:hAnsi="Times New Roman" w:cs="Times New Roman"/>
          <w:sz w:val="24"/>
          <w:szCs w:val="24"/>
          <w:lang w:val="bg-BG"/>
        </w:rPr>
        <w:t>3</w:t>
      </w:r>
      <w:r w:rsidR="00536C29" w:rsidRPr="00610B1B">
        <w:rPr>
          <w:rFonts w:ascii="Times New Roman" w:hAnsi="Times New Roman" w:cs="Times New Roman"/>
          <w:sz w:val="24"/>
          <w:szCs w:val="24"/>
          <w:lang w:val="bg-BG"/>
        </w:rPr>
        <w:t> </w:t>
      </w:r>
      <w:r w:rsidR="00823BE7" w:rsidRPr="00610B1B">
        <w:rPr>
          <w:rFonts w:ascii="Times New Roman" w:hAnsi="Times New Roman" w:cs="Times New Roman"/>
          <w:sz w:val="24"/>
          <w:szCs w:val="24"/>
          <w:lang w:val="bg-BG"/>
        </w:rPr>
        <w:t>000 години. Независимо от силно изразения халоклинен “застой” на водите в чашката на басейна, система от различни циклонални и антициклонални вихри на практика заема целия воден стълб, като динамичните процеси продължават със специфична интензивност в различни слоеве</w:t>
      </w:r>
      <w:r w:rsidR="00823BE7" w:rsidRPr="00610B1B">
        <w:rPr>
          <w:rFonts w:ascii="Times New Roman" w:hAnsi="Times New Roman" w:cs="Times New Roman"/>
          <w:color w:val="231F20"/>
          <w:sz w:val="24"/>
          <w:szCs w:val="24"/>
          <w:lang w:val="bg-BG"/>
        </w:rPr>
        <w:t>.</w:t>
      </w:r>
    </w:p>
    <w:p w14:paraId="33B42A33" w14:textId="2D556D4B"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 изключение на топлинния баланс и изпарението и валежите, общият хидрологичен режим на морето до голяма степен зависи от обема на речния вток и средиземноморския солен воден поток (соленост 34–36‰). </w:t>
      </w:r>
      <w:r w:rsidR="009E4FC1" w:rsidRPr="00610B1B">
        <w:rPr>
          <w:rFonts w:ascii="Times New Roman" w:hAnsi="Times New Roman" w:cs="Times New Roman"/>
          <w:sz w:val="24"/>
          <w:szCs w:val="24"/>
          <w:lang w:val="bg-BG"/>
        </w:rPr>
        <w:t>Черно море е басейн с положителен воден баланс, показан за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периода 1923-1940 г. и 1945-1985 г. въз основа на изчисленията на водното количество от 800–801 </w:t>
      </w:r>
      <w:r w:rsidR="00536C29" w:rsidRPr="00610B1B">
        <w:rPr>
          <w:rFonts w:ascii="Times New Roman" w:hAnsi="Times New Roman" w:cs="Times New Roman"/>
          <w:sz w:val="24"/>
          <w:szCs w:val="24"/>
          <w:lang w:val="bg-BG"/>
        </w:rPr>
        <w:t>km</w:t>
      </w:r>
      <w:r w:rsidRPr="00610B1B">
        <w:rPr>
          <w:rFonts w:ascii="Times New Roman" w:hAnsi="Times New Roman" w:cs="Times New Roman"/>
          <w:sz w:val="24"/>
          <w:szCs w:val="24"/>
          <w:vertAlign w:val="superscript"/>
          <w:lang w:val="bg-BG"/>
        </w:rPr>
        <w:t>3</w:t>
      </w:r>
      <w:r w:rsidRPr="00610B1B">
        <w:rPr>
          <w:rFonts w:ascii="Times New Roman" w:hAnsi="Times New Roman" w:cs="Times New Roman"/>
          <w:sz w:val="24"/>
          <w:szCs w:val="24"/>
          <w:lang w:val="bg-BG"/>
        </w:rPr>
        <w:t xml:space="preserve"> </w:t>
      </w:r>
      <w:r w:rsidR="00124648" w:rsidRPr="00610B1B">
        <w:rPr>
          <w:rFonts w:ascii="Times New Roman" w:hAnsi="Times New Roman" w:cs="Times New Roman"/>
          <w:sz w:val="24"/>
          <w:szCs w:val="24"/>
          <w:lang w:val="bg-BG"/>
        </w:rPr>
        <w:t>(Altman and Matushevski, 1987).</w:t>
      </w:r>
    </w:p>
    <w:p w14:paraId="6B22842D" w14:textId="061311DC"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Водният поток в протока Босфор е сложен. Състои се от повърхностно течение с по-ниска соленост, което отвежда води извън Черно море и придънно течение от </w:t>
      </w:r>
      <w:r w:rsidR="001D56B2" w:rsidRPr="00610B1B">
        <w:rPr>
          <w:rFonts w:ascii="Times New Roman" w:hAnsi="Times New Roman" w:cs="Times New Roman"/>
          <w:sz w:val="24"/>
          <w:szCs w:val="24"/>
          <w:lang w:val="bg-BG"/>
        </w:rPr>
        <w:t xml:space="preserve">води от Мраморно море </w:t>
      </w:r>
      <w:r w:rsidRPr="00610B1B">
        <w:rPr>
          <w:rFonts w:ascii="Times New Roman" w:hAnsi="Times New Roman" w:cs="Times New Roman"/>
          <w:sz w:val="24"/>
          <w:szCs w:val="24"/>
          <w:lang w:val="bg-BG"/>
        </w:rPr>
        <w:t xml:space="preserve">с по-висока соленост и плътност, насочено към дълбоководните части на Черно море. И двата потока имат приблизително една и съща скорост от ~ 80 </w:t>
      </w:r>
      <w:r w:rsidR="00536C29" w:rsidRPr="00610B1B">
        <w:rPr>
          <w:rFonts w:ascii="Times New Roman" w:hAnsi="Times New Roman" w:cs="Times New Roman"/>
          <w:sz w:val="24"/>
          <w:szCs w:val="24"/>
          <w:lang w:val="bg-BG"/>
        </w:rPr>
        <w:t>cm</w:t>
      </w:r>
      <w:r w:rsidRPr="00610B1B">
        <w:rPr>
          <w:rFonts w:ascii="Times New Roman" w:hAnsi="Times New Roman" w:cs="Times New Roman"/>
          <w:sz w:val="24"/>
          <w:szCs w:val="24"/>
          <w:lang w:val="bg-BG"/>
        </w:rPr>
        <w:t>/</w:t>
      </w:r>
      <w:r w:rsidR="00536C29" w:rsidRPr="00610B1B">
        <w:rPr>
          <w:rFonts w:ascii="Times New Roman" w:hAnsi="Times New Roman" w:cs="Times New Roman"/>
          <w:sz w:val="24"/>
          <w:szCs w:val="24"/>
          <w:lang w:val="bg-BG"/>
        </w:rPr>
        <w:t>s</w:t>
      </w:r>
      <w:r w:rsidRPr="00610B1B">
        <w:rPr>
          <w:rFonts w:ascii="Times New Roman" w:hAnsi="Times New Roman" w:cs="Times New Roman"/>
          <w:sz w:val="24"/>
          <w:szCs w:val="24"/>
          <w:lang w:val="bg-BG"/>
        </w:rPr>
        <w:t>. Обемът изтичане на водни маси от Черно море е два пъти по-голям от притока на солена вода от Мраморно море.</w:t>
      </w:r>
    </w:p>
    <w:p w14:paraId="263590FC" w14:textId="740A0B11" w:rsidR="00823BE7" w:rsidRPr="00610B1B" w:rsidRDefault="00823BE7" w:rsidP="00D32D6A">
      <w:pPr>
        <w:spacing w:after="120"/>
        <w:ind w:right="-153"/>
        <w:jc w:val="both"/>
        <w:rPr>
          <w:rFonts w:ascii="Times New Roman" w:hAnsi="Times New Roman" w:cs="Times New Roman"/>
          <w:spacing w:val="-2"/>
          <w:sz w:val="24"/>
          <w:szCs w:val="24"/>
          <w:lang w:val="bg-BG"/>
        </w:rPr>
      </w:pPr>
      <w:r w:rsidRPr="00610B1B">
        <w:rPr>
          <w:rFonts w:ascii="Times New Roman" w:hAnsi="Times New Roman" w:cs="Times New Roman"/>
          <w:spacing w:val="-2"/>
          <w:sz w:val="24"/>
          <w:szCs w:val="24"/>
          <w:lang w:val="bg-BG"/>
        </w:rPr>
        <w:t xml:space="preserve">Водосборната зона на Черно море надхвърля 2 млн. </w:t>
      </w:r>
      <w:r w:rsidR="00536C29" w:rsidRPr="00610B1B">
        <w:rPr>
          <w:rFonts w:ascii="Times New Roman" w:hAnsi="Times New Roman" w:cs="Times New Roman"/>
          <w:spacing w:val="-2"/>
          <w:sz w:val="24"/>
          <w:szCs w:val="24"/>
          <w:lang w:val="bg-BG"/>
        </w:rPr>
        <w:t>km</w:t>
      </w:r>
      <w:r w:rsidRPr="00610B1B">
        <w:rPr>
          <w:rFonts w:ascii="Times New Roman" w:hAnsi="Times New Roman" w:cs="Times New Roman"/>
          <w:spacing w:val="-2"/>
          <w:sz w:val="24"/>
          <w:szCs w:val="24"/>
          <w:vertAlign w:val="superscript"/>
          <w:lang w:val="bg-BG"/>
        </w:rPr>
        <w:t>2</w:t>
      </w:r>
      <w:r w:rsidRPr="00610B1B">
        <w:rPr>
          <w:rFonts w:ascii="Times New Roman" w:hAnsi="Times New Roman" w:cs="Times New Roman"/>
          <w:spacing w:val="-2"/>
          <w:sz w:val="24"/>
          <w:szCs w:val="24"/>
          <w:lang w:val="bg-BG"/>
        </w:rPr>
        <w:t>, като само площта на р. Дунав обхваща една трета от тази зона. Три</w:t>
      </w:r>
      <w:r w:rsidR="00D12263" w:rsidRPr="00610B1B">
        <w:rPr>
          <w:rFonts w:ascii="Times New Roman" w:hAnsi="Times New Roman" w:cs="Times New Roman"/>
          <w:spacing w:val="-2"/>
          <w:sz w:val="24"/>
          <w:szCs w:val="24"/>
          <w:lang w:val="bg-BG"/>
        </w:rPr>
        <w:t>те</w:t>
      </w:r>
      <w:r w:rsidRPr="00610B1B">
        <w:rPr>
          <w:rFonts w:ascii="Times New Roman" w:hAnsi="Times New Roman" w:cs="Times New Roman"/>
          <w:spacing w:val="-2"/>
          <w:sz w:val="24"/>
          <w:szCs w:val="24"/>
          <w:lang w:val="bg-BG"/>
        </w:rPr>
        <w:t xml:space="preserve"> големи реки</w:t>
      </w:r>
      <w:r w:rsidR="00D12263" w:rsidRPr="00610B1B">
        <w:rPr>
          <w:rFonts w:ascii="Times New Roman" w:hAnsi="Times New Roman" w:cs="Times New Roman"/>
          <w:spacing w:val="-2"/>
          <w:sz w:val="24"/>
          <w:szCs w:val="24"/>
          <w:lang w:val="bg-BG"/>
        </w:rPr>
        <w:t>, които</w:t>
      </w:r>
      <w:r w:rsidRPr="00610B1B">
        <w:rPr>
          <w:rFonts w:ascii="Times New Roman" w:hAnsi="Times New Roman" w:cs="Times New Roman"/>
          <w:spacing w:val="-2"/>
          <w:sz w:val="24"/>
          <w:szCs w:val="24"/>
          <w:lang w:val="bg-BG"/>
        </w:rPr>
        <w:t xml:space="preserve"> се вливат в морето</w:t>
      </w:r>
      <w:r w:rsidR="00D12263" w:rsidRPr="00610B1B">
        <w:rPr>
          <w:rFonts w:ascii="Times New Roman" w:hAnsi="Times New Roman" w:cs="Times New Roman"/>
          <w:spacing w:val="-2"/>
          <w:sz w:val="24"/>
          <w:szCs w:val="24"/>
          <w:lang w:val="bg-BG"/>
        </w:rPr>
        <w:t xml:space="preserve"> -</w:t>
      </w:r>
      <w:r w:rsidRPr="00610B1B">
        <w:rPr>
          <w:rFonts w:ascii="Times New Roman" w:hAnsi="Times New Roman" w:cs="Times New Roman"/>
          <w:spacing w:val="-2"/>
          <w:sz w:val="24"/>
          <w:szCs w:val="24"/>
          <w:lang w:val="bg-BG"/>
        </w:rPr>
        <w:t xml:space="preserve"> Дунав, Днепър, Днестър, </w:t>
      </w:r>
      <w:r w:rsidR="00D12263" w:rsidRPr="00610B1B">
        <w:rPr>
          <w:rFonts w:ascii="Times New Roman" w:hAnsi="Times New Roman" w:cs="Times New Roman"/>
          <w:spacing w:val="-2"/>
          <w:sz w:val="24"/>
          <w:szCs w:val="24"/>
          <w:lang w:val="bg-BG"/>
        </w:rPr>
        <w:t xml:space="preserve">са </w:t>
      </w:r>
      <w:r w:rsidRPr="00610B1B">
        <w:rPr>
          <w:rFonts w:ascii="Times New Roman" w:hAnsi="Times New Roman" w:cs="Times New Roman"/>
          <w:spacing w:val="-2"/>
          <w:sz w:val="24"/>
          <w:szCs w:val="24"/>
          <w:lang w:val="bg-BG"/>
        </w:rPr>
        <w:t xml:space="preserve">с общ дебит на сладка вода 269 </w:t>
      </w:r>
      <w:r w:rsidR="00536C29" w:rsidRPr="00610B1B">
        <w:rPr>
          <w:rFonts w:ascii="Times New Roman" w:hAnsi="Times New Roman" w:cs="Times New Roman"/>
          <w:spacing w:val="-2"/>
          <w:sz w:val="24"/>
          <w:szCs w:val="24"/>
          <w:lang w:val="bg-BG"/>
        </w:rPr>
        <w:t>km</w:t>
      </w:r>
      <w:r w:rsidRPr="00610B1B">
        <w:rPr>
          <w:rFonts w:ascii="Times New Roman" w:hAnsi="Times New Roman" w:cs="Times New Roman"/>
          <w:spacing w:val="-2"/>
          <w:sz w:val="24"/>
          <w:szCs w:val="24"/>
          <w:vertAlign w:val="superscript"/>
          <w:lang w:val="bg-BG"/>
        </w:rPr>
        <w:t>3</w:t>
      </w:r>
      <w:r w:rsidRPr="00610B1B">
        <w:rPr>
          <w:rFonts w:ascii="Times New Roman" w:hAnsi="Times New Roman" w:cs="Times New Roman"/>
          <w:spacing w:val="-2"/>
          <w:sz w:val="24"/>
          <w:szCs w:val="24"/>
          <w:lang w:val="bg-BG"/>
        </w:rPr>
        <w:t xml:space="preserve">/год. </w:t>
      </w:r>
      <w:r w:rsidR="009E4FC1" w:rsidRPr="00610B1B">
        <w:rPr>
          <w:rFonts w:ascii="Times New Roman" w:hAnsi="Times New Roman" w:cs="Times New Roman"/>
          <w:spacing w:val="-2"/>
          <w:sz w:val="24"/>
          <w:szCs w:val="24"/>
          <w:lang w:val="bg-BG"/>
        </w:rPr>
        <w:t xml:space="preserve">През </w:t>
      </w:r>
      <w:r w:rsidRPr="00610B1B">
        <w:rPr>
          <w:rFonts w:ascii="Times New Roman" w:hAnsi="Times New Roman" w:cs="Times New Roman"/>
          <w:spacing w:val="-2"/>
          <w:sz w:val="24"/>
          <w:szCs w:val="24"/>
          <w:lang w:val="bg-BG"/>
        </w:rPr>
        <w:t xml:space="preserve">последните няколко десетилетия </w:t>
      </w:r>
      <w:r w:rsidR="009E4FC1" w:rsidRPr="00610B1B">
        <w:rPr>
          <w:rFonts w:ascii="Times New Roman" w:hAnsi="Times New Roman" w:cs="Times New Roman"/>
          <w:spacing w:val="-2"/>
          <w:sz w:val="24"/>
          <w:szCs w:val="24"/>
          <w:lang w:val="bg-BG"/>
        </w:rPr>
        <w:t xml:space="preserve">речният вток намалява </w:t>
      </w:r>
      <w:r w:rsidRPr="00610B1B">
        <w:rPr>
          <w:rFonts w:ascii="Times New Roman" w:hAnsi="Times New Roman" w:cs="Times New Roman"/>
          <w:spacing w:val="-2"/>
          <w:sz w:val="24"/>
          <w:szCs w:val="24"/>
          <w:lang w:val="bg-BG"/>
        </w:rPr>
        <w:t xml:space="preserve">поради интензивното използване на сладководни води и изменението на климата. Съществува </w:t>
      </w:r>
      <w:r w:rsidR="00EA610C" w:rsidRPr="00610B1B">
        <w:rPr>
          <w:rFonts w:ascii="Times New Roman" w:hAnsi="Times New Roman" w:cs="Times New Roman"/>
          <w:spacing w:val="-2"/>
          <w:sz w:val="24"/>
          <w:szCs w:val="24"/>
          <w:lang w:val="bg-BG"/>
        </w:rPr>
        <w:t>голям</w:t>
      </w:r>
      <w:r w:rsidRPr="00610B1B">
        <w:rPr>
          <w:rFonts w:ascii="Times New Roman" w:hAnsi="Times New Roman" w:cs="Times New Roman"/>
          <w:spacing w:val="-2"/>
          <w:sz w:val="24"/>
          <w:szCs w:val="24"/>
          <w:lang w:val="bg-BG"/>
        </w:rPr>
        <w:t xml:space="preserve"> пространствен дисбаланс на речния вток, тъй като най-големият източник на сладка вода е концентриран в плит</w:t>
      </w:r>
      <w:r w:rsidR="00124648" w:rsidRPr="00610B1B">
        <w:rPr>
          <w:rFonts w:ascii="Times New Roman" w:hAnsi="Times New Roman" w:cs="Times New Roman"/>
          <w:spacing w:val="-2"/>
          <w:sz w:val="24"/>
          <w:szCs w:val="24"/>
          <w:lang w:val="bg-BG"/>
        </w:rPr>
        <w:t>кия северозападен шелф</w:t>
      </w:r>
      <w:r w:rsidR="00354EFB" w:rsidRPr="00610B1B">
        <w:rPr>
          <w:rFonts w:ascii="Times New Roman" w:hAnsi="Times New Roman" w:cs="Times New Roman"/>
          <w:spacing w:val="-2"/>
          <w:sz w:val="24"/>
          <w:szCs w:val="24"/>
          <w:lang w:val="bg-BG"/>
        </w:rPr>
        <w:t>.</w:t>
      </w:r>
    </w:p>
    <w:p w14:paraId="77CC676E" w14:textId="2AFA026C" w:rsidR="00823BE7" w:rsidRPr="00610B1B" w:rsidRDefault="009727F1" w:rsidP="00D32D6A">
      <w:pPr>
        <w:autoSpaceDE w:val="0"/>
        <w:autoSpaceDN w:val="0"/>
        <w:adjustRightInd w:val="0"/>
        <w:spacing w:after="120"/>
        <w:ind w:right="-153"/>
        <w:jc w:val="both"/>
        <w:rPr>
          <w:rFonts w:ascii="Times New Roman" w:hAnsi="Times New Roman" w:cs="Times New Roman"/>
          <w:iCs/>
          <w:sz w:val="24"/>
          <w:szCs w:val="24"/>
          <w:lang w:val="bg-BG"/>
        </w:rPr>
      </w:pPr>
      <w:r w:rsidRPr="00610B1B">
        <w:rPr>
          <w:rFonts w:ascii="Times New Roman" w:hAnsi="Times New Roman" w:cs="Times New Roman"/>
          <w:sz w:val="24"/>
          <w:szCs w:val="24"/>
          <w:lang w:val="bg-BG"/>
        </w:rPr>
        <w:t>Друга</w:t>
      </w:r>
      <w:r w:rsidR="00823BE7" w:rsidRPr="00610B1B">
        <w:rPr>
          <w:rFonts w:ascii="Times New Roman" w:hAnsi="Times New Roman" w:cs="Times New Roman"/>
          <w:sz w:val="24"/>
          <w:szCs w:val="24"/>
          <w:lang w:val="bg-BG"/>
        </w:rPr>
        <w:t xml:space="preserve"> характеристик</w:t>
      </w:r>
      <w:r w:rsidRPr="00610B1B">
        <w:rPr>
          <w:rFonts w:ascii="Times New Roman" w:hAnsi="Times New Roman" w:cs="Times New Roman"/>
          <w:sz w:val="24"/>
          <w:szCs w:val="24"/>
          <w:lang w:val="bg-BG"/>
        </w:rPr>
        <w:t>а</w:t>
      </w:r>
      <w:r w:rsidR="00823BE7" w:rsidRPr="00610B1B">
        <w:rPr>
          <w:rFonts w:ascii="Times New Roman" w:hAnsi="Times New Roman" w:cs="Times New Roman"/>
          <w:sz w:val="24"/>
          <w:szCs w:val="24"/>
          <w:lang w:val="bg-BG"/>
        </w:rPr>
        <w:t xml:space="preserve"> </w:t>
      </w:r>
      <w:r w:rsidR="001B78DC" w:rsidRPr="00610B1B">
        <w:rPr>
          <w:rFonts w:ascii="Times New Roman" w:hAnsi="Times New Roman" w:cs="Times New Roman"/>
          <w:sz w:val="24"/>
          <w:szCs w:val="24"/>
          <w:lang w:val="bg-BG"/>
        </w:rPr>
        <w:t>с</w:t>
      </w:r>
      <w:r w:rsidR="00823BE7" w:rsidRPr="00610B1B">
        <w:rPr>
          <w:rFonts w:ascii="Times New Roman" w:hAnsi="Times New Roman" w:cs="Times New Roman"/>
          <w:sz w:val="24"/>
          <w:szCs w:val="24"/>
          <w:lang w:val="bg-BG"/>
        </w:rPr>
        <w:t xml:space="preserve"> основно значение е студеният междинен слой между повърхностните и дълбоките води на Черно море. Долната му граница съответства на </w:t>
      </w:r>
      <w:r w:rsidR="00823BE7" w:rsidRPr="00610B1B">
        <w:rPr>
          <w:rFonts w:ascii="Times New Roman" w:hAnsi="Times New Roman" w:cs="Times New Roman"/>
          <w:sz w:val="24"/>
          <w:szCs w:val="24"/>
          <w:lang w:val="bg-BG"/>
        </w:rPr>
        <w:lastRenderedPageBreak/>
        <w:t xml:space="preserve">постоянния </w:t>
      </w:r>
      <w:r w:rsidR="00823BE7" w:rsidRPr="00610B1B">
        <w:rPr>
          <w:rFonts w:ascii="Times New Roman" w:hAnsi="Times New Roman" w:cs="Times New Roman"/>
          <w:b/>
          <w:i/>
          <w:sz w:val="24"/>
          <w:szCs w:val="24"/>
          <w:lang w:val="bg-BG"/>
        </w:rPr>
        <w:t>пикноклин,</w:t>
      </w:r>
      <w:r w:rsidR="00823BE7" w:rsidRPr="00610B1B">
        <w:rPr>
          <w:rFonts w:ascii="Times New Roman" w:hAnsi="Times New Roman" w:cs="Times New Roman"/>
          <w:sz w:val="24"/>
          <w:szCs w:val="24"/>
          <w:lang w:val="bg-BG"/>
        </w:rPr>
        <w:t xml:space="preserve"> докато през втората половина на годината (от юни до декември) горната граница на слоя е ограничена от сезонния термоклин. Традиционно ограничен от изотермата от 8°С, студеният междинен слой съдържа водите с най-ниска температура в целия воден стълб</w:t>
      </w:r>
      <w:r w:rsidR="00823BE7" w:rsidRPr="00610B1B">
        <w:rPr>
          <w:rFonts w:ascii="Times New Roman" w:hAnsi="Times New Roman" w:cs="Times New Roman"/>
          <w:iCs/>
          <w:sz w:val="24"/>
          <w:szCs w:val="24"/>
          <w:lang w:val="bg-BG"/>
        </w:rPr>
        <w:t>.</w:t>
      </w:r>
      <w:r w:rsidR="00D12263" w:rsidRPr="00610B1B">
        <w:rPr>
          <w:rFonts w:ascii="Times New Roman" w:hAnsi="Times New Roman" w:cs="Times New Roman"/>
          <w:iCs/>
          <w:sz w:val="24"/>
          <w:szCs w:val="24"/>
          <w:lang w:val="bg-BG"/>
        </w:rPr>
        <w:t xml:space="preserve"> С</w:t>
      </w:r>
      <w:r w:rsidR="00823BE7" w:rsidRPr="00610B1B">
        <w:rPr>
          <w:rFonts w:ascii="Times New Roman" w:hAnsi="Times New Roman" w:cs="Times New Roman"/>
          <w:sz w:val="24"/>
          <w:szCs w:val="24"/>
          <w:lang w:val="bg-BG"/>
        </w:rPr>
        <w:t>туденият междинен слой се образува както в центровете на циклоналните завихряния, така и при екстремно охлаждане на водите в северозападния шелф и континенталния склон</w:t>
      </w:r>
      <w:r w:rsidRPr="00610B1B">
        <w:rPr>
          <w:rFonts w:ascii="Times New Roman" w:hAnsi="Times New Roman" w:cs="Times New Roman"/>
          <w:sz w:val="24"/>
          <w:szCs w:val="24"/>
          <w:lang w:val="bg-BG"/>
        </w:rPr>
        <w:t>. Впоследствие те се</w:t>
      </w:r>
      <w:r w:rsidR="00823BE7" w:rsidRPr="00610B1B">
        <w:rPr>
          <w:rFonts w:ascii="Times New Roman" w:hAnsi="Times New Roman" w:cs="Times New Roman"/>
          <w:sz w:val="24"/>
          <w:szCs w:val="24"/>
          <w:lang w:val="bg-BG"/>
        </w:rPr>
        <w:t xml:space="preserve"> разпространяват в цялото Черно море между дълбочини от 50 до 100 m посредством г</w:t>
      </w:r>
      <w:r w:rsidR="00C80294" w:rsidRPr="00610B1B">
        <w:rPr>
          <w:rFonts w:ascii="Times New Roman" w:hAnsi="Times New Roman" w:cs="Times New Roman"/>
          <w:sz w:val="24"/>
          <w:szCs w:val="24"/>
          <w:lang w:val="bg-BG"/>
        </w:rPr>
        <w:t>о</w:t>
      </w:r>
      <w:r w:rsidR="00823BE7" w:rsidRPr="00610B1B">
        <w:rPr>
          <w:rFonts w:ascii="Times New Roman" w:hAnsi="Times New Roman" w:cs="Times New Roman"/>
          <w:sz w:val="24"/>
          <w:szCs w:val="24"/>
          <w:lang w:val="bg-BG"/>
        </w:rPr>
        <w:t xml:space="preserve">сподстващата циклонална циркулация, доминирана от Основното черноморско течение. Бароклинaлните вихри, образувани от двете страни на това кръгово течение, играят важна роля в хоризонталния обмен на топлина и соленост. През лятото, когато </w:t>
      </w:r>
      <w:r w:rsidRPr="00610B1B">
        <w:rPr>
          <w:rFonts w:ascii="Times New Roman" w:hAnsi="Times New Roman" w:cs="Times New Roman"/>
          <w:sz w:val="24"/>
          <w:szCs w:val="24"/>
          <w:lang w:val="bg-BG"/>
        </w:rPr>
        <w:t>основното черноморско течение</w:t>
      </w:r>
      <w:r w:rsidR="00823BE7" w:rsidRPr="00610B1B">
        <w:rPr>
          <w:rFonts w:ascii="Times New Roman" w:hAnsi="Times New Roman" w:cs="Times New Roman"/>
          <w:sz w:val="24"/>
          <w:szCs w:val="24"/>
          <w:lang w:val="bg-BG"/>
        </w:rPr>
        <w:t xml:space="preserve"> отслабва, над континенталния склон се образуват големи антициклонични вихри в резултат на текущата нестабилност, която може да проникне до дълбочина от 500 </w:t>
      </w:r>
      <w:r w:rsidR="00FA15BD" w:rsidRPr="00610B1B">
        <w:rPr>
          <w:rFonts w:ascii="Times New Roman" w:hAnsi="Times New Roman" w:cs="Times New Roman"/>
          <w:sz w:val="24"/>
          <w:szCs w:val="24"/>
          <w:lang w:val="bg-BG"/>
        </w:rPr>
        <w:t>–</w:t>
      </w:r>
      <w:r w:rsidR="00823BE7" w:rsidRPr="00610B1B">
        <w:rPr>
          <w:rFonts w:ascii="Times New Roman" w:hAnsi="Times New Roman" w:cs="Times New Roman"/>
          <w:sz w:val="24"/>
          <w:szCs w:val="24"/>
          <w:lang w:val="bg-BG"/>
        </w:rPr>
        <w:t xml:space="preserve"> 1</w:t>
      </w:r>
      <w:r w:rsidR="00FA15BD" w:rsidRPr="00610B1B">
        <w:rPr>
          <w:rFonts w:ascii="Times New Roman" w:hAnsi="Times New Roman" w:cs="Times New Roman"/>
          <w:sz w:val="24"/>
          <w:szCs w:val="24"/>
          <w:lang w:val="bg-BG"/>
        </w:rPr>
        <w:t> </w:t>
      </w:r>
      <w:r w:rsidR="00823BE7" w:rsidRPr="00610B1B">
        <w:rPr>
          <w:rFonts w:ascii="Times New Roman" w:hAnsi="Times New Roman" w:cs="Times New Roman"/>
          <w:sz w:val="24"/>
          <w:szCs w:val="24"/>
          <w:lang w:val="bg-BG"/>
        </w:rPr>
        <w:t xml:space="preserve">000 </w:t>
      </w:r>
      <w:r w:rsidR="00FA15BD" w:rsidRPr="00610B1B">
        <w:rPr>
          <w:rFonts w:ascii="Times New Roman" w:hAnsi="Times New Roman" w:cs="Times New Roman"/>
          <w:sz w:val="24"/>
          <w:szCs w:val="24"/>
          <w:lang w:val="bg-BG"/>
        </w:rPr>
        <w:t>m и</w:t>
      </w:r>
      <w:r w:rsidR="00823BE7" w:rsidRPr="00610B1B">
        <w:rPr>
          <w:rFonts w:ascii="Times New Roman" w:hAnsi="Times New Roman" w:cs="Times New Roman"/>
          <w:sz w:val="24"/>
          <w:szCs w:val="24"/>
          <w:lang w:val="bg-BG"/>
        </w:rPr>
        <w:t xml:space="preserve"> </w:t>
      </w:r>
      <w:r w:rsidR="00FA15BD" w:rsidRPr="00610B1B">
        <w:rPr>
          <w:rFonts w:ascii="Times New Roman" w:hAnsi="Times New Roman" w:cs="Times New Roman"/>
          <w:sz w:val="24"/>
          <w:szCs w:val="24"/>
          <w:lang w:val="bg-BG"/>
        </w:rPr>
        <w:t>да по</w:t>
      </w:r>
      <w:r w:rsidR="00823BE7" w:rsidRPr="00610B1B">
        <w:rPr>
          <w:rFonts w:ascii="Times New Roman" w:hAnsi="Times New Roman" w:cs="Times New Roman"/>
          <w:sz w:val="24"/>
          <w:szCs w:val="24"/>
          <w:lang w:val="bg-BG"/>
        </w:rPr>
        <w:t xml:space="preserve">влияе на дълбочинната вентилация на басейна. </w:t>
      </w:r>
      <w:r w:rsidRPr="00610B1B">
        <w:rPr>
          <w:rFonts w:ascii="Times New Roman" w:hAnsi="Times New Roman" w:cs="Times New Roman"/>
          <w:sz w:val="24"/>
          <w:szCs w:val="24"/>
          <w:lang w:val="bg-BG"/>
        </w:rPr>
        <w:t xml:space="preserve">Студените </w:t>
      </w:r>
      <w:r w:rsidR="00823BE7" w:rsidRPr="00610B1B">
        <w:rPr>
          <w:rFonts w:ascii="Times New Roman" w:hAnsi="Times New Roman" w:cs="Times New Roman"/>
          <w:sz w:val="24"/>
          <w:szCs w:val="24"/>
          <w:lang w:val="bg-BG"/>
        </w:rPr>
        <w:t xml:space="preserve">междинни води са изключително важни за екосистемата на Черно море, тъй като са богати на кислород и представляват горната граница на аноксичната зона. </w:t>
      </w:r>
      <w:r w:rsidR="00FA15BD" w:rsidRPr="00610B1B">
        <w:rPr>
          <w:rFonts w:ascii="Times New Roman" w:hAnsi="Times New Roman" w:cs="Times New Roman"/>
          <w:sz w:val="24"/>
          <w:szCs w:val="24"/>
          <w:lang w:val="bg-BG"/>
        </w:rPr>
        <w:t xml:space="preserve">Анализът </w:t>
      </w:r>
      <w:r w:rsidR="00823BE7" w:rsidRPr="00610B1B">
        <w:rPr>
          <w:rFonts w:ascii="Times New Roman" w:hAnsi="Times New Roman" w:cs="Times New Roman"/>
          <w:sz w:val="24"/>
          <w:szCs w:val="24"/>
          <w:lang w:val="bg-BG"/>
        </w:rPr>
        <w:t>на историческите вертикални профили на кислорода показа дългосрочна тенденция на дезоксигениране на открито</w:t>
      </w:r>
      <w:r w:rsidRPr="00610B1B">
        <w:rPr>
          <w:rFonts w:ascii="Times New Roman" w:hAnsi="Times New Roman" w:cs="Times New Roman"/>
          <w:sz w:val="24"/>
          <w:szCs w:val="24"/>
          <w:lang w:val="bg-BG"/>
        </w:rPr>
        <w:t>то</w:t>
      </w:r>
      <w:r w:rsidR="00823BE7" w:rsidRPr="00610B1B">
        <w:rPr>
          <w:rFonts w:ascii="Times New Roman" w:hAnsi="Times New Roman" w:cs="Times New Roman"/>
          <w:sz w:val="24"/>
          <w:szCs w:val="24"/>
          <w:lang w:val="bg-BG"/>
        </w:rPr>
        <w:t xml:space="preserve"> Черно море</w:t>
      </w:r>
      <w:r w:rsidRPr="00610B1B">
        <w:rPr>
          <w:rFonts w:ascii="Times New Roman" w:hAnsi="Times New Roman" w:cs="Times New Roman"/>
          <w:sz w:val="24"/>
          <w:szCs w:val="24"/>
          <w:lang w:val="bg-BG"/>
        </w:rPr>
        <w:t>,</w:t>
      </w:r>
      <w:r w:rsidR="00823BE7" w:rsidRPr="00610B1B">
        <w:rPr>
          <w:rFonts w:ascii="Times New Roman" w:hAnsi="Times New Roman" w:cs="Times New Roman"/>
          <w:sz w:val="24"/>
          <w:szCs w:val="24"/>
          <w:lang w:val="bg-BG"/>
        </w:rPr>
        <w:t xml:space="preserve"> като най-тревожното проявление е изплитняването на долната граница на оксиклина от 140 m (1955</w:t>
      </w:r>
      <w:r w:rsidR="00FA15BD" w:rsidRPr="00610B1B">
        <w:rPr>
          <w:rFonts w:ascii="Times New Roman" w:hAnsi="Times New Roman" w:cs="Times New Roman"/>
          <w:sz w:val="24"/>
          <w:szCs w:val="24"/>
          <w:lang w:val="bg-BG"/>
        </w:rPr>
        <w:t xml:space="preserve"> г.</w:t>
      </w:r>
      <w:r w:rsidR="00823BE7" w:rsidRPr="00610B1B">
        <w:rPr>
          <w:rFonts w:ascii="Times New Roman" w:hAnsi="Times New Roman" w:cs="Times New Roman"/>
          <w:sz w:val="24"/>
          <w:szCs w:val="24"/>
          <w:lang w:val="bg-BG"/>
        </w:rPr>
        <w:t xml:space="preserve">) до 90 m (2010 </w:t>
      </w:r>
      <w:r w:rsidR="00FA15BD" w:rsidRPr="00610B1B">
        <w:rPr>
          <w:rFonts w:ascii="Times New Roman" w:hAnsi="Times New Roman" w:cs="Times New Roman"/>
          <w:sz w:val="24"/>
          <w:szCs w:val="24"/>
          <w:lang w:val="bg-BG"/>
        </w:rPr>
        <w:t>–</w:t>
      </w:r>
      <w:r w:rsidR="00823BE7" w:rsidRPr="00610B1B">
        <w:rPr>
          <w:rFonts w:ascii="Times New Roman" w:hAnsi="Times New Roman" w:cs="Times New Roman"/>
          <w:sz w:val="24"/>
          <w:szCs w:val="24"/>
          <w:lang w:val="bg-BG"/>
        </w:rPr>
        <w:t xml:space="preserve"> 2015</w:t>
      </w:r>
      <w:r w:rsidR="00FA15BD" w:rsidRPr="00610B1B">
        <w:rPr>
          <w:rFonts w:ascii="Times New Roman" w:hAnsi="Times New Roman" w:cs="Times New Roman"/>
          <w:sz w:val="24"/>
          <w:szCs w:val="24"/>
          <w:lang w:val="bg-BG"/>
        </w:rPr>
        <w:t xml:space="preserve"> г.</w:t>
      </w:r>
      <w:r w:rsidR="00823BE7" w:rsidRPr="00610B1B">
        <w:rPr>
          <w:rFonts w:ascii="Times New Roman" w:hAnsi="Times New Roman" w:cs="Times New Roman"/>
          <w:sz w:val="24"/>
          <w:szCs w:val="24"/>
          <w:lang w:val="bg-BG"/>
        </w:rPr>
        <w:t xml:space="preserve">) </w:t>
      </w:r>
      <w:r w:rsidR="00823BE7" w:rsidRPr="00610B1B">
        <w:rPr>
          <w:rFonts w:ascii="Times New Roman" w:hAnsi="Times New Roman" w:cs="Times New Roman"/>
          <w:iCs/>
          <w:sz w:val="24"/>
          <w:szCs w:val="24"/>
          <w:lang w:val="bg-BG"/>
        </w:rPr>
        <w:t>(</w:t>
      </w:r>
      <w:r w:rsidR="00823BE7" w:rsidRPr="00610B1B">
        <w:rPr>
          <w:rFonts w:ascii="Times New Roman" w:hAnsi="Times New Roman" w:cs="Times New Roman"/>
          <w:i/>
          <w:sz w:val="24"/>
          <w:szCs w:val="24"/>
          <w:lang w:val="bg-BG"/>
        </w:rPr>
        <w:t>Capet et al., 2016</w:t>
      </w:r>
      <w:r w:rsidR="00823BE7" w:rsidRPr="00610B1B">
        <w:rPr>
          <w:rFonts w:ascii="Times New Roman" w:hAnsi="Times New Roman" w:cs="Times New Roman"/>
          <w:iCs/>
          <w:sz w:val="24"/>
          <w:szCs w:val="24"/>
          <w:lang w:val="bg-BG"/>
        </w:rPr>
        <w:t>).</w:t>
      </w:r>
    </w:p>
    <w:p w14:paraId="543BC578" w14:textId="151319C3" w:rsidR="009727F1" w:rsidRPr="00610B1B" w:rsidRDefault="009727F1" w:rsidP="00D32D6A">
      <w:pPr>
        <w:autoSpaceDE w:val="0"/>
        <w:autoSpaceDN w:val="0"/>
        <w:adjustRightInd w:val="0"/>
        <w:spacing w:after="120"/>
        <w:ind w:right="-153"/>
        <w:jc w:val="both"/>
        <w:rPr>
          <w:rFonts w:ascii="Times New Roman" w:hAnsi="Times New Roman" w:cs="Times New Roman"/>
          <w:iCs/>
          <w:sz w:val="24"/>
          <w:szCs w:val="24"/>
          <w:lang w:val="bg-BG"/>
        </w:rPr>
      </w:pPr>
      <w:r w:rsidRPr="00610B1B">
        <w:rPr>
          <w:rFonts w:ascii="Times New Roman" w:hAnsi="Times New Roman" w:cs="Times New Roman"/>
          <w:iCs/>
          <w:sz w:val="24"/>
          <w:szCs w:val="24"/>
          <w:lang w:val="bg-BG"/>
        </w:rPr>
        <w:t>Циркулационната система в Черно</w:t>
      </w:r>
      <w:r w:rsidR="00B34F4D"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 xml:space="preserve">море е доминирана от мезомащабна активност, насложена върху квази-постоянните елементи на басейнов и подбасейнов мащаб. Основните съставни части на циркулацията в горния слой са периферната основна черноморска система от течения, затваряща вътрешната клетка, която включва както двата големи циклонални вихъра, така и серия от взаимосвързани циклонални мезомащабни завихряния. От </w:t>
      </w:r>
      <w:r w:rsidR="00686CE6" w:rsidRPr="00610B1B">
        <w:rPr>
          <w:rFonts w:ascii="Times New Roman" w:hAnsi="Times New Roman" w:cs="Times New Roman"/>
          <w:iCs/>
          <w:sz w:val="24"/>
          <w:szCs w:val="24"/>
          <w:lang w:val="bg-BG"/>
        </w:rPr>
        <w:t>външната</w:t>
      </w:r>
      <w:r w:rsidRPr="00610B1B">
        <w:rPr>
          <w:rFonts w:ascii="Times New Roman" w:hAnsi="Times New Roman" w:cs="Times New Roman"/>
          <w:iCs/>
          <w:sz w:val="24"/>
          <w:szCs w:val="24"/>
          <w:lang w:val="bg-BG"/>
        </w:rPr>
        <w:t xml:space="preserve"> част на основното черноморско течение се образуват квази-стабилни (повтарящи се) антициклонални вихри. Тази система на циркулация е допълнително придружена от меандри, нишки, офшорни струи в крайбрежната зона, както и циклично разпространяващи се много преходни характеристики на основното черноморско течение.</w:t>
      </w:r>
    </w:p>
    <w:p w14:paraId="26FAF986" w14:textId="77777777" w:rsidR="00823BE7" w:rsidRPr="00610B1B" w:rsidRDefault="00823BE7" w:rsidP="00D32D6A">
      <w:pPr>
        <w:tabs>
          <w:tab w:val="left" w:pos="360"/>
        </w:tabs>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Температура и соленост на морската вода.</w:t>
      </w:r>
      <w:r w:rsidRPr="00610B1B">
        <w:rPr>
          <w:rFonts w:ascii="Times New Roman" w:hAnsi="Times New Roman" w:cs="Times New Roman"/>
          <w:sz w:val="24"/>
          <w:szCs w:val="24"/>
          <w:lang w:val="bg-BG"/>
        </w:rPr>
        <w:t xml:space="preserve"> Най-изразените характеристики на термо-халинната структура на Черно море са:</w:t>
      </w:r>
    </w:p>
    <w:p w14:paraId="1E926EC9" w14:textId="2AF8B0F7" w:rsidR="00237125" w:rsidRPr="00610B1B" w:rsidRDefault="00823BE7" w:rsidP="00B46189">
      <w:pPr>
        <w:pStyle w:val="ListParagraph"/>
        <w:numPr>
          <w:ilvl w:val="0"/>
          <w:numId w:val="7"/>
        </w:numPr>
        <w:tabs>
          <w:tab w:val="left" w:pos="360"/>
        </w:tabs>
        <w:autoSpaceDE w:val="0"/>
        <w:autoSpaceDN w:val="0"/>
        <w:adjustRightInd w:val="0"/>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големи вертикални контрасти в солеността (5‰), температурата (20°C) и плътността (7 </w:t>
      </w:r>
      <w:r w:rsidR="00FA15BD" w:rsidRPr="00610B1B">
        <w:rPr>
          <w:rFonts w:ascii="Times New Roman" w:hAnsi="Times New Roman" w:cs="Times New Roman"/>
          <w:sz w:val="24"/>
          <w:szCs w:val="24"/>
          <w:lang w:val="bg-BG"/>
        </w:rPr>
        <w:t>kg</w:t>
      </w:r>
      <w:r w:rsidRPr="00610B1B">
        <w:rPr>
          <w:rFonts w:ascii="Times New Roman" w:hAnsi="Times New Roman" w:cs="Times New Roman"/>
          <w:sz w:val="24"/>
          <w:szCs w:val="24"/>
          <w:lang w:val="bg-BG"/>
        </w:rPr>
        <w:t>/</w:t>
      </w:r>
      <w:r w:rsidR="00FA15BD" w:rsidRPr="00610B1B">
        <w:rPr>
          <w:rFonts w:ascii="Times New Roman" w:hAnsi="Times New Roman" w:cs="Times New Roman"/>
          <w:sz w:val="24"/>
          <w:szCs w:val="24"/>
          <w:lang w:val="bg-BG"/>
        </w:rPr>
        <w:t>m</w:t>
      </w:r>
      <w:r w:rsidRPr="00610B1B">
        <w:rPr>
          <w:rFonts w:ascii="Times New Roman" w:hAnsi="Times New Roman" w:cs="Times New Roman"/>
          <w:sz w:val="24"/>
          <w:szCs w:val="24"/>
          <w:vertAlign w:val="superscript"/>
          <w:lang w:val="bg-BG"/>
        </w:rPr>
        <w:t>3</w:t>
      </w:r>
      <w:r w:rsidRPr="00610B1B">
        <w:rPr>
          <w:rFonts w:ascii="Times New Roman" w:hAnsi="Times New Roman" w:cs="Times New Roman"/>
          <w:sz w:val="24"/>
          <w:szCs w:val="24"/>
          <w:lang w:val="bg-BG"/>
        </w:rPr>
        <w:t xml:space="preserve">), като за температурата това е изразено в повърхностния 50-75 m слой, а за </w:t>
      </w:r>
      <w:r w:rsidR="00686CE6" w:rsidRPr="00610B1B">
        <w:rPr>
          <w:rFonts w:ascii="Times New Roman" w:hAnsi="Times New Roman" w:cs="Times New Roman"/>
          <w:sz w:val="24"/>
          <w:szCs w:val="24"/>
          <w:lang w:val="bg-BG"/>
        </w:rPr>
        <w:t>солеността</w:t>
      </w:r>
      <w:r w:rsidRPr="00610B1B">
        <w:rPr>
          <w:rFonts w:ascii="Times New Roman" w:hAnsi="Times New Roman" w:cs="Times New Roman"/>
          <w:sz w:val="24"/>
          <w:szCs w:val="24"/>
          <w:lang w:val="bg-BG"/>
        </w:rPr>
        <w:t xml:space="preserve"> в слоя 150-200 m, както и големи вертикални градиенти (1.3°С/</w:t>
      </w:r>
      <w:r w:rsidR="00237125"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и 0.6‰/</w:t>
      </w:r>
      <w:r w:rsidR="00FA15BD"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w:t>
      </w:r>
    </w:p>
    <w:p w14:paraId="4BD1B19B" w14:textId="67B157E6" w:rsidR="00237125" w:rsidRPr="00610B1B" w:rsidRDefault="00823BE7" w:rsidP="00B46189">
      <w:pPr>
        <w:pStyle w:val="ListParagraph"/>
        <w:numPr>
          <w:ilvl w:val="0"/>
          <w:numId w:val="7"/>
        </w:numPr>
        <w:tabs>
          <w:tab w:val="left" w:pos="360"/>
        </w:tabs>
        <w:autoSpaceDE w:val="0"/>
        <w:autoSpaceDN w:val="0"/>
        <w:adjustRightInd w:val="0"/>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добре изразена вертикална асиметрия на термо-халинната структура на морската вода, която се отличава с тънък повърхностен слой 50-75 </w:t>
      </w:r>
      <w:r w:rsidR="00237125"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със сравнително по-пресни води и с много по-дебел солен квази</w:t>
      </w:r>
      <w:r w:rsidR="0025348F"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хомогенен слой, разделен от термо-хало-пикно клина.</w:t>
      </w:r>
    </w:p>
    <w:p w14:paraId="2CB9E77C" w14:textId="61216C5F" w:rsidR="00237125" w:rsidRPr="00610B1B" w:rsidRDefault="00823BE7" w:rsidP="00B46189">
      <w:pPr>
        <w:pStyle w:val="ListParagraph"/>
        <w:numPr>
          <w:ilvl w:val="0"/>
          <w:numId w:val="7"/>
        </w:numPr>
        <w:tabs>
          <w:tab w:val="left" w:pos="360"/>
        </w:tabs>
        <w:autoSpaceDE w:val="0"/>
        <w:autoSpaceDN w:val="0"/>
        <w:adjustRightInd w:val="0"/>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съществуване на студен междинен слой през лятото (СМС) в горната част на силно стратифицираните води на постоянния пикноклин, с абсолютен вертикален минимум на температурата, под който се извършва температурна инверсия - постепенно повишаване на температурата с дълбочина</w:t>
      </w:r>
      <w:r w:rsidR="00B34F4D" w:rsidRPr="00610B1B">
        <w:rPr>
          <w:rFonts w:ascii="Times New Roman" w:hAnsi="Times New Roman" w:cs="Times New Roman"/>
          <w:sz w:val="24"/>
          <w:szCs w:val="24"/>
          <w:lang w:val="bg-BG"/>
        </w:rPr>
        <w:t>та</w:t>
      </w:r>
      <w:r w:rsidRPr="00610B1B">
        <w:rPr>
          <w:rFonts w:ascii="Times New Roman" w:hAnsi="Times New Roman" w:cs="Times New Roman"/>
          <w:sz w:val="24"/>
          <w:szCs w:val="24"/>
          <w:lang w:val="bg-BG"/>
        </w:rPr>
        <w:t>;</w:t>
      </w:r>
    </w:p>
    <w:p w14:paraId="2DB33BFC" w14:textId="6E7F8262" w:rsidR="00823BE7" w:rsidRPr="00610B1B" w:rsidRDefault="00823BE7" w:rsidP="00B46189">
      <w:pPr>
        <w:pStyle w:val="ListParagraph"/>
        <w:numPr>
          <w:ilvl w:val="0"/>
          <w:numId w:val="7"/>
        </w:numPr>
        <w:tabs>
          <w:tab w:val="left" w:pos="360"/>
        </w:tabs>
        <w:autoSpaceDE w:val="0"/>
        <w:autoSpaceDN w:val="0"/>
        <w:adjustRightInd w:val="0"/>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основен принос на солеността към плътностната стратификацията, с изключение на повърхностния слой през лятото, когато стратификацията се доминира от температурата.</w:t>
      </w:r>
    </w:p>
    <w:p w14:paraId="4D447419" w14:textId="15561FF3" w:rsidR="00823BE7" w:rsidRPr="00610B1B" w:rsidRDefault="00511013" w:rsidP="00D32D6A">
      <w:pPr>
        <w:tabs>
          <w:tab w:val="left" w:pos="360"/>
        </w:tabs>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Cs/>
          <w:sz w:val="24"/>
          <w:szCs w:val="24"/>
          <w:lang w:val="bg-BG"/>
        </w:rPr>
        <w:t xml:space="preserve">Вертикалното </w:t>
      </w:r>
      <w:r w:rsidR="00823BE7" w:rsidRPr="00610B1B">
        <w:rPr>
          <w:rFonts w:ascii="Times New Roman" w:hAnsi="Times New Roman" w:cs="Times New Roman"/>
          <w:bCs/>
          <w:sz w:val="24"/>
          <w:szCs w:val="24"/>
          <w:lang w:val="bg-BG"/>
        </w:rPr>
        <w:t>разпределение на температурата, солеността и плътността</w:t>
      </w:r>
      <w:r w:rsidR="00823BE7"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са изследвани в периода 1995-2010 г. от ИО-БАН по данни от</w:t>
      </w:r>
      <w:r w:rsidR="00823BE7" w:rsidRPr="00610B1B">
        <w:rPr>
          <w:rFonts w:ascii="Times New Roman" w:hAnsi="Times New Roman" w:cs="Times New Roman"/>
          <w:sz w:val="24"/>
          <w:szCs w:val="24"/>
          <w:lang w:val="bg-BG"/>
        </w:rPr>
        <w:t xml:space="preserve"> експедиции на НИК </w:t>
      </w:r>
      <w:r w:rsidR="00237125" w:rsidRPr="00610B1B">
        <w:rPr>
          <w:rFonts w:ascii="Times New Roman" w:hAnsi="Times New Roman" w:cs="Times New Roman"/>
          <w:sz w:val="24"/>
          <w:szCs w:val="24"/>
          <w:lang w:val="bg-BG"/>
        </w:rPr>
        <w:t>„</w:t>
      </w:r>
      <w:r w:rsidR="00823BE7" w:rsidRPr="00610B1B">
        <w:rPr>
          <w:rFonts w:ascii="Times New Roman" w:hAnsi="Times New Roman" w:cs="Times New Roman"/>
          <w:sz w:val="24"/>
          <w:szCs w:val="24"/>
          <w:lang w:val="bg-BG"/>
        </w:rPr>
        <w:t>Академик</w:t>
      </w:r>
      <w:r w:rsidR="00237125" w:rsidRPr="00610B1B">
        <w:rPr>
          <w:rFonts w:ascii="Times New Roman" w:hAnsi="Times New Roman" w:cs="Times New Roman"/>
          <w:sz w:val="24"/>
          <w:szCs w:val="24"/>
          <w:lang w:val="bg-BG"/>
        </w:rPr>
        <w:t>“</w:t>
      </w:r>
      <w:r w:rsidR="00823BE7" w:rsidRPr="00610B1B">
        <w:rPr>
          <w:rFonts w:ascii="Times New Roman" w:hAnsi="Times New Roman" w:cs="Times New Roman"/>
          <w:sz w:val="24"/>
          <w:szCs w:val="24"/>
          <w:lang w:val="bg-BG"/>
        </w:rPr>
        <w:t xml:space="preserve"> в западната част на Черно море, </w:t>
      </w:r>
      <w:r w:rsidRPr="00610B1B">
        <w:rPr>
          <w:rFonts w:ascii="Times New Roman" w:hAnsi="Times New Roman" w:cs="Times New Roman"/>
          <w:sz w:val="24"/>
          <w:szCs w:val="24"/>
          <w:lang w:val="bg-BG"/>
        </w:rPr>
        <w:t xml:space="preserve">в </w:t>
      </w:r>
      <w:r w:rsidR="00823BE7" w:rsidRPr="00610B1B">
        <w:rPr>
          <w:rFonts w:ascii="Times New Roman" w:hAnsi="Times New Roman" w:cs="Times New Roman"/>
          <w:sz w:val="24"/>
          <w:szCs w:val="24"/>
          <w:lang w:val="bg-BG"/>
        </w:rPr>
        <w:t xml:space="preserve">крайбрежната зона и </w:t>
      </w:r>
      <w:r w:rsidRPr="00610B1B">
        <w:rPr>
          <w:rFonts w:ascii="Times New Roman" w:hAnsi="Times New Roman" w:cs="Times New Roman"/>
          <w:sz w:val="24"/>
          <w:szCs w:val="24"/>
          <w:lang w:val="bg-BG"/>
        </w:rPr>
        <w:t xml:space="preserve">в </w:t>
      </w:r>
      <w:r w:rsidR="00823BE7" w:rsidRPr="00610B1B">
        <w:rPr>
          <w:rFonts w:ascii="Times New Roman" w:hAnsi="Times New Roman" w:cs="Times New Roman"/>
          <w:sz w:val="24"/>
          <w:szCs w:val="24"/>
          <w:lang w:val="bg-BG"/>
        </w:rPr>
        <w:t xml:space="preserve">част от </w:t>
      </w:r>
      <w:r w:rsidR="00237125" w:rsidRPr="00610B1B">
        <w:rPr>
          <w:rFonts w:ascii="Times New Roman" w:hAnsi="Times New Roman" w:cs="Times New Roman"/>
          <w:sz w:val="24"/>
          <w:szCs w:val="24"/>
          <w:lang w:val="bg-BG"/>
        </w:rPr>
        <w:t xml:space="preserve">изключителната </w:t>
      </w:r>
      <w:r w:rsidR="00823BE7" w:rsidRPr="00610B1B">
        <w:rPr>
          <w:rFonts w:ascii="Times New Roman" w:hAnsi="Times New Roman" w:cs="Times New Roman"/>
          <w:sz w:val="24"/>
          <w:szCs w:val="24"/>
          <w:lang w:val="bg-BG"/>
        </w:rPr>
        <w:t>икономическата зона на Р</w:t>
      </w:r>
      <w:r w:rsidRPr="00610B1B">
        <w:rPr>
          <w:rFonts w:ascii="Times New Roman" w:hAnsi="Times New Roman" w:cs="Times New Roman"/>
          <w:sz w:val="24"/>
          <w:szCs w:val="24"/>
          <w:lang w:val="bg-BG"/>
        </w:rPr>
        <w:t xml:space="preserve">. България. </w:t>
      </w:r>
    </w:p>
    <w:p w14:paraId="382BD6E0" w14:textId="566C1B6C"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eastAsia="Times New Roman" w:hAnsi="Times New Roman" w:cs="Times New Roman"/>
          <w:b/>
          <w:color w:val="000000"/>
          <w:sz w:val="24"/>
          <w:szCs w:val="24"/>
          <w:lang w:val="bg-BG" w:eastAsia="bg-BG"/>
        </w:rPr>
        <w:t>Хоризонталните полета на температурата и солеността</w:t>
      </w:r>
      <w:r w:rsidRPr="00610B1B">
        <w:rPr>
          <w:rFonts w:ascii="Times New Roman" w:eastAsia="Times New Roman" w:hAnsi="Times New Roman" w:cs="Times New Roman"/>
          <w:color w:val="000000"/>
          <w:sz w:val="24"/>
          <w:szCs w:val="24"/>
          <w:lang w:val="bg-BG" w:eastAsia="bg-BG"/>
        </w:rPr>
        <w:t xml:space="preserve"> на 5 m и 15 m дълбочина разкриват пространственото разпределение на повърхността в смесения слой над сезонния термоклин през лятото</w:t>
      </w:r>
      <w:r w:rsidR="001C154B" w:rsidRPr="00610B1B">
        <w:rPr>
          <w:rFonts w:ascii="Times New Roman" w:eastAsia="Times New Roman" w:hAnsi="Times New Roman" w:cs="Times New Roman"/>
          <w:color w:val="000000"/>
          <w:sz w:val="24"/>
          <w:szCs w:val="24"/>
          <w:lang w:val="bg-BG" w:eastAsia="bg-BG"/>
        </w:rPr>
        <w:t xml:space="preserve">. </w:t>
      </w:r>
      <w:r w:rsidRPr="00610B1B">
        <w:rPr>
          <w:rFonts w:ascii="Times New Roman" w:eastAsia="Times New Roman" w:hAnsi="Times New Roman" w:cs="Times New Roman"/>
          <w:color w:val="000000"/>
          <w:sz w:val="24"/>
          <w:szCs w:val="24"/>
          <w:lang w:val="bg-BG" w:eastAsia="bg-BG"/>
        </w:rPr>
        <w:t>Водите в близост до брега и вътрешния шелф са сравнително по-хладни и пресни със соленост около и по-ниски от 17.0‰, докато откритите морски води са по-солени. Това се дължи на влиянието на сладките води с произход от северозападния шелф. Те са с температура 25.0-25.4°C и соленост 16.0-16.5‰, наблюдавани в северната част на изследваната зона.</w:t>
      </w:r>
      <w:r w:rsidR="001C154B" w:rsidRPr="00610B1B">
        <w:rPr>
          <w:rFonts w:ascii="Times New Roman" w:eastAsia="Times New Roman" w:hAnsi="Times New Roman" w:cs="Times New Roman"/>
          <w:color w:val="000000"/>
          <w:sz w:val="24"/>
          <w:szCs w:val="24"/>
          <w:lang w:val="bg-BG" w:eastAsia="bg-BG"/>
        </w:rPr>
        <w:t xml:space="preserve"> </w:t>
      </w:r>
      <w:r w:rsidRPr="00610B1B">
        <w:rPr>
          <w:rFonts w:ascii="Times New Roman" w:eastAsia="Times New Roman" w:hAnsi="Times New Roman" w:cs="Times New Roman"/>
          <w:color w:val="000000"/>
          <w:sz w:val="24"/>
          <w:szCs w:val="24"/>
          <w:lang w:val="bg-BG" w:eastAsia="bg-BG"/>
        </w:rPr>
        <w:t>Влизайки в западния шелф, тези води се трансформират, но тяхното въздействие може да се проследи по цялата дължина на шелфа, особено в разпределението на солеността. Поради бреговата орография, води, образувани в местни условия, се наблюдават в заливите и прилежащите тесни крайбрежни райони. В тези райони температурата на водата е по-</w:t>
      </w:r>
      <w:r w:rsidR="00C26352" w:rsidRPr="00610B1B">
        <w:rPr>
          <w:rFonts w:ascii="Times New Roman" w:eastAsia="Times New Roman" w:hAnsi="Times New Roman" w:cs="Times New Roman"/>
          <w:color w:val="000000"/>
          <w:sz w:val="24"/>
          <w:szCs w:val="24"/>
          <w:lang w:val="bg-BG" w:eastAsia="bg-BG"/>
        </w:rPr>
        <w:t>висока</w:t>
      </w:r>
      <w:r w:rsidRPr="00610B1B">
        <w:rPr>
          <w:rFonts w:ascii="Times New Roman" w:eastAsia="Times New Roman" w:hAnsi="Times New Roman" w:cs="Times New Roman"/>
          <w:color w:val="000000"/>
          <w:sz w:val="24"/>
          <w:szCs w:val="24"/>
          <w:lang w:val="bg-BG" w:eastAsia="bg-BG"/>
        </w:rPr>
        <w:t xml:space="preserve"> от 25.4°C, а солеността - по-голяма от 17.0‰.</w:t>
      </w:r>
      <w:r w:rsidR="001C154B" w:rsidRPr="00610B1B">
        <w:rPr>
          <w:rFonts w:ascii="Times New Roman" w:eastAsia="Times New Roman" w:hAnsi="Times New Roman" w:cs="Times New Roman"/>
          <w:color w:val="000000"/>
          <w:sz w:val="24"/>
          <w:szCs w:val="24"/>
          <w:lang w:val="bg-BG" w:eastAsia="bg-BG"/>
        </w:rPr>
        <w:t xml:space="preserve"> </w:t>
      </w:r>
      <w:r w:rsidRPr="00610B1B">
        <w:rPr>
          <w:rFonts w:ascii="Times New Roman" w:hAnsi="Times New Roman" w:cs="Times New Roman"/>
          <w:sz w:val="24"/>
          <w:szCs w:val="24"/>
          <w:lang w:val="bg-BG"/>
        </w:rPr>
        <w:t>Наличието на по-хладни и по-пресни води в крайбрежните райони, от една страна, и по-топли и солени води в открито море (T</w:t>
      </w:r>
      <w:r w:rsidR="00C26352"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&gt;26.5°C, S</w:t>
      </w:r>
      <w:r w:rsidR="00C26352"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&gt;18.0‰), от друга, определя съществуването на фронтална зона с ширина 55-75 </w:t>
      </w:r>
      <w:r w:rsidR="00C26352" w:rsidRPr="00610B1B">
        <w:rPr>
          <w:rFonts w:ascii="Times New Roman" w:hAnsi="Times New Roman" w:cs="Times New Roman"/>
          <w:sz w:val="24"/>
          <w:szCs w:val="24"/>
          <w:lang w:val="bg-BG"/>
        </w:rPr>
        <w:t>km</w:t>
      </w:r>
      <w:r w:rsidRPr="00610B1B">
        <w:rPr>
          <w:rFonts w:ascii="Times New Roman" w:hAnsi="Times New Roman" w:cs="Times New Roman"/>
          <w:sz w:val="24"/>
          <w:szCs w:val="24"/>
          <w:lang w:val="bg-BG"/>
        </w:rPr>
        <w:t xml:space="preserve">, в която температурата се увеличава с ~ 1.5°C, а солеността с ~ 1‰. </w:t>
      </w:r>
    </w:p>
    <w:p w14:paraId="7E6B499A" w14:textId="01CBF8EB"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От хидродинамична гледна точка фронталната зона определя положението на основн</w:t>
      </w:r>
      <w:r w:rsidR="004D5BE3" w:rsidRPr="00610B1B">
        <w:rPr>
          <w:rFonts w:ascii="Times New Roman" w:hAnsi="Times New Roman" w:cs="Times New Roman"/>
          <w:sz w:val="24"/>
          <w:szCs w:val="24"/>
          <w:lang w:val="bg-BG"/>
        </w:rPr>
        <w:t>ото</w:t>
      </w:r>
      <w:r w:rsidRPr="00610B1B">
        <w:rPr>
          <w:rFonts w:ascii="Times New Roman" w:hAnsi="Times New Roman" w:cs="Times New Roman"/>
          <w:sz w:val="24"/>
          <w:szCs w:val="24"/>
          <w:lang w:val="bg-BG"/>
        </w:rPr>
        <w:t xml:space="preserve"> черноморско течение. </w:t>
      </w:r>
      <w:r w:rsidR="004D5BE3" w:rsidRPr="00610B1B">
        <w:rPr>
          <w:rFonts w:ascii="Times New Roman" w:hAnsi="Times New Roman" w:cs="Times New Roman"/>
          <w:sz w:val="24"/>
          <w:szCs w:val="24"/>
          <w:lang w:val="bg-BG"/>
        </w:rPr>
        <w:t xml:space="preserve">През </w:t>
      </w:r>
      <w:r w:rsidRPr="00610B1B">
        <w:rPr>
          <w:rFonts w:ascii="Times New Roman" w:hAnsi="Times New Roman" w:cs="Times New Roman"/>
          <w:sz w:val="24"/>
          <w:szCs w:val="24"/>
          <w:lang w:val="bg-BG"/>
        </w:rPr>
        <w:t>лятото скоростта му е по-ниска и потокът се отклонява по ръба на шелфа. Следователно т</w:t>
      </w:r>
      <w:r w:rsidR="004D5BE3" w:rsidRPr="00610B1B">
        <w:rPr>
          <w:rFonts w:ascii="Times New Roman" w:hAnsi="Times New Roman" w:cs="Times New Roman"/>
          <w:sz w:val="24"/>
          <w:szCs w:val="24"/>
          <w:lang w:val="bg-BG"/>
        </w:rPr>
        <w:t>о</w:t>
      </w:r>
      <w:r w:rsidRPr="00610B1B">
        <w:rPr>
          <w:rFonts w:ascii="Times New Roman" w:hAnsi="Times New Roman" w:cs="Times New Roman"/>
          <w:sz w:val="24"/>
          <w:szCs w:val="24"/>
          <w:lang w:val="bg-BG"/>
        </w:rPr>
        <w:t xml:space="preserve"> обхваща по-голяма площ и може да бъде проследен</w:t>
      </w:r>
      <w:r w:rsidR="00DD62CE" w:rsidRPr="00610B1B">
        <w:rPr>
          <w:rFonts w:ascii="Times New Roman" w:hAnsi="Times New Roman" w:cs="Times New Roman"/>
          <w:sz w:val="24"/>
          <w:szCs w:val="24"/>
          <w:lang w:val="bg-BG"/>
        </w:rPr>
        <w:t>о</w:t>
      </w:r>
      <w:r w:rsidRPr="00610B1B">
        <w:rPr>
          <w:rFonts w:ascii="Times New Roman" w:hAnsi="Times New Roman" w:cs="Times New Roman"/>
          <w:sz w:val="24"/>
          <w:szCs w:val="24"/>
          <w:lang w:val="bg-BG"/>
        </w:rPr>
        <w:t xml:space="preserve"> чрез изотерми 25.8 - 26.6°C и изохалини 17.4 - 18.0 ‰</w:t>
      </w:r>
      <w:r w:rsidR="001C154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Нестабилността на кръгово</w:t>
      </w:r>
      <w:r w:rsidR="0078160F"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течение през този сезон води до образуване на циклонални мезомащабни вихри, разпространяващи се от ръба на шелфа до отворената граница на изследваната зона, следвайки текущата посока</w:t>
      </w:r>
      <w:r w:rsidR="004D5BE3"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00060A03" w:rsidRPr="00610B1B">
        <w:rPr>
          <w:rFonts w:ascii="Times New Roman" w:hAnsi="Times New Roman" w:cs="Times New Roman"/>
          <w:sz w:val="24"/>
          <w:szCs w:val="24"/>
          <w:lang w:val="bg-BG"/>
        </w:rPr>
        <w:t xml:space="preserve">Антициклоналните </w:t>
      </w:r>
      <w:r w:rsidRPr="00610B1B">
        <w:rPr>
          <w:rFonts w:ascii="Times New Roman" w:hAnsi="Times New Roman" w:cs="Times New Roman"/>
          <w:sz w:val="24"/>
          <w:szCs w:val="24"/>
          <w:lang w:val="bg-BG"/>
        </w:rPr>
        <w:t>вихри, които се формират главно в средната и южната част на западния шелф</w:t>
      </w:r>
      <w:r w:rsidR="001C154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се разпространяват в обратна посока по протежение на брега (противотечения). Циклоналните вихри носят водни маси, образувани на шелфа, а антициклоналните - по-топли и солени откритоморски води. </w:t>
      </w:r>
      <w:r w:rsidR="00DD62CE" w:rsidRPr="00610B1B">
        <w:rPr>
          <w:rFonts w:ascii="Times New Roman" w:hAnsi="Times New Roman" w:cs="Times New Roman"/>
          <w:sz w:val="24"/>
          <w:szCs w:val="24"/>
          <w:lang w:val="bg-BG"/>
        </w:rPr>
        <w:t xml:space="preserve">Това </w:t>
      </w:r>
      <w:r w:rsidRPr="00610B1B">
        <w:rPr>
          <w:rFonts w:ascii="Times New Roman" w:hAnsi="Times New Roman" w:cs="Times New Roman"/>
          <w:sz w:val="24"/>
          <w:szCs w:val="24"/>
          <w:lang w:val="bg-BG"/>
        </w:rPr>
        <w:t xml:space="preserve">подкрепя твърденията за съществуването на квазистационарно Калиакренски вихър. В южната част на Бургаския залив се забелязва друг вихър, който изглежда с постоянни характеристики в целия воден стълб. </w:t>
      </w:r>
    </w:p>
    <w:p w14:paraId="74F381C4" w14:textId="0D741569"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Температурното поле на стандартна дълбочина 30 m представя условията в сезонния термоклин. По-нататъшното разпадане във фронталната зона се забелязва с малки разлики в температурата и солеността поради активното смесване. Температурата варира между 12.0°C в антициклоналните и 10.5°C в циклоналните райони, а солеността - между 17.7 и 18.1‰. Гореспоменатите вихрови структури са най-разпознаваемите характеристики, но те са по-топли и по-малко солени в сравнение със заобикалящите води: температура около нос Калиакра е 15.0°C, а в южната част на Бургаския залив – 17.0°C. Следователно </w:t>
      </w:r>
      <w:r w:rsidRPr="00610B1B">
        <w:rPr>
          <w:rFonts w:ascii="Times New Roman" w:hAnsi="Times New Roman" w:cs="Times New Roman"/>
          <w:sz w:val="24"/>
          <w:szCs w:val="24"/>
          <w:lang w:val="bg-BG"/>
        </w:rPr>
        <w:lastRenderedPageBreak/>
        <w:t>наблюдаваната картина в антициклоналните области съответства на горния термоклин, докато тази в циклоналните области - на долната му част (Valcheva et al., 2014).</w:t>
      </w:r>
    </w:p>
    <w:p w14:paraId="3CC640E7" w14:textId="14BD26FA"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Хоризонталните полета на стандартните дълбочини до дъното показват много по-малки колебания. Температурата при стандартна дълбочина 75 m варира в диапазона 7.4-8.0°C</w:t>
      </w:r>
      <w:r w:rsidR="00811DB7" w:rsidRPr="00610B1B">
        <w:rPr>
          <w:rFonts w:ascii="Times New Roman" w:hAnsi="Times New Roman" w:cs="Times New Roman"/>
          <w:sz w:val="24"/>
          <w:szCs w:val="24"/>
          <w:lang w:val="bg-BG"/>
        </w:rPr>
        <w:t xml:space="preserve"> и</w:t>
      </w:r>
      <w:r w:rsidRPr="00610B1B">
        <w:rPr>
          <w:rFonts w:ascii="Times New Roman" w:hAnsi="Times New Roman" w:cs="Times New Roman"/>
          <w:sz w:val="24"/>
          <w:szCs w:val="24"/>
          <w:lang w:val="bg-BG"/>
        </w:rPr>
        <w:t xml:space="preserve"> е типична за СМС. Най-ниска е в северната и централната част на изследвания регион. Водите с температура по-висока от 8.0°C се проследяват в близост до брега на южния </w:t>
      </w:r>
      <w:r w:rsidR="00060A03" w:rsidRPr="00610B1B">
        <w:rPr>
          <w:rFonts w:ascii="Times New Roman" w:hAnsi="Times New Roman" w:cs="Times New Roman"/>
          <w:sz w:val="24"/>
          <w:szCs w:val="24"/>
          <w:lang w:val="bg-BG"/>
        </w:rPr>
        <w:t xml:space="preserve">Бургаски </w:t>
      </w:r>
      <w:r w:rsidRPr="00610B1B">
        <w:rPr>
          <w:rFonts w:ascii="Times New Roman" w:hAnsi="Times New Roman" w:cs="Times New Roman"/>
          <w:sz w:val="24"/>
          <w:szCs w:val="24"/>
          <w:lang w:val="bg-BG"/>
        </w:rPr>
        <w:t>залив. Разпределението на солеността се характеризира с постепенно и равномерно увеличаване към открито море от 17.9 до 19.6</w:t>
      </w:r>
      <w:r w:rsidR="00811DB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което е характерно за горната част на халоклина</w:t>
      </w:r>
      <w:r w:rsidR="00811DB7" w:rsidRPr="00610B1B">
        <w:rPr>
          <w:rFonts w:ascii="Times New Roman" w:hAnsi="Times New Roman" w:cs="Times New Roman"/>
          <w:sz w:val="24"/>
          <w:szCs w:val="24"/>
          <w:lang w:val="bg-BG"/>
        </w:rPr>
        <w:t>.</w:t>
      </w:r>
    </w:p>
    <w:p w14:paraId="1CB4ABC5" w14:textId="5BC59F48"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Зимните климатични хоризонтални полета на температурата и солеността разкриват основните характеристики на типичната сезонна динамика. Фронталната зона на стандартна дълбочина от 5 </w:t>
      </w:r>
      <w:r w:rsidR="00060A03"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е 3-4 пъти по-тясна (~ 20-25 </w:t>
      </w:r>
      <w:r w:rsidR="00060A03" w:rsidRPr="00610B1B">
        <w:rPr>
          <w:rFonts w:ascii="Times New Roman" w:hAnsi="Times New Roman" w:cs="Times New Roman"/>
          <w:sz w:val="24"/>
          <w:szCs w:val="24"/>
          <w:lang w:val="bg-BG"/>
        </w:rPr>
        <w:t>km</w:t>
      </w:r>
      <w:r w:rsidRPr="00610B1B">
        <w:rPr>
          <w:rFonts w:ascii="Times New Roman" w:hAnsi="Times New Roman" w:cs="Times New Roman"/>
          <w:sz w:val="24"/>
          <w:szCs w:val="24"/>
          <w:lang w:val="bg-BG"/>
        </w:rPr>
        <w:t xml:space="preserve">) по отношение на лятото, което се дължи на засилването на голямомащабната циркулация – </w:t>
      </w:r>
      <w:r w:rsidR="00811DB7" w:rsidRPr="00610B1B">
        <w:rPr>
          <w:rFonts w:ascii="Times New Roman" w:hAnsi="Times New Roman" w:cs="Times New Roman"/>
          <w:sz w:val="24"/>
          <w:szCs w:val="24"/>
          <w:lang w:val="bg-BG"/>
        </w:rPr>
        <w:t xml:space="preserve">основното черноморско течение </w:t>
      </w:r>
      <w:r w:rsidRPr="00610B1B">
        <w:rPr>
          <w:rFonts w:ascii="Times New Roman" w:hAnsi="Times New Roman" w:cs="Times New Roman"/>
          <w:sz w:val="24"/>
          <w:szCs w:val="24"/>
          <w:lang w:val="bg-BG"/>
        </w:rPr>
        <w:t xml:space="preserve">е силно притиснато към страничните граници на басейна и основният поток следва 50-60 </w:t>
      </w:r>
      <w:r w:rsidR="00060A03"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изобати.</w:t>
      </w:r>
    </w:p>
    <w:p w14:paraId="431EDFB0" w14:textId="6D9FECB1"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Наличието на крайбрежна водна маса с температура 5.9-6.4°C се дължи на преохлаждане на сравнително пресни води (S &lt;17.0‰) и конвективно смесване. Температурата във фронталната зона се увеличава от 6.4 на 7.4°C, а солеността - от 17.0 на 17.8‰. Температурата на повърхностната вода в открито море е с около 2.2°C по-висока, отколкото в близост до брега. Подобна е картината на стандартна дълбочина от 35 m. Температурата и солеността на крайбрежните води се увеличават, </w:t>
      </w:r>
      <w:r w:rsidR="0078160F"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тези на откритите морски зони не се променят забележимо. При стандартна дълбочина от 75 m се наблюдават малки изменения на параметрите: T=7.65÷ 7.95°C, S=18.2÷18.9‰</w:t>
      </w:r>
      <w:r w:rsidR="00811DB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Условията на стандартни дълбочини от 100 и 150 </w:t>
      </w:r>
      <w:r w:rsidR="00060A03"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са почти еднакви с постепенно повишаване на температурата и солеността с увеличаване на географската дължина. Максималната температура в халоклина е по-висока от 8.2 и 8.6°C, а максимална соленост - съответно 19.8 и 20.8‰. Като се има предвид лекото покачване на температурата поради инверсията в постоянния термоклин, солеността се увеличава с повече от 1‰ (в рамките на 50 m) в постоянния халоклин.</w:t>
      </w:r>
    </w:p>
    <w:p w14:paraId="127841F3" w14:textId="13B785B8" w:rsidR="00823BE7" w:rsidRPr="00610B1B" w:rsidRDefault="00823BE7"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Средните климатични полета на температурата и солеността на повърхността, в СМС и в дълбоководния слой имат различна структура и сезонна изменчивост, които се определят от процесите на тяхното формиране. Хоризонталните повърхностни полета на температура и соленост през лятото се отличават с по-голяма хетерогенност</w:t>
      </w:r>
      <w:r w:rsidR="00A6713C" w:rsidRPr="00610B1B">
        <w:rPr>
          <w:rFonts w:ascii="Times New Roman" w:hAnsi="Times New Roman" w:cs="Times New Roman"/>
          <w:sz w:val="24"/>
          <w:szCs w:val="24"/>
          <w:lang w:val="bg-BG"/>
        </w:rPr>
        <w:t xml:space="preserve">, поради </w:t>
      </w:r>
      <w:r w:rsidRPr="00610B1B">
        <w:rPr>
          <w:rFonts w:ascii="Times New Roman" w:hAnsi="Times New Roman" w:cs="Times New Roman"/>
          <w:sz w:val="24"/>
          <w:szCs w:val="24"/>
          <w:lang w:val="bg-BG"/>
        </w:rPr>
        <w:t>наличието на широка фронтална зона между шелфовите води и тези на откритите части на района. Тази челна зона е част от много по-широка зона между водите в северозападния и западния шелф, от една страна, и от друга</w:t>
      </w:r>
      <w:r w:rsidR="00060A03"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тези във вътрешната част на басейна. Повърхностното температурно поле </w:t>
      </w:r>
      <w:r w:rsidR="00BD75A7"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 през лятото и през зимата</w:t>
      </w:r>
      <w:r w:rsidR="00BD75A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се определя от преноса на топлина през морската повърхност. </w:t>
      </w:r>
    </w:p>
    <w:p w14:paraId="0F8EBA94" w14:textId="7EA831EC"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Хоризонталното разпределение на характеристиките на морската вода през зимата показва унищожаване на сезонен термоклин, което води до хомогенност на полетата на стандартни дълбочини 5, 15 и 30 m. Фронталната зона е 3-4 пъти по-тясна в сравнение с лятото ~</w:t>
      </w:r>
      <w:r w:rsidR="00AC5F2E"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20</w:t>
      </w:r>
      <w:r w:rsidR="00AC5F2E"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w:t>
      </w:r>
      <w:r w:rsidR="00AC5F2E"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25</w:t>
      </w:r>
      <w:r w:rsidR="00AC5F2E" w:rsidRPr="00610B1B">
        <w:rPr>
          <w:rFonts w:ascii="Times New Roman" w:hAnsi="Times New Roman" w:cs="Times New Roman"/>
          <w:sz w:val="24"/>
          <w:szCs w:val="24"/>
          <w:lang w:val="bg-BG"/>
        </w:rPr>
        <w:t> </w:t>
      </w:r>
      <w:r w:rsidR="00060A03" w:rsidRPr="00610B1B">
        <w:rPr>
          <w:rFonts w:ascii="Times New Roman" w:hAnsi="Times New Roman" w:cs="Times New Roman"/>
          <w:sz w:val="24"/>
          <w:szCs w:val="24"/>
          <w:lang w:val="bg-BG"/>
        </w:rPr>
        <w:t>km</w:t>
      </w:r>
      <w:r w:rsidRPr="00610B1B">
        <w:rPr>
          <w:rFonts w:ascii="Times New Roman" w:hAnsi="Times New Roman" w:cs="Times New Roman"/>
          <w:sz w:val="24"/>
          <w:szCs w:val="24"/>
          <w:lang w:val="bg-BG"/>
        </w:rPr>
        <w:t xml:space="preserve">. Кръговото течение е изразено към страничните граници на басейна </w:t>
      </w:r>
      <w:r w:rsidRPr="00610B1B">
        <w:rPr>
          <w:rFonts w:ascii="Times New Roman" w:hAnsi="Times New Roman" w:cs="Times New Roman"/>
          <w:sz w:val="24"/>
          <w:szCs w:val="24"/>
          <w:lang w:val="bg-BG"/>
        </w:rPr>
        <w:lastRenderedPageBreak/>
        <w:t xml:space="preserve">поради увеличаването на неговата интензивност, а оста му следва 50-60 m изобата. Фронталната зона е почти изцяло разположена в зоната на шелфа, докато през лятото обикновено следва 100 </w:t>
      </w:r>
      <w:r w:rsidR="00060A03"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изобата. Стабилността на потока ясно е свързана с висока скорост. Това води до много по-равномерна термо-халинова структура с изолинии, които практически са сходни с изобатите. Тази картина остава без значителни промени в повърхността </w:t>
      </w:r>
      <w:r w:rsidR="00A6713C" w:rsidRPr="00610B1B">
        <w:rPr>
          <w:rFonts w:ascii="Times New Roman" w:hAnsi="Times New Roman" w:cs="Times New Roman"/>
          <w:sz w:val="24"/>
          <w:szCs w:val="24"/>
          <w:lang w:val="bg-BG"/>
        </w:rPr>
        <w:t xml:space="preserve">до </w:t>
      </w:r>
      <w:r w:rsidRPr="00610B1B">
        <w:rPr>
          <w:rFonts w:ascii="Times New Roman" w:hAnsi="Times New Roman" w:cs="Times New Roman"/>
          <w:sz w:val="24"/>
          <w:szCs w:val="24"/>
          <w:lang w:val="bg-BG"/>
        </w:rPr>
        <w:t>150-200 m.</w:t>
      </w:r>
    </w:p>
    <w:p w14:paraId="02AC0AA1" w14:textId="129FD2AE"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bCs/>
          <w:sz w:val="24"/>
          <w:szCs w:val="24"/>
          <w:lang w:val="bg-BG"/>
        </w:rPr>
        <w:t>Приливите и отливите</w:t>
      </w:r>
      <w:r w:rsidRPr="00610B1B">
        <w:rPr>
          <w:rFonts w:ascii="Times New Roman" w:hAnsi="Times New Roman" w:cs="Times New Roman"/>
          <w:sz w:val="24"/>
          <w:szCs w:val="24"/>
          <w:lang w:val="bg-BG"/>
        </w:rPr>
        <w:t xml:space="preserve"> не оказват влияние върху водното ниво на Черно море. </w:t>
      </w:r>
      <w:r w:rsidR="00962F45" w:rsidRPr="00610B1B">
        <w:rPr>
          <w:rFonts w:ascii="Times New Roman" w:hAnsi="Times New Roman" w:cs="Times New Roman"/>
          <w:sz w:val="24"/>
          <w:szCs w:val="24"/>
          <w:lang w:val="bg-BG"/>
        </w:rPr>
        <w:t xml:space="preserve">Средният </w:t>
      </w:r>
      <w:r w:rsidRPr="00610B1B">
        <w:rPr>
          <w:rFonts w:ascii="Times New Roman" w:hAnsi="Times New Roman" w:cs="Times New Roman"/>
          <w:sz w:val="24"/>
          <w:szCs w:val="24"/>
          <w:lang w:val="bg-BG"/>
        </w:rPr>
        <w:t xml:space="preserve">пролетен диапазон в западната част на басейна е само 8-10 cm. Годишният диапазон на средното морско ниво поради въздействието на </w:t>
      </w:r>
      <w:r w:rsidRPr="00610B1B">
        <w:rPr>
          <w:rFonts w:ascii="Times New Roman" w:hAnsi="Times New Roman" w:cs="Times New Roman"/>
          <w:spacing w:val="-6"/>
          <w:sz w:val="24"/>
          <w:szCs w:val="24"/>
          <w:lang w:val="bg-BG"/>
        </w:rPr>
        <w:t>атмосферното налягане е приблизително 5 cm, като са регистрирани изключителни случаи на покачване от 15 cm и намаляване от 18 cm. Забелязват се колебания</w:t>
      </w:r>
      <w:r w:rsidR="00BD75A7" w:rsidRPr="00610B1B">
        <w:rPr>
          <w:rFonts w:ascii="Times New Roman" w:hAnsi="Times New Roman" w:cs="Times New Roman"/>
          <w:spacing w:val="-6"/>
          <w:sz w:val="24"/>
          <w:szCs w:val="24"/>
          <w:lang w:val="bg-BG"/>
        </w:rPr>
        <w:t>,</w:t>
      </w:r>
      <w:r w:rsidRPr="00610B1B">
        <w:rPr>
          <w:rFonts w:ascii="Times New Roman" w:hAnsi="Times New Roman" w:cs="Times New Roman"/>
          <w:spacing w:val="-6"/>
          <w:sz w:val="24"/>
          <w:szCs w:val="24"/>
          <w:lang w:val="bg-BG"/>
        </w:rPr>
        <w:t xml:space="preserve"> произтичащи от промени в количеството на водния поток, влизащ или излизащ от Черно море от 0.5 m до 1.5 m.</w:t>
      </w:r>
    </w:p>
    <w:p w14:paraId="1D2065C8" w14:textId="037D999A"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Ветровете влияят значително на морското ниво </w:t>
      </w:r>
      <w:r w:rsidR="006F0D2A"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r w:rsidR="006F0D2A" w:rsidRPr="00610B1B">
        <w:rPr>
          <w:rFonts w:ascii="Times New Roman" w:hAnsi="Times New Roman" w:cs="Times New Roman"/>
          <w:sz w:val="24"/>
          <w:szCs w:val="24"/>
          <w:lang w:val="bg-BG"/>
        </w:rPr>
        <w:t xml:space="preserve">северните, североизточните </w:t>
      </w:r>
      <w:r w:rsidRPr="00610B1B">
        <w:rPr>
          <w:rFonts w:ascii="Times New Roman" w:hAnsi="Times New Roman" w:cs="Times New Roman"/>
          <w:sz w:val="24"/>
          <w:szCs w:val="24"/>
          <w:lang w:val="bg-BG"/>
        </w:rPr>
        <w:t xml:space="preserve">ветрове имат тенденция да повишават, а </w:t>
      </w:r>
      <w:r w:rsidR="006F0D2A" w:rsidRPr="00610B1B">
        <w:rPr>
          <w:rFonts w:ascii="Times New Roman" w:hAnsi="Times New Roman" w:cs="Times New Roman"/>
          <w:sz w:val="24"/>
          <w:szCs w:val="24"/>
          <w:lang w:val="bg-BG"/>
        </w:rPr>
        <w:t>югозападните</w:t>
      </w:r>
      <w:r w:rsidRPr="00610B1B">
        <w:rPr>
          <w:rFonts w:ascii="Times New Roman" w:hAnsi="Times New Roman" w:cs="Times New Roman"/>
          <w:sz w:val="24"/>
          <w:szCs w:val="24"/>
          <w:lang w:val="bg-BG"/>
        </w:rPr>
        <w:t xml:space="preserve"> ветрове да понижават нивото. Т</w:t>
      </w:r>
      <w:r w:rsidR="00A6713C" w:rsidRPr="00610B1B">
        <w:rPr>
          <w:rFonts w:ascii="Times New Roman" w:hAnsi="Times New Roman" w:cs="Times New Roman"/>
          <w:sz w:val="24"/>
          <w:szCs w:val="24"/>
          <w:lang w:val="bg-BG"/>
        </w:rPr>
        <w:t>о</w:t>
      </w:r>
      <w:r w:rsidRPr="00610B1B">
        <w:rPr>
          <w:rFonts w:ascii="Times New Roman" w:hAnsi="Times New Roman" w:cs="Times New Roman"/>
          <w:sz w:val="24"/>
          <w:szCs w:val="24"/>
          <w:lang w:val="bg-BG"/>
        </w:rPr>
        <w:t xml:space="preserve"> зависи до голяма степен от местните условия, като е много по-постоянно в заливите, отколкото на по-откритите места и може да бъде до 0.30 m. Сейшите, които се появяват с малко или никакво предупреждение</w:t>
      </w:r>
      <w:r w:rsidR="00A6713C" w:rsidRPr="00610B1B">
        <w:rPr>
          <w:rFonts w:ascii="Times New Roman" w:hAnsi="Times New Roman" w:cs="Times New Roman"/>
          <w:sz w:val="24"/>
          <w:szCs w:val="24"/>
          <w:lang w:val="bg-BG"/>
        </w:rPr>
        <w:t xml:space="preserve"> вследствие на промени в атмосферното налягане</w:t>
      </w:r>
      <w:r w:rsidRPr="00610B1B">
        <w:rPr>
          <w:rFonts w:ascii="Times New Roman" w:hAnsi="Times New Roman" w:cs="Times New Roman"/>
          <w:sz w:val="24"/>
          <w:szCs w:val="24"/>
          <w:lang w:val="bg-BG"/>
        </w:rPr>
        <w:t xml:space="preserve">, могат да повишат (или понижат) морското ниво с около 1 </w:t>
      </w:r>
      <w:r w:rsidR="006F0D2A"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в някои райони. </w:t>
      </w:r>
    </w:p>
    <w:p w14:paraId="3079E599" w14:textId="71C7320D"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Както е с повечето вътрешни морета в Северното полукълбо, основните характеристики на циркулацията на водата в Черно море се характеризира с обща циклонична система от течения, с подчертана вихрова циркулация в зоните на шелфа и в близост до крайбрежието. Основният динамичен фактор за Черно море (т.нар. кръгово течение, </w:t>
      </w:r>
      <w:r w:rsidR="00811DB7" w:rsidRPr="00610B1B">
        <w:rPr>
          <w:rFonts w:ascii="Times New Roman" w:hAnsi="Times New Roman" w:cs="Times New Roman"/>
          <w:sz w:val="24"/>
          <w:szCs w:val="24"/>
          <w:lang w:val="bg-BG"/>
        </w:rPr>
        <w:t>основно черноморско течение)</w:t>
      </w:r>
      <w:r w:rsidRPr="00610B1B">
        <w:rPr>
          <w:rFonts w:ascii="Times New Roman" w:hAnsi="Times New Roman" w:cs="Times New Roman"/>
          <w:sz w:val="24"/>
          <w:szCs w:val="24"/>
          <w:lang w:val="bg-BG"/>
        </w:rPr>
        <w:t xml:space="preserve"> е сравнително мощно циклонално течение, чийто главен поток и меандрите му покриват цялата периферия на басейна. Ширината на това кръгово течение е няколко десетки километра, а средната скорост в центъра му достига до 40-70 </w:t>
      </w:r>
      <w:r w:rsidR="006F0D2A" w:rsidRPr="00610B1B">
        <w:rPr>
          <w:rFonts w:ascii="Times New Roman" w:hAnsi="Times New Roman" w:cs="Times New Roman"/>
          <w:sz w:val="24"/>
          <w:szCs w:val="24"/>
          <w:lang w:val="bg-BG"/>
        </w:rPr>
        <w:t>cm</w:t>
      </w:r>
      <w:r w:rsidRPr="00610B1B">
        <w:rPr>
          <w:rFonts w:ascii="Times New Roman" w:hAnsi="Times New Roman" w:cs="Times New Roman"/>
          <w:sz w:val="24"/>
          <w:szCs w:val="24"/>
          <w:lang w:val="bg-BG"/>
        </w:rPr>
        <w:t>/</w:t>
      </w:r>
      <w:r w:rsidR="006F0D2A" w:rsidRPr="00610B1B">
        <w:rPr>
          <w:rFonts w:ascii="Times New Roman" w:hAnsi="Times New Roman" w:cs="Times New Roman"/>
          <w:sz w:val="24"/>
          <w:szCs w:val="24"/>
          <w:lang w:val="bg-BG"/>
        </w:rPr>
        <w:t>s</w:t>
      </w:r>
      <w:r w:rsidRPr="00610B1B">
        <w:rPr>
          <w:rFonts w:ascii="Times New Roman" w:hAnsi="Times New Roman" w:cs="Times New Roman"/>
          <w:sz w:val="24"/>
          <w:szCs w:val="24"/>
          <w:lang w:val="bg-BG"/>
        </w:rPr>
        <w:t xml:space="preserve">, а </w:t>
      </w:r>
      <w:r w:rsidR="00A6713C" w:rsidRPr="00610B1B">
        <w:rPr>
          <w:rFonts w:ascii="Times New Roman" w:hAnsi="Times New Roman" w:cs="Times New Roman"/>
          <w:sz w:val="24"/>
          <w:szCs w:val="24"/>
          <w:lang w:val="bg-BG"/>
        </w:rPr>
        <w:t xml:space="preserve">при по-силни, устойчиви ветрове </w:t>
      </w:r>
      <w:r w:rsidRPr="00610B1B">
        <w:rPr>
          <w:rFonts w:ascii="Times New Roman" w:hAnsi="Times New Roman" w:cs="Times New Roman"/>
          <w:sz w:val="24"/>
          <w:szCs w:val="24"/>
          <w:lang w:val="bg-BG"/>
        </w:rPr>
        <w:t>и повече. Скоростта намалява с дълбочината</w:t>
      </w:r>
      <w:r w:rsidR="006F0D2A"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особено под 100 m. Антициклоналните вихри се изявяват по бреговата му граница, а циклоналните - по вътрешната граница. Движението запазва циклоничния си характер до 800–1</w:t>
      </w:r>
      <w:r w:rsidR="006F0D2A"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000 </w:t>
      </w:r>
      <w:r w:rsidR="006F0D2A"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дълбочина, а понякога и до морското дъно. </w:t>
      </w:r>
    </w:p>
    <w:p w14:paraId="0B472AF5" w14:textId="42E6CF6B" w:rsidR="00873CE6" w:rsidRPr="00610B1B" w:rsidRDefault="00873CE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Общ за всички набор от данни е бимодалният характер на циркулацията през годината. Зимната циркулация е доминирана от вихрова система в западния и източния басейни, обградена от слабо меандрираща, силна струя на кръговото течение. През пролетния и летния сезон тази система се преобразува в една композитна циклонова клетка, състояща се от многоцентрични циклонични групи, заобиколена от по-слаба, но по-широка и по-променлива зона на кръговото течение. През есента циркулацията на горния слой достига най-дезорганизираната си форма, идентифицирана от поредица от циклонални вихри във вътрешността си и ярко изразена периферна изменчивост, определена от по-големи крайбрежни антициклонални вихри. </w:t>
      </w:r>
    </w:p>
    <w:p w14:paraId="75F0551E" w14:textId="7FA43A3A" w:rsidR="00823BE7" w:rsidRPr="00610B1B" w:rsidRDefault="00124648" w:rsidP="004F0987">
      <w:pPr>
        <w:spacing w:after="120"/>
        <w:ind w:right="-153"/>
        <w:jc w:val="both"/>
        <w:rPr>
          <w:rFonts w:ascii="Times New Roman" w:hAnsi="Times New Roman" w:cs="Times New Roman"/>
          <w:lang w:val="bg-BG"/>
        </w:rPr>
      </w:pPr>
      <w:r w:rsidRPr="00610B1B">
        <w:rPr>
          <w:rFonts w:ascii="Times New Roman" w:hAnsi="Times New Roman" w:cs="Times New Roman"/>
          <w:sz w:val="24"/>
          <w:szCs w:val="24"/>
          <w:lang w:val="bg-BG"/>
        </w:rPr>
        <w:t>От друга страна, северозападният шелф има силно променлива и динамична циркулационна структура през цялата година, която се формира като комбинация от оттока на Дунав, действието на вятъра и основната циркулационна система, разположена по протежение на откритоморската страна.</w:t>
      </w:r>
      <w:r w:rsidR="00EA610C"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На юг посоката на кръговите течения се </w:t>
      </w:r>
      <w:r w:rsidRPr="00610B1B">
        <w:rPr>
          <w:rFonts w:ascii="Times New Roman" w:hAnsi="Times New Roman" w:cs="Times New Roman"/>
          <w:sz w:val="24"/>
          <w:szCs w:val="24"/>
          <w:lang w:val="bg-BG"/>
        </w:rPr>
        <w:lastRenderedPageBreak/>
        <w:t xml:space="preserve">очертава като преобладаващ път на потока от пресни води във вътрешния шелф по западното крайбрежие. Той може да бъде отклонен от време на време на север като образува антициклонална циркулационна клетка, затворена в северната част на шелфа. Крайбрежният поток на юг до голяма степен намалява при такива случаи. </w:t>
      </w:r>
    </w:p>
    <w:p w14:paraId="7B27294B" w14:textId="371248FD"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Системата на потока в северозападния шелф, която пряко засяга </w:t>
      </w:r>
      <w:r w:rsidR="00F01154" w:rsidRPr="00610B1B">
        <w:rPr>
          <w:rFonts w:ascii="Times New Roman" w:hAnsi="Times New Roman" w:cs="Times New Roman"/>
          <w:sz w:val="24"/>
          <w:szCs w:val="24"/>
          <w:lang w:val="bg-BG"/>
        </w:rPr>
        <w:t>българските морски пространства</w:t>
      </w:r>
      <w:r w:rsidRPr="00610B1B">
        <w:rPr>
          <w:rFonts w:ascii="Times New Roman" w:hAnsi="Times New Roman" w:cs="Times New Roman"/>
          <w:sz w:val="24"/>
          <w:szCs w:val="24"/>
          <w:lang w:val="bg-BG"/>
        </w:rPr>
        <w:t>, се управлява от навлизане на кръговото течение и от зауствания от реките Дунав, Днепър и Днестър</w:t>
      </w:r>
      <w:r w:rsidR="004B2858"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r w:rsidR="00695267" w:rsidRPr="00610B1B">
        <w:rPr>
          <w:rFonts w:ascii="Times New Roman" w:hAnsi="Times New Roman" w:cs="Times New Roman"/>
          <w:sz w:val="24"/>
          <w:szCs w:val="24"/>
          <w:lang w:val="bg-BG"/>
        </w:rPr>
        <w:t xml:space="preserve">Регионалният </w:t>
      </w:r>
      <w:r w:rsidRPr="00610B1B">
        <w:rPr>
          <w:rFonts w:ascii="Times New Roman" w:hAnsi="Times New Roman" w:cs="Times New Roman"/>
          <w:sz w:val="24"/>
          <w:szCs w:val="24"/>
          <w:lang w:val="bg-BG"/>
        </w:rPr>
        <w:t>режим на потока в</w:t>
      </w:r>
      <w:r w:rsidR="00F01154" w:rsidRPr="00610B1B">
        <w:rPr>
          <w:rFonts w:ascii="Times New Roman" w:hAnsi="Times New Roman" w:cs="Times New Roman"/>
          <w:sz w:val="24"/>
          <w:szCs w:val="24"/>
          <w:lang w:val="bg-BG"/>
        </w:rPr>
        <w:t>ъв</w:t>
      </w:r>
      <w:r w:rsidRPr="00610B1B">
        <w:rPr>
          <w:rFonts w:ascii="Times New Roman" w:hAnsi="Times New Roman" w:cs="Times New Roman"/>
          <w:sz w:val="24"/>
          <w:szCs w:val="24"/>
          <w:lang w:val="bg-BG"/>
        </w:rPr>
        <w:t xml:space="preserve"> вътрешния шелф се изразява в наличието на течение, насочено на югозапад. От друга страна, външният шелф се характеризира с високо динамични и сложни взаимодействия между вътрешния шелф и системата на кръговото течение. Крайбрежната система от течения, определ</w:t>
      </w:r>
      <w:r w:rsidR="00403E90"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 xml:space="preserve">н от наличието на пресни води, включва мезомащабни антициклонални вихри, един от които е разположен точно извън зоната на заустване на </w:t>
      </w:r>
      <w:r w:rsidR="00695267" w:rsidRPr="00610B1B">
        <w:rPr>
          <w:rFonts w:ascii="Times New Roman" w:hAnsi="Times New Roman" w:cs="Times New Roman"/>
          <w:sz w:val="24"/>
          <w:szCs w:val="24"/>
          <w:lang w:val="bg-BG"/>
        </w:rPr>
        <w:t xml:space="preserve">р. </w:t>
      </w:r>
      <w:r w:rsidRPr="00610B1B">
        <w:rPr>
          <w:rFonts w:ascii="Times New Roman" w:hAnsi="Times New Roman" w:cs="Times New Roman"/>
          <w:sz w:val="24"/>
          <w:szCs w:val="24"/>
          <w:lang w:val="bg-BG"/>
        </w:rPr>
        <w:t xml:space="preserve">Дунав. </w:t>
      </w:r>
      <w:r w:rsidR="00403E90" w:rsidRPr="00610B1B">
        <w:rPr>
          <w:rFonts w:ascii="Times New Roman" w:hAnsi="Times New Roman" w:cs="Times New Roman"/>
          <w:sz w:val="24"/>
          <w:szCs w:val="24"/>
          <w:lang w:val="bg-BG"/>
        </w:rPr>
        <w:t xml:space="preserve">Тази </w:t>
      </w:r>
      <w:r w:rsidRPr="00610B1B">
        <w:rPr>
          <w:rFonts w:ascii="Times New Roman" w:hAnsi="Times New Roman" w:cs="Times New Roman"/>
          <w:sz w:val="24"/>
          <w:szCs w:val="24"/>
          <w:lang w:val="bg-BG"/>
        </w:rPr>
        <w:t xml:space="preserve">характеристика </w:t>
      </w:r>
      <w:r w:rsidR="00403E90" w:rsidRPr="00610B1B">
        <w:rPr>
          <w:rFonts w:ascii="Times New Roman" w:hAnsi="Times New Roman" w:cs="Times New Roman"/>
          <w:sz w:val="24"/>
          <w:szCs w:val="24"/>
          <w:lang w:val="bg-BG"/>
        </w:rPr>
        <w:t>се нарича д</w:t>
      </w:r>
      <w:r w:rsidRPr="00610B1B">
        <w:rPr>
          <w:rFonts w:ascii="Times New Roman" w:hAnsi="Times New Roman" w:cs="Times New Roman"/>
          <w:sz w:val="24"/>
          <w:szCs w:val="24"/>
          <w:lang w:val="bg-BG"/>
        </w:rPr>
        <w:t xml:space="preserve">унавски антициклонален вихър. </w:t>
      </w:r>
      <w:r w:rsidR="004B2858" w:rsidRPr="00610B1B">
        <w:rPr>
          <w:rFonts w:ascii="Times New Roman" w:hAnsi="Times New Roman" w:cs="Times New Roman"/>
          <w:sz w:val="24"/>
          <w:szCs w:val="24"/>
          <w:lang w:val="bg-BG"/>
        </w:rPr>
        <w:t xml:space="preserve">Антициклоните на Констанца и Калиакра се наблюдават през 190 дни от годината със средна продължителност от около 50 дни. </w:t>
      </w:r>
      <w:r w:rsidRPr="00610B1B">
        <w:rPr>
          <w:rFonts w:ascii="Times New Roman" w:hAnsi="Times New Roman" w:cs="Times New Roman"/>
          <w:sz w:val="24"/>
          <w:szCs w:val="24"/>
          <w:lang w:val="bg-BG"/>
        </w:rPr>
        <w:t>Другият вихър се намира на юг</w:t>
      </w:r>
      <w:r w:rsidR="00403E9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близо до нос Калиакра, в най-тясната част на северозападния шелф. Антициклоналният Калиакренски вихър се появява през късните летни и есенни месеци. </w:t>
      </w:r>
    </w:p>
    <w:p w14:paraId="7B478235" w14:textId="217A9A65" w:rsidR="00823BE7" w:rsidRPr="00610B1B" w:rsidRDefault="00D263C1"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Основният </w:t>
      </w:r>
      <w:r w:rsidR="00823BE7" w:rsidRPr="00610B1B">
        <w:rPr>
          <w:rFonts w:ascii="Times New Roman" w:hAnsi="Times New Roman" w:cs="Times New Roman"/>
          <w:sz w:val="24"/>
          <w:szCs w:val="24"/>
          <w:lang w:val="bg-BG"/>
        </w:rPr>
        <w:t xml:space="preserve">поток претърпява качествени сезонни промени, особено през пролетта, когато </w:t>
      </w:r>
      <w:r w:rsidR="00E41333" w:rsidRPr="00610B1B">
        <w:rPr>
          <w:rFonts w:ascii="Times New Roman" w:hAnsi="Times New Roman" w:cs="Times New Roman"/>
          <w:sz w:val="24"/>
          <w:szCs w:val="24"/>
          <w:lang w:val="bg-BG"/>
        </w:rPr>
        <w:t>с</w:t>
      </w:r>
      <w:r w:rsidR="00823BE7" w:rsidRPr="00610B1B">
        <w:rPr>
          <w:rFonts w:ascii="Times New Roman" w:hAnsi="Times New Roman" w:cs="Times New Roman"/>
          <w:sz w:val="24"/>
          <w:szCs w:val="24"/>
          <w:lang w:val="bg-BG"/>
        </w:rPr>
        <w:t>е измест</w:t>
      </w:r>
      <w:r w:rsidR="00E41333" w:rsidRPr="00610B1B">
        <w:rPr>
          <w:rFonts w:ascii="Times New Roman" w:hAnsi="Times New Roman" w:cs="Times New Roman"/>
          <w:sz w:val="24"/>
          <w:szCs w:val="24"/>
          <w:lang w:val="bg-BG"/>
        </w:rPr>
        <w:t>ва</w:t>
      </w:r>
      <w:r w:rsidR="00823BE7" w:rsidRPr="00610B1B">
        <w:rPr>
          <w:rFonts w:ascii="Times New Roman" w:hAnsi="Times New Roman" w:cs="Times New Roman"/>
          <w:sz w:val="24"/>
          <w:szCs w:val="24"/>
          <w:lang w:val="bg-BG"/>
        </w:rPr>
        <w:t xml:space="preserve"> към морския център. Течението по протежение на българския бряг </w:t>
      </w:r>
      <w:r w:rsidR="005C4A17" w:rsidRPr="00610B1B">
        <w:rPr>
          <w:rFonts w:ascii="Times New Roman" w:hAnsi="Times New Roman" w:cs="Times New Roman"/>
          <w:sz w:val="24"/>
          <w:szCs w:val="24"/>
          <w:lang w:val="bg-BG"/>
        </w:rPr>
        <w:t xml:space="preserve">е </w:t>
      </w:r>
      <w:r w:rsidR="00823BE7" w:rsidRPr="00610B1B">
        <w:rPr>
          <w:rFonts w:ascii="Times New Roman" w:hAnsi="Times New Roman" w:cs="Times New Roman"/>
          <w:sz w:val="24"/>
          <w:szCs w:val="24"/>
          <w:lang w:val="bg-BG"/>
        </w:rPr>
        <w:t>насочено от север или североизток</w:t>
      </w:r>
      <w:r w:rsidR="00061406" w:rsidRPr="00610B1B">
        <w:rPr>
          <w:rFonts w:ascii="Times New Roman" w:hAnsi="Times New Roman" w:cs="Times New Roman"/>
          <w:sz w:val="24"/>
          <w:szCs w:val="24"/>
          <w:lang w:val="bg-BG"/>
        </w:rPr>
        <w:t xml:space="preserve"> и е н</w:t>
      </w:r>
      <w:r w:rsidR="00823BE7" w:rsidRPr="00610B1B">
        <w:rPr>
          <w:rFonts w:ascii="Times New Roman" w:hAnsi="Times New Roman" w:cs="Times New Roman"/>
          <w:sz w:val="24"/>
          <w:szCs w:val="24"/>
          <w:lang w:val="bg-BG"/>
        </w:rPr>
        <w:t xml:space="preserve">ай-силно изразено през зимата. Потокът му обикновено е широк 40-80 </w:t>
      </w:r>
      <w:r w:rsidR="005C4A17" w:rsidRPr="00610B1B">
        <w:rPr>
          <w:rFonts w:ascii="Times New Roman" w:hAnsi="Times New Roman" w:cs="Times New Roman"/>
          <w:sz w:val="24"/>
          <w:szCs w:val="24"/>
          <w:lang w:val="bg-BG"/>
        </w:rPr>
        <w:t>km</w:t>
      </w:r>
      <w:r w:rsidR="00E41333" w:rsidRPr="00610B1B">
        <w:rPr>
          <w:rFonts w:ascii="Times New Roman" w:hAnsi="Times New Roman" w:cs="Times New Roman"/>
          <w:sz w:val="24"/>
          <w:szCs w:val="24"/>
          <w:lang w:val="bg-BG"/>
        </w:rPr>
        <w:t>,</w:t>
      </w:r>
      <w:r w:rsidR="00823BE7" w:rsidRPr="00610B1B">
        <w:rPr>
          <w:rFonts w:ascii="Times New Roman" w:hAnsi="Times New Roman" w:cs="Times New Roman"/>
          <w:sz w:val="24"/>
          <w:szCs w:val="24"/>
          <w:lang w:val="bg-BG"/>
        </w:rPr>
        <w:t xml:space="preserve"> средната му скорост е около 0.50 m/s, а максималната скорост достиг</w:t>
      </w:r>
      <w:r w:rsidR="00F01154" w:rsidRPr="00610B1B">
        <w:rPr>
          <w:rFonts w:ascii="Times New Roman" w:hAnsi="Times New Roman" w:cs="Times New Roman"/>
          <w:sz w:val="24"/>
          <w:szCs w:val="24"/>
          <w:lang w:val="bg-BG"/>
        </w:rPr>
        <w:t>а</w:t>
      </w:r>
      <w:r w:rsidR="00823BE7" w:rsidRPr="00610B1B">
        <w:rPr>
          <w:rFonts w:ascii="Times New Roman" w:hAnsi="Times New Roman" w:cs="Times New Roman"/>
          <w:sz w:val="24"/>
          <w:szCs w:val="24"/>
          <w:lang w:val="bg-BG"/>
        </w:rPr>
        <w:t xml:space="preserve"> 1.00-1.50 m/s</w:t>
      </w:r>
      <w:r w:rsidR="00E41333" w:rsidRPr="00610B1B">
        <w:rPr>
          <w:rFonts w:ascii="Times New Roman" w:hAnsi="Times New Roman" w:cs="Times New Roman"/>
          <w:sz w:val="24"/>
          <w:szCs w:val="24"/>
          <w:lang w:val="bg-BG"/>
        </w:rPr>
        <w:t xml:space="preserve"> и</w:t>
      </w:r>
      <w:r w:rsidR="00823BE7" w:rsidRPr="00610B1B">
        <w:rPr>
          <w:rFonts w:ascii="Times New Roman" w:hAnsi="Times New Roman" w:cs="Times New Roman"/>
          <w:sz w:val="24"/>
          <w:szCs w:val="24"/>
          <w:lang w:val="bg-BG"/>
        </w:rPr>
        <w:t xml:space="preserve"> повече. Счита се, че кръговото течение е разположено над континенталния склон, но не винаги е така. С дълбочината скоростта</w:t>
      </w:r>
      <w:r w:rsidR="00061406" w:rsidRPr="00610B1B">
        <w:rPr>
          <w:rFonts w:ascii="Times New Roman" w:hAnsi="Times New Roman" w:cs="Times New Roman"/>
          <w:sz w:val="24"/>
          <w:szCs w:val="24"/>
          <w:lang w:val="bg-BG"/>
        </w:rPr>
        <w:t xml:space="preserve"> </w:t>
      </w:r>
      <w:r w:rsidR="00823BE7" w:rsidRPr="00610B1B">
        <w:rPr>
          <w:rFonts w:ascii="Times New Roman" w:hAnsi="Times New Roman" w:cs="Times New Roman"/>
          <w:sz w:val="24"/>
          <w:szCs w:val="24"/>
          <w:lang w:val="bg-BG"/>
        </w:rPr>
        <w:t>намалява в горния 100 m слой, основните градиенти се концентрират в 100-200 m слой</w:t>
      </w:r>
      <w:r w:rsidR="00E41333"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00E41333" w:rsidRPr="00610B1B">
        <w:rPr>
          <w:rFonts w:ascii="Times New Roman" w:hAnsi="Times New Roman" w:cs="Times New Roman"/>
          <w:sz w:val="24"/>
          <w:szCs w:val="24"/>
          <w:lang w:val="bg-BG"/>
        </w:rPr>
        <w:t>П</w:t>
      </w:r>
      <w:r w:rsidR="00823BE7" w:rsidRPr="00610B1B">
        <w:rPr>
          <w:rFonts w:ascii="Times New Roman" w:hAnsi="Times New Roman" w:cs="Times New Roman"/>
          <w:sz w:val="24"/>
          <w:szCs w:val="24"/>
          <w:lang w:val="bg-BG"/>
        </w:rPr>
        <w:t xml:space="preserve">од тази дълбочина модулът за скорост рязко отслабва. В някои случаи максималната скорост не е на повърхността, а на 10-25 m хоризонти. </w:t>
      </w:r>
      <w:r w:rsidR="00E41333" w:rsidRPr="00610B1B">
        <w:rPr>
          <w:rFonts w:ascii="Times New Roman" w:hAnsi="Times New Roman" w:cs="Times New Roman"/>
          <w:sz w:val="24"/>
          <w:szCs w:val="24"/>
          <w:lang w:val="bg-BG"/>
        </w:rPr>
        <w:t>Н</w:t>
      </w:r>
      <w:r w:rsidR="00823BE7" w:rsidRPr="00610B1B">
        <w:rPr>
          <w:rFonts w:ascii="Times New Roman" w:hAnsi="Times New Roman" w:cs="Times New Roman"/>
          <w:sz w:val="24"/>
          <w:szCs w:val="24"/>
          <w:lang w:val="bg-BG"/>
        </w:rPr>
        <w:t xml:space="preserve">а дълбочина 100 m кръговото течение се идентифицира с местоположението на изохалината 20‰. Типичните хоризонтални размери на вихровите образувания варират от 30-35 до 100 </w:t>
      </w:r>
      <w:r w:rsidR="005C4A17" w:rsidRPr="00610B1B">
        <w:rPr>
          <w:rFonts w:ascii="Times New Roman" w:hAnsi="Times New Roman" w:cs="Times New Roman"/>
          <w:sz w:val="24"/>
          <w:szCs w:val="24"/>
          <w:lang w:val="bg-BG"/>
        </w:rPr>
        <w:t>km,</w:t>
      </w:r>
      <w:r w:rsidR="00823BE7" w:rsidRPr="00610B1B">
        <w:rPr>
          <w:rFonts w:ascii="Times New Roman" w:hAnsi="Times New Roman" w:cs="Times New Roman"/>
          <w:sz w:val="24"/>
          <w:szCs w:val="24"/>
          <w:lang w:val="bg-BG"/>
        </w:rPr>
        <w:t xml:space="preserve"> </w:t>
      </w:r>
      <w:r w:rsidR="00EA610C" w:rsidRPr="00610B1B">
        <w:rPr>
          <w:rFonts w:ascii="Times New Roman" w:hAnsi="Times New Roman" w:cs="Times New Roman"/>
          <w:sz w:val="24"/>
          <w:szCs w:val="24"/>
          <w:lang w:val="bg-BG"/>
        </w:rPr>
        <w:t>а</w:t>
      </w:r>
      <w:r w:rsidR="00823BE7" w:rsidRPr="00610B1B">
        <w:rPr>
          <w:rFonts w:ascii="Times New Roman" w:hAnsi="Times New Roman" w:cs="Times New Roman"/>
          <w:sz w:val="24"/>
          <w:szCs w:val="24"/>
          <w:lang w:val="bg-BG"/>
        </w:rPr>
        <w:t xml:space="preserve"> формата им обикновено е неправилн</w:t>
      </w:r>
      <w:r w:rsidR="00E41333" w:rsidRPr="00610B1B">
        <w:rPr>
          <w:rFonts w:ascii="Times New Roman" w:hAnsi="Times New Roman" w:cs="Times New Roman"/>
          <w:sz w:val="24"/>
          <w:szCs w:val="24"/>
          <w:lang w:val="bg-BG"/>
        </w:rPr>
        <w:t xml:space="preserve">а. В </w:t>
      </w:r>
      <w:r w:rsidR="00823BE7" w:rsidRPr="00610B1B">
        <w:rPr>
          <w:rFonts w:ascii="Times New Roman" w:hAnsi="Times New Roman" w:cs="Times New Roman"/>
          <w:sz w:val="24"/>
          <w:szCs w:val="24"/>
          <w:lang w:val="bg-BG"/>
        </w:rPr>
        <w:t xml:space="preserve">центъра на вихрите има особени вертикални движения към повърхността и към дъното, съответно при циклоните и антициклоните. </w:t>
      </w:r>
    </w:p>
    <w:p w14:paraId="2772FE57" w14:textId="1E307C42" w:rsidR="00124648"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Вълновият климат</w:t>
      </w:r>
      <w:r w:rsidRPr="00610B1B">
        <w:rPr>
          <w:rFonts w:ascii="Times New Roman" w:hAnsi="Times New Roman" w:cs="Times New Roman"/>
          <w:sz w:val="24"/>
          <w:szCs w:val="24"/>
          <w:lang w:val="bg-BG"/>
        </w:rPr>
        <w:t xml:space="preserve"> е уникална комбинация от мезомащабни атмосферни процеси и влияние на местните геоморфни условия. </w:t>
      </w:r>
      <w:r w:rsidR="00124648" w:rsidRPr="00610B1B">
        <w:rPr>
          <w:rFonts w:ascii="Times New Roman" w:hAnsi="Times New Roman" w:cs="Times New Roman"/>
          <w:sz w:val="24"/>
          <w:szCs w:val="24"/>
          <w:lang w:val="bg-BG"/>
        </w:rPr>
        <w:t>Настоящата оценка е базирана на моделни изследвания на ветровото вълнение в Черно море. Основната констатация е, че значителната височина на вълната намалява от запад на изток. Басейнът олицетворява две контрастни части на вълновата енергия - западна и източна. Значителната височина на вълната има своя максимум в западната част, където достига 1</w:t>
      </w:r>
      <w:r w:rsidR="00DB0FAB" w:rsidRPr="00610B1B">
        <w:rPr>
          <w:rFonts w:ascii="Times New Roman" w:hAnsi="Times New Roman" w:cs="Times New Roman"/>
          <w:sz w:val="24"/>
          <w:szCs w:val="24"/>
          <w:lang w:val="bg-BG"/>
        </w:rPr>
        <w:t> </w:t>
      </w:r>
      <w:r w:rsidR="00124648" w:rsidRPr="00610B1B">
        <w:rPr>
          <w:rFonts w:ascii="Times New Roman" w:hAnsi="Times New Roman" w:cs="Times New Roman"/>
          <w:sz w:val="24"/>
          <w:szCs w:val="24"/>
          <w:lang w:val="bg-BG"/>
        </w:rPr>
        <w:t xml:space="preserve">m. </w:t>
      </w:r>
    </w:p>
    <w:p w14:paraId="6261CDFA" w14:textId="596B77DD" w:rsidR="00F908E6" w:rsidRPr="00610B1B" w:rsidRDefault="00354EFB" w:rsidP="00D32D6A">
      <w:pPr>
        <w:spacing w:after="120"/>
        <w:ind w:right="-329"/>
        <w:jc w:val="both"/>
        <w:rPr>
          <w:rFonts w:ascii="Times New Roman" w:hAnsi="Times New Roman" w:cs="Times New Roman"/>
          <w:sz w:val="24"/>
          <w:szCs w:val="24"/>
          <w:lang w:val="bg-BG"/>
        </w:rPr>
      </w:pPr>
      <w:bookmarkStart w:id="25" w:name="_Toc83391467"/>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4</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w:t>
      </w:r>
      <w:r w:rsidR="00F908E6" w:rsidRPr="00610B1B">
        <w:rPr>
          <w:rFonts w:ascii="Times New Roman" w:hAnsi="Times New Roman" w:cs="Times New Roman"/>
          <w:sz w:val="24"/>
          <w:szCs w:val="24"/>
          <w:lang w:val="bg-BG"/>
        </w:rPr>
        <w:t xml:space="preserve"> Пространствено разпределение на средната значителна височина на вълната</w:t>
      </w:r>
      <w:r w:rsidR="00DB0FAB" w:rsidRPr="00610B1B">
        <w:rPr>
          <w:rFonts w:ascii="Times New Roman" w:hAnsi="Times New Roman" w:cs="Times New Roman"/>
          <w:sz w:val="24"/>
          <w:szCs w:val="24"/>
          <w:lang w:val="bg-BG"/>
        </w:rPr>
        <w:t xml:space="preserve">, </w:t>
      </w:r>
      <w:r w:rsidR="00F908E6" w:rsidRPr="00610B1B">
        <w:rPr>
          <w:rFonts w:ascii="Times New Roman" w:hAnsi="Times New Roman" w:cs="Times New Roman"/>
          <w:sz w:val="24"/>
          <w:szCs w:val="24"/>
          <w:lang w:val="bg-BG"/>
        </w:rPr>
        <w:t>m.</w:t>
      </w:r>
      <w:bookmarkEnd w:id="25"/>
    </w:p>
    <w:p w14:paraId="6C8E39FE" w14:textId="3B072A0E" w:rsidR="00823BE7" w:rsidRPr="00610B1B" w:rsidRDefault="00823BE7" w:rsidP="00D32D6A">
      <w:pPr>
        <w:spacing w:after="120"/>
        <w:ind w:right="-153"/>
        <w:rPr>
          <w:rFonts w:ascii="Times New Roman" w:hAnsi="Times New Roman" w:cs="Times New Roman"/>
          <w:sz w:val="24"/>
          <w:szCs w:val="24"/>
          <w:lang w:val="bg-BG"/>
        </w:rPr>
      </w:pPr>
      <w:r w:rsidRPr="00610B1B">
        <w:rPr>
          <w:rFonts w:ascii="Times New Roman" w:hAnsi="Times New Roman" w:cs="Times New Roman"/>
          <w:noProof/>
          <w:sz w:val="24"/>
          <w:szCs w:val="24"/>
          <w:lang w:val="bg-BG" w:eastAsia="bg-BG"/>
        </w:rPr>
        <w:lastRenderedPageBreak/>
        <w:drawing>
          <wp:inline distT="0" distB="0" distL="0" distR="0" wp14:anchorId="03D5F563" wp14:editId="51AD67CE">
            <wp:extent cx="4909403" cy="2889184"/>
            <wp:effectExtent l="0" t="0" r="5715" b="6985"/>
            <wp:docPr id="227" name="Picture 227" descr="Mean%20Wave%20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ean%20Wave%20Field"/>
                    <pic:cNvPicPr>
                      <a:picLocks noChangeAspect="1" noChangeArrowheads="1"/>
                    </pic:cNvPicPr>
                  </pic:nvPicPr>
                  <pic:blipFill>
                    <a:blip r:embed="rId20" cstate="print">
                      <a:extLst>
                        <a:ext uri="{28A0092B-C50C-407E-A947-70E740481C1C}">
                          <a14:useLocalDpi xmlns:a14="http://schemas.microsoft.com/office/drawing/2010/main" val="0"/>
                        </a:ext>
                      </a:extLst>
                    </a:blip>
                    <a:srcRect l="32191" t="6812"/>
                    <a:stretch>
                      <a:fillRect/>
                    </a:stretch>
                  </pic:blipFill>
                  <pic:spPr bwMode="auto">
                    <a:xfrm>
                      <a:off x="0" y="0"/>
                      <a:ext cx="4910370" cy="2889753"/>
                    </a:xfrm>
                    <a:prstGeom prst="rect">
                      <a:avLst/>
                    </a:prstGeom>
                    <a:noFill/>
                    <a:ln>
                      <a:noFill/>
                    </a:ln>
                  </pic:spPr>
                </pic:pic>
              </a:graphicData>
            </a:graphic>
          </wp:inline>
        </w:drawing>
      </w:r>
    </w:p>
    <w:p w14:paraId="1CE53321" w14:textId="59868C68" w:rsidR="006F3411" w:rsidRPr="00610B1B" w:rsidRDefault="006F3411" w:rsidP="00B60338">
      <w:pPr>
        <w:spacing w:after="120"/>
        <w:ind w:right="-153"/>
        <w:jc w:val="both"/>
        <w:rPr>
          <w:rFonts w:ascii="Times New Roman" w:hAnsi="Times New Roman" w:cs="Times New Roman"/>
          <w:lang w:val="bg-BG"/>
        </w:rPr>
      </w:pPr>
      <w:r w:rsidRPr="00610B1B">
        <w:rPr>
          <w:rFonts w:ascii="Times New Roman" w:hAnsi="Times New Roman" w:cs="Times New Roman"/>
          <w:lang w:val="bg-BG"/>
        </w:rPr>
        <w:t xml:space="preserve">Източник: По данни на </w:t>
      </w:r>
      <w:r w:rsidR="00DB0FAB" w:rsidRPr="00610B1B">
        <w:rPr>
          <w:rFonts w:ascii="Times New Roman" w:hAnsi="Times New Roman" w:cs="Times New Roman"/>
          <w:lang w:val="bg-BG"/>
        </w:rPr>
        <w:t xml:space="preserve">Valchev et al., 2014 </w:t>
      </w:r>
      <w:r w:rsidRPr="00610B1B">
        <w:rPr>
          <w:rFonts w:ascii="Times New Roman" w:hAnsi="Times New Roman" w:cs="Times New Roman"/>
          <w:lang w:val="bg-BG"/>
        </w:rPr>
        <w:t>Обработка проф. Л. Димитров</w:t>
      </w:r>
    </w:p>
    <w:p w14:paraId="59AD0D47" w14:textId="3557611A" w:rsidR="00B2312E" w:rsidRPr="00610B1B" w:rsidRDefault="00B2312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Продължителността на действието на вълни с височина 0.3÷2.0 m в рамките на статистическа </w:t>
      </w:r>
      <w:r w:rsidR="00144A0E" w:rsidRPr="00610B1B">
        <w:rPr>
          <w:rFonts w:ascii="Times New Roman" w:hAnsi="Times New Roman" w:cs="Times New Roman"/>
          <w:sz w:val="24"/>
          <w:szCs w:val="24"/>
          <w:lang w:val="bg-BG"/>
        </w:rPr>
        <w:t>година е представена на Фигура 5</w:t>
      </w:r>
      <w:r w:rsidRPr="00610B1B">
        <w:rPr>
          <w:rFonts w:ascii="Times New Roman" w:hAnsi="Times New Roman" w:cs="Times New Roman"/>
          <w:sz w:val="24"/>
          <w:szCs w:val="24"/>
          <w:lang w:val="bg-BG"/>
        </w:rPr>
        <w:t>.</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Съответните периоди на вълна варират между 1.5 до 5.5 s. Логично тази характеристика разкрива подобен на височината на вълната пространствен модел. Площта с най-голяма продължителност повече от 5 500 часа, заема почти цялата западна част на морето, докато в източната не надвишава 5 000 часа и пада до около 3 500 часа по-далеч на изток.</w:t>
      </w:r>
    </w:p>
    <w:p w14:paraId="0762C1D1" w14:textId="3EE9D050" w:rsidR="00F908E6" w:rsidRPr="00610B1B" w:rsidRDefault="00354EFB" w:rsidP="00D32D6A">
      <w:pPr>
        <w:spacing w:after="120"/>
        <w:ind w:right="-153"/>
        <w:jc w:val="both"/>
        <w:rPr>
          <w:rFonts w:ascii="Times New Roman" w:hAnsi="Times New Roman" w:cs="Times New Roman"/>
          <w:iCs/>
          <w:sz w:val="24"/>
          <w:szCs w:val="24"/>
          <w:lang w:val="bg-BG"/>
        </w:rPr>
      </w:pPr>
      <w:bookmarkStart w:id="26" w:name="_Toc83391468"/>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5</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F908E6" w:rsidRPr="00610B1B">
        <w:rPr>
          <w:rFonts w:ascii="Times New Roman" w:hAnsi="Times New Roman" w:cs="Times New Roman"/>
          <w:iCs/>
          <w:sz w:val="24"/>
          <w:szCs w:val="24"/>
          <w:lang w:val="bg-BG"/>
        </w:rPr>
        <w:t>Пространствено разпределение на продължителността на действието в 103 h на вълни с височина 0.3 ÷ 2.0 m</w:t>
      </w:r>
      <w:bookmarkEnd w:id="26"/>
    </w:p>
    <w:p w14:paraId="5F650AEE" w14:textId="525757F0" w:rsidR="00823BE7" w:rsidRPr="00610B1B" w:rsidRDefault="00823BE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noProof/>
          <w:color w:val="231F20"/>
          <w:sz w:val="24"/>
          <w:szCs w:val="24"/>
          <w:lang w:val="bg-BG" w:eastAsia="bg-BG"/>
        </w:rPr>
        <w:drawing>
          <wp:inline distT="0" distB="0" distL="0" distR="0" wp14:anchorId="4E86A065" wp14:editId="1DC41EA1">
            <wp:extent cx="4892040" cy="2703195"/>
            <wp:effectExtent l="0" t="0" r="3810" b="1905"/>
            <wp:docPr id="228" name="Picture 228" descr="HOURS_02-2 annual DIVA final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OURS_02-2 annual DIVA final final"/>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2040" cy="2703195"/>
                    </a:xfrm>
                    <a:prstGeom prst="rect">
                      <a:avLst/>
                    </a:prstGeom>
                    <a:noFill/>
                    <a:ln>
                      <a:noFill/>
                    </a:ln>
                  </pic:spPr>
                </pic:pic>
              </a:graphicData>
            </a:graphic>
          </wp:inline>
        </w:drawing>
      </w:r>
    </w:p>
    <w:p w14:paraId="7BD574B7" w14:textId="116A7DE9" w:rsidR="00051B0E" w:rsidRPr="00610B1B" w:rsidRDefault="00051B0E" w:rsidP="00B60338">
      <w:pPr>
        <w:spacing w:after="120"/>
        <w:ind w:right="-153"/>
        <w:jc w:val="both"/>
        <w:rPr>
          <w:rFonts w:ascii="Times New Roman" w:hAnsi="Times New Roman" w:cs="Times New Roman"/>
          <w:lang w:val="bg-BG"/>
        </w:rPr>
      </w:pPr>
      <w:r w:rsidRPr="00610B1B">
        <w:rPr>
          <w:rFonts w:ascii="Times New Roman" w:hAnsi="Times New Roman" w:cs="Times New Roman"/>
          <w:lang w:val="bg-BG"/>
        </w:rPr>
        <w:t>Източник: По данни на Valchev et al., 2014 Обработка проф. Л. Димитров</w:t>
      </w:r>
    </w:p>
    <w:p w14:paraId="246284C1" w14:textId="0ADCE4DD" w:rsidR="00823BE7" w:rsidRPr="00610B1B" w:rsidRDefault="00AC5F2E" w:rsidP="00D32D6A">
      <w:pPr>
        <w:snapToGri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Сезонната изменчивост е добре изразена с минимум в топлия период и максимум в студения. Най-високата средна SWH е през януари – 1.3 m, а най-ниската - през юни – 0.6 m. Най-високата максимална SWH е отново през януари – 8.5 m, а най-ниската през юли и август – 3.7 m. Диференциалното и кумулативно честотно разпределение на значителна </w:t>
      </w:r>
      <w:r w:rsidRPr="00610B1B">
        <w:rPr>
          <w:rFonts w:ascii="Times New Roman" w:hAnsi="Times New Roman" w:cs="Times New Roman"/>
          <w:sz w:val="24"/>
          <w:szCs w:val="24"/>
          <w:lang w:val="bg-BG"/>
        </w:rPr>
        <w:lastRenderedPageBreak/>
        <w:t>височина на вълната показват, че най-често наблюдаваните вълни са с височина по-малка от 1.0 m, което е повече от 65% от всички случаи. Вълните с височина по-големи от 5 m представляват по-малко от 0.2% и се разпространяват от изток и североизток.</w:t>
      </w:r>
      <w:r w:rsidR="00051B0E" w:rsidRPr="00610B1B">
        <w:rPr>
          <w:rFonts w:ascii="Times New Roman" w:hAnsi="Times New Roman" w:cs="Times New Roman"/>
          <w:sz w:val="24"/>
          <w:szCs w:val="24"/>
          <w:lang w:val="bg-BG"/>
        </w:rPr>
        <w:t xml:space="preserve"> </w:t>
      </w:r>
    </w:p>
    <w:p w14:paraId="6D99FDD4" w14:textId="77777777" w:rsidR="00051B0E" w:rsidRPr="00610B1B" w:rsidRDefault="00051B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Следвайки модела на вятъра, вълните се разпространяват най-често от изток, североизток и югоизток. Източните вълни преобладават в шелфовата зона, вероятността за поява е между 30% и 40%. Приносът от североизточните вълни е почти постоянен (30%), с изключение на най-северната част, поради предпазващия ефект на нос Калиакра. Североизточните вълни засягат централната и южната част на шелфа. Значението на югоизточните вълни се увеличава на север: тяхната вероятност за поява нараства от 5% в южната част до над 10% в северната. Вълните от западната половина имат пренебрежимо тегло по отношение на вероятността за поява (средно 5.5%) и поради височината на вълната, която рядко надвишава 1,0 m. Вълните от тези посоки са с ограничени условия за растеж в западния шелф и нямат значение за крайбрежните процеси.</w:t>
      </w:r>
    </w:p>
    <w:p w14:paraId="23A1521A" w14:textId="62AA4261" w:rsidR="00823BE7" w:rsidRPr="00610B1B" w:rsidRDefault="0077553B"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Сезонната </w:t>
      </w:r>
      <w:r w:rsidR="00823BE7" w:rsidRPr="00610B1B">
        <w:rPr>
          <w:rFonts w:ascii="Times New Roman" w:hAnsi="Times New Roman" w:cs="Times New Roman"/>
          <w:sz w:val="24"/>
          <w:szCs w:val="24"/>
          <w:lang w:val="bg-BG"/>
        </w:rPr>
        <w:t>изменчивост</w:t>
      </w:r>
      <w:r w:rsidRPr="00610B1B">
        <w:rPr>
          <w:rFonts w:ascii="Times New Roman" w:hAnsi="Times New Roman" w:cs="Times New Roman"/>
          <w:sz w:val="24"/>
          <w:szCs w:val="24"/>
          <w:lang w:val="bg-BG"/>
        </w:rPr>
        <w:t xml:space="preserve"> показва, че</w:t>
      </w:r>
      <w:r w:rsidR="00823BE7" w:rsidRPr="00610B1B">
        <w:rPr>
          <w:rFonts w:ascii="Times New Roman" w:hAnsi="Times New Roman" w:cs="Times New Roman"/>
          <w:sz w:val="24"/>
          <w:szCs w:val="24"/>
          <w:lang w:val="bg-BG"/>
        </w:rPr>
        <w:t xml:space="preserve"> вълновия</w:t>
      </w:r>
      <w:r w:rsidR="005E685F" w:rsidRPr="00610B1B">
        <w:rPr>
          <w:rFonts w:ascii="Times New Roman" w:hAnsi="Times New Roman" w:cs="Times New Roman"/>
          <w:sz w:val="24"/>
          <w:szCs w:val="24"/>
          <w:lang w:val="bg-BG"/>
        </w:rPr>
        <w:t>т</w:t>
      </w:r>
      <w:r w:rsidR="00823BE7" w:rsidRPr="00610B1B">
        <w:rPr>
          <w:rFonts w:ascii="Times New Roman" w:hAnsi="Times New Roman" w:cs="Times New Roman"/>
          <w:sz w:val="24"/>
          <w:szCs w:val="24"/>
          <w:lang w:val="bg-BG"/>
        </w:rPr>
        <w:t xml:space="preserve"> климат е най-суров през януари и февруари, като средната височина на вълната варира между 1.7 </w:t>
      </w:r>
      <w:r w:rsidR="005E685F" w:rsidRPr="00610B1B">
        <w:rPr>
          <w:rFonts w:ascii="Times New Roman" w:hAnsi="Times New Roman" w:cs="Times New Roman"/>
          <w:sz w:val="24"/>
          <w:szCs w:val="24"/>
          <w:lang w:val="bg-BG"/>
        </w:rPr>
        <w:t>m</w:t>
      </w:r>
      <w:r w:rsidR="00823BE7" w:rsidRPr="00610B1B">
        <w:rPr>
          <w:rFonts w:ascii="Times New Roman" w:hAnsi="Times New Roman" w:cs="Times New Roman"/>
          <w:sz w:val="24"/>
          <w:szCs w:val="24"/>
          <w:lang w:val="bg-BG"/>
        </w:rPr>
        <w:t xml:space="preserve"> и 1.9 </w:t>
      </w:r>
      <w:r w:rsidR="005E685F" w:rsidRPr="00610B1B">
        <w:rPr>
          <w:rFonts w:ascii="Times New Roman" w:hAnsi="Times New Roman" w:cs="Times New Roman"/>
          <w:sz w:val="24"/>
          <w:szCs w:val="24"/>
          <w:lang w:val="bg-BG"/>
        </w:rPr>
        <w:t>m</w:t>
      </w:r>
      <w:r w:rsidR="00823BE7" w:rsidRPr="00610B1B">
        <w:rPr>
          <w:rFonts w:ascii="Times New Roman" w:hAnsi="Times New Roman" w:cs="Times New Roman"/>
          <w:sz w:val="24"/>
          <w:szCs w:val="24"/>
          <w:lang w:val="bg-BG"/>
        </w:rPr>
        <w:t xml:space="preserve"> във външната част и между 1.2 </w:t>
      </w:r>
      <w:r w:rsidR="005E685F" w:rsidRPr="00610B1B">
        <w:rPr>
          <w:rFonts w:ascii="Times New Roman" w:hAnsi="Times New Roman" w:cs="Times New Roman"/>
          <w:sz w:val="24"/>
          <w:szCs w:val="24"/>
          <w:lang w:val="bg-BG"/>
        </w:rPr>
        <w:t>m</w:t>
      </w:r>
      <w:r w:rsidR="00823BE7" w:rsidRPr="00610B1B">
        <w:rPr>
          <w:rFonts w:ascii="Times New Roman" w:hAnsi="Times New Roman" w:cs="Times New Roman"/>
          <w:sz w:val="24"/>
          <w:szCs w:val="24"/>
          <w:lang w:val="bg-BG"/>
        </w:rPr>
        <w:t xml:space="preserve"> и 1.4 </w:t>
      </w:r>
      <w:r w:rsidR="005E685F" w:rsidRPr="00610B1B">
        <w:rPr>
          <w:rFonts w:ascii="Times New Roman" w:hAnsi="Times New Roman" w:cs="Times New Roman"/>
          <w:sz w:val="24"/>
          <w:szCs w:val="24"/>
          <w:lang w:val="bg-BG"/>
        </w:rPr>
        <w:t>m</w:t>
      </w:r>
      <w:r w:rsidR="00823BE7" w:rsidRPr="00610B1B">
        <w:rPr>
          <w:rFonts w:ascii="Times New Roman" w:hAnsi="Times New Roman" w:cs="Times New Roman"/>
          <w:sz w:val="24"/>
          <w:szCs w:val="24"/>
          <w:lang w:val="bg-BG"/>
        </w:rPr>
        <w:t xml:space="preserve"> във вътрешната част на шелфа. От януари до март вълновите условия в горната част на шелфа стават малко по-меки, въпреки че остават подобни в долната. През април средната височина на вълната спада бързо и във външния шелф е около 1.4 m, докато във вътрешната част не надвишава 1 m. Подобно е положението и през май. Най-мек е климатът на вълните през юни и юли със средна височина на вълната между 1.3 m и 0.8 m</w:t>
      </w:r>
      <w:r w:rsidR="003E240D" w:rsidRPr="00610B1B">
        <w:rPr>
          <w:rFonts w:ascii="Times New Roman" w:hAnsi="Times New Roman" w:cs="Times New Roman"/>
          <w:sz w:val="24"/>
          <w:szCs w:val="24"/>
          <w:lang w:val="bg-BG"/>
        </w:rPr>
        <w:t xml:space="preserve">, </w:t>
      </w:r>
      <w:r w:rsidR="00823BE7" w:rsidRPr="00610B1B">
        <w:rPr>
          <w:rFonts w:ascii="Times New Roman" w:hAnsi="Times New Roman" w:cs="Times New Roman"/>
          <w:sz w:val="24"/>
          <w:szCs w:val="24"/>
          <w:lang w:val="bg-BG"/>
        </w:rPr>
        <w:t>преобладава</w:t>
      </w:r>
      <w:r w:rsidR="003E240D" w:rsidRPr="00610B1B">
        <w:rPr>
          <w:rFonts w:ascii="Times New Roman" w:hAnsi="Times New Roman" w:cs="Times New Roman"/>
          <w:sz w:val="24"/>
          <w:szCs w:val="24"/>
          <w:lang w:val="bg-BG"/>
        </w:rPr>
        <w:t>т</w:t>
      </w:r>
      <w:r w:rsidR="00823BE7" w:rsidRPr="00610B1B">
        <w:rPr>
          <w:rFonts w:ascii="Times New Roman" w:hAnsi="Times New Roman" w:cs="Times New Roman"/>
          <w:sz w:val="24"/>
          <w:szCs w:val="24"/>
          <w:lang w:val="bg-BG"/>
        </w:rPr>
        <w:t xml:space="preserve"> североизточни и източни вълни. През есента влиянието на югоизточните вълни </w:t>
      </w:r>
      <w:r w:rsidR="00EB1E26" w:rsidRPr="00610B1B">
        <w:rPr>
          <w:rFonts w:ascii="Times New Roman" w:hAnsi="Times New Roman" w:cs="Times New Roman"/>
          <w:sz w:val="24"/>
          <w:szCs w:val="24"/>
          <w:lang w:val="bg-BG"/>
        </w:rPr>
        <w:t>е</w:t>
      </w:r>
      <w:r w:rsidR="00823BE7" w:rsidRPr="00610B1B">
        <w:rPr>
          <w:rFonts w:ascii="Times New Roman" w:hAnsi="Times New Roman" w:cs="Times New Roman"/>
          <w:sz w:val="24"/>
          <w:szCs w:val="24"/>
          <w:lang w:val="bg-BG"/>
        </w:rPr>
        <w:t xml:space="preserve"> забележимо и условията по протежение на шелфа са почти еднакви. Средната значителна височина на вълната достига максимални стойности - 1.7 m и 1.4 m във външната и вътрешната част на рафта през декември. </w:t>
      </w:r>
      <w:r w:rsidR="005E685F" w:rsidRPr="00610B1B">
        <w:rPr>
          <w:rFonts w:ascii="Times New Roman" w:hAnsi="Times New Roman" w:cs="Times New Roman"/>
          <w:sz w:val="24"/>
          <w:szCs w:val="24"/>
          <w:lang w:val="bg-BG"/>
        </w:rPr>
        <w:t xml:space="preserve">Вълновите </w:t>
      </w:r>
      <w:r w:rsidR="00823BE7" w:rsidRPr="00610B1B">
        <w:rPr>
          <w:rFonts w:ascii="Times New Roman" w:hAnsi="Times New Roman" w:cs="Times New Roman"/>
          <w:sz w:val="24"/>
          <w:szCs w:val="24"/>
          <w:lang w:val="bg-BG"/>
        </w:rPr>
        <w:t>условия през ноември са по-леки от тези през октомври.</w:t>
      </w:r>
    </w:p>
    <w:p w14:paraId="380D6AA1" w14:textId="4E81B817" w:rsidR="00212964" w:rsidRPr="00610B1B" w:rsidRDefault="00EB1E2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Съществуват</w:t>
      </w:r>
      <w:r w:rsidR="00823BE7" w:rsidRPr="00610B1B">
        <w:rPr>
          <w:rFonts w:ascii="Times New Roman" w:hAnsi="Times New Roman" w:cs="Times New Roman"/>
          <w:sz w:val="24"/>
          <w:szCs w:val="24"/>
          <w:lang w:val="bg-BG"/>
        </w:rPr>
        <w:t xml:space="preserve"> три добре маркирани подпериода с </w:t>
      </w:r>
      <w:r w:rsidR="005843B2" w:rsidRPr="00610B1B">
        <w:rPr>
          <w:rFonts w:ascii="Times New Roman" w:hAnsi="Times New Roman" w:cs="Times New Roman"/>
          <w:sz w:val="24"/>
          <w:szCs w:val="24"/>
          <w:lang w:val="bg-BG"/>
        </w:rPr>
        <w:t>приблизително</w:t>
      </w:r>
      <w:r w:rsidR="00823BE7" w:rsidRPr="00610B1B">
        <w:rPr>
          <w:rFonts w:ascii="Times New Roman" w:hAnsi="Times New Roman" w:cs="Times New Roman"/>
          <w:sz w:val="24"/>
          <w:szCs w:val="24"/>
          <w:lang w:val="bg-BG"/>
        </w:rPr>
        <w:t xml:space="preserve"> еднакъв брой бури, разделени от сравнително спокойни условия: до 1964 г., 1968-1989 г. и от 1993 г. Периодите с по-малко на брой щормове обхващат 4 години всеки - 1964-1967 </w:t>
      </w:r>
      <w:r w:rsidRPr="00610B1B">
        <w:rPr>
          <w:rFonts w:ascii="Times New Roman" w:hAnsi="Times New Roman" w:cs="Times New Roman"/>
          <w:sz w:val="24"/>
          <w:szCs w:val="24"/>
          <w:lang w:val="bg-BG"/>
        </w:rPr>
        <w:t xml:space="preserve">г. </w:t>
      </w:r>
      <w:r w:rsidR="00823BE7" w:rsidRPr="00610B1B">
        <w:rPr>
          <w:rFonts w:ascii="Times New Roman" w:hAnsi="Times New Roman" w:cs="Times New Roman"/>
          <w:sz w:val="24"/>
          <w:szCs w:val="24"/>
          <w:lang w:val="bg-BG"/>
        </w:rPr>
        <w:t xml:space="preserve">и 1989-1992 </w:t>
      </w:r>
      <w:r w:rsidRPr="00610B1B">
        <w:rPr>
          <w:rFonts w:ascii="Times New Roman" w:hAnsi="Times New Roman" w:cs="Times New Roman"/>
          <w:sz w:val="24"/>
          <w:szCs w:val="24"/>
          <w:lang w:val="bg-BG"/>
        </w:rPr>
        <w:t xml:space="preserve">г. </w:t>
      </w:r>
      <w:r w:rsidR="00823BE7" w:rsidRPr="00610B1B">
        <w:rPr>
          <w:rFonts w:ascii="Times New Roman" w:hAnsi="Times New Roman" w:cs="Times New Roman"/>
          <w:sz w:val="24"/>
          <w:szCs w:val="24"/>
          <w:lang w:val="bg-BG"/>
        </w:rPr>
        <w:t xml:space="preserve">- само с 1-2 бури във всеки. </w:t>
      </w:r>
      <w:r w:rsidR="005843B2" w:rsidRPr="00610B1B">
        <w:rPr>
          <w:rFonts w:ascii="Times New Roman" w:hAnsi="Times New Roman" w:cs="Times New Roman"/>
          <w:sz w:val="24"/>
          <w:szCs w:val="24"/>
          <w:lang w:val="bg-BG"/>
        </w:rPr>
        <w:t>В</w:t>
      </w:r>
      <w:r w:rsidR="00823BE7" w:rsidRPr="00610B1B">
        <w:rPr>
          <w:rFonts w:ascii="Times New Roman" w:hAnsi="Times New Roman" w:cs="Times New Roman"/>
          <w:sz w:val="24"/>
          <w:szCs w:val="24"/>
          <w:lang w:val="bg-BG"/>
        </w:rPr>
        <w:t xml:space="preserve"> два сезона 2006-2007</w:t>
      </w:r>
      <w:r w:rsidRPr="00610B1B">
        <w:rPr>
          <w:rFonts w:ascii="Times New Roman" w:hAnsi="Times New Roman" w:cs="Times New Roman"/>
          <w:sz w:val="24"/>
          <w:szCs w:val="24"/>
          <w:lang w:val="bg-BG"/>
        </w:rPr>
        <w:t xml:space="preserve"> г.</w:t>
      </w:r>
      <w:r w:rsidR="00823BE7" w:rsidRPr="00610B1B">
        <w:rPr>
          <w:rFonts w:ascii="Times New Roman" w:hAnsi="Times New Roman" w:cs="Times New Roman"/>
          <w:sz w:val="24"/>
          <w:szCs w:val="24"/>
          <w:lang w:val="bg-BG"/>
        </w:rPr>
        <w:t xml:space="preserve"> и 2008-2009</w:t>
      </w:r>
      <w:r w:rsidR="005843B2"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г. </w:t>
      </w:r>
      <w:r w:rsidR="005843B2" w:rsidRPr="00610B1B">
        <w:rPr>
          <w:rFonts w:ascii="Times New Roman" w:hAnsi="Times New Roman" w:cs="Times New Roman"/>
          <w:sz w:val="24"/>
          <w:szCs w:val="24"/>
          <w:lang w:val="bg-BG"/>
        </w:rPr>
        <w:t>няма</w:t>
      </w:r>
      <w:r w:rsidR="00823BE7" w:rsidRPr="00610B1B">
        <w:rPr>
          <w:rFonts w:ascii="Times New Roman" w:hAnsi="Times New Roman" w:cs="Times New Roman"/>
          <w:sz w:val="24"/>
          <w:szCs w:val="24"/>
          <w:lang w:val="bg-BG"/>
        </w:rPr>
        <w:t xml:space="preserve"> бури, отговарящи </w:t>
      </w:r>
      <w:r w:rsidR="005843B2" w:rsidRPr="00610B1B">
        <w:rPr>
          <w:rFonts w:ascii="Times New Roman" w:hAnsi="Times New Roman" w:cs="Times New Roman"/>
          <w:sz w:val="24"/>
          <w:szCs w:val="24"/>
          <w:lang w:val="bg-BG"/>
        </w:rPr>
        <w:t>н</w:t>
      </w:r>
      <w:r w:rsidR="00823BE7" w:rsidRPr="00610B1B">
        <w:rPr>
          <w:rFonts w:ascii="Times New Roman" w:hAnsi="Times New Roman" w:cs="Times New Roman"/>
          <w:sz w:val="24"/>
          <w:szCs w:val="24"/>
          <w:lang w:val="bg-BG"/>
        </w:rPr>
        <w:t>а критериите. Тези наблюдения предполагат, че няма хомогенна отрицателна тенденция в количеството на бурята през изследвания период, а по-скоро нарастваща тенденция от началото на периода до средата на 90-те години и противоположна тенденция след това</w:t>
      </w:r>
      <w:r w:rsidR="00C26AAA" w:rsidRPr="00610B1B">
        <w:rPr>
          <w:rFonts w:ascii="Times New Roman" w:hAnsi="Times New Roman" w:cs="Times New Roman"/>
          <w:sz w:val="24"/>
          <w:szCs w:val="24"/>
          <w:lang w:val="bg-BG"/>
        </w:rPr>
        <w:t xml:space="preserve">. Продължителността </w:t>
      </w:r>
      <w:r w:rsidR="00823BE7" w:rsidRPr="00610B1B">
        <w:rPr>
          <w:rFonts w:ascii="Times New Roman" w:hAnsi="Times New Roman" w:cs="Times New Roman"/>
          <w:sz w:val="24"/>
          <w:szCs w:val="24"/>
          <w:lang w:val="bg-BG"/>
        </w:rPr>
        <w:t xml:space="preserve">на бурята варира между 56 часа (~ 2.3 дни) и 151 часа (~ 6.3 дни), а средната продължителност е 95 часа (~ 4 дни). Екстремните бури имат кратка фаза на растеж, фазата на пълно развитие е по-съществена, </w:t>
      </w:r>
      <w:r w:rsidR="00144A0E" w:rsidRPr="00610B1B">
        <w:rPr>
          <w:rFonts w:ascii="Times New Roman" w:hAnsi="Times New Roman" w:cs="Times New Roman"/>
          <w:sz w:val="24"/>
          <w:szCs w:val="24"/>
          <w:lang w:val="bg-BG"/>
        </w:rPr>
        <w:t>а</w:t>
      </w:r>
      <w:r w:rsidR="00823BE7" w:rsidRPr="00610B1B">
        <w:rPr>
          <w:rFonts w:ascii="Times New Roman" w:hAnsi="Times New Roman" w:cs="Times New Roman"/>
          <w:sz w:val="24"/>
          <w:szCs w:val="24"/>
          <w:lang w:val="bg-BG"/>
        </w:rPr>
        <w:t xml:space="preserve"> фазата на затихване е най-дълга. Средно продължителността</w:t>
      </w:r>
      <w:r w:rsidR="00DE3A13" w:rsidRPr="00610B1B">
        <w:rPr>
          <w:rFonts w:ascii="Times New Roman" w:hAnsi="Times New Roman" w:cs="Times New Roman"/>
          <w:sz w:val="24"/>
          <w:szCs w:val="24"/>
          <w:lang w:val="bg-BG"/>
        </w:rPr>
        <w:t xml:space="preserve"> ѝ </w:t>
      </w:r>
      <w:r w:rsidR="00823BE7" w:rsidRPr="00610B1B">
        <w:rPr>
          <w:rFonts w:ascii="Times New Roman" w:hAnsi="Times New Roman" w:cs="Times New Roman"/>
          <w:sz w:val="24"/>
          <w:szCs w:val="24"/>
          <w:lang w:val="bg-BG"/>
        </w:rPr>
        <w:t>е 61 часа и е по-дълга от първата и втората фази взети заедно, които продължават съответно 18 и 41 часа. Следователно, типичният модел буря се характеризира с бърз растеж, трайна фаза на енергийно развитие и сравнително продължително затихване</w:t>
      </w:r>
      <w:r w:rsidR="00C26AAA" w:rsidRPr="00610B1B">
        <w:rPr>
          <w:rFonts w:ascii="Times New Roman" w:hAnsi="Times New Roman" w:cs="Times New Roman"/>
          <w:sz w:val="24"/>
          <w:szCs w:val="24"/>
          <w:lang w:val="bg-BG"/>
        </w:rPr>
        <w:t xml:space="preserve">. </w:t>
      </w:r>
    </w:p>
    <w:p w14:paraId="20117853" w14:textId="0E5DF416" w:rsidR="00155C52" w:rsidRPr="00610B1B" w:rsidRDefault="00B601CD" w:rsidP="00B60338">
      <w:pPr>
        <w:pStyle w:val="Heading4"/>
        <w:spacing w:before="0"/>
        <w:ind w:left="862" w:right="-153" w:hanging="862"/>
        <w:rPr>
          <w:rFonts w:cs="Times New Roman"/>
        </w:rPr>
      </w:pPr>
      <w:r w:rsidRPr="00610B1B">
        <w:rPr>
          <w:rFonts w:cs="Times New Roman"/>
        </w:rPr>
        <w:t>2.2.2.</w:t>
      </w:r>
      <w:r w:rsidR="00706D7D" w:rsidRPr="00610B1B">
        <w:rPr>
          <w:rFonts w:cs="Times New Roman"/>
        </w:rPr>
        <w:t>1</w:t>
      </w:r>
      <w:r w:rsidRPr="00610B1B">
        <w:rPr>
          <w:rFonts w:cs="Times New Roman"/>
        </w:rPr>
        <w:t xml:space="preserve">. </w:t>
      </w:r>
      <w:r w:rsidR="00823BE7" w:rsidRPr="00610B1B">
        <w:rPr>
          <w:rFonts w:cs="Times New Roman"/>
        </w:rPr>
        <w:t>Крайбрежни води – речни устия, езера и блата</w:t>
      </w:r>
    </w:p>
    <w:p w14:paraId="6012BB46" w14:textId="6514A451" w:rsidR="00155C52" w:rsidRPr="00610B1B" w:rsidRDefault="00155C52"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 смисъла на § 1, т. 54 от допълнителните разпоредби на Закона за водите в обхвата на крайбрежните води </w:t>
      </w:r>
      <w:r w:rsidRPr="00610B1B">
        <w:rPr>
          <w:rFonts w:ascii="Times New Roman" w:hAnsi="Times New Roman" w:cs="Times New Roman"/>
          <w:color w:val="000000"/>
          <w:sz w:val="24"/>
          <w:szCs w:val="24"/>
          <w:lang w:val="bg-BG"/>
        </w:rPr>
        <w:t>попадат преходните води и</w:t>
      </w:r>
      <w:r w:rsidRPr="00610B1B">
        <w:rPr>
          <w:rFonts w:ascii="Times New Roman" w:hAnsi="Times New Roman" w:cs="Times New Roman"/>
          <w:sz w:val="24"/>
          <w:szCs w:val="24"/>
          <w:lang w:val="bg-BG"/>
        </w:rPr>
        <w:t xml:space="preserve"> крайбрежните морски води.</w:t>
      </w:r>
      <w:r w:rsidR="00EB1E2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w:t>
      </w:r>
      <w:r w:rsidRPr="00610B1B">
        <w:rPr>
          <w:rFonts w:ascii="Times New Roman" w:hAnsi="Times New Roman" w:cs="Times New Roman"/>
          <w:color w:val="000000"/>
          <w:sz w:val="24"/>
          <w:szCs w:val="24"/>
          <w:lang w:val="bg-BG"/>
        </w:rPr>
        <w:t xml:space="preserve">реходните </w:t>
      </w:r>
      <w:r w:rsidRPr="00610B1B">
        <w:rPr>
          <w:rFonts w:ascii="Times New Roman" w:hAnsi="Times New Roman" w:cs="Times New Roman"/>
          <w:color w:val="000000"/>
          <w:sz w:val="24"/>
          <w:szCs w:val="24"/>
          <w:lang w:val="bg-BG"/>
        </w:rPr>
        <w:lastRenderedPageBreak/>
        <w:t>води са представени от Черноморски езера и блата</w:t>
      </w:r>
      <w:r w:rsidRPr="00610B1B">
        <w:rPr>
          <w:rFonts w:ascii="Times New Roman" w:hAnsi="Times New Roman" w:cs="Times New Roman"/>
          <w:sz w:val="24"/>
          <w:szCs w:val="24"/>
          <w:lang w:val="bg-BG"/>
        </w:rPr>
        <w:t xml:space="preserve"> и естуариите на вливащите се в Черно море реки, лимани и лагуни. </w:t>
      </w:r>
    </w:p>
    <w:p w14:paraId="23517DB7" w14:textId="7A0D733E" w:rsidR="00D117C6" w:rsidRPr="00610B1B" w:rsidRDefault="00D117C6" w:rsidP="009D4F3B">
      <w:pPr>
        <w:autoSpaceDE w:val="0"/>
        <w:autoSpaceDN w:val="0"/>
        <w:adjustRightInd w:val="0"/>
        <w:spacing w:after="80"/>
        <w:ind w:right="-153"/>
        <w:jc w:val="both"/>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 xml:space="preserve">Крайбрежните морски води </w:t>
      </w:r>
      <w:r w:rsidRPr="00610B1B">
        <w:rPr>
          <w:rFonts w:ascii="Times New Roman" w:hAnsi="Times New Roman" w:cs="Times New Roman"/>
          <w:color w:val="000000"/>
          <w:sz w:val="24"/>
          <w:szCs w:val="24"/>
          <w:lang w:val="bg-BG"/>
        </w:rPr>
        <w:t xml:space="preserve">обхващат акваторията от Черно море в границите на една морска миля от брега, включително и до </w:t>
      </w:r>
      <w:r w:rsidRPr="00610B1B">
        <w:rPr>
          <w:rFonts w:ascii="Times New Roman" w:hAnsi="Times New Roman" w:cs="Times New Roman"/>
          <w:sz w:val="24"/>
          <w:szCs w:val="24"/>
          <w:lang w:val="bg-BG"/>
        </w:rPr>
        <w:t>външната граница на вътрешните морски води</w:t>
      </w:r>
      <w:r w:rsidRPr="00610B1B">
        <w:rPr>
          <w:rFonts w:ascii="Times New Roman" w:hAnsi="Times New Roman" w:cs="Times New Roman"/>
          <w:color w:val="000000"/>
          <w:sz w:val="24"/>
          <w:szCs w:val="24"/>
          <w:lang w:val="bg-BG"/>
        </w:rPr>
        <w:t>. На база на актуализирана типология и резултатите от анализа на антропогенното въздействие са идентифицирани 17 водни тела.</w:t>
      </w:r>
      <w:r w:rsidR="009D4F3B" w:rsidRPr="00610B1B">
        <w:rPr>
          <w:rStyle w:val="FootnoteReference"/>
          <w:rFonts w:ascii="Times New Roman" w:hAnsi="Times New Roman" w:cs="Times New Roman"/>
          <w:color w:val="000000"/>
          <w:sz w:val="24"/>
          <w:szCs w:val="24"/>
          <w:lang w:val="bg-BG"/>
        </w:rPr>
        <w:footnoteReference w:id="74"/>
      </w:r>
      <w:r w:rsidRPr="00610B1B">
        <w:rPr>
          <w:rFonts w:ascii="Times New Roman" w:hAnsi="Times New Roman" w:cs="Times New Roman"/>
          <w:color w:val="000000"/>
          <w:sz w:val="24"/>
          <w:szCs w:val="24"/>
          <w:lang w:val="bg-BG"/>
        </w:rPr>
        <w:t xml:space="preserve"> Те подлежат на ежегоден мониторинг по РДВ и по РДМС, като се следят биологични и физико-химични елементи за качество, специфични замърсители и приоритетни вещества. През последните няколко години екологичното състояние на крайбрежните морски води</w:t>
      </w:r>
      <w:r w:rsidR="00144A0E" w:rsidRPr="00610B1B">
        <w:rPr>
          <w:rFonts w:ascii="Times New Roman" w:hAnsi="Times New Roman" w:cs="Times New Roman"/>
          <w:color w:val="000000"/>
          <w:sz w:val="24"/>
          <w:szCs w:val="24"/>
          <w:lang w:val="bg-BG"/>
        </w:rPr>
        <w:t xml:space="preserve"> се подобрява</w:t>
      </w:r>
      <w:r w:rsidRPr="00610B1B">
        <w:rPr>
          <w:rFonts w:ascii="Times New Roman" w:hAnsi="Times New Roman" w:cs="Times New Roman"/>
          <w:color w:val="000000"/>
          <w:sz w:val="24"/>
          <w:szCs w:val="24"/>
          <w:lang w:val="bg-BG"/>
        </w:rPr>
        <w:t xml:space="preserve">, като се отчита </w:t>
      </w:r>
      <w:r w:rsidR="00144A0E" w:rsidRPr="00610B1B">
        <w:rPr>
          <w:rFonts w:ascii="Times New Roman" w:hAnsi="Times New Roman" w:cs="Times New Roman"/>
          <w:color w:val="000000"/>
          <w:sz w:val="24"/>
          <w:szCs w:val="24"/>
          <w:lang w:val="bg-BG"/>
        </w:rPr>
        <w:t>„</w:t>
      </w:r>
      <w:r w:rsidRPr="00610B1B">
        <w:rPr>
          <w:rFonts w:ascii="Times New Roman" w:hAnsi="Times New Roman" w:cs="Times New Roman"/>
          <w:color w:val="000000"/>
          <w:sz w:val="24"/>
          <w:szCs w:val="24"/>
          <w:lang w:val="bg-BG"/>
        </w:rPr>
        <w:t>умерено</w:t>
      </w:r>
      <w:r w:rsidR="00144A0E" w:rsidRPr="00610B1B">
        <w:rPr>
          <w:rFonts w:ascii="Times New Roman" w:hAnsi="Times New Roman" w:cs="Times New Roman"/>
          <w:color w:val="000000"/>
          <w:sz w:val="24"/>
          <w:szCs w:val="24"/>
          <w:lang w:val="bg-BG"/>
        </w:rPr>
        <w:t>“</w:t>
      </w:r>
      <w:r w:rsidRPr="00610B1B">
        <w:rPr>
          <w:rFonts w:ascii="Times New Roman" w:hAnsi="Times New Roman" w:cs="Times New Roman"/>
          <w:color w:val="000000"/>
          <w:sz w:val="24"/>
          <w:szCs w:val="24"/>
          <w:lang w:val="bg-BG"/>
        </w:rPr>
        <w:t xml:space="preserve"> до </w:t>
      </w:r>
      <w:r w:rsidR="00144A0E" w:rsidRPr="00610B1B">
        <w:rPr>
          <w:rFonts w:ascii="Times New Roman" w:hAnsi="Times New Roman" w:cs="Times New Roman"/>
          <w:color w:val="000000"/>
          <w:sz w:val="24"/>
          <w:szCs w:val="24"/>
          <w:lang w:val="bg-BG"/>
        </w:rPr>
        <w:t>„</w:t>
      </w:r>
      <w:r w:rsidRPr="00610B1B">
        <w:rPr>
          <w:rFonts w:ascii="Times New Roman" w:hAnsi="Times New Roman" w:cs="Times New Roman"/>
          <w:color w:val="000000"/>
          <w:sz w:val="24"/>
          <w:szCs w:val="24"/>
          <w:lang w:val="bg-BG"/>
        </w:rPr>
        <w:t>добро</w:t>
      </w:r>
      <w:r w:rsidR="00144A0E" w:rsidRPr="00610B1B">
        <w:rPr>
          <w:rFonts w:ascii="Times New Roman" w:hAnsi="Times New Roman" w:cs="Times New Roman"/>
          <w:color w:val="000000"/>
          <w:sz w:val="24"/>
          <w:szCs w:val="24"/>
          <w:lang w:val="bg-BG"/>
        </w:rPr>
        <w:t>“</w:t>
      </w:r>
      <w:r w:rsidRPr="00610B1B">
        <w:rPr>
          <w:rFonts w:ascii="Times New Roman" w:hAnsi="Times New Roman" w:cs="Times New Roman"/>
          <w:color w:val="000000"/>
          <w:sz w:val="24"/>
          <w:szCs w:val="24"/>
          <w:lang w:val="bg-BG"/>
        </w:rPr>
        <w:t xml:space="preserve"> състояние по наблюдавани параметри и само някои от водните тела, подложени на силен антропогенен натиск, не постигат </w:t>
      </w:r>
      <w:r w:rsidR="00144A0E" w:rsidRPr="00610B1B">
        <w:rPr>
          <w:rFonts w:ascii="Times New Roman" w:hAnsi="Times New Roman" w:cs="Times New Roman"/>
          <w:color w:val="000000"/>
          <w:sz w:val="24"/>
          <w:szCs w:val="24"/>
          <w:lang w:val="bg-BG"/>
        </w:rPr>
        <w:t xml:space="preserve">„добро“ </w:t>
      </w:r>
      <w:r w:rsidRPr="00610B1B">
        <w:rPr>
          <w:rFonts w:ascii="Times New Roman" w:hAnsi="Times New Roman" w:cs="Times New Roman"/>
          <w:color w:val="000000"/>
          <w:sz w:val="24"/>
          <w:szCs w:val="24"/>
          <w:lang w:val="bg-BG"/>
        </w:rPr>
        <w:t>състояние.</w:t>
      </w:r>
    </w:p>
    <w:p w14:paraId="604461B7" w14:textId="3AA37F09" w:rsidR="00CA427B" w:rsidRPr="00610B1B" w:rsidRDefault="00354EFB" w:rsidP="009D4F3B">
      <w:pPr>
        <w:pStyle w:val="Caption"/>
        <w:spacing w:before="0" w:after="40" w:line="240" w:lineRule="auto"/>
        <w:ind w:right="-153"/>
        <w:rPr>
          <w:rStyle w:val="FontStyle12"/>
          <w:rFonts w:eastAsia="Source Han Sans CN Regular" w:cs="Times New Roman"/>
          <w:color w:val="auto"/>
        </w:rPr>
      </w:pPr>
      <w:bookmarkStart w:id="27" w:name="_Toc83391469"/>
      <w:r w:rsidRPr="00610B1B">
        <w:rPr>
          <w:rFonts w:cs="Times New Roman"/>
          <w:color w:val="auto"/>
        </w:rPr>
        <w:t xml:space="preserve">Фигура </w:t>
      </w:r>
      <w:r w:rsidRPr="00610B1B">
        <w:rPr>
          <w:rFonts w:cs="Times New Roman"/>
          <w:color w:val="auto"/>
        </w:rPr>
        <w:fldChar w:fldCharType="begin"/>
      </w:r>
      <w:r w:rsidRPr="00610B1B">
        <w:rPr>
          <w:rFonts w:cs="Times New Roman"/>
          <w:color w:val="auto"/>
        </w:rPr>
        <w:instrText xml:space="preserve"> SEQ Фигура \* ARABIC </w:instrText>
      </w:r>
      <w:r w:rsidRPr="00610B1B">
        <w:rPr>
          <w:rFonts w:cs="Times New Roman"/>
          <w:color w:val="auto"/>
        </w:rPr>
        <w:fldChar w:fldCharType="separate"/>
      </w:r>
      <w:r w:rsidR="00260629" w:rsidRPr="00610B1B">
        <w:rPr>
          <w:rFonts w:cs="Times New Roman"/>
          <w:noProof/>
          <w:color w:val="auto"/>
        </w:rPr>
        <w:t>6</w:t>
      </w:r>
      <w:r w:rsidRPr="00610B1B">
        <w:rPr>
          <w:rFonts w:cs="Times New Roman"/>
          <w:color w:val="auto"/>
        </w:rPr>
        <w:fldChar w:fldCharType="end"/>
      </w:r>
      <w:r w:rsidRPr="00610B1B">
        <w:rPr>
          <w:rFonts w:cs="Times New Roman"/>
          <w:color w:val="auto"/>
        </w:rPr>
        <w:t xml:space="preserve">: </w:t>
      </w:r>
      <w:r w:rsidR="00CA427B" w:rsidRPr="00610B1B">
        <w:rPr>
          <w:rStyle w:val="FontStyle12"/>
          <w:rFonts w:eastAsia="Source Han Sans CN Regular" w:cs="Times New Roman"/>
          <w:color w:val="auto"/>
        </w:rPr>
        <w:t>Повърхностни морски водни тела по българското черноморско крайбрежие.</w:t>
      </w:r>
      <w:bookmarkEnd w:id="27"/>
      <w:r w:rsidR="00CA427B" w:rsidRPr="00610B1B">
        <w:rPr>
          <w:rStyle w:val="FontStyle12"/>
          <w:rFonts w:eastAsia="Source Han Sans CN Regular" w:cs="Times New Roman"/>
          <w:color w:val="auto"/>
        </w:rPr>
        <w:t xml:space="preserve"> </w:t>
      </w:r>
    </w:p>
    <w:p w14:paraId="39BC6C18" w14:textId="2FCD1839" w:rsidR="00CA427B" w:rsidRPr="00610B1B" w:rsidRDefault="00B60338" w:rsidP="00B60338">
      <w:pPr>
        <w:pStyle w:val="BodyText"/>
        <w:spacing w:before="0" w:after="0" w:line="240" w:lineRule="auto"/>
        <w:ind w:right="-153"/>
        <w:rPr>
          <w:rFonts w:cs="Times New Roman"/>
        </w:rPr>
      </w:pPr>
      <w:r w:rsidRPr="00610B1B">
        <w:rPr>
          <w:rFonts w:cs="Times New Roman"/>
          <w:noProof/>
          <w:lang w:eastAsia="bg-BG" w:bidi="ar-SA"/>
        </w:rPr>
        <w:drawing>
          <wp:inline distT="0" distB="0" distL="0" distR="0" wp14:anchorId="6A272144" wp14:editId="24D11ACA">
            <wp:extent cx="3743325" cy="5047112"/>
            <wp:effectExtent l="0" t="0" r="0" b="1270"/>
            <wp:docPr id="5" name="Picture 5" descr="C:\Users\Server\Downloads\Приложение%201_2_1-Типове%20повърхностни%20води%20по%20водосбо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erver\Downloads\Приложение%201_2_1-Типове%20повърхностни%20води%20по%20водосбори.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833" b="3810"/>
                    <a:stretch/>
                  </pic:blipFill>
                  <pic:spPr bwMode="auto">
                    <a:xfrm>
                      <a:off x="0" y="0"/>
                      <a:ext cx="3768304" cy="5080791"/>
                    </a:xfrm>
                    <a:prstGeom prst="rect">
                      <a:avLst/>
                    </a:prstGeom>
                    <a:noFill/>
                    <a:ln>
                      <a:noFill/>
                    </a:ln>
                    <a:extLst>
                      <a:ext uri="{53640926-AAD7-44D8-BBD7-CCE9431645EC}">
                        <a14:shadowObscured xmlns:a14="http://schemas.microsoft.com/office/drawing/2010/main"/>
                      </a:ext>
                    </a:extLst>
                  </pic:spPr>
                </pic:pic>
              </a:graphicData>
            </a:graphic>
          </wp:inline>
        </w:drawing>
      </w:r>
    </w:p>
    <w:p w14:paraId="7BFFA419" w14:textId="638ED0F4" w:rsidR="00212964" w:rsidRPr="00610B1B" w:rsidRDefault="00212964" w:rsidP="00D32D6A">
      <w:pPr>
        <w:pStyle w:val="BodyText"/>
        <w:spacing w:before="0" w:after="120" w:line="276" w:lineRule="auto"/>
        <w:ind w:right="-153"/>
        <w:jc w:val="left"/>
        <w:rPr>
          <w:rFonts w:cs="Times New Roman"/>
          <w:sz w:val="22"/>
          <w:szCs w:val="22"/>
        </w:rPr>
      </w:pPr>
      <w:r w:rsidRPr="00610B1B">
        <w:rPr>
          <w:rFonts w:cs="Times New Roman"/>
          <w:sz w:val="22"/>
          <w:szCs w:val="22"/>
        </w:rPr>
        <w:t>Източник:</w:t>
      </w:r>
      <w:r w:rsidR="00B60338" w:rsidRPr="00610B1B">
        <w:rPr>
          <w:rFonts w:cs="Times New Roman"/>
          <w:sz w:val="22"/>
          <w:szCs w:val="22"/>
        </w:rPr>
        <w:t xml:space="preserve"> ПУРБ</w:t>
      </w:r>
    </w:p>
    <w:p w14:paraId="1F121588" w14:textId="60C0AD78" w:rsidR="009D4F3B" w:rsidRPr="00610B1B" w:rsidRDefault="00144A0E" w:rsidP="009D4F3B">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Крайморските езера разположени по Черноморското крайбрежие са главно от два типа</w:t>
      </w:r>
      <w:r w:rsidR="00DE3A13" w:rsidRPr="00610B1B">
        <w:rPr>
          <w:rFonts w:ascii="Times New Roman" w:hAnsi="Times New Roman" w:cs="Times New Roman"/>
          <w:sz w:val="24"/>
          <w:szCs w:val="24"/>
          <w:lang w:val="bg-BG"/>
        </w:rPr>
        <w:t xml:space="preserve"> – </w:t>
      </w:r>
      <w:r w:rsidRPr="00610B1B">
        <w:rPr>
          <w:rFonts w:ascii="Times New Roman" w:hAnsi="Times New Roman" w:cs="Times New Roman"/>
          <w:sz w:val="24"/>
          <w:szCs w:val="24"/>
          <w:lang w:val="bg-BG"/>
        </w:rPr>
        <w:t>лиманни и лагунни. Повечето от езерата са съсредоточени около двата най-големи залива</w:t>
      </w:r>
      <w:r w:rsidR="00FD37F6" w:rsidRPr="00610B1B">
        <w:rPr>
          <w:rFonts w:ascii="Times New Roman" w:hAnsi="Times New Roman" w:cs="Times New Roman"/>
          <w:sz w:val="24"/>
          <w:szCs w:val="24"/>
          <w:lang w:val="bg-BG"/>
        </w:rPr>
        <w:t> </w:t>
      </w:r>
      <w:r w:rsidR="00DE3A13"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Варненски и Бургаски. Няколко малки езера са разположени по добруджанския </w:t>
      </w:r>
      <w:r w:rsidRPr="00610B1B">
        <w:rPr>
          <w:rFonts w:ascii="Times New Roman" w:hAnsi="Times New Roman" w:cs="Times New Roman"/>
          <w:sz w:val="24"/>
          <w:szCs w:val="24"/>
          <w:lang w:val="bg-BG"/>
        </w:rPr>
        <w:lastRenderedPageBreak/>
        <w:t xml:space="preserve">бряг и на юг от гр. Созопол по Странджанското крайбрежие. Като се изключат временните водоеми, по крайбрежието се намират </w:t>
      </w:r>
      <w:r w:rsidR="009D4F3B" w:rsidRPr="00610B1B">
        <w:rPr>
          <w:rFonts w:ascii="Times New Roman" w:hAnsi="Times New Roman" w:cs="Times New Roman"/>
          <w:sz w:val="24"/>
          <w:szCs w:val="24"/>
          <w:lang w:val="bg-BG"/>
        </w:rPr>
        <w:t>21 езера,</w:t>
      </w:r>
      <w:r w:rsidRPr="00610B1B">
        <w:rPr>
          <w:rFonts w:ascii="Times New Roman" w:hAnsi="Times New Roman" w:cs="Times New Roman"/>
          <w:sz w:val="24"/>
          <w:szCs w:val="24"/>
          <w:lang w:val="bg-BG"/>
        </w:rPr>
        <w:t xml:space="preserve"> </w:t>
      </w:r>
      <w:r w:rsidR="009D4F3B" w:rsidRPr="00610B1B">
        <w:rPr>
          <w:rFonts w:ascii="Times New Roman" w:hAnsi="Times New Roman" w:cs="Times New Roman"/>
          <w:sz w:val="24"/>
          <w:szCs w:val="24"/>
          <w:lang w:val="bg-BG"/>
        </w:rPr>
        <w:t>от които 9 лимани, 11 лагуни и едно блато</w:t>
      </w:r>
      <w:r w:rsidR="00D66FE0" w:rsidRPr="00610B1B">
        <w:rPr>
          <w:rFonts w:ascii="Times New Roman" w:hAnsi="Times New Roman" w:cs="Times New Roman"/>
          <w:sz w:val="24"/>
          <w:szCs w:val="24"/>
          <w:lang w:val="bg-BG"/>
        </w:rPr>
        <w:t xml:space="preserve"> </w:t>
      </w:r>
      <w:r w:rsidR="009D4F3B" w:rsidRPr="00610B1B">
        <w:rPr>
          <w:rFonts w:ascii="Times New Roman" w:hAnsi="Times New Roman" w:cs="Times New Roman"/>
          <w:sz w:val="24"/>
          <w:szCs w:val="24"/>
          <w:lang w:val="bg-BG"/>
        </w:rPr>
        <w:t>с общ обем от над 223 млн m</w:t>
      </w:r>
      <w:r w:rsidR="009D4F3B" w:rsidRPr="00610B1B">
        <w:rPr>
          <w:rFonts w:ascii="Times New Roman" w:hAnsi="Times New Roman" w:cs="Times New Roman"/>
          <w:sz w:val="24"/>
          <w:szCs w:val="24"/>
          <w:vertAlign w:val="superscript"/>
          <w:lang w:val="bg-BG"/>
        </w:rPr>
        <w:t>3</w:t>
      </w:r>
      <w:r w:rsidR="009D4F3B" w:rsidRPr="00610B1B">
        <w:rPr>
          <w:rFonts w:ascii="Times New Roman" w:hAnsi="Times New Roman" w:cs="Times New Roman"/>
          <w:sz w:val="24"/>
          <w:szCs w:val="24"/>
          <w:lang w:val="bg-BG"/>
        </w:rPr>
        <w:t xml:space="preserve"> и площ приблизително 291 km</w:t>
      </w:r>
      <w:r w:rsidR="009D4F3B" w:rsidRPr="00610B1B">
        <w:rPr>
          <w:rFonts w:ascii="Times New Roman" w:hAnsi="Times New Roman" w:cs="Times New Roman"/>
          <w:sz w:val="24"/>
          <w:szCs w:val="24"/>
          <w:vertAlign w:val="superscript"/>
          <w:lang w:val="bg-BG"/>
        </w:rPr>
        <w:t>2</w:t>
      </w:r>
      <w:r w:rsidR="009D4F3B" w:rsidRPr="00610B1B">
        <w:rPr>
          <w:rFonts w:ascii="Times New Roman" w:hAnsi="Times New Roman" w:cs="Times New Roman"/>
          <w:sz w:val="24"/>
          <w:szCs w:val="24"/>
          <w:lang w:val="bg-BG"/>
        </w:rPr>
        <w:t>.</w:t>
      </w:r>
      <w:r w:rsidR="009D4F3B" w:rsidRPr="00610B1B">
        <w:rPr>
          <w:rStyle w:val="FootnoteReference"/>
          <w:rFonts w:ascii="Times New Roman" w:hAnsi="Times New Roman" w:cs="Times New Roman"/>
          <w:sz w:val="24"/>
          <w:szCs w:val="24"/>
          <w:lang w:val="bg-BG"/>
        </w:rPr>
        <w:footnoteReference w:id="75"/>
      </w:r>
      <w:r w:rsidR="009D4F3B" w:rsidRPr="00610B1B">
        <w:rPr>
          <w:rFonts w:ascii="Times New Roman" w:hAnsi="Times New Roman" w:cs="Times New Roman"/>
          <w:sz w:val="24"/>
          <w:szCs w:val="24"/>
          <w:lang w:val="bg-BG"/>
        </w:rPr>
        <w:t xml:space="preserve"> В зависимост от солевия си състав и режим в ПУРБ 2016-2021 те са кате</w:t>
      </w:r>
      <w:r w:rsidR="00FD37F6" w:rsidRPr="00610B1B">
        <w:rPr>
          <w:rFonts w:ascii="Times New Roman" w:hAnsi="Times New Roman" w:cs="Times New Roman"/>
          <w:sz w:val="24"/>
          <w:szCs w:val="24"/>
          <w:lang w:val="bg-BG"/>
        </w:rPr>
        <w:t>г</w:t>
      </w:r>
      <w:r w:rsidR="009D4F3B" w:rsidRPr="00610B1B">
        <w:rPr>
          <w:rFonts w:ascii="Times New Roman" w:hAnsi="Times New Roman" w:cs="Times New Roman"/>
          <w:sz w:val="24"/>
          <w:szCs w:val="24"/>
          <w:lang w:val="bg-BG"/>
        </w:rPr>
        <w:t xml:space="preserve">оризирани в </w:t>
      </w:r>
      <w:r w:rsidR="00FD37F6" w:rsidRPr="00610B1B">
        <w:rPr>
          <w:rFonts w:ascii="Times New Roman" w:hAnsi="Times New Roman" w:cs="Times New Roman"/>
          <w:sz w:val="24"/>
          <w:szCs w:val="24"/>
          <w:lang w:val="bg-BG"/>
        </w:rPr>
        <w:t>четири</w:t>
      </w:r>
      <w:r w:rsidR="009D4F3B" w:rsidRPr="00610B1B">
        <w:rPr>
          <w:rFonts w:ascii="Times New Roman" w:hAnsi="Times New Roman" w:cs="Times New Roman"/>
          <w:sz w:val="24"/>
          <w:szCs w:val="24"/>
          <w:lang w:val="bg-BG"/>
        </w:rPr>
        <w:t xml:space="preserve"> типа: L7 – сладководни; L8 – слабо солени; L9 – средно солени и L10 – свръхсолени. </w:t>
      </w:r>
    </w:p>
    <w:p w14:paraId="7A18C46C" w14:textId="77777777" w:rsidR="009D4F3B" w:rsidRPr="00610B1B" w:rsidRDefault="009D4F3B" w:rsidP="009D4F3B">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Лиманните езера са Дуранкулашкото, Езерецкото, Шабленското, Варненското, Белославското, Бургаското и Мандренското езеро. Първите три са подложени на активно обрастване и заблатяване. Те заемат лиманните устия на добруджански суходолия, образувани в дълбоко окарстени сарматски варовици. От морето са отделени с тесни и ниски пясъчни коси, през които по време на вълнение преливат солени морски води. За ниските стойности на солеността способства подхранването им с карстови води от извори, разположени по западните и южните брегове. Солеността им е ниска, със значителни сезонни и годишни колебания и варира от &lt;0.3 до 4‰ (средна годишна соленост &lt;0.5 ‰), като максималните стойности се регистрират през лятото и есента, поради намалелия приток на валежни и подземни води. </w:t>
      </w:r>
    </w:p>
    <w:p w14:paraId="6CFF569F" w14:textId="220C63F6" w:rsidR="00EE40AB" w:rsidRPr="00610B1B" w:rsidRDefault="00212964"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Варненското и Белославското езеро са типични лимани, образувани в устиевите части на реките Провадийска и Девня. В исторически план, те са представлявали единен лиман, дълбоко врязан във вътрешността</w:t>
      </w:r>
      <w:r w:rsidR="00C4355F" w:rsidRPr="00610B1B">
        <w:rPr>
          <w:rFonts w:ascii="Times New Roman" w:hAnsi="Times New Roman" w:cs="Times New Roman"/>
          <w:sz w:val="24"/>
          <w:szCs w:val="24"/>
          <w:lang w:val="bg-BG"/>
        </w:rPr>
        <w:t>, но поради</w:t>
      </w:r>
      <w:r w:rsidRPr="00610B1B">
        <w:rPr>
          <w:rFonts w:ascii="Times New Roman" w:hAnsi="Times New Roman" w:cs="Times New Roman"/>
          <w:sz w:val="24"/>
          <w:szCs w:val="24"/>
          <w:lang w:val="bg-BG"/>
        </w:rPr>
        <w:t xml:space="preserve"> затлачвания от наноси и намаляване на речния приток, се обособяват като самостоятелни езера. Белослав</w:t>
      </w:r>
      <w:r w:rsidR="00686CE6" w:rsidRPr="00610B1B">
        <w:rPr>
          <w:rFonts w:ascii="Times New Roman" w:hAnsi="Times New Roman" w:cs="Times New Roman"/>
          <w:sz w:val="24"/>
          <w:szCs w:val="24"/>
          <w:lang w:val="bg-BG"/>
        </w:rPr>
        <w:t>с</w:t>
      </w:r>
      <w:r w:rsidRPr="00610B1B">
        <w:rPr>
          <w:rFonts w:ascii="Times New Roman" w:hAnsi="Times New Roman" w:cs="Times New Roman"/>
          <w:sz w:val="24"/>
          <w:szCs w:val="24"/>
          <w:lang w:val="bg-BG"/>
        </w:rPr>
        <w:t>кото езеро има дължина около 4.6 km и максимална ширина 1.2 km</w:t>
      </w:r>
      <w:r w:rsidRPr="00610B1B">
        <w:rPr>
          <w:rFonts w:ascii="Times New Roman" w:hAnsi="Times New Roman" w:cs="Times New Roman"/>
          <w:i/>
          <w:sz w:val="24"/>
          <w:szCs w:val="24"/>
          <w:lang w:val="bg-BG"/>
        </w:rPr>
        <w:t>.</w:t>
      </w:r>
      <w:r w:rsidRPr="00610B1B">
        <w:rPr>
          <w:rFonts w:ascii="Times New Roman" w:hAnsi="Times New Roman" w:cs="Times New Roman"/>
          <w:sz w:val="24"/>
          <w:szCs w:val="24"/>
          <w:lang w:val="bg-BG"/>
        </w:rPr>
        <w:t xml:space="preserve"> То е свързано първоначално (1909 и 1923</w:t>
      </w:r>
      <w:r w:rsidR="0025348F"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г.) с Варненското езеро посредством плавателен канал, а по-късно (1975 г.) е прокопан нов канал </w:t>
      </w:r>
      <w:r w:rsidR="00440FB7" w:rsidRPr="00610B1B">
        <w:rPr>
          <w:rFonts w:ascii="Times New Roman" w:hAnsi="Times New Roman" w:cs="Times New Roman"/>
          <w:sz w:val="24"/>
          <w:szCs w:val="24"/>
          <w:lang w:val="bg-BG"/>
        </w:rPr>
        <w:t>при</w:t>
      </w:r>
      <w:r w:rsidRPr="00610B1B">
        <w:rPr>
          <w:rFonts w:ascii="Times New Roman" w:hAnsi="Times New Roman" w:cs="Times New Roman"/>
          <w:sz w:val="24"/>
          <w:szCs w:val="24"/>
          <w:lang w:val="bg-BG"/>
        </w:rPr>
        <w:t xml:space="preserve"> изграждането на пристанище Варна-запад. До прокопаването на канала езерото е било сладководно. След това, поради нахлуване на морски води и изпускането на отпадъчни води от Девненския </w:t>
      </w:r>
      <w:r w:rsidR="009D4F3B" w:rsidRPr="00610B1B">
        <w:rPr>
          <w:rFonts w:ascii="Times New Roman" w:hAnsi="Times New Roman" w:cs="Times New Roman"/>
          <w:sz w:val="24"/>
          <w:szCs w:val="24"/>
          <w:lang w:val="bg-BG"/>
        </w:rPr>
        <w:t>промишлен комплекс</w:t>
      </w:r>
      <w:r w:rsidRPr="00610B1B">
        <w:rPr>
          <w:rFonts w:ascii="Times New Roman" w:hAnsi="Times New Roman" w:cs="Times New Roman"/>
          <w:sz w:val="24"/>
          <w:szCs w:val="24"/>
          <w:lang w:val="bg-BG"/>
        </w:rPr>
        <w:t xml:space="preserve">, солеността се повишава до около 5‰ (през лятото). Бреговете са ниски и заблатени. </w:t>
      </w:r>
    </w:p>
    <w:p w14:paraId="5AB10546" w14:textId="35645EFA" w:rsidR="00212964" w:rsidRPr="00610B1B" w:rsidRDefault="00212964"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Варненско-белославския</w:t>
      </w:r>
      <w:r w:rsidR="00EE40AB"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езерен комплекс, заедно с прокопаните </w:t>
      </w:r>
      <w:r w:rsidR="002D662E" w:rsidRPr="00610B1B">
        <w:rPr>
          <w:rFonts w:ascii="Times New Roman" w:hAnsi="Times New Roman" w:cs="Times New Roman"/>
          <w:sz w:val="24"/>
          <w:szCs w:val="24"/>
          <w:lang w:val="bg-BG"/>
        </w:rPr>
        <w:t>навигационни</w:t>
      </w:r>
      <w:r w:rsidRPr="00610B1B">
        <w:rPr>
          <w:rFonts w:ascii="Times New Roman" w:hAnsi="Times New Roman" w:cs="Times New Roman"/>
          <w:sz w:val="24"/>
          <w:szCs w:val="24"/>
          <w:lang w:val="bg-BG"/>
        </w:rPr>
        <w:t xml:space="preserve"> канали (Канал 1 и Канал 2) представлява най-големият плавателен комплекс</w:t>
      </w:r>
      <w:r w:rsidR="00EE40A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свързващ Черно море с редица търговски (включително и фериботно) и две кораборемонтни и корабостроителни пристанища, разположени по бреговете им. Това го прави плавателна артерия от национално значение. Към момента плавателните канали са с дълбочина от 12,5 m, което възпрепятства навлизането на модерни и по-високо тонажни кораби в езерния комплекс. За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подобряване на транспортната достъпност, в началото на 2020 г., е внесено инвестиционно предложение от ДП „Пристанищна Инфраструктура“ за удълбочаване на </w:t>
      </w:r>
      <w:r w:rsidR="00C4355F" w:rsidRPr="00610B1B">
        <w:rPr>
          <w:rFonts w:ascii="Times New Roman" w:hAnsi="Times New Roman" w:cs="Times New Roman"/>
          <w:sz w:val="24"/>
          <w:szCs w:val="24"/>
          <w:lang w:val="bg-BG"/>
        </w:rPr>
        <w:t>двата канала</w:t>
      </w:r>
      <w:r w:rsidRPr="00610B1B">
        <w:rPr>
          <w:rFonts w:ascii="Times New Roman" w:hAnsi="Times New Roman" w:cs="Times New Roman"/>
          <w:sz w:val="24"/>
          <w:szCs w:val="24"/>
          <w:lang w:val="bg-BG"/>
        </w:rPr>
        <w:t>. То е съобраз</w:t>
      </w:r>
      <w:r w:rsidR="00C4355F"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но с бъдещите потребности на пристанищните оператори в района, като е предвидено удълбочаване на канал</w:t>
      </w:r>
      <w:r w:rsidR="00C4355F" w:rsidRPr="00610B1B">
        <w:rPr>
          <w:rFonts w:ascii="Times New Roman" w:hAnsi="Times New Roman" w:cs="Times New Roman"/>
          <w:sz w:val="24"/>
          <w:szCs w:val="24"/>
          <w:lang w:val="bg-BG"/>
        </w:rPr>
        <w:t>ите</w:t>
      </w:r>
      <w:r w:rsidRPr="00610B1B">
        <w:rPr>
          <w:rFonts w:ascii="Times New Roman" w:hAnsi="Times New Roman" w:cs="Times New Roman"/>
          <w:sz w:val="24"/>
          <w:szCs w:val="24"/>
          <w:lang w:val="bg-BG"/>
        </w:rPr>
        <w:t>, заедно с езерната част на навигационното трасе на подхода и обръщателния кръг на пристанищен терминал Варна</w:t>
      </w:r>
      <w:r w:rsidR="006D1542"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Запад. С изпълнението на проекта трябва да се осигури плавателна дълбочина от 14.50 m. </w:t>
      </w:r>
      <w:r w:rsidR="00EE40AB" w:rsidRPr="00610B1B">
        <w:rPr>
          <w:rFonts w:ascii="Times New Roman" w:hAnsi="Times New Roman" w:cs="Times New Roman"/>
          <w:sz w:val="24"/>
          <w:szCs w:val="24"/>
          <w:lang w:val="bg-BG"/>
        </w:rPr>
        <w:t xml:space="preserve">Очакваните </w:t>
      </w:r>
      <w:r w:rsidRPr="00610B1B">
        <w:rPr>
          <w:rFonts w:ascii="Times New Roman" w:hAnsi="Times New Roman" w:cs="Times New Roman"/>
          <w:sz w:val="24"/>
          <w:szCs w:val="24"/>
          <w:lang w:val="bg-BG"/>
        </w:rPr>
        <w:t>над 7 мил. m</w:t>
      </w:r>
      <w:r w:rsidRPr="00610B1B">
        <w:rPr>
          <w:rFonts w:ascii="Times New Roman" w:hAnsi="Times New Roman" w:cs="Times New Roman"/>
          <w:sz w:val="24"/>
          <w:szCs w:val="24"/>
          <w:vertAlign w:val="superscript"/>
          <w:lang w:val="bg-BG"/>
        </w:rPr>
        <w:t>3</w:t>
      </w:r>
      <w:r w:rsidRPr="00610B1B">
        <w:rPr>
          <w:rFonts w:ascii="Times New Roman" w:hAnsi="Times New Roman" w:cs="Times New Roman"/>
          <w:sz w:val="24"/>
          <w:szCs w:val="24"/>
          <w:lang w:val="bg-BG"/>
        </w:rPr>
        <w:t xml:space="preserve"> драгажна маса е предвидено да бъдат депонирани в рехабилитираното подводно депо за драгажни маси „Налбанка“ във Варненското езеро, </w:t>
      </w:r>
      <w:r w:rsidR="008D4C1E" w:rsidRPr="00610B1B">
        <w:rPr>
          <w:rFonts w:ascii="Times New Roman" w:hAnsi="Times New Roman" w:cs="Times New Roman"/>
          <w:sz w:val="24"/>
          <w:szCs w:val="24"/>
          <w:lang w:val="bg-BG"/>
        </w:rPr>
        <w:t xml:space="preserve">чийто повърхностен слой е съставено от съвременни, тъмночерни </w:t>
      </w:r>
      <w:r w:rsidR="008D4C1E" w:rsidRPr="00610B1B">
        <w:rPr>
          <w:rFonts w:ascii="Times New Roman" w:hAnsi="Times New Roman" w:cs="Times New Roman"/>
          <w:sz w:val="24"/>
          <w:szCs w:val="24"/>
          <w:lang w:val="bg-BG"/>
        </w:rPr>
        <w:lastRenderedPageBreak/>
        <w:t>мазни тини с дебелина от 30 до 50 cm</w:t>
      </w:r>
      <w:r w:rsidR="008943EA" w:rsidRPr="00610B1B">
        <w:rPr>
          <w:rFonts w:ascii="Times New Roman" w:hAnsi="Times New Roman" w:cs="Times New Roman"/>
          <w:sz w:val="24"/>
          <w:szCs w:val="24"/>
          <w:lang w:val="bg-BG"/>
        </w:rPr>
        <w:t>. В БДЧР няма постъпили данни за биогенно замърсяване на дънните утайки.</w:t>
      </w:r>
      <w:r w:rsidR="00D66FE0" w:rsidRPr="00610B1B">
        <w:rPr>
          <w:rFonts w:ascii="Times New Roman" w:hAnsi="Times New Roman" w:cs="Times New Roman"/>
          <w:sz w:val="24"/>
          <w:szCs w:val="24"/>
          <w:lang w:val="bg-BG"/>
        </w:rPr>
        <w:t xml:space="preserve"> </w:t>
      </w:r>
    </w:p>
    <w:p w14:paraId="4D7182BE" w14:textId="77777777" w:rsidR="00610177" w:rsidRPr="00610B1B" w:rsidRDefault="00610177" w:rsidP="00610177">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Най-голямото по площ (27,6 km</w:t>
      </w:r>
      <w:r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лиманно езеро по Българското Черноморие е Бургаското езеро. То е разположено в Бургаската низина, в устиевата част на р. Айтоска и има ниски и заблатени брегове. В миналото е било отделено от морето с тясна пясъчна коса която е укрепена и е прокаран южния околовръстен път на гр. Бургас. Дължината му е 9,5 km, а средната дълбочина е около 1 m. Солеността на езерото е значително по-висока от останалите големи лиманни езера и варира от 0,5 до 5‰ (маловодни години). </w:t>
      </w:r>
    </w:p>
    <w:p w14:paraId="4C064C0E" w14:textId="46508C29" w:rsidR="00BC1B1E" w:rsidRPr="00610B1B" w:rsidRDefault="00610177" w:rsidP="00610177">
      <w:pPr>
        <w:spacing w:after="12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Мандренското езеро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представлява лиман и е разположено в югоизточната част на Бургаската низи</w:t>
      </w:r>
      <w:r w:rsidRPr="00610B1B">
        <w:rPr>
          <w:rFonts w:ascii="Times New Roman" w:hAnsi="Times New Roman" w:cs="Times New Roman"/>
          <w:sz w:val="24"/>
          <w:szCs w:val="24"/>
          <w:lang w:val="bg-BG"/>
        </w:rPr>
        <w:softHyphen/>
        <w:t>на. То има продълговата форма с дължина 11 km и мак</w:t>
      </w:r>
      <w:r w:rsidRPr="00610B1B">
        <w:rPr>
          <w:rFonts w:ascii="Times New Roman" w:hAnsi="Times New Roman" w:cs="Times New Roman"/>
          <w:sz w:val="24"/>
          <w:szCs w:val="24"/>
          <w:lang w:val="bg-BG"/>
        </w:rPr>
        <w:softHyphen/>
        <w:t>симална ширина 1,3 km. Средната му дълбочина е 1,1 m, а обемът 11 млн. m</w:t>
      </w:r>
      <w:r w:rsidRPr="00610B1B">
        <w:rPr>
          <w:rFonts w:ascii="Times New Roman" w:hAnsi="Times New Roman" w:cs="Times New Roman"/>
          <w:sz w:val="24"/>
          <w:szCs w:val="24"/>
          <w:vertAlign w:val="superscript"/>
          <w:lang w:val="bg-BG"/>
        </w:rPr>
        <w:t>3</w:t>
      </w:r>
      <w:r w:rsidRPr="00610B1B">
        <w:rPr>
          <w:rFonts w:ascii="Times New Roman" w:hAnsi="Times New Roman" w:cs="Times New Roman"/>
          <w:sz w:val="24"/>
          <w:szCs w:val="24"/>
          <w:lang w:val="bg-BG"/>
        </w:rPr>
        <w:t>. Бреговете са хълмисти, невисоки и обрасли с тръстика. Солеността на езерото е ниска, тъй като в западната му част се вливат едни от най-големите реки, протичащи в Бургаската низина - Русокастренска, Средецка и Факийска. За нуждите на напояването и промишленото водоснабдяване от 1963 г. част от него е преградено с язовирна стена, докато долната част от езерото остава в естествения си вид и е обособено като отделно водно тяло в ПУРБ, като това е орнитологично важно място.</w:t>
      </w:r>
      <w:r w:rsidRPr="00610B1B">
        <w:rPr>
          <w:rFonts w:ascii="Times New Roman" w:hAnsi="Times New Roman" w:cs="Times New Roman"/>
          <w:sz w:val="24"/>
          <w:szCs w:val="24"/>
          <w:lang w:val="bg-BG"/>
        </w:rPr>
        <w:cr/>
      </w:r>
      <w:r w:rsidRPr="00610B1B">
        <w:rPr>
          <w:rFonts w:ascii="Times New Roman" w:hAnsi="Times New Roman" w:cs="Times New Roman"/>
          <w:sz w:val="24"/>
          <w:szCs w:val="24"/>
          <w:lang w:val="bg-BG"/>
        </w:rPr>
        <w:br/>
      </w:r>
      <w:r w:rsidR="00BC1B1E" w:rsidRPr="00610B1B">
        <w:rPr>
          <w:rFonts w:ascii="Times New Roman" w:hAnsi="Times New Roman" w:cs="Times New Roman"/>
          <w:sz w:val="24"/>
          <w:szCs w:val="24"/>
          <w:lang w:val="bg-BG"/>
        </w:rPr>
        <w:t xml:space="preserve">Водният режим на повечето лиманни езера е сходен. Максимумът на водното ниво се наблюдава през май като интегриран резултат от увеличения речен приток и обилните валежи над водното огледало. Разлика се наблюдава при Шабленското езеро, където максимумът настъпва месец по-рано поради обилно подхранване с карстови води. На юг, в Бургаското езеро, максимумът се регистрира през декември вследствие на значителните валежи, резултат от средиземноморското климатично влияние. </w:t>
      </w:r>
    </w:p>
    <w:p w14:paraId="54455F1B" w14:textId="4D5D3160" w:rsidR="00BC1B1E" w:rsidRPr="00610B1B" w:rsidRDefault="00BC1B1E" w:rsidP="00610177">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Към групата на лагунните езера спадат Атанасовско и Поморийско езеро, заблатените езера Алепу, Аркутино, Стомопло по Странджанското крайбрежие, добруджанските - Шабленска тузла, Наневска и Балчишка тузла. Трите добруджански тузли представляват свръхсолени лагуни, малки по площ и дълбочина. Водното им ниво е по-ниско от морското и през лятото тази разлика нараства. Подхранването на водоемите се осъществява чрез преливане на морска вода през пясъчните коси, просмукване през пясъка или чрез изкуствено прокопани канали към морето. Притокът от сладководни извори и валежи е слаб. Наневска и Балчишка тузла могат да се разглеждат и като свлачищни езера, защото заемат малки, плитки, понижени участъци на крайбрежни свлачища. Дъната на добруджанските лагуни са покрити с черна сероводородна лечебна кал, която се използва за балнеоложки процедури. </w:t>
      </w:r>
    </w:p>
    <w:p w14:paraId="1C211AE9" w14:textId="41201925" w:rsidR="00212964" w:rsidRPr="00610B1B" w:rsidRDefault="00686CE6" w:rsidP="00610177">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Поморийското</w:t>
      </w:r>
      <w:r w:rsidR="00D66FE0" w:rsidRPr="00610B1B">
        <w:rPr>
          <w:rFonts w:ascii="Times New Roman" w:hAnsi="Times New Roman" w:cs="Times New Roman"/>
          <w:sz w:val="24"/>
          <w:szCs w:val="24"/>
          <w:lang w:val="bg-BG"/>
        </w:rPr>
        <w:t xml:space="preserve"> </w:t>
      </w:r>
      <w:r w:rsidR="00212964" w:rsidRPr="00610B1B">
        <w:rPr>
          <w:rFonts w:ascii="Times New Roman" w:hAnsi="Times New Roman" w:cs="Times New Roman"/>
          <w:sz w:val="24"/>
          <w:szCs w:val="24"/>
          <w:lang w:val="bg-BG"/>
        </w:rPr>
        <w:t>езеро,</w:t>
      </w:r>
      <w:r w:rsidR="00D66FE0" w:rsidRPr="00610B1B">
        <w:rPr>
          <w:rFonts w:ascii="Times New Roman" w:hAnsi="Times New Roman" w:cs="Times New Roman"/>
          <w:sz w:val="24"/>
          <w:szCs w:val="24"/>
          <w:lang w:val="bg-BG"/>
        </w:rPr>
        <w:t xml:space="preserve"> </w:t>
      </w:r>
      <w:r w:rsidR="00212964" w:rsidRPr="00610B1B">
        <w:rPr>
          <w:rFonts w:ascii="Times New Roman" w:hAnsi="Times New Roman" w:cs="Times New Roman"/>
          <w:sz w:val="24"/>
          <w:szCs w:val="24"/>
          <w:lang w:val="bg-BG"/>
        </w:rPr>
        <w:t>разположено северно от гр. Поморие, е свръхсолено. Обхваща част от Поморийския залив и се простира успоредно на морето, от което е отделено с дълга 6</w:t>
      </w:r>
      <w:r w:rsidR="00764A7D" w:rsidRPr="00610B1B">
        <w:rPr>
          <w:rFonts w:ascii="Times New Roman" w:hAnsi="Times New Roman" w:cs="Times New Roman"/>
          <w:sz w:val="24"/>
          <w:szCs w:val="24"/>
          <w:lang w:val="bg-BG"/>
        </w:rPr>
        <w:t xml:space="preserve"> </w:t>
      </w:r>
      <w:r w:rsidR="00212964" w:rsidRPr="00610B1B">
        <w:rPr>
          <w:rFonts w:ascii="Times New Roman" w:hAnsi="Times New Roman" w:cs="Times New Roman"/>
          <w:sz w:val="24"/>
          <w:szCs w:val="24"/>
          <w:lang w:val="bg-BG"/>
        </w:rPr>
        <w:t>km и тясна пясъчна коса. Има издължена на север овална форма, нивото му се намира на около 0,5-0,8 m под морското равнище и е много плитко. Подхранва се от просмука</w:t>
      </w:r>
      <w:r w:rsidR="00212964" w:rsidRPr="00610B1B">
        <w:rPr>
          <w:rFonts w:ascii="Times New Roman" w:hAnsi="Times New Roman" w:cs="Times New Roman"/>
          <w:sz w:val="24"/>
          <w:szCs w:val="24"/>
          <w:lang w:val="bg-BG"/>
        </w:rPr>
        <w:softHyphen/>
        <w:t>ни през пясъчната коса морски води и през лятото солеността му се покачва над 100</w:t>
      </w:r>
      <w:r w:rsidR="00212964" w:rsidRPr="00610B1B">
        <w:rPr>
          <w:rFonts w:ascii="Times New Roman" w:hAnsi="Times New Roman" w:cs="Times New Roman"/>
          <w:lang w:val="bg-BG"/>
        </w:rPr>
        <w:t>‰</w:t>
      </w:r>
      <w:r w:rsidR="00212964" w:rsidRPr="00610B1B">
        <w:rPr>
          <w:rFonts w:ascii="Times New Roman" w:hAnsi="Times New Roman" w:cs="Times New Roman"/>
          <w:sz w:val="24"/>
          <w:szCs w:val="24"/>
          <w:lang w:val="bg-BG"/>
        </w:rPr>
        <w:t xml:space="preserve">. Тъй като изпарението превишава неколкократно притока в езерото, обемът му се регулира </w:t>
      </w:r>
      <w:r w:rsidR="00212964" w:rsidRPr="00610B1B">
        <w:rPr>
          <w:rFonts w:ascii="Times New Roman" w:hAnsi="Times New Roman" w:cs="Times New Roman"/>
          <w:sz w:val="24"/>
          <w:szCs w:val="24"/>
          <w:lang w:val="bg-BG"/>
        </w:rPr>
        <w:lastRenderedPageBreak/>
        <w:t>изкуствено. Дъното е покрито с лечебна се</w:t>
      </w:r>
      <w:r w:rsidR="00212964" w:rsidRPr="00610B1B">
        <w:rPr>
          <w:rFonts w:ascii="Times New Roman" w:hAnsi="Times New Roman" w:cs="Times New Roman"/>
          <w:sz w:val="24"/>
          <w:szCs w:val="24"/>
          <w:lang w:val="bg-BG"/>
        </w:rPr>
        <w:softHyphen/>
        <w:t xml:space="preserve">роводородна кал. Свободната повърхност през лятото обрасва със соленолюбиви водорасли. </w:t>
      </w:r>
      <w:r w:rsidR="00764A7D" w:rsidRPr="00610B1B">
        <w:rPr>
          <w:rFonts w:ascii="Times New Roman" w:hAnsi="Times New Roman" w:cs="Times New Roman"/>
          <w:sz w:val="24"/>
          <w:szCs w:val="24"/>
          <w:lang w:val="bg-BG"/>
        </w:rPr>
        <w:t>В</w:t>
      </w:r>
      <w:r w:rsidR="00212964" w:rsidRPr="00610B1B">
        <w:rPr>
          <w:rFonts w:ascii="Times New Roman" w:hAnsi="Times New Roman" w:cs="Times New Roman"/>
          <w:sz w:val="24"/>
          <w:szCs w:val="24"/>
          <w:lang w:val="bg-BG"/>
        </w:rPr>
        <w:t xml:space="preserve"> езерото се добив</w:t>
      </w:r>
      <w:r w:rsidR="00764A7D" w:rsidRPr="00610B1B">
        <w:rPr>
          <w:rFonts w:ascii="Times New Roman" w:hAnsi="Times New Roman" w:cs="Times New Roman"/>
          <w:sz w:val="24"/>
          <w:szCs w:val="24"/>
          <w:lang w:val="bg-BG"/>
        </w:rPr>
        <w:t>а</w:t>
      </w:r>
      <w:r w:rsidR="00212964" w:rsidRPr="00610B1B">
        <w:rPr>
          <w:rFonts w:ascii="Times New Roman" w:hAnsi="Times New Roman" w:cs="Times New Roman"/>
          <w:sz w:val="24"/>
          <w:szCs w:val="24"/>
          <w:lang w:val="bg-BG"/>
        </w:rPr>
        <w:t xml:space="preserve"> морска сол. </w:t>
      </w:r>
    </w:p>
    <w:p w14:paraId="3D121D29" w14:textId="24E06B30" w:rsidR="00212964" w:rsidRPr="00610B1B" w:rsidRDefault="00212964"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Атанасовското езеро представлява свръхсолена лагуна, образувала се в резултат на преграждане на плитък залив с пясъчна коса. Разположено е северно от Бургас и е разде</w:t>
      </w:r>
      <w:r w:rsidRPr="00610B1B">
        <w:rPr>
          <w:rFonts w:ascii="Times New Roman" w:hAnsi="Times New Roman" w:cs="Times New Roman"/>
          <w:sz w:val="24"/>
          <w:szCs w:val="24"/>
          <w:lang w:val="bg-BG"/>
        </w:rPr>
        <w:softHyphen/>
        <w:t>лено от изкуствен насип на два басейна. Езерото е много плитко (дълбочина до 1 m) и получава води от морето чрез изкуствен канал. Бреговете му са ниски и обрасли с блатна растителност. Солеността през засушливи лета достига до 250</w:t>
      </w:r>
      <w:r w:rsidRPr="00610B1B">
        <w:rPr>
          <w:rFonts w:ascii="Times New Roman" w:hAnsi="Times New Roman" w:cs="Times New Roman"/>
          <w:lang w:val="bg-BG"/>
        </w:rPr>
        <w:t>‰</w:t>
      </w:r>
      <w:r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p>
    <w:p w14:paraId="34E71131" w14:textId="5F99C0FA" w:rsidR="00212964" w:rsidRPr="00610B1B" w:rsidRDefault="0061017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приустиевите части на редица реки вливащи се в Черно море, поради хипсометричните характеристики на терена,</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при пълноводие се образуват обширни разливи, които формират блата.</w:t>
      </w:r>
      <w:r w:rsidR="00212964" w:rsidRPr="00610B1B">
        <w:rPr>
          <w:rFonts w:ascii="Times New Roman" w:hAnsi="Times New Roman" w:cs="Times New Roman"/>
          <w:sz w:val="24"/>
          <w:szCs w:val="24"/>
          <w:lang w:val="bg-BG"/>
        </w:rPr>
        <w:t xml:space="preserve"> </w:t>
      </w:r>
      <w:r w:rsidR="00AE66CD" w:rsidRPr="00610B1B">
        <w:rPr>
          <w:rFonts w:ascii="Times New Roman" w:hAnsi="Times New Roman" w:cs="Times New Roman"/>
          <w:sz w:val="24"/>
          <w:szCs w:val="24"/>
          <w:lang w:val="bg-BG"/>
        </w:rPr>
        <w:t>Т</w:t>
      </w:r>
      <w:r w:rsidR="00212964" w:rsidRPr="00610B1B">
        <w:rPr>
          <w:rFonts w:ascii="Times New Roman" w:hAnsi="Times New Roman" w:cs="Times New Roman"/>
          <w:sz w:val="24"/>
          <w:szCs w:val="24"/>
          <w:lang w:val="bg-BG"/>
        </w:rPr>
        <w:t xml:space="preserve">акива </w:t>
      </w:r>
      <w:r w:rsidR="00AE66CD" w:rsidRPr="00610B1B">
        <w:rPr>
          <w:rFonts w:ascii="Times New Roman" w:hAnsi="Times New Roman" w:cs="Times New Roman"/>
          <w:sz w:val="24"/>
          <w:szCs w:val="24"/>
          <w:lang w:val="bg-BG"/>
        </w:rPr>
        <w:t>са</w:t>
      </w:r>
      <w:r w:rsidR="00212964" w:rsidRPr="00610B1B">
        <w:rPr>
          <w:rFonts w:ascii="Times New Roman" w:hAnsi="Times New Roman" w:cs="Times New Roman"/>
          <w:sz w:val="24"/>
          <w:szCs w:val="24"/>
          <w:lang w:val="bg-BG"/>
        </w:rPr>
        <w:t xml:space="preserve"> Камчийските блата (в устието на р. Камчия</w:t>
      </w:r>
      <w:r w:rsidRPr="00610B1B">
        <w:rPr>
          <w:rFonts w:ascii="Times New Roman" w:hAnsi="Times New Roman" w:cs="Times New Roman"/>
          <w:sz w:val="24"/>
          <w:szCs w:val="24"/>
          <w:lang w:val="bg-BG"/>
        </w:rPr>
        <w:t xml:space="preserve"> – </w:t>
      </w:r>
      <w:r w:rsidR="00212964" w:rsidRPr="00610B1B">
        <w:rPr>
          <w:rFonts w:ascii="Times New Roman" w:hAnsi="Times New Roman" w:cs="Times New Roman"/>
          <w:sz w:val="24"/>
          <w:szCs w:val="24"/>
          <w:lang w:val="bg-BG"/>
        </w:rPr>
        <w:t>Лонгоза), малкото Дяволско блато (на р. Дяволска, южно от гр. При</w:t>
      </w:r>
      <w:r w:rsidR="00212964" w:rsidRPr="00610B1B">
        <w:rPr>
          <w:rFonts w:ascii="Times New Roman" w:hAnsi="Times New Roman" w:cs="Times New Roman"/>
          <w:sz w:val="24"/>
          <w:szCs w:val="24"/>
          <w:lang w:val="bg-BG"/>
        </w:rPr>
        <w:softHyphen/>
        <w:t>морско), Батовското блато (в устието на р.</w:t>
      </w:r>
      <w:r w:rsidR="00AE66CD" w:rsidRPr="00610B1B">
        <w:rPr>
          <w:rFonts w:ascii="Times New Roman" w:hAnsi="Times New Roman" w:cs="Times New Roman"/>
          <w:sz w:val="24"/>
          <w:szCs w:val="24"/>
          <w:lang w:val="bg-BG"/>
        </w:rPr>
        <w:t xml:space="preserve"> </w:t>
      </w:r>
      <w:r w:rsidR="00212964" w:rsidRPr="00610B1B">
        <w:rPr>
          <w:rFonts w:ascii="Times New Roman" w:hAnsi="Times New Roman" w:cs="Times New Roman"/>
          <w:sz w:val="24"/>
          <w:szCs w:val="24"/>
          <w:lang w:val="bg-BG"/>
        </w:rPr>
        <w:t>Батова) и др. Те имат лиманен характер, през лятото силно намаляват площта си и дори пресъхват. Разливите представляват мочурища, обрасли с папур, сладководни водорасли и друга влаголюбива растителност. Солеността им е ниска</w:t>
      </w:r>
      <w:r w:rsidR="00AE66CD"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00212964" w:rsidRPr="00610B1B">
        <w:rPr>
          <w:rFonts w:ascii="Times New Roman" w:hAnsi="Times New Roman" w:cs="Times New Roman"/>
          <w:sz w:val="24"/>
          <w:szCs w:val="24"/>
          <w:lang w:val="bg-BG"/>
        </w:rPr>
        <w:t>около 6</w:t>
      </w:r>
      <w:r w:rsidR="00212964" w:rsidRPr="00610B1B">
        <w:rPr>
          <w:rFonts w:ascii="Times New Roman" w:hAnsi="Times New Roman" w:cs="Times New Roman"/>
          <w:lang w:val="bg-BG"/>
        </w:rPr>
        <w:t>‰</w:t>
      </w:r>
      <w:r w:rsidR="00212964" w:rsidRPr="00610B1B">
        <w:rPr>
          <w:rFonts w:ascii="Times New Roman" w:hAnsi="Times New Roman" w:cs="Times New Roman"/>
          <w:sz w:val="24"/>
          <w:szCs w:val="24"/>
          <w:lang w:val="bg-BG"/>
        </w:rPr>
        <w:t>, като през лятото и есента достига до около 14</w:t>
      </w:r>
      <w:r w:rsidR="00212964" w:rsidRPr="00610B1B">
        <w:rPr>
          <w:rFonts w:ascii="Times New Roman" w:hAnsi="Times New Roman" w:cs="Times New Roman"/>
          <w:lang w:val="bg-BG"/>
        </w:rPr>
        <w:t>‰</w:t>
      </w:r>
      <w:r w:rsidR="00212964" w:rsidRPr="00610B1B">
        <w:rPr>
          <w:rFonts w:ascii="Times New Roman" w:hAnsi="Times New Roman" w:cs="Times New Roman"/>
          <w:sz w:val="24"/>
          <w:szCs w:val="24"/>
          <w:lang w:val="bg-BG"/>
        </w:rPr>
        <w:t xml:space="preserve">. </w:t>
      </w:r>
    </w:p>
    <w:p w14:paraId="2F4C93F9" w14:textId="7BEEF36B" w:rsidR="008B7C57" w:rsidRPr="00610B1B" w:rsidRDefault="00AE66CD" w:rsidP="00D32D6A">
      <w:pPr>
        <w:pStyle w:val="Heading4"/>
        <w:spacing w:before="0" w:line="276" w:lineRule="auto"/>
        <w:ind w:right="-153"/>
        <w:rPr>
          <w:rFonts w:cs="Times New Roman"/>
        </w:rPr>
      </w:pPr>
      <w:r w:rsidRPr="00610B1B">
        <w:rPr>
          <w:rFonts w:cs="Times New Roman"/>
        </w:rPr>
        <w:t xml:space="preserve">2.2.2.2. </w:t>
      </w:r>
      <w:r w:rsidR="008B7C57" w:rsidRPr="00610B1B">
        <w:rPr>
          <w:rFonts w:cs="Times New Roman"/>
        </w:rPr>
        <w:t xml:space="preserve">Зони за защита по План за </w:t>
      </w:r>
      <w:r w:rsidR="00706D7D" w:rsidRPr="00610B1B">
        <w:rPr>
          <w:rFonts w:cs="Times New Roman"/>
        </w:rPr>
        <w:t xml:space="preserve">управление на риска от наводнения </w:t>
      </w:r>
    </w:p>
    <w:p w14:paraId="667C9ADD" w14:textId="7E3C2069" w:rsidR="00536709" w:rsidRPr="00610B1B" w:rsidRDefault="003F31E1"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sz w:val="24"/>
          <w:szCs w:val="24"/>
          <w:lang w:val="bg-BG"/>
        </w:rPr>
        <w:t xml:space="preserve">Директива 2007/60/ЕО на Европейския парламент и на Съвета от 23 октомври 2007 година относно оценката и управлението на риска от наводнения </w:t>
      </w:r>
      <w:r w:rsidR="008B7C57" w:rsidRPr="00610B1B">
        <w:rPr>
          <w:rFonts w:ascii="Times New Roman" w:hAnsi="Times New Roman" w:cs="Times New Roman"/>
          <w:sz w:val="24"/>
          <w:szCs w:val="24"/>
          <w:lang w:val="bg-BG"/>
        </w:rPr>
        <w:t>(ДН)</w:t>
      </w:r>
      <w:r w:rsidRPr="00610B1B">
        <w:rPr>
          <w:rStyle w:val="FootnoteReference"/>
          <w:rFonts w:ascii="Times New Roman" w:hAnsi="Times New Roman" w:cs="Times New Roman"/>
          <w:sz w:val="24"/>
          <w:szCs w:val="24"/>
          <w:lang w:val="bg-BG"/>
        </w:rPr>
        <w:footnoteReference w:id="76"/>
      </w:r>
      <w:r w:rsidR="008B7C57" w:rsidRPr="00610B1B">
        <w:rPr>
          <w:rFonts w:ascii="Times New Roman" w:hAnsi="Times New Roman" w:cs="Times New Roman"/>
          <w:sz w:val="24"/>
          <w:szCs w:val="24"/>
          <w:lang w:val="bg-BG"/>
        </w:rPr>
        <w:t xml:space="preserve"> е транспонирана в националното законодателство с изменение на Закона за водите през август 2010 г. План</w:t>
      </w:r>
      <w:r w:rsidR="00E14A65" w:rsidRPr="00610B1B">
        <w:rPr>
          <w:rFonts w:ascii="Times New Roman" w:hAnsi="Times New Roman" w:cs="Times New Roman"/>
          <w:sz w:val="24"/>
          <w:szCs w:val="24"/>
          <w:lang w:val="bg-BG"/>
        </w:rPr>
        <w:t>овете</w:t>
      </w:r>
      <w:r w:rsidR="008B7C57" w:rsidRPr="00610B1B">
        <w:rPr>
          <w:rFonts w:ascii="Times New Roman" w:hAnsi="Times New Roman" w:cs="Times New Roman"/>
          <w:sz w:val="24"/>
          <w:szCs w:val="24"/>
          <w:lang w:val="bg-BG"/>
        </w:rPr>
        <w:t xml:space="preserve"> за управление на риска от наводнения (ПУРН)</w:t>
      </w:r>
      <w:r w:rsidRPr="00610B1B">
        <w:rPr>
          <w:rFonts w:ascii="Times New Roman" w:hAnsi="Times New Roman" w:cs="Times New Roman"/>
          <w:sz w:val="24"/>
          <w:szCs w:val="24"/>
          <w:lang w:val="bg-BG"/>
        </w:rPr>
        <w:t xml:space="preserve"> </w:t>
      </w:r>
      <w:r w:rsidR="008B7C57" w:rsidRPr="00610B1B">
        <w:rPr>
          <w:rFonts w:ascii="Times New Roman" w:hAnsi="Times New Roman" w:cs="Times New Roman"/>
          <w:sz w:val="24"/>
          <w:szCs w:val="24"/>
          <w:lang w:val="bg-BG"/>
        </w:rPr>
        <w:t xml:space="preserve">са задължителни и изпълнението </w:t>
      </w:r>
      <w:r w:rsidRPr="00610B1B">
        <w:rPr>
          <w:rFonts w:ascii="Times New Roman" w:hAnsi="Times New Roman" w:cs="Times New Roman"/>
          <w:sz w:val="24"/>
          <w:szCs w:val="24"/>
          <w:lang w:val="bg-BG"/>
        </w:rPr>
        <w:t>им</w:t>
      </w:r>
      <w:r w:rsidR="008B7C57" w:rsidRPr="00610B1B">
        <w:rPr>
          <w:rFonts w:ascii="Times New Roman" w:hAnsi="Times New Roman" w:cs="Times New Roman"/>
          <w:sz w:val="24"/>
          <w:szCs w:val="24"/>
          <w:lang w:val="bg-BG"/>
        </w:rPr>
        <w:t xml:space="preserve"> намалява възможните неблагоприятни последици за човешкото здраве, околната среда, културното наследство, техническата инфраструктура и стопанската дейност, свързани с наводненията.</w:t>
      </w:r>
    </w:p>
    <w:p w14:paraId="3BB3FCF3" w14:textId="2A8AE293" w:rsidR="008B7C57" w:rsidRPr="00610B1B" w:rsidRDefault="00C26AA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Разработеният от </w:t>
      </w:r>
      <w:r w:rsidR="008B7C57" w:rsidRPr="00610B1B">
        <w:rPr>
          <w:rFonts w:ascii="Times New Roman" w:hAnsi="Times New Roman" w:cs="Times New Roman"/>
          <w:sz w:val="24"/>
          <w:szCs w:val="24"/>
          <w:lang w:val="bg-BG"/>
        </w:rPr>
        <w:t xml:space="preserve">Басейнова Дирекция „Черноморски район“ </w:t>
      </w:r>
      <w:r w:rsidR="008B7C57" w:rsidRPr="00610B1B">
        <w:rPr>
          <w:rFonts w:ascii="Times New Roman" w:hAnsi="Times New Roman" w:cs="Times New Roman"/>
          <w:bCs/>
          <w:sz w:val="24"/>
          <w:szCs w:val="24"/>
          <w:lang w:val="bg-BG"/>
        </w:rPr>
        <w:t xml:space="preserve">ПУРН </w:t>
      </w:r>
      <w:r w:rsidR="003F31E1" w:rsidRPr="00610B1B">
        <w:rPr>
          <w:rFonts w:ascii="Times New Roman" w:hAnsi="Times New Roman" w:cs="Times New Roman"/>
          <w:bCs/>
          <w:sz w:val="24"/>
          <w:szCs w:val="24"/>
          <w:lang w:val="bg-BG"/>
        </w:rPr>
        <w:t xml:space="preserve">(2016–2021 </w:t>
      </w:r>
      <w:r w:rsidR="00BA5F20" w:rsidRPr="00610B1B">
        <w:rPr>
          <w:rFonts w:ascii="Times New Roman" w:hAnsi="Times New Roman" w:cs="Times New Roman"/>
          <w:bCs/>
          <w:sz w:val="24"/>
          <w:szCs w:val="24"/>
          <w:lang w:val="bg-BG"/>
        </w:rPr>
        <w:t>г.</w:t>
      </w:r>
      <w:r w:rsidR="003F31E1" w:rsidRPr="00610B1B">
        <w:rPr>
          <w:rFonts w:ascii="Times New Roman" w:hAnsi="Times New Roman" w:cs="Times New Roman"/>
          <w:bCs/>
          <w:sz w:val="24"/>
          <w:szCs w:val="24"/>
          <w:lang w:val="bg-BG"/>
        </w:rPr>
        <w:t>)</w:t>
      </w:r>
      <w:r w:rsidR="00BA5F20" w:rsidRPr="00610B1B">
        <w:rPr>
          <w:rStyle w:val="FootnoteReference"/>
          <w:rFonts w:ascii="Times New Roman" w:hAnsi="Times New Roman" w:cs="Times New Roman"/>
          <w:bCs/>
          <w:sz w:val="24"/>
          <w:szCs w:val="24"/>
          <w:lang w:val="bg-BG"/>
        </w:rPr>
        <w:footnoteReference w:id="77"/>
      </w:r>
      <w:r w:rsidR="003F31E1" w:rsidRPr="00610B1B">
        <w:rPr>
          <w:rFonts w:ascii="Times New Roman" w:hAnsi="Times New Roman" w:cs="Times New Roman"/>
          <w:sz w:val="24"/>
          <w:szCs w:val="24"/>
          <w:lang w:val="bg-BG"/>
        </w:rPr>
        <w:t>,</w:t>
      </w:r>
      <w:r w:rsidR="008B7C57" w:rsidRPr="00610B1B">
        <w:rPr>
          <w:rFonts w:ascii="Times New Roman" w:hAnsi="Times New Roman" w:cs="Times New Roman"/>
          <w:sz w:val="24"/>
          <w:szCs w:val="24"/>
          <w:lang w:val="bg-BG"/>
        </w:rPr>
        <w:t xml:space="preserve"> приет с Решение на МС №1103/29.12.2016 г.</w:t>
      </w:r>
      <w:r w:rsidR="003F31E1" w:rsidRPr="00610B1B">
        <w:rPr>
          <w:rFonts w:ascii="Times New Roman" w:hAnsi="Times New Roman" w:cs="Times New Roman"/>
          <w:sz w:val="24"/>
          <w:szCs w:val="24"/>
          <w:lang w:val="bg-BG"/>
        </w:rPr>
        <w:t>,</w:t>
      </w:r>
      <w:r w:rsidR="001D0AE8" w:rsidRPr="00610B1B">
        <w:rPr>
          <w:rFonts w:ascii="Times New Roman" w:hAnsi="Times New Roman" w:cs="Times New Roman"/>
          <w:sz w:val="24"/>
          <w:szCs w:val="24"/>
          <w:lang w:val="bg-BG"/>
        </w:rPr>
        <w:t xml:space="preserve"> </w:t>
      </w:r>
      <w:r w:rsidR="008B7C57" w:rsidRPr="00610B1B">
        <w:rPr>
          <w:rFonts w:ascii="Times New Roman" w:hAnsi="Times New Roman" w:cs="Times New Roman"/>
          <w:sz w:val="24"/>
          <w:szCs w:val="24"/>
          <w:lang w:val="bg-BG"/>
        </w:rPr>
        <w:t>разглежда всички аспекти на управлението на риска, като се съсредоточава върху предотвратяването, защитата, подготвеността, прогнозите за наводнения, системите за ранно предупреждение и отчита характеристиките на Черноморския район за басейново управление на водите. Той включва Програма от мерки за решаване на проблеми</w:t>
      </w:r>
      <w:r w:rsidR="00BA5F20" w:rsidRPr="00610B1B">
        <w:rPr>
          <w:rFonts w:ascii="Times New Roman" w:hAnsi="Times New Roman" w:cs="Times New Roman"/>
          <w:sz w:val="24"/>
          <w:szCs w:val="24"/>
          <w:lang w:val="bg-BG"/>
        </w:rPr>
        <w:t>те</w:t>
      </w:r>
      <w:r w:rsidR="008B7C57" w:rsidRPr="00610B1B">
        <w:rPr>
          <w:rFonts w:ascii="Times New Roman" w:hAnsi="Times New Roman" w:cs="Times New Roman"/>
          <w:sz w:val="24"/>
          <w:szCs w:val="24"/>
          <w:lang w:val="bg-BG"/>
        </w:rPr>
        <w:t xml:space="preserve"> и постигане на поставените цели за всеки един от определените 45 района със значителен потенциален риск от наводнения. </w:t>
      </w:r>
      <w:r w:rsidR="008B7C57" w:rsidRPr="00610B1B">
        <w:rPr>
          <w:rFonts w:ascii="Times New Roman" w:hAnsi="Times New Roman" w:cs="Times New Roman"/>
          <w:bCs/>
          <w:sz w:val="24"/>
          <w:szCs w:val="24"/>
          <w:lang w:val="bg-BG"/>
        </w:rPr>
        <w:t xml:space="preserve">В </w:t>
      </w:r>
      <w:r w:rsidR="000C1420" w:rsidRPr="00610B1B">
        <w:rPr>
          <w:rFonts w:ascii="Times New Roman" w:hAnsi="Times New Roman" w:cs="Times New Roman"/>
          <w:bCs/>
          <w:sz w:val="24"/>
          <w:szCs w:val="24"/>
          <w:lang w:val="bg-BG"/>
        </w:rPr>
        <w:t>11</w:t>
      </w:r>
      <w:r w:rsidR="008B7C57" w:rsidRPr="00610B1B">
        <w:rPr>
          <w:rFonts w:ascii="Times New Roman" w:hAnsi="Times New Roman" w:cs="Times New Roman"/>
          <w:bCs/>
          <w:sz w:val="24"/>
          <w:szCs w:val="24"/>
          <w:lang w:val="bg-BG"/>
        </w:rPr>
        <w:t xml:space="preserve"> от тях се съдържат данни за минали </w:t>
      </w:r>
      <w:r w:rsidR="000C1420" w:rsidRPr="00610B1B">
        <w:rPr>
          <w:rFonts w:ascii="Times New Roman" w:hAnsi="Times New Roman" w:cs="Times New Roman"/>
          <w:bCs/>
          <w:sz w:val="24"/>
          <w:szCs w:val="24"/>
          <w:lang w:val="bg-BG"/>
        </w:rPr>
        <w:t xml:space="preserve">морски наводнения с </w:t>
      </w:r>
      <w:r w:rsidR="00BA5F20" w:rsidRPr="00610B1B">
        <w:rPr>
          <w:rFonts w:ascii="Times New Roman" w:hAnsi="Times New Roman" w:cs="Times New Roman"/>
          <w:bCs/>
          <w:sz w:val="24"/>
          <w:szCs w:val="24"/>
          <w:lang w:val="bg-BG"/>
        </w:rPr>
        <w:t xml:space="preserve">обща </w:t>
      </w:r>
      <w:r w:rsidR="000C1420" w:rsidRPr="00610B1B">
        <w:rPr>
          <w:rFonts w:ascii="Times New Roman" w:hAnsi="Times New Roman" w:cs="Times New Roman"/>
          <w:bCs/>
          <w:sz w:val="24"/>
          <w:szCs w:val="24"/>
          <w:lang w:val="bg-BG"/>
        </w:rPr>
        <w:t xml:space="preserve">дължина 267 km, а в 34 данни за минали </w:t>
      </w:r>
      <w:r w:rsidR="008B7C57" w:rsidRPr="00610B1B">
        <w:rPr>
          <w:rFonts w:ascii="Times New Roman" w:hAnsi="Times New Roman" w:cs="Times New Roman"/>
          <w:bCs/>
          <w:sz w:val="24"/>
          <w:szCs w:val="24"/>
          <w:lang w:val="bg-BG"/>
        </w:rPr>
        <w:t>речни наводнения (включително езерни), както следва:</w:t>
      </w:r>
      <w:r w:rsidRPr="00610B1B">
        <w:rPr>
          <w:rFonts w:ascii="Times New Roman" w:hAnsi="Times New Roman" w:cs="Times New Roman"/>
          <w:bCs/>
          <w:sz w:val="24"/>
          <w:szCs w:val="24"/>
          <w:lang w:val="bg-BG"/>
        </w:rPr>
        <w:t xml:space="preserve"> р. </w:t>
      </w:r>
      <w:r w:rsidR="008B7C57" w:rsidRPr="00610B1B">
        <w:rPr>
          <w:rFonts w:ascii="Times New Roman" w:hAnsi="Times New Roman" w:cs="Times New Roman"/>
          <w:bCs/>
          <w:sz w:val="24"/>
          <w:szCs w:val="24"/>
          <w:lang w:val="bg-BG"/>
        </w:rPr>
        <w:t xml:space="preserve">Провадийска: 7 броя с дължина 124 </w:t>
      </w:r>
      <w:r w:rsidR="00536709" w:rsidRPr="00610B1B">
        <w:rPr>
          <w:rFonts w:ascii="Times New Roman" w:hAnsi="Times New Roman" w:cs="Times New Roman"/>
          <w:bCs/>
          <w:sz w:val="24"/>
          <w:szCs w:val="24"/>
          <w:lang w:val="bg-BG"/>
        </w:rPr>
        <w:t>km</w:t>
      </w:r>
      <w:r w:rsidRPr="00610B1B">
        <w:rPr>
          <w:rFonts w:ascii="Times New Roman" w:hAnsi="Times New Roman" w:cs="Times New Roman"/>
          <w:bCs/>
          <w:sz w:val="24"/>
          <w:szCs w:val="24"/>
          <w:lang w:val="bg-BG"/>
        </w:rPr>
        <w:t>; р.</w:t>
      </w:r>
      <w:r w:rsidR="008B7C57" w:rsidRPr="00610B1B">
        <w:rPr>
          <w:rFonts w:ascii="Times New Roman" w:hAnsi="Times New Roman" w:cs="Times New Roman"/>
          <w:bCs/>
          <w:sz w:val="24"/>
          <w:szCs w:val="24"/>
          <w:lang w:val="bg-BG"/>
        </w:rPr>
        <w:t xml:space="preserve"> Камчия: 13 броя с дължина 325 </w:t>
      </w:r>
      <w:r w:rsidR="00536709" w:rsidRPr="00610B1B">
        <w:rPr>
          <w:rFonts w:ascii="Times New Roman" w:hAnsi="Times New Roman" w:cs="Times New Roman"/>
          <w:bCs/>
          <w:sz w:val="24"/>
          <w:szCs w:val="24"/>
          <w:lang w:val="bg-BG"/>
        </w:rPr>
        <w:t>km</w:t>
      </w:r>
      <w:r w:rsidRPr="00610B1B">
        <w:rPr>
          <w:rFonts w:ascii="Times New Roman" w:hAnsi="Times New Roman" w:cs="Times New Roman"/>
          <w:bCs/>
          <w:sz w:val="24"/>
          <w:szCs w:val="24"/>
          <w:lang w:val="bg-BG"/>
        </w:rPr>
        <w:t xml:space="preserve">; </w:t>
      </w:r>
      <w:r w:rsidR="008B7C57" w:rsidRPr="00610B1B">
        <w:rPr>
          <w:rFonts w:ascii="Times New Roman" w:hAnsi="Times New Roman" w:cs="Times New Roman"/>
          <w:bCs/>
          <w:sz w:val="24"/>
          <w:szCs w:val="24"/>
          <w:lang w:val="bg-BG"/>
        </w:rPr>
        <w:t xml:space="preserve">Севернобургаски реки: 6 броя с дължина 100 </w:t>
      </w:r>
      <w:r w:rsidR="00536709" w:rsidRPr="00610B1B">
        <w:rPr>
          <w:rFonts w:ascii="Times New Roman" w:hAnsi="Times New Roman" w:cs="Times New Roman"/>
          <w:bCs/>
          <w:sz w:val="24"/>
          <w:szCs w:val="24"/>
          <w:lang w:val="bg-BG"/>
        </w:rPr>
        <w:t>km</w:t>
      </w:r>
      <w:r w:rsidRPr="00610B1B">
        <w:rPr>
          <w:rFonts w:ascii="Times New Roman" w:hAnsi="Times New Roman" w:cs="Times New Roman"/>
          <w:bCs/>
          <w:sz w:val="24"/>
          <w:szCs w:val="24"/>
          <w:lang w:val="bg-BG"/>
        </w:rPr>
        <w:t xml:space="preserve">; </w:t>
      </w:r>
      <w:r w:rsidR="008B7C57" w:rsidRPr="00610B1B">
        <w:rPr>
          <w:rFonts w:ascii="Times New Roman" w:hAnsi="Times New Roman" w:cs="Times New Roman"/>
          <w:bCs/>
          <w:sz w:val="24"/>
          <w:szCs w:val="24"/>
          <w:lang w:val="bg-BG"/>
        </w:rPr>
        <w:t>Мандренски реки: 6 броя с дължина 88</w:t>
      </w:r>
      <w:r w:rsidR="00610177" w:rsidRPr="00610B1B">
        <w:rPr>
          <w:rFonts w:ascii="Times New Roman" w:hAnsi="Times New Roman" w:cs="Times New Roman"/>
          <w:bCs/>
          <w:sz w:val="24"/>
          <w:szCs w:val="24"/>
          <w:lang w:val="bg-BG"/>
        </w:rPr>
        <w:t> </w:t>
      </w:r>
      <w:r w:rsidR="00536709" w:rsidRPr="00610B1B">
        <w:rPr>
          <w:rFonts w:ascii="Times New Roman" w:hAnsi="Times New Roman" w:cs="Times New Roman"/>
          <w:bCs/>
          <w:sz w:val="24"/>
          <w:szCs w:val="24"/>
          <w:lang w:val="bg-BG"/>
        </w:rPr>
        <w:t>km</w:t>
      </w:r>
      <w:r w:rsidRPr="00610B1B">
        <w:rPr>
          <w:rFonts w:ascii="Times New Roman" w:hAnsi="Times New Roman" w:cs="Times New Roman"/>
          <w:bCs/>
          <w:sz w:val="24"/>
          <w:szCs w:val="24"/>
          <w:lang w:val="bg-BG"/>
        </w:rPr>
        <w:t xml:space="preserve">; </w:t>
      </w:r>
      <w:r w:rsidR="008B7C57" w:rsidRPr="00610B1B">
        <w:rPr>
          <w:rFonts w:ascii="Times New Roman" w:hAnsi="Times New Roman" w:cs="Times New Roman"/>
          <w:bCs/>
          <w:sz w:val="24"/>
          <w:szCs w:val="24"/>
          <w:lang w:val="bg-BG"/>
        </w:rPr>
        <w:t xml:space="preserve">Южнобургаски реки: 2 броя с дължина 11 </w:t>
      </w:r>
      <w:r w:rsidR="00536709" w:rsidRPr="00610B1B">
        <w:rPr>
          <w:rFonts w:ascii="Times New Roman" w:hAnsi="Times New Roman" w:cs="Times New Roman"/>
          <w:bCs/>
          <w:sz w:val="24"/>
          <w:szCs w:val="24"/>
          <w:lang w:val="bg-BG"/>
        </w:rPr>
        <w:t>km</w:t>
      </w:r>
      <w:r w:rsidRPr="00610B1B">
        <w:rPr>
          <w:rFonts w:ascii="Times New Roman" w:hAnsi="Times New Roman" w:cs="Times New Roman"/>
          <w:bCs/>
          <w:sz w:val="24"/>
          <w:szCs w:val="24"/>
          <w:lang w:val="bg-BG"/>
        </w:rPr>
        <w:t xml:space="preserve">. </w:t>
      </w:r>
    </w:p>
    <w:p w14:paraId="02FBB9F1" w14:textId="41E872CE" w:rsidR="008B7C57" w:rsidRPr="00610B1B" w:rsidRDefault="008B7C5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За разработването на морския пространствен план интерес представляват 11-те морски района</w:t>
      </w:r>
      <w:r w:rsidR="000C1420" w:rsidRPr="00610B1B">
        <w:rPr>
          <w:rFonts w:ascii="Times New Roman" w:hAnsi="Times New Roman" w:cs="Times New Roman"/>
          <w:bCs/>
          <w:sz w:val="24"/>
          <w:szCs w:val="24"/>
          <w:lang w:val="bg-BG"/>
        </w:rPr>
        <w:t>, за които са генерирани карти за 1000, 100 и 20 годишна вълна</w:t>
      </w:r>
      <w:r w:rsidR="00BA5F20" w:rsidRPr="00610B1B">
        <w:rPr>
          <w:rFonts w:ascii="Times New Roman" w:hAnsi="Times New Roman" w:cs="Times New Roman"/>
          <w:bCs/>
          <w:sz w:val="24"/>
          <w:szCs w:val="24"/>
          <w:lang w:val="bg-BG"/>
        </w:rPr>
        <w:t>:</w:t>
      </w:r>
    </w:p>
    <w:p w14:paraId="0E1906DB" w14:textId="4979B5E6"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lastRenderedPageBreak/>
        <w:t xml:space="preserve">BG02_APSFR_BS_01 – Черно море – Дуранкулак </w:t>
      </w:r>
      <w:r w:rsidR="00A61A4E" w:rsidRPr="00610B1B">
        <w:rPr>
          <w:rFonts w:ascii="Times New Roman" w:hAnsi="Times New Roman" w:cs="Times New Roman"/>
          <w:bCs/>
          <w:sz w:val="24"/>
          <w:szCs w:val="24"/>
          <w:lang w:val="bg-BG"/>
        </w:rPr>
        <w:t xml:space="preserve">– </w:t>
      </w:r>
      <w:r w:rsidR="000C1420" w:rsidRPr="00610B1B">
        <w:rPr>
          <w:rFonts w:ascii="Times New Roman" w:hAnsi="Times New Roman" w:cs="Times New Roman"/>
          <w:bCs/>
          <w:sz w:val="24"/>
          <w:szCs w:val="24"/>
          <w:lang w:val="bg-BG"/>
        </w:rPr>
        <w:t>Особено уязвимо е с.</w:t>
      </w:r>
      <w:r w:rsidR="00A61A4E" w:rsidRPr="00610B1B">
        <w:rPr>
          <w:rFonts w:ascii="Times New Roman" w:hAnsi="Times New Roman" w:cs="Times New Roman"/>
          <w:bCs/>
          <w:sz w:val="24"/>
          <w:szCs w:val="24"/>
          <w:lang w:val="bg-BG"/>
        </w:rPr>
        <w:t> </w:t>
      </w:r>
      <w:r w:rsidR="000C1420" w:rsidRPr="00610B1B">
        <w:rPr>
          <w:rFonts w:ascii="Times New Roman" w:hAnsi="Times New Roman" w:cs="Times New Roman"/>
          <w:bCs/>
          <w:sz w:val="24"/>
          <w:szCs w:val="24"/>
          <w:lang w:val="bg-BG"/>
        </w:rPr>
        <w:t>Дуранкулак. Заплаха е установена и за ресторант до брегозащитна каменно-насипна дамба защитаваща къмпинг „Дуранку</w:t>
      </w:r>
      <w:r w:rsidR="00BA5F20" w:rsidRPr="00610B1B">
        <w:rPr>
          <w:rFonts w:ascii="Times New Roman" w:hAnsi="Times New Roman" w:cs="Times New Roman"/>
          <w:bCs/>
          <w:sz w:val="24"/>
          <w:szCs w:val="24"/>
          <w:lang w:val="bg-BG"/>
        </w:rPr>
        <w:t xml:space="preserve">лак“ от абразия. И трите блата </w:t>
      </w:r>
      <w:r w:rsidR="000C1420" w:rsidRPr="00610B1B">
        <w:rPr>
          <w:rFonts w:ascii="Times New Roman" w:hAnsi="Times New Roman" w:cs="Times New Roman"/>
          <w:bCs/>
          <w:sz w:val="24"/>
          <w:szCs w:val="24"/>
          <w:lang w:val="bg-BG"/>
        </w:rPr>
        <w:t xml:space="preserve">Блатата, Карталийско </w:t>
      </w:r>
      <w:r w:rsidR="00BA5F20" w:rsidRPr="00610B1B">
        <w:rPr>
          <w:rFonts w:ascii="Times New Roman" w:hAnsi="Times New Roman" w:cs="Times New Roman"/>
          <w:bCs/>
          <w:sz w:val="24"/>
          <w:szCs w:val="24"/>
          <w:lang w:val="bg-BG"/>
        </w:rPr>
        <w:t xml:space="preserve">и </w:t>
      </w:r>
      <w:r w:rsidR="000C1420" w:rsidRPr="00610B1B">
        <w:rPr>
          <w:rFonts w:ascii="Times New Roman" w:hAnsi="Times New Roman" w:cs="Times New Roman"/>
          <w:bCs/>
          <w:sz w:val="24"/>
          <w:szCs w:val="24"/>
          <w:lang w:val="bg-BG"/>
        </w:rPr>
        <w:t>Дуранкулашко са</w:t>
      </w:r>
      <w:r w:rsidR="00D66FE0" w:rsidRPr="00610B1B">
        <w:rPr>
          <w:rFonts w:ascii="Times New Roman" w:hAnsi="Times New Roman" w:cs="Times New Roman"/>
          <w:bCs/>
          <w:sz w:val="24"/>
          <w:szCs w:val="24"/>
          <w:lang w:val="bg-BG"/>
        </w:rPr>
        <w:t xml:space="preserve"> </w:t>
      </w:r>
      <w:r w:rsidR="000C1420" w:rsidRPr="00610B1B">
        <w:rPr>
          <w:rFonts w:ascii="Times New Roman" w:hAnsi="Times New Roman" w:cs="Times New Roman"/>
          <w:bCs/>
          <w:sz w:val="24"/>
          <w:szCs w:val="24"/>
          <w:lang w:val="bg-BG"/>
        </w:rPr>
        <w:t xml:space="preserve">хидравлично свързани с морето и въздействието на солената вода </w:t>
      </w:r>
      <w:r w:rsidR="00BA5F20" w:rsidRPr="00610B1B">
        <w:rPr>
          <w:rFonts w:ascii="Times New Roman" w:hAnsi="Times New Roman" w:cs="Times New Roman"/>
          <w:bCs/>
          <w:sz w:val="24"/>
          <w:szCs w:val="24"/>
          <w:lang w:val="bg-BG"/>
        </w:rPr>
        <w:t>при</w:t>
      </w:r>
      <w:r w:rsidR="000C1420" w:rsidRPr="00610B1B">
        <w:rPr>
          <w:rFonts w:ascii="Times New Roman" w:hAnsi="Times New Roman" w:cs="Times New Roman"/>
          <w:bCs/>
          <w:sz w:val="24"/>
          <w:szCs w:val="24"/>
          <w:lang w:val="bg-BG"/>
        </w:rPr>
        <w:t xml:space="preserve"> наводнение не би оказало неприемливо екологично въздействие.</w:t>
      </w:r>
      <w:r w:rsidR="000C1420" w:rsidRPr="00610B1B">
        <w:rPr>
          <w:rFonts w:ascii="Times New Roman" w:hAnsi="Times New Roman" w:cs="Times New Roman"/>
          <w:lang w:val="bg-BG"/>
        </w:rPr>
        <w:t xml:space="preserve"> </w:t>
      </w:r>
    </w:p>
    <w:p w14:paraId="7128AACB" w14:textId="02045E4C"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BG02_APSFR_BS_02 – Черно море – Шабла</w:t>
      </w:r>
      <w:r w:rsidR="000C1420" w:rsidRPr="00610B1B">
        <w:rPr>
          <w:rFonts w:ascii="Times New Roman" w:hAnsi="Times New Roman" w:cs="Times New Roman"/>
          <w:bCs/>
          <w:sz w:val="24"/>
          <w:szCs w:val="24"/>
          <w:lang w:val="bg-BG"/>
        </w:rPr>
        <w:t xml:space="preserve"> - Особено уязвимо населено място е гр. Шабла. Установена е заплаха за резиденция и две двуетажни вили край плажа</w:t>
      </w:r>
      <w:r w:rsidR="001A0866" w:rsidRPr="00610B1B">
        <w:rPr>
          <w:rFonts w:ascii="Times New Roman" w:hAnsi="Times New Roman" w:cs="Times New Roman"/>
          <w:bCs/>
          <w:sz w:val="24"/>
          <w:szCs w:val="24"/>
          <w:lang w:val="bg-BG"/>
        </w:rPr>
        <w:t xml:space="preserve"> и някои о</w:t>
      </w:r>
      <w:r w:rsidR="000C1420" w:rsidRPr="00610B1B">
        <w:rPr>
          <w:rFonts w:ascii="Times New Roman" w:hAnsi="Times New Roman" w:cs="Times New Roman"/>
          <w:bCs/>
          <w:sz w:val="24"/>
          <w:szCs w:val="24"/>
          <w:lang w:val="bg-BG"/>
        </w:rPr>
        <w:t>зеле</w:t>
      </w:r>
      <w:r w:rsidR="001A0866" w:rsidRPr="00610B1B">
        <w:rPr>
          <w:rFonts w:ascii="Times New Roman" w:hAnsi="Times New Roman" w:cs="Times New Roman"/>
          <w:bCs/>
          <w:sz w:val="24"/>
          <w:szCs w:val="24"/>
          <w:lang w:val="bg-BG"/>
        </w:rPr>
        <w:t>не</w:t>
      </w:r>
      <w:r w:rsidR="00BA5F20" w:rsidRPr="00610B1B">
        <w:rPr>
          <w:rFonts w:ascii="Times New Roman" w:hAnsi="Times New Roman" w:cs="Times New Roman"/>
          <w:bCs/>
          <w:sz w:val="24"/>
          <w:szCs w:val="24"/>
          <w:lang w:val="bg-BG"/>
        </w:rPr>
        <w:t xml:space="preserve">ни територии край </w:t>
      </w:r>
      <w:r w:rsidR="000C1420" w:rsidRPr="00610B1B">
        <w:rPr>
          <w:rFonts w:ascii="Times New Roman" w:hAnsi="Times New Roman" w:cs="Times New Roman"/>
          <w:bCs/>
          <w:sz w:val="24"/>
          <w:szCs w:val="24"/>
          <w:lang w:val="bg-BG"/>
        </w:rPr>
        <w:t>Шабленско</w:t>
      </w:r>
      <w:r w:rsidR="00BA5F20" w:rsidRPr="00610B1B">
        <w:rPr>
          <w:rFonts w:ascii="Times New Roman" w:hAnsi="Times New Roman" w:cs="Times New Roman"/>
          <w:bCs/>
          <w:sz w:val="24"/>
          <w:szCs w:val="24"/>
          <w:lang w:val="bg-BG"/>
        </w:rPr>
        <w:t>то</w:t>
      </w:r>
      <w:r w:rsidR="000C1420" w:rsidRPr="00610B1B">
        <w:rPr>
          <w:rFonts w:ascii="Times New Roman" w:hAnsi="Times New Roman" w:cs="Times New Roman"/>
          <w:bCs/>
          <w:sz w:val="24"/>
          <w:szCs w:val="24"/>
          <w:lang w:val="bg-BG"/>
        </w:rPr>
        <w:t xml:space="preserve"> езеро. </w:t>
      </w:r>
    </w:p>
    <w:p w14:paraId="402D172C" w14:textId="6ADDE28C"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BG02_APSFR_BS_03 – Черно море – Балчик</w:t>
      </w:r>
      <w:r w:rsidR="001A0866" w:rsidRPr="00610B1B">
        <w:rPr>
          <w:rFonts w:ascii="Times New Roman" w:hAnsi="Times New Roman" w:cs="Times New Roman"/>
          <w:bCs/>
          <w:sz w:val="24"/>
          <w:szCs w:val="24"/>
          <w:lang w:val="bg-BG"/>
        </w:rPr>
        <w:t xml:space="preserve"> </w:t>
      </w:r>
      <w:r w:rsidR="0025348F" w:rsidRPr="00610B1B">
        <w:rPr>
          <w:rFonts w:ascii="Times New Roman" w:hAnsi="Times New Roman" w:cs="Times New Roman"/>
          <w:bCs/>
          <w:sz w:val="24"/>
          <w:szCs w:val="24"/>
          <w:lang w:val="bg-BG"/>
        </w:rPr>
        <w:t>-</w:t>
      </w:r>
      <w:r w:rsidR="001A0866" w:rsidRPr="00610B1B">
        <w:rPr>
          <w:rFonts w:ascii="Times New Roman" w:hAnsi="Times New Roman" w:cs="Times New Roman"/>
          <w:bCs/>
          <w:sz w:val="24"/>
          <w:szCs w:val="24"/>
          <w:lang w:val="bg-BG"/>
        </w:rPr>
        <w:t xml:space="preserve"> Уязвими населени места са гр. Балчик, к.к. „Албена”, с. Кранево. Цялото крайбрежие на Балчик е защитено с брегозащитна и вълнозащитна каменно-насипна дамба и система от буни, което изключва необходимостта от нови </w:t>
      </w:r>
      <w:r w:rsidR="00686CE6" w:rsidRPr="00610B1B">
        <w:rPr>
          <w:rFonts w:ascii="Times New Roman" w:hAnsi="Times New Roman" w:cs="Times New Roman"/>
          <w:bCs/>
          <w:sz w:val="24"/>
          <w:szCs w:val="24"/>
          <w:lang w:val="bg-BG"/>
        </w:rPr>
        <w:t>съоръжения</w:t>
      </w:r>
      <w:r w:rsidR="001A0866" w:rsidRPr="00610B1B">
        <w:rPr>
          <w:rFonts w:ascii="Times New Roman" w:hAnsi="Times New Roman" w:cs="Times New Roman"/>
          <w:bCs/>
          <w:sz w:val="24"/>
          <w:szCs w:val="24"/>
          <w:lang w:val="bg-BG"/>
        </w:rPr>
        <w:t>.</w:t>
      </w:r>
    </w:p>
    <w:p w14:paraId="1CDEBC57" w14:textId="0CE6A2C4"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BG02_APSFR_BS_04 – Черно море – Варна</w:t>
      </w:r>
      <w:r w:rsidR="001A0866" w:rsidRPr="00610B1B">
        <w:rPr>
          <w:rFonts w:ascii="Times New Roman" w:hAnsi="Times New Roman" w:cs="Times New Roman"/>
          <w:bCs/>
          <w:sz w:val="24"/>
          <w:szCs w:val="24"/>
          <w:lang w:val="bg-BG"/>
        </w:rPr>
        <w:t xml:space="preserve"> - Особено уязвими населени места са гр. Варна, с. Казашко, с. Езерово и с. Страшимирово.</w:t>
      </w:r>
    </w:p>
    <w:p w14:paraId="27EC28C7" w14:textId="69D6A517"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BG02_APSFR_BS_05 – Черно море – Обзор</w:t>
      </w:r>
      <w:r w:rsidR="001A0866" w:rsidRPr="00610B1B">
        <w:rPr>
          <w:rFonts w:ascii="Times New Roman" w:hAnsi="Times New Roman" w:cs="Times New Roman"/>
          <w:bCs/>
          <w:sz w:val="24"/>
          <w:szCs w:val="24"/>
          <w:lang w:val="bg-BG"/>
        </w:rPr>
        <w:t xml:space="preserve"> - Реките Панаирдере и Двойница са некоригирани. Деретата, вливащи се в морето, са некоригирани и обрасли с дървета и храсти. </w:t>
      </w:r>
      <w:r w:rsidR="004D506A" w:rsidRPr="00610B1B">
        <w:rPr>
          <w:rFonts w:ascii="Times New Roman" w:hAnsi="Times New Roman" w:cs="Times New Roman"/>
          <w:bCs/>
          <w:sz w:val="24"/>
          <w:szCs w:val="24"/>
          <w:lang w:val="bg-BG"/>
        </w:rPr>
        <w:t xml:space="preserve">Особено </w:t>
      </w:r>
      <w:r w:rsidR="001A0866" w:rsidRPr="00610B1B">
        <w:rPr>
          <w:rFonts w:ascii="Times New Roman" w:hAnsi="Times New Roman" w:cs="Times New Roman"/>
          <w:bCs/>
          <w:sz w:val="24"/>
          <w:szCs w:val="24"/>
          <w:lang w:val="bg-BG"/>
        </w:rPr>
        <w:t>уязвимо населено място е гр. Обзор.</w:t>
      </w:r>
    </w:p>
    <w:p w14:paraId="29E52599" w14:textId="7CBEF9A5"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BG02_APSFR_BS_06 – Черно море – Несебър</w:t>
      </w:r>
      <w:r w:rsidR="001A0866" w:rsidRPr="00610B1B">
        <w:rPr>
          <w:rFonts w:ascii="Times New Roman" w:hAnsi="Times New Roman" w:cs="Times New Roman"/>
          <w:bCs/>
          <w:sz w:val="24"/>
          <w:szCs w:val="24"/>
          <w:lang w:val="bg-BG"/>
        </w:rPr>
        <w:t xml:space="preserve"> - Особено уязвими населени места са к.к. Слънчев бряг, гр. Несебър, с. Равда и с. Ахелой, или почти целия</w:t>
      </w:r>
      <w:r w:rsidR="004D506A" w:rsidRPr="00610B1B">
        <w:rPr>
          <w:rFonts w:ascii="Times New Roman" w:hAnsi="Times New Roman" w:cs="Times New Roman"/>
          <w:bCs/>
          <w:sz w:val="24"/>
          <w:szCs w:val="24"/>
          <w:lang w:val="bg-BG"/>
        </w:rPr>
        <w:t>т</w:t>
      </w:r>
      <w:r w:rsidR="001A0866" w:rsidRPr="00610B1B">
        <w:rPr>
          <w:rFonts w:ascii="Times New Roman" w:hAnsi="Times New Roman" w:cs="Times New Roman"/>
          <w:bCs/>
          <w:sz w:val="24"/>
          <w:szCs w:val="24"/>
          <w:lang w:val="bg-BG"/>
        </w:rPr>
        <w:t xml:space="preserve"> участък в тази рискова зона.</w:t>
      </w:r>
    </w:p>
    <w:p w14:paraId="56E0271D" w14:textId="6826CFD9"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BG02_APSFR_BS_07 – Черно море – Бургас</w:t>
      </w:r>
      <w:r w:rsidR="001A0866" w:rsidRPr="00610B1B">
        <w:rPr>
          <w:rFonts w:ascii="Times New Roman" w:hAnsi="Times New Roman" w:cs="Times New Roman"/>
          <w:bCs/>
          <w:sz w:val="24"/>
          <w:szCs w:val="24"/>
          <w:lang w:val="bg-BG"/>
        </w:rPr>
        <w:t xml:space="preserve"> </w:t>
      </w:r>
      <w:r w:rsidR="0025348F" w:rsidRPr="00610B1B">
        <w:rPr>
          <w:rFonts w:ascii="Times New Roman" w:hAnsi="Times New Roman" w:cs="Times New Roman"/>
          <w:bCs/>
          <w:sz w:val="24"/>
          <w:szCs w:val="24"/>
          <w:lang w:val="bg-BG"/>
        </w:rPr>
        <w:t>-</w:t>
      </w:r>
      <w:r w:rsidR="001A0866" w:rsidRPr="00610B1B">
        <w:rPr>
          <w:rFonts w:ascii="Times New Roman" w:hAnsi="Times New Roman" w:cs="Times New Roman"/>
          <w:bCs/>
          <w:sz w:val="24"/>
          <w:szCs w:val="24"/>
          <w:lang w:val="bg-BG"/>
        </w:rPr>
        <w:t xml:space="preserve"> Особено уязвими са градовете Бургас и Поморие и най-вече някои от ниско разположените им квартали. </w:t>
      </w:r>
    </w:p>
    <w:p w14:paraId="704956C7" w14:textId="0491F636"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BG02_APSFR_BS_08 – Черно море – Созопол</w:t>
      </w:r>
      <w:r w:rsidR="001A0866" w:rsidRPr="00610B1B">
        <w:rPr>
          <w:rFonts w:ascii="Times New Roman" w:hAnsi="Times New Roman" w:cs="Times New Roman"/>
          <w:bCs/>
          <w:sz w:val="24"/>
          <w:szCs w:val="24"/>
          <w:lang w:val="bg-BG"/>
        </w:rPr>
        <w:t xml:space="preserve"> </w:t>
      </w:r>
      <w:r w:rsidR="0025348F" w:rsidRPr="00610B1B">
        <w:rPr>
          <w:rFonts w:ascii="Times New Roman" w:hAnsi="Times New Roman" w:cs="Times New Roman"/>
          <w:bCs/>
          <w:sz w:val="24"/>
          <w:szCs w:val="24"/>
          <w:lang w:val="bg-BG"/>
        </w:rPr>
        <w:t>-</w:t>
      </w:r>
      <w:r w:rsidR="001A0866" w:rsidRPr="00610B1B">
        <w:rPr>
          <w:rFonts w:ascii="Times New Roman" w:hAnsi="Times New Roman" w:cs="Times New Roman"/>
          <w:bCs/>
          <w:sz w:val="24"/>
          <w:szCs w:val="24"/>
          <w:lang w:val="bg-BG"/>
        </w:rPr>
        <w:t xml:space="preserve"> Най-застрашен е гр. Созопол, а при най-</w:t>
      </w:r>
      <w:r w:rsidR="00686CE6" w:rsidRPr="00610B1B">
        <w:rPr>
          <w:rFonts w:ascii="Times New Roman" w:hAnsi="Times New Roman" w:cs="Times New Roman"/>
          <w:bCs/>
          <w:sz w:val="24"/>
          <w:szCs w:val="24"/>
          <w:lang w:val="bg-BG"/>
        </w:rPr>
        <w:t>песимистичния</w:t>
      </w:r>
      <w:r w:rsidR="001A0866" w:rsidRPr="00610B1B">
        <w:rPr>
          <w:rFonts w:ascii="Times New Roman" w:hAnsi="Times New Roman" w:cs="Times New Roman"/>
          <w:bCs/>
          <w:sz w:val="24"/>
          <w:szCs w:val="24"/>
          <w:lang w:val="bg-BG"/>
        </w:rPr>
        <w:t xml:space="preserve"> сценарий, освен жилищни, хотелски и обществени сгради, биха пострадали и археологически разкопки и културни ценности. </w:t>
      </w:r>
    </w:p>
    <w:p w14:paraId="489308ED" w14:textId="17374E2A"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BG02_APSFR_BS_09 – Черно море – Приморско</w:t>
      </w:r>
      <w:r w:rsidR="00C509CC" w:rsidRPr="00610B1B">
        <w:rPr>
          <w:rFonts w:ascii="Times New Roman" w:hAnsi="Times New Roman" w:cs="Times New Roman"/>
          <w:bCs/>
          <w:sz w:val="24"/>
          <w:szCs w:val="24"/>
          <w:lang w:val="bg-BG"/>
        </w:rPr>
        <w:t xml:space="preserve"> - Особено уязвими населени места са гр. Приморско, гр. Китен и с. Лозенец, а при най-</w:t>
      </w:r>
      <w:r w:rsidR="00686CE6" w:rsidRPr="00610B1B">
        <w:rPr>
          <w:rFonts w:ascii="Times New Roman" w:hAnsi="Times New Roman" w:cs="Times New Roman"/>
          <w:bCs/>
          <w:sz w:val="24"/>
          <w:szCs w:val="24"/>
          <w:lang w:val="bg-BG"/>
        </w:rPr>
        <w:t>песимистичния</w:t>
      </w:r>
      <w:r w:rsidR="00C509CC" w:rsidRPr="00610B1B">
        <w:rPr>
          <w:rFonts w:ascii="Times New Roman" w:hAnsi="Times New Roman" w:cs="Times New Roman"/>
          <w:bCs/>
          <w:sz w:val="24"/>
          <w:szCs w:val="24"/>
          <w:lang w:val="bg-BG"/>
        </w:rPr>
        <w:t xml:space="preserve"> сценарий при 1000 годишната вълна е възможно да бъде застрашено и летището край Приморско. </w:t>
      </w:r>
    </w:p>
    <w:p w14:paraId="4BCA5705" w14:textId="7CF22A7F"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BG02_APSFR_BS_10 – Черно море – Царево</w:t>
      </w:r>
      <w:r w:rsidR="00C509CC" w:rsidRPr="00610B1B">
        <w:rPr>
          <w:rFonts w:ascii="Times New Roman" w:hAnsi="Times New Roman" w:cs="Times New Roman"/>
          <w:bCs/>
          <w:sz w:val="24"/>
          <w:szCs w:val="24"/>
          <w:lang w:val="bg-BG"/>
        </w:rPr>
        <w:t xml:space="preserve"> - Особено уязвимо населено място е гр. Царево.</w:t>
      </w:r>
    </w:p>
    <w:p w14:paraId="2C793C60" w14:textId="54EE18D6" w:rsidR="008B7C57" w:rsidRPr="00610B1B" w:rsidRDefault="008B7C57" w:rsidP="00B46189">
      <w:pPr>
        <w:pStyle w:val="ListParagraph"/>
        <w:numPr>
          <w:ilvl w:val="0"/>
          <w:numId w:val="8"/>
        </w:numPr>
        <w:spacing w:after="120"/>
        <w:ind w:right="-153"/>
        <w:contextualSpacing w:val="0"/>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BG02_APSFR_BS_11 – Черно море – Ахтопол</w:t>
      </w:r>
      <w:r w:rsidR="00C509CC" w:rsidRPr="00610B1B">
        <w:rPr>
          <w:rFonts w:ascii="Times New Roman" w:hAnsi="Times New Roman" w:cs="Times New Roman"/>
          <w:bCs/>
          <w:sz w:val="24"/>
          <w:szCs w:val="24"/>
          <w:lang w:val="bg-BG"/>
        </w:rPr>
        <w:t xml:space="preserve"> </w:t>
      </w:r>
      <w:r w:rsidR="0025348F" w:rsidRPr="00610B1B">
        <w:rPr>
          <w:rFonts w:ascii="Times New Roman" w:hAnsi="Times New Roman" w:cs="Times New Roman"/>
          <w:bCs/>
          <w:sz w:val="24"/>
          <w:szCs w:val="24"/>
          <w:lang w:val="bg-BG"/>
        </w:rPr>
        <w:t>-</w:t>
      </w:r>
      <w:r w:rsidR="00C509CC" w:rsidRPr="00610B1B">
        <w:rPr>
          <w:rFonts w:ascii="Times New Roman" w:hAnsi="Times New Roman" w:cs="Times New Roman"/>
          <w:bCs/>
          <w:sz w:val="24"/>
          <w:szCs w:val="24"/>
          <w:lang w:val="bg-BG"/>
        </w:rPr>
        <w:t xml:space="preserve"> Районът е с най-малко засегнати площи и при песимистич</w:t>
      </w:r>
      <w:r w:rsidR="00903F05" w:rsidRPr="00610B1B">
        <w:rPr>
          <w:rFonts w:ascii="Times New Roman" w:hAnsi="Times New Roman" w:cs="Times New Roman"/>
          <w:bCs/>
          <w:sz w:val="24"/>
          <w:szCs w:val="24"/>
          <w:lang w:val="bg-BG"/>
        </w:rPr>
        <w:t>е</w:t>
      </w:r>
      <w:r w:rsidR="00C509CC" w:rsidRPr="00610B1B">
        <w:rPr>
          <w:rFonts w:ascii="Times New Roman" w:hAnsi="Times New Roman" w:cs="Times New Roman"/>
          <w:bCs/>
          <w:sz w:val="24"/>
          <w:szCs w:val="24"/>
          <w:lang w:val="bg-BG"/>
        </w:rPr>
        <w:t>н сценарий. Особено уязвимо населено място е гр. Ахтопол.</w:t>
      </w:r>
    </w:p>
    <w:p w14:paraId="598AB130" w14:textId="7EF4631C" w:rsidR="008B7C57" w:rsidRPr="00610B1B" w:rsidRDefault="008B7C5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sz w:val="24"/>
          <w:szCs w:val="24"/>
          <w:lang w:val="bg-BG"/>
        </w:rPr>
        <w:t xml:space="preserve">Съгласно утвърдения от Министъра на околната среда и водите </w:t>
      </w:r>
      <w:r w:rsidR="00536709" w:rsidRPr="00610B1B">
        <w:rPr>
          <w:rFonts w:ascii="Times New Roman" w:hAnsi="Times New Roman" w:cs="Times New Roman"/>
          <w:sz w:val="24"/>
          <w:szCs w:val="24"/>
          <w:lang w:val="bg-BG"/>
        </w:rPr>
        <w:t xml:space="preserve">списък на </w:t>
      </w:r>
      <w:r w:rsidRPr="00610B1B">
        <w:rPr>
          <w:rFonts w:ascii="Times New Roman" w:hAnsi="Times New Roman" w:cs="Times New Roman"/>
          <w:sz w:val="24"/>
          <w:szCs w:val="24"/>
          <w:lang w:val="bg-BG"/>
        </w:rPr>
        <w:t xml:space="preserve">реките, подлежащи на изследване на заплаха от морски наводнения, </w:t>
      </w:r>
      <w:r w:rsidR="00536709" w:rsidRPr="00610B1B">
        <w:rPr>
          <w:rFonts w:ascii="Times New Roman" w:hAnsi="Times New Roman" w:cs="Times New Roman"/>
          <w:sz w:val="24"/>
          <w:szCs w:val="24"/>
          <w:lang w:val="bg-BG"/>
        </w:rPr>
        <w:t>в него попадат</w:t>
      </w:r>
      <w:r w:rsidR="00903F05" w:rsidRPr="00610B1B">
        <w:rPr>
          <w:rFonts w:ascii="Times New Roman" w:hAnsi="Times New Roman" w:cs="Times New Roman"/>
          <w:sz w:val="24"/>
          <w:szCs w:val="24"/>
          <w:lang w:val="bg-BG"/>
        </w:rPr>
        <w:t xml:space="preserve"> </w:t>
      </w:r>
      <w:r w:rsidRPr="00610B1B">
        <w:rPr>
          <w:rFonts w:ascii="Times New Roman" w:hAnsi="Times New Roman" w:cs="Times New Roman"/>
          <w:bCs/>
          <w:sz w:val="24"/>
          <w:szCs w:val="24"/>
          <w:lang w:val="bg-BG"/>
        </w:rPr>
        <w:t xml:space="preserve">р. Батовска </w:t>
      </w:r>
      <w:r w:rsidR="00903F0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BG2_APSFR_BS_03</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р.</w:t>
      </w:r>
      <w:r w:rsidR="00A61A4E"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Панаирдере </w:t>
      </w:r>
      <w:r w:rsidR="00903F0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BG2_APSFR_BS_05</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р.</w:t>
      </w:r>
      <w:r w:rsidR="00A61A4E"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Двойница</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BG2_APSFR_BS_05</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р.</w:t>
      </w:r>
      <w:r w:rsidR="00A61A4E"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Хаджидере </w:t>
      </w:r>
      <w:r w:rsidR="00903F0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BG2_APSFR_BS_06</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р.</w:t>
      </w:r>
      <w:r w:rsidR="00A61A4E"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Ахелой </w:t>
      </w:r>
      <w:r w:rsidR="00903F05" w:rsidRPr="00610B1B">
        <w:rPr>
          <w:rFonts w:ascii="Times New Roman" w:hAnsi="Times New Roman" w:cs="Times New Roman"/>
          <w:bCs/>
          <w:sz w:val="24"/>
          <w:szCs w:val="24"/>
          <w:lang w:val="bg-BG"/>
        </w:rPr>
        <w:lastRenderedPageBreak/>
        <w:t>(</w:t>
      </w:r>
      <w:r w:rsidRPr="00610B1B">
        <w:rPr>
          <w:rFonts w:ascii="Times New Roman" w:hAnsi="Times New Roman" w:cs="Times New Roman"/>
          <w:bCs/>
          <w:sz w:val="24"/>
          <w:szCs w:val="24"/>
          <w:lang w:val="bg-BG"/>
        </w:rPr>
        <w:t>BG2_APSFR_BS_06</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р.</w:t>
      </w:r>
      <w:r w:rsidR="00A61A4E"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Дяволска </w:t>
      </w:r>
      <w:r w:rsidR="00903F0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BG2_APSFR_BS_09</w:t>
      </w:r>
      <w:r w:rsidR="00903F05"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р.</w:t>
      </w:r>
      <w:r w:rsidR="00A61A4E"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Караагач </w:t>
      </w:r>
      <w:r w:rsidR="00903F0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BG2_APSFR_BS_09</w:t>
      </w:r>
      <w:r w:rsidR="00903F05" w:rsidRPr="00610B1B">
        <w:rPr>
          <w:rFonts w:ascii="Times New Roman" w:hAnsi="Times New Roman" w:cs="Times New Roman"/>
          <w:bCs/>
          <w:sz w:val="24"/>
          <w:szCs w:val="24"/>
          <w:lang w:val="bg-BG"/>
        </w:rPr>
        <w:t xml:space="preserve">) и </w:t>
      </w:r>
      <w:r w:rsidRPr="00610B1B">
        <w:rPr>
          <w:rFonts w:ascii="Times New Roman" w:hAnsi="Times New Roman" w:cs="Times New Roman"/>
          <w:bCs/>
          <w:sz w:val="24"/>
          <w:szCs w:val="24"/>
          <w:lang w:val="bg-BG"/>
        </w:rPr>
        <w:t xml:space="preserve">р. Лисово дере </w:t>
      </w:r>
      <w:r w:rsidR="00903F05"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BG2_APSFR_BS_10</w:t>
      </w:r>
      <w:r w:rsidR="00903F05" w:rsidRPr="00610B1B">
        <w:rPr>
          <w:rFonts w:ascii="Times New Roman" w:hAnsi="Times New Roman" w:cs="Times New Roman"/>
          <w:bCs/>
          <w:sz w:val="24"/>
          <w:szCs w:val="24"/>
          <w:lang w:val="bg-BG"/>
        </w:rPr>
        <w:t>).</w:t>
      </w:r>
    </w:p>
    <w:p w14:paraId="38BC5F9F" w14:textId="77777777" w:rsidR="008B7C57" w:rsidRPr="00610B1B" w:rsidRDefault="008B7C57"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sz w:val="24"/>
          <w:szCs w:val="24"/>
          <w:lang w:val="bg-BG"/>
        </w:rPr>
        <w:t>З</w:t>
      </w:r>
      <w:r w:rsidRPr="00610B1B">
        <w:rPr>
          <w:rFonts w:ascii="Times New Roman" w:hAnsi="Times New Roman" w:cs="Times New Roman"/>
          <w:b/>
          <w:sz w:val="24"/>
          <w:szCs w:val="24"/>
          <w:lang w:val="bg-BG"/>
        </w:rPr>
        <w:t>аплахата от езера, намиращи се в пряка хидравлична връзка с морето</w:t>
      </w:r>
      <w:r w:rsidRPr="00610B1B">
        <w:rPr>
          <w:rFonts w:ascii="Times New Roman" w:hAnsi="Times New Roman" w:cs="Times New Roman"/>
          <w:sz w:val="24"/>
          <w:szCs w:val="24"/>
          <w:lang w:val="bg-BG"/>
        </w:rPr>
        <w:t xml:space="preserve"> е определена за </w:t>
      </w:r>
      <w:r w:rsidRPr="00610B1B">
        <w:rPr>
          <w:rFonts w:ascii="Times New Roman" w:hAnsi="Times New Roman" w:cs="Times New Roman"/>
          <w:i/>
          <w:sz w:val="24"/>
          <w:szCs w:val="24"/>
          <w:lang w:val="bg-BG"/>
        </w:rPr>
        <w:t>Варненското и Бургаското езеро</w:t>
      </w:r>
      <w:r w:rsidRPr="00610B1B">
        <w:rPr>
          <w:rFonts w:ascii="Times New Roman" w:hAnsi="Times New Roman" w:cs="Times New Roman"/>
          <w:sz w:val="24"/>
          <w:szCs w:val="24"/>
          <w:lang w:val="bg-BG"/>
        </w:rPr>
        <w:t xml:space="preserve"> при шестте характерни за РЗПРН максимални морски нива, в оптимистичен и песимистичен сценарий на климатична промяна</w:t>
      </w:r>
    </w:p>
    <w:p w14:paraId="01BB45CA" w14:textId="181517C5" w:rsidR="00C509CC" w:rsidRPr="00610B1B" w:rsidRDefault="008B7C57" w:rsidP="00D32D6A">
      <w:pPr>
        <w:spacing w:after="120"/>
        <w:ind w:right="-153"/>
        <w:jc w:val="both"/>
        <w:rPr>
          <w:rFonts w:ascii="Times New Roman" w:hAnsi="Times New Roman" w:cs="Times New Roman"/>
          <w:iCs/>
          <w:sz w:val="24"/>
          <w:szCs w:val="24"/>
          <w:lang w:val="bg-BG"/>
        </w:rPr>
      </w:pPr>
      <w:r w:rsidRPr="00610B1B">
        <w:rPr>
          <w:rFonts w:ascii="Times New Roman" w:hAnsi="Times New Roman" w:cs="Times New Roman"/>
          <w:sz w:val="24"/>
          <w:szCs w:val="24"/>
          <w:lang w:val="bg-BG"/>
        </w:rPr>
        <w:t>З</w:t>
      </w:r>
      <w:r w:rsidRPr="00610B1B">
        <w:rPr>
          <w:rFonts w:ascii="Times New Roman" w:hAnsi="Times New Roman" w:cs="Times New Roman"/>
          <w:b/>
          <w:sz w:val="24"/>
          <w:szCs w:val="24"/>
          <w:lang w:val="bg-BG"/>
        </w:rPr>
        <w:t>аплахата от езера без пряка хидравлична връзка с морето</w:t>
      </w:r>
      <w:r w:rsidRPr="00610B1B">
        <w:rPr>
          <w:rFonts w:ascii="Times New Roman" w:hAnsi="Times New Roman" w:cs="Times New Roman"/>
          <w:sz w:val="24"/>
          <w:szCs w:val="24"/>
          <w:lang w:val="bg-BG"/>
        </w:rPr>
        <w:t xml:space="preserve"> е картирана за четири от крайбрежните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езера: </w:t>
      </w:r>
      <w:r w:rsidRPr="00610B1B">
        <w:rPr>
          <w:rFonts w:ascii="Times New Roman" w:hAnsi="Times New Roman" w:cs="Times New Roman"/>
          <w:i/>
          <w:sz w:val="24"/>
          <w:szCs w:val="24"/>
          <w:lang w:val="bg-BG"/>
        </w:rPr>
        <w:t>Дуранкулашко, Шабленско, Атанасовско и Поморийско.</w:t>
      </w:r>
      <w:r w:rsidR="004D506A" w:rsidRPr="00610B1B">
        <w:rPr>
          <w:rFonts w:ascii="Times New Roman" w:hAnsi="Times New Roman" w:cs="Times New Roman"/>
          <w:i/>
          <w:sz w:val="24"/>
          <w:szCs w:val="24"/>
          <w:lang w:val="bg-BG"/>
        </w:rPr>
        <w:t xml:space="preserve"> </w:t>
      </w:r>
      <w:r w:rsidR="00C509CC" w:rsidRPr="00610B1B">
        <w:rPr>
          <w:rFonts w:ascii="Times New Roman" w:hAnsi="Times New Roman" w:cs="Times New Roman"/>
          <w:iCs/>
          <w:sz w:val="24"/>
          <w:szCs w:val="24"/>
          <w:lang w:val="bg-BG"/>
        </w:rPr>
        <w:t>Резултатите от моделирането и оценката на риска показват, че най-големи щети се очакват в случаите</w:t>
      </w:r>
      <w:r w:rsidR="00903F05" w:rsidRPr="00610B1B">
        <w:rPr>
          <w:rFonts w:ascii="Times New Roman" w:hAnsi="Times New Roman" w:cs="Times New Roman"/>
          <w:iCs/>
          <w:sz w:val="24"/>
          <w:szCs w:val="24"/>
          <w:lang w:val="bg-BG"/>
        </w:rPr>
        <w:t>,</w:t>
      </w:r>
      <w:r w:rsidR="00C509CC" w:rsidRPr="00610B1B">
        <w:rPr>
          <w:rFonts w:ascii="Times New Roman" w:hAnsi="Times New Roman" w:cs="Times New Roman"/>
          <w:iCs/>
          <w:sz w:val="24"/>
          <w:szCs w:val="24"/>
          <w:lang w:val="bg-BG"/>
        </w:rPr>
        <w:t xml:space="preserve"> когато е възможно </w:t>
      </w:r>
      <w:r w:rsidR="00903F05" w:rsidRPr="00610B1B">
        <w:rPr>
          <w:rFonts w:ascii="Times New Roman" w:hAnsi="Times New Roman" w:cs="Times New Roman"/>
          <w:iCs/>
          <w:sz w:val="24"/>
          <w:szCs w:val="24"/>
          <w:lang w:val="bg-BG"/>
        </w:rPr>
        <w:t>комбиниране на</w:t>
      </w:r>
      <w:r w:rsidR="00C509CC" w:rsidRPr="00610B1B">
        <w:rPr>
          <w:rFonts w:ascii="Times New Roman" w:hAnsi="Times New Roman" w:cs="Times New Roman"/>
          <w:iCs/>
          <w:sz w:val="24"/>
          <w:szCs w:val="24"/>
          <w:lang w:val="bg-BG"/>
        </w:rPr>
        <w:t xml:space="preserve"> речни и морски наводнения и увеличаване на дълбочината на водата до 4 и 5 метра. </w:t>
      </w:r>
    </w:p>
    <w:p w14:paraId="4B735CC2" w14:textId="1C80EA8B" w:rsidR="000210AC" w:rsidRPr="00610B1B" w:rsidRDefault="00C509C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w:t>
      </w:r>
      <w:r w:rsidR="008B7C57" w:rsidRPr="00610B1B">
        <w:rPr>
          <w:rFonts w:ascii="Times New Roman" w:hAnsi="Times New Roman" w:cs="Times New Roman"/>
          <w:sz w:val="24"/>
          <w:szCs w:val="24"/>
          <w:lang w:val="bg-BG"/>
        </w:rPr>
        <w:t>ъществуващият План за управление на риска от наводнения е с действие д</w:t>
      </w:r>
      <w:r w:rsidR="001D3664" w:rsidRPr="00610B1B">
        <w:rPr>
          <w:rFonts w:ascii="Times New Roman" w:hAnsi="Times New Roman" w:cs="Times New Roman"/>
          <w:sz w:val="24"/>
          <w:szCs w:val="24"/>
          <w:lang w:val="bg-BG"/>
        </w:rPr>
        <w:t>о</w:t>
      </w:r>
      <w:r w:rsidR="008B7C57" w:rsidRPr="00610B1B">
        <w:rPr>
          <w:rFonts w:ascii="Times New Roman" w:hAnsi="Times New Roman" w:cs="Times New Roman"/>
          <w:sz w:val="24"/>
          <w:szCs w:val="24"/>
          <w:lang w:val="bg-BG"/>
        </w:rPr>
        <w:t xml:space="preserve"> края на 2021 г., в момента се осъществява проект за актуализирането </w:t>
      </w:r>
      <w:r w:rsidR="004D506A" w:rsidRPr="00610B1B">
        <w:rPr>
          <w:rFonts w:ascii="Times New Roman" w:hAnsi="Times New Roman" w:cs="Times New Roman"/>
          <w:sz w:val="24"/>
          <w:szCs w:val="24"/>
          <w:lang w:val="bg-BG"/>
        </w:rPr>
        <w:t>му</w:t>
      </w:r>
      <w:r w:rsidR="008B7C57" w:rsidRPr="00610B1B">
        <w:rPr>
          <w:rFonts w:ascii="Times New Roman" w:hAnsi="Times New Roman" w:cs="Times New Roman"/>
          <w:sz w:val="24"/>
          <w:szCs w:val="24"/>
          <w:lang w:val="bg-BG"/>
        </w:rPr>
        <w:t>, в ко</w:t>
      </w:r>
      <w:r w:rsidR="004D506A" w:rsidRPr="00610B1B">
        <w:rPr>
          <w:rFonts w:ascii="Times New Roman" w:hAnsi="Times New Roman" w:cs="Times New Roman"/>
          <w:sz w:val="24"/>
          <w:szCs w:val="24"/>
          <w:lang w:val="bg-BG"/>
        </w:rPr>
        <w:t>й</w:t>
      </w:r>
      <w:r w:rsidR="008B7C57" w:rsidRPr="00610B1B">
        <w:rPr>
          <w:rFonts w:ascii="Times New Roman" w:hAnsi="Times New Roman" w:cs="Times New Roman"/>
          <w:sz w:val="24"/>
          <w:szCs w:val="24"/>
          <w:lang w:val="bg-BG"/>
        </w:rPr>
        <w:t>то се предвижда комбинирано моделиране на морско с речно и дъждовно наводнение</w:t>
      </w:r>
      <w:r w:rsidR="004D506A" w:rsidRPr="00610B1B">
        <w:rPr>
          <w:rFonts w:ascii="Times New Roman" w:hAnsi="Times New Roman" w:cs="Times New Roman"/>
          <w:sz w:val="24"/>
          <w:szCs w:val="24"/>
          <w:lang w:val="bg-BG"/>
        </w:rPr>
        <w:t xml:space="preserve">, </w:t>
      </w:r>
      <w:r w:rsidR="008B7C57" w:rsidRPr="00610B1B">
        <w:rPr>
          <w:rFonts w:ascii="Times New Roman" w:hAnsi="Times New Roman" w:cs="Times New Roman"/>
          <w:sz w:val="24"/>
          <w:szCs w:val="24"/>
          <w:lang w:val="bg-BG"/>
        </w:rPr>
        <w:t>прецизиране границите на заливане и конкретизиране на рисковите обекти при отчитане на изменението на климата.</w:t>
      </w:r>
      <w:r w:rsidR="00D66FE0" w:rsidRPr="00610B1B">
        <w:rPr>
          <w:rFonts w:ascii="Times New Roman" w:hAnsi="Times New Roman" w:cs="Times New Roman"/>
          <w:sz w:val="24"/>
          <w:szCs w:val="24"/>
          <w:lang w:val="bg-BG"/>
        </w:rPr>
        <w:t xml:space="preserve"> </w:t>
      </w:r>
    </w:p>
    <w:p w14:paraId="18B289E6" w14:textId="77777777" w:rsidR="00261A06" w:rsidRPr="00610B1B" w:rsidRDefault="00261A06" w:rsidP="00D32D6A">
      <w:pPr>
        <w:spacing w:after="120"/>
        <w:ind w:right="-153"/>
        <w:jc w:val="both"/>
        <w:rPr>
          <w:rFonts w:ascii="Times New Roman" w:hAnsi="Times New Roman" w:cs="Times New Roman"/>
          <w:sz w:val="24"/>
          <w:szCs w:val="24"/>
          <w:lang w:val="bg-BG"/>
        </w:rPr>
      </w:pPr>
    </w:p>
    <w:p w14:paraId="7F0859F2" w14:textId="5FB50F05" w:rsidR="006E2B4B" w:rsidRPr="00610B1B" w:rsidRDefault="000210AC" w:rsidP="00D32D6A">
      <w:pPr>
        <w:pStyle w:val="Heading3"/>
        <w:spacing w:before="0" w:line="276" w:lineRule="auto"/>
        <w:ind w:right="-153"/>
        <w:rPr>
          <w:rFonts w:cs="Times New Roman"/>
          <w:sz w:val="24"/>
          <w:szCs w:val="24"/>
        </w:rPr>
      </w:pPr>
      <w:bookmarkStart w:id="28" w:name="_Toc83391363"/>
      <w:r w:rsidRPr="00610B1B">
        <w:rPr>
          <w:rFonts w:cs="Times New Roman"/>
        </w:rPr>
        <w:t xml:space="preserve">2.2.3. </w:t>
      </w:r>
      <w:r w:rsidR="006E2B4B" w:rsidRPr="00610B1B">
        <w:rPr>
          <w:rFonts w:cs="Times New Roman"/>
        </w:rPr>
        <w:t>Климат</w:t>
      </w:r>
      <w:bookmarkEnd w:id="28"/>
      <w:r w:rsidR="006E2B4B" w:rsidRPr="00610B1B">
        <w:rPr>
          <w:rFonts w:cs="Times New Roman"/>
        </w:rPr>
        <w:t xml:space="preserve"> </w:t>
      </w:r>
    </w:p>
    <w:p w14:paraId="12AAEAA2" w14:textId="18BCFC71"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Черно море е разположено между големи континентални масиви суша и поради това континенталните въздушни маси оказват съществено влияние върху климатичните елементи. Доминиращият западен пренос на въздух осигурява достигане</w:t>
      </w:r>
      <w:r w:rsidR="00D20CE8"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на влажните Атлантически въздушни маси</w:t>
      </w:r>
      <w:r w:rsidR="00D20CE8" w:rsidRPr="00610B1B">
        <w:rPr>
          <w:rFonts w:ascii="Times New Roman" w:hAnsi="Times New Roman" w:cs="Times New Roman"/>
          <w:sz w:val="24"/>
          <w:szCs w:val="24"/>
          <w:lang w:val="bg-BG"/>
        </w:rPr>
        <w:t xml:space="preserve"> до Черно море.</w:t>
      </w:r>
      <w:r w:rsidRPr="00610B1B">
        <w:rPr>
          <w:rFonts w:ascii="Times New Roman" w:hAnsi="Times New Roman" w:cs="Times New Roman"/>
          <w:sz w:val="24"/>
          <w:szCs w:val="24"/>
          <w:lang w:val="bg-BG"/>
        </w:rPr>
        <w:t xml:space="preserve"> Исландски</w:t>
      </w:r>
      <w:r w:rsidR="00D20CE8"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циклони</w:t>
      </w:r>
      <w:r w:rsidR="00D20CE8" w:rsidRPr="00610B1B">
        <w:rPr>
          <w:rFonts w:ascii="Times New Roman" w:hAnsi="Times New Roman" w:cs="Times New Roman"/>
          <w:sz w:val="24"/>
          <w:szCs w:val="24"/>
          <w:lang w:val="bg-BG"/>
        </w:rPr>
        <w:t>, достигащи до Черно море,</w:t>
      </w:r>
      <w:r w:rsidRPr="00610B1B">
        <w:rPr>
          <w:rFonts w:ascii="Times New Roman" w:hAnsi="Times New Roman" w:cs="Times New Roman"/>
          <w:sz w:val="24"/>
          <w:szCs w:val="24"/>
          <w:lang w:val="bg-BG"/>
        </w:rPr>
        <w:t xml:space="preserve"> </w:t>
      </w:r>
      <w:r w:rsidR="00C509CC" w:rsidRPr="00610B1B">
        <w:rPr>
          <w:rFonts w:ascii="Times New Roman" w:hAnsi="Times New Roman" w:cs="Times New Roman"/>
          <w:sz w:val="24"/>
          <w:szCs w:val="24"/>
          <w:lang w:val="bg-BG"/>
        </w:rPr>
        <w:t>влошават</w:t>
      </w:r>
      <w:r w:rsidRPr="00610B1B">
        <w:rPr>
          <w:rFonts w:ascii="Times New Roman" w:hAnsi="Times New Roman" w:cs="Times New Roman"/>
          <w:sz w:val="24"/>
          <w:szCs w:val="24"/>
          <w:lang w:val="bg-BG"/>
        </w:rPr>
        <w:t xml:space="preserve"> времето</w:t>
      </w:r>
      <w:r w:rsidR="00C509CC" w:rsidRPr="00610B1B">
        <w:rPr>
          <w:rFonts w:ascii="Times New Roman" w:hAnsi="Times New Roman" w:cs="Times New Roman"/>
          <w:sz w:val="24"/>
          <w:szCs w:val="24"/>
          <w:lang w:val="bg-BG"/>
        </w:rPr>
        <w:t xml:space="preserve"> и носят</w:t>
      </w:r>
      <w:r w:rsidRPr="00610B1B">
        <w:rPr>
          <w:rFonts w:ascii="Times New Roman" w:hAnsi="Times New Roman" w:cs="Times New Roman"/>
          <w:sz w:val="24"/>
          <w:szCs w:val="24"/>
          <w:lang w:val="bg-BG"/>
        </w:rPr>
        <w:t xml:space="preserve"> силни ветрове, морски бури и обилни валежи. Средиземноморските циклони идващи до морето от югозапад през зимата пренасят по-топли и влажни средиземноморски въздушни маси. През зимата Черно море, често попада под влиянието на Източноевропейските антициклони, а през лятото и на Азорските антициклони. </w:t>
      </w:r>
    </w:p>
    <w:p w14:paraId="6084009A" w14:textId="13EE8BD1"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Преминаването на въздушните маси над Черно море се повлиява и от водната повърхност на самото море. </w:t>
      </w:r>
      <w:r w:rsidR="007B3F70" w:rsidRPr="00610B1B">
        <w:rPr>
          <w:rFonts w:ascii="Times New Roman" w:hAnsi="Times New Roman" w:cs="Times New Roman"/>
          <w:sz w:val="24"/>
          <w:szCs w:val="24"/>
          <w:lang w:val="bg-BG"/>
        </w:rPr>
        <w:t xml:space="preserve">Студените </w:t>
      </w:r>
      <w:r w:rsidRPr="00610B1B">
        <w:rPr>
          <w:rFonts w:ascii="Times New Roman" w:hAnsi="Times New Roman" w:cs="Times New Roman"/>
          <w:sz w:val="24"/>
          <w:szCs w:val="24"/>
          <w:lang w:val="bg-BG"/>
        </w:rPr>
        <w:t xml:space="preserve">континентални въздушни маси през зимата частично се затоплят, докато през лятото – се охлаждат. Сериозно влияние върху климата над Черно море оказват и </w:t>
      </w:r>
      <w:r w:rsidR="007B3F70" w:rsidRPr="00610B1B">
        <w:rPr>
          <w:rFonts w:ascii="Times New Roman" w:hAnsi="Times New Roman" w:cs="Times New Roman"/>
          <w:sz w:val="24"/>
          <w:szCs w:val="24"/>
          <w:lang w:val="bg-BG"/>
        </w:rPr>
        <w:t>релефните особености</w:t>
      </w:r>
      <w:r w:rsidRPr="00610B1B">
        <w:rPr>
          <w:rFonts w:ascii="Times New Roman" w:hAnsi="Times New Roman" w:cs="Times New Roman"/>
          <w:sz w:val="24"/>
          <w:szCs w:val="24"/>
          <w:lang w:val="bg-BG"/>
        </w:rPr>
        <w:t xml:space="preserve">. Доминиращите на запад и северозапад ниски брегове на Причерноморската низина и Добруджа през зимата улесняват доминиращото влияние на Източноевропейските студени антициклони. Ниските земи </w:t>
      </w:r>
      <w:r w:rsidR="007B3F70" w:rsidRPr="00610B1B">
        <w:rPr>
          <w:rFonts w:ascii="Times New Roman" w:hAnsi="Times New Roman" w:cs="Times New Roman"/>
          <w:sz w:val="24"/>
          <w:szCs w:val="24"/>
          <w:lang w:val="bg-BG"/>
        </w:rPr>
        <w:t>в Юж</w:t>
      </w:r>
      <w:r w:rsidR="00C65AB9" w:rsidRPr="00610B1B">
        <w:rPr>
          <w:rFonts w:ascii="Times New Roman" w:hAnsi="Times New Roman" w:cs="Times New Roman"/>
          <w:sz w:val="24"/>
          <w:szCs w:val="24"/>
          <w:lang w:val="bg-BG"/>
        </w:rPr>
        <w:t>н</w:t>
      </w:r>
      <w:r w:rsidR="007B3F70" w:rsidRPr="00610B1B">
        <w:rPr>
          <w:rFonts w:ascii="Times New Roman" w:hAnsi="Times New Roman" w:cs="Times New Roman"/>
          <w:sz w:val="24"/>
          <w:szCs w:val="24"/>
          <w:lang w:val="bg-BG"/>
        </w:rPr>
        <w:t>а България и в</w:t>
      </w:r>
      <w:r w:rsidRPr="00610B1B">
        <w:rPr>
          <w:rFonts w:ascii="Times New Roman" w:hAnsi="Times New Roman" w:cs="Times New Roman"/>
          <w:sz w:val="24"/>
          <w:szCs w:val="24"/>
          <w:lang w:val="bg-BG"/>
        </w:rPr>
        <w:t xml:space="preserve"> района на Дарданели</w:t>
      </w:r>
      <w:r w:rsidR="001A585E"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и Босфор</w:t>
      </w:r>
      <w:r w:rsidR="001A585E"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улесняват придвижването на влажните и топли въздушни маси на Средиземноморските циклони и горещия въздух от Азорските антициклони</w:t>
      </w:r>
      <w:r w:rsidR="00D20CE8" w:rsidRPr="00610B1B">
        <w:rPr>
          <w:rFonts w:ascii="Times New Roman" w:hAnsi="Times New Roman" w:cs="Times New Roman"/>
          <w:lang w:val="bg-BG"/>
        </w:rPr>
        <w:t xml:space="preserve"> </w:t>
      </w:r>
      <w:r w:rsidR="00D20CE8" w:rsidRPr="00610B1B">
        <w:rPr>
          <w:rFonts w:ascii="Times New Roman" w:hAnsi="Times New Roman" w:cs="Times New Roman"/>
          <w:sz w:val="24"/>
          <w:szCs w:val="24"/>
          <w:lang w:val="bg-BG"/>
        </w:rPr>
        <w:t>до Черно море от югозапад</w:t>
      </w:r>
      <w:r w:rsidRPr="00610B1B">
        <w:rPr>
          <w:rFonts w:ascii="Times New Roman" w:hAnsi="Times New Roman" w:cs="Times New Roman"/>
          <w:sz w:val="24"/>
          <w:szCs w:val="24"/>
          <w:lang w:val="bg-BG"/>
        </w:rPr>
        <w:t xml:space="preserve">. </w:t>
      </w:r>
    </w:p>
    <w:p w14:paraId="78593AD4" w14:textId="44EB5C9C" w:rsidR="00C509CC"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Непосредственото влияние на морето навътре в сушата не е голямо 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достига до 40-60 </w:t>
      </w:r>
      <w:r w:rsidR="00E21A4C" w:rsidRPr="00610B1B">
        <w:rPr>
          <w:rFonts w:ascii="Times New Roman" w:hAnsi="Times New Roman" w:cs="Times New Roman"/>
          <w:sz w:val="24"/>
          <w:szCs w:val="24"/>
          <w:lang w:val="bg-BG"/>
        </w:rPr>
        <w:t xml:space="preserve">km </w:t>
      </w:r>
      <w:r w:rsidRPr="00610B1B">
        <w:rPr>
          <w:rFonts w:ascii="Times New Roman" w:hAnsi="Times New Roman" w:cs="Times New Roman"/>
          <w:sz w:val="24"/>
          <w:szCs w:val="24"/>
          <w:lang w:val="bg-BG"/>
        </w:rPr>
        <w:t>в зависимост от конфигурацията на релефа, но най-вече поради разположението на морския басейн по посока на преобладаващия пренос на атмосферни маси.</w:t>
      </w:r>
    </w:p>
    <w:p w14:paraId="09C4B5C7" w14:textId="4BB38E58" w:rsidR="009D4A0E" w:rsidRPr="00610B1B" w:rsidRDefault="00F02BF7" w:rsidP="00D32D6A">
      <w:pPr>
        <w:pStyle w:val="Heading4"/>
        <w:spacing w:before="0" w:line="276" w:lineRule="auto"/>
        <w:ind w:right="-153"/>
        <w:rPr>
          <w:rFonts w:cs="Times New Roman"/>
        </w:rPr>
      </w:pPr>
      <w:r w:rsidRPr="00610B1B">
        <w:rPr>
          <w:rFonts w:cs="Times New Roman"/>
        </w:rPr>
        <w:lastRenderedPageBreak/>
        <w:t xml:space="preserve">2.2.3.1. </w:t>
      </w:r>
      <w:r w:rsidR="009D4A0E" w:rsidRPr="00610B1B">
        <w:rPr>
          <w:rFonts w:cs="Times New Roman"/>
        </w:rPr>
        <w:t>Радиационен режим</w:t>
      </w:r>
    </w:p>
    <w:p w14:paraId="3BFD27C1" w14:textId="45C03EBC" w:rsidR="009D4A0E" w:rsidRPr="00610B1B" w:rsidRDefault="00017F5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Действителната продължителност на слънчевото греене п</w:t>
      </w:r>
      <w:r w:rsidR="009D4A0E" w:rsidRPr="00610B1B">
        <w:rPr>
          <w:rFonts w:ascii="Times New Roman" w:hAnsi="Times New Roman" w:cs="Times New Roman"/>
          <w:sz w:val="24"/>
          <w:szCs w:val="24"/>
          <w:lang w:val="bg-BG"/>
        </w:rPr>
        <w:t xml:space="preserve">о </w:t>
      </w:r>
      <w:r w:rsidRPr="00610B1B">
        <w:rPr>
          <w:rFonts w:ascii="Times New Roman" w:hAnsi="Times New Roman" w:cs="Times New Roman"/>
          <w:sz w:val="24"/>
          <w:szCs w:val="24"/>
          <w:lang w:val="bg-BG"/>
        </w:rPr>
        <w:t>б</w:t>
      </w:r>
      <w:r w:rsidR="009D4A0E" w:rsidRPr="00610B1B">
        <w:rPr>
          <w:rFonts w:ascii="Times New Roman" w:hAnsi="Times New Roman" w:cs="Times New Roman"/>
          <w:sz w:val="24"/>
          <w:szCs w:val="24"/>
          <w:lang w:val="bg-BG"/>
        </w:rPr>
        <w:t>ъ</w:t>
      </w:r>
      <w:r w:rsidRPr="00610B1B">
        <w:rPr>
          <w:rFonts w:ascii="Times New Roman" w:hAnsi="Times New Roman" w:cs="Times New Roman"/>
          <w:sz w:val="24"/>
          <w:szCs w:val="24"/>
          <w:lang w:val="bg-BG"/>
        </w:rPr>
        <w:t>л</w:t>
      </w:r>
      <w:r w:rsidR="009D4A0E" w:rsidRPr="00610B1B">
        <w:rPr>
          <w:rFonts w:ascii="Times New Roman" w:hAnsi="Times New Roman" w:cs="Times New Roman"/>
          <w:sz w:val="24"/>
          <w:szCs w:val="24"/>
          <w:lang w:val="bg-BG"/>
        </w:rPr>
        <w:t>гарското Черноморско крайбрежие е от 2</w:t>
      </w:r>
      <w:r w:rsidR="00E21A4C" w:rsidRPr="00610B1B">
        <w:rPr>
          <w:rFonts w:ascii="Times New Roman" w:hAnsi="Times New Roman" w:cs="Times New Roman"/>
          <w:sz w:val="24"/>
          <w:szCs w:val="24"/>
          <w:lang w:val="bg-BG"/>
        </w:rPr>
        <w:t> </w:t>
      </w:r>
      <w:r w:rsidR="009D4A0E" w:rsidRPr="00610B1B">
        <w:rPr>
          <w:rFonts w:ascii="Times New Roman" w:hAnsi="Times New Roman" w:cs="Times New Roman"/>
          <w:sz w:val="24"/>
          <w:szCs w:val="24"/>
          <w:lang w:val="bg-BG"/>
        </w:rPr>
        <w:t>080 до 2</w:t>
      </w:r>
      <w:r w:rsidR="00E21A4C" w:rsidRPr="00610B1B">
        <w:rPr>
          <w:rFonts w:ascii="Times New Roman" w:hAnsi="Times New Roman" w:cs="Times New Roman"/>
          <w:sz w:val="24"/>
          <w:szCs w:val="24"/>
          <w:lang w:val="bg-BG"/>
        </w:rPr>
        <w:t> </w:t>
      </w:r>
      <w:r w:rsidR="009D4A0E" w:rsidRPr="00610B1B">
        <w:rPr>
          <w:rFonts w:ascii="Times New Roman" w:hAnsi="Times New Roman" w:cs="Times New Roman"/>
          <w:sz w:val="24"/>
          <w:szCs w:val="24"/>
          <w:lang w:val="bg-BG"/>
        </w:rPr>
        <w:t>250 ч</w:t>
      </w:r>
      <w:r w:rsidR="00E21A4C" w:rsidRPr="00610B1B">
        <w:rPr>
          <w:rFonts w:ascii="Times New Roman" w:hAnsi="Times New Roman" w:cs="Times New Roman"/>
          <w:sz w:val="24"/>
          <w:szCs w:val="24"/>
          <w:lang w:val="bg-BG"/>
        </w:rPr>
        <w:t>аса</w:t>
      </w:r>
      <w:r w:rsidR="009D4A0E" w:rsidRPr="00610B1B">
        <w:rPr>
          <w:rFonts w:ascii="Times New Roman" w:hAnsi="Times New Roman" w:cs="Times New Roman"/>
          <w:sz w:val="24"/>
          <w:szCs w:val="24"/>
          <w:lang w:val="bg-BG"/>
        </w:rPr>
        <w:t xml:space="preserve"> годишно. </w:t>
      </w:r>
      <w:r w:rsidR="00C65AB9" w:rsidRPr="00610B1B">
        <w:rPr>
          <w:rFonts w:ascii="Times New Roman" w:hAnsi="Times New Roman" w:cs="Times New Roman"/>
          <w:sz w:val="24"/>
          <w:szCs w:val="24"/>
          <w:lang w:val="bg-BG"/>
        </w:rPr>
        <w:t xml:space="preserve">Максималната </w:t>
      </w:r>
      <w:r w:rsidR="009D4A0E" w:rsidRPr="00610B1B">
        <w:rPr>
          <w:rFonts w:ascii="Times New Roman" w:hAnsi="Times New Roman" w:cs="Times New Roman"/>
          <w:sz w:val="24"/>
          <w:szCs w:val="24"/>
          <w:lang w:val="bg-BG"/>
        </w:rPr>
        <w:t>му продължителност</w:t>
      </w:r>
      <w:r w:rsidR="00C65AB9" w:rsidRPr="00610B1B">
        <w:rPr>
          <w:rFonts w:ascii="Times New Roman" w:hAnsi="Times New Roman" w:cs="Times New Roman"/>
          <w:sz w:val="24"/>
          <w:szCs w:val="24"/>
          <w:lang w:val="bg-BG"/>
        </w:rPr>
        <w:t xml:space="preserve"> е през месец юли</w:t>
      </w:r>
      <w:r w:rsidR="009D4A0E" w:rsidRPr="00610B1B">
        <w:rPr>
          <w:rFonts w:ascii="Times New Roman" w:hAnsi="Times New Roman" w:cs="Times New Roman"/>
          <w:sz w:val="24"/>
          <w:szCs w:val="24"/>
          <w:lang w:val="bg-BG"/>
        </w:rPr>
        <w:t>, следван от месец август</w:t>
      </w:r>
      <w:r w:rsidR="00C65AB9" w:rsidRPr="00610B1B">
        <w:rPr>
          <w:rFonts w:ascii="Times New Roman" w:hAnsi="Times New Roman" w:cs="Times New Roman"/>
          <w:sz w:val="24"/>
          <w:szCs w:val="24"/>
          <w:lang w:val="bg-BG"/>
        </w:rPr>
        <w:t xml:space="preserve">. </w:t>
      </w:r>
      <w:r w:rsidR="009D4A0E" w:rsidRPr="00610B1B">
        <w:rPr>
          <w:rFonts w:ascii="Times New Roman" w:hAnsi="Times New Roman" w:cs="Times New Roman"/>
          <w:sz w:val="24"/>
          <w:szCs w:val="24"/>
          <w:lang w:val="bg-BG"/>
        </w:rPr>
        <w:t>Минимумът на сумарната слънчева радиация е през декември</w:t>
      </w:r>
      <w:r w:rsidR="00C65AB9" w:rsidRPr="00610B1B">
        <w:rPr>
          <w:rFonts w:ascii="Times New Roman" w:hAnsi="Times New Roman" w:cs="Times New Roman"/>
          <w:sz w:val="24"/>
          <w:szCs w:val="24"/>
          <w:lang w:val="bg-BG"/>
        </w:rPr>
        <w:t>, а максимумът през юли</w:t>
      </w:r>
      <w:r w:rsidR="009D4A0E" w:rsidRPr="00610B1B">
        <w:rPr>
          <w:rFonts w:ascii="Times New Roman" w:hAnsi="Times New Roman" w:cs="Times New Roman"/>
          <w:sz w:val="24"/>
          <w:szCs w:val="24"/>
          <w:lang w:val="bg-BG"/>
        </w:rPr>
        <w:t>. От месец май до септември в Черноморския регион се получава около 60% от годишното количество слънчева радиация, като преобладава пряката пред разсеяната радиация.</w:t>
      </w:r>
      <w:r w:rsidR="00E21A4C" w:rsidRPr="00610B1B">
        <w:rPr>
          <w:rFonts w:ascii="Times New Roman" w:hAnsi="Times New Roman" w:cs="Times New Roman"/>
          <w:sz w:val="24"/>
          <w:szCs w:val="24"/>
          <w:lang w:val="bg-BG"/>
        </w:rPr>
        <w:t xml:space="preserve"> </w:t>
      </w:r>
      <w:r w:rsidR="009D4A0E" w:rsidRPr="00610B1B">
        <w:rPr>
          <w:rFonts w:ascii="Times New Roman" w:hAnsi="Times New Roman" w:cs="Times New Roman"/>
          <w:sz w:val="24"/>
          <w:szCs w:val="24"/>
          <w:lang w:val="bg-BG"/>
        </w:rPr>
        <w:t>През този период пряката радиация може да се използва най-ефективно и като енергиен източник.</w:t>
      </w:r>
      <w:r w:rsidR="001A585E" w:rsidRPr="00610B1B">
        <w:rPr>
          <w:rFonts w:ascii="Times New Roman" w:hAnsi="Times New Roman" w:cs="Times New Roman"/>
          <w:sz w:val="24"/>
          <w:szCs w:val="24"/>
          <w:lang w:val="bg-BG"/>
        </w:rPr>
        <w:t xml:space="preserve"> </w:t>
      </w:r>
      <w:r w:rsidR="009D4A0E" w:rsidRPr="00610B1B">
        <w:rPr>
          <w:rFonts w:ascii="Times New Roman" w:hAnsi="Times New Roman" w:cs="Times New Roman"/>
          <w:sz w:val="24"/>
          <w:szCs w:val="24"/>
          <w:lang w:val="bg-BG"/>
        </w:rPr>
        <w:t>Фотосинтетично активната радиация</w:t>
      </w:r>
      <w:r w:rsidR="00E21A4C" w:rsidRPr="00610B1B">
        <w:rPr>
          <w:rFonts w:ascii="Times New Roman" w:hAnsi="Times New Roman" w:cs="Times New Roman"/>
          <w:sz w:val="24"/>
          <w:szCs w:val="24"/>
          <w:lang w:val="bg-BG"/>
        </w:rPr>
        <w:t xml:space="preserve"> </w:t>
      </w:r>
      <w:r w:rsidR="009D4A0E" w:rsidRPr="00610B1B">
        <w:rPr>
          <w:rFonts w:ascii="Times New Roman" w:hAnsi="Times New Roman" w:cs="Times New Roman"/>
          <w:sz w:val="24"/>
          <w:szCs w:val="24"/>
          <w:lang w:val="bg-BG"/>
        </w:rPr>
        <w:t xml:space="preserve">(ФАР) по </w:t>
      </w:r>
      <w:r w:rsidRPr="00610B1B">
        <w:rPr>
          <w:rFonts w:ascii="Times New Roman" w:hAnsi="Times New Roman" w:cs="Times New Roman"/>
          <w:sz w:val="24"/>
          <w:szCs w:val="24"/>
          <w:lang w:val="bg-BG"/>
        </w:rPr>
        <w:t xml:space="preserve">българското </w:t>
      </w:r>
      <w:r w:rsidR="009D4A0E" w:rsidRPr="00610B1B">
        <w:rPr>
          <w:rFonts w:ascii="Times New Roman" w:hAnsi="Times New Roman" w:cs="Times New Roman"/>
          <w:sz w:val="24"/>
          <w:szCs w:val="24"/>
          <w:lang w:val="bg-BG"/>
        </w:rPr>
        <w:t xml:space="preserve">Черноморие е с максимум през юли (9-10 </w:t>
      </w:r>
      <w:bookmarkStart w:id="29" w:name="_Hlk31622217"/>
      <w:r w:rsidR="00317FF1" w:rsidRPr="00610B1B">
        <w:rPr>
          <w:rFonts w:ascii="Times New Roman" w:hAnsi="Times New Roman" w:cs="Times New Roman"/>
          <w:sz w:val="24"/>
          <w:szCs w:val="24"/>
          <w:lang w:val="bg-BG"/>
        </w:rPr>
        <w:t>kcal</w:t>
      </w:r>
      <w:r w:rsidR="009D4A0E" w:rsidRPr="00610B1B">
        <w:rPr>
          <w:rFonts w:ascii="Times New Roman" w:hAnsi="Times New Roman" w:cs="Times New Roman"/>
          <w:sz w:val="24"/>
          <w:szCs w:val="24"/>
          <w:lang w:val="bg-BG"/>
        </w:rPr>
        <w:t>/</w:t>
      </w:r>
      <w:bookmarkStart w:id="30" w:name="_Hlk31622297"/>
      <w:r w:rsidR="00317FF1" w:rsidRPr="00610B1B">
        <w:rPr>
          <w:rFonts w:ascii="Times New Roman" w:hAnsi="Times New Roman" w:cs="Times New Roman"/>
          <w:sz w:val="24"/>
          <w:szCs w:val="24"/>
          <w:lang w:val="bg-BG"/>
        </w:rPr>
        <w:t>cm</w:t>
      </w:r>
      <w:r w:rsidR="009D4A0E" w:rsidRPr="00610B1B">
        <w:rPr>
          <w:rFonts w:ascii="Times New Roman" w:hAnsi="Times New Roman" w:cs="Times New Roman"/>
          <w:sz w:val="24"/>
          <w:szCs w:val="24"/>
          <w:vertAlign w:val="superscript"/>
          <w:lang w:val="bg-BG"/>
        </w:rPr>
        <w:t>2</w:t>
      </w:r>
      <w:bookmarkEnd w:id="29"/>
      <w:bookmarkEnd w:id="30"/>
      <w:r w:rsidR="009D4A0E" w:rsidRPr="00610B1B">
        <w:rPr>
          <w:rFonts w:ascii="Times New Roman" w:hAnsi="Times New Roman" w:cs="Times New Roman"/>
          <w:sz w:val="24"/>
          <w:szCs w:val="24"/>
          <w:lang w:val="bg-BG"/>
        </w:rPr>
        <w:t xml:space="preserve">). </w:t>
      </w:r>
    </w:p>
    <w:p w14:paraId="4244F3AE" w14:textId="3912C372"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Черноморието е близко до южната граница на ултравиолетовия комфорт. При определени условия то предоставя възможност за хелиотерапия от март до октомври</w:t>
      </w:r>
      <w:r w:rsidR="00317FF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с оптимални възможности </w:t>
      </w:r>
      <w:r w:rsidR="001A585E" w:rsidRPr="00610B1B">
        <w:rPr>
          <w:rFonts w:ascii="Times New Roman" w:hAnsi="Times New Roman" w:cs="Times New Roman"/>
          <w:sz w:val="24"/>
          <w:szCs w:val="24"/>
          <w:lang w:val="bg-BG"/>
        </w:rPr>
        <w:t>от</w:t>
      </w:r>
      <w:r w:rsidRPr="00610B1B">
        <w:rPr>
          <w:rFonts w:ascii="Times New Roman" w:hAnsi="Times New Roman" w:cs="Times New Roman"/>
          <w:sz w:val="24"/>
          <w:szCs w:val="24"/>
          <w:lang w:val="bg-BG"/>
        </w:rPr>
        <w:t xml:space="preserve"> април</w:t>
      </w:r>
      <w:r w:rsidR="001A585E" w:rsidRPr="00610B1B">
        <w:rPr>
          <w:rFonts w:ascii="Times New Roman" w:hAnsi="Times New Roman" w:cs="Times New Roman"/>
          <w:sz w:val="24"/>
          <w:szCs w:val="24"/>
          <w:lang w:val="bg-BG"/>
        </w:rPr>
        <w:t xml:space="preserve"> до </w:t>
      </w:r>
      <w:r w:rsidRPr="00610B1B">
        <w:rPr>
          <w:rFonts w:ascii="Times New Roman" w:hAnsi="Times New Roman" w:cs="Times New Roman"/>
          <w:sz w:val="24"/>
          <w:szCs w:val="24"/>
          <w:lang w:val="bg-BG"/>
        </w:rPr>
        <w:t xml:space="preserve">септември. </w:t>
      </w:r>
    </w:p>
    <w:p w14:paraId="7A35BC0C" w14:textId="59245DB6"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Българското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Черноморие е с положителен годишен радиационен баланс. Дори стойностите през декември и януари, които са минимални, остават положителни. Това е причината за топлите зими с положителни средни месечни температури. Максимумът на</w:t>
      </w:r>
      <w:r w:rsidR="00C65AB9" w:rsidRPr="00610B1B">
        <w:rPr>
          <w:rFonts w:ascii="Times New Roman" w:hAnsi="Times New Roman" w:cs="Times New Roman"/>
          <w:sz w:val="24"/>
          <w:szCs w:val="24"/>
          <w:lang w:val="bg-BG"/>
        </w:rPr>
        <w:t xml:space="preserve"> радиационния баланс е през юли</w:t>
      </w:r>
      <w:r w:rsidRPr="00610B1B">
        <w:rPr>
          <w:rFonts w:ascii="Times New Roman" w:hAnsi="Times New Roman" w:cs="Times New Roman"/>
          <w:sz w:val="24"/>
          <w:szCs w:val="24"/>
          <w:lang w:val="bg-BG"/>
        </w:rPr>
        <w:t xml:space="preserve">. Черноморието попада под оптималната граница на овлажняването. Недостигът от влага определя приблизителните поливни норми за крайбрежието между 230 и 330 </w:t>
      </w:r>
      <w:r w:rsidR="00317FF1"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w:t>
      </w:r>
      <w:r w:rsidR="00017F5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Годишното сумарно изпарение (400-500 </w:t>
      </w:r>
      <w:r w:rsidR="00317FF1"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 не се различава много от средногодишната валежна сума</w:t>
      </w:r>
      <w:r w:rsidR="00D66C5A" w:rsidRPr="00610B1B">
        <w:rPr>
          <w:rFonts w:ascii="Times New Roman" w:hAnsi="Times New Roman" w:cs="Times New Roman"/>
          <w:sz w:val="24"/>
          <w:szCs w:val="24"/>
          <w:lang w:val="bg-BG"/>
        </w:rPr>
        <w:t>, което</w:t>
      </w:r>
      <w:r w:rsidRPr="00610B1B">
        <w:rPr>
          <w:rFonts w:ascii="Times New Roman" w:hAnsi="Times New Roman" w:cs="Times New Roman"/>
          <w:sz w:val="24"/>
          <w:szCs w:val="24"/>
          <w:lang w:val="bg-BG"/>
        </w:rPr>
        <w:t xml:space="preserve"> обяснява малкия отток и недостатъчното овлажняване.</w:t>
      </w:r>
    </w:p>
    <w:p w14:paraId="7A7C24B2" w14:textId="49EF4926"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Черноморието се отличава с най-високо ниво на топлообмен в България. Неговият максимум е през месец юли. Бризовата циркулация допринася за засилване на турбулентния топлообмен чрез създаване на термодинамична неустойчивост в долните атмосферни слоеве.</w:t>
      </w:r>
    </w:p>
    <w:p w14:paraId="0798C91D" w14:textId="09001C67" w:rsidR="009D4A0E" w:rsidRPr="00610B1B" w:rsidRDefault="00F02BF7" w:rsidP="00D32D6A">
      <w:pPr>
        <w:pStyle w:val="Heading4"/>
        <w:spacing w:before="0" w:line="276" w:lineRule="auto"/>
        <w:ind w:right="-153"/>
        <w:rPr>
          <w:rFonts w:cs="Times New Roman"/>
        </w:rPr>
      </w:pPr>
      <w:r w:rsidRPr="00610B1B">
        <w:rPr>
          <w:rFonts w:cs="Times New Roman"/>
        </w:rPr>
        <w:t xml:space="preserve">2.2.3.2. </w:t>
      </w:r>
      <w:r w:rsidR="009D4A0E" w:rsidRPr="00610B1B">
        <w:rPr>
          <w:rFonts w:cs="Times New Roman"/>
        </w:rPr>
        <w:t xml:space="preserve">Температурен режим </w:t>
      </w:r>
    </w:p>
    <w:p w14:paraId="0B68082C" w14:textId="3AFFC3E4"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Годишните температури по Черноморието нарастват от север на юг от 11,8 до 13,3°С. Годишната температурна амплитуда е в границите на 19,2 до 21,8°С. </w:t>
      </w:r>
      <w:r w:rsidR="00F97044" w:rsidRPr="00610B1B">
        <w:rPr>
          <w:rFonts w:ascii="Times New Roman" w:hAnsi="Times New Roman" w:cs="Times New Roman"/>
          <w:sz w:val="24"/>
          <w:szCs w:val="24"/>
          <w:lang w:val="bg-BG"/>
        </w:rPr>
        <w:t>П</w:t>
      </w:r>
      <w:r w:rsidRPr="00610B1B">
        <w:rPr>
          <w:rFonts w:ascii="Times New Roman" w:hAnsi="Times New Roman" w:cs="Times New Roman"/>
          <w:sz w:val="24"/>
          <w:szCs w:val="24"/>
          <w:lang w:val="bg-BG"/>
        </w:rPr>
        <w:t xml:space="preserve">рез зимата тук се отчитат най-високите зимни температури в България. За Южното Черноморие те са с 1-2°С по-високи, отколкото в района на гр. Сандански и гр. Петрич. Тук няма отрицателни средномесечни температури, въпреки че през отделни зими не са изключени. </w:t>
      </w:r>
      <w:r w:rsidR="00C65AB9" w:rsidRPr="00610B1B">
        <w:rPr>
          <w:rFonts w:ascii="Times New Roman" w:hAnsi="Times New Roman" w:cs="Times New Roman"/>
          <w:sz w:val="24"/>
          <w:szCs w:val="24"/>
          <w:lang w:val="bg-BG"/>
        </w:rPr>
        <w:t>Средните денонощни</w:t>
      </w:r>
      <w:r w:rsidRPr="00610B1B">
        <w:rPr>
          <w:rFonts w:ascii="Times New Roman" w:hAnsi="Times New Roman" w:cs="Times New Roman"/>
          <w:sz w:val="24"/>
          <w:szCs w:val="24"/>
          <w:lang w:val="bg-BG"/>
        </w:rPr>
        <w:t xml:space="preserve"> температури на въздуха </w:t>
      </w:r>
      <w:r w:rsidR="00C65AB9" w:rsidRPr="00610B1B">
        <w:rPr>
          <w:rFonts w:ascii="Times New Roman" w:hAnsi="Times New Roman" w:cs="Times New Roman"/>
          <w:sz w:val="24"/>
          <w:szCs w:val="24"/>
          <w:lang w:val="bg-BG"/>
        </w:rPr>
        <w:t>през зимните месеци се движат между 0,1</w:t>
      </w:r>
      <w:r w:rsidRPr="00610B1B">
        <w:rPr>
          <w:rFonts w:ascii="Times New Roman" w:hAnsi="Times New Roman" w:cs="Times New Roman"/>
          <w:sz w:val="24"/>
          <w:szCs w:val="24"/>
          <w:lang w:val="bg-BG"/>
        </w:rPr>
        <w:t xml:space="preserve"> и </w:t>
      </w:r>
      <w:r w:rsidR="00C65AB9" w:rsidRPr="00610B1B">
        <w:rPr>
          <w:rFonts w:ascii="Times New Roman" w:hAnsi="Times New Roman" w:cs="Times New Roman"/>
          <w:sz w:val="24"/>
          <w:szCs w:val="24"/>
          <w:lang w:val="bg-BG"/>
        </w:rPr>
        <w:t>10</w:t>
      </w:r>
      <w:r w:rsidRPr="00610B1B">
        <w:rPr>
          <w:rFonts w:ascii="Times New Roman" w:hAnsi="Times New Roman" w:cs="Times New Roman"/>
          <w:sz w:val="24"/>
          <w:szCs w:val="24"/>
          <w:lang w:val="bg-BG"/>
        </w:rPr>
        <w:t>°С</w:t>
      </w:r>
      <w:r w:rsidR="00A74792" w:rsidRPr="00610B1B">
        <w:rPr>
          <w:rFonts w:ascii="Times New Roman" w:hAnsi="Times New Roman" w:cs="Times New Roman"/>
          <w:sz w:val="24"/>
          <w:szCs w:val="24"/>
          <w:lang w:val="bg-BG"/>
        </w:rPr>
        <w:t>.</w:t>
      </w:r>
    </w:p>
    <w:p w14:paraId="310E4106" w14:textId="1FE96EA0"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Пролетта по Черноморието е по-хладна отколкото във вътрешността на страната.</w:t>
      </w:r>
      <w:r w:rsidR="00317FF1" w:rsidRPr="00610B1B">
        <w:rPr>
          <w:rFonts w:ascii="Times New Roman" w:hAnsi="Times New Roman" w:cs="Times New Roman"/>
          <w:sz w:val="24"/>
          <w:szCs w:val="24"/>
          <w:lang w:val="bg-BG"/>
        </w:rPr>
        <w:t xml:space="preserve"> </w:t>
      </w:r>
      <w:r w:rsidR="00D66C5A" w:rsidRPr="00610B1B">
        <w:rPr>
          <w:rFonts w:ascii="Times New Roman" w:hAnsi="Times New Roman" w:cs="Times New Roman"/>
          <w:sz w:val="24"/>
          <w:szCs w:val="24"/>
          <w:lang w:val="bg-BG"/>
        </w:rPr>
        <w:t xml:space="preserve">През март </w:t>
      </w:r>
      <w:r w:rsidR="00A74792" w:rsidRPr="00610B1B">
        <w:rPr>
          <w:rFonts w:ascii="Times New Roman" w:hAnsi="Times New Roman" w:cs="Times New Roman"/>
          <w:sz w:val="24"/>
          <w:szCs w:val="24"/>
          <w:lang w:val="bg-BG"/>
        </w:rPr>
        <w:t xml:space="preserve">средномесечните </w:t>
      </w:r>
      <w:r w:rsidRPr="00610B1B">
        <w:rPr>
          <w:rFonts w:ascii="Times New Roman" w:hAnsi="Times New Roman" w:cs="Times New Roman"/>
          <w:sz w:val="24"/>
          <w:szCs w:val="24"/>
          <w:lang w:val="bg-BG"/>
        </w:rPr>
        <w:t>температури са от 4,2 до 6,1°С. През месец април температури</w:t>
      </w:r>
      <w:r w:rsidR="00A74792"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са между 8,8 и 10,5°С без отрицателни среднодневни температури, а през май са между 14,4 и 15,8°С.</w:t>
      </w:r>
    </w:p>
    <w:p w14:paraId="0AE15022" w14:textId="3E134576"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Лятото е с по-голяма равномерност на температурите. За юни сре</w:t>
      </w:r>
      <w:r w:rsidR="00D66C5A" w:rsidRPr="00610B1B">
        <w:rPr>
          <w:rFonts w:ascii="Times New Roman" w:hAnsi="Times New Roman" w:cs="Times New Roman"/>
          <w:sz w:val="24"/>
          <w:szCs w:val="24"/>
          <w:lang w:val="bg-BG"/>
        </w:rPr>
        <w:t>дномесечните стойности са между 1</w:t>
      </w:r>
      <w:r w:rsidRPr="00610B1B">
        <w:rPr>
          <w:rFonts w:ascii="Times New Roman" w:hAnsi="Times New Roman" w:cs="Times New Roman"/>
          <w:sz w:val="24"/>
          <w:szCs w:val="24"/>
          <w:lang w:val="bg-BG"/>
        </w:rPr>
        <w:t>9,1 и 20,8°С. Температурните условия са почти изравнени през юли и август и са между 22,1 и 23,7°С при преобладаващи средноденонощни температури от 22,1 до 24,0°С. Обикновено средните денонощни температури не надвишават 28°С.</w:t>
      </w:r>
    </w:p>
    <w:p w14:paraId="00CBF0BD" w14:textId="6DEE5AFE"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Ранната есен по Черноморието се характеризира с термични условия близки до летните.</w:t>
      </w:r>
      <w:r w:rsidR="00317FF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Средната месечна температура през септември е с 3,5-4,0°С по-висока отколкото през май при преобладаващи средноденонощни температури от</w:t>
      </w:r>
      <w:r w:rsidR="00317FF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18,1 до 20,0°С. Това е голям резерв за земедел</w:t>
      </w:r>
      <w:r w:rsidR="00D66C5A" w:rsidRPr="00610B1B">
        <w:rPr>
          <w:rFonts w:ascii="Times New Roman" w:hAnsi="Times New Roman" w:cs="Times New Roman"/>
          <w:sz w:val="24"/>
          <w:szCs w:val="24"/>
          <w:lang w:val="bg-BG"/>
        </w:rPr>
        <w:t>ието</w:t>
      </w:r>
      <w:r w:rsidRPr="00610B1B">
        <w:rPr>
          <w:rFonts w:ascii="Times New Roman" w:hAnsi="Times New Roman" w:cs="Times New Roman"/>
          <w:sz w:val="24"/>
          <w:szCs w:val="24"/>
          <w:lang w:val="bg-BG"/>
        </w:rPr>
        <w:t>, а също и за рекреационната дейност. През октомври средномесечните температури се понижават до 13,9 – 15,8</w:t>
      </w:r>
      <w:bookmarkStart w:id="31" w:name="_Hlk32222910"/>
      <w:r w:rsidRPr="00610B1B">
        <w:rPr>
          <w:rFonts w:ascii="Times New Roman" w:hAnsi="Times New Roman" w:cs="Times New Roman"/>
          <w:sz w:val="24"/>
          <w:szCs w:val="24"/>
          <w:lang w:val="bg-BG"/>
        </w:rPr>
        <w:t>°С</w:t>
      </w:r>
      <w:bookmarkEnd w:id="31"/>
      <w:r w:rsidRPr="00610B1B">
        <w:rPr>
          <w:rFonts w:ascii="Times New Roman" w:hAnsi="Times New Roman" w:cs="Times New Roman"/>
          <w:sz w:val="24"/>
          <w:szCs w:val="24"/>
          <w:lang w:val="bg-BG"/>
        </w:rPr>
        <w:t xml:space="preserve">, а през ноември до 8,9-10,8°С. </w:t>
      </w:r>
    </w:p>
    <w:p w14:paraId="024EE02D" w14:textId="53988E5F"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Температурните суми над 10°С за Северното Черноморие са от 3</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600 до 3</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750° и от 3</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700 до 4</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150° за Южното Черноморие. Тези температурни суми са достатъчни за узряване на по-ранни култури, като остава допълнителен температурен резерв за отглеждане на втори култури. Температурните суми над 15°С са 2</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800-3</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200° за Северното и </w:t>
      </w:r>
      <w:r w:rsidR="00C90090" w:rsidRPr="00610B1B">
        <w:rPr>
          <w:rFonts w:ascii="Times New Roman" w:hAnsi="Times New Roman" w:cs="Times New Roman"/>
          <w:sz w:val="24"/>
          <w:szCs w:val="24"/>
          <w:lang w:val="bg-BG"/>
        </w:rPr>
        <w:t>от</w:t>
      </w:r>
      <w:r w:rsidRPr="00610B1B">
        <w:rPr>
          <w:rFonts w:ascii="Times New Roman" w:hAnsi="Times New Roman" w:cs="Times New Roman"/>
          <w:sz w:val="24"/>
          <w:szCs w:val="24"/>
          <w:lang w:val="bg-BG"/>
        </w:rPr>
        <w:t xml:space="preserve"> 2</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950</w:t>
      </w:r>
      <w:r w:rsidR="00C90090" w:rsidRPr="00610B1B">
        <w:rPr>
          <w:rFonts w:ascii="Times New Roman" w:hAnsi="Times New Roman" w:cs="Times New Roman"/>
          <w:sz w:val="24"/>
          <w:szCs w:val="24"/>
          <w:lang w:val="bg-BG"/>
        </w:rPr>
        <w:t xml:space="preserve"> до </w:t>
      </w:r>
      <w:r w:rsidRPr="00610B1B">
        <w:rPr>
          <w:rFonts w:ascii="Times New Roman" w:hAnsi="Times New Roman" w:cs="Times New Roman"/>
          <w:sz w:val="24"/>
          <w:szCs w:val="24"/>
          <w:lang w:val="bg-BG"/>
        </w:rPr>
        <w:t>3</w:t>
      </w:r>
      <w:r w:rsidR="00C9009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400° за Южното Черноморско крайбрежие.</w:t>
      </w:r>
    </w:p>
    <w:p w14:paraId="7C314147" w14:textId="2A26E78D"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 Северното Черноморие средната от абсолютните годишни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минимални температури е от </w:t>
      </w:r>
      <w:r w:rsidR="00F9704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12 до -13°С, а за Южното Черноморие е от -9 до -12°С. </w:t>
      </w:r>
      <w:r w:rsidR="00F97044" w:rsidRPr="00610B1B">
        <w:rPr>
          <w:rFonts w:ascii="Times New Roman" w:hAnsi="Times New Roman" w:cs="Times New Roman"/>
          <w:sz w:val="24"/>
          <w:szCs w:val="24"/>
          <w:lang w:val="bg-BG"/>
        </w:rPr>
        <w:t>Отрицателните температурни суми п</w:t>
      </w:r>
      <w:r w:rsidRPr="00610B1B">
        <w:rPr>
          <w:rFonts w:ascii="Times New Roman" w:hAnsi="Times New Roman" w:cs="Times New Roman"/>
          <w:sz w:val="24"/>
          <w:szCs w:val="24"/>
          <w:lang w:val="bg-BG"/>
        </w:rPr>
        <w:t>о Черноморието са с по-малка стойност, като за Южното Черноморие те са средно под 40%.</w:t>
      </w:r>
    </w:p>
    <w:p w14:paraId="08A22BF2" w14:textId="4799E1D7"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Характерна особеност за Черноморието е по-ранното прекратяване на късните пролетни мразове и слани и по-късните дати на тяхното настъпване през есента в сравнение с вътрешността на страната. Крайните дати на есенните мразове са през октом</w:t>
      </w:r>
      <w:r w:rsidR="00C90090"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 xml:space="preserve">ри, а средните дати – през ноември и декември. Тези температурни характеристики отличават </w:t>
      </w:r>
      <w:r w:rsidR="00C94C31" w:rsidRPr="00610B1B">
        <w:rPr>
          <w:rFonts w:ascii="Times New Roman" w:hAnsi="Times New Roman" w:cs="Times New Roman"/>
          <w:sz w:val="24"/>
          <w:szCs w:val="24"/>
          <w:lang w:val="bg-BG"/>
        </w:rPr>
        <w:t>б</w:t>
      </w:r>
      <w:r w:rsidRPr="00610B1B">
        <w:rPr>
          <w:rFonts w:ascii="Times New Roman" w:hAnsi="Times New Roman" w:cs="Times New Roman"/>
          <w:sz w:val="24"/>
          <w:szCs w:val="24"/>
          <w:lang w:val="bg-BG"/>
        </w:rPr>
        <w:t>ългарското Черноморие с по-топла</w:t>
      </w:r>
      <w:r w:rsidR="00561C1B" w:rsidRPr="00610B1B">
        <w:rPr>
          <w:rFonts w:ascii="Times New Roman" w:hAnsi="Times New Roman" w:cs="Times New Roman"/>
          <w:sz w:val="24"/>
          <w:szCs w:val="24"/>
          <w:lang w:val="bg-BG"/>
        </w:rPr>
        <w:t>та</w:t>
      </w:r>
      <w:r w:rsidRPr="00610B1B">
        <w:rPr>
          <w:rFonts w:ascii="Times New Roman" w:hAnsi="Times New Roman" w:cs="Times New Roman"/>
          <w:sz w:val="24"/>
          <w:szCs w:val="24"/>
          <w:lang w:val="bg-BG"/>
        </w:rPr>
        <w:t xml:space="preserve"> есен и възможности</w:t>
      </w:r>
      <w:r w:rsidR="00561C1B"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за отглеждане на късни и втори култури. </w:t>
      </w:r>
      <w:r w:rsidR="00561C1B" w:rsidRPr="00610B1B">
        <w:rPr>
          <w:rFonts w:ascii="Times New Roman" w:hAnsi="Times New Roman" w:cs="Times New Roman"/>
          <w:sz w:val="24"/>
          <w:szCs w:val="24"/>
          <w:lang w:val="bg-BG"/>
        </w:rPr>
        <w:t>Крайбрежието</w:t>
      </w:r>
      <w:r w:rsidRPr="00610B1B">
        <w:rPr>
          <w:rFonts w:ascii="Times New Roman" w:hAnsi="Times New Roman" w:cs="Times New Roman"/>
          <w:sz w:val="24"/>
          <w:szCs w:val="24"/>
          <w:lang w:val="bg-BG"/>
        </w:rPr>
        <w:t xml:space="preserve"> се отличава с най-дългия безмразов период в България – средно 240 дни за северните, 250 дни за средните и 260 дни за южните </w:t>
      </w:r>
      <w:r w:rsidR="00561C1B" w:rsidRPr="00610B1B">
        <w:rPr>
          <w:rFonts w:ascii="Times New Roman" w:hAnsi="Times New Roman" w:cs="Times New Roman"/>
          <w:sz w:val="24"/>
          <w:szCs w:val="24"/>
          <w:lang w:val="bg-BG"/>
        </w:rPr>
        <w:t xml:space="preserve">му </w:t>
      </w:r>
      <w:r w:rsidRPr="00610B1B">
        <w:rPr>
          <w:rFonts w:ascii="Times New Roman" w:hAnsi="Times New Roman" w:cs="Times New Roman"/>
          <w:sz w:val="24"/>
          <w:szCs w:val="24"/>
          <w:lang w:val="bg-BG"/>
        </w:rPr>
        <w:t>части</w:t>
      </w:r>
      <w:r w:rsidR="00561C1B" w:rsidRPr="00610B1B">
        <w:rPr>
          <w:rFonts w:ascii="Times New Roman" w:hAnsi="Times New Roman" w:cs="Times New Roman"/>
          <w:sz w:val="24"/>
          <w:szCs w:val="24"/>
          <w:lang w:val="bg-BG"/>
        </w:rPr>
        <w:t>.</w:t>
      </w:r>
    </w:p>
    <w:p w14:paraId="507C8CCC" w14:textId="7E26D21A" w:rsidR="009D4A0E" w:rsidRPr="00610B1B" w:rsidRDefault="00F02BF7" w:rsidP="00D32D6A">
      <w:pPr>
        <w:pStyle w:val="Heading4"/>
        <w:spacing w:before="0" w:line="276" w:lineRule="auto"/>
        <w:ind w:right="-153"/>
        <w:rPr>
          <w:rFonts w:cs="Times New Roman"/>
        </w:rPr>
      </w:pPr>
      <w:r w:rsidRPr="00610B1B">
        <w:rPr>
          <w:rFonts w:cs="Times New Roman"/>
        </w:rPr>
        <w:t xml:space="preserve">2.2.3.3. </w:t>
      </w:r>
      <w:r w:rsidR="009D4A0E" w:rsidRPr="00610B1B">
        <w:rPr>
          <w:rFonts w:cs="Times New Roman"/>
        </w:rPr>
        <w:t>Облачност и валежи</w:t>
      </w:r>
    </w:p>
    <w:p w14:paraId="55325C8D" w14:textId="2E064B56" w:rsidR="009D4A0E" w:rsidRPr="00610B1B" w:rsidRDefault="00617C6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Облачността </w:t>
      </w:r>
      <w:r w:rsidR="00DA2D41" w:rsidRPr="00610B1B">
        <w:rPr>
          <w:rFonts w:ascii="Times New Roman" w:hAnsi="Times New Roman" w:cs="Times New Roman"/>
          <w:sz w:val="24"/>
          <w:szCs w:val="24"/>
          <w:lang w:val="bg-BG"/>
        </w:rPr>
        <w:t xml:space="preserve">е </w:t>
      </w:r>
      <w:r w:rsidR="009D4A0E" w:rsidRPr="00610B1B">
        <w:rPr>
          <w:rFonts w:ascii="Times New Roman" w:hAnsi="Times New Roman" w:cs="Times New Roman"/>
          <w:sz w:val="24"/>
          <w:szCs w:val="24"/>
          <w:lang w:val="bg-BG"/>
        </w:rPr>
        <w:t>най-висока през зимата, когато пренос</w:t>
      </w:r>
      <w:r w:rsidR="002B1ECB" w:rsidRPr="00610B1B">
        <w:rPr>
          <w:rFonts w:ascii="Times New Roman" w:hAnsi="Times New Roman" w:cs="Times New Roman"/>
          <w:sz w:val="24"/>
          <w:szCs w:val="24"/>
          <w:lang w:val="bg-BG"/>
        </w:rPr>
        <w:t>ът</w:t>
      </w:r>
      <w:r w:rsidR="009D4A0E" w:rsidRPr="00610B1B">
        <w:rPr>
          <w:rFonts w:ascii="Times New Roman" w:hAnsi="Times New Roman" w:cs="Times New Roman"/>
          <w:sz w:val="24"/>
          <w:szCs w:val="24"/>
          <w:lang w:val="bg-BG"/>
        </w:rPr>
        <w:t xml:space="preserve"> на въздушни маси е най-интензивен в тази част от страната. През периода ноември-февруари облачността е предимно ниска</w:t>
      </w:r>
      <w:r w:rsidR="007B4888" w:rsidRPr="00610B1B">
        <w:rPr>
          <w:rFonts w:ascii="Times New Roman" w:hAnsi="Times New Roman" w:cs="Times New Roman"/>
          <w:sz w:val="24"/>
          <w:szCs w:val="24"/>
          <w:lang w:val="bg-BG"/>
        </w:rPr>
        <w:t xml:space="preserve">, през пролетта </w:t>
      </w:r>
      <w:r w:rsidR="009D4A0E" w:rsidRPr="00610B1B">
        <w:rPr>
          <w:rFonts w:ascii="Times New Roman" w:hAnsi="Times New Roman" w:cs="Times New Roman"/>
          <w:sz w:val="24"/>
          <w:szCs w:val="24"/>
          <w:lang w:val="bg-BG"/>
        </w:rPr>
        <w:t>намалява</w:t>
      </w:r>
      <w:r w:rsidR="00DA2D41" w:rsidRPr="00610B1B">
        <w:rPr>
          <w:rFonts w:ascii="Times New Roman" w:hAnsi="Times New Roman" w:cs="Times New Roman"/>
          <w:sz w:val="24"/>
          <w:szCs w:val="24"/>
          <w:lang w:val="bg-BG"/>
        </w:rPr>
        <w:t>,</w:t>
      </w:r>
      <w:r w:rsidR="009D4A0E" w:rsidRPr="00610B1B">
        <w:rPr>
          <w:rFonts w:ascii="Times New Roman" w:hAnsi="Times New Roman" w:cs="Times New Roman"/>
          <w:sz w:val="24"/>
          <w:szCs w:val="24"/>
          <w:lang w:val="bg-BG"/>
        </w:rPr>
        <w:t xml:space="preserve"> </w:t>
      </w:r>
      <w:r w:rsidR="007B4888" w:rsidRPr="00610B1B">
        <w:rPr>
          <w:rFonts w:ascii="Times New Roman" w:hAnsi="Times New Roman" w:cs="Times New Roman"/>
          <w:sz w:val="24"/>
          <w:szCs w:val="24"/>
          <w:lang w:val="bg-BG"/>
        </w:rPr>
        <w:t>а</w:t>
      </w:r>
      <w:r w:rsidR="009D4A0E" w:rsidRPr="00610B1B">
        <w:rPr>
          <w:rFonts w:ascii="Times New Roman" w:hAnsi="Times New Roman" w:cs="Times New Roman"/>
          <w:sz w:val="24"/>
          <w:szCs w:val="24"/>
          <w:lang w:val="bg-BG"/>
        </w:rPr>
        <w:t xml:space="preserve"> </w:t>
      </w:r>
      <w:r w:rsidR="007B4888" w:rsidRPr="00610B1B">
        <w:rPr>
          <w:rFonts w:ascii="Times New Roman" w:hAnsi="Times New Roman" w:cs="Times New Roman"/>
          <w:sz w:val="24"/>
          <w:szCs w:val="24"/>
          <w:lang w:val="bg-BG"/>
        </w:rPr>
        <w:t>п</w:t>
      </w:r>
      <w:r w:rsidR="009D4A0E" w:rsidRPr="00610B1B">
        <w:rPr>
          <w:rFonts w:ascii="Times New Roman" w:hAnsi="Times New Roman" w:cs="Times New Roman"/>
          <w:sz w:val="24"/>
          <w:szCs w:val="24"/>
          <w:lang w:val="bg-BG"/>
        </w:rPr>
        <w:t xml:space="preserve">рез лятото е най-ниска – 2,5–3,2 десети. Това се дължи на </w:t>
      </w:r>
      <w:r w:rsidRPr="00610B1B">
        <w:rPr>
          <w:rFonts w:ascii="Times New Roman" w:hAnsi="Times New Roman" w:cs="Times New Roman"/>
          <w:sz w:val="24"/>
          <w:szCs w:val="24"/>
          <w:lang w:val="bg-BG"/>
        </w:rPr>
        <w:t>ограничената</w:t>
      </w:r>
      <w:r w:rsidR="009D4A0E" w:rsidRPr="00610B1B">
        <w:rPr>
          <w:rFonts w:ascii="Times New Roman" w:hAnsi="Times New Roman" w:cs="Times New Roman"/>
          <w:sz w:val="24"/>
          <w:szCs w:val="24"/>
          <w:lang w:val="bg-BG"/>
        </w:rPr>
        <w:t xml:space="preserve"> циклонална дейност</w:t>
      </w:r>
      <w:r w:rsidRPr="00610B1B">
        <w:rPr>
          <w:rFonts w:ascii="Times New Roman" w:hAnsi="Times New Roman" w:cs="Times New Roman"/>
          <w:sz w:val="24"/>
          <w:szCs w:val="24"/>
          <w:lang w:val="bg-BG"/>
        </w:rPr>
        <w:t xml:space="preserve"> в този период</w:t>
      </w:r>
      <w:r w:rsidR="009D4A0E" w:rsidRPr="00610B1B">
        <w:rPr>
          <w:rFonts w:ascii="Times New Roman" w:hAnsi="Times New Roman" w:cs="Times New Roman"/>
          <w:sz w:val="24"/>
          <w:szCs w:val="24"/>
          <w:lang w:val="bg-BG"/>
        </w:rPr>
        <w:t xml:space="preserve"> и на дейността на морския бриз, който ограничава условията за вътрешномасова облачност. През </w:t>
      </w:r>
      <w:r w:rsidR="00686CE6" w:rsidRPr="00610B1B">
        <w:rPr>
          <w:rFonts w:ascii="Times New Roman" w:hAnsi="Times New Roman" w:cs="Times New Roman"/>
          <w:sz w:val="24"/>
          <w:szCs w:val="24"/>
          <w:lang w:val="bg-BG"/>
        </w:rPr>
        <w:t>октомври</w:t>
      </w:r>
      <w:r w:rsidR="009D4A0E" w:rsidRPr="00610B1B">
        <w:rPr>
          <w:rFonts w:ascii="Times New Roman" w:hAnsi="Times New Roman" w:cs="Times New Roman"/>
          <w:sz w:val="24"/>
          <w:szCs w:val="24"/>
          <w:lang w:val="bg-BG"/>
        </w:rPr>
        <w:t xml:space="preserve"> облачността </w:t>
      </w:r>
      <w:r w:rsidR="007B4888" w:rsidRPr="00610B1B">
        <w:rPr>
          <w:rFonts w:ascii="Times New Roman" w:hAnsi="Times New Roman" w:cs="Times New Roman"/>
          <w:sz w:val="24"/>
          <w:szCs w:val="24"/>
          <w:lang w:val="bg-BG"/>
        </w:rPr>
        <w:t xml:space="preserve">отново </w:t>
      </w:r>
      <w:r w:rsidR="009D4A0E" w:rsidRPr="00610B1B">
        <w:rPr>
          <w:rFonts w:ascii="Times New Roman" w:hAnsi="Times New Roman" w:cs="Times New Roman"/>
          <w:sz w:val="24"/>
          <w:szCs w:val="24"/>
          <w:lang w:val="bg-BG"/>
        </w:rPr>
        <w:t xml:space="preserve">се </w:t>
      </w:r>
      <w:r w:rsidR="00686CE6" w:rsidRPr="00610B1B">
        <w:rPr>
          <w:rFonts w:ascii="Times New Roman" w:hAnsi="Times New Roman" w:cs="Times New Roman"/>
          <w:sz w:val="24"/>
          <w:szCs w:val="24"/>
          <w:lang w:val="bg-BG"/>
        </w:rPr>
        <w:t>увеличава</w:t>
      </w:r>
      <w:r w:rsidR="009D4A0E" w:rsidRPr="00610B1B">
        <w:rPr>
          <w:rFonts w:ascii="Times New Roman" w:hAnsi="Times New Roman" w:cs="Times New Roman"/>
          <w:sz w:val="24"/>
          <w:szCs w:val="24"/>
          <w:lang w:val="bg-BG"/>
        </w:rPr>
        <w:t>.</w:t>
      </w:r>
    </w:p>
    <w:p w14:paraId="04A1A31C" w14:textId="2C2A2696"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Годишният и месечн</w:t>
      </w:r>
      <w:r w:rsidR="002B1ECB" w:rsidRPr="00610B1B">
        <w:rPr>
          <w:rFonts w:ascii="Times New Roman" w:hAnsi="Times New Roman" w:cs="Times New Roman"/>
          <w:sz w:val="24"/>
          <w:szCs w:val="24"/>
          <w:lang w:val="bg-BG"/>
        </w:rPr>
        <w:t>ият</w:t>
      </w:r>
      <w:r w:rsidRPr="00610B1B">
        <w:rPr>
          <w:rFonts w:ascii="Times New Roman" w:hAnsi="Times New Roman" w:cs="Times New Roman"/>
          <w:sz w:val="24"/>
          <w:szCs w:val="24"/>
          <w:lang w:val="bg-BG"/>
        </w:rPr>
        <w:t xml:space="preserve"> брой на ясните дни е около средния за страната. Максимумът е през лятото – 12-16 дни през месеците юли и август, а минимумът е през декември – 1,5</w:t>
      </w:r>
      <w:r w:rsidR="002B1EC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w:t>
      </w:r>
      <w:r w:rsidR="002B1EC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2,5 дни средно за месеца.</w:t>
      </w:r>
      <w:r w:rsidR="002B1EC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Мрачните дни по Черноморието </w:t>
      </w:r>
      <w:r w:rsidR="002B1EC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110</w:t>
      </w:r>
      <w:r w:rsidR="002B1EC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са малко над средните за страната</w:t>
      </w:r>
      <w:r w:rsidR="002B1EC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- 97 дни</w:t>
      </w:r>
      <w:r w:rsidR="00C94C31" w:rsidRPr="00610B1B">
        <w:rPr>
          <w:rFonts w:ascii="Times New Roman" w:hAnsi="Times New Roman" w:cs="Times New Roman"/>
          <w:sz w:val="24"/>
          <w:szCs w:val="24"/>
          <w:lang w:val="bg-BG"/>
        </w:rPr>
        <w:t>, поради наличието на морския басейн.</w:t>
      </w:r>
      <w:r w:rsidRPr="00610B1B">
        <w:rPr>
          <w:rFonts w:ascii="Times New Roman" w:hAnsi="Times New Roman" w:cs="Times New Roman"/>
          <w:sz w:val="24"/>
          <w:szCs w:val="24"/>
          <w:lang w:val="bg-BG"/>
        </w:rPr>
        <w:t xml:space="preserve"> Максимумът им е през </w:t>
      </w:r>
      <w:r w:rsidR="00C94C31" w:rsidRPr="00610B1B">
        <w:rPr>
          <w:rFonts w:ascii="Times New Roman" w:hAnsi="Times New Roman" w:cs="Times New Roman"/>
          <w:sz w:val="24"/>
          <w:szCs w:val="24"/>
          <w:lang w:val="bg-BG"/>
        </w:rPr>
        <w:t>декември и януари</w:t>
      </w:r>
      <w:r w:rsidRPr="00610B1B">
        <w:rPr>
          <w:rFonts w:ascii="Times New Roman" w:hAnsi="Times New Roman" w:cs="Times New Roman"/>
          <w:sz w:val="24"/>
          <w:szCs w:val="24"/>
          <w:lang w:val="bg-BG"/>
        </w:rPr>
        <w:t xml:space="preserve">, а минимумът </w:t>
      </w:r>
      <w:r w:rsidR="00C94C31"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 xml:space="preserve"> през юли</w:t>
      </w:r>
      <w:r w:rsidR="00C94C3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w:t>
      </w:r>
      <w:r w:rsidR="00C94C3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август.</w:t>
      </w:r>
    </w:p>
    <w:p w14:paraId="09C2E43F" w14:textId="2AC2D0DE"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Южното Черноморие</w:t>
      </w:r>
      <w:r w:rsidR="00C94C3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отчита 2 пъти по-големи валежи</w:t>
      </w:r>
      <w:r w:rsidR="00C94C31" w:rsidRPr="00610B1B">
        <w:rPr>
          <w:rFonts w:ascii="Times New Roman" w:hAnsi="Times New Roman" w:cs="Times New Roman"/>
          <w:lang w:val="bg-BG"/>
        </w:rPr>
        <w:t xml:space="preserve"> </w:t>
      </w:r>
      <w:r w:rsidR="00C94C31" w:rsidRPr="00610B1B">
        <w:rPr>
          <w:rFonts w:ascii="Times New Roman" w:hAnsi="Times New Roman" w:cs="Times New Roman"/>
          <w:sz w:val="24"/>
          <w:szCs w:val="24"/>
          <w:lang w:val="bg-BG"/>
        </w:rPr>
        <w:t>под прякото влияние на средиземноморските циклони</w:t>
      </w:r>
      <w:r w:rsidRPr="00610B1B">
        <w:rPr>
          <w:rFonts w:ascii="Times New Roman" w:hAnsi="Times New Roman" w:cs="Times New Roman"/>
          <w:sz w:val="24"/>
          <w:szCs w:val="24"/>
          <w:lang w:val="bg-BG"/>
        </w:rPr>
        <w:t xml:space="preserve">, отколкото Северното Черноморие. Северните части на крайбрежието и прилежащите им територии </w:t>
      </w:r>
      <w:r w:rsidR="00E73CCD" w:rsidRPr="00610B1B">
        <w:rPr>
          <w:rFonts w:ascii="Times New Roman" w:hAnsi="Times New Roman" w:cs="Times New Roman"/>
          <w:sz w:val="24"/>
          <w:szCs w:val="24"/>
          <w:lang w:val="bg-BG"/>
        </w:rPr>
        <w:t>са</w:t>
      </w:r>
      <w:r w:rsidRPr="00610B1B">
        <w:rPr>
          <w:rFonts w:ascii="Times New Roman" w:hAnsi="Times New Roman" w:cs="Times New Roman"/>
          <w:sz w:val="24"/>
          <w:szCs w:val="24"/>
          <w:lang w:val="bg-BG"/>
        </w:rPr>
        <w:t xml:space="preserve"> най-сухите части на страната. Средният годишен валеж е около 450 </w:t>
      </w:r>
      <w:r w:rsidR="002B1ECB"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 xml:space="preserve">, на юг – 550-700 </w:t>
      </w:r>
      <w:r w:rsidR="002B1ECB"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 xml:space="preserve">, достигайки в Резово до 812 </w:t>
      </w:r>
      <w:r w:rsidR="002B1ECB" w:rsidRPr="00610B1B">
        <w:rPr>
          <w:rFonts w:ascii="Times New Roman" w:hAnsi="Times New Roman" w:cs="Times New Roman"/>
          <w:sz w:val="24"/>
          <w:szCs w:val="24"/>
          <w:lang w:val="bg-BG"/>
        </w:rPr>
        <w:t>mm</w:t>
      </w:r>
      <w:r w:rsidR="00DA2D4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Вътрешногодишното разпределение на валежите по </w:t>
      </w:r>
      <w:r w:rsidR="00DA2D41" w:rsidRPr="00610B1B">
        <w:rPr>
          <w:rFonts w:ascii="Times New Roman" w:hAnsi="Times New Roman" w:cs="Times New Roman"/>
          <w:sz w:val="24"/>
          <w:szCs w:val="24"/>
          <w:lang w:val="bg-BG"/>
        </w:rPr>
        <w:t xml:space="preserve">българското </w:t>
      </w:r>
      <w:r w:rsidRPr="00610B1B">
        <w:rPr>
          <w:rFonts w:ascii="Times New Roman" w:hAnsi="Times New Roman" w:cs="Times New Roman"/>
          <w:sz w:val="24"/>
          <w:szCs w:val="24"/>
          <w:lang w:val="bg-BG"/>
        </w:rPr>
        <w:t>Черноморие е приблизително еднакво с максимум през ноември - декември и минимум през август</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 септември. В преобладаващия брой станции се наблюдава добре изразено лятно засушаване, което </w:t>
      </w:r>
      <w:r w:rsidR="002B1ECB" w:rsidRPr="00610B1B">
        <w:rPr>
          <w:rFonts w:ascii="Times New Roman" w:hAnsi="Times New Roman" w:cs="Times New Roman"/>
          <w:sz w:val="24"/>
          <w:szCs w:val="24"/>
          <w:lang w:val="bg-BG"/>
        </w:rPr>
        <w:t>продължава</w:t>
      </w:r>
      <w:r w:rsidRPr="00610B1B">
        <w:rPr>
          <w:rFonts w:ascii="Times New Roman" w:hAnsi="Times New Roman" w:cs="Times New Roman"/>
          <w:sz w:val="24"/>
          <w:szCs w:val="24"/>
          <w:lang w:val="bg-BG"/>
        </w:rPr>
        <w:t xml:space="preserve"> 2-3 месеца. Вътрешногодишният ход на валежите</w:t>
      </w:r>
      <w:r w:rsidR="00DA2D4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r w:rsidR="00686CE6" w:rsidRPr="00610B1B">
        <w:rPr>
          <w:rFonts w:ascii="Times New Roman" w:hAnsi="Times New Roman" w:cs="Times New Roman"/>
          <w:sz w:val="24"/>
          <w:szCs w:val="24"/>
          <w:lang w:val="bg-BG"/>
        </w:rPr>
        <w:lastRenderedPageBreak/>
        <w:t>характерен</w:t>
      </w:r>
      <w:r w:rsidRPr="00610B1B">
        <w:rPr>
          <w:rFonts w:ascii="Times New Roman" w:hAnsi="Times New Roman" w:cs="Times New Roman"/>
          <w:sz w:val="24"/>
          <w:szCs w:val="24"/>
          <w:lang w:val="bg-BG"/>
        </w:rPr>
        <w:t xml:space="preserve"> за средиземноморски</w:t>
      </w:r>
      <w:r w:rsidR="000E64B6" w:rsidRPr="00610B1B">
        <w:rPr>
          <w:rFonts w:ascii="Times New Roman" w:hAnsi="Times New Roman" w:cs="Times New Roman"/>
          <w:sz w:val="24"/>
          <w:szCs w:val="24"/>
          <w:lang w:val="bg-BG"/>
        </w:rPr>
        <w:t>я</w:t>
      </w:r>
      <w:r w:rsidRPr="00610B1B">
        <w:rPr>
          <w:rFonts w:ascii="Times New Roman" w:hAnsi="Times New Roman" w:cs="Times New Roman"/>
          <w:sz w:val="24"/>
          <w:szCs w:val="24"/>
          <w:lang w:val="bg-BG"/>
        </w:rPr>
        <w:t xml:space="preserve"> климат е по</w:t>
      </w:r>
      <w:r w:rsidR="000E64B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изразен по Южното, отколкото по Северното Черноморие.</w:t>
      </w:r>
    </w:p>
    <w:p w14:paraId="619AD331" w14:textId="7E66B20C"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Дните със снеговалеж са съизмерими с тези от ниските части на Южна България. Поради по-високото термично ниво обаче,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броят на дните със</w:t>
      </w:r>
      <w:r w:rsidR="00DA2D4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снежна покривка е от 6 до 16 дни. В най-южните части на Черноморието не рядко 4-5 последователни години са без снежна покривка.</w:t>
      </w:r>
      <w:r w:rsidR="00DA2D4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Поройни валежи – над 60 </w:t>
      </w:r>
      <w:r w:rsidR="002B1ECB" w:rsidRPr="00610B1B">
        <w:rPr>
          <w:rFonts w:ascii="Times New Roman" w:hAnsi="Times New Roman" w:cs="Times New Roman"/>
          <w:sz w:val="24"/>
          <w:szCs w:val="24"/>
          <w:lang w:val="bg-BG"/>
        </w:rPr>
        <w:t>mm</w:t>
      </w:r>
      <w:r w:rsidRPr="00610B1B">
        <w:rPr>
          <w:rFonts w:ascii="Times New Roman" w:hAnsi="Times New Roman" w:cs="Times New Roman"/>
          <w:sz w:val="24"/>
          <w:szCs w:val="24"/>
          <w:lang w:val="bg-BG"/>
        </w:rPr>
        <w:t xml:space="preserve"> по Южното Черноморие се наблюдават средно по 1 случай</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 година</w:t>
      </w:r>
      <w:r w:rsidR="00C94C3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най-често през студеното полугодие. По северното крайбрежие такива поройни валежи се наблюдават по 1-2 случая на десетилетие предимно през топлото полугодие.</w:t>
      </w:r>
    </w:p>
    <w:p w14:paraId="0BA4E6A8" w14:textId="56393E08"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Сравнително чести и опасни са поледиците през студеното полугодие. Неголемите количества преохладени валежи и силния</w:t>
      </w:r>
      <w:r w:rsidR="002B1ECB"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североизточен вятър създават ледени наслоения, които предизвикват значителни щети.</w:t>
      </w:r>
    </w:p>
    <w:p w14:paraId="70904E86" w14:textId="2DC1B6DB" w:rsidR="009D4A0E" w:rsidRPr="00610B1B" w:rsidRDefault="00F02BF7" w:rsidP="00D32D6A">
      <w:pPr>
        <w:pStyle w:val="Heading4"/>
        <w:spacing w:before="0" w:line="276" w:lineRule="auto"/>
        <w:ind w:right="-153"/>
        <w:rPr>
          <w:rFonts w:cs="Times New Roman"/>
        </w:rPr>
      </w:pPr>
      <w:r w:rsidRPr="00610B1B">
        <w:rPr>
          <w:rFonts w:cs="Times New Roman"/>
        </w:rPr>
        <w:t xml:space="preserve">2.2.3.4. </w:t>
      </w:r>
      <w:r w:rsidR="009D4A0E" w:rsidRPr="00610B1B">
        <w:rPr>
          <w:rFonts w:cs="Times New Roman"/>
        </w:rPr>
        <w:t xml:space="preserve">Влажност на въздуха </w:t>
      </w:r>
    </w:p>
    <w:p w14:paraId="7B89F7CB" w14:textId="0F4AC0F4"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Абсолютната влажност на въздуха е по-висока по Черноморието в сравнение с останалата част на страната</w:t>
      </w:r>
      <w:r w:rsidR="00DA2D41" w:rsidRPr="00610B1B">
        <w:rPr>
          <w:rFonts w:ascii="Times New Roman" w:hAnsi="Times New Roman" w:cs="Times New Roman"/>
          <w:sz w:val="24"/>
          <w:szCs w:val="24"/>
          <w:lang w:val="bg-BG"/>
        </w:rPr>
        <w:t xml:space="preserve">, поради </w:t>
      </w:r>
      <w:r w:rsidRPr="00610B1B">
        <w:rPr>
          <w:rFonts w:ascii="Times New Roman" w:hAnsi="Times New Roman" w:cs="Times New Roman"/>
          <w:sz w:val="24"/>
          <w:szCs w:val="24"/>
          <w:lang w:val="bg-BG"/>
        </w:rPr>
        <w:t>наличието на воден басейн, от който се изпаряват значителни водни маси. М</w:t>
      </w:r>
      <w:r w:rsidR="000E64B6" w:rsidRPr="00610B1B">
        <w:rPr>
          <w:rFonts w:ascii="Times New Roman" w:hAnsi="Times New Roman" w:cs="Times New Roman"/>
          <w:sz w:val="24"/>
          <w:szCs w:val="24"/>
          <w:lang w:val="bg-BG"/>
        </w:rPr>
        <w:t>инимумът</w:t>
      </w:r>
      <w:r w:rsidRPr="00610B1B">
        <w:rPr>
          <w:rFonts w:ascii="Times New Roman" w:hAnsi="Times New Roman" w:cs="Times New Roman"/>
          <w:sz w:val="24"/>
          <w:szCs w:val="24"/>
          <w:lang w:val="bg-BG"/>
        </w:rPr>
        <w:t xml:space="preserve"> е през януари и февруари, а максимумът през юли и август. Денонощният ход на </w:t>
      </w:r>
      <w:r w:rsidR="00DA2D41"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бсолютната влажност е с малка амплитуда, като максимумът през всички сезони е в 14 часа.</w:t>
      </w:r>
      <w:r w:rsidR="00DA2D4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Относителната влажност по Черноморието е висока през цялата година</w:t>
      </w:r>
      <w:r w:rsidR="008A031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Дни с относителна влажност на въздуха под 30% не се наблюдават</w:t>
      </w:r>
      <w:r w:rsidR="000E64B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за разлика от вътрешността на страната.</w:t>
      </w:r>
    </w:p>
    <w:p w14:paraId="76F42B4B" w14:textId="481DDE74"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Средната продължителност на засушаванията през лятото и есента е 17-18 дни</w:t>
      </w:r>
      <w:r w:rsidR="008A031B"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а през зимата и пролетта – 14-15 дни. През лятото те са по-чести – 2-3 пъти за сезон срещу 1 път през зимата и пролетта.</w:t>
      </w:r>
      <w:r w:rsidR="00B673D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Често месеците юли, август и септември са изцяло засушливи особено по </w:t>
      </w:r>
      <w:r w:rsidR="00B673D6" w:rsidRPr="00610B1B">
        <w:rPr>
          <w:rFonts w:ascii="Times New Roman" w:hAnsi="Times New Roman" w:cs="Times New Roman"/>
          <w:sz w:val="24"/>
          <w:szCs w:val="24"/>
          <w:lang w:val="bg-BG"/>
        </w:rPr>
        <w:t xml:space="preserve">Южното </w:t>
      </w:r>
      <w:r w:rsidRPr="00610B1B">
        <w:rPr>
          <w:rFonts w:ascii="Times New Roman" w:hAnsi="Times New Roman" w:cs="Times New Roman"/>
          <w:sz w:val="24"/>
          <w:szCs w:val="24"/>
          <w:lang w:val="bg-BG"/>
        </w:rPr>
        <w:t>крайбрежие, а падналите валежи са незначителни.</w:t>
      </w:r>
    </w:p>
    <w:p w14:paraId="102DC287" w14:textId="6DC604AC" w:rsidR="009D4A0E" w:rsidRPr="00610B1B" w:rsidRDefault="00F02BF7" w:rsidP="00D32D6A">
      <w:pPr>
        <w:pStyle w:val="Heading4"/>
        <w:spacing w:before="0" w:line="276" w:lineRule="auto"/>
        <w:ind w:right="-153"/>
        <w:rPr>
          <w:rFonts w:cs="Times New Roman"/>
        </w:rPr>
      </w:pPr>
      <w:r w:rsidRPr="00610B1B">
        <w:rPr>
          <w:rFonts w:cs="Times New Roman"/>
        </w:rPr>
        <w:t xml:space="preserve">2.2.3.5. </w:t>
      </w:r>
      <w:r w:rsidR="009D4A0E" w:rsidRPr="00610B1B">
        <w:rPr>
          <w:rFonts w:cs="Times New Roman"/>
        </w:rPr>
        <w:t>Ветрови режим</w:t>
      </w:r>
    </w:p>
    <w:p w14:paraId="468C6645" w14:textId="7F2F8B8E"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През студеното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полугодие преобладават северните ветрове – от 30 до 43% от случаите с вятър. Тяхната средна скорост е 5-7 </w:t>
      </w:r>
      <w:r w:rsidR="00B673D6"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w:t>
      </w:r>
      <w:r w:rsidR="00B673D6" w:rsidRPr="00610B1B">
        <w:rPr>
          <w:rFonts w:ascii="Times New Roman" w:hAnsi="Times New Roman" w:cs="Times New Roman"/>
          <w:sz w:val="24"/>
          <w:szCs w:val="24"/>
          <w:lang w:val="bg-BG"/>
        </w:rPr>
        <w:t>s</w:t>
      </w:r>
      <w:r w:rsidRPr="00610B1B">
        <w:rPr>
          <w:rFonts w:ascii="Times New Roman" w:hAnsi="Times New Roman" w:cs="Times New Roman"/>
          <w:sz w:val="24"/>
          <w:szCs w:val="24"/>
          <w:lang w:val="bg-BG"/>
        </w:rPr>
        <w:t>. По Черноморието са измерени едни от най-силните ветрове в страната</w:t>
      </w:r>
      <w:r w:rsidR="00B673D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 станциите Калиакра и Галата – 44 </w:t>
      </w:r>
      <w:r w:rsidR="00B673D6"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w:t>
      </w:r>
      <w:r w:rsidR="00B673D6" w:rsidRPr="00610B1B">
        <w:rPr>
          <w:rFonts w:ascii="Times New Roman" w:hAnsi="Times New Roman" w:cs="Times New Roman"/>
          <w:sz w:val="24"/>
          <w:szCs w:val="24"/>
          <w:lang w:val="bg-BG"/>
        </w:rPr>
        <w:t>s</w:t>
      </w:r>
      <w:r w:rsidRPr="00610B1B">
        <w:rPr>
          <w:rFonts w:ascii="Times New Roman" w:hAnsi="Times New Roman" w:cs="Times New Roman"/>
          <w:sz w:val="24"/>
          <w:szCs w:val="24"/>
          <w:lang w:val="bg-BG"/>
        </w:rPr>
        <w:t>. В понижението Варна-Девня се наблюдава падащ вятър – средно около 20 случая годишно</w:t>
      </w:r>
      <w:r w:rsidR="00E73CCD"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През студеното полугодие се наблюдават и южни и югозападни ветрове. При преминаване на средиземноморските циклони на север от Черноморието, се проявяват ветрове с фьонов характер.</w:t>
      </w:r>
      <w:r w:rsidR="00B673D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Честотата на ветровете от други посоки е много по-малка.</w:t>
      </w:r>
    </w:p>
    <w:p w14:paraId="133C4BDF" w14:textId="3A694A8B"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През топлото полугодие преобладаващи са източните ветрове благодарение на дневната бризова циркулация. Характерно за нашето крайбрежие е рядкото проявление на нощния бриз със западна посока </w:t>
      </w:r>
      <w:r w:rsidR="000E64B6"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 xml:space="preserve"> около 40% от нощите. Неговата скорост е 2-3 пъти по-малка -</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между 1 и 2 </w:t>
      </w:r>
      <w:r w:rsidR="00B673D6"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w:t>
      </w:r>
      <w:r w:rsidR="00B673D6" w:rsidRPr="00610B1B">
        <w:rPr>
          <w:rFonts w:ascii="Times New Roman" w:hAnsi="Times New Roman" w:cs="Times New Roman"/>
          <w:sz w:val="24"/>
          <w:szCs w:val="24"/>
          <w:lang w:val="bg-BG"/>
        </w:rPr>
        <w:t>s</w:t>
      </w:r>
      <w:r w:rsidRPr="00610B1B">
        <w:rPr>
          <w:rFonts w:ascii="Times New Roman" w:hAnsi="Times New Roman" w:cs="Times New Roman"/>
          <w:sz w:val="24"/>
          <w:szCs w:val="24"/>
          <w:lang w:val="bg-BG"/>
        </w:rPr>
        <w:t>. След източните ветрове през пролетта и лятото се нареждат ветровете от северната четвърт.</w:t>
      </w:r>
    </w:p>
    <w:p w14:paraId="0B376595" w14:textId="4446271D" w:rsidR="009D4A0E" w:rsidRPr="00610B1B" w:rsidRDefault="009D4A0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Случаите с вятър по Черноморието - 85-90% от всички денонощия, значително надвишават тези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 останалата извънпланинска част на страната – 55-60%. Преобладаващите посоки на вятъра са северната и североизточната, като средната скорост </w:t>
      </w:r>
      <w:r w:rsidRPr="00610B1B">
        <w:rPr>
          <w:rFonts w:ascii="Times New Roman" w:hAnsi="Times New Roman" w:cs="Times New Roman"/>
          <w:sz w:val="24"/>
          <w:szCs w:val="24"/>
          <w:lang w:val="bg-BG"/>
        </w:rPr>
        <w:lastRenderedPageBreak/>
        <w:t>е около 2 пъти по-висока от средната за страната. Поради това, въпреки сравнително високото термично ниво през зимата, субективното усещане е за по-ниски температури.</w:t>
      </w:r>
    </w:p>
    <w:p w14:paraId="1F1BC66B" w14:textId="00C202C7" w:rsidR="009D4A0E" w:rsidRPr="00610B1B" w:rsidRDefault="00F02BF7" w:rsidP="00D32D6A">
      <w:pPr>
        <w:pStyle w:val="Heading4"/>
        <w:spacing w:before="0" w:line="276" w:lineRule="auto"/>
        <w:ind w:right="-153"/>
        <w:rPr>
          <w:rFonts w:cs="Times New Roman"/>
        </w:rPr>
      </w:pPr>
      <w:r w:rsidRPr="00610B1B">
        <w:rPr>
          <w:rFonts w:cs="Times New Roman"/>
        </w:rPr>
        <w:t>2.2.3.</w:t>
      </w:r>
      <w:r w:rsidR="00E73CCD" w:rsidRPr="00610B1B">
        <w:rPr>
          <w:rFonts w:cs="Times New Roman"/>
        </w:rPr>
        <w:t>6</w:t>
      </w:r>
      <w:r w:rsidRPr="00610B1B">
        <w:rPr>
          <w:rFonts w:cs="Times New Roman"/>
        </w:rPr>
        <w:t xml:space="preserve">. </w:t>
      </w:r>
      <w:r w:rsidR="009D4A0E" w:rsidRPr="00610B1B">
        <w:rPr>
          <w:rFonts w:cs="Times New Roman"/>
        </w:rPr>
        <w:t>Климатични промени</w:t>
      </w:r>
    </w:p>
    <w:p w14:paraId="3717D324" w14:textId="5EF125F9" w:rsidR="009D4A0E" w:rsidRPr="00610B1B" w:rsidRDefault="009D4A0E" w:rsidP="00D32D6A">
      <w:pPr>
        <w:spacing w:after="120"/>
        <w:ind w:right="-153"/>
        <w:jc w:val="both"/>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 xml:space="preserve">Сред най-важните предизвикателства пред бъдещото развитие на Черноморския регион е адаптацията към </w:t>
      </w:r>
      <w:r w:rsidR="00B673D6" w:rsidRPr="00610B1B">
        <w:rPr>
          <w:rFonts w:ascii="Times New Roman" w:hAnsi="Times New Roman" w:cs="Times New Roman"/>
          <w:sz w:val="24"/>
          <w:szCs w:val="24"/>
          <w:lang w:val="bg-BG"/>
        </w:rPr>
        <w:t>глобални</w:t>
      </w:r>
      <w:r w:rsidR="00FB035B" w:rsidRPr="00610B1B">
        <w:rPr>
          <w:rFonts w:ascii="Times New Roman" w:hAnsi="Times New Roman" w:cs="Times New Roman"/>
          <w:sz w:val="24"/>
          <w:szCs w:val="24"/>
          <w:lang w:val="bg-BG"/>
        </w:rPr>
        <w:t>те</w:t>
      </w:r>
      <w:r w:rsidR="00B673D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климатични промени. По данни на </w:t>
      </w:r>
      <w:bookmarkStart w:id="32" w:name="_Hlk32840237"/>
      <w:r w:rsidRPr="00610B1B">
        <w:rPr>
          <w:rFonts w:ascii="Times New Roman" w:hAnsi="Times New Roman" w:cs="Times New Roman"/>
          <w:sz w:val="24"/>
          <w:szCs w:val="24"/>
          <w:lang w:val="bg-BG"/>
        </w:rPr>
        <w:t>НИМХ филиал Варна</w:t>
      </w:r>
      <w:bookmarkEnd w:id="32"/>
      <w:r w:rsidRPr="00610B1B">
        <w:rPr>
          <w:rStyle w:val="Hyperlink"/>
          <w:rFonts w:ascii="Times New Roman" w:hAnsi="Times New Roman" w:cs="Times New Roman"/>
          <w:sz w:val="24"/>
          <w:szCs w:val="24"/>
          <w:u w:val="none"/>
          <w:lang w:val="bg-BG"/>
        </w:rPr>
        <w:t xml:space="preserve"> </w:t>
      </w:r>
      <w:r w:rsidRPr="00610B1B">
        <w:rPr>
          <w:rStyle w:val="Hyperlink"/>
          <w:rFonts w:ascii="Times New Roman" w:hAnsi="Times New Roman" w:cs="Times New Roman"/>
          <w:color w:val="000000" w:themeColor="text1"/>
          <w:sz w:val="24"/>
          <w:szCs w:val="24"/>
          <w:u w:val="none"/>
          <w:lang w:val="bg-BG"/>
        </w:rPr>
        <w:t>за периода 1991-2011</w:t>
      </w:r>
      <w:r w:rsidR="00B673D6" w:rsidRPr="00610B1B">
        <w:rPr>
          <w:rStyle w:val="Hyperlink"/>
          <w:rFonts w:ascii="Times New Roman" w:hAnsi="Times New Roman" w:cs="Times New Roman"/>
          <w:color w:val="000000" w:themeColor="text1"/>
          <w:sz w:val="24"/>
          <w:szCs w:val="24"/>
          <w:u w:val="none"/>
          <w:lang w:val="bg-BG"/>
        </w:rPr>
        <w:t xml:space="preserve"> </w:t>
      </w:r>
      <w:r w:rsidRPr="00610B1B">
        <w:rPr>
          <w:rStyle w:val="Hyperlink"/>
          <w:rFonts w:ascii="Times New Roman" w:hAnsi="Times New Roman" w:cs="Times New Roman"/>
          <w:color w:val="000000" w:themeColor="text1"/>
          <w:sz w:val="24"/>
          <w:szCs w:val="24"/>
          <w:u w:val="none"/>
          <w:lang w:val="bg-BG"/>
        </w:rPr>
        <w:t>г. за станция Варна са настъпили промени</w:t>
      </w:r>
      <w:r w:rsidR="00B673D6" w:rsidRPr="00610B1B">
        <w:rPr>
          <w:rStyle w:val="Hyperlink"/>
          <w:rFonts w:ascii="Times New Roman" w:hAnsi="Times New Roman" w:cs="Times New Roman"/>
          <w:color w:val="000000" w:themeColor="text1"/>
          <w:sz w:val="24"/>
          <w:szCs w:val="24"/>
          <w:u w:val="none"/>
          <w:lang w:val="bg-BG"/>
        </w:rPr>
        <w:t xml:space="preserve"> в температурите и валежите.</w:t>
      </w:r>
      <w:r w:rsidR="002D3E58" w:rsidRPr="00610B1B">
        <w:rPr>
          <w:rStyle w:val="Hyperlink"/>
          <w:rFonts w:ascii="Times New Roman" w:hAnsi="Times New Roman" w:cs="Times New Roman"/>
          <w:color w:val="000000" w:themeColor="text1"/>
          <w:sz w:val="24"/>
          <w:szCs w:val="24"/>
          <w:u w:val="none"/>
          <w:lang w:val="bg-BG"/>
        </w:rPr>
        <w:t xml:space="preserve"> </w:t>
      </w:r>
      <w:r w:rsidRPr="00610B1B">
        <w:rPr>
          <w:rStyle w:val="Hyperlink"/>
          <w:rFonts w:ascii="Times New Roman" w:hAnsi="Times New Roman" w:cs="Times New Roman"/>
          <w:color w:val="000000" w:themeColor="text1"/>
          <w:sz w:val="24"/>
          <w:szCs w:val="24"/>
          <w:u w:val="none"/>
          <w:lang w:val="bg-BG"/>
        </w:rPr>
        <w:t>Общо</w:t>
      </w:r>
      <w:r w:rsidRPr="00610B1B">
        <w:rPr>
          <w:rFonts w:ascii="Times New Roman" w:hAnsi="Times New Roman" w:cs="Times New Roman"/>
          <w:color w:val="000000"/>
          <w:sz w:val="24"/>
          <w:szCs w:val="24"/>
          <w:lang w:val="bg-BG"/>
        </w:rPr>
        <w:t xml:space="preserve"> 14 години от последните 20 са с по-висока средна годишна температура от климатичната норма, която е 12°С. В сравнение с предходните години, летата и зимите стават все по-топли, а есента по-хладна.</w:t>
      </w:r>
    </w:p>
    <w:p w14:paraId="01E51BC4" w14:textId="0DBE024C" w:rsidR="00354EFB" w:rsidRPr="00610B1B" w:rsidRDefault="00354EFB" w:rsidP="00D32D6A">
      <w:pPr>
        <w:pStyle w:val="Caption"/>
        <w:spacing w:before="0" w:line="276" w:lineRule="auto"/>
        <w:ind w:right="-153"/>
        <w:jc w:val="both"/>
        <w:rPr>
          <w:rFonts w:cs="Times New Roman"/>
        </w:rPr>
      </w:pPr>
      <w:r w:rsidRPr="00610B1B">
        <w:rPr>
          <w:rFonts w:cs="Times New Roman"/>
          <w:color w:val="000000" w:themeColor="text1"/>
        </w:rPr>
        <w:t xml:space="preserve">В района на гр. Варна годишните количества на валежите се колебаят между 300 и 700 mm. За последните 20 години, преобладават тези с по-големи количества от климатичната норма – 474 mm. </w:t>
      </w:r>
      <w:r w:rsidRPr="00610B1B">
        <w:rPr>
          <w:rFonts w:cs="Times New Roman"/>
        </w:rPr>
        <w:t xml:space="preserve">След анализа на снежната покривка и дните със сняг за последните 20 зимни сезона за гр. Варна, подреждането е следното: </w:t>
      </w:r>
      <w:r w:rsidR="00F85B17" w:rsidRPr="00610B1B">
        <w:rPr>
          <w:rFonts w:cs="Times New Roman"/>
        </w:rPr>
        <w:t>най</w:t>
      </w:r>
      <w:r w:rsidRPr="00610B1B">
        <w:rPr>
          <w:rFonts w:cs="Times New Roman"/>
        </w:rPr>
        <w:t xml:space="preserve">-снежна зима е 2009-2010 г., следвана от 2001-2002 г., 2004–2005 г. и т.н. Зимата на 2006-2007 г. е с най-незначителна снежна покривка. Най-дебел сняг от 50 cm е измерен през февруари 2005 г. </w:t>
      </w:r>
    </w:p>
    <w:p w14:paraId="4321D674" w14:textId="51FF06FF" w:rsidR="002F261E" w:rsidRPr="00610B1B" w:rsidRDefault="002F261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Аналогични промени се наблюдават и в района на гр. Бургас – повишаване на броя на дните с по-високи стойности на средно годишната температура от климатичната норма, по-високи температури през лятото и съответно по-продължителни и топли лято и зима, а по-студена есен, по-голям брой дни с валежи над средните норми, </w:t>
      </w:r>
      <w:r w:rsidR="00D248A1" w:rsidRPr="00610B1B">
        <w:rPr>
          <w:rFonts w:ascii="Times New Roman" w:hAnsi="Times New Roman" w:cs="Times New Roman"/>
          <w:sz w:val="24"/>
          <w:szCs w:val="24"/>
          <w:lang w:val="bg-BG"/>
        </w:rPr>
        <w:t xml:space="preserve">по-малък брой дни със снежна покривка, </w:t>
      </w:r>
      <w:r w:rsidRPr="00610B1B">
        <w:rPr>
          <w:rFonts w:ascii="Times New Roman" w:hAnsi="Times New Roman" w:cs="Times New Roman"/>
          <w:sz w:val="24"/>
          <w:szCs w:val="24"/>
          <w:lang w:val="bg-BG"/>
        </w:rPr>
        <w:t xml:space="preserve">по-голям брой наводнения. </w:t>
      </w:r>
    </w:p>
    <w:p w14:paraId="4D97C02D" w14:textId="0E49DFF8" w:rsidR="009D4A0E" w:rsidRPr="00610B1B" w:rsidRDefault="009D4A0E" w:rsidP="00D32D6A">
      <w:pPr>
        <w:spacing w:after="120"/>
        <w:ind w:right="-153"/>
        <w:jc w:val="both"/>
        <w:rPr>
          <w:rFonts w:ascii="Times New Roman" w:hAnsi="Times New Roman" w:cs="Times New Roman"/>
          <w:sz w:val="24"/>
          <w:szCs w:val="24"/>
          <w:vertAlign w:val="superscript"/>
          <w:lang w:val="bg-BG"/>
        </w:rPr>
      </w:pPr>
      <w:r w:rsidRPr="00610B1B">
        <w:rPr>
          <w:rFonts w:ascii="Times New Roman" w:hAnsi="Times New Roman" w:cs="Times New Roman"/>
          <w:sz w:val="24"/>
          <w:szCs w:val="24"/>
          <w:lang w:val="bg-BG"/>
        </w:rPr>
        <w:t>Извършено</w:t>
      </w:r>
      <w:r w:rsidR="00FF0539"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климатично моделиране по райони за басейново управление по два сценария – „оптимистичен“ (RCP4.5) и „песимистичен „(RCP8.5) за очаквано изменение на средните температури и количество валежи за три периода: първи период с хоризонт 2027 г., </w:t>
      </w:r>
      <w:r w:rsidR="00FF0539" w:rsidRPr="00610B1B">
        <w:rPr>
          <w:rFonts w:ascii="Times New Roman" w:hAnsi="Times New Roman" w:cs="Times New Roman"/>
          <w:sz w:val="24"/>
          <w:szCs w:val="24"/>
          <w:lang w:val="bg-BG"/>
        </w:rPr>
        <w:t>втори</w:t>
      </w:r>
      <w:r w:rsidRPr="00610B1B">
        <w:rPr>
          <w:rFonts w:ascii="Times New Roman" w:hAnsi="Times New Roman" w:cs="Times New Roman"/>
          <w:sz w:val="24"/>
          <w:szCs w:val="24"/>
          <w:lang w:val="bg-BG"/>
        </w:rPr>
        <w:t xml:space="preserve"> период 2021-2050 г. и </w:t>
      </w:r>
      <w:r w:rsidR="00FF0539" w:rsidRPr="00610B1B">
        <w:rPr>
          <w:rFonts w:ascii="Times New Roman" w:hAnsi="Times New Roman" w:cs="Times New Roman"/>
          <w:sz w:val="24"/>
          <w:szCs w:val="24"/>
          <w:lang w:val="bg-BG"/>
        </w:rPr>
        <w:t xml:space="preserve">трети - </w:t>
      </w:r>
      <w:r w:rsidRPr="00610B1B">
        <w:rPr>
          <w:rFonts w:ascii="Times New Roman" w:hAnsi="Times New Roman" w:cs="Times New Roman"/>
          <w:sz w:val="24"/>
          <w:szCs w:val="24"/>
          <w:lang w:val="bg-BG"/>
        </w:rPr>
        <w:t xml:space="preserve">2071-2100 г. </w:t>
      </w:r>
      <w:r w:rsidR="00FF0539" w:rsidRPr="00610B1B">
        <w:rPr>
          <w:rFonts w:ascii="Times New Roman" w:hAnsi="Times New Roman" w:cs="Times New Roman"/>
          <w:sz w:val="24"/>
          <w:szCs w:val="24"/>
          <w:lang w:val="bg-BG"/>
        </w:rPr>
        <w:t>показва</w:t>
      </w:r>
      <w:r w:rsidRPr="00610B1B">
        <w:rPr>
          <w:rFonts w:ascii="Times New Roman" w:hAnsi="Times New Roman" w:cs="Times New Roman"/>
          <w:sz w:val="24"/>
          <w:szCs w:val="24"/>
          <w:vertAlign w:val="superscript"/>
          <w:lang w:val="bg-BG"/>
        </w:rPr>
        <w:t xml:space="preserve"> </w:t>
      </w:r>
      <w:r w:rsidRPr="00610B1B">
        <w:rPr>
          <w:rFonts w:ascii="Times New Roman" w:hAnsi="Times New Roman" w:cs="Times New Roman"/>
          <w:sz w:val="24"/>
          <w:szCs w:val="24"/>
          <w:lang w:val="bg-BG"/>
        </w:rPr>
        <w:t>повишена уязвимост на Черноморието от засушаване и суши, екстремни температури, горещи вълни и наводнения. В резултат от климатичните промени се очаква да нараснат случаите с интензивни валежи, които предизвикват внезапни наводнения и щети на фона на общото затопляне и засушаване в региона. Моделите показват нарастване на количеството на валежите с големи регионални различия.</w:t>
      </w:r>
    </w:p>
    <w:p w14:paraId="0E4BFF40" w14:textId="25444CFD" w:rsidR="009D4A0E" w:rsidRPr="00610B1B" w:rsidRDefault="00F02BF7" w:rsidP="00D32D6A">
      <w:pPr>
        <w:pStyle w:val="Heading4"/>
        <w:spacing w:before="0" w:line="276" w:lineRule="auto"/>
        <w:ind w:right="-153"/>
        <w:rPr>
          <w:rFonts w:cs="Times New Roman"/>
        </w:rPr>
      </w:pPr>
      <w:r w:rsidRPr="00610B1B">
        <w:rPr>
          <w:rFonts w:cs="Times New Roman"/>
        </w:rPr>
        <w:t xml:space="preserve">2.2.3.8. </w:t>
      </w:r>
      <w:r w:rsidR="009D4A0E" w:rsidRPr="00610B1B">
        <w:rPr>
          <w:rFonts w:cs="Times New Roman"/>
        </w:rPr>
        <w:t>Райони</w:t>
      </w:r>
      <w:r w:rsidR="0025588B" w:rsidRPr="00610B1B">
        <w:rPr>
          <w:rFonts w:cs="Times New Roman"/>
        </w:rPr>
        <w:t>,</w:t>
      </w:r>
      <w:r w:rsidR="009D4A0E" w:rsidRPr="00610B1B">
        <w:rPr>
          <w:rFonts w:cs="Times New Roman"/>
        </w:rPr>
        <w:t xml:space="preserve"> подложени на най-силно потенциално въздействие</w:t>
      </w:r>
    </w:p>
    <w:p w14:paraId="148BFE10" w14:textId="54461189" w:rsidR="009D4A0E" w:rsidRPr="00610B1B" w:rsidRDefault="002F2112" w:rsidP="00D32D6A">
      <w:pPr>
        <w:autoSpaceDE w:val="0"/>
        <w:autoSpaceDN w:val="0"/>
        <w:adjustRightInd w:val="0"/>
        <w:spacing w:after="120"/>
        <w:ind w:right="-153"/>
        <w:jc w:val="both"/>
        <w:rPr>
          <w:rFonts w:ascii="Times New Roman" w:eastAsia="Times New Roman,Bold" w:hAnsi="Times New Roman" w:cs="Times New Roman"/>
          <w:sz w:val="24"/>
          <w:szCs w:val="24"/>
          <w:lang w:val="bg-BG"/>
        </w:rPr>
      </w:pPr>
      <w:r w:rsidRPr="00610B1B">
        <w:rPr>
          <w:rFonts w:ascii="Times New Roman" w:eastAsia="Times New Roman,Bold" w:hAnsi="Times New Roman" w:cs="Times New Roman"/>
          <w:sz w:val="24"/>
          <w:szCs w:val="24"/>
          <w:lang w:val="bg-BG"/>
        </w:rPr>
        <w:t>За</w:t>
      </w:r>
      <w:r w:rsidR="009D4A0E" w:rsidRPr="00610B1B">
        <w:rPr>
          <w:rFonts w:ascii="Times New Roman" w:eastAsia="Times New Roman,Bold" w:hAnsi="Times New Roman" w:cs="Times New Roman"/>
          <w:sz w:val="24"/>
          <w:szCs w:val="24"/>
          <w:lang w:val="bg-BG"/>
        </w:rPr>
        <w:t xml:space="preserve"> приетия </w:t>
      </w:r>
      <w:r w:rsidRPr="00610B1B">
        <w:rPr>
          <w:rFonts w:ascii="Times New Roman" w:eastAsia="Times New Roman,Bold" w:hAnsi="Times New Roman" w:cs="Times New Roman"/>
          <w:sz w:val="24"/>
          <w:szCs w:val="24"/>
          <w:lang w:val="bg-BG"/>
        </w:rPr>
        <w:t xml:space="preserve">в ПУРБ за БДЧР </w:t>
      </w:r>
      <w:r w:rsidR="009D4A0E" w:rsidRPr="00610B1B">
        <w:rPr>
          <w:rFonts w:ascii="Times New Roman" w:eastAsia="Times New Roman,Bold" w:hAnsi="Times New Roman" w:cs="Times New Roman"/>
          <w:sz w:val="24"/>
          <w:szCs w:val="24"/>
          <w:lang w:val="bg-BG"/>
        </w:rPr>
        <w:t>работен сценарий на климатични промени - RCP8.5 с плавно нарастващи емисии на парникови газове във времето (най-песимистичен сценарий), прогнозираните тенденции за изменението за оттока по сезони, проявени като най-интензивни за периода 2071-2100 г., са следните:</w:t>
      </w:r>
    </w:p>
    <w:p w14:paraId="566B8ABF" w14:textId="77777777" w:rsidR="002419AD" w:rsidRPr="00610B1B" w:rsidRDefault="009D4A0E" w:rsidP="00B46189">
      <w:pPr>
        <w:pStyle w:val="ListParagraph"/>
        <w:numPr>
          <w:ilvl w:val="0"/>
          <w:numId w:val="46"/>
        </w:numPr>
        <w:autoSpaceDE w:val="0"/>
        <w:autoSpaceDN w:val="0"/>
        <w:adjustRightInd w:val="0"/>
        <w:spacing w:after="120"/>
        <w:ind w:right="-153"/>
        <w:contextualSpacing w:val="0"/>
        <w:jc w:val="both"/>
        <w:rPr>
          <w:rFonts w:ascii="Times New Roman" w:eastAsia="Times New Roman,Bold" w:hAnsi="Times New Roman" w:cs="Times New Roman"/>
          <w:sz w:val="24"/>
          <w:szCs w:val="24"/>
          <w:lang w:val="bg-BG"/>
        </w:rPr>
      </w:pPr>
      <w:r w:rsidRPr="00610B1B">
        <w:rPr>
          <w:rFonts w:ascii="Times New Roman" w:eastAsia="Times New Roman,Bold" w:hAnsi="Times New Roman" w:cs="Times New Roman"/>
          <w:sz w:val="24"/>
          <w:szCs w:val="24"/>
          <w:lang w:val="bg-BG"/>
        </w:rPr>
        <w:t xml:space="preserve">На север от Стара планина за поречията на Черноморски Добруджански реки, р. Провадийска и р. Камчия прогнозата за пролетния отток </w:t>
      </w:r>
      <w:r w:rsidR="00F85B17" w:rsidRPr="00610B1B">
        <w:rPr>
          <w:rFonts w:ascii="Times New Roman" w:eastAsia="Times New Roman,Bold" w:hAnsi="Times New Roman" w:cs="Times New Roman"/>
          <w:sz w:val="24"/>
          <w:szCs w:val="24"/>
          <w:lang w:val="bg-BG"/>
        </w:rPr>
        <w:t xml:space="preserve">е </w:t>
      </w:r>
      <w:r w:rsidRPr="00610B1B">
        <w:rPr>
          <w:rFonts w:ascii="Times New Roman" w:eastAsia="Times New Roman,Bold" w:hAnsi="Times New Roman" w:cs="Times New Roman"/>
          <w:sz w:val="24"/>
          <w:szCs w:val="24"/>
          <w:lang w:val="bg-BG"/>
        </w:rPr>
        <w:t>да намалее до -19%, летния до -38%, есенния до -9%, а зимния до -17%.</w:t>
      </w:r>
    </w:p>
    <w:p w14:paraId="65D492D6" w14:textId="6FA0FFB2" w:rsidR="002419AD" w:rsidRPr="00610B1B" w:rsidRDefault="009D4A0E" w:rsidP="00B46189">
      <w:pPr>
        <w:pStyle w:val="ListParagraph"/>
        <w:numPr>
          <w:ilvl w:val="0"/>
          <w:numId w:val="46"/>
        </w:numPr>
        <w:autoSpaceDE w:val="0"/>
        <w:autoSpaceDN w:val="0"/>
        <w:adjustRightInd w:val="0"/>
        <w:spacing w:after="120"/>
        <w:ind w:right="-153"/>
        <w:contextualSpacing w:val="0"/>
        <w:jc w:val="both"/>
        <w:rPr>
          <w:rFonts w:ascii="Times New Roman" w:eastAsia="Times New Roman,Bold" w:hAnsi="Times New Roman" w:cs="Times New Roman"/>
          <w:sz w:val="24"/>
          <w:szCs w:val="24"/>
          <w:lang w:val="bg-BG"/>
        </w:rPr>
      </w:pPr>
      <w:r w:rsidRPr="00610B1B">
        <w:rPr>
          <w:rFonts w:ascii="Times New Roman" w:eastAsia="Times New Roman,Bold" w:hAnsi="Times New Roman" w:cs="Times New Roman"/>
          <w:sz w:val="24"/>
          <w:szCs w:val="24"/>
          <w:lang w:val="bg-BG"/>
        </w:rPr>
        <w:t>В района на Севернобургаски реки според прогнозата пролетният и летният отток намаляват значително. На север от Стара планина за поречията на р. Вая, р. Двойница, р. Панаирдере и р. Ф</w:t>
      </w:r>
      <w:r w:rsidR="00D93652" w:rsidRPr="00610B1B">
        <w:rPr>
          <w:rFonts w:ascii="Times New Roman" w:eastAsia="Times New Roman,Bold" w:hAnsi="Times New Roman" w:cs="Times New Roman"/>
          <w:sz w:val="24"/>
          <w:szCs w:val="24"/>
          <w:lang w:val="bg-BG"/>
        </w:rPr>
        <w:t>ъ</w:t>
      </w:r>
      <w:r w:rsidRPr="00610B1B">
        <w:rPr>
          <w:rFonts w:ascii="Times New Roman" w:eastAsia="Times New Roman,Bold" w:hAnsi="Times New Roman" w:cs="Times New Roman"/>
          <w:sz w:val="24"/>
          <w:szCs w:val="24"/>
          <w:lang w:val="bg-BG"/>
        </w:rPr>
        <w:t>нд</w:t>
      </w:r>
      <w:r w:rsidR="00D93652" w:rsidRPr="00610B1B">
        <w:rPr>
          <w:rFonts w:ascii="Times New Roman" w:eastAsia="Times New Roman,Bold" w:hAnsi="Times New Roman" w:cs="Times New Roman"/>
          <w:sz w:val="24"/>
          <w:szCs w:val="24"/>
          <w:lang w:val="bg-BG"/>
        </w:rPr>
        <w:t>ъ</w:t>
      </w:r>
      <w:r w:rsidRPr="00610B1B">
        <w:rPr>
          <w:rFonts w:ascii="Times New Roman" w:eastAsia="Times New Roman,Bold" w:hAnsi="Times New Roman" w:cs="Times New Roman"/>
          <w:sz w:val="24"/>
          <w:szCs w:val="24"/>
          <w:lang w:val="bg-BG"/>
        </w:rPr>
        <w:t xml:space="preserve">клийска прогнозата за изменение на оттока е </w:t>
      </w:r>
      <w:r w:rsidRPr="00610B1B">
        <w:rPr>
          <w:rFonts w:ascii="Times New Roman" w:eastAsia="Times New Roman,Bold" w:hAnsi="Times New Roman" w:cs="Times New Roman"/>
          <w:sz w:val="24"/>
          <w:szCs w:val="24"/>
          <w:lang w:val="bg-BG"/>
        </w:rPr>
        <w:lastRenderedPageBreak/>
        <w:t>пролетният отток да намалее до -19%, летният до -38%, но също така намаляват есенният отток до -9% и зимният до -17%. На юг от Стара планина прогнозата за изменение на оттока е пролетният отток да намалее до -30%, а летният до -35%. Очаква се есенният отток да се увеличи до 9%, а зимният до 48%.</w:t>
      </w:r>
    </w:p>
    <w:p w14:paraId="4141F823" w14:textId="088EB579" w:rsidR="009D4A0E" w:rsidRPr="00610B1B" w:rsidRDefault="009D4A0E" w:rsidP="00B46189">
      <w:pPr>
        <w:pStyle w:val="ListParagraph"/>
        <w:numPr>
          <w:ilvl w:val="0"/>
          <w:numId w:val="46"/>
        </w:numPr>
        <w:autoSpaceDE w:val="0"/>
        <w:autoSpaceDN w:val="0"/>
        <w:adjustRightInd w:val="0"/>
        <w:spacing w:after="120"/>
        <w:ind w:right="-153"/>
        <w:contextualSpacing w:val="0"/>
        <w:jc w:val="both"/>
        <w:rPr>
          <w:rFonts w:ascii="Times New Roman" w:eastAsia="Times New Roman,Bold" w:hAnsi="Times New Roman" w:cs="Times New Roman"/>
          <w:sz w:val="24"/>
          <w:szCs w:val="24"/>
          <w:lang w:val="bg-BG"/>
        </w:rPr>
      </w:pPr>
      <w:r w:rsidRPr="00610B1B">
        <w:rPr>
          <w:rFonts w:ascii="Times New Roman" w:eastAsia="Times New Roman,Bold" w:hAnsi="Times New Roman" w:cs="Times New Roman"/>
          <w:sz w:val="24"/>
          <w:szCs w:val="24"/>
          <w:lang w:val="bg-BG"/>
        </w:rPr>
        <w:t xml:space="preserve">В района на Мандренски </w:t>
      </w:r>
      <w:r w:rsidR="002F2112" w:rsidRPr="00610B1B">
        <w:rPr>
          <w:rFonts w:ascii="Times New Roman" w:eastAsia="Times New Roman,Bold" w:hAnsi="Times New Roman" w:cs="Times New Roman"/>
          <w:sz w:val="24"/>
          <w:szCs w:val="24"/>
          <w:lang w:val="bg-BG"/>
        </w:rPr>
        <w:t>и</w:t>
      </w:r>
      <w:r w:rsidRPr="00610B1B">
        <w:rPr>
          <w:rFonts w:ascii="Times New Roman" w:eastAsia="Times New Roman,Bold" w:hAnsi="Times New Roman" w:cs="Times New Roman"/>
          <w:sz w:val="24"/>
          <w:szCs w:val="24"/>
          <w:lang w:val="bg-BG"/>
        </w:rPr>
        <w:t xml:space="preserve"> Южнобургаски реки, р. Велека и р. Резовска прогнозата за изменение на оттока е пролетният отток да намалее до 30%, летният до -35%. Очаква се</w:t>
      </w:r>
      <w:r w:rsidR="002F2112" w:rsidRPr="00610B1B">
        <w:rPr>
          <w:rFonts w:ascii="Times New Roman" w:eastAsia="Times New Roman,Bold" w:hAnsi="Times New Roman" w:cs="Times New Roman"/>
          <w:sz w:val="24"/>
          <w:szCs w:val="24"/>
          <w:lang w:val="bg-BG"/>
        </w:rPr>
        <w:t xml:space="preserve"> </w:t>
      </w:r>
      <w:r w:rsidRPr="00610B1B">
        <w:rPr>
          <w:rFonts w:ascii="Times New Roman" w:eastAsia="Times New Roman,Bold" w:hAnsi="Times New Roman" w:cs="Times New Roman"/>
          <w:sz w:val="24"/>
          <w:szCs w:val="24"/>
          <w:lang w:val="bg-BG"/>
        </w:rPr>
        <w:t>есенният отток да се увеличи до 9%, а зимният до 48%.</w:t>
      </w:r>
    </w:p>
    <w:p w14:paraId="177F1C67" w14:textId="7B97C9B3" w:rsidR="009D4A0E" w:rsidRPr="00610B1B" w:rsidRDefault="009D4A0E" w:rsidP="00D32D6A">
      <w:pPr>
        <w:autoSpaceDE w:val="0"/>
        <w:autoSpaceDN w:val="0"/>
        <w:adjustRightInd w:val="0"/>
        <w:spacing w:after="120"/>
        <w:ind w:right="-153"/>
        <w:jc w:val="both"/>
        <w:rPr>
          <w:rFonts w:ascii="Times New Roman" w:hAnsi="Times New Roman" w:cs="Times New Roman"/>
          <w:color w:val="000000"/>
          <w:sz w:val="24"/>
          <w:szCs w:val="24"/>
          <w:lang w:val="bg-BG"/>
        </w:rPr>
      </w:pPr>
      <w:r w:rsidRPr="00610B1B">
        <w:rPr>
          <w:rFonts w:ascii="Times New Roman" w:hAnsi="Times New Roman" w:cs="Times New Roman"/>
          <w:color w:val="000000"/>
          <w:sz w:val="24"/>
          <w:szCs w:val="24"/>
          <w:lang w:val="bg-BG"/>
        </w:rPr>
        <w:t xml:space="preserve">Съгласно подхода за оценка на въздействието </w:t>
      </w:r>
      <w:r w:rsidR="005170B1" w:rsidRPr="00610B1B">
        <w:rPr>
          <w:rFonts w:ascii="Times New Roman" w:hAnsi="Times New Roman" w:cs="Times New Roman"/>
          <w:color w:val="000000"/>
          <w:sz w:val="24"/>
          <w:szCs w:val="24"/>
          <w:lang w:val="bg-BG"/>
        </w:rPr>
        <w:t xml:space="preserve">на </w:t>
      </w:r>
      <w:r w:rsidRPr="00610B1B">
        <w:rPr>
          <w:rFonts w:ascii="Times New Roman" w:hAnsi="Times New Roman" w:cs="Times New Roman"/>
          <w:color w:val="000000"/>
          <w:sz w:val="24"/>
          <w:szCs w:val="24"/>
          <w:lang w:val="bg-BG"/>
        </w:rPr>
        <w:t>климат</w:t>
      </w:r>
      <w:r w:rsidR="005170B1" w:rsidRPr="00610B1B">
        <w:rPr>
          <w:rFonts w:ascii="Times New Roman" w:hAnsi="Times New Roman" w:cs="Times New Roman"/>
          <w:color w:val="000000"/>
          <w:sz w:val="24"/>
          <w:szCs w:val="24"/>
          <w:lang w:val="bg-BG"/>
        </w:rPr>
        <w:t>ичните промени</w:t>
      </w:r>
      <w:r w:rsidRPr="00610B1B">
        <w:rPr>
          <w:rFonts w:ascii="Times New Roman" w:hAnsi="Times New Roman" w:cs="Times New Roman"/>
          <w:color w:val="000000"/>
          <w:sz w:val="24"/>
          <w:szCs w:val="24"/>
          <w:lang w:val="bg-BG"/>
        </w:rPr>
        <w:t xml:space="preserve"> върху количественото състояние на подземните </w:t>
      </w:r>
      <w:r w:rsidR="002419AD" w:rsidRPr="00610B1B">
        <w:rPr>
          <w:rFonts w:ascii="Times New Roman" w:hAnsi="Times New Roman" w:cs="Times New Roman"/>
          <w:sz w:val="24"/>
          <w:szCs w:val="24"/>
          <w:lang w:val="bg-BG"/>
        </w:rPr>
        <w:t xml:space="preserve">води </w:t>
      </w:r>
      <w:r w:rsidRPr="00610B1B">
        <w:rPr>
          <w:rFonts w:ascii="Times New Roman" w:hAnsi="Times New Roman" w:cs="Times New Roman"/>
          <w:color w:val="000000"/>
          <w:sz w:val="24"/>
          <w:szCs w:val="24"/>
          <w:lang w:val="bg-BG"/>
        </w:rPr>
        <w:t xml:space="preserve">от Басейнова дирекция </w:t>
      </w:r>
      <w:r w:rsidR="005170B1" w:rsidRPr="00610B1B">
        <w:rPr>
          <w:rFonts w:ascii="Times New Roman" w:hAnsi="Times New Roman" w:cs="Times New Roman"/>
          <w:color w:val="000000"/>
          <w:sz w:val="24"/>
          <w:szCs w:val="24"/>
          <w:lang w:val="bg-BG"/>
        </w:rPr>
        <w:t xml:space="preserve">е определен </w:t>
      </w:r>
      <w:r w:rsidRPr="00610B1B">
        <w:rPr>
          <w:rFonts w:ascii="Times New Roman" w:hAnsi="Times New Roman" w:cs="Times New Roman"/>
          <w:color w:val="000000"/>
          <w:sz w:val="24"/>
          <w:szCs w:val="24"/>
          <w:lang w:val="bg-BG"/>
        </w:rPr>
        <w:t>процент на намаляване на средномногогодишното подхранване</w:t>
      </w:r>
      <w:r w:rsidR="002F2112" w:rsidRPr="00610B1B">
        <w:rPr>
          <w:rFonts w:ascii="Times New Roman" w:hAnsi="Times New Roman" w:cs="Times New Roman"/>
          <w:color w:val="000000"/>
          <w:sz w:val="24"/>
          <w:szCs w:val="24"/>
          <w:lang w:val="bg-BG"/>
        </w:rPr>
        <w:t xml:space="preserve"> </w:t>
      </w:r>
      <w:r w:rsidRPr="00610B1B">
        <w:rPr>
          <w:rFonts w:ascii="Times New Roman" w:hAnsi="Times New Roman" w:cs="Times New Roman"/>
          <w:color w:val="000000"/>
          <w:sz w:val="24"/>
          <w:szCs w:val="24"/>
          <w:lang w:val="bg-BG"/>
        </w:rPr>
        <w:t xml:space="preserve">на подземните водни тела (ПВТ) на 20%. Очаква се </w:t>
      </w:r>
      <w:r w:rsidRPr="00610B1B">
        <w:rPr>
          <w:rFonts w:ascii="Times New Roman" w:hAnsi="Times New Roman" w:cs="Times New Roman"/>
          <w:sz w:val="24"/>
          <w:szCs w:val="24"/>
          <w:lang w:val="bg-BG"/>
        </w:rPr>
        <w:t>през първите два прогнозни периода (2013-2042 и 2021-2050 г.)</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известно</w:t>
      </w:r>
      <w:r w:rsidRPr="00610B1B">
        <w:rPr>
          <w:rFonts w:ascii="Times New Roman" w:hAnsi="Times New Roman" w:cs="Times New Roman"/>
          <w:color w:val="000000"/>
          <w:sz w:val="24"/>
          <w:szCs w:val="24"/>
          <w:lang w:val="bg-BG"/>
        </w:rPr>
        <w:t xml:space="preserve"> </w:t>
      </w:r>
      <w:r w:rsidRPr="00610B1B">
        <w:rPr>
          <w:rFonts w:ascii="Times New Roman" w:hAnsi="Times New Roman" w:cs="Times New Roman"/>
          <w:sz w:val="24"/>
          <w:szCs w:val="24"/>
          <w:lang w:val="bg-BG"/>
        </w:rPr>
        <w:t>увеличение на естествените ресурси на подземните води</w:t>
      </w:r>
      <w:r w:rsidR="00BE3FFE"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свързано с </w:t>
      </w:r>
      <w:r w:rsidR="005170B1" w:rsidRPr="00610B1B">
        <w:rPr>
          <w:rFonts w:ascii="Times New Roman" w:hAnsi="Times New Roman" w:cs="Times New Roman"/>
          <w:sz w:val="24"/>
          <w:szCs w:val="24"/>
          <w:lang w:val="bg-BG"/>
        </w:rPr>
        <w:t xml:space="preserve">очакваното </w:t>
      </w:r>
      <w:r w:rsidRPr="00610B1B">
        <w:rPr>
          <w:rFonts w:ascii="Times New Roman" w:hAnsi="Times New Roman" w:cs="Times New Roman"/>
          <w:sz w:val="24"/>
          <w:szCs w:val="24"/>
          <w:lang w:val="bg-BG"/>
        </w:rPr>
        <w:t>нарастване на валежите. За двата прогнозни периода резултатите са близки</w:t>
      </w:r>
      <w:r w:rsidR="00BE3FFE"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тъй като тези два времеви периода в по-голямата си част се припокриват. Увеличението се отнася и за двата климатични сценария (CRP4.5 и CRP8.5).</w:t>
      </w:r>
    </w:p>
    <w:p w14:paraId="72C4F814" w14:textId="5D6F550D" w:rsidR="00ED2E2E" w:rsidRPr="00610B1B" w:rsidRDefault="009D4A0E"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През третия прогнозен период (2071-2100 г) се очертава намаление на ресурсите – свързано не толкова с намаляване на валежите, колкото с нарастване на евапотранспирацията</w:t>
      </w:r>
      <w:r w:rsidR="005170B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поради по-високите температури. Намалението е почти повсеместно и се наблюдава и при двата климатични сценария.</w:t>
      </w:r>
    </w:p>
    <w:p w14:paraId="2731C775" w14:textId="18D7A892" w:rsidR="00BE3FFE" w:rsidRPr="00610B1B" w:rsidRDefault="00BE3FFE"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Същевременно, изчисленията за промените в морското равнище за Черно море показват несъществено повишение, което няма да застраши сградите, инфраструктурата и съоръженията по крайбрежието. </w:t>
      </w:r>
    </w:p>
    <w:p w14:paraId="246A995F" w14:textId="1FA72352" w:rsidR="005170B1" w:rsidRPr="00610B1B" w:rsidRDefault="005170B1"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Отражението на изменението на климата върху развитието на крайбрежната територия и морските пространства и осъществяваните дейности там е свързано от една страна с вероятността за заселването на т.нар. климатични мигранти, и от друга, с възможността за пренасочване на туристи към българското Черноморско крайбрежие поради по-добрия климатичен комфорт. Последното означава повишени изисквания за по-добър стандарт на предлаганите услуги и разнообразие на рекреационните и спортни дейности.</w:t>
      </w:r>
      <w:r w:rsidR="00C415D1" w:rsidRPr="00610B1B">
        <w:rPr>
          <w:rFonts w:ascii="Times New Roman" w:hAnsi="Times New Roman" w:cs="Times New Roman"/>
          <w:sz w:val="24"/>
          <w:szCs w:val="24"/>
          <w:lang w:val="bg-BG"/>
        </w:rPr>
        <w:t xml:space="preserve"> </w:t>
      </w:r>
    </w:p>
    <w:p w14:paraId="6A02D3A8" w14:textId="77777777" w:rsidR="008C6B1F" w:rsidRPr="00610B1B" w:rsidRDefault="008C6B1F" w:rsidP="00D32D6A">
      <w:pPr>
        <w:autoSpaceDE w:val="0"/>
        <w:autoSpaceDN w:val="0"/>
        <w:adjustRightInd w:val="0"/>
        <w:spacing w:after="120"/>
        <w:ind w:right="-153"/>
        <w:jc w:val="both"/>
        <w:rPr>
          <w:rFonts w:ascii="Times New Roman" w:hAnsi="Times New Roman" w:cs="Times New Roman"/>
          <w:sz w:val="24"/>
          <w:szCs w:val="24"/>
          <w:lang w:val="bg-BG"/>
        </w:rPr>
      </w:pPr>
    </w:p>
    <w:p w14:paraId="02D0FB06" w14:textId="2D0D6C73" w:rsidR="00037722" w:rsidRPr="00610B1B" w:rsidRDefault="00ED2E2E" w:rsidP="00D32D6A">
      <w:pPr>
        <w:pStyle w:val="Heading3"/>
        <w:spacing w:before="0" w:line="276" w:lineRule="auto"/>
        <w:ind w:right="-153"/>
        <w:rPr>
          <w:rFonts w:cs="Times New Roman"/>
          <w:color w:val="C00000"/>
        </w:rPr>
      </w:pPr>
      <w:bookmarkStart w:id="33" w:name="_Toc83391364"/>
      <w:r w:rsidRPr="00610B1B">
        <w:rPr>
          <w:rStyle w:val="Heading3Char"/>
          <w:rFonts w:cs="Times New Roman"/>
          <w:b/>
          <w:bCs/>
        </w:rPr>
        <w:t xml:space="preserve">2.2.4. </w:t>
      </w:r>
      <w:r w:rsidR="00D83D9A" w:rsidRPr="00610B1B">
        <w:rPr>
          <w:rStyle w:val="Heading3Char"/>
          <w:rFonts w:cs="Times New Roman"/>
          <w:b/>
          <w:bCs/>
        </w:rPr>
        <w:t>Биологично разнообразие</w:t>
      </w:r>
      <w:bookmarkEnd w:id="33"/>
      <w:r w:rsidR="002A1DEE" w:rsidRPr="00610B1B">
        <w:rPr>
          <w:rFonts w:cs="Times New Roman"/>
          <w:color w:val="C00000"/>
        </w:rPr>
        <w:t xml:space="preserve"> </w:t>
      </w:r>
    </w:p>
    <w:p w14:paraId="77063EBB" w14:textId="2E632543" w:rsidR="00DA58A3" w:rsidRPr="00610B1B" w:rsidRDefault="00DA58A3" w:rsidP="00D32D6A">
      <w:pPr>
        <w:pStyle w:val="BodyText"/>
        <w:spacing w:before="0" w:after="120" w:line="276" w:lineRule="auto"/>
        <w:ind w:right="-153"/>
        <w:rPr>
          <w:rFonts w:cs="Times New Roman"/>
        </w:rPr>
      </w:pPr>
      <w:r w:rsidRPr="00610B1B">
        <w:rPr>
          <w:rFonts w:cs="Times New Roman"/>
        </w:rPr>
        <w:t>Биологичното разнообразие в Черно море е анализирано на базата на оценките на състоянието на морската околна среда по определените критерии и стандарти, публикувани от Европейската комисия с Решение 2010/477/ЕО и включените 11 дескриптори. Последните са съставени от биологични и физико-химични индикатори, индикатори на натиска, състоянието и въздействието, опасни вещества, хидроложки изменения, отпадъци и шум, и биологични смущения. Потърсена е връзката между Морския пространствен план и Морската стратегия посредством резултатите от провеждания ежегоден мониторинг в изпълнение на Програмата от мерки съгласно РДМС.</w:t>
      </w:r>
    </w:p>
    <w:p w14:paraId="2C994A9E" w14:textId="77777777" w:rsidR="00261A06" w:rsidRPr="00610B1B" w:rsidRDefault="00261A06" w:rsidP="00D32D6A">
      <w:pPr>
        <w:pStyle w:val="BodyText"/>
        <w:spacing w:before="0" w:after="120" w:line="276" w:lineRule="auto"/>
        <w:ind w:right="-153"/>
        <w:rPr>
          <w:rFonts w:cs="Times New Roman"/>
        </w:rPr>
      </w:pPr>
    </w:p>
    <w:p w14:paraId="302B2351" w14:textId="70C9BFB6" w:rsidR="000210AC" w:rsidRPr="00610B1B" w:rsidRDefault="00227363" w:rsidP="00D32D6A">
      <w:pPr>
        <w:pStyle w:val="Heading4"/>
        <w:spacing w:before="0" w:line="276" w:lineRule="auto"/>
        <w:ind w:right="-153"/>
        <w:rPr>
          <w:rFonts w:cs="Times New Roman"/>
        </w:rPr>
      </w:pPr>
      <w:r w:rsidRPr="00610B1B">
        <w:rPr>
          <w:rFonts w:cs="Times New Roman"/>
        </w:rPr>
        <w:lastRenderedPageBreak/>
        <w:t xml:space="preserve">2.2.4.1. </w:t>
      </w:r>
      <w:r w:rsidR="009D4A0E" w:rsidRPr="00610B1B">
        <w:rPr>
          <w:rFonts w:cs="Times New Roman"/>
        </w:rPr>
        <w:t>Фитопланктон и</w:t>
      </w:r>
      <w:r w:rsidR="00D66FE0" w:rsidRPr="00610B1B">
        <w:rPr>
          <w:rFonts w:cs="Times New Roman"/>
        </w:rPr>
        <w:t xml:space="preserve"> </w:t>
      </w:r>
      <w:r w:rsidR="009D4A0E" w:rsidRPr="00610B1B">
        <w:rPr>
          <w:rFonts w:cs="Times New Roman"/>
        </w:rPr>
        <w:t>зоопланктон</w:t>
      </w:r>
    </w:p>
    <w:p w14:paraId="2C95A75F" w14:textId="73CA3A4A" w:rsidR="009D4A0E" w:rsidRPr="00610B1B" w:rsidRDefault="009D4A0E" w:rsidP="00D32D6A">
      <w:pPr>
        <w:pStyle w:val="ListBullet3"/>
        <w:spacing w:before="0" w:after="120" w:line="276" w:lineRule="auto"/>
        <w:ind w:right="-153"/>
        <w:rPr>
          <w:rStyle w:val="FontStyle14"/>
          <w:rFonts w:eastAsia="Source Han Sans CN Regular" w:cs="Times New Roman"/>
        </w:rPr>
      </w:pPr>
      <w:r w:rsidRPr="00610B1B">
        <w:rPr>
          <w:rStyle w:val="FontStyle14"/>
          <w:rFonts w:eastAsia="Source Han Sans CN Regular" w:cs="Times New Roman"/>
        </w:rPr>
        <w:t>Фитопланктон</w:t>
      </w:r>
    </w:p>
    <w:p w14:paraId="2946B6D5" w14:textId="745A829A" w:rsidR="00B35E5B" w:rsidRPr="00610B1B" w:rsidRDefault="00B35E5B" w:rsidP="00D32D6A">
      <w:pPr>
        <w:spacing w:after="120"/>
        <w:jc w:val="both"/>
        <w:rPr>
          <w:rFonts w:ascii="Times New Roman" w:hAnsi="Times New Roman" w:cs="Times New Roman"/>
          <w:color w:val="00000A"/>
          <w:sz w:val="24"/>
          <w:lang w:val="bg-BG"/>
        </w:rPr>
      </w:pPr>
      <w:r w:rsidRPr="00610B1B">
        <w:rPr>
          <w:rFonts w:ascii="Times New Roman" w:hAnsi="Times New Roman" w:cs="Times New Roman"/>
          <w:color w:val="00000A"/>
          <w:sz w:val="24"/>
          <w:lang w:val="bg-BG"/>
        </w:rPr>
        <w:t>Видовото разнообразие на фитопланктона в българската акватория на Черно море включва около 600 вида. Най-голямо е разнообразието на динофлагелатите (163) - повече от 50% от общия брой, около 2 пъти по-малко диатомеи (88 вида), значително присъствие на видове от класовете Chlorophyceae и Trebouxiophyceae (20) Prymnesiophyceae, Cyanophyceae, Cryptophyceae и Euglenophyceae</w:t>
      </w:r>
      <w:r w:rsidR="00CB1910" w:rsidRPr="00610B1B">
        <w:rPr>
          <w:rFonts w:ascii="Times New Roman" w:hAnsi="Times New Roman" w:cs="Times New Roman"/>
          <w:color w:val="00000A"/>
          <w:sz w:val="24"/>
          <w:lang w:val="bg-BG"/>
        </w:rPr>
        <w:t xml:space="preserve"> и</w:t>
      </w:r>
      <w:r w:rsidRPr="00610B1B">
        <w:rPr>
          <w:rFonts w:ascii="Times New Roman" w:hAnsi="Times New Roman" w:cs="Times New Roman"/>
          <w:color w:val="00000A"/>
          <w:sz w:val="24"/>
          <w:lang w:val="bg-BG"/>
        </w:rPr>
        <w:t xml:space="preserve"> висока численост на разнообразни дребноразмерни видове микрофлагелати (Microflagellates). Тенденцията е към увеличаване на видовото разнообразие с включване на 37 нови таксономични класа дребноразмерни миксо/хетеротрофи </w:t>
      </w:r>
      <w:r w:rsidRPr="00610B1B">
        <w:rPr>
          <w:rFonts w:ascii="Times New Roman" w:hAnsi="Times New Roman" w:cs="Times New Roman"/>
          <w:i/>
          <w:iCs/>
          <w:color w:val="00000A"/>
          <w:sz w:val="24"/>
          <w:lang w:val="bg-BG"/>
        </w:rPr>
        <w:t>Gymnodinium</w:t>
      </w:r>
      <w:r w:rsidRPr="00610B1B">
        <w:rPr>
          <w:rFonts w:ascii="Times New Roman" w:hAnsi="Times New Roman" w:cs="Times New Roman"/>
          <w:color w:val="00000A"/>
          <w:sz w:val="24"/>
          <w:lang w:val="bg-BG"/>
        </w:rPr>
        <w:t>/</w:t>
      </w:r>
      <w:r w:rsidRPr="00610B1B">
        <w:rPr>
          <w:rFonts w:ascii="Times New Roman" w:hAnsi="Times New Roman" w:cs="Times New Roman"/>
          <w:i/>
          <w:iCs/>
          <w:color w:val="00000A"/>
          <w:sz w:val="24"/>
          <w:lang w:val="bg-BG"/>
        </w:rPr>
        <w:t>Gyrodinium</w:t>
      </w:r>
      <w:r w:rsidRPr="00610B1B">
        <w:rPr>
          <w:rFonts w:ascii="Times New Roman" w:hAnsi="Times New Roman" w:cs="Times New Roman"/>
          <w:color w:val="00000A"/>
          <w:sz w:val="24"/>
          <w:lang w:val="bg-BG"/>
        </w:rPr>
        <w:t xml:space="preserve"> сред динофлагелатите, установена за целия Черноморски басейн след 2006 г., което може да е причина за бъдещи промени в таксономичния състав, изменение на трофичните взаимоотношения и освобождаване на екологични ниши за</w:t>
      </w:r>
      <w:r w:rsidR="00D66FE0" w:rsidRPr="00610B1B">
        <w:rPr>
          <w:rFonts w:ascii="Times New Roman" w:hAnsi="Times New Roman" w:cs="Times New Roman"/>
          <w:color w:val="00000A"/>
          <w:sz w:val="24"/>
          <w:lang w:val="bg-BG"/>
        </w:rPr>
        <w:t xml:space="preserve"> </w:t>
      </w:r>
      <w:r w:rsidRPr="00610B1B">
        <w:rPr>
          <w:rFonts w:ascii="Times New Roman" w:hAnsi="Times New Roman" w:cs="Times New Roman"/>
          <w:color w:val="00000A"/>
          <w:sz w:val="24"/>
          <w:lang w:val="bg-BG"/>
        </w:rPr>
        <w:t>инвазивни чужди видове (Moncheva, Kamburska, 2002).</w:t>
      </w:r>
    </w:p>
    <w:p w14:paraId="4AF410AB" w14:textId="77777777" w:rsidR="00B35E5B" w:rsidRPr="00610B1B" w:rsidRDefault="00B35E5B" w:rsidP="00D32D6A">
      <w:pPr>
        <w:spacing w:after="120"/>
        <w:jc w:val="both"/>
        <w:rPr>
          <w:rFonts w:ascii="Times New Roman" w:hAnsi="Times New Roman" w:cs="Times New Roman"/>
          <w:color w:val="00000A"/>
          <w:sz w:val="24"/>
          <w:lang w:val="bg-BG"/>
        </w:rPr>
      </w:pPr>
      <w:r w:rsidRPr="00610B1B">
        <w:rPr>
          <w:rFonts w:ascii="Times New Roman" w:hAnsi="Times New Roman" w:cs="Times New Roman"/>
          <w:color w:val="00000A"/>
          <w:sz w:val="24"/>
          <w:lang w:val="bg-BG"/>
        </w:rPr>
        <w:t>Основната причина за промяна на състоянието на съобществата на фитопланктона е антропогенната еутрофикация, свързана с излишък на хранителни вещества (съединения на азота и фосфора) водещ до масовото развитие („цъфтеж“) на фитопланктона. В зависимост от степента на еутрофикация в Черноморската екосистема преминава през три периода - референтен „чист“ период (1960-те години), период на интензивна антропогенна еутрофикация (от 1970-те и 80-те години) и съвременен период, характеризиращ се с понижаване нивото на антропогенна еутрофикация, но без ясно изразени тенденции.</w:t>
      </w:r>
    </w:p>
    <w:p w14:paraId="10305820" w14:textId="77777777" w:rsidR="00B35E5B" w:rsidRPr="00610B1B" w:rsidRDefault="00B35E5B" w:rsidP="00D32D6A">
      <w:pPr>
        <w:spacing w:after="120"/>
        <w:jc w:val="both"/>
        <w:rPr>
          <w:rFonts w:ascii="Times New Roman" w:hAnsi="Times New Roman" w:cs="Times New Roman"/>
          <w:color w:val="00000A"/>
          <w:sz w:val="24"/>
          <w:lang w:val="bg-BG"/>
        </w:rPr>
      </w:pPr>
      <w:r w:rsidRPr="00610B1B">
        <w:rPr>
          <w:rFonts w:ascii="Times New Roman" w:hAnsi="Times New Roman" w:cs="Times New Roman"/>
          <w:color w:val="000000"/>
          <w:sz w:val="24"/>
          <w:lang w:val="bg-BG"/>
        </w:rPr>
        <w:t>През референтния период до 1970 г. развитието на съобществата на фитопланктона се ограничава от концентрациите на хранителни вещества, в структурата на съобществото диатомеите (клас Bacillariophyceae) преобладават над динофрагелатите (клас Dinophyceae) в съотношение около 10:1 (Petrova-Karadzova, 1984; Moncheva, Krastev, 1997). Зоопланктонът е с относително висока биомаса на двете ключови групи Copepoda и Cladocera (Oguz, Velikova, 2010).</w:t>
      </w:r>
    </w:p>
    <w:p w14:paraId="29B17B99" w14:textId="1D3C5A81" w:rsidR="00B35E5B" w:rsidRPr="00610B1B" w:rsidRDefault="00B35E5B" w:rsidP="00D32D6A">
      <w:pPr>
        <w:spacing w:after="120"/>
        <w:jc w:val="both"/>
        <w:rPr>
          <w:rFonts w:ascii="Times New Roman" w:hAnsi="Times New Roman" w:cs="Times New Roman"/>
          <w:color w:val="00000A"/>
          <w:sz w:val="24"/>
          <w:lang w:val="bg-BG"/>
        </w:rPr>
      </w:pPr>
      <w:r w:rsidRPr="00610B1B">
        <w:rPr>
          <w:rFonts w:ascii="Times New Roman" w:hAnsi="Times New Roman" w:cs="Times New Roman"/>
          <w:color w:val="000000"/>
          <w:sz w:val="24"/>
          <w:lang w:val="bg-BG"/>
        </w:rPr>
        <w:t xml:space="preserve">През периода от 1970-те до 80-те години черноморската екосистема претърпява интензивни каскадни преобразувания </w:t>
      </w:r>
      <w:bookmarkStart w:id="34" w:name="ZOTERO_BREF_RqQSBszq5lMt"/>
      <w:r w:rsidRPr="00610B1B">
        <w:rPr>
          <w:rFonts w:ascii="Times New Roman" w:hAnsi="Times New Roman" w:cs="Times New Roman"/>
          <w:color w:val="000000"/>
          <w:sz w:val="24"/>
          <w:lang w:val="bg-BG"/>
        </w:rPr>
        <w:t>(Daskalov, 2002)</w:t>
      </w:r>
      <w:bookmarkEnd w:id="34"/>
      <w:r w:rsidRPr="00610B1B">
        <w:rPr>
          <w:rFonts w:ascii="Times New Roman" w:hAnsi="Times New Roman" w:cs="Times New Roman"/>
          <w:color w:val="000000"/>
          <w:sz w:val="24"/>
          <w:lang w:val="bg-BG"/>
        </w:rPr>
        <w:t>. Увеличеният приток на азотни и фосфорни съединения от сушата води до интензивни цъфтежи на фитоплактон. За това допринася и намалената контрол от страна на зоопланктона, поради хищническата преса на някои местни (</w:t>
      </w:r>
      <w:r w:rsidRPr="00610B1B">
        <w:rPr>
          <w:rFonts w:ascii="Times New Roman" w:hAnsi="Times New Roman" w:cs="Times New Roman"/>
          <w:i/>
          <w:color w:val="000000"/>
          <w:sz w:val="24"/>
          <w:lang w:val="bg-BG"/>
        </w:rPr>
        <w:t>Auralia aurita</w:t>
      </w:r>
      <w:r w:rsidRPr="00610B1B">
        <w:rPr>
          <w:rFonts w:ascii="Times New Roman" w:hAnsi="Times New Roman" w:cs="Times New Roman"/>
          <w:color w:val="000000"/>
          <w:sz w:val="24"/>
          <w:lang w:val="bg-BG"/>
        </w:rPr>
        <w:t>) и чужди инвазивни видове (</w:t>
      </w:r>
      <w:r w:rsidRPr="00610B1B">
        <w:rPr>
          <w:rFonts w:ascii="Times New Roman" w:hAnsi="Times New Roman" w:cs="Times New Roman"/>
          <w:i/>
          <w:color w:val="000000"/>
          <w:sz w:val="24"/>
          <w:lang w:val="bg-BG"/>
        </w:rPr>
        <w:t xml:space="preserve">Mnemiopsis leidyi, </w:t>
      </w:r>
      <w:r w:rsidRPr="00610B1B">
        <w:rPr>
          <w:rFonts w:ascii="Times New Roman" w:hAnsi="Times New Roman" w:cs="Times New Roman"/>
          <w:color w:val="000000"/>
          <w:sz w:val="24"/>
          <w:lang w:val="bg-BG"/>
        </w:rPr>
        <w:t xml:space="preserve">клас Ctenophora). Те допринасят за колапса ценните видове риби, намалели и поради интензивния </w:t>
      </w:r>
      <w:r w:rsidR="00DD6CD4" w:rsidRPr="00610B1B">
        <w:rPr>
          <w:rFonts w:ascii="Times New Roman" w:hAnsi="Times New Roman" w:cs="Times New Roman"/>
          <w:color w:val="000000"/>
          <w:sz w:val="24"/>
          <w:lang w:val="bg-BG"/>
        </w:rPr>
        <w:t>стопански риболов</w:t>
      </w:r>
      <w:r w:rsidRPr="00610B1B">
        <w:rPr>
          <w:rFonts w:ascii="Times New Roman" w:hAnsi="Times New Roman" w:cs="Times New Roman"/>
          <w:color w:val="000000"/>
          <w:sz w:val="24"/>
          <w:lang w:val="bg-BG"/>
        </w:rPr>
        <w:t xml:space="preserve"> (Daskalov 2002, Daskalov et al. 2007, Oguz et al, 2008).</w:t>
      </w:r>
    </w:p>
    <w:p w14:paraId="0B6B8141" w14:textId="77777777" w:rsidR="001F56CC" w:rsidRPr="00610B1B" w:rsidRDefault="00B35E5B" w:rsidP="001F56CC">
      <w:pPr>
        <w:spacing w:after="120"/>
        <w:jc w:val="both"/>
        <w:rPr>
          <w:rFonts w:ascii="Times New Roman" w:hAnsi="Times New Roman" w:cs="Times New Roman"/>
          <w:color w:val="00000A"/>
          <w:sz w:val="24"/>
          <w:lang w:val="bg-BG"/>
        </w:rPr>
      </w:pPr>
      <w:r w:rsidRPr="00610B1B">
        <w:rPr>
          <w:rFonts w:ascii="Times New Roman" w:hAnsi="Times New Roman" w:cs="Times New Roman"/>
          <w:color w:val="000000"/>
          <w:sz w:val="24"/>
          <w:lang w:val="bg-BG"/>
        </w:rPr>
        <w:t xml:space="preserve">Пред съвременния период се наблюдава относително ниско съотношение Bacteriophyceae:Dinophyceaea, характерно за референтния период. За разлика от периода на интензивна еутрофикация, в числеността силно доминира коколитофоридата </w:t>
      </w:r>
      <w:r w:rsidRPr="00610B1B">
        <w:rPr>
          <w:rFonts w:ascii="Times New Roman" w:hAnsi="Times New Roman" w:cs="Times New Roman"/>
          <w:i/>
          <w:color w:val="000000"/>
          <w:sz w:val="24"/>
          <w:lang w:val="bg-BG"/>
        </w:rPr>
        <w:t>Emiliania huxleyi</w:t>
      </w:r>
      <w:r w:rsidRPr="00610B1B">
        <w:rPr>
          <w:rFonts w:ascii="Times New Roman" w:hAnsi="Times New Roman" w:cs="Times New Roman"/>
          <w:color w:val="000000"/>
          <w:sz w:val="24"/>
          <w:lang w:val="bg-BG"/>
        </w:rPr>
        <w:t xml:space="preserve"> (Prymnesiophyceaе), което е по-силно изразено в открито море</w:t>
      </w:r>
      <w:r w:rsidRPr="00610B1B">
        <w:rPr>
          <w:rFonts w:ascii="Times New Roman" w:hAnsi="Times New Roman" w:cs="Times New Roman"/>
          <w:color w:val="000000"/>
          <w:sz w:val="24"/>
          <w:szCs w:val="24"/>
          <w:lang w:val="bg-BG"/>
        </w:rPr>
        <w:t xml:space="preserve"> (до 90% от общата численост), както и представители на "алтернативни" таксономични групи като микрофлагелати, еугленови и синьо-зелени.</w:t>
      </w:r>
    </w:p>
    <w:p w14:paraId="7401AB45" w14:textId="106E82B3" w:rsidR="00B35E5B" w:rsidRPr="00610B1B" w:rsidRDefault="00B35E5B" w:rsidP="00D32D6A">
      <w:pPr>
        <w:spacing w:after="120"/>
        <w:jc w:val="both"/>
        <w:rPr>
          <w:rFonts w:ascii="Times New Roman" w:hAnsi="Times New Roman" w:cs="Times New Roman"/>
          <w:color w:val="00000A"/>
          <w:sz w:val="24"/>
          <w:lang w:val="bg-BG"/>
        </w:rPr>
      </w:pPr>
      <w:r w:rsidRPr="00610B1B">
        <w:rPr>
          <w:rFonts w:ascii="Times New Roman" w:hAnsi="Times New Roman" w:cs="Times New Roman"/>
          <w:color w:val="00000A"/>
          <w:sz w:val="24"/>
          <w:szCs w:val="24"/>
          <w:lang w:val="bg-BG"/>
        </w:rPr>
        <w:lastRenderedPageBreak/>
        <w:t>Екологичното съ</w:t>
      </w:r>
      <w:r w:rsidRPr="00610B1B">
        <w:rPr>
          <w:rFonts w:ascii="Times New Roman" w:hAnsi="Times New Roman" w:cs="Times New Roman"/>
          <w:color w:val="00000A"/>
          <w:sz w:val="24"/>
          <w:lang w:val="bg-BG"/>
        </w:rPr>
        <w:t>стояние на крайбрежните водните тела по показател фитопланктон през периода 2010-2017 г. е определено въз основа на данни от мониторинг, извършван съгласно Рамкова директива за водите и граничните стойности за добро състояние определени в Наредба №</w:t>
      </w:r>
      <w:r w:rsidR="001F56CC" w:rsidRPr="00610B1B">
        <w:rPr>
          <w:rFonts w:ascii="Times New Roman" w:hAnsi="Times New Roman" w:cs="Times New Roman"/>
          <w:color w:val="00000A"/>
          <w:sz w:val="24"/>
          <w:lang w:val="bg-BG"/>
        </w:rPr>
        <w:t xml:space="preserve"> </w:t>
      </w:r>
      <w:r w:rsidRPr="00610B1B">
        <w:rPr>
          <w:rFonts w:ascii="Times New Roman" w:hAnsi="Times New Roman" w:cs="Times New Roman"/>
          <w:color w:val="00000A"/>
          <w:sz w:val="24"/>
          <w:lang w:val="bg-BG"/>
        </w:rPr>
        <w:t>Н-4 от 14.09.2012 г. за характеризиране на повърхностните води (обн., ДВ, бр. 22 от 5.03.2013 г.). Тези гранични стойности позволяват определяне на 5 класа на състояние на крайбрежните водни тела: много лошо, лошо, умерено, добро и отлично състояние. Резултатите от анализа показват, че:</w:t>
      </w:r>
    </w:p>
    <w:p w14:paraId="7F147B10" w14:textId="77777777" w:rsidR="00B35E5B" w:rsidRPr="00610B1B" w:rsidRDefault="00B35E5B" w:rsidP="00B46189">
      <w:pPr>
        <w:numPr>
          <w:ilvl w:val="0"/>
          <w:numId w:val="92"/>
        </w:numPr>
        <w:spacing w:after="120"/>
        <w:jc w:val="both"/>
        <w:rPr>
          <w:rFonts w:ascii="Times New Roman" w:hAnsi="Times New Roman" w:cs="Times New Roman"/>
          <w:color w:val="00000A"/>
          <w:sz w:val="24"/>
          <w:lang w:val="bg-BG"/>
        </w:rPr>
      </w:pPr>
      <w:r w:rsidRPr="00610B1B">
        <w:rPr>
          <w:rFonts w:ascii="Times New Roman" w:hAnsi="Times New Roman" w:cs="Times New Roman"/>
          <w:color w:val="00000A"/>
          <w:sz w:val="24"/>
          <w:lang w:val="bg-BG"/>
        </w:rPr>
        <w:t>В периода 2010-2017 г. в крайбрежните водни тела преобладава умереното състояние;</w:t>
      </w:r>
    </w:p>
    <w:p w14:paraId="4FC1FE89" w14:textId="77777777" w:rsidR="00B35E5B" w:rsidRPr="00610B1B" w:rsidRDefault="00B35E5B" w:rsidP="00B46189">
      <w:pPr>
        <w:numPr>
          <w:ilvl w:val="0"/>
          <w:numId w:val="92"/>
        </w:numPr>
        <w:spacing w:after="120"/>
        <w:jc w:val="both"/>
        <w:rPr>
          <w:rFonts w:ascii="Times New Roman" w:hAnsi="Times New Roman" w:cs="Times New Roman"/>
          <w:color w:val="00000A"/>
          <w:sz w:val="24"/>
          <w:lang w:val="bg-BG"/>
        </w:rPr>
      </w:pPr>
      <w:r w:rsidRPr="00610B1B">
        <w:rPr>
          <w:rFonts w:ascii="Times New Roman" w:hAnsi="Times New Roman" w:cs="Times New Roman"/>
          <w:color w:val="00000A"/>
          <w:sz w:val="24"/>
          <w:lang w:val="bg-BG"/>
        </w:rPr>
        <w:t xml:space="preserve">В </w:t>
      </w:r>
      <w:r w:rsidRPr="00610B1B">
        <w:rPr>
          <w:rFonts w:ascii="Times New Roman" w:hAnsi="Times New Roman" w:cs="Times New Roman"/>
          <w:b/>
          <w:bCs/>
          <w:color w:val="00000A"/>
          <w:sz w:val="24"/>
          <w:lang w:val="bg-BG"/>
        </w:rPr>
        <w:t>лошо</w:t>
      </w:r>
      <w:r w:rsidRPr="00610B1B">
        <w:rPr>
          <w:rFonts w:ascii="Times New Roman" w:hAnsi="Times New Roman" w:cs="Times New Roman"/>
          <w:color w:val="00000A"/>
          <w:sz w:val="24"/>
          <w:lang w:val="bg-BG"/>
        </w:rPr>
        <w:t xml:space="preserve"> състояние по БЕК фитопланктон през някои от годините са водните тела във Варненския и Бургаския залив, в близост до значителните източници на натиск от сушата (промишленост, урбанизация, земеделие) – точкови и дифузни;</w:t>
      </w:r>
    </w:p>
    <w:p w14:paraId="604EB2FF" w14:textId="77777777" w:rsidR="00B35E5B" w:rsidRPr="00610B1B" w:rsidRDefault="00B35E5B" w:rsidP="00B46189">
      <w:pPr>
        <w:numPr>
          <w:ilvl w:val="0"/>
          <w:numId w:val="92"/>
        </w:numPr>
        <w:spacing w:after="120"/>
        <w:jc w:val="both"/>
        <w:rPr>
          <w:rFonts w:ascii="Times New Roman" w:hAnsi="Times New Roman" w:cs="Times New Roman"/>
          <w:color w:val="00000A"/>
          <w:sz w:val="24"/>
          <w:lang w:val="bg-BG"/>
        </w:rPr>
      </w:pPr>
      <w:r w:rsidRPr="00610B1B">
        <w:rPr>
          <w:rFonts w:ascii="Times New Roman" w:hAnsi="Times New Roman" w:cs="Times New Roman"/>
          <w:color w:val="00000A"/>
          <w:sz w:val="24"/>
          <w:lang w:val="bg-BG"/>
        </w:rPr>
        <w:t>В „</w:t>
      </w:r>
      <w:r w:rsidRPr="00610B1B">
        <w:rPr>
          <w:rFonts w:ascii="Times New Roman" w:hAnsi="Times New Roman" w:cs="Times New Roman"/>
          <w:b/>
          <w:bCs/>
          <w:color w:val="00000A"/>
          <w:sz w:val="24"/>
          <w:lang w:val="bg-BG"/>
        </w:rPr>
        <w:t>добро</w:t>
      </w:r>
      <w:r w:rsidRPr="00610B1B">
        <w:rPr>
          <w:rFonts w:ascii="Times New Roman" w:hAnsi="Times New Roman" w:cs="Times New Roman"/>
          <w:color w:val="00000A"/>
          <w:sz w:val="24"/>
          <w:lang w:val="bg-BG"/>
        </w:rPr>
        <w:t>“ състояние по БЕК фитопланктон през някои от годините са крайбрежните водни тела, които са относително отдалечени от значителни източници на замърсяване. През</w:t>
      </w:r>
      <w:r w:rsidRPr="00610B1B">
        <w:rPr>
          <w:rFonts w:ascii="Times New Roman" w:hAnsi="Times New Roman" w:cs="Times New Roman"/>
          <w:color w:val="000000" w:themeColor="text1"/>
          <w:sz w:val="24"/>
          <w:lang w:val="bg-BG"/>
        </w:rPr>
        <w:t xml:space="preserve"> 2017 г. водните тела южно от Варненския залив са определени в „</w:t>
      </w:r>
      <w:r w:rsidRPr="00610B1B">
        <w:rPr>
          <w:rFonts w:ascii="Times New Roman" w:hAnsi="Times New Roman" w:cs="Times New Roman"/>
          <w:b/>
          <w:bCs/>
          <w:color w:val="000000" w:themeColor="text1"/>
          <w:sz w:val="24"/>
          <w:lang w:val="bg-BG"/>
        </w:rPr>
        <w:t>добро</w:t>
      </w:r>
      <w:r w:rsidRPr="00610B1B">
        <w:rPr>
          <w:rFonts w:ascii="Times New Roman" w:hAnsi="Times New Roman" w:cs="Times New Roman"/>
          <w:color w:val="000000" w:themeColor="text1"/>
          <w:sz w:val="24"/>
          <w:lang w:val="bg-BG"/>
        </w:rPr>
        <w:t>“ състояние.</w:t>
      </w:r>
    </w:p>
    <w:p w14:paraId="39630E7F" w14:textId="0FE2D30A" w:rsidR="00565DC5" w:rsidRPr="00610B1B" w:rsidRDefault="00565DC5" w:rsidP="00D32D6A">
      <w:pPr>
        <w:spacing w:after="120"/>
        <w:ind w:right="-153"/>
        <w:jc w:val="both"/>
        <w:rPr>
          <w:rFonts w:ascii="Times New Roman" w:hAnsi="Times New Roman" w:cs="Times New Roman"/>
          <w:color w:val="00000A"/>
          <w:sz w:val="24"/>
          <w:lang w:val="bg-BG"/>
        </w:rPr>
      </w:pPr>
      <w:r w:rsidRPr="00610B1B">
        <w:rPr>
          <w:rFonts w:ascii="Times New Roman" w:hAnsi="Times New Roman" w:cs="Times New Roman"/>
          <w:color w:val="00000A"/>
          <w:sz w:val="24"/>
          <w:lang w:val="bg-BG"/>
        </w:rPr>
        <w:t>Морската стратегия включва мерки насочени към възстановяването на доброто състояние на морската среда по отношение на еутрофикацията и съобществата на фитопланктона. Те допълват мерките заложени в ПУРБ 2016-2021 г., разработван съгласно РДВ 2000/60/ЕО, в която фитопланктонът е задължителен биологичен елемент за качество. Мерките включват прилагането на добри земеделски практики за намаляване на замърсяването от</w:t>
      </w:r>
      <w:r w:rsidR="00D66FE0" w:rsidRPr="00610B1B">
        <w:rPr>
          <w:rFonts w:ascii="Times New Roman" w:hAnsi="Times New Roman" w:cs="Times New Roman"/>
          <w:color w:val="00000A"/>
          <w:sz w:val="24"/>
          <w:lang w:val="bg-BG"/>
        </w:rPr>
        <w:t xml:space="preserve"> </w:t>
      </w:r>
      <w:r w:rsidRPr="00610B1B">
        <w:rPr>
          <w:rFonts w:ascii="Times New Roman" w:hAnsi="Times New Roman" w:cs="Times New Roman"/>
          <w:color w:val="00000A"/>
          <w:sz w:val="24"/>
          <w:lang w:val="bg-BG"/>
        </w:rPr>
        <w:t>нитратно-уязвимите зони, определени съгласно Директива 91/676/EEC</w:t>
      </w:r>
      <w:r w:rsidR="00D66FE0" w:rsidRPr="00610B1B">
        <w:rPr>
          <w:rFonts w:ascii="Times New Roman" w:hAnsi="Times New Roman" w:cs="Times New Roman"/>
          <w:color w:val="00000A"/>
          <w:sz w:val="24"/>
          <w:lang w:val="bg-BG"/>
        </w:rPr>
        <w:t xml:space="preserve"> </w:t>
      </w:r>
      <w:r w:rsidRPr="00610B1B">
        <w:rPr>
          <w:rFonts w:ascii="Times New Roman" w:hAnsi="Times New Roman" w:cs="Times New Roman"/>
          <w:color w:val="00000A"/>
          <w:sz w:val="24"/>
          <w:lang w:val="bg-BG"/>
        </w:rPr>
        <w:t>за опазване на водите от замърсяване от селскостопански източници. Тези зони включват земеделските земи във водосборна област на Черно море. Мерките за намаляването на еутрофикацията поради замърсяване с отпадъчни води от канализациите на населените места и хранително-вкусовата промишленост са разработени съгласно</w:t>
      </w:r>
      <w:r w:rsidR="00D66FE0" w:rsidRPr="00610B1B">
        <w:rPr>
          <w:rFonts w:ascii="Times New Roman" w:hAnsi="Times New Roman" w:cs="Times New Roman"/>
          <w:color w:val="00000A"/>
          <w:sz w:val="24"/>
          <w:lang w:val="bg-BG"/>
        </w:rPr>
        <w:t xml:space="preserve"> </w:t>
      </w:r>
      <w:r w:rsidRPr="00610B1B">
        <w:rPr>
          <w:rFonts w:ascii="Times New Roman" w:hAnsi="Times New Roman" w:cs="Times New Roman"/>
          <w:color w:val="00000A"/>
          <w:sz w:val="24"/>
          <w:lang w:val="bg-BG"/>
        </w:rPr>
        <w:t>Директива 91/271/ЕИО, според която Черно море от н. Сиврибурун до устието на р. Резовска е определено като чувствителна зона, поради своята еутрофност. Източниците на натиск в морето са обект на мерки спрямо замърсяването от морския транспорт и атмосферата, включително и морския транспорт като вектор за разпространение инвазивни чужди видове фитопланктон.</w:t>
      </w:r>
    </w:p>
    <w:p w14:paraId="6F715BD8" w14:textId="4DA1051E" w:rsidR="00227363" w:rsidRPr="00610B1B" w:rsidRDefault="00227363" w:rsidP="00D32D6A">
      <w:pPr>
        <w:pStyle w:val="BodyText"/>
        <w:spacing w:before="0" w:after="120" w:line="276" w:lineRule="auto"/>
        <w:ind w:right="-153"/>
        <w:rPr>
          <w:rFonts w:cs="Times New Roman"/>
          <w:b/>
          <w:bCs/>
        </w:rPr>
      </w:pPr>
      <w:r w:rsidRPr="00610B1B">
        <w:rPr>
          <w:rFonts w:cs="Times New Roman"/>
          <w:b/>
          <w:bCs/>
        </w:rPr>
        <w:t>Зоопланктон</w:t>
      </w:r>
    </w:p>
    <w:p w14:paraId="25BB7794" w14:textId="68A6FEF3"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Основните представители на зоопланктона в екосистемата на Черно море по биомаса са представителите на класове </w:t>
      </w:r>
      <w:r w:rsidRPr="00610B1B">
        <w:rPr>
          <w:rFonts w:cs="Times New Roman"/>
          <w:i/>
          <w:iCs/>
        </w:rPr>
        <w:t>Sciphozoa, Ctenophora, Noctilucales, Copepoda, Chaetognatha</w:t>
      </w:r>
      <w:r w:rsidRPr="00610B1B">
        <w:rPr>
          <w:rFonts w:cs="Times New Roman"/>
        </w:rPr>
        <w:t xml:space="preserve">, а по численост: </w:t>
      </w:r>
      <w:r w:rsidRPr="00610B1B">
        <w:rPr>
          <w:rFonts w:cs="Times New Roman"/>
          <w:i/>
          <w:iCs/>
        </w:rPr>
        <w:t>Copepoda, Noctilucales, Rotifera, Meroplankton, Appendicularia.</w:t>
      </w:r>
      <w:r w:rsidRPr="00610B1B">
        <w:rPr>
          <w:rFonts w:cs="Times New Roman"/>
        </w:rPr>
        <w:t xml:space="preserve"> За функционирането на морските хранителни вериги най-голямо е значението на представителите на хранителния зоопланктон, важно звено между първичните продуценти </w:t>
      </w:r>
      <w:r w:rsidRPr="00610B1B">
        <w:rPr>
          <w:rFonts w:cs="Times New Roman"/>
          <w:iCs/>
        </w:rPr>
        <w:t>(</w:t>
      </w:r>
      <w:r w:rsidRPr="00610B1B">
        <w:rPr>
          <w:rFonts w:cs="Times New Roman"/>
        </w:rPr>
        <w:t>фитопланктона</w:t>
      </w:r>
      <w:r w:rsidRPr="00610B1B">
        <w:rPr>
          <w:rFonts w:cs="Times New Roman"/>
          <w:iCs/>
        </w:rPr>
        <w:t>)</w:t>
      </w:r>
      <w:r w:rsidRPr="00610B1B">
        <w:rPr>
          <w:rFonts w:cs="Times New Roman"/>
        </w:rPr>
        <w:t xml:space="preserve">, планктоноядните риби и ларвите на хищните риби. Натиск оказват местни инвазивни видове </w:t>
      </w:r>
      <w:r w:rsidRPr="00610B1B">
        <w:rPr>
          <w:rFonts w:cs="Times New Roman"/>
          <w:iCs/>
        </w:rPr>
        <w:t>(</w:t>
      </w:r>
      <w:r w:rsidRPr="00610B1B">
        <w:rPr>
          <w:rFonts w:cs="Times New Roman"/>
          <w:i/>
          <w:iCs/>
        </w:rPr>
        <w:t>Noctiluca scintillans</w:t>
      </w:r>
      <w:r w:rsidRPr="00610B1B">
        <w:rPr>
          <w:rFonts w:cs="Times New Roman"/>
          <w:iCs/>
        </w:rPr>
        <w:t>)</w:t>
      </w:r>
      <w:r w:rsidRPr="00610B1B">
        <w:rPr>
          <w:rFonts w:cs="Times New Roman"/>
        </w:rPr>
        <w:t xml:space="preserve"> и чужди инвазивни видове </w:t>
      </w:r>
      <w:r w:rsidRPr="00610B1B">
        <w:rPr>
          <w:rFonts w:cs="Times New Roman"/>
          <w:iCs/>
        </w:rPr>
        <w:t>(</w:t>
      </w:r>
      <w:r w:rsidRPr="00610B1B">
        <w:rPr>
          <w:rFonts w:cs="Times New Roman"/>
          <w:i/>
          <w:iCs/>
        </w:rPr>
        <w:t>Mnemiopsis leidyi</w:t>
      </w:r>
      <w:r w:rsidRPr="00610B1B">
        <w:rPr>
          <w:rFonts w:cs="Times New Roman"/>
          <w:iCs/>
        </w:rPr>
        <w:t>)</w:t>
      </w:r>
      <w:r w:rsidRPr="00610B1B">
        <w:rPr>
          <w:rFonts w:cs="Times New Roman"/>
        </w:rPr>
        <w:t>, които нямат хранително значение, но се хранят със зоопланктона</w:t>
      </w:r>
      <w:r w:rsidR="00987E11" w:rsidRPr="00610B1B">
        <w:rPr>
          <w:rFonts w:cs="Times New Roman"/>
        </w:rPr>
        <w:t xml:space="preserve"> и</w:t>
      </w:r>
      <w:r w:rsidRPr="00610B1B">
        <w:rPr>
          <w:rFonts w:cs="Times New Roman"/>
        </w:rPr>
        <w:t xml:space="preserve"> намаляват достъпния </w:t>
      </w:r>
      <w:r w:rsidR="0086540F" w:rsidRPr="00610B1B">
        <w:rPr>
          <w:rFonts w:cs="Times New Roman"/>
        </w:rPr>
        <w:t xml:space="preserve">хранителен ресурс </w:t>
      </w:r>
      <w:r w:rsidRPr="00610B1B">
        <w:rPr>
          <w:rFonts w:cs="Times New Roman"/>
        </w:rPr>
        <w:t>за</w:t>
      </w:r>
      <w:r w:rsidR="0086540F" w:rsidRPr="00610B1B">
        <w:rPr>
          <w:rFonts w:cs="Times New Roman"/>
        </w:rPr>
        <w:t xml:space="preserve"> морските </w:t>
      </w:r>
      <w:r w:rsidRPr="00610B1B">
        <w:rPr>
          <w:rFonts w:cs="Times New Roman"/>
        </w:rPr>
        <w:t>риби</w:t>
      </w:r>
      <w:r w:rsidR="0086540F" w:rsidRPr="00610B1B">
        <w:rPr>
          <w:rFonts w:cs="Times New Roman"/>
        </w:rPr>
        <w:t>, птици и бозайници.</w:t>
      </w:r>
      <w:r w:rsidR="00D66FE0" w:rsidRPr="00610B1B">
        <w:rPr>
          <w:rFonts w:cs="Times New Roman"/>
        </w:rPr>
        <w:t xml:space="preserve"> </w:t>
      </w:r>
      <w:r w:rsidRPr="00610B1B">
        <w:rPr>
          <w:rFonts w:cs="Times New Roman"/>
        </w:rPr>
        <w:lastRenderedPageBreak/>
        <w:t>Съотношението между хранителен и нехранителен зоопланктон е показател за състоянието на морската екосистема.</w:t>
      </w:r>
    </w:p>
    <w:p w14:paraId="022E72B3" w14:textId="77777777" w:rsidR="000610CF" w:rsidRPr="00610B1B" w:rsidRDefault="000610CF" w:rsidP="000610CF">
      <w:pPr>
        <w:spacing w:before="113" w:after="119"/>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Характерна тенденция за съобществата на зоопланктона в периода 1960-2006 г. е намаляването на концентрацията на хранителния за рибите зоопланктон. Резултатите от изследванията показват, че биомасата на зоопланктона се изменя, преминавайки от позитивна фаза в периода 1967-1973 г., към чувствително понижаване и поддържане на по-ниски стойности на количествените параметри през 1980-1993 г., когато пелагичните екосистеми са доминирани от опортюнистични местни (</w:t>
      </w:r>
      <w:r w:rsidRPr="00610B1B">
        <w:rPr>
          <w:rFonts w:ascii="Times New Roman" w:hAnsi="Times New Roman" w:cs="Times New Roman"/>
          <w:i/>
          <w:color w:val="000000"/>
          <w:sz w:val="24"/>
          <w:szCs w:val="24"/>
          <w:lang w:val="bg-BG"/>
        </w:rPr>
        <w:t>Auralia aurita, Noctiluca scintillans</w:t>
      </w:r>
      <w:r w:rsidRPr="00610B1B">
        <w:rPr>
          <w:rFonts w:ascii="Times New Roman" w:hAnsi="Times New Roman" w:cs="Times New Roman"/>
          <w:sz w:val="24"/>
          <w:szCs w:val="24"/>
          <w:lang w:val="bg-BG"/>
        </w:rPr>
        <w:t>) и инвазивни чужди видове (</w:t>
      </w:r>
      <w:r w:rsidRPr="00610B1B">
        <w:rPr>
          <w:rFonts w:ascii="Times New Roman" w:hAnsi="Times New Roman" w:cs="Times New Roman"/>
          <w:i/>
          <w:sz w:val="24"/>
          <w:szCs w:val="24"/>
          <w:lang w:val="bg-BG"/>
        </w:rPr>
        <w:t>Mnemiopsis leidyi</w:t>
      </w:r>
      <w:r w:rsidRPr="00610B1B">
        <w:rPr>
          <w:rFonts w:ascii="Times New Roman" w:hAnsi="Times New Roman" w:cs="Times New Roman"/>
          <w:sz w:val="24"/>
          <w:szCs w:val="24"/>
          <w:lang w:val="bg-BG"/>
        </w:rPr>
        <w:t>).</w:t>
      </w:r>
      <w:r w:rsidRPr="00610B1B">
        <w:rPr>
          <w:rFonts w:ascii="Times New Roman" w:hAnsi="Times New Roman" w:cs="Times New Roman"/>
          <w:iCs/>
          <w:sz w:val="24"/>
          <w:szCs w:val="24"/>
          <w:lang w:val="bg-BG"/>
        </w:rPr>
        <w:t xml:space="preserve"> </w:t>
      </w:r>
      <w:r w:rsidRPr="00610B1B">
        <w:rPr>
          <w:rFonts w:ascii="Times New Roman" w:hAnsi="Times New Roman" w:cs="Times New Roman"/>
          <w:sz w:val="24"/>
          <w:szCs w:val="24"/>
          <w:lang w:val="bg-BG"/>
        </w:rPr>
        <w:t>През съвременния период след 2000 г. състоянието на зоопланктона се колебае между „лошо“ и „умерено“ без ясно изразена тенденция, поради високата биомаса на някои инвазивни видове през отделни години.</w:t>
      </w:r>
    </w:p>
    <w:p w14:paraId="68FDE708" w14:textId="77777777" w:rsidR="005F788F" w:rsidRPr="00610B1B" w:rsidRDefault="005F788F" w:rsidP="005F788F">
      <w:pPr>
        <w:spacing w:before="113" w:after="119"/>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Съществуващите екологични проблеми са свързани преди всичко с намаляване на мезозоопланктона като хранителен ресурс за планктоноядните риби и ларвите на хищните риби в резултат от развитието на местни опортюнистични (</w:t>
      </w:r>
      <w:r w:rsidRPr="00610B1B">
        <w:rPr>
          <w:rFonts w:ascii="Times New Roman" w:hAnsi="Times New Roman" w:cs="Times New Roman"/>
          <w:i/>
          <w:sz w:val="24"/>
          <w:szCs w:val="24"/>
          <w:lang w:val="bg-BG"/>
        </w:rPr>
        <w:t>Noctiluca scintillans</w:t>
      </w:r>
      <w:r w:rsidRPr="00610B1B">
        <w:rPr>
          <w:rFonts w:ascii="Times New Roman" w:hAnsi="Times New Roman" w:cs="Times New Roman"/>
          <w:sz w:val="24"/>
          <w:szCs w:val="24"/>
          <w:lang w:val="bg-BG"/>
        </w:rPr>
        <w:t>) и неместни инвазивни видове (</w:t>
      </w:r>
      <w:r w:rsidRPr="00610B1B">
        <w:rPr>
          <w:rFonts w:ascii="Times New Roman" w:hAnsi="Times New Roman" w:cs="Times New Roman"/>
          <w:i/>
          <w:sz w:val="24"/>
          <w:szCs w:val="24"/>
          <w:lang w:val="bg-BG"/>
        </w:rPr>
        <w:t>Mnemiopsis leidyi</w:t>
      </w:r>
      <w:r w:rsidRPr="00610B1B">
        <w:rPr>
          <w:rFonts w:ascii="Times New Roman" w:hAnsi="Times New Roman" w:cs="Times New Roman"/>
          <w:sz w:val="24"/>
          <w:szCs w:val="24"/>
          <w:lang w:val="bg-BG"/>
        </w:rPr>
        <w:t>). Промяната във видовия състав и обилието на характерните за референтните условия видове зоопланктон може да доведе до непредсказуеми изменения в състоянието на екосистемата. Бъдещото развитие на състоянието зависи от превантивни мерки спрямо навлизането на инвазивни чужди видове, но практически е невъзможно да се определи.</w:t>
      </w:r>
    </w:p>
    <w:p w14:paraId="2BD1461E" w14:textId="03529AD0" w:rsidR="003A26CF" w:rsidRPr="00610B1B" w:rsidRDefault="000610CF" w:rsidP="00D32D6A">
      <w:pPr>
        <w:pStyle w:val="BodyText"/>
        <w:spacing w:before="0" w:after="120" w:line="276" w:lineRule="auto"/>
        <w:ind w:right="-153"/>
        <w:rPr>
          <w:rFonts w:cs="Times New Roman"/>
        </w:rPr>
      </w:pPr>
      <w:r w:rsidRPr="00610B1B">
        <w:rPr>
          <w:rFonts w:cs="Times New Roman"/>
        </w:rPr>
        <w:t xml:space="preserve">Морската стратегия включва програма от мерки за постигане на добро състояние по отношение на зоопланктона, насочени спрямо морския транспорт като вектор за разпространение инвазивни чужди видове зоопланктон (дескриптор 2) чрез баластните води на корабите. Високото биологично разнообразие може да се приеме за естествен защитен механизъм срещу </w:t>
      </w:r>
      <w:r w:rsidR="00F40505" w:rsidRPr="00610B1B">
        <w:rPr>
          <w:rFonts w:cs="Times New Roman"/>
        </w:rPr>
        <w:t>инвазивните видове</w:t>
      </w:r>
      <w:r w:rsidRPr="00610B1B">
        <w:rPr>
          <w:rFonts w:cs="Times New Roman"/>
        </w:rPr>
        <w:t>. Свободните екологични ниши задължително се запълват – там където има условия за развитието на богати на видове зоопланктон съобщества опасността от инвази</w:t>
      </w:r>
      <w:r w:rsidR="00B36ECD" w:rsidRPr="00610B1B">
        <w:rPr>
          <w:rFonts w:cs="Times New Roman"/>
        </w:rPr>
        <w:t>вн</w:t>
      </w:r>
      <w:r w:rsidRPr="00610B1B">
        <w:rPr>
          <w:rFonts w:cs="Times New Roman"/>
        </w:rPr>
        <w:t>и</w:t>
      </w:r>
      <w:r w:rsidR="00B36ECD" w:rsidRPr="00610B1B">
        <w:rPr>
          <w:rFonts w:cs="Times New Roman"/>
        </w:rPr>
        <w:t xml:space="preserve"> видове</w:t>
      </w:r>
      <w:r w:rsidRPr="00610B1B">
        <w:rPr>
          <w:rFonts w:cs="Times New Roman"/>
        </w:rPr>
        <w:t xml:space="preserve"> е намалена. Екосистемният подход изисква отчитане на всички видове натиск, които влошават състоянието на пелагичните местообитания на зоопланктона. Поради това, за съобществата на зоопланктона значение имат и целите и мерките определени по всички дескриптори за натиск.</w:t>
      </w:r>
    </w:p>
    <w:p w14:paraId="3110987F" w14:textId="6210A7FC" w:rsidR="009D4A0E" w:rsidRPr="00610B1B" w:rsidRDefault="00536709" w:rsidP="00D32D6A">
      <w:pPr>
        <w:pStyle w:val="Heading4"/>
        <w:spacing w:before="0" w:line="276" w:lineRule="auto"/>
        <w:ind w:right="-153"/>
        <w:rPr>
          <w:rFonts w:cs="Times New Roman"/>
        </w:rPr>
      </w:pPr>
      <w:r w:rsidRPr="00610B1B">
        <w:rPr>
          <w:rFonts w:cs="Times New Roman"/>
        </w:rPr>
        <w:t>2.</w:t>
      </w:r>
      <w:r w:rsidR="00ED2E2E" w:rsidRPr="00610B1B">
        <w:rPr>
          <w:rFonts w:cs="Times New Roman"/>
        </w:rPr>
        <w:t xml:space="preserve">2.4.2. </w:t>
      </w:r>
      <w:r w:rsidR="009D4A0E" w:rsidRPr="00610B1B">
        <w:rPr>
          <w:rFonts w:cs="Times New Roman"/>
        </w:rPr>
        <w:t>Макрофитобентос и макрозообентос</w:t>
      </w:r>
    </w:p>
    <w:p w14:paraId="5AF730D5" w14:textId="77777777" w:rsidR="009D4A0E" w:rsidRPr="00610B1B" w:rsidRDefault="009D4A0E" w:rsidP="00D32D6A">
      <w:pPr>
        <w:pStyle w:val="Caption"/>
        <w:spacing w:before="0" w:line="276" w:lineRule="auto"/>
        <w:ind w:right="-153"/>
        <w:rPr>
          <w:rFonts w:cs="Times New Roman"/>
          <w:b/>
          <w:bCs/>
        </w:rPr>
      </w:pPr>
      <w:r w:rsidRPr="00610B1B">
        <w:rPr>
          <w:rFonts w:cs="Times New Roman"/>
          <w:b/>
          <w:bCs/>
        </w:rPr>
        <w:t>Макрофитобентос</w:t>
      </w:r>
    </w:p>
    <w:p w14:paraId="7296D922" w14:textId="365CB35E" w:rsidR="00071B6B" w:rsidRPr="00610B1B" w:rsidRDefault="00071B6B" w:rsidP="00D32D6A">
      <w:pPr>
        <w:pStyle w:val="BodyText"/>
        <w:spacing w:before="0" w:after="120" w:line="276" w:lineRule="auto"/>
        <w:ind w:right="-153"/>
        <w:rPr>
          <w:rFonts w:cs="Times New Roman"/>
        </w:rPr>
      </w:pPr>
      <w:r w:rsidRPr="00610B1B">
        <w:rPr>
          <w:rFonts w:cs="Times New Roman"/>
        </w:rPr>
        <w:t>По българското Черноморско крайбрежие са описани 157 вида макроводорасли, което представлява около 53% от общия брой видове в цялото Черноморие. Българското крайбрежие е второ по разнообразие на видове след крайбрежието на Русия, и преди това на Румъния, Украйна и Турция. От общия брой макроводорасли</w:t>
      </w:r>
      <w:r w:rsidR="00D66FE0" w:rsidRPr="00610B1B">
        <w:rPr>
          <w:rFonts w:cs="Times New Roman"/>
        </w:rPr>
        <w:t xml:space="preserve"> </w:t>
      </w:r>
      <w:r w:rsidRPr="00610B1B">
        <w:rPr>
          <w:rFonts w:cs="Times New Roman"/>
        </w:rPr>
        <w:t>най-богати на видове е групата на червените макроводорасли (Rhodophyta)</w:t>
      </w:r>
      <w:r w:rsidR="00D66FE0" w:rsidRPr="00610B1B">
        <w:rPr>
          <w:rFonts w:cs="Times New Roman"/>
        </w:rPr>
        <w:t xml:space="preserve"> </w:t>
      </w:r>
      <w:r w:rsidRPr="00610B1B">
        <w:rPr>
          <w:rFonts w:cs="Times New Roman"/>
        </w:rPr>
        <w:t xml:space="preserve">с 55% от видовете, следвана от кафяви (Ohcrophyta) и зелени (Chlorophyta) със сходен процентен дял от общия брой. Морските треви в българската акватория на Черно море са представени от два вида от род Zostera – </w:t>
      </w:r>
      <w:r w:rsidRPr="00610B1B">
        <w:rPr>
          <w:rFonts w:cs="Times New Roman"/>
          <w:i/>
          <w:iCs/>
        </w:rPr>
        <w:t>Zostera marina</w:t>
      </w:r>
      <w:r w:rsidRPr="00610B1B">
        <w:rPr>
          <w:rFonts w:cs="Times New Roman"/>
        </w:rPr>
        <w:t xml:space="preserve"> и </w:t>
      </w:r>
      <w:r w:rsidRPr="00610B1B">
        <w:rPr>
          <w:rFonts w:cs="Times New Roman"/>
          <w:i/>
          <w:iCs/>
        </w:rPr>
        <w:t>Zostera</w:t>
      </w:r>
      <w:r w:rsidRPr="00610B1B">
        <w:rPr>
          <w:rFonts w:cs="Times New Roman"/>
        </w:rPr>
        <w:t xml:space="preserve"> </w:t>
      </w:r>
      <w:r w:rsidRPr="00610B1B">
        <w:rPr>
          <w:rFonts w:cs="Times New Roman"/>
          <w:i/>
          <w:iCs/>
        </w:rPr>
        <w:t>noltei</w:t>
      </w:r>
      <w:r w:rsidRPr="00610B1B">
        <w:rPr>
          <w:rFonts w:cs="Times New Roman"/>
        </w:rPr>
        <w:t xml:space="preserve">, както и типичните за бракични води видове </w:t>
      </w:r>
      <w:r w:rsidRPr="00610B1B">
        <w:rPr>
          <w:rFonts w:cs="Times New Roman"/>
          <w:i/>
          <w:iCs/>
        </w:rPr>
        <w:t>Zannichellia</w:t>
      </w:r>
      <w:r w:rsidRPr="00610B1B">
        <w:rPr>
          <w:rFonts w:cs="Times New Roman"/>
        </w:rPr>
        <w:t xml:space="preserve"> </w:t>
      </w:r>
      <w:r w:rsidRPr="00610B1B">
        <w:rPr>
          <w:rFonts w:cs="Times New Roman"/>
          <w:i/>
          <w:iCs/>
        </w:rPr>
        <w:lastRenderedPageBreak/>
        <w:t>palustris, Potamogetom pectinatus и Ruppia maritima</w:t>
      </w:r>
      <w:r w:rsidRPr="00610B1B">
        <w:rPr>
          <w:rFonts w:cs="Times New Roman"/>
        </w:rPr>
        <w:t xml:space="preserve"> (БДЧР, 2013). </w:t>
      </w:r>
    </w:p>
    <w:p w14:paraId="6CB3DDE4" w14:textId="261331ED" w:rsidR="006A1AA3" w:rsidRPr="00610B1B" w:rsidRDefault="00585C13" w:rsidP="00D32D6A">
      <w:pPr>
        <w:pStyle w:val="BodyText"/>
        <w:spacing w:before="0" w:after="120" w:line="276" w:lineRule="auto"/>
        <w:ind w:right="-153"/>
        <w:rPr>
          <w:rFonts w:cs="Times New Roman"/>
        </w:rPr>
      </w:pPr>
      <w:r w:rsidRPr="00610B1B">
        <w:rPr>
          <w:rFonts w:cs="Times New Roman"/>
        </w:rPr>
        <w:t xml:space="preserve">В съвременните проучвания на структурата и разпространението на съобществата на макроводораслите и морските треви в Черно море са описани над 15 растителни асоциации, обитаващи различни биотопи и географски зони по крайбрежието ни. </w:t>
      </w:r>
      <w:r w:rsidR="009634AE" w:rsidRPr="00610B1B">
        <w:rPr>
          <w:rFonts w:cs="Times New Roman"/>
        </w:rPr>
        <w:t xml:space="preserve">Тези </w:t>
      </w:r>
      <w:r w:rsidRPr="00610B1B">
        <w:rPr>
          <w:rFonts w:cs="Times New Roman"/>
        </w:rPr>
        <w:t>широко разпространени фитобентосни съобщества са класифицирани в няколко „схеми“</w:t>
      </w:r>
      <w:r w:rsidR="00B50B76" w:rsidRPr="00610B1B">
        <w:rPr>
          <w:rFonts w:cs="Times New Roman"/>
        </w:rPr>
        <w:t>,</w:t>
      </w:r>
      <w:r w:rsidRPr="00610B1B">
        <w:rPr>
          <w:rFonts w:cs="Times New Roman"/>
        </w:rPr>
        <w:t xml:space="preserve"> базирани на Директивата за местообитанията (92/43/EEC), Рамкова директива за морска стратегия (РДМС) (2008/56/EC) и системата EUNIS</w:t>
      </w:r>
      <w:r w:rsidR="00B50B76" w:rsidRPr="00610B1B">
        <w:rPr>
          <w:rStyle w:val="FootnoteReference"/>
          <w:rFonts w:cs="Times New Roman"/>
        </w:rPr>
        <w:footnoteReference w:id="78"/>
      </w:r>
      <w:r w:rsidR="009634AE" w:rsidRPr="00610B1B">
        <w:rPr>
          <w:rFonts w:cs="Times New Roman"/>
        </w:rPr>
        <w:t xml:space="preserve"> и </w:t>
      </w:r>
      <w:r w:rsidRPr="00610B1B">
        <w:rPr>
          <w:rFonts w:cs="Times New Roman"/>
        </w:rPr>
        <w:t>са предмет на изследване на разпространението и на екологичното състояние в мониторинговите програми и периодични оценки по РДМС.</w:t>
      </w:r>
    </w:p>
    <w:p w14:paraId="7D92E728" w14:textId="0C7026B5" w:rsidR="00585C13" w:rsidRPr="00610B1B" w:rsidRDefault="00585C13" w:rsidP="00D32D6A">
      <w:pPr>
        <w:pStyle w:val="BodyText"/>
        <w:spacing w:before="0" w:after="120" w:line="276" w:lineRule="auto"/>
        <w:ind w:right="-153"/>
        <w:rPr>
          <w:rFonts w:cs="Times New Roman"/>
        </w:rPr>
      </w:pPr>
      <w:r w:rsidRPr="00610B1B">
        <w:rPr>
          <w:rFonts w:cs="Times New Roman"/>
        </w:rPr>
        <w:t>Разпространението на отличените широки типове местообитания на макроводорасли и морски треви</w:t>
      </w:r>
      <w:r w:rsidR="00D66FE0" w:rsidRPr="00610B1B">
        <w:rPr>
          <w:rFonts w:cs="Times New Roman"/>
        </w:rPr>
        <w:t xml:space="preserve"> </w:t>
      </w:r>
      <w:r w:rsidRPr="00610B1B">
        <w:rPr>
          <w:rFonts w:cs="Times New Roman"/>
        </w:rPr>
        <w:t>по българското крайбрежие на Черно море е ограничено в плитката крайбрежна зона, а приблизителните площи са оценени в първоначалната оценка на състоянието на морската среда (МОСВ, 2013). Площта на широкия тип местообитание „медиолиторални скали“ е оценена на общо 26.7 km</w:t>
      </w:r>
      <w:r w:rsidRPr="00610B1B">
        <w:rPr>
          <w:rFonts w:cs="Times New Roman"/>
          <w:vertAlign w:val="superscript"/>
        </w:rPr>
        <w:t>2</w:t>
      </w:r>
      <w:r w:rsidRPr="00610B1B">
        <w:rPr>
          <w:rFonts w:cs="Times New Roman"/>
        </w:rPr>
        <w:t>, с най-голямо разпространение в района между нос Емине и Созопол (11.36 km</w:t>
      </w:r>
      <w:r w:rsidRPr="00610B1B">
        <w:rPr>
          <w:rFonts w:cs="Times New Roman"/>
          <w:vertAlign w:val="superscript"/>
        </w:rPr>
        <w:t>2</w:t>
      </w:r>
      <w:r w:rsidRPr="00610B1B">
        <w:rPr>
          <w:rFonts w:cs="Times New Roman"/>
        </w:rPr>
        <w:t>). Площите заети от широк тип местообитание „плитки сублиторални скали“ са оценени на общо 160,76 km</w:t>
      </w:r>
      <w:r w:rsidRPr="00610B1B">
        <w:rPr>
          <w:rFonts w:cs="Times New Roman"/>
          <w:vertAlign w:val="superscript"/>
        </w:rPr>
        <w:t>2</w:t>
      </w:r>
      <w:r w:rsidRPr="00610B1B">
        <w:rPr>
          <w:rFonts w:cs="Times New Roman"/>
        </w:rPr>
        <w:t>, от които 81.04 km</w:t>
      </w:r>
      <w:r w:rsidRPr="00610B1B">
        <w:rPr>
          <w:rFonts w:cs="Times New Roman"/>
          <w:vertAlign w:val="superscript"/>
        </w:rPr>
        <w:t>2</w:t>
      </w:r>
      <w:r w:rsidRPr="00610B1B">
        <w:rPr>
          <w:rFonts w:cs="Times New Roman"/>
        </w:rPr>
        <w:t xml:space="preserve"> са в района между нос Емине и Созопол, а 20.79 km</w:t>
      </w:r>
      <w:r w:rsidRPr="00610B1B">
        <w:rPr>
          <w:rFonts w:cs="Times New Roman"/>
          <w:vertAlign w:val="superscript"/>
        </w:rPr>
        <w:t>2</w:t>
      </w:r>
      <w:r w:rsidRPr="00610B1B">
        <w:rPr>
          <w:rFonts w:cs="Times New Roman"/>
        </w:rPr>
        <w:t xml:space="preserve"> между Созопол и устието на река Резовска. Площите на</w:t>
      </w:r>
      <w:r w:rsidR="00D66FE0" w:rsidRPr="00610B1B">
        <w:rPr>
          <w:rFonts w:cs="Times New Roman"/>
        </w:rPr>
        <w:t xml:space="preserve"> </w:t>
      </w:r>
      <w:r w:rsidRPr="00610B1B">
        <w:rPr>
          <w:rFonts w:cs="Times New Roman"/>
        </w:rPr>
        <w:t>националния подтип „Подводни ливади с морски треви“ в българската акватория на Черно море е оценена на 8</w:t>
      </w:r>
      <w:r w:rsidR="00D66FE0" w:rsidRPr="00610B1B">
        <w:rPr>
          <w:rFonts w:cs="Times New Roman"/>
        </w:rPr>
        <w:t xml:space="preserve"> </w:t>
      </w:r>
      <w:r w:rsidRPr="00610B1B">
        <w:rPr>
          <w:rFonts w:cs="Times New Roman"/>
        </w:rPr>
        <w:t>km</w:t>
      </w:r>
      <w:r w:rsidRPr="00610B1B">
        <w:rPr>
          <w:rFonts w:cs="Times New Roman"/>
          <w:vertAlign w:val="superscript"/>
        </w:rPr>
        <w:t>2</w:t>
      </w:r>
      <w:r w:rsidRPr="00610B1B">
        <w:rPr>
          <w:rFonts w:cs="Times New Roman"/>
        </w:rPr>
        <w:t xml:space="preserve">, от които 95% се намират в акваторията на Бургаски залив между нос Емине и Маслен нос (ИО-БАН, 2018; МОСВ, 2013). </w:t>
      </w:r>
    </w:p>
    <w:p w14:paraId="6768B67C" w14:textId="3328BEA3" w:rsidR="00585C13" w:rsidRPr="00610B1B" w:rsidRDefault="00585C13" w:rsidP="00D32D6A">
      <w:pPr>
        <w:pStyle w:val="BodyText"/>
        <w:spacing w:before="0" w:after="120" w:line="276" w:lineRule="auto"/>
        <w:ind w:right="-153"/>
        <w:rPr>
          <w:rFonts w:cs="Times New Roman"/>
        </w:rPr>
      </w:pPr>
      <w:r w:rsidRPr="00610B1B">
        <w:rPr>
          <w:rFonts w:cs="Times New Roman"/>
        </w:rPr>
        <w:t>Обитавайки плитките крайбрежни морски води – зоната на физически контакт между морската среда и сушата</w:t>
      </w:r>
      <w:r w:rsidR="00B50B76" w:rsidRPr="00610B1B">
        <w:rPr>
          <w:rFonts w:cs="Times New Roman"/>
        </w:rPr>
        <w:t>,</w:t>
      </w:r>
      <w:r w:rsidR="00D66FE0" w:rsidRPr="00610B1B">
        <w:rPr>
          <w:rFonts w:cs="Times New Roman"/>
        </w:rPr>
        <w:t xml:space="preserve"> </w:t>
      </w:r>
      <w:r w:rsidRPr="00610B1B">
        <w:rPr>
          <w:rFonts w:cs="Times New Roman"/>
        </w:rPr>
        <w:t>растителните съобщества на макроводораслите и морските треви</w:t>
      </w:r>
      <w:r w:rsidR="00D66FE0" w:rsidRPr="00610B1B">
        <w:rPr>
          <w:rFonts w:cs="Times New Roman"/>
        </w:rPr>
        <w:t xml:space="preserve"> </w:t>
      </w:r>
      <w:r w:rsidRPr="00610B1B">
        <w:rPr>
          <w:rFonts w:cs="Times New Roman"/>
        </w:rPr>
        <w:t>са уязвими на въздействия и натиск от крайбрежието</w:t>
      </w:r>
      <w:r w:rsidR="00B50B76" w:rsidRPr="00610B1B">
        <w:rPr>
          <w:rFonts w:cs="Times New Roman"/>
        </w:rPr>
        <w:t>,</w:t>
      </w:r>
      <w:r w:rsidRPr="00610B1B">
        <w:rPr>
          <w:rFonts w:cs="Times New Roman"/>
        </w:rPr>
        <w:t xml:space="preserve"> както естествен (вток на води от речни устия, крайбрежна ерозия), така и антропогенен (урбанизиране, замърсяване, еутрофикация, унищожаване на субстратите). </w:t>
      </w:r>
      <w:r w:rsidR="006A1AA3" w:rsidRPr="00610B1B">
        <w:rPr>
          <w:rFonts w:cs="Times New Roman"/>
        </w:rPr>
        <w:t>Изграждането на морски хидротехнически съоръжения в районите н</w:t>
      </w:r>
      <w:r w:rsidR="00B50B76" w:rsidRPr="00610B1B">
        <w:rPr>
          <w:rFonts w:cs="Times New Roman"/>
        </w:rPr>
        <w:t>ос</w:t>
      </w:r>
      <w:r w:rsidR="006A1AA3" w:rsidRPr="00610B1B">
        <w:rPr>
          <w:rFonts w:cs="Times New Roman"/>
        </w:rPr>
        <w:t xml:space="preserve"> Калиакра – н</w:t>
      </w:r>
      <w:r w:rsidR="00B50B76" w:rsidRPr="00610B1B">
        <w:rPr>
          <w:rFonts w:cs="Times New Roman"/>
        </w:rPr>
        <w:t>ос</w:t>
      </w:r>
      <w:r w:rsidR="006A1AA3" w:rsidRPr="00610B1B">
        <w:rPr>
          <w:rFonts w:cs="Times New Roman"/>
        </w:rPr>
        <w:t xml:space="preserve"> Галата и н</w:t>
      </w:r>
      <w:r w:rsidR="00B50B76" w:rsidRPr="00610B1B">
        <w:rPr>
          <w:rFonts w:cs="Times New Roman"/>
        </w:rPr>
        <w:t>ос</w:t>
      </w:r>
      <w:r w:rsidR="006A1AA3" w:rsidRPr="00610B1B">
        <w:rPr>
          <w:rFonts w:cs="Times New Roman"/>
        </w:rPr>
        <w:t xml:space="preserve"> Емине – Созопол, е причина за загуба на субстрат в зоните на развитие на макроводораслите. </w:t>
      </w:r>
      <w:r w:rsidRPr="00610B1B">
        <w:rPr>
          <w:rFonts w:cs="Times New Roman"/>
        </w:rPr>
        <w:t>В първия район над 23.4% от медиолиторалните скални местообитания и над 20.1% от плитките сублиторални скални местообитания са запечатани или затрупани в резултат от антропогенни дейности. Във втория район това са съответно 14.8% от медиолиторалните скали и 12.1% от плитките сублиторални скали.</w:t>
      </w:r>
    </w:p>
    <w:p w14:paraId="708C8E5A" w14:textId="026C77FE" w:rsidR="00EC1EB7" w:rsidRPr="00610B1B" w:rsidRDefault="00261F15" w:rsidP="00AD74D0">
      <w:pPr>
        <w:pStyle w:val="BodyText"/>
        <w:spacing w:after="120"/>
        <w:ind w:right="-153"/>
        <w:rPr>
          <w:rFonts w:cs="Times New Roman"/>
          <w:iCs/>
        </w:rPr>
      </w:pPr>
      <w:r w:rsidRPr="00610B1B">
        <w:rPr>
          <w:rFonts w:cs="Times New Roman"/>
        </w:rPr>
        <w:t xml:space="preserve">Еутрофикационното въздействие върху крайбрежните екосистеми, като пряк резултат от урбанизацията, има точкови </w:t>
      </w:r>
      <w:r w:rsidR="009634AE" w:rsidRPr="00610B1B">
        <w:rPr>
          <w:rFonts w:cs="Times New Roman"/>
        </w:rPr>
        <w:t>източници</w:t>
      </w:r>
      <w:r w:rsidRPr="00610B1B">
        <w:rPr>
          <w:rFonts w:cs="Times New Roman"/>
        </w:rPr>
        <w:t xml:space="preserve"> (вток от речни устия, устия на крайбрежни лагуни и езера, вливане на канализации) и дифузни </w:t>
      </w:r>
      <w:r w:rsidR="009634AE" w:rsidRPr="00610B1B">
        <w:rPr>
          <w:rFonts w:cs="Times New Roman"/>
        </w:rPr>
        <w:t xml:space="preserve">източници </w:t>
      </w:r>
      <w:r w:rsidRPr="00610B1B">
        <w:rPr>
          <w:rFonts w:cs="Times New Roman"/>
        </w:rPr>
        <w:t>(подземни води</w:t>
      </w:r>
      <w:r w:rsidR="007666BF" w:rsidRPr="00610B1B">
        <w:rPr>
          <w:rFonts w:cs="Times New Roman"/>
        </w:rPr>
        <w:t>,</w:t>
      </w:r>
      <w:r w:rsidRPr="00610B1B">
        <w:rPr>
          <w:rFonts w:cs="Times New Roman"/>
        </w:rPr>
        <w:t xml:space="preserve"> вливащи се в морето, дъждовни оттоци). Макар че основният дял на втока на биогени в Черно море идва от водите на големите реки в северозападната част на басейна (р. Дунав), в крайбрежната зона основните източници на въздействие са локални.</w:t>
      </w:r>
      <w:r w:rsidR="00D66FE0" w:rsidRPr="00610B1B">
        <w:rPr>
          <w:rFonts w:cs="Times New Roman"/>
        </w:rPr>
        <w:t xml:space="preserve"> </w:t>
      </w:r>
      <w:r w:rsidR="00AD74D0" w:rsidRPr="00610B1B">
        <w:rPr>
          <w:rFonts w:cs="Times New Roman"/>
          <w:iCs/>
        </w:rPr>
        <w:t xml:space="preserve">Антропогенната еутрофикация води до изчезване и/или намаляване на обхвата и дълбочината на разпространение на чувствителните към замърсяване кафяви и червени водорасли, до </w:t>
      </w:r>
      <w:r w:rsidR="00AD74D0" w:rsidRPr="00610B1B">
        <w:rPr>
          <w:rFonts w:cs="Times New Roman"/>
          <w:iCs/>
        </w:rPr>
        <w:lastRenderedPageBreak/>
        <w:t xml:space="preserve">пълното им изчезване от вътрешните Варненски и Бургаския залив, както и намаляване на дълбочината на разпространение от 20-25 m през 1960-те години до 10-15 m. </w:t>
      </w:r>
    </w:p>
    <w:p w14:paraId="17C698A5" w14:textId="6ABC1353" w:rsidR="00F72F09" w:rsidRPr="00610B1B" w:rsidRDefault="00EC1EB7" w:rsidP="00C346F9">
      <w:pPr>
        <w:pStyle w:val="BodyText"/>
        <w:spacing w:after="120"/>
        <w:ind w:right="-153"/>
        <w:rPr>
          <w:rFonts w:cs="Times New Roman"/>
          <w:iCs/>
        </w:rPr>
      </w:pPr>
      <w:r w:rsidRPr="00610B1B">
        <w:rPr>
          <w:rFonts w:cs="Times New Roman"/>
          <w:iCs/>
        </w:rPr>
        <w:t xml:space="preserve">Съгласно ПУРБ </w:t>
      </w:r>
      <w:r w:rsidR="00485043" w:rsidRPr="00610B1B">
        <w:rPr>
          <w:rFonts w:cs="Times New Roman"/>
          <w:iCs/>
        </w:rPr>
        <w:t xml:space="preserve">на ЧРБУ </w:t>
      </w:r>
      <w:r w:rsidRPr="00610B1B">
        <w:rPr>
          <w:rFonts w:cs="Times New Roman"/>
          <w:iCs/>
        </w:rPr>
        <w:t xml:space="preserve">2016-2021 г. </w:t>
      </w:r>
      <w:r w:rsidR="00F72F09" w:rsidRPr="00610B1B">
        <w:rPr>
          <w:rFonts w:cs="Times New Roman"/>
          <w:iCs/>
        </w:rPr>
        <w:t xml:space="preserve">водните тела </w:t>
      </w:r>
      <w:r w:rsidR="00C346F9" w:rsidRPr="00610B1B">
        <w:rPr>
          <w:rFonts w:cs="Times New Roman"/>
          <w:iCs/>
        </w:rPr>
        <w:t>BG2BS000C005 (</w:t>
      </w:r>
      <w:r w:rsidR="00E8024B" w:rsidRPr="00610B1B">
        <w:rPr>
          <w:rFonts w:cs="Times New Roman"/>
          <w:iCs/>
        </w:rPr>
        <w:t>Варненски залив</w:t>
      </w:r>
      <w:r w:rsidR="00F72F09" w:rsidRPr="00610B1B">
        <w:rPr>
          <w:rFonts w:cs="Times New Roman"/>
          <w:iCs/>
        </w:rPr>
        <w:t>)</w:t>
      </w:r>
      <w:r w:rsidR="00C346F9" w:rsidRPr="00610B1B">
        <w:rPr>
          <w:rFonts w:cs="Times New Roman"/>
          <w:iCs/>
        </w:rPr>
        <w:t>, BG2BS000C1113 (от н. Галата до к.к. Камчия),</w:t>
      </w:r>
      <w:r w:rsidR="00F72F09" w:rsidRPr="00610B1B">
        <w:rPr>
          <w:rFonts w:cs="Times New Roman"/>
          <w:iCs/>
        </w:rPr>
        <w:t xml:space="preserve"> </w:t>
      </w:r>
      <w:r w:rsidR="00C346F9" w:rsidRPr="00610B1B">
        <w:rPr>
          <w:rFonts w:cs="Times New Roman"/>
          <w:iCs/>
        </w:rPr>
        <w:t>BG2BS000C1006 (от к.к. Камчия до Шкорпиловци), BG2BS000C1108</w:t>
      </w:r>
      <w:r w:rsidR="00C346F9" w:rsidRPr="00610B1B">
        <w:rPr>
          <w:rFonts w:cs="Times New Roman"/>
          <w:iCs/>
        </w:rPr>
        <w:tab/>
        <w:t>(от Св. Влас до Поморие)</w:t>
      </w:r>
      <w:r w:rsidR="008753B6" w:rsidRPr="00610B1B">
        <w:rPr>
          <w:rFonts w:cs="Times New Roman"/>
          <w:iCs/>
        </w:rPr>
        <w:t xml:space="preserve"> </w:t>
      </w:r>
      <w:r w:rsidR="00C346F9" w:rsidRPr="00610B1B">
        <w:rPr>
          <w:rFonts w:cs="Times New Roman"/>
          <w:iCs/>
        </w:rPr>
        <w:t xml:space="preserve">и BG2BS000C1011 (от н. Акин до н. Маслен нос) са в „лошо“ </w:t>
      </w:r>
      <w:r w:rsidR="00F72F09" w:rsidRPr="00610B1B">
        <w:rPr>
          <w:rFonts w:cs="Times New Roman"/>
          <w:iCs/>
        </w:rPr>
        <w:t xml:space="preserve">екологично състояние, докато водните тела в акваторията </w:t>
      </w:r>
      <w:r w:rsidR="00C346F9" w:rsidRPr="00610B1B">
        <w:rPr>
          <w:rFonts w:cs="Times New Roman"/>
          <w:iCs/>
        </w:rPr>
        <w:t xml:space="preserve">BG2BS000C1012 (от н. Маслен нос до устието на р. Резовска &lt; 30 м) и BG2BS000C1112 (от н. Маслен нос до устието на р. Резовска &gt; 30 м) </w:t>
      </w:r>
      <w:r w:rsidR="00F72F09" w:rsidRPr="00610B1B">
        <w:rPr>
          <w:rFonts w:cs="Times New Roman"/>
          <w:iCs/>
        </w:rPr>
        <w:t>са в „добро“</w:t>
      </w:r>
      <w:r w:rsidR="00C346F9" w:rsidRPr="00610B1B">
        <w:rPr>
          <w:rFonts w:cs="Times New Roman"/>
          <w:iCs/>
        </w:rPr>
        <w:t xml:space="preserve"> състояние, а останалите – в „умерено“.</w:t>
      </w:r>
    </w:p>
    <w:p w14:paraId="44BD3888" w14:textId="47B7D3C0" w:rsidR="00AD74D0" w:rsidRPr="00610B1B" w:rsidRDefault="006A1AA3" w:rsidP="00F72F09">
      <w:pPr>
        <w:pStyle w:val="BodyText"/>
        <w:spacing w:after="120"/>
        <w:ind w:right="-153"/>
        <w:rPr>
          <w:rFonts w:cs="Times New Roman"/>
          <w:iCs/>
        </w:rPr>
      </w:pPr>
      <w:r w:rsidRPr="00610B1B">
        <w:rPr>
          <w:rFonts w:cs="Times New Roman"/>
        </w:rPr>
        <w:t xml:space="preserve">Въздействието на замърсителите </w:t>
      </w:r>
      <w:r w:rsidR="00261F15" w:rsidRPr="00610B1B">
        <w:rPr>
          <w:rFonts w:cs="Times New Roman"/>
        </w:rPr>
        <w:t>е</w:t>
      </w:r>
      <w:r w:rsidRPr="00610B1B">
        <w:rPr>
          <w:rFonts w:cs="Times New Roman"/>
        </w:rPr>
        <w:t xml:space="preserve"> недостатъчно изучено. </w:t>
      </w:r>
      <w:r w:rsidR="00261F15" w:rsidRPr="00610B1B">
        <w:rPr>
          <w:rFonts w:cs="Times New Roman"/>
        </w:rPr>
        <w:t>Основни замърсители са специфични</w:t>
      </w:r>
      <w:r w:rsidR="007505F9" w:rsidRPr="00610B1B">
        <w:rPr>
          <w:rFonts w:cs="Times New Roman"/>
        </w:rPr>
        <w:t>те</w:t>
      </w:r>
      <w:r w:rsidR="00261F15" w:rsidRPr="00610B1B">
        <w:rPr>
          <w:rFonts w:cs="Times New Roman"/>
        </w:rPr>
        <w:t xml:space="preserve"> синтетични замърсители (органохлорни и органофосфорни съединения,</w:t>
      </w:r>
      <w:r w:rsidR="00D66FE0" w:rsidRPr="00610B1B">
        <w:rPr>
          <w:rFonts w:cs="Times New Roman"/>
        </w:rPr>
        <w:t xml:space="preserve"> </w:t>
      </w:r>
      <w:r w:rsidR="00261F15" w:rsidRPr="00610B1B">
        <w:rPr>
          <w:rFonts w:cs="Times New Roman"/>
        </w:rPr>
        <w:t>полициклични ароматни въглеводороди и др.) и специфични</w:t>
      </w:r>
      <w:r w:rsidR="007505F9" w:rsidRPr="00610B1B">
        <w:rPr>
          <w:rFonts w:cs="Times New Roman"/>
        </w:rPr>
        <w:t>те</w:t>
      </w:r>
      <w:r w:rsidR="00261F15" w:rsidRPr="00610B1B">
        <w:rPr>
          <w:rFonts w:cs="Times New Roman"/>
        </w:rPr>
        <w:t xml:space="preserve"> несинтетични замърсители (цианиди, метали и техните съединения, биогени), с разнообразни преки и непреки въздействия върху морските </w:t>
      </w:r>
      <w:r w:rsidR="00AD74D0" w:rsidRPr="00610B1B">
        <w:rPr>
          <w:rFonts w:cs="Times New Roman"/>
        </w:rPr>
        <w:t>организми</w:t>
      </w:r>
      <w:r w:rsidR="00261F15" w:rsidRPr="00610B1B">
        <w:rPr>
          <w:rFonts w:cs="Times New Roman"/>
        </w:rPr>
        <w:t>. Основни източници на замърсяване са</w:t>
      </w:r>
      <w:r w:rsidR="00D66FE0" w:rsidRPr="00610B1B">
        <w:rPr>
          <w:rFonts w:cs="Times New Roman"/>
        </w:rPr>
        <w:t xml:space="preserve"> </w:t>
      </w:r>
      <w:r w:rsidR="00261F15" w:rsidRPr="00610B1B">
        <w:rPr>
          <w:rFonts w:cs="Times New Roman"/>
        </w:rPr>
        <w:t xml:space="preserve">разположените в крайбрежните зони или по водосборите на вливащите се в морето реки индустриални предприятия, нефтопреработвателни рафинерии, индустриални ферми за отглеждане на животни, транспортна инфраструктура. Друг основен източник на замърсители с пряко въздействие е корабният трафик и рибарската дейност в крайбрежната зона. </w:t>
      </w:r>
      <w:r w:rsidRPr="00610B1B">
        <w:rPr>
          <w:rFonts w:cs="Times New Roman"/>
        </w:rPr>
        <w:t>Най-интензивно е въздействието във Варненския и Бургаския залив и</w:t>
      </w:r>
      <w:r w:rsidR="00AD74D0" w:rsidRPr="00610B1B">
        <w:rPr>
          <w:rFonts w:cs="Times New Roman"/>
        </w:rPr>
        <w:t xml:space="preserve"> около устията на големите реки.</w:t>
      </w:r>
      <w:r w:rsidRPr="00610B1B">
        <w:rPr>
          <w:rFonts w:cs="Times New Roman"/>
        </w:rPr>
        <w:t xml:space="preserve"> </w:t>
      </w:r>
    </w:p>
    <w:p w14:paraId="5A8E2A22" w14:textId="1A747552" w:rsidR="00680B4B" w:rsidRPr="00610B1B" w:rsidRDefault="00680B4B" w:rsidP="00D32D6A">
      <w:pPr>
        <w:pStyle w:val="BodyText"/>
        <w:spacing w:before="0" w:after="120" w:line="276" w:lineRule="auto"/>
        <w:ind w:right="-153"/>
        <w:rPr>
          <w:rFonts w:cs="Times New Roman"/>
        </w:rPr>
      </w:pPr>
      <w:r w:rsidRPr="00610B1B">
        <w:rPr>
          <w:rFonts w:cs="Times New Roman"/>
        </w:rPr>
        <w:t xml:space="preserve">Навлизането в Черно море на чужди видове растения и животни също би могло да има негативни въздействия върху местообитанията на морските треви и макроводораслите, но все още е слабо проучено. Такива въздействия не са установени в българската акватория на Черно море, но множество примери в Средиземно море </w:t>
      </w:r>
      <w:r w:rsidR="007505F9" w:rsidRPr="00610B1B">
        <w:rPr>
          <w:rFonts w:cs="Times New Roman"/>
        </w:rPr>
        <w:t>са</w:t>
      </w:r>
      <w:r w:rsidRPr="00610B1B">
        <w:rPr>
          <w:rFonts w:cs="Times New Roman"/>
        </w:rPr>
        <w:t xml:space="preserve"> индикация за </w:t>
      </w:r>
      <w:r w:rsidR="007505F9" w:rsidRPr="00610B1B">
        <w:rPr>
          <w:rFonts w:cs="Times New Roman"/>
        </w:rPr>
        <w:t xml:space="preserve">вероятни </w:t>
      </w:r>
      <w:r w:rsidRPr="00610B1B">
        <w:rPr>
          <w:rFonts w:cs="Times New Roman"/>
        </w:rPr>
        <w:t>подобни екологични проблеми</w:t>
      </w:r>
      <w:r w:rsidR="007505F9" w:rsidRPr="00610B1B">
        <w:rPr>
          <w:rFonts w:cs="Times New Roman"/>
        </w:rPr>
        <w:t xml:space="preserve"> в бъдеще</w:t>
      </w:r>
      <w:r w:rsidRPr="00610B1B">
        <w:rPr>
          <w:rFonts w:cs="Times New Roman"/>
        </w:rPr>
        <w:t xml:space="preserve">. </w:t>
      </w:r>
    </w:p>
    <w:p w14:paraId="36D6C65E" w14:textId="7F58092C" w:rsidR="00071B6B" w:rsidRPr="00610B1B" w:rsidRDefault="00071B6B" w:rsidP="00D32D6A">
      <w:pPr>
        <w:pStyle w:val="BodyText"/>
        <w:spacing w:before="0" w:after="120" w:line="276" w:lineRule="auto"/>
        <w:ind w:right="-153"/>
        <w:rPr>
          <w:rFonts w:cs="Times New Roman"/>
        </w:rPr>
      </w:pPr>
      <w:r w:rsidRPr="00610B1B">
        <w:rPr>
          <w:rFonts w:cs="Times New Roman"/>
        </w:rPr>
        <w:t>За постигане на добро състояние по определените показатели са предвидени мерки, за: намаляване еутрофикацията на крайбрежните морски води чрез изграждане на нови пречиствателни станции и модернизация на съществуващите, както и контрол на заустванията на отпадъчни води; намаляване на натиска от затрупване и запечатване поради изграждането на брегозащитни съоръжения;</w:t>
      </w:r>
      <w:r w:rsidR="00AD74D0" w:rsidRPr="00610B1B">
        <w:rPr>
          <w:rFonts w:cs="Times New Roman"/>
        </w:rPr>
        <w:t xml:space="preserve"> и </w:t>
      </w:r>
      <w:r w:rsidRPr="00610B1B">
        <w:rPr>
          <w:rFonts w:cs="Times New Roman"/>
        </w:rPr>
        <w:t>предотвратяване на навлизането на инвазивни чужди видове чрез контрол върху изхвърлянето на баластни води на корабите и други вектори за разпространение (напр. нови аквакултурни видове).</w:t>
      </w:r>
    </w:p>
    <w:p w14:paraId="02759908" w14:textId="1175EFCC" w:rsidR="00673EFB" w:rsidRPr="00610B1B" w:rsidRDefault="00673EFB" w:rsidP="00D32D6A">
      <w:pPr>
        <w:pStyle w:val="BodyText"/>
        <w:spacing w:before="0" w:after="120" w:line="276" w:lineRule="auto"/>
        <w:ind w:right="-153"/>
        <w:rPr>
          <w:rFonts w:cs="Times New Roman"/>
          <w:iCs/>
        </w:rPr>
      </w:pPr>
      <w:r w:rsidRPr="00610B1B">
        <w:rPr>
          <w:rFonts w:cs="Times New Roman"/>
          <w:iCs/>
        </w:rPr>
        <w:t>Основните трудности</w:t>
      </w:r>
      <w:r w:rsidR="007505F9" w:rsidRPr="00610B1B">
        <w:rPr>
          <w:rFonts w:cs="Times New Roman"/>
          <w:iCs/>
        </w:rPr>
        <w:t xml:space="preserve"> за</w:t>
      </w:r>
      <w:r w:rsidRPr="00610B1B">
        <w:rPr>
          <w:rFonts w:cs="Times New Roman"/>
          <w:iCs/>
        </w:rPr>
        <w:t xml:space="preserve"> изследване и управление на екологичното състояние на местообитанията на макроводораслите и морските треви, са свързани с недостатъчното данни за тяхното разпространение и състояние. Налице са подробни проучвания на малки по размер зони, предмет на изследвания по национални и международни проекти (CoCoNet</w:t>
      </w:r>
      <w:r w:rsidR="00C66154" w:rsidRPr="00610B1B">
        <w:rPr>
          <w:rStyle w:val="FootnoteReference"/>
          <w:rFonts w:cs="Times New Roman"/>
          <w:iCs/>
        </w:rPr>
        <w:footnoteReference w:id="79"/>
      </w:r>
      <w:r w:rsidRPr="00610B1B">
        <w:rPr>
          <w:rFonts w:cs="Times New Roman"/>
          <w:iCs/>
        </w:rPr>
        <w:t>, PERSEUS</w:t>
      </w:r>
      <w:r w:rsidRPr="00610B1B">
        <w:rPr>
          <w:rStyle w:val="FootnoteReference"/>
          <w:rFonts w:cs="Times New Roman"/>
          <w:iCs/>
        </w:rPr>
        <w:footnoteReference w:id="80"/>
      </w:r>
      <w:r w:rsidRPr="00610B1B">
        <w:rPr>
          <w:rFonts w:cs="Times New Roman"/>
          <w:iCs/>
        </w:rPr>
        <w:t>, ReConnect</w:t>
      </w:r>
      <w:r w:rsidR="00C66154" w:rsidRPr="00610B1B">
        <w:rPr>
          <w:rStyle w:val="FootnoteReference"/>
          <w:rFonts w:cs="Times New Roman"/>
          <w:iCs/>
        </w:rPr>
        <w:footnoteReference w:id="81"/>
      </w:r>
      <w:r w:rsidRPr="00610B1B">
        <w:rPr>
          <w:rFonts w:cs="Times New Roman"/>
          <w:iCs/>
        </w:rPr>
        <w:t xml:space="preserve">), точков мониторинг на състоянието по БЕК </w:t>
      </w:r>
      <w:r w:rsidRPr="00610B1B">
        <w:rPr>
          <w:rFonts w:cs="Times New Roman"/>
          <w:iCs/>
        </w:rPr>
        <w:lastRenderedPageBreak/>
        <w:t>„макроводорасли“ на РДВ</w:t>
      </w:r>
      <w:r w:rsidR="00AD74D0" w:rsidRPr="00610B1B">
        <w:rPr>
          <w:rFonts w:cs="Times New Roman"/>
          <w:iCs/>
        </w:rPr>
        <w:t xml:space="preserve"> по водни тела, както и</w:t>
      </w:r>
      <w:r w:rsidR="00D66FE0" w:rsidRPr="00610B1B">
        <w:rPr>
          <w:rFonts w:cs="Times New Roman"/>
          <w:iCs/>
        </w:rPr>
        <w:t xml:space="preserve"> </w:t>
      </w:r>
      <w:r w:rsidR="00AD74D0" w:rsidRPr="00610B1B">
        <w:rPr>
          <w:rFonts w:cs="Times New Roman"/>
          <w:iCs/>
        </w:rPr>
        <w:t>частично пълна пространствена оценка на състоянието, извършена като част от програмите за мониторинг на РДМС към 2017 г.</w:t>
      </w:r>
      <w:r w:rsidR="00D66FE0" w:rsidRPr="00610B1B">
        <w:rPr>
          <w:rFonts w:cs="Times New Roman"/>
          <w:iCs/>
        </w:rPr>
        <w:t xml:space="preserve"> </w:t>
      </w:r>
      <w:r w:rsidRPr="00610B1B">
        <w:rPr>
          <w:rFonts w:cs="Times New Roman"/>
          <w:iCs/>
        </w:rPr>
        <w:t>За очертаване на пълна и постоянна картина на динамично променящите се условия и състояния в крайбрежната зона, е необходимо тези изследвания да бъдат продължени и разширени, до покриване на пълния набор от индикатори за състояние и попълване на информацията за непроучените зони по българското Черноморско крайбрежие.</w:t>
      </w:r>
    </w:p>
    <w:p w14:paraId="35895777" w14:textId="0FD11662" w:rsidR="006A1AA3" w:rsidRPr="00610B1B" w:rsidRDefault="00673EFB" w:rsidP="00D32D6A">
      <w:pPr>
        <w:pStyle w:val="BodyText"/>
        <w:spacing w:before="0" w:after="120" w:line="276" w:lineRule="auto"/>
        <w:ind w:right="-153"/>
        <w:rPr>
          <w:rFonts w:cs="Times New Roman"/>
          <w:iCs/>
        </w:rPr>
      </w:pPr>
      <w:r w:rsidRPr="00610B1B">
        <w:rPr>
          <w:rFonts w:cs="Times New Roman"/>
          <w:iCs/>
        </w:rPr>
        <w:t xml:space="preserve">Друго съществено предизвикателство е липсата на унифицирана информационна система за съхранение, анализ и визуализация в ГИС среда на данните от различните програми за мониторинг и изследване на крайбрежните морски екосистеми. Ползването на стандартите за систематизиране на данни на европейската платформа </w:t>
      </w:r>
      <w:r w:rsidR="009F2BF6" w:rsidRPr="00610B1B">
        <w:rPr>
          <w:rFonts w:cs="Times New Roman"/>
          <w:iCs/>
        </w:rPr>
        <w:t>EMODn</w:t>
      </w:r>
      <w:r w:rsidR="007505F9" w:rsidRPr="00610B1B">
        <w:rPr>
          <w:rFonts w:cs="Times New Roman"/>
          <w:iCs/>
        </w:rPr>
        <w:t xml:space="preserve">et </w:t>
      </w:r>
      <w:r w:rsidRPr="00610B1B">
        <w:rPr>
          <w:rFonts w:cs="Times New Roman"/>
          <w:iCs/>
        </w:rPr>
        <w:t>е едно от подходящите решения на този проблем.</w:t>
      </w:r>
    </w:p>
    <w:p w14:paraId="4927D33D" w14:textId="0948A315" w:rsidR="009D4A0E" w:rsidRPr="00610B1B" w:rsidRDefault="009D4A0E" w:rsidP="00D32D6A">
      <w:pPr>
        <w:pStyle w:val="Caption"/>
        <w:spacing w:before="0" w:line="276" w:lineRule="auto"/>
        <w:ind w:right="-153"/>
        <w:rPr>
          <w:rFonts w:cs="Times New Roman"/>
          <w:b/>
          <w:bCs/>
        </w:rPr>
      </w:pPr>
      <w:r w:rsidRPr="00610B1B">
        <w:rPr>
          <w:rFonts w:cs="Times New Roman"/>
          <w:b/>
          <w:bCs/>
        </w:rPr>
        <w:t>Макрозообентос</w:t>
      </w:r>
    </w:p>
    <w:p w14:paraId="2C33CA7F" w14:textId="7DCEC80A" w:rsidR="000F54F8" w:rsidRPr="00610B1B" w:rsidRDefault="009D4A0E" w:rsidP="00D32D6A">
      <w:pPr>
        <w:pStyle w:val="BodyText"/>
        <w:spacing w:before="0" w:after="120" w:line="276" w:lineRule="auto"/>
        <w:ind w:right="-153"/>
        <w:rPr>
          <w:rFonts w:cs="Times New Roman"/>
        </w:rPr>
      </w:pPr>
      <w:r w:rsidRPr="00610B1B">
        <w:rPr>
          <w:rFonts w:cs="Times New Roman"/>
        </w:rPr>
        <w:t xml:space="preserve">Поради своя произход и екологични особености Черно море се характеризира с ниско биоразнообразие в сравнение с други морета. </w:t>
      </w:r>
      <w:r w:rsidR="00C66154" w:rsidRPr="00610B1B">
        <w:rPr>
          <w:rFonts w:cs="Times New Roman"/>
        </w:rPr>
        <w:t xml:space="preserve">Общият </w:t>
      </w:r>
      <w:r w:rsidRPr="00610B1B">
        <w:rPr>
          <w:rFonts w:cs="Times New Roman"/>
        </w:rPr>
        <w:t xml:space="preserve">брой зообентосни видове </w:t>
      </w:r>
      <w:r w:rsidRPr="00610B1B">
        <w:rPr>
          <w:rFonts w:cs="Times New Roman"/>
          <w:iCs/>
        </w:rPr>
        <w:t>(</w:t>
      </w:r>
      <w:r w:rsidRPr="00610B1B">
        <w:rPr>
          <w:rFonts w:cs="Times New Roman"/>
        </w:rPr>
        <w:t>едноклетъчни и многоклетъчни</w:t>
      </w:r>
      <w:r w:rsidRPr="00610B1B">
        <w:rPr>
          <w:rFonts w:cs="Times New Roman"/>
          <w:iCs/>
        </w:rPr>
        <w:t>)</w:t>
      </w:r>
      <w:r w:rsidRPr="00610B1B">
        <w:rPr>
          <w:rFonts w:cs="Times New Roman"/>
        </w:rPr>
        <w:t xml:space="preserve"> е 1</w:t>
      </w:r>
      <w:r w:rsidR="00B50BB2" w:rsidRPr="00610B1B">
        <w:rPr>
          <w:rFonts w:cs="Times New Roman"/>
        </w:rPr>
        <w:t> </w:t>
      </w:r>
      <w:r w:rsidRPr="00610B1B">
        <w:rPr>
          <w:rFonts w:cs="Times New Roman"/>
        </w:rPr>
        <w:t xml:space="preserve">370 и включва таксономичните групи </w:t>
      </w:r>
      <w:r w:rsidRPr="00610B1B">
        <w:rPr>
          <w:rFonts w:cs="Times New Roman"/>
          <w:i/>
          <w:iCs/>
        </w:rPr>
        <w:t>Protozoa, Porifera, Coelenterata, Platyhelminthes, Nemathelminthes, Nemertini, Annelida, Arthropoda, Mollusca, Tentaculata, Echinodermata, Chordata</w:t>
      </w:r>
      <w:r w:rsidRPr="00610B1B">
        <w:rPr>
          <w:rFonts w:cs="Times New Roman"/>
        </w:rPr>
        <w:t xml:space="preserve">. Заради ниската соленост, някои типични морски групи не се срещат </w:t>
      </w:r>
      <w:r w:rsidRPr="00610B1B">
        <w:rPr>
          <w:rFonts w:cs="Times New Roman"/>
          <w:iCs/>
        </w:rPr>
        <w:t>(</w:t>
      </w:r>
      <w:r w:rsidRPr="00610B1B">
        <w:rPr>
          <w:rFonts w:cs="Times New Roman"/>
          <w:i/>
          <w:iCs/>
        </w:rPr>
        <w:t>Cephalopoda</w:t>
      </w:r>
      <w:r w:rsidRPr="00610B1B">
        <w:rPr>
          <w:rFonts w:cs="Times New Roman"/>
          <w:iCs/>
        </w:rPr>
        <w:t>)</w:t>
      </w:r>
      <w:r w:rsidRPr="00610B1B">
        <w:rPr>
          <w:rFonts w:cs="Times New Roman"/>
        </w:rPr>
        <w:t xml:space="preserve">, други са представени от </w:t>
      </w:r>
      <w:r w:rsidR="00F3669D" w:rsidRPr="00610B1B">
        <w:rPr>
          <w:rFonts w:cs="Times New Roman"/>
        </w:rPr>
        <w:t>по-</w:t>
      </w:r>
      <w:r w:rsidRPr="00610B1B">
        <w:rPr>
          <w:rFonts w:cs="Times New Roman"/>
        </w:rPr>
        <w:t xml:space="preserve">ограничен брой видове в сравнение с други морета </w:t>
      </w:r>
      <w:r w:rsidRPr="00610B1B">
        <w:rPr>
          <w:rFonts w:cs="Times New Roman"/>
          <w:iCs/>
        </w:rPr>
        <w:t>(</w:t>
      </w:r>
      <w:r w:rsidRPr="00610B1B">
        <w:rPr>
          <w:rFonts w:cs="Times New Roman"/>
          <w:i/>
          <w:iCs/>
        </w:rPr>
        <w:t>Radiolaria</w:t>
      </w:r>
      <w:r w:rsidRPr="00610B1B">
        <w:rPr>
          <w:rFonts w:cs="Times New Roman"/>
        </w:rPr>
        <w:t xml:space="preserve">, </w:t>
      </w:r>
      <w:r w:rsidRPr="00610B1B">
        <w:rPr>
          <w:rFonts w:cs="Times New Roman"/>
          <w:i/>
          <w:iCs/>
        </w:rPr>
        <w:t>Echinodermata</w:t>
      </w:r>
      <w:r w:rsidRPr="00610B1B">
        <w:rPr>
          <w:rFonts w:cs="Times New Roman"/>
          <w:iCs/>
        </w:rPr>
        <w:t>)</w:t>
      </w:r>
      <w:r w:rsidRPr="00610B1B">
        <w:rPr>
          <w:rFonts w:cs="Times New Roman"/>
        </w:rPr>
        <w:t>.</w:t>
      </w:r>
      <w:r w:rsidR="00F3669D" w:rsidRPr="00610B1B">
        <w:rPr>
          <w:rFonts w:cs="Times New Roman"/>
        </w:rPr>
        <w:t xml:space="preserve"> </w:t>
      </w:r>
      <w:r w:rsidR="00585C13" w:rsidRPr="00610B1B">
        <w:rPr>
          <w:rFonts w:cs="Times New Roman"/>
        </w:rPr>
        <w:t xml:space="preserve">Местообитанията на тези видове </w:t>
      </w:r>
      <w:r w:rsidR="00190E62" w:rsidRPr="00610B1B">
        <w:rPr>
          <w:rFonts w:cs="Times New Roman"/>
        </w:rPr>
        <w:t>се</w:t>
      </w:r>
      <w:r w:rsidR="00585C13" w:rsidRPr="00610B1B">
        <w:rPr>
          <w:rFonts w:cs="Times New Roman"/>
        </w:rPr>
        <w:t xml:space="preserve"> раздел</w:t>
      </w:r>
      <w:r w:rsidR="00190E62" w:rsidRPr="00610B1B">
        <w:rPr>
          <w:rFonts w:cs="Times New Roman"/>
        </w:rPr>
        <w:t>ят</w:t>
      </w:r>
      <w:r w:rsidR="00585C13" w:rsidRPr="00610B1B">
        <w:rPr>
          <w:rFonts w:cs="Times New Roman"/>
        </w:rPr>
        <w:t xml:space="preserve"> на три групи в зависимост от дълбочината: медиолиторални, плитки сублиторални и шелфови сублиторални. Плитката крайбрежна зона се характеризира с голямо разнообразие на биотопи, </w:t>
      </w:r>
      <w:r w:rsidR="00896DB9" w:rsidRPr="00610B1B">
        <w:rPr>
          <w:rFonts w:cs="Times New Roman"/>
        </w:rPr>
        <w:t>но</w:t>
      </w:r>
      <w:r w:rsidR="00585C13" w:rsidRPr="00610B1B">
        <w:rPr>
          <w:rFonts w:cs="Times New Roman"/>
        </w:rPr>
        <w:t xml:space="preserve"> с дълбочината разнообразието намалява. Батиалната и абисалната зони на Черно море са естествено анаеробни</w:t>
      </w:r>
      <w:r w:rsidR="00F3669D" w:rsidRPr="00610B1B">
        <w:rPr>
          <w:rFonts w:cs="Times New Roman"/>
        </w:rPr>
        <w:t xml:space="preserve"> и</w:t>
      </w:r>
      <w:r w:rsidR="00585C13" w:rsidRPr="00610B1B">
        <w:rPr>
          <w:rFonts w:cs="Times New Roman"/>
        </w:rPr>
        <w:t xml:space="preserve"> не поддържат многоклетъчна фауна.</w:t>
      </w:r>
      <w:r w:rsidR="00D66FE0" w:rsidRPr="00610B1B">
        <w:rPr>
          <w:rFonts w:cs="Times New Roman"/>
        </w:rPr>
        <w:t xml:space="preserve"> </w:t>
      </w:r>
    </w:p>
    <w:p w14:paraId="13C69759" w14:textId="168D4FB7" w:rsidR="009A4354" w:rsidRPr="00610B1B" w:rsidRDefault="009A4354" w:rsidP="00D32D6A">
      <w:pPr>
        <w:pStyle w:val="BodyText"/>
        <w:spacing w:before="0" w:after="120" w:line="276" w:lineRule="auto"/>
        <w:ind w:right="-153"/>
        <w:rPr>
          <w:rFonts w:cs="Times New Roman"/>
        </w:rPr>
      </w:pPr>
      <w:r w:rsidRPr="00610B1B">
        <w:rPr>
          <w:rFonts w:cs="Times New Roman"/>
        </w:rPr>
        <w:t xml:space="preserve">Проследени са биологичните фактори (внасяне и разпространение на неместни видове; извличане или смъртност/нараняване на диви видове, включително целеви и прилов от </w:t>
      </w:r>
      <w:r w:rsidR="00C415D1" w:rsidRPr="00610B1B">
        <w:rPr>
          <w:rFonts w:cs="Times New Roman"/>
        </w:rPr>
        <w:t>стопански</w:t>
      </w:r>
      <w:r w:rsidRPr="00610B1B">
        <w:rPr>
          <w:rFonts w:cs="Times New Roman"/>
        </w:rPr>
        <w:t xml:space="preserve"> улов) и физичните (временно или обратимо нарушаване на морското дъно, физическа загуба поради изменения на дънния субстрат или морфология, изменени хидрологични условия) фактори, въздействащи върху състоянието на дънните местообитания. Анализирано е и въздействието на биогени, органични и опасни вещества, </w:t>
      </w:r>
      <w:r w:rsidR="00760E2D">
        <w:rPr>
          <w:rFonts w:cs="Times New Roman"/>
        </w:rPr>
        <w:t>отпадъци</w:t>
      </w:r>
      <w:r w:rsidRPr="00610B1B">
        <w:rPr>
          <w:rFonts w:cs="Times New Roman"/>
        </w:rPr>
        <w:t xml:space="preserve"> и микроотпадъци.</w:t>
      </w:r>
    </w:p>
    <w:p w14:paraId="2EDC5F98" w14:textId="5A5D3FCF" w:rsidR="009A4354" w:rsidRPr="00610B1B" w:rsidRDefault="009A4354" w:rsidP="009A4354">
      <w:pPr>
        <w:pStyle w:val="BodyText"/>
        <w:spacing w:after="120" w:line="276" w:lineRule="auto"/>
        <w:rPr>
          <w:rFonts w:cs="Times New Roman"/>
        </w:rPr>
      </w:pPr>
      <w:r w:rsidRPr="00610B1B">
        <w:rPr>
          <w:rFonts w:cs="Times New Roman"/>
        </w:rPr>
        <w:t>Според Първоначалната оценка на състоянието на морската околна среда по РДМС най- видоизменени по отношение на естествените физикогеографски условия са крайбрежните (медиолиторални и плитки сублиторални) местообитания поради запечатване, затрупване при изграждане на брегозащитни съоръжения и пристанищни вълноломи, и поради промени в хидрологията, а в някои случаи – поради натиск на инвазивни видове върху местните средообразуващи видове. Най-увредени са дънните местообитания в централните части на българското крайбрежие и шелф и в зоните нос Калиакра</w:t>
      </w:r>
      <w:r w:rsidR="00352BBB" w:rsidRPr="00610B1B">
        <w:rPr>
          <w:rFonts w:cs="Times New Roman"/>
        </w:rPr>
        <w:t xml:space="preserve"> – </w:t>
      </w:r>
      <w:r w:rsidRPr="00610B1B">
        <w:rPr>
          <w:rFonts w:cs="Times New Roman"/>
        </w:rPr>
        <w:t>нос Галата и нос Емине</w:t>
      </w:r>
      <w:r w:rsidR="001C54F7" w:rsidRPr="00610B1B">
        <w:rPr>
          <w:rFonts w:cs="Times New Roman"/>
        </w:rPr>
        <w:t xml:space="preserve"> – </w:t>
      </w:r>
      <w:r w:rsidRPr="00610B1B">
        <w:rPr>
          <w:rFonts w:cs="Times New Roman"/>
        </w:rPr>
        <w:t xml:space="preserve">Созопол, вероятно в резултат на локален антропогенен натиск от натоварване с биогенни и органични вещества и </w:t>
      </w:r>
      <w:r w:rsidR="001C54F7" w:rsidRPr="00610B1B">
        <w:rPr>
          <w:rFonts w:cs="Times New Roman"/>
        </w:rPr>
        <w:t>добиване на риболовни ресурси и незаконна архелогически дейности.</w:t>
      </w:r>
    </w:p>
    <w:p w14:paraId="55281A22" w14:textId="3C370B37" w:rsidR="00BC6536" w:rsidRPr="00610B1B" w:rsidRDefault="00190E62" w:rsidP="00D32D6A">
      <w:pPr>
        <w:pStyle w:val="BodyText"/>
        <w:spacing w:before="0" w:after="120" w:line="276" w:lineRule="auto"/>
        <w:ind w:right="-153"/>
        <w:rPr>
          <w:rFonts w:cs="Times New Roman"/>
        </w:rPr>
      </w:pPr>
      <w:r w:rsidRPr="00610B1B">
        <w:rPr>
          <w:rFonts w:cs="Times New Roman"/>
        </w:rPr>
        <w:lastRenderedPageBreak/>
        <w:t xml:space="preserve">В съобществата на зообентоса са установени 19 чужди вида, от които 7 са инвазивни. Най-силно инвазивен е видът </w:t>
      </w:r>
      <w:r w:rsidRPr="00610B1B">
        <w:rPr>
          <w:rFonts w:cs="Times New Roman"/>
          <w:i/>
          <w:iCs/>
        </w:rPr>
        <w:t>Rapana venosa</w:t>
      </w:r>
      <w:r w:rsidRPr="00610B1B">
        <w:rPr>
          <w:rFonts w:cs="Times New Roman"/>
        </w:rPr>
        <w:t>, който унищожава дънните популации на мид</w:t>
      </w:r>
      <w:r w:rsidR="009A4354" w:rsidRPr="00610B1B">
        <w:rPr>
          <w:rFonts w:cs="Times New Roman"/>
        </w:rPr>
        <w:t>и</w:t>
      </w:r>
      <w:r w:rsidRPr="00610B1B">
        <w:rPr>
          <w:rFonts w:cs="Times New Roman"/>
        </w:rPr>
        <w:t>т</w:t>
      </w:r>
      <w:r w:rsidR="009A4354" w:rsidRPr="00610B1B">
        <w:rPr>
          <w:rFonts w:cs="Times New Roman"/>
        </w:rPr>
        <w:t>е</w:t>
      </w:r>
      <w:r w:rsidRPr="00610B1B">
        <w:rPr>
          <w:rFonts w:cs="Times New Roman"/>
        </w:rPr>
        <w:t xml:space="preserve"> </w:t>
      </w:r>
      <w:r w:rsidRPr="00610B1B">
        <w:rPr>
          <w:rFonts w:cs="Times New Roman"/>
          <w:i/>
          <w:iCs/>
        </w:rPr>
        <w:t>Mytilus galloprovincialis</w:t>
      </w:r>
      <w:r w:rsidRPr="00610B1B">
        <w:rPr>
          <w:rFonts w:cs="Times New Roman"/>
        </w:rPr>
        <w:t xml:space="preserve"> и </w:t>
      </w:r>
      <w:r w:rsidRPr="00610B1B">
        <w:rPr>
          <w:rFonts w:cs="Times New Roman"/>
          <w:i/>
          <w:iCs/>
        </w:rPr>
        <w:t>Mytilaster lineatus</w:t>
      </w:r>
      <w:r w:rsidRPr="00610B1B">
        <w:rPr>
          <w:rFonts w:cs="Times New Roman"/>
        </w:rPr>
        <w:t>. И двата вида са основни средообразуващи видове на плитководните местообитания на скалния сублиторал и по-дълбоководните местообитания на митилусовата тиня. Силната приспособимост, високата размножителна способност</w:t>
      </w:r>
      <w:r w:rsidR="00064F2D" w:rsidRPr="00610B1B">
        <w:rPr>
          <w:rFonts w:cs="Times New Roman"/>
        </w:rPr>
        <w:t>,</w:t>
      </w:r>
      <w:r w:rsidRPr="00610B1B">
        <w:rPr>
          <w:rFonts w:cs="Times New Roman"/>
        </w:rPr>
        <w:t xml:space="preserve"> бързият темп на нарастване </w:t>
      </w:r>
      <w:r w:rsidR="00064F2D" w:rsidRPr="00610B1B">
        <w:rPr>
          <w:rFonts w:cs="Times New Roman"/>
        </w:rPr>
        <w:t xml:space="preserve">и липсата на естествени хищници </w:t>
      </w:r>
      <w:r w:rsidRPr="00610B1B">
        <w:rPr>
          <w:rFonts w:cs="Times New Roman"/>
        </w:rPr>
        <w:t>определя</w:t>
      </w:r>
      <w:r w:rsidR="00F3669D" w:rsidRPr="00610B1B">
        <w:rPr>
          <w:rFonts w:cs="Times New Roman"/>
        </w:rPr>
        <w:t>т</w:t>
      </w:r>
      <w:r w:rsidRPr="00610B1B">
        <w:rPr>
          <w:rFonts w:cs="Times New Roman"/>
        </w:rPr>
        <w:t xml:space="preserve"> широкото разпространение на хищния охлюв. В бъдеще може да се очаква намаляване на площта и влошаване на състоянието на тези местообитания.</w:t>
      </w:r>
      <w:r w:rsidR="00C54963" w:rsidRPr="00610B1B">
        <w:rPr>
          <w:rFonts w:cs="Times New Roman"/>
        </w:rPr>
        <w:t xml:space="preserve"> През 2017 г. за пръв път в българската акватория на Черно море (Бургаски залив) е установен чуждият вид мида </w:t>
      </w:r>
      <w:r w:rsidR="00C54963" w:rsidRPr="00610B1B">
        <w:rPr>
          <w:rFonts w:cs="Times New Roman"/>
          <w:i/>
          <w:iCs/>
        </w:rPr>
        <w:t>Arcuatula senhousia</w:t>
      </w:r>
      <w:r w:rsidR="00C54963" w:rsidRPr="00610B1B">
        <w:rPr>
          <w:rFonts w:cs="Times New Roman"/>
        </w:rPr>
        <w:t xml:space="preserve"> (Chartosia et al., 2018). Засега </w:t>
      </w:r>
      <w:r w:rsidR="00F3669D" w:rsidRPr="00610B1B">
        <w:rPr>
          <w:rFonts w:cs="Times New Roman"/>
        </w:rPr>
        <w:t>той</w:t>
      </w:r>
      <w:r w:rsidR="00C54963" w:rsidRPr="00610B1B">
        <w:rPr>
          <w:rFonts w:cs="Times New Roman"/>
        </w:rPr>
        <w:t xml:space="preserve"> се определя като случаен в Черно море, но тъй като в други райони е инвазивен, потенциалното му разпространение е добре да се следи.</w:t>
      </w:r>
    </w:p>
    <w:p w14:paraId="437C094A" w14:textId="594D4AA7" w:rsidR="001C54F7" w:rsidRPr="00610B1B" w:rsidRDefault="001C54F7" w:rsidP="00D32D6A">
      <w:pPr>
        <w:pStyle w:val="BodyText"/>
        <w:spacing w:before="0" w:after="120" w:line="276" w:lineRule="auto"/>
        <w:ind w:right="-153"/>
        <w:rPr>
          <w:rFonts w:cs="Times New Roman"/>
          <w:lang w:eastAsia="en-US" w:bidi="ar-SA"/>
        </w:rPr>
      </w:pPr>
      <w:r w:rsidRPr="00610B1B">
        <w:rPr>
          <w:rFonts w:cs="Times New Roman"/>
          <w:lang w:eastAsia="en-US" w:bidi="ar-SA"/>
        </w:rPr>
        <w:t>Една от основните човешки дейности, оказваща въздействие върху зообентосните дънни местообитания, е стопанският</w:t>
      </w:r>
      <w:r w:rsidR="00C415D1" w:rsidRPr="00610B1B">
        <w:rPr>
          <w:rFonts w:cs="Times New Roman"/>
          <w:lang w:eastAsia="en-US" w:bidi="ar-SA"/>
        </w:rPr>
        <w:t xml:space="preserve"> </w:t>
      </w:r>
      <w:r w:rsidRPr="00610B1B">
        <w:rPr>
          <w:rFonts w:cs="Times New Roman"/>
          <w:lang w:eastAsia="en-US" w:bidi="ar-SA"/>
        </w:rPr>
        <w:t xml:space="preserve">улов на видове черупкови. Пряко въздействие се оказва върху експлоатираните видове </w:t>
      </w:r>
      <w:r w:rsidRPr="00610B1B">
        <w:rPr>
          <w:rFonts w:cs="Times New Roman"/>
          <w:i/>
          <w:iCs/>
          <w:lang w:eastAsia="en-US" w:bidi="ar-SA"/>
        </w:rPr>
        <w:t>Chamelea gallina</w:t>
      </w:r>
      <w:r w:rsidRPr="00610B1B">
        <w:rPr>
          <w:rFonts w:cs="Times New Roman"/>
          <w:lang w:eastAsia="en-US" w:bidi="ar-SA"/>
        </w:rPr>
        <w:t xml:space="preserve"> и </w:t>
      </w:r>
      <w:r w:rsidRPr="00610B1B">
        <w:rPr>
          <w:rFonts w:cs="Times New Roman"/>
          <w:i/>
          <w:iCs/>
          <w:lang w:eastAsia="en-US" w:bidi="ar-SA"/>
        </w:rPr>
        <w:t>Donax</w:t>
      </w:r>
      <w:r w:rsidRPr="00610B1B">
        <w:rPr>
          <w:rFonts w:cs="Times New Roman"/>
          <w:lang w:eastAsia="en-US" w:bidi="ar-SA"/>
        </w:rPr>
        <w:t xml:space="preserve"> </w:t>
      </w:r>
      <w:r w:rsidRPr="00610B1B">
        <w:rPr>
          <w:rFonts w:cs="Times New Roman"/>
          <w:i/>
          <w:iCs/>
          <w:lang w:eastAsia="en-US" w:bidi="ar-SA"/>
        </w:rPr>
        <w:t>trunculus</w:t>
      </w:r>
      <w:r w:rsidRPr="00610B1B">
        <w:rPr>
          <w:rFonts w:cs="Times New Roman"/>
          <w:lang w:eastAsia="en-US" w:bidi="ar-SA"/>
        </w:rPr>
        <w:t xml:space="preserve"> или т. нар. „бяла мида“. Масовата нерегламентирана експлоатация с използване на забранените по Закона за рибарството и акваултурата дънни драгиращи средства в последните години вероятно ще доведе до намаляване на запасите и площта на доминираните от тези видове биотопи. Поради липсата на данни за популациите и биологията на тези миди в българското Черно море, на този етап ефектите не могат да бъдат оценени с точност.</w:t>
      </w:r>
    </w:p>
    <w:p w14:paraId="074B7F5F" w14:textId="2F6B53D6" w:rsidR="00BC6536" w:rsidRPr="00610B1B" w:rsidRDefault="00C54963" w:rsidP="00D32D6A">
      <w:pPr>
        <w:pStyle w:val="BodyText"/>
        <w:spacing w:before="0" w:after="120" w:line="276" w:lineRule="auto"/>
        <w:ind w:right="-153"/>
        <w:rPr>
          <w:rFonts w:cs="Times New Roman"/>
        </w:rPr>
      </w:pPr>
      <w:r w:rsidRPr="00610B1B">
        <w:rPr>
          <w:rFonts w:cs="Times New Roman"/>
        </w:rPr>
        <w:t xml:space="preserve">Най-сериозни последици </w:t>
      </w:r>
      <w:r w:rsidR="00B82D21" w:rsidRPr="00610B1B">
        <w:rPr>
          <w:rFonts w:cs="Times New Roman"/>
        </w:rPr>
        <w:t xml:space="preserve">от еутрофикацията за макрозообентосните съобщества </w:t>
      </w:r>
      <w:r w:rsidRPr="00610B1B">
        <w:rPr>
          <w:rFonts w:cs="Times New Roman"/>
        </w:rPr>
        <w:t>възникват в резултат на изчерпването на разтворения кислород в придънните слоеве при гниенето на органична материя.</w:t>
      </w:r>
      <w:r w:rsidR="00BC6536" w:rsidRPr="00610B1B">
        <w:rPr>
          <w:rFonts w:cs="Times New Roman"/>
        </w:rPr>
        <w:t xml:space="preserve"> </w:t>
      </w:r>
      <w:r w:rsidR="009379D4" w:rsidRPr="00610B1B">
        <w:rPr>
          <w:rFonts w:cs="Times New Roman"/>
        </w:rPr>
        <w:t>Според</w:t>
      </w:r>
      <w:r w:rsidR="00D66FE0" w:rsidRPr="00610B1B">
        <w:rPr>
          <w:rFonts w:cs="Times New Roman"/>
        </w:rPr>
        <w:t xml:space="preserve"> </w:t>
      </w:r>
      <w:r w:rsidR="009379D4" w:rsidRPr="00610B1B">
        <w:rPr>
          <w:rFonts w:cs="Times New Roman"/>
        </w:rPr>
        <w:t>мониторинговите данни, райони с по-висока степен на натоварване с биогени</w:t>
      </w:r>
      <w:r w:rsidRPr="00610B1B">
        <w:rPr>
          <w:rFonts w:cs="Times New Roman"/>
        </w:rPr>
        <w:t xml:space="preserve"> </w:t>
      </w:r>
      <w:r w:rsidR="009379D4" w:rsidRPr="00610B1B">
        <w:rPr>
          <w:rFonts w:cs="Times New Roman"/>
        </w:rPr>
        <w:t xml:space="preserve">са </w:t>
      </w:r>
      <w:r w:rsidRPr="00610B1B">
        <w:rPr>
          <w:rFonts w:cs="Times New Roman"/>
        </w:rPr>
        <w:t>Бургаския и Варненския заливи (концентрация на</w:t>
      </w:r>
      <w:r w:rsidR="00BC6536" w:rsidRPr="00610B1B">
        <w:rPr>
          <w:rFonts w:cs="Times New Roman"/>
        </w:rPr>
        <w:t xml:space="preserve"> </w:t>
      </w:r>
      <w:r w:rsidRPr="00610B1B">
        <w:rPr>
          <w:rFonts w:cs="Times New Roman"/>
        </w:rPr>
        <w:t>индустриални и битови източници, пристанищна дейност и речен вток)</w:t>
      </w:r>
      <w:r w:rsidR="000E7EC5" w:rsidRPr="00610B1B">
        <w:rPr>
          <w:rFonts w:cs="Times New Roman"/>
        </w:rPr>
        <w:t xml:space="preserve"> </w:t>
      </w:r>
      <w:r w:rsidRPr="00610B1B">
        <w:rPr>
          <w:rFonts w:cs="Times New Roman"/>
        </w:rPr>
        <w:t>и зоната пред устието на р. Камчия.</w:t>
      </w:r>
      <w:r w:rsidR="00BC6536" w:rsidRPr="00610B1B">
        <w:rPr>
          <w:rFonts w:cs="Times New Roman"/>
        </w:rPr>
        <w:t xml:space="preserve"> </w:t>
      </w:r>
      <w:r w:rsidR="003A54F8" w:rsidRPr="00610B1B">
        <w:rPr>
          <w:rFonts w:cs="Times New Roman"/>
        </w:rPr>
        <w:t>Замърсяването с плаващи и отложени на дъното макроотпадъци е по-голямо в южния шелфов район. Най-голям е делът на полимерните материали, които са и най-вредните.</w:t>
      </w:r>
      <w:r w:rsidR="00BC6536" w:rsidRPr="00610B1B">
        <w:rPr>
          <w:rFonts w:cs="Times New Roman"/>
        </w:rPr>
        <w:t xml:space="preserve"> </w:t>
      </w:r>
      <w:r w:rsidR="003A54F8" w:rsidRPr="00610B1B">
        <w:rPr>
          <w:rFonts w:cs="Times New Roman"/>
        </w:rPr>
        <w:t>Липсва систематична информация за замърсяването с опасни вещества в българския сектор на Черно море. Анализът на наличните данни извежда като райони с по-висока степен на замърсяване Бургаския и Варненския заливи, и рискови зони при и пред устието на р. Камчия.</w:t>
      </w:r>
      <w:r w:rsidR="00D66FE0" w:rsidRPr="00610B1B">
        <w:rPr>
          <w:rFonts w:cs="Times New Roman"/>
        </w:rPr>
        <w:t xml:space="preserve"> </w:t>
      </w:r>
    </w:p>
    <w:p w14:paraId="436F2D4B" w14:textId="3F361D3E" w:rsidR="00190E62" w:rsidRPr="00610B1B" w:rsidRDefault="00585C13" w:rsidP="00D32D6A">
      <w:pPr>
        <w:pStyle w:val="BodyText"/>
        <w:spacing w:before="0" w:after="120" w:line="276" w:lineRule="auto"/>
        <w:ind w:right="-153"/>
        <w:rPr>
          <w:rFonts w:cs="Times New Roman"/>
        </w:rPr>
      </w:pPr>
      <w:r w:rsidRPr="00610B1B">
        <w:rPr>
          <w:rFonts w:cs="Times New Roman"/>
        </w:rPr>
        <w:t>Съгласно обобщената оценка на състоянието на дънните местообитания</w:t>
      </w:r>
      <w:r w:rsidR="009379D4" w:rsidRPr="00610B1B">
        <w:rPr>
          <w:rFonts w:cs="Times New Roman"/>
        </w:rPr>
        <w:t xml:space="preserve"> по РДМС</w:t>
      </w:r>
      <w:r w:rsidR="00190E62" w:rsidRPr="00610B1B">
        <w:rPr>
          <w:rFonts w:cs="Times New Roman"/>
        </w:rPr>
        <w:t>,</w:t>
      </w:r>
      <w:r w:rsidRPr="00610B1B">
        <w:rPr>
          <w:rFonts w:cs="Times New Roman"/>
        </w:rPr>
        <w:t xml:space="preserve"> извършена през 2017 г., от общо 6 района на оценка, в 5 района местообитанията </w:t>
      </w:r>
      <w:r w:rsidR="00B36ECD" w:rsidRPr="00610B1B">
        <w:rPr>
          <w:rFonts w:cs="Times New Roman"/>
        </w:rPr>
        <w:t xml:space="preserve">не са в </w:t>
      </w:r>
      <w:r w:rsidRPr="00610B1B">
        <w:rPr>
          <w:rFonts w:cs="Times New Roman"/>
        </w:rPr>
        <w:t>добро състояние.</w:t>
      </w:r>
      <w:r w:rsidR="00D66FE0" w:rsidRPr="00610B1B">
        <w:rPr>
          <w:rFonts w:cs="Times New Roman"/>
        </w:rPr>
        <w:t xml:space="preserve"> </w:t>
      </w:r>
      <w:r w:rsidRPr="00610B1B">
        <w:rPr>
          <w:rFonts w:cs="Times New Roman"/>
        </w:rPr>
        <w:t>Единствено районът</w:t>
      </w:r>
      <w:r w:rsidR="00D66FE0" w:rsidRPr="00610B1B">
        <w:rPr>
          <w:rFonts w:cs="Times New Roman"/>
        </w:rPr>
        <w:t xml:space="preserve"> </w:t>
      </w:r>
      <w:r w:rsidRPr="00610B1B">
        <w:rPr>
          <w:rFonts w:cs="Times New Roman"/>
        </w:rPr>
        <w:t>н</w:t>
      </w:r>
      <w:r w:rsidR="000E7EC5" w:rsidRPr="00610B1B">
        <w:rPr>
          <w:rFonts w:cs="Times New Roman"/>
        </w:rPr>
        <w:t>ос</w:t>
      </w:r>
      <w:r w:rsidRPr="00610B1B">
        <w:rPr>
          <w:rFonts w:cs="Times New Roman"/>
        </w:rPr>
        <w:t xml:space="preserve"> Емине – Маслен нос е в добро състояние. Очакваната тенденция е отрицателна (продължаващо увреждане/загуба) в резултат на повишаване на антропогенния натиск в крайбрежната зона. </w:t>
      </w:r>
    </w:p>
    <w:p w14:paraId="250E6148" w14:textId="6882091C" w:rsidR="00585C13" w:rsidRPr="00610B1B" w:rsidRDefault="00585C13" w:rsidP="00D32D6A">
      <w:pPr>
        <w:pStyle w:val="BodyText"/>
        <w:spacing w:before="0" w:after="120" w:line="276" w:lineRule="auto"/>
        <w:ind w:right="-153"/>
        <w:rPr>
          <w:rFonts w:cs="Times New Roman"/>
        </w:rPr>
      </w:pPr>
      <w:r w:rsidRPr="00610B1B">
        <w:rPr>
          <w:rFonts w:cs="Times New Roman"/>
        </w:rPr>
        <w:t xml:space="preserve">Постигането на добро състояние </w:t>
      </w:r>
      <w:r w:rsidR="009379D4" w:rsidRPr="00610B1B">
        <w:rPr>
          <w:rFonts w:cs="Times New Roman"/>
        </w:rPr>
        <w:t xml:space="preserve">на макрозообентоса зависи от ефективността </w:t>
      </w:r>
      <w:r w:rsidRPr="00610B1B">
        <w:rPr>
          <w:rFonts w:cs="Times New Roman"/>
        </w:rPr>
        <w:t>на мерките</w:t>
      </w:r>
      <w:r w:rsidR="009379D4" w:rsidRPr="00610B1B">
        <w:rPr>
          <w:rFonts w:cs="Times New Roman"/>
        </w:rPr>
        <w:t>,</w:t>
      </w:r>
      <w:r w:rsidRPr="00610B1B">
        <w:rPr>
          <w:rFonts w:cs="Times New Roman"/>
        </w:rPr>
        <w:t xml:space="preserve"> разработени в Плановете за управление на речните басейни, съгласно РДВ и </w:t>
      </w:r>
      <w:r w:rsidR="009379D4" w:rsidRPr="00610B1B">
        <w:rPr>
          <w:rFonts w:cs="Times New Roman"/>
        </w:rPr>
        <w:t xml:space="preserve">програмата от мерки по </w:t>
      </w:r>
      <w:r w:rsidRPr="00610B1B">
        <w:rPr>
          <w:rFonts w:cs="Times New Roman"/>
        </w:rPr>
        <w:t>РДМС. Тези мерки</w:t>
      </w:r>
      <w:r w:rsidR="00B70945" w:rsidRPr="00610B1B">
        <w:rPr>
          <w:rFonts w:cs="Times New Roman"/>
        </w:rPr>
        <w:t xml:space="preserve">, аналогични на мерките за макрофитобентоса, </w:t>
      </w:r>
      <w:r w:rsidRPr="00610B1B">
        <w:rPr>
          <w:rFonts w:cs="Times New Roman"/>
        </w:rPr>
        <w:t>са насочени към</w:t>
      </w:r>
      <w:r w:rsidR="0062651E" w:rsidRPr="00610B1B">
        <w:rPr>
          <w:rFonts w:cs="Times New Roman"/>
        </w:rPr>
        <w:t xml:space="preserve"> н</w:t>
      </w:r>
      <w:r w:rsidRPr="00610B1B">
        <w:rPr>
          <w:rFonts w:cs="Times New Roman"/>
        </w:rPr>
        <w:t>амаляване на замърсяването на крайбрежните морски води</w:t>
      </w:r>
      <w:r w:rsidR="00B70945" w:rsidRPr="00610B1B">
        <w:rPr>
          <w:rFonts w:cs="Times New Roman"/>
        </w:rPr>
        <w:t xml:space="preserve">, </w:t>
      </w:r>
      <w:r w:rsidRPr="00610B1B">
        <w:rPr>
          <w:rFonts w:cs="Times New Roman"/>
        </w:rPr>
        <w:t xml:space="preserve">на натиска от затрупване и запечатване </w:t>
      </w:r>
      <w:r w:rsidR="0062651E" w:rsidRPr="00610B1B">
        <w:rPr>
          <w:rFonts w:cs="Times New Roman"/>
        </w:rPr>
        <w:t xml:space="preserve">и </w:t>
      </w:r>
      <w:r w:rsidR="00B70945" w:rsidRPr="00610B1B">
        <w:rPr>
          <w:rFonts w:cs="Times New Roman"/>
        </w:rPr>
        <w:t xml:space="preserve">към </w:t>
      </w:r>
      <w:r w:rsidR="0062651E" w:rsidRPr="00610B1B">
        <w:rPr>
          <w:rFonts w:cs="Times New Roman"/>
        </w:rPr>
        <w:t>п</w:t>
      </w:r>
      <w:r w:rsidRPr="00610B1B">
        <w:rPr>
          <w:rFonts w:cs="Times New Roman"/>
        </w:rPr>
        <w:t>редотвратяване навлизането на инвазивни чужди видове.</w:t>
      </w:r>
    </w:p>
    <w:p w14:paraId="295E44A0" w14:textId="41A4E0E0" w:rsidR="003A54F8" w:rsidRPr="00610B1B" w:rsidRDefault="003A54F8" w:rsidP="00D32D6A">
      <w:pPr>
        <w:pStyle w:val="BodyText"/>
        <w:spacing w:before="0" w:after="120" w:line="276" w:lineRule="auto"/>
        <w:ind w:right="-153"/>
        <w:rPr>
          <w:rFonts w:cs="Times New Roman"/>
        </w:rPr>
      </w:pPr>
      <w:r w:rsidRPr="00610B1B">
        <w:rPr>
          <w:rFonts w:cs="Times New Roman"/>
        </w:rPr>
        <w:t>Конкретните дейности по изпълнение на мерките са свързани с местата</w:t>
      </w:r>
      <w:r w:rsidR="009379D4" w:rsidRPr="00610B1B">
        <w:rPr>
          <w:rFonts w:cs="Times New Roman"/>
        </w:rPr>
        <w:t xml:space="preserve"> с </w:t>
      </w:r>
      <w:r w:rsidRPr="00610B1B">
        <w:rPr>
          <w:rFonts w:cs="Times New Roman"/>
        </w:rPr>
        <w:t xml:space="preserve">идентифицирани </w:t>
      </w:r>
      <w:r w:rsidRPr="00610B1B">
        <w:rPr>
          <w:rFonts w:cs="Times New Roman"/>
        </w:rPr>
        <w:lastRenderedPageBreak/>
        <w:t xml:space="preserve">най-много вредни въздействия и изменения, които трябва да бъдат преодолени, за да бъдат изпълнени изискванията за добро състояние на </w:t>
      </w:r>
      <w:r w:rsidR="009379D4" w:rsidRPr="00610B1B">
        <w:rPr>
          <w:rFonts w:cs="Times New Roman"/>
        </w:rPr>
        <w:t xml:space="preserve">морската </w:t>
      </w:r>
      <w:r w:rsidRPr="00610B1B">
        <w:rPr>
          <w:rFonts w:cs="Times New Roman"/>
        </w:rPr>
        <w:t xml:space="preserve">околна среда. </w:t>
      </w:r>
      <w:r w:rsidR="009379D4" w:rsidRPr="00610B1B">
        <w:rPr>
          <w:rFonts w:cs="Times New Roman"/>
        </w:rPr>
        <w:t>М</w:t>
      </w:r>
      <w:r w:rsidRPr="00610B1B">
        <w:rPr>
          <w:rFonts w:cs="Times New Roman"/>
        </w:rPr>
        <w:t xml:space="preserve">ерките и </w:t>
      </w:r>
      <w:r w:rsidR="00686CE6" w:rsidRPr="00610B1B">
        <w:rPr>
          <w:rFonts w:cs="Times New Roman"/>
        </w:rPr>
        <w:t>дейностите</w:t>
      </w:r>
      <w:r w:rsidRPr="00610B1B">
        <w:rPr>
          <w:rFonts w:cs="Times New Roman"/>
        </w:rPr>
        <w:t xml:space="preserve"> са описани подробно</w:t>
      </w:r>
      <w:r w:rsidR="00D14F3C" w:rsidRPr="00610B1B">
        <w:rPr>
          <w:rFonts w:cs="Times New Roman"/>
        </w:rPr>
        <w:t xml:space="preserve"> и обхващат както такива за подобряване на законодателната основа и повишаване на институционалния капацитет, така и меки мерки за повишаване на </w:t>
      </w:r>
      <w:r w:rsidR="00686CE6" w:rsidRPr="00610B1B">
        <w:rPr>
          <w:rFonts w:cs="Times New Roman"/>
        </w:rPr>
        <w:t>осведомеността</w:t>
      </w:r>
      <w:r w:rsidR="00D14F3C" w:rsidRPr="00610B1B">
        <w:rPr>
          <w:rFonts w:cs="Times New Roman"/>
        </w:rPr>
        <w:t xml:space="preserve"> на широката публика. Прегледът на документите показва, че основен проблем е </w:t>
      </w:r>
      <w:r w:rsidR="00686CE6" w:rsidRPr="00610B1B">
        <w:rPr>
          <w:rFonts w:cs="Times New Roman"/>
        </w:rPr>
        <w:t>липсата</w:t>
      </w:r>
      <w:r w:rsidR="00D14F3C" w:rsidRPr="00610B1B">
        <w:rPr>
          <w:rFonts w:cs="Times New Roman"/>
        </w:rPr>
        <w:t xml:space="preserve"> на данни по много от критериите за оценка на състоянието.</w:t>
      </w:r>
    </w:p>
    <w:p w14:paraId="5743BB94" w14:textId="7D385EA4" w:rsidR="009D4A0E" w:rsidRPr="00610B1B" w:rsidRDefault="00536709" w:rsidP="00565DC5">
      <w:pPr>
        <w:pStyle w:val="Heading4"/>
        <w:rPr>
          <w:rFonts w:cs="Times New Roman"/>
        </w:rPr>
      </w:pPr>
      <w:r w:rsidRPr="00610B1B">
        <w:rPr>
          <w:rFonts w:cs="Times New Roman"/>
        </w:rPr>
        <w:t>2.</w:t>
      </w:r>
      <w:r w:rsidR="00227363" w:rsidRPr="00610B1B">
        <w:rPr>
          <w:rFonts w:cs="Times New Roman"/>
        </w:rPr>
        <w:t>2</w:t>
      </w:r>
      <w:r w:rsidRPr="00610B1B">
        <w:rPr>
          <w:rFonts w:cs="Times New Roman"/>
        </w:rPr>
        <w:t xml:space="preserve">.4.3. </w:t>
      </w:r>
      <w:r w:rsidR="009D4A0E" w:rsidRPr="00610B1B">
        <w:rPr>
          <w:rFonts w:cs="Times New Roman"/>
        </w:rPr>
        <w:t>Риби</w:t>
      </w:r>
    </w:p>
    <w:p w14:paraId="3ADD5C55" w14:textId="2F3A8C47"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Морските риби се разглеждат като отделна екологична функционална група на биоразнообразието </w:t>
      </w:r>
      <w:r w:rsidRPr="00610B1B">
        <w:rPr>
          <w:rFonts w:cs="Times New Roman"/>
          <w:iCs/>
        </w:rPr>
        <w:t>(</w:t>
      </w:r>
      <w:r w:rsidRPr="00610B1B">
        <w:rPr>
          <w:rFonts w:cs="Times New Roman"/>
        </w:rPr>
        <w:t>дескриптор 1</w:t>
      </w:r>
      <w:r w:rsidRPr="00610B1B">
        <w:rPr>
          <w:rFonts w:cs="Times New Roman"/>
          <w:iCs/>
        </w:rPr>
        <w:t>)</w:t>
      </w:r>
      <w:r w:rsidRPr="00610B1B">
        <w:rPr>
          <w:rFonts w:cs="Times New Roman"/>
        </w:rPr>
        <w:t xml:space="preserve"> и морските хранителни вериги </w:t>
      </w:r>
      <w:r w:rsidRPr="00610B1B">
        <w:rPr>
          <w:rFonts w:cs="Times New Roman"/>
          <w:iCs/>
        </w:rPr>
        <w:t>(</w:t>
      </w:r>
      <w:r w:rsidRPr="00610B1B">
        <w:rPr>
          <w:rFonts w:cs="Times New Roman"/>
        </w:rPr>
        <w:t>дескриптор 4</w:t>
      </w:r>
      <w:r w:rsidRPr="00610B1B">
        <w:rPr>
          <w:rFonts w:cs="Times New Roman"/>
          <w:iCs/>
        </w:rPr>
        <w:t>)</w:t>
      </w:r>
      <w:r w:rsidRPr="00610B1B">
        <w:rPr>
          <w:rFonts w:cs="Times New Roman"/>
        </w:rPr>
        <w:t xml:space="preserve"> от Рамкова директива за морска стратегия 2008/56/ЕО. В Българската акватория на Черно море има 134 вида риби, които принадлежат към 44 семейства. Повечето от тези видове са средиземноморски имигранти </w:t>
      </w:r>
      <w:r w:rsidRPr="00610B1B">
        <w:rPr>
          <w:rFonts w:cs="Times New Roman"/>
          <w:iCs/>
        </w:rPr>
        <w:t>(</w:t>
      </w:r>
      <w:r w:rsidRPr="00610B1B">
        <w:rPr>
          <w:rFonts w:cs="Times New Roman"/>
        </w:rPr>
        <w:t>100 вида</w:t>
      </w:r>
      <w:r w:rsidRPr="00610B1B">
        <w:rPr>
          <w:rFonts w:cs="Times New Roman"/>
          <w:iCs/>
        </w:rPr>
        <w:t>)</w:t>
      </w:r>
      <w:r w:rsidRPr="00610B1B">
        <w:rPr>
          <w:rFonts w:cs="Times New Roman"/>
        </w:rPr>
        <w:t xml:space="preserve">, 23 са понто-каспийски реликти и 10 вида са бореално-атлантически реликти. Един вид от кефаловите риби </w:t>
      </w:r>
      <w:r w:rsidRPr="00610B1B">
        <w:rPr>
          <w:rFonts w:cs="Times New Roman"/>
          <w:iCs/>
        </w:rPr>
        <w:t>(</w:t>
      </w:r>
      <w:r w:rsidRPr="00610B1B">
        <w:rPr>
          <w:rFonts w:cs="Times New Roman"/>
          <w:i/>
        </w:rPr>
        <w:t>Mugil soiuy</w:t>
      </w:r>
      <w:r w:rsidRPr="00610B1B">
        <w:rPr>
          <w:rFonts w:cs="Times New Roman"/>
          <w:iCs/>
        </w:rPr>
        <w:t>)</w:t>
      </w:r>
      <w:r w:rsidRPr="00610B1B">
        <w:rPr>
          <w:rFonts w:cs="Times New Roman"/>
        </w:rPr>
        <w:t xml:space="preserve"> е интродуциран в Черно море и понастоящем е широко разпространен по Българския бряг. Видовете, които извършват миграции между крайбрежната и откритоморската зона са 62, докато 64 вида извършват миграции между северната и южната част на Черно море. Общият брой видове, които се размножават в пелагиала </w:t>
      </w:r>
      <w:r w:rsidRPr="00610B1B">
        <w:rPr>
          <w:rFonts w:cs="Times New Roman"/>
          <w:iCs/>
        </w:rPr>
        <w:t>(</w:t>
      </w:r>
      <w:r w:rsidRPr="00610B1B">
        <w:rPr>
          <w:rFonts w:cs="Times New Roman"/>
        </w:rPr>
        <w:t>открити води</w:t>
      </w:r>
      <w:r w:rsidRPr="00610B1B">
        <w:rPr>
          <w:rFonts w:cs="Times New Roman"/>
          <w:iCs/>
        </w:rPr>
        <w:t>)</w:t>
      </w:r>
      <w:r w:rsidRPr="00610B1B">
        <w:rPr>
          <w:rFonts w:cs="Times New Roman"/>
        </w:rPr>
        <w:t xml:space="preserve"> е 66. Около 27</w:t>
      </w:r>
      <w:r w:rsidR="00D14F3C" w:rsidRPr="00610B1B">
        <w:rPr>
          <w:rFonts w:cs="Times New Roman"/>
        </w:rPr>
        <w:t xml:space="preserve"> до </w:t>
      </w:r>
      <w:r w:rsidRPr="00610B1B">
        <w:rPr>
          <w:rFonts w:cs="Times New Roman"/>
        </w:rPr>
        <w:t>29 от тях се размножават по българското крайбрежие: 17-19 в близост до брега и 10 – в открити води</w:t>
      </w:r>
      <w:r w:rsidR="00227363" w:rsidRPr="00610B1B">
        <w:rPr>
          <w:rFonts w:cs="Times New Roman"/>
        </w:rPr>
        <w:t>.</w:t>
      </w:r>
      <w:r w:rsidRPr="00610B1B">
        <w:rPr>
          <w:rFonts w:cs="Times New Roman"/>
        </w:rPr>
        <w:t xml:space="preserve"> </w:t>
      </w:r>
      <w:r w:rsidR="00227363" w:rsidRPr="00610B1B">
        <w:rPr>
          <w:rFonts w:cs="Times New Roman"/>
        </w:rPr>
        <w:t xml:space="preserve">От общо </w:t>
      </w:r>
      <w:r w:rsidRPr="00610B1B">
        <w:rPr>
          <w:rFonts w:cs="Times New Roman"/>
        </w:rPr>
        <w:t>46 вида риби</w:t>
      </w:r>
      <w:r w:rsidR="00227363" w:rsidRPr="00610B1B">
        <w:rPr>
          <w:rFonts w:cs="Times New Roman"/>
        </w:rPr>
        <w:t xml:space="preserve">, които </w:t>
      </w:r>
      <w:r w:rsidRPr="00610B1B">
        <w:rPr>
          <w:rFonts w:cs="Times New Roman"/>
        </w:rPr>
        <w:t>отлагат хайвера си на дъното, 41-42 се размножават в българската акватория. Живораждащи са 3 вида, два от които се срещат по българското крайбрежие. С изключение на 6 вида, които се размножават през есенно-зимния сезон, останалите видове се размножават през пролетта и лятото. Повечето видове риби се размножават в крайбрежната зона, което ги прави по-уязвими към замърсяване.</w:t>
      </w:r>
    </w:p>
    <w:p w14:paraId="20DAC4B3" w14:textId="393CF86F" w:rsidR="00BC6536" w:rsidRPr="00610B1B" w:rsidRDefault="00BC6536" w:rsidP="00D32D6A">
      <w:pPr>
        <w:widowControl w:val="0"/>
        <w:tabs>
          <w:tab w:val="left" w:pos="225"/>
        </w:tabs>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92/43/ЕИО за запазването на природните местообитания и на дивата флора и фауна включва следните видове черноморски риби: немска есетра - </w:t>
      </w:r>
      <w:r w:rsidRPr="00610B1B">
        <w:rPr>
          <w:rFonts w:ascii="Times New Roman" w:eastAsia="Source Han Sans CN Regular" w:hAnsi="Times New Roman" w:cs="Times New Roman"/>
          <w:i/>
          <w:sz w:val="24"/>
          <w:szCs w:val="24"/>
          <w:lang w:val="bg-BG" w:eastAsia="zh-CN" w:bidi="hi-IN"/>
        </w:rPr>
        <w:t xml:space="preserve">Acipenser sturio; </w:t>
      </w:r>
      <w:r w:rsidRPr="00610B1B">
        <w:rPr>
          <w:rFonts w:ascii="Times New Roman" w:eastAsia="Source Han Sans CN Regular" w:hAnsi="Times New Roman" w:cs="Times New Roman"/>
          <w:iCs/>
          <w:sz w:val="24"/>
          <w:szCs w:val="24"/>
          <w:lang w:val="bg-BG" w:eastAsia="zh-CN" w:bidi="hi-IN"/>
        </w:rPr>
        <w:t xml:space="preserve">и </w:t>
      </w:r>
      <w:r w:rsidRPr="00610B1B">
        <w:rPr>
          <w:rFonts w:ascii="Times New Roman" w:eastAsia="Source Han Sans CN Regular" w:hAnsi="Times New Roman" w:cs="Times New Roman"/>
          <w:sz w:val="24"/>
          <w:szCs w:val="24"/>
          <w:lang w:val="bg-BG" w:eastAsia="zh-CN" w:bidi="hi-IN"/>
        </w:rPr>
        <w:t xml:space="preserve">видовете от р. Alosa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карагьозови</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Немската есетра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sz w:val="24"/>
          <w:szCs w:val="24"/>
          <w:lang w:val="bg-BG" w:eastAsia="zh-CN" w:bidi="hi-IN"/>
        </w:rPr>
        <w:t>Acipenser sturio</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е включена в Червената книга на Р. България, но се счита за изчезнал вид по българското крайбрежие. В Черно море са улавяни само единични индивиди в района на Варна и Бургас. Видовете от р. Alosa са разпределени неравномерно в българската морска акватория</w:t>
      </w:r>
      <w:r w:rsidR="009E14CB" w:rsidRPr="00610B1B">
        <w:rPr>
          <w:rFonts w:ascii="Times New Roman" w:eastAsia="Source Han Sans CN Regular" w:hAnsi="Times New Roman" w:cs="Times New Roman"/>
          <w:sz w:val="24"/>
          <w:szCs w:val="24"/>
          <w:lang w:val="bg-BG" w:eastAsia="zh-CN" w:bidi="hi-IN"/>
        </w:rPr>
        <w:t>, п</w:t>
      </w:r>
      <w:r w:rsidRPr="00610B1B">
        <w:rPr>
          <w:rFonts w:ascii="Times New Roman" w:eastAsia="Source Han Sans CN Regular" w:hAnsi="Times New Roman" w:cs="Times New Roman"/>
          <w:sz w:val="24"/>
          <w:szCs w:val="24"/>
          <w:lang w:val="bg-BG" w:eastAsia="zh-CN" w:bidi="hi-IN"/>
        </w:rPr>
        <w:t>рез пролетния сезон се срещат в крайбрежната зона, мигрирайки към реките за размножаване. Голяма част от уловените индивиди са възрастни, 3-4 годишни полово-зрели, със средна дължина 27.5 cm. През есенните и зимни месеци се наблюдават в цялата акватория, с по-висока численост в районите пред Шабла – Калиакра, Камчия – н</w:t>
      </w:r>
      <w:r w:rsidR="000E7EC5" w:rsidRPr="00610B1B">
        <w:rPr>
          <w:rFonts w:ascii="Times New Roman" w:eastAsia="Source Han Sans CN Regular" w:hAnsi="Times New Roman" w:cs="Times New Roman"/>
          <w:sz w:val="24"/>
          <w:szCs w:val="24"/>
          <w:lang w:val="bg-BG" w:eastAsia="zh-CN" w:bidi="hi-IN"/>
        </w:rPr>
        <w:t>ос</w:t>
      </w:r>
      <w:r w:rsidRPr="00610B1B">
        <w:rPr>
          <w:rFonts w:ascii="Times New Roman" w:eastAsia="Source Han Sans CN Regular" w:hAnsi="Times New Roman" w:cs="Times New Roman"/>
          <w:sz w:val="24"/>
          <w:szCs w:val="24"/>
          <w:lang w:val="bg-BG" w:eastAsia="zh-CN" w:bidi="hi-IN"/>
        </w:rPr>
        <w:t xml:space="preserve"> Емине и Маслен нос – Царево на дълбочини от 50 до 75 m. Повечето от уловените индивиди са незрели, на възраст 1-2 години и средна дължина 16.5 cm. Приложение 2 към Протокола за опазване на биоразнообразието в Черно море включва</w:t>
      </w:r>
      <w:r w:rsidR="000E7EC5"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38 вида редки и застрашени риби, важни за екосистемата на Черно море</w:t>
      </w:r>
      <w:r w:rsidRPr="00610B1B">
        <w:rPr>
          <w:rFonts w:ascii="Times New Roman" w:eastAsia="Source Han Sans CN Regular" w:hAnsi="Times New Roman" w:cs="Times New Roman"/>
          <w:sz w:val="24"/>
          <w:szCs w:val="24"/>
          <w:vertAlign w:val="superscript"/>
          <w:lang w:val="bg-BG" w:eastAsia="zh-CN" w:bidi="hi-IN"/>
        </w:rPr>
        <w:footnoteReference w:id="82"/>
      </w:r>
      <w:r w:rsidRPr="00610B1B">
        <w:rPr>
          <w:rFonts w:ascii="Times New Roman" w:eastAsia="Source Han Sans CN Regular" w:hAnsi="Times New Roman" w:cs="Times New Roman"/>
          <w:sz w:val="24"/>
          <w:szCs w:val="24"/>
          <w:lang w:val="bg-BG" w:eastAsia="zh-CN" w:bidi="hi-IN"/>
        </w:rPr>
        <w:t>.</w:t>
      </w:r>
    </w:p>
    <w:p w14:paraId="703DA1AD" w14:textId="6AC03D72" w:rsidR="00BC6536" w:rsidRPr="00610B1B" w:rsidRDefault="00190E62" w:rsidP="00D32D6A">
      <w:pPr>
        <w:pStyle w:val="BodyText"/>
        <w:spacing w:before="0" w:after="120" w:line="276" w:lineRule="auto"/>
        <w:ind w:right="-153"/>
        <w:rPr>
          <w:rFonts w:cs="Times New Roman"/>
        </w:rPr>
      </w:pPr>
      <w:r w:rsidRPr="00610B1B">
        <w:rPr>
          <w:rFonts w:cs="Times New Roman"/>
        </w:rPr>
        <w:t xml:space="preserve">РДМС разграничава видове риби, които са обект на </w:t>
      </w:r>
      <w:r w:rsidR="00DD6CD4" w:rsidRPr="00610B1B">
        <w:rPr>
          <w:rFonts w:cs="Times New Roman"/>
        </w:rPr>
        <w:t>стопански риболов</w:t>
      </w:r>
      <w:r w:rsidRPr="00610B1B">
        <w:rPr>
          <w:rFonts w:cs="Times New Roman"/>
        </w:rPr>
        <w:t xml:space="preserve"> (</w:t>
      </w:r>
      <w:r w:rsidR="00352BBB" w:rsidRPr="00610B1B">
        <w:rPr>
          <w:rFonts w:cs="Times New Roman"/>
        </w:rPr>
        <w:t>Дескриптор </w:t>
      </w:r>
      <w:r w:rsidRPr="00610B1B">
        <w:rPr>
          <w:rFonts w:cs="Times New Roman"/>
        </w:rPr>
        <w:t>1,</w:t>
      </w:r>
      <w:r w:rsidR="00B60338" w:rsidRPr="00610B1B">
        <w:rPr>
          <w:rFonts w:cs="Times New Roman"/>
        </w:rPr>
        <w:t> </w:t>
      </w:r>
      <w:r w:rsidRPr="00610B1B">
        <w:rPr>
          <w:rFonts w:cs="Times New Roman"/>
        </w:rPr>
        <w:t xml:space="preserve">3) и видове риби, които не са обект на </w:t>
      </w:r>
      <w:r w:rsidR="00DD6CD4" w:rsidRPr="00610B1B">
        <w:rPr>
          <w:rFonts w:cs="Times New Roman"/>
        </w:rPr>
        <w:t>стопански риболов</w:t>
      </w:r>
      <w:r w:rsidRPr="00610B1B">
        <w:rPr>
          <w:rFonts w:cs="Times New Roman"/>
        </w:rPr>
        <w:t xml:space="preserve"> (</w:t>
      </w:r>
      <w:r w:rsidR="00352BBB" w:rsidRPr="00610B1B">
        <w:rPr>
          <w:rFonts w:cs="Times New Roman"/>
        </w:rPr>
        <w:t xml:space="preserve">Дескриптор </w:t>
      </w:r>
      <w:r w:rsidRPr="00610B1B">
        <w:rPr>
          <w:rFonts w:cs="Times New Roman"/>
        </w:rPr>
        <w:t xml:space="preserve">1, 4). Въпреки че </w:t>
      </w:r>
      <w:r w:rsidR="00DD6CD4" w:rsidRPr="00610B1B">
        <w:rPr>
          <w:rFonts w:cs="Times New Roman"/>
        </w:rPr>
        <w:t>стопанският риболов</w:t>
      </w:r>
      <w:r w:rsidRPr="00610B1B">
        <w:rPr>
          <w:rFonts w:cs="Times New Roman"/>
        </w:rPr>
        <w:t xml:space="preserve"> оказва натиск основно върху стопански ценните видове риби, </w:t>
      </w:r>
      <w:r w:rsidRPr="00610B1B">
        <w:rPr>
          <w:rFonts w:cs="Times New Roman"/>
        </w:rPr>
        <w:lastRenderedPageBreak/>
        <w:t xml:space="preserve">натискът е насочен и върху останалите видове, които попадат в рибарските мрежи </w:t>
      </w:r>
      <w:r w:rsidR="009E14CB" w:rsidRPr="00610B1B">
        <w:rPr>
          <w:rFonts w:cs="Times New Roman"/>
        </w:rPr>
        <w:t>като</w:t>
      </w:r>
      <w:r w:rsidRPr="00610B1B">
        <w:rPr>
          <w:rFonts w:cs="Times New Roman"/>
        </w:rPr>
        <w:t xml:space="preserve"> случаен </w:t>
      </w:r>
      <w:r w:rsidR="003F5D95" w:rsidRPr="00610B1B">
        <w:rPr>
          <w:rFonts w:cs="Times New Roman"/>
        </w:rPr>
        <w:t>при</w:t>
      </w:r>
      <w:r w:rsidRPr="00610B1B">
        <w:rPr>
          <w:rFonts w:cs="Times New Roman"/>
        </w:rPr>
        <w:t>улов</w:t>
      </w:r>
      <w:r w:rsidR="00BC6536" w:rsidRPr="00610B1B">
        <w:rPr>
          <w:rFonts w:cs="Times New Roman"/>
        </w:rPr>
        <w:t xml:space="preserve">. Поради тази причина </w:t>
      </w:r>
      <w:r w:rsidRPr="00610B1B">
        <w:rPr>
          <w:rFonts w:cs="Times New Roman"/>
        </w:rPr>
        <w:t xml:space="preserve">мащабът на натиска е неизвестен, но въздействието </w:t>
      </w:r>
      <w:r w:rsidR="00A11253" w:rsidRPr="00610B1B">
        <w:rPr>
          <w:rFonts w:cs="Times New Roman"/>
        </w:rPr>
        <w:t>съществува</w:t>
      </w:r>
      <w:r w:rsidRPr="00610B1B">
        <w:rPr>
          <w:rFonts w:cs="Times New Roman"/>
        </w:rPr>
        <w:t xml:space="preserve">. </w:t>
      </w:r>
    </w:p>
    <w:p w14:paraId="23E9AD71" w14:textId="6584CE12" w:rsidR="00190E62" w:rsidRPr="00610B1B" w:rsidRDefault="001A4286" w:rsidP="00D32D6A">
      <w:pPr>
        <w:widowControl w:val="0"/>
        <w:spacing w:after="120"/>
        <w:ind w:right="-153"/>
        <w:jc w:val="both"/>
        <w:rPr>
          <w:rFonts w:ascii="Times New Roman" w:hAnsi="Times New Roman" w:cs="Times New Roman"/>
          <w:sz w:val="24"/>
          <w:szCs w:val="24"/>
          <w:lang w:val="bg-BG"/>
        </w:rPr>
      </w:pPr>
      <w:r w:rsidRPr="00610B1B">
        <w:rPr>
          <w:rFonts w:ascii="Times New Roman" w:eastAsia="Source Han Sans CN Regular" w:hAnsi="Times New Roman" w:cs="Times New Roman"/>
          <w:sz w:val="24"/>
          <w:szCs w:val="24"/>
          <w:lang w:val="bg-BG" w:eastAsia="zh-CN" w:bidi="hi-IN"/>
        </w:rPr>
        <w:t xml:space="preserve">Обект на риболов в българската акватория на Черно море са над 20 вида риби, описани в </w:t>
      </w:r>
      <w:r w:rsidR="00BB617E" w:rsidRPr="00610B1B">
        <w:rPr>
          <w:rFonts w:ascii="Times New Roman" w:eastAsia="Source Han Sans CN Regular" w:hAnsi="Times New Roman" w:cs="Times New Roman"/>
          <w:sz w:val="24"/>
          <w:szCs w:val="24"/>
          <w:lang w:val="bg-BG" w:eastAsia="zh-CN" w:bidi="hi-IN"/>
        </w:rPr>
        <w:t>Годишния доклад за състоянието и развитието на земеделието</w:t>
      </w:r>
      <w:r w:rsidR="008753B6" w:rsidRPr="00610B1B">
        <w:rPr>
          <w:rFonts w:ascii="Times New Roman" w:eastAsia="Source Han Sans CN Regular" w:hAnsi="Times New Roman" w:cs="Times New Roman"/>
          <w:sz w:val="24"/>
          <w:szCs w:val="24"/>
          <w:lang w:val="bg-BG" w:eastAsia="zh-CN" w:bidi="hi-IN"/>
        </w:rPr>
        <w:t xml:space="preserve"> </w:t>
      </w:r>
      <w:r w:rsidR="00BB617E" w:rsidRPr="00610B1B">
        <w:rPr>
          <w:rFonts w:ascii="Times New Roman" w:eastAsia="Source Han Sans CN Regular" w:hAnsi="Times New Roman" w:cs="Times New Roman"/>
          <w:sz w:val="24"/>
          <w:szCs w:val="24"/>
          <w:lang w:val="bg-BG" w:eastAsia="zh-CN" w:bidi="hi-IN"/>
        </w:rPr>
        <w:t>( Аграрен доклад -2020)</w:t>
      </w:r>
      <w:r w:rsidR="00BB617E" w:rsidRPr="00610B1B">
        <w:rPr>
          <w:rFonts w:ascii="Times New Roman" w:eastAsia="Source Han Sans CN Regular" w:hAnsi="Times New Roman" w:cs="Times New Roman"/>
          <w:sz w:val="24"/>
          <w:szCs w:val="24"/>
          <w:vertAlign w:val="superscript"/>
          <w:lang w:val="bg-BG" w:eastAsia="zh-CN" w:bidi="hi-IN"/>
        </w:rPr>
        <w:t>84</w:t>
      </w:r>
      <w:r w:rsidR="00BB617E" w:rsidRPr="00610B1B">
        <w:rPr>
          <w:rFonts w:ascii="Times New Roman" w:eastAsia="Source Han Sans CN Regular" w:hAnsi="Times New Roman" w:cs="Times New Roman"/>
          <w:sz w:val="24"/>
          <w:szCs w:val="24"/>
          <w:lang w:val="bg-BG" w:eastAsia="zh-CN" w:bidi="hi-IN"/>
        </w:rPr>
        <w:t>,</w:t>
      </w:r>
      <w:r w:rsidR="00BB617E" w:rsidRPr="00610B1B">
        <w:rPr>
          <w:rFonts w:ascii="Times New Roman" w:hAnsi="Times New Roman" w:cs="Times New Roman"/>
          <w:lang w:val="bg-BG"/>
        </w:rPr>
        <w:t xml:space="preserve"> </w:t>
      </w:r>
      <w:r w:rsidR="00BB617E" w:rsidRPr="00610B1B">
        <w:rPr>
          <w:rFonts w:ascii="Times New Roman" w:hAnsi="Times New Roman" w:cs="Times New Roman"/>
          <w:sz w:val="24"/>
          <w:szCs w:val="24"/>
          <w:lang w:val="bg-BG"/>
        </w:rPr>
        <w:t xml:space="preserve">Оценката за състоянието на рибните запаси за Черно море през последните години се извършва в рамките на изпълнението на научните изследвания, които България е задължена да осъществява, в изпълнение на </w:t>
      </w:r>
      <w:r w:rsidR="00FD37F6" w:rsidRPr="00610B1B">
        <w:rPr>
          <w:rFonts w:ascii="Times New Roman" w:hAnsi="Times New Roman" w:cs="Times New Roman"/>
          <w:sz w:val="24"/>
          <w:szCs w:val="24"/>
          <w:lang w:val="bg-BG"/>
        </w:rPr>
        <w:t>многогодишната</w:t>
      </w:r>
      <w:r w:rsidR="00BB617E" w:rsidRPr="00610B1B">
        <w:rPr>
          <w:rFonts w:ascii="Times New Roman" w:hAnsi="Times New Roman" w:cs="Times New Roman"/>
          <w:sz w:val="24"/>
          <w:szCs w:val="24"/>
          <w:lang w:val="bg-BG"/>
        </w:rPr>
        <w:t xml:space="preserve"> програма на Съюза за събиране и управление на данни в сектор рибарство в изпълнение на РЕГЛАМЕНТ (ЕС) 2017/ 1004 на Европейския парламент и на съюза за събиране, управление и използване на данни в сектора на рибарството и за подкрепа при изготвяне на научни становища във връзка с общата политика в областта на рибарството, и за отмяна на Регламент (ЕС) № 199/ 2008 на Съвета.</w:t>
      </w:r>
      <w:r w:rsidR="008753B6" w:rsidRPr="00610B1B">
        <w:rPr>
          <w:rFonts w:ascii="Times New Roman" w:hAnsi="Times New Roman" w:cs="Times New Roman"/>
          <w:sz w:val="24"/>
          <w:szCs w:val="24"/>
          <w:lang w:val="bg-BG"/>
        </w:rPr>
        <w:t xml:space="preserve"> </w:t>
      </w:r>
      <w:r w:rsidR="00BB617E" w:rsidRPr="00610B1B">
        <w:rPr>
          <w:rFonts w:ascii="Times New Roman" w:hAnsi="Times New Roman" w:cs="Times New Roman"/>
          <w:sz w:val="24"/>
          <w:szCs w:val="24"/>
          <w:lang w:val="bg-BG"/>
        </w:rPr>
        <w:t>Основната оценка се прави за квотираните видове риби, които за Черно море са калкан (S. maximus) и трицона (Sprattus sprattus). Институтите, отговорни и изпълняващи тази дейност са</w:t>
      </w:r>
      <w:r w:rsidR="008753B6" w:rsidRPr="00610B1B">
        <w:rPr>
          <w:rFonts w:ascii="Times New Roman" w:hAnsi="Times New Roman" w:cs="Times New Roman"/>
          <w:sz w:val="24"/>
          <w:szCs w:val="24"/>
          <w:lang w:val="bg-BG"/>
        </w:rPr>
        <w:t>:</w:t>
      </w:r>
      <w:r w:rsidR="00BB617E" w:rsidRPr="00610B1B">
        <w:rPr>
          <w:rFonts w:ascii="Times New Roman" w:hAnsi="Times New Roman" w:cs="Times New Roman"/>
          <w:sz w:val="24"/>
          <w:szCs w:val="24"/>
          <w:lang w:val="bg-BG"/>
        </w:rPr>
        <w:t xml:space="preserve"> Институт по рибни ресурси, Варна</w:t>
      </w:r>
      <w:r w:rsidR="008753B6" w:rsidRPr="00610B1B">
        <w:rPr>
          <w:rFonts w:ascii="Times New Roman" w:hAnsi="Times New Roman" w:cs="Times New Roman"/>
          <w:sz w:val="24"/>
          <w:szCs w:val="24"/>
          <w:lang w:val="bg-BG"/>
        </w:rPr>
        <w:t>;</w:t>
      </w:r>
      <w:r w:rsidR="00BB617E" w:rsidRPr="00610B1B">
        <w:rPr>
          <w:rFonts w:ascii="Times New Roman" w:hAnsi="Times New Roman" w:cs="Times New Roman"/>
          <w:sz w:val="24"/>
          <w:szCs w:val="24"/>
          <w:lang w:val="bg-BG"/>
        </w:rPr>
        <w:t xml:space="preserve"> Институт по </w:t>
      </w:r>
      <w:r w:rsidR="00FD37F6" w:rsidRPr="00610B1B">
        <w:rPr>
          <w:rFonts w:ascii="Times New Roman" w:hAnsi="Times New Roman" w:cs="Times New Roman"/>
          <w:sz w:val="24"/>
          <w:szCs w:val="24"/>
          <w:lang w:val="bg-BG"/>
        </w:rPr>
        <w:t>океанология</w:t>
      </w:r>
      <w:r w:rsidR="008753B6" w:rsidRPr="00610B1B">
        <w:rPr>
          <w:rFonts w:ascii="Times New Roman" w:hAnsi="Times New Roman" w:cs="Times New Roman"/>
          <w:sz w:val="24"/>
          <w:szCs w:val="24"/>
          <w:lang w:val="bg-BG"/>
        </w:rPr>
        <w:t xml:space="preserve"> към БАН</w:t>
      </w:r>
      <w:r w:rsidR="00BB617E" w:rsidRPr="00610B1B">
        <w:rPr>
          <w:rFonts w:ascii="Times New Roman" w:hAnsi="Times New Roman" w:cs="Times New Roman"/>
          <w:sz w:val="24"/>
          <w:szCs w:val="24"/>
          <w:lang w:val="bg-BG"/>
        </w:rPr>
        <w:t>, Варна, и Институт по рибарство и аквакултури, Пловдив.</w:t>
      </w:r>
      <w:r w:rsidR="00190E62" w:rsidRPr="00610B1B">
        <w:rPr>
          <w:rFonts w:ascii="Times New Roman" w:hAnsi="Times New Roman" w:cs="Times New Roman"/>
          <w:sz w:val="24"/>
          <w:szCs w:val="24"/>
          <w:lang w:val="bg-BG"/>
        </w:rPr>
        <w:t xml:space="preserve"> </w:t>
      </w:r>
    </w:p>
    <w:p w14:paraId="03F1550F" w14:textId="0717740A" w:rsidR="003A13CE" w:rsidRPr="00610B1B" w:rsidRDefault="003A13CE" w:rsidP="00D32D6A">
      <w:pPr>
        <w:widowControl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Морските риби са подложени на различни източници на натиск поради това, че са част от високите звена на хранителните вериги – антропогенна еутрофикация и предизвиканата от нея дънна хипоксия; замърсяване с тежки метали и устойчиви органични замърсители от сушата, морския транспорт и атмосферното отлагане; хищничество от страна на инвазивни видове върху ихтипланктона. </w:t>
      </w:r>
    </w:p>
    <w:p w14:paraId="51B040C7" w14:textId="3F089FF9" w:rsidR="00B166AA" w:rsidRPr="00610B1B" w:rsidRDefault="00B62269" w:rsidP="00C415D1">
      <w:pPr>
        <w:pStyle w:val="Caption"/>
        <w:spacing w:before="0" w:line="240" w:lineRule="auto"/>
        <w:ind w:right="-153"/>
        <w:jc w:val="both"/>
        <w:rPr>
          <w:rFonts w:cs="Times New Roman"/>
          <w:i/>
          <w:iCs/>
          <w:sz w:val="22"/>
          <w:szCs w:val="22"/>
          <w:lang w:eastAsia="bg-BG" w:bidi="ar-SA"/>
        </w:rPr>
      </w:pPr>
      <w:bookmarkStart w:id="35" w:name="_Toc83391470"/>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7</w:t>
      </w:r>
      <w:r w:rsidRPr="00610B1B">
        <w:rPr>
          <w:rFonts w:cs="Times New Roman"/>
        </w:rPr>
        <w:fldChar w:fldCharType="end"/>
      </w:r>
      <w:r w:rsidRPr="00610B1B">
        <w:rPr>
          <w:rFonts w:cs="Times New Roman"/>
        </w:rPr>
        <w:t xml:space="preserve">: </w:t>
      </w:r>
      <w:r w:rsidR="00565DC5" w:rsidRPr="00610B1B">
        <w:rPr>
          <w:rFonts w:cs="Times New Roman"/>
        </w:rPr>
        <w:t>Разпределение на средната плътност на риболовния флот през 2017-2018 г., в часове на km</w:t>
      </w:r>
      <w:r w:rsidR="00565DC5" w:rsidRPr="00610B1B">
        <w:rPr>
          <w:rFonts w:cs="Times New Roman"/>
          <w:position w:val="8"/>
          <w:sz w:val="19"/>
        </w:rPr>
        <w:t>2</w:t>
      </w:r>
      <w:r w:rsidR="00565DC5" w:rsidRPr="00610B1B">
        <w:rPr>
          <w:rFonts w:cs="Times New Roman"/>
        </w:rPr>
        <w:t xml:space="preserve"> на година</w:t>
      </w:r>
      <w:bookmarkEnd w:id="35"/>
    </w:p>
    <w:p w14:paraId="3E3EE1A2" w14:textId="5E723E7F" w:rsidR="006460E7" w:rsidRPr="00610B1B" w:rsidRDefault="00565DC5" w:rsidP="00D32D6A">
      <w:pPr>
        <w:pStyle w:val="Caption"/>
        <w:spacing w:before="0" w:line="276" w:lineRule="auto"/>
        <w:ind w:right="-153"/>
        <w:jc w:val="both"/>
        <w:rPr>
          <w:rFonts w:cs="Times New Roman"/>
        </w:rPr>
      </w:pPr>
      <w:r w:rsidRPr="00610B1B">
        <w:rPr>
          <w:rFonts w:cs="Times New Roman"/>
          <w:noProof/>
          <w:lang w:eastAsia="bg-BG" w:bidi="ar-SA"/>
        </w:rPr>
        <w:drawing>
          <wp:inline distT="0" distB="0" distL="0" distR="0" wp14:anchorId="763C6D61" wp14:editId="356AD4CB">
            <wp:extent cx="4962525" cy="3517900"/>
            <wp:effectExtent l="0" t="0" r="952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2525" cy="3517900"/>
                    </a:xfrm>
                    <a:prstGeom prst="rect">
                      <a:avLst/>
                    </a:prstGeom>
                    <a:noFill/>
                  </pic:spPr>
                </pic:pic>
              </a:graphicData>
            </a:graphic>
          </wp:inline>
        </w:drawing>
      </w:r>
    </w:p>
    <w:p w14:paraId="2CE2C5CC" w14:textId="48EDE2CE" w:rsidR="00796354" w:rsidRPr="00610B1B" w:rsidRDefault="009D4A0E" w:rsidP="00D32D6A">
      <w:pPr>
        <w:pStyle w:val="ae"/>
        <w:spacing w:before="0" w:line="276" w:lineRule="auto"/>
        <w:ind w:right="-153"/>
        <w:jc w:val="both"/>
        <w:rPr>
          <w:rStyle w:val="Hyperlink"/>
          <w:rFonts w:cs="Times New Roman"/>
          <w:sz w:val="22"/>
          <w:szCs w:val="22"/>
        </w:rPr>
      </w:pPr>
      <w:r w:rsidRPr="00610B1B">
        <w:rPr>
          <w:rFonts w:cs="Times New Roman"/>
          <w:sz w:val="22"/>
          <w:szCs w:val="22"/>
        </w:rPr>
        <w:t xml:space="preserve">Източник: </w:t>
      </w:r>
      <w:r w:rsidR="00565DC5" w:rsidRPr="00610B1B">
        <w:rPr>
          <w:rStyle w:val="a2"/>
          <w:rFonts w:cs="Times New Roman"/>
          <w:i w:val="0"/>
          <w:iCs w:val="0"/>
          <w:sz w:val="22"/>
          <w:szCs w:val="22"/>
        </w:rPr>
        <w:t xml:space="preserve">EMODnet Human Activties: </w:t>
      </w:r>
      <w:hyperlink r:id="rId24" w:history="1">
        <w:r w:rsidR="00565DC5" w:rsidRPr="00610B1B">
          <w:rPr>
            <w:rStyle w:val="Hyperlink"/>
            <w:rFonts w:cs="Times New Roman"/>
            <w:sz w:val="22"/>
            <w:szCs w:val="22"/>
          </w:rPr>
          <w:t>https://www.emodnet-humanactivities.eu/</w:t>
        </w:r>
      </w:hyperlink>
      <w:r w:rsidR="00565DC5" w:rsidRPr="00610B1B">
        <w:rPr>
          <w:rStyle w:val="a2"/>
          <w:rFonts w:cs="Times New Roman"/>
          <w:i w:val="0"/>
          <w:iCs w:val="0"/>
          <w:sz w:val="22"/>
          <w:szCs w:val="22"/>
        </w:rPr>
        <w:t xml:space="preserve"> </w:t>
      </w:r>
    </w:p>
    <w:p w14:paraId="5C77E7C4" w14:textId="5E714E50" w:rsidR="00A625F5" w:rsidRPr="00610B1B" w:rsidRDefault="003F5D95" w:rsidP="00D32D6A">
      <w:pPr>
        <w:widowControl w:val="0"/>
        <w:spacing w:after="120"/>
        <w:ind w:right="-153"/>
        <w:jc w:val="both"/>
        <w:rPr>
          <w:rFonts w:ascii="Times New Roman" w:hAnsi="Times New Roman" w:cs="Times New Roman"/>
          <w:i/>
          <w:iCs/>
          <w:sz w:val="24"/>
          <w:szCs w:val="24"/>
          <w:lang w:val="bg-BG"/>
        </w:rPr>
      </w:pPr>
      <w:r w:rsidRPr="00610B1B">
        <w:rPr>
          <w:rFonts w:ascii="Times New Roman" w:hAnsi="Times New Roman" w:cs="Times New Roman"/>
          <w:sz w:val="24"/>
          <w:szCs w:val="24"/>
          <w:lang w:val="bg-BG"/>
        </w:rPr>
        <w:lastRenderedPageBreak/>
        <w:t>Сред основните</w:t>
      </w:r>
      <w:r w:rsidR="00C415D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проблеми за рибните популации в Черно море е и интензивният риболовен натиск. С цел намаляване на този натиск през 2018 и 2019 г. са предприети мерки, свързани с незаконния, недеклариран и нерегулиран риболов. Местообитанията на дънните видове риби се унищожават преди всичко</w:t>
      </w:r>
      <w:r w:rsidR="00C415D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поради тралене и драгиране.</w:t>
      </w:r>
      <w:r w:rsidR="00A625F5" w:rsidRPr="00610B1B">
        <w:rPr>
          <w:rFonts w:ascii="Times New Roman" w:hAnsi="Times New Roman" w:cs="Times New Roman"/>
          <w:sz w:val="24"/>
          <w:szCs w:val="24"/>
          <w:lang w:val="bg-BG"/>
        </w:rPr>
        <w:t xml:space="preserve">Районите с най-значителен натиск от морския риболов са съсредоточени в акваторията около двата големи залива по българското Черноморско крайбрежие, където са разположени риболовните флотилии. Въз основа на данните от </w:t>
      </w:r>
      <w:r w:rsidR="00A625F5" w:rsidRPr="00610B1B">
        <w:rPr>
          <w:rStyle w:val="a2"/>
          <w:rFonts w:ascii="Times New Roman" w:hAnsi="Times New Roman" w:cs="Times New Roman"/>
          <w:i w:val="0"/>
          <w:iCs w:val="0"/>
          <w:sz w:val="24"/>
          <w:szCs w:val="24"/>
          <w:lang w:val="bg-BG"/>
        </w:rPr>
        <w:t>EMODnet</w:t>
      </w:r>
      <w:r w:rsidR="00A625F5" w:rsidRPr="00610B1B">
        <w:rPr>
          <w:rStyle w:val="a2"/>
          <w:rFonts w:ascii="Times New Roman" w:hAnsi="Times New Roman" w:cs="Times New Roman"/>
          <w:sz w:val="24"/>
          <w:szCs w:val="24"/>
          <w:lang w:val="bg-BG"/>
        </w:rPr>
        <w:t xml:space="preserve"> </w:t>
      </w:r>
      <w:r w:rsidR="00A625F5" w:rsidRPr="00610B1B">
        <w:rPr>
          <w:rStyle w:val="a2"/>
          <w:rFonts w:ascii="Times New Roman" w:hAnsi="Times New Roman" w:cs="Times New Roman"/>
          <w:i w:val="0"/>
          <w:iCs w:val="0"/>
          <w:sz w:val="24"/>
          <w:szCs w:val="24"/>
          <w:lang w:val="bg-BG"/>
        </w:rPr>
        <w:t>през 2017 г. дейността на риболовните кораби е съсредоточена в два района: северен, в акваторията от нос Калиакра на север до устието на р. Камчия на юг и южен – обхващащ акваторията на Бургаския залив и достигащ на юг до Маслен нос.</w:t>
      </w:r>
    </w:p>
    <w:p w14:paraId="0EF1ADED" w14:textId="4D0A8E2A" w:rsidR="00796354" w:rsidRPr="00610B1B" w:rsidRDefault="00A625F5" w:rsidP="00D32D6A">
      <w:pPr>
        <w:widowControl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w:t>
      </w:r>
      <w:r w:rsidR="00796354" w:rsidRPr="00610B1B">
        <w:rPr>
          <w:rFonts w:ascii="Times New Roman" w:hAnsi="Times New Roman" w:cs="Times New Roman"/>
          <w:sz w:val="24"/>
          <w:szCs w:val="24"/>
          <w:lang w:val="bg-BG"/>
        </w:rPr>
        <w:t xml:space="preserve"> период</w:t>
      </w:r>
      <w:r w:rsidRPr="00610B1B">
        <w:rPr>
          <w:rFonts w:ascii="Times New Roman" w:hAnsi="Times New Roman" w:cs="Times New Roman"/>
          <w:sz w:val="24"/>
          <w:szCs w:val="24"/>
          <w:lang w:val="bg-BG"/>
        </w:rPr>
        <w:t>а</w:t>
      </w:r>
      <w:r w:rsidR="00796354" w:rsidRPr="00610B1B">
        <w:rPr>
          <w:rFonts w:ascii="Times New Roman" w:hAnsi="Times New Roman" w:cs="Times New Roman"/>
          <w:sz w:val="24"/>
          <w:szCs w:val="24"/>
          <w:lang w:val="bg-BG"/>
        </w:rPr>
        <w:t xml:space="preserve"> 2006-2011 г. в „добро“ състояние от видовете, които са обект на </w:t>
      </w:r>
      <w:r w:rsidR="00DD6CD4" w:rsidRPr="00610B1B">
        <w:rPr>
          <w:rFonts w:ascii="Times New Roman" w:hAnsi="Times New Roman" w:cs="Times New Roman"/>
          <w:sz w:val="24"/>
          <w:szCs w:val="24"/>
          <w:lang w:val="bg-BG"/>
        </w:rPr>
        <w:t>стопански риболов</w:t>
      </w:r>
      <w:r w:rsidR="00796354" w:rsidRPr="00610B1B">
        <w:rPr>
          <w:rFonts w:ascii="Times New Roman" w:hAnsi="Times New Roman" w:cs="Times New Roman"/>
          <w:sz w:val="24"/>
          <w:szCs w:val="24"/>
          <w:lang w:val="bg-BG"/>
        </w:rPr>
        <w:t xml:space="preserve"> по някои от индикатори е само трицоната (</w:t>
      </w:r>
      <w:r w:rsidR="00796354" w:rsidRPr="00610B1B">
        <w:rPr>
          <w:rFonts w:ascii="Times New Roman" w:hAnsi="Times New Roman" w:cs="Times New Roman"/>
          <w:i/>
          <w:iCs/>
          <w:sz w:val="24"/>
          <w:szCs w:val="24"/>
          <w:lang w:val="bg-BG"/>
        </w:rPr>
        <w:t>Sprattus sprattus</w:t>
      </w:r>
      <w:r w:rsidR="00796354" w:rsidRPr="00610B1B">
        <w:rPr>
          <w:rFonts w:ascii="Times New Roman" w:hAnsi="Times New Roman" w:cs="Times New Roman"/>
          <w:sz w:val="24"/>
          <w:szCs w:val="24"/>
          <w:lang w:val="bg-BG"/>
        </w:rPr>
        <w:t>). Останалите 3 вида, за които има данни и индикатори за добро състояние: сафрид (</w:t>
      </w:r>
      <w:r w:rsidR="00796354" w:rsidRPr="00610B1B">
        <w:rPr>
          <w:rFonts w:ascii="Times New Roman" w:hAnsi="Times New Roman" w:cs="Times New Roman"/>
          <w:i/>
          <w:iCs/>
          <w:sz w:val="24"/>
          <w:szCs w:val="24"/>
          <w:lang w:val="bg-BG"/>
        </w:rPr>
        <w:t>T. mediterraneus</w:t>
      </w:r>
      <w:r w:rsidR="00796354" w:rsidRPr="00610B1B">
        <w:rPr>
          <w:rFonts w:ascii="Times New Roman" w:hAnsi="Times New Roman" w:cs="Times New Roman"/>
          <w:sz w:val="24"/>
          <w:szCs w:val="24"/>
          <w:lang w:val="bg-BG"/>
        </w:rPr>
        <w:t>), меджид (</w:t>
      </w:r>
      <w:r w:rsidR="00796354" w:rsidRPr="00610B1B">
        <w:rPr>
          <w:rFonts w:ascii="Times New Roman" w:hAnsi="Times New Roman" w:cs="Times New Roman"/>
          <w:i/>
          <w:iCs/>
          <w:sz w:val="24"/>
          <w:szCs w:val="24"/>
          <w:lang w:val="bg-BG"/>
        </w:rPr>
        <w:t>M. merlangus</w:t>
      </w:r>
      <w:r w:rsidR="00796354" w:rsidRPr="00610B1B">
        <w:rPr>
          <w:rFonts w:ascii="Times New Roman" w:hAnsi="Times New Roman" w:cs="Times New Roman"/>
          <w:sz w:val="24"/>
          <w:szCs w:val="24"/>
          <w:lang w:val="bg-BG"/>
        </w:rPr>
        <w:t>) и барбуня (</w:t>
      </w:r>
      <w:r w:rsidR="00796354" w:rsidRPr="00610B1B">
        <w:rPr>
          <w:rFonts w:ascii="Times New Roman" w:hAnsi="Times New Roman" w:cs="Times New Roman"/>
          <w:i/>
          <w:iCs/>
          <w:sz w:val="24"/>
          <w:szCs w:val="24"/>
          <w:lang w:val="bg-BG"/>
        </w:rPr>
        <w:t>M. barbatus</w:t>
      </w:r>
      <w:r w:rsidR="00796354" w:rsidRPr="00610B1B">
        <w:rPr>
          <w:rFonts w:ascii="Times New Roman" w:hAnsi="Times New Roman" w:cs="Times New Roman"/>
          <w:sz w:val="24"/>
          <w:szCs w:val="24"/>
          <w:lang w:val="bg-BG"/>
        </w:rPr>
        <w:t xml:space="preserve">), </w:t>
      </w:r>
      <w:r w:rsidR="00782B42" w:rsidRPr="00610B1B">
        <w:rPr>
          <w:rFonts w:ascii="Times New Roman" w:hAnsi="Times New Roman" w:cs="Times New Roman"/>
          <w:sz w:val="24"/>
          <w:szCs w:val="24"/>
          <w:lang w:val="bg-BG"/>
        </w:rPr>
        <w:t xml:space="preserve">състоянието не е </w:t>
      </w:r>
      <w:r w:rsidR="00796354" w:rsidRPr="00610B1B">
        <w:rPr>
          <w:rFonts w:ascii="Times New Roman" w:hAnsi="Times New Roman" w:cs="Times New Roman"/>
          <w:sz w:val="24"/>
          <w:szCs w:val="24"/>
          <w:lang w:val="bg-BG"/>
        </w:rPr>
        <w:t>добро, а за останалите 5 вида, посочени в програмата за мониторинг по дескриптор 3</w:t>
      </w:r>
      <w:r w:rsidR="009E14CB" w:rsidRPr="00610B1B">
        <w:rPr>
          <w:rFonts w:ascii="Times New Roman" w:hAnsi="Times New Roman" w:cs="Times New Roman"/>
          <w:sz w:val="24"/>
          <w:szCs w:val="24"/>
          <w:lang w:val="bg-BG"/>
        </w:rPr>
        <w:t>,</w:t>
      </w:r>
      <w:r w:rsidR="00796354" w:rsidRPr="00610B1B">
        <w:rPr>
          <w:rFonts w:ascii="Times New Roman" w:hAnsi="Times New Roman" w:cs="Times New Roman"/>
          <w:sz w:val="24"/>
          <w:szCs w:val="24"/>
          <w:lang w:val="bg-BG"/>
        </w:rPr>
        <w:t xml:space="preserve"> състоянието не може да бъде определено</w:t>
      </w:r>
      <w:r w:rsidR="00782B42" w:rsidRPr="00610B1B">
        <w:rPr>
          <w:rFonts w:ascii="Times New Roman" w:hAnsi="Times New Roman" w:cs="Times New Roman"/>
          <w:sz w:val="24"/>
          <w:szCs w:val="24"/>
          <w:lang w:val="bg-BG"/>
        </w:rPr>
        <w:t>,</w:t>
      </w:r>
      <w:r w:rsidR="00796354" w:rsidRPr="00610B1B">
        <w:rPr>
          <w:rFonts w:ascii="Times New Roman" w:hAnsi="Times New Roman" w:cs="Times New Roman"/>
          <w:sz w:val="24"/>
          <w:szCs w:val="24"/>
          <w:lang w:val="bg-BG"/>
        </w:rPr>
        <w:t xml:space="preserve"> поради липсата на данни или изведени стойности на съответните индикатори. </w:t>
      </w:r>
    </w:p>
    <w:p w14:paraId="68AA046F" w14:textId="2726634F" w:rsidR="00796354" w:rsidRPr="00610B1B" w:rsidRDefault="00796354" w:rsidP="00D32D6A">
      <w:pPr>
        <w:widowControl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През 2018 г. за първи път е извършен мониторинг на риби, които не са обект на </w:t>
      </w:r>
      <w:r w:rsidR="00DD6CD4" w:rsidRPr="00610B1B">
        <w:rPr>
          <w:rFonts w:ascii="Times New Roman" w:hAnsi="Times New Roman" w:cs="Times New Roman"/>
          <w:sz w:val="24"/>
          <w:szCs w:val="24"/>
          <w:lang w:val="bg-BG"/>
        </w:rPr>
        <w:t>стопански риболов</w:t>
      </w:r>
      <w:r w:rsidRPr="00610B1B">
        <w:rPr>
          <w:rFonts w:ascii="Times New Roman" w:hAnsi="Times New Roman" w:cs="Times New Roman"/>
          <w:sz w:val="24"/>
          <w:szCs w:val="24"/>
          <w:lang w:val="bg-BG"/>
        </w:rPr>
        <w:t>. От 21 вида, 2</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вида са в добро състояние: (</w:t>
      </w:r>
      <w:r w:rsidRPr="00610B1B">
        <w:rPr>
          <w:rFonts w:ascii="Times New Roman" w:hAnsi="Times New Roman" w:cs="Times New Roman"/>
          <w:i/>
          <w:iCs/>
          <w:sz w:val="24"/>
          <w:szCs w:val="24"/>
          <w:lang w:val="bg-BG"/>
        </w:rPr>
        <w:t>Hippocampus guttulatus</w:t>
      </w:r>
      <w:r w:rsidRPr="00610B1B">
        <w:rPr>
          <w:rFonts w:ascii="Times New Roman" w:hAnsi="Times New Roman" w:cs="Times New Roman"/>
          <w:sz w:val="24"/>
          <w:szCs w:val="24"/>
          <w:lang w:val="bg-BG"/>
        </w:rPr>
        <w:t xml:space="preserve"> Cuvier, 1829) и морски дракон (</w:t>
      </w:r>
      <w:r w:rsidRPr="00610B1B">
        <w:rPr>
          <w:rFonts w:ascii="Times New Roman" w:hAnsi="Times New Roman" w:cs="Times New Roman"/>
          <w:i/>
          <w:iCs/>
          <w:sz w:val="24"/>
          <w:szCs w:val="24"/>
          <w:lang w:val="bg-BG"/>
        </w:rPr>
        <w:t>Trachinus draco</w:t>
      </w:r>
      <w:r w:rsidRPr="00610B1B">
        <w:rPr>
          <w:rFonts w:ascii="Times New Roman" w:hAnsi="Times New Roman" w:cs="Times New Roman"/>
          <w:sz w:val="24"/>
          <w:szCs w:val="24"/>
          <w:lang w:val="bg-BG"/>
        </w:rPr>
        <w:t xml:space="preserve"> Linnaeus, 1758), а за останалите 15 вида състоянието </w:t>
      </w:r>
      <w:r w:rsidR="00782B42" w:rsidRPr="00610B1B">
        <w:rPr>
          <w:rFonts w:ascii="Times New Roman" w:hAnsi="Times New Roman" w:cs="Times New Roman"/>
          <w:sz w:val="24"/>
          <w:szCs w:val="24"/>
          <w:lang w:val="bg-BG"/>
        </w:rPr>
        <w:t xml:space="preserve">не </w:t>
      </w:r>
      <w:r w:rsidRPr="00610B1B">
        <w:rPr>
          <w:rFonts w:ascii="Times New Roman" w:hAnsi="Times New Roman" w:cs="Times New Roman"/>
          <w:sz w:val="24"/>
          <w:szCs w:val="24"/>
          <w:lang w:val="bg-BG"/>
        </w:rPr>
        <w:t>е добро. Липсата на исторически данни, ограниченият пространствен обхват на мониторинг</w:t>
      </w:r>
      <w:r w:rsidR="003A13CE"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и недостигът на информация за рибните съобщества в зависимост от типа на местообитанията, ареала на разпространение на видовете, както и числеността и демографската структура на популациите, възпрепятстват прилагането на индикаторите за оценка на напредъка към постигането на добро екологично състояние. </w:t>
      </w:r>
    </w:p>
    <w:p w14:paraId="3F124B5F" w14:textId="2E6E4806" w:rsidR="003A13CE" w:rsidRPr="00610B1B" w:rsidRDefault="003A13CE" w:rsidP="00D32D6A">
      <w:pPr>
        <w:pStyle w:val="BodyText"/>
        <w:spacing w:before="0" w:after="120" w:line="276" w:lineRule="auto"/>
        <w:ind w:right="-153"/>
        <w:rPr>
          <w:rFonts w:cs="Times New Roman"/>
        </w:rPr>
      </w:pPr>
      <w:r w:rsidRPr="00610B1B">
        <w:rPr>
          <w:rFonts w:cs="Times New Roman"/>
        </w:rPr>
        <w:t>Допълнителни проблеми са отпадъците, поглъщането на микроотпадъци или заплитането в морски отпадъци (изоставени мрежи) и подводния шум. Въздействието на някои от тези източници на натиск (морски отпадъци, подводен шум) все още не е добре изучено, но съществува, което изисква прилагането на програмите от мерки, определени в Морската стратегия на Р</w:t>
      </w:r>
      <w:r w:rsidR="009E14CB" w:rsidRPr="00610B1B">
        <w:rPr>
          <w:rFonts w:cs="Times New Roman"/>
        </w:rPr>
        <w:t>.</w:t>
      </w:r>
      <w:r w:rsidRPr="00610B1B">
        <w:rPr>
          <w:rFonts w:cs="Times New Roman"/>
        </w:rPr>
        <w:t xml:space="preserve"> България. Пространствено, разпределението на въздействието е неравномерно – то е най-силно във Варненския и Бургаския залив, както и между Варна и Каварна, където са разположени най-значителните източници на натиск.</w:t>
      </w:r>
    </w:p>
    <w:p w14:paraId="741AB038" w14:textId="04CA7683" w:rsidR="009D4A0E" w:rsidRPr="00610B1B" w:rsidRDefault="00C778B8" w:rsidP="00D32D6A">
      <w:pPr>
        <w:pStyle w:val="BodyText"/>
        <w:spacing w:before="0" w:after="120" w:line="276" w:lineRule="auto"/>
        <w:ind w:right="-153"/>
        <w:rPr>
          <w:rFonts w:cs="Times New Roman"/>
        </w:rPr>
      </w:pPr>
      <w:r w:rsidRPr="00610B1B">
        <w:rPr>
          <w:rFonts w:cs="Times New Roman"/>
        </w:rPr>
        <w:t xml:space="preserve">Основните </w:t>
      </w:r>
      <w:r w:rsidRPr="00610B1B">
        <w:rPr>
          <w:rFonts w:cs="Times New Roman"/>
          <w:b/>
          <w:bCs/>
        </w:rPr>
        <w:t xml:space="preserve">изводи </w:t>
      </w:r>
      <w:r w:rsidRPr="00610B1B">
        <w:rPr>
          <w:rFonts w:cs="Times New Roman"/>
        </w:rPr>
        <w:t>от и</w:t>
      </w:r>
      <w:r w:rsidR="00796354" w:rsidRPr="00610B1B">
        <w:rPr>
          <w:rFonts w:cs="Times New Roman"/>
        </w:rPr>
        <w:t>дентифицираните проблеми и</w:t>
      </w:r>
      <w:r w:rsidR="00A03FE9" w:rsidRPr="00610B1B">
        <w:rPr>
          <w:rFonts w:cs="Times New Roman"/>
          <w:b/>
        </w:rPr>
        <w:t xml:space="preserve"> </w:t>
      </w:r>
      <w:r w:rsidR="00A03FE9" w:rsidRPr="00610B1B">
        <w:rPr>
          <w:rFonts w:cs="Times New Roman"/>
          <w:bCs/>
        </w:rPr>
        <w:t>трудности в опазването на рибните ресурси</w:t>
      </w:r>
      <w:r w:rsidRPr="00610B1B">
        <w:rPr>
          <w:rFonts w:cs="Times New Roman"/>
          <w:bCs/>
        </w:rPr>
        <w:t xml:space="preserve"> и тяхното изследване, освен изброените по-горе, са за липса на </w:t>
      </w:r>
      <w:r w:rsidR="009D4A0E" w:rsidRPr="00610B1B">
        <w:rPr>
          <w:rFonts w:cs="Times New Roman"/>
        </w:rPr>
        <w:t>данни от мониторинг и гранични стойности на индикаторите за добро състояние</w:t>
      </w:r>
      <w:r w:rsidRPr="00610B1B">
        <w:rPr>
          <w:rFonts w:cs="Times New Roman"/>
        </w:rPr>
        <w:t>, което</w:t>
      </w:r>
      <w:r w:rsidR="009D4A0E" w:rsidRPr="00610B1B">
        <w:rPr>
          <w:rFonts w:cs="Times New Roman"/>
        </w:rPr>
        <w:t xml:space="preserve"> не позволява оценка на състоянието на някои видове риби,</w:t>
      </w:r>
      <w:r w:rsidR="00D66FE0" w:rsidRPr="00610B1B">
        <w:rPr>
          <w:rFonts w:cs="Times New Roman"/>
        </w:rPr>
        <w:t xml:space="preserve"> </w:t>
      </w:r>
      <w:r w:rsidR="009D4A0E" w:rsidRPr="00610B1B">
        <w:rPr>
          <w:rFonts w:cs="Times New Roman"/>
        </w:rPr>
        <w:t xml:space="preserve">обект на </w:t>
      </w:r>
      <w:r w:rsidR="00DD6CD4" w:rsidRPr="00610B1B">
        <w:rPr>
          <w:rFonts w:cs="Times New Roman"/>
        </w:rPr>
        <w:t>стопански риболов</w:t>
      </w:r>
      <w:r w:rsidR="009D4A0E" w:rsidRPr="00610B1B">
        <w:rPr>
          <w:rFonts w:cs="Times New Roman"/>
        </w:rPr>
        <w:t>.</w:t>
      </w:r>
      <w:r w:rsidRPr="00610B1B">
        <w:rPr>
          <w:rFonts w:cs="Times New Roman"/>
        </w:rPr>
        <w:t xml:space="preserve"> Допълнител</w:t>
      </w:r>
      <w:r w:rsidR="00A11253" w:rsidRPr="00610B1B">
        <w:rPr>
          <w:rFonts w:cs="Times New Roman"/>
        </w:rPr>
        <w:t>е</w:t>
      </w:r>
      <w:r w:rsidRPr="00610B1B">
        <w:rPr>
          <w:rFonts w:cs="Times New Roman"/>
        </w:rPr>
        <w:t xml:space="preserve">н проблем е липсата на </w:t>
      </w:r>
      <w:r w:rsidR="009D4A0E" w:rsidRPr="00610B1B">
        <w:rPr>
          <w:rFonts w:cs="Times New Roman"/>
        </w:rPr>
        <w:t xml:space="preserve">исторически данни на индексите за разнообразието на видовете риби, които не са обект на </w:t>
      </w:r>
      <w:r w:rsidR="00DD6CD4" w:rsidRPr="00610B1B">
        <w:rPr>
          <w:rFonts w:cs="Times New Roman"/>
        </w:rPr>
        <w:t>стопански риболов</w:t>
      </w:r>
      <w:r w:rsidR="009D4A0E" w:rsidRPr="00610B1B">
        <w:rPr>
          <w:rFonts w:cs="Times New Roman"/>
        </w:rPr>
        <w:t xml:space="preserve"> в трите зони на оценка – крайбрежна, шелфова и дълбоководна.</w:t>
      </w:r>
      <w:r w:rsidRPr="00610B1B">
        <w:rPr>
          <w:rFonts w:cs="Times New Roman"/>
        </w:rPr>
        <w:t xml:space="preserve"> </w:t>
      </w:r>
      <w:r w:rsidR="00A11253" w:rsidRPr="00610B1B">
        <w:rPr>
          <w:rFonts w:cs="Times New Roman"/>
        </w:rPr>
        <w:t>Не достигат</w:t>
      </w:r>
      <w:r w:rsidRPr="00610B1B">
        <w:rPr>
          <w:rFonts w:cs="Times New Roman"/>
        </w:rPr>
        <w:t xml:space="preserve"> </w:t>
      </w:r>
      <w:r w:rsidR="009D4A0E" w:rsidRPr="00610B1B">
        <w:rPr>
          <w:rFonts w:cs="Times New Roman"/>
        </w:rPr>
        <w:t xml:space="preserve">данни за структурата на съобщества на видовете риби, които не са обект на </w:t>
      </w:r>
      <w:r w:rsidR="00DD6CD4" w:rsidRPr="00610B1B">
        <w:rPr>
          <w:rFonts w:cs="Times New Roman"/>
        </w:rPr>
        <w:t>стопански риболов</w:t>
      </w:r>
      <w:r w:rsidR="009D4A0E" w:rsidRPr="00610B1B">
        <w:rPr>
          <w:rFonts w:cs="Times New Roman"/>
        </w:rPr>
        <w:t>, в зависимост от типа на местообитанията, ареала на разпространение на видовете, числеността и демографската структура на техните популации.</w:t>
      </w:r>
    </w:p>
    <w:p w14:paraId="2E453841" w14:textId="077E307E" w:rsidR="00112630" w:rsidRPr="00610B1B" w:rsidRDefault="001F7694" w:rsidP="00D32D6A">
      <w:pPr>
        <w:pStyle w:val="BodyText"/>
        <w:spacing w:before="0" w:after="120" w:line="276" w:lineRule="auto"/>
        <w:ind w:right="-153"/>
        <w:rPr>
          <w:rFonts w:cs="Times New Roman"/>
        </w:rPr>
      </w:pPr>
      <w:r w:rsidRPr="00610B1B">
        <w:rPr>
          <w:rFonts w:cs="Times New Roman"/>
        </w:rPr>
        <w:t xml:space="preserve">От решаващо значение за подобряване на състоянието е </w:t>
      </w:r>
      <w:r w:rsidR="00C778B8" w:rsidRPr="00610B1B">
        <w:rPr>
          <w:rFonts w:cs="Times New Roman"/>
        </w:rPr>
        <w:t xml:space="preserve">повишаване качеството на </w:t>
      </w:r>
      <w:r w:rsidR="00C778B8" w:rsidRPr="00610B1B">
        <w:rPr>
          <w:rFonts w:cs="Times New Roman"/>
        </w:rPr>
        <w:lastRenderedPageBreak/>
        <w:t xml:space="preserve">информационната осигуреност, обхвата на приложните изследвания и наблюдението и </w:t>
      </w:r>
      <w:r w:rsidRPr="00610B1B">
        <w:rPr>
          <w:rFonts w:cs="Times New Roman"/>
        </w:rPr>
        <w:t>прилагането на мерки срещу незаконния риболов и източниците на замърсяване, тъй като те въздействат върху всички видове риби.</w:t>
      </w:r>
      <w:r w:rsidR="00C778B8" w:rsidRPr="00610B1B">
        <w:rPr>
          <w:rFonts w:cs="Times New Roman"/>
        </w:rPr>
        <w:t xml:space="preserve"> </w:t>
      </w:r>
      <w:r w:rsidR="00112630" w:rsidRPr="00610B1B">
        <w:rPr>
          <w:rFonts w:cs="Times New Roman"/>
        </w:rPr>
        <w:t xml:space="preserve">Част от тези мерки включват определяне на зони за защита в крайбрежните води на видовете риби, които са обект на </w:t>
      </w:r>
      <w:r w:rsidR="00DD6CD4" w:rsidRPr="00610B1B">
        <w:rPr>
          <w:rFonts w:cs="Times New Roman"/>
        </w:rPr>
        <w:t>стопански риболов</w:t>
      </w:r>
      <w:r w:rsidR="00112630" w:rsidRPr="00610B1B">
        <w:rPr>
          <w:rFonts w:cs="Times New Roman"/>
        </w:rPr>
        <w:t>, в които се прилагат временни забрани за риболов.</w:t>
      </w:r>
    </w:p>
    <w:p w14:paraId="688D4AF5" w14:textId="67C2397B" w:rsidR="00A03FE9" w:rsidRPr="00610B1B" w:rsidRDefault="001F7694" w:rsidP="00D32D6A">
      <w:pPr>
        <w:pStyle w:val="Heading4"/>
        <w:spacing w:before="0" w:line="276" w:lineRule="auto"/>
        <w:ind w:right="-153"/>
        <w:rPr>
          <w:rFonts w:cs="Times New Roman"/>
        </w:rPr>
      </w:pPr>
      <w:r w:rsidRPr="00610B1B">
        <w:rPr>
          <w:rFonts w:cs="Times New Roman"/>
        </w:rPr>
        <w:t xml:space="preserve"> </w:t>
      </w:r>
      <w:r w:rsidR="00A03FE9" w:rsidRPr="00610B1B">
        <w:rPr>
          <w:rFonts w:cs="Times New Roman"/>
        </w:rPr>
        <w:t xml:space="preserve">2.2.4.4. </w:t>
      </w:r>
      <w:r w:rsidR="009D4A0E" w:rsidRPr="00610B1B">
        <w:rPr>
          <w:rFonts w:cs="Times New Roman"/>
        </w:rPr>
        <w:t>Морски бозайници</w:t>
      </w:r>
    </w:p>
    <w:p w14:paraId="25F4C88B" w14:textId="77777777" w:rsidR="00BF2A7D" w:rsidRPr="00610B1B" w:rsidRDefault="009D4A0E" w:rsidP="00BF2A7D">
      <w:pPr>
        <w:pStyle w:val="BodyText"/>
        <w:spacing w:after="120"/>
        <w:ind w:right="-153"/>
        <w:rPr>
          <w:rFonts w:cs="Times New Roman"/>
        </w:rPr>
      </w:pPr>
      <w:r w:rsidRPr="00610B1B">
        <w:rPr>
          <w:rFonts w:cs="Times New Roman"/>
        </w:rPr>
        <w:t>В Черно море и морските пространства на Р</w:t>
      </w:r>
      <w:r w:rsidR="00A03FE9" w:rsidRPr="00610B1B">
        <w:rPr>
          <w:rFonts w:cs="Times New Roman"/>
        </w:rPr>
        <w:t>.</w:t>
      </w:r>
      <w:r w:rsidRPr="00610B1B">
        <w:rPr>
          <w:rFonts w:cs="Times New Roman"/>
        </w:rPr>
        <w:t xml:space="preserve"> България </w:t>
      </w:r>
      <w:r w:rsidR="00D14F3C" w:rsidRPr="00610B1B">
        <w:rPr>
          <w:rFonts w:cs="Times New Roman"/>
        </w:rPr>
        <w:t>са разпространени три вида морски бозайници: Афала (</w:t>
      </w:r>
      <w:r w:rsidR="00D14F3C" w:rsidRPr="00610B1B">
        <w:rPr>
          <w:rFonts w:cs="Times New Roman"/>
          <w:i/>
          <w:iCs/>
        </w:rPr>
        <w:t>Tursiops truncatus ponticus</w:t>
      </w:r>
      <w:r w:rsidR="00D14F3C" w:rsidRPr="00610B1B">
        <w:rPr>
          <w:rFonts w:cs="Times New Roman"/>
        </w:rPr>
        <w:t xml:space="preserve"> Barabas</w:t>
      </w:r>
      <w:r w:rsidR="00D93652" w:rsidRPr="00610B1B">
        <w:rPr>
          <w:rFonts w:cs="Times New Roman"/>
        </w:rPr>
        <w:t>c</w:t>
      </w:r>
      <w:r w:rsidR="00D14F3C" w:rsidRPr="00610B1B">
        <w:rPr>
          <w:rFonts w:cs="Times New Roman"/>
        </w:rPr>
        <w:t>h-Nikiforov, 1940)</w:t>
      </w:r>
      <w:r w:rsidR="00E956B6" w:rsidRPr="00610B1B">
        <w:rPr>
          <w:rFonts w:cs="Times New Roman"/>
        </w:rPr>
        <w:t xml:space="preserve">; </w:t>
      </w:r>
      <w:r w:rsidR="00D14F3C" w:rsidRPr="00610B1B">
        <w:rPr>
          <w:rFonts w:cs="Times New Roman"/>
        </w:rPr>
        <w:t>Обикновен делфин (</w:t>
      </w:r>
      <w:r w:rsidR="00D14F3C" w:rsidRPr="00610B1B">
        <w:rPr>
          <w:rFonts w:cs="Times New Roman"/>
          <w:i/>
          <w:iCs/>
        </w:rPr>
        <w:t>Delphinus delphis ponticus</w:t>
      </w:r>
      <w:r w:rsidR="00D14F3C" w:rsidRPr="00610B1B">
        <w:rPr>
          <w:rFonts w:cs="Times New Roman"/>
        </w:rPr>
        <w:t xml:space="preserve"> Barabasch-Nikiforov, 1935)</w:t>
      </w:r>
      <w:r w:rsidR="00112630" w:rsidRPr="00610B1B">
        <w:rPr>
          <w:rFonts w:cs="Times New Roman"/>
        </w:rPr>
        <w:t xml:space="preserve"> и</w:t>
      </w:r>
      <w:r w:rsidR="00D14F3C" w:rsidRPr="00610B1B">
        <w:rPr>
          <w:rFonts w:cs="Times New Roman"/>
        </w:rPr>
        <w:t xml:space="preserve"> Морска свиня (</w:t>
      </w:r>
      <w:r w:rsidR="00D14F3C" w:rsidRPr="00610B1B">
        <w:rPr>
          <w:rFonts w:cs="Times New Roman"/>
          <w:i/>
          <w:iCs/>
        </w:rPr>
        <w:t>Phocoena relicta</w:t>
      </w:r>
      <w:r w:rsidR="00D14F3C" w:rsidRPr="00610B1B">
        <w:rPr>
          <w:rFonts w:cs="Times New Roman"/>
        </w:rPr>
        <w:t xml:space="preserve"> Abel, 1905). </w:t>
      </w:r>
      <w:r w:rsidR="00E956B6" w:rsidRPr="00610B1B">
        <w:rPr>
          <w:rFonts w:cs="Times New Roman"/>
        </w:rPr>
        <w:t xml:space="preserve">И трите вида са определени в България като уязвими. </w:t>
      </w:r>
      <w:r w:rsidR="00BF2A7D" w:rsidRPr="00610B1B">
        <w:rPr>
          <w:rFonts w:cs="Times New Roman"/>
        </w:rPr>
        <w:t>Ареалите на разпространение на трите вида китоподобни се припокриват. Те включват цялото Черно море, Керченския пролив, южната част на Азовско море, Босфорския пролив, Мраморно море и Дарданелите. Морската свиня обитава крайбрежните води на Черно море и извършва сезонни миграции през Керченския пролив в Азовско море и през Босфора в Мраморно море. Понася води с по-ниска соленост и по-висока мътност, поради което екземпляри могат да бъдат срещнати по теченията на реките Дунав, Днепър и Дон, на значително разстояние от морето. Афалата има подобно разпространение. За разлика от тях, обикновеният делфин е разпространен предимно в откритоморската зона на Черно море, но извършва сезонни миграции, следвайки миграциите на малките пелагични риби, с които се храни.</w:t>
      </w:r>
    </w:p>
    <w:p w14:paraId="12F49D94" w14:textId="321464CE" w:rsidR="00E956B6" w:rsidRPr="00610B1B" w:rsidRDefault="00E956B6" w:rsidP="00D32D6A">
      <w:pPr>
        <w:pStyle w:val="BodyText"/>
        <w:spacing w:before="0" w:after="120" w:line="276" w:lineRule="auto"/>
        <w:ind w:right="-153"/>
        <w:rPr>
          <w:rFonts w:cs="Times New Roman"/>
        </w:rPr>
      </w:pPr>
      <w:r w:rsidRPr="00610B1B">
        <w:rPr>
          <w:rFonts w:cs="Times New Roman"/>
        </w:rPr>
        <w:t xml:space="preserve">Популационната биология на трите вида морски бозайници не е добре изучена. Няма достатъчно данни, за да се направят изводи за числеността, плътността и тенденциите в тяхното изменение. През 2014 г. при изпълнение на проект „Теренни проучвания на разпространение на видове/оценка на състоянието на видове и хабитати на територията на цялата страна – I фаза“ в българската акватория на Черно море са регистрирани 37 индивида </w:t>
      </w:r>
      <w:r w:rsidRPr="00610B1B">
        <w:rPr>
          <w:rFonts w:cs="Times New Roman"/>
          <w:i/>
        </w:rPr>
        <w:t>Tursiops truncatus</w:t>
      </w:r>
      <w:r w:rsidRPr="00610B1B">
        <w:rPr>
          <w:rFonts w:cs="Times New Roman"/>
        </w:rPr>
        <w:t xml:space="preserve">, 142 индивида </w:t>
      </w:r>
      <w:r w:rsidRPr="00610B1B">
        <w:rPr>
          <w:rFonts w:cs="Times New Roman"/>
          <w:i/>
        </w:rPr>
        <w:t>Phocoena phocoena</w:t>
      </w:r>
      <w:r w:rsidRPr="00610B1B">
        <w:rPr>
          <w:rFonts w:cs="Times New Roman"/>
        </w:rPr>
        <w:t xml:space="preserve">, 702 броя </w:t>
      </w:r>
      <w:r w:rsidRPr="00610B1B">
        <w:rPr>
          <w:rFonts w:cs="Times New Roman"/>
          <w:i/>
        </w:rPr>
        <w:t>Delphinus delphis</w:t>
      </w:r>
      <w:r w:rsidRPr="00610B1B">
        <w:rPr>
          <w:rFonts w:cs="Times New Roman"/>
        </w:rPr>
        <w:t>.</w:t>
      </w:r>
      <w:r w:rsidR="00B24265" w:rsidRPr="00610B1B">
        <w:rPr>
          <w:rStyle w:val="FootnoteReference"/>
          <w:rFonts w:cs="Times New Roman"/>
        </w:rPr>
        <w:footnoteReference w:id="83"/>
      </w:r>
    </w:p>
    <w:p w14:paraId="11EF32AC" w14:textId="72DE10BD" w:rsidR="00D14F3C" w:rsidRPr="00610B1B" w:rsidRDefault="00D14F3C" w:rsidP="00D32D6A">
      <w:pPr>
        <w:pStyle w:val="BodyText"/>
        <w:spacing w:before="0" w:after="120" w:line="276" w:lineRule="auto"/>
        <w:ind w:right="-153"/>
        <w:rPr>
          <w:rFonts w:cs="Times New Roman"/>
        </w:rPr>
      </w:pPr>
      <w:r w:rsidRPr="00610B1B">
        <w:rPr>
          <w:rFonts w:cs="Times New Roman"/>
        </w:rPr>
        <w:t>Оценката на състоянието е направена въз основа на наблюдения върху популационните им характеристики (численост, смъртност) и състояние</w:t>
      </w:r>
      <w:r w:rsidR="00E56F25" w:rsidRPr="00610B1B">
        <w:rPr>
          <w:rFonts w:cs="Times New Roman"/>
        </w:rPr>
        <w:t>то</w:t>
      </w:r>
      <w:r w:rsidRPr="00610B1B">
        <w:rPr>
          <w:rFonts w:cs="Times New Roman"/>
        </w:rPr>
        <w:t xml:space="preserve"> н</w:t>
      </w:r>
      <w:r w:rsidR="0023520B" w:rsidRPr="00610B1B">
        <w:rPr>
          <w:rFonts w:cs="Times New Roman"/>
        </w:rPr>
        <w:t>а</w:t>
      </w:r>
      <w:r w:rsidRPr="00610B1B">
        <w:rPr>
          <w:rFonts w:cs="Times New Roman"/>
        </w:rPr>
        <w:t xml:space="preserve"> местообитанията. Морските бозайници са една от най</w:t>
      </w:r>
      <w:r w:rsidR="00E56F25" w:rsidRPr="00610B1B">
        <w:rPr>
          <w:rFonts w:cs="Times New Roman"/>
        </w:rPr>
        <w:t>-</w:t>
      </w:r>
      <w:r w:rsidRPr="00610B1B">
        <w:rPr>
          <w:rFonts w:cs="Times New Roman"/>
        </w:rPr>
        <w:t>уязвимите екологични функционални груп</w:t>
      </w:r>
      <w:r w:rsidR="00E56F25" w:rsidRPr="00610B1B">
        <w:rPr>
          <w:rFonts w:cs="Times New Roman"/>
        </w:rPr>
        <w:t>и</w:t>
      </w:r>
      <w:r w:rsidRPr="00610B1B">
        <w:rPr>
          <w:rFonts w:cs="Times New Roman"/>
        </w:rPr>
        <w:t>. Като</w:t>
      </w:r>
      <w:r w:rsidR="00DD6F02" w:rsidRPr="00610B1B">
        <w:rPr>
          <w:rFonts w:cs="Times New Roman"/>
        </w:rPr>
        <w:t xml:space="preserve"> </w:t>
      </w:r>
      <w:r w:rsidRPr="00610B1B">
        <w:rPr>
          <w:rFonts w:cs="Times New Roman"/>
        </w:rPr>
        <w:t xml:space="preserve">върховни хищници състоянието им зависи от състоянието на рибните популации и се </w:t>
      </w:r>
      <w:r w:rsidR="00DD6F02" w:rsidRPr="00610B1B">
        <w:rPr>
          <w:rFonts w:cs="Times New Roman"/>
        </w:rPr>
        <w:t>у</w:t>
      </w:r>
      <w:r w:rsidRPr="00610B1B">
        <w:rPr>
          <w:rFonts w:cs="Times New Roman"/>
        </w:rPr>
        <w:t xml:space="preserve">тежнява </w:t>
      </w:r>
      <w:r w:rsidR="00E56F25" w:rsidRPr="00610B1B">
        <w:rPr>
          <w:rFonts w:cs="Times New Roman"/>
        </w:rPr>
        <w:t xml:space="preserve">от </w:t>
      </w:r>
      <w:r w:rsidRPr="00610B1B">
        <w:rPr>
          <w:rFonts w:cs="Times New Roman"/>
        </w:rPr>
        <w:t>конкуренция</w:t>
      </w:r>
      <w:r w:rsidR="00E56F25" w:rsidRPr="00610B1B">
        <w:rPr>
          <w:rFonts w:cs="Times New Roman"/>
        </w:rPr>
        <w:t>та</w:t>
      </w:r>
      <w:r w:rsidRPr="00610B1B">
        <w:rPr>
          <w:rFonts w:cs="Times New Roman"/>
        </w:rPr>
        <w:t xml:space="preserve"> с </w:t>
      </w:r>
      <w:r w:rsidR="00DD6CD4" w:rsidRPr="00610B1B">
        <w:rPr>
          <w:rFonts w:cs="Times New Roman"/>
        </w:rPr>
        <w:t>стопанския риболов</w:t>
      </w:r>
      <w:r w:rsidRPr="00610B1B">
        <w:rPr>
          <w:rFonts w:cs="Times New Roman"/>
        </w:rPr>
        <w:t xml:space="preserve"> и </w:t>
      </w:r>
      <w:r w:rsidR="00E56F25" w:rsidRPr="00610B1B">
        <w:rPr>
          <w:rFonts w:cs="Times New Roman"/>
        </w:rPr>
        <w:t xml:space="preserve">от </w:t>
      </w:r>
      <w:r w:rsidRPr="00610B1B">
        <w:rPr>
          <w:rFonts w:cs="Times New Roman"/>
        </w:rPr>
        <w:t>биоакумулацията на замърсителите, които в техните тъкани достигат по-високи</w:t>
      </w:r>
      <w:r w:rsidR="00E956B6" w:rsidRPr="00610B1B">
        <w:rPr>
          <w:rFonts w:cs="Times New Roman"/>
        </w:rPr>
        <w:t xml:space="preserve"> </w:t>
      </w:r>
      <w:r w:rsidRPr="00610B1B">
        <w:rPr>
          <w:rFonts w:cs="Times New Roman"/>
        </w:rPr>
        <w:t>концентрации</w:t>
      </w:r>
      <w:r w:rsidR="00E56F25" w:rsidRPr="00610B1B">
        <w:rPr>
          <w:rFonts w:cs="Times New Roman"/>
        </w:rPr>
        <w:t>,</w:t>
      </w:r>
      <w:r w:rsidRPr="00610B1B">
        <w:rPr>
          <w:rFonts w:cs="Times New Roman"/>
        </w:rPr>
        <w:t xml:space="preserve"> от</w:t>
      </w:r>
      <w:r w:rsidR="00E56F25" w:rsidRPr="00610B1B">
        <w:rPr>
          <w:rFonts w:cs="Times New Roman"/>
        </w:rPr>
        <w:t>колкото</w:t>
      </w:r>
      <w:r w:rsidRPr="00610B1B">
        <w:rPr>
          <w:rFonts w:cs="Times New Roman"/>
        </w:rPr>
        <w:t xml:space="preserve"> в тъканите на рибите, с които се хранят.</w:t>
      </w:r>
      <w:r w:rsidR="00E956B6" w:rsidRPr="00610B1B">
        <w:rPr>
          <w:rFonts w:cs="Times New Roman"/>
        </w:rPr>
        <w:t xml:space="preserve"> </w:t>
      </w:r>
      <w:r w:rsidRPr="00610B1B">
        <w:rPr>
          <w:rFonts w:cs="Times New Roman"/>
        </w:rPr>
        <w:t>Пространственото разпределение на въздействието е най-силно във Варненския и Бургаския залив, както и между</w:t>
      </w:r>
      <w:r w:rsidR="00E956B6" w:rsidRPr="00610B1B">
        <w:rPr>
          <w:rFonts w:cs="Times New Roman"/>
        </w:rPr>
        <w:t xml:space="preserve"> </w:t>
      </w:r>
      <w:r w:rsidRPr="00610B1B">
        <w:rPr>
          <w:rFonts w:cs="Times New Roman"/>
        </w:rPr>
        <w:t>Варна и Каварна.</w:t>
      </w:r>
    </w:p>
    <w:p w14:paraId="2734B1E5" w14:textId="410F361A" w:rsidR="00BF2A7D" w:rsidRPr="00610B1B" w:rsidRDefault="00BF2A7D" w:rsidP="00BF2A7D">
      <w:pPr>
        <w:pStyle w:val="BodyText"/>
        <w:spacing w:after="120"/>
        <w:ind w:right="-153"/>
        <w:rPr>
          <w:rFonts w:cs="Times New Roman"/>
        </w:rPr>
      </w:pPr>
      <w:r w:rsidRPr="00610B1B">
        <w:rPr>
          <w:rFonts w:cs="Times New Roman"/>
        </w:rPr>
        <w:t>Оценката на състоянието на трите вида китоподобни показва, че състоянието на афалата (</w:t>
      </w:r>
      <w:r w:rsidRPr="00610B1B">
        <w:rPr>
          <w:rFonts w:cs="Times New Roman"/>
          <w:i/>
        </w:rPr>
        <w:t>Tursiops truncatus</w:t>
      </w:r>
      <w:r w:rsidRPr="00610B1B">
        <w:rPr>
          <w:rFonts w:cs="Times New Roman"/>
        </w:rPr>
        <w:t>) е „неблагоприятно-лошо“, а за другите два вида – обикновения делфин (</w:t>
      </w:r>
      <w:r w:rsidRPr="00610B1B">
        <w:rPr>
          <w:rFonts w:cs="Times New Roman"/>
          <w:i/>
        </w:rPr>
        <w:t>Delphinus delphis</w:t>
      </w:r>
      <w:r w:rsidRPr="00610B1B">
        <w:rPr>
          <w:rFonts w:cs="Times New Roman"/>
        </w:rPr>
        <w:t>) и морската свиня (</w:t>
      </w:r>
      <w:r w:rsidRPr="00610B1B">
        <w:rPr>
          <w:rFonts w:cs="Times New Roman"/>
          <w:i/>
        </w:rPr>
        <w:t>Phocoena phocoena</w:t>
      </w:r>
      <w:r w:rsidRPr="00610B1B">
        <w:rPr>
          <w:rFonts w:cs="Times New Roman"/>
        </w:rPr>
        <w:t xml:space="preserve">) то е „неблагоприятно-незадоволително“. Основни причини са намаляване обхвата на местообитанията поради </w:t>
      </w:r>
      <w:r w:rsidRPr="00610B1B">
        <w:rPr>
          <w:rFonts w:cs="Times New Roman"/>
        </w:rPr>
        <w:lastRenderedPageBreak/>
        <w:t xml:space="preserve">влошаване на условията на морската среда, причинено от замърсяване с тежки метали и устойчиви органични съединения, замърсяването с морски отпадъци, </w:t>
      </w:r>
      <w:r w:rsidR="00352BBB" w:rsidRPr="00610B1B">
        <w:rPr>
          <w:rFonts w:cs="Times New Roman"/>
        </w:rPr>
        <w:t xml:space="preserve">в това число </w:t>
      </w:r>
      <w:r w:rsidRPr="00610B1B">
        <w:rPr>
          <w:rFonts w:cs="Times New Roman"/>
        </w:rPr>
        <w:t xml:space="preserve">твърди предмети, плаващи пластмасови отпадъци </w:t>
      </w:r>
      <w:r w:rsidR="003F5D95" w:rsidRPr="00610B1B">
        <w:rPr>
          <w:rFonts w:cs="Times New Roman"/>
        </w:rPr>
        <w:t>(вкл. микрочастици)</w:t>
      </w:r>
      <w:r w:rsidRPr="00610B1B">
        <w:rPr>
          <w:rFonts w:cs="Times New Roman"/>
        </w:rPr>
        <w:t xml:space="preserve"> и шумово замърсяване. Исторически причини са намаляването на хранителния ресурс на важни за тях видове риби, поради интензивния </w:t>
      </w:r>
      <w:r w:rsidR="00DD6CD4" w:rsidRPr="00610B1B">
        <w:rPr>
          <w:rFonts w:cs="Times New Roman"/>
        </w:rPr>
        <w:t>стопански риболов</w:t>
      </w:r>
      <w:r w:rsidRPr="00610B1B">
        <w:rPr>
          <w:rFonts w:cs="Times New Roman"/>
        </w:rPr>
        <w:t xml:space="preserve"> през 1980-те и 1990-те години. Непряко въздействие имат инвазивните чужди видове зоопланктон, които унищожават зоопланктона (Copepoda) като хранителна база за рибите, които служат за храна на морските бозайници. Значителната антропогенна еутрофикация, съпроводена с интензивни цъфтежи и дънна хипоксия поради гниене на излишната органична материя също влошава местообитанията и повишава смъртността на рибите, което непряко влияе и върху морските бозайници. </w:t>
      </w:r>
    </w:p>
    <w:p w14:paraId="5E341D97" w14:textId="0821EA76" w:rsidR="00414FA9" w:rsidRPr="00610B1B" w:rsidRDefault="00790D07" w:rsidP="00D32D6A">
      <w:pPr>
        <w:pStyle w:val="BodyText"/>
        <w:spacing w:before="0" w:after="120" w:line="276" w:lineRule="auto"/>
        <w:ind w:right="-153"/>
        <w:rPr>
          <w:rFonts w:cs="Times New Roman"/>
        </w:rPr>
      </w:pPr>
      <w:r w:rsidRPr="00610B1B">
        <w:rPr>
          <w:rFonts w:cs="Times New Roman"/>
        </w:rPr>
        <w:t>В Морската стратегия на Р</w:t>
      </w:r>
      <w:r w:rsidR="00E10F89" w:rsidRPr="00610B1B">
        <w:rPr>
          <w:rFonts w:cs="Times New Roman"/>
        </w:rPr>
        <w:t>епублика</w:t>
      </w:r>
      <w:r w:rsidRPr="00610B1B">
        <w:rPr>
          <w:rFonts w:cs="Times New Roman"/>
        </w:rPr>
        <w:t xml:space="preserve"> България са предвидени национални и трансгранични мерки за подобряване на състоянието на популациите на морските бозайници, които са насочени към намаляване на риболовния натиск чрез прилагане на риболовни техники и оборудване, щадящо околната среда, намаляване на </w:t>
      </w:r>
      <w:r w:rsidR="00BF2A7D" w:rsidRPr="00610B1B">
        <w:rPr>
          <w:rFonts w:cs="Times New Roman"/>
        </w:rPr>
        <w:t>случайния</w:t>
      </w:r>
      <w:r w:rsidRPr="00610B1B">
        <w:rPr>
          <w:rFonts w:cs="Times New Roman"/>
        </w:rPr>
        <w:t xml:space="preserve"> улов на морски бозайници и подобряване на контрола по отношение на хрилните мрежи за калкан. </w:t>
      </w:r>
      <w:r w:rsidR="00D35E34" w:rsidRPr="00610B1B">
        <w:rPr>
          <w:rFonts w:cs="Times New Roman"/>
        </w:rPr>
        <w:t>Предвидено е из</w:t>
      </w:r>
      <w:r w:rsidR="00414FA9" w:rsidRPr="00610B1B">
        <w:rPr>
          <w:rFonts w:cs="Times New Roman"/>
        </w:rPr>
        <w:t>готвяне или актуализиране на планове</w:t>
      </w:r>
      <w:r w:rsidR="00D35E34" w:rsidRPr="00610B1B">
        <w:rPr>
          <w:rFonts w:cs="Times New Roman"/>
        </w:rPr>
        <w:t>те</w:t>
      </w:r>
      <w:r w:rsidR="00414FA9" w:rsidRPr="00610B1B">
        <w:rPr>
          <w:rFonts w:cs="Times New Roman"/>
        </w:rPr>
        <w:t xml:space="preserve"> за управление на защитените зони</w:t>
      </w:r>
      <w:r w:rsidR="00BF2A7D" w:rsidRPr="00610B1B">
        <w:rPr>
          <w:rFonts w:cs="Times New Roman"/>
        </w:rPr>
        <w:t>,</w:t>
      </w:r>
      <w:r w:rsidR="00D66FE0" w:rsidRPr="00610B1B">
        <w:rPr>
          <w:rFonts w:cs="Times New Roman"/>
        </w:rPr>
        <w:t xml:space="preserve"> </w:t>
      </w:r>
      <w:r w:rsidR="00414FA9" w:rsidRPr="00610B1B">
        <w:rPr>
          <w:rFonts w:cs="Times New Roman"/>
        </w:rPr>
        <w:t>включващи морска акватория в България и Румъния и създава</w:t>
      </w:r>
      <w:r w:rsidR="00D35E34" w:rsidRPr="00610B1B">
        <w:rPr>
          <w:rFonts w:cs="Times New Roman"/>
        </w:rPr>
        <w:t>не на нови представителни мрежи. Част от мерките са насочени към и</w:t>
      </w:r>
      <w:r w:rsidR="00414FA9" w:rsidRPr="00610B1B">
        <w:rPr>
          <w:rFonts w:cs="Times New Roman"/>
        </w:rPr>
        <w:t>зменение на съществуващото законодателство, при необходимост, чрез въвеждане на разрешителен режим за дейности в морската среда или други регулаторни изменения</w:t>
      </w:r>
      <w:r w:rsidR="00D35E34" w:rsidRPr="00610B1B">
        <w:rPr>
          <w:rFonts w:cs="Times New Roman"/>
        </w:rPr>
        <w:t xml:space="preserve">, както и мерки за </w:t>
      </w:r>
      <w:r w:rsidR="00414FA9" w:rsidRPr="00610B1B">
        <w:rPr>
          <w:rFonts w:cs="Times New Roman"/>
        </w:rPr>
        <w:t>намаляване на морските отпадъци и подводния шум в морската среда.</w:t>
      </w:r>
      <w:r w:rsidRPr="00610B1B">
        <w:rPr>
          <w:rFonts w:cs="Times New Roman"/>
        </w:rPr>
        <w:t xml:space="preserve"> Тези </w:t>
      </w:r>
      <w:r w:rsidR="00414FA9" w:rsidRPr="00610B1B">
        <w:rPr>
          <w:rFonts w:cs="Times New Roman"/>
        </w:rPr>
        <w:t xml:space="preserve">мерки са насочени и към опазване на рибните запаси. </w:t>
      </w:r>
    </w:p>
    <w:p w14:paraId="7BAA83BC" w14:textId="77777777" w:rsidR="00F51E17" w:rsidRPr="00610B1B" w:rsidRDefault="00F51E17" w:rsidP="00D32D6A">
      <w:pPr>
        <w:pStyle w:val="Heading4"/>
        <w:spacing w:before="0" w:line="276" w:lineRule="auto"/>
        <w:ind w:right="-153"/>
        <w:rPr>
          <w:rFonts w:cs="Times New Roman"/>
        </w:rPr>
      </w:pPr>
      <w:r w:rsidRPr="00610B1B">
        <w:rPr>
          <w:rFonts w:cs="Times New Roman"/>
        </w:rPr>
        <w:t xml:space="preserve">2.2.4.5. </w:t>
      </w:r>
      <w:r w:rsidR="009D4A0E" w:rsidRPr="00610B1B">
        <w:rPr>
          <w:rFonts w:cs="Times New Roman"/>
        </w:rPr>
        <w:t>Морски птици – Via Pontica</w:t>
      </w:r>
    </w:p>
    <w:p w14:paraId="6F2998B3" w14:textId="7AD0FD76" w:rsidR="00840C04" w:rsidRPr="00610B1B" w:rsidRDefault="009D4A0E" w:rsidP="00D32D6A">
      <w:pPr>
        <w:pStyle w:val="BodyText"/>
        <w:spacing w:before="0" w:after="120" w:line="276" w:lineRule="auto"/>
        <w:ind w:right="-153"/>
        <w:rPr>
          <w:rFonts w:cs="Times New Roman"/>
          <w:lang w:eastAsia="en-US"/>
        </w:rPr>
      </w:pPr>
      <w:r w:rsidRPr="00610B1B">
        <w:rPr>
          <w:rFonts w:cs="Times New Roman"/>
        </w:rPr>
        <w:t xml:space="preserve">Съгласно Списъка на видовете птици в България към 31.12.2014 г </w:t>
      </w:r>
      <w:r w:rsidRPr="00610B1B">
        <w:rPr>
          <w:rFonts w:cs="Times New Roman"/>
          <w:iCs/>
        </w:rPr>
        <w:t>(</w:t>
      </w:r>
      <w:r w:rsidRPr="00610B1B">
        <w:rPr>
          <w:rFonts w:cs="Times New Roman"/>
        </w:rPr>
        <w:t>BUNARCO, 2014</w:t>
      </w:r>
      <w:r w:rsidRPr="00610B1B">
        <w:rPr>
          <w:rFonts w:cs="Times New Roman"/>
          <w:iCs/>
        </w:rPr>
        <w:t>)</w:t>
      </w:r>
      <w:r w:rsidRPr="00610B1B">
        <w:rPr>
          <w:rFonts w:cs="Times New Roman"/>
        </w:rPr>
        <w:t xml:space="preserve"> орнитофауната на България наброява 420 вида птици, от които 2 вида са наблюдавани в дивата природа в периода 1880–1949 г. и един вид интродуциран в страната или избягал от колекции и свободно размножаващ се в природата</w:t>
      </w:r>
      <w:r w:rsidRPr="00610B1B">
        <w:rPr>
          <w:rStyle w:val="a4"/>
          <w:rFonts w:cs="Times New Roman"/>
        </w:rPr>
        <w:footnoteReference w:id="84"/>
      </w:r>
      <w:r w:rsidRPr="00610B1B">
        <w:rPr>
          <w:rFonts w:cs="Times New Roman"/>
        </w:rPr>
        <w:t xml:space="preserve">. Само два вида птици са изцяло зависещи от морето през периодите на гнездене, миграция и зимуване в разглежданата акватория на Черно море. Това са </w:t>
      </w:r>
      <w:r w:rsidRPr="00610B1B">
        <w:rPr>
          <w:rFonts w:cs="Times New Roman"/>
          <w:lang w:eastAsia="en-US"/>
        </w:rPr>
        <w:t>Средиземноморския</w:t>
      </w:r>
      <w:r w:rsidR="00F51E17" w:rsidRPr="00610B1B">
        <w:rPr>
          <w:rFonts w:cs="Times New Roman"/>
          <w:lang w:eastAsia="en-US"/>
        </w:rPr>
        <w:t>т</w:t>
      </w:r>
      <w:r w:rsidRPr="00610B1B">
        <w:rPr>
          <w:rFonts w:cs="Times New Roman"/>
          <w:lang w:eastAsia="en-US"/>
        </w:rPr>
        <w:t xml:space="preserve"> буревестник </w:t>
      </w:r>
      <w:r w:rsidRPr="00610B1B">
        <w:rPr>
          <w:rFonts w:cs="Times New Roman"/>
          <w:iCs/>
          <w:lang w:eastAsia="en-US"/>
        </w:rPr>
        <w:t>(</w:t>
      </w:r>
      <w:r w:rsidRPr="00610B1B">
        <w:rPr>
          <w:rFonts w:cs="Times New Roman"/>
          <w:i/>
          <w:lang w:eastAsia="en-US"/>
        </w:rPr>
        <w:t>Puffinus yelkouan</w:t>
      </w:r>
      <w:r w:rsidRPr="00610B1B">
        <w:rPr>
          <w:rFonts w:cs="Times New Roman"/>
          <w:iCs/>
          <w:lang w:eastAsia="en-US"/>
        </w:rPr>
        <w:t>)</w:t>
      </w:r>
      <w:r w:rsidRPr="00610B1B">
        <w:rPr>
          <w:rFonts w:cs="Times New Roman"/>
          <w:lang w:eastAsia="en-US"/>
        </w:rPr>
        <w:t xml:space="preserve"> и Средния</w:t>
      </w:r>
      <w:r w:rsidR="00F51E17" w:rsidRPr="00610B1B">
        <w:rPr>
          <w:rFonts w:cs="Times New Roman"/>
          <w:lang w:eastAsia="en-US"/>
        </w:rPr>
        <w:t>т</w:t>
      </w:r>
      <w:r w:rsidRPr="00610B1B">
        <w:rPr>
          <w:rFonts w:cs="Times New Roman"/>
          <w:lang w:eastAsia="en-US"/>
        </w:rPr>
        <w:t xml:space="preserve"> </w:t>
      </w:r>
      <w:r w:rsidRPr="00610B1B">
        <w:rPr>
          <w:rFonts w:cs="Times New Roman"/>
          <w:iCs/>
          <w:lang w:eastAsia="en-US"/>
        </w:rPr>
        <w:t>(</w:t>
      </w:r>
      <w:r w:rsidRPr="00610B1B">
        <w:rPr>
          <w:rFonts w:cs="Times New Roman"/>
          <w:lang w:eastAsia="en-US"/>
        </w:rPr>
        <w:t>качулат</w:t>
      </w:r>
      <w:r w:rsidRPr="00610B1B">
        <w:rPr>
          <w:rFonts w:cs="Times New Roman"/>
          <w:iCs/>
          <w:lang w:eastAsia="en-US"/>
        </w:rPr>
        <w:t>)</w:t>
      </w:r>
      <w:r w:rsidRPr="00610B1B">
        <w:rPr>
          <w:rFonts w:cs="Times New Roman"/>
          <w:lang w:eastAsia="en-US"/>
        </w:rPr>
        <w:t xml:space="preserve"> корморан </w:t>
      </w:r>
      <w:r w:rsidRPr="00610B1B">
        <w:rPr>
          <w:rFonts w:cs="Times New Roman"/>
          <w:iCs/>
          <w:lang w:eastAsia="en-US"/>
        </w:rPr>
        <w:t>(</w:t>
      </w:r>
      <w:r w:rsidRPr="00610B1B">
        <w:rPr>
          <w:rFonts w:cs="Times New Roman"/>
          <w:i/>
          <w:lang w:eastAsia="en-US"/>
        </w:rPr>
        <w:t xml:space="preserve">Phalacrocorax </w:t>
      </w:r>
      <w:r w:rsidRPr="00610B1B">
        <w:rPr>
          <w:rFonts w:eastAsia="Calibri" w:cs="Times New Roman"/>
          <w:i/>
          <w:lang w:eastAsia="en-US"/>
        </w:rPr>
        <w:t>aristotelis desmarestii</w:t>
      </w:r>
      <w:r w:rsidRPr="00610B1B">
        <w:rPr>
          <w:rFonts w:cs="Times New Roman"/>
          <w:iCs/>
          <w:lang w:eastAsia="en-US"/>
        </w:rPr>
        <w:t>)</w:t>
      </w:r>
      <w:r w:rsidRPr="00610B1B">
        <w:rPr>
          <w:rFonts w:cs="Times New Roman"/>
          <w:lang w:eastAsia="en-US"/>
        </w:rPr>
        <w:t xml:space="preserve">. И двата вида са включени в приложение I от Директива за опазване на дивите птици 2009/147/EO и Приложение II от Бернската конвенция. </w:t>
      </w:r>
    </w:p>
    <w:p w14:paraId="667272ED" w14:textId="34886223" w:rsidR="00564F20" w:rsidRPr="00610B1B" w:rsidRDefault="009D4A0E" w:rsidP="00D32D6A">
      <w:pPr>
        <w:pStyle w:val="BodyText"/>
        <w:spacing w:before="0" w:after="120" w:line="276" w:lineRule="auto"/>
        <w:ind w:right="-153"/>
        <w:rPr>
          <w:rFonts w:cs="Times New Roman"/>
          <w:lang w:eastAsia="en-US"/>
        </w:rPr>
      </w:pPr>
      <w:r w:rsidRPr="00610B1B">
        <w:rPr>
          <w:rFonts w:cs="Times New Roman"/>
          <w:lang w:eastAsia="en-US"/>
        </w:rPr>
        <w:t xml:space="preserve">Съгласно Червения списък на Международния съюз за защита на природата </w:t>
      </w:r>
      <w:r w:rsidRPr="00610B1B">
        <w:rPr>
          <w:rFonts w:cs="Times New Roman"/>
          <w:iCs/>
          <w:lang w:eastAsia="en-US"/>
        </w:rPr>
        <w:t>(</w:t>
      </w:r>
      <w:r w:rsidRPr="00610B1B">
        <w:rPr>
          <w:rFonts w:cs="Times New Roman"/>
          <w:lang w:eastAsia="en-US"/>
        </w:rPr>
        <w:t>IUCN</w:t>
      </w:r>
      <w:r w:rsidRPr="00610B1B">
        <w:rPr>
          <w:rFonts w:cs="Times New Roman"/>
          <w:iCs/>
          <w:lang w:eastAsia="en-US"/>
        </w:rPr>
        <w:t>)</w:t>
      </w:r>
      <w:r w:rsidRPr="00610B1B">
        <w:rPr>
          <w:rFonts w:cs="Times New Roman"/>
          <w:lang w:eastAsia="en-US"/>
        </w:rPr>
        <w:t xml:space="preserve"> Средиземноморският буревестник </w:t>
      </w:r>
      <w:r w:rsidRPr="00610B1B">
        <w:rPr>
          <w:rFonts w:cs="Times New Roman"/>
          <w:iCs/>
          <w:lang w:eastAsia="en-US"/>
        </w:rPr>
        <w:t>(</w:t>
      </w:r>
      <w:r w:rsidRPr="00610B1B">
        <w:rPr>
          <w:rFonts w:cs="Times New Roman"/>
          <w:i/>
          <w:lang w:eastAsia="en-US"/>
        </w:rPr>
        <w:t>Puffinus yelkouan</w:t>
      </w:r>
      <w:r w:rsidRPr="00610B1B">
        <w:rPr>
          <w:rFonts w:cs="Times New Roman"/>
          <w:iCs/>
          <w:lang w:eastAsia="en-US"/>
        </w:rPr>
        <w:t>)</w:t>
      </w:r>
      <w:r w:rsidRPr="00610B1B">
        <w:rPr>
          <w:rFonts w:cs="Times New Roman"/>
          <w:lang w:eastAsia="en-US"/>
        </w:rPr>
        <w:t xml:space="preserve"> </w:t>
      </w:r>
      <w:r w:rsidR="00564F20" w:rsidRPr="00610B1B">
        <w:rPr>
          <w:rFonts w:cs="Times New Roman"/>
          <w:lang w:eastAsia="en-US"/>
        </w:rPr>
        <w:t xml:space="preserve">е мигриращ вид, включен в Червената книга на Р. България като „застрашен“, но със сравнително висока численост, особено по Северното Черноморие. Той гнезди в Средиземноморския басейн, където е над 95% от световната популация. Основните размножителни колонии са концентрирани в Централната и Източната част на Средиземно море, от Корсика и Сардиния през централната част на Средиземно, Адриатическо и Егейско море. През гнездовия сезон се </w:t>
      </w:r>
      <w:r w:rsidR="00564F20" w:rsidRPr="00610B1B">
        <w:rPr>
          <w:rFonts w:cs="Times New Roman"/>
          <w:lang w:eastAsia="en-US"/>
        </w:rPr>
        <w:lastRenderedPageBreak/>
        <w:t>отдалечава в морето на стотици километри. Между юни и октомври популацията се разпръсва из Средиземно и Черно море, където прекарва зимата.</w:t>
      </w:r>
    </w:p>
    <w:p w14:paraId="50FE0AC7" w14:textId="7029ACAD" w:rsidR="00840C04" w:rsidRPr="00610B1B" w:rsidRDefault="00564F20" w:rsidP="00D32D6A">
      <w:pPr>
        <w:pStyle w:val="BodyText"/>
        <w:spacing w:before="0" w:after="120" w:line="276" w:lineRule="auto"/>
        <w:ind w:right="-153"/>
        <w:rPr>
          <w:rFonts w:cs="Times New Roman"/>
          <w:lang w:eastAsia="en-US"/>
        </w:rPr>
      </w:pPr>
      <w:r w:rsidRPr="00610B1B">
        <w:rPr>
          <w:rFonts w:cs="Times New Roman"/>
          <w:lang w:eastAsia="en-US"/>
        </w:rPr>
        <w:t>В България е рядък гнездящ и многоброен скитащ вид. През зимата ята са наблюдавани в Атанасовско</w:t>
      </w:r>
      <w:r w:rsidR="003E4E07" w:rsidRPr="00610B1B">
        <w:rPr>
          <w:rFonts w:cs="Times New Roman"/>
          <w:lang w:eastAsia="en-US"/>
        </w:rPr>
        <w:t>то</w:t>
      </w:r>
      <w:r w:rsidRPr="00610B1B">
        <w:rPr>
          <w:rFonts w:cs="Times New Roman"/>
          <w:lang w:eastAsia="en-US"/>
        </w:rPr>
        <w:t xml:space="preserve"> езеро и до Ахтопол. Съгласно програмата за мониторинг на РДМС през последните години (2015–2018 г.) се следи състоянието на вида по Черноморското крайбрежие и акваторията на страната. Данните от наблюденията отчитат изключително висока численост на вида по Северното Черноморие (района на Тюленово, Камен бряг и Калиакра) през май 2015 г. (19 237 птици на разстояние 500 до 6 000 m от брега) и пълна липса на наблюдения през 2016 г., дължащо се вероятно на късно проведения мониторинг. </w:t>
      </w:r>
      <w:r w:rsidR="00840C04" w:rsidRPr="00610B1B">
        <w:rPr>
          <w:rFonts w:cs="Times New Roman"/>
          <w:lang w:eastAsia="en-US"/>
        </w:rPr>
        <w:t>Съгласно изготвените през 2019 г. „Анализи и проучвания на видове и природни местообитания, предмет на докладване по чл. 17 от Директивата за местообитанията и чл. 12 от Директивата за птиците“, средиземноморският буревестник е с мигрираща численост по Черноморието между 5 000 и 25 000 птици.</w:t>
      </w:r>
    </w:p>
    <w:p w14:paraId="2642D740" w14:textId="15B76B1A" w:rsidR="00564F20" w:rsidRPr="00610B1B" w:rsidRDefault="00840C04" w:rsidP="00D32D6A">
      <w:pPr>
        <w:pStyle w:val="BodyText"/>
        <w:spacing w:before="0" w:after="120" w:line="276" w:lineRule="auto"/>
        <w:ind w:right="-153"/>
        <w:rPr>
          <w:rFonts w:cs="Times New Roman"/>
          <w:lang w:eastAsia="en-US"/>
        </w:rPr>
      </w:pPr>
      <w:r w:rsidRPr="00610B1B">
        <w:rPr>
          <w:rFonts w:cs="Times New Roman"/>
          <w:lang w:eastAsia="en-US"/>
        </w:rPr>
        <w:t xml:space="preserve">Мониторингът на вида трябва да се провежда в подходящ сезон между </w:t>
      </w:r>
      <w:r w:rsidR="003E4E07" w:rsidRPr="00610B1B">
        <w:rPr>
          <w:rFonts w:cs="Times New Roman"/>
          <w:lang w:eastAsia="en-US"/>
        </w:rPr>
        <w:t xml:space="preserve">месеците </w:t>
      </w:r>
      <w:r w:rsidRPr="00610B1B">
        <w:rPr>
          <w:rFonts w:cs="Times New Roman"/>
          <w:lang w:eastAsia="en-US"/>
        </w:rPr>
        <w:t>март и май. Това ще даде възможност за проследяване на тенденцията в миграцията на вида. Необходимо е при анализа да са налични и данни за рибните запаси по сектори за същия период с цел потвърждаване на връзката между миграциите на буревестниците и предпочитания им хранителен ресурс. На този етап поради липса на данни не е възможно да се постави адекватна и обективна оценка на състоянието на вида</w:t>
      </w:r>
    </w:p>
    <w:p w14:paraId="44F21E49" w14:textId="78F5C271" w:rsidR="00840C04" w:rsidRPr="00610B1B" w:rsidRDefault="009D4A0E" w:rsidP="00D32D6A">
      <w:pPr>
        <w:pStyle w:val="BodyText"/>
        <w:spacing w:before="0" w:after="120" w:line="276" w:lineRule="auto"/>
        <w:ind w:right="-153"/>
        <w:rPr>
          <w:rFonts w:cs="Times New Roman"/>
          <w:lang w:eastAsia="en-US"/>
        </w:rPr>
      </w:pPr>
      <w:r w:rsidRPr="00610B1B">
        <w:rPr>
          <w:rFonts w:cs="Times New Roman"/>
          <w:lang w:eastAsia="en-US"/>
        </w:rPr>
        <w:t xml:space="preserve">Средният корморан </w:t>
      </w:r>
      <w:r w:rsidRPr="00610B1B">
        <w:rPr>
          <w:rFonts w:cs="Times New Roman"/>
          <w:iCs/>
          <w:lang w:eastAsia="en-US"/>
        </w:rPr>
        <w:t>(</w:t>
      </w:r>
      <w:r w:rsidRPr="00610B1B">
        <w:rPr>
          <w:rFonts w:cs="Times New Roman"/>
          <w:i/>
          <w:lang w:eastAsia="en-US"/>
        </w:rPr>
        <w:t xml:space="preserve">Phalacrocorax </w:t>
      </w:r>
      <w:r w:rsidRPr="00610B1B">
        <w:rPr>
          <w:rFonts w:eastAsia="Calibri" w:cs="Times New Roman"/>
          <w:i/>
          <w:lang w:eastAsia="en-US"/>
        </w:rPr>
        <w:t>aristotelis desmarestii</w:t>
      </w:r>
      <w:r w:rsidRPr="00610B1B">
        <w:rPr>
          <w:rFonts w:cs="Times New Roman"/>
          <w:iCs/>
          <w:lang w:eastAsia="en-US"/>
        </w:rPr>
        <w:t>)</w:t>
      </w:r>
      <w:r w:rsidR="00564F20" w:rsidRPr="00610B1B">
        <w:rPr>
          <w:rFonts w:cs="Times New Roman"/>
        </w:rPr>
        <w:t xml:space="preserve"> </w:t>
      </w:r>
      <w:r w:rsidR="00564F20" w:rsidRPr="00610B1B">
        <w:rPr>
          <w:rFonts w:cs="Times New Roman"/>
          <w:iCs/>
          <w:lang w:eastAsia="en-US"/>
        </w:rPr>
        <w:t>е постоянен вид с повишаваща се численост през последните години. Видът е включен в Червената Книга на България в категория „уязвим“</w:t>
      </w:r>
      <w:r w:rsidRPr="00610B1B">
        <w:rPr>
          <w:rFonts w:cs="Times New Roman"/>
          <w:lang w:eastAsia="en-US"/>
        </w:rPr>
        <w:t>.</w:t>
      </w:r>
      <w:r w:rsidR="00564F20" w:rsidRPr="00610B1B">
        <w:rPr>
          <w:rFonts w:cs="Times New Roman"/>
          <w:lang w:eastAsia="en-US"/>
        </w:rPr>
        <w:t xml:space="preserve"> </w:t>
      </w:r>
      <w:r w:rsidR="00840C04" w:rsidRPr="00610B1B">
        <w:rPr>
          <w:rFonts w:cs="Times New Roman"/>
          <w:lang w:eastAsia="en-US"/>
        </w:rPr>
        <w:t xml:space="preserve">Той е вид със </w:t>
      </w:r>
      <w:r w:rsidR="00A11253" w:rsidRPr="00610B1B">
        <w:rPr>
          <w:rFonts w:cs="Times New Roman"/>
          <w:lang w:eastAsia="en-US"/>
        </w:rPr>
        <w:t>северноатлантически</w:t>
      </w:r>
      <w:r w:rsidR="00840C04" w:rsidRPr="00610B1B">
        <w:rPr>
          <w:rFonts w:cs="Times New Roman"/>
          <w:lang w:eastAsia="en-US"/>
        </w:rPr>
        <w:t xml:space="preserve"> тип на разпространение, което обхваща Атлантическото крайбрежие на Европа и Северозападна Африка и бреговете на Средиземно, Адриатическо и Черно море. Средният корморан, срещащ се в България, принадлежи към подвид desmarestii (</w:t>
      </w:r>
      <w:r w:rsidR="00840C04" w:rsidRPr="00610B1B">
        <w:rPr>
          <w:rFonts w:cs="Times New Roman"/>
          <w:i/>
          <w:iCs/>
          <w:lang w:eastAsia="en-US"/>
        </w:rPr>
        <w:t>Phalacrocorax aristotelis desmarestii</w:t>
      </w:r>
      <w:r w:rsidR="00840C04" w:rsidRPr="00610B1B">
        <w:rPr>
          <w:rFonts w:cs="Times New Roman"/>
          <w:lang w:eastAsia="en-US"/>
        </w:rPr>
        <w:t>).</w:t>
      </w:r>
      <w:r w:rsidR="007B7168" w:rsidRPr="00610B1B">
        <w:rPr>
          <w:rFonts w:cs="Times New Roman"/>
          <w:lang w:eastAsia="en-US"/>
        </w:rPr>
        <w:t xml:space="preserve"> </w:t>
      </w:r>
      <w:r w:rsidR="00840C04" w:rsidRPr="00610B1B">
        <w:rPr>
          <w:rFonts w:cs="Times New Roman"/>
          <w:lang w:eastAsia="en-US"/>
        </w:rPr>
        <w:t>Той е постоянен вид у нас, гнезди по скалистото крайбрежие от н</w:t>
      </w:r>
      <w:r w:rsidR="007B7168" w:rsidRPr="00610B1B">
        <w:rPr>
          <w:rFonts w:cs="Times New Roman"/>
          <w:lang w:eastAsia="en-US"/>
        </w:rPr>
        <w:t>ос</w:t>
      </w:r>
      <w:r w:rsidR="00840C04" w:rsidRPr="00610B1B">
        <w:rPr>
          <w:rFonts w:cs="Times New Roman"/>
          <w:lang w:eastAsia="en-US"/>
        </w:rPr>
        <w:t xml:space="preserve"> Шабла до н</w:t>
      </w:r>
      <w:r w:rsidR="007B7168" w:rsidRPr="00610B1B">
        <w:rPr>
          <w:rFonts w:cs="Times New Roman"/>
          <w:lang w:eastAsia="en-US"/>
        </w:rPr>
        <w:t>ос</w:t>
      </w:r>
      <w:r w:rsidR="00840C04" w:rsidRPr="00610B1B">
        <w:rPr>
          <w:rFonts w:cs="Times New Roman"/>
          <w:lang w:eastAsia="en-US"/>
        </w:rPr>
        <w:t xml:space="preserve"> Калиакра, а през последните години и на остров </w:t>
      </w:r>
      <w:r w:rsidR="007B7168" w:rsidRPr="00610B1B">
        <w:rPr>
          <w:rFonts w:cs="Times New Roman"/>
          <w:lang w:eastAsia="en-US"/>
        </w:rPr>
        <w:t xml:space="preserve">„Свети </w:t>
      </w:r>
      <w:r w:rsidR="00840C04" w:rsidRPr="00610B1B">
        <w:rPr>
          <w:rFonts w:cs="Times New Roman"/>
          <w:lang w:eastAsia="en-US"/>
        </w:rPr>
        <w:t>Петър</w:t>
      </w:r>
      <w:r w:rsidR="007B7168" w:rsidRPr="00610B1B">
        <w:rPr>
          <w:rFonts w:cs="Times New Roman"/>
          <w:lang w:eastAsia="en-US"/>
        </w:rPr>
        <w:t>“</w:t>
      </w:r>
      <w:r w:rsidR="00840C04" w:rsidRPr="00610B1B">
        <w:rPr>
          <w:rFonts w:cs="Times New Roman"/>
          <w:lang w:eastAsia="en-US"/>
        </w:rPr>
        <w:t xml:space="preserve"> край Созопол. При проучването през 2015-2016 г.</w:t>
      </w:r>
      <w:r w:rsidR="00D66FE0" w:rsidRPr="00610B1B">
        <w:rPr>
          <w:rFonts w:cs="Times New Roman"/>
          <w:lang w:eastAsia="en-US"/>
        </w:rPr>
        <w:t xml:space="preserve"> </w:t>
      </w:r>
      <w:r w:rsidR="00840C04" w:rsidRPr="00610B1B">
        <w:rPr>
          <w:rFonts w:cs="Times New Roman"/>
          <w:lang w:eastAsia="en-US"/>
        </w:rPr>
        <w:t xml:space="preserve">колонията е </w:t>
      </w:r>
      <w:r w:rsidR="003E4E07" w:rsidRPr="00610B1B">
        <w:rPr>
          <w:rFonts w:cs="Times New Roman"/>
          <w:lang w:eastAsia="en-US"/>
        </w:rPr>
        <w:t xml:space="preserve">от </w:t>
      </w:r>
      <w:r w:rsidR="00840C04" w:rsidRPr="00610B1B">
        <w:rPr>
          <w:rFonts w:cs="Times New Roman"/>
          <w:lang w:eastAsia="en-US"/>
        </w:rPr>
        <w:t xml:space="preserve">около 200 – 250 двойки по северното Черноморие и около 20 гнездящи двойки на остров </w:t>
      </w:r>
      <w:r w:rsidR="007B7168" w:rsidRPr="00610B1B">
        <w:rPr>
          <w:rFonts w:cs="Times New Roman"/>
          <w:lang w:eastAsia="en-US"/>
        </w:rPr>
        <w:t>„</w:t>
      </w:r>
      <w:r w:rsidR="00840C04" w:rsidRPr="00610B1B">
        <w:rPr>
          <w:rFonts w:cs="Times New Roman"/>
          <w:lang w:eastAsia="en-US"/>
        </w:rPr>
        <w:t>Св. Петър</w:t>
      </w:r>
      <w:r w:rsidR="007B7168" w:rsidRPr="00610B1B">
        <w:rPr>
          <w:rFonts w:cs="Times New Roman"/>
          <w:lang w:eastAsia="en-US"/>
        </w:rPr>
        <w:t>“</w:t>
      </w:r>
      <w:r w:rsidR="00840C04" w:rsidRPr="00610B1B">
        <w:rPr>
          <w:rFonts w:cs="Times New Roman"/>
          <w:lang w:eastAsia="en-US"/>
        </w:rPr>
        <w:t xml:space="preserve">. Налице е бавно увеличение на числеността и популацията. През зимата остава в същия район или слиза </w:t>
      </w:r>
      <w:r w:rsidR="007B7168" w:rsidRPr="00610B1B">
        <w:rPr>
          <w:rFonts w:cs="Times New Roman"/>
          <w:lang w:eastAsia="en-US"/>
        </w:rPr>
        <w:t>на юг</w:t>
      </w:r>
      <w:r w:rsidR="00840C04" w:rsidRPr="00610B1B">
        <w:rPr>
          <w:rFonts w:cs="Times New Roman"/>
          <w:lang w:eastAsia="en-US"/>
        </w:rPr>
        <w:t xml:space="preserve"> по българско</w:t>
      </w:r>
      <w:r w:rsidR="003E4E07" w:rsidRPr="00610B1B">
        <w:rPr>
          <w:rFonts w:cs="Times New Roman"/>
          <w:lang w:eastAsia="en-US"/>
        </w:rPr>
        <w:t>то</w:t>
      </w:r>
      <w:r w:rsidR="00840C04" w:rsidRPr="00610B1B">
        <w:rPr>
          <w:rFonts w:cs="Times New Roman"/>
          <w:lang w:eastAsia="en-US"/>
        </w:rPr>
        <w:t xml:space="preserve"> крайбрежие. </w:t>
      </w:r>
      <w:r w:rsidR="003E4E07" w:rsidRPr="00610B1B">
        <w:rPr>
          <w:rFonts w:cs="Times New Roman"/>
          <w:lang w:eastAsia="en-US"/>
        </w:rPr>
        <w:t>Г</w:t>
      </w:r>
      <w:r w:rsidR="00840C04" w:rsidRPr="00610B1B">
        <w:rPr>
          <w:rFonts w:cs="Times New Roman"/>
          <w:lang w:eastAsia="en-US"/>
        </w:rPr>
        <w:t xml:space="preserve">нездовата популация се смята за постоянна, </w:t>
      </w:r>
      <w:r w:rsidR="003E4E07" w:rsidRPr="00610B1B">
        <w:rPr>
          <w:rFonts w:cs="Times New Roman"/>
          <w:lang w:eastAsia="en-US"/>
        </w:rPr>
        <w:t xml:space="preserve">но </w:t>
      </w:r>
      <w:r w:rsidR="00840C04" w:rsidRPr="00610B1B">
        <w:rPr>
          <w:rFonts w:cs="Times New Roman"/>
          <w:lang w:eastAsia="en-US"/>
        </w:rPr>
        <w:t xml:space="preserve">зимните миграции не са изяснени достатъчно добре. </w:t>
      </w:r>
    </w:p>
    <w:p w14:paraId="24873C9C" w14:textId="53C4C7AD" w:rsidR="00564F20" w:rsidRPr="00610B1B" w:rsidRDefault="00840C04" w:rsidP="00D32D6A">
      <w:pPr>
        <w:pStyle w:val="BodyText"/>
        <w:spacing w:before="0" w:after="120" w:line="276" w:lineRule="auto"/>
        <w:ind w:right="-153"/>
        <w:rPr>
          <w:rFonts w:cs="Times New Roman"/>
          <w:lang w:eastAsia="en-US"/>
        </w:rPr>
      </w:pPr>
      <w:r w:rsidRPr="00610B1B">
        <w:rPr>
          <w:rFonts w:cs="Times New Roman"/>
          <w:lang w:eastAsia="en-US"/>
        </w:rPr>
        <w:t>Основната част на популацията е съсредоточена по северното Черноморско крайбрежие между нос Калиакра и Тюленово. Съгласно програмата за мониторинг на РДМС числеността на вида през 2015 г. е 680 индивида, а през 2016 г. – 367 индивида. Най-високата отчетена численост през 2018 г. е на 8 юни по време на мониторинг на морските пещери, в които гнездят корморани. Установени са 291 индивида.</w:t>
      </w:r>
      <w:r w:rsidR="002D0A49" w:rsidRPr="00610B1B">
        <w:rPr>
          <w:rFonts w:cs="Times New Roman"/>
        </w:rPr>
        <w:t xml:space="preserve"> </w:t>
      </w:r>
      <w:r w:rsidR="002D0A49" w:rsidRPr="00610B1B">
        <w:rPr>
          <w:rFonts w:cs="Times New Roman"/>
          <w:lang w:eastAsia="en-US"/>
        </w:rPr>
        <w:t>Съгласно изготвените през 2019 г. „Анализи и проучвания на видове и природни местообитания, предмет на докладване по чл. 17 от Директивата за местообитанията и чл. 12 от Директивата за птиците“, средният корморан е с гнездова численост по Черноморието между 110 и 250 двойки.</w:t>
      </w:r>
    </w:p>
    <w:p w14:paraId="5F94F317" w14:textId="77777777" w:rsidR="002D0A49" w:rsidRPr="00610B1B" w:rsidRDefault="00DD6F02" w:rsidP="00D32D6A">
      <w:pPr>
        <w:pStyle w:val="BodyText"/>
        <w:spacing w:before="0" w:after="120" w:line="276" w:lineRule="auto"/>
        <w:ind w:right="-153"/>
        <w:rPr>
          <w:rFonts w:cs="Times New Roman"/>
        </w:rPr>
      </w:pPr>
      <w:r w:rsidRPr="00610B1B">
        <w:rPr>
          <w:rFonts w:cs="Times New Roman"/>
        </w:rPr>
        <w:t xml:space="preserve">По Черноморското крайбрежие са обявени 19 защитени зони по Директива 2009/147 за </w:t>
      </w:r>
      <w:r w:rsidRPr="00610B1B">
        <w:rPr>
          <w:rFonts w:cs="Times New Roman"/>
        </w:rPr>
        <w:lastRenderedPageBreak/>
        <w:t xml:space="preserve">опазване на дивите птици. </w:t>
      </w:r>
      <w:r w:rsidR="002D0A49" w:rsidRPr="00610B1B">
        <w:rPr>
          <w:rFonts w:cs="Times New Roman"/>
        </w:rPr>
        <w:t xml:space="preserve">Общата площ на защитените зони възлиза на 416 536,86 ha. Сухоземната част на зоните обхваща 362 048,46 ha, а акваторията 54 488,7 ha. </w:t>
      </w:r>
      <w:r w:rsidRPr="00610B1B">
        <w:rPr>
          <w:rFonts w:cs="Times New Roman"/>
        </w:rPr>
        <w:t xml:space="preserve">Средният корморан и средиземноморският буревестник са предмет на опазване в 11 от тях. </w:t>
      </w:r>
    </w:p>
    <w:p w14:paraId="4F1785F9" w14:textId="5228C5AB" w:rsidR="00DD6F02" w:rsidRPr="00610B1B" w:rsidRDefault="00DD6F02" w:rsidP="00D32D6A">
      <w:pPr>
        <w:pStyle w:val="BodyText"/>
        <w:spacing w:before="0" w:after="120" w:line="276" w:lineRule="auto"/>
        <w:ind w:right="-153"/>
        <w:rPr>
          <w:rFonts w:cs="Times New Roman"/>
        </w:rPr>
      </w:pPr>
      <w:r w:rsidRPr="00610B1B">
        <w:rPr>
          <w:rFonts w:cs="Times New Roman"/>
        </w:rPr>
        <w:t xml:space="preserve">Освен </w:t>
      </w:r>
      <w:r w:rsidR="003E4E07" w:rsidRPr="00610B1B">
        <w:rPr>
          <w:rFonts w:cs="Times New Roman"/>
        </w:rPr>
        <w:t>Средиземноморският буревестник и Средният корморан</w:t>
      </w:r>
      <w:r w:rsidRPr="00610B1B">
        <w:rPr>
          <w:rFonts w:cs="Times New Roman"/>
        </w:rPr>
        <w:t xml:space="preserve"> по Българското Черноморско крайбрежие се срещат и други видове птици зависещи от морската среда. От изключително значение</w:t>
      </w:r>
      <w:r w:rsidR="004D7FC7" w:rsidRPr="00610B1B">
        <w:rPr>
          <w:rFonts w:cs="Times New Roman"/>
        </w:rPr>
        <w:t>,</w:t>
      </w:r>
      <w:r w:rsidRPr="00610B1B">
        <w:rPr>
          <w:rFonts w:cs="Times New Roman"/>
        </w:rPr>
        <w:t xml:space="preserve"> предимно за водолюбивите птици са черноморските крайбрежни езера, където се концентрират в значителна численост през зимните месеци и по време на миграция, а също така предлагат оптимални условия за гнездене на редки и застрашени видове птици.</w:t>
      </w:r>
    </w:p>
    <w:p w14:paraId="23BAF9FE" w14:textId="44982EF5" w:rsidR="009D4A0E" w:rsidRPr="00610B1B" w:rsidRDefault="009D4A0E" w:rsidP="00D32D6A">
      <w:pPr>
        <w:pStyle w:val="BodyText"/>
        <w:spacing w:before="0" w:after="120" w:line="276" w:lineRule="auto"/>
        <w:ind w:right="-153"/>
        <w:rPr>
          <w:rFonts w:cs="Times New Roman"/>
          <w:b/>
          <w:bCs/>
        </w:rPr>
      </w:pPr>
      <w:r w:rsidRPr="00610B1B">
        <w:rPr>
          <w:rFonts w:cs="Times New Roman"/>
          <w:b/>
          <w:bCs/>
        </w:rPr>
        <w:t xml:space="preserve">Западночерноморски прелетен път на реещите птици </w:t>
      </w:r>
      <w:r w:rsidRPr="00610B1B">
        <w:rPr>
          <w:rFonts w:cs="Times New Roman"/>
          <w:b/>
          <w:bCs/>
          <w:i/>
          <w:iCs/>
        </w:rPr>
        <w:t>Via Pontica</w:t>
      </w:r>
    </w:p>
    <w:p w14:paraId="57154F4D" w14:textId="475B5118" w:rsidR="009D4A0E" w:rsidRPr="00610B1B" w:rsidRDefault="009D4A0E" w:rsidP="00D32D6A">
      <w:pPr>
        <w:pStyle w:val="BodyText"/>
        <w:spacing w:before="0" w:after="120" w:line="276" w:lineRule="auto"/>
        <w:ind w:right="-153"/>
        <w:rPr>
          <w:rFonts w:cs="Times New Roman"/>
        </w:rPr>
      </w:pPr>
      <w:r w:rsidRPr="00610B1B">
        <w:rPr>
          <w:rFonts w:cs="Times New Roman"/>
        </w:rPr>
        <w:t>За птиците е характерна изключително висока</w:t>
      </w:r>
      <w:r w:rsidR="003647CF" w:rsidRPr="00610B1B">
        <w:rPr>
          <w:rFonts w:cs="Times New Roman"/>
        </w:rPr>
        <w:t>та</w:t>
      </w:r>
      <w:r w:rsidRPr="00610B1B">
        <w:rPr>
          <w:rFonts w:cs="Times New Roman"/>
        </w:rPr>
        <w:t xml:space="preserve"> мобилност, довела до своеобразна екологическа адаптация – миграцията. Съществуват преки данни за насочващо влияние на крайбрежната ивица върху посоката и плътността на мигриращите птици. </w:t>
      </w:r>
      <w:r w:rsidR="007B7168" w:rsidRPr="00610B1B">
        <w:rPr>
          <w:rFonts w:cs="Times New Roman"/>
        </w:rPr>
        <w:t xml:space="preserve">Разпределението </w:t>
      </w:r>
      <w:r w:rsidRPr="00610B1B">
        <w:rPr>
          <w:rFonts w:cs="Times New Roman"/>
        </w:rPr>
        <w:t xml:space="preserve">на мигрантите по Черноморското крайбрежие на България е известно като Виа Понтика </w:t>
      </w:r>
      <w:r w:rsidRPr="00610B1B">
        <w:rPr>
          <w:rFonts w:cs="Times New Roman"/>
          <w:iCs/>
        </w:rPr>
        <w:t>(</w:t>
      </w:r>
      <w:r w:rsidRPr="00610B1B">
        <w:rPr>
          <w:rFonts w:cs="Times New Roman"/>
          <w:i/>
        </w:rPr>
        <w:t>Via Pontica</w:t>
      </w:r>
      <w:r w:rsidRPr="00610B1B">
        <w:rPr>
          <w:rFonts w:cs="Times New Roman"/>
          <w:iCs/>
        </w:rPr>
        <w:t>)</w:t>
      </w:r>
      <w:r w:rsidRPr="00610B1B">
        <w:rPr>
          <w:rFonts w:cs="Times New Roman"/>
        </w:rPr>
        <w:t xml:space="preserve"> или Западночерноморски прелетен път. </w:t>
      </w:r>
    </w:p>
    <w:p w14:paraId="6790287E" w14:textId="0B74ED66" w:rsidR="009D4A0E" w:rsidRPr="00610B1B" w:rsidRDefault="009D4A0E" w:rsidP="00D32D6A">
      <w:pPr>
        <w:pStyle w:val="BodyText"/>
        <w:spacing w:before="0" w:after="120" w:line="276" w:lineRule="auto"/>
        <w:ind w:right="-153"/>
        <w:rPr>
          <w:rFonts w:cs="Times New Roman"/>
        </w:rPr>
      </w:pPr>
      <w:r w:rsidRPr="00610B1B">
        <w:rPr>
          <w:rFonts w:cs="Times New Roman"/>
        </w:rPr>
        <w:t>Сезонната миграция на птиците е процес на постоянно приспособяване към променящата се среда</w:t>
      </w:r>
      <w:r w:rsidR="004D7FC7" w:rsidRPr="00610B1B">
        <w:rPr>
          <w:rFonts w:cs="Times New Roman"/>
        </w:rPr>
        <w:t xml:space="preserve">, чрез който те </w:t>
      </w:r>
      <w:r w:rsidRPr="00610B1B">
        <w:rPr>
          <w:rFonts w:cs="Times New Roman"/>
        </w:rPr>
        <w:t xml:space="preserve">са развили морфологични и физиологични приспособления </w:t>
      </w:r>
      <w:r w:rsidR="004D7FC7" w:rsidRPr="00610B1B">
        <w:rPr>
          <w:rFonts w:cs="Times New Roman"/>
        </w:rPr>
        <w:t>за</w:t>
      </w:r>
      <w:r w:rsidRPr="00610B1B">
        <w:rPr>
          <w:rFonts w:cs="Times New Roman"/>
        </w:rPr>
        <w:t xml:space="preserve"> осъществява</w:t>
      </w:r>
      <w:r w:rsidR="004D7FC7" w:rsidRPr="00610B1B">
        <w:rPr>
          <w:rFonts w:cs="Times New Roman"/>
        </w:rPr>
        <w:t>не на</w:t>
      </w:r>
      <w:r w:rsidRPr="00610B1B">
        <w:rPr>
          <w:rFonts w:cs="Times New Roman"/>
        </w:rPr>
        <w:t xml:space="preserve"> редовни сезонни прелети между гнездовите </w:t>
      </w:r>
      <w:r w:rsidR="004D7FC7" w:rsidRPr="00610B1B">
        <w:rPr>
          <w:rFonts w:cs="Times New Roman"/>
        </w:rPr>
        <w:t>им</w:t>
      </w:r>
      <w:r w:rsidRPr="00610B1B">
        <w:rPr>
          <w:rFonts w:cs="Times New Roman"/>
        </w:rPr>
        <w:t xml:space="preserve"> ареали в умерените ширини и зимните </w:t>
      </w:r>
      <w:r w:rsidR="004D7FC7" w:rsidRPr="00610B1B">
        <w:rPr>
          <w:rFonts w:cs="Times New Roman"/>
        </w:rPr>
        <w:t>им</w:t>
      </w:r>
      <w:r w:rsidRPr="00610B1B">
        <w:rPr>
          <w:rFonts w:cs="Times New Roman"/>
        </w:rPr>
        <w:t xml:space="preserve"> квартири в тропическите и екваториални райони, откъдето произхождат. Тази адаптация съществува над 100 млн. години и е позволила на Клас Птици </w:t>
      </w:r>
      <w:r w:rsidRPr="00610B1B">
        <w:rPr>
          <w:rFonts w:cs="Times New Roman"/>
          <w:iCs/>
        </w:rPr>
        <w:t>(</w:t>
      </w:r>
      <w:r w:rsidRPr="00610B1B">
        <w:rPr>
          <w:rFonts w:cs="Times New Roman"/>
        </w:rPr>
        <w:t>Aves</w:t>
      </w:r>
      <w:r w:rsidRPr="00610B1B">
        <w:rPr>
          <w:rFonts w:cs="Times New Roman"/>
          <w:iCs/>
        </w:rPr>
        <w:t>)</w:t>
      </w:r>
      <w:r w:rsidR="00D66FE0" w:rsidRPr="00610B1B">
        <w:rPr>
          <w:rFonts w:cs="Times New Roman"/>
        </w:rPr>
        <w:t xml:space="preserve"> </w:t>
      </w:r>
      <w:r w:rsidRPr="00610B1B">
        <w:rPr>
          <w:rFonts w:cs="Times New Roman"/>
        </w:rPr>
        <w:t>да оцелеят при глобалните промени в климата през този дълъг период от време.</w:t>
      </w:r>
    </w:p>
    <w:p w14:paraId="1E27817D" w14:textId="2E768ED9"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Западночерноморският прелетен път събира мигранти от северни географски ширини, като на места се образуват концентрации или места с тесен фронт на миграция </w:t>
      </w:r>
      <w:r w:rsidRPr="00610B1B">
        <w:rPr>
          <w:rFonts w:cs="Times New Roman"/>
          <w:iCs/>
        </w:rPr>
        <w:t>(</w:t>
      </w:r>
      <w:r w:rsidRPr="00610B1B">
        <w:rPr>
          <w:rFonts w:cs="Times New Roman"/>
        </w:rPr>
        <w:t>bottle neck</w:t>
      </w:r>
      <w:r w:rsidRPr="00610B1B">
        <w:rPr>
          <w:rFonts w:cs="Times New Roman"/>
          <w:iCs/>
        </w:rPr>
        <w:t>)</w:t>
      </w:r>
      <w:r w:rsidRPr="00610B1B">
        <w:rPr>
          <w:rFonts w:cs="Times New Roman"/>
        </w:rPr>
        <w:t>. Такива места има по Варненското крайбрежие, н</w:t>
      </w:r>
      <w:r w:rsidR="007B7168" w:rsidRPr="00610B1B">
        <w:rPr>
          <w:rFonts w:cs="Times New Roman"/>
        </w:rPr>
        <w:t>ос</w:t>
      </w:r>
      <w:r w:rsidRPr="00610B1B">
        <w:rPr>
          <w:rFonts w:cs="Times New Roman"/>
        </w:rPr>
        <w:t xml:space="preserve"> Емине и особено около Бургас и Бургаските езера. По Северното Черноморие и Южна Добруджа прелетният път на птиците е на по-широк фронт, достигащ 60-80 km, като птиците използват суходолия, долини и особености на релефа</w:t>
      </w:r>
      <w:r w:rsidR="003647CF" w:rsidRPr="00610B1B">
        <w:rPr>
          <w:rFonts w:cs="Times New Roman"/>
        </w:rPr>
        <w:t>,</w:t>
      </w:r>
      <w:r w:rsidRPr="00610B1B">
        <w:rPr>
          <w:rFonts w:cs="Times New Roman"/>
        </w:rPr>
        <w:t xml:space="preserve"> отдалечени от крайбрежието.</w:t>
      </w:r>
    </w:p>
    <w:p w14:paraId="3A3FA652" w14:textId="539A1406" w:rsidR="009D4A0E" w:rsidRPr="00610B1B" w:rsidRDefault="009D4A0E" w:rsidP="00D32D6A">
      <w:pPr>
        <w:pStyle w:val="BodyText"/>
        <w:spacing w:before="0" w:after="120" w:line="276" w:lineRule="auto"/>
        <w:ind w:right="-153"/>
        <w:rPr>
          <w:rFonts w:cs="Times New Roman"/>
        </w:rPr>
      </w:pPr>
      <w:r w:rsidRPr="00610B1B">
        <w:rPr>
          <w:rFonts w:cs="Times New Roman"/>
        </w:rPr>
        <w:t>От 2004 г. започват системни изследвания в различни райони на страната във връзка с изграждането на ветроенергийни паркове</w:t>
      </w:r>
      <w:r w:rsidR="004D7FC7" w:rsidRPr="00610B1B">
        <w:rPr>
          <w:rFonts w:cs="Times New Roman"/>
        </w:rPr>
        <w:t xml:space="preserve">, в </w:t>
      </w:r>
      <w:r w:rsidRPr="00610B1B">
        <w:rPr>
          <w:rFonts w:cs="Times New Roman"/>
        </w:rPr>
        <w:t xml:space="preserve">резултат на </w:t>
      </w:r>
      <w:r w:rsidR="004D7FC7" w:rsidRPr="00610B1B">
        <w:rPr>
          <w:rFonts w:cs="Times New Roman"/>
        </w:rPr>
        <w:t>което</w:t>
      </w:r>
      <w:r w:rsidRPr="00610B1B">
        <w:rPr>
          <w:rFonts w:cs="Times New Roman"/>
        </w:rPr>
        <w:t xml:space="preserve"> е доказано, че интензивният прелетен път на птиците</w:t>
      </w:r>
      <w:r w:rsidRPr="00610B1B">
        <w:rPr>
          <w:rFonts w:cs="Times New Roman"/>
          <w:i/>
        </w:rPr>
        <w:t xml:space="preserve"> Via Pontica</w:t>
      </w:r>
      <w:r w:rsidRPr="00610B1B">
        <w:rPr>
          <w:rFonts w:cs="Times New Roman"/>
        </w:rPr>
        <w:t xml:space="preserve"> е съсредоточен в източната част на страната, източно от линията Русе, Карнобат, Малко Търново до морския бряг</w:t>
      </w:r>
      <w:r w:rsidR="004D7FC7" w:rsidRPr="00610B1B">
        <w:rPr>
          <w:rFonts w:cs="Times New Roman"/>
        </w:rPr>
        <w:t>. Там</w:t>
      </w:r>
      <w:r w:rsidRPr="00610B1B">
        <w:rPr>
          <w:rFonts w:cs="Times New Roman"/>
        </w:rPr>
        <w:t xml:space="preserve"> прелитат 74% от реещите се птици през пролетната миграция и над 89% от реещите птици по време на есенната миграция.</w:t>
      </w:r>
    </w:p>
    <w:p w14:paraId="01B1A183" w14:textId="40F66E84" w:rsidR="009D4A0E" w:rsidRPr="00610B1B" w:rsidRDefault="009D4A0E" w:rsidP="00D32D6A">
      <w:pPr>
        <w:pStyle w:val="NormalWeb"/>
        <w:suppressAutoHyphens/>
        <w:spacing w:before="0" w:beforeAutospacing="0" w:after="120" w:afterAutospacing="0" w:line="276" w:lineRule="auto"/>
        <w:ind w:right="-153"/>
        <w:jc w:val="both"/>
        <w:rPr>
          <w:lang w:val="bg-BG"/>
        </w:rPr>
      </w:pPr>
      <w:r w:rsidRPr="00610B1B">
        <w:rPr>
          <w:lang w:val="bg-BG"/>
        </w:rPr>
        <w:t xml:space="preserve">Относно двата морски вида птици – средиземноморския буревестник и средния корморан, </w:t>
      </w:r>
      <w:r w:rsidR="003502C5" w:rsidRPr="00610B1B">
        <w:rPr>
          <w:lang w:val="bg-BG"/>
        </w:rPr>
        <w:t xml:space="preserve">независимо от ограничената информация, </w:t>
      </w:r>
      <w:r w:rsidRPr="00610B1B">
        <w:rPr>
          <w:lang w:val="bg-BG"/>
        </w:rPr>
        <w:t xml:space="preserve">могат да се дефинират </w:t>
      </w:r>
      <w:r w:rsidR="003502C5" w:rsidRPr="00610B1B">
        <w:rPr>
          <w:lang w:val="bg-BG"/>
        </w:rPr>
        <w:t>няколко</w:t>
      </w:r>
      <w:r w:rsidR="00D66FE0" w:rsidRPr="00610B1B">
        <w:rPr>
          <w:lang w:val="bg-BG"/>
        </w:rPr>
        <w:t xml:space="preserve"> </w:t>
      </w:r>
      <w:r w:rsidRPr="00610B1B">
        <w:rPr>
          <w:lang w:val="bg-BG"/>
        </w:rPr>
        <w:t>екологични проблеми.</w:t>
      </w:r>
      <w:r w:rsidR="00BF5F75" w:rsidRPr="00610B1B">
        <w:rPr>
          <w:lang w:val="bg-BG"/>
        </w:rPr>
        <w:t xml:space="preserve"> </w:t>
      </w:r>
      <w:r w:rsidRPr="00610B1B">
        <w:rPr>
          <w:lang w:val="bg-BG"/>
        </w:rPr>
        <w:t>Най-сериозният проблем и най-сериозната заплаха за двата целеви вида и за други водолюбиви птици по черноморското крайбрежие е антропогенният натиск, замърсяването на водите и крайбрежната ивица с нефтопродукти, пластмасови и други отпадъци, разрушаване на местообитанията и безпокойство.</w:t>
      </w:r>
      <w:r w:rsidR="00BF5F75" w:rsidRPr="00610B1B">
        <w:rPr>
          <w:lang w:val="bg-BG"/>
        </w:rPr>
        <w:t xml:space="preserve"> </w:t>
      </w:r>
      <w:r w:rsidRPr="00610B1B">
        <w:rPr>
          <w:lang w:val="bg-BG"/>
        </w:rPr>
        <w:t xml:space="preserve">Натискът върху морските птици е следствие на съпътстващ улов и случайно убиване, риболов и други дейности, </w:t>
      </w:r>
      <w:r w:rsidRPr="00610B1B">
        <w:rPr>
          <w:lang w:val="bg-BG"/>
        </w:rPr>
        <w:lastRenderedPageBreak/>
        <w:t>водещи до намаляване на трофичната база на птиците, строителство, безпокойство и нарушаване на гнездови местообитания и местообитания за почивка и хранене.</w:t>
      </w:r>
      <w:r w:rsidR="00BF5F75" w:rsidRPr="00610B1B">
        <w:rPr>
          <w:lang w:val="bg-BG"/>
        </w:rPr>
        <w:t xml:space="preserve"> </w:t>
      </w:r>
      <w:r w:rsidRPr="00610B1B">
        <w:rPr>
          <w:lang w:val="bg-BG"/>
        </w:rPr>
        <w:t xml:space="preserve">С </w:t>
      </w:r>
      <w:r w:rsidR="00281709" w:rsidRPr="00610B1B">
        <w:rPr>
          <w:lang w:val="bg-BG"/>
        </w:rPr>
        <w:t>увеличаване на изследванията и знанието</w:t>
      </w:r>
      <w:r w:rsidRPr="00610B1B">
        <w:rPr>
          <w:lang w:val="bg-BG"/>
        </w:rPr>
        <w:t xml:space="preserve"> </w:t>
      </w:r>
      <w:r w:rsidR="00281709" w:rsidRPr="00610B1B">
        <w:rPr>
          <w:lang w:val="bg-BG"/>
        </w:rPr>
        <w:t>за</w:t>
      </w:r>
      <w:r w:rsidRPr="00610B1B">
        <w:rPr>
          <w:lang w:val="bg-BG"/>
        </w:rPr>
        <w:t xml:space="preserve"> проблематиката е възможно да се планират и приложат мерки</w:t>
      </w:r>
      <w:r w:rsidR="00281709" w:rsidRPr="00610B1B">
        <w:rPr>
          <w:lang w:val="bg-BG"/>
        </w:rPr>
        <w:t xml:space="preserve"> за </w:t>
      </w:r>
      <w:r w:rsidRPr="00610B1B">
        <w:rPr>
          <w:lang w:val="bg-BG"/>
        </w:rPr>
        <w:t>подобряване състоянието и популациите на морските видове птици.</w:t>
      </w:r>
      <w:r w:rsidR="00BF5F75" w:rsidRPr="00610B1B">
        <w:rPr>
          <w:lang w:val="bg-BG"/>
        </w:rPr>
        <w:t xml:space="preserve"> </w:t>
      </w:r>
    </w:p>
    <w:p w14:paraId="0A0F4900" w14:textId="6FC482D5" w:rsidR="009D4A0E" w:rsidRPr="00610B1B" w:rsidRDefault="00BF5F75" w:rsidP="00D32D6A">
      <w:pPr>
        <w:pStyle w:val="NormalWeb"/>
        <w:suppressAutoHyphens/>
        <w:spacing w:before="0" w:beforeAutospacing="0" w:after="120" w:afterAutospacing="0" w:line="276" w:lineRule="auto"/>
        <w:ind w:right="-153"/>
        <w:jc w:val="both"/>
        <w:rPr>
          <w:lang w:val="bg-BG"/>
        </w:rPr>
      </w:pPr>
      <w:r w:rsidRPr="00610B1B">
        <w:rPr>
          <w:lang w:val="bg-BG"/>
        </w:rPr>
        <w:t xml:space="preserve">За постигането на добро състояние на морските птици, както и на останалите видове, които зависят частично от морската среда, наред с предложените мерки е необходимо опазване на техните местообитания. Тези дейности следва да се придружават от завишен контрол върху защитените територии и защитените зони в акваторията и </w:t>
      </w:r>
      <w:r w:rsidR="009D4A0E" w:rsidRPr="00610B1B">
        <w:rPr>
          <w:lang w:val="bg-BG"/>
        </w:rPr>
        <w:t>забрана за строителни и инвестиционни дейности в близост с гнезд</w:t>
      </w:r>
      <w:r w:rsidR="00281709" w:rsidRPr="00610B1B">
        <w:rPr>
          <w:lang w:val="bg-BG"/>
        </w:rPr>
        <w:t>е</w:t>
      </w:r>
      <w:r w:rsidR="009D4A0E" w:rsidRPr="00610B1B">
        <w:rPr>
          <w:lang w:val="bg-BG"/>
        </w:rPr>
        <w:t xml:space="preserve">щи </w:t>
      </w:r>
      <w:r w:rsidRPr="00610B1B">
        <w:rPr>
          <w:lang w:val="bg-BG"/>
        </w:rPr>
        <w:t>птици</w:t>
      </w:r>
      <w:r w:rsidR="007B7168" w:rsidRPr="00610B1B">
        <w:rPr>
          <w:lang w:val="bg-BG"/>
        </w:rPr>
        <w:t xml:space="preserve"> в крайбрежната територия</w:t>
      </w:r>
      <w:r w:rsidRPr="00610B1B">
        <w:rPr>
          <w:lang w:val="bg-BG"/>
        </w:rPr>
        <w:t>.</w:t>
      </w:r>
      <w:r w:rsidR="009848A7" w:rsidRPr="00610B1B">
        <w:rPr>
          <w:lang w:val="bg-BG"/>
        </w:rPr>
        <w:t xml:space="preserve"> </w:t>
      </w:r>
    </w:p>
    <w:p w14:paraId="07702D17" w14:textId="35AE6258" w:rsidR="009D4A0E" w:rsidRPr="00610B1B" w:rsidRDefault="009848A7" w:rsidP="00D32D6A">
      <w:pPr>
        <w:pStyle w:val="Heading4"/>
        <w:spacing w:before="0" w:line="276" w:lineRule="auto"/>
        <w:ind w:right="-153"/>
        <w:rPr>
          <w:rFonts w:cs="Times New Roman"/>
        </w:rPr>
      </w:pPr>
      <w:r w:rsidRPr="00610B1B">
        <w:rPr>
          <w:rFonts w:cs="Times New Roman"/>
        </w:rPr>
        <w:t xml:space="preserve">2.2.4.6. </w:t>
      </w:r>
      <w:r w:rsidR="009D4A0E" w:rsidRPr="00610B1B">
        <w:rPr>
          <w:rFonts w:cs="Times New Roman"/>
        </w:rPr>
        <w:t>Инвазивни видове</w:t>
      </w:r>
    </w:p>
    <w:p w14:paraId="0AB7D3C5" w14:textId="52BD5FF9" w:rsidR="00281709" w:rsidRPr="00610B1B" w:rsidRDefault="009D4A0E" w:rsidP="00D32D6A">
      <w:pPr>
        <w:pStyle w:val="BodyText"/>
        <w:spacing w:before="0" w:after="120" w:line="276" w:lineRule="auto"/>
        <w:ind w:right="-153"/>
        <w:rPr>
          <w:rFonts w:cs="Times New Roman"/>
        </w:rPr>
      </w:pPr>
      <w:r w:rsidRPr="00610B1B">
        <w:rPr>
          <w:rFonts w:cs="Times New Roman"/>
        </w:rPr>
        <w:t>Биоинвазиите засягат силно Черноморската екосистема през втората половина на 20 век</w:t>
      </w:r>
      <w:r w:rsidR="00971318" w:rsidRPr="00610B1B">
        <w:rPr>
          <w:rFonts w:cs="Times New Roman"/>
        </w:rPr>
        <w:t>.</w:t>
      </w:r>
      <w:r w:rsidR="00D66FE0" w:rsidRPr="00610B1B">
        <w:rPr>
          <w:rFonts w:cs="Times New Roman"/>
        </w:rPr>
        <w:t xml:space="preserve"> </w:t>
      </w:r>
      <w:r w:rsidRPr="00610B1B">
        <w:rPr>
          <w:rFonts w:cs="Times New Roman"/>
        </w:rPr>
        <w:t xml:space="preserve">Броят на чуждите видове в Черно море и крайбрежните местообитания регистрирани до 2006 г. възлиза на 217, от тях 102 са постоянно установили се, 20 вида са силно </w:t>
      </w:r>
      <w:r w:rsidR="00971318" w:rsidRPr="00610B1B">
        <w:rPr>
          <w:rFonts w:cs="Times New Roman"/>
        </w:rPr>
        <w:t>инвазивни а</w:t>
      </w:r>
      <w:r w:rsidRPr="00610B1B">
        <w:rPr>
          <w:rFonts w:cs="Times New Roman"/>
        </w:rPr>
        <w:t xml:space="preserve"> 35 - умерено инвазивни. Инвентаризацията на чуждите видове</w:t>
      </w:r>
      <w:r w:rsidR="00281709" w:rsidRPr="00610B1B">
        <w:rPr>
          <w:rFonts w:cs="Times New Roman"/>
        </w:rPr>
        <w:t>,</w:t>
      </w:r>
      <w:r w:rsidRPr="00610B1B">
        <w:rPr>
          <w:rFonts w:cs="Times New Roman"/>
        </w:rPr>
        <w:t xml:space="preserve"> открити в българската акватория на Черно море </w:t>
      </w:r>
      <w:bookmarkStart w:id="36" w:name="_Hlk44868574"/>
      <w:r w:rsidRPr="00610B1B">
        <w:rPr>
          <w:rFonts w:cs="Times New Roman"/>
          <w:iCs/>
        </w:rPr>
        <w:t>(</w:t>
      </w:r>
      <w:r w:rsidRPr="00610B1B">
        <w:rPr>
          <w:rFonts w:cs="Times New Roman"/>
          <w:i/>
          <w:iCs/>
        </w:rPr>
        <w:t>Стефанова и др., 2013; Yankova, 2016</w:t>
      </w:r>
      <w:r w:rsidRPr="00610B1B">
        <w:rPr>
          <w:rFonts w:cs="Times New Roman"/>
          <w:iCs/>
        </w:rPr>
        <w:t>)</w:t>
      </w:r>
      <w:r w:rsidRPr="00610B1B">
        <w:rPr>
          <w:rFonts w:cs="Times New Roman"/>
        </w:rPr>
        <w:t xml:space="preserve"> </w:t>
      </w:r>
      <w:bookmarkEnd w:id="36"/>
      <w:r w:rsidRPr="00610B1B">
        <w:rPr>
          <w:rFonts w:cs="Times New Roman"/>
        </w:rPr>
        <w:t>показва, че те се отнасят към 5 екологични групи</w:t>
      </w:r>
      <w:r w:rsidR="00971318" w:rsidRPr="00610B1B">
        <w:rPr>
          <w:rFonts w:cs="Times New Roman"/>
        </w:rPr>
        <w:t xml:space="preserve">: </w:t>
      </w:r>
      <w:r w:rsidRPr="00610B1B">
        <w:rPr>
          <w:rFonts w:cs="Times New Roman"/>
        </w:rPr>
        <w:t xml:space="preserve">фитопланктон, зоопланктон, фитобентос </w:t>
      </w:r>
      <w:r w:rsidRPr="00610B1B">
        <w:rPr>
          <w:rFonts w:cs="Times New Roman"/>
          <w:iCs/>
        </w:rPr>
        <w:t>(</w:t>
      </w:r>
      <w:r w:rsidRPr="00610B1B">
        <w:rPr>
          <w:rFonts w:cs="Times New Roman"/>
        </w:rPr>
        <w:t>висши водорасли</w:t>
      </w:r>
      <w:r w:rsidRPr="00610B1B">
        <w:rPr>
          <w:rFonts w:cs="Times New Roman"/>
          <w:iCs/>
        </w:rPr>
        <w:t>)</w:t>
      </w:r>
      <w:r w:rsidRPr="00610B1B">
        <w:rPr>
          <w:rFonts w:cs="Times New Roman"/>
        </w:rPr>
        <w:t>, зообентос</w:t>
      </w:r>
      <w:r w:rsidR="007B2661" w:rsidRPr="00610B1B">
        <w:rPr>
          <w:rFonts w:cs="Times New Roman"/>
        </w:rPr>
        <w:t xml:space="preserve"> </w:t>
      </w:r>
      <w:r w:rsidRPr="00610B1B">
        <w:rPr>
          <w:rFonts w:cs="Times New Roman"/>
          <w:iCs/>
        </w:rPr>
        <w:t>(</w:t>
      </w:r>
      <w:r w:rsidRPr="00610B1B">
        <w:rPr>
          <w:rFonts w:cs="Times New Roman"/>
        </w:rPr>
        <w:t>дънни безгръбначни животни</w:t>
      </w:r>
      <w:r w:rsidRPr="00610B1B">
        <w:rPr>
          <w:rFonts w:cs="Times New Roman"/>
          <w:iCs/>
        </w:rPr>
        <w:t>)</w:t>
      </w:r>
      <w:r w:rsidRPr="00610B1B">
        <w:rPr>
          <w:rFonts w:cs="Times New Roman"/>
        </w:rPr>
        <w:t xml:space="preserve"> и риби</w:t>
      </w:r>
      <w:r w:rsidR="00E57029" w:rsidRPr="00610B1B">
        <w:rPr>
          <w:rFonts w:cs="Times New Roman"/>
        </w:rPr>
        <w:t xml:space="preserve">. </w:t>
      </w:r>
      <w:r w:rsidRPr="00610B1B">
        <w:rPr>
          <w:rFonts w:cs="Times New Roman"/>
        </w:rPr>
        <w:t>От тях 16 вида са определени като инвазивни за Черноморската екосистема. Най-много са представителите на зообентос</w:t>
      </w:r>
      <w:r w:rsidR="00971318" w:rsidRPr="00610B1B">
        <w:rPr>
          <w:rFonts w:cs="Times New Roman"/>
        </w:rPr>
        <w:t>а</w:t>
      </w:r>
      <w:r w:rsidRPr="00610B1B">
        <w:rPr>
          <w:rFonts w:cs="Times New Roman"/>
        </w:rPr>
        <w:t xml:space="preserve"> </w:t>
      </w:r>
      <w:r w:rsidRPr="00610B1B">
        <w:rPr>
          <w:rFonts w:cs="Times New Roman"/>
          <w:iCs/>
        </w:rPr>
        <w:t>(</w:t>
      </w:r>
      <w:r w:rsidRPr="00610B1B">
        <w:rPr>
          <w:rFonts w:cs="Times New Roman"/>
        </w:rPr>
        <w:t>7</w:t>
      </w:r>
      <w:r w:rsidRPr="00610B1B">
        <w:rPr>
          <w:rFonts w:cs="Times New Roman"/>
          <w:iCs/>
        </w:rPr>
        <w:t>)</w:t>
      </w:r>
      <w:r w:rsidRPr="00610B1B">
        <w:rPr>
          <w:rFonts w:cs="Times New Roman"/>
        </w:rPr>
        <w:t xml:space="preserve">, на второ място – фитопланктон </w:t>
      </w:r>
      <w:r w:rsidRPr="00610B1B">
        <w:rPr>
          <w:rFonts w:cs="Times New Roman"/>
          <w:iCs/>
        </w:rPr>
        <w:t>(</w:t>
      </w:r>
      <w:r w:rsidRPr="00610B1B">
        <w:rPr>
          <w:rFonts w:cs="Times New Roman"/>
        </w:rPr>
        <w:t>5</w:t>
      </w:r>
      <w:r w:rsidRPr="00610B1B">
        <w:rPr>
          <w:rFonts w:cs="Times New Roman"/>
          <w:iCs/>
        </w:rPr>
        <w:t>)</w:t>
      </w:r>
      <w:r w:rsidRPr="00610B1B">
        <w:rPr>
          <w:rFonts w:cs="Times New Roman"/>
        </w:rPr>
        <w:t>, зоопланктон – 2, макрофитобентос – 1, риби – 1</w:t>
      </w:r>
      <w:r w:rsidR="00281709" w:rsidRPr="00610B1B">
        <w:rPr>
          <w:rFonts w:cs="Times New Roman"/>
        </w:rPr>
        <w:t xml:space="preserve">. </w:t>
      </w:r>
    </w:p>
    <w:p w14:paraId="24F7928E" w14:textId="7A47B3B4" w:rsidR="003B3126" w:rsidRPr="00610B1B" w:rsidRDefault="00281709" w:rsidP="00D32D6A">
      <w:pPr>
        <w:pStyle w:val="BodyText"/>
        <w:spacing w:before="0" w:after="120" w:line="276" w:lineRule="auto"/>
        <w:ind w:right="-153"/>
        <w:rPr>
          <w:rFonts w:cs="Times New Roman"/>
        </w:rPr>
      </w:pPr>
      <w:r w:rsidRPr="00610B1B">
        <w:rPr>
          <w:rFonts w:cs="Times New Roman"/>
        </w:rPr>
        <w:t xml:space="preserve">Повечето </w:t>
      </w:r>
      <w:r w:rsidR="009D4A0E" w:rsidRPr="00610B1B">
        <w:rPr>
          <w:rFonts w:cs="Times New Roman"/>
        </w:rPr>
        <w:t>са пришълци от Атлантическия океан</w:t>
      </w:r>
      <w:r w:rsidRPr="00610B1B">
        <w:rPr>
          <w:rFonts w:cs="Times New Roman"/>
        </w:rPr>
        <w:t xml:space="preserve">, а основният </w:t>
      </w:r>
      <w:r w:rsidR="009D4A0E" w:rsidRPr="00610B1B">
        <w:rPr>
          <w:rFonts w:cs="Times New Roman"/>
        </w:rPr>
        <w:t>начин за пренос на чужди видове е морския</w:t>
      </w:r>
      <w:r w:rsidR="003B3126" w:rsidRPr="00610B1B">
        <w:rPr>
          <w:rFonts w:cs="Times New Roman"/>
        </w:rPr>
        <w:t>т</w:t>
      </w:r>
      <w:r w:rsidR="009D4A0E" w:rsidRPr="00610B1B">
        <w:rPr>
          <w:rFonts w:cs="Times New Roman"/>
        </w:rPr>
        <w:t xml:space="preserve"> транспорт</w:t>
      </w:r>
      <w:r w:rsidRPr="00610B1B">
        <w:rPr>
          <w:rFonts w:cs="Times New Roman"/>
        </w:rPr>
        <w:t xml:space="preserve"> </w:t>
      </w:r>
      <w:r w:rsidR="00971318" w:rsidRPr="00610B1B">
        <w:rPr>
          <w:rFonts w:cs="Times New Roman"/>
        </w:rPr>
        <w:t>чрез баластните води или обраствания по корпуса на корабите</w:t>
      </w:r>
      <w:r w:rsidR="009D4A0E" w:rsidRPr="00610B1B">
        <w:rPr>
          <w:rFonts w:cs="Times New Roman"/>
        </w:rPr>
        <w:t>. Някои видове риби са пренесени с цел развъждане и случайно или нарочно освободени в морската среда. Промяната в хидроложките условия, например температурата на морската вода, също може да бъде причина за навлизане на някои топлолюбиви средиземноморски видове в Черно море.</w:t>
      </w:r>
      <w:r w:rsidR="00754371" w:rsidRPr="00610B1B">
        <w:rPr>
          <w:rFonts w:cs="Times New Roman"/>
        </w:rPr>
        <w:t xml:space="preserve"> </w:t>
      </w:r>
      <w:r w:rsidR="009D4A0E" w:rsidRPr="00610B1B">
        <w:rPr>
          <w:rFonts w:cs="Times New Roman"/>
        </w:rPr>
        <w:t xml:space="preserve">Два вида - </w:t>
      </w:r>
      <w:r w:rsidR="009D4A0E" w:rsidRPr="00610B1B">
        <w:rPr>
          <w:rFonts w:cs="Times New Roman"/>
          <w:i/>
          <w:iCs/>
        </w:rPr>
        <w:t>Rapana venosa</w:t>
      </w:r>
      <w:r w:rsidR="009D4A0E" w:rsidRPr="00610B1B">
        <w:rPr>
          <w:rFonts w:cs="Times New Roman"/>
        </w:rPr>
        <w:t xml:space="preserve"> и </w:t>
      </w:r>
      <w:r w:rsidR="009D4A0E" w:rsidRPr="00610B1B">
        <w:rPr>
          <w:rFonts w:cs="Times New Roman"/>
          <w:i/>
          <w:iCs/>
        </w:rPr>
        <w:t>Mnemiopsis leidyi</w:t>
      </w:r>
      <w:r w:rsidR="009D4A0E" w:rsidRPr="00610B1B">
        <w:rPr>
          <w:rFonts w:cs="Times New Roman"/>
        </w:rPr>
        <w:t>, са силно инвазивни и предизвикват изключително негативни промени в морската околна среда.</w:t>
      </w:r>
      <w:bookmarkStart w:id="37" w:name="__DdeLink__466568_486333554"/>
    </w:p>
    <w:bookmarkEnd w:id="37"/>
    <w:p w14:paraId="0CE61C47" w14:textId="195100E4" w:rsidR="00754371" w:rsidRPr="00610B1B" w:rsidRDefault="009D4A0E" w:rsidP="00D32D6A">
      <w:pPr>
        <w:pStyle w:val="BodyText"/>
        <w:spacing w:before="0" w:after="120" w:line="276" w:lineRule="auto"/>
        <w:ind w:right="-153"/>
        <w:rPr>
          <w:rFonts w:cs="Times New Roman"/>
        </w:rPr>
      </w:pPr>
      <w:r w:rsidRPr="00610B1B">
        <w:rPr>
          <w:rFonts w:cs="Times New Roman"/>
          <w:b/>
          <w:bCs/>
          <w:i/>
          <w:iCs/>
        </w:rPr>
        <w:t>Инвазивните видове фитопланктон</w:t>
      </w:r>
      <w:r w:rsidRPr="00610B1B">
        <w:rPr>
          <w:rFonts w:cs="Times New Roman"/>
          <w:i/>
          <w:iCs/>
        </w:rPr>
        <w:t xml:space="preserve"> </w:t>
      </w:r>
      <w:r w:rsidRPr="00610B1B">
        <w:rPr>
          <w:rFonts w:cs="Times New Roman"/>
        </w:rPr>
        <w:t xml:space="preserve">причиняват цъфтежи в резултат от еутрофикация, като някои видове причиняват токсични цъфтежи, известни още като червени приливи. Присъствието на потенциално токсични видове микроводорасли </w:t>
      </w:r>
      <w:r w:rsidRPr="00610B1B">
        <w:rPr>
          <w:rFonts w:cs="Times New Roman"/>
          <w:iCs/>
        </w:rPr>
        <w:t>(</w:t>
      </w:r>
      <w:r w:rsidRPr="00610B1B">
        <w:rPr>
          <w:rFonts w:cs="Times New Roman"/>
          <w:i/>
          <w:iCs/>
        </w:rPr>
        <w:t>Oxyphysis oxytoxoides, Phaeocystis pouchettii</w:t>
      </w:r>
      <w:r w:rsidRPr="00610B1B">
        <w:rPr>
          <w:rFonts w:cs="Times New Roman"/>
          <w:iCs/>
        </w:rPr>
        <w:t>)</w:t>
      </w:r>
      <w:r w:rsidRPr="00610B1B">
        <w:rPr>
          <w:rFonts w:cs="Times New Roman"/>
        </w:rPr>
        <w:t xml:space="preserve"> не е за пренебрегване, тъй като произве</w:t>
      </w:r>
      <w:r w:rsidR="00281709" w:rsidRPr="00610B1B">
        <w:rPr>
          <w:rFonts w:cs="Times New Roman"/>
        </w:rPr>
        <w:t xml:space="preserve">дените </w:t>
      </w:r>
      <w:r w:rsidRPr="00610B1B">
        <w:rPr>
          <w:rFonts w:cs="Times New Roman"/>
        </w:rPr>
        <w:t>токсини</w:t>
      </w:r>
      <w:r w:rsidR="00281709" w:rsidRPr="00610B1B">
        <w:rPr>
          <w:rFonts w:cs="Times New Roman"/>
        </w:rPr>
        <w:t xml:space="preserve"> </w:t>
      </w:r>
      <w:r w:rsidRPr="00610B1B">
        <w:rPr>
          <w:rFonts w:cs="Times New Roman"/>
        </w:rPr>
        <w:t>могат да засегнат рибите, двучерупчестите мекотели, а по пътя на хранителната верига</w:t>
      </w:r>
      <w:r w:rsidR="00D66FE0" w:rsidRPr="00610B1B">
        <w:rPr>
          <w:rFonts w:cs="Times New Roman"/>
        </w:rPr>
        <w:t xml:space="preserve"> </w:t>
      </w:r>
      <w:r w:rsidRPr="00610B1B">
        <w:rPr>
          <w:rFonts w:cs="Times New Roman"/>
        </w:rPr>
        <w:t>и човека.</w:t>
      </w:r>
      <w:r w:rsidR="00281709" w:rsidRPr="00610B1B">
        <w:rPr>
          <w:rFonts w:cs="Times New Roman"/>
        </w:rPr>
        <w:t xml:space="preserve"> </w:t>
      </w:r>
      <w:r w:rsidRPr="00610B1B">
        <w:rPr>
          <w:rFonts w:cs="Times New Roman"/>
        </w:rPr>
        <w:t>Основната група от чужди видове фитопланктон са представители на клас Dinophyceae и единични представители на класовете Bacillariophyceae, Cryptophyceae и Dictyochophyceae. Анализът на данните за периода 2015-2016 г. показва, че степента на биологично замърсяване според специфичния индекс за замърсяване с биоконтаминанти е между 2</w:t>
      </w:r>
      <w:r w:rsidR="00D520FA" w:rsidRPr="00610B1B">
        <w:rPr>
          <w:rFonts w:cs="Times New Roman"/>
        </w:rPr>
        <w:t xml:space="preserve"> </w:t>
      </w:r>
      <w:r w:rsidRPr="00610B1B">
        <w:rPr>
          <w:rFonts w:cs="Times New Roman"/>
        </w:rPr>
        <w:t>-</w:t>
      </w:r>
      <w:r w:rsidR="00D520FA" w:rsidRPr="00610B1B">
        <w:rPr>
          <w:rFonts w:cs="Times New Roman"/>
        </w:rPr>
        <w:t xml:space="preserve"> </w:t>
      </w:r>
      <w:r w:rsidRPr="00610B1B">
        <w:rPr>
          <w:rFonts w:cs="Times New Roman"/>
        </w:rPr>
        <w:t>3, т. е. умерено до силно замърсяване.</w:t>
      </w:r>
    </w:p>
    <w:p w14:paraId="2D383C1F" w14:textId="2D03323D" w:rsidR="00971318" w:rsidRPr="00610B1B" w:rsidRDefault="00754371" w:rsidP="00971318">
      <w:pPr>
        <w:pStyle w:val="BodyText"/>
        <w:tabs>
          <w:tab w:val="left" w:pos="3780"/>
        </w:tabs>
        <w:spacing w:before="0" w:after="120" w:line="276" w:lineRule="auto"/>
        <w:ind w:right="-153"/>
        <w:rPr>
          <w:rFonts w:cs="Times New Roman"/>
        </w:rPr>
      </w:pPr>
      <w:r w:rsidRPr="00610B1B">
        <w:rPr>
          <w:rStyle w:val="FontStyle12"/>
          <w:rFonts w:eastAsia="Source Han Sans CN Regular" w:cs="Times New Roman"/>
        </w:rPr>
        <w:t xml:space="preserve">Сред </w:t>
      </w:r>
      <w:r w:rsidRPr="00610B1B">
        <w:rPr>
          <w:rStyle w:val="FontStyle12"/>
          <w:rFonts w:eastAsia="Source Han Sans CN Regular" w:cs="Times New Roman"/>
          <w:b/>
          <w:bCs/>
          <w:i/>
          <w:iCs/>
        </w:rPr>
        <w:t>и</w:t>
      </w:r>
      <w:r w:rsidR="009D4A0E" w:rsidRPr="00610B1B">
        <w:rPr>
          <w:rStyle w:val="FontStyle12"/>
          <w:rFonts w:eastAsia="Source Han Sans CN Regular" w:cs="Times New Roman"/>
          <w:b/>
          <w:bCs/>
          <w:i/>
          <w:iCs/>
        </w:rPr>
        <w:t>нвазивни видове зоопланктон</w:t>
      </w:r>
      <w:r w:rsidRPr="00610B1B">
        <w:rPr>
          <w:rStyle w:val="FontStyle12"/>
          <w:rFonts w:eastAsia="Source Han Sans CN Regular" w:cs="Times New Roman"/>
        </w:rPr>
        <w:t xml:space="preserve"> е</w:t>
      </w:r>
      <w:r w:rsidRPr="00610B1B">
        <w:rPr>
          <w:rStyle w:val="FontStyle12"/>
          <w:rFonts w:eastAsia="Source Han Sans CN Regular" w:cs="Times New Roman"/>
          <w:b/>
          <w:bCs/>
        </w:rPr>
        <w:t xml:space="preserve"> </w:t>
      </w:r>
      <w:r w:rsidR="009D4A0E" w:rsidRPr="00610B1B">
        <w:rPr>
          <w:rFonts w:cs="Times New Roman"/>
          <w:i/>
          <w:iCs/>
        </w:rPr>
        <w:t>Mnemiopsis leidyi</w:t>
      </w:r>
      <w:r w:rsidRPr="00610B1B">
        <w:rPr>
          <w:rFonts w:cs="Times New Roman"/>
          <w:i/>
          <w:iCs/>
        </w:rPr>
        <w:t>,</w:t>
      </w:r>
      <w:r w:rsidR="009D4A0E" w:rsidRPr="00610B1B">
        <w:rPr>
          <w:rFonts w:cs="Times New Roman"/>
        </w:rPr>
        <w:t xml:space="preserve"> хищен вид гребеновидна медуза, представител на клас Ctenophora, с полупрозрачно мешесто тяло. Навлиза в Черно море през 1980-те години. Инвазията на вида съвпада с периода на интензивна </w:t>
      </w:r>
      <w:r w:rsidR="009D4A0E" w:rsidRPr="00610B1B">
        <w:rPr>
          <w:rFonts w:cs="Times New Roman"/>
        </w:rPr>
        <w:lastRenderedPageBreak/>
        <w:t xml:space="preserve">еутрофикация и колапс на популациите на стопански ценни видове риби поради интензивен </w:t>
      </w:r>
      <w:r w:rsidR="00DD6CD4" w:rsidRPr="00610B1B">
        <w:rPr>
          <w:rFonts w:cs="Times New Roman"/>
        </w:rPr>
        <w:t>стопански риболов</w:t>
      </w:r>
      <w:r w:rsidR="009D4A0E" w:rsidRPr="00610B1B">
        <w:rPr>
          <w:rFonts w:cs="Times New Roman"/>
        </w:rPr>
        <w:t xml:space="preserve">. </w:t>
      </w:r>
      <w:r w:rsidR="009D4A0E" w:rsidRPr="00610B1B">
        <w:rPr>
          <w:rFonts w:cs="Times New Roman"/>
          <w:i/>
          <w:iCs/>
        </w:rPr>
        <w:t>Mnemiopsis leidyi</w:t>
      </w:r>
      <w:r w:rsidR="009D4A0E" w:rsidRPr="00610B1B">
        <w:rPr>
          <w:rFonts w:cs="Times New Roman"/>
        </w:rPr>
        <w:t xml:space="preserve"> п</w:t>
      </w:r>
      <w:r w:rsidR="00971318" w:rsidRPr="00610B1B">
        <w:rPr>
          <w:rFonts w:cs="Times New Roman"/>
        </w:rPr>
        <w:t>ричинява отрицателни въздействия</w:t>
      </w:r>
      <w:r w:rsidR="009D4A0E" w:rsidRPr="00610B1B">
        <w:rPr>
          <w:rFonts w:cs="Times New Roman"/>
        </w:rPr>
        <w:t xml:space="preserve"> върху морските хранителни вериги по три начина: чрез хищничество върху хранителния за рибите зоопланктон</w:t>
      </w:r>
      <w:r w:rsidR="003B3126" w:rsidRPr="00610B1B">
        <w:rPr>
          <w:rFonts w:cs="Times New Roman"/>
        </w:rPr>
        <w:t>;</w:t>
      </w:r>
      <w:r w:rsidR="009D4A0E" w:rsidRPr="00610B1B">
        <w:rPr>
          <w:rFonts w:cs="Times New Roman"/>
        </w:rPr>
        <w:t xml:space="preserve"> чрез</w:t>
      </w:r>
      <w:r w:rsidR="00D66FE0" w:rsidRPr="00610B1B">
        <w:rPr>
          <w:rFonts w:cs="Times New Roman"/>
        </w:rPr>
        <w:t xml:space="preserve"> </w:t>
      </w:r>
      <w:r w:rsidR="009D4A0E" w:rsidRPr="00610B1B">
        <w:rPr>
          <w:rFonts w:cs="Times New Roman"/>
        </w:rPr>
        <w:t xml:space="preserve">хищничество върху хайвера и ларвите на рибите </w:t>
      </w:r>
      <w:r w:rsidR="009D4A0E" w:rsidRPr="00610B1B">
        <w:rPr>
          <w:rFonts w:cs="Times New Roman"/>
          <w:iCs/>
        </w:rPr>
        <w:t>(</w:t>
      </w:r>
      <w:r w:rsidR="009D4A0E" w:rsidRPr="00610B1B">
        <w:rPr>
          <w:rFonts w:cs="Times New Roman"/>
        </w:rPr>
        <w:t>ихтипланктона</w:t>
      </w:r>
      <w:r w:rsidR="009D4A0E" w:rsidRPr="00610B1B">
        <w:rPr>
          <w:rFonts w:cs="Times New Roman"/>
          <w:iCs/>
        </w:rPr>
        <w:t>)</w:t>
      </w:r>
      <w:r w:rsidR="003B3126" w:rsidRPr="00610B1B">
        <w:rPr>
          <w:rFonts w:cs="Times New Roman"/>
          <w:iCs/>
        </w:rPr>
        <w:t>;</w:t>
      </w:r>
      <w:r w:rsidR="009D4A0E" w:rsidRPr="00610B1B">
        <w:rPr>
          <w:rFonts w:cs="Times New Roman"/>
        </w:rPr>
        <w:t xml:space="preserve"> и като нов вид без хищници и без значение за планктоноядните видове риби. С масовото си развитие и липсата на естествени врагове, интензивния</w:t>
      </w:r>
      <w:r w:rsidR="003B3126" w:rsidRPr="00610B1B">
        <w:rPr>
          <w:rFonts w:cs="Times New Roman"/>
        </w:rPr>
        <w:t>т</w:t>
      </w:r>
      <w:r w:rsidR="009D4A0E" w:rsidRPr="00610B1B">
        <w:rPr>
          <w:rFonts w:cs="Times New Roman"/>
        </w:rPr>
        <w:t xml:space="preserve"> хищнически натиск предизвиква каскаден ефект по хранителните вериги. Той се изразява в намаляване популациите на рибите, а вероятно и на морските бозайници</w:t>
      </w:r>
      <w:r w:rsidR="00D520FA" w:rsidRPr="00610B1B">
        <w:rPr>
          <w:rFonts w:cs="Times New Roman"/>
        </w:rPr>
        <w:t>,</w:t>
      </w:r>
      <w:r w:rsidR="00B94FB1" w:rsidRPr="00610B1B">
        <w:rPr>
          <w:rFonts w:cs="Times New Roman"/>
        </w:rPr>
        <w:t xml:space="preserve"> и</w:t>
      </w:r>
      <w:r w:rsidR="009D4A0E" w:rsidRPr="00610B1B">
        <w:rPr>
          <w:rFonts w:cs="Times New Roman"/>
        </w:rPr>
        <w:t xml:space="preserve"> в увеличаване на биомасата на фитопланктона, освободен от хищническия натиск на зоопланктона. </w:t>
      </w:r>
      <w:r w:rsidR="00971318" w:rsidRPr="00610B1B">
        <w:rPr>
          <w:rFonts w:cs="Times New Roman"/>
        </w:rPr>
        <w:t xml:space="preserve">Появата на </w:t>
      </w:r>
      <w:r w:rsidR="00971318" w:rsidRPr="00610B1B">
        <w:rPr>
          <w:rFonts w:cs="Times New Roman"/>
          <w:i/>
        </w:rPr>
        <w:t>Beroe ovata</w:t>
      </w:r>
      <w:r w:rsidR="00971318" w:rsidRPr="00610B1B">
        <w:rPr>
          <w:rFonts w:cs="Times New Roman"/>
        </w:rPr>
        <w:t xml:space="preserve">, като хищник за </w:t>
      </w:r>
      <w:r w:rsidR="00971318" w:rsidRPr="00610B1B">
        <w:rPr>
          <w:rFonts w:cs="Times New Roman"/>
          <w:i/>
        </w:rPr>
        <w:t>Mnemiopsis leidyi</w:t>
      </w:r>
      <w:r w:rsidR="00971318" w:rsidRPr="00610B1B">
        <w:rPr>
          <w:rFonts w:cs="Times New Roman"/>
        </w:rPr>
        <w:t xml:space="preserve"> (Kamburska et al., 2006, in Oguz, Velikova, 2010) допринася за частично възстановяване на основни компоненти на черноморската пелагична екосистема. Въпреки това, и двата вида нямат значение като хранителен ресурс в морските хранителни вериги, поради което отрицателното въздействие от интродукцията на тези видове се запазва.</w:t>
      </w:r>
    </w:p>
    <w:p w14:paraId="774F8E5C" w14:textId="551FFF83" w:rsidR="00671600" w:rsidRPr="00610B1B" w:rsidRDefault="009D4A0E" w:rsidP="00671600">
      <w:pPr>
        <w:pStyle w:val="BodyText"/>
        <w:spacing w:after="120"/>
        <w:ind w:right="-153"/>
        <w:rPr>
          <w:rFonts w:cs="Times New Roman"/>
        </w:rPr>
      </w:pPr>
      <w:r w:rsidRPr="00610B1B">
        <w:rPr>
          <w:rFonts w:cs="Times New Roman"/>
        </w:rPr>
        <w:t xml:space="preserve">Индикаторът „брой чужди видове“ по основния критерий </w:t>
      </w:r>
      <w:r w:rsidRPr="00610B1B">
        <w:rPr>
          <w:rFonts w:cs="Times New Roman"/>
          <w:iCs/>
        </w:rPr>
        <w:t>(</w:t>
      </w:r>
      <w:r w:rsidRPr="00610B1B">
        <w:rPr>
          <w:rFonts w:cs="Times New Roman"/>
        </w:rPr>
        <w:t>D2C1</w:t>
      </w:r>
      <w:r w:rsidRPr="00610B1B">
        <w:rPr>
          <w:rFonts w:cs="Times New Roman"/>
          <w:iCs/>
        </w:rPr>
        <w:t>)</w:t>
      </w:r>
      <w:r w:rsidRPr="00610B1B">
        <w:rPr>
          <w:rFonts w:cs="Times New Roman"/>
        </w:rPr>
        <w:t xml:space="preserve"> на Дескриптор 2 показва добро състояние на фитопланктонното и зоопланктонното съобщество за периода 2012-2016 г., тъй като не са регистрирани нови чужди видове </w:t>
      </w:r>
      <w:r w:rsidRPr="00610B1B">
        <w:rPr>
          <w:rFonts w:cs="Times New Roman"/>
          <w:iCs/>
        </w:rPr>
        <w:t>(</w:t>
      </w:r>
      <w:r w:rsidRPr="00610B1B">
        <w:rPr>
          <w:rFonts w:cs="Times New Roman"/>
        </w:rPr>
        <w:t>Стефанова и др., 2017</w:t>
      </w:r>
      <w:r w:rsidRPr="00610B1B">
        <w:rPr>
          <w:rFonts w:cs="Times New Roman"/>
          <w:iCs/>
        </w:rPr>
        <w:t>)</w:t>
      </w:r>
      <w:r w:rsidRPr="00610B1B">
        <w:rPr>
          <w:rFonts w:cs="Times New Roman"/>
        </w:rPr>
        <w:t>.</w:t>
      </w:r>
      <w:r w:rsidR="00671600" w:rsidRPr="00610B1B">
        <w:rPr>
          <w:rFonts w:cs="Times New Roman"/>
        </w:rPr>
        <w:t xml:space="preserve"> </w:t>
      </w:r>
    </w:p>
    <w:p w14:paraId="295F0F23" w14:textId="6084AA89" w:rsidR="00671600" w:rsidRPr="00610B1B" w:rsidRDefault="00B94FB1" w:rsidP="00D32D6A">
      <w:pPr>
        <w:pStyle w:val="BodyText"/>
        <w:spacing w:before="0" w:after="120" w:line="276" w:lineRule="auto"/>
        <w:ind w:right="-153"/>
        <w:rPr>
          <w:rFonts w:cs="Times New Roman"/>
        </w:rPr>
      </w:pPr>
      <w:r w:rsidRPr="00610B1B">
        <w:rPr>
          <w:rFonts w:cs="Times New Roman"/>
        </w:rPr>
        <w:t xml:space="preserve">Сред </w:t>
      </w:r>
      <w:r w:rsidRPr="00610B1B">
        <w:rPr>
          <w:rFonts w:cs="Times New Roman"/>
          <w:b/>
          <w:bCs/>
          <w:i/>
          <w:iCs/>
        </w:rPr>
        <w:t>и</w:t>
      </w:r>
      <w:r w:rsidR="009D4A0E" w:rsidRPr="00610B1B">
        <w:rPr>
          <w:rFonts w:cs="Times New Roman"/>
          <w:b/>
          <w:bCs/>
          <w:i/>
          <w:iCs/>
        </w:rPr>
        <w:t>нвазивни</w:t>
      </w:r>
      <w:r w:rsidRPr="00610B1B">
        <w:rPr>
          <w:rFonts w:cs="Times New Roman"/>
          <w:b/>
          <w:bCs/>
          <w:i/>
          <w:iCs/>
        </w:rPr>
        <w:t>те</w:t>
      </w:r>
      <w:r w:rsidR="009D4A0E" w:rsidRPr="00610B1B">
        <w:rPr>
          <w:rFonts w:cs="Times New Roman"/>
          <w:b/>
          <w:bCs/>
          <w:i/>
          <w:iCs/>
        </w:rPr>
        <w:t xml:space="preserve"> видове зообентос</w:t>
      </w:r>
      <w:r w:rsidRPr="00610B1B">
        <w:rPr>
          <w:rFonts w:cs="Times New Roman"/>
        </w:rPr>
        <w:t xml:space="preserve"> е х</w:t>
      </w:r>
      <w:r w:rsidR="009D4A0E" w:rsidRPr="00610B1B">
        <w:rPr>
          <w:rFonts w:cs="Times New Roman"/>
        </w:rPr>
        <w:t xml:space="preserve">ищният морски охлюв рапана </w:t>
      </w:r>
      <w:r w:rsidR="009D4A0E" w:rsidRPr="00610B1B">
        <w:rPr>
          <w:rFonts w:cs="Times New Roman"/>
          <w:iCs/>
        </w:rPr>
        <w:t>(</w:t>
      </w:r>
      <w:r w:rsidR="009D4A0E" w:rsidRPr="00610B1B">
        <w:rPr>
          <w:rFonts w:cs="Times New Roman"/>
          <w:i/>
          <w:iCs/>
        </w:rPr>
        <w:t>Rapana venosa</w:t>
      </w:r>
      <w:r w:rsidR="009D4A0E" w:rsidRPr="00610B1B">
        <w:rPr>
          <w:rFonts w:cs="Times New Roman"/>
          <w:iCs/>
        </w:rPr>
        <w:t>)</w:t>
      </w:r>
      <w:r w:rsidRPr="00610B1B">
        <w:rPr>
          <w:rFonts w:cs="Times New Roman"/>
          <w:iCs/>
        </w:rPr>
        <w:t>,</w:t>
      </w:r>
      <w:r w:rsidR="009D4A0E" w:rsidRPr="00610B1B">
        <w:rPr>
          <w:rFonts w:cs="Times New Roman"/>
        </w:rPr>
        <w:t xml:space="preserve"> местен вид за северозападната част на Тихия океан </w:t>
      </w:r>
      <w:r w:rsidR="009D4A0E" w:rsidRPr="00610B1B">
        <w:rPr>
          <w:rFonts w:cs="Times New Roman"/>
          <w:iCs/>
        </w:rPr>
        <w:t>(</w:t>
      </w:r>
      <w:r w:rsidR="009D4A0E" w:rsidRPr="00610B1B">
        <w:rPr>
          <w:rFonts w:cs="Times New Roman"/>
        </w:rPr>
        <w:t>крайбрежието на Япония, Китай</w:t>
      </w:r>
      <w:r w:rsidR="00F134BC" w:rsidRPr="00610B1B">
        <w:rPr>
          <w:rFonts w:cs="Times New Roman"/>
        </w:rPr>
        <w:t>,</w:t>
      </w:r>
      <w:r w:rsidR="009D4A0E" w:rsidRPr="00610B1B">
        <w:rPr>
          <w:rFonts w:cs="Times New Roman"/>
        </w:rPr>
        <w:t xml:space="preserve"> Русия</w:t>
      </w:r>
      <w:r w:rsidR="009D4A0E" w:rsidRPr="00610B1B">
        <w:rPr>
          <w:rFonts w:cs="Times New Roman"/>
          <w:iCs/>
        </w:rPr>
        <w:t>)</w:t>
      </w:r>
      <w:r w:rsidR="009D4A0E" w:rsidRPr="00610B1B">
        <w:rPr>
          <w:rFonts w:cs="Times New Roman"/>
        </w:rPr>
        <w:t>. Внесен е в Черно море през 1940-те години</w:t>
      </w:r>
      <w:r w:rsidR="00671600" w:rsidRPr="00610B1B">
        <w:rPr>
          <w:rFonts w:cs="Times New Roman"/>
        </w:rPr>
        <w:t xml:space="preserve">. В Черно море той се среща върху пясъчни, тинести или скални субстрати на дълбочина до 45 m. Основната му храна са миди и стриди. </w:t>
      </w:r>
      <w:r w:rsidR="00671600" w:rsidRPr="00610B1B">
        <w:rPr>
          <w:rFonts w:cs="Times New Roman"/>
          <w:i/>
        </w:rPr>
        <w:t>Rapana venosa</w:t>
      </w:r>
      <w:r w:rsidR="00671600" w:rsidRPr="00610B1B">
        <w:rPr>
          <w:rFonts w:cs="Times New Roman"/>
        </w:rPr>
        <w:t xml:space="preserve"> е вид, който успешно се е установил в бентосната фауна на всички черноморски държави и оказва съществено въздействие чрез хищническа преса върху местната фауна. За разпространението му помагат високата продуктивност, бързият растеж, както и изявената му толерантност към широк диапазон на соленост и температура (4-35˚C), замърсяване и хипоксия. За развитието на значителна популация в Черно море допринася отсъствието на конкурентни видове, ограниченото хищничество върху самия него, както и обилието на храна. Бъдещите тенденции на засегнатите от вида дънни местообитания ще бъдат за намаление на площта и влошаване на състоянието им под въздействието на физическото увреждане от активни дънни уреди за риболов и хищническа преса на </w:t>
      </w:r>
      <w:r w:rsidR="00671600" w:rsidRPr="00610B1B">
        <w:rPr>
          <w:rFonts w:cs="Times New Roman"/>
          <w:i/>
        </w:rPr>
        <w:t>Rapana venosa</w:t>
      </w:r>
      <w:r w:rsidR="00671600" w:rsidRPr="00610B1B">
        <w:rPr>
          <w:rFonts w:cs="Times New Roman"/>
        </w:rPr>
        <w:t>.</w:t>
      </w:r>
    </w:p>
    <w:p w14:paraId="5A9C1369" w14:textId="7E68F085" w:rsidR="009D4A0E" w:rsidRPr="00610B1B" w:rsidRDefault="009D4A0E" w:rsidP="00D32D6A">
      <w:pPr>
        <w:pStyle w:val="BodyText"/>
        <w:spacing w:before="0" w:after="120" w:line="276" w:lineRule="auto"/>
        <w:ind w:right="-153"/>
        <w:rPr>
          <w:rFonts w:cs="Times New Roman"/>
          <w:sz w:val="21"/>
        </w:rPr>
      </w:pPr>
      <w:r w:rsidRPr="00610B1B">
        <w:rPr>
          <w:rFonts w:cs="Times New Roman"/>
        </w:rPr>
        <w:t xml:space="preserve">През 2011 г. Комисията за опазване на Черно море от замърсяване </w:t>
      </w:r>
      <w:r w:rsidRPr="00610B1B">
        <w:rPr>
          <w:rFonts w:cs="Times New Roman"/>
          <w:iCs/>
        </w:rPr>
        <w:t>(</w:t>
      </w:r>
      <w:r w:rsidRPr="00610B1B">
        <w:rPr>
          <w:rFonts w:cs="Times New Roman"/>
        </w:rPr>
        <w:t>Черноморската комисия</w:t>
      </w:r>
      <w:r w:rsidRPr="00610B1B">
        <w:rPr>
          <w:rFonts w:cs="Times New Roman"/>
          <w:iCs/>
        </w:rPr>
        <w:t>)</w:t>
      </w:r>
      <w:r w:rsidRPr="00610B1B">
        <w:rPr>
          <w:rFonts w:cs="Times New Roman"/>
        </w:rPr>
        <w:t xml:space="preserve"> съставя списък от 20 вида риби,</w:t>
      </w:r>
      <w:r w:rsidR="00D66FE0" w:rsidRPr="00610B1B">
        <w:rPr>
          <w:rFonts w:cs="Times New Roman"/>
        </w:rPr>
        <w:t xml:space="preserve"> </w:t>
      </w:r>
      <w:r w:rsidRPr="00610B1B">
        <w:rPr>
          <w:rFonts w:cs="Times New Roman"/>
        </w:rPr>
        <w:t>чужди за Черно море</w:t>
      </w:r>
      <w:r w:rsidR="003209C9" w:rsidRPr="00610B1B">
        <w:rPr>
          <w:rFonts w:cs="Times New Roman"/>
        </w:rPr>
        <w:t>.</w:t>
      </w:r>
      <w:r w:rsidR="003209C9" w:rsidRPr="00610B1B">
        <w:rPr>
          <w:rStyle w:val="FootnoteReference"/>
          <w:rFonts w:cs="Times New Roman"/>
        </w:rPr>
        <w:footnoteReference w:id="85"/>
      </w:r>
      <w:r w:rsidRPr="00610B1B">
        <w:rPr>
          <w:rFonts w:cs="Times New Roman"/>
        </w:rPr>
        <w:t xml:space="preserve"> </w:t>
      </w:r>
      <w:r w:rsidR="00671600" w:rsidRPr="00610B1B">
        <w:rPr>
          <w:rFonts w:cs="Times New Roman"/>
          <w:b/>
          <w:i/>
        </w:rPr>
        <w:t>чужд</w:t>
      </w:r>
      <w:r w:rsidR="00AC4A7B" w:rsidRPr="00610B1B">
        <w:rPr>
          <w:rFonts w:cs="Times New Roman"/>
          <w:b/>
          <w:bCs/>
          <w:i/>
          <w:iCs/>
        </w:rPr>
        <w:t>и</w:t>
      </w:r>
      <w:r w:rsidR="00B116E1" w:rsidRPr="00610B1B">
        <w:rPr>
          <w:rFonts w:cs="Times New Roman"/>
          <w:b/>
          <w:bCs/>
          <w:i/>
          <w:iCs/>
        </w:rPr>
        <w:t>те</w:t>
      </w:r>
      <w:r w:rsidRPr="00610B1B">
        <w:rPr>
          <w:rFonts w:cs="Times New Roman"/>
          <w:b/>
          <w:bCs/>
          <w:i/>
          <w:iCs/>
        </w:rPr>
        <w:t xml:space="preserve"> видове риби</w:t>
      </w:r>
      <w:r w:rsidR="003209C9" w:rsidRPr="00610B1B">
        <w:rPr>
          <w:rFonts w:cs="Times New Roman"/>
        </w:rPr>
        <w:t>,</w:t>
      </w:r>
      <w:r w:rsidRPr="00610B1B">
        <w:rPr>
          <w:rFonts w:cs="Times New Roman"/>
        </w:rPr>
        <w:t xml:space="preserve"> регистрирани в българската акватория на Черно море са 29. Анализирайки географския произход на морските чужди инвазивни видове, по-голямата част от тях </w:t>
      </w:r>
      <w:r w:rsidRPr="00610B1B">
        <w:rPr>
          <w:rFonts w:cs="Times New Roman"/>
          <w:iCs/>
        </w:rPr>
        <w:t>(</w:t>
      </w:r>
      <w:r w:rsidR="00671600" w:rsidRPr="00610B1B">
        <w:rPr>
          <w:rFonts w:cs="Times New Roman"/>
        </w:rPr>
        <w:t>21</w:t>
      </w:r>
      <w:r w:rsidRPr="00610B1B">
        <w:rPr>
          <w:rFonts w:cs="Times New Roman"/>
        </w:rPr>
        <w:t>%</w:t>
      </w:r>
      <w:r w:rsidRPr="00610B1B">
        <w:rPr>
          <w:rFonts w:cs="Times New Roman"/>
          <w:iCs/>
        </w:rPr>
        <w:t>)</w:t>
      </w:r>
      <w:r w:rsidRPr="00610B1B">
        <w:rPr>
          <w:rFonts w:cs="Times New Roman"/>
        </w:rPr>
        <w:t xml:space="preserve"> </w:t>
      </w:r>
      <w:r w:rsidR="00671600" w:rsidRPr="00610B1B">
        <w:rPr>
          <w:rFonts w:cs="Times New Roman"/>
        </w:rPr>
        <w:t>са от източната част на Атлантическия океан, а 7% от видовете са от атлантически, атлантическо-тихоокеански, тихоокеански и северно-европейски произход.</w:t>
      </w:r>
      <w:r w:rsidR="00AC4A7B" w:rsidRPr="00610B1B">
        <w:rPr>
          <w:rFonts w:cs="Times New Roman"/>
        </w:rPr>
        <w:t xml:space="preserve"> </w:t>
      </w:r>
      <w:r w:rsidRPr="00610B1B">
        <w:rPr>
          <w:rFonts w:cs="Times New Roman"/>
        </w:rPr>
        <w:t xml:space="preserve">За 5 от видовете </w:t>
      </w:r>
      <w:r w:rsidRPr="00610B1B">
        <w:rPr>
          <w:rFonts w:cs="Times New Roman"/>
          <w:iCs/>
        </w:rPr>
        <w:t>(</w:t>
      </w:r>
      <w:r w:rsidRPr="00610B1B">
        <w:rPr>
          <w:rFonts w:cs="Times New Roman"/>
        </w:rPr>
        <w:t>36%</w:t>
      </w:r>
      <w:r w:rsidRPr="00610B1B">
        <w:rPr>
          <w:rFonts w:cs="Times New Roman"/>
          <w:iCs/>
        </w:rPr>
        <w:t>)</w:t>
      </w:r>
      <w:r w:rsidRPr="00610B1B">
        <w:rPr>
          <w:rFonts w:cs="Times New Roman"/>
        </w:rPr>
        <w:t xml:space="preserve">, начинът за интродукция е чрез естествена миграция от Средиземно море </w:t>
      </w:r>
      <w:r w:rsidRPr="00610B1B">
        <w:rPr>
          <w:rFonts w:cs="Times New Roman"/>
          <w:iCs/>
        </w:rPr>
        <w:t>(</w:t>
      </w:r>
      <w:r w:rsidRPr="00610B1B">
        <w:rPr>
          <w:rFonts w:cs="Times New Roman"/>
          <w:i/>
          <w:iCs/>
        </w:rPr>
        <w:t>Lithognathus mormyrus, Sarpa salpa, S</w:t>
      </w:r>
      <w:r w:rsidR="00B81E4B" w:rsidRPr="00610B1B">
        <w:rPr>
          <w:rFonts w:cs="Times New Roman"/>
          <w:i/>
          <w:iCs/>
        </w:rPr>
        <w:t xml:space="preserve">parus aurata, Sardinella aurita, </w:t>
      </w:r>
      <w:r w:rsidRPr="00610B1B">
        <w:rPr>
          <w:rFonts w:cs="Times New Roman"/>
          <w:i/>
          <w:iCs/>
        </w:rPr>
        <w:t>Pomatoschistus bathi</w:t>
      </w:r>
      <w:r w:rsidRPr="00610B1B">
        <w:rPr>
          <w:rFonts w:cs="Times New Roman"/>
          <w:iCs/>
        </w:rPr>
        <w:t>)</w:t>
      </w:r>
      <w:r w:rsidRPr="00610B1B">
        <w:rPr>
          <w:rFonts w:cs="Times New Roman"/>
        </w:rPr>
        <w:t xml:space="preserve">. За други 5 вида </w:t>
      </w:r>
      <w:r w:rsidRPr="00610B1B">
        <w:rPr>
          <w:rFonts w:cs="Times New Roman"/>
          <w:iCs/>
        </w:rPr>
        <w:t>(</w:t>
      </w:r>
      <w:r w:rsidRPr="00610B1B">
        <w:rPr>
          <w:rFonts w:cs="Times New Roman"/>
          <w:i/>
          <w:iCs/>
        </w:rPr>
        <w:t>Sphyraena, Chelon labrosus, Umbra krameri, Pomatoshistus marmoratus</w:t>
      </w:r>
      <w:r w:rsidRPr="00610B1B">
        <w:rPr>
          <w:rFonts w:cs="Times New Roman"/>
        </w:rPr>
        <w:t xml:space="preserve"> и </w:t>
      </w:r>
      <w:r w:rsidRPr="00610B1B">
        <w:rPr>
          <w:rFonts w:cs="Times New Roman"/>
          <w:i/>
          <w:iCs/>
        </w:rPr>
        <w:t>Gambusia holbrooki</w:t>
      </w:r>
      <w:r w:rsidRPr="00610B1B">
        <w:rPr>
          <w:rFonts w:cs="Times New Roman"/>
          <w:iCs/>
        </w:rPr>
        <w:t>)</w:t>
      </w:r>
      <w:r w:rsidRPr="00610B1B">
        <w:rPr>
          <w:rFonts w:cs="Times New Roman"/>
        </w:rPr>
        <w:t xml:space="preserve"> начин</w:t>
      </w:r>
      <w:r w:rsidR="003209C9" w:rsidRPr="00610B1B">
        <w:rPr>
          <w:rFonts w:cs="Times New Roman"/>
        </w:rPr>
        <w:t>ът</w:t>
      </w:r>
      <w:r w:rsidRPr="00610B1B">
        <w:rPr>
          <w:rFonts w:cs="Times New Roman"/>
        </w:rPr>
        <w:t xml:space="preserve"> за интродукция е неизвестен. Общо 4 вида </w:t>
      </w:r>
      <w:r w:rsidRPr="00610B1B">
        <w:rPr>
          <w:rFonts w:cs="Times New Roman"/>
          <w:iCs/>
        </w:rPr>
        <w:t>(</w:t>
      </w:r>
      <w:r w:rsidRPr="00610B1B">
        <w:rPr>
          <w:rFonts w:cs="Times New Roman"/>
          <w:i/>
          <w:iCs/>
        </w:rPr>
        <w:t xml:space="preserve">Liza </w:t>
      </w:r>
      <w:r w:rsidRPr="00610B1B">
        <w:rPr>
          <w:rFonts w:cs="Times New Roman"/>
          <w:i/>
          <w:iCs/>
        </w:rPr>
        <w:lastRenderedPageBreak/>
        <w:t>haematocheila, Oncorhynchus mykiss, Lepomis gibbosus</w:t>
      </w:r>
      <w:r w:rsidRPr="00610B1B">
        <w:rPr>
          <w:rFonts w:cs="Times New Roman"/>
        </w:rPr>
        <w:t xml:space="preserve"> и </w:t>
      </w:r>
      <w:r w:rsidRPr="00610B1B">
        <w:rPr>
          <w:rFonts w:cs="Times New Roman"/>
          <w:i/>
          <w:iCs/>
        </w:rPr>
        <w:t>Pseudorasbora parva</w:t>
      </w:r>
      <w:r w:rsidRPr="00610B1B">
        <w:rPr>
          <w:rFonts w:cs="Times New Roman"/>
          <w:iCs/>
        </w:rPr>
        <w:t>)</w:t>
      </w:r>
      <w:r w:rsidRPr="00610B1B">
        <w:rPr>
          <w:rFonts w:cs="Times New Roman"/>
        </w:rPr>
        <w:t xml:space="preserve"> са интродуцирани в Средиземно и Черно море </w:t>
      </w:r>
      <w:r w:rsidR="00801CB8" w:rsidRPr="00610B1B">
        <w:rPr>
          <w:rFonts w:cs="Times New Roman"/>
        </w:rPr>
        <w:t>за</w:t>
      </w:r>
      <w:r w:rsidRPr="00610B1B">
        <w:rPr>
          <w:rFonts w:cs="Times New Roman"/>
        </w:rPr>
        <w:t xml:space="preserve"> развъждане чрез аквакултури.</w:t>
      </w:r>
    </w:p>
    <w:p w14:paraId="448859F0" w14:textId="0CBE5041" w:rsidR="00B81E4B" w:rsidRPr="00610B1B" w:rsidRDefault="00ED7944" w:rsidP="00B81E4B">
      <w:pPr>
        <w:pStyle w:val="BodyText"/>
        <w:spacing w:after="120"/>
        <w:ind w:right="-153"/>
        <w:rPr>
          <w:rFonts w:cs="Times New Roman"/>
        </w:rPr>
      </w:pPr>
      <w:r w:rsidRPr="00610B1B">
        <w:rPr>
          <w:rFonts w:cs="Times New Roman"/>
        </w:rPr>
        <w:t>Понастоящем липсват данни за отрицателно въздействие на чужди видове риби в морските води на Р. България</w:t>
      </w:r>
      <w:r w:rsidR="00B81E4B" w:rsidRPr="00610B1B">
        <w:rPr>
          <w:rFonts w:cs="Times New Roman"/>
        </w:rPr>
        <w:t>.</w:t>
      </w:r>
    </w:p>
    <w:p w14:paraId="41C2D206" w14:textId="0B99A8E9" w:rsidR="00BF2A7D" w:rsidRPr="00610B1B" w:rsidRDefault="00B81E4B" w:rsidP="00F82C1E">
      <w:pPr>
        <w:pStyle w:val="BodyText"/>
        <w:spacing w:before="0" w:after="120" w:line="276" w:lineRule="auto"/>
        <w:ind w:right="-153"/>
        <w:rPr>
          <w:rFonts w:cs="Times New Roman"/>
        </w:rPr>
      </w:pPr>
      <w:r w:rsidRPr="00610B1B">
        <w:rPr>
          <w:rFonts w:cs="Times New Roman"/>
        </w:rPr>
        <w:t>Основната цел за постигане на добро състояние на морската околна среда и преодоляване на проблемите с инвазивните видове е предотвратяване на навлизането им в морските води. Веднъж навлезли, при масово разпространение, отстраняването им е практически невъзможно и често свързано с отрицателно въздействие върху популациите на местните видове. Мерките за опазване и за намаляване на натиска от инвазивни чужди видове (дескриптор 2 от РДМС) са формулирани в Морската стратегия на Република България и Програмата от мерки. Предвидените мерки обхващат законодателни промени, разработване и прилагане на общ план за действие за ранно откриване, оценка на въздействието на неместни видове и информационно осигуряване за проследяване на промените.</w:t>
      </w:r>
      <w:r w:rsidR="00D66FE0" w:rsidRPr="00610B1B">
        <w:rPr>
          <w:rFonts w:cs="Times New Roman"/>
        </w:rPr>
        <w:t xml:space="preserve"> </w:t>
      </w:r>
    </w:p>
    <w:p w14:paraId="20F1BC3A" w14:textId="77777777" w:rsidR="00261A06" w:rsidRPr="00610B1B" w:rsidRDefault="00261A06" w:rsidP="00F82C1E">
      <w:pPr>
        <w:pStyle w:val="BodyText"/>
        <w:spacing w:before="0" w:after="120" w:line="276" w:lineRule="auto"/>
        <w:ind w:right="-153"/>
        <w:rPr>
          <w:rFonts w:cs="Times New Roman"/>
        </w:rPr>
      </w:pPr>
    </w:p>
    <w:p w14:paraId="3B14E1B4" w14:textId="57E68EEA" w:rsidR="009D4A0E" w:rsidRPr="00610B1B" w:rsidRDefault="00193C0D" w:rsidP="00D32D6A">
      <w:pPr>
        <w:pStyle w:val="Heading3"/>
        <w:spacing w:before="0" w:line="276" w:lineRule="auto"/>
        <w:ind w:right="-153"/>
        <w:rPr>
          <w:rFonts w:cs="Times New Roman"/>
        </w:rPr>
      </w:pPr>
      <w:bookmarkStart w:id="38" w:name="ZOTERO_BREF_Rsdm5DdLzsOf"/>
      <w:bookmarkStart w:id="39" w:name="ZOTERO_BREF_rUItsZwjiNUv"/>
      <w:bookmarkStart w:id="40" w:name="ZOTERO_BREF_eNFt3D6LXHxK"/>
      <w:bookmarkStart w:id="41" w:name="ZOTERO_BREF_nYduyThhyyhr"/>
      <w:bookmarkStart w:id="42" w:name="ZOTERO_BREF_NniLZSTNZnm7"/>
      <w:bookmarkStart w:id="43" w:name="ZOTERO_BREF_bKYQK377AJXz"/>
      <w:bookmarkStart w:id="44" w:name="ZOTERO_BREF_EdZVyU8y453G"/>
      <w:bookmarkStart w:id="45" w:name="ZOTERO_BREF_vThQlgV5bq3W"/>
      <w:bookmarkStart w:id="46" w:name="ZOTERO_BREF_1og97Gc878cr"/>
      <w:bookmarkStart w:id="47" w:name="ZOTERO_BREF_p9xM23n1Tax5"/>
      <w:bookmarkStart w:id="48" w:name="ZOTERO_BREF_C0cEzXzMsDmp"/>
      <w:bookmarkStart w:id="49" w:name="ZOTERO_BREF_qE21LrwlYc7U"/>
      <w:bookmarkStart w:id="50" w:name="ZOTERO_BREF_orpCB3x5tYEl"/>
      <w:bookmarkStart w:id="51" w:name="ZOTERO_BREF_qU5O19ZpeZxx"/>
      <w:bookmarkStart w:id="52" w:name="ZOTERO_BREF_WRgzLuWhwL5r"/>
      <w:bookmarkStart w:id="53" w:name="ZOTERO_BREF_muRVPQogcRuv"/>
      <w:bookmarkStart w:id="54" w:name="ZOTERO_BREF_BJQWAWj7XK2K"/>
      <w:bookmarkStart w:id="55" w:name="ZOTERO_BREF_Eo4aIusmEzzW"/>
      <w:bookmarkStart w:id="56" w:name="ZOTERO_BREF_Fhx52VmhrRl8"/>
      <w:bookmarkStart w:id="57" w:name="ZOTERO_BREF_DBh5dwO4HU93"/>
      <w:bookmarkStart w:id="58" w:name="ZOTERO_BREF_fBZVEYnWq53F"/>
      <w:bookmarkStart w:id="59" w:name="ZOTERO_BREF_p9AwwsClrGBN"/>
      <w:bookmarkStart w:id="60" w:name="ZOTERO_BREF_mO1itoUHS0lc"/>
      <w:bookmarkStart w:id="61" w:name="ZOTERO_BREF_VtESqhtZsKsC"/>
      <w:bookmarkStart w:id="62" w:name="ZOTERO_BREF_R6FZKCKvf1Ml"/>
      <w:bookmarkStart w:id="63" w:name="ZOTERO_BREF_aD0daikDgA2I"/>
      <w:bookmarkStart w:id="64" w:name="ZOTERO_BREF_FDsuiuj9V5Tg"/>
      <w:bookmarkStart w:id="65" w:name="ZOTERO_BREF_kIjGLtCf7WOx"/>
      <w:bookmarkStart w:id="66" w:name="ZOTERO_BREF_osWEUxsxnLAh"/>
      <w:bookmarkStart w:id="67" w:name="ZOTERO_BREF_eOgyDr0SV2AO"/>
      <w:bookmarkStart w:id="68" w:name="ZOTERO_BREF_6nG2WHOH3anH"/>
      <w:bookmarkStart w:id="69" w:name="ZOTERO_BREF_7qPC9Rjn0SaM"/>
      <w:bookmarkStart w:id="70" w:name="ZOTERO_BREF_0IzGNnlfP8dH"/>
      <w:bookmarkStart w:id="71" w:name="ZOTERO_BREF_4OfXnxuA8T7p"/>
      <w:bookmarkStart w:id="72" w:name="ZOTERO_BREF_jkMp6g2UcFXS"/>
      <w:bookmarkStart w:id="73" w:name="ZOTERO_BREF_sCZRWK1ZMUS1"/>
      <w:bookmarkStart w:id="74" w:name="__Fieldmark__84545_486333554"/>
      <w:bookmarkStart w:id="75" w:name="__Fieldmark__459_6091036671"/>
      <w:bookmarkStart w:id="76" w:name="__Fieldmark__379_12011530381"/>
      <w:bookmarkStart w:id="77" w:name="__Fieldmark__624_14926859671"/>
      <w:bookmarkStart w:id="78" w:name="__Fieldmark__1161_8056959701"/>
      <w:bookmarkStart w:id="79" w:name="__Fieldmark__746_7232355481"/>
      <w:bookmarkStart w:id="80" w:name="__Fieldmark__777_2788741021"/>
      <w:bookmarkStart w:id="81" w:name="__Fieldmark__84538_486333554"/>
      <w:bookmarkStart w:id="82" w:name="__Fieldmark__441_6091036671"/>
      <w:bookmarkStart w:id="83" w:name="__Fieldmark__372_12011530381"/>
      <w:bookmarkStart w:id="84" w:name="__Fieldmark__593_14926859671"/>
      <w:bookmarkStart w:id="85" w:name="__Fieldmark__1126_8056959701"/>
      <w:bookmarkStart w:id="86" w:name="__Fieldmark__707_7232355481"/>
      <w:bookmarkStart w:id="87" w:name="__Fieldmark__734_2788741021"/>
      <w:bookmarkStart w:id="88" w:name="__Fieldmark__84531_486333554"/>
      <w:bookmarkStart w:id="89" w:name="__Fieldmark__416_6091036671"/>
      <w:bookmarkStart w:id="90" w:name="__Fieldmark__363_12011530381"/>
      <w:bookmarkStart w:id="91" w:name="__Fieldmark__572_14926859671"/>
      <w:bookmarkStart w:id="92" w:name="__Fieldmark__1103_8056959701"/>
      <w:bookmarkStart w:id="93" w:name="__Fieldmark__680_7232355481"/>
      <w:bookmarkStart w:id="94" w:name="__Fieldmark__703_2788741021"/>
      <w:bookmarkStart w:id="95" w:name="__Fieldmark__84524_486333554"/>
      <w:bookmarkStart w:id="96" w:name="__Fieldmark__411_6091036671"/>
      <w:bookmarkStart w:id="97" w:name="__Fieldmark__356_12011530381"/>
      <w:bookmarkStart w:id="98" w:name="__Fieldmark__547_14926859671"/>
      <w:bookmarkStart w:id="99" w:name="__Fieldmark__1074_8056959701"/>
      <w:bookmarkStart w:id="100" w:name="__Fieldmark__647_7232355481"/>
      <w:bookmarkStart w:id="101" w:name="__Fieldmark__666_2788741021"/>
      <w:bookmarkStart w:id="102" w:name="__Fieldmark__84517_486333554"/>
      <w:bookmarkStart w:id="103" w:name="__Fieldmark__397_6091036671"/>
      <w:bookmarkStart w:id="104" w:name="__Fieldmark__347_12011530381"/>
      <w:bookmarkStart w:id="105" w:name="__Fieldmark__532_14926859671"/>
      <w:bookmarkStart w:id="106" w:name="__Fieldmark__1055_8056959701"/>
      <w:bookmarkStart w:id="107" w:name="__Fieldmark__624_7232355481"/>
      <w:bookmarkStart w:id="108" w:name="__Fieldmark__639_2788741021"/>
      <w:bookmarkStart w:id="109" w:name="__Fieldmark__84510_486333554"/>
      <w:bookmarkStart w:id="110" w:name="__Fieldmark__392_6091036671"/>
      <w:bookmarkStart w:id="111" w:name="__Fieldmark__340_12011530381"/>
      <w:bookmarkStart w:id="112" w:name="__Fieldmark__507_14926859671"/>
      <w:bookmarkStart w:id="113" w:name="__Fieldmark__1026_8056959701"/>
      <w:bookmarkStart w:id="114" w:name="__Fieldmark__591_7232355481"/>
      <w:bookmarkStart w:id="115" w:name="__Fieldmark__602_2788741021"/>
      <w:bookmarkStart w:id="116" w:name="__Fieldmark__84503_486333554"/>
      <w:bookmarkStart w:id="117" w:name="__Fieldmark__386_6091036671"/>
      <w:bookmarkStart w:id="118" w:name="__Fieldmark__333_12011530381"/>
      <w:bookmarkStart w:id="119" w:name="__Fieldmark__486_14926859671"/>
      <w:bookmarkStart w:id="120" w:name="__Fieldmark__1001_8056959701"/>
      <w:bookmarkStart w:id="121" w:name="__Fieldmark__562_7232355481"/>
      <w:bookmarkStart w:id="122" w:name="__Fieldmark__569_2788741021"/>
      <w:bookmarkStart w:id="123" w:name="__Fieldmark__84496_486333554"/>
      <w:bookmarkStart w:id="124" w:name="__Fieldmark__379_6091036671"/>
      <w:bookmarkStart w:id="125" w:name="__Fieldmark__324_12011530381"/>
      <w:bookmarkStart w:id="126" w:name="__Fieldmark__461_14926859671"/>
      <w:bookmarkStart w:id="127" w:name="__Fieldmark__972_8056959701"/>
      <w:bookmarkStart w:id="128" w:name="__Fieldmark__529_7232355481"/>
      <w:bookmarkStart w:id="129" w:name="__Fieldmark__534_2788741021"/>
      <w:bookmarkStart w:id="130" w:name="__Fieldmark__11375_486333554"/>
      <w:bookmarkStart w:id="131" w:name="__Fieldmark__2960_609103667"/>
      <w:bookmarkStart w:id="132" w:name="__Fieldmark__2591_1201153038"/>
      <w:bookmarkStart w:id="133" w:name="__Fieldmark__3704_1492685967"/>
      <w:bookmarkStart w:id="134" w:name="__Fieldmark__4269_805695970"/>
      <w:bookmarkStart w:id="135" w:name="__Fieldmark__3884_723235548"/>
      <w:bookmarkStart w:id="136" w:name="__Fieldmark__3967_278874102"/>
      <w:bookmarkStart w:id="137" w:name="__Fieldmark__11321_486333554"/>
      <w:bookmarkStart w:id="138" w:name="__Fieldmark__2923_609103667"/>
      <w:bookmarkStart w:id="139" w:name="__Fieldmark__2561_1201153038"/>
      <w:bookmarkStart w:id="140" w:name="__Fieldmark__3666_1492685967"/>
      <w:bookmarkStart w:id="141" w:name="__Fieldmark__4227_805695970"/>
      <w:bookmarkStart w:id="142" w:name="__Fieldmark__3838_723235548"/>
      <w:bookmarkStart w:id="143" w:name="__Fieldmark__3917_278874102"/>
      <w:bookmarkStart w:id="144" w:name="__Fieldmark__9565_486333554"/>
      <w:bookmarkStart w:id="145" w:name="__Fieldmark__1458_609103667"/>
      <w:bookmarkStart w:id="146" w:name="__Fieldmark__1258_1201153038"/>
      <w:bookmarkStart w:id="147" w:name="__Fieldmark__1925_1492685967"/>
      <w:bookmarkStart w:id="148" w:name="__Fieldmark__2482_805695970"/>
      <w:bookmarkStart w:id="149" w:name="__Fieldmark__2089_723235548"/>
      <w:bookmarkStart w:id="150" w:name="__Fieldmark__2165_278874102"/>
      <w:bookmarkStart w:id="151" w:name="__Fieldmark__8830_486333554"/>
      <w:bookmarkStart w:id="152" w:name="__Fieldmark__938_609103667"/>
      <w:bookmarkStart w:id="153" w:name="__Fieldmark__768_1201153038"/>
      <w:bookmarkStart w:id="154" w:name="__Fieldmark__1209_1492685967"/>
      <w:bookmarkStart w:id="155" w:name="__Fieldmark__1762_805695970"/>
      <w:bookmarkStart w:id="156" w:name="__Fieldmark__1365_723235548"/>
      <w:bookmarkStart w:id="157" w:name="__Fieldmark__1430_278874102"/>
      <w:bookmarkStart w:id="158" w:name="__Fieldmark__8685_486333554"/>
      <w:bookmarkStart w:id="159" w:name="__Fieldmark__794_609103667"/>
      <w:bookmarkStart w:id="160" w:name="__Fieldmark__643_1201153038"/>
      <w:bookmarkStart w:id="161" w:name="__Fieldmark__1080_1492685967"/>
      <w:bookmarkStart w:id="162" w:name="__Fieldmark__1629_805695970"/>
      <w:bookmarkStart w:id="163" w:name="__Fieldmark__1228_723235548"/>
      <w:bookmarkStart w:id="164" w:name="__Fieldmark__1289_278874102"/>
      <w:bookmarkStart w:id="165" w:name="__Fieldmark__8333_486333554"/>
      <w:bookmarkStart w:id="166" w:name="__Fieldmark__546_609103667"/>
      <w:bookmarkStart w:id="167" w:name="__Fieldmark__413_1201153038"/>
      <w:bookmarkStart w:id="168" w:name="__Fieldmark__738_1492685967"/>
      <w:bookmarkStart w:id="169" w:name="__Fieldmark__1283_805695970"/>
      <w:bookmarkStart w:id="170" w:name="__Fieldmark__878_723235548"/>
      <w:bookmarkStart w:id="171" w:name="__Fieldmark__939_278874102"/>
      <w:bookmarkStart w:id="172" w:name="__Fieldmark__8266_486333554"/>
      <w:bookmarkStart w:id="173" w:name="__Fieldmark__541_609103667"/>
      <w:bookmarkStart w:id="174" w:name="__Fieldmark__406_1201153038"/>
      <w:bookmarkStart w:id="175" w:name="__Fieldmark__687_1492685967"/>
      <w:bookmarkStart w:id="176" w:name="__Fieldmark__1228_805695970"/>
      <w:bookmarkStart w:id="177" w:name="__Fieldmark__819_723235548"/>
      <w:bookmarkStart w:id="178" w:name="__Fieldmark__876_278874102"/>
      <w:bookmarkStart w:id="179" w:name="__Fieldmark__8229_486333554"/>
      <w:bookmarkStart w:id="180" w:name="__Fieldmark__521_609103667"/>
      <w:bookmarkStart w:id="181" w:name="__Fieldmark__399_1201153038"/>
      <w:bookmarkStart w:id="182" w:name="__Fieldmark__666_1492685967"/>
      <w:bookmarkStart w:id="183" w:name="__Fieldmark__1203_805695970"/>
      <w:bookmarkStart w:id="184" w:name="__Fieldmark__790_723235548"/>
      <w:bookmarkStart w:id="185" w:name="__Fieldmark__837_278874102"/>
      <w:bookmarkStart w:id="186" w:name="__Fieldmark__8177_486333554"/>
      <w:bookmarkStart w:id="187" w:name="__Fieldmark__459_609103667"/>
      <w:bookmarkStart w:id="188" w:name="__Fieldmark__379_1201153038"/>
      <w:bookmarkStart w:id="189" w:name="__Fieldmark__624_1492685967"/>
      <w:bookmarkStart w:id="190" w:name="__Fieldmark__1161_805695970"/>
      <w:bookmarkStart w:id="191" w:name="__Fieldmark__746_723235548"/>
      <w:bookmarkStart w:id="192" w:name="__Fieldmark__777_278874102"/>
      <w:bookmarkStart w:id="193" w:name="__Fieldmark__8130_486333554"/>
      <w:bookmarkStart w:id="194" w:name="__Fieldmark__441_609103667"/>
      <w:bookmarkStart w:id="195" w:name="__Fieldmark__372_1201153038"/>
      <w:bookmarkStart w:id="196" w:name="__Fieldmark__593_1492685967"/>
      <w:bookmarkStart w:id="197" w:name="__Fieldmark__1126_805695970"/>
      <w:bookmarkStart w:id="198" w:name="__Fieldmark__707_723235548"/>
      <w:bookmarkStart w:id="199" w:name="__Fieldmark__734_278874102"/>
      <w:bookmarkStart w:id="200" w:name="__Fieldmark__8095_486333554"/>
      <w:bookmarkStart w:id="201" w:name="__Fieldmark__416_609103667"/>
      <w:bookmarkStart w:id="202" w:name="__Fieldmark__363_1201153038"/>
      <w:bookmarkStart w:id="203" w:name="__Fieldmark__572_1492685967"/>
      <w:bookmarkStart w:id="204" w:name="__Fieldmark__1103_805695970"/>
      <w:bookmarkStart w:id="205" w:name="__Fieldmark__680_723235548"/>
      <w:bookmarkStart w:id="206" w:name="__Fieldmark__703_278874102"/>
      <w:bookmarkStart w:id="207" w:name="__Fieldmark__8054_486333554"/>
      <w:bookmarkStart w:id="208" w:name="__Fieldmark__411_609103667"/>
      <w:bookmarkStart w:id="209" w:name="__Fieldmark__356_1201153038"/>
      <w:bookmarkStart w:id="210" w:name="__Fieldmark__547_1492685967"/>
      <w:bookmarkStart w:id="211" w:name="__Fieldmark__1074_805695970"/>
      <w:bookmarkStart w:id="212" w:name="__Fieldmark__647_723235548"/>
      <w:bookmarkStart w:id="213" w:name="__Fieldmark__666_278874102"/>
      <w:bookmarkStart w:id="214" w:name="__Fieldmark__8023_486333554"/>
      <w:bookmarkStart w:id="215" w:name="__Fieldmark__397_609103667"/>
      <w:bookmarkStart w:id="216" w:name="__Fieldmark__347_1201153038"/>
      <w:bookmarkStart w:id="217" w:name="__Fieldmark__532_1492685967"/>
      <w:bookmarkStart w:id="218" w:name="__Fieldmark__1055_805695970"/>
      <w:bookmarkStart w:id="219" w:name="__Fieldmark__624_723235548"/>
      <w:bookmarkStart w:id="220" w:name="__Fieldmark__639_278874102"/>
      <w:bookmarkStart w:id="221" w:name="__Fieldmark__7982_486333554"/>
      <w:bookmarkStart w:id="222" w:name="__Fieldmark__392_609103667"/>
      <w:bookmarkStart w:id="223" w:name="__Fieldmark__340_1201153038"/>
      <w:bookmarkStart w:id="224" w:name="__Fieldmark__507_1492685967"/>
      <w:bookmarkStart w:id="225" w:name="__Fieldmark__1026_805695970"/>
      <w:bookmarkStart w:id="226" w:name="__Fieldmark__591_723235548"/>
      <w:bookmarkStart w:id="227" w:name="__Fieldmark__602_278874102"/>
      <w:bookmarkStart w:id="228" w:name="__Fieldmark__7945_486333554"/>
      <w:bookmarkStart w:id="229" w:name="__Fieldmark__386_609103667"/>
      <w:bookmarkStart w:id="230" w:name="__Fieldmark__333_1201153038"/>
      <w:bookmarkStart w:id="231" w:name="__Fieldmark__486_1492685967"/>
      <w:bookmarkStart w:id="232" w:name="__Fieldmark__1001_805695970"/>
      <w:bookmarkStart w:id="233" w:name="__Fieldmark__562_723235548"/>
      <w:bookmarkStart w:id="234" w:name="__Fieldmark__569_278874102"/>
      <w:bookmarkStart w:id="235" w:name="__Fieldmark__7908_486333554"/>
      <w:bookmarkStart w:id="236" w:name="__Fieldmark__379_609103667"/>
      <w:bookmarkStart w:id="237" w:name="__Fieldmark__324_1201153038"/>
      <w:bookmarkStart w:id="238" w:name="__Fieldmark__461_1492685967"/>
      <w:bookmarkStart w:id="239" w:name="__Fieldmark__972_805695970"/>
      <w:bookmarkStart w:id="240" w:name="__Fieldmark__529_723235548"/>
      <w:bookmarkStart w:id="241" w:name="__Fieldmark__534_278874102"/>
      <w:bookmarkStart w:id="242" w:name="__Fieldmark__7874_486333554"/>
      <w:bookmarkStart w:id="243" w:name="__Fieldmark__364_609103667"/>
      <w:bookmarkStart w:id="244" w:name="__Fieldmark__313_1201153038"/>
      <w:bookmarkStart w:id="245" w:name="__Fieldmark__443_1492685967"/>
      <w:bookmarkStart w:id="246" w:name="__Fieldmark__950_805695970"/>
      <w:bookmarkStart w:id="247" w:name="__Fieldmark__501_723235548"/>
      <w:bookmarkStart w:id="248" w:name="__Fieldmark__504_278874102"/>
      <w:bookmarkStart w:id="249" w:name="__Fieldmark__7842_486333554"/>
      <w:bookmarkStart w:id="250" w:name="__Fieldmark__337_609103667"/>
      <w:bookmarkStart w:id="251" w:name="__Fieldmark__301_1201153038"/>
      <w:bookmarkStart w:id="252" w:name="__Fieldmark__427_1492685967"/>
      <w:bookmarkStart w:id="253" w:name="__Fieldmark__930_805695970"/>
      <w:bookmarkStart w:id="254" w:name="__Fieldmark__477_723235548"/>
      <w:bookmarkStart w:id="255" w:name="__Fieldmark__472_278874102"/>
      <w:bookmarkStart w:id="256" w:name="__Fieldmark__7797_486333554"/>
      <w:bookmarkStart w:id="257" w:name="__Fieldmark__308_609103667"/>
      <w:bookmarkStart w:id="258" w:name="__Fieldmark__281_1201153038"/>
      <w:bookmarkStart w:id="259" w:name="__Fieldmark__398_1492685967"/>
      <w:bookmarkStart w:id="260" w:name="__Fieldmark__897_805695970"/>
      <w:bookmarkStart w:id="261" w:name="__Fieldmark__440_723235548"/>
      <w:bookmarkStart w:id="262" w:name="__Fieldmark__429_278874102"/>
      <w:bookmarkStart w:id="263" w:name="__Fieldmark__7568_486333554"/>
      <w:bookmarkStart w:id="264" w:name="__Fieldmark__78_609103667"/>
      <w:bookmarkStart w:id="265" w:name="__Fieldmark__56_1201153038"/>
      <w:bookmarkStart w:id="266" w:name="__Fieldmark__153_1492685967"/>
      <w:bookmarkStart w:id="267" w:name="__Fieldmark__648_805695970"/>
      <w:bookmarkStart w:id="268" w:name="__Fieldmark__187_723235548"/>
      <w:bookmarkStart w:id="269" w:name="__Fieldmark__204_278874102"/>
      <w:bookmarkStart w:id="270" w:name="__Fieldmark__7503_486333554"/>
      <w:bookmarkStart w:id="271" w:name="__Fieldmark__66_609103667"/>
      <w:bookmarkStart w:id="272" w:name="__Fieldmark__49_1201153038"/>
      <w:bookmarkStart w:id="273" w:name="__Fieldmark__104_1492685967"/>
      <w:bookmarkStart w:id="274" w:name="__Fieldmark__595_805695970"/>
      <w:bookmarkStart w:id="275" w:name="__Fieldmark__130_723235548"/>
      <w:bookmarkStart w:id="276" w:name="__Fieldmark__141_278874102"/>
      <w:bookmarkStart w:id="277" w:name="__Fieldmark__7453_486333554"/>
      <w:bookmarkStart w:id="278" w:name="__Fieldmark__50_609103667"/>
      <w:bookmarkStart w:id="279" w:name="__Fieldmark__34_1201153038"/>
      <w:bookmarkStart w:id="280" w:name="__Fieldmark__70_1492685967"/>
      <w:bookmarkStart w:id="281" w:name="__Fieldmark__557_805695970"/>
      <w:bookmarkStart w:id="282" w:name="__Fieldmark__88_723235548"/>
      <w:bookmarkStart w:id="283" w:name="__Fieldmark__95_278874102"/>
      <w:bookmarkStart w:id="284" w:name="__DdeLink__5504_805695970"/>
      <w:bookmarkStart w:id="285" w:name="__Fieldmark__7390_486333554"/>
      <w:bookmarkStart w:id="286" w:name="__Fieldmark__32_609103667"/>
      <w:bookmarkStart w:id="287" w:name="__Fieldmark__15_1201153038"/>
      <w:bookmarkStart w:id="288" w:name="__Fieldmark__25_1492685967"/>
      <w:bookmarkStart w:id="289" w:name="__Fieldmark__508_805695970"/>
      <w:bookmarkStart w:id="290" w:name="__Fieldmark__33_723235548"/>
      <w:bookmarkStart w:id="291" w:name="__Fieldmark__36_278874102"/>
      <w:bookmarkStart w:id="292" w:name="__Fieldmark__7357_486333554"/>
      <w:bookmarkStart w:id="293" w:name="__Fieldmark__21_609103667"/>
      <w:bookmarkStart w:id="294" w:name="__Fieldmark__8_1201153038"/>
      <w:bookmarkStart w:id="295" w:name="__Fieldmark__8_1492685967"/>
      <w:bookmarkStart w:id="296" w:name="__Fieldmark__487_805695970"/>
      <w:bookmarkStart w:id="297" w:name="__Fieldmark__8_723235548"/>
      <w:bookmarkStart w:id="298" w:name="__Fieldmark__7_278874102"/>
      <w:bookmarkStart w:id="299" w:name="ZOTERO_BREF_bNv9kXM5yfz7"/>
      <w:bookmarkStart w:id="300" w:name="_Toc83391365"/>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Pr="00610B1B">
        <w:rPr>
          <w:rFonts w:cs="Times New Roman"/>
        </w:rPr>
        <w:t xml:space="preserve">2.2.5. </w:t>
      </w:r>
      <w:r w:rsidR="009D4A0E" w:rsidRPr="00610B1B">
        <w:rPr>
          <w:rFonts w:cs="Times New Roman"/>
        </w:rPr>
        <w:t>Защитени територии</w:t>
      </w:r>
      <w:r w:rsidR="00A333DA" w:rsidRPr="00610B1B">
        <w:rPr>
          <w:rFonts w:cs="Times New Roman"/>
        </w:rPr>
        <w:t xml:space="preserve"> и защитени зони</w:t>
      </w:r>
      <w:bookmarkEnd w:id="300"/>
    </w:p>
    <w:p w14:paraId="2B23915B" w14:textId="78346DA7" w:rsidR="009D4A0E" w:rsidRPr="00610B1B" w:rsidRDefault="009D4A0E" w:rsidP="00D32D6A">
      <w:pPr>
        <w:pStyle w:val="BodyText"/>
        <w:spacing w:before="0" w:after="120" w:line="276" w:lineRule="auto"/>
        <w:ind w:right="-153"/>
        <w:rPr>
          <w:rFonts w:cs="Times New Roman"/>
        </w:rPr>
      </w:pPr>
      <w:r w:rsidRPr="00610B1B">
        <w:rPr>
          <w:rFonts w:cs="Times New Roman"/>
        </w:rPr>
        <w:t>Националната екологична мрежа включва „защитени територии“, регламентирани от</w:t>
      </w:r>
      <w:r w:rsidR="00D66FE0" w:rsidRPr="00610B1B">
        <w:rPr>
          <w:rFonts w:cs="Times New Roman"/>
        </w:rPr>
        <w:t xml:space="preserve"> </w:t>
      </w:r>
      <w:r w:rsidRPr="00610B1B">
        <w:rPr>
          <w:rFonts w:cs="Times New Roman"/>
        </w:rPr>
        <w:t>Закона за защитените територии</w:t>
      </w:r>
      <w:r w:rsidRPr="00610B1B">
        <w:rPr>
          <w:rStyle w:val="a4"/>
          <w:rFonts w:cs="Times New Roman"/>
        </w:rPr>
        <w:footnoteReference w:id="86"/>
      </w:r>
      <w:r w:rsidRPr="00610B1B">
        <w:rPr>
          <w:rFonts w:cs="Times New Roman"/>
        </w:rPr>
        <w:t xml:space="preserve"> и “защитени зони“ според Закона за биологичното разнообразие.</w:t>
      </w:r>
      <w:r w:rsidRPr="00610B1B">
        <w:rPr>
          <w:rStyle w:val="a4"/>
          <w:rFonts w:cs="Times New Roman"/>
        </w:rPr>
        <w:footnoteReference w:id="87"/>
      </w:r>
      <w:r w:rsidRPr="00610B1B">
        <w:rPr>
          <w:rFonts w:cs="Times New Roman"/>
        </w:rPr>
        <w:t xml:space="preserve"> Защитените зони всъщност представляват НАТУРА 2000 в България, част от Европейската екологичната мрежа. Те се обявяват в съответствие с изискванията на </w:t>
      </w:r>
      <w:r w:rsidR="00667439" w:rsidRPr="00610B1B">
        <w:rPr>
          <w:rFonts w:cs="Times New Roman"/>
        </w:rPr>
        <w:t>Директива 92/43/ЕИО на Съвета за опазване на естествените местообитания и на дивата флора и фауна (Директива за местообитанията)</w:t>
      </w:r>
      <w:r w:rsidR="00667439" w:rsidRPr="00610B1B">
        <w:rPr>
          <w:rStyle w:val="FootnoteReference"/>
          <w:rFonts w:cs="Times New Roman"/>
        </w:rPr>
        <w:footnoteReference w:id="88"/>
      </w:r>
      <w:r w:rsidR="00667439" w:rsidRPr="00610B1B">
        <w:rPr>
          <w:rFonts w:cs="Times New Roman"/>
        </w:rPr>
        <w:t xml:space="preserve"> и Директива 2009/147/ЕИО на Съвета относно опазването на дивите птици (</w:t>
      </w:r>
      <w:r w:rsidRPr="00610B1B">
        <w:rPr>
          <w:rFonts w:cs="Times New Roman"/>
        </w:rPr>
        <w:t>Директива за птиците</w:t>
      </w:r>
      <w:r w:rsidR="00667439" w:rsidRPr="00610B1B">
        <w:rPr>
          <w:rFonts w:cs="Times New Roman"/>
        </w:rPr>
        <w:t>)</w:t>
      </w:r>
      <w:r w:rsidRPr="00610B1B">
        <w:rPr>
          <w:rStyle w:val="a4"/>
          <w:rFonts w:cs="Times New Roman"/>
        </w:rPr>
        <w:footnoteReference w:id="89"/>
      </w:r>
      <w:r w:rsidR="00362F07" w:rsidRPr="00610B1B">
        <w:rPr>
          <w:rFonts w:cs="Times New Roman"/>
        </w:rPr>
        <w:t xml:space="preserve"> </w:t>
      </w:r>
      <w:r w:rsidR="00982A83" w:rsidRPr="00610B1B">
        <w:rPr>
          <w:rFonts w:cs="Times New Roman"/>
        </w:rPr>
        <w:t>Националната екологична мрежа включва още КОРИНЕ места, Рамсарски места, важни места за растенията и орнитологичн</w:t>
      </w:r>
      <w:r w:rsidR="00D05544" w:rsidRPr="00610B1B">
        <w:rPr>
          <w:rFonts w:cs="Times New Roman"/>
        </w:rPr>
        <w:t>o</w:t>
      </w:r>
      <w:r w:rsidR="00982A83" w:rsidRPr="00610B1B">
        <w:rPr>
          <w:rFonts w:cs="Times New Roman"/>
        </w:rPr>
        <w:t xml:space="preserve"> важни места. </w:t>
      </w:r>
      <w:r w:rsidR="00362F07" w:rsidRPr="00610B1B">
        <w:rPr>
          <w:rFonts w:cs="Times New Roman"/>
        </w:rPr>
        <w:t xml:space="preserve">За целите на Морския пространствен план освен поставените под защита морски защитени зони са разгледани </w:t>
      </w:r>
      <w:r w:rsidR="006A05E6" w:rsidRPr="00610B1B">
        <w:rPr>
          <w:rFonts w:cs="Times New Roman"/>
        </w:rPr>
        <w:t>онези</w:t>
      </w:r>
      <w:r w:rsidR="00362F07" w:rsidRPr="00610B1B">
        <w:rPr>
          <w:rFonts w:cs="Times New Roman"/>
        </w:rPr>
        <w:t xml:space="preserve"> крайбрежни защитени територии и защитени зони, които имат акваториална част</w:t>
      </w:r>
      <w:r w:rsidR="006A05E6" w:rsidRPr="00610B1B">
        <w:rPr>
          <w:rFonts w:cs="Times New Roman"/>
        </w:rPr>
        <w:t xml:space="preserve"> и п</w:t>
      </w:r>
      <w:r w:rsidR="00A539B8" w:rsidRPr="00610B1B">
        <w:rPr>
          <w:rFonts w:cs="Times New Roman"/>
        </w:rPr>
        <w:t>опадат в зон</w:t>
      </w:r>
      <w:r w:rsidR="006A05E6" w:rsidRPr="00610B1B">
        <w:rPr>
          <w:rFonts w:cs="Times New Roman"/>
        </w:rPr>
        <w:t>а</w:t>
      </w:r>
      <w:r w:rsidR="00A539B8" w:rsidRPr="00610B1B">
        <w:rPr>
          <w:rFonts w:cs="Times New Roman"/>
        </w:rPr>
        <w:t xml:space="preserve"> „А“ или „Б“ съгласно З</w:t>
      </w:r>
      <w:r w:rsidR="006A05E6" w:rsidRPr="00610B1B">
        <w:rPr>
          <w:rFonts w:cs="Times New Roman"/>
        </w:rPr>
        <w:t>УЧК</w:t>
      </w:r>
      <w:r w:rsidR="00A539B8" w:rsidRPr="00610B1B">
        <w:rPr>
          <w:rFonts w:cs="Times New Roman"/>
        </w:rPr>
        <w:t xml:space="preserve">. </w:t>
      </w:r>
    </w:p>
    <w:p w14:paraId="0E8C172B" w14:textId="18552496" w:rsidR="009D4A0E" w:rsidRPr="00610B1B" w:rsidRDefault="00E10F89" w:rsidP="00D32D6A">
      <w:pPr>
        <w:pStyle w:val="Heading4"/>
        <w:spacing w:before="0" w:line="276" w:lineRule="auto"/>
        <w:rPr>
          <w:rStyle w:val="FontStyle18"/>
          <w:rFonts w:eastAsia="Source Han Sans CN Regular" w:cs="Times New Roman"/>
          <w:b/>
          <w:bCs w:val="0"/>
          <w:sz w:val="24"/>
        </w:rPr>
      </w:pPr>
      <w:r w:rsidRPr="00610B1B">
        <w:rPr>
          <w:rStyle w:val="FontStyle18"/>
          <w:rFonts w:eastAsia="Source Han Sans CN Regular" w:cs="Times New Roman"/>
          <w:b/>
          <w:bCs w:val="0"/>
          <w:sz w:val="24"/>
        </w:rPr>
        <w:t xml:space="preserve">2.2.5.1. </w:t>
      </w:r>
      <w:r w:rsidR="009D4A0E" w:rsidRPr="00610B1B">
        <w:rPr>
          <w:rStyle w:val="FontStyle18"/>
          <w:rFonts w:eastAsia="Source Han Sans CN Regular" w:cs="Times New Roman"/>
          <w:b/>
          <w:bCs w:val="0"/>
          <w:sz w:val="24"/>
        </w:rPr>
        <w:t>Защитени територии</w:t>
      </w:r>
      <w:r w:rsidR="00A333DA" w:rsidRPr="00610B1B">
        <w:rPr>
          <w:rStyle w:val="FontStyle18"/>
          <w:rFonts w:eastAsia="Source Han Sans CN Regular" w:cs="Times New Roman"/>
          <w:b/>
          <w:bCs w:val="0"/>
          <w:sz w:val="24"/>
        </w:rPr>
        <w:t xml:space="preserve"> </w:t>
      </w:r>
    </w:p>
    <w:p w14:paraId="525572EB" w14:textId="029101B3" w:rsidR="002D0A49" w:rsidRPr="00610B1B" w:rsidRDefault="002D0A49" w:rsidP="00D32D6A">
      <w:pPr>
        <w:pStyle w:val="BodyText"/>
        <w:spacing w:before="0" w:after="120" w:line="276" w:lineRule="auto"/>
        <w:ind w:right="-153"/>
        <w:rPr>
          <w:rFonts w:cs="Times New Roman"/>
        </w:rPr>
      </w:pPr>
      <w:r w:rsidRPr="00610B1B">
        <w:rPr>
          <w:rFonts w:cs="Times New Roman"/>
        </w:rPr>
        <w:t xml:space="preserve">В обхвата на черноморските общини </w:t>
      </w:r>
      <w:r w:rsidRPr="00610B1B">
        <w:rPr>
          <w:rFonts w:cs="Times New Roman"/>
          <w:iCs/>
        </w:rPr>
        <w:t>(</w:t>
      </w:r>
      <w:r w:rsidRPr="00610B1B">
        <w:rPr>
          <w:rStyle w:val="a1"/>
          <w:rFonts w:cs="Times New Roman"/>
          <w:color w:val="000000"/>
          <w:u w:val="none"/>
        </w:rPr>
        <w:t>Аврен</w:t>
      </w:r>
      <w:r w:rsidRPr="00610B1B">
        <w:rPr>
          <w:rFonts w:cs="Times New Roman"/>
        </w:rPr>
        <w:t xml:space="preserve">, </w:t>
      </w:r>
      <w:r w:rsidRPr="00610B1B">
        <w:rPr>
          <w:rStyle w:val="a1"/>
          <w:rFonts w:cs="Times New Roman"/>
          <w:color w:val="000000"/>
          <w:u w:val="none"/>
        </w:rPr>
        <w:t>Аксаково</w:t>
      </w:r>
      <w:r w:rsidRPr="00610B1B">
        <w:rPr>
          <w:rFonts w:cs="Times New Roman"/>
        </w:rPr>
        <w:t xml:space="preserve">, </w:t>
      </w:r>
      <w:r w:rsidRPr="00610B1B">
        <w:rPr>
          <w:rStyle w:val="a1"/>
          <w:rFonts w:cs="Times New Roman"/>
          <w:color w:val="000000"/>
          <w:u w:val="none"/>
        </w:rPr>
        <w:t>Балчик</w:t>
      </w:r>
      <w:r w:rsidRPr="00610B1B">
        <w:rPr>
          <w:rFonts w:cs="Times New Roman"/>
        </w:rPr>
        <w:t xml:space="preserve">, </w:t>
      </w:r>
      <w:r w:rsidRPr="00610B1B">
        <w:rPr>
          <w:rStyle w:val="a1"/>
          <w:rFonts w:cs="Times New Roman"/>
          <w:color w:val="000000"/>
          <w:u w:val="none"/>
        </w:rPr>
        <w:t>Бургас</w:t>
      </w:r>
      <w:r w:rsidRPr="00610B1B">
        <w:rPr>
          <w:rFonts w:cs="Times New Roman"/>
        </w:rPr>
        <w:t xml:space="preserve">, </w:t>
      </w:r>
      <w:r w:rsidRPr="00610B1B">
        <w:rPr>
          <w:rStyle w:val="a1"/>
          <w:rFonts w:cs="Times New Roman"/>
          <w:color w:val="000000"/>
          <w:u w:val="none"/>
        </w:rPr>
        <w:t>Бяла</w:t>
      </w:r>
      <w:r w:rsidRPr="00610B1B">
        <w:rPr>
          <w:rFonts w:cs="Times New Roman"/>
        </w:rPr>
        <w:t xml:space="preserve">, </w:t>
      </w:r>
      <w:r w:rsidRPr="00610B1B">
        <w:rPr>
          <w:rStyle w:val="a1"/>
          <w:rFonts w:cs="Times New Roman"/>
          <w:color w:val="000000"/>
          <w:u w:val="none"/>
        </w:rPr>
        <w:t>Варна</w:t>
      </w:r>
      <w:r w:rsidRPr="00610B1B">
        <w:rPr>
          <w:rFonts w:cs="Times New Roman"/>
        </w:rPr>
        <w:t xml:space="preserve">, </w:t>
      </w:r>
      <w:r w:rsidRPr="00610B1B">
        <w:rPr>
          <w:rStyle w:val="a1"/>
          <w:rFonts w:cs="Times New Roman"/>
          <w:color w:val="000000"/>
          <w:u w:val="none"/>
        </w:rPr>
        <w:t>Долни чифлик</w:t>
      </w:r>
      <w:r w:rsidRPr="00610B1B">
        <w:rPr>
          <w:rFonts w:cs="Times New Roman"/>
        </w:rPr>
        <w:t xml:space="preserve">, </w:t>
      </w:r>
      <w:r w:rsidRPr="00610B1B">
        <w:rPr>
          <w:rStyle w:val="a1"/>
          <w:rFonts w:cs="Times New Roman"/>
          <w:color w:val="000000"/>
          <w:u w:val="none"/>
        </w:rPr>
        <w:t>Каварна</w:t>
      </w:r>
      <w:r w:rsidRPr="00610B1B">
        <w:rPr>
          <w:rFonts w:cs="Times New Roman"/>
        </w:rPr>
        <w:t xml:space="preserve">, </w:t>
      </w:r>
      <w:r w:rsidRPr="00610B1B">
        <w:rPr>
          <w:rStyle w:val="a1"/>
          <w:rFonts w:cs="Times New Roman"/>
          <w:color w:val="000000"/>
          <w:u w:val="none"/>
        </w:rPr>
        <w:t>Несебър</w:t>
      </w:r>
      <w:r w:rsidRPr="00610B1B">
        <w:rPr>
          <w:rFonts w:cs="Times New Roman"/>
        </w:rPr>
        <w:t xml:space="preserve">, </w:t>
      </w:r>
      <w:r w:rsidRPr="00610B1B">
        <w:rPr>
          <w:rStyle w:val="a1"/>
          <w:rFonts w:cs="Times New Roman"/>
          <w:color w:val="000000"/>
          <w:u w:val="none"/>
        </w:rPr>
        <w:t>Поморие</w:t>
      </w:r>
      <w:r w:rsidRPr="00610B1B">
        <w:rPr>
          <w:rFonts w:cs="Times New Roman"/>
        </w:rPr>
        <w:t xml:space="preserve">, </w:t>
      </w:r>
      <w:r w:rsidRPr="00610B1B">
        <w:rPr>
          <w:rStyle w:val="a1"/>
          <w:rFonts w:cs="Times New Roman"/>
          <w:color w:val="000000"/>
          <w:u w:val="none"/>
        </w:rPr>
        <w:t>Приморско</w:t>
      </w:r>
      <w:r w:rsidRPr="00610B1B">
        <w:rPr>
          <w:rFonts w:cs="Times New Roman"/>
        </w:rPr>
        <w:t xml:space="preserve">, </w:t>
      </w:r>
      <w:r w:rsidRPr="00610B1B">
        <w:rPr>
          <w:rStyle w:val="a1"/>
          <w:rFonts w:cs="Times New Roman"/>
          <w:color w:val="000000"/>
          <w:u w:val="none"/>
        </w:rPr>
        <w:t>Созопол</w:t>
      </w:r>
      <w:r w:rsidRPr="00610B1B">
        <w:rPr>
          <w:rFonts w:cs="Times New Roman"/>
        </w:rPr>
        <w:t xml:space="preserve">, </w:t>
      </w:r>
      <w:r w:rsidRPr="00610B1B">
        <w:rPr>
          <w:rStyle w:val="a1"/>
          <w:rFonts w:cs="Times New Roman"/>
          <w:color w:val="000000"/>
          <w:u w:val="none"/>
        </w:rPr>
        <w:t>Шабла</w:t>
      </w:r>
      <w:r w:rsidRPr="00610B1B">
        <w:rPr>
          <w:rFonts w:cs="Times New Roman"/>
        </w:rPr>
        <w:t xml:space="preserve"> и </w:t>
      </w:r>
      <w:r w:rsidRPr="00610B1B">
        <w:rPr>
          <w:rStyle w:val="a1"/>
          <w:rFonts w:cs="Times New Roman"/>
          <w:color w:val="000000"/>
          <w:u w:val="none"/>
        </w:rPr>
        <w:t>Царево</w:t>
      </w:r>
      <w:r w:rsidRPr="00610B1B">
        <w:rPr>
          <w:rFonts w:cs="Times New Roman"/>
          <w:iCs/>
        </w:rPr>
        <w:t>)</w:t>
      </w:r>
      <w:r w:rsidRPr="00610B1B">
        <w:rPr>
          <w:rFonts w:cs="Times New Roman"/>
        </w:rPr>
        <w:t xml:space="preserve"> </w:t>
      </w:r>
      <w:r w:rsidR="00DB7CEE" w:rsidRPr="00610B1B">
        <w:rPr>
          <w:rFonts w:cs="Times New Roman"/>
        </w:rPr>
        <w:t xml:space="preserve">защитените територии от различни категории </w:t>
      </w:r>
      <w:r w:rsidR="00362F07" w:rsidRPr="00610B1B">
        <w:rPr>
          <w:rFonts w:cs="Times New Roman"/>
        </w:rPr>
        <w:t xml:space="preserve">по смисъла на Закона за защитените територии </w:t>
      </w:r>
      <w:r w:rsidR="006473F9" w:rsidRPr="00610B1B">
        <w:rPr>
          <w:rFonts w:cs="Times New Roman"/>
        </w:rPr>
        <w:t>са 53 бр. От тях 34</w:t>
      </w:r>
      <w:r w:rsidR="00DB7CEE" w:rsidRPr="00610B1B">
        <w:rPr>
          <w:rFonts w:cs="Times New Roman"/>
        </w:rPr>
        <w:t xml:space="preserve"> бр. са р</w:t>
      </w:r>
      <w:r w:rsidR="006473F9" w:rsidRPr="00610B1B">
        <w:rPr>
          <w:rFonts w:cs="Times New Roman"/>
        </w:rPr>
        <w:t>азположени в Бургаска област, 9 във Варненска област и 10</w:t>
      </w:r>
      <w:r w:rsidR="00DB7CEE" w:rsidRPr="00610B1B">
        <w:rPr>
          <w:rFonts w:cs="Times New Roman"/>
        </w:rPr>
        <w:t xml:space="preserve"> в Добричка област. От всички защитени територии в обхвата на проучването само една - защитена местност „Кокетрайс“ попада изцяло в акваторията на Черно море. </w:t>
      </w:r>
      <w:r w:rsidR="006A05E6" w:rsidRPr="00610B1B">
        <w:rPr>
          <w:rFonts w:cs="Times New Roman"/>
        </w:rPr>
        <w:t>Тя</w:t>
      </w:r>
      <w:r w:rsidR="00524D30" w:rsidRPr="00610B1B">
        <w:rPr>
          <w:rFonts w:cs="Times New Roman"/>
        </w:rPr>
        <w:t xml:space="preserve"> е разположена в акваторията срещу община Несебър и е с площ 760.0 ha. Обявена е със </w:t>
      </w:r>
      <w:r w:rsidR="00524D30" w:rsidRPr="00610B1B">
        <w:rPr>
          <w:rFonts w:cs="Times New Roman"/>
        </w:rPr>
        <w:lastRenderedPageBreak/>
        <w:t xml:space="preserve">Заповед № РД-54/01.02.2001 г., (ДВ бр. 16/2001 г.) с цел опазване на пясъчната банка и бентосната фауна в Черно море. </w:t>
      </w:r>
      <w:r w:rsidR="006A05E6" w:rsidRPr="00610B1B">
        <w:rPr>
          <w:rFonts w:cs="Times New Roman"/>
        </w:rPr>
        <w:t xml:space="preserve">Забранява се </w:t>
      </w:r>
      <w:r w:rsidR="00524D30" w:rsidRPr="00610B1B">
        <w:rPr>
          <w:rFonts w:cs="Times New Roman"/>
        </w:rPr>
        <w:t>добива на пясък, миди, рапани, дънно тралене и драгиране и замърсяване</w:t>
      </w:r>
      <w:r w:rsidR="00D66FE0" w:rsidRPr="00610B1B">
        <w:rPr>
          <w:rFonts w:cs="Times New Roman"/>
        </w:rPr>
        <w:t xml:space="preserve"> </w:t>
      </w:r>
      <w:r w:rsidR="00524D30" w:rsidRPr="00610B1B">
        <w:rPr>
          <w:rFonts w:cs="Times New Roman"/>
        </w:rPr>
        <w:t>с нефтени продукти и отпадъци.</w:t>
      </w:r>
      <w:r w:rsidR="00DB7CEE" w:rsidRPr="00610B1B">
        <w:rPr>
          <w:rFonts w:cs="Times New Roman"/>
        </w:rPr>
        <w:t xml:space="preserve"> </w:t>
      </w:r>
    </w:p>
    <w:p w14:paraId="5E268C14" w14:textId="0807A32D" w:rsidR="006A05E6" w:rsidRPr="00610B1B" w:rsidRDefault="00A539B8" w:rsidP="00D32D6A">
      <w:pPr>
        <w:pStyle w:val="BodyText"/>
        <w:spacing w:before="0" w:after="120" w:line="276" w:lineRule="auto"/>
        <w:ind w:right="-153"/>
        <w:rPr>
          <w:rStyle w:val="FontStyle19"/>
          <w:rFonts w:eastAsia="Source Han Sans CN Regular" w:cs="Times New Roman"/>
          <w:sz w:val="24"/>
        </w:rPr>
      </w:pPr>
      <w:r w:rsidRPr="00610B1B">
        <w:rPr>
          <w:rStyle w:val="FontStyle19"/>
          <w:rFonts w:eastAsia="Source Han Sans CN Regular" w:cs="Times New Roman"/>
          <w:sz w:val="24"/>
        </w:rPr>
        <w:t>В пределите на Черноморската акватория заедно с</w:t>
      </w:r>
      <w:r w:rsidR="00D66FE0" w:rsidRPr="00610B1B">
        <w:rPr>
          <w:rStyle w:val="FontStyle19"/>
          <w:rFonts w:eastAsia="Source Han Sans CN Regular" w:cs="Times New Roman"/>
          <w:sz w:val="24"/>
        </w:rPr>
        <w:t xml:space="preserve"> </w:t>
      </w:r>
      <w:r w:rsidRPr="00610B1B">
        <w:rPr>
          <w:rStyle w:val="FontStyle19"/>
          <w:rFonts w:eastAsia="Source Han Sans CN Regular" w:cs="Times New Roman"/>
          <w:sz w:val="24"/>
        </w:rPr>
        <w:t>крайморските езера и в крайбрежната двукилометрова ивица</w:t>
      </w:r>
      <w:r w:rsidR="00D66FE0" w:rsidRPr="00610B1B">
        <w:rPr>
          <w:rStyle w:val="FontStyle19"/>
          <w:rFonts w:eastAsia="Source Han Sans CN Regular" w:cs="Times New Roman"/>
          <w:sz w:val="24"/>
        </w:rPr>
        <w:t xml:space="preserve"> </w:t>
      </w:r>
      <w:r w:rsidRPr="00610B1B">
        <w:rPr>
          <w:rStyle w:val="FontStyle19"/>
          <w:rFonts w:eastAsia="Source Han Sans CN Regular" w:cs="Times New Roman"/>
          <w:iCs/>
          <w:sz w:val="24"/>
        </w:rPr>
        <w:t>(</w:t>
      </w:r>
      <w:r w:rsidRPr="00610B1B">
        <w:rPr>
          <w:rStyle w:val="FontStyle19"/>
          <w:rFonts w:eastAsia="Source Han Sans CN Regular" w:cs="Times New Roman"/>
          <w:sz w:val="24"/>
        </w:rPr>
        <w:t>Зони „А“ и „Б“, съгласно ЗУЧК</w:t>
      </w:r>
      <w:r w:rsidRPr="00610B1B">
        <w:rPr>
          <w:rStyle w:val="FontStyle19"/>
          <w:rFonts w:eastAsia="Source Han Sans CN Regular" w:cs="Times New Roman"/>
          <w:iCs/>
          <w:sz w:val="24"/>
        </w:rPr>
        <w:t>)</w:t>
      </w:r>
      <w:r w:rsidRPr="00610B1B">
        <w:rPr>
          <w:rStyle w:val="FontStyle19"/>
          <w:rFonts w:eastAsia="Source Han Sans CN Regular" w:cs="Times New Roman"/>
          <w:sz w:val="24"/>
        </w:rPr>
        <w:t xml:space="preserve"> попадат изцяло или частично следните </w:t>
      </w:r>
      <w:r w:rsidRPr="00610B1B">
        <w:rPr>
          <w:rStyle w:val="FontStyle18"/>
          <w:rFonts w:eastAsia="Source Han Sans CN Regular" w:cs="Times New Roman"/>
          <w:sz w:val="24"/>
        </w:rPr>
        <w:t xml:space="preserve">защитени територии </w:t>
      </w:r>
      <w:r w:rsidRPr="00610B1B">
        <w:rPr>
          <w:rStyle w:val="FontStyle19"/>
          <w:rFonts w:eastAsia="Source Han Sans CN Regular" w:cs="Times New Roman"/>
          <w:sz w:val="24"/>
        </w:rPr>
        <w:t xml:space="preserve">по смисъла на Закона за защитените територии </w:t>
      </w:r>
      <w:r w:rsidRPr="00610B1B">
        <w:rPr>
          <w:rStyle w:val="FontStyle19"/>
          <w:rFonts w:eastAsia="Source Han Sans CN Regular" w:cs="Times New Roman"/>
          <w:iCs/>
          <w:sz w:val="24"/>
        </w:rPr>
        <w:t>(</w:t>
      </w:r>
      <w:r w:rsidRPr="00610B1B">
        <w:rPr>
          <w:rStyle w:val="FontStyle19"/>
          <w:rFonts w:eastAsia="Source Han Sans CN Regular" w:cs="Times New Roman"/>
          <w:sz w:val="24"/>
        </w:rPr>
        <w:t>ЗЗТ</w:t>
      </w:r>
      <w:r w:rsidRPr="00610B1B">
        <w:rPr>
          <w:rStyle w:val="FontStyle19"/>
          <w:rFonts w:eastAsia="Source Han Sans CN Regular" w:cs="Times New Roman"/>
          <w:iCs/>
          <w:sz w:val="24"/>
        </w:rPr>
        <w:t>)</w:t>
      </w:r>
      <w:r w:rsidRPr="00610B1B">
        <w:rPr>
          <w:rStyle w:val="FontStyle19"/>
          <w:rFonts w:eastAsia="Source Han Sans CN Regular" w:cs="Times New Roman"/>
          <w:sz w:val="24"/>
        </w:rPr>
        <w:t xml:space="preserve">: </w:t>
      </w:r>
      <w:r w:rsidR="006A05E6" w:rsidRPr="00610B1B">
        <w:rPr>
          <w:rStyle w:val="FontStyle19"/>
          <w:rFonts w:eastAsia="Source Han Sans CN Regular" w:cs="Times New Roman"/>
          <w:sz w:val="24"/>
        </w:rPr>
        <w:t>i) 3</w:t>
      </w:r>
      <w:r w:rsidR="00757909" w:rsidRPr="00610B1B">
        <w:rPr>
          <w:rStyle w:val="FontStyle19"/>
          <w:rFonts w:eastAsia="Source Han Sans CN Regular" w:cs="Times New Roman"/>
          <w:sz w:val="24"/>
        </w:rPr>
        <w:t> </w:t>
      </w:r>
      <w:r w:rsidRPr="00610B1B">
        <w:rPr>
          <w:rStyle w:val="FontStyle19"/>
          <w:rFonts w:eastAsia="Source Han Sans CN Regular" w:cs="Times New Roman"/>
          <w:sz w:val="24"/>
        </w:rPr>
        <w:t xml:space="preserve">резервата </w:t>
      </w:r>
      <w:r w:rsidR="00524D30" w:rsidRPr="00610B1B">
        <w:rPr>
          <w:rStyle w:val="FontStyle19"/>
          <w:rFonts w:eastAsia="Source Han Sans CN Regular" w:cs="Times New Roman"/>
          <w:sz w:val="24"/>
        </w:rPr>
        <w:t xml:space="preserve">(Р) </w:t>
      </w:r>
      <w:r w:rsidRPr="00610B1B">
        <w:rPr>
          <w:rStyle w:val="FontStyle19"/>
          <w:rFonts w:eastAsia="Source Han Sans CN Regular" w:cs="Times New Roman"/>
          <w:sz w:val="24"/>
        </w:rPr>
        <w:t>– Камчия, Калиакра и Ропотамо</w:t>
      </w:r>
      <w:r w:rsidR="006A05E6" w:rsidRPr="00610B1B">
        <w:rPr>
          <w:rStyle w:val="FontStyle19"/>
          <w:rFonts w:eastAsia="Source Han Sans CN Regular" w:cs="Times New Roman"/>
          <w:sz w:val="24"/>
        </w:rPr>
        <w:t xml:space="preserve">, по един във всяка от крайбрежните области; ii) </w:t>
      </w:r>
      <w:r w:rsidR="006473F9" w:rsidRPr="00610B1B">
        <w:rPr>
          <w:rStyle w:val="FontStyle19"/>
          <w:rFonts w:eastAsia="Source Han Sans CN Regular" w:cs="Times New Roman"/>
          <w:sz w:val="24"/>
        </w:rPr>
        <w:t>3</w:t>
      </w:r>
      <w:r w:rsidR="006A05E6" w:rsidRPr="00610B1B">
        <w:rPr>
          <w:rStyle w:val="FontStyle19"/>
          <w:rFonts w:eastAsia="Source Han Sans CN Regular" w:cs="Times New Roman"/>
          <w:sz w:val="24"/>
        </w:rPr>
        <w:t xml:space="preserve"> броя п</w:t>
      </w:r>
      <w:r w:rsidRPr="00610B1B">
        <w:rPr>
          <w:rStyle w:val="FontStyle19"/>
          <w:rFonts w:eastAsia="Source Han Sans CN Regular" w:cs="Times New Roman"/>
          <w:bCs/>
          <w:iCs/>
          <w:sz w:val="24"/>
        </w:rPr>
        <w:t>оддържани резервати (ПР)</w:t>
      </w:r>
      <w:r w:rsidR="006A05E6" w:rsidRPr="00610B1B">
        <w:rPr>
          <w:rStyle w:val="FontStyle19"/>
          <w:rFonts w:eastAsia="Source Han Sans CN Regular" w:cs="Times New Roman"/>
          <w:bCs/>
          <w:iCs/>
          <w:sz w:val="24"/>
        </w:rPr>
        <w:t xml:space="preserve"> </w:t>
      </w:r>
      <w:r w:rsidRPr="00610B1B">
        <w:rPr>
          <w:rStyle w:val="FontStyle19"/>
          <w:rFonts w:eastAsia="Source Han Sans CN Regular" w:cs="Times New Roman"/>
          <w:bCs/>
          <w:iCs/>
          <w:sz w:val="24"/>
        </w:rPr>
        <w:t>– Атанасовско езеро, Балтата</w:t>
      </w:r>
      <w:r w:rsidRPr="00610B1B">
        <w:rPr>
          <w:rStyle w:val="FontStyle19"/>
          <w:rFonts w:eastAsia="Source Han Sans CN Regular" w:cs="Times New Roman"/>
          <w:sz w:val="24"/>
        </w:rPr>
        <w:t xml:space="preserve"> и Пясъчната лилия. Като изключим поддържания резерват Балтата </w:t>
      </w:r>
      <w:r w:rsidRPr="00610B1B">
        <w:rPr>
          <w:rStyle w:val="FontStyle19"/>
          <w:rFonts w:eastAsia="Source Han Sans CN Regular" w:cs="Times New Roman"/>
          <w:iCs/>
          <w:sz w:val="24"/>
        </w:rPr>
        <w:t>(</w:t>
      </w:r>
      <w:r w:rsidRPr="00610B1B">
        <w:rPr>
          <w:rStyle w:val="FontStyle19"/>
          <w:rFonts w:eastAsia="Source Han Sans CN Regular" w:cs="Times New Roman"/>
          <w:sz w:val="24"/>
        </w:rPr>
        <w:t>област Добрич</w:t>
      </w:r>
      <w:r w:rsidRPr="00610B1B">
        <w:rPr>
          <w:rStyle w:val="FontStyle19"/>
          <w:rFonts w:eastAsia="Source Han Sans CN Regular" w:cs="Times New Roman"/>
          <w:iCs/>
          <w:sz w:val="24"/>
        </w:rPr>
        <w:t>)</w:t>
      </w:r>
      <w:r w:rsidR="006473F9" w:rsidRPr="00610B1B">
        <w:rPr>
          <w:rStyle w:val="FontStyle19"/>
          <w:rFonts w:eastAsia="Source Han Sans CN Regular" w:cs="Times New Roman"/>
          <w:sz w:val="24"/>
        </w:rPr>
        <w:t>, останалите 2</w:t>
      </w:r>
      <w:r w:rsidRPr="00610B1B">
        <w:rPr>
          <w:rStyle w:val="FontStyle19"/>
          <w:rFonts w:eastAsia="Source Han Sans CN Regular" w:cs="Times New Roman"/>
          <w:sz w:val="24"/>
        </w:rPr>
        <w:t xml:space="preserve"> са разположени в област Бургас</w:t>
      </w:r>
      <w:r w:rsidR="006A05E6" w:rsidRPr="00610B1B">
        <w:rPr>
          <w:rStyle w:val="FontStyle19"/>
          <w:rFonts w:eastAsia="Source Han Sans CN Regular" w:cs="Times New Roman"/>
          <w:sz w:val="24"/>
        </w:rPr>
        <w:t>;</w:t>
      </w:r>
      <w:r w:rsidR="00524D30" w:rsidRPr="00610B1B">
        <w:rPr>
          <w:rStyle w:val="FontStyle19"/>
          <w:rFonts w:eastAsia="Source Han Sans CN Regular" w:cs="Times New Roman"/>
          <w:sz w:val="24"/>
        </w:rPr>
        <w:t xml:space="preserve"> </w:t>
      </w:r>
      <w:r w:rsidR="006A05E6" w:rsidRPr="00610B1B">
        <w:rPr>
          <w:rStyle w:val="FontStyle19"/>
          <w:rFonts w:eastAsia="Source Han Sans CN Regular" w:cs="Times New Roman"/>
          <w:sz w:val="24"/>
        </w:rPr>
        <w:t xml:space="preserve">iii) </w:t>
      </w:r>
      <w:r w:rsidR="006A05E6" w:rsidRPr="00610B1B">
        <w:rPr>
          <w:rStyle w:val="FontStyle19"/>
          <w:rFonts w:eastAsia="Source Han Sans CN Regular" w:cs="Times New Roman"/>
          <w:bCs/>
          <w:iCs/>
          <w:sz w:val="24"/>
        </w:rPr>
        <w:t>2 броя п</w:t>
      </w:r>
      <w:r w:rsidRPr="00610B1B">
        <w:rPr>
          <w:rStyle w:val="FontStyle19"/>
          <w:rFonts w:eastAsia="Source Han Sans CN Regular" w:cs="Times New Roman"/>
          <w:bCs/>
          <w:iCs/>
          <w:sz w:val="24"/>
        </w:rPr>
        <w:t>риродни паркове (ПП)</w:t>
      </w:r>
      <w:r w:rsidRPr="00610B1B">
        <w:rPr>
          <w:rStyle w:val="FontStyle19"/>
          <w:rFonts w:eastAsia="Source Han Sans CN Regular" w:cs="Times New Roman"/>
          <w:sz w:val="24"/>
        </w:rPr>
        <w:t xml:space="preserve"> </w:t>
      </w:r>
      <w:r w:rsidR="006473F9" w:rsidRPr="00610B1B">
        <w:rPr>
          <w:rStyle w:val="FontStyle19"/>
          <w:rFonts w:eastAsia="Source Han Sans CN Regular" w:cs="Times New Roman"/>
          <w:sz w:val="24"/>
        </w:rPr>
        <w:t>–</w:t>
      </w:r>
      <w:r w:rsidRPr="00610B1B">
        <w:rPr>
          <w:rStyle w:val="FontStyle19"/>
          <w:rFonts w:eastAsia="Source Han Sans CN Regular" w:cs="Times New Roman"/>
          <w:sz w:val="24"/>
        </w:rPr>
        <w:t xml:space="preserve"> </w:t>
      </w:r>
      <w:r w:rsidR="006473F9" w:rsidRPr="00610B1B">
        <w:rPr>
          <w:rStyle w:val="FontStyle19"/>
          <w:rFonts w:eastAsia="Source Han Sans CN Regular" w:cs="Times New Roman"/>
          <w:sz w:val="24"/>
        </w:rPr>
        <w:t>„</w:t>
      </w:r>
      <w:r w:rsidRPr="00610B1B">
        <w:rPr>
          <w:rStyle w:val="FontStyle19"/>
          <w:rFonts w:eastAsia="Source Han Sans CN Regular" w:cs="Times New Roman"/>
          <w:sz w:val="24"/>
        </w:rPr>
        <w:t>Златни пясъци</w:t>
      </w:r>
      <w:r w:rsidR="006473F9" w:rsidRPr="00610B1B">
        <w:rPr>
          <w:rStyle w:val="FontStyle19"/>
          <w:rFonts w:eastAsia="Source Han Sans CN Regular" w:cs="Times New Roman"/>
          <w:sz w:val="24"/>
        </w:rPr>
        <w:t>“</w:t>
      </w:r>
      <w:r w:rsidRPr="00610B1B">
        <w:rPr>
          <w:rStyle w:val="FontStyle19"/>
          <w:rFonts w:eastAsia="Source Han Sans CN Regular" w:cs="Times New Roman"/>
          <w:sz w:val="24"/>
        </w:rPr>
        <w:t xml:space="preserve"> </w:t>
      </w:r>
      <w:r w:rsidR="0050133F" w:rsidRPr="00610B1B">
        <w:rPr>
          <w:rStyle w:val="FontStyle19"/>
          <w:rFonts w:eastAsia="Source Han Sans CN Regular" w:cs="Times New Roman"/>
          <w:sz w:val="24"/>
        </w:rPr>
        <w:t>в</w:t>
      </w:r>
      <w:r w:rsidRPr="00610B1B">
        <w:rPr>
          <w:rStyle w:val="FontStyle19"/>
          <w:rFonts w:eastAsia="Source Han Sans CN Regular" w:cs="Times New Roman"/>
          <w:sz w:val="24"/>
        </w:rPr>
        <w:t xml:space="preserve"> област Варна и </w:t>
      </w:r>
      <w:r w:rsidR="006473F9" w:rsidRPr="00610B1B">
        <w:rPr>
          <w:rStyle w:val="FontStyle19"/>
          <w:rFonts w:eastAsia="Source Han Sans CN Regular" w:cs="Times New Roman"/>
          <w:sz w:val="24"/>
        </w:rPr>
        <w:t>част от ПП „</w:t>
      </w:r>
      <w:r w:rsidRPr="00610B1B">
        <w:rPr>
          <w:rStyle w:val="FontStyle19"/>
          <w:rFonts w:eastAsia="Source Han Sans CN Regular" w:cs="Times New Roman"/>
          <w:sz w:val="24"/>
        </w:rPr>
        <w:t>Странджа</w:t>
      </w:r>
      <w:r w:rsidR="006473F9" w:rsidRPr="00610B1B">
        <w:rPr>
          <w:rStyle w:val="FontStyle19"/>
          <w:rFonts w:eastAsia="Source Han Sans CN Regular" w:cs="Times New Roman"/>
          <w:sz w:val="24"/>
        </w:rPr>
        <w:t>“</w:t>
      </w:r>
      <w:r w:rsidRPr="00610B1B">
        <w:rPr>
          <w:rStyle w:val="FontStyle19"/>
          <w:rFonts w:eastAsia="Source Han Sans CN Regular" w:cs="Times New Roman"/>
          <w:sz w:val="24"/>
        </w:rPr>
        <w:t xml:space="preserve"> </w:t>
      </w:r>
      <w:r w:rsidR="0050133F" w:rsidRPr="00610B1B">
        <w:rPr>
          <w:rStyle w:val="FontStyle19"/>
          <w:rFonts w:eastAsia="Source Han Sans CN Regular" w:cs="Times New Roman"/>
          <w:sz w:val="24"/>
        </w:rPr>
        <w:t>в</w:t>
      </w:r>
      <w:r w:rsidRPr="00610B1B">
        <w:rPr>
          <w:rStyle w:val="FontStyle19"/>
          <w:rFonts w:eastAsia="Source Han Sans CN Regular" w:cs="Times New Roman"/>
          <w:sz w:val="24"/>
        </w:rPr>
        <w:t xml:space="preserve"> област Бургас</w:t>
      </w:r>
      <w:r w:rsidR="006A05E6" w:rsidRPr="00610B1B">
        <w:rPr>
          <w:rStyle w:val="FontStyle19"/>
          <w:rFonts w:eastAsia="Source Han Sans CN Regular" w:cs="Times New Roman"/>
          <w:sz w:val="24"/>
        </w:rPr>
        <w:t xml:space="preserve">; iv) </w:t>
      </w:r>
      <w:r w:rsidR="006473F9" w:rsidRPr="00610B1B">
        <w:rPr>
          <w:rStyle w:val="FontStyle19"/>
          <w:rFonts w:eastAsia="Source Han Sans CN Regular" w:cs="Times New Roman"/>
          <w:sz w:val="24"/>
        </w:rPr>
        <w:t>3</w:t>
      </w:r>
      <w:r w:rsidR="002134B1" w:rsidRPr="00610B1B">
        <w:rPr>
          <w:rStyle w:val="FontStyle19"/>
          <w:rFonts w:eastAsia="Source Han Sans CN Regular" w:cs="Times New Roman"/>
          <w:sz w:val="24"/>
        </w:rPr>
        <w:t>1</w:t>
      </w:r>
      <w:r w:rsidR="006A05E6" w:rsidRPr="00610B1B">
        <w:rPr>
          <w:rStyle w:val="FontStyle19"/>
          <w:rFonts w:eastAsia="Source Han Sans CN Regular" w:cs="Times New Roman"/>
          <w:sz w:val="24"/>
        </w:rPr>
        <w:t xml:space="preserve"> броя</w:t>
      </w:r>
      <w:r w:rsidR="00D66FE0" w:rsidRPr="00610B1B">
        <w:rPr>
          <w:rStyle w:val="FontStyle19"/>
          <w:rFonts w:eastAsia="Source Han Sans CN Regular" w:cs="Times New Roman"/>
          <w:sz w:val="24"/>
        </w:rPr>
        <w:t xml:space="preserve"> </w:t>
      </w:r>
      <w:r w:rsidR="006A05E6" w:rsidRPr="00610B1B">
        <w:rPr>
          <w:rStyle w:val="FontStyle19"/>
          <w:rFonts w:eastAsia="Source Han Sans CN Regular" w:cs="Times New Roman"/>
          <w:sz w:val="24"/>
        </w:rPr>
        <w:t>з</w:t>
      </w:r>
      <w:r w:rsidRPr="00610B1B">
        <w:rPr>
          <w:rStyle w:val="FontStyle19"/>
          <w:rFonts w:eastAsia="Source Han Sans CN Regular" w:cs="Times New Roman"/>
          <w:bCs/>
          <w:iCs/>
          <w:sz w:val="24"/>
        </w:rPr>
        <w:t>ащитени местности (ЗМ)</w:t>
      </w:r>
      <w:r w:rsidR="006473F9" w:rsidRPr="00610B1B">
        <w:rPr>
          <w:rStyle w:val="FontStyle19"/>
          <w:rFonts w:eastAsia="Source Han Sans CN Regular" w:cs="Times New Roman"/>
          <w:bCs/>
          <w:iCs/>
          <w:sz w:val="24"/>
        </w:rPr>
        <w:t>. П</w:t>
      </w:r>
      <w:r w:rsidRPr="00610B1B">
        <w:rPr>
          <w:rStyle w:val="FontStyle19"/>
          <w:rFonts w:eastAsia="Source Han Sans CN Regular" w:cs="Times New Roman"/>
          <w:sz w:val="24"/>
        </w:rPr>
        <w:t>реобладават защитените местности</w:t>
      </w:r>
      <w:r w:rsidR="002134B1" w:rsidRPr="00610B1B">
        <w:rPr>
          <w:rStyle w:val="FontStyle19"/>
          <w:rFonts w:eastAsia="Source Han Sans CN Regular" w:cs="Times New Roman"/>
          <w:sz w:val="24"/>
        </w:rPr>
        <w:t xml:space="preserve"> в област Бургас - общо 18</w:t>
      </w:r>
      <w:r w:rsidR="006473F9" w:rsidRPr="00610B1B">
        <w:rPr>
          <w:rStyle w:val="FontStyle19"/>
          <w:rFonts w:eastAsia="Source Han Sans CN Regular" w:cs="Times New Roman"/>
          <w:sz w:val="24"/>
        </w:rPr>
        <w:t xml:space="preserve"> бр., 6</w:t>
      </w:r>
      <w:r w:rsidRPr="00610B1B">
        <w:rPr>
          <w:rStyle w:val="FontStyle19"/>
          <w:rFonts w:eastAsia="Source Han Sans CN Regular" w:cs="Times New Roman"/>
          <w:sz w:val="24"/>
        </w:rPr>
        <w:t xml:space="preserve"> бр. са разположени в област Варна и </w:t>
      </w:r>
      <w:r w:rsidR="00B6229C" w:rsidRPr="00610B1B">
        <w:rPr>
          <w:rStyle w:val="FontStyle19"/>
          <w:rFonts w:eastAsia="Source Han Sans CN Regular" w:cs="Times New Roman"/>
          <w:sz w:val="24"/>
        </w:rPr>
        <w:t xml:space="preserve">7 бр. в област </w:t>
      </w:r>
      <w:r w:rsidRPr="00610B1B">
        <w:rPr>
          <w:rStyle w:val="FontStyle19"/>
          <w:rFonts w:eastAsia="Source Han Sans CN Regular" w:cs="Times New Roman"/>
          <w:sz w:val="24"/>
        </w:rPr>
        <w:t>Добрич</w:t>
      </w:r>
      <w:r w:rsidR="006A05E6" w:rsidRPr="00610B1B">
        <w:rPr>
          <w:rStyle w:val="FontStyle19"/>
          <w:rFonts w:eastAsia="Source Han Sans CN Regular" w:cs="Times New Roman"/>
          <w:sz w:val="24"/>
        </w:rPr>
        <w:t>; v) 13 броя п</w:t>
      </w:r>
      <w:r w:rsidRPr="00610B1B">
        <w:rPr>
          <w:rStyle w:val="FontStyle19"/>
          <w:rFonts w:eastAsia="Source Han Sans CN Regular" w:cs="Times New Roman"/>
          <w:bCs/>
          <w:iCs/>
          <w:sz w:val="24"/>
        </w:rPr>
        <w:t>риродни забележителности (ПЗ)</w:t>
      </w:r>
      <w:r w:rsidR="006A05E6" w:rsidRPr="00610B1B">
        <w:rPr>
          <w:rStyle w:val="FontStyle19"/>
          <w:rFonts w:eastAsia="Source Han Sans CN Regular" w:cs="Times New Roman"/>
          <w:bCs/>
          <w:iCs/>
          <w:sz w:val="24"/>
        </w:rPr>
        <w:t xml:space="preserve">, </w:t>
      </w:r>
      <w:r w:rsidRPr="00610B1B">
        <w:rPr>
          <w:rStyle w:val="FontStyle19"/>
          <w:rFonts w:eastAsia="Source Han Sans CN Regular" w:cs="Times New Roman"/>
          <w:sz w:val="24"/>
        </w:rPr>
        <w:t xml:space="preserve">разположени в </w:t>
      </w:r>
      <w:r w:rsidR="002134B1" w:rsidRPr="00610B1B">
        <w:rPr>
          <w:rStyle w:val="FontStyle19"/>
          <w:rFonts w:eastAsia="Source Han Sans CN Regular" w:cs="Times New Roman"/>
          <w:sz w:val="24"/>
        </w:rPr>
        <w:t>3</w:t>
      </w:r>
      <w:r w:rsidRPr="00610B1B">
        <w:rPr>
          <w:rStyle w:val="FontStyle19"/>
          <w:rFonts w:eastAsia="Source Han Sans CN Regular" w:cs="Times New Roman"/>
          <w:sz w:val="24"/>
        </w:rPr>
        <w:t xml:space="preserve"> области – Бургас </w:t>
      </w:r>
      <w:r w:rsidR="0050133F" w:rsidRPr="00610B1B">
        <w:rPr>
          <w:rStyle w:val="FontStyle19"/>
          <w:rFonts w:eastAsia="Source Han Sans CN Regular" w:cs="Times New Roman"/>
          <w:sz w:val="24"/>
        </w:rPr>
        <w:t>1</w:t>
      </w:r>
      <w:r w:rsidRPr="00610B1B">
        <w:rPr>
          <w:rStyle w:val="FontStyle19"/>
          <w:rFonts w:eastAsia="Source Han Sans CN Regular" w:cs="Times New Roman"/>
          <w:sz w:val="24"/>
        </w:rPr>
        <w:t>2 бр.</w:t>
      </w:r>
      <w:r w:rsidR="002134B1" w:rsidRPr="00610B1B">
        <w:rPr>
          <w:rStyle w:val="FontStyle19"/>
          <w:rFonts w:eastAsia="Source Han Sans CN Regular" w:cs="Times New Roman"/>
          <w:sz w:val="24"/>
        </w:rPr>
        <w:t>, 1 бр. в област Варна</w:t>
      </w:r>
      <w:r w:rsidRPr="00610B1B">
        <w:rPr>
          <w:rStyle w:val="FontStyle19"/>
          <w:rFonts w:eastAsia="Source Han Sans CN Regular" w:cs="Times New Roman"/>
          <w:sz w:val="24"/>
        </w:rPr>
        <w:t xml:space="preserve"> и </w:t>
      </w:r>
      <w:r w:rsidR="002134B1" w:rsidRPr="00610B1B">
        <w:rPr>
          <w:rStyle w:val="FontStyle19"/>
          <w:rFonts w:eastAsia="Source Han Sans CN Regular" w:cs="Times New Roman"/>
          <w:sz w:val="24"/>
        </w:rPr>
        <w:t xml:space="preserve">1 бр. в област </w:t>
      </w:r>
      <w:r w:rsidRPr="00610B1B">
        <w:rPr>
          <w:rStyle w:val="FontStyle19"/>
          <w:rFonts w:eastAsia="Source Han Sans CN Regular" w:cs="Times New Roman"/>
          <w:sz w:val="24"/>
        </w:rPr>
        <w:t>Добрич.</w:t>
      </w:r>
      <w:r w:rsidR="0050133F" w:rsidRPr="00610B1B">
        <w:rPr>
          <w:rStyle w:val="FontStyle19"/>
          <w:rFonts w:eastAsia="Source Han Sans CN Regular" w:cs="Times New Roman"/>
          <w:sz w:val="24"/>
        </w:rPr>
        <w:t xml:space="preserve"> </w:t>
      </w:r>
    </w:p>
    <w:p w14:paraId="79D4B2A4" w14:textId="225DF9FB" w:rsidR="00A539B8" w:rsidRPr="00610B1B" w:rsidRDefault="00A539B8" w:rsidP="00D32D6A">
      <w:pPr>
        <w:pStyle w:val="BodyText"/>
        <w:spacing w:before="0" w:after="120" w:line="276" w:lineRule="auto"/>
        <w:ind w:right="-153"/>
        <w:rPr>
          <w:rStyle w:val="FontStyle19"/>
          <w:rFonts w:eastAsia="Source Han Sans CN Regular" w:cs="Times New Roman"/>
          <w:sz w:val="24"/>
        </w:rPr>
      </w:pPr>
      <w:r w:rsidRPr="00610B1B">
        <w:rPr>
          <w:rStyle w:val="FontStyle19"/>
          <w:rFonts w:eastAsia="Source Han Sans CN Regular" w:cs="Times New Roman"/>
          <w:sz w:val="24"/>
        </w:rPr>
        <w:t>Общият брой на защитените тери</w:t>
      </w:r>
      <w:r w:rsidR="006473F9" w:rsidRPr="00610B1B">
        <w:rPr>
          <w:rStyle w:val="FontStyle19"/>
          <w:rFonts w:eastAsia="Source Han Sans CN Regular" w:cs="Times New Roman"/>
          <w:sz w:val="24"/>
        </w:rPr>
        <w:t>тории от различни категории е 53</w:t>
      </w:r>
      <w:r w:rsidRPr="00610B1B">
        <w:rPr>
          <w:rStyle w:val="FontStyle19"/>
          <w:rFonts w:eastAsia="Source Han Sans CN Regular" w:cs="Times New Roman"/>
          <w:sz w:val="24"/>
        </w:rPr>
        <w:t xml:space="preserve"> бр.</w:t>
      </w:r>
      <w:r w:rsidR="006A05E6" w:rsidRPr="00610B1B">
        <w:rPr>
          <w:rStyle w:val="FontStyle19"/>
          <w:rFonts w:eastAsia="Source Han Sans CN Regular" w:cs="Times New Roman"/>
          <w:sz w:val="24"/>
        </w:rPr>
        <w:t xml:space="preserve">, най-много от тях разположени в област Бургас. </w:t>
      </w:r>
    </w:p>
    <w:p w14:paraId="0A4BCD02" w14:textId="49E88890" w:rsidR="00836952" w:rsidRPr="00610B1B" w:rsidRDefault="00836952" w:rsidP="00DE3A13">
      <w:pPr>
        <w:pStyle w:val="BodyText"/>
        <w:spacing w:before="0" w:after="120" w:line="240" w:lineRule="auto"/>
        <w:ind w:right="-153"/>
        <w:rPr>
          <w:rStyle w:val="FontStyle19"/>
          <w:rFonts w:eastAsia="Source Han Sans CN Regular" w:cs="Times New Roman"/>
          <w:sz w:val="24"/>
        </w:rPr>
      </w:pPr>
      <w:r w:rsidRPr="00610B1B">
        <w:rPr>
          <w:rStyle w:val="FontStyle19"/>
          <w:rFonts w:eastAsia="Source Han Sans CN Regular" w:cs="Times New Roman"/>
          <w:sz w:val="24"/>
        </w:rPr>
        <w:t>Най-много от защитените територии от различни категории са разположени в област Бургас.</w:t>
      </w:r>
    </w:p>
    <w:p w14:paraId="41C10A4D" w14:textId="3496D616" w:rsidR="00D509CD" w:rsidRPr="00610B1B" w:rsidRDefault="00E57141" w:rsidP="00DE3A13">
      <w:pPr>
        <w:pStyle w:val="Caption"/>
        <w:spacing w:before="0" w:after="70" w:line="240" w:lineRule="auto"/>
        <w:ind w:right="-153"/>
        <w:rPr>
          <w:rFonts w:cs="Times New Roman"/>
        </w:rPr>
      </w:pPr>
      <w:bookmarkStart w:id="301" w:name="_Toc83391597"/>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1</w:t>
      </w:r>
      <w:r w:rsidRPr="00610B1B">
        <w:rPr>
          <w:rFonts w:cs="Times New Roman"/>
        </w:rPr>
        <w:fldChar w:fldCharType="end"/>
      </w:r>
      <w:r w:rsidRPr="00610B1B">
        <w:rPr>
          <w:rFonts w:cs="Times New Roman"/>
        </w:rPr>
        <w:t>:</w:t>
      </w:r>
      <w:r w:rsidR="00D509CD" w:rsidRPr="00610B1B">
        <w:rPr>
          <w:rFonts w:cs="Times New Roman"/>
        </w:rPr>
        <w:t xml:space="preserve"> Защитени територии по видове и области – брой</w:t>
      </w:r>
      <w:bookmarkEnd w:id="301"/>
    </w:p>
    <w:tbl>
      <w:tblPr>
        <w:tblW w:w="9062" w:type="dxa"/>
        <w:tblBorders>
          <w:top w:val="single" w:sz="4" w:space="0" w:color="auto"/>
          <w:bottom w:val="single" w:sz="4" w:space="0" w:color="auto"/>
          <w:insideH w:val="single" w:sz="4" w:space="0" w:color="auto"/>
        </w:tblBorders>
        <w:tblLook w:val="0000" w:firstRow="0" w:lastRow="0" w:firstColumn="0" w:lastColumn="0" w:noHBand="0" w:noVBand="0"/>
      </w:tblPr>
      <w:tblGrid>
        <w:gridCol w:w="1373"/>
        <w:gridCol w:w="1265"/>
        <w:gridCol w:w="1282"/>
        <w:gridCol w:w="1283"/>
        <w:gridCol w:w="1284"/>
        <w:gridCol w:w="1280"/>
        <w:gridCol w:w="1295"/>
      </w:tblGrid>
      <w:tr w:rsidR="00D509CD" w:rsidRPr="00610B1B" w14:paraId="02ECFF99" w14:textId="77777777" w:rsidTr="001E3FED">
        <w:trPr>
          <w:tblHeader/>
        </w:trPr>
        <w:tc>
          <w:tcPr>
            <w:tcW w:w="1373" w:type="dxa"/>
            <w:vMerge w:val="restart"/>
            <w:shd w:val="clear" w:color="auto" w:fill="C6D9F1" w:themeFill="text2" w:themeFillTint="33"/>
            <w:tcMar>
              <w:left w:w="108" w:type="dxa"/>
            </w:tcMar>
            <w:vAlign w:val="center"/>
          </w:tcPr>
          <w:p w14:paraId="25B51433" w14:textId="77777777" w:rsidR="00D509CD" w:rsidRPr="00610B1B" w:rsidRDefault="00D509CD" w:rsidP="00D32D6A">
            <w:pPr>
              <w:widowControl w:val="0"/>
              <w:spacing w:after="0" w:line="240" w:lineRule="auto"/>
              <w:jc w:val="center"/>
              <w:rPr>
                <w:rFonts w:ascii="Times New Roman" w:eastAsia="Times New Roman" w:hAnsi="Times New Roman" w:cs="Times New Roman"/>
                <w:b/>
                <w:szCs w:val="24"/>
                <w:lang w:val="bg-BG" w:eastAsia="bg-BG" w:bidi="hi-IN"/>
              </w:rPr>
            </w:pPr>
            <w:r w:rsidRPr="00610B1B">
              <w:rPr>
                <w:rFonts w:ascii="Times New Roman" w:eastAsia="Times New Roman" w:hAnsi="Times New Roman" w:cs="Times New Roman"/>
                <w:b/>
                <w:szCs w:val="24"/>
                <w:lang w:val="bg-BG" w:eastAsia="bg-BG" w:bidi="hi-IN"/>
              </w:rPr>
              <w:t>Области</w:t>
            </w:r>
          </w:p>
        </w:tc>
        <w:tc>
          <w:tcPr>
            <w:tcW w:w="6394" w:type="dxa"/>
            <w:gridSpan w:val="5"/>
            <w:shd w:val="clear" w:color="auto" w:fill="C6D9F1" w:themeFill="text2" w:themeFillTint="33"/>
            <w:tcMar>
              <w:left w:w="108" w:type="dxa"/>
            </w:tcMar>
            <w:vAlign w:val="center"/>
          </w:tcPr>
          <w:p w14:paraId="2ED4B568" w14:textId="77777777" w:rsidR="00D509CD" w:rsidRPr="00610B1B" w:rsidRDefault="00D509CD" w:rsidP="00D32D6A">
            <w:pPr>
              <w:spacing w:after="0" w:line="240" w:lineRule="auto"/>
              <w:jc w:val="center"/>
              <w:rPr>
                <w:rFonts w:ascii="Times New Roman" w:eastAsia="Times New Roman" w:hAnsi="Times New Roman" w:cs="Times New Roman"/>
                <w:b/>
                <w:szCs w:val="24"/>
                <w:lang w:val="bg-BG" w:eastAsia="bg-BG" w:bidi="hi-IN"/>
              </w:rPr>
            </w:pPr>
            <w:r w:rsidRPr="00610B1B">
              <w:rPr>
                <w:rFonts w:ascii="Times New Roman" w:eastAsia="Times New Roman" w:hAnsi="Times New Roman" w:cs="Times New Roman"/>
                <w:b/>
                <w:szCs w:val="24"/>
                <w:lang w:val="bg-BG" w:eastAsia="bg-BG" w:bidi="hi-IN"/>
              </w:rPr>
              <w:t>Видове защитени територии</w:t>
            </w:r>
          </w:p>
        </w:tc>
        <w:tc>
          <w:tcPr>
            <w:tcW w:w="1295" w:type="dxa"/>
            <w:vMerge w:val="restart"/>
            <w:shd w:val="clear" w:color="auto" w:fill="C6D9F1" w:themeFill="text2" w:themeFillTint="33"/>
            <w:tcMar>
              <w:left w:w="108" w:type="dxa"/>
            </w:tcMar>
            <w:vAlign w:val="center"/>
          </w:tcPr>
          <w:p w14:paraId="31401832" w14:textId="77777777" w:rsidR="00D509CD" w:rsidRPr="00610B1B" w:rsidRDefault="00D509CD" w:rsidP="00D32D6A">
            <w:pPr>
              <w:widowControl w:val="0"/>
              <w:spacing w:after="0" w:line="240" w:lineRule="auto"/>
              <w:jc w:val="center"/>
              <w:rPr>
                <w:rFonts w:ascii="Times New Roman" w:eastAsia="Times New Roman" w:hAnsi="Times New Roman" w:cs="Times New Roman"/>
                <w:b/>
                <w:szCs w:val="24"/>
                <w:lang w:val="bg-BG" w:eastAsia="bg-BG" w:bidi="hi-IN"/>
              </w:rPr>
            </w:pPr>
            <w:r w:rsidRPr="00610B1B">
              <w:rPr>
                <w:rFonts w:ascii="Times New Roman" w:eastAsia="Times New Roman" w:hAnsi="Times New Roman" w:cs="Times New Roman"/>
                <w:b/>
                <w:szCs w:val="24"/>
                <w:lang w:val="bg-BG" w:eastAsia="bg-BG" w:bidi="hi-IN"/>
              </w:rPr>
              <w:t>Общо бр.</w:t>
            </w:r>
          </w:p>
        </w:tc>
      </w:tr>
      <w:tr w:rsidR="00D509CD" w:rsidRPr="00610B1B" w14:paraId="7525539A" w14:textId="77777777" w:rsidTr="001E3FED">
        <w:trPr>
          <w:tblHeader/>
        </w:trPr>
        <w:tc>
          <w:tcPr>
            <w:tcW w:w="1373" w:type="dxa"/>
            <w:vMerge/>
            <w:shd w:val="clear" w:color="auto" w:fill="auto"/>
            <w:tcMar>
              <w:left w:w="108" w:type="dxa"/>
            </w:tcMar>
          </w:tcPr>
          <w:p w14:paraId="5916445B"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p>
        </w:tc>
        <w:tc>
          <w:tcPr>
            <w:tcW w:w="1265" w:type="dxa"/>
            <w:shd w:val="clear" w:color="auto" w:fill="C6D9F1" w:themeFill="text2" w:themeFillTint="33"/>
            <w:tcMar>
              <w:left w:w="108" w:type="dxa"/>
            </w:tcMar>
            <w:vAlign w:val="center"/>
          </w:tcPr>
          <w:p w14:paraId="4649449B" w14:textId="3F295D68" w:rsidR="00D509CD" w:rsidRPr="00610B1B" w:rsidRDefault="00D509CD" w:rsidP="00D32D6A">
            <w:pPr>
              <w:spacing w:after="0" w:line="240" w:lineRule="auto"/>
              <w:jc w:val="center"/>
              <w:rPr>
                <w:rFonts w:ascii="Times New Roman" w:eastAsia="Times New Roman" w:hAnsi="Times New Roman" w:cs="Times New Roman"/>
                <w:sz w:val="20"/>
                <w:lang w:val="bg-BG" w:eastAsia="bg-BG" w:bidi="hi-IN"/>
              </w:rPr>
            </w:pPr>
            <w:r w:rsidRPr="00610B1B">
              <w:rPr>
                <w:rFonts w:ascii="Times New Roman" w:eastAsia="Times New Roman" w:hAnsi="Times New Roman" w:cs="Times New Roman"/>
                <w:b/>
                <w:sz w:val="20"/>
                <w:lang w:val="bg-BG" w:eastAsia="bg-BG" w:bidi="hi-IN"/>
              </w:rPr>
              <w:t>Р</w:t>
            </w:r>
          </w:p>
        </w:tc>
        <w:tc>
          <w:tcPr>
            <w:tcW w:w="1282" w:type="dxa"/>
            <w:shd w:val="clear" w:color="auto" w:fill="C6D9F1" w:themeFill="text2" w:themeFillTint="33"/>
            <w:tcMar>
              <w:left w:w="108" w:type="dxa"/>
            </w:tcMar>
            <w:vAlign w:val="center"/>
          </w:tcPr>
          <w:p w14:paraId="03D9CE39" w14:textId="30F124F4" w:rsidR="00D509CD" w:rsidRPr="00610B1B" w:rsidRDefault="00D509CD" w:rsidP="00D32D6A">
            <w:pPr>
              <w:spacing w:after="0" w:line="240" w:lineRule="auto"/>
              <w:jc w:val="center"/>
              <w:rPr>
                <w:rFonts w:ascii="Times New Roman" w:eastAsia="Times New Roman" w:hAnsi="Times New Roman" w:cs="Times New Roman"/>
                <w:sz w:val="20"/>
                <w:lang w:val="bg-BG" w:eastAsia="bg-BG" w:bidi="hi-IN"/>
              </w:rPr>
            </w:pPr>
            <w:r w:rsidRPr="00610B1B">
              <w:rPr>
                <w:rFonts w:ascii="Times New Roman" w:eastAsia="Times New Roman" w:hAnsi="Times New Roman" w:cs="Times New Roman"/>
                <w:b/>
                <w:sz w:val="20"/>
                <w:lang w:val="bg-BG" w:eastAsia="bg-BG" w:bidi="hi-IN"/>
              </w:rPr>
              <w:t>ПР</w:t>
            </w:r>
          </w:p>
        </w:tc>
        <w:tc>
          <w:tcPr>
            <w:tcW w:w="1283" w:type="dxa"/>
            <w:shd w:val="clear" w:color="auto" w:fill="C6D9F1" w:themeFill="text2" w:themeFillTint="33"/>
            <w:tcMar>
              <w:left w:w="108" w:type="dxa"/>
            </w:tcMar>
            <w:vAlign w:val="center"/>
          </w:tcPr>
          <w:p w14:paraId="55C90100" w14:textId="2E236F6C" w:rsidR="00D509CD" w:rsidRPr="00610B1B" w:rsidRDefault="00D509CD" w:rsidP="00D32D6A">
            <w:pPr>
              <w:spacing w:after="0" w:line="240" w:lineRule="auto"/>
              <w:jc w:val="center"/>
              <w:rPr>
                <w:rFonts w:ascii="Times New Roman" w:eastAsia="Times New Roman" w:hAnsi="Times New Roman" w:cs="Times New Roman"/>
                <w:sz w:val="20"/>
                <w:lang w:val="bg-BG" w:eastAsia="bg-BG" w:bidi="hi-IN"/>
              </w:rPr>
            </w:pPr>
            <w:r w:rsidRPr="00610B1B">
              <w:rPr>
                <w:rFonts w:ascii="Times New Roman" w:eastAsia="Times New Roman" w:hAnsi="Times New Roman" w:cs="Times New Roman"/>
                <w:b/>
                <w:sz w:val="20"/>
                <w:lang w:val="bg-BG" w:eastAsia="bg-BG" w:bidi="hi-IN"/>
              </w:rPr>
              <w:t>ПП</w:t>
            </w:r>
          </w:p>
        </w:tc>
        <w:tc>
          <w:tcPr>
            <w:tcW w:w="1284" w:type="dxa"/>
            <w:shd w:val="clear" w:color="auto" w:fill="C6D9F1" w:themeFill="text2" w:themeFillTint="33"/>
            <w:tcMar>
              <w:left w:w="108" w:type="dxa"/>
            </w:tcMar>
            <w:vAlign w:val="center"/>
          </w:tcPr>
          <w:p w14:paraId="1B3841DB" w14:textId="2076405A" w:rsidR="00D509CD" w:rsidRPr="00610B1B" w:rsidRDefault="00D509CD" w:rsidP="00D32D6A">
            <w:pPr>
              <w:spacing w:after="0" w:line="240" w:lineRule="auto"/>
              <w:jc w:val="center"/>
              <w:rPr>
                <w:rFonts w:ascii="Times New Roman" w:eastAsia="Times New Roman" w:hAnsi="Times New Roman" w:cs="Times New Roman"/>
                <w:sz w:val="20"/>
                <w:lang w:val="bg-BG" w:eastAsia="bg-BG" w:bidi="hi-IN"/>
              </w:rPr>
            </w:pPr>
            <w:r w:rsidRPr="00610B1B">
              <w:rPr>
                <w:rFonts w:ascii="Times New Roman" w:eastAsia="Times New Roman" w:hAnsi="Times New Roman" w:cs="Times New Roman"/>
                <w:b/>
                <w:sz w:val="20"/>
                <w:lang w:val="bg-BG" w:eastAsia="bg-BG" w:bidi="hi-IN"/>
              </w:rPr>
              <w:t>ЗМ</w:t>
            </w:r>
          </w:p>
        </w:tc>
        <w:tc>
          <w:tcPr>
            <w:tcW w:w="1280" w:type="dxa"/>
            <w:shd w:val="clear" w:color="auto" w:fill="C6D9F1" w:themeFill="text2" w:themeFillTint="33"/>
            <w:tcMar>
              <w:left w:w="108" w:type="dxa"/>
            </w:tcMar>
            <w:vAlign w:val="center"/>
          </w:tcPr>
          <w:p w14:paraId="584334C4" w14:textId="738F866C" w:rsidR="00D509CD" w:rsidRPr="00610B1B" w:rsidRDefault="00D509CD" w:rsidP="00D32D6A">
            <w:pPr>
              <w:spacing w:after="0" w:line="240" w:lineRule="auto"/>
              <w:jc w:val="center"/>
              <w:rPr>
                <w:rFonts w:ascii="Times New Roman" w:eastAsia="Times New Roman" w:hAnsi="Times New Roman" w:cs="Times New Roman"/>
                <w:sz w:val="20"/>
                <w:lang w:val="bg-BG" w:eastAsia="bg-BG" w:bidi="hi-IN"/>
              </w:rPr>
            </w:pPr>
            <w:r w:rsidRPr="00610B1B">
              <w:rPr>
                <w:rFonts w:ascii="Times New Roman" w:eastAsia="Times New Roman" w:hAnsi="Times New Roman" w:cs="Times New Roman"/>
                <w:b/>
                <w:sz w:val="20"/>
                <w:lang w:val="bg-BG" w:eastAsia="bg-BG" w:bidi="hi-IN"/>
              </w:rPr>
              <w:t>ПЗ</w:t>
            </w:r>
          </w:p>
        </w:tc>
        <w:tc>
          <w:tcPr>
            <w:tcW w:w="1295" w:type="dxa"/>
            <w:vMerge/>
            <w:shd w:val="clear" w:color="auto" w:fill="auto"/>
            <w:tcMar>
              <w:left w:w="108" w:type="dxa"/>
            </w:tcMar>
            <w:vAlign w:val="center"/>
          </w:tcPr>
          <w:p w14:paraId="254C249D"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p>
        </w:tc>
      </w:tr>
      <w:tr w:rsidR="00D509CD" w:rsidRPr="00610B1B" w14:paraId="2F6D8794" w14:textId="77777777" w:rsidTr="001E3FED">
        <w:tc>
          <w:tcPr>
            <w:tcW w:w="1373" w:type="dxa"/>
            <w:shd w:val="clear" w:color="auto" w:fill="auto"/>
            <w:tcMar>
              <w:left w:w="108" w:type="dxa"/>
            </w:tcMar>
          </w:tcPr>
          <w:p w14:paraId="34054078" w14:textId="77777777" w:rsidR="00D509CD" w:rsidRPr="00610B1B" w:rsidRDefault="00D509CD" w:rsidP="00D32D6A">
            <w:pPr>
              <w:spacing w:after="0" w:line="240" w:lineRule="auto"/>
              <w:jc w:val="both"/>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Добрич</w:t>
            </w:r>
          </w:p>
        </w:tc>
        <w:tc>
          <w:tcPr>
            <w:tcW w:w="1265" w:type="dxa"/>
            <w:shd w:val="clear" w:color="auto" w:fill="auto"/>
            <w:tcMar>
              <w:left w:w="108" w:type="dxa"/>
            </w:tcMar>
          </w:tcPr>
          <w:p w14:paraId="48870972"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82" w:type="dxa"/>
            <w:shd w:val="clear" w:color="auto" w:fill="auto"/>
            <w:tcMar>
              <w:left w:w="108" w:type="dxa"/>
            </w:tcMar>
          </w:tcPr>
          <w:p w14:paraId="7F8229AF"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83" w:type="dxa"/>
            <w:shd w:val="clear" w:color="auto" w:fill="auto"/>
            <w:tcMar>
              <w:left w:w="108" w:type="dxa"/>
            </w:tcMar>
          </w:tcPr>
          <w:p w14:paraId="3F862585"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0</w:t>
            </w:r>
          </w:p>
        </w:tc>
        <w:tc>
          <w:tcPr>
            <w:tcW w:w="1284" w:type="dxa"/>
            <w:shd w:val="clear" w:color="auto" w:fill="auto"/>
            <w:tcMar>
              <w:left w:w="108" w:type="dxa"/>
            </w:tcMar>
          </w:tcPr>
          <w:p w14:paraId="185A3E67"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7</w:t>
            </w:r>
          </w:p>
        </w:tc>
        <w:tc>
          <w:tcPr>
            <w:tcW w:w="1280" w:type="dxa"/>
            <w:shd w:val="clear" w:color="auto" w:fill="auto"/>
            <w:tcMar>
              <w:left w:w="108" w:type="dxa"/>
            </w:tcMar>
          </w:tcPr>
          <w:p w14:paraId="5918BC26" w14:textId="1EF34B3C" w:rsidR="00D509CD" w:rsidRPr="00610B1B" w:rsidRDefault="00B6229C"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95" w:type="dxa"/>
            <w:shd w:val="clear" w:color="auto" w:fill="auto"/>
            <w:tcMar>
              <w:left w:w="108" w:type="dxa"/>
            </w:tcMar>
          </w:tcPr>
          <w:p w14:paraId="24F6E9A1" w14:textId="3078DCD5" w:rsidR="00D509CD" w:rsidRPr="00610B1B" w:rsidRDefault="00B6229C"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10</w:t>
            </w:r>
          </w:p>
        </w:tc>
      </w:tr>
      <w:tr w:rsidR="00D509CD" w:rsidRPr="00610B1B" w14:paraId="2C3721B6" w14:textId="77777777" w:rsidTr="001E3FED">
        <w:tc>
          <w:tcPr>
            <w:tcW w:w="1373" w:type="dxa"/>
            <w:shd w:val="clear" w:color="auto" w:fill="auto"/>
            <w:tcMar>
              <w:left w:w="108" w:type="dxa"/>
            </w:tcMar>
          </w:tcPr>
          <w:p w14:paraId="17F6F430" w14:textId="77777777" w:rsidR="00D509CD" w:rsidRPr="00610B1B" w:rsidRDefault="00D509CD" w:rsidP="00D32D6A">
            <w:pPr>
              <w:spacing w:after="0" w:line="240" w:lineRule="auto"/>
              <w:jc w:val="both"/>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Варна</w:t>
            </w:r>
          </w:p>
        </w:tc>
        <w:tc>
          <w:tcPr>
            <w:tcW w:w="1265" w:type="dxa"/>
            <w:shd w:val="clear" w:color="auto" w:fill="auto"/>
            <w:tcMar>
              <w:left w:w="108" w:type="dxa"/>
            </w:tcMar>
          </w:tcPr>
          <w:p w14:paraId="78028A7C"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82" w:type="dxa"/>
            <w:shd w:val="clear" w:color="auto" w:fill="auto"/>
            <w:tcMar>
              <w:left w:w="108" w:type="dxa"/>
            </w:tcMar>
          </w:tcPr>
          <w:p w14:paraId="1487A7F7"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0</w:t>
            </w:r>
          </w:p>
        </w:tc>
        <w:tc>
          <w:tcPr>
            <w:tcW w:w="1283" w:type="dxa"/>
            <w:shd w:val="clear" w:color="auto" w:fill="auto"/>
            <w:tcMar>
              <w:left w:w="108" w:type="dxa"/>
            </w:tcMar>
          </w:tcPr>
          <w:p w14:paraId="33437E61"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84" w:type="dxa"/>
            <w:shd w:val="clear" w:color="auto" w:fill="auto"/>
            <w:tcMar>
              <w:left w:w="108" w:type="dxa"/>
            </w:tcMar>
          </w:tcPr>
          <w:p w14:paraId="3F542C4D" w14:textId="069305A7" w:rsidR="00D509CD" w:rsidRPr="00610B1B" w:rsidRDefault="006473F9"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6</w:t>
            </w:r>
          </w:p>
        </w:tc>
        <w:tc>
          <w:tcPr>
            <w:tcW w:w="1280" w:type="dxa"/>
            <w:shd w:val="clear" w:color="auto" w:fill="auto"/>
            <w:tcMar>
              <w:left w:w="108" w:type="dxa"/>
            </w:tcMar>
          </w:tcPr>
          <w:p w14:paraId="1B345061"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95" w:type="dxa"/>
            <w:shd w:val="clear" w:color="auto" w:fill="auto"/>
            <w:tcMar>
              <w:left w:w="108" w:type="dxa"/>
            </w:tcMar>
          </w:tcPr>
          <w:p w14:paraId="40FC5AE0" w14:textId="00CDC40C" w:rsidR="00D509CD" w:rsidRPr="00610B1B" w:rsidRDefault="00B6229C"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9</w:t>
            </w:r>
          </w:p>
        </w:tc>
      </w:tr>
      <w:tr w:rsidR="00D509CD" w:rsidRPr="00610B1B" w14:paraId="443F67E2" w14:textId="77777777" w:rsidTr="001E3FED">
        <w:tc>
          <w:tcPr>
            <w:tcW w:w="1373" w:type="dxa"/>
            <w:shd w:val="clear" w:color="auto" w:fill="auto"/>
            <w:tcMar>
              <w:left w:w="108" w:type="dxa"/>
            </w:tcMar>
          </w:tcPr>
          <w:p w14:paraId="5A1510E4" w14:textId="77777777" w:rsidR="00D509CD" w:rsidRPr="00610B1B" w:rsidRDefault="00D509CD" w:rsidP="00D32D6A">
            <w:pPr>
              <w:spacing w:after="0" w:line="240" w:lineRule="auto"/>
              <w:jc w:val="both"/>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Бургас</w:t>
            </w:r>
          </w:p>
        </w:tc>
        <w:tc>
          <w:tcPr>
            <w:tcW w:w="1265" w:type="dxa"/>
            <w:shd w:val="clear" w:color="auto" w:fill="auto"/>
            <w:tcMar>
              <w:left w:w="108" w:type="dxa"/>
            </w:tcMar>
          </w:tcPr>
          <w:p w14:paraId="7535E97F"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82" w:type="dxa"/>
            <w:shd w:val="clear" w:color="auto" w:fill="auto"/>
            <w:tcMar>
              <w:left w:w="108" w:type="dxa"/>
            </w:tcMar>
          </w:tcPr>
          <w:p w14:paraId="304B91D7" w14:textId="385AB589" w:rsidR="00D509CD" w:rsidRPr="00610B1B" w:rsidRDefault="006473F9"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2</w:t>
            </w:r>
          </w:p>
        </w:tc>
        <w:tc>
          <w:tcPr>
            <w:tcW w:w="1283" w:type="dxa"/>
            <w:shd w:val="clear" w:color="auto" w:fill="auto"/>
            <w:tcMar>
              <w:left w:w="108" w:type="dxa"/>
            </w:tcMar>
          </w:tcPr>
          <w:p w14:paraId="5E26C3BD"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w:t>
            </w:r>
          </w:p>
        </w:tc>
        <w:tc>
          <w:tcPr>
            <w:tcW w:w="1284" w:type="dxa"/>
            <w:shd w:val="clear" w:color="auto" w:fill="auto"/>
            <w:tcMar>
              <w:left w:w="108" w:type="dxa"/>
            </w:tcMar>
          </w:tcPr>
          <w:p w14:paraId="10301350" w14:textId="4E85DD94" w:rsidR="00D509CD" w:rsidRPr="00610B1B" w:rsidRDefault="002134B1"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18</w:t>
            </w:r>
          </w:p>
        </w:tc>
        <w:tc>
          <w:tcPr>
            <w:tcW w:w="1280" w:type="dxa"/>
            <w:shd w:val="clear" w:color="auto" w:fill="auto"/>
            <w:tcMar>
              <w:left w:w="108" w:type="dxa"/>
            </w:tcMar>
          </w:tcPr>
          <w:p w14:paraId="1F619BE3"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12</w:t>
            </w:r>
          </w:p>
        </w:tc>
        <w:tc>
          <w:tcPr>
            <w:tcW w:w="1295" w:type="dxa"/>
            <w:shd w:val="clear" w:color="auto" w:fill="auto"/>
            <w:tcMar>
              <w:left w:w="108" w:type="dxa"/>
            </w:tcMar>
          </w:tcPr>
          <w:p w14:paraId="7EA6134D" w14:textId="6542DD30" w:rsidR="00D509CD" w:rsidRPr="00610B1B" w:rsidRDefault="00B6229C"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34</w:t>
            </w:r>
          </w:p>
        </w:tc>
      </w:tr>
      <w:tr w:rsidR="00D509CD" w:rsidRPr="00610B1B" w14:paraId="2B2A0776" w14:textId="77777777" w:rsidTr="001E3FED">
        <w:tc>
          <w:tcPr>
            <w:tcW w:w="1373" w:type="dxa"/>
            <w:shd w:val="clear" w:color="auto" w:fill="auto"/>
            <w:tcMar>
              <w:left w:w="108" w:type="dxa"/>
            </w:tcMar>
          </w:tcPr>
          <w:p w14:paraId="4F812D21" w14:textId="77777777" w:rsidR="00D509CD" w:rsidRPr="00610B1B" w:rsidRDefault="00D509CD" w:rsidP="00D32D6A">
            <w:pPr>
              <w:spacing w:after="0" w:line="240" w:lineRule="auto"/>
              <w:jc w:val="both"/>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Общо</w:t>
            </w:r>
          </w:p>
        </w:tc>
        <w:tc>
          <w:tcPr>
            <w:tcW w:w="1265" w:type="dxa"/>
            <w:shd w:val="clear" w:color="auto" w:fill="auto"/>
            <w:tcMar>
              <w:left w:w="108" w:type="dxa"/>
            </w:tcMar>
          </w:tcPr>
          <w:p w14:paraId="29AD37A3"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3</w:t>
            </w:r>
          </w:p>
        </w:tc>
        <w:tc>
          <w:tcPr>
            <w:tcW w:w="1282" w:type="dxa"/>
            <w:shd w:val="clear" w:color="auto" w:fill="auto"/>
            <w:tcMar>
              <w:left w:w="108" w:type="dxa"/>
            </w:tcMar>
          </w:tcPr>
          <w:p w14:paraId="753C2A39" w14:textId="3DB86B9E" w:rsidR="00D509CD" w:rsidRPr="00610B1B" w:rsidRDefault="006473F9"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3</w:t>
            </w:r>
          </w:p>
        </w:tc>
        <w:tc>
          <w:tcPr>
            <w:tcW w:w="1283" w:type="dxa"/>
            <w:shd w:val="clear" w:color="auto" w:fill="auto"/>
            <w:tcMar>
              <w:left w:w="108" w:type="dxa"/>
            </w:tcMar>
          </w:tcPr>
          <w:p w14:paraId="202CCDE3" w14:textId="77777777" w:rsidR="00D509CD" w:rsidRPr="00610B1B" w:rsidRDefault="00D509CD"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2</w:t>
            </w:r>
          </w:p>
        </w:tc>
        <w:tc>
          <w:tcPr>
            <w:tcW w:w="1284" w:type="dxa"/>
            <w:shd w:val="clear" w:color="auto" w:fill="auto"/>
            <w:tcMar>
              <w:left w:w="108" w:type="dxa"/>
            </w:tcMar>
          </w:tcPr>
          <w:p w14:paraId="71E336A2" w14:textId="08501729" w:rsidR="00D509CD" w:rsidRPr="00610B1B" w:rsidRDefault="002134B1"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31</w:t>
            </w:r>
          </w:p>
        </w:tc>
        <w:tc>
          <w:tcPr>
            <w:tcW w:w="1280" w:type="dxa"/>
            <w:shd w:val="clear" w:color="auto" w:fill="auto"/>
            <w:tcMar>
              <w:left w:w="108" w:type="dxa"/>
            </w:tcMar>
          </w:tcPr>
          <w:p w14:paraId="34B3D565" w14:textId="255D63BB" w:rsidR="00D509CD" w:rsidRPr="00610B1B" w:rsidRDefault="00B6229C"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14</w:t>
            </w:r>
          </w:p>
        </w:tc>
        <w:tc>
          <w:tcPr>
            <w:tcW w:w="1295" w:type="dxa"/>
            <w:shd w:val="clear" w:color="auto" w:fill="auto"/>
            <w:tcMar>
              <w:left w:w="108" w:type="dxa"/>
            </w:tcMar>
          </w:tcPr>
          <w:p w14:paraId="720E56EF" w14:textId="52D4914C" w:rsidR="00D509CD" w:rsidRPr="00610B1B" w:rsidRDefault="00B6229C" w:rsidP="00D32D6A">
            <w:pPr>
              <w:spacing w:after="0" w:line="240" w:lineRule="auto"/>
              <w:jc w:val="center"/>
              <w:rPr>
                <w:rFonts w:ascii="Times New Roman" w:eastAsia="Times New Roman" w:hAnsi="Times New Roman" w:cs="Times New Roman"/>
                <w:sz w:val="24"/>
                <w:szCs w:val="24"/>
                <w:lang w:val="bg-BG" w:eastAsia="bg-BG" w:bidi="hi-IN"/>
              </w:rPr>
            </w:pPr>
            <w:r w:rsidRPr="00610B1B">
              <w:rPr>
                <w:rFonts w:ascii="Times New Roman" w:eastAsia="Times New Roman" w:hAnsi="Times New Roman" w:cs="Times New Roman"/>
                <w:szCs w:val="24"/>
                <w:lang w:val="bg-BG" w:eastAsia="bg-BG" w:bidi="hi-IN"/>
              </w:rPr>
              <w:t>53</w:t>
            </w:r>
          </w:p>
        </w:tc>
      </w:tr>
    </w:tbl>
    <w:p w14:paraId="066CFE6E" w14:textId="310ACECE" w:rsidR="00D509CD" w:rsidRPr="00610B1B" w:rsidRDefault="00D509CD" w:rsidP="00EC097D">
      <w:pPr>
        <w:spacing w:before="60" w:after="120"/>
        <w:ind w:right="-153"/>
        <w:jc w:val="both"/>
        <w:rPr>
          <w:rFonts w:ascii="Times New Roman" w:eastAsia="Lohit Devanagari" w:hAnsi="Times New Roman" w:cs="Times New Roman"/>
          <w:iCs/>
          <w:color w:val="00000A"/>
          <w:sz w:val="24"/>
          <w:szCs w:val="24"/>
          <w:lang w:val="bg-BG" w:eastAsia="ar-SA" w:bidi="hi-IN"/>
        </w:rPr>
      </w:pPr>
      <w:r w:rsidRPr="00610B1B">
        <w:rPr>
          <w:rFonts w:ascii="Times New Roman" w:eastAsia="Lohit Devanagari" w:hAnsi="Times New Roman" w:cs="Times New Roman"/>
          <w:iCs/>
          <w:color w:val="00000A"/>
          <w:szCs w:val="24"/>
          <w:lang w:val="bg-BG" w:eastAsia="ar-SA" w:bidi="hi-IN"/>
        </w:rPr>
        <w:t xml:space="preserve">Източник: МОСВ, ИАОС, НЦТР, 2019 г. </w:t>
      </w:r>
    </w:p>
    <w:p w14:paraId="792E54B9" w14:textId="1A92DE03" w:rsidR="009D4A0E" w:rsidRPr="00610B1B" w:rsidRDefault="00A23CF5" w:rsidP="00DE3A13">
      <w:pPr>
        <w:spacing w:after="120" w:line="240" w:lineRule="auto"/>
        <w:ind w:right="-153"/>
        <w:jc w:val="both"/>
        <w:rPr>
          <w:rFonts w:ascii="Times New Roman" w:eastAsia="Times New Roman" w:hAnsi="Times New Roman" w:cs="Times New Roman"/>
          <w:b/>
          <w:i/>
          <w:sz w:val="24"/>
          <w:szCs w:val="24"/>
          <w:lang w:val="bg-BG" w:eastAsia="bg-BG"/>
        </w:rPr>
      </w:pPr>
      <w:r w:rsidRPr="00610B1B">
        <w:rPr>
          <w:rFonts w:ascii="Times New Roman" w:eastAsia="Times New Roman" w:hAnsi="Times New Roman" w:cs="Times New Roman"/>
          <w:b/>
          <w:i/>
          <w:sz w:val="24"/>
          <w:szCs w:val="24"/>
          <w:lang w:val="bg-BG" w:eastAsia="bg-BG"/>
        </w:rPr>
        <w:t>Влажни зони (</w:t>
      </w:r>
      <w:r w:rsidR="009D4A0E" w:rsidRPr="00610B1B">
        <w:rPr>
          <w:rFonts w:ascii="Times New Roman" w:eastAsia="Times New Roman" w:hAnsi="Times New Roman" w:cs="Times New Roman"/>
          <w:b/>
          <w:i/>
          <w:sz w:val="24"/>
          <w:szCs w:val="24"/>
          <w:lang w:val="bg-BG" w:eastAsia="bg-BG"/>
        </w:rPr>
        <w:t>Рамсарски места</w:t>
      </w:r>
      <w:r w:rsidRPr="00610B1B">
        <w:rPr>
          <w:rFonts w:ascii="Times New Roman" w:eastAsia="Times New Roman" w:hAnsi="Times New Roman" w:cs="Times New Roman"/>
          <w:b/>
          <w:i/>
          <w:sz w:val="24"/>
          <w:szCs w:val="24"/>
          <w:lang w:val="bg-BG" w:eastAsia="bg-BG"/>
        </w:rPr>
        <w:t>)</w:t>
      </w:r>
    </w:p>
    <w:p w14:paraId="543E2B89" w14:textId="5166A088" w:rsidR="009D4A0E" w:rsidRPr="00610B1B" w:rsidRDefault="009D4A0E" w:rsidP="00D32D6A">
      <w:pPr>
        <w:pStyle w:val="BodyText"/>
        <w:spacing w:before="0" w:after="120" w:line="276" w:lineRule="auto"/>
        <w:ind w:right="-153"/>
        <w:rPr>
          <w:rFonts w:cs="Times New Roman"/>
        </w:rPr>
      </w:pPr>
      <w:r w:rsidRPr="00610B1B">
        <w:rPr>
          <w:rFonts w:cs="Times New Roman"/>
        </w:rPr>
        <w:t>България е сред първите страни</w:t>
      </w:r>
      <w:r w:rsidR="0050133F" w:rsidRPr="00610B1B">
        <w:rPr>
          <w:rFonts w:cs="Times New Roman"/>
        </w:rPr>
        <w:t>,</w:t>
      </w:r>
      <w:r w:rsidRPr="00610B1B">
        <w:rPr>
          <w:rFonts w:cs="Times New Roman"/>
        </w:rPr>
        <w:t xml:space="preserve"> присъединили се към Конвенцията за влажните зони с международно значение като местообитания на водолюбиви птици </w:t>
      </w:r>
      <w:r w:rsidR="0050133F" w:rsidRPr="00610B1B">
        <w:rPr>
          <w:rFonts w:cs="Times New Roman"/>
        </w:rPr>
        <w:t>(</w:t>
      </w:r>
      <w:r w:rsidRPr="00610B1B">
        <w:rPr>
          <w:rFonts w:cs="Times New Roman"/>
        </w:rPr>
        <w:t>Рамсарска конвенция</w:t>
      </w:r>
      <w:r w:rsidR="0050133F" w:rsidRPr="00610B1B">
        <w:rPr>
          <w:rFonts w:cs="Times New Roman"/>
        </w:rPr>
        <w:t>)</w:t>
      </w:r>
      <w:r w:rsidRPr="00610B1B">
        <w:rPr>
          <w:rStyle w:val="a4"/>
          <w:rFonts w:cs="Times New Roman"/>
        </w:rPr>
        <w:footnoteReference w:id="90"/>
      </w:r>
      <w:r w:rsidR="002109C3" w:rsidRPr="00610B1B">
        <w:rPr>
          <w:rFonts w:cs="Times New Roman"/>
        </w:rPr>
        <w:t xml:space="preserve">, поемайки ангажимента да опазва </w:t>
      </w:r>
      <w:r w:rsidRPr="00610B1B">
        <w:rPr>
          <w:rFonts w:cs="Times New Roman"/>
        </w:rPr>
        <w:t>екосистеми</w:t>
      </w:r>
      <w:r w:rsidR="002109C3" w:rsidRPr="00610B1B">
        <w:rPr>
          <w:rFonts w:cs="Times New Roman"/>
        </w:rPr>
        <w:t>те</w:t>
      </w:r>
      <w:r w:rsidRPr="00610B1B">
        <w:rPr>
          <w:rFonts w:cs="Times New Roman"/>
        </w:rPr>
        <w:t>, чието равновесие и биологично разнообразие зависи от водата</w:t>
      </w:r>
      <w:r w:rsidR="002109C3" w:rsidRPr="00610B1B">
        <w:rPr>
          <w:rFonts w:cs="Times New Roman"/>
        </w:rPr>
        <w:t>,</w:t>
      </w:r>
      <w:r w:rsidRPr="00610B1B">
        <w:rPr>
          <w:rFonts w:cs="Times New Roman"/>
        </w:rPr>
        <w:t xml:space="preserve"> да </w:t>
      </w:r>
      <w:r w:rsidR="002109C3" w:rsidRPr="00610B1B">
        <w:rPr>
          <w:rFonts w:cs="Times New Roman"/>
        </w:rPr>
        <w:t xml:space="preserve">ги </w:t>
      </w:r>
      <w:r w:rsidRPr="00610B1B">
        <w:rPr>
          <w:rFonts w:cs="Times New Roman"/>
        </w:rPr>
        <w:t>използва разумно,</w:t>
      </w:r>
      <w:r w:rsidR="00D66FE0" w:rsidRPr="00610B1B">
        <w:rPr>
          <w:rFonts w:cs="Times New Roman"/>
        </w:rPr>
        <w:t xml:space="preserve"> </w:t>
      </w:r>
      <w:r w:rsidR="002109C3" w:rsidRPr="00610B1B">
        <w:rPr>
          <w:rFonts w:cs="Times New Roman"/>
        </w:rPr>
        <w:t>и да</w:t>
      </w:r>
      <w:r w:rsidRPr="00610B1B">
        <w:rPr>
          <w:rFonts w:cs="Times New Roman"/>
        </w:rPr>
        <w:t xml:space="preserve"> прилага екосистемния поход. В България има 11 Рамсарски места с обща площ 35 273 ha</w:t>
      </w:r>
      <w:r w:rsidRPr="00610B1B">
        <w:rPr>
          <w:rFonts w:eastAsia="Times New Roman" w:cs="Times New Roman"/>
          <w:lang w:eastAsia="bg-BG"/>
        </w:rPr>
        <w:t>, 7</w:t>
      </w:r>
      <w:r w:rsidR="00D66FE0" w:rsidRPr="00610B1B">
        <w:rPr>
          <w:rFonts w:eastAsia="Times New Roman" w:cs="Times New Roman"/>
          <w:lang w:eastAsia="bg-BG"/>
        </w:rPr>
        <w:t xml:space="preserve"> </w:t>
      </w:r>
      <w:r w:rsidRPr="00610B1B">
        <w:rPr>
          <w:rFonts w:eastAsia="Times New Roman" w:cs="Times New Roman"/>
          <w:lang w:eastAsia="bg-BG"/>
        </w:rPr>
        <w:t>от които са разположени по Българското Черноморско крайбрежие в обхвата на проучването</w:t>
      </w:r>
      <w:r w:rsidRPr="00610B1B">
        <w:rPr>
          <w:rStyle w:val="a4"/>
          <w:rFonts w:eastAsia="Times New Roman" w:cs="Times New Roman"/>
          <w:lang w:eastAsia="bg-BG"/>
        </w:rPr>
        <w:footnoteReference w:id="91"/>
      </w:r>
      <w:r w:rsidRPr="00610B1B">
        <w:rPr>
          <w:rFonts w:eastAsia="Times New Roman" w:cs="Times New Roman"/>
          <w:lang w:eastAsia="bg-BG"/>
        </w:rPr>
        <w:t>. Това са:</w:t>
      </w:r>
      <w:r w:rsidR="00D21736" w:rsidRPr="00610B1B">
        <w:rPr>
          <w:rFonts w:eastAsia="Times New Roman" w:cs="Times New Roman"/>
          <w:lang w:eastAsia="bg-BG"/>
        </w:rPr>
        <w:t xml:space="preserve"> </w:t>
      </w:r>
      <w:r w:rsidRPr="00610B1B">
        <w:rPr>
          <w:rFonts w:eastAsia="Times New Roman" w:cs="Times New Roman"/>
          <w:lang w:eastAsia="bg-BG"/>
        </w:rPr>
        <w:t>1</w:t>
      </w:r>
      <w:r w:rsidR="00D21736" w:rsidRPr="00610B1B">
        <w:rPr>
          <w:rFonts w:eastAsia="Times New Roman" w:cs="Times New Roman"/>
          <w:lang w:eastAsia="bg-BG"/>
        </w:rPr>
        <w:t>)</w:t>
      </w:r>
      <w:r w:rsidRPr="00610B1B">
        <w:rPr>
          <w:rFonts w:eastAsia="Times New Roman" w:cs="Times New Roman"/>
          <w:lang w:eastAsia="bg-BG"/>
        </w:rPr>
        <w:t xml:space="preserve"> Дуранкулашко езеро – обявено за Рамсарска влажна зона през 1984 г</w:t>
      </w:r>
      <w:r w:rsidR="0050133F" w:rsidRPr="00610B1B">
        <w:rPr>
          <w:rFonts w:eastAsia="Times New Roman" w:cs="Times New Roman"/>
          <w:lang w:eastAsia="bg-BG"/>
        </w:rPr>
        <w:t>.</w:t>
      </w:r>
      <w:r w:rsidRPr="00610B1B">
        <w:rPr>
          <w:rFonts w:eastAsia="Times New Roman" w:cs="Times New Roman"/>
          <w:lang w:eastAsia="bg-BG"/>
        </w:rPr>
        <w:t xml:space="preserve"> с площ 350 ha;</w:t>
      </w:r>
      <w:r w:rsidR="00D21736" w:rsidRPr="00610B1B">
        <w:rPr>
          <w:rFonts w:eastAsia="Times New Roman" w:cs="Times New Roman"/>
          <w:lang w:eastAsia="bg-BG"/>
        </w:rPr>
        <w:t xml:space="preserve"> </w:t>
      </w:r>
      <w:r w:rsidRPr="00610B1B">
        <w:rPr>
          <w:rFonts w:cs="Times New Roman"/>
        </w:rPr>
        <w:t>2</w:t>
      </w:r>
      <w:r w:rsidR="00D21736" w:rsidRPr="00610B1B">
        <w:rPr>
          <w:rFonts w:cs="Times New Roman"/>
        </w:rPr>
        <w:t>)</w:t>
      </w:r>
      <w:r w:rsidRPr="00610B1B">
        <w:rPr>
          <w:rFonts w:cs="Times New Roman"/>
        </w:rPr>
        <w:t xml:space="preserve"> Шабленско езеро – обявено през 1996 г. с площ 404 ha;</w:t>
      </w:r>
      <w:r w:rsidR="00D21736" w:rsidRPr="00610B1B">
        <w:rPr>
          <w:rFonts w:cs="Times New Roman"/>
        </w:rPr>
        <w:t xml:space="preserve"> 3)</w:t>
      </w:r>
      <w:r w:rsidRPr="00610B1B">
        <w:rPr>
          <w:rFonts w:cs="Times New Roman"/>
        </w:rPr>
        <w:t xml:space="preserve"> Атанасовско езеро</w:t>
      </w:r>
      <w:r w:rsidR="0050133F" w:rsidRPr="00610B1B">
        <w:rPr>
          <w:rFonts w:cs="Times New Roman"/>
        </w:rPr>
        <w:t xml:space="preserve"> </w:t>
      </w:r>
      <w:r w:rsidRPr="00610B1B">
        <w:rPr>
          <w:rFonts w:cs="Times New Roman"/>
        </w:rPr>
        <w:t>–</w:t>
      </w:r>
      <w:r w:rsidR="0050133F" w:rsidRPr="00610B1B">
        <w:rPr>
          <w:rFonts w:cs="Times New Roman"/>
        </w:rPr>
        <w:t xml:space="preserve"> </w:t>
      </w:r>
      <w:r w:rsidRPr="00610B1B">
        <w:rPr>
          <w:rFonts w:cs="Times New Roman"/>
        </w:rPr>
        <w:t>обявено през 1984 г., с настояща площ 1 404 ha;</w:t>
      </w:r>
      <w:r w:rsidR="00D21736" w:rsidRPr="00610B1B">
        <w:rPr>
          <w:rFonts w:cs="Times New Roman"/>
        </w:rPr>
        <w:t xml:space="preserve"> 4) </w:t>
      </w:r>
      <w:r w:rsidRPr="00610B1B">
        <w:rPr>
          <w:rFonts w:cs="Times New Roman"/>
        </w:rPr>
        <w:t>Комплекс Поморие</w:t>
      </w:r>
      <w:r w:rsidR="00D21736" w:rsidRPr="00610B1B">
        <w:rPr>
          <w:rFonts w:cs="Times New Roman"/>
        </w:rPr>
        <w:t xml:space="preserve"> с</w:t>
      </w:r>
      <w:r w:rsidRPr="00610B1B">
        <w:rPr>
          <w:rFonts w:cs="Times New Roman"/>
        </w:rPr>
        <w:t xml:space="preserve"> Поморийското езеро и устието на река Ахелой</w:t>
      </w:r>
      <w:r w:rsidR="00D21736" w:rsidRPr="00610B1B">
        <w:rPr>
          <w:rFonts w:cs="Times New Roman"/>
        </w:rPr>
        <w:t xml:space="preserve">, </w:t>
      </w:r>
      <w:r w:rsidRPr="00610B1B">
        <w:rPr>
          <w:rFonts w:cs="Times New Roman"/>
        </w:rPr>
        <w:t>обявен през 2002 г., с настояща площ 814 ha;</w:t>
      </w:r>
      <w:r w:rsidR="00D21736" w:rsidRPr="00610B1B">
        <w:rPr>
          <w:rFonts w:cs="Times New Roman"/>
        </w:rPr>
        <w:t xml:space="preserve"> </w:t>
      </w:r>
      <w:r w:rsidRPr="00610B1B">
        <w:rPr>
          <w:rFonts w:cs="Times New Roman"/>
        </w:rPr>
        <w:t>5</w:t>
      </w:r>
      <w:r w:rsidR="00D21736" w:rsidRPr="00610B1B">
        <w:rPr>
          <w:rFonts w:cs="Times New Roman"/>
        </w:rPr>
        <w:t>)</w:t>
      </w:r>
      <w:r w:rsidRPr="00610B1B">
        <w:rPr>
          <w:rFonts w:cs="Times New Roman"/>
        </w:rPr>
        <w:t xml:space="preserve"> Защитена местност Пода и залива Форос–обявено през 2002 г., с настояща площ </w:t>
      </w:r>
      <w:r w:rsidRPr="00610B1B">
        <w:rPr>
          <w:rFonts w:cs="Times New Roman"/>
        </w:rPr>
        <w:lastRenderedPageBreak/>
        <w:t>307 ha;</w:t>
      </w:r>
      <w:r w:rsidR="00D21736" w:rsidRPr="00610B1B">
        <w:rPr>
          <w:rFonts w:cs="Times New Roman"/>
        </w:rPr>
        <w:t xml:space="preserve"> </w:t>
      </w:r>
      <w:r w:rsidRPr="00610B1B">
        <w:rPr>
          <w:rFonts w:eastAsia="Times New Roman" w:cs="Times New Roman"/>
          <w:lang w:eastAsia="bg-BG"/>
        </w:rPr>
        <w:t>6</w:t>
      </w:r>
      <w:r w:rsidR="00D21736" w:rsidRPr="00610B1B">
        <w:rPr>
          <w:rFonts w:eastAsia="Times New Roman" w:cs="Times New Roman"/>
          <w:lang w:eastAsia="bg-BG"/>
        </w:rPr>
        <w:t>)</w:t>
      </w:r>
      <w:r w:rsidRPr="00610B1B">
        <w:rPr>
          <w:rFonts w:eastAsia="Times New Roman" w:cs="Times New Roman"/>
          <w:lang w:eastAsia="bg-BG"/>
        </w:rPr>
        <w:t xml:space="preserve"> Бургаско езеро – обявено през 2002 г., с настояща площ 2 900 ha;</w:t>
      </w:r>
      <w:r w:rsidR="00D21736" w:rsidRPr="00610B1B">
        <w:rPr>
          <w:rFonts w:eastAsia="Times New Roman" w:cs="Times New Roman"/>
          <w:lang w:eastAsia="bg-BG"/>
        </w:rPr>
        <w:t xml:space="preserve"> </w:t>
      </w:r>
      <w:r w:rsidRPr="00610B1B">
        <w:rPr>
          <w:rFonts w:eastAsia="Times New Roman" w:cs="Times New Roman"/>
          <w:lang w:eastAsia="bg-BG"/>
        </w:rPr>
        <w:t>7</w:t>
      </w:r>
      <w:r w:rsidR="00D21736" w:rsidRPr="00610B1B">
        <w:rPr>
          <w:rFonts w:eastAsia="Times New Roman" w:cs="Times New Roman"/>
          <w:lang w:eastAsia="bg-BG"/>
        </w:rPr>
        <w:t>)</w:t>
      </w:r>
      <w:r w:rsidRPr="00610B1B">
        <w:rPr>
          <w:rFonts w:eastAsia="Times New Roman" w:cs="Times New Roman"/>
          <w:lang w:eastAsia="bg-BG"/>
        </w:rPr>
        <w:t xml:space="preserve"> Комплекс Ропотамо, който включва Резерват Ропотамо, Поддържан </w:t>
      </w:r>
      <w:r w:rsidR="00580BE9" w:rsidRPr="00610B1B">
        <w:rPr>
          <w:rFonts w:eastAsia="Times New Roman" w:cs="Times New Roman"/>
          <w:lang w:eastAsia="bg-BG"/>
        </w:rPr>
        <w:t>резерват</w:t>
      </w:r>
      <w:r w:rsidRPr="00610B1B">
        <w:rPr>
          <w:rFonts w:eastAsia="Times New Roman" w:cs="Times New Roman"/>
          <w:lang w:eastAsia="bg-BG"/>
        </w:rPr>
        <w:t xml:space="preserve"> Вельов вир, защитените местности „Беглик Таш –</w:t>
      </w:r>
      <w:r w:rsidR="0050133F" w:rsidRPr="00610B1B">
        <w:rPr>
          <w:rFonts w:eastAsia="Times New Roman" w:cs="Times New Roman"/>
          <w:lang w:eastAsia="bg-BG"/>
        </w:rPr>
        <w:t xml:space="preserve"> </w:t>
      </w:r>
      <w:r w:rsidRPr="00610B1B">
        <w:rPr>
          <w:rFonts w:eastAsia="Times New Roman" w:cs="Times New Roman"/>
          <w:lang w:eastAsia="bg-BG"/>
        </w:rPr>
        <w:t>Ропотамо“ и „Ст</w:t>
      </w:r>
      <w:r w:rsidR="0050133F" w:rsidRPr="00610B1B">
        <w:rPr>
          <w:rFonts w:eastAsia="Times New Roman" w:cs="Times New Roman"/>
          <w:lang w:eastAsia="bg-BG"/>
        </w:rPr>
        <w:t>о</w:t>
      </w:r>
      <w:r w:rsidRPr="00610B1B">
        <w:rPr>
          <w:rFonts w:eastAsia="Times New Roman" w:cs="Times New Roman"/>
          <w:lang w:eastAsia="bg-BG"/>
        </w:rPr>
        <w:t>мопл</w:t>
      </w:r>
      <w:r w:rsidR="0050133F" w:rsidRPr="00610B1B">
        <w:rPr>
          <w:rFonts w:eastAsia="Times New Roman" w:cs="Times New Roman"/>
          <w:lang w:eastAsia="bg-BG"/>
        </w:rPr>
        <w:t>о</w:t>
      </w:r>
      <w:r w:rsidRPr="00610B1B">
        <w:rPr>
          <w:rFonts w:eastAsia="Times New Roman" w:cs="Times New Roman"/>
          <w:lang w:eastAsia="bg-BG"/>
        </w:rPr>
        <w:t>“, природните забележителности „Блатото Алепу“ и „Пясъчни дюни в м. Алепу“ и свързващите ги терени</w:t>
      </w:r>
      <w:r w:rsidR="002109C3" w:rsidRPr="00610B1B">
        <w:rPr>
          <w:rFonts w:eastAsia="Times New Roman" w:cs="Times New Roman"/>
          <w:lang w:eastAsia="bg-BG"/>
        </w:rPr>
        <w:t>,</w:t>
      </w:r>
      <w:r w:rsidRPr="00610B1B">
        <w:rPr>
          <w:rFonts w:eastAsia="Times New Roman" w:cs="Times New Roman"/>
          <w:lang w:eastAsia="bg-BG"/>
        </w:rPr>
        <w:t xml:space="preserve"> обявен</w:t>
      </w:r>
      <w:r w:rsidR="0050133F" w:rsidRPr="00610B1B">
        <w:rPr>
          <w:rFonts w:eastAsia="Times New Roman" w:cs="Times New Roman"/>
          <w:lang w:eastAsia="bg-BG"/>
        </w:rPr>
        <w:t>и</w:t>
      </w:r>
      <w:r w:rsidRPr="00610B1B">
        <w:rPr>
          <w:rFonts w:eastAsia="Times New Roman" w:cs="Times New Roman"/>
          <w:lang w:eastAsia="bg-BG"/>
        </w:rPr>
        <w:t xml:space="preserve"> през 1975 г., с настояща площ 5 500 ha.</w:t>
      </w:r>
    </w:p>
    <w:p w14:paraId="701903E7" w14:textId="74253FF8"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Всички тези 7 броя Рамсарски места са определени и като Орнитологично важни места </w:t>
      </w:r>
      <w:r w:rsidRPr="00610B1B">
        <w:rPr>
          <w:rFonts w:cs="Times New Roman"/>
          <w:iCs/>
        </w:rPr>
        <w:t>(</w:t>
      </w:r>
      <w:r w:rsidRPr="00610B1B">
        <w:rPr>
          <w:rFonts w:cs="Times New Roman"/>
        </w:rPr>
        <w:t>ОВМ</w:t>
      </w:r>
      <w:r w:rsidRPr="00610B1B">
        <w:rPr>
          <w:rFonts w:cs="Times New Roman"/>
          <w:iCs/>
        </w:rPr>
        <w:t>)</w:t>
      </w:r>
      <w:r w:rsidRPr="00610B1B">
        <w:rPr>
          <w:rFonts w:cs="Times New Roman"/>
        </w:rPr>
        <w:t xml:space="preserve"> за опазване на ортнитофауната.</w:t>
      </w:r>
      <w:r w:rsidR="00D66FE0" w:rsidRPr="00610B1B">
        <w:rPr>
          <w:rFonts w:cs="Times New Roman"/>
        </w:rPr>
        <w:t xml:space="preserve"> </w:t>
      </w:r>
      <w:r w:rsidRPr="00610B1B">
        <w:rPr>
          <w:rFonts w:cs="Times New Roman"/>
        </w:rPr>
        <w:t>Черноморските влажни зони се опазват и по Регионална инициатива BlackSeaWet.</w:t>
      </w:r>
      <w:r w:rsidRPr="00610B1B">
        <w:rPr>
          <w:rStyle w:val="a4"/>
          <w:rFonts w:cs="Times New Roman"/>
        </w:rPr>
        <w:footnoteReference w:id="92"/>
      </w:r>
    </w:p>
    <w:p w14:paraId="0AB7ACA8" w14:textId="77777777" w:rsidR="009D4A0E" w:rsidRPr="00610B1B" w:rsidRDefault="009D4A0E" w:rsidP="00D32D6A">
      <w:pPr>
        <w:pStyle w:val="BodyText"/>
        <w:spacing w:before="0" w:after="120" w:line="276" w:lineRule="auto"/>
        <w:ind w:right="-153"/>
        <w:rPr>
          <w:rFonts w:cs="Times New Roman"/>
        </w:rPr>
      </w:pPr>
      <w:r w:rsidRPr="00610B1B">
        <w:rPr>
          <w:rStyle w:val="FontStyle19"/>
          <w:rFonts w:eastAsia="Source Han Sans CN Regular" w:cs="Times New Roman"/>
          <w:b/>
          <w:i/>
          <w:lang w:eastAsia="bg-BG"/>
        </w:rPr>
        <w:t>Биосферни паркове</w:t>
      </w:r>
    </w:p>
    <w:p w14:paraId="4A9F09D3" w14:textId="77777777" w:rsidR="0050133F" w:rsidRPr="00610B1B" w:rsidRDefault="009D4A0E" w:rsidP="00D32D6A">
      <w:pPr>
        <w:pStyle w:val="BodyText"/>
        <w:spacing w:before="0" w:after="120" w:line="276" w:lineRule="auto"/>
        <w:ind w:right="-153"/>
        <w:rPr>
          <w:rFonts w:eastAsia="Times New Roman" w:cs="Times New Roman"/>
        </w:rPr>
      </w:pPr>
      <w:r w:rsidRPr="00610B1B">
        <w:rPr>
          <w:rFonts w:eastAsia="Times New Roman" w:cs="Times New Roman"/>
        </w:rPr>
        <w:t>Биосферните паркове съчетават опазването на природните ценности с традиционното ползване на земите и са инструмент за устойчиво развитие на регионите, основаващо се на чиста и съхранена природа и на производството на сертифицирани местни продукти и регионални марки с висока добавена стойност. Членството към световната мрежа на биосферните резервати е международно признание за устойчиво и целесъобразно управление, съобразено с националното законодателство и с общоприетите принципи за добро управление на защитени територии.</w:t>
      </w:r>
      <w:r w:rsidR="00D21736" w:rsidRPr="00610B1B">
        <w:rPr>
          <w:rFonts w:eastAsia="Times New Roman" w:cs="Times New Roman"/>
        </w:rPr>
        <w:t xml:space="preserve"> </w:t>
      </w:r>
    </w:p>
    <w:p w14:paraId="35AE6A13" w14:textId="255EE766" w:rsidR="009D4A0E" w:rsidRPr="00610B1B" w:rsidRDefault="002109C3" w:rsidP="00D32D6A">
      <w:pPr>
        <w:pStyle w:val="BodyText"/>
        <w:spacing w:before="0" w:after="120" w:line="276" w:lineRule="auto"/>
        <w:ind w:right="-153"/>
        <w:rPr>
          <w:rFonts w:cs="Times New Roman"/>
        </w:rPr>
      </w:pPr>
      <w:r w:rsidRPr="00610B1B">
        <w:rPr>
          <w:rStyle w:val="FontStyle19"/>
          <w:rFonts w:eastAsia="Source Han Sans CN Regular" w:cs="Times New Roman"/>
          <w:sz w:val="24"/>
        </w:rPr>
        <w:t>В</w:t>
      </w:r>
      <w:r w:rsidR="009D4A0E" w:rsidRPr="00610B1B">
        <w:rPr>
          <w:rStyle w:val="FontStyle19"/>
          <w:rFonts w:eastAsia="Source Han Sans CN Regular" w:cs="Times New Roman"/>
          <w:sz w:val="24"/>
        </w:rPr>
        <w:t xml:space="preserve"> природен парк „Странджа“</w:t>
      </w:r>
      <w:r w:rsidRPr="00610B1B">
        <w:rPr>
          <w:rStyle w:val="FontStyle19"/>
          <w:rFonts w:eastAsia="Source Han Sans CN Regular" w:cs="Times New Roman"/>
          <w:sz w:val="24"/>
        </w:rPr>
        <w:t xml:space="preserve"> </w:t>
      </w:r>
      <w:r w:rsidR="00F52575" w:rsidRPr="00610B1B">
        <w:rPr>
          <w:rStyle w:val="FontStyle19"/>
          <w:rFonts w:eastAsia="Source Han Sans CN Regular" w:cs="Times New Roman"/>
          <w:sz w:val="24"/>
        </w:rPr>
        <w:t>недалеч от Черноморския бряг</w:t>
      </w:r>
      <w:r w:rsidR="009D4A0E" w:rsidRPr="00610B1B">
        <w:rPr>
          <w:rFonts w:cs="Times New Roman"/>
        </w:rPr>
        <w:t xml:space="preserve"> </w:t>
      </w:r>
      <w:r w:rsidR="009D4A0E" w:rsidRPr="00610B1B">
        <w:rPr>
          <w:rFonts w:eastAsia="Times New Roman" w:cs="Times New Roman"/>
          <w:lang w:eastAsia="bg-BG"/>
        </w:rPr>
        <w:t>през 2017 г. ЮНЕСКО одобри обявяването на биосферен парк „Узунбуджак“.</w:t>
      </w:r>
      <w:r w:rsidR="009D4A0E" w:rsidRPr="00610B1B">
        <w:rPr>
          <w:rStyle w:val="a4"/>
          <w:rFonts w:eastAsia="Times New Roman" w:cs="Times New Roman"/>
          <w:lang w:eastAsia="bg-BG"/>
        </w:rPr>
        <w:footnoteReference w:id="93"/>
      </w:r>
      <w:r w:rsidR="009D4A0E" w:rsidRPr="00610B1B">
        <w:rPr>
          <w:rFonts w:eastAsia="Times New Roman" w:cs="Times New Roman"/>
          <w:lang w:eastAsia="bg-BG"/>
        </w:rPr>
        <w:t xml:space="preserve"> Територията е поставена под защита през 1956 г. със статут на резерват, а през март 1977 г. е включена в списъка на биосферните резервати на ЮНЕСКО с обща площ от 2529,6 ha. В същото време</w:t>
      </w:r>
      <w:r w:rsidR="009D4A0E" w:rsidRPr="00610B1B">
        <w:rPr>
          <w:rFonts w:cs="Times New Roman"/>
        </w:rPr>
        <w:t xml:space="preserve">, Междуправителственият координационен съвет по Програма „Човек и биосфера“ на ЮНЕСКО </w:t>
      </w:r>
      <w:r w:rsidR="009D4A0E" w:rsidRPr="00610B1B">
        <w:rPr>
          <w:rFonts w:cs="Times New Roman"/>
          <w:iCs/>
        </w:rPr>
        <w:t>(</w:t>
      </w:r>
      <w:r w:rsidR="009D4A0E" w:rsidRPr="00610B1B">
        <w:rPr>
          <w:rFonts w:cs="Times New Roman"/>
        </w:rPr>
        <w:t>MAB - ICC</w:t>
      </w:r>
      <w:r w:rsidR="009D4A0E" w:rsidRPr="00610B1B">
        <w:rPr>
          <w:rFonts w:cs="Times New Roman"/>
          <w:iCs/>
        </w:rPr>
        <w:t>)</w:t>
      </w:r>
      <w:r w:rsidR="009D4A0E" w:rsidRPr="00610B1B">
        <w:rPr>
          <w:rFonts w:cs="Times New Roman"/>
        </w:rPr>
        <w:t xml:space="preserve"> изключи от световната мрежа биосферния резерват от „стар“ тип „Камчия“, поради несъгласие на общините Аврен и Долни Чифлик на тяхна територия да бъдат обявявани подобни обекти.</w:t>
      </w:r>
    </w:p>
    <w:p w14:paraId="7F2835C9" w14:textId="77777777" w:rsidR="009D4A0E" w:rsidRPr="00610B1B" w:rsidRDefault="009D4A0E" w:rsidP="00D32D6A">
      <w:pPr>
        <w:pStyle w:val="BodyText"/>
        <w:spacing w:before="0" w:after="120" w:line="276" w:lineRule="auto"/>
        <w:ind w:right="-153"/>
        <w:rPr>
          <w:rFonts w:cs="Times New Roman"/>
        </w:rPr>
      </w:pPr>
      <w:r w:rsidRPr="00610B1B">
        <w:rPr>
          <w:rStyle w:val="FontStyle19"/>
          <w:rFonts w:eastAsia="Source Han Sans CN Regular" w:cs="Times New Roman"/>
          <w:b/>
          <w:i/>
          <w:lang w:eastAsia="bg-BG"/>
        </w:rPr>
        <w:t xml:space="preserve">Орнитологично важни места </w:t>
      </w:r>
      <w:r w:rsidRPr="00610B1B">
        <w:rPr>
          <w:rStyle w:val="FontStyle19"/>
          <w:rFonts w:eastAsia="Source Han Sans CN Regular" w:cs="Times New Roman"/>
          <w:iCs/>
          <w:lang w:eastAsia="bg-BG"/>
        </w:rPr>
        <w:t>(</w:t>
      </w:r>
      <w:r w:rsidRPr="00610B1B">
        <w:rPr>
          <w:rStyle w:val="FontStyle19"/>
          <w:rFonts w:eastAsia="Source Han Sans CN Regular" w:cs="Times New Roman"/>
          <w:b/>
          <w:i/>
          <w:lang w:eastAsia="bg-BG"/>
        </w:rPr>
        <w:t>ОВМ</w:t>
      </w:r>
      <w:r w:rsidRPr="00610B1B">
        <w:rPr>
          <w:rStyle w:val="FontStyle19"/>
          <w:rFonts w:eastAsia="Source Han Sans CN Regular" w:cs="Times New Roman"/>
          <w:iCs/>
          <w:lang w:eastAsia="bg-BG"/>
        </w:rPr>
        <w:t>)</w:t>
      </w:r>
    </w:p>
    <w:p w14:paraId="053CF9F5" w14:textId="5AF1CF7C"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Мрежата на Орнитологично важните места </w:t>
      </w:r>
      <w:r w:rsidRPr="00610B1B">
        <w:rPr>
          <w:rFonts w:cs="Times New Roman"/>
          <w:iCs/>
        </w:rPr>
        <w:t>(</w:t>
      </w:r>
      <w:r w:rsidRPr="00610B1B">
        <w:rPr>
          <w:rFonts w:cs="Times New Roman"/>
        </w:rPr>
        <w:t>ОВМ</w:t>
      </w:r>
      <w:r w:rsidRPr="00610B1B">
        <w:rPr>
          <w:rFonts w:cs="Times New Roman"/>
          <w:iCs/>
        </w:rPr>
        <w:t>)</w:t>
      </w:r>
      <w:r w:rsidRPr="00610B1B">
        <w:rPr>
          <w:rFonts w:cs="Times New Roman"/>
        </w:rPr>
        <w:t xml:space="preserve"> в България обхваща</w:t>
      </w:r>
      <w:r w:rsidR="00D66FE0" w:rsidRPr="00610B1B">
        <w:rPr>
          <w:rFonts w:cs="Times New Roman"/>
        </w:rPr>
        <w:t xml:space="preserve"> </w:t>
      </w:r>
      <w:r w:rsidRPr="00610B1B">
        <w:rPr>
          <w:rFonts w:cs="Times New Roman"/>
        </w:rPr>
        <w:t>114 ОВМ, 87 от които със световно значение, а 112 с Европейско значение, с обща площ от 26 021 km</w:t>
      </w:r>
      <w:r w:rsidRPr="00610B1B">
        <w:rPr>
          <w:rFonts w:cs="Times New Roman"/>
          <w:vertAlign w:val="superscript"/>
        </w:rPr>
        <w:t>2</w:t>
      </w:r>
      <w:r w:rsidRPr="00610B1B">
        <w:rPr>
          <w:rFonts w:cs="Times New Roman"/>
        </w:rPr>
        <w:t>, или 23% от територията на страната</w:t>
      </w:r>
      <w:r w:rsidR="00D66FE0" w:rsidRPr="00610B1B">
        <w:rPr>
          <w:rFonts w:cs="Times New Roman"/>
        </w:rPr>
        <w:t xml:space="preserve"> </w:t>
      </w:r>
      <w:r w:rsidRPr="00610B1B">
        <w:rPr>
          <w:rFonts w:cs="Times New Roman"/>
        </w:rPr>
        <w:t>и 542,72 km</w:t>
      </w:r>
      <w:r w:rsidRPr="00610B1B">
        <w:rPr>
          <w:rFonts w:cs="Times New Roman"/>
          <w:vertAlign w:val="superscript"/>
        </w:rPr>
        <w:t>2</w:t>
      </w:r>
      <w:r w:rsidRPr="00610B1B">
        <w:rPr>
          <w:rFonts w:cs="Times New Roman"/>
        </w:rPr>
        <w:t xml:space="preserve"> морска акватория.</w:t>
      </w:r>
      <w:r w:rsidRPr="00610B1B">
        <w:rPr>
          <w:rStyle w:val="a4"/>
          <w:rFonts w:cs="Times New Roman"/>
        </w:rPr>
        <w:footnoteReference w:id="94"/>
      </w:r>
      <w:r w:rsidRPr="00610B1B">
        <w:rPr>
          <w:rFonts w:cs="Times New Roman"/>
        </w:rPr>
        <w:t xml:space="preserve"> В периода 12-16.01.2017 г. е проведено среднозимно преброяване на зимуващите водолюбиви птици в България и е установена най-високата численост - 670 236 индивида от 8 разреда в 116 водоема, в сравнение с наблюдаваните 237 656 индивида през 2015 г.</w:t>
      </w:r>
      <w:r w:rsidR="00D66FE0" w:rsidRPr="00610B1B">
        <w:rPr>
          <w:rFonts w:cs="Times New Roman"/>
        </w:rPr>
        <w:t xml:space="preserve"> </w:t>
      </w:r>
      <w:r w:rsidRPr="00610B1B">
        <w:rPr>
          <w:rFonts w:cs="Times New Roman"/>
        </w:rPr>
        <w:t xml:space="preserve">Най-големи струпвания са наблюдавани по черноморското крайбрежие и на местата в близост до него. Най-многочислени са птиците на територията на комплекс “Езеро Вая“ – 425 537 индивида от 32 вида, </w:t>
      </w:r>
      <w:r w:rsidR="00612496" w:rsidRPr="00610B1B">
        <w:rPr>
          <w:rFonts w:cs="Times New Roman"/>
        </w:rPr>
        <w:t>к</w:t>
      </w:r>
      <w:r w:rsidRPr="00610B1B">
        <w:rPr>
          <w:rFonts w:cs="Times New Roman"/>
        </w:rPr>
        <w:t xml:space="preserve">омплекс „Дуранкулак“ – 19 351 индивида от 23 вида и </w:t>
      </w:r>
      <w:r w:rsidR="00612496" w:rsidRPr="00610B1B">
        <w:rPr>
          <w:rFonts w:cs="Times New Roman"/>
        </w:rPr>
        <w:t>к</w:t>
      </w:r>
      <w:r w:rsidRPr="00610B1B">
        <w:rPr>
          <w:rFonts w:cs="Times New Roman"/>
        </w:rPr>
        <w:t>омплекс „Шабленско езеро“ – 13 038 екз. от 20 вида зимуващи водолюбиви птици.</w:t>
      </w:r>
      <w:r w:rsidRPr="00610B1B">
        <w:rPr>
          <w:rStyle w:val="a4"/>
          <w:rFonts w:cs="Times New Roman"/>
        </w:rPr>
        <w:footnoteReference w:id="95"/>
      </w:r>
      <w:r w:rsidRPr="00610B1B">
        <w:rPr>
          <w:rFonts w:cs="Times New Roman"/>
        </w:rPr>
        <w:t xml:space="preserve"> </w:t>
      </w:r>
    </w:p>
    <w:p w14:paraId="0F4DE447" w14:textId="01578BAA" w:rsidR="009D4A0E" w:rsidRPr="00610B1B" w:rsidRDefault="009D4A0E" w:rsidP="00D32D6A">
      <w:pPr>
        <w:pStyle w:val="BodyText"/>
        <w:spacing w:before="0" w:after="120" w:line="276" w:lineRule="auto"/>
        <w:ind w:right="-153"/>
        <w:rPr>
          <w:rFonts w:cs="Times New Roman"/>
        </w:rPr>
      </w:pPr>
      <w:r w:rsidRPr="00610B1B">
        <w:rPr>
          <w:rFonts w:eastAsia="Times New Roman" w:cs="Times New Roman"/>
          <w:lang w:eastAsia="bg-BG"/>
        </w:rPr>
        <w:lastRenderedPageBreak/>
        <w:t>ОВМ за струпващи се птици, по време на миграция и особено през зимния сезон,</w:t>
      </w:r>
      <w:r w:rsidR="00D66FE0" w:rsidRPr="00610B1B">
        <w:rPr>
          <w:rFonts w:eastAsia="Times New Roman" w:cs="Times New Roman"/>
          <w:lang w:eastAsia="bg-BG"/>
        </w:rPr>
        <w:t xml:space="preserve"> </w:t>
      </w:r>
      <w:r w:rsidRPr="00610B1B">
        <w:rPr>
          <w:rFonts w:eastAsia="Times New Roman" w:cs="Times New Roman"/>
          <w:lang w:eastAsia="bg-BG"/>
        </w:rPr>
        <w:t xml:space="preserve">разположени по Черноморското крайбрежие, са изключително важни за опазване на орнитофауната в света. Те са важни места за почивка по пътищата за миграция и особено по втория по-големина път за прелетни птици в Европа - </w:t>
      </w:r>
      <w:r w:rsidRPr="00610B1B">
        <w:rPr>
          <w:rFonts w:eastAsia="Times New Roman" w:cs="Times New Roman"/>
          <w:i/>
          <w:lang w:eastAsia="bg-BG"/>
        </w:rPr>
        <w:t xml:space="preserve">Via Pontica. </w:t>
      </w:r>
    </w:p>
    <w:p w14:paraId="6E72C555" w14:textId="77777777" w:rsidR="009D4A0E" w:rsidRPr="00610B1B" w:rsidRDefault="009D4A0E" w:rsidP="00D32D6A">
      <w:pPr>
        <w:pStyle w:val="BodyText"/>
        <w:spacing w:before="0" w:after="120" w:line="276" w:lineRule="auto"/>
        <w:ind w:right="-153"/>
        <w:rPr>
          <w:rFonts w:cs="Times New Roman"/>
        </w:rPr>
      </w:pPr>
      <w:r w:rsidRPr="00610B1B">
        <w:rPr>
          <w:rStyle w:val="FontStyle19"/>
          <w:rFonts w:eastAsia="Source Han Sans CN Regular" w:cs="Times New Roman"/>
          <w:sz w:val="24"/>
        </w:rPr>
        <w:t>Защитените територии, изцяло или частично, се припокриват с обявените защитени зони Натура 2000 в България.</w:t>
      </w:r>
    </w:p>
    <w:p w14:paraId="3327170A" w14:textId="7E89F681" w:rsidR="009D4A0E" w:rsidRPr="00610B1B" w:rsidRDefault="00E10F89" w:rsidP="00D32D6A">
      <w:pPr>
        <w:pStyle w:val="Heading4"/>
        <w:spacing w:before="0" w:line="276" w:lineRule="auto"/>
        <w:rPr>
          <w:rFonts w:cs="Times New Roman"/>
        </w:rPr>
      </w:pPr>
      <w:r w:rsidRPr="00610B1B">
        <w:rPr>
          <w:rFonts w:cs="Times New Roman"/>
        </w:rPr>
        <w:t xml:space="preserve">2.2.5.2. </w:t>
      </w:r>
      <w:r w:rsidR="009D4A0E" w:rsidRPr="00610B1B">
        <w:rPr>
          <w:rFonts w:cs="Times New Roman"/>
        </w:rPr>
        <w:t>Защитени зони</w:t>
      </w:r>
      <w:r w:rsidR="00F52575" w:rsidRPr="00610B1B">
        <w:rPr>
          <w:rFonts w:cs="Times New Roman"/>
        </w:rPr>
        <w:t xml:space="preserve"> </w:t>
      </w:r>
    </w:p>
    <w:p w14:paraId="78828DE7" w14:textId="05E957E4" w:rsidR="009D4A0E" w:rsidRPr="00610B1B" w:rsidRDefault="009D4A0E" w:rsidP="00D32D6A">
      <w:pPr>
        <w:pStyle w:val="BodyText"/>
        <w:spacing w:before="0" w:after="120" w:line="276" w:lineRule="auto"/>
        <w:ind w:right="-153"/>
        <w:rPr>
          <w:rFonts w:cs="Times New Roman"/>
        </w:rPr>
      </w:pPr>
      <w:r w:rsidRPr="00610B1B">
        <w:rPr>
          <w:rFonts w:eastAsia="Times New Roman" w:cs="Times New Roman"/>
          <w:bCs/>
          <w:lang w:eastAsia="bg-BG"/>
        </w:rPr>
        <w:t>По данни от последния Национален доклад за състоянието и опазването на околната среда в Р България, 2019 г.</w:t>
      </w:r>
      <w:r w:rsidRPr="00610B1B">
        <w:rPr>
          <w:rStyle w:val="a4"/>
          <w:rFonts w:eastAsia="Times New Roman" w:cs="Times New Roman"/>
          <w:bCs/>
          <w:lang w:eastAsia="bg-BG"/>
        </w:rPr>
        <w:footnoteReference w:id="96"/>
      </w:r>
      <w:r w:rsidRPr="00610B1B">
        <w:rPr>
          <w:rFonts w:eastAsia="Times New Roman" w:cs="Times New Roman"/>
          <w:bCs/>
          <w:lang w:eastAsia="bg-BG"/>
        </w:rPr>
        <w:t xml:space="preserve">, към края на 2017 г. Министерският съвет е приел 339 защитени зони </w:t>
      </w:r>
      <w:r w:rsidRPr="00610B1B">
        <w:rPr>
          <w:rFonts w:eastAsia="Times New Roman" w:cs="Times New Roman"/>
          <w:bCs/>
          <w:iCs/>
          <w:lang w:eastAsia="bg-BG"/>
        </w:rPr>
        <w:t>(</w:t>
      </w:r>
      <w:r w:rsidRPr="00610B1B">
        <w:rPr>
          <w:rFonts w:eastAsia="Times New Roman" w:cs="Times New Roman"/>
          <w:bCs/>
          <w:lang w:eastAsia="bg-BG"/>
        </w:rPr>
        <w:t>352 на брой, от които 13 бр. с обща граница по двете директиви</w:t>
      </w:r>
      <w:r w:rsidRPr="00610B1B">
        <w:rPr>
          <w:rFonts w:eastAsia="Times New Roman" w:cs="Times New Roman"/>
          <w:bCs/>
          <w:iCs/>
          <w:lang w:eastAsia="bg-BG"/>
        </w:rPr>
        <w:t>)</w:t>
      </w:r>
      <w:r w:rsidRPr="00610B1B">
        <w:rPr>
          <w:rFonts w:eastAsia="Times New Roman" w:cs="Times New Roman"/>
          <w:bCs/>
          <w:lang w:eastAsia="bg-BG"/>
        </w:rPr>
        <w:t xml:space="preserve"> от мрежата “Натура</w:t>
      </w:r>
      <w:r w:rsidR="00757909" w:rsidRPr="00610B1B">
        <w:rPr>
          <w:rFonts w:eastAsia="Times New Roman" w:cs="Times New Roman"/>
          <w:bCs/>
          <w:lang w:eastAsia="bg-BG"/>
        </w:rPr>
        <w:t> </w:t>
      </w:r>
      <w:r w:rsidRPr="00610B1B">
        <w:rPr>
          <w:rFonts w:eastAsia="Times New Roman" w:cs="Times New Roman"/>
          <w:bCs/>
          <w:lang w:eastAsia="bg-BG"/>
        </w:rPr>
        <w:t>2000“, покриващи общо 34.4% от територията на страната.</w:t>
      </w:r>
      <w:r w:rsidR="00F52575" w:rsidRPr="00610B1B">
        <w:rPr>
          <w:rFonts w:eastAsia="Times New Roman" w:cs="Times New Roman"/>
          <w:bCs/>
          <w:lang w:eastAsia="bg-BG"/>
        </w:rPr>
        <w:t xml:space="preserve"> </w:t>
      </w:r>
      <w:r w:rsidRPr="00610B1B">
        <w:rPr>
          <w:rFonts w:eastAsia="Times New Roman" w:cs="Times New Roman"/>
          <w:lang w:eastAsia="bg-BG"/>
        </w:rPr>
        <w:t>По данни на ИАОС, към същата дата, определените защитени зони, съгласно Директивата за птиците </w:t>
      </w:r>
      <w:r w:rsidR="00612496" w:rsidRPr="00610B1B">
        <w:rPr>
          <w:rFonts w:eastAsia="Times New Roman" w:cs="Times New Roman"/>
          <w:lang w:eastAsia="bg-BG"/>
        </w:rPr>
        <w:t>са</w:t>
      </w:r>
      <w:r w:rsidRPr="00610B1B">
        <w:rPr>
          <w:rFonts w:eastAsia="Times New Roman" w:cs="Times New Roman"/>
          <w:lang w:eastAsia="bg-BG"/>
        </w:rPr>
        <w:t xml:space="preserve"> 119 бр. с площ 2 523 661 ha </w:t>
      </w:r>
      <w:r w:rsidRPr="00610B1B">
        <w:rPr>
          <w:rFonts w:eastAsia="Times New Roman" w:cs="Times New Roman"/>
          <w:iCs/>
          <w:lang w:eastAsia="bg-BG"/>
        </w:rPr>
        <w:t>(</w:t>
      </w:r>
      <w:r w:rsidRPr="00610B1B">
        <w:rPr>
          <w:rFonts w:eastAsia="Times New Roman" w:cs="Times New Roman"/>
          <w:lang w:eastAsia="bg-BG"/>
        </w:rPr>
        <w:t>22.7% от общата територия на страната</w:t>
      </w:r>
      <w:r w:rsidRPr="00610B1B">
        <w:rPr>
          <w:rFonts w:eastAsia="Times New Roman" w:cs="Times New Roman"/>
          <w:iCs/>
          <w:lang w:eastAsia="bg-BG"/>
        </w:rPr>
        <w:t>)</w:t>
      </w:r>
      <w:r w:rsidRPr="00610B1B">
        <w:rPr>
          <w:rFonts w:eastAsia="Times New Roman" w:cs="Times New Roman"/>
          <w:lang w:eastAsia="bg-BG"/>
        </w:rPr>
        <w:t>, а броят на</w:t>
      </w:r>
      <w:r w:rsidR="00D66FE0" w:rsidRPr="00610B1B">
        <w:rPr>
          <w:rFonts w:eastAsia="Times New Roman" w:cs="Times New Roman"/>
          <w:lang w:eastAsia="bg-BG"/>
        </w:rPr>
        <w:t xml:space="preserve"> </w:t>
      </w:r>
      <w:r w:rsidRPr="00610B1B">
        <w:rPr>
          <w:rFonts w:eastAsia="Times New Roman" w:cs="Times New Roman"/>
          <w:lang w:eastAsia="bg-BG"/>
        </w:rPr>
        <w:t xml:space="preserve">защитени зони съгласно Директивата за местообитанията е 233 с площ 3 326 973 ha </w:t>
      </w:r>
      <w:r w:rsidRPr="00610B1B">
        <w:rPr>
          <w:rFonts w:eastAsia="Times New Roman" w:cs="Times New Roman"/>
          <w:iCs/>
          <w:lang w:eastAsia="bg-BG"/>
        </w:rPr>
        <w:t>(</w:t>
      </w:r>
      <w:r w:rsidRPr="00610B1B">
        <w:rPr>
          <w:rFonts w:eastAsia="Times New Roman" w:cs="Times New Roman"/>
          <w:lang w:eastAsia="bg-BG"/>
        </w:rPr>
        <w:t>30% от общата територия на страната</w:t>
      </w:r>
      <w:r w:rsidRPr="00610B1B">
        <w:rPr>
          <w:rFonts w:eastAsia="Times New Roman" w:cs="Times New Roman"/>
          <w:iCs/>
          <w:lang w:eastAsia="bg-BG"/>
        </w:rPr>
        <w:t>)</w:t>
      </w:r>
      <w:r w:rsidRPr="00610B1B">
        <w:rPr>
          <w:rFonts w:eastAsia="Times New Roman" w:cs="Times New Roman"/>
          <w:lang w:eastAsia="bg-BG"/>
        </w:rPr>
        <w:t>. Защитените зони включват общо 282 135 ha морски пространства, което е 6,9% от общата им площ. От защитените зони в морските пространства преобладават тези по Директивата за местообитанията - 247 724 ha, докато тези, обявени по Директивата за птиците, са на площ от 54 489 ha.</w:t>
      </w:r>
    </w:p>
    <w:p w14:paraId="438AE0A3" w14:textId="41397E8E" w:rsidR="009D4A0E" w:rsidRPr="00610B1B" w:rsidRDefault="009D4A0E" w:rsidP="00D32D6A">
      <w:pPr>
        <w:pStyle w:val="BodyText"/>
        <w:spacing w:before="0" w:after="120" w:line="276" w:lineRule="auto"/>
        <w:ind w:right="-153"/>
        <w:rPr>
          <w:rFonts w:eastAsia="Times New Roman" w:cs="Times New Roman"/>
          <w:lang w:eastAsia="bg-BG"/>
        </w:rPr>
      </w:pPr>
      <w:r w:rsidRPr="00610B1B">
        <w:rPr>
          <w:rFonts w:eastAsia="Times New Roman" w:cs="Times New Roman"/>
          <w:lang w:eastAsia="bg-BG"/>
        </w:rPr>
        <w:t xml:space="preserve">По-голямата част от </w:t>
      </w:r>
      <w:r w:rsidR="00331812" w:rsidRPr="00610B1B">
        <w:rPr>
          <w:rFonts w:eastAsia="Times New Roman" w:cs="Times New Roman"/>
          <w:lang w:eastAsia="bg-BG"/>
        </w:rPr>
        <w:t>защитените зони</w:t>
      </w:r>
      <w:r w:rsidRPr="00610B1B">
        <w:rPr>
          <w:rFonts w:eastAsia="Times New Roman" w:cs="Times New Roman"/>
          <w:lang w:eastAsia="bg-BG"/>
        </w:rPr>
        <w:t xml:space="preserve"> в морските пространства попадат в териториалните води на Р</w:t>
      </w:r>
      <w:r w:rsidR="00C75124" w:rsidRPr="00610B1B">
        <w:rPr>
          <w:rFonts w:eastAsia="Times New Roman" w:cs="Times New Roman"/>
          <w:lang w:eastAsia="bg-BG"/>
        </w:rPr>
        <w:t>.</w:t>
      </w:r>
      <w:r w:rsidRPr="00610B1B">
        <w:rPr>
          <w:rFonts w:eastAsia="Times New Roman" w:cs="Times New Roman"/>
          <w:lang w:eastAsia="bg-BG"/>
        </w:rPr>
        <w:t xml:space="preserve"> България, </w:t>
      </w:r>
      <w:r w:rsidR="00331812" w:rsidRPr="00610B1B">
        <w:rPr>
          <w:rFonts w:eastAsia="Times New Roman" w:cs="Times New Roman"/>
          <w:lang w:eastAsia="bg-BG"/>
        </w:rPr>
        <w:t>а</w:t>
      </w:r>
      <w:r w:rsidRPr="00610B1B">
        <w:rPr>
          <w:rFonts w:eastAsia="Times New Roman" w:cs="Times New Roman"/>
          <w:lang w:eastAsia="bg-BG"/>
        </w:rPr>
        <w:t xml:space="preserve"> само 3 от тях частично се разпростират извън териториалните води. Това са защитените зони обявени по Директивата за местообитанията – ЗЗ BG 0000573 „Комплекс Калиакра“, ЗЗ BG0001501 „Емона“ и ЗЗ BG 0001001 „Ропотамо“.</w:t>
      </w:r>
    </w:p>
    <w:p w14:paraId="41D8A1A9" w14:textId="6FCFC5BA" w:rsidR="009D4A0E" w:rsidRPr="00610B1B" w:rsidRDefault="00E57141" w:rsidP="00D32D6A">
      <w:pPr>
        <w:pStyle w:val="Caption"/>
        <w:spacing w:before="0" w:line="276" w:lineRule="auto"/>
        <w:ind w:right="-153"/>
        <w:jc w:val="both"/>
        <w:rPr>
          <w:rFonts w:cs="Times New Roman"/>
        </w:rPr>
      </w:pPr>
      <w:bookmarkStart w:id="302" w:name="_Toc83391598"/>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2</w:t>
      </w:r>
      <w:r w:rsidRPr="00610B1B">
        <w:rPr>
          <w:rFonts w:cs="Times New Roman"/>
        </w:rPr>
        <w:fldChar w:fldCharType="end"/>
      </w:r>
      <w:r w:rsidRPr="00610B1B">
        <w:rPr>
          <w:rFonts w:cs="Times New Roman"/>
        </w:rPr>
        <w:t xml:space="preserve">: </w:t>
      </w:r>
      <w:r w:rsidR="009D4A0E" w:rsidRPr="00610B1B">
        <w:rPr>
          <w:rFonts w:cs="Times New Roman"/>
        </w:rPr>
        <w:t>Брой и площ на защитените зони от мрежата “Натура 2000“ в България</w:t>
      </w:r>
      <w:bookmarkEnd w:id="302"/>
    </w:p>
    <w:tbl>
      <w:tblPr>
        <w:tblW w:w="9012" w:type="dxa"/>
        <w:tblInd w:w="55" w:type="dxa"/>
        <w:tblBorders>
          <w:top w:val="single" w:sz="4" w:space="0" w:color="auto"/>
          <w:bottom w:val="single" w:sz="4" w:space="0" w:color="auto"/>
          <w:insideH w:val="single" w:sz="4" w:space="0" w:color="auto"/>
        </w:tblBorders>
        <w:tblCellMar>
          <w:left w:w="65" w:type="dxa"/>
          <w:right w:w="70" w:type="dxa"/>
        </w:tblCellMar>
        <w:tblLook w:val="0000" w:firstRow="0" w:lastRow="0" w:firstColumn="0" w:lastColumn="0" w:noHBand="0" w:noVBand="0"/>
      </w:tblPr>
      <w:tblGrid>
        <w:gridCol w:w="2634"/>
        <w:gridCol w:w="850"/>
        <w:gridCol w:w="1276"/>
        <w:gridCol w:w="1276"/>
        <w:gridCol w:w="1559"/>
        <w:gridCol w:w="1417"/>
      </w:tblGrid>
      <w:tr w:rsidR="009D4A0E" w:rsidRPr="00610B1B" w14:paraId="44DA9117" w14:textId="77777777" w:rsidTr="00901BE7">
        <w:trPr>
          <w:trHeight w:val="551"/>
        </w:trPr>
        <w:tc>
          <w:tcPr>
            <w:tcW w:w="2634" w:type="dxa"/>
            <w:shd w:val="clear" w:color="auto" w:fill="C6D9F1" w:themeFill="text2" w:themeFillTint="33"/>
            <w:tcMar>
              <w:left w:w="65" w:type="dxa"/>
            </w:tcMar>
            <w:vAlign w:val="center"/>
          </w:tcPr>
          <w:p w14:paraId="2EBE9F12" w14:textId="77777777" w:rsidR="009D4A0E" w:rsidRPr="00610B1B" w:rsidRDefault="009D4A0E" w:rsidP="00D32D6A">
            <w:pPr>
              <w:spacing w:after="0" w:line="240" w:lineRule="auto"/>
              <w:jc w:val="center"/>
              <w:rPr>
                <w:rFonts w:ascii="Times New Roman" w:eastAsia="Times New Roman" w:hAnsi="Times New Roman" w:cs="Times New Roman"/>
                <w:b/>
                <w:bCs/>
                <w:lang w:val="bg-BG" w:eastAsia="bg-BG"/>
              </w:rPr>
            </w:pPr>
            <w:r w:rsidRPr="00610B1B">
              <w:rPr>
                <w:rFonts w:ascii="Times New Roman" w:eastAsia="Times New Roman" w:hAnsi="Times New Roman" w:cs="Times New Roman"/>
                <w:b/>
                <w:bCs/>
                <w:lang w:val="bg-BG" w:eastAsia="bg-BG"/>
              </w:rPr>
              <w:t>Защитени зони</w:t>
            </w:r>
          </w:p>
        </w:tc>
        <w:tc>
          <w:tcPr>
            <w:tcW w:w="850" w:type="dxa"/>
            <w:shd w:val="clear" w:color="auto" w:fill="C6D9F1" w:themeFill="text2" w:themeFillTint="33"/>
            <w:vAlign w:val="center"/>
          </w:tcPr>
          <w:p w14:paraId="61E944BD" w14:textId="77777777" w:rsidR="009D4A0E" w:rsidRPr="00610B1B" w:rsidRDefault="009D4A0E" w:rsidP="00D32D6A">
            <w:pPr>
              <w:spacing w:after="0" w:line="240" w:lineRule="auto"/>
              <w:jc w:val="center"/>
              <w:rPr>
                <w:rFonts w:ascii="Times New Roman" w:eastAsia="Times New Roman" w:hAnsi="Times New Roman" w:cs="Times New Roman"/>
                <w:b/>
                <w:bCs/>
                <w:lang w:val="bg-BG" w:eastAsia="bg-BG"/>
              </w:rPr>
            </w:pPr>
            <w:r w:rsidRPr="00610B1B">
              <w:rPr>
                <w:rFonts w:ascii="Times New Roman" w:eastAsia="Times New Roman" w:hAnsi="Times New Roman" w:cs="Times New Roman"/>
                <w:b/>
                <w:bCs/>
                <w:lang w:val="bg-BG" w:eastAsia="bg-BG"/>
              </w:rPr>
              <w:t>Брой</w:t>
            </w:r>
          </w:p>
        </w:tc>
        <w:tc>
          <w:tcPr>
            <w:tcW w:w="1276" w:type="dxa"/>
            <w:shd w:val="clear" w:color="auto" w:fill="C6D9F1" w:themeFill="text2" w:themeFillTint="33"/>
            <w:vAlign w:val="center"/>
          </w:tcPr>
          <w:p w14:paraId="4CFEE046" w14:textId="77777777" w:rsidR="009D4A0E" w:rsidRPr="00610B1B" w:rsidRDefault="009D4A0E" w:rsidP="00D32D6A">
            <w:pPr>
              <w:spacing w:after="0" w:line="240" w:lineRule="auto"/>
              <w:jc w:val="center"/>
              <w:rPr>
                <w:rFonts w:ascii="Times New Roman" w:eastAsia="Times New Roman" w:hAnsi="Times New Roman" w:cs="Times New Roman"/>
                <w:b/>
                <w:bCs/>
                <w:lang w:val="bg-BG" w:eastAsia="bg-BG"/>
              </w:rPr>
            </w:pPr>
            <w:r w:rsidRPr="00610B1B">
              <w:rPr>
                <w:rFonts w:ascii="Times New Roman" w:eastAsia="Times New Roman" w:hAnsi="Times New Roman" w:cs="Times New Roman"/>
                <w:b/>
                <w:bCs/>
                <w:lang w:val="bg-BG" w:eastAsia="bg-BG"/>
              </w:rPr>
              <w:t>Площ [ha]</w:t>
            </w:r>
          </w:p>
        </w:tc>
        <w:tc>
          <w:tcPr>
            <w:tcW w:w="1276" w:type="dxa"/>
            <w:shd w:val="clear" w:color="auto" w:fill="C6D9F1" w:themeFill="text2" w:themeFillTint="33"/>
            <w:vAlign w:val="center"/>
          </w:tcPr>
          <w:p w14:paraId="68EEC08F" w14:textId="77777777" w:rsidR="009D4A0E" w:rsidRPr="00610B1B" w:rsidRDefault="009D4A0E" w:rsidP="00D32D6A">
            <w:pPr>
              <w:spacing w:after="0" w:line="240" w:lineRule="auto"/>
              <w:jc w:val="center"/>
              <w:rPr>
                <w:rFonts w:ascii="Times New Roman" w:eastAsia="Times New Roman" w:hAnsi="Times New Roman" w:cs="Times New Roman"/>
                <w:b/>
                <w:bCs/>
                <w:lang w:val="bg-BG" w:eastAsia="bg-BG"/>
              </w:rPr>
            </w:pPr>
            <w:r w:rsidRPr="00610B1B">
              <w:rPr>
                <w:rFonts w:ascii="Times New Roman" w:eastAsia="Times New Roman" w:hAnsi="Times New Roman" w:cs="Times New Roman"/>
                <w:b/>
                <w:bCs/>
                <w:lang w:val="bg-BG" w:eastAsia="bg-BG"/>
              </w:rPr>
              <w:t>Територия [ha]</w:t>
            </w:r>
          </w:p>
        </w:tc>
        <w:tc>
          <w:tcPr>
            <w:tcW w:w="1559" w:type="dxa"/>
            <w:shd w:val="clear" w:color="auto" w:fill="C6D9F1" w:themeFill="text2" w:themeFillTint="33"/>
            <w:vAlign w:val="center"/>
          </w:tcPr>
          <w:p w14:paraId="2A5E13B4" w14:textId="77777777" w:rsidR="009D4A0E" w:rsidRPr="00610B1B" w:rsidRDefault="009D4A0E" w:rsidP="00D32D6A">
            <w:pPr>
              <w:spacing w:after="0" w:line="240" w:lineRule="auto"/>
              <w:jc w:val="center"/>
              <w:rPr>
                <w:rFonts w:ascii="Times New Roman" w:eastAsia="Times New Roman" w:hAnsi="Times New Roman" w:cs="Times New Roman"/>
                <w:b/>
                <w:bCs/>
                <w:lang w:val="bg-BG" w:eastAsia="bg-BG"/>
              </w:rPr>
            </w:pPr>
            <w:r w:rsidRPr="00610B1B">
              <w:rPr>
                <w:rFonts w:ascii="Times New Roman" w:eastAsia="Times New Roman" w:hAnsi="Times New Roman" w:cs="Times New Roman"/>
                <w:b/>
                <w:bCs/>
                <w:lang w:val="bg-BG" w:eastAsia="bg-BG"/>
              </w:rPr>
              <w:t>Морски пространства [ha]</w:t>
            </w:r>
          </w:p>
        </w:tc>
        <w:tc>
          <w:tcPr>
            <w:tcW w:w="1417" w:type="dxa"/>
            <w:shd w:val="clear" w:color="auto" w:fill="C6D9F1" w:themeFill="text2" w:themeFillTint="33"/>
            <w:vAlign w:val="center"/>
          </w:tcPr>
          <w:p w14:paraId="7626AD7D" w14:textId="77777777" w:rsidR="009D4A0E" w:rsidRPr="00610B1B" w:rsidRDefault="009D4A0E" w:rsidP="00D32D6A">
            <w:pPr>
              <w:spacing w:after="0" w:line="240" w:lineRule="auto"/>
              <w:jc w:val="center"/>
              <w:rPr>
                <w:rFonts w:ascii="Times New Roman" w:eastAsia="Times New Roman" w:hAnsi="Times New Roman" w:cs="Times New Roman"/>
                <w:b/>
                <w:bCs/>
                <w:lang w:val="bg-BG" w:eastAsia="bg-BG"/>
              </w:rPr>
            </w:pPr>
            <w:r w:rsidRPr="00610B1B">
              <w:rPr>
                <w:rFonts w:ascii="Times New Roman" w:eastAsia="Times New Roman" w:hAnsi="Times New Roman" w:cs="Times New Roman"/>
                <w:b/>
                <w:bCs/>
                <w:lang w:val="bg-BG" w:eastAsia="bg-BG"/>
              </w:rPr>
              <w:t>% от нац. територия</w:t>
            </w:r>
          </w:p>
        </w:tc>
      </w:tr>
      <w:tr w:rsidR="009D4A0E" w:rsidRPr="00610B1B" w14:paraId="22A6621B" w14:textId="77777777" w:rsidTr="001E3FED">
        <w:trPr>
          <w:trHeight w:val="336"/>
        </w:trPr>
        <w:tc>
          <w:tcPr>
            <w:tcW w:w="2634" w:type="dxa"/>
            <w:shd w:val="clear" w:color="auto" w:fill="FFFFFF"/>
            <w:tcMar>
              <w:left w:w="65" w:type="dxa"/>
            </w:tcMar>
            <w:vAlign w:val="center"/>
          </w:tcPr>
          <w:p w14:paraId="0FFD02CA" w14:textId="77777777" w:rsidR="009D4A0E" w:rsidRPr="00610B1B" w:rsidRDefault="009D4A0E" w:rsidP="00D32D6A">
            <w:pPr>
              <w:spacing w:after="0" w:line="240" w:lineRule="auto"/>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За местообитания</w:t>
            </w:r>
          </w:p>
        </w:tc>
        <w:tc>
          <w:tcPr>
            <w:tcW w:w="850" w:type="dxa"/>
            <w:shd w:val="clear" w:color="auto" w:fill="FFFFFF"/>
            <w:vAlign w:val="center"/>
          </w:tcPr>
          <w:p w14:paraId="7860B447" w14:textId="3CD7E9DD"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233</w:t>
            </w:r>
          </w:p>
        </w:tc>
        <w:tc>
          <w:tcPr>
            <w:tcW w:w="1276" w:type="dxa"/>
            <w:shd w:val="clear" w:color="auto" w:fill="FFFFFF"/>
            <w:vAlign w:val="center"/>
          </w:tcPr>
          <w:p w14:paraId="30F11123" w14:textId="77777777"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3 574 673</w:t>
            </w:r>
          </w:p>
        </w:tc>
        <w:tc>
          <w:tcPr>
            <w:tcW w:w="1276" w:type="dxa"/>
            <w:shd w:val="clear" w:color="auto" w:fill="FFFFFF"/>
            <w:vAlign w:val="center"/>
          </w:tcPr>
          <w:p w14:paraId="2B2B439B" w14:textId="4233922F"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3 326 949</w:t>
            </w:r>
          </w:p>
        </w:tc>
        <w:tc>
          <w:tcPr>
            <w:tcW w:w="1559" w:type="dxa"/>
            <w:shd w:val="clear" w:color="auto" w:fill="FFFFFF"/>
            <w:vAlign w:val="center"/>
          </w:tcPr>
          <w:p w14:paraId="35CD6D9F" w14:textId="621326F6"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247 724</w:t>
            </w:r>
          </w:p>
        </w:tc>
        <w:tc>
          <w:tcPr>
            <w:tcW w:w="1417" w:type="dxa"/>
            <w:shd w:val="clear" w:color="auto" w:fill="FFFFFF"/>
            <w:vAlign w:val="center"/>
          </w:tcPr>
          <w:p w14:paraId="24F33E36" w14:textId="13CA8FA0"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30.0 %</w:t>
            </w:r>
          </w:p>
        </w:tc>
      </w:tr>
      <w:tr w:rsidR="009D4A0E" w:rsidRPr="00610B1B" w14:paraId="778191EA" w14:textId="77777777" w:rsidTr="001E3FED">
        <w:trPr>
          <w:trHeight w:val="300"/>
        </w:trPr>
        <w:tc>
          <w:tcPr>
            <w:tcW w:w="2634" w:type="dxa"/>
            <w:shd w:val="clear" w:color="auto" w:fill="FFFFFF"/>
            <w:tcMar>
              <w:left w:w="65" w:type="dxa"/>
            </w:tcMar>
            <w:vAlign w:val="center"/>
          </w:tcPr>
          <w:p w14:paraId="640E5A08" w14:textId="77777777" w:rsidR="009D4A0E" w:rsidRPr="00610B1B" w:rsidRDefault="009D4A0E" w:rsidP="00D32D6A">
            <w:pPr>
              <w:spacing w:after="0" w:line="240" w:lineRule="auto"/>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За птиците</w:t>
            </w:r>
          </w:p>
        </w:tc>
        <w:tc>
          <w:tcPr>
            <w:tcW w:w="850" w:type="dxa"/>
            <w:shd w:val="clear" w:color="auto" w:fill="FFFFFF"/>
            <w:vAlign w:val="center"/>
          </w:tcPr>
          <w:p w14:paraId="15A0D5E7" w14:textId="77777777"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119</w:t>
            </w:r>
          </w:p>
        </w:tc>
        <w:tc>
          <w:tcPr>
            <w:tcW w:w="1276" w:type="dxa"/>
            <w:shd w:val="clear" w:color="auto" w:fill="FFFFFF"/>
            <w:vAlign w:val="center"/>
          </w:tcPr>
          <w:p w14:paraId="563AAF19" w14:textId="77777777"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2 578 150</w:t>
            </w:r>
          </w:p>
        </w:tc>
        <w:tc>
          <w:tcPr>
            <w:tcW w:w="1276" w:type="dxa"/>
            <w:shd w:val="clear" w:color="auto" w:fill="FFFFFF"/>
            <w:vAlign w:val="center"/>
          </w:tcPr>
          <w:p w14:paraId="245C240E" w14:textId="77777777"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2 523 661</w:t>
            </w:r>
          </w:p>
        </w:tc>
        <w:tc>
          <w:tcPr>
            <w:tcW w:w="1559" w:type="dxa"/>
            <w:shd w:val="clear" w:color="auto" w:fill="FFFFFF"/>
            <w:vAlign w:val="center"/>
          </w:tcPr>
          <w:p w14:paraId="7DDFFBFB" w14:textId="77777777"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54 489</w:t>
            </w:r>
          </w:p>
        </w:tc>
        <w:tc>
          <w:tcPr>
            <w:tcW w:w="1417" w:type="dxa"/>
            <w:shd w:val="clear" w:color="auto" w:fill="FFFFFF"/>
            <w:vAlign w:val="center"/>
          </w:tcPr>
          <w:p w14:paraId="14D2D6A7" w14:textId="77777777" w:rsidR="009D4A0E" w:rsidRPr="00610B1B" w:rsidRDefault="009D4A0E" w:rsidP="00D32D6A">
            <w:pPr>
              <w:spacing w:after="0" w:line="240" w:lineRule="auto"/>
              <w:jc w:val="right"/>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22.7%</w:t>
            </w:r>
          </w:p>
        </w:tc>
      </w:tr>
      <w:tr w:rsidR="009D4A0E" w:rsidRPr="00610B1B" w14:paraId="0C71CF40" w14:textId="77777777" w:rsidTr="001E3FED">
        <w:trPr>
          <w:trHeight w:val="300"/>
        </w:trPr>
        <w:tc>
          <w:tcPr>
            <w:tcW w:w="2634" w:type="dxa"/>
            <w:shd w:val="clear" w:color="auto" w:fill="FFFFFF"/>
            <w:tcMar>
              <w:left w:w="65" w:type="dxa"/>
            </w:tcMar>
            <w:vAlign w:val="center"/>
          </w:tcPr>
          <w:p w14:paraId="40C7C8A0" w14:textId="77777777" w:rsidR="009D4A0E" w:rsidRPr="00610B1B" w:rsidRDefault="009D4A0E" w:rsidP="00D32D6A">
            <w:pPr>
              <w:spacing w:after="0" w:line="240" w:lineRule="auto"/>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Общо Натура 2000</w:t>
            </w:r>
          </w:p>
        </w:tc>
        <w:tc>
          <w:tcPr>
            <w:tcW w:w="850" w:type="dxa"/>
            <w:shd w:val="clear" w:color="auto" w:fill="FFFFFF"/>
            <w:vAlign w:val="center"/>
          </w:tcPr>
          <w:p w14:paraId="4B687D76" w14:textId="77777777" w:rsidR="009D4A0E" w:rsidRPr="00610B1B" w:rsidRDefault="009D4A0E" w:rsidP="00D32D6A">
            <w:pPr>
              <w:spacing w:after="0" w:line="240" w:lineRule="auto"/>
              <w:jc w:val="right"/>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339</w:t>
            </w:r>
          </w:p>
        </w:tc>
        <w:tc>
          <w:tcPr>
            <w:tcW w:w="1276" w:type="dxa"/>
            <w:shd w:val="clear" w:color="auto" w:fill="FFFFFF"/>
            <w:vAlign w:val="center"/>
          </w:tcPr>
          <w:p w14:paraId="02A201D2" w14:textId="77777777" w:rsidR="009D4A0E" w:rsidRPr="00610B1B" w:rsidRDefault="009D4A0E" w:rsidP="00D32D6A">
            <w:pPr>
              <w:spacing w:after="0" w:line="240" w:lineRule="auto"/>
              <w:jc w:val="right"/>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4 105 306</w:t>
            </w:r>
          </w:p>
        </w:tc>
        <w:tc>
          <w:tcPr>
            <w:tcW w:w="1276" w:type="dxa"/>
            <w:shd w:val="clear" w:color="auto" w:fill="FFFFFF"/>
            <w:vAlign w:val="center"/>
          </w:tcPr>
          <w:p w14:paraId="1C2C82A0" w14:textId="77777777" w:rsidR="009D4A0E" w:rsidRPr="00610B1B" w:rsidRDefault="009D4A0E" w:rsidP="00D32D6A">
            <w:pPr>
              <w:spacing w:after="0" w:line="240" w:lineRule="auto"/>
              <w:jc w:val="right"/>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3 823 170</w:t>
            </w:r>
          </w:p>
        </w:tc>
        <w:tc>
          <w:tcPr>
            <w:tcW w:w="1559" w:type="dxa"/>
            <w:shd w:val="clear" w:color="auto" w:fill="FFFFFF"/>
            <w:vAlign w:val="center"/>
          </w:tcPr>
          <w:p w14:paraId="729BE37B" w14:textId="77777777" w:rsidR="009D4A0E" w:rsidRPr="00610B1B" w:rsidRDefault="009D4A0E" w:rsidP="00D32D6A">
            <w:pPr>
              <w:spacing w:after="0" w:line="240" w:lineRule="auto"/>
              <w:jc w:val="right"/>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282 135</w:t>
            </w:r>
          </w:p>
        </w:tc>
        <w:tc>
          <w:tcPr>
            <w:tcW w:w="1417" w:type="dxa"/>
            <w:shd w:val="clear" w:color="auto" w:fill="FFFFFF"/>
            <w:vAlign w:val="center"/>
          </w:tcPr>
          <w:p w14:paraId="6172CEBB" w14:textId="77777777" w:rsidR="009D4A0E" w:rsidRPr="00610B1B" w:rsidRDefault="009D4A0E" w:rsidP="00D32D6A">
            <w:pPr>
              <w:spacing w:after="0" w:line="240" w:lineRule="auto"/>
              <w:jc w:val="right"/>
              <w:rPr>
                <w:rFonts w:ascii="Times New Roman" w:eastAsia="Times New Roman" w:hAnsi="Times New Roman" w:cs="Times New Roman"/>
                <w:bCs/>
                <w:lang w:val="bg-BG" w:eastAsia="bg-BG"/>
              </w:rPr>
            </w:pPr>
            <w:r w:rsidRPr="00610B1B">
              <w:rPr>
                <w:rFonts w:ascii="Times New Roman" w:eastAsia="Times New Roman" w:hAnsi="Times New Roman" w:cs="Times New Roman"/>
                <w:bCs/>
                <w:lang w:val="bg-BG" w:eastAsia="bg-BG"/>
              </w:rPr>
              <w:t>34.4%</w:t>
            </w:r>
          </w:p>
        </w:tc>
      </w:tr>
    </w:tbl>
    <w:p w14:paraId="052892A2" w14:textId="784EDD09" w:rsidR="009D4A0E" w:rsidRPr="00610B1B" w:rsidRDefault="009D4A0E" w:rsidP="00EC097D">
      <w:pPr>
        <w:pStyle w:val="Style7"/>
        <w:widowControl/>
        <w:spacing w:before="60" w:after="120" w:line="276" w:lineRule="auto"/>
        <w:ind w:right="-153"/>
        <w:jc w:val="left"/>
        <w:rPr>
          <w:rFonts w:cs="Times New Roman"/>
          <w:sz w:val="22"/>
          <w:szCs w:val="22"/>
          <w:lang w:val="bg-BG"/>
        </w:rPr>
      </w:pPr>
      <w:r w:rsidRPr="00610B1B">
        <w:rPr>
          <w:rFonts w:cs="Times New Roman"/>
          <w:sz w:val="22"/>
          <w:szCs w:val="22"/>
          <w:lang w:val="bg-BG"/>
        </w:rPr>
        <w:t>Източник: ИАОС, 2019</w:t>
      </w:r>
    </w:p>
    <w:p w14:paraId="65F4FD68" w14:textId="4037A175" w:rsidR="009D4A0E" w:rsidRPr="00610B1B" w:rsidRDefault="004F6CE6" w:rsidP="00D32D6A">
      <w:pPr>
        <w:pStyle w:val="Style7"/>
        <w:widowControl/>
        <w:spacing w:after="120" w:line="276" w:lineRule="auto"/>
        <w:ind w:right="-153"/>
        <w:rPr>
          <w:rFonts w:cs="Times New Roman"/>
          <w:b/>
          <w:bCs/>
          <w:sz w:val="22"/>
          <w:szCs w:val="22"/>
          <w:lang w:val="bg-BG"/>
        </w:rPr>
      </w:pPr>
      <w:r w:rsidRPr="00610B1B">
        <w:rPr>
          <w:rFonts w:cs="Times New Roman"/>
          <w:lang w:val="bg-BG"/>
        </w:rPr>
        <w:t xml:space="preserve">Анализът на </w:t>
      </w:r>
      <w:r w:rsidR="00331812" w:rsidRPr="00610B1B">
        <w:rPr>
          <w:rFonts w:cs="Times New Roman"/>
          <w:lang w:val="bg-BG"/>
        </w:rPr>
        <w:t xml:space="preserve">всички </w:t>
      </w:r>
      <w:r w:rsidRPr="00610B1B">
        <w:rPr>
          <w:rFonts w:cs="Times New Roman"/>
          <w:lang w:val="bg-BG"/>
        </w:rPr>
        <w:t xml:space="preserve">защитени зони по двете директиви е изготвен въз основа на данните от </w:t>
      </w:r>
      <w:r w:rsidR="009D4A0E" w:rsidRPr="00610B1B">
        <w:rPr>
          <w:rStyle w:val="FontStyle14"/>
          <w:rFonts w:eastAsia="Source Han Sans CN Regular" w:cs="Times New Roman"/>
          <w:b w:val="0"/>
          <w:bCs/>
          <w:lang w:val="bg-BG"/>
        </w:rPr>
        <w:t>Регистър на защитените територии и защитените зони в България на ИАОС.</w:t>
      </w:r>
      <w:r w:rsidR="009D4A0E" w:rsidRPr="00610B1B">
        <w:rPr>
          <w:rStyle w:val="a4"/>
          <w:rFonts w:cs="Times New Roman"/>
          <w:lang w:val="bg-BG"/>
        </w:rPr>
        <w:footnoteReference w:id="97"/>
      </w:r>
      <w:r w:rsidR="00D66FE0" w:rsidRPr="00610B1B">
        <w:rPr>
          <w:rStyle w:val="FontStyle14"/>
          <w:rFonts w:eastAsia="Source Han Sans CN Regular" w:cs="Times New Roman"/>
          <w:b w:val="0"/>
          <w:bCs/>
          <w:lang w:val="bg-BG"/>
        </w:rPr>
        <w:t xml:space="preserve"> </w:t>
      </w:r>
      <w:r w:rsidRPr="00610B1B">
        <w:rPr>
          <w:rStyle w:val="FontStyle14"/>
          <w:rFonts w:eastAsia="Source Han Sans CN Regular" w:cs="Times New Roman"/>
          <w:b w:val="0"/>
          <w:bCs/>
          <w:lang w:val="bg-BG"/>
        </w:rPr>
        <w:t xml:space="preserve">Представени </w:t>
      </w:r>
      <w:r w:rsidR="00C75124" w:rsidRPr="00610B1B">
        <w:rPr>
          <w:rStyle w:val="FontStyle14"/>
          <w:rFonts w:eastAsia="Source Han Sans CN Regular" w:cs="Times New Roman"/>
          <w:b w:val="0"/>
          <w:bCs/>
          <w:lang w:val="bg-BG"/>
        </w:rPr>
        <w:t xml:space="preserve">са </w:t>
      </w:r>
      <w:r w:rsidRPr="00610B1B">
        <w:rPr>
          <w:rStyle w:val="FontStyle14"/>
          <w:rFonts w:eastAsia="Source Han Sans CN Regular" w:cs="Times New Roman"/>
          <w:b w:val="0"/>
          <w:bCs/>
          <w:lang w:val="bg-BG"/>
        </w:rPr>
        <w:t xml:space="preserve">само онези, които принадлежат към морското пространство. </w:t>
      </w:r>
    </w:p>
    <w:p w14:paraId="4741826B" w14:textId="0FE4BFA3" w:rsidR="009D4A0E" w:rsidRPr="00610B1B" w:rsidRDefault="009D4A0E" w:rsidP="00D32D6A">
      <w:pPr>
        <w:pStyle w:val="BodyText"/>
        <w:spacing w:before="0" w:after="120" w:line="276" w:lineRule="auto"/>
        <w:ind w:right="-153"/>
        <w:rPr>
          <w:rFonts w:cs="Times New Roman"/>
        </w:rPr>
      </w:pPr>
      <w:r w:rsidRPr="00610B1B">
        <w:rPr>
          <w:rStyle w:val="FontStyle14"/>
          <w:rFonts w:eastAsia="Source Han Sans CN Regular" w:cs="Times New Roman"/>
        </w:rPr>
        <w:t xml:space="preserve">Защитена зона </w:t>
      </w:r>
      <w:r w:rsidR="00744CB1" w:rsidRPr="00610B1B">
        <w:rPr>
          <w:rStyle w:val="FontStyle14"/>
          <w:rFonts w:eastAsia="Source Han Sans CN Regular" w:cs="Times New Roman"/>
        </w:rPr>
        <w:t xml:space="preserve">BG0000573 </w:t>
      </w:r>
      <w:r w:rsidRPr="00610B1B">
        <w:rPr>
          <w:rStyle w:val="FontStyle14"/>
          <w:rFonts w:eastAsia="Source Han Sans CN Regular" w:cs="Times New Roman"/>
        </w:rPr>
        <w:t>„Комплекс Калиакра“</w:t>
      </w:r>
      <w:r w:rsidR="004F6CE6" w:rsidRPr="00610B1B">
        <w:rPr>
          <w:rStyle w:val="FontStyle14"/>
          <w:rFonts w:eastAsia="Source Han Sans CN Regular" w:cs="Times New Roman"/>
        </w:rPr>
        <w:t xml:space="preserve"> </w:t>
      </w:r>
      <w:r w:rsidR="00524D30" w:rsidRPr="00610B1B">
        <w:rPr>
          <w:rStyle w:val="FontStyle14"/>
          <w:rFonts w:eastAsia="Source Han Sans CN Regular" w:cs="Times New Roman"/>
          <w:b w:val="0"/>
          <w:bCs/>
        </w:rPr>
        <w:t xml:space="preserve">за опазване на </w:t>
      </w:r>
      <w:r w:rsidR="00744CB1" w:rsidRPr="00610B1B">
        <w:rPr>
          <w:rStyle w:val="FontStyle14"/>
          <w:rFonts w:eastAsia="Source Han Sans CN Regular" w:cs="Times New Roman"/>
          <w:b w:val="0"/>
          <w:bCs/>
        </w:rPr>
        <w:t xml:space="preserve">природните </w:t>
      </w:r>
      <w:r w:rsidR="00524D30" w:rsidRPr="00610B1B">
        <w:rPr>
          <w:rStyle w:val="FontStyle14"/>
          <w:rFonts w:eastAsia="Source Han Sans CN Regular" w:cs="Times New Roman"/>
          <w:b w:val="0"/>
          <w:bCs/>
        </w:rPr>
        <w:t>местообитания</w:t>
      </w:r>
      <w:r w:rsidR="00744CB1" w:rsidRPr="00610B1B">
        <w:rPr>
          <w:rStyle w:val="FontStyle14"/>
          <w:rFonts w:eastAsia="Source Han Sans CN Regular" w:cs="Times New Roman"/>
          <w:b w:val="0"/>
          <w:bCs/>
        </w:rPr>
        <w:t xml:space="preserve"> и на дивата флора и фауна</w:t>
      </w:r>
      <w:r w:rsidR="00524D30" w:rsidRPr="00610B1B">
        <w:rPr>
          <w:rStyle w:val="FontStyle14"/>
          <w:rFonts w:eastAsia="Source Han Sans CN Regular" w:cs="Times New Roman"/>
        </w:rPr>
        <w:t xml:space="preserve"> </w:t>
      </w:r>
      <w:r w:rsidRPr="00610B1B">
        <w:rPr>
          <w:rStyle w:val="FontStyle13"/>
          <w:rFonts w:eastAsia="Source Han Sans CN Regular" w:cs="Times New Roman"/>
          <w:sz w:val="24"/>
        </w:rPr>
        <w:t>e обявена със Заповед № РД-815/12.12.2017 г. на основание чл. 12 ал. 6 и чл. 6 ал. 1, т.1 и 2 от Закона за биологичното разнообразие</w:t>
      </w:r>
      <w:r w:rsidR="00D66FE0" w:rsidRPr="00610B1B">
        <w:rPr>
          <w:rStyle w:val="FontStyle13"/>
          <w:rFonts w:eastAsia="Source Han Sans CN Regular" w:cs="Times New Roman"/>
          <w:sz w:val="24"/>
        </w:rPr>
        <w:t xml:space="preserve"> </w:t>
      </w:r>
      <w:r w:rsidRPr="00610B1B">
        <w:rPr>
          <w:rStyle w:val="FontStyle13"/>
          <w:rFonts w:eastAsia="Source Han Sans CN Regular" w:cs="Times New Roman"/>
          <w:sz w:val="24"/>
        </w:rPr>
        <w:t>и Решения на Министерски съвет съответно от 2007, 2008 и 2013 г.</w:t>
      </w:r>
      <w:r w:rsidR="00C75124" w:rsidRPr="00610B1B">
        <w:rPr>
          <w:rStyle w:val="FontStyle13"/>
          <w:rFonts w:eastAsia="Source Han Sans CN Regular" w:cs="Times New Roman"/>
          <w:sz w:val="24"/>
        </w:rPr>
        <w:t xml:space="preserve"> Тя</w:t>
      </w:r>
      <w:r w:rsidRPr="00610B1B">
        <w:rPr>
          <w:rStyle w:val="FontStyle13"/>
          <w:rFonts w:eastAsia="Source Han Sans CN Regular" w:cs="Times New Roman"/>
          <w:sz w:val="24"/>
        </w:rPr>
        <w:t xml:space="preserve"> обхваща обща площ от 48 336</w:t>
      </w:r>
      <w:r w:rsidR="00C75124"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27 ha от територията на общините Шабла, Каварна и Добрич, от които </w:t>
      </w:r>
      <w:r w:rsidR="00C75124" w:rsidRPr="00610B1B">
        <w:rPr>
          <w:rStyle w:val="FontStyle13"/>
          <w:rFonts w:eastAsia="Source Han Sans CN Regular" w:cs="Times New Roman"/>
          <w:sz w:val="24"/>
        </w:rPr>
        <w:t>90,5%</w:t>
      </w:r>
      <w:r w:rsidRPr="00610B1B">
        <w:rPr>
          <w:rStyle w:val="FontStyle13"/>
          <w:rFonts w:eastAsia="Source Han Sans CN Regular" w:cs="Times New Roman"/>
          <w:sz w:val="24"/>
        </w:rPr>
        <w:t xml:space="preserve"> морска акватория.</w:t>
      </w:r>
      <w:r w:rsidR="00D66FE0" w:rsidRPr="00610B1B">
        <w:rPr>
          <w:rStyle w:val="FontStyle13"/>
          <w:rFonts w:eastAsia="Source Han Sans CN Regular" w:cs="Times New Roman"/>
          <w:sz w:val="24"/>
        </w:rPr>
        <w:t xml:space="preserve"> </w:t>
      </w:r>
      <w:r w:rsidRPr="00610B1B">
        <w:rPr>
          <w:rStyle w:val="FontStyle13"/>
          <w:rFonts w:eastAsia="Source Han Sans CN Regular" w:cs="Times New Roman"/>
          <w:sz w:val="24"/>
        </w:rPr>
        <w:t xml:space="preserve">Дължината на крайбрежната линия е около 34 km. Крайбрежието от с. </w:t>
      </w:r>
      <w:r w:rsidRPr="00610B1B">
        <w:rPr>
          <w:rStyle w:val="FontStyle13"/>
          <w:rFonts w:eastAsia="Source Han Sans CN Regular" w:cs="Times New Roman"/>
          <w:sz w:val="24"/>
        </w:rPr>
        <w:lastRenderedPageBreak/>
        <w:t>Тюленово до н</w:t>
      </w:r>
      <w:r w:rsidR="00362E25" w:rsidRPr="00610B1B">
        <w:rPr>
          <w:rStyle w:val="FontStyle13"/>
          <w:rFonts w:eastAsia="Source Han Sans CN Regular" w:cs="Times New Roman"/>
          <w:sz w:val="24"/>
        </w:rPr>
        <w:t>ос</w:t>
      </w:r>
      <w:r w:rsidRPr="00610B1B">
        <w:rPr>
          <w:rStyle w:val="FontStyle13"/>
          <w:rFonts w:eastAsia="Source Han Sans CN Regular" w:cs="Times New Roman"/>
          <w:sz w:val="24"/>
        </w:rPr>
        <w:t xml:space="preserve"> Калиакра се отличава с клифов бряг със средна височина 40 m </w:t>
      </w:r>
      <w:r w:rsidRPr="00610B1B">
        <w:rPr>
          <w:rStyle w:val="FontStyle13"/>
          <w:rFonts w:eastAsia="Source Han Sans CN Regular" w:cs="Times New Roman"/>
          <w:iCs/>
          <w:sz w:val="24"/>
        </w:rPr>
        <w:t>(</w:t>
      </w:r>
      <w:r w:rsidRPr="00610B1B">
        <w:rPr>
          <w:rStyle w:val="FontStyle13"/>
          <w:rFonts w:eastAsia="Source Han Sans CN Regular" w:cs="Times New Roman"/>
          <w:sz w:val="24"/>
        </w:rPr>
        <w:t>максимална височина 65 m при н</w:t>
      </w:r>
      <w:r w:rsidR="00C75124" w:rsidRPr="00610B1B">
        <w:rPr>
          <w:rStyle w:val="FontStyle13"/>
          <w:rFonts w:eastAsia="Source Han Sans CN Regular" w:cs="Times New Roman"/>
          <w:sz w:val="24"/>
        </w:rPr>
        <w:t>ос</w:t>
      </w:r>
      <w:r w:rsidRPr="00610B1B">
        <w:rPr>
          <w:rStyle w:val="FontStyle13"/>
          <w:rFonts w:eastAsia="Source Han Sans CN Regular" w:cs="Times New Roman"/>
          <w:sz w:val="24"/>
        </w:rPr>
        <w:t xml:space="preserve"> Калиакра</w:t>
      </w:r>
      <w:r w:rsidRPr="00610B1B">
        <w:rPr>
          <w:rStyle w:val="FontStyle13"/>
          <w:rFonts w:eastAsia="Source Han Sans CN Regular" w:cs="Times New Roman"/>
          <w:iCs/>
          <w:sz w:val="24"/>
        </w:rPr>
        <w:t>)</w:t>
      </w:r>
      <w:r w:rsidRPr="00610B1B">
        <w:rPr>
          <w:rStyle w:val="FontStyle13"/>
          <w:rFonts w:eastAsia="Source Han Sans CN Regular" w:cs="Times New Roman"/>
          <w:sz w:val="24"/>
        </w:rPr>
        <w:t xml:space="preserve"> и експозиция </w:t>
      </w:r>
      <w:r w:rsidR="00C75124" w:rsidRPr="00610B1B">
        <w:rPr>
          <w:rStyle w:val="FontStyle13"/>
          <w:rFonts w:eastAsia="Source Han Sans CN Regular" w:cs="Times New Roman"/>
          <w:sz w:val="24"/>
        </w:rPr>
        <w:t>североизток-изток</w:t>
      </w:r>
      <w:r w:rsidRPr="00610B1B">
        <w:rPr>
          <w:rStyle w:val="FontStyle13"/>
          <w:rFonts w:eastAsia="Source Han Sans CN Regular" w:cs="Times New Roman"/>
          <w:sz w:val="24"/>
        </w:rPr>
        <w:t>. Брегът и подводн</w:t>
      </w:r>
      <w:r w:rsidR="00362E25" w:rsidRPr="00610B1B">
        <w:rPr>
          <w:rStyle w:val="FontStyle13"/>
          <w:rFonts w:eastAsia="Source Han Sans CN Regular" w:cs="Times New Roman"/>
          <w:sz w:val="24"/>
        </w:rPr>
        <w:t>ият</w:t>
      </w:r>
      <w:r w:rsidRPr="00610B1B">
        <w:rPr>
          <w:rStyle w:val="FontStyle13"/>
          <w:rFonts w:eastAsia="Source Han Sans CN Regular" w:cs="Times New Roman"/>
          <w:sz w:val="24"/>
        </w:rPr>
        <w:t xml:space="preserve"> брегови склон са стръмни, изградени от устойчиви на вълнова абразия кавернозни варовици. Пясъчното дъно е с преобладаваща дребнозърнеста пясъчна фракция, простираща се до 1000-1500 m от бреговата линия. Към дълбоководието следват песъчливата тиня и тинести материали. Между н</w:t>
      </w:r>
      <w:r w:rsidR="00C75124" w:rsidRPr="00610B1B">
        <w:rPr>
          <w:rStyle w:val="FontStyle13"/>
          <w:rFonts w:eastAsia="Source Han Sans CN Regular" w:cs="Times New Roman"/>
          <w:sz w:val="24"/>
        </w:rPr>
        <w:t>ос</w:t>
      </w:r>
      <w:r w:rsidRPr="00610B1B">
        <w:rPr>
          <w:rStyle w:val="FontStyle13"/>
          <w:rFonts w:eastAsia="Source Han Sans CN Regular" w:cs="Times New Roman"/>
          <w:sz w:val="24"/>
        </w:rPr>
        <w:t xml:space="preserve"> Калиакра и Батовска долина преобладава свлачищен бряг със средна височина на клифа 17 m</w:t>
      </w:r>
      <w:r w:rsidR="00362E25" w:rsidRPr="00610B1B">
        <w:rPr>
          <w:rStyle w:val="FontStyle13"/>
          <w:rFonts w:eastAsia="Source Han Sans CN Regular" w:cs="Times New Roman"/>
          <w:sz w:val="24"/>
        </w:rPr>
        <w:t xml:space="preserve"> и</w:t>
      </w:r>
      <w:r w:rsidRPr="00610B1B">
        <w:rPr>
          <w:rStyle w:val="FontStyle13"/>
          <w:rFonts w:eastAsia="Source Han Sans CN Regular" w:cs="Times New Roman"/>
          <w:sz w:val="24"/>
        </w:rPr>
        <w:t xml:space="preserve"> южна експозиция. Скалното дъно, простиращо се средно до 350 m от бреговата линия, е изградено от свлечени варовици, варовити пясъчници и мергели. Тези типове скали са характерно местообитание за мидите каменопробивачи </w:t>
      </w:r>
      <w:r w:rsidRPr="00610B1B">
        <w:rPr>
          <w:rStyle w:val="FontStyle12"/>
          <w:rFonts w:eastAsia="Source Han Sans CN Regular" w:cs="Times New Roman"/>
          <w:i/>
          <w:iCs/>
        </w:rPr>
        <w:t>Pholas dactylus</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и </w:t>
      </w:r>
      <w:r w:rsidRPr="00610B1B">
        <w:rPr>
          <w:rStyle w:val="FontStyle12"/>
          <w:rFonts w:eastAsia="Source Han Sans CN Regular" w:cs="Times New Roman"/>
          <w:i/>
          <w:iCs/>
        </w:rPr>
        <w:t>Barnea Candida</w:t>
      </w:r>
      <w:r w:rsidRPr="00610B1B">
        <w:rPr>
          <w:rStyle w:val="FontStyle12"/>
          <w:rFonts w:eastAsia="Source Han Sans CN Regular" w:cs="Times New Roman"/>
        </w:rPr>
        <w:t xml:space="preserve">. </w:t>
      </w:r>
      <w:r w:rsidRPr="00610B1B">
        <w:rPr>
          <w:rStyle w:val="FontStyle13"/>
          <w:rFonts w:eastAsia="Source Han Sans CN Regular" w:cs="Times New Roman"/>
          <w:sz w:val="24"/>
        </w:rPr>
        <w:t>До 600 m от брега, дъното е покрито с едрозърнести, черупчести материали с мощност над 1 m. След пясъчните материали се простират песъчливо</w:t>
      </w:r>
      <w:r w:rsidR="00E04172" w:rsidRPr="00E63187">
        <w:rPr>
          <w:rStyle w:val="FontStyle13"/>
          <w:rFonts w:eastAsia="Source Han Sans CN Regular" w:cs="Times New Roman"/>
          <w:sz w:val="24"/>
        </w:rPr>
        <w:t>-</w:t>
      </w:r>
      <w:r w:rsidRPr="00610B1B">
        <w:rPr>
          <w:rStyle w:val="FontStyle13"/>
          <w:rFonts w:eastAsia="Source Han Sans CN Regular" w:cs="Times New Roman"/>
          <w:sz w:val="24"/>
        </w:rPr>
        <w:t>тинести и тинести материали с мощност &gt;3</w:t>
      </w:r>
      <w:r w:rsidR="00595F51" w:rsidRPr="00610B1B">
        <w:rPr>
          <w:rStyle w:val="FontStyle13"/>
          <w:rFonts w:eastAsia="Source Han Sans CN Regular" w:cs="Times New Roman"/>
          <w:sz w:val="24"/>
        </w:rPr>
        <w:t> </w:t>
      </w:r>
      <w:r w:rsidRPr="00610B1B">
        <w:rPr>
          <w:rStyle w:val="FontStyle13"/>
          <w:rFonts w:eastAsia="Source Han Sans CN Regular" w:cs="Times New Roman"/>
          <w:sz w:val="24"/>
        </w:rPr>
        <w:t xml:space="preserve">m. </w:t>
      </w:r>
    </w:p>
    <w:p w14:paraId="37350AA7" w14:textId="2E516E94"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Зоната включва соленото езеро Тузлата, разделено на две части от изкуствена дига и</w:t>
      </w:r>
      <w:r w:rsidR="00D66FE0" w:rsidRPr="00610B1B">
        <w:rPr>
          <w:rStyle w:val="FontStyle13"/>
          <w:rFonts w:eastAsia="Source Han Sans CN Regular" w:cs="Times New Roman"/>
          <w:sz w:val="24"/>
        </w:rPr>
        <w:t xml:space="preserve"> </w:t>
      </w:r>
      <w:r w:rsidR="00362E25" w:rsidRPr="00610B1B">
        <w:rPr>
          <w:rStyle w:val="FontStyle13"/>
          <w:rFonts w:eastAsia="Source Han Sans CN Regular" w:cs="Times New Roman"/>
          <w:sz w:val="24"/>
        </w:rPr>
        <w:t>от</w:t>
      </w:r>
      <w:r w:rsidRPr="00610B1B">
        <w:rPr>
          <w:rStyle w:val="FontStyle13"/>
          <w:rFonts w:eastAsia="Source Han Sans CN Regular" w:cs="Times New Roman"/>
          <w:sz w:val="24"/>
        </w:rPr>
        <w:t xml:space="preserve">делено от морето с ниска каменна стена, през която минава канал. Площта на езерото е 9 ha. Пясъчната ивица се използва </w:t>
      </w:r>
      <w:r w:rsidR="00362E25" w:rsidRPr="00610B1B">
        <w:rPr>
          <w:rStyle w:val="FontStyle13"/>
          <w:rFonts w:eastAsia="Source Han Sans CN Regular" w:cs="Times New Roman"/>
          <w:sz w:val="24"/>
        </w:rPr>
        <w:t>за</w:t>
      </w:r>
      <w:r w:rsidRPr="00610B1B">
        <w:rPr>
          <w:rStyle w:val="FontStyle13"/>
          <w:rFonts w:eastAsia="Source Han Sans CN Regular" w:cs="Times New Roman"/>
          <w:sz w:val="24"/>
        </w:rPr>
        <w:t xml:space="preserve"> плаж. Морският бряг се използва за любителски и за ограничен професионален риболов. Друго много солено езеро е Наневска тузла, което се състои от две части и е заобиколено с широколистни гори и континентални степи и скали. Районът е с най-добра представителност на степни хабитати от липа, крайбрежни клифови и пещерни хабитати в цялата страна. Индустриални замърсители липсват, което се отразява положително върху състоянието на екосистемите, включително и на морските. Важна отличителна черта е наличието на многобройни археологични паметници на културата </w:t>
      </w:r>
      <w:r w:rsidRPr="00610B1B">
        <w:rPr>
          <w:rStyle w:val="FontStyle13"/>
          <w:rFonts w:eastAsia="Source Han Sans CN Regular" w:cs="Times New Roman"/>
          <w:iCs/>
          <w:sz w:val="24"/>
        </w:rPr>
        <w:t>(</w:t>
      </w:r>
      <w:r w:rsidRPr="00610B1B">
        <w:rPr>
          <w:rStyle w:val="FontStyle13"/>
          <w:rFonts w:eastAsia="Source Han Sans CN Regular" w:cs="Times New Roman"/>
          <w:sz w:val="24"/>
        </w:rPr>
        <w:t>тракийски, гръцки, римски, средновековни</w:t>
      </w:r>
      <w:r w:rsidRPr="00610B1B">
        <w:rPr>
          <w:rStyle w:val="FontStyle13"/>
          <w:rFonts w:eastAsia="Source Han Sans CN Regular" w:cs="Times New Roman"/>
          <w:iCs/>
          <w:sz w:val="24"/>
        </w:rPr>
        <w:t>)</w:t>
      </w:r>
      <w:r w:rsidR="00362E25" w:rsidRPr="00610B1B">
        <w:rPr>
          <w:rStyle w:val="FontStyle13"/>
          <w:rFonts w:eastAsia="Source Han Sans CN Regular" w:cs="Times New Roman"/>
          <w:iCs/>
          <w:sz w:val="24"/>
        </w:rPr>
        <w:t xml:space="preserve"> </w:t>
      </w:r>
      <w:r w:rsidRPr="00610B1B">
        <w:rPr>
          <w:rStyle w:val="FontStyle13"/>
          <w:rFonts w:eastAsia="Source Han Sans CN Regular" w:cs="Times New Roman"/>
          <w:sz w:val="24"/>
        </w:rPr>
        <w:t>по цялата територия, но с най-голяма концентрация на нос Калиакра, Чаракманското възвишение и в района на Яйлата.</w:t>
      </w:r>
    </w:p>
    <w:p w14:paraId="08E682F6" w14:textId="77777777"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Предмет на опазване в зоната са 18 природни местообитания и 39 вида животни и 3 вида растения. С най-голяма значимост е природно местообитание</w:t>
      </w:r>
      <w:r w:rsidRPr="00610B1B">
        <w:rPr>
          <w:rFonts w:cs="Times New Roman"/>
        </w:rPr>
        <w:t xml:space="preserve"> </w:t>
      </w:r>
      <w:r w:rsidRPr="00610B1B">
        <w:rPr>
          <w:rStyle w:val="FontStyle13"/>
          <w:rFonts w:eastAsia="Source Han Sans CN Regular" w:cs="Times New Roman"/>
          <w:sz w:val="24"/>
        </w:rPr>
        <w:t>62С0* „Понто-Сарматски степи“, причина и за наказателната процедура на ЕК срещу България от 2016 г., поради унищожаването му при изграждането на повече от 100 ветрогенератора и голф-игрище.</w:t>
      </w:r>
    </w:p>
    <w:p w14:paraId="0E3AC620" w14:textId="3238CA02"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В изготвения от ИБЕИ-БАН Интегриран план за управление</w:t>
      </w:r>
      <w:r w:rsidRPr="00610B1B">
        <w:rPr>
          <w:rStyle w:val="a4"/>
          <w:rFonts w:cs="Times New Roman"/>
        </w:rPr>
        <w:footnoteReference w:id="98"/>
      </w:r>
      <w:r w:rsidRPr="00610B1B">
        <w:rPr>
          <w:rStyle w:val="FontStyle13"/>
          <w:rFonts w:eastAsia="Source Han Sans CN Regular" w:cs="Times New Roman"/>
          <w:sz w:val="24"/>
        </w:rPr>
        <w:t xml:space="preserve"> на защитена зона SCI BG0000573 „Комплекс Калиакра“ за опазване на природните местообитания и на дивата флора и фауна и защитени зони SPA BG0002051 „Калиакра“ и SPA BG0002097 „Белите скали“ за опазване на дивите птици са заложени ограничения, които целят възстановяване на състоянието</w:t>
      </w:r>
      <w:r w:rsidR="009A5AFE"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изпълнение на препоръките на ЕК и опазване на доброто екологично състояние на морската среда. В предвидените забрани попадат </w:t>
      </w:r>
      <w:r w:rsidRPr="00610B1B">
        <w:rPr>
          <w:rFonts w:cs="Times New Roman"/>
        </w:rPr>
        <w:t xml:space="preserve">депонирането на драгажни маси, пребаластирането на кораби в морските пространства в зоната; изграждането на изкуствени подводни рифове и острови върху местообитанията, предмет на опазване; търсенето и проучването на полезни изкопаеми, разкриването на нови и разширяването на концесионните площи за добив на строителни и скалнооблицовъчни материали; увреждането и унищожаването на естествената растителност в крайбрежната плажна ивица и в дюни извън активната плажна площ, освен при почистване от инвазивни и неместни видове; промени в хидрологичния режим чрез отводняване, коригиране, </w:t>
      </w:r>
      <w:r w:rsidRPr="00610B1B">
        <w:rPr>
          <w:rFonts w:cs="Times New Roman"/>
        </w:rPr>
        <w:lastRenderedPageBreak/>
        <w:t>преграждане с диги в границите на водозависимите природни местообитания; употребата на минерални торове в ливади, пасища и мери; строителството на територията, в която е разпространено природно местообитание 62C0*</w:t>
      </w:r>
      <w:r w:rsidR="00362E25" w:rsidRPr="00610B1B">
        <w:rPr>
          <w:rFonts w:cs="Times New Roman"/>
        </w:rPr>
        <w:t xml:space="preserve"> </w:t>
      </w:r>
      <w:r w:rsidRPr="00610B1B">
        <w:rPr>
          <w:rFonts w:cs="Times New Roman"/>
        </w:rPr>
        <w:t>Понто-Сарматски степи; разораването, залесяването и създаването на трайни насаждения; благоустрояването, стопанската и спортната дейност в пещерите; повреждането на скални и пещерни образувания; провеждането на спелеоложки проучвания</w:t>
      </w:r>
      <w:r w:rsidR="00D66FE0" w:rsidRPr="00610B1B">
        <w:rPr>
          <w:rFonts w:cs="Times New Roman"/>
        </w:rPr>
        <w:t xml:space="preserve"> </w:t>
      </w:r>
      <w:r w:rsidRPr="00610B1B">
        <w:rPr>
          <w:rFonts w:cs="Times New Roman"/>
        </w:rPr>
        <w:t>от 1 март до 30 юни; въвеждането на неместни растителни видове; умишлено внасяне на чужди видове</w:t>
      </w:r>
      <w:r w:rsidR="00DE5152" w:rsidRPr="00610B1B">
        <w:rPr>
          <w:rFonts w:cs="Times New Roman"/>
        </w:rPr>
        <w:t xml:space="preserve"> в морската среда</w:t>
      </w:r>
      <w:r w:rsidRPr="00610B1B">
        <w:rPr>
          <w:rFonts w:cs="Times New Roman"/>
        </w:rPr>
        <w:t>. Движението през територията се разрешава само по наличните транспортни и стопански пътища.</w:t>
      </w:r>
      <w:r w:rsidR="00D66FE0" w:rsidRPr="00610B1B">
        <w:rPr>
          <w:rFonts w:cs="Times New Roman"/>
        </w:rPr>
        <w:t xml:space="preserve"> </w:t>
      </w:r>
    </w:p>
    <w:p w14:paraId="7FCF7A49" w14:textId="77777777"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Страната ни има ангажимента да наблюдава настъпващите промени и да докладва за настъпилите възстановителни процеси в резултат на предвидените мерки. </w:t>
      </w:r>
    </w:p>
    <w:p w14:paraId="16DB8C18" w14:textId="228D65AE" w:rsidR="009D4A0E" w:rsidRPr="00610B1B" w:rsidRDefault="009D4A0E" w:rsidP="00D32D6A">
      <w:pPr>
        <w:pStyle w:val="BodyText"/>
        <w:spacing w:before="0" w:after="120" w:line="276" w:lineRule="auto"/>
        <w:ind w:right="-153"/>
        <w:rPr>
          <w:rFonts w:cs="Times New Roman"/>
        </w:rPr>
      </w:pPr>
      <w:r w:rsidRPr="00610B1B">
        <w:rPr>
          <w:rStyle w:val="FontStyle14"/>
          <w:rFonts w:eastAsia="Source Han Sans CN Regular" w:cs="Times New Roman"/>
        </w:rPr>
        <w:t xml:space="preserve">Защитена зона </w:t>
      </w:r>
      <w:r w:rsidR="00744CB1" w:rsidRPr="00610B1B">
        <w:rPr>
          <w:rStyle w:val="FontStyle14"/>
          <w:rFonts w:eastAsia="Source Han Sans CN Regular" w:cs="Times New Roman"/>
        </w:rPr>
        <w:t xml:space="preserve">BG0001501 </w:t>
      </w:r>
      <w:r w:rsidRPr="00610B1B">
        <w:rPr>
          <w:rStyle w:val="FontStyle14"/>
          <w:rFonts w:eastAsia="Source Han Sans CN Regular" w:cs="Times New Roman"/>
        </w:rPr>
        <w:t>„Емона“</w:t>
      </w:r>
      <w:r w:rsidR="00744CB1" w:rsidRPr="00610B1B">
        <w:rPr>
          <w:rStyle w:val="FontStyle14"/>
          <w:rFonts w:eastAsia="Source Han Sans CN Regular" w:cs="Times New Roman"/>
        </w:rPr>
        <w:t xml:space="preserve"> </w:t>
      </w:r>
      <w:r w:rsidR="00744CB1" w:rsidRPr="00610B1B">
        <w:rPr>
          <w:rStyle w:val="FontStyle14"/>
          <w:rFonts w:eastAsia="Source Han Sans CN Regular" w:cs="Times New Roman"/>
          <w:b w:val="0"/>
        </w:rPr>
        <w:t>за опазване на природните местообитания и на дивата флора и фауна</w:t>
      </w:r>
      <w:r w:rsidR="004F6CE6" w:rsidRPr="00610B1B">
        <w:rPr>
          <w:rFonts w:cs="Times New Roman"/>
        </w:rPr>
        <w:t xml:space="preserve"> </w:t>
      </w:r>
      <w:r w:rsidRPr="00610B1B">
        <w:rPr>
          <w:rStyle w:val="FontStyle13"/>
          <w:rFonts w:eastAsia="Source Han Sans CN Regular" w:cs="Times New Roman"/>
          <w:sz w:val="24"/>
        </w:rPr>
        <w:t>се намира в община Бургас и е с площ</w:t>
      </w:r>
      <w:r w:rsidRPr="00610B1B">
        <w:rPr>
          <w:rFonts w:cs="Times New Roman"/>
        </w:rPr>
        <w:t xml:space="preserve"> </w:t>
      </w:r>
      <w:r w:rsidRPr="00610B1B">
        <w:rPr>
          <w:rStyle w:val="FontStyle13"/>
          <w:rFonts w:eastAsia="Source Han Sans CN Regular" w:cs="Times New Roman"/>
          <w:sz w:val="24"/>
        </w:rPr>
        <w:t>55 345</w:t>
      </w:r>
      <w:r w:rsidR="009A5AFE" w:rsidRPr="00610B1B">
        <w:rPr>
          <w:rStyle w:val="FontStyle13"/>
          <w:rFonts w:eastAsia="Source Han Sans CN Regular" w:cs="Times New Roman"/>
          <w:sz w:val="24"/>
        </w:rPr>
        <w:t>,</w:t>
      </w:r>
      <w:r w:rsidRPr="00610B1B">
        <w:rPr>
          <w:rStyle w:val="FontStyle13"/>
          <w:rFonts w:eastAsia="Source Han Sans CN Regular" w:cs="Times New Roman"/>
          <w:sz w:val="24"/>
        </w:rPr>
        <w:t>28</w:t>
      </w:r>
      <w:r w:rsidR="00757909" w:rsidRPr="00610B1B">
        <w:rPr>
          <w:rStyle w:val="FontStyle13"/>
          <w:rFonts w:eastAsia="Source Han Sans CN Regular" w:cs="Times New Roman"/>
          <w:sz w:val="24"/>
        </w:rPr>
        <w:t> </w:t>
      </w:r>
      <w:r w:rsidRPr="00610B1B">
        <w:rPr>
          <w:rStyle w:val="FontStyle13"/>
          <w:rFonts w:eastAsia="Source Han Sans CN Regular" w:cs="Times New Roman"/>
          <w:sz w:val="24"/>
        </w:rPr>
        <w:t xml:space="preserve">ha. Тя е обявена с Решение </w:t>
      </w:r>
      <w:r w:rsidR="00836952" w:rsidRPr="00610B1B">
        <w:rPr>
          <w:rStyle w:val="FontStyle13"/>
          <w:rFonts w:eastAsia="Source Han Sans CN Regular" w:cs="Times New Roman"/>
          <w:sz w:val="24"/>
        </w:rPr>
        <w:t xml:space="preserve">на Министерски съвет </w:t>
      </w:r>
      <w:r w:rsidRPr="00610B1B">
        <w:rPr>
          <w:rStyle w:val="FontStyle13"/>
          <w:rFonts w:eastAsia="Source Han Sans CN Regular" w:cs="Times New Roman"/>
          <w:sz w:val="24"/>
        </w:rPr>
        <w:t xml:space="preserve">№ 660/01.11.2013 г., </w:t>
      </w:r>
      <w:r w:rsidRPr="00610B1B">
        <w:rPr>
          <w:rStyle w:val="FontStyle13"/>
          <w:rFonts w:eastAsia="Source Han Sans CN Regular" w:cs="Times New Roman"/>
          <w:iCs/>
          <w:sz w:val="24"/>
        </w:rPr>
        <w:t>(</w:t>
      </w:r>
      <w:r w:rsidRPr="00610B1B">
        <w:rPr>
          <w:rStyle w:val="FontStyle13"/>
          <w:rFonts w:eastAsia="Source Han Sans CN Regular" w:cs="Times New Roman"/>
          <w:sz w:val="24"/>
        </w:rPr>
        <w:t>ДВ бр. 97/2013 г.</w:t>
      </w:r>
      <w:r w:rsidRPr="00610B1B">
        <w:rPr>
          <w:rStyle w:val="FontStyle13"/>
          <w:rFonts w:eastAsia="Source Han Sans CN Regular" w:cs="Times New Roman"/>
          <w:iCs/>
          <w:sz w:val="24"/>
        </w:rPr>
        <w:t>)</w:t>
      </w:r>
      <w:r w:rsidRPr="00610B1B">
        <w:rPr>
          <w:rStyle w:val="FontStyle13"/>
          <w:rFonts w:eastAsia="Source Han Sans CN Regular" w:cs="Times New Roman"/>
          <w:sz w:val="24"/>
        </w:rPr>
        <w:t xml:space="preserve">. Зоната има изцяло морски обхват с дълбочина на дъното 30-75 m. Дънните субстрати са сивочерни, сиви и сивозелени мекопластични теригенни тини с прослойки от черупчест детрит. Районът e един от най-представителните от българското Черноморие по отношение на биотопа „Сублиторални мидени банки върху седимент“, който като биогенен риф е подтип на местообитание 1170. Средообразуващият вид е черната мида </w:t>
      </w:r>
      <w:r w:rsidRPr="00610B1B">
        <w:rPr>
          <w:rStyle w:val="FontStyle12"/>
          <w:rFonts w:eastAsia="Source Han Sans CN Regular" w:cs="Times New Roman"/>
          <w:i/>
          <w:iCs/>
        </w:rPr>
        <w:t>Mytilus galloprovincialis</w:t>
      </w:r>
      <w:r w:rsidRPr="00610B1B">
        <w:rPr>
          <w:rStyle w:val="FontStyle12"/>
          <w:rFonts w:eastAsia="Source Han Sans CN Regular" w:cs="Times New Roman"/>
        </w:rPr>
        <w:t xml:space="preserve">, </w:t>
      </w:r>
      <w:r w:rsidRPr="00610B1B">
        <w:rPr>
          <w:rStyle w:val="FontStyle13"/>
          <w:rFonts w:eastAsia="Source Han Sans CN Regular" w:cs="Times New Roman"/>
          <w:sz w:val="24"/>
        </w:rPr>
        <w:t>чиито индивиди се прикрепват един за друг чрез бисусни нишки и така изграждат биогенни рифове - мидени банки. Акваторията е местообитание на карагьозовите риби</w:t>
      </w:r>
      <w:r w:rsidR="00DE5152" w:rsidRPr="00610B1B">
        <w:rPr>
          <w:rStyle w:val="FontStyle13"/>
          <w:rFonts w:eastAsia="Source Han Sans CN Regular" w:cs="Times New Roman"/>
          <w:sz w:val="24"/>
        </w:rPr>
        <w:t>. П</w:t>
      </w:r>
      <w:r w:rsidRPr="00610B1B">
        <w:rPr>
          <w:rStyle w:val="FontStyle13"/>
          <w:rFonts w:eastAsia="Source Han Sans CN Regular" w:cs="Times New Roman"/>
          <w:sz w:val="24"/>
        </w:rPr>
        <w:t xml:space="preserve">рез пролетния сезон през нея се извършва размножителна миграция към реките, а след приключване на размножителния процес представителите на рода обитават акваторията, където се отхранват. Акваторията е постоянно местообитание за двата целеви вида китоподобни </w:t>
      </w:r>
      <w:r w:rsidRPr="00610B1B">
        <w:rPr>
          <w:rStyle w:val="FontStyle12"/>
          <w:rFonts w:eastAsia="Source Han Sans CN Regular" w:cs="Times New Roman"/>
        </w:rPr>
        <w:t xml:space="preserve">Tursiops truncatus </w:t>
      </w:r>
      <w:r w:rsidRPr="00610B1B">
        <w:rPr>
          <w:rStyle w:val="FontStyle13"/>
          <w:rFonts w:eastAsia="Source Han Sans CN Regular" w:cs="Times New Roman"/>
          <w:sz w:val="24"/>
        </w:rPr>
        <w:t xml:space="preserve">и </w:t>
      </w:r>
      <w:r w:rsidRPr="00610B1B">
        <w:rPr>
          <w:rStyle w:val="FontStyle12"/>
          <w:rFonts w:eastAsia="Source Han Sans CN Regular" w:cs="Times New Roman"/>
        </w:rPr>
        <w:t xml:space="preserve">Phocoena. </w:t>
      </w:r>
      <w:r w:rsidRPr="00610B1B">
        <w:rPr>
          <w:rStyle w:val="FontStyle13"/>
          <w:rFonts w:eastAsia="Source Han Sans CN Regular" w:cs="Times New Roman"/>
          <w:sz w:val="24"/>
        </w:rPr>
        <w:t xml:space="preserve">Зоната обхваща 13% от националното покритие на мидените банки върху седимент. Те заемат значителна площ, имат висока плътност на покритието, висока биомаса и голям среден размер </w:t>
      </w:r>
      <w:r w:rsidRPr="00610B1B">
        <w:rPr>
          <w:rStyle w:val="FontStyle13"/>
          <w:rFonts w:eastAsia="Source Han Sans CN Regular" w:cs="Times New Roman"/>
          <w:iCs/>
          <w:sz w:val="24"/>
        </w:rPr>
        <w:t>(</w:t>
      </w:r>
      <w:r w:rsidRPr="00610B1B">
        <w:rPr>
          <w:rStyle w:val="FontStyle13"/>
          <w:rFonts w:eastAsia="Source Han Sans CN Regular" w:cs="Times New Roman"/>
          <w:sz w:val="24"/>
        </w:rPr>
        <w:t>56</w:t>
      </w:r>
      <w:r w:rsidR="009A5AFE" w:rsidRPr="00610B1B">
        <w:rPr>
          <w:rStyle w:val="FontStyle13"/>
          <w:rFonts w:eastAsia="Source Han Sans CN Regular" w:cs="Times New Roman"/>
          <w:sz w:val="24"/>
        </w:rPr>
        <w:t>,</w:t>
      </w:r>
      <w:r w:rsidRPr="00610B1B">
        <w:rPr>
          <w:rStyle w:val="FontStyle13"/>
          <w:rFonts w:eastAsia="Source Han Sans CN Regular" w:cs="Times New Roman"/>
          <w:sz w:val="24"/>
        </w:rPr>
        <w:t>32 mm</w:t>
      </w:r>
      <w:r w:rsidRPr="00610B1B">
        <w:rPr>
          <w:rStyle w:val="FontStyle13"/>
          <w:rFonts w:eastAsia="Source Han Sans CN Regular" w:cs="Times New Roman"/>
          <w:iCs/>
          <w:sz w:val="24"/>
        </w:rPr>
        <w:t>)</w:t>
      </w:r>
      <w:r w:rsidRPr="00610B1B">
        <w:rPr>
          <w:rStyle w:val="FontStyle13"/>
          <w:rFonts w:eastAsia="Source Han Sans CN Regular" w:cs="Times New Roman"/>
          <w:sz w:val="24"/>
        </w:rPr>
        <w:t xml:space="preserve"> на индивидите. Това е индикатор за отлична представителност и добро състояние на съхранение на местообитанието. Районът е важен за опазване и поддържане на мидените банки в добро състояние, а перспективите за това са добри предвид на това, че акваторията е отдалечена от основния трансграничен източник на еутрофикация - р. Дунав. Като местообитание на карагьозовите риби и китоподобните зоната е </w:t>
      </w:r>
      <w:r w:rsidR="009A5AFE" w:rsidRPr="00610B1B">
        <w:rPr>
          <w:rStyle w:val="FontStyle13"/>
          <w:rFonts w:eastAsia="Source Han Sans CN Regular" w:cs="Times New Roman"/>
          <w:sz w:val="24"/>
        </w:rPr>
        <w:t>с</w:t>
      </w:r>
      <w:r w:rsidRPr="00610B1B">
        <w:rPr>
          <w:rStyle w:val="FontStyle13"/>
          <w:rFonts w:eastAsia="Source Han Sans CN Regular" w:cs="Times New Roman"/>
          <w:sz w:val="24"/>
        </w:rPr>
        <w:t xml:space="preserve"> обилна трофична база и запазени екосистеми с богато биоразнообразие. </w:t>
      </w:r>
      <w:r w:rsidR="00DE5152" w:rsidRPr="00610B1B">
        <w:rPr>
          <w:rStyle w:val="FontStyle13"/>
          <w:rFonts w:eastAsia="Source Han Sans CN Regular" w:cs="Times New Roman"/>
          <w:sz w:val="24"/>
        </w:rPr>
        <w:t xml:space="preserve">Тя </w:t>
      </w:r>
      <w:r w:rsidRPr="00610B1B">
        <w:rPr>
          <w:rStyle w:val="FontStyle13"/>
          <w:rFonts w:eastAsia="Source Han Sans CN Regular" w:cs="Times New Roman"/>
          <w:sz w:val="24"/>
        </w:rPr>
        <w:t>осигурява миграционен път към местата за размножаване. Предмет на опазване в зоната са едно природно местообитание и 4 вида животни.</w:t>
      </w:r>
    </w:p>
    <w:p w14:paraId="7F9A4291" w14:textId="6676D4BE"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 xml:space="preserve">В защитената зона </w:t>
      </w:r>
      <w:r w:rsidR="00DE5152" w:rsidRPr="00610B1B">
        <w:rPr>
          <w:rStyle w:val="FontStyle13"/>
          <w:rFonts w:eastAsia="Source Han Sans CN Regular" w:cs="Times New Roman"/>
          <w:sz w:val="24"/>
        </w:rPr>
        <w:t>е забранено</w:t>
      </w:r>
      <w:r w:rsidRPr="00610B1B">
        <w:rPr>
          <w:rStyle w:val="FontStyle13"/>
          <w:rFonts w:eastAsia="Source Han Sans CN Regular" w:cs="Times New Roman"/>
          <w:sz w:val="24"/>
        </w:rPr>
        <w:t xml:space="preserve"> увреждане на </w:t>
      </w:r>
      <w:r w:rsidRPr="00610B1B">
        <w:rPr>
          <w:rFonts w:cs="Times New Roman"/>
        </w:rPr>
        <w:t xml:space="preserve">местообитанието, включително </w:t>
      </w:r>
      <w:r w:rsidR="00DE5152" w:rsidRPr="00610B1B">
        <w:rPr>
          <w:rFonts w:cs="Times New Roman"/>
        </w:rPr>
        <w:t xml:space="preserve">изграждане на </w:t>
      </w:r>
      <w:r w:rsidRPr="00610B1B">
        <w:rPr>
          <w:rFonts w:cs="Times New Roman"/>
        </w:rPr>
        <w:t>изкуствени подводни рифове и острови;</w:t>
      </w:r>
      <w:r w:rsidR="00D66FE0" w:rsidRPr="00610B1B">
        <w:rPr>
          <w:rFonts w:cs="Times New Roman"/>
        </w:rPr>
        <w:t xml:space="preserve"> </w:t>
      </w:r>
      <w:r w:rsidRPr="00610B1B">
        <w:rPr>
          <w:rFonts w:cs="Times New Roman"/>
        </w:rPr>
        <w:t xml:space="preserve">намеса в хидрологичните процеси, водещи до значителни промени в температурен режим, соленост, течения и вълнови ефекти; използване на дънни тралове и драги; въвеждане на </w:t>
      </w:r>
      <w:r w:rsidR="00760E2D">
        <w:rPr>
          <w:rFonts w:cs="Times New Roman"/>
        </w:rPr>
        <w:t>отпадъци</w:t>
      </w:r>
      <w:r w:rsidRPr="00610B1B">
        <w:rPr>
          <w:rFonts w:cs="Times New Roman"/>
        </w:rPr>
        <w:t>; заустване на необработени отпадъчни води; въвеждане на опасни вещества; използване на взривни вещества, отровни и опияняващи вещества, електрически ток. Постановени са ограничения за улов и риболов, въвеждане на чужди видове и други подобни, с които да се гарантира чистотата на водите, опазване на видовете и местообитанията.</w:t>
      </w:r>
      <w:r w:rsidR="00D66FE0" w:rsidRPr="00610B1B">
        <w:rPr>
          <w:rFonts w:cs="Times New Roman"/>
        </w:rPr>
        <w:t xml:space="preserve"> </w:t>
      </w:r>
    </w:p>
    <w:p w14:paraId="5C20390C" w14:textId="12F70710" w:rsidR="004F6CE6" w:rsidRPr="00610B1B" w:rsidRDefault="00331812" w:rsidP="00D32D6A">
      <w:pPr>
        <w:pStyle w:val="BodyText"/>
        <w:spacing w:before="0" w:after="120" w:line="276" w:lineRule="auto"/>
        <w:ind w:right="-153"/>
        <w:rPr>
          <w:rStyle w:val="FontStyle13"/>
          <w:rFonts w:eastAsia="Source Han Sans CN Regular" w:cs="Times New Roman"/>
          <w:sz w:val="24"/>
        </w:rPr>
      </w:pPr>
      <w:r w:rsidRPr="00610B1B">
        <w:rPr>
          <w:rStyle w:val="FontStyle14"/>
          <w:rFonts w:eastAsia="Source Han Sans CN Regular" w:cs="Times New Roman"/>
        </w:rPr>
        <w:lastRenderedPageBreak/>
        <w:t xml:space="preserve">Защитена зона </w:t>
      </w:r>
      <w:r w:rsidR="00744CB1" w:rsidRPr="00610B1B">
        <w:rPr>
          <w:rStyle w:val="FontStyle14"/>
          <w:rFonts w:eastAsia="Source Han Sans CN Regular" w:cs="Times New Roman"/>
        </w:rPr>
        <w:t xml:space="preserve">BG0001001 </w:t>
      </w:r>
      <w:r w:rsidRPr="00610B1B">
        <w:rPr>
          <w:rStyle w:val="FontStyle14"/>
          <w:rFonts w:eastAsia="Source Han Sans CN Regular" w:cs="Times New Roman"/>
        </w:rPr>
        <w:t>„</w:t>
      </w:r>
      <w:r w:rsidR="00744CB1" w:rsidRPr="00610B1B">
        <w:rPr>
          <w:rStyle w:val="FontStyle14"/>
          <w:rFonts w:eastAsia="Source Han Sans CN Regular" w:cs="Times New Roman"/>
        </w:rPr>
        <w:t xml:space="preserve">Ропотамо“ </w:t>
      </w:r>
      <w:r w:rsidR="00744CB1" w:rsidRPr="00610B1B">
        <w:rPr>
          <w:rStyle w:val="FontStyle14"/>
          <w:rFonts w:eastAsia="Source Han Sans CN Regular" w:cs="Times New Roman"/>
          <w:b w:val="0"/>
        </w:rPr>
        <w:t>за опазване на природните местообитания и на дивата флора и фауна</w:t>
      </w:r>
      <w:r w:rsidR="00744CB1" w:rsidRPr="00610B1B">
        <w:rPr>
          <w:rStyle w:val="FontStyle14"/>
          <w:rFonts w:eastAsia="Source Han Sans CN Regular" w:cs="Times New Roman"/>
        </w:rPr>
        <w:t xml:space="preserve"> </w:t>
      </w:r>
      <w:r w:rsidR="009D4A0E" w:rsidRPr="00610B1B">
        <w:rPr>
          <w:rStyle w:val="FontStyle13"/>
          <w:rFonts w:eastAsia="Source Han Sans CN Regular" w:cs="Times New Roman"/>
          <w:sz w:val="24"/>
        </w:rPr>
        <w:t xml:space="preserve">се намира в общините Созопол и Приморско и покрива обща площ от </w:t>
      </w:r>
      <w:r w:rsidR="009D4A0E" w:rsidRPr="00610B1B">
        <w:rPr>
          <w:rFonts w:cs="Times New Roman"/>
        </w:rPr>
        <w:t>98</w:t>
      </w:r>
      <w:r w:rsidR="008D4C1E" w:rsidRPr="00610B1B">
        <w:rPr>
          <w:rFonts w:cs="Times New Roman"/>
        </w:rPr>
        <w:t> </w:t>
      </w:r>
      <w:r w:rsidR="009D4A0E" w:rsidRPr="00610B1B">
        <w:rPr>
          <w:rFonts w:cs="Times New Roman"/>
        </w:rPr>
        <w:t>099</w:t>
      </w:r>
      <w:r w:rsidR="009A5AFE" w:rsidRPr="00610B1B">
        <w:rPr>
          <w:rStyle w:val="FontStyle13"/>
          <w:rFonts w:eastAsia="Source Han Sans CN Regular" w:cs="Times New Roman"/>
          <w:sz w:val="24"/>
        </w:rPr>
        <w:t>,</w:t>
      </w:r>
      <w:r w:rsidR="009D4A0E" w:rsidRPr="00610B1B">
        <w:rPr>
          <w:rStyle w:val="FontStyle13"/>
          <w:rFonts w:eastAsia="Source Han Sans CN Regular" w:cs="Times New Roman"/>
          <w:sz w:val="24"/>
        </w:rPr>
        <w:t xml:space="preserve">76 ha. Обявена е с Решение </w:t>
      </w:r>
      <w:r w:rsidR="00836952" w:rsidRPr="00610B1B">
        <w:rPr>
          <w:rStyle w:val="FontStyle13"/>
          <w:rFonts w:eastAsia="Source Han Sans CN Regular" w:cs="Times New Roman"/>
          <w:sz w:val="24"/>
        </w:rPr>
        <w:t xml:space="preserve">на Министерски съвет </w:t>
      </w:r>
      <w:r w:rsidR="009D4A0E" w:rsidRPr="00610B1B">
        <w:rPr>
          <w:rStyle w:val="FontStyle13"/>
          <w:rFonts w:eastAsia="Source Han Sans CN Regular" w:cs="Times New Roman"/>
          <w:sz w:val="24"/>
        </w:rPr>
        <w:t xml:space="preserve">№ 122/02.03.2007 г., </w:t>
      </w:r>
      <w:r w:rsidR="009D4A0E" w:rsidRPr="00610B1B">
        <w:rPr>
          <w:rStyle w:val="FontStyle13"/>
          <w:rFonts w:eastAsia="Source Han Sans CN Regular" w:cs="Times New Roman"/>
          <w:iCs/>
          <w:sz w:val="24"/>
        </w:rPr>
        <w:t>(</w:t>
      </w:r>
      <w:r w:rsidR="009D4A0E" w:rsidRPr="00610B1B">
        <w:rPr>
          <w:rStyle w:val="FontStyle13"/>
          <w:rFonts w:eastAsia="Source Han Sans CN Regular" w:cs="Times New Roman"/>
          <w:sz w:val="24"/>
        </w:rPr>
        <w:t>ДВ бр. 21/2007 г.</w:t>
      </w:r>
      <w:r w:rsidR="009D4A0E" w:rsidRPr="00610B1B">
        <w:rPr>
          <w:rStyle w:val="FontStyle13"/>
          <w:rFonts w:eastAsia="Source Han Sans CN Regular" w:cs="Times New Roman"/>
          <w:iCs/>
          <w:sz w:val="24"/>
        </w:rPr>
        <w:t>)</w:t>
      </w:r>
      <w:r w:rsidR="009D4A0E" w:rsidRPr="00610B1B">
        <w:rPr>
          <w:rStyle w:val="FontStyle13"/>
          <w:rFonts w:eastAsia="Source Han Sans CN Regular" w:cs="Times New Roman"/>
          <w:sz w:val="24"/>
        </w:rPr>
        <w:t xml:space="preserve"> Площта на зоната е увеличена с Решение № 660/08.11.2013 г., </w:t>
      </w:r>
      <w:r w:rsidR="009D4A0E" w:rsidRPr="00610B1B">
        <w:rPr>
          <w:rStyle w:val="FontStyle13"/>
          <w:rFonts w:eastAsia="Source Han Sans CN Regular" w:cs="Times New Roman"/>
          <w:iCs/>
          <w:sz w:val="24"/>
        </w:rPr>
        <w:t>(</w:t>
      </w:r>
      <w:r w:rsidR="009D4A0E" w:rsidRPr="00610B1B">
        <w:rPr>
          <w:rStyle w:val="FontStyle13"/>
          <w:rFonts w:eastAsia="Source Han Sans CN Regular" w:cs="Times New Roman"/>
          <w:sz w:val="24"/>
        </w:rPr>
        <w:t>ДВ бр. 97/2013</w:t>
      </w:r>
      <w:r w:rsidR="008D4C1E" w:rsidRPr="00610B1B">
        <w:rPr>
          <w:rStyle w:val="FontStyle13"/>
          <w:rFonts w:eastAsia="Source Han Sans CN Regular" w:cs="Times New Roman"/>
          <w:sz w:val="24"/>
        </w:rPr>
        <w:t> </w:t>
      </w:r>
      <w:r w:rsidR="009D4A0E" w:rsidRPr="00610B1B">
        <w:rPr>
          <w:rStyle w:val="FontStyle13"/>
          <w:rFonts w:eastAsia="Source Han Sans CN Regular" w:cs="Times New Roman"/>
          <w:sz w:val="24"/>
        </w:rPr>
        <w:t>г.</w:t>
      </w:r>
      <w:r w:rsidR="009D4A0E" w:rsidRPr="00610B1B">
        <w:rPr>
          <w:rStyle w:val="FontStyle13"/>
          <w:rFonts w:eastAsia="Source Han Sans CN Regular" w:cs="Times New Roman"/>
          <w:iCs/>
          <w:sz w:val="24"/>
        </w:rPr>
        <w:t>)</w:t>
      </w:r>
      <w:r w:rsidR="009D4A0E" w:rsidRPr="00610B1B">
        <w:rPr>
          <w:rStyle w:val="FontStyle13"/>
          <w:rFonts w:eastAsia="Source Han Sans CN Regular" w:cs="Times New Roman"/>
          <w:sz w:val="24"/>
        </w:rPr>
        <w:t>.</w:t>
      </w:r>
      <w:r w:rsidR="00D66FE0" w:rsidRPr="00610B1B">
        <w:rPr>
          <w:rStyle w:val="FontStyle13"/>
          <w:rFonts w:eastAsia="Source Han Sans CN Regular" w:cs="Times New Roman"/>
          <w:sz w:val="24"/>
        </w:rPr>
        <w:t xml:space="preserve"> </w:t>
      </w:r>
      <w:r w:rsidR="009D4A0E" w:rsidRPr="00610B1B">
        <w:rPr>
          <w:rStyle w:val="FontStyle13"/>
          <w:rFonts w:eastAsia="Source Han Sans CN Regular" w:cs="Times New Roman"/>
          <w:sz w:val="24"/>
        </w:rPr>
        <w:t xml:space="preserve">Зоната обхваща ниските и полегати странични дялове на Странджа с нейните покрайнини, спускащи се в Черно море. Тя включва обширни територии, покрити с дюни и малки площи облесени дюни между тях. Река Ропотамо образува красиво запазен естуар. Вътрешността е облесена. </w:t>
      </w:r>
    </w:p>
    <w:p w14:paraId="46642FDF" w14:textId="2DC4AC79" w:rsidR="004F6CE6" w:rsidRPr="00610B1B" w:rsidRDefault="009D4A0E" w:rsidP="00D32D6A">
      <w:pPr>
        <w:pStyle w:val="BodyText"/>
        <w:spacing w:before="0" w:after="120" w:line="276" w:lineRule="auto"/>
        <w:ind w:right="-153"/>
        <w:rPr>
          <w:rStyle w:val="FontStyle13"/>
          <w:rFonts w:eastAsia="Source Han Sans CN Regular" w:cs="Times New Roman"/>
          <w:sz w:val="24"/>
        </w:rPr>
      </w:pPr>
      <w:r w:rsidRPr="00610B1B">
        <w:rPr>
          <w:rStyle w:val="FontStyle13"/>
          <w:rFonts w:eastAsia="Source Han Sans CN Regular" w:cs="Times New Roman"/>
          <w:sz w:val="24"/>
        </w:rPr>
        <w:t>Съгласно Стандартния формуляр Натура 2000 на зоната между н</w:t>
      </w:r>
      <w:r w:rsidR="009A5AFE" w:rsidRPr="00610B1B">
        <w:rPr>
          <w:rStyle w:val="FontStyle13"/>
          <w:rFonts w:eastAsia="Source Han Sans CN Regular" w:cs="Times New Roman"/>
          <w:sz w:val="24"/>
        </w:rPr>
        <w:t>ос</w:t>
      </w:r>
      <w:r w:rsidRPr="00610B1B">
        <w:rPr>
          <w:rStyle w:val="FontStyle13"/>
          <w:rFonts w:eastAsia="Source Han Sans CN Regular" w:cs="Times New Roman"/>
          <w:sz w:val="24"/>
        </w:rPr>
        <w:t xml:space="preserve"> Агалина и Маслен нос клифовият бряг е със средна височина 11 m, изграден от магматични скали. Акумулативният бряг е разположен в централните части на неголемите заливи и е от два типа: лиманен тип - плаж Ропотамо и лагунен тип - плаж</w:t>
      </w:r>
      <w:r w:rsidR="00FE49AF" w:rsidRPr="00610B1B">
        <w:rPr>
          <w:rStyle w:val="FontStyle13"/>
          <w:rFonts w:eastAsia="Source Han Sans CN Regular" w:cs="Times New Roman"/>
          <w:sz w:val="24"/>
        </w:rPr>
        <w:t>овете</w:t>
      </w:r>
      <w:r w:rsidRPr="00610B1B">
        <w:rPr>
          <w:rStyle w:val="FontStyle13"/>
          <w:rFonts w:eastAsia="Source Han Sans CN Regular" w:cs="Times New Roman"/>
          <w:sz w:val="24"/>
        </w:rPr>
        <w:t xml:space="preserve"> Дюни и Аркутино. На морското дъно се наблюдават скални банки, изградени от вулканични скали, на разстояние от 600 до 2 200 m от бреговата линия, с относителна височина от 5 m до 12.5</w:t>
      </w:r>
      <w:r w:rsidR="00757909" w:rsidRPr="00610B1B">
        <w:rPr>
          <w:rStyle w:val="FontStyle13"/>
          <w:rFonts w:eastAsia="Source Han Sans CN Regular" w:cs="Times New Roman"/>
          <w:sz w:val="24"/>
        </w:rPr>
        <w:t> </w:t>
      </w:r>
      <w:r w:rsidRPr="00610B1B">
        <w:rPr>
          <w:rStyle w:val="FontStyle13"/>
          <w:rFonts w:eastAsia="Source Han Sans CN Regular" w:cs="Times New Roman"/>
          <w:sz w:val="24"/>
        </w:rPr>
        <w:t>m. На плаж</w:t>
      </w:r>
      <w:r w:rsidR="008E5D9F" w:rsidRPr="00610B1B">
        <w:rPr>
          <w:rStyle w:val="FontStyle13"/>
          <w:rFonts w:eastAsia="Source Han Sans CN Regular" w:cs="Times New Roman"/>
          <w:sz w:val="24"/>
        </w:rPr>
        <w:t>н</w:t>
      </w:r>
      <w:r w:rsidRPr="00610B1B">
        <w:rPr>
          <w:rStyle w:val="FontStyle13"/>
          <w:rFonts w:eastAsia="Source Han Sans CN Regular" w:cs="Times New Roman"/>
          <w:sz w:val="24"/>
        </w:rPr>
        <w:t>ите ивици и подводния брегови склон преобладават среднозърнести пясъци. Между Маслен нос и н</w:t>
      </w:r>
      <w:r w:rsidR="009A5AFE" w:rsidRPr="00610B1B">
        <w:rPr>
          <w:rStyle w:val="FontStyle13"/>
          <w:rFonts w:eastAsia="Source Han Sans CN Regular" w:cs="Times New Roman"/>
          <w:sz w:val="24"/>
        </w:rPr>
        <w:t>ос</w:t>
      </w:r>
      <w:r w:rsidRPr="00610B1B">
        <w:rPr>
          <w:rStyle w:val="FontStyle13"/>
          <w:rFonts w:eastAsia="Source Han Sans CN Regular" w:cs="Times New Roman"/>
          <w:sz w:val="24"/>
        </w:rPr>
        <w:t xml:space="preserve"> Царево брегът е изграден от метаморфозирани утаечни скали, варовити пясъчници и варовик </w:t>
      </w:r>
      <w:r w:rsidRPr="00610B1B">
        <w:rPr>
          <w:rStyle w:val="FontStyle13"/>
          <w:rFonts w:eastAsia="Source Han Sans CN Regular" w:cs="Times New Roman"/>
          <w:iCs/>
          <w:sz w:val="24"/>
        </w:rPr>
        <w:t>(</w:t>
      </w:r>
      <w:r w:rsidRPr="00610B1B">
        <w:rPr>
          <w:rStyle w:val="FontStyle13"/>
          <w:rFonts w:eastAsia="Source Han Sans CN Regular" w:cs="Times New Roman"/>
          <w:sz w:val="24"/>
        </w:rPr>
        <w:t>полуостровите Приморско и Китен</w:t>
      </w:r>
      <w:r w:rsidRPr="00610B1B">
        <w:rPr>
          <w:rStyle w:val="FontStyle13"/>
          <w:rFonts w:eastAsia="Source Han Sans CN Regular" w:cs="Times New Roman"/>
          <w:iCs/>
          <w:sz w:val="24"/>
        </w:rPr>
        <w:t>)</w:t>
      </w:r>
      <w:r w:rsidRPr="00610B1B">
        <w:rPr>
          <w:rStyle w:val="FontStyle13"/>
          <w:rFonts w:eastAsia="Source Han Sans CN Regular" w:cs="Times New Roman"/>
          <w:sz w:val="24"/>
        </w:rPr>
        <w:t xml:space="preserve">. Преобладава клифовият бряг със средна височина 11 - 13 m. Акумулативният бряг е лиманен тип </w:t>
      </w:r>
      <w:r w:rsidR="009A5AFE" w:rsidRPr="00610B1B">
        <w:rPr>
          <w:rStyle w:val="FontStyle13"/>
          <w:rFonts w:eastAsia="Source Han Sans CN Regular" w:cs="Times New Roman"/>
          <w:sz w:val="24"/>
        </w:rPr>
        <w:t>и</w:t>
      </w:r>
      <w:r w:rsidRPr="00610B1B">
        <w:rPr>
          <w:rStyle w:val="FontStyle13"/>
          <w:rFonts w:eastAsia="Source Han Sans CN Regular" w:cs="Times New Roman"/>
          <w:sz w:val="24"/>
        </w:rPr>
        <w:t xml:space="preserve"> обхваща плажовете Приморско, Атлиман и Китен, и лагунен тип при плаж Стомопло. Скалното дъно, изградено от варовити пясъчници и мергелно-варовит комплекс, се разкрива непосредствено пред брега за абразионния тип бряг и достига от 600 до 2 200 m от бреговата линия. Скалните банки имат височина над морското дъно от 3 до 10 - 15 m и достигат дълбочина до -40 m. На плажа и подводния брегови склон преобладават среднозърнести пясъци.</w:t>
      </w:r>
      <w:r w:rsidR="004F6CE6" w:rsidRPr="00610B1B">
        <w:rPr>
          <w:rStyle w:val="FontStyle13"/>
          <w:rFonts w:eastAsia="Source Han Sans CN Regular" w:cs="Times New Roman"/>
          <w:sz w:val="24"/>
        </w:rPr>
        <w:t xml:space="preserve"> </w:t>
      </w:r>
    </w:p>
    <w:p w14:paraId="0313136D" w14:textId="492B238D" w:rsidR="009D4A0E" w:rsidRPr="00610B1B" w:rsidRDefault="009D4A0E" w:rsidP="00D32D6A">
      <w:pPr>
        <w:pStyle w:val="BodyText"/>
        <w:tabs>
          <w:tab w:val="left" w:pos="4950"/>
        </w:tabs>
        <w:spacing w:before="0" w:after="120" w:line="276" w:lineRule="auto"/>
        <w:ind w:right="-153"/>
        <w:rPr>
          <w:rFonts w:cs="Times New Roman"/>
        </w:rPr>
      </w:pPr>
      <w:r w:rsidRPr="00610B1B">
        <w:rPr>
          <w:rStyle w:val="FontStyle13"/>
          <w:rFonts w:eastAsia="Source Han Sans CN Regular" w:cs="Times New Roman"/>
          <w:sz w:val="24"/>
        </w:rPr>
        <w:t xml:space="preserve">Предмет на опазване в зоната са 33 природни местообитания и 47 вида животни. </w:t>
      </w:r>
      <w:r w:rsidRPr="00610B1B">
        <w:rPr>
          <w:rFonts w:cs="Times New Roman"/>
        </w:rPr>
        <w:t xml:space="preserve">За зоната са предложени дейности за защита, с цел опазването на ландшафта, скалните образувания, качествата на морската среда, защитените и застрашени видове и техните местообитания. </w:t>
      </w:r>
    </w:p>
    <w:p w14:paraId="16FFA866" w14:textId="4F2E0BA1" w:rsidR="00187BC9" w:rsidRPr="00610B1B" w:rsidRDefault="00187BC9" w:rsidP="00D32D6A">
      <w:pPr>
        <w:pStyle w:val="BodyText"/>
        <w:spacing w:before="0" w:after="120" w:line="276" w:lineRule="auto"/>
        <w:ind w:right="-153"/>
        <w:rPr>
          <w:rFonts w:cs="Times New Roman"/>
        </w:rPr>
      </w:pPr>
      <w:r w:rsidRPr="00610B1B">
        <w:rPr>
          <w:rFonts w:cs="Times New Roman"/>
        </w:rPr>
        <w:t>Под същите наименования и на места с покриващи се граници се опазват територии и части от акваторията по силата на Директива 2009/147/ЕО на Европейския парламент и на Съвета от 30 ноември 2009 година относно опазването на дивите птици.</w:t>
      </w:r>
    </w:p>
    <w:p w14:paraId="6A0D40AB" w14:textId="42E917A5" w:rsidR="009D4A0E" w:rsidRPr="00610B1B" w:rsidRDefault="009D4A0E" w:rsidP="00D32D6A">
      <w:pPr>
        <w:pStyle w:val="BodyText"/>
        <w:spacing w:before="0" w:after="120" w:line="276" w:lineRule="auto"/>
        <w:ind w:right="-153"/>
        <w:rPr>
          <w:rFonts w:cs="Times New Roman"/>
        </w:rPr>
      </w:pPr>
      <w:r w:rsidRPr="00610B1B">
        <w:rPr>
          <w:rStyle w:val="FontStyle14"/>
          <w:rFonts w:eastAsia="Source Han Sans CN Regular" w:cs="Times New Roman"/>
        </w:rPr>
        <w:t>Защитена зона</w:t>
      </w:r>
      <w:r w:rsidR="00744CB1" w:rsidRPr="00610B1B">
        <w:rPr>
          <w:rFonts w:cs="Times New Roman"/>
        </w:rPr>
        <w:t xml:space="preserve"> </w:t>
      </w:r>
      <w:r w:rsidR="00744CB1" w:rsidRPr="00610B1B">
        <w:rPr>
          <w:rStyle w:val="FontStyle14"/>
          <w:rFonts w:eastAsia="Source Han Sans CN Regular" w:cs="Times New Roman"/>
        </w:rPr>
        <w:t>BG0002051</w:t>
      </w:r>
      <w:r w:rsidRPr="00610B1B">
        <w:rPr>
          <w:rStyle w:val="FontStyle14"/>
          <w:rFonts w:eastAsia="Source Han Sans CN Regular" w:cs="Times New Roman"/>
        </w:rPr>
        <w:t xml:space="preserve"> </w:t>
      </w:r>
      <w:r w:rsidR="00744CB1" w:rsidRPr="00610B1B">
        <w:rPr>
          <w:rStyle w:val="FontStyle14"/>
          <w:rFonts w:eastAsia="Source Han Sans CN Regular" w:cs="Times New Roman"/>
        </w:rPr>
        <w:t xml:space="preserve">„Калиакра“ </w:t>
      </w:r>
      <w:r w:rsidR="00744CB1" w:rsidRPr="00610B1B">
        <w:rPr>
          <w:rStyle w:val="FontStyle14"/>
          <w:rFonts w:eastAsia="Source Han Sans CN Regular" w:cs="Times New Roman"/>
          <w:b w:val="0"/>
        </w:rPr>
        <w:t>за опазване на дивите птици</w:t>
      </w:r>
      <w:r w:rsidR="00187BC9" w:rsidRPr="00610B1B">
        <w:rPr>
          <w:rStyle w:val="FontStyle14"/>
          <w:rFonts w:eastAsia="Source Han Sans CN Regular" w:cs="Times New Roman"/>
          <w:b w:val="0"/>
        </w:rPr>
        <w:t xml:space="preserve"> </w:t>
      </w:r>
      <w:r w:rsidRPr="00610B1B">
        <w:rPr>
          <w:rStyle w:val="FontStyle13"/>
          <w:rFonts w:eastAsia="Source Han Sans CN Regular" w:cs="Times New Roman"/>
          <w:sz w:val="24"/>
        </w:rPr>
        <w:t>обхваща най-източната част от Добруджанското плато с надморска височина от 0 до 150 m в общините Шабла и Каварна и заема площ 16171</w:t>
      </w:r>
      <w:r w:rsidR="00FB4757"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78 ha, от които 34.28% морска акватория. Тя е обявена със Заповед </w:t>
      </w:r>
      <w:r w:rsidR="00EC097D" w:rsidRPr="00610B1B">
        <w:rPr>
          <w:rStyle w:val="FontStyle13"/>
          <w:rFonts w:eastAsia="Source Han Sans CN Regular" w:cs="Times New Roman"/>
          <w:sz w:val="24"/>
        </w:rPr>
        <w:t xml:space="preserve">на Министъра на околната среда и водите </w:t>
      </w:r>
      <w:r w:rsidRPr="00610B1B">
        <w:rPr>
          <w:rStyle w:val="FontStyle13"/>
          <w:rFonts w:eastAsia="Source Han Sans CN Regular" w:cs="Times New Roman"/>
          <w:sz w:val="24"/>
        </w:rPr>
        <w:t xml:space="preserve">№ РД-559 от 21.08.2009 г., </w:t>
      </w:r>
      <w:r w:rsidRPr="00610B1B">
        <w:rPr>
          <w:rStyle w:val="FontStyle13"/>
          <w:rFonts w:eastAsia="Source Han Sans CN Regular" w:cs="Times New Roman"/>
          <w:iCs/>
          <w:sz w:val="24"/>
        </w:rPr>
        <w:t>(</w:t>
      </w:r>
      <w:r w:rsidRPr="00610B1B">
        <w:rPr>
          <w:rStyle w:val="FontStyle13"/>
          <w:rFonts w:eastAsia="Source Han Sans CN Regular" w:cs="Times New Roman"/>
          <w:sz w:val="24"/>
        </w:rPr>
        <w:t>ДВ бр. 69/2009 г.</w:t>
      </w:r>
      <w:r w:rsidRPr="00610B1B">
        <w:rPr>
          <w:rStyle w:val="FontStyle13"/>
          <w:rFonts w:eastAsia="Source Han Sans CN Regular" w:cs="Times New Roman"/>
          <w:iCs/>
          <w:sz w:val="24"/>
        </w:rPr>
        <w:t>)</w:t>
      </w:r>
      <w:r w:rsidRPr="00610B1B">
        <w:rPr>
          <w:rStyle w:val="FontStyle13"/>
          <w:rFonts w:eastAsia="Source Han Sans CN Regular" w:cs="Times New Roman"/>
          <w:sz w:val="24"/>
        </w:rPr>
        <w:t xml:space="preserve"> с цел опазване на характерните степни местообитания, едни от последните запазени в Европа, в които гнездят, хранят се и зимуват много и различни видове птици със световна и общоевропейска значимост. Площта ѝ е увеличавана два пъти, съответно с Решение № 678/15.11.2013 г., </w:t>
      </w:r>
      <w:r w:rsidRPr="00610B1B">
        <w:rPr>
          <w:rStyle w:val="FontStyle13"/>
          <w:rFonts w:eastAsia="Source Han Sans CN Regular" w:cs="Times New Roman"/>
          <w:iCs/>
          <w:sz w:val="24"/>
        </w:rPr>
        <w:t>(</w:t>
      </w:r>
      <w:r w:rsidRPr="00610B1B">
        <w:rPr>
          <w:rStyle w:val="FontStyle13"/>
          <w:rFonts w:eastAsia="Source Han Sans CN Regular" w:cs="Times New Roman"/>
          <w:sz w:val="24"/>
        </w:rPr>
        <w:t>ДВ бр. 99/2013 г.</w:t>
      </w:r>
      <w:r w:rsidRPr="00610B1B">
        <w:rPr>
          <w:rStyle w:val="FontStyle13"/>
          <w:rFonts w:eastAsia="Source Han Sans CN Regular" w:cs="Times New Roman"/>
          <w:iCs/>
          <w:sz w:val="24"/>
        </w:rPr>
        <w:t>)</w:t>
      </w:r>
      <w:r w:rsidRPr="00610B1B">
        <w:rPr>
          <w:rStyle w:val="FontStyle13"/>
          <w:rFonts w:eastAsia="Source Han Sans CN Regular" w:cs="Times New Roman"/>
          <w:sz w:val="24"/>
        </w:rPr>
        <w:t xml:space="preserve"> и със Заповед № РД-97/06.02.2014 г., </w:t>
      </w:r>
      <w:r w:rsidRPr="00610B1B">
        <w:rPr>
          <w:rStyle w:val="FontStyle13"/>
          <w:rFonts w:eastAsia="Source Han Sans CN Regular" w:cs="Times New Roman"/>
          <w:iCs/>
          <w:sz w:val="24"/>
        </w:rPr>
        <w:t>(</w:t>
      </w:r>
      <w:r w:rsidRPr="00610B1B">
        <w:rPr>
          <w:rStyle w:val="FontStyle13"/>
          <w:rFonts w:eastAsia="Source Han Sans CN Regular" w:cs="Times New Roman"/>
          <w:sz w:val="24"/>
        </w:rPr>
        <w:t>ДВ бр. 15/2014</w:t>
      </w:r>
      <w:r w:rsidR="00595F51" w:rsidRPr="00610B1B">
        <w:rPr>
          <w:rStyle w:val="FontStyle13"/>
          <w:rFonts w:eastAsia="Source Han Sans CN Regular" w:cs="Times New Roman"/>
          <w:sz w:val="24"/>
        </w:rPr>
        <w:t> </w:t>
      </w:r>
      <w:r w:rsidRPr="00610B1B">
        <w:rPr>
          <w:rStyle w:val="FontStyle13"/>
          <w:rFonts w:eastAsia="Source Han Sans CN Regular" w:cs="Times New Roman"/>
          <w:sz w:val="24"/>
        </w:rPr>
        <w:t>г.</w:t>
      </w:r>
      <w:r w:rsidRPr="00610B1B">
        <w:rPr>
          <w:rStyle w:val="FontStyle13"/>
          <w:rFonts w:eastAsia="Source Han Sans CN Regular" w:cs="Times New Roman"/>
          <w:iCs/>
          <w:sz w:val="24"/>
        </w:rPr>
        <w:t>)</w:t>
      </w:r>
      <w:r w:rsidRPr="00610B1B">
        <w:rPr>
          <w:rStyle w:val="FontStyle13"/>
          <w:rFonts w:eastAsia="Source Han Sans CN Regular" w:cs="Times New Roman"/>
          <w:sz w:val="24"/>
        </w:rPr>
        <w:t>. През 2017 г. със Заповед № РД-818 от 12 декември са променени режимите на ползване. Зоната се препокрива със защитена зона „Комплекс Калиакра“ за опазване на природните местообитания и на дивата флора и фауна.</w:t>
      </w:r>
    </w:p>
    <w:p w14:paraId="1976BFCF" w14:textId="744F2FEF"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 xml:space="preserve">В защитената зона обитават характерни степни видове: совоок дъждосвирец </w:t>
      </w:r>
      <w:r w:rsidRPr="00610B1B">
        <w:rPr>
          <w:rStyle w:val="FontStyle12"/>
          <w:rFonts w:eastAsia="Source Han Sans CN Regular" w:cs="Times New Roman"/>
          <w:iCs/>
        </w:rPr>
        <w:t>(</w:t>
      </w:r>
      <w:r w:rsidRPr="00610B1B">
        <w:rPr>
          <w:rStyle w:val="FontStyle12"/>
          <w:rFonts w:eastAsia="Source Han Sans CN Regular" w:cs="Times New Roman"/>
          <w:i/>
          <w:iCs/>
        </w:rPr>
        <w:t xml:space="preserve">Burhinus </w:t>
      </w:r>
      <w:r w:rsidRPr="00610B1B">
        <w:rPr>
          <w:rStyle w:val="FontStyle12"/>
          <w:rFonts w:eastAsia="Source Han Sans CN Regular" w:cs="Times New Roman"/>
          <w:i/>
          <w:iCs/>
        </w:rPr>
        <w:lastRenderedPageBreak/>
        <w:t>oedicnemus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късопръста </w:t>
      </w:r>
      <w:r w:rsidRPr="00610B1B">
        <w:rPr>
          <w:rStyle w:val="FontStyle12"/>
          <w:rFonts w:eastAsia="Source Han Sans CN Regular" w:cs="Times New Roman"/>
          <w:iCs/>
        </w:rPr>
        <w:t>(</w:t>
      </w:r>
      <w:r w:rsidRPr="00610B1B">
        <w:rPr>
          <w:rStyle w:val="FontStyle12"/>
          <w:rFonts w:eastAsia="Source Han Sans CN Regular" w:cs="Times New Roman"/>
          <w:i/>
          <w:iCs/>
        </w:rPr>
        <w:t>Calandrella brachidactyla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и дебелоклюна чучулиги </w:t>
      </w:r>
      <w:r w:rsidRPr="00610B1B">
        <w:rPr>
          <w:rStyle w:val="FontStyle12"/>
          <w:rFonts w:eastAsia="Source Han Sans CN Regular" w:cs="Times New Roman"/>
          <w:iCs/>
        </w:rPr>
        <w:t>(</w:t>
      </w:r>
      <w:r w:rsidRPr="00610B1B">
        <w:rPr>
          <w:rStyle w:val="FontStyle12"/>
          <w:rFonts w:eastAsia="Source Han Sans CN Regular" w:cs="Times New Roman"/>
          <w:i/>
          <w:iCs/>
        </w:rPr>
        <w:t>Melanocorypha calandra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4 вида каменарчета, розов скорец </w:t>
      </w:r>
      <w:r w:rsidRPr="00610B1B">
        <w:rPr>
          <w:rStyle w:val="FontStyle12"/>
          <w:rFonts w:eastAsia="Source Han Sans CN Regular" w:cs="Times New Roman"/>
          <w:iCs/>
        </w:rPr>
        <w:t>(</w:t>
      </w:r>
      <w:r w:rsidRPr="00610B1B">
        <w:rPr>
          <w:rStyle w:val="FontStyle12"/>
          <w:rFonts w:eastAsia="Source Han Sans CN Regular" w:cs="Times New Roman"/>
          <w:i/>
          <w:iCs/>
        </w:rPr>
        <w:t>Sturnus roseus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като първите три вида са с най-високи числености в страната. Почти цялата гнездова популация на черногърбото каменарче </w:t>
      </w:r>
      <w:r w:rsidRPr="00610B1B">
        <w:rPr>
          <w:rStyle w:val="FontStyle12"/>
          <w:rFonts w:eastAsia="Source Han Sans CN Regular" w:cs="Times New Roman"/>
          <w:iCs/>
        </w:rPr>
        <w:t>(</w:t>
      </w:r>
      <w:r w:rsidRPr="00610B1B">
        <w:rPr>
          <w:rStyle w:val="FontStyle12"/>
          <w:rFonts w:eastAsia="Source Han Sans CN Regular" w:cs="Times New Roman"/>
          <w:i/>
          <w:iCs/>
        </w:rPr>
        <w:t>Oenanthe pleshanka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е концентрирана на територията на Калиакра. Скалистите морски брегове се обитават от средния корморан </w:t>
      </w:r>
      <w:r w:rsidRPr="00610B1B">
        <w:rPr>
          <w:rStyle w:val="FontStyle12"/>
          <w:rFonts w:eastAsia="Source Han Sans CN Regular" w:cs="Times New Roman"/>
          <w:iCs/>
        </w:rPr>
        <w:t>(</w:t>
      </w:r>
      <w:r w:rsidRPr="00610B1B">
        <w:rPr>
          <w:rStyle w:val="FontStyle12"/>
          <w:rFonts w:eastAsia="Source Han Sans CN Regular" w:cs="Times New Roman"/>
          <w:i/>
          <w:iCs/>
        </w:rPr>
        <w:t>Phalacrocorax aristotelis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С откритите биотопи са свързани и редица хищни птици, като белоопашатия</w:t>
      </w:r>
      <w:r w:rsidR="00B00CF5" w:rsidRPr="00610B1B">
        <w:rPr>
          <w:rStyle w:val="FontStyle13"/>
          <w:rFonts w:eastAsia="Source Han Sans CN Regular" w:cs="Times New Roman"/>
          <w:sz w:val="24"/>
        </w:rPr>
        <w:t>т</w:t>
      </w:r>
      <w:r w:rsidRPr="00610B1B">
        <w:rPr>
          <w:rStyle w:val="FontStyle13"/>
          <w:rFonts w:eastAsia="Source Han Sans CN Regular" w:cs="Times New Roman"/>
          <w:sz w:val="24"/>
        </w:rPr>
        <w:t xml:space="preserve"> мишелов </w:t>
      </w:r>
      <w:r w:rsidRPr="00610B1B">
        <w:rPr>
          <w:rStyle w:val="FontStyle12"/>
          <w:rFonts w:eastAsia="Source Han Sans CN Regular" w:cs="Times New Roman"/>
          <w:iCs/>
        </w:rPr>
        <w:t>(</w:t>
      </w:r>
      <w:r w:rsidRPr="00610B1B">
        <w:rPr>
          <w:rStyle w:val="FontStyle12"/>
          <w:rFonts w:eastAsia="Source Han Sans CN Regular" w:cs="Times New Roman"/>
          <w:i/>
          <w:iCs/>
        </w:rPr>
        <w:t>Buteo rufinus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сокол</w:t>
      </w:r>
      <w:r w:rsidR="00B00CF5" w:rsidRPr="00610B1B">
        <w:rPr>
          <w:rStyle w:val="FontStyle13"/>
          <w:rFonts w:eastAsia="Source Han Sans CN Regular" w:cs="Times New Roman"/>
          <w:sz w:val="24"/>
        </w:rPr>
        <w:t>ът</w:t>
      </w:r>
      <w:r w:rsidRPr="00610B1B">
        <w:rPr>
          <w:rStyle w:val="FontStyle13"/>
          <w:rFonts w:eastAsia="Source Han Sans CN Regular" w:cs="Times New Roman"/>
          <w:sz w:val="24"/>
        </w:rPr>
        <w:t xml:space="preserve"> орко </w:t>
      </w:r>
      <w:r w:rsidRPr="00610B1B">
        <w:rPr>
          <w:rStyle w:val="FontStyle12"/>
          <w:rFonts w:eastAsia="Source Han Sans CN Regular" w:cs="Times New Roman"/>
          <w:iCs/>
        </w:rPr>
        <w:t>(</w:t>
      </w:r>
      <w:r w:rsidRPr="00610B1B">
        <w:rPr>
          <w:rStyle w:val="FontStyle12"/>
          <w:rFonts w:eastAsia="Source Han Sans CN Regular" w:cs="Times New Roman"/>
          <w:i/>
          <w:iCs/>
        </w:rPr>
        <w:t>Falco subbuteo</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късопръстия</w:t>
      </w:r>
      <w:r w:rsidR="00B00CF5" w:rsidRPr="00610B1B">
        <w:rPr>
          <w:rStyle w:val="FontStyle13"/>
          <w:rFonts w:eastAsia="Source Han Sans CN Regular" w:cs="Times New Roman"/>
          <w:sz w:val="24"/>
        </w:rPr>
        <w:t>т</w:t>
      </w:r>
      <w:r w:rsidRPr="00610B1B">
        <w:rPr>
          <w:rStyle w:val="FontStyle13"/>
          <w:rFonts w:eastAsia="Source Han Sans CN Regular" w:cs="Times New Roman"/>
          <w:sz w:val="24"/>
        </w:rPr>
        <w:t xml:space="preserve"> ястреб </w:t>
      </w:r>
      <w:r w:rsidRPr="00610B1B">
        <w:rPr>
          <w:rStyle w:val="FontStyle12"/>
          <w:rFonts w:eastAsia="Source Han Sans CN Regular" w:cs="Times New Roman"/>
          <w:iCs/>
        </w:rPr>
        <w:t>(</w:t>
      </w:r>
      <w:r w:rsidRPr="00610B1B">
        <w:rPr>
          <w:rStyle w:val="FontStyle12"/>
          <w:rFonts w:eastAsia="Source Han Sans CN Regular" w:cs="Times New Roman"/>
          <w:i/>
          <w:iCs/>
        </w:rPr>
        <w:t>Accipiter brevipes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бухал</w:t>
      </w:r>
      <w:r w:rsidR="00B00CF5" w:rsidRPr="00610B1B">
        <w:rPr>
          <w:rStyle w:val="FontStyle13"/>
          <w:rFonts w:eastAsia="Source Han Sans CN Regular" w:cs="Times New Roman"/>
          <w:sz w:val="24"/>
        </w:rPr>
        <w:t>ът</w:t>
      </w:r>
      <w:r w:rsidRPr="00610B1B">
        <w:rPr>
          <w:rStyle w:val="FontStyle13"/>
          <w:rFonts w:eastAsia="Source Han Sans CN Regular" w:cs="Times New Roman"/>
          <w:sz w:val="24"/>
        </w:rPr>
        <w:t xml:space="preserve"> </w:t>
      </w:r>
      <w:r w:rsidRPr="00610B1B">
        <w:rPr>
          <w:rStyle w:val="FontStyle12"/>
          <w:rFonts w:eastAsia="Source Han Sans CN Regular" w:cs="Times New Roman"/>
          <w:iCs/>
        </w:rPr>
        <w:t>(</w:t>
      </w:r>
      <w:r w:rsidRPr="00610B1B">
        <w:rPr>
          <w:rStyle w:val="FontStyle12"/>
          <w:rFonts w:eastAsia="Source Han Sans CN Regular" w:cs="Times New Roman"/>
          <w:i/>
          <w:iCs/>
        </w:rPr>
        <w:t>Bubo bubo</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и др. Зоната е от значение за миграцията, тъй като е разположен</w:t>
      </w:r>
      <w:r w:rsidR="00FB4757" w:rsidRPr="00610B1B">
        <w:rPr>
          <w:rStyle w:val="FontStyle13"/>
          <w:rFonts w:eastAsia="Source Han Sans CN Regular" w:cs="Times New Roman"/>
          <w:sz w:val="24"/>
        </w:rPr>
        <w:t>а</w:t>
      </w:r>
      <w:r w:rsidRPr="00610B1B">
        <w:rPr>
          <w:rStyle w:val="FontStyle13"/>
          <w:rFonts w:eastAsia="Source Han Sans CN Regular" w:cs="Times New Roman"/>
          <w:sz w:val="24"/>
        </w:rPr>
        <w:t xml:space="preserve"> на </w:t>
      </w:r>
      <w:r w:rsidRPr="00610B1B">
        <w:rPr>
          <w:rStyle w:val="FontStyle13"/>
          <w:rFonts w:eastAsia="Source Han Sans CN Regular" w:cs="Times New Roman"/>
          <w:i/>
          <w:sz w:val="24"/>
        </w:rPr>
        <w:t>Via Pontica</w:t>
      </w:r>
      <w:r w:rsidRPr="00610B1B">
        <w:rPr>
          <w:rStyle w:val="FontStyle13"/>
          <w:rFonts w:eastAsia="Source Han Sans CN Regular" w:cs="Times New Roman"/>
          <w:sz w:val="24"/>
        </w:rPr>
        <w:t xml:space="preserve">. Над Калиакра всяка есен преминават </w:t>
      </w:r>
      <w:r w:rsidR="00FB4757" w:rsidRPr="00610B1B">
        <w:rPr>
          <w:rStyle w:val="FontStyle13"/>
          <w:rFonts w:eastAsia="Source Han Sans CN Regular" w:cs="Times New Roman"/>
          <w:sz w:val="24"/>
        </w:rPr>
        <w:t>голям брой</w:t>
      </w:r>
      <w:r w:rsidRPr="00610B1B">
        <w:rPr>
          <w:rStyle w:val="FontStyle13"/>
          <w:rFonts w:eastAsia="Source Han Sans CN Regular" w:cs="Times New Roman"/>
          <w:sz w:val="24"/>
        </w:rPr>
        <w:t xml:space="preserve"> реещи се и грабливи птици. В района на Калиакра зимуват значителни количества водолюбиви птици, основно гъски, които се задържат от декември до март. Те нощуват в морето и ежедневно прелитат над района, за да се хранят в нивите.</w:t>
      </w:r>
    </w:p>
    <w:p w14:paraId="7BA919F3" w14:textId="279BA803"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 xml:space="preserve">В защитената зона се забраняват промените в характеристиките на ландшафта и начините на трайно ползване, включително чрез премахване на групи дървета и храсти или със залесяване на ливади, мери и пасища; </w:t>
      </w:r>
      <w:r w:rsidRPr="00610B1B">
        <w:rPr>
          <w:rFonts w:cs="Times New Roman"/>
        </w:rPr>
        <w:t xml:space="preserve">използването на пестициди и минерални торове; разширяване на площта на съществуващи кариери; изграждане на пречиствателни станции за питейни и отпадъчни води, на съоръжения за третиране на отпадъци, на съоръжения за укрепване на свлачища; пътища и други елементи </w:t>
      </w:r>
      <w:r w:rsidRPr="00610B1B">
        <w:rPr>
          <w:rFonts w:cs="Times New Roman"/>
          <w:iCs/>
        </w:rPr>
        <w:t>(</w:t>
      </w:r>
      <w:r w:rsidRPr="00610B1B">
        <w:rPr>
          <w:rFonts w:cs="Times New Roman"/>
        </w:rPr>
        <w:t>обекти</w:t>
      </w:r>
      <w:r w:rsidRPr="00610B1B">
        <w:rPr>
          <w:rFonts w:cs="Times New Roman"/>
          <w:iCs/>
        </w:rPr>
        <w:t>)</w:t>
      </w:r>
      <w:r w:rsidRPr="00610B1B">
        <w:rPr>
          <w:rFonts w:cs="Times New Roman"/>
        </w:rPr>
        <w:t xml:space="preserve"> на техническата инфраструктура, вкл. фотоволтаици и ветрогенератори; реализиране на планове, програми, проекти и инвестиционни предложения, за които няма проведена процедура по чл. 31 от ЗБР. Изключения се допускат също така и за някои дейности по предоставените с РМС № 536/30.07.2003 г. и РМС №540/30.07.2003 г. концесии за добив на суров нефт от находище „Тюленово“ и концесия за добив на природен газ от находище „Българево“. Забранени са лова на водоплаващ дивеч и въвеждането на нетипични за района земеделски култури.</w:t>
      </w:r>
      <w:r w:rsidR="00C415D1" w:rsidRPr="00610B1B">
        <w:rPr>
          <w:rFonts w:cs="Times New Roman"/>
        </w:rPr>
        <w:t xml:space="preserve"> </w:t>
      </w:r>
    </w:p>
    <w:p w14:paraId="2155707F" w14:textId="4868617D" w:rsidR="009D4A0E" w:rsidRPr="00610B1B" w:rsidRDefault="009D4A0E" w:rsidP="00D32D6A">
      <w:pPr>
        <w:pStyle w:val="BodyText"/>
        <w:spacing w:before="0" w:after="120" w:line="276" w:lineRule="auto"/>
        <w:ind w:right="-153"/>
        <w:rPr>
          <w:rFonts w:cs="Times New Roman"/>
        </w:rPr>
      </w:pPr>
      <w:r w:rsidRPr="00610B1B">
        <w:rPr>
          <w:rFonts w:cs="Times New Roman"/>
        </w:rPr>
        <w:t>Поради големия брой изградени ветрогенератори в района, с разрешения преди обявяването на зоните по Натура 2000,</w:t>
      </w:r>
      <w:r w:rsidR="00D66FE0" w:rsidRPr="00610B1B">
        <w:rPr>
          <w:rFonts w:cs="Times New Roman"/>
        </w:rPr>
        <w:t xml:space="preserve"> </w:t>
      </w:r>
      <w:r w:rsidRPr="00610B1B">
        <w:rPr>
          <w:rFonts w:cs="Times New Roman"/>
        </w:rPr>
        <w:t>изменението на режимите от 2017 г. предвижда вредните въздействия от работата на единични вятърни турбини, групи ветрогенератори или цели ветроенергийни паркове при наличие на данни за интензивен миграционен поток на птици да бъдат намалени чрез спиране на</w:t>
      </w:r>
      <w:r w:rsidR="00187BC9" w:rsidRPr="00610B1B">
        <w:rPr>
          <w:rFonts w:cs="Times New Roman"/>
        </w:rPr>
        <w:t xml:space="preserve"> част </w:t>
      </w:r>
      <w:r w:rsidRPr="00610B1B">
        <w:rPr>
          <w:rFonts w:cs="Times New Roman"/>
        </w:rPr>
        <w:t xml:space="preserve">от </w:t>
      </w:r>
      <w:r w:rsidR="00187BC9" w:rsidRPr="00610B1B">
        <w:rPr>
          <w:rFonts w:cs="Times New Roman"/>
        </w:rPr>
        <w:t>генераторите</w:t>
      </w:r>
      <w:r w:rsidRPr="00610B1B">
        <w:rPr>
          <w:rFonts w:cs="Times New Roman"/>
        </w:rPr>
        <w:t xml:space="preserve">. </w:t>
      </w:r>
    </w:p>
    <w:p w14:paraId="5D43E782" w14:textId="25CCB2C4" w:rsidR="009D4A0E" w:rsidRPr="00610B1B" w:rsidRDefault="009D4A0E" w:rsidP="00D32D6A">
      <w:pPr>
        <w:pStyle w:val="BodyText"/>
        <w:spacing w:before="0" w:after="120" w:line="276" w:lineRule="auto"/>
        <w:ind w:right="-153"/>
        <w:rPr>
          <w:rFonts w:cs="Times New Roman"/>
        </w:rPr>
      </w:pPr>
      <w:r w:rsidRPr="00610B1B">
        <w:rPr>
          <w:rStyle w:val="FontStyle14"/>
          <w:rFonts w:eastAsia="Source Han Sans CN Regular" w:cs="Times New Roman"/>
        </w:rPr>
        <w:t>Защитена Зона</w:t>
      </w:r>
      <w:r w:rsidR="00331812" w:rsidRPr="00610B1B">
        <w:rPr>
          <w:rFonts w:cs="Times New Roman"/>
        </w:rPr>
        <w:t xml:space="preserve"> </w:t>
      </w:r>
      <w:r w:rsidR="00331812" w:rsidRPr="00610B1B">
        <w:rPr>
          <w:rStyle w:val="FontStyle14"/>
          <w:rFonts w:eastAsia="Source Han Sans CN Regular" w:cs="Times New Roman"/>
        </w:rPr>
        <w:t xml:space="preserve">BG0002041 </w:t>
      </w:r>
      <w:r w:rsidRPr="00610B1B">
        <w:rPr>
          <w:rStyle w:val="FontStyle14"/>
          <w:rFonts w:eastAsia="Source Han Sans CN Regular" w:cs="Times New Roman"/>
        </w:rPr>
        <w:t>„Комплекс Ропотамо“</w:t>
      </w:r>
      <w:r w:rsidR="00187BC9" w:rsidRPr="00610B1B">
        <w:rPr>
          <w:rFonts w:cs="Times New Roman"/>
        </w:rPr>
        <w:t xml:space="preserve"> за опазване на дивите птици </w:t>
      </w:r>
      <w:r w:rsidRPr="00610B1B">
        <w:rPr>
          <w:rStyle w:val="FontStyle13"/>
          <w:rFonts w:eastAsia="Source Han Sans CN Regular" w:cs="Times New Roman"/>
          <w:sz w:val="24"/>
        </w:rPr>
        <w:t>е с площ 3857</w:t>
      </w:r>
      <w:r w:rsidR="00FB4757" w:rsidRPr="00610B1B">
        <w:rPr>
          <w:rStyle w:val="FontStyle13"/>
          <w:rFonts w:eastAsia="Source Han Sans CN Regular" w:cs="Times New Roman"/>
          <w:sz w:val="24"/>
        </w:rPr>
        <w:t>,</w:t>
      </w:r>
      <w:r w:rsidRPr="00610B1B">
        <w:rPr>
          <w:rStyle w:val="FontStyle13"/>
          <w:rFonts w:eastAsia="Source Han Sans CN Regular" w:cs="Times New Roman"/>
          <w:sz w:val="24"/>
        </w:rPr>
        <w:t>75 ha, от които 17.2% са морска акватория. Тя е обявена със Заповед № РД-82/03.02.2009 г., и има за цел опазването, поддържането и при необходимост възстановяването на природните местообитания на птиците, като обхваща</w:t>
      </w:r>
      <w:r w:rsidR="00D66FE0" w:rsidRPr="00610B1B">
        <w:rPr>
          <w:rStyle w:val="FontStyle13"/>
          <w:rFonts w:eastAsia="Source Han Sans CN Regular" w:cs="Times New Roman"/>
          <w:sz w:val="24"/>
        </w:rPr>
        <w:t xml:space="preserve"> </w:t>
      </w:r>
      <w:r w:rsidRPr="00610B1B">
        <w:rPr>
          <w:rStyle w:val="FontStyle13"/>
          <w:rFonts w:eastAsia="Source Han Sans CN Regular" w:cs="Times New Roman"/>
          <w:sz w:val="24"/>
        </w:rPr>
        <w:t>части от общините Созопол и Приморско.</w:t>
      </w:r>
      <w:r w:rsidR="00187BC9" w:rsidRPr="00610B1B">
        <w:rPr>
          <w:rStyle w:val="FontStyle13"/>
          <w:rFonts w:eastAsia="Source Han Sans CN Regular" w:cs="Times New Roman"/>
          <w:sz w:val="24"/>
        </w:rPr>
        <w:t xml:space="preserve"> </w:t>
      </w:r>
      <w:r w:rsidRPr="00610B1B">
        <w:rPr>
          <w:rStyle w:val="FontStyle13"/>
          <w:rFonts w:eastAsia="Source Han Sans CN Regular" w:cs="Times New Roman"/>
          <w:sz w:val="24"/>
        </w:rPr>
        <w:t>В защитената зона попадат резерват „Ропотамо“, поддържаният резерват</w:t>
      </w:r>
      <w:r w:rsidR="00D66FE0" w:rsidRPr="00610B1B">
        <w:rPr>
          <w:rStyle w:val="FontStyle13"/>
          <w:rFonts w:eastAsia="Source Han Sans CN Regular" w:cs="Times New Roman"/>
          <w:sz w:val="24"/>
        </w:rPr>
        <w:t xml:space="preserve"> </w:t>
      </w:r>
      <w:r w:rsidRPr="00610B1B">
        <w:rPr>
          <w:rStyle w:val="FontStyle13"/>
          <w:rFonts w:eastAsia="Source Han Sans CN Regular" w:cs="Times New Roman"/>
          <w:sz w:val="24"/>
        </w:rPr>
        <w:t xml:space="preserve">„Вельов дол“ </w:t>
      </w:r>
      <w:r w:rsidRPr="00610B1B">
        <w:rPr>
          <w:rStyle w:val="FontStyle13"/>
          <w:rFonts w:eastAsia="Source Han Sans CN Regular" w:cs="Times New Roman"/>
          <w:iCs/>
          <w:sz w:val="24"/>
        </w:rPr>
        <w:t>(</w:t>
      </w:r>
      <w:r w:rsidRPr="00610B1B">
        <w:rPr>
          <w:rStyle w:val="FontStyle13"/>
          <w:rFonts w:eastAsia="Source Han Sans CN Regular" w:cs="Times New Roman"/>
          <w:sz w:val="24"/>
        </w:rPr>
        <w:t>Водните лилии</w:t>
      </w:r>
      <w:r w:rsidRPr="00610B1B">
        <w:rPr>
          <w:rStyle w:val="FontStyle13"/>
          <w:rFonts w:eastAsia="Source Han Sans CN Regular" w:cs="Times New Roman"/>
          <w:iCs/>
          <w:sz w:val="24"/>
        </w:rPr>
        <w:t>)</w:t>
      </w:r>
      <w:r w:rsidRPr="00610B1B">
        <w:rPr>
          <w:rStyle w:val="FontStyle13"/>
          <w:rFonts w:eastAsia="Source Han Sans CN Regular" w:cs="Times New Roman"/>
          <w:sz w:val="24"/>
        </w:rPr>
        <w:t>, защитените местности Беглик Таш, Ст</w:t>
      </w:r>
      <w:r w:rsidR="00FB4757" w:rsidRPr="00610B1B">
        <w:rPr>
          <w:rStyle w:val="FontStyle13"/>
          <w:rFonts w:eastAsia="Source Han Sans CN Regular" w:cs="Times New Roman"/>
          <w:sz w:val="24"/>
        </w:rPr>
        <w:t>о</w:t>
      </w:r>
      <w:r w:rsidRPr="00610B1B">
        <w:rPr>
          <w:rStyle w:val="FontStyle13"/>
          <w:rFonts w:eastAsia="Source Han Sans CN Regular" w:cs="Times New Roman"/>
          <w:sz w:val="24"/>
        </w:rPr>
        <w:t>мопл</w:t>
      </w:r>
      <w:r w:rsidR="00FB4757" w:rsidRPr="00610B1B">
        <w:rPr>
          <w:rStyle w:val="FontStyle13"/>
          <w:rFonts w:eastAsia="Source Han Sans CN Regular" w:cs="Times New Roman"/>
          <w:sz w:val="24"/>
        </w:rPr>
        <w:t>о</w:t>
      </w:r>
      <w:r w:rsidRPr="00610B1B">
        <w:rPr>
          <w:rStyle w:val="FontStyle13"/>
          <w:rFonts w:eastAsia="Source Han Sans CN Regular" w:cs="Times New Roman"/>
          <w:sz w:val="24"/>
        </w:rPr>
        <w:t xml:space="preserve"> и блатото Алепу и природните забележителности Пясъчни дюни в местностите Алепу и Каваците,</w:t>
      </w:r>
      <w:r w:rsidR="00D66FE0" w:rsidRPr="00610B1B">
        <w:rPr>
          <w:rStyle w:val="FontStyle13"/>
          <w:rFonts w:eastAsia="Source Han Sans CN Regular" w:cs="Times New Roman"/>
          <w:sz w:val="24"/>
        </w:rPr>
        <w:t xml:space="preserve"> </w:t>
      </w:r>
      <w:r w:rsidRPr="00610B1B">
        <w:rPr>
          <w:rStyle w:val="FontStyle13"/>
          <w:rFonts w:eastAsia="Source Han Sans CN Regular" w:cs="Times New Roman"/>
          <w:sz w:val="24"/>
        </w:rPr>
        <w:t xml:space="preserve">Скалните образувания, фиордите и тюленовата пещера </w:t>
      </w:r>
      <w:r w:rsidR="00D36892" w:rsidRPr="00610B1B">
        <w:rPr>
          <w:rStyle w:val="FontStyle13"/>
          <w:rFonts w:eastAsia="Source Han Sans CN Regular" w:cs="Times New Roman"/>
          <w:sz w:val="24"/>
        </w:rPr>
        <w:t>на</w:t>
      </w:r>
      <w:r w:rsidRPr="00610B1B">
        <w:rPr>
          <w:rStyle w:val="FontStyle13"/>
          <w:rFonts w:eastAsia="Source Han Sans CN Regular" w:cs="Times New Roman"/>
          <w:sz w:val="24"/>
        </w:rPr>
        <w:t xml:space="preserve"> Маслен нос.</w:t>
      </w:r>
    </w:p>
    <w:p w14:paraId="7AF3938E" w14:textId="429563E3"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Комплекс Ропотамо е едно от най-важните места в страната</w:t>
      </w:r>
      <w:r w:rsidR="00D36892"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където гнездят видове, силно привързани към разнообразните типове местообитания на територията му - средиземноморският буревестник</w:t>
      </w:r>
      <w:r w:rsidR="00FB4757" w:rsidRPr="00610B1B">
        <w:rPr>
          <w:rFonts w:cs="Times New Roman"/>
        </w:rPr>
        <w:t xml:space="preserve"> </w:t>
      </w:r>
      <w:r w:rsidR="00FB4757" w:rsidRPr="00610B1B">
        <w:rPr>
          <w:rStyle w:val="FontStyle13"/>
          <w:rFonts w:eastAsia="Source Han Sans CN Regular" w:cs="Times New Roman"/>
          <w:sz w:val="24"/>
        </w:rPr>
        <w:t>(</w:t>
      </w:r>
      <w:r w:rsidR="00FB4757" w:rsidRPr="00610B1B">
        <w:rPr>
          <w:rStyle w:val="FontStyle13"/>
          <w:rFonts w:eastAsia="Source Han Sans CN Regular" w:cs="Times New Roman"/>
          <w:i/>
          <w:iCs/>
          <w:sz w:val="24"/>
        </w:rPr>
        <w:t>Puffinus yelkouan</w:t>
      </w:r>
      <w:r w:rsidR="00FB4757"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голямата пъструшка </w:t>
      </w:r>
      <w:r w:rsidRPr="00610B1B">
        <w:rPr>
          <w:rStyle w:val="FontStyle12"/>
          <w:rFonts w:eastAsia="Source Han Sans CN Regular" w:cs="Times New Roman"/>
          <w:iCs/>
        </w:rPr>
        <w:t>(</w:t>
      </w:r>
      <w:r w:rsidRPr="00610B1B">
        <w:rPr>
          <w:rStyle w:val="FontStyle12"/>
          <w:rFonts w:eastAsia="Source Han Sans CN Regular" w:cs="Times New Roman"/>
          <w:i/>
          <w:iCs/>
        </w:rPr>
        <w:t xml:space="preserve">Porzana </w:t>
      </w:r>
      <w:r w:rsidRPr="00610B1B">
        <w:rPr>
          <w:rStyle w:val="FontStyle12"/>
          <w:rFonts w:eastAsia="Source Han Sans CN Regular" w:cs="Times New Roman"/>
          <w:i/>
          <w:iCs/>
        </w:rPr>
        <w:lastRenderedPageBreak/>
        <w:t>porzana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средната пъструшка </w:t>
      </w:r>
      <w:r w:rsidRPr="00610B1B">
        <w:rPr>
          <w:rStyle w:val="FontStyle12"/>
          <w:rFonts w:eastAsia="Source Han Sans CN Regular" w:cs="Times New Roman"/>
          <w:iCs/>
        </w:rPr>
        <w:t>(</w:t>
      </w:r>
      <w:r w:rsidRPr="00610B1B">
        <w:rPr>
          <w:rStyle w:val="FontStyle12"/>
          <w:rFonts w:eastAsia="Source Han Sans CN Regular" w:cs="Times New Roman"/>
          <w:i/>
          <w:iCs/>
        </w:rPr>
        <w:t>Porzana parva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червената чапла</w:t>
      </w:r>
      <w:r w:rsidR="00FB4757" w:rsidRPr="00610B1B">
        <w:rPr>
          <w:rStyle w:val="FontStyle13"/>
          <w:rFonts w:eastAsia="Source Han Sans CN Regular" w:cs="Times New Roman"/>
          <w:sz w:val="24"/>
        </w:rPr>
        <w:t xml:space="preserve"> (</w:t>
      </w:r>
      <w:r w:rsidR="00FB4757" w:rsidRPr="00610B1B">
        <w:rPr>
          <w:rStyle w:val="FontStyle13"/>
          <w:rFonts w:eastAsia="Source Han Sans CN Regular" w:cs="Times New Roman"/>
          <w:i/>
          <w:iCs/>
          <w:sz w:val="24"/>
        </w:rPr>
        <w:t>Ardea purpurea</w:t>
      </w:r>
      <w:r w:rsidR="00FB4757"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гривестата чапла </w:t>
      </w:r>
      <w:r w:rsidRPr="00610B1B">
        <w:rPr>
          <w:rStyle w:val="FontStyle12"/>
          <w:rFonts w:eastAsia="Source Han Sans CN Regular" w:cs="Times New Roman"/>
          <w:iCs/>
        </w:rPr>
        <w:t>(</w:t>
      </w:r>
      <w:r w:rsidRPr="00610B1B">
        <w:rPr>
          <w:rStyle w:val="FontStyle12"/>
          <w:rFonts w:eastAsia="Source Han Sans CN Regular" w:cs="Times New Roman"/>
          <w:i/>
          <w:iCs/>
        </w:rPr>
        <w:t>Ardeola ralloides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и полубеловратата мухоловка</w:t>
      </w:r>
      <w:r w:rsidR="00FB4757" w:rsidRPr="00610B1B">
        <w:rPr>
          <w:rFonts w:cs="Times New Roman"/>
        </w:rPr>
        <w:t xml:space="preserve"> </w:t>
      </w:r>
      <w:r w:rsidR="00FB4757" w:rsidRPr="00610B1B">
        <w:rPr>
          <w:rStyle w:val="FontStyle13"/>
          <w:rFonts w:eastAsia="Source Han Sans CN Regular" w:cs="Times New Roman"/>
          <w:sz w:val="24"/>
        </w:rPr>
        <w:t>(</w:t>
      </w:r>
      <w:r w:rsidR="00FB4757" w:rsidRPr="00610B1B">
        <w:rPr>
          <w:rStyle w:val="FontStyle13"/>
          <w:rFonts w:eastAsia="Source Han Sans CN Regular" w:cs="Times New Roman"/>
          <w:i/>
          <w:iCs/>
          <w:sz w:val="24"/>
        </w:rPr>
        <w:t>Ficedula semitorquata</w:t>
      </w:r>
      <w:r w:rsidR="00FB4757"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Комплекс Ропотамо е едно от трите гнездови находища на морския орел </w:t>
      </w:r>
      <w:r w:rsidR="00FB4757" w:rsidRPr="00610B1B">
        <w:rPr>
          <w:rStyle w:val="FontStyle13"/>
          <w:rFonts w:eastAsia="Source Han Sans CN Regular" w:cs="Times New Roman"/>
          <w:sz w:val="24"/>
        </w:rPr>
        <w:t>(</w:t>
      </w:r>
      <w:r w:rsidR="00FB4757" w:rsidRPr="00610B1B">
        <w:rPr>
          <w:rStyle w:val="FontStyle13"/>
          <w:rFonts w:eastAsia="Source Han Sans CN Regular" w:cs="Times New Roman"/>
          <w:i/>
          <w:iCs/>
          <w:sz w:val="24"/>
        </w:rPr>
        <w:t>Haliaeetus albicilla</w:t>
      </w:r>
      <w:r w:rsidR="00FB4757"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по </w:t>
      </w:r>
      <w:r w:rsidR="008E5D9F" w:rsidRPr="00610B1B">
        <w:rPr>
          <w:rStyle w:val="FontStyle13"/>
          <w:rFonts w:eastAsia="Source Han Sans CN Regular" w:cs="Times New Roman"/>
          <w:sz w:val="24"/>
        </w:rPr>
        <w:t>Б</w:t>
      </w:r>
      <w:r w:rsidRPr="00610B1B">
        <w:rPr>
          <w:rStyle w:val="FontStyle13"/>
          <w:rFonts w:eastAsia="Source Han Sans CN Regular" w:cs="Times New Roman"/>
          <w:sz w:val="24"/>
        </w:rPr>
        <w:t xml:space="preserve">ългарското Черноморие. През размножителния период, по време на миграция или зимуване са установени застрашени видове като малкият корморан, къдроглавият пеликан, мраморната патица </w:t>
      </w:r>
      <w:r w:rsidRPr="00610B1B">
        <w:rPr>
          <w:rStyle w:val="FontStyle12"/>
          <w:rFonts w:eastAsia="Source Han Sans CN Regular" w:cs="Times New Roman"/>
          <w:iCs/>
        </w:rPr>
        <w:t>(</w:t>
      </w:r>
      <w:r w:rsidRPr="00610B1B">
        <w:rPr>
          <w:rStyle w:val="FontStyle12"/>
          <w:rFonts w:eastAsia="Source Han Sans CN Regular" w:cs="Times New Roman"/>
          <w:i/>
          <w:iCs/>
        </w:rPr>
        <w:t>Marmaronetta angustirostris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белооката потапница, морският орел, степният блатар </w:t>
      </w:r>
      <w:r w:rsidRPr="00610B1B">
        <w:rPr>
          <w:rStyle w:val="FontStyle12"/>
          <w:rFonts w:eastAsia="Source Han Sans CN Regular" w:cs="Times New Roman"/>
          <w:iCs/>
        </w:rPr>
        <w:t>(</w:t>
      </w:r>
      <w:r w:rsidRPr="00610B1B">
        <w:rPr>
          <w:rStyle w:val="FontStyle12"/>
          <w:rFonts w:eastAsia="Source Han Sans CN Regular" w:cs="Times New Roman"/>
          <w:i/>
          <w:iCs/>
        </w:rPr>
        <w:t>Circus macrourus</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големият креслив орел </w:t>
      </w:r>
      <w:r w:rsidRPr="00610B1B">
        <w:rPr>
          <w:rStyle w:val="FontStyle12"/>
          <w:rFonts w:eastAsia="Source Han Sans CN Regular" w:cs="Times New Roman"/>
          <w:iCs/>
        </w:rPr>
        <w:t>(</w:t>
      </w:r>
      <w:r w:rsidRPr="00610B1B">
        <w:rPr>
          <w:rStyle w:val="FontStyle12"/>
          <w:rFonts w:eastAsia="Source Han Sans CN Regular" w:cs="Times New Roman"/>
        </w:rPr>
        <w:t>Aquila clanga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царският орел </w:t>
      </w:r>
      <w:r w:rsidRPr="00610B1B">
        <w:rPr>
          <w:rStyle w:val="FontStyle12"/>
          <w:rFonts w:eastAsia="Source Han Sans CN Regular" w:cs="Times New Roman"/>
          <w:iCs/>
        </w:rPr>
        <w:t>(</w:t>
      </w:r>
      <w:r w:rsidRPr="00610B1B">
        <w:rPr>
          <w:rStyle w:val="FontStyle12"/>
          <w:rFonts w:eastAsia="Source Han Sans CN Regular" w:cs="Times New Roman"/>
          <w:i/>
          <w:iCs/>
        </w:rPr>
        <w:t>Aquila heliaca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белошипата ветрушка </w:t>
      </w:r>
      <w:r w:rsidRPr="00610B1B">
        <w:rPr>
          <w:rStyle w:val="FontStyle12"/>
          <w:rFonts w:eastAsia="Source Han Sans CN Regular" w:cs="Times New Roman"/>
          <w:iCs/>
        </w:rPr>
        <w:t>(</w:t>
      </w:r>
      <w:r w:rsidRPr="00610B1B">
        <w:rPr>
          <w:rStyle w:val="FontStyle12"/>
          <w:rFonts w:eastAsia="Source Han Sans CN Regular" w:cs="Times New Roman"/>
          <w:i/>
          <w:iCs/>
        </w:rPr>
        <w:t>Falco</w:t>
      </w:r>
      <w:r w:rsidRPr="00610B1B">
        <w:rPr>
          <w:rStyle w:val="FontStyle12"/>
          <w:rFonts w:eastAsia="Source Han Sans CN Regular" w:cs="Times New Roman"/>
        </w:rPr>
        <w:t xml:space="preserve"> </w:t>
      </w:r>
      <w:r w:rsidRPr="00610B1B">
        <w:rPr>
          <w:rStyle w:val="FontStyle12"/>
          <w:rFonts w:eastAsia="Source Han Sans CN Regular" w:cs="Times New Roman"/>
          <w:i/>
          <w:iCs/>
        </w:rPr>
        <w:t>naumanni</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и ливадният дърдавец </w:t>
      </w:r>
      <w:r w:rsidRPr="00610B1B">
        <w:rPr>
          <w:rStyle w:val="FontStyle13"/>
          <w:rFonts w:eastAsia="Source Han Sans CN Regular" w:cs="Times New Roman"/>
          <w:iCs/>
          <w:sz w:val="24"/>
        </w:rPr>
        <w:t>(</w:t>
      </w:r>
      <w:r w:rsidRPr="00610B1B">
        <w:rPr>
          <w:rStyle w:val="FontStyle13"/>
          <w:rFonts w:eastAsia="Source Han Sans CN Regular" w:cs="Times New Roman"/>
          <w:i/>
          <w:iCs/>
          <w:sz w:val="24"/>
        </w:rPr>
        <w:t>Crex Crex</w:t>
      </w:r>
      <w:r w:rsidRPr="00610B1B">
        <w:rPr>
          <w:rStyle w:val="FontStyle13"/>
          <w:rFonts w:eastAsia="Source Han Sans CN Regular" w:cs="Times New Roman"/>
          <w:iCs/>
          <w:sz w:val="24"/>
        </w:rPr>
        <w:t>)</w:t>
      </w:r>
      <w:r w:rsidRPr="00610B1B">
        <w:rPr>
          <w:rStyle w:val="FontStyle13"/>
          <w:rFonts w:eastAsia="Source Han Sans CN Regular" w:cs="Times New Roman"/>
          <w:sz w:val="24"/>
        </w:rPr>
        <w:t>. Комплексът е важна междинна станция при миграция на птиците и поддържа значителни зимуващи популации на черногушия гмуркач</w:t>
      </w:r>
      <w:r w:rsidR="00DC1E4E" w:rsidRPr="00610B1B">
        <w:rPr>
          <w:rStyle w:val="FontStyle13"/>
          <w:rFonts w:eastAsia="Source Han Sans CN Regular" w:cs="Times New Roman"/>
          <w:sz w:val="24"/>
        </w:rPr>
        <w:t xml:space="preserve"> (</w:t>
      </w:r>
      <w:r w:rsidR="00DC1E4E" w:rsidRPr="00610B1B">
        <w:rPr>
          <w:rStyle w:val="FontStyle13"/>
          <w:rFonts w:eastAsia="Source Han Sans CN Regular" w:cs="Times New Roman"/>
          <w:i/>
          <w:iCs/>
          <w:sz w:val="24"/>
        </w:rPr>
        <w:t>Gavia arctica</w:t>
      </w:r>
      <w:r w:rsidR="00DC1E4E" w:rsidRPr="00610B1B">
        <w:rPr>
          <w:rStyle w:val="FontStyle13"/>
          <w:rFonts w:eastAsia="Source Han Sans CN Regular" w:cs="Times New Roman"/>
          <w:sz w:val="24"/>
        </w:rPr>
        <w:t>)</w:t>
      </w:r>
      <w:r w:rsidRPr="00610B1B">
        <w:rPr>
          <w:rStyle w:val="FontStyle13"/>
          <w:rFonts w:eastAsia="Source Han Sans CN Regular" w:cs="Times New Roman"/>
          <w:sz w:val="24"/>
        </w:rPr>
        <w:t xml:space="preserve">, кафявоглавата </w:t>
      </w:r>
      <w:r w:rsidRPr="00610B1B">
        <w:rPr>
          <w:rStyle w:val="FontStyle12"/>
          <w:rFonts w:eastAsia="Source Han Sans CN Regular" w:cs="Times New Roman"/>
          <w:iCs/>
        </w:rPr>
        <w:t>(</w:t>
      </w:r>
      <w:r w:rsidRPr="00610B1B">
        <w:rPr>
          <w:rStyle w:val="FontStyle12"/>
          <w:rFonts w:eastAsia="Source Han Sans CN Regular" w:cs="Times New Roman"/>
          <w:i/>
          <w:iCs/>
        </w:rPr>
        <w:t>Aythya farina</w:t>
      </w:r>
      <w:r w:rsidRPr="00610B1B">
        <w:rPr>
          <w:rStyle w:val="FontStyle12"/>
          <w:rFonts w:eastAsia="Source Han Sans CN Regular" w:cs="Times New Roman"/>
          <w:iCs/>
        </w:rPr>
        <w:t>)</w:t>
      </w:r>
      <w:r w:rsidR="005A24B3" w:rsidRPr="00610B1B">
        <w:rPr>
          <w:rStyle w:val="FontStyle12"/>
          <w:rFonts w:eastAsia="Source Han Sans CN Regular" w:cs="Times New Roman"/>
          <w:iCs/>
        </w:rPr>
        <w:t xml:space="preserve"> и</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червеноклюната потапница </w:t>
      </w:r>
      <w:r w:rsidRPr="00610B1B">
        <w:rPr>
          <w:rStyle w:val="FontStyle12"/>
          <w:rFonts w:eastAsia="Source Han Sans CN Regular" w:cs="Times New Roman"/>
          <w:iCs/>
        </w:rPr>
        <w:t>(</w:t>
      </w:r>
      <w:r w:rsidRPr="00610B1B">
        <w:rPr>
          <w:rStyle w:val="FontStyle12"/>
          <w:rFonts w:eastAsia="Source Han Sans CN Regular" w:cs="Times New Roman"/>
          <w:i/>
          <w:iCs/>
        </w:rPr>
        <w:t>Netta rufina</w:t>
      </w:r>
      <w:r w:rsidRPr="00610B1B">
        <w:rPr>
          <w:rStyle w:val="FontStyle12"/>
          <w:rFonts w:eastAsia="Source Han Sans CN Regular" w:cs="Times New Roman"/>
          <w:iCs/>
        </w:rPr>
        <w:t>)</w:t>
      </w:r>
      <w:r w:rsidRPr="00610B1B">
        <w:rPr>
          <w:rStyle w:val="FontStyle12"/>
          <w:rFonts w:eastAsia="Source Han Sans CN Regular" w:cs="Times New Roman"/>
        </w:rPr>
        <w:t xml:space="preserve"> </w:t>
      </w:r>
      <w:r w:rsidRPr="00610B1B">
        <w:rPr>
          <w:rStyle w:val="FontStyle13"/>
          <w:rFonts w:eastAsia="Source Han Sans CN Regular" w:cs="Times New Roman"/>
          <w:sz w:val="24"/>
        </w:rPr>
        <w:t xml:space="preserve">и сивата патица </w:t>
      </w:r>
      <w:r w:rsidRPr="00610B1B">
        <w:rPr>
          <w:rStyle w:val="FontStyle12"/>
          <w:rFonts w:eastAsia="Source Han Sans CN Regular" w:cs="Times New Roman"/>
          <w:iCs/>
        </w:rPr>
        <w:t>(</w:t>
      </w:r>
      <w:r w:rsidRPr="00610B1B">
        <w:rPr>
          <w:rStyle w:val="FontStyle12"/>
          <w:rFonts w:eastAsia="Source Han Sans CN Regular" w:cs="Times New Roman"/>
          <w:i/>
          <w:iCs/>
        </w:rPr>
        <w:t>Anas strepera</w:t>
      </w:r>
      <w:r w:rsidRPr="00610B1B">
        <w:rPr>
          <w:rStyle w:val="FontStyle12"/>
          <w:rFonts w:eastAsia="Source Han Sans CN Regular" w:cs="Times New Roman"/>
          <w:iCs/>
        </w:rPr>
        <w:t>)</w:t>
      </w:r>
      <w:r w:rsidRPr="00610B1B">
        <w:rPr>
          <w:rStyle w:val="FontStyle12"/>
          <w:rFonts w:eastAsia="Source Han Sans CN Regular" w:cs="Times New Roman"/>
        </w:rPr>
        <w:t>.</w:t>
      </w:r>
    </w:p>
    <w:p w14:paraId="6D70A977" w14:textId="5DB4D769" w:rsidR="009D4A0E" w:rsidRPr="00610B1B" w:rsidRDefault="009D4A0E" w:rsidP="00D32D6A">
      <w:pPr>
        <w:pStyle w:val="BodyText"/>
        <w:spacing w:before="0" w:after="120" w:line="276" w:lineRule="auto"/>
        <w:ind w:right="-153"/>
        <w:rPr>
          <w:rFonts w:cs="Times New Roman"/>
        </w:rPr>
      </w:pPr>
      <w:r w:rsidRPr="00610B1B">
        <w:rPr>
          <w:rStyle w:val="FontStyle13"/>
          <w:rFonts w:eastAsia="Source Han Sans CN Regular" w:cs="Times New Roman"/>
          <w:sz w:val="24"/>
        </w:rPr>
        <w:t xml:space="preserve">В защитената зона е забранено </w:t>
      </w:r>
      <w:r w:rsidRPr="00610B1B">
        <w:rPr>
          <w:rFonts w:cs="Times New Roman"/>
        </w:rPr>
        <w:t xml:space="preserve">премахването на важни характеристики на ландшафта </w:t>
      </w:r>
      <w:r w:rsidRPr="00610B1B">
        <w:rPr>
          <w:rFonts w:cs="Times New Roman"/>
          <w:iCs/>
        </w:rPr>
        <w:t>(</w:t>
      </w:r>
      <w:r w:rsidRPr="00610B1B">
        <w:rPr>
          <w:rFonts w:cs="Times New Roman"/>
        </w:rPr>
        <w:t>синори, единични и групи дървета</w:t>
      </w:r>
      <w:r w:rsidRPr="00610B1B">
        <w:rPr>
          <w:rFonts w:cs="Times New Roman"/>
          <w:iCs/>
        </w:rPr>
        <w:t>)</w:t>
      </w:r>
      <w:r w:rsidRPr="00610B1B">
        <w:rPr>
          <w:rFonts w:cs="Times New Roman"/>
        </w:rPr>
        <w:t xml:space="preserve">; залесяването на ливади, пасища и мери, и превръщането им в обработваеми земи и трайни насаждения; използването на пестициди и минерални торове в пасища и ливади; отводняването, пресушаването или промяната на водния режим на мочурища и естествени водни обекти, освен за подобряване състоянието на водните екосистеми и местообитания; подмяната на крайречните гори от местни дървесни видове с неместни такива на разстояние до 50 m от границите на водните обекти; косенето на тръстика от 1 март до 15 август и паленето на тръстикови масиви и крайбрежна растителност. </w:t>
      </w:r>
    </w:p>
    <w:p w14:paraId="3BBCF946" w14:textId="2079F78B" w:rsidR="009D4A0E" w:rsidRPr="00610B1B" w:rsidRDefault="009D4A0E" w:rsidP="00D32D6A">
      <w:pPr>
        <w:pStyle w:val="BodyText"/>
        <w:spacing w:before="0" w:after="120" w:line="276" w:lineRule="auto"/>
        <w:ind w:right="-153"/>
        <w:rPr>
          <w:rFonts w:eastAsia="Times New Roman" w:cs="Times New Roman"/>
          <w:lang w:eastAsia="bg-BG"/>
        </w:rPr>
      </w:pPr>
      <w:r w:rsidRPr="00610B1B">
        <w:rPr>
          <w:rFonts w:eastAsia="Times New Roman" w:cs="Times New Roman"/>
          <w:lang w:eastAsia="bg-BG"/>
        </w:rPr>
        <w:t xml:space="preserve">От извършения анализ може да се направи </w:t>
      </w:r>
      <w:r w:rsidRPr="00610B1B">
        <w:rPr>
          <w:rFonts w:eastAsia="Times New Roman" w:cs="Times New Roman"/>
          <w:b/>
          <w:bCs/>
          <w:lang w:eastAsia="bg-BG"/>
        </w:rPr>
        <w:t>извода</w:t>
      </w:r>
      <w:r w:rsidRPr="00610B1B">
        <w:rPr>
          <w:rFonts w:eastAsia="Times New Roman" w:cs="Times New Roman"/>
          <w:lang w:eastAsia="bg-BG"/>
        </w:rPr>
        <w:t xml:space="preserve">, че акваториалната част и съответният сухоземен участък от крайбрежието са обхванати в достатъчна степен от Националната екологична мрежа </w:t>
      </w:r>
      <w:r w:rsidRPr="00610B1B">
        <w:rPr>
          <w:rFonts w:eastAsia="Times New Roman" w:cs="Times New Roman"/>
          <w:iCs/>
          <w:lang w:eastAsia="bg-BG"/>
        </w:rPr>
        <w:t>(</w:t>
      </w:r>
      <w:r w:rsidRPr="00610B1B">
        <w:rPr>
          <w:rFonts w:eastAsia="Times New Roman" w:cs="Times New Roman"/>
          <w:lang w:eastAsia="bg-BG"/>
        </w:rPr>
        <w:t>НЕМ</w:t>
      </w:r>
      <w:r w:rsidRPr="00610B1B">
        <w:rPr>
          <w:rFonts w:eastAsia="Times New Roman" w:cs="Times New Roman"/>
          <w:iCs/>
          <w:lang w:eastAsia="bg-BG"/>
        </w:rPr>
        <w:t>)</w:t>
      </w:r>
      <w:r w:rsidRPr="00610B1B">
        <w:rPr>
          <w:rFonts w:eastAsia="Times New Roman" w:cs="Times New Roman"/>
          <w:lang w:eastAsia="bg-BG"/>
        </w:rPr>
        <w:t>. В крайбрежната част практически всички ценни екосистеми са защитени от НЕМ, с изключение на урбанизираните територии. Не са обхванати по-малко от 10% от проучваната крайбрежната ивица и това са предимно обработваеми земи.</w:t>
      </w:r>
      <w:r w:rsidR="008753B6" w:rsidRPr="00610B1B">
        <w:rPr>
          <w:rFonts w:eastAsia="Times New Roman" w:cs="Times New Roman"/>
          <w:lang w:eastAsia="bg-BG"/>
        </w:rPr>
        <w:t xml:space="preserve"> </w:t>
      </w:r>
      <w:r w:rsidRPr="00610B1B">
        <w:rPr>
          <w:rFonts w:cs="Times New Roman"/>
        </w:rPr>
        <w:t>Констатацията до голяма степен е валидна и за акваториалната част, където всички най-ценни екосистеми са обхванати от мрежата на защитените зони.</w:t>
      </w:r>
    </w:p>
    <w:p w14:paraId="5BB3C7B2" w14:textId="77777777" w:rsidR="009D4A0E" w:rsidRPr="00610B1B" w:rsidRDefault="009D4A0E" w:rsidP="00D32D6A">
      <w:pPr>
        <w:pStyle w:val="BodyText"/>
        <w:spacing w:before="0" w:after="120" w:line="276" w:lineRule="auto"/>
        <w:ind w:right="-153"/>
        <w:rPr>
          <w:rFonts w:cs="Times New Roman"/>
        </w:rPr>
      </w:pPr>
      <w:r w:rsidRPr="00610B1B">
        <w:rPr>
          <w:rFonts w:cs="Times New Roman"/>
        </w:rPr>
        <w:t xml:space="preserve">По-нататъшните усилия, трябва да бъдат насочени не към разширяване обхвата на НЕМ в проучваното пространство, а към спазване на предвидените режими на защита и повишаване на контрола върху изпълнението на заложените мерки. </w:t>
      </w:r>
    </w:p>
    <w:p w14:paraId="3EC907AB" w14:textId="03D7F630" w:rsidR="008070E1" w:rsidRPr="00610B1B" w:rsidRDefault="009D4A0E" w:rsidP="00D32D6A">
      <w:pPr>
        <w:pStyle w:val="BodyText"/>
        <w:spacing w:before="0" w:after="120" w:line="276" w:lineRule="auto"/>
        <w:ind w:right="-153"/>
        <w:rPr>
          <w:rFonts w:cs="Times New Roman"/>
        </w:rPr>
      </w:pPr>
      <w:r w:rsidRPr="00610B1B">
        <w:rPr>
          <w:rFonts w:cs="Times New Roman"/>
        </w:rPr>
        <w:t>Систематизираните забрани и ограничения в използването на територията и акваторията, поставени под защита, ще по</w:t>
      </w:r>
      <w:r w:rsidR="00DC1E4E" w:rsidRPr="00610B1B">
        <w:rPr>
          <w:rFonts w:cs="Times New Roman"/>
        </w:rPr>
        <w:t>д</w:t>
      </w:r>
      <w:r w:rsidR="008E5D9F" w:rsidRPr="00610B1B">
        <w:rPr>
          <w:rFonts w:cs="Times New Roman"/>
        </w:rPr>
        <w:t>по</w:t>
      </w:r>
      <w:r w:rsidRPr="00610B1B">
        <w:rPr>
          <w:rFonts w:cs="Times New Roman"/>
        </w:rPr>
        <w:t xml:space="preserve">могнат процеса на морско пространствено планиране. В повечето случаи те обхващат препоръки и забрани за промяна на характеристиките и начините на трайно ползване, за да може да се опазят, поддържат и ако е необходимо да бъдат възстановени важни местообитания за съхраняване на доброто екологично състояние и биологичното разнообразие. </w:t>
      </w:r>
      <w:bookmarkStart w:id="303" w:name="docs-internal-guid-1592e857-7fff-c6e9-4f"/>
      <w:bookmarkStart w:id="304" w:name="\&quot;h_0\&quot;"/>
      <w:bookmarkStart w:id="305" w:name="docs-internal-guid-eecace14-7fff-9b56-7d"/>
      <w:bookmarkEnd w:id="303"/>
      <w:bookmarkEnd w:id="304"/>
      <w:bookmarkEnd w:id="305"/>
      <w:r w:rsidRPr="00610B1B">
        <w:rPr>
          <w:rFonts w:cs="Times New Roman"/>
        </w:rPr>
        <w:t>Наличието на повече наблюдения, оценки и анализи на съществуващото състояние и на промените в определен период ще позволи по-правилно насочване на политиката за поддържането на НЕМ и повишаване на нейната значимост за страната и за Европа.</w:t>
      </w:r>
    </w:p>
    <w:p w14:paraId="581A26F0" w14:textId="77777777" w:rsidR="00F00BE8" w:rsidRPr="00610B1B" w:rsidRDefault="00F00BE8" w:rsidP="00D32D6A">
      <w:pPr>
        <w:spacing w:after="120"/>
        <w:ind w:right="-153"/>
        <w:rPr>
          <w:rStyle w:val="Heading2Char"/>
          <w:rFonts w:cs="Times New Roman"/>
        </w:rPr>
      </w:pPr>
    </w:p>
    <w:p w14:paraId="1E64977B" w14:textId="299D5B2D" w:rsidR="00765AF8" w:rsidRPr="00610B1B" w:rsidRDefault="00524D30" w:rsidP="00F00BE8">
      <w:pPr>
        <w:pStyle w:val="Heading2"/>
        <w:spacing w:before="0"/>
        <w:ind w:left="578" w:hanging="578"/>
        <w:rPr>
          <w:rFonts w:cs="Times New Roman"/>
          <w:b w:val="0"/>
          <w:sz w:val="24"/>
          <w:szCs w:val="24"/>
        </w:rPr>
      </w:pPr>
      <w:bookmarkStart w:id="306" w:name="_Toc83391366"/>
      <w:r w:rsidRPr="00610B1B">
        <w:rPr>
          <w:rStyle w:val="Heading2Char"/>
          <w:rFonts w:cs="Times New Roman"/>
          <w:b/>
        </w:rPr>
        <w:lastRenderedPageBreak/>
        <w:t xml:space="preserve">2.3. </w:t>
      </w:r>
      <w:r w:rsidR="00E1365A" w:rsidRPr="00610B1B">
        <w:rPr>
          <w:rStyle w:val="Heading2Char"/>
          <w:rFonts w:cs="Times New Roman"/>
          <w:b/>
        </w:rPr>
        <w:t xml:space="preserve">Урбанизация на </w:t>
      </w:r>
      <w:r w:rsidR="00D420BB" w:rsidRPr="00610B1B">
        <w:rPr>
          <w:rStyle w:val="Heading2Char"/>
          <w:rFonts w:cs="Times New Roman"/>
          <w:b/>
        </w:rPr>
        <w:t xml:space="preserve">българското Черноморско </w:t>
      </w:r>
      <w:r w:rsidR="00E1365A" w:rsidRPr="00610B1B">
        <w:rPr>
          <w:rStyle w:val="Heading2Char"/>
          <w:rFonts w:cs="Times New Roman"/>
          <w:b/>
        </w:rPr>
        <w:t>крайбреж</w:t>
      </w:r>
      <w:r w:rsidR="00D420BB" w:rsidRPr="00610B1B">
        <w:rPr>
          <w:rStyle w:val="Heading2Char"/>
          <w:rFonts w:cs="Times New Roman"/>
          <w:b/>
        </w:rPr>
        <w:t>ие</w:t>
      </w:r>
      <w:bookmarkEnd w:id="306"/>
      <w:r w:rsidR="00D66FE0" w:rsidRPr="00610B1B">
        <w:rPr>
          <w:rFonts w:cs="Times New Roman"/>
          <w:b w:val="0"/>
          <w:sz w:val="24"/>
          <w:szCs w:val="24"/>
        </w:rPr>
        <w:t xml:space="preserve"> </w:t>
      </w:r>
    </w:p>
    <w:p w14:paraId="6C17FB66" w14:textId="3CE08C67" w:rsidR="0082227D" w:rsidRPr="00610B1B" w:rsidRDefault="0079021B"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 целите на морското пространствено планиране и за изследване на взаимодействията „земя-море“ т</w:t>
      </w:r>
      <w:r w:rsidR="0082227D" w:rsidRPr="00610B1B">
        <w:rPr>
          <w:rFonts w:ascii="Times New Roman" w:hAnsi="Times New Roman" w:cs="Times New Roman"/>
          <w:sz w:val="24"/>
          <w:szCs w:val="24"/>
          <w:lang w:val="bg-BG"/>
        </w:rPr>
        <w:t>ериториалният обхват на Морския пространствен план на Република България</w:t>
      </w:r>
      <w:r w:rsidR="003E24D9" w:rsidRPr="00610B1B">
        <w:rPr>
          <w:rFonts w:ascii="Times New Roman" w:hAnsi="Times New Roman" w:cs="Times New Roman"/>
          <w:sz w:val="24"/>
          <w:szCs w:val="24"/>
          <w:lang w:val="bg-BG"/>
        </w:rPr>
        <w:t>,</w:t>
      </w:r>
      <w:r w:rsidR="0082227D" w:rsidRPr="00610B1B">
        <w:rPr>
          <w:rFonts w:ascii="Times New Roman" w:hAnsi="Times New Roman" w:cs="Times New Roman"/>
          <w:sz w:val="24"/>
          <w:szCs w:val="24"/>
          <w:lang w:val="bg-BG"/>
        </w:rPr>
        <w:t xml:space="preserve"> </w:t>
      </w:r>
      <w:r w:rsidR="003E24D9" w:rsidRPr="00610B1B">
        <w:rPr>
          <w:rFonts w:ascii="Times New Roman" w:hAnsi="Times New Roman" w:cs="Times New Roman"/>
          <w:sz w:val="24"/>
          <w:szCs w:val="24"/>
          <w:lang w:val="bg-BG"/>
        </w:rPr>
        <w:t xml:space="preserve">в своята прилежаща крайбрежна зона, </w:t>
      </w:r>
      <w:r w:rsidR="0082227D" w:rsidRPr="00610B1B">
        <w:rPr>
          <w:rFonts w:ascii="Times New Roman" w:hAnsi="Times New Roman" w:cs="Times New Roman"/>
          <w:sz w:val="24"/>
          <w:szCs w:val="24"/>
          <w:lang w:val="bg-BG"/>
        </w:rPr>
        <w:t>се идентифицира с четиринадесет общини на които източната граница е Черно море,</w:t>
      </w:r>
      <w:r w:rsidR="00D66FE0"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съставни на три области (Добрич, Варна и Бургас) от север на юг. Това са общините Шабла, Каварна, Балчик, Аксаково, Варна, Аврен, Долни чифлик, Бяла, Несебър, Поморие, Бургас, Созопол, Приморско</w:t>
      </w:r>
      <w:r w:rsidR="003E24D9" w:rsidRPr="00610B1B">
        <w:rPr>
          <w:rFonts w:ascii="Times New Roman" w:hAnsi="Times New Roman" w:cs="Times New Roman"/>
          <w:sz w:val="24"/>
          <w:szCs w:val="24"/>
          <w:lang w:val="bg-BG"/>
        </w:rPr>
        <w:t xml:space="preserve"> и</w:t>
      </w:r>
      <w:r w:rsidR="0082227D" w:rsidRPr="00610B1B">
        <w:rPr>
          <w:rFonts w:ascii="Times New Roman" w:hAnsi="Times New Roman" w:cs="Times New Roman"/>
          <w:sz w:val="24"/>
          <w:szCs w:val="24"/>
          <w:lang w:val="bg-BG"/>
        </w:rPr>
        <w:t xml:space="preserve"> Царево.</w:t>
      </w:r>
      <w:r w:rsidR="00D66FE0"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 xml:space="preserve">Общата им територия </w:t>
      </w:r>
      <w:r w:rsidRPr="00610B1B">
        <w:rPr>
          <w:rFonts w:ascii="Times New Roman" w:hAnsi="Times New Roman" w:cs="Times New Roman"/>
          <w:sz w:val="24"/>
          <w:szCs w:val="24"/>
          <w:lang w:val="bg-BG"/>
        </w:rPr>
        <w:t>възлиза на 5 737,</w:t>
      </w:r>
      <w:r w:rsidR="0082227D" w:rsidRPr="00610B1B">
        <w:rPr>
          <w:rFonts w:ascii="Times New Roman" w:hAnsi="Times New Roman" w:cs="Times New Roman"/>
          <w:sz w:val="24"/>
          <w:szCs w:val="24"/>
          <w:lang w:val="bg-BG"/>
        </w:rPr>
        <w:t>3</w:t>
      </w:r>
      <w:r w:rsidR="003E24D9" w:rsidRPr="00610B1B">
        <w:rPr>
          <w:rFonts w:ascii="Times New Roman" w:hAnsi="Times New Roman" w:cs="Times New Roman"/>
          <w:sz w:val="24"/>
          <w:szCs w:val="24"/>
          <w:lang w:val="bg-BG"/>
        </w:rPr>
        <w:t xml:space="preserve"> km</w:t>
      </w:r>
      <w:r w:rsidR="003E24D9"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което представлява 5,</w:t>
      </w:r>
      <w:r w:rsidR="0082227D" w:rsidRPr="00610B1B">
        <w:rPr>
          <w:rFonts w:ascii="Times New Roman" w:hAnsi="Times New Roman" w:cs="Times New Roman"/>
          <w:sz w:val="24"/>
          <w:szCs w:val="24"/>
          <w:lang w:val="bg-BG"/>
        </w:rPr>
        <w:t>2% от територията на страната. В нея попадат 202 населени места</w:t>
      </w:r>
      <w:r w:rsidRPr="00610B1B">
        <w:rPr>
          <w:rFonts w:ascii="Times New Roman" w:hAnsi="Times New Roman" w:cs="Times New Roman"/>
          <w:sz w:val="24"/>
          <w:szCs w:val="24"/>
          <w:lang w:val="bg-BG"/>
        </w:rPr>
        <w:t xml:space="preserve"> с население 726 745 д., или 10,</w:t>
      </w:r>
      <w:r w:rsidR="0082227D" w:rsidRPr="00610B1B">
        <w:rPr>
          <w:rFonts w:ascii="Times New Roman" w:hAnsi="Times New Roman" w:cs="Times New Roman"/>
          <w:sz w:val="24"/>
          <w:szCs w:val="24"/>
          <w:lang w:val="bg-BG"/>
        </w:rPr>
        <w:t>4% от населението на страната. Центърът в северната част</w:t>
      </w:r>
      <w:r w:rsidR="003E24D9"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 xml:space="preserve"> град Варна</w:t>
      </w:r>
      <w:r w:rsidR="003E24D9" w:rsidRPr="00610B1B">
        <w:rPr>
          <w:rFonts w:ascii="Times New Roman" w:hAnsi="Times New Roman" w:cs="Times New Roman"/>
          <w:sz w:val="24"/>
          <w:szCs w:val="24"/>
          <w:lang w:val="bg-BG"/>
        </w:rPr>
        <w:t>,</w:t>
      </w:r>
      <w:r w:rsidR="0082227D" w:rsidRPr="00610B1B">
        <w:rPr>
          <w:rFonts w:ascii="Times New Roman" w:hAnsi="Times New Roman" w:cs="Times New Roman"/>
          <w:sz w:val="24"/>
          <w:szCs w:val="24"/>
          <w:lang w:val="bg-BG"/>
        </w:rPr>
        <w:t xml:space="preserve"> е третият по брой на населението, а центърът в южната част </w:t>
      </w:r>
      <w:r w:rsidR="003E24D9"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град Бургас</w:t>
      </w:r>
      <w:r w:rsidR="003E24D9" w:rsidRPr="00610B1B">
        <w:rPr>
          <w:rFonts w:ascii="Times New Roman" w:hAnsi="Times New Roman" w:cs="Times New Roman"/>
          <w:sz w:val="24"/>
          <w:szCs w:val="24"/>
          <w:lang w:val="bg-BG"/>
        </w:rPr>
        <w:t>,</w:t>
      </w:r>
      <w:r w:rsidR="0082227D" w:rsidRPr="00610B1B">
        <w:rPr>
          <w:rFonts w:ascii="Times New Roman" w:hAnsi="Times New Roman" w:cs="Times New Roman"/>
          <w:sz w:val="24"/>
          <w:szCs w:val="24"/>
          <w:lang w:val="bg-BG"/>
        </w:rPr>
        <w:t xml:space="preserve"> е четвъртият по брой на населението град в страната. </w:t>
      </w:r>
    </w:p>
    <w:p w14:paraId="6F145BA2" w14:textId="10E1579A"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Със своето землище от 253,644 </w:t>
      </w:r>
      <w:r w:rsidR="003E24D9" w:rsidRPr="00610B1B">
        <w:rPr>
          <w:rFonts w:ascii="Times New Roman" w:hAnsi="Times New Roman" w:cs="Times New Roman"/>
          <w:sz w:val="24"/>
          <w:szCs w:val="24"/>
          <w:lang w:val="bg-BG"/>
        </w:rPr>
        <w:t>km</w:t>
      </w:r>
      <w:r w:rsidR="003E24D9"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град Бургас е вторият град по площ в България (след </w:t>
      </w:r>
      <w:hyperlink r:id="rId25" w:tooltip="София" w:history="1">
        <w:r w:rsidRPr="00610B1B">
          <w:rPr>
            <w:rStyle w:val="Hyperlink"/>
            <w:rFonts w:ascii="Times New Roman" w:hAnsi="Times New Roman" w:cs="Times New Roman"/>
            <w:color w:val="auto"/>
            <w:sz w:val="24"/>
            <w:szCs w:val="24"/>
            <w:u w:val="none"/>
            <w:lang w:val="bg-BG"/>
          </w:rPr>
          <w:t>София</w:t>
        </w:r>
      </w:hyperlink>
      <w:r w:rsidRPr="00610B1B">
        <w:rPr>
          <w:rFonts w:ascii="Times New Roman" w:hAnsi="Times New Roman" w:cs="Times New Roman"/>
          <w:sz w:val="24"/>
          <w:szCs w:val="24"/>
          <w:lang w:val="bg-BG"/>
        </w:rPr>
        <w:t>). Към него в последните 35 години са присъединявани околните села. През 1987 г. са присъединени 4 села – Горно Езерово, Лозово, Крайморие и Сарафово. През 1991</w:t>
      </w:r>
      <w:r w:rsidR="007A26A5"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г</w:t>
      </w:r>
      <w:r w:rsidR="007A26A5"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е присъединено село Долно Езерово, с решение на Министерски съвет през 2009</w:t>
      </w:r>
      <w:r w:rsidR="007A26A5"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г</w:t>
      </w:r>
      <w:r w:rsidR="007A26A5"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се одобрява решението на общинския съвет в Бургас за присъединяване на общинските села Банево и Ветрен (със старо име Житарово) като квартали на града. През 2015</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 xml:space="preserve">г. </w:t>
      </w:r>
      <w:r w:rsidR="0079021B" w:rsidRPr="00610B1B">
        <w:rPr>
          <w:rFonts w:ascii="Times New Roman" w:hAnsi="Times New Roman" w:cs="Times New Roman"/>
          <w:sz w:val="24"/>
          <w:szCs w:val="24"/>
          <w:lang w:val="bg-BG"/>
        </w:rPr>
        <w:t xml:space="preserve">се присъединяват </w:t>
      </w:r>
      <w:r w:rsidRPr="00610B1B">
        <w:rPr>
          <w:rFonts w:ascii="Times New Roman" w:hAnsi="Times New Roman" w:cs="Times New Roman"/>
          <w:sz w:val="24"/>
          <w:szCs w:val="24"/>
          <w:lang w:val="bg-BG"/>
        </w:rPr>
        <w:t>селата Рудник и Черно море и се обособяват като квартали на гр. Бургас.</w:t>
      </w:r>
    </w:p>
    <w:p w14:paraId="0843D615" w14:textId="78B2AE90" w:rsidR="003B5D46" w:rsidRPr="00610B1B" w:rsidRDefault="00E57141" w:rsidP="00E37053">
      <w:pPr>
        <w:spacing w:after="70" w:line="240" w:lineRule="auto"/>
        <w:ind w:right="-153"/>
        <w:jc w:val="both"/>
        <w:rPr>
          <w:rFonts w:ascii="Times New Roman" w:eastAsia="Lohit Devanagari" w:hAnsi="Times New Roman" w:cs="Times New Roman"/>
          <w:color w:val="00000A"/>
          <w:sz w:val="24"/>
          <w:szCs w:val="24"/>
          <w:lang w:val="bg-BG" w:eastAsia="ar-SA" w:bidi="hi-IN"/>
        </w:rPr>
      </w:pPr>
      <w:bookmarkStart w:id="307" w:name="_Toc83391599"/>
      <w:r w:rsidRPr="00610B1B">
        <w:rPr>
          <w:rFonts w:ascii="Times New Roman" w:eastAsia="Lohit Devanagari" w:hAnsi="Times New Roman" w:cs="Times New Roman"/>
          <w:color w:val="00000A"/>
          <w:sz w:val="24"/>
          <w:szCs w:val="24"/>
          <w:lang w:val="bg-BG" w:eastAsia="ar-SA" w:bidi="hi-IN"/>
        </w:rPr>
        <w:t xml:space="preserve">Таблица </w:t>
      </w:r>
      <w:r w:rsidRPr="00610B1B">
        <w:rPr>
          <w:rFonts w:ascii="Times New Roman" w:eastAsia="Lohit Devanagari" w:hAnsi="Times New Roman" w:cs="Times New Roman"/>
          <w:color w:val="00000A"/>
          <w:sz w:val="24"/>
          <w:szCs w:val="24"/>
          <w:lang w:val="bg-BG" w:eastAsia="ar-SA" w:bidi="hi-IN"/>
        </w:rPr>
        <w:fldChar w:fldCharType="begin"/>
      </w:r>
      <w:r w:rsidRPr="00610B1B">
        <w:rPr>
          <w:rFonts w:ascii="Times New Roman" w:eastAsia="Lohit Devanagari" w:hAnsi="Times New Roman" w:cs="Times New Roman"/>
          <w:color w:val="00000A"/>
          <w:sz w:val="24"/>
          <w:szCs w:val="24"/>
          <w:lang w:val="bg-BG" w:eastAsia="ar-SA" w:bidi="hi-IN"/>
        </w:rPr>
        <w:instrText xml:space="preserve"> SEQ Таблица \* ARABIC </w:instrText>
      </w:r>
      <w:r w:rsidRPr="00610B1B">
        <w:rPr>
          <w:rFonts w:ascii="Times New Roman" w:eastAsia="Lohit Devanagari" w:hAnsi="Times New Roman" w:cs="Times New Roman"/>
          <w:color w:val="00000A"/>
          <w:sz w:val="24"/>
          <w:szCs w:val="24"/>
          <w:lang w:val="bg-BG" w:eastAsia="ar-SA" w:bidi="hi-IN"/>
        </w:rPr>
        <w:fldChar w:fldCharType="separate"/>
      </w:r>
      <w:r w:rsidR="00260629" w:rsidRPr="00610B1B">
        <w:rPr>
          <w:rFonts w:ascii="Times New Roman" w:eastAsia="Lohit Devanagari" w:hAnsi="Times New Roman" w:cs="Times New Roman"/>
          <w:noProof/>
          <w:color w:val="00000A"/>
          <w:sz w:val="24"/>
          <w:szCs w:val="24"/>
          <w:lang w:val="bg-BG" w:eastAsia="ar-SA" w:bidi="hi-IN"/>
        </w:rPr>
        <w:t>3</w:t>
      </w:r>
      <w:r w:rsidRPr="00610B1B">
        <w:rPr>
          <w:rFonts w:ascii="Times New Roman" w:eastAsia="Lohit Devanagari" w:hAnsi="Times New Roman" w:cs="Times New Roman"/>
          <w:color w:val="00000A"/>
          <w:sz w:val="24"/>
          <w:szCs w:val="24"/>
          <w:lang w:val="bg-BG" w:eastAsia="ar-SA" w:bidi="hi-IN"/>
        </w:rPr>
        <w:fldChar w:fldCharType="end"/>
      </w:r>
      <w:r w:rsidRPr="00610B1B">
        <w:rPr>
          <w:rFonts w:ascii="Times New Roman" w:eastAsia="Lohit Devanagari" w:hAnsi="Times New Roman" w:cs="Times New Roman"/>
          <w:color w:val="00000A"/>
          <w:sz w:val="24"/>
          <w:szCs w:val="24"/>
          <w:lang w:val="bg-BG" w:eastAsia="ar-SA" w:bidi="hi-IN"/>
        </w:rPr>
        <w:t xml:space="preserve">: </w:t>
      </w:r>
      <w:r w:rsidR="003B5D46" w:rsidRPr="00610B1B">
        <w:rPr>
          <w:rFonts w:ascii="Times New Roman" w:eastAsia="Lohit Devanagari" w:hAnsi="Times New Roman" w:cs="Times New Roman"/>
          <w:color w:val="00000A"/>
          <w:sz w:val="24"/>
          <w:szCs w:val="24"/>
          <w:lang w:val="bg-BG" w:eastAsia="ar-SA" w:bidi="hi-IN"/>
        </w:rPr>
        <w:t>Площ, гъстота на населението и населени места към 31.12.2018 г.</w:t>
      </w:r>
      <w:bookmarkEnd w:id="307"/>
    </w:p>
    <w:tbl>
      <w:tblPr>
        <w:tblW w:w="8587" w:type="dxa"/>
        <w:tblInd w:w="55" w:type="dxa"/>
        <w:tblBorders>
          <w:top w:val="single" w:sz="4" w:space="0" w:color="auto"/>
          <w:bottom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1690"/>
        <w:gridCol w:w="960"/>
        <w:gridCol w:w="1401"/>
        <w:gridCol w:w="1418"/>
        <w:gridCol w:w="1134"/>
        <w:gridCol w:w="992"/>
        <w:gridCol w:w="992"/>
      </w:tblGrid>
      <w:tr w:rsidR="00E57141" w:rsidRPr="00610B1B" w14:paraId="1C4DAB78" w14:textId="77777777" w:rsidTr="001E3FED">
        <w:trPr>
          <w:trHeight w:val="714"/>
          <w:tblHeader/>
        </w:trPr>
        <w:tc>
          <w:tcPr>
            <w:tcW w:w="1690" w:type="dxa"/>
            <w:shd w:val="clear" w:color="auto" w:fill="C6D9F1" w:themeFill="text2" w:themeFillTint="33"/>
            <w:vAlign w:val="center"/>
          </w:tcPr>
          <w:p w14:paraId="2A177D4F" w14:textId="494CCE94"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Общини</w:t>
            </w:r>
          </w:p>
        </w:tc>
        <w:tc>
          <w:tcPr>
            <w:tcW w:w="960" w:type="dxa"/>
            <w:shd w:val="clear" w:color="auto" w:fill="C6D9F1" w:themeFill="text2" w:themeFillTint="33"/>
            <w:vAlign w:val="center"/>
          </w:tcPr>
          <w:p w14:paraId="622F163D" w14:textId="229DEA7F"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Площ</w:t>
            </w:r>
            <w:r w:rsidRPr="00610B1B">
              <w:rPr>
                <w:rFonts w:ascii="Times New Roman" w:hAnsi="Times New Roman" w:cs="Times New Roman"/>
                <w:b/>
                <w:bCs/>
                <w:sz w:val="20"/>
                <w:szCs w:val="20"/>
                <w:vertAlign w:val="superscript"/>
                <w:lang w:val="bg-BG"/>
              </w:rPr>
              <w:t xml:space="preserve"> </w:t>
            </w:r>
            <w:r w:rsidRPr="00610B1B">
              <w:rPr>
                <w:rFonts w:ascii="Times New Roman" w:hAnsi="Times New Roman" w:cs="Times New Roman"/>
                <w:b/>
                <w:bCs/>
                <w:sz w:val="20"/>
                <w:szCs w:val="20"/>
                <w:lang w:val="bg-BG"/>
              </w:rPr>
              <w:t>– km</w:t>
            </w:r>
            <w:r w:rsidRPr="00610B1B">
              <w:rPr>
                <w:rFonts w:ascii="Times New Roman" w:hAnsi="Times New Roman" w:cs="Times New Roman"/>
                <w:b/>
                <w:bCs/>
                <w:sz w:val="20"/>
                <w:szCs w:val="20"/>
                <w:vertAlign w:val="superscript"/>
                <w:lang w:val="bg-BG"/>
              </w:rPr>
              <w:t>2</w:t>
            </w:r>
          </w:p>
        </w:tc>
        <w:tc>
          <w:tcPr>
            <w:tcW w:w="1401" w:type="dxa"/>
            <w:shd w:val="clear" w:color="auto" w:fill="C6D9F1" w:themeFill="text2" w:themeFillTint="33"/>
            <w:vAlign w:val="center"/>
          </w:tcPr>
          <w:p w14:paraId="43751A7F" w14:textId="1F39BEBD"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Население - бр.</w:t>
            </w:r>
          </w:p>
        </w:tc>
        <w:tc>
          <w:tcPr>
            <w:tcW w:w="1418" w:type="dxa"/>
            <w:shd w:val="clear" w:color="auto" w:fill="C6D9F1" w:themeFill="text2" w:themeFillTint="33"/>
            <w:vAlign w:val="center"/>
          </w:tcPr>
          <w:p w14:paraId="7E864908" w14:textId="3069D4CD"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Гъстота на</w:t>
            </w:r>
            <w:r w:rsidR="00D66FE0" w:rsidRPr="00610B1B">
              <w:rPr>
                <w:rFonts w:ascii="Times New Roman" w:hAnsi="Times New Roman" w:cs="Times New Roman"/>
                <w:b/>
                <w:bCs/>
                <w:sz w:val="20"/>
                <w:szCs w:val="20"/>
                <w:lang w:val="bg-BG"/>
              </w:rPr>
              <w:t xml:space="preserve"> </w:t>
            </w:r>
            <w:r w:rsidRPr="00610B1B">
              <w:rPr>
                <w:rFonts w:ascii="Times New Roman" w:hAnsi="Times New Roman" w:cs="Times New Roman"/>
                <w:b/>
                <w:bCs/>
                <w:sz w:val="20"/>
                <w:szCs w:val="20"/>
                <w:lang w:val="bg-BG"/>
              </w:rPr>
              <w:t>населението на 1 km</w:t>
            </w:r>
            <w:r w:rsidRPr="00610B1B">
              <w:rPr>
                <w:rFonts w:ascii="Times New Roman" w:hAnsi="Times New Roman" w:cs="Times New Roman"/>
                <w:b/>
                <w:bCs/>
                <w:sz w:val="20"/>
                <w:szCs w:val="20"/>
                <w:vertAlign w:val="superscript"/>
                <w:lang w:val="bg-BG"/>
              </w:rPr>
              <w:t>2</w:t>
            </w:r>
          </w:p>
        </w:tc>
        <w:tc>
          <w:tcPr>
            <w:tcW w:w="1134" w:type="dxa"/>
            <w:shd w:val="clear" w:color="auto" w:fill="C6D9F1" w:themeFill="text2" w:themeFillTint="33"/>
            <w:vAlign w:val="center"/>
          </w:tcPr>
          <w:p w14:paraId="00ACC261" w14:textId="5DED726E"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Населени места бр. </w:t>
            </w:r>
          </w:p>
        </w:tc>
        <w:tc>
          <w:tcPr>
            <w:tcW w:w="992" w:type="dxa"/>
            <w:shd w:val="clear" w:color="auto" w:fill="C6D9F1" w:themeFill="text2" w:themeFillTint="33"/>
            <w:vAlign w:val="center"/>
          </w:tcPr>
          <w:p w14:paraId="7EA9AA1F" w14:textId="3848DA5A"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Градове бр. </w:t>
            </w:r>
          </w:p>
        </w:tc>
        <w:tc>
          <w:tcPr>
            <w:tcW w:w="992" w:type="dxa"/>
            <w:shd w:val="clear" w:color="auto" w:fill="C6D9F1" w:themeFill="text2" w:themeFillTint="33"/>
            <w:vAlign w:val="center"/>
          </w:tcPr>
          <w:p w14:paraId="4DF071E1" w14:textId="2683936F" w:rsidR="00E57141" w:rsidRPr="00610B1B" w:rsidRDefault="00E57141"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Села бр. </w:t>
            </w:r>
          </w:p>
        </w:tc>
      </w:tr>
      <w:tr w:rsidR="0082227D" w:rsidRPr="00610B1B" w14:paraId="09BAD4D6" w14:textId="77777777" w:rsidTr="001E3FED">
        <w:trPr>
          <w:trHeight w:val="255"/>
        </w:trPr>
        <w:tc>
          <w:tcPr>
            <w:tcW w:w="1690" w:type="dxa"/>
            <w:shd w:val="clear" w:color="auto" w:fill="FFFFFF"/>
            <w:vAlign w:val="center"/>
          </w:tcPr>
          <w:p w14:paraId="613604B6" w14:textId="77777777" w:rsidR="0082227D" w:rsidRPr="00610B1B" w:rsidRDefault="0082227D" w:rsidP="00D32D6A">
            <w:pPr>
              <w:spacing w:after="0" w:line="240" w:lineRule="auto"/>
              <w:rPr>
                <w:rFonts w:ascii="Times New Roman" w:hAnsi="Times New Roman" w:cs="Times New Roman"/>
                <w:b/>
                <w:bCs/>
                <w:lang w:val="bg-BG"/>
              </w:rPr>
            </w:pPr>
            <w:r w:rsidRPr="00610B1B">
              <w:rPr>
                <w:rFonts w:ascii="Times New Roman" w:hAnsi="Times New Roman" w:cs="Times New Roman"/>
                <w:b/>
                <w:bCs/>
                <w:lang w:val="bg-BG"/>
              </w:rPr>
              <w:t>Черноморски</w:t>
            </w:r>
          </w:p>
        </w:tc>
        <w:tc>
          <w:tcPr>
            <w:tcW w:w="960" w:type="dxa"/>
            <w:shd w:val="clear" w:color="auto" w:fill="auto"/>
            <w:noWrap/>
            <w:vAlign w:val="bottom"/>
          </w:tcPr>
          <w:p w14:paraId="705F9E98" w14:textId="4CAA8911"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5</w:t>
            </w:r>
            <w:r w:rsidR="003B5D46" w:rsidRPr="00610B1B">
              <w:rPr>
                <w:rFonts w:ascii="Times New Roman" w:hAnsi="Times New Roman" w:cs="Times New Roman"/>
                <w:b/>
                <w:bCs/>
                <w:lang w:val="bg-BG"/>
              </w:rPr>
              <w:t> </w:t>
            </w:r>
            <w:r w:rsidRPr="00610B1B">
              <w:rPr>
                <w:rFonts w:ascii="Times New Roman" w:hAnsi="Times New Roman" w:cs="Times New Roman"/>
                <w:b/>
                <w:bCs/>
                <w:lang w:val="bg-BG"/>
              </w:rPr>
              <w:t>737,3</w:t>
            </w:r>
          </w:p>
        </w:tc>
        <w:tc>
          <w:tcPr>
            <w:tcW w:w="1401" w:type="dxa"/>
            <w:shd w:val="clear" w:color="auto" w:fill="auto"/>
            <w:noWrap/>
            <w:vAlign w:val="bottom"/>
          </w:tcPr>
          <w:p w14:paraId="1F541D50" w14:textId="45591D9A"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726</w:t>
            </w:r>
            <w:r w:rsidR="003B5D46" w:rsidRPr="00610B1B">
              <w:rPr>
                <w:rFonts w:ascii="Times New Roman" w:hAnsi="Times New Roman" w:cs="Times New Roman"/>
                <w:b/>
                <w:bCs/>
                <w:lang w:val="bg-BG"/>
              </w:rPr>
              <w:t> </w:t>
            </w:r>
            <w:r w:rsidRPr="00610B1B">
              <w:rPr>
                <w:rFonts w:ascii="Times New Roman" w:hAnsi="Times New Roman" w:cs="Times New Roman"/>
                <w:b/>
                <w:bCs/>
                <w:lang w:val="bg-BG"/>
              </w:rPr>
              <w:t>745</w:t>
            </w:r>
          </w:p>
        </w:tc>
        <w:tc>
          <w:tcPr>
            <w:tcW w:w="1418" w:type="dxa"/>
            <w:shd w:val="clear" w:color="auto" w:fill="auto"/>
            <w:noWrap/>
            <w:vAlign w:val="bottom"/>
          </w:tcPr>
          <w:p w14:paraId="78F555B5" w14:textId="77777777"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126,7</w:t>
            </w:r>
          </w:p>
        </w:tc>
        <w:tc>
          <w:tcPr>
            <w:tcW w:w="1134" w:type="dxa"/>
            <w:shd w:val="clear" w:color="auto" w:fill="auto"/>
            <w:noWrap/>
            <w:vAlign w:val="bottom"/>
          </w:tcPr>
          <w:p w14:paraId="76E6042D" w14:textId="77777777"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202</w:t>
            </w:r>
          </w:p>
        </w:tc>
        <w:tc>
          <w:tcPr>
            <w:tcW w:w="992" w:type="dxa"/>
            <w:shd w:val="clear" w:color="auto" w:fill="auto"/>
            <w:noWrap/>
            <w:vAlign w:val="bottom"/>
          </w:tcPr>
          <w:p w14:paraId="713B2343" w14:textId="77777777"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22</w:t>
            </w:r>
          </w:p>
        </w:tc>
        <w:tc>
          <w:tcPr>
            <w:tcW w:w="992" w:type="dxa"/>
            <w:shd w:val="clear" w:color="auto" w:fill="auto"/>
            <w:noWrap/>
            <w:vAlign w:val="bottom"/>
          </w:tcPr>
          <w:p w14:paraId="04C4B75B" w14:textId="77777777"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180</w:t>
            </w:r>
          </w:p>
        </w:tc>
      </w:tr>
      <w:tr w:rsidR="0082227D" w:rsidRPr="00610B1B" w14:paraId="4CECA2B0" w14:textId="77777777" w:rsidTr="001E3FED">
        <w:trPr>
          <w:trHeight w:val="255"/>
        </w:trPr>
        <w:tc>
          <w:tcPr>
            <w:tcW w:w="1690" w:type="dxa"/>
            <w:shd w:val="clear" w:color="auto" w:fill="FFFFFF"/>
            <w:vAlign w:val="center"/>
          </w:tcPr>
          <w:p w14:paraId="5F83C0C0"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Шабла</w:t>
            </w:r>
          </w:p>
        </w:tc>
        <w:tc>
          <w:tcPr>
            <w:tcW w:w="960" w:type="dxa"/>
            <w:shd w:val="clear" w:color="auto" w:fill="FFFFFF"/>
            <w:noWrap/>
            <w:vAlign w:val="bottom"/>
          </w:tcPr>
          <w:p w14:paraId="5C8669A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328,7</w:t>
            </w:r>
          </w:p>
        </w:tc>
        <w:tc>
          <w:tcPr>
            <w:tcW w:w="1401" w:type="dxa"/>
            <w:shd w:val="clear" w:color="auto" w:fill="auto"/>
            <w:noWrap/>
            <w:vAlign w:val="bottom"/>
          </w:tcPr>
          <w:p w14:paraId="2B8F2433" w14:textId="5E0D1FFD"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367</w:t>
            </w:r>
          </w:p>
        </w:tc>
        <w:tc>
          <w:tcPr>
            <w:tcW w:w="1418" w:type="dxa"/>
            <w:shd w:val="clear" w:color="auto" w:fill="auto"/>
            <w:noWrap/>
            <w:vAlign w:val="bottom"/>
          </w:tcPr>
          <w:p w14:paraId="2D6C82C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13,3</w:t>
            </w:r>
          </w:p>
        </w:tc>
        <w:tc>
          <w:tcPr>
            <w:tcW w:w="1134" w:type="dxa"/>
            <w:shd w:val="clear" w:color="auto" w:fill="FFFFFF"/>
            <w:noWrap/>
            <w:vAlign w:val="bottom"/>
          </w:tcPr>
          <w:p w14:paraId="36E20CB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16</w:t>
            </w:r>
          </w:p>
        </w:tc>
        <w:tc>
          <w:tcPr>
            <w:tcW w:w="992" w:type="dxa"/>
            <w:shd w:val="clear" w:color="auto" w:fill="FFFFFF"/>
            <w:noWrap/>
            <w:vAlign w:val="bottom"/>
          </w:tcPr>
          <w:p w14:paraId="190ED56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p>
        </w:tc>
        <w:tc>
          <w:tcPr>
            <w:tcW w:w="992" w:type="dxa"/>
            <w:shd w:val="clear" w:color="auto" w:fill="FFFFFF"/>
            <w:noWrap/>
            <w:vAlign w:val="bottom"/>
          </w:tcPr>
          <w:p w14:paraId="691E5D42"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w:t>
            </w:r>
          </w:p>
        </w:tc>
      </w:tr>
      <w:tr w:rsidR="0082227D" w:rsidRPr="00610B1B" w14:paraId="7532D2A8" w14:textId="77777777" w:rsidTr="001E3FED">
        <w:trPr>
          <w:trHeight w:val="255"/>
        </w:trPr>
        <w:tc>
          <w:tcPr>
            <w:tcW w:w="1690" w:type="dxa"/>
            <w:shd w:val="clear" w:color="auto" w:fill="FFFFFF"/>
            <w:vAlign w:val="center"/>
          </w:tcPr>
          <w:p w14:paraId="2D2A217D"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Каварна</w:t>
            </w:r>
          </w:p>
        </w:tc>
        <w:tc>
          <w:tcPr>
            <w:tcW w:w="960" w:type="dxa"/>
            <w:shd w:val="clear" w:color="auto" w:fill="FFFFFF"/>
            <w:noWrap/>
            <w:vAlign w:val="bottom"/>
          </w:tcPr>
          <w:p w14:paraId="4453934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481,0</w:t>
            </w:r>
          </w:p>
        </w:tc>
        <w:tc>
          <w:tcPr>
            <w:tcW w:w="1401" w:type="dxa"/>
            <w:shd w:val="clear" w:color="auto" w:fill="auto"/>
            <w:noWrap/>
            <w:vAlign w:val="bottom"/>
          </w:tcPr>
          <w:p w14:paraId="5546B11C" w14:textId="06D18147"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14</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020</w:t>
            </w:r>
          </w:p>
        </w:tc>
        <w:tc>
          <w:tcPr>
            <w:tcW w:w="1418" w:type="dxa"/>
            <w:shd w:val="clear" w:color="auto" w:fill="auto"/>
            <w:noWrap/>
            <w:vAlign w:val="bottom"/>
          </w:tcPr>
          <w:p w14:paraId="14056B9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29,1</w:t>
            </w:r>
          </w:p>
        </w:tc>
        <w:tc>
          <w:tcPr>
            <w:tcW w:w="1134" w:type="dxa"/>
            <w:shd w:val="clear" w:color="auto" w:fill="FFFFFF"/>
            <w:noWrap/>
            <w:vAlign w:val="bottom"/>
          </w:tcPr>
          <w:p w14:paraId="2EFD79B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21</w:t>
            </w:r>
          </w:p>
        </w:tc>
        <w:tc>
          <w:tcPr>
            <w:tcW w:w="992" w:type="dxa"/>
            <w:shd w:val="clear" w:color="auto" w:fill="FFFFFF"/>
            <w:noWrap/>
            <w:vAlign w:val="bottom"/>
          </w:tcPr>
          <w:p w14:paraId="4D323C1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p>
        </w:tc>
        <w:tc>
          <w:tcPr>
            <w:tcW w:w="992" w:type="dxa"/>
            <w:shd w:val="clear" w:color="auto" w:fill="FFFFFF"/>
            <w:noWrap/>
            <w:vAlign w:val="bottom"/>
          </w:tcPr>
          <w:p w14:paraId="1B3902F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20</w:t>
            </w:r>
          </w:p>
        </w:tc>
      </w:tr>
      <w:tr w:rsidR="0082227D" w:rsidRPr="00610B1B" w14:paraId="67A4C2DC" w14:textId="77777777" w:rsidTr="001E3FED">
        <w:trPr>
          <w:trHeight w:val="255"/>
        </w:trPr>
        <w:tc>
          <w:tcPr>
            <w:tcW w:w="1690" w:type="dxa"/>
            <w:shd w:val="clear" w:color="auto" w:fill="FFFFFF"/>
            <w:vAlign w:val="center"/>
          </w:tcPr>
          <w:p w14:paraId="39C86194"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Балчик</w:t>
            </w:r>
          </w:p>
        </w:tc>
        <w:tc>
          <w:tcPr>
            <w:tcW w:w="960" w:type="dxa"/>
            <w:shd w:val="clear" w:color="auto" w:fill="FFFFFF"/>
            <w:noWrap/>
            <w:vAlign w:val="bottom"/>
          </w:tcPr>
          <w:p w14:paraId="57544FFE"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521,9</w:t>
            </w:r>
          </w:p>
        </w:tc>
        <w:tc>
          <w:tcPr>
            <w:tcW w:w="1401" w:type="dxa"/>
            <w:shd w:val="clear" w:color="auto" w:fill="auto"/>
            <w:noWrap/>
            <w:vAlign w:val="bottom"/>
          </w:tcPr>
          <w:p w14:paraId="588DAC52" w14:textId="2E593C96"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19</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331</w:t>
            </w:r>
          </w:p>
        </w:tc>
        <w:tc>
          <w:tcPr>
            <w:tcW w:w="1418" w:type="dxa"/>
            <w:shd w:val="clear" w:color="auto" w:fill="auto"/>
            <w:noWrap/>
            <w:vAlign w:val="bottom"/>
          </w:tcPr>
          <w:p w14:paraId="4E18B8F4"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37,0</w:t>
            </w:r>
          </w:p>
        </w:tc>
        <w:tc>
          <w:tcPr>
            <w:tcW w:w="1134" w:type="dxa"/>
            <w:shd w:val="clear" w:color="auto" w:fill="FFFFFF"/>
            <w:noWrap/>
            <w:vAlign w:val="bottom"/>
          </w:tcPr>
          <w:p w14:paraId="257C497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22</w:t>
            </w:r>
          </w:p>
        </w:tc>
        <w:tc>
          <w:tcPr>
            <w:tcW w:w="992" w:type="dxa"/>
            <w:shd w:val="clear" w:color="auto" w:fill="FFFFFF"/>
            <w:noWrap/>
            <w:vAlign w:val="bottom"/>
          </w:tcPr>
          <w:p w14:paraId="2C1A8E54"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p>
        </w:tc>
        <w:tc>
          <w:tcPr>
            <w:tcW w:w="992" w:type="dxa"/>
            <w:shd w:val="clear" w:color="auto" w:fill="FFFFFF"/>
            <w:noWrap/>
            <w:vAlign w:val="bottom"/>
          </w:tcPr>
          <w:p w14:paraId="11D3064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21</w:t>
            </w:r>
          </w:p>
        </w:tc>
      </w:tr>
      <w:tr w:rsidR="0082227D" w:rsidRPr="00610B1B" w14:paraId="573BAAA2" w14:textId="77777777" w:rsidTr="001E3FED">
        <w:trPr>
          <w:trHeight w:val="255"/>
        </w:trPr>
        <w:tc>
          <w:tcPr>
            <w:tcW w:w="1690" w:type="dxa"/>
            <w:shd w:val="clear" w:color="auto" w:fill="FFFFFF"/>
            <w:vAlign w:val="center"/>
          </w:tcPr>
          <w:p w14:paraId="36D44F6F"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Аксаково</w:t>
            </w:r>
          </w:p>
        </w:tc>
        <w:tc>
          <w:tcPr>
            <w:tcW w:w="960" w:type="dxa"/>
            <w:shd w:val="clear" w:color="auto" w:fill="FFFFFF"/>
            <w:noWrap/>
            <w:vAlign w:val="bottom"/>
          </w:tcPr>
          <w:p w14:paraId="09F8232E"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461,3</w:t>
            </w:r>
          </w:p>
        </w:tc>
        <w:tc>
          <w:tcPr>
            <w:tcW w:w="1401" w:type="dxa"/>
            <w:shd w:val="clear" w:color="auto" w:fill="auto"/>
            <w:noWrap/>
            <w:vAlign w:val="bottom"/>
          </w:tcPr>
          <w:p w14:paraId="0F6A44A0" w14:textId="30761E62"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20</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557</w:t>
            </w:r>
          </w:p>
        </w:tc>
        <w:tc>
          <w:tcPr>
            <w:tcW w:w="1418" w:type="dxa"/>
            <w:shd w:val="clear" w:color="auto" w:fill="auto"/>
            <w:noWrap/>
            <w:vAlign w:val="bottom"/>
          </w:tcPr>
          <w:p w14:paraId="7AD76857"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44,6</w:t>
            </w:r>
          </w:p>
        </w:tc>
        <w:tc>
          <w:tcPr>
            <w:tcW w:w="1134" w:type="dxa"/>
            <w:shd w:val="clear" w:color="auto" w:fill="FFFFFF"/>
            <w:noWrap/>
            <w:vAlign w:val="bottom"/>
          </w:tcPr>
          <w:p w14:paraId="34CAD6F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23</w:t>
            </w:r>
          </w:p>
        </w:tc>
        <w:tc>
          <w:tcPr>
            <w:tcW w:w="992" w:type="dxa"/>
            <w:shd w:val="clear" w:color="auto" w:fill="FFFFFF"/>
            <w:noWrap/>
            <w:vAlign w:val="bottom"/>
          </w:tcPr>
          <w:p w14:paraId="64A61AF2"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w:t>
            </w:r>
          </w:p>
        </w:tc>
        <w:tc>
          <w:tcPr>
            <w:tcW w:w="992" w:type="dxa"/>
            <w:shd w:val="clear" w:color="auto" w:fill="FFFFFF"/>
            <w:noWrap/>
            <w:vAlign w:val="bottom"/>
          </w:tcPr>
          <w:p w14:paraId="5364A5D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21</w:t>
            </w:r>
          </w:p>
        </w:tc>
      </w:tr>
      <w:tr w:rsidR="0082227D" w:rsidRPr="00610B1B" w14:paraId="64E6BE29" w14:textId="77777777" w:rsidTr="001E3FED">
        <w:trPr>
          <w:trHeight w:val="255"/>
        </w:trPr>
        <w:tc>
          <w:tcPr>
            <w:tcW w:w="1690" w:type="dxa"/>
            <w:shd w:val="clear" w:color="auto" w:fill="FFFFFF"/>
            <w:vAlign w:val="center"/>
          </w:tcPr>
          <w:p w14:paraId="270DEE28"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960" w:type="dxa"/>
            <w:shd w:val="clear" w:color="auto" w:fill="FFFFFF"/>
            <w:noWrap/>
            <w:vAlign w:val="bottom"/>
          </w:tcPr>
          <w:p w14:paraId="5C763E2F"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237,7</w:t>
            </w:r>
          </w:p>
        </w:tc>
        <w:tc>
          <w:tcPr>
            <w:tcW w:w="1401" w:type="dxa"/>
            <w:shd w:val="clear" w:color="auto" w:fill="auto"/>
            <w:noWrap/>
            <w:vAlign w:val="bottom"/>
          </w:tcPr>
          <w:p w14:paraId="3F3C801E" w14:textId="3E7871EA"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345</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369</w:t>
            </w:r>
          </w:p>
        </w:tc>
        <w:tc>
          <w:tcPr>
            <w:tcW w:w="1418" w:type="dxa"/>
            <w:shd w:val="clear" w:color="auto" w:fill="auto"/>
            <w:noWrap/>
            <w:vAlign w:val="bottom"/>
          </w:tcPr>
          <w:p w14:paraId="0F0BE015" w14:textId="6E9F4D5A"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r w:rsidR="003B5D46" w:rsidRPr="00610B1B">
              <w:rPr>
                <w:rFonts w:ascii="Times New Roman" w:hAnsi="Times New Roman" w:cs="Times New Roman"/>
                <w:lang w:val="bg-BG"/>
              </w:rPr>
              <w:t> </w:t>
            </w:r>
            <w:r w:rsidRPr="00610B1B">
              <w:rPr>
                <w:rFonts w:ascii="Times New Roman" w:hAnsi="Times New Roman" w:cs="Times New Roman"/>
                <w:lang w:val="bg-BG"/>
              </w:rPr>
              <w:t>453,1</w:t>
            </w:r>
          </w:p>
        </w:tc>
        <w:tc>
          <w:tcPr>
            <w:tcW w:w="1134" w:type="dxa"/>
            <w:shd w:val="clear" w:color="auto" w:fill="FFFFFF"/>
            <w:noWrap/>
            <w:vAlign w:val="bottom"/>
          </w:tcPr>
          <w:p w14:paraId="55A04FA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w:t>
            </w:r>
          </w:p>
        </w:tc>
        <w:tc>
          <w:tcPr>
            <w:tcW w:w="992" w:type="dxa"/>
            <w:shd w:val="clear" w:color="auto" w:fill="FFFFFF"/>
            <w:noWrap/>
            <w:vAlign w:val="bottom"/>
          </w:tcPr>
          <w:p w14:paraId="021CCB8F"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p>
        </w:tc>
        <w:tc>
          <w:tcPr>
            <w:tcW w:w="992" w:type="dxa"/>
            <w:shd w:val="clear" w:color="auto" w:fill="FFFFFF"/>
            <w:noWrap/>
            <w:vAlign w:val="bottom"/>
          </w:tcPr>
          <w:p w14:paraId="25B9D32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w:t>
            </w:r>
          </w:p>
        </w:tc>
      </w:tr>
      <w:tr w:rsidR="0082227D" w:rsidRPr="00610B1B" w14:paraId="5E46E76C" w14:textId="77777777" w:rsidTr="001E3FED">
        <w:trPr>
          <w:trHeight w:val="255"/>
        </w:trPr>
        <w:tc>
          <w:tcPr>
            <w:tcW w:w="1690" w:type="dxa"/>
            <w:shd w:val="clear" w:color="auto" w:fill="FFFFFF"/>
            <w:vAlign w:val="center"/>
          </w:tcPr>
          <w:p w14:paraId="031A1BD1"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Аврен</w:t>
            </w:r>
          </w:p>
        </w:tc>
        <w:tc>
          <w:tcPr>
            <w:tcW w:w="960" w:type="dxa"/>
            <w:shd w:val="clear" w:color="auto" w:fill="FFFFFF"/>
            <w:noWrap/>
            <w:vAlign w:val="bottom"/>
          </w:tcPr>
          <w:p w14:paraId="1BA9CA24"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356,4</w:t>
            </w:r>
          </w:p>
        </w:tc>
        <w:tc>
          <w:tcPr>
            <w:tcW w:w="1401" w:type="dxa"/>
            <w:shd w:val="clear" w:color="auto" w:fill="auto"/>
            <w:noWrap/>
            <w:vAlign w:val="bottom"/>
          </w:tcPr>
          <w:p w14:paraId="5BBC76CF" w14:textId="2DB6EF75"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9</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152</w:t>
            </w:r>
          </w:p>
        </w:tc>
        <w:tc>
          <w:tcPr>
            <w:tcW w:w="1418" w:type="dxa"/>
            <w:shd w:val="clear" w:color="auto" w:fill="auto"/>
            <w:noWrap/>
            <w:vAlign w:val="bottom"/>
          </w:tcPr>
          <w:p w14:paraId="6826C8B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25,7</w:t>
            </w:r>
          </w:p>
        </w:tc>
        <w:tc>
          <w:tcPr>
            <w:tcW w:w="1134" w:type="dxa"/>
            <w:shd w:val="clear" w:color="auto" w:fill="FFFFFF"/>
            <w:noWrap/>
            <w:vAlign w:val="bottom"/>
          </w:tcPr>
          <w:p w14:paraId="32EF6622"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w:t>
            </w:r>
          </w:p>
        </w:tc>
        <w:tc>
          <w:tcPr>
            <w:tcW w:w="992" w:type="dxa"/>
            <w:shd w:val="clear" w:color="auto" w:fill="FFFFFF"/>
            <w:noWrap/>
            <w:vAlign w:val="bottom"/>
          </w:tcPr>
          <w:p w14:paraId="252DE2A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 xml:space="preserve"> -</w:t>
            </w:r>
          </w:p>
        </w:tc>
        <w:tc>
          <w:tcPr>
            <w:tcW w:w="992" w:type="dxa"/>
            <w:shd w:val="clear" w:color="auto" w:fill="FFFFFF"/>
            <w:noWrap/>
            <w:vAlign w:val="bottom"/>
          </w:tcPr>
          <w:p w14:paraId="6C5D9C6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w:t>
            </w:r>
          </w:p>
        </w:tc>
      </w:tr>
      <w:tr w:rsidR="0082227D" w:rsidRPr="00610B1B" w14:paraId="3911976B" w14:textId="77777777" w:rsidTr="001E3FED">
        <w:trPr>
          <w:trHeight w:val="255"/>
        </w:trPr>
        <w:tc>
          <w:tcPr>
            <w:tcW w:w="1690" w:type="dxa"/>
            <w:shd w:val="clear" w:color="auto" w:fill="FFFFFF"/>
            <w:vAlign w:val="center"/>
          </w:tcPr>
          <w:p w14:paraId="612914BE"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Долни чифлик</w:t>
            </w:r>
          </w:p>
        </w:tc>
        <w:tc>
          <w:tcPr>
            <w:tcW w:w="960" w:type="dxa"/>
            <w:shd w:val="clear" w:color="auto" w:fill="FFFFFF"/>
            <w:noWrap/>
            <w:vAlign w:val="bottom"/>
          </w:tcPr>
          <w:p w14:paraId="000D963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485,8</w:t>
            </w:r>
          </w:p>
        </w:tc>
        <w:tc>
          <w:tcPr>
            <w:tcW w:w="1401" w:type="dxa"/>
            <w:shd w:val="clear" w:color="auto" w:fill="auto"/>
            <w:noWrap/>
            <w:vAlign w:val="bottom"/>
          </w:tcPr>
          <w:p w14:paraId="24478F1F" w14:textId="38910780"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18</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492</w:t>
            </w:r>
          </w:p>
        </w:tc>
        <w:tc>
          <w:tcPr>
            <w:tcW w:w="1418" w:type="dxa"/>
            <w:shd w:val="clear" w:color="auto" w:fill="auto"/>
            <w:noWrap/>
            <w:vAlign w:val="bottom"/>
          </w:tcPr>
          <w:p w14:paraId="684A7060"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38,1</w:t>
            </w:r>
          </w:p>
        </w:tc>
        <w:tc>
          <w:tcPr>
            <w:tcW w:w="1134" w:type="dxa"/>
            <w:shd w:val="clear" w:color="auto" w:fill="FFFFFF"/>
            <w:noWrap/>
            <w:vAlign w:val="bottom"/>
          </w:tcPr>
          <w:p w14:paraId="0AC611B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w:t>
            </w:r>
          </w:p>
        </w:tc>
        <w:tc>
          <w:tcPr>
            <w:tcW w:w="992" w:type="dxa"/>
            <w:shd w:val="clear" w:color="auto" w:fill="FFFFFF"/>
            <w:noWrap/>
            <w:vAlign w:val="bottom"/>
          </w:tcPr>
          <w:p w14:paraId="6BA2FA4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p>
        </w:tc>
        <w:tc>
          <w:tcPr>
            <w:tcW w:w="992" w:type="dxa"/>
            <w:shd w:val="clear" w:color="auto" w:fill="FFFFFF"/>
            <w:noWrap/>
            <w:vAlign w:val="bottom"/>
          </w:tcPr>
          <w:p w14:paraId="6667D98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16</w:t>
            </w:r>
          </w:p>
        </w:tc>
      </w:tr>
      <w:tr w:rsidR="0082227D" w:rsidRPr="00610B1B" w14:paraId="756BC23B" w14:textId="77777777" w:rsidTr="001E3FED">
        <w:trPr>
          <w:trHeight w:val="255"/>
        </w:trPr>
        <w:tc>
          <w:tcPr>
            <w:tcW w:w="1690" w:type="dxa"/>
            <w:shd w:val="clear" w:color="auto" w:fill="FFFFFF"/>
            <w:vAlign w:val="center"/>
          </w:tcPr>
          <w:p w14:paraId="72EAA940"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Бяла</w:t>
            </w:r>
          </w:p>
        </w:tc>
        <w:tc>
          <w:tcPr>
            <w:tcW w:w="960" w:type="dxa"/>
            <w:shd w:val="clear" w:color="auto" w:fill="FFFFFF"/>
            <w:noWrap/>
            <w:vAlign w:val="bottom"/>
          </w:tcPr>
          <w:p w14:paraId="2F6C041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162,1</w:t>
            </w:r>
          </w:p>
        </w:tc>
        <w:tc>
          <w:tcPr>
            <w:tcW w:w="1401" w:type="dxa"/>
            <w:shd w:val="clear" w:color="auto" w:fill="auto"/>
            <w:noWrap/>
            <w:vAlign w:val="bottom"/>
          </w:tcPr>
          <w:p w14:paraId="5DE5F2B2" w14:textId="2ED98421"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287</w:t>
            </w:r>
          </w:p>
        </w:tc>
        <w:tc>
          <w:tcPr>
            <w:tcW w:w="1418" w:type="dxa"/>
            <w:shd w:val="clear" w:color="auto" w:fill="auto"/>
            <w:noWrap/>
            <w:vAlign w:val="bottom"/>
          </w:tcPr>
          <w:p w14:paraId="599C78A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20,3</w:t>
            </w:r>
          </w:p>
        </w:tc>
        <w:tc>
          <w:tcPr>
            <w:tcW w:w="1134" w:type="dxa"/>
            <w:shd w:val="clear" w:color="auto" w:fill="FFFFFF"/>
            <w:noWrap/>
            <w:vAlign w:val="bottom"/>
          </w:tcPr>
          <w:p w14:paraId="62CE2870"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w:t>
            </w:r>
          </w:p>
        </w:tc>
        <w:tc>
          <w:tcPr>
            <w:tcW w:w="992" w:type="dxa"/>
            <w:shd w:val="clear" w:color="auto" w:fill="FFFFFF"/>
            <w:noWrap/>
            <w:vAlign w:val="bottom"/>
          </w:tcPr>
          <w:p w14:paraId="19F2353E"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p>
        </w:tc>
        <w:tc>
          <w:tcPr>
            <w:tcW w:w="992" w:type="dxa"/>
            <w:shd w:val="clear" w:color="auto" w:fill="FFFFFF"/>
            <w:noWrap/>
            <w:vAlign w:val="bottom"/>
          </w:tcPr>
          <w:p w14:paraId="7BF15C3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w:t>
            </w:r>
          </w:p>
        </w:tc>
      </w:tr>
      <w:tr w:rsidR="0082227D" w:rsidRPr="00610B1B" w14:paraId="0140593F" w14:textId="77777777" w:rsidTr="001E3FED">
        <w:trPr>
          <w:trHeight w:val="255"/>
        </w:trPr>
        <w:tc>
          <w:tcPr>
            <w:tcW w:w="1690" w:type="dxa"/>
            <w:shd w:val="clear" w:color="auto" w:fill="FFFFFF"/>
            <w:vAlign w:val="center"/>
          </w:tcPr>
          <w:p w14:paraId="4207553C"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Несебър</w:t>
            </w:r>
          </w:p>
        </w:tc>
        <w:tc>
          <w:tcPr>
            <w:tcW w:w="960" w:type="dxa"/>
            <w:shd w:val="clear" w:color="auto" w:fill="FFFFFF"/>
            <w:noWrap/>
            <w:vAlign w:val="bottom"/>
          </w:tcPr>
          <w:p w14:paraId="2E5DA5C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418,9</w:t>
            </w:r>
          </w:p>
        </w:tc>
        <w:tc>
          <w:tcPr>
            <w:tcW w:w="1401" w:type="dxa"/>
            <w:shd w:val="clear" w:color="auto" w:fill="auto"/>
            <w:noWrap/>
            <w:vAlign w:val="bottom"/>
          </w:tcPr>
          <w:p w14:paraId="59ACB77A" w14:textId="69AEBC87"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27</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879</w:t>
            </w:r>
          </w:p>
        </w:tc>
        <w:tc>
          <w:tcPr>
            <w:tcW w:w="1418" w:type="dxa"/>
            <w:shd w:val="clear" w:color="auto" w:fill="auto"/>
            <w:noWrap/>
            <w:vAlign w:val="bottom"/>
          </w:tcPr>
          <w:p w14:paraId="52079F6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66,6</w:t>
            </w:r>
          </w:p>
        </w:tc>
        <w:tc>
          <w:tcPr>
            <w:tcW w:w="1134" w:type="dxa"/>
            <w:shd w:val="clear" w:color="auto" w:fill="FFFFFF"/>
            <w:noWrap/>
            <w:vAlign w:val="bottom"/>
          </w:tcPr>
          <w:p w14:paraId="097B3BB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14</w:t>
            </w:r>
          </w:p>
        </w:tc>
        <w:tc>
          <w:tcPr>
            <w:tcW w:w="992" w:type="dxa"/>
            <w:shd w:val="clear" w:color="auto" w:fill="FFFFFF"/>
            <w:noWrap/>
            <w:vAlign w:val="bottom"/>
          </w:tcPr>
          <w:p w14:paraId="57AD9FC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w:t>
            </w:r>
          </w:p>
        </w:tc>
        <w:tc>
          <w:tcPr>
            <w:tcW w:w="992" w:type="dxa"/>
            <w:shd w:val="clear" w:color="auto" w:fill="FFFFFF"/>
            <w:noWrap/>
            <w:vAlign w:val="bottom"/>
          </w:tcPr>
          <w:p w14:paraId="3AD7BB7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11</w:t>
            </w:r>
          </w:p>
        </w:tc>
      </w:tr>
      <w:tr w:rsidR="0082227D" w:rsidRPr="00610B1B" w14:paraId="6C1FF6F5" w14:textId="77777777" w:rsidTr="001E3FED">
        <w:trPr>
          <w:trHeight w:val="255"/>
        </w:trPr>
        <w:tc>
          <w:tcPr>
            <w:tcW w:w="1690" w:type="dxa"/>
            <w:shd w:val="clear" w:color="auto" w:fill="FFFFFF"/>
            <w:vAlign w:val="center"/>
          </w:tcPr>
          <w:p w14:paraId="1CAC6728"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Поморие</w:t>
            </w:r>
          </w:p>
        </w:tc>
        <w:tc>
          <w:tcPr>
            <w:tcW w:w="960" w:type="dxa"/>
            <w:shd w:val="clear" w:color="auto" w:fill="FFFFFF"/>
            <w:noWrap/>
            <w:vAlign w:val="bottom"/>
          </w:tcPr>
          <w:p w14:paraId="1CFE35E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407,8</w:t>
            </w:r>
          </w:p>
        </w:tc>
        <w:tc>
          <w:tcPr>
            <w:tcW w:w="1401" w:type="dxa"/>
            <w:shd w:val="clear" w:color="auto" w:fill="auto"/>
            <w:noWrap/>
            <w:vAlign w:val="bottom"/>
          </w:tcPr>
          <w:p w14:paraId="5F6607F6" w14:textId="6F837F60"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27</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233</w:t>
            </w:r>
          </w:p>
        </w:tc>
        <w:tc>
          <w:tcPr>
            <w:tcW w:w="1418" w:type="dxa"/>
            <w:shd w:val="clear" w:color="auto" w:fill="auto"/>
            <w:noWrap/>
            <w:vAlign w:val="bottom"/>
          </w:tcPr>
          <w:p w14:paraId="684C5D4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66,8</w:t>
            </w:r>
          </w:p>
        </w:tc>
        <w:tc>
          <w:tcPr>
            <w:tcW w:w="1134" w:type="dxa"/>
            <w:shd w:val="clear" w:color="auto" w:fill="FFFFFF"/>
            <w:noWrap/>
            <w:vAlign w:val="bottom"/>
          </w:tcPr>
          <w:p w14:paraId="54A3DE3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w:t>
            </w:r>
          </w:p>
        </w:tc>
        <w:tc>
          <w:tcPr>
            <w:tcW w:w="992" w:type="dxa"/>
            <w:shd w:val="clear" w:color="auto" w:fill="FFFFFF"/>
            <w:noWrap/>
            <w:vAlign w:val="bottom"/>
          </w:tcPr>
          <w:p w14:paraId="2D90A0E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w:t>
            </w:r>
          </w:p>
        </w:tc>
        <w:tc>
          <w:tcPr>
            <w:tcW w:w="992" w:type="dxa"/>
            <w:shd w:val="clear" w:color="auto" w:fill="FFFFFF"/>
            <w:noWrap/>
            <w:vAlign w:val="bottom"/>
          </w:tcPr>
          <w:p w14:paraId="207964E2"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14</w:t>
            </w:r>
          </w:p>
        </w:tc>
      </w:tr>
      <w:tr w:rsidR="0082227D" w:rsidRPr="00610B1B" w14:paraId="1E9CC80F" w14:textId="77777777" w:rsidTr="001E3FED">
        <w:trPr>
          <w:trHeight w:val="255"/>
        </w:trPr>
        <w:tc>
          <w:tcPr>
            <w:tcW w:w="1690" w:type="dxa"/>
            <w:shd w:val="clear" w:color="auto" w:fill="FFFFFF"/>
            <w:vAlign w:val="center"/>
          </w:tcPr>
          <w:p w14:paraId="21521270"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960" w:type="dxa"/>
            <w:shd w:val="clear" w:color="auto" w:fill="FFFFFF"/>
            <w:noWrap/>
            <w:vAlign w:val="bottom"/>
          </w:tcPr>
          <w:p w14:paraId="649A08D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531,8</w:t>
            </w:r>
          </w:p>
        </w:tc>
        <w:tc>
          <w:tcPr>
            <w:tcW w:w="1401" w:type="dxa"/>
            <w:shd w:val="clear" w:color="auto" w:fill="auto"/>
            <w:noWrap/>
            <w:vAlign w:val="bottom"/>
          </w:tcPr>
          <w:p w14:paraId="0452C647" w14:textId="22BA7B24"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208</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915</w:t>
            </w:r>
          </w:p>
        </w:tc>
        <w:tc>
          <w:tcPr>
            <w:tcW w:w="1418" w:type="dxa"/>
            <w:shd w:val="clear" w:color="auto" w:fill="auto"/>
            <w:noWrap/>
            <w:vAlign w:val="bottom"/>
          </w:tcPr>
          <w:p w14:paraId="768D49E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392,9</w:t>
            </w:r>
          </w:p>
        </w:tc>
        <w:tc>
          <w:tcPr>
            <w:tcW w:w="1134" w:type="dxa"/>
            <w:shd w:val="clear" w:color="auto" w:fill="FFFFFF"/>
            <w:noWrap/>
            <w:vAlign w:val="bottom"/>
          </w:tcPr>
          <w:p w14:paraId="255971B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12</w:t>
            </w:r>
          </w:p>
        </w:tc>
        <w:tc>
          <w:tcPr>
            <w:tcW w:w="992" w:type="dxa"/>
            <w:shd w:val="clear" w:color="auto" w:fill="FFFFFF"/>
            <w:noWrap/>
            <w:vAlign w:val="bottom"/>
          </w:tcPr>
          <w:p w14:paraId="736C8645"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w:t>
            </w:r>
          </w:p>
        </w:tc>
        <w:tc>
          <w:tcPr>
            <w:tcW w:w="992" w:type="dxa"/>
            <w:shd w:val="clear" w:color="auto" w:fill="FFFFFF"/>
            <w:noWrap/>
            <w:vAlign w:val="bottom"/>
          </w:tcPr>
          <w:p w14:paraId="2567EA85"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10</w:t>
            </w:r>
          </w:p>
        </w:tc>
      </w:tr>
      <w:tr w:rsidR="0082227D" w:rsidRPr="00610B1B" w14:paraId="376287E4" w14:textId="77777777" w:rsidTr="001E3FED">
        <w:trPr>
          <w:trHeight w:val="255"/>
        </w:trPr>
        <w:tc>
          <w:tcPr>
            <w:tcW w:w="1690" w:type="dxa"/>
            <w:shd w:val="clear" w:color="auto" w:fill="FFFFFF"/>
            <w:vAlign w:val="center"/>
          </w:tcPr>
          <w:p w14:paraId="7FB3B5D2"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Созопол</w:t>
            </w:r>
          </w:p>
        </w:tc>
        <w:tc>
          <w:tcPr>
            <w:tcW w:w="960" w:type="dxa"/>
            <w:shd w:val="clear" w:color="auto" w:fill="FFFFFF"/>
            <w:noWrap/>
            <w:vAlign w:val="bottom"/>
          </w:tcPr>
          <w:p w14:paraId="2C53395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477,1</w:t>
            </w:r>
          </w:p>
        </w:tc>
        <w:tc>
          <w:tcPr>
            <w:tcW w:w="1401" w:type="dxa"/>
            <w:shd w:val="clear" w:color="auto" w:fill="auto"/>
            <w:noWrap/>
            <w:vAlign w:val="bottom"/>
          </w:tcPr>
          <w:p w14:paraId="0FCBA8C8" w14:textId="6712D1E4"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13</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005</w:t>
            </w:r>
          </w:p>
        </w:tc>
        <w:tc>
          <w:tcPr>
            <w:tcW w:w="1418" w:type="dxa"/>
            <w:shd w:val="clear" w:color="auto" w:fill="auto"/>
            <w:noWrap/>
            <w:vAlign w:val="bottom"/>
          </w:tcPr>
          <w:p w14:paraId="1316C2E5"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27,3</w:t>
            </w:r>
          </w:p>
        </w:tc>
        <w:tc>
          <w:tcPr>
            <w:tcW w:w="1134" w:type="dxa"/>
            <w:shd w:val="clear" w:color="auto" w:fill="FFFFFF"/>
            <w:noWrap/>
            <w:vAlign w:val="bottom"/>
          </w:tcPr>
          <w:p w14:paraId="6B3F948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12</w:t>
            </w:r>
          </w:p>
        </w:tc>
        <w:tc>
          <w:tcPr>
            <w:tcW w:w="992" w:type="dxa"/>
            <w:shd w:val="clear" w:color="auto" w:fill="FFFFFF"/>
            <w:noWrap/>
            <w:vAlign w:val="bottom"/>
          </w:tcPr>
          <w:p w14:paraId="01329209"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w:t>
            </w:r>
          </w:p>
        </w:tc>
        <w:tc>
          <w:tcPr>
            <w:tcW w:w="992" w:type="dxa"/>
            <w:shd w:val="clear" w:color="auto" w:fill="FFFFFF"/>
            <w:noWrap/>
            <w:vAlign w:val="bottom"/>
          </w:tcPr>
          <w:p w14:paraId="0C19085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10</w:t>
            </w:r>
          </w:p>
        </w:tc>
      </w:tr>
      <w:tr w:rsidR="0082227D" w:rsidRPr="00610B1B" w14:paraId="26EC0C6F" w14:textId="77777777" w:rsidTr="001E3FED">
        <w:trPr>
          <w:trHeight w:val="255"/>
        </w:trPr>
        <w:tc>
          <w:tcPr>
            <w:tcW w:w="1690" w:type="dxa"/>
            <w:shd w:val="clear" w:color="auto" w:fill="FFFFFF"/>
            <w:vAlign w:val="center"/>
          </w:tcPr>
          <w:p w14:paraId="5A040C55"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Приморско</w:t>
            </w:r>
          </w:p>
        </w:tc>
        <w:tc>
          <w:tcPr>
            <w:tcW w:w="960" w:type="dxa"/>
            <w:shd w:val="clear" w:color="auto" w:fill="FFFFFF"/>
            <w:noWrap/>
            <w:vAlign w:val="bottom"/>
          </w:tcPr>
          <w:p w14:paraId="6859FA95"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355,4</w:t>
            </w:r>
          </w:p>
        </w:tc>
        <w:tc>
          <w:tcPr>
            <w:tcW w:w="1401" w:type="dxa"/>
            <w:shd w:val="clear" w:color="auto" w:fill="auto"/>
            <w:noWrap/>
            <w:vAlign w:val="bottom"/>
          </w:tcPr>
          <w:p w14:paraId="5EEF20EF" w14:textId="580B1269"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6</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124</w:t>
            </w:r>
          </w:p>
        </w:tc>
        <w:tc>
          <w:tcPr>
            <w:tcW w:w="1418" w:type="dxa"/>
            <w:shd w:val="clear" w:color="auto" w:fill="auto"/>
            <w:noWrap/>
            <w:vAlign w:val="bottom"/>
          </w:tcPr>
          <w:p w14:paraId="16CF65D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17,2</w:t>
            </w:r>
          </w:p>
        </w:tc>
        <w:tc>
          <w:tcPr>
            <w:tcW w:w="1134" w:type="dxa"/>
            <w:shd w:val="clear" w:color="auto" w:fill="FFFFFF"/>
            <w:noWrap/>
            <w:vAlign w:val="bottom"/>
          </w:tcPr>
          <w:p w14:paraId="2D839E7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w:t>
            </w:r>
          </w:p>
        </w:tc>
        <w:tc>
          <w:tcPr>
            <w:tcW w:w="992" w:type="dxa"/>
            <w:shd w:val="clear" w:color="auto" w:fill="FFFFFF"/>
            <w:noWrap/>
            <w:vAlign w:val="bottom"/>
          </w:tcPr>
          <w:p w14:paraId="2D63D4A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w:t>
            </w:r>
          </w:p>
        </w:tc>
        <w:tc>
          <w:tcPr>
            <w:tcW w:w="992" w:type="dxa"/>
            <w:shd w:val="clear" w:color="auto" w:fill="FFFFFF"/>
            <w:noWrap/>
            <w:vAlign w:val="bottom"/>
          </w:tcPr>
          <w:p w14:paraId="69E23A8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w:t>
            </w:r>
          </w:p>
        </w:tc>
      </w:tr>
      <w:tr w:rsidR="0082227D" w:rsidRPr="00610B1B" w14:paraId="73D709FF" w14:textId="77777777" w:rsidTr="001E3FED">
        <w:trPr>
          <w:trHeight w:val="255"/>
        </w:trPr>
        <w:tc>
          <w:tcPr>
            <w:tcW w:w="1690" w:type="dxa"/>
            <w:shd w:val="clear" w:color="auto" w:fill="FFFFFF"/>
            <w:vAlign w:val="center"/>
          </w:tcPr>
          <w:p w14:paraId="48A5CB6D"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Царево</w:t>
            </w:r>
          </w:p>
        </w:tc>
        <w:tc>
          <w:tcPr>
            <w:tcW w:w="960" w:type="dxa"/>
            <w:shd w:val="clear" w:color="auto" w:fill="FFFFFF"/>
            <w:noWrap/>
            <w:vAlign w:val="bottom"/>
          </w:tcPr>
          <w:p w14:paraId="1B79EAEB"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511,5</w:t>
            </w:r>
          </w:p>
        </w:tc>
        <w:tc>
          <w:tcPr>
            <w:tcW w:w="1401" w:type="dxa"/>
            <w:shd w:val="clear" w:color="auto" w:fill="auto"/>
            <w:noWrap/>
            <w:vAlign w:val="bottom"/>
          </w:tcPr>
          <w:p w14:paraId="2F35F670" w14:textId="3BCE2647"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9</w:t>
            </w:r>
            <w:r w:rsidR="003B5D46" w:rsidRPr="00610B1B">
              <w:rPr>
                <w:rFonts w:ascii="Times New Roman" w:hAnsi="Times New Roman" w:cs="Times New Roman"/>
                <w:color w:val="000000"/>
                <w:lang w:val="bg-BG"/>
              </w:rPr>
              <w:t> </w:t>
            </w:r>
            <w:r w:rsidRPr="00610B1B">
              <w:rPr>
                <w:rFonts w:ascii="Times New Roman" w:hAnsi="Times New Roman" w:cs="Times New Roman"/>
                <w:color w:val="000000"/>
                <w:lang w:val="bg-BG"/>
              </w:rPr>
              <w:t>014</w:t>
            </w:r>
          </w:p>
        </w:tc>
        <w:tc>
          <w:tcPr>
            <w:tcW w:w="1418" w:type="dxa"/>
            <w:shd w:val="clear" w:color="auto" w:fill="auto"/>
            <w:noWrap/>
            <w:vAlign w:val="bottom"/>
          </w:tcPr>
          <w:p w14:paraId="443C01F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17,6</w:t>
            </w:r>
          </w:p>
        </w:tc>
        <w:tc>
          <w:tcPr>
            <w:tcW w:w="1134" w:type="dxa"/>
            <w:shd w:val="clear" w:color="auto" w:fill="FFFFFF"/>
            <w:noWrap/>
            <w:vAlign w:val="bottom"/>
          </w:tcPr>
          <w:p w14:paraId="4D23AA42"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13</w:t>
            </w:r>
          </w:p>
        </w:tc>
        <w:tc>
          <w:tcPr>
            <w:tcW w:w="992" w:type="dxa"/>
            <w:shd w:val="clear" w:color="auto" w:fill="FFFFFF"/>
            <w:noWrap/>
            <w:vAlign w:val="bottom"/>
          </w:tcPr>
          <w:p w14:paraId="6C477DC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w:t>
            </w:r>
          </w:p>
        </w:tc>
        <w:tc>
          <w:tcPr>
            <w:tcW w:w="992" w:type="dxa"/>
            <w:shd w:val="clear" w:color="auto" w:fill="FFFFFF"/>
            <w:noWrap/>
            <w:vAlign w:val="bottom"/>
          </w:tcPr>
          <w:p w14:paraId="0DB1AA1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11</w:t>
            </w:r>
          </w:p>
        </w:tc>
      </w:tr>
    </w:tbl>
    <w:p w14:paraId="1BA76D15" w14:textId="536186C9" w:rsidR="0082227D" w:rsidRPr="00610B1B" w:rsidRDefault="00392A32" w:rsidP="00595F51">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 НСИ</w:t>
      </w:r>
      <w:r w:rsidR="0082227D" w:rsidRPr="00610B1B">
        <w:rPr>
          <w:rFonts w:ascii="Times New Roman" w:hAnsi="Times New Roman" w:cs="Times New Roman"/>
          <w:lang w:val="bg-BG"/>
        </w:rPr>
        <w:t xml:space="preserve">, обработка НЦТР </w:t>
      </w:r>
    </w:p>
    <w:p w14:paraId="6DE34136" w14:textId="1CE772F5" w:rsidR="000B1E6E" w:rsidRPr="00610B1B" w:rsidRDefault="00CF05D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Областните центрове Варна и Бургас, градове от 2-ро йерархично ниво съгласно Националната концепция за пространствено развитие 2013-3025, Актуализация 2019 г., с агломерационните си образувания, са главни балансьори на столичния град. </w:t>
      </w:r>
    </w:p>
    <w:p w14:paraId="1C71BAA5" w14:textId="4B434973" w:rsidR="00F23650" w:rsidRPr="00610B1B" w:rsidRDefault="00F2365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Агломерационният ареал</w:t>
      </w:r>
      <w:r w:rsidR="002134B1" w:rsidRPr="00610B1B">
        <w:rPr>
          <w:rFonts w:ascii="Times New Roman" w:hAnsi="Times New Roman" w:cs="Times New Roman"/>
          <w:sz w:val="24"/>
          <w:szCs w:val="24"/>
          <w:lang w:val="bg-BG"/>
        </w:rPr>
        <w:t xml:space="preserve"> на Варна включва 6 общини (</w:t>
      </w:r>
      <w:r w:rsidRPr="00610B1B">
        <w:rPr>
          <w:rFonts w:ascii="Times New Roman" w:hAnsi="Times New Roman" w:cs="Times New Roman"/>
          <w:sz w:val="24"/>
          <w:szCs w:val="24"/>
          <w:lang w:val="bg-BG"/>
        </w:rPr>
        <w:t>Варна, Аврен, Аксаково, Белослав, Долни Чифлик и Дългопол</w:t>
      </w:r>
      <w:r w:rsidR="002134B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от които 3 са разположени на Черноморския бряг</w:t>
      </w:r>
      <w:r w:rsidR="00281515" w:rsidRPr="00610B1B">
        <w:rPr>
          <w:rFonts w:ascii="Times New Roman" w:hAnsi="Times New Roman" w:cs="Times New Roman"/>
          <w:sz w:val="24"/>
          <w:szCs w:val="24"/>
          <w:lang w:val="bg-BG"/>
        </w:rPr>
        <w:t>, а т</w:t>
      </w:r>
      <w:r w:rsidRPr="00610B1B">
        <w:rPr>
          <w:rFonts w:ascii="Times New Roman" w:hAnsi="Times New Roman" w:cs="Times New Roman"/>
          <w:sz w:val="24"/>
          <w:szCs w:val="24"/>
          <w:lang w:val="bg-BG"/>
        </w:rPr>
        <w:t>ериторията, която обхваща е 2</w:t>
      </w:r>
      <w:r w:rsidR="00281515"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035,58 km</w:t>
      </w:r>
      <w:r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За периода 2011–2019 г. населението на </w:t>
      </w:r>
      <w:r w:rsidRPr="00610B1B">
        <w:rPr>
          <w:rFonts w:ascii="Times New Roman" w:hAnsi="Times New Roman" w:cs="Times New Roman"/>
          <w:sz w:val="24"/>
          <w:szCs w:val="24"/>
          <w:lang w:val="bg-BG"/>
        </w:rPr>
        <w:lastRenderedPageBreak/>
        <w:t>агломерационния ареал се увеличава от 411</w:t>
      </w:r>
      <w:r w:rsidR="00281515"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302 д. на 416</w:t>
      </w:r>
      <w:r w:rsidR="00281515"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476 д. или с 5 174 д. (0,98%). </w:t>
      </w:r>
      <w:r w:rsidR="00281515" w:rsidRPr="00610B1B">
        <w:rPr>
          <w:rFonts w:ascii="Times New Roman" w:hAnsi="Times New Roman" w:cs="Times New Roman"/>
          <w:sz w:val="24"/>
          <w:szCs w:val="24"/>
          <w:lang w:val="bg-BG"/>
        </w:rPr>
        <w:t xml:space="preserve">Анализът на данните показва </w:t>
      </w:r>
      <w:r w:rsidRPr="00610B1B">
        <w:rPr>
          <w:rFonts w:ascii="Times New Roman" w:hAnsi="Times New Roman" w:cs="Times New Roman"/>
          <w:sz w:val="24"/>
          <w:szCs w:val="24"/>
          <w:lang w:val="bg-BG"/>
        </w:rPr>
        <w:t>демографска стабилност на центъра</w:t>
      </w:r>
      <w:r w:rsidR="00281515" w:rsidRPr="00610B1B">
        <w:rPr>
          <w:rFonts w:ascii="Times New Roman" w:hAnsi="Times New Roman" w:cs="Times New Roman"/>
          <w:sz w:val="24"/>
          <w:szCs w:val="24"/>
          <w:lang w:val="bg-BG"/>
        </w:rPr>
        <w:t xml:space="preserve"> и на населените места в ареала. Това</w:t>
      </w:r>
      <w:r w:rsidRPr="00610B1B">
        <w:rPr>
          <w:rFonts w:ascii="Times New Roman" w:hAnsi="Times New Roman" w:cs="Times New Roman"/>
          <w:sz w:val="24"/>
          <w:szCs w:val="24"/>
          <w:lang w:val="bg-BG"/>
        </w:rPr>
        <w:t xml:space="preserve"> се дължи до голяма степен и на туристическата функция на крайморските градове. Най-големите ежедневни трудови пътувания към центъра Варна са от община Аксаково -</w:t>
      </w:r>
      <w:r w:rsidR="00281515"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44% от трудово наетите лица в общината. В останалите общини трудовите пътувания към Варна са по-малки. В община Варна се произвежда 75% от общата продукция на икономическото образувание и там работят 85% от всички наети лица. В Девня се произвежда 15% от продукцията и там работят 3,7% от наетите лица.</w:t>
      </w:r>
    </w:p>
    <w:p w14:paraId="7631D65A" w14:textId="74CEBEC8" w:rsidR="00F23650" w:rsidRPr="00610B1B" w:rsidRDefault="00F2365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А</w:t>
      </w:r>
      <w:r w:rsidR="00281515" w:rsidRPr="00610B1B">
        <w:rPr>
          <w:rFonts w:ascii="Times New Roman" w:hAnsi="Times New Roman" w:cs="Times New Roman"/>
          <w:sz w:val="24"/>
          <w:szCs w:val="24"/>
          <w:lang w:val="bg-BG"/>
        </w:rPr>
        <w:t xml:space="preserve">гломерационният ареал </w:t>
      </w:r>
      <w:r w:rsidRPr="00610B1B">
        <w:rPr>
          <w:rFonts w:ascii="Times New Roman" w:hAnsi="Times New Roman" w:cs="Times New Roman"/>
          <w:sz w:val="24"/>
          <w:szCs w:val="24"/>
          <w:lang w:val="bg-BG"/>
        </w:rPr>
        <w:t xml:space="preserve">на Бургас включва 5 общини </w:t>
      </w:r>
      <w:r w:rsidR="00281515"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Бургас, Айтос, Камено, Созопол и Средец</w:t>
      </w:r>
      <w:r w:rsidR="00281515" w:rsidRPr="00610B1B">
        <w:rPr>
          <w:rFonts w:ascii="Times New Roman" w:hAnsi="Times New Roman" w:cs="Times New Roman"/>
          <w:sz w:val="24"/>
          <w:szCs w:val="24"/>
          <w:lang w:val="bg-BG"/>
        </w:rPr>
        <w:t>) и обхваща площ от 2 943,87 km</w:t>
      </w:r>
      <w:r w:rsidR="00281515" w:rsidRPr="00610B1B">
        <w:rPr>
          <w:rFonts w:ascii="Times New Roman" w:hAnsi="Times New Roman" w:cs="Times New Roman"/>
          <w:sz w:val="24"/>
          <w:szCs w:val="24"/>
          <w:vertAlign w:val="superscript"/>
          <w:lang w:val="bg-BG"/>
        </w:rPr>
        <w:t>2</w:t>
      </w:r>
      <w:r w:rsidR="00281515" w:rsidRPr="00610B1B">
        <w:rPr>
          <w:rFonts w:ascii="Times New Roman" w:hAnsi="Times New Roman" w:cs="Times New Roman"/>
          <w:sz w:val="24"/>
          <w:szCs w:val="24"/>
          <w:lang w:val="bg-BG"/>
        </w:rPr>
        <w:t>. За периода 2011-2019</w:t>
      </w:r>
      <w:r w:rsidRPr="00610B1B">
        <w:rPr>
          <w:rFonts w:ascii="Times New Roman" w:hAnsi="Times New Roman" w:cs="Times New Roman"/>
          <w:sz w:val="24"/>
          <w:szCs w:val="24"/>
          <w:lang w:val="bg-BG"/>
        </w:rPr>
        <w:t xml:space="preserve"> г. населението на агломерационния ар</w:t>
      </w:r>
      <w:r w:rsidR="00281515" w:rsidRPr="00610B1B">
        <w:rPr>
          <w:rFonts w:ascii="Times New Roman" w:hAnsi="Times New Roman" w:cs="Times New Roman"/>
          <w:sz w:val="24"/>
          <w:szCs w:val="24"/>
          <w:lang w:val="bg-BG"/>
        </w:rPr>
        <w:t>еал намалява от 279 478 д. на 272 859 д, или с 6 619 (2,</w:t>
      </w:r>
      <w:r w:rsidRPr="00610B1B">
        <w:rPr>
          <w:rFonts w:ascii="Times New Roman" w:hAnsi="Times New Roman" w:cs="Times New Roman"/>
          <w:sz w:val="24"/>
          <w:szCs w:val="24"/>
          <w:lang w:val="bg-BG"/>
        </w:rPr>
        <w:t>3</w:t>
      </w:r>
      <w:r w:rsidR="00281515" w:rsidRPr="00610B1B">
        <w:rPr>
          <w:rFonts w:ascii="Times New Roman" w:hAnsi="Times New Roman" w:cs="Times New Roman"/>
          <w:sz w:val="24"/>
          <w:szCs w:val="24"/>
          <w:lang w:val="bg-BG"/>
        </w:rPr>
        <w:t>6</w:t>
      </w:r>
      <w:r w:rsidRPr="00610B1B">
        <w:rPr>
          <w:rFonts w:ascii="Times New Roman" w:hAnsi="Times New Roman" w:cs="Times New Roman"/>
          <w:sz w:val="24"/>
          <w:szCs w:val="24"/>
          <w:lang w:val="bg-BG"/>
        </w:rPr>
        <w:t xml:space="preserve">%). Населението на центъра </w:t>
      </w:r>
      <w:r w:rsidR="00ED357B" w:rsidRPr="00610B1B">
        <w:rPr>
          <w:rFonts w:ascii="Times New Roman" w:hAnsi="Times New Roman" w:cs="Times New Roman"/>
          <w:sz w:val="24"/>
          <w:szCs w:val="24"/>
          <w:lang w:val="bg-BG"/>
        </w:rPr>
        <w:t xml:space="preserve">град </w:t>
      </w:r>
      <w:r w:rsidRPr="00610B1B">
        <w:rPr>
          <w:rFonts w:ascii="Times New Roman" w:hAnsi="Times New Roman" w:cs="Times New Roman"/>
          <w:sz w:val="24"/>
          <w:szCs w:val="24"/>
          <w:lang w:val="bg-BG"/>
        </w:rPr>
        <w:t xml:space="preserve">Бургас </w:t>
      </w:r>
      <w:r w:rsidR="00ED357B" w:rsidRPr="00610B1B">
        <w:rPr>
          <w:rFonts w:ascii="Times New Roman" w:hAnsi="Times New Roman" w:cs="Times New Roman"/>
          <w:sz w:val="24"/>
          <w:szCs w:val="24"/>
          <w:lang w:val="bg-BG"/>
        </w:rPr>
        <w:t xml:space="preserve">показва демографска стабилност, относително </w:t>
      </w:r>
      <w:r w:rsidR="008E5D9F" w:rsidRPr="00610B1B">
        <w:rPr>
          <w:rFonts w:ascii="Times New Roman" w:hAnsi="Times New Roman" w:cs="Times New Roman"/>
          <w:sz w:val="24"/>
          <w:szCs w:val="24"/>
          <w:lang w:val="bg-BG"/>
        </w:rPr>
        <w:t>стабилно</w:t>
      </w:r>
      <w:r w:rsidR="00ED357B" w:rsidRPr="00610B1B">
        <w:rPr>
          <w:rFonts w:ascii="Times New Roman" w:hAnsi="Times New Roman" w:cs="Times New Roman"/>
          <w:sz w:val="24"/>
          <w:szCs w:val="24"/>
          <w:lang w:val="bg-BG"/>
        </w:rPr>
        <w:t xml:space="preserve"> е и населението в останалите населени места в обхвата на ареала. Това се дължи </w:t>
      </w:r>
      <w:r w:rsidRPr="00610B1B">
        <w:rPr>
          <w:rFonts w:ascii="Times New Roman" w:hAnsi="Times New Roman" w:cs="Times New Roman"/>
          <w:sz w:val="24"/>
          <w:szCs w:val="24"/>
          <w:lang w:val="bg-BG"/>
        </w:rPr>
        <w:t>предимно на туристическата функция на крайморските градове. От трудово наетите в община Камено 31% работят в Бургас. За другите общини на ареала процентът е малко над 15%. В община Бургас се произвежда 92% от продукцията на икономическото образувание и там работят 84% от всички наети лица.</w:t>
      </w:r>
    </w:p>
    <w:p w14:paraId="3A79E3F6" w14:textId="77777777" w:rsidR="00261A06" w:rsidRPr="00610B1B" w:rsidRDefault="00261A06" w:rsidP="00D32D6A">
      <w:pPr>
        <w:spacing w:after="120"/>
        <w:ind w:right="-153"/>
        <w:jc w:val="both"/>
        <w:rPr>
          <w:rFonts w:ascii="Times New Roman" w:hAnsi="Times New Roman" w:cs="Times New Roman"/>
          <w:sz w:val="24"/>
          <w:szCs w:val="24"/>
          <w:lang w:val="bg-BG"/>
        </w:rPr>
      </w:pPr>
    </w:p>
    <w:p w14:paraId="323ABAA3" w14:textId="134F68B6" w:rsidR="0082227D" w:rsidRPr="00610B1B" w:rsidRDefault="00620116" w:rsidP="00D32D6A">
      <w:pPr>
        <w:pStyle w:val="Heading3"/>
        <w:spacing w:before="0" w:line="276" w:lineRule="auto"/>
        <w:ind w:right="-153"/>
        <w:rPr>
          <w:rFonts w:cs="Times New Roman"/>
        </w:rPr>
      </w:pPr>
      <w:bookmarkStart w:id="308" w:name="_Toc83391367"/>
      <w:r w:rsidRPr="00610B1B">
        <w:rPr>
          <w:rFonts w:cs="Times New Roman"/>
        </w:rPr>
        <w:t xml:space="preserve">2.3.1. </w:t>
      </w:r>
      <w:r w:rsidR="0082227D" w:rsidRPr="00610B1B">
        <w:rPr>
          <w:rFonts w:cs="Times New Roman"/>
        </w:rPr>
        <w:t>Демография</w:t>
      </w:r>
      <w:bookmarkEnd w:id="308"/>
    </w:p>
    <w:p w14:paraId="11CB3D2D" w14:textId="780E77C1" w:rsidR="0082227D" w:rsidRPr="00610B1B" w:rsidRDefault="003B5D46" w:rsidP="00D32D6A">
      <w:pPr>
        <w:pStyle w:val="Heading4"/>
        <w:spacing w:before="0" w:line="276" w:lineRule="auto"/>
        <w:ind w:right="-153"/>
        <w:rPr>
          <w:rFonts w:cs="Times New Roman"/>
        </w:rPr>
      </w:pPr>
      <w:r w:rsidRPr="00610B1B">
        <w:rPr>
          <w:rFonts w:cs="Times New Roman"/>
        </w:rPr>
        <w:t>2.</w:t>
      </w:r>
      <w:r w:rsidR="00620116" w:rsidRPr="00610B1B">
        <w:rPr>
          <w:rFonts w:cs="Times New Roman"/>
        </w:rPr>
        <w:t>3</w:t>
      </w:r>
      <w:r w:rsidRPr="00610B1B">
        <w:rPr>
          <w:rFonts w:cs="Times New Roman"/>
        </w:rPr>
        <w:t>.</w:t>
      </w:r>
      <w:r w:rsidR="00620116" w:rsidRPr="00610B1B">
        <w:rPr>
          <w:rFonts w:cs="Times New Roman"/>
        </w:rPr>
        <w:t>1</w:t>
      </w:r>
      <w:r w:rsidRPr="00610B1B">
        <w:rPr>
          <w:rFonts w:cs="Times New Roman"/>
        </w:rPr>
        <w:t xml:space="preserve">.1. </w:t>
      </w:r>
      <w:r w:rsidR="0082227D" w:rsidRPr="00610B1B">
        <w:rPr>
          <w:rFonts w:cs="Times New Roman"/>
        </w:rPr>
        <w:t>Брой и възрастова структура на населението</w:t>
      </w:r>
    </w:p>
    <w:p w14:paraId="5AB2ACED" w14:textId="38CD5AD7"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bCs/>
          <w:sz w:val="24"/>
          <w:szCs w:val="24"/>
          <w:lang w:val="bg-BG"/>
        </w:rPr>
        <w:t>Към 31 декември 2018 г. населението на Черноморските общини</w:t>
      </w:r>
      <w:r w:rsidR="00D66FE0" w:rsidRPr="00610B1B">
        <w:rPr>
          <w:rFonts w:ascii="Times New Roman" w:hAnsi="Times New Roman" w:cs="Times New Roman"/>
          <w:b/>
          <w:bCs/>
          <w:sz w:val="24"/>
          <w:szCs w:val="24"/>
          <w:lang w:val="bg-BG"/>
        </w:rPr>
        <w:t xml:space="preserve"> </w:t>
      </w:r>
      <w:r w:rsidRPr="00610B1B">
        <w:rPr>
          <w:rFonts w:ascii="Times New Roman" w:hAnsi="Times New Roman" w:cs="Times New Roman"/>
          <w:b/>
          <w:bCs/>
          <w:sz w:val="24"/>
          <w:szCs w:val="24"/>
          <w:lang w:val="bg-BG"/>
        </w:rPr>
        <w:t xml:space="preserve">е 726 745 души, </w:t>
      </w:r>
      <w:r w:rsidRPr="00610B1B">
        <w:rPr>
          <w:rFonts w:ascii="Times New Roman" w:hAnsi="Times New Roman" w:cs="Times New Roman"/>
          <w:sz w:val="24"/>
          <w:szCs w:val="24"/>
          <w:lang w:val="bg-BG"/>
        </w:rPr>
        <w:t>което предст</w:t>
      </w:r>
      <w:r w:rsidR="0079021B" w:rsidRPr="00610B1B">
        <w:rPr>
          <w:rFonts w:ascii="Times New Roman" w:hAnsi="Times New Roman" w:cs="Times New Roman"/>
          <w:sz w:val="24"/>
          <w:szCs w:val="24"/>
          <w:lang w:val="bg-BG"/>
        </w:rPr>
        <w:t>авлява 10,</w:t>
      </w:r>
      <w:r w:rsidRPr="00610B1B">
        <w:rPr>
          <w:rFonts w:ascii="Times New Roman" w:hAnsi="Times New Roman" w:cs="Times New Roman"/>
          <w:sz w:val="24"/>
          <w:szCs w:val="24"/>
          <w:lang w:val="bg-BG"/>
        </w:rPr>
        <w:t>4% от населението на България. В сравнение с края на 2011 г. населението на морските общини с</w:t>
      </w:r>
      <w:r w:rsidR="0079021B" w:rsidRPr="00610B1B">
        <w:rPr>
          <w:rFonts w:ascii="Times New Roman" w:hAnsi="Times New Roman" w:cs="Times New Roman"/>
          <w:sz w:val="24"/>
          <w:szCs w:val="24"/>
          <w:lang w:val="bg-BG"/>
        </w:rPr>
        <w:t>е увеличава с 264 души, или с 0,</w:t>
      </w:r>
      <w:r w:rsidRPr="00610B1B">
        <w:rPr>
          <w:rFonts w:ascii="Times New Roman" w:hAnsi="Times New Roman" w:cs="Times New Roman"/>
          <w:sz w:val="24"/>
          <w:szCs w:val="24"/>
          <w:lang w:val="bg-BG"/>
        </w:rPr>
        <w:t>04%. През същия период насел</w:t>
      </w:r>
      <w:r w:rsidR="0079021B" w:rsidRPr="00610B1B">
        <w:rPr>
          <w:rFonts w:ascii="Times New Roman" w:hAnsi="Times New Roman" w:cs="Times New Roman"/>
          <w:sz w:val="24"/>
          <w:szCs w:val="24"/>
          <w:lang w:val="bg-BG"/>
        </w:rPr>
        <w:t>ението на страната намалява с 4,</w:t>
      </w:r>
      <w:r w:rsidRPr="00610B1B">
        <w:rPr>
          <w:rFonts w:ascii="Times New Roman" w:hAnsi="Times New Roman" w:cs="Times New Roman"/>
          <w:sz w:val="24"/>
          <w:szCs w:val="24"/>
          <w:lang w:val="bg-BG"/>
        </w:rPr>
        <w:t xml:space="preserve">5%. За 7 години населението нараства в 7 общини, </w:t>
      </w:r>
      <w:r w:rsidR="0079021B" w:rsidRPr="00610B1B">
        <w:rPr>
          <w:rFonts w:ascii="Times New Roman" w:hAnsi="Times New Roman" w:cs="Times New Roman"/>
          <w:sz w:val="24"/>
          <w:szCs w:val="24"/>
          <w:lang w:val="bg-BG"/>
        </w:rPr>
        <w:t xml:space="preserve">от които </w:t>
      </w:r>
      <w:r w:rsidRPr="00610B1B">
        <w:rPr>
          <w:rFonts w:ascii="Times New Roman" w:hAnsi="Times New Roman" w:cs="Times New Roman"/>
          <w:sz w:val="24"/>
          <w:szCs w:val="24"/>
          <w:lang w:val="bg-BG"/>
        </w:rPr>
        <w:t>по-значително се увеличава в общините Несебър (4</w:t>
      </w:r>
      <w:r w:rsidR="003B5D46"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734 д.)</w:t>
      </w:r>
      <w:r w:rsidR="003B5D46"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Варна (1</w:t>
      </w:r>
      <w:r w:rsidR="00261A06"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726</w:t>
      </w:r>
      <w:r w:rsidR="00261A06" w:rsidRPr="00610B1B">
        <w:rPr>
          <w:rFonts w:ascii="Times New Roman" w:hAnsi="Times New Roman" w:cs="Times New Roman"/>
          <w:sz w:val="24"/>
          <w:szCs w:val="24"/>
          <w:lang w:val="en-US"/>
        </w:rPr>
        <w:t> </w:t>
      </w:r>
      <w:r w:rsidRPr="00610B1B">
        <w:rPr>
          <w:rFonts w:ascii="Times New Roman" w:hAnsi="Times New Roman" w:cs="Times New Roman"/>
          <w:sz w:val="24"/>
          <w:szCs w:val="24"/>
          <w:lang w:val="bg-BG"/>
        </w:rPr>
        <w:t>д.) и Аврен (520 д.). С големи темпове е намалението на населението в общините Шабла и Каварна, до</w:t>
      </w:r>
      <w:r w:rsidR="0079021B" w:rsidRPr="00610B1B">
        <w:rPr>
          <w:rFonts w:ascii="Times New Roman" w:hAnsi="Times New Roman" w:cs="Times New Roman"/>
          <w:sz w:val="24"/>
          <w:szCs w:val="24"/>
          <w:lang w:val="bg-BG"/>
        </w:rPr>
        <w:t>като в община Поморие е минус 1,</w:t>
      </w:r>
      <w:r w:rsidRPr="00610B1B">
        <w:rPr>
          <w:rFonts w:ascii="Times New Roman" w:hAnsi="Times New Roman" w:cs="Times New Roman"/>
          <w:sz w:val="24"/>
          <w:szCs w:val="24"/>
          <w:lang w:val="bg-BG"/>
        </w:rPr>
        <w:t xml:space="preserve">1%. </w:t>
      </w:r>
    </w:p>
    <w:p w14:paraId="173A34D2" w14:textId="313B1B90" w:rsidR="003B5D46" w:rsidRPr="00610B1B" w:rsidRDefault="00E57141" w:rsidP="00E37053">
      <w:pPr>
        <w:spacing w:after="70" w:line="240" w:lineRule="auto"/>
        <w:ind w:right="-153"/>
        <w:jc w:val="both"/>
        <w:rPr>
          <w:rFonts w:ascii="Times New Roman" w:eastAsia="Lohit Devanagari" w:hAnsi="Times New Roman" w:cs="Times New Roman"/>
          <w:color w:val="00000A"/>
          <w:sz w:val="24"/>
          <w:szCs w:val="24"/>
          <w:lang w:val="bg-BG" w:eastAsia="ar-SA" w:bidi="hi-IN"/>
        </w:rPr>
      </w:pPr>
      <w:bookmarkStart w:id="309" w:name="_Toc83391600"/>
      <w:r w:rsidRPr="00610B1B">
        <w:rPr>
          <w:rFonts w:ascii="Times New Roman" w:eastAsia="Lohit Devanagari" w:hAnsi="Times New Roman" w:cs="Times New Roman"/>
          <w:color w:val="00000A"/>
          <w:sz w:val="24"/>
          <w:szCs w:val="24"/>
          <w:lang w:val="bg-BG" w:eastAsia="ar-SA" w:bidi="hi-IN"/>
        </w:rPr>
        <w:t xml:space="preserve">Таблица </w:t>
      </w:r>
      <w:r w:rsidRPr="00610B1B">
        <w:rPr>
          <w:rFonts w:ascii="Times New Roman" w:eastAsia="Lohit Devanagari" w:hAnsi="Times New Roman" w:cs="Times New Roman"/>
          <w:color w:val="00000A"/>
          <w:sz w:val="24"/>
          <w:szCs w:val="24"/>
          <w:lang w:val="bg-BG" w:eastAsia="ar-SA" w:bidi="hi-IN"/>
        </w:rPr>
        <w:fldChar w:fldCharType="begin"/>
      </w:r>
      <w:r w:rsidRPr="00610B1B">
        <w:rPr>
          <w:rFonts w:ascii="Times New Roman" w:eastAsia="Lohit Devanagari" w:hAnsi="Times New Roman" w:cs="Times New Roman"/>
          <w:color w:val="00000A"/>
          <w:sz w:val="24"/>
          <w:szCs w:val="24"/>
          <w:lang w:val="bg-BG" w:eastAsia="ar-SA" w:bidi="hi-IN"/>
        </w:rPr>
        <w:instrText xml:space="preserve"> SEQ Таблица \* ARABIC </w:instrText>
      </w:r>
      <w:r w:rsidRPr="00610B1B">
        <w:rPr>
          <w:rFonts w:ascii="Times New Roman" w:eastAsia="Lohit Devanagari" w:hAnsi="Times New Roman" w:cs="Times New Roman"/>
          <w:color w:val="00000A"/>
          <w:sz w:val="24"/>
          <w:szCs w:val="24"/>
          <w:lang w:val="bg-BG" w:eastAsia="ar-SA" w:bidi="hi-IN"/>
        </w:rPr>
        <w:fldChar w:fldCharType="separate"/>
      </w:r>
      <w:r w:rsidR="00260629" w:rsidRPr="00610B1B">
        <w:rPr>
          <w:rFonts w:ascii="Times New Roman" w:eastAsia="Lohit Devanagari" w:hAnsi="Times New Roman" w:cs="Times New Roman"/>
          <w:noProof/>
          <w:color w:val="00000A"/>
          <w:sz w:val="24"/>
          <w:szCs w:val="24"/>
          <w:lang w:val="bg-BG" w:eastAsia="ar-SA" w:bidi="hi-IN"/>
        </w:rPr>
        <w:t>4</w:t>
      </w:r>
      <w:r w:rsidRPr="00610B1B">
        <w:rPr>
          <w:rFonts w:ascii="Times New Roman" w:eastAsia="Lohit Devanagari" w:hAnsi="Times New Roman" w:cs="Times New Roman"/>
          <w:color w:val="00000A"/>
          <w:sz w:val="24"/>
          <w:szCs w:val="24"/>
          <w:lang w:val="bg-BG" w:eastAsia="ar-SA" w:bidi="hi-IN"/>
        </w:rPr>
        <w:fldChar w:fldCharType="end"/>
      </w:r>
      <w:r w:rsidRPr="00610B1B">
        <w:rPr>
          <w:rFonts w:ascii="Times New Roman" w:eastAsia="Lohit Devanagari" w:hAnsi="Times New Roman" w:cs="Times New Roman"/>
          <w:color w:val="00000A"/>
          <w:sz w:val="24"/>
          <w:szCs w:val="24"/>
          <w:lang w:val="bg-BG" w:eastAsia="ar-SA" w:bidi="hi-IN"/>
        </w:rPr>
        <w:t xml:space="preserve">: </w:t>
      </w:r>
      <w:r w:rsidR="003B5D46" w:rsidRPr="00610B1B">
        <w:rPr>
          <w:rFonts w:ascii="Times New Roman" w:eastAsia="Lohit Devanagari" w:hAnsi="Times New Roman" w:cs="Times New Roman"/>
          <w:color w:val="00000A"/>
          <w:sz w:val="24"/>
          <w:szCs w:val="24"/>
          <w:lang w:val="bg-BG" w:eastAsia="ar-SA" w:bidi="hi-IN"/>
        </w:rPr>
        <w:t>Население в Черноморските общини 2011-2018 г.</w:t>
      </w:r>
      <w:bookmarkEnd w:id="309"/>
    </w:p>
    <w:tbl>
      <w:tblPr>
        <w:tblW w:w="6739" w:type="dxa"/>
        <w:tblInd w:w="60" w:type="dxa"/>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2105"/>
        <w:gridCol w:w="1132"/>
        <w:gridCol w:w="1132"/>
        <w:gridCol w:w="1059"/>
        <w:gridCol w:w="1311"/>
      </w:tblGrid>
      <w:tr w:rsidR="0082227D" w:rsidRPr="00C717D0" w14:paraId="1D6C9A06" w14:textId="77777777" w:rsidTr="001E3FED">
        <w:trPr>
          <w:trHeight w:val="255"/>
          <w:tblHeader/>
        </w:trPr>
        <w:tc>
          <w:tcPr>
            <w:tcW w:w="2105" w:type="dxa"/>
            <w:vMerge w:val="restart"/>
            <w:shd w:val="clear" w:color="auto" w:fill="C6D9F1" w:themeFill="text2" w:themeFillTint="33"/>
            <w:noWrap/>
            <w:vAlign w:val="center"/>
          </w:tcPr>
          <w:p w14:paraId="0504D005" w14:textId="77777777" w:rsidR="0082227D" w:rsidRPr="00610B1B" w:rsidRDefault="0082227D" w:rsidP="00D32D6A">
            <w:pPr>
              <w:spacing w:after="0" w:line="240" w:lineRule="auto"/>
              <w:jc w:val="center"/>
              <w:rPr>
                <w:rFonts w:ascii="Times New Roman" w:hAnsi="Times New Roman" w:cs="Times New Roman"/>
                <w:b/>
                <w:bCs/>
                <w:lang w:val="bg-BG"/>
              </w:rPr>
            </w:pPr>
            <w:r w:rsidRPr="00610B1B">
              <w:rPr>
                <w:rFonts w:ascii="Times New Roman" w:hAnsi="Times New Roman" w:cs="Times New Roman"/>
                <w:b/>
                <w:bCs/>
                <w:lang w:val="bg-BG"/>
              </w:rPr>
              <w:t>Общини</w:t>
            </w:r>
          </w:p>
        </w:tc>
        <w:tc>
          <w:tcPr>
            <w:tcW w:w="4634" w:type="dxa"/>
            <w:gridSpan w:val="4"/>
            <w:shd w:val="clear" w:color="auto" w:fill="C6D9F1" w:themeFill="text2" w:themeFillTint="33"/>
            <w:noWrap/>
            <w:vAlign w:val="bottom"/>
          </w:tcPr>
          <w:p w14:paraId="24AD0A30" w14:textId="77777777" w:rsidR="0082227D" w:rsidRPr="00610B1B" w:rsidRDefault="0082227D" w:rsidP="00D32D6A">
            <w:pPr>
              <w:spacing w:after="0" w:line="240" w:lineRule="auto"/>
              <w:jc w:val="center"/>
              <w:rPr>
                <w:rFonts w:ascii="Times New Roman" w:hAnsi="Times New Roman" w:cs="Times New Roman"/>
                <w:b/>
                <w:bCs/>
                <w:lang w:val="bg-BG"/>
              </w:rPr>
            </w:pPr>
            <w:r w:rsidRPr="00610B1B">
              <w:rPr>
                <w:rFonts w:ascii="Times New Roman" w:hAnsi="Times New Roman" w:cs="Times New Roman"/>
                <w:b/>
                <w:bCs/>
                <w:lang w:val="bg-BG"/>
              </w:rPr>
              <w:t xml:space="preserve">Население по текуща статистика към 31.12. </w:t>
            </w:r>
          </w:p>
        </w:tc>
      </w:tr>
      <w:tr w:rsidR="0082227D" w:rsidRPr="00610B1B" w14:paraId="08D158C9" w14:textId="77777777" w:rsidTr="001E3FED">
        <w:trPr>
          <w:trHeight w:val="167"/>
          <w:tblHeader/>
        </w:trPr>
        <w:tc>
          <w:tcPr>
            <w:tcW w:w="2105" w:type="dxa"/>
            <w:vMerge/>
            <w:shd w:val="clear" w:color="auto" w:fill="C6D9F1" w:themeFill="text2" w:themeFillTint="33"/>
            <w:vAlign w:val="center"/>
          </w:tcPr>
          <w:p w14:paraId="6A5D8FB3" w14:textId="77777777" w:rsidR="0082227D" w:rsidRPr="00610B1B" w:rsidRDefault="0082227D" w:rsidP="00D32D6A">
            <w:pPr>
              <w:spacing w:after="0" w:line="240" w:lineRule="auto"/>
              <w:rPr>
                <w:rFonts w:ascii="Times New Roman" w:hAnsi="Times New Roman" w:cs="Times New Roman"/>
                <w:b/>
                <w:bCs/>
                <w:lang w:val="bg-BG"/>
              </w:rPr>
            </w:pPr>
          </w:p>
        </w:tc>
        <w:tc>
          <w:tcPr>
            <w:tcW w:w="1132" w:type="dxa"/>
            <w:shd w:val="clear" w:color="auto" w:fill="C6D9F1" w:themeFill="text2" w:themeFillTint="33"/>
            <w:noWrap/>
            <w:vAlign w:val="center"/>
          </w:tcPr>
          <w:p w14:paraId="225EB6B9" w14:textId="77777777" w:rsidR="0082227D" w:rsidRPr="00610B1B" w:rsidRDefault="0082227D" w:rsidP="001757A5">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2011</w:t>
            </w:r>
          </w:p>
        </w:tc>
        <w:tc>
          <w:tcPr>
            <w:tcW w:w="1132" w:type="dxa"/>
            <w:shd w:val="clear" w:color="auto" w:fill="C6D9F1" w:themeFill="text2" w:themeFillTint="33"/>
            <w:noWrap/>
            <w:vAlign w:val="center"/>
          </w:tcPr>
          <w:p w14:paraId="269491E1" w14:textId="77777777" w:rsidR="0082227D" w:rsidRPr="00610B1B" w:rsidRDefault="0082227D" w:rsidP="001757A5">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2018</w:t>
            </w:r>
          </w:p>
        </w:tc>
        <w:tc>
          <w:tcPr>
            <w:tcW w:w="2370" w:type="dxa"/>
            <w:gridSpan w:val="2"/>
            <w:shd w:val="clear" w:color="auto" w:fill="C6D9F1" w:themeFill="text2" w:themeFillTint="33"/>
            <w:noWrap/>
            <w:vAlign w:val="center"/>
          </w:tcPr>
          <w:p w14:paraId="2CAD20D5" w14:textId="77777777" w:rsidR="0082227D" w:rsidRPr="00610B1B" w:rsidRDefault="0082227D" w:rsidP="00D32D6A">
            <w:pPr>
              <w:spacing w:after="0" w:line="240" w:lineRule="auto"/>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Прираст 2018/2011</w:t>
            </w:r>
          </w:p>
        </w:tc>
      </w:tr>
      <w:tr w:rsidR="0082227D" w:rsidRPr="00610B1B" w14:paraId="6DB3BBDB" w14:textId="77777777" w:rsidTr="001E3FED">
        <w:trPr>
          <w:trHeight w:val="85"/>
          <w:tblHeader/>
        </w:trPr>
        <w:tc>
          <w:tcPr>
            <w:tcW w:w="2105" w:type="dxa"/>
            <w:vMerge/>
            <w:shd w:val="clear" w:color="auto" w:fill="C6D9F1" w:themeFill="text2" w:themeFillTint="33"/>
            <w:vAlign w:val="center"/>
          </w:tcPr>
          <w:p w14:paraId="6247BC7B" w14:textId="77777777" w:rsidR="0082227D" w:rsidRPr="00610B1B" w:rsidRDefault="0082227D" w:rsidP="00D32D6A">
            <w:pPr>
              <w:spacing w:after="0" w:line="240" w:lineRule="auto"/>
              <w:rPr>
                <w:rFonts w:ascii="Times New Roman" w:hAnsi="Times New Roman" w:cs="Times New Roman"/>
                <w:b/>
                <w:bCs/>
                <w:lang w:val="bg-BG"/>
              </w:rPr>
            </w:pPr>
          </w:p>
        </w:tc>
        <w:tc>
          <w:tcPr>
            <w:tcW w:w="1132" w:type="dxa"/>
            <w:shd w:val="clear" w:color="auto" w:fill="C6D9F1" w:themeFill="text2" w:themeFillTint="33"/>
            <w:noWrap/>
            <w:vAlign w:val="bottom"/>
          </w:tcPr>
          <w:p w14:paraId="7516B3FD" w14:textId="77777777" w:rsidR="0082227D" w:rsidRPr="00610B1B" w:rsidRDefault="0082227D" w:rsidP="001757A5">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брой</w:t>
            </w:r>
          </w:p>
        </w:tc>
        <w:tc>
          <w:tcPr>
            <w:tcW w:w="1132" w:type="dxa"/>
            <w:shd w:val="clear" w:color="auto" w:fill="C6D9F1" w:themeFill="text2" w:themeFillTint="33"/>
            <w:noWrap/>
            <w:vAlign w:val="bottom"/>
          </w:tcPr>
          <w:p w14:paraId="0303F40A" w14:textId="77777777" w:rsidR="0082227D" w:rsidRPr="00610B1B" w:rsidRDefault="0082227D" w:rsidP="001757A5">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брой</w:t>
            </w:r>
          </w:p>
        </w:tc>
        <w:tc>
          <w:tcPr>
            <w:tcW w:w="1059" w:type="dxa"/>
            <w:shd w:val="clear" w:color="auto" w:fill="C6D9F1" w:themeFill="text2" w:themeFillTint="33"/>
            <w:noWrap/>
            <w:vAlign w:val="bottom"/>
          </w:tcPr>
          <w:p w14:paraId="49B5D250" w14:textId="11ABDF1A" w:rsidR="0082227D" w:rsidRPr="00610B1B" w:rsidRDefault="0082227D" w:rsidP="001757A5">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брой</w:t>
            </w:r>
          </w:p>
        </w:tc>
        <w:tc>
          <w:tcPr>
            <w:tcW w:w="1311" w:type="dxa"/>
            <w:shd w:val="clear" w:color="auto" w:fill="C6D9F1" w:themeFill="text2" w:themeFillTint="33"/>
            <w:noWrap/>
            <w:vAlign w:val="bottom"/>
          </w:tcPr>
          <w:p w14:paraId="5F52271F" w14:textId="099AA418" w:rsidR="0082227D" w:rsidRPr="00610B1B" w:rsidRDefault="0082227D" w:rsidP="001757A5">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w:t>
            </w:r>
          </w:p>
        </w:tc>
      </w:tr>
      <w:tr w:rsidR="0082227D" w:rsidRPr="00610B1B" w14:paraId="6CEC80C2" w14:textId="77777777" w:rsidTr="001E3FED">
        <w:trPr>
          <w:trHeight w:val="255"/>
        </w:trPr>
        <w:tc>
          <w:tcPr>
            <w:tcW w:w="2105" w:type="dxa"/>
            <w:shd w:val="clear" w:color="auto" w:fill="auto"/>
            <w:noWrap/>
            <w:vAlign w:val="bottom"/>
          </w:tcPr>
          <w:p w14:paraId="233ABA78" w14:textId="77777777" w:rsidR="0082227D" w:rsidRPr="00610B1B" w:rsidRDefault="0082227D" w:rsidP="00D32D6A">
            <w:pPr>
              <w:spacing w:after="0" w:line="240" w:lineRule="auto"/>
              <w:rPr>
                <w:rFonts w:ascii="Times New Roman" w:hAnsi="Times New Roman" w:cs="Times New Roman"/>
                <w:b/>
                <w:bCs/>
                <w:lang w:val="bg-BG"/>
              </w:rPr>
            </w:pPr>
            <w:r w:rsidRPr="00610B1B">
              <w:rPr>
                <w:rFonts w:ascii="Times New Roman" w:hAnsi="Times New Roman" w:cs="Times New Roman"/>
                <w:b/>
                <w:bCs/>
                <w:lang w:val="bg-BG"/>
              </w:rPr>
              <w:t>Общо за страната</w:t>
            </w:r>
          </w:p>
        </w:tc>
        <w:tc>
          <w:tcPr>
            <w:tcW w:w="1132" w:type="dxa"/>
            <w:shd w:val="clear" w:color="auto" w:fill="auto"/>
            <w:noWrap/>
            <w:vAlign w:val="bottom"/>
          </w:tcPr>
          <w:p w14:paraId="1F105574" w14:textId="1197A3EB" w:rsidR="0082227D" w:rsidRPr="00610B1B" w:rsidRDefault="0082227D"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7</w:t>
            </w:r>
            <w:r w:rsidR="003B5D46" w:rsidRPr="00610B1B">
              <w:rPr>
                <w:rFonts w:ascii="Times New Roman" w:hAnsi="Times New Roman" w:cs="Times New Roman"/>
                <w:b/>
                <w:bCs/>
                <w:lang w:val="bg-BG"/>
              </w:rPr>
              <w:t> </w:t>
            </w:r>
            <w:r w:rsidRPr="00610B1B">
              <w:rPr>
                <w:rFonts w:ascii="Times New Roman" w:hAnsi="Times New Roman" w:cs="Times New Roman"/>
                <w:b/>
                <w:bCs/>
                <w:lang w:val="bg-BG"/>
              </w:rPr>
              <w:t>327</w:t>
            </w:r>
            <w:r w:rsidR="003B5D46" w:rsidRPr="00610B1B">
              <w:rPr>
                <w:rFonts w:ascii="Times New Roman" w:hAnsi="Times New Roman" w:cs="Times New Roman"/>
                <w:b/>
                <w:bCs/>
                <w:lang w:val="bg-BG"/>
              </w:rPr>
              <w:t> </w:t>
            </w:r>
            <w:r w:rsidRPr="00610B1B">
              <w:rPr>
                <w:rFonts w:ascii="Times New Roman" w:hAnsi="Times New Roman" w:cs="Times New Roman"/>
                <w:b/>
                <w:bCs/>
                <w:lang w:val="bg-BG"/>
              </w:rPr>
              <w:t>224</w:t>
            </w:r>
          </w:p>
        </w:tc>
        <w:tc>
          <w:tcPr>
            <w:tcW w:w="1132" w:type="dxa"/>
            <w:shd w:val="clear" w:color="auto" w:fill="auto"/>
            <w:noWrap/>
            <w:vAlign w:val="bottom"/>
          </w:tcPr>
          <w:p w14:paraId="50AAFE09" w14:textId="1683F705" w:rsidR="0082227D" w:rsidRPr="00610B1B" w:rsidRDefault="0082227D" w:rsidP="00D32D6A">
            <w:pPr>
              <w:spacing w:after="0" w:line="240" w:lineRule="auto"/>
              <w:jc w:val="right"/>
              <w:rPr>
                <w:rFonts w:ascii="Times New Roman" w:hAnsi="Times New Roman" w:cs="Times New Roman"/>
                <w:b/>
                <w:bCs/>
                <w:color w:val="000000"/>
                <w:lang w:val="bg-BG"/>
              </w:rPr>
            </w:pPr>
            <w:r w:rsidRPr="00610B1B">
              <w:rPr>
                <w:rFonts w:ascii="Times New Roman" w:hAnsi="Times New Roman" w:cs="Times New Roman"/>
                <w:b/>
                <w:bCs/>
                <w:color w:val="000000"/>
                <w:lang w:val="bg-BG"/>
              </w:rPr>
              <w:t>7</w:t>
            </w:r>
            <w:r w:rsidR="003B5D46" w:rsidRPr="00610B1B">
              <w:rPr>
                <w:rFonts w:ascii="Times New Roman" w:hAnsi="Times New Roman" w:cs="Times New Roman"/>
                <w:b/>
                <w:bCs/>
                <w:color w:val="000000"/>
                <w:lang w:val="bg-BG"/>
              </w:rPr>
              <w:t> </w:t>
            </w:r>
            <w:r w:rsidRPr="00610B1B">
              <w:rPr>
                <w:rFonts w:ascii="Times New Roman" w:hAnsi="Times New Roman" w:cs="Times New Roman"/>
                <w:b/>
                <w:bCs/>
                <w:color w:val="000000"/>
                <w:lang w:val="bg-BG"/>
              </w:rPr>
              <w:t>000</w:t>
            </w:r>
            <w:r w:rsidR="003B5D46" w:rsidRPr="00610B1B">
              <w:rPr>
                <w:rFonts w:ascii="Times New Roman" w:hAnsi="Times New Roman" w:cs="Times New Roman"/>
                <w:b/>
                <w:bCs/>
                <w:color w:val="000000"/>
                <w:lang w:val="bg-BG"/>
              </w:rPr>
              <w:t> </w:t>
            </w:r>
            <w:r w:rsidRPr="00610B1B">
              <w:rPr>
                <w:rFonts w:ascii="Times New Roman" w:hAnsi="Times New Roman" w:cs="Times New Roman"/>
                <w:b/>
                <w:bCs/>
                <w:color w:val="000000"/>
                <w:lang w:val="bg-BG"/>
              </w:rPr>
              <w:t>039</w:t>
            </w:r>
          </w:p>
        </w:tc>
        <w:tc>
          <w:tcPr>
            <w:tcW w:w="1059" w:type="dxa"/>
            <w:shd w:val="clear" w:color="auto" w:fill="auto"/>
            <w:noWrap/>
            <w:vAlign w:val="bottom"/>
          </w:tcPr>
          <w:p w14:paraId="4AE07044" w14:textId="123AEAF8" w:rsidR="0082227D" w:rsidRPr="00610B1B" w:rsidRDefault="0082227D" w:rsidP="00D32D6A">
            <w:pPr>
              <w:spacing w:after="0" w:line="240" w:lineRule="auto"/>
              <w:jc w:val="right"/>
              <w:rPr>
                <w:rFonts w:ascii="Times New Roman" w:hAnsi="Times New Roman" w:cs="Times New Roman"/>
                <w:b/>
                <w:lang w:val="bg-BG"/>
              </w:rPr>
            </w:pPr>
            <w:r w:rsidRPr="00610B1B">
              <w:rPr>
                <w:rFonts w:ascii="Times New Roman" w:hAnsi="Times New Roman" w:cs="Times New Roman"/>
                <w:b/>
                <w:lang w:val="bg-BG"/>
              </w:rPr>
              <w:t>-327</w:t>
            </w:r>
            <w:r w:rsidR="006F7DAF" w:rsidRPr="00610B1B">
              <w:rPr>
                <w:rFonts w:ascii="Times New Roman" w:hAnsi="Times New Roman" w:cs="Times New Roman"/>
                <w:b/>
                <w:lang w:val="bg-BG"/>
              </w:rPr>
              <w:t xml:space="preserve"> </w:t>
            </w:r>
            <w:r w:rsidRPr="00610B1B">
              <w:rPr>
                <w:rFonts w:ascii="Times New Roman" w:hAnsi="Times New Roman" w:cs="Times New Roman"/>
                <w:b/>
                <w:lang w:val="bg-BG"/>
              </w:rPr>
              <w:t>185</w:t>
            </w:r>
          </w:p>
        </w:tc>
        <w:tc>
          <w:tcPr>
            <w:tcW w:w="1311" w:type="dxa"/>
            <w:shd w:val="clear" w:color="auto" w:fill="auto"/>
            <w:noWrap/>
            <w:vAlign w:val="bottom"/>
          </w:tcPr>
          <w:p w14:paraId="1F3FC81B" w14:textId="77777777" w:rsidR="0082227D" w:rsidRPr="00610B1B" w:rsidRDefault="0082227D" w:rsidP="00D32D6A">
            <w:pPr>
              <w:spacing w:after="0" w:line="240" w:lineRule="auto"/>
              <w:jc w:val="right"/>
              <w:rPr>
                <w:rFonts w:ascii="Times New Roman" w:hAnsi="Times New Roman" w:cs="Times New Roman"/>
                <w:b/>
                <w:lang w:val="bg-BG"/>
              </w:rPr>
            </w:pPr>
            <w:r w:rsidRPr="00610B1B">
              <w:rPr>
                <w:rFonts w:ascii="Times New Roman" w:hAnsi="Times New Roman" w:cs="Times New Roman"/>
                <w:b/>
                <w:lang w:val="bg-BG"/>
              </w:rPr>
              <w:t>-4,5</w:t>
            </w:r>
          </w:p>
        </w:tc>
      </w:tr>
      <w:tr w:rsidR="0082227D" w:rsidRPr="00610B1B" w14:paraId="3C9251A1" w14:textId="77777777" w:rsidTr="001E3FED">
        <w:trPr>
          <w:trHeight w:val="255"/>
        </w:trPr>
        <w:tc>
          <w:tcPr>
            <w:tcW w:w="2105" w:type="dxa"/>
            <w:shd w:val="clear" w:color="auto" w:fill="auto"/>
            <w:noWrap/>
            <w:vAlign w:val="bottom"/>
          </w:tcPr>
          <w:p w14:paraId="48148138" w14:textId="77777777" w:rsidR="0082227D" w:rsidRPr="00610B1B" w:rsidRDefault="0082227D" w:rsidP="00D32D6A">
            <w:pPr>
              <w:spacing w:after="0" w:line="240" w:lineRule="auto"/>
              <w:rPr>
                <w:rFonts w:ascii="Times New Roman" w:hAnsi="Times New Roman" w:cs="Times New Roman"/>
                <w:b/>
                <w:bCs/>
                <w:lang w:val="bg-BG"/>
              </w:rPr>
            </w:pPr>
            <w:r w:rsidRPr="00610B1B">
              <w:rPr>
                <w:rFonts w:ascii="Times New Roman" w:hAnsi="Times New Roman" w:cs="Times New Roman"/>
                <w:b/>
                <w:bCs/>
                <w:lang w:val="bg-BG"/>
              </w:rPr>
              <w:t xml:space="preserve">Черноморски </w:t>
            </w:r>
          </w:p>
        </w:tc>
        <w:tc>
          <w:tcPr>
            <w:tcW w:w="1132" w:type="dxa"/>
            <w:shd w:val="clear" w:color="auto" w:fill="auto"/>
            <w:noWrap/>
            <w:vAlign w:val="bottom"/>
          </w:tcPr>
          <w:p w14:paraId="55AE2D2A" w14:textId="01781C88" w:rsidR="0082227D" w:rsidRPr="00610B1B" w:rsidRDefault="0082227D" w:rsidP="00D32D6A">
            <w:pPr>
              <w:spacing w:after="0" w:line="240" w:lineRule="auto"/>
              <w:jc w:val="right"/>
              <w:rPr>
                <w:rFonts w:ascii="Times New Roman" w:hAnsi="Times New Roman" w:cs="Times New Roman"/>
                <w:b/>
                <w:lang w:val="bg-BG"/>
              </w:rPr>
            </w:pPr>
            <w:r w:rsidRPr="00610B1B">
              <w:rPr>
                <w:rFonts w:ascii="Times New Roman" w:hAnsi="Times New Roman" w:cs="Times New Roman"/>
                <w:b/>
                <w:lang w:val="bg-BG"/>
              </w:rPr>
              <w:t>726</w:t>
            </w:r>
            <w:r w:rsidR="003B5D46" w:rsidRPr="00610B1B">
              <w:rPr>
                <w:rFonts w:ascii="Times New Roman" w:hAnsi="Times New Roman" w:cs="Times New Roman"/>
                <w:b/>
                <w:lang w:val="bg-BG"/>
              </w:rPr>
              <w:t> </w:t>
            </w:r>
            <w:r w:rsidRPr="00610B1B">
              <w:rPr>
                <w:rFonts w:ascii="Times New Roman" w:hAnsi="Times New Roman" w:cs="Times New Roman"/>
                <w:b/>
                <w:lang w:val="bg-BG"/>
              </w:rPr>
              <w:t>481</w:t>
            </w:r>
          </w:p>
        </w:tc>
        <w:tc>
          <w:tcPr>
            <w:tcW w:w="1132" w:type="dxa"/>
            <w:shd w:val="clear" w:color="auto" w:fill="auto"/>
            <w:noWrap/>
            <w:vAlign w:val="bottom"/>
          </w:tcPr>
          <w:p w14:paraId="16078CB6" w14:textId="5FA839FB" w:rsidR="0082227D" w:rsidRPr="00610B1B" w:rsidRDefault="0082227D" w:rsidP="00D32D6A">
            <w:pPr>
              <w:spacing w:after="0" w:line="240" w:lineRule="auto"/>
              <w:jc w:val="right"/>
              <w:rPr>
                <w:rFonts w:ascii="Times New Roman" w:hAnsi="Times New Roman" w:cs="Times New Roman"/>
                <w:b/>
                <w:lang w:val="bg-BG"/>
              </w:rPr>
            </w:pPr>
            <w:r w:rsidRPr="00610B1B">
              <w:rPr>
                <w:rFonts w:ascii="Times New Roman" w:hAnsi="Times New Roman" w:cs="Times New Roman"/>
                <w:b/>
                <w:lang w:val="bg-BG"/>
              </w:rPr>
              <w:t>726</w:t>
            </w:r>
            <w:r w:rsidR="003B5D46" w:rsidRPr="00610B1B">
              <w:rPr>
                <w:rFonts w:ascii="Times New Roman" w:hAnsi="Times New Roman" w:cs="Times New Roman"/>
                <w:b/>
                <w:lang w:val="bg-BG"/>
              </w:rPr>
              <w:t> </w:t>
            </w:r>
            <w:r w:rsidRPr="00610B1B">
              <w:rPr>
                <w:rFonts w:ascii="Times New Roman" w:hAnsi="Times New Roman" w:cs="Times New Roman"/>
                <w:b/>
                <w:lang w:val="bg-BG"/>
              </w:rPr>
              <w:t>745</w:t>
            </w:r>
          </w:p>
        </w:tc>
        <w:tc>
          <w:tcPr>
            <w:tcW w:w="1059" w:type="dxa"/>
            <w:shd w:val="clear" w:color="auto" w:fill="auto"/>
            <w:noWrap/>
            <w:vAlign w:val="bottom"/>
          </w:tcPr>
          <w:p w14:paraId="3AADDD89" w14:textId="77777777" w:rsidR="0082227D" w:rsidRPr="00610B1B" w:rsidRDefault="0082227D" w:rsidP="00D32D6A">
            <w:pPr>
              <w:spacing w:after="0" w:line="240" w:lineRule="auto"/>
              <w:jc w:val="right"/>
              <w:rPr>
                <w:rFonts w:ascii="Times New Roman" w:hAnsi="Times New Roman" w:cs="Times New Roman"/>
                <w:b/>
                <w:lang w:val="bg-BG"/>
              </w:rPr>
            </w:pPr>
            <w:r w:rsidRPr="00610B1B">
              <w:rPr>
                <w:rFonts w:ascii="Times New Roman" w:hAnsi="Times New Roman" w:cs="Times New Roman"/>
                <w:b/>
                <w:lang w:val="bg-BG"/>
              </w:rPr>
              <w:t>264</w:t>
            </w:r>
          </w:p>
        </w:tc>
        <w:tc>
          <w:tcPr>
            <w:tcW w:w="1311" w:type="dxa"/>
            <w:shd w:val="clear" w:color="auto" w:fill="auto"/>
            <w:noWrap/>
            <w:vAlign w:val="bottom"/>
          </w:tcPr>
          <w:p w14:paraId="3B18AC2F" w14:textId="77777777" w:rsidR="0082227D" w:rsidRPr="00610B1B" w:rsidRDefault="0082227D" w:rsidP="00D32D6A">
            <w:pPr>
              <w:spacing w:after="0" w:line="240" w:lineRule="auto"/>
              <w:jc w:val="right"/>
              <w:rPr>
                <w:rFonts w:ascii="Times New Roman" w:hAnsi="Times New Roman" w:cs="Times New Roman"/>
                <w:b/>
                <w:lang w:val="bg-BG"/>
              </w:rPr>
            </w:pPr>
            <w:r w:rsidRPr="00610B1B">
              <w:rPr>
                <w:rFonts w:ascii="Times New Roman" w:hAnsi="Times New Roman" w:cs="Times New Roman"/>
                <w:b/>
                <w:lang w:val="bg-BG"/>
              </w:rPr>
              <w:t>0,04</w:t>
            </w:r>
          </w:p>
        </w:tc>
      </w:tr>
      <w:tr w:rsidR="0082227D" w:rsidRPr="00610B1B" w14:paraId="41E57F97" w14:textId="77777777" w:rsidTr="001E3FED">
        <w:trPr>
          <w:trHeight w:val="255"/>
        </w:trPr>
        <w:tc>
          <w:tcPr>
            <w:tcW w:w="2105" w:type="dxa"/>
            <w:shd w:val="clear" w:color="auto" w:fill="auto"/>
            <w:noWrap/>
            <w:vAlign w:val="bottom"/>
          </w:tcPr>
          <w:p w14:paraId="54525D10"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Шабла</w:t>
            </w:r>
          </w:p>
        </w:tc>
        <w:tc>
          <w:tcPr>
            <w:tcW w:w="1132" w:type="dxa"/>
            <w:shd w:val="clear" w:color="auto" w:fill="auto"/>
            <w:noWrap/>
            <w:vAlign w:val="bottom"/>
          </w:tcPr>
          <w:p w14:paraId="76C904E7" w14:textId="0F0D0C8E"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995</w:t>
            </w:r>
          </w:p>
        </w:tc>
        <w:tc>
          <w:tcPr>
            <w:tcW w:w="1132" w:type="dxa"/>
            <w:shd w:val="clear" w:color="auto" w:fill="auto"/>
            <w:noWrap/>
            <w:vAlign w:val="bottom"/>
          </w:tcPr>
          <w:p w14:paraId="18CE06CF" w14:textId="46CB5056"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367</w:t>
            </w:r>
          </w:p>
        </w:tc>
        <w:tc>
          <w:tcPr>
            <w:tcW w:w="1059" w:type="dxa"/>
            <w:shd w:val="clear" w:color="auto" w:fill="auto"/>
            <w:noWrap/>
            <w:vAlign w:val="bottom"/>
          </w:tcPr>
          <w:p w14:paraId="32E7F47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-628</w:t>
            </w:r>
          </w:p>
        </w:tc>
        <w:tc>
          <w:tcPr>
            <w:tcW w:w="1311" w:type="dxa"/>
            <w:shd w:val="clear" w:color="auto" w:fill="auto"/>
            <w:noWrap/>
            <w:vAlign w:val="bottom"/>
          </w:tcPr>
          <w:p w14:paraId="079A34B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-12,6</w:t>
            </w:r>
          </w:p>
        </w:tc>
      </w:tr>
      <w:tr w:rsidR="0082227D" w:rsidRPr="00610B1B" w14:paraId="446EFA07" w14:textId="77777777" w:rsidTr="001E3FED">
        <w:trPr>
          <w:trHeight w:val="255"/>
        </w:trPr>
        <w:tc>
          <w:tcPr>
            <w:tcW w:w="2105" w:type="dxa"/>
            <w:shd w:val="clear" w:color="auto" w:fill="auto"/>
            <w:noWrap/>
            <w:vAlign w:val="bottom"/>
          </w:tcPr>
          <w:p w14:paraId="1C5C8A4A"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Каварна</w:t>
            </w:r>
          </w:p>
        </w:tc>
        <w:tc>
          <w:tcPr>
            <w:tcW w:w="1132" w:type="dxa"/>
            <w:shd w:val="clear" w:color="auto" w:fill="auto"/>
            <w:noWrap/>
            <w:vAlign w:val="bottom"/>
          </w:tcPr>
          <w:p w14:paraId="253208D5" w14:textId="476FD981"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216</w:t>
            </w:r>
          </w:p>
        </w:tc>
        <w:tc>
          <w:tcPr>
            <w:tcW w:w="1132" w:type="dxa"/>
            <w:shd w:val="clear" w:color="auto" w:fill="auto"/>
            <w:noWrap/>
            <w:vAlign w:val="bottom"/>
          </w:tcPr>
          <w:p w14:paraId="0B89A5F4" w14:textId="1E434952"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14</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020</w:t>
            </w:r>
          </w:p>
        </w:tc>
        <w:tc>
          <w:tcPr>
            <w:tcW w:w="1059" w:type="dxa"/>
            <w:shd w:val="clear" w:color="auto" w:fill="auto"/>
            <w:noWrap/>
            <w:vAlign w:val="bottom"/>
          </w:tcPr>
          <w:p w14:paraId="3AB03B90" w14:textId="24BE6E44"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196</w:t>
            </w:r>
          </w:p>
        </w:tc>
        <w:tc>
          <w:tcPr>
            <w:tcW w:w="1311" w:type="dxa"/>
            <w:shd w:val="clear" w:color="auto" w:fill="auto"/>
            <w:noWrap/>
            <w:vAlign w:val="bottom"/>
          </w:tcPr>
          <w:p w14:paraId="15E9C67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-7,9</w:t>
            </w:r>
          </w:p>
        </w:tc>
      </w:tr>
      <w:tr w:rsidR="0082227D" w:rsidRPr="00610B1B" w14:paraId="4F9CFF2F" w14:textId="77777777" w:rsidTr="001E3FED">
        <w:trPr>
          <w:trHeight w:val="255"/>
        </w:trPr>
        <w:tc>
          <w:tcPr>
            <w:tcW w:w="2105" w:type="dxa"/>
            <w:shd w:val="clear" w:color="auto" w:fill="auto"/>
            <w:noWrap/>
            <w:vAlign w:val="bottom"/>
          </w:tcPr>
          <w:p w14:paraId="707AA69F"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Балчик</w:t>
            </w:r>
          </w:p>
        </w:tc>
        <w:tc>
          <w:tcPr>
            <w:tcW w:w="1132" w:type="dxa"/>
            <w:shd w:val="clear" w:color="auto" w:fill="auto"/>
            <w:noWrap/>
            <w:vAlign w:val="bottom"/>
          </w:tcPr>
          <w:p w14:paraId="2C5717ED" w14:textId="6B196790"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20</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232</w:t>
            </w:r>
          </w:p>
        </w:tc>
        <w:tc>
          <w:tcPr>
            <w:tcW w:w="1132" w:type="dxa"/>
            <w:shd w:val="clear" w:color="auto" w:fill="auto"/>
            <w:noWrap/>
            <w:vAlign w:val="bottom"/>
          </w:tcPr>
          <w:p w14:paraId="243DA3CF" w14:textId="58D02028"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19</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331</w:t>
            </w:r>
          </w:p>
        </w:tc>
        <w:tc>
          <w:tcPr>
            <w:tcW w:w="1059" w:type="dxa"/>
            <w:shd w:val="clear" w:color="auto" w:fill="auto"/>
            <w:noWrap/>
            <w:vAlign w:val="bottom"/>
          </w:tcPr>
          <w:p w14:paraId="6BC20554"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-901</w:t>
            </w:r>
          </w:p>
        </w:tc>
        <w:tc>
          <w:tcPr>
            <w:tcW w:w="1311" w:type="dxa"/>
            <w:shd w:val="clear" w:color="auto" w:fill="auto"/>
            <w:noWrap/>
            <w:vAlign w:val="bottom"/>
          </w:tcPr>
          <w:p w14:paraId="0D534C2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-4,5</w:t>
            </w:r>
          </w:p>
        </w:tc>
      </w:tr>
      <w:tr w:rsidR="0082227D" w:rsidRPr="00610B1B" w14:paraId="1755A3F4" w14:textId="77777777" w:rsidTr="001E3FED">
        <w:trPr>
          <w:trHeight w:val="255"/>
        </w:trPr>
        <w:tc>
          <w:tcPr>
            <w:tcW w:w="2105" w:type="dxa"/>
            <w:shd w:val="clear" w:color="auto" w:fill="auto"/>
            <w:noWrap/>
            <w:vAlign w:val="bottom"/>
          </w:tcPr>
          <w:p w14:paraId="54F67C73"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Аксаково</w:t>
            </w:r>
          </w:p>
        </w:tc>
        <w:tc>
          <w:tcPr>
            <w:tcW w:w="1132" w:type="dxa"/>
            <w:shd w:val="clear" w:color="auto" w:fill="auto"/>
            <w:noWrap/>
            <w:vAlign w:val="bottom"/>
          </w:tcPr>
          <w:p w14:paraId="0F112178" w14:textId="4D0234DC"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20</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484</w:t>
            </w:r>
          </w:p>
        </w:tc>
        <w:tc>
          <w:tcPr>
            <w:tcW w:w="1132" w:type="dxa"/>
            <w:shd w:val="clear" w:color="auto" w:fill="auto"/>
            <w:noWrap/>
            <w:vAlign w:val="bottom"/>
          </w:tcPr>
          <w:p w14:paraId="1F3DBC55" w14:textId="2B765386"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20</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557</w:t>
            </w:r>
          </w:p>
        </w:tc>
        <w:tc>
          <w:tcPr>
            <w:tcW w:w="1059" w:type="dxa"/>
            <w:shd w:val="clear" w:color="auto" w:fill="auto"/>
            <w:noWrap/>
            <w:vAlign w:val="bottom"/>
          </w:tcPr>
          <w:p w14:paraId="1E6EC42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73</w:t>
            </w:r>
          </w:p>
        </w:tc>
        <w:tc>
          <w:tcPr>
            <w:tcW w:w="1311" w:type="dxa"/>
            <w:shd w:val="clear" w:color="auto" w:fill="auto"/>
            <w:noWrap/>
            <w:vAlign w:val="bottom"/>
          </w:tcPr>
          <w:p w14:paraId="1A67B348"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0,4</w:t>
            </w:r>
          </w:p>
        </w:tc>
      </w:tr>
      <w:tr w:rsidR="0082227D" w:rsidRPr="00610B1B" w14:paraId="4389308F" w14:textId="77777777" w:rsidTr="001E3FED">
        <w:trPr>
          <w:trHeight w:val="255"/>
        </w:trPr>
        <w:tc>
          <w:tcPr>
            <w:tcW w:w="2105" w:type="dxa"/>
            <w:shd w:val="clear" w:color="auto" w:fill="auto"/>
            <w:noWrap/>
            <w:vAlign w:val="bottom"/>
          </w:tcPr>
          <w:p w14:paraId="4B7F9677"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132" w:type="dxa"/>
            <w:shd w:val="clear" w:color="auto" w:fill="auto"/>
            <w:noWrap/>
            <w:vAlign w:val="bottom"/>
          </w:tcPr>
          <w:p w14:paraId="78BC305D" w14:textId="28E9D6D0"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343</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643</w:t>
            </w:r>
          </w:p>
        </w:tc>
        <w:tc>
          <w:tcPr>
            <w:tcW w:w="1132" w:type="dxa"/>
            <w:shd w:val="clear" w:color="auto" w:fill="auto"/>
            <w:noWrap/>
            <w:vAlign w:val="bottom"/>
          </w:tcPr>
          <w:p w14:paraId="66985785" w14:textId="03FBEA95"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345</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369</w:t>
            </w:r>
          </w:p>
        </w:tc>
        <w:tc>
          <w:tcPr>
            <w:tcW w:w="1059" w:type="dxa"/>
            <w:shd w:val="clear" w:color="auto" w:fill="auto"/>
            <w:noWrap/>
            <w:vAlign w:val="bottom"/>
          </w:tcPr>
          <w:p w14:paraId="7D626D58" w14:textId="38CAED51"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726</w:t>
            </w:r>
          </w:p>
        </w:tc>
        <w:tc>
          <w:tcPr>
            <w:tcW w:w="1311" w:type="dxa"/>
            <w:shd w:val="clear" w:color="auto" w:fill="auto"/>
            <w:noWrap/>
            <w:vAlign w:val="bottom"/>
          </w:tcPr>
          <w:p w14:paraId="4409B59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0,5</w:t>
            </w:r>
          </w:p>
        </w:tc>
      </w:tr>
      <w:tr w:rsidR="0082227D" w:rsidRPr="00610B1B" w14:paraId="243A638C" w14:textId="77777777" w:rsidTr="001E3FED">
        <w:trPr>
          <w:trHeight w:val="255"/>
        </w:trPr>
        <w:tc>
          <w:tcPr>
            <w:tcW w:w="2105" w:type="dxa"/>
            <w:shd w:val="clear" w:color="auto" w:fill="auto"/>
            <w:noWrap/>
            <w:vAlign w:val="bottom"/>
          </w:tcPr>
          <w:p w14:paraId="0118C6B4"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Аврен</w:t>
            </w:r>
          </w:p>
        </w:tc>
        <w:tc>
          <w:tcPr>
            <w:tcW w:w="1132" w:type="dxa"/>
            <w:shd w:val="clear" w:color="auto" w:fill="auto"/>
            <w:noWrap/>
            <w:vAlign w:val="bottom"/>
          </w:tcPr>
          <w:p w14:paraId="2E8B9852" w14:textId="0C10B018"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8</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632</w:t>
            </w:r>
          </w:p>
        </w:tc>
        <w:tc>
          <w:tcPr>
            <w:tcW w:w="1132" w:type="dxa"/>
            <w:shd w:val="clear" w:color="auto" w:fill="auto"/>
            <w:noWrap/>
            <w:vAlign w:val="bottom"/>
          </w:tcPr>
          <w:p w14:paraId="3C5F4CB8" w14:textId="40CD352F"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9</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152</w:t>
            </w:r>
          </w:p>
        </w:tc>
        <w:tc>
          <w:tcPr>
            <w:tcW w:w="1059" w:type="dxa"/>
            <w:shd w:val="clear" w:color="auto" w:fill="auto"/>
            <w:noWrap/>
            <w:vAlign w:val="bottom"/>
          </w:tcPr>
          <w:p w14:paraId="2F0F0666" w14:textId="66324AF5" w:rsidR="0082227D" w:rsidRPr="00610B1B" w:rsidRDefault="00B36ACE"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 xml:space="preserve"> </w:t>
            </w:r>
            <w:r w:rsidR="0082227D" w:rsidRPr="00610B1B">
              <w:rPr>
                <w:rFonts w:ascii="Times New Roman" w:hAnsi="Times New Roman" w:cs="Times New Roman"/>
                <w:lang w:val="bg-BG"/>
              </w:rPr>
              <w:t>520</w:t>
            </w:r>
          </w:p>
        </w:tc>
        <w:tc>
          <w:tcPr>
            <w:tcW w:w="1311" w:type="dxa"/>
            <w:shd w:val="clear" w:color="auto" w:fill="auto"/>
            <w:noWrap/>
            <w:vAlign w:val="bottom"/>
          </w:tcPr>
          <w:p w14:paraId="6E75473A"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6,0</w:t>
            </w:r>
          </w:p>
        </w:tc>
      </w:tr>
      <w:tr w:rsidR="0082227D" w:rsidRPr="00610B1B" w14:paraId="32869B18" w14:textId="77777777" w:rsidTr="001E3FED">
        <w:trPr>
          <w:trHeight w:val="255"/>
        </w:trPr>
        <w:tc>
          <w:tcPr>
            <w:tcW w:w="2105" w:type="dxa"/>
            <w:shd w:val="clear" w:color="auto" w:fill="auto"/>
            <w:noWrap/>
            <w:vAlign w:val="bottom"/>
          </w:tcPr>
          <w:p w14:paraId="6F09C5DA"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Долни чифлик</w:t>
            </w:r>
          </w:p>
        </w:tc>
        <w:tc>
          <w:tcPr>
            <w:tcW w:w="1132" w:type="dxa"/>
            <w:shd w:val="clear" w:color="auto" w:fill="auto"/>
            <w:noWrap/>
            <w:vAlign w:val="bottom"/>
          </w:tcPr>
          <w:p w14:paraId="64F82DC9" w14:textId="16F611C6"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19</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292</w:t>
            </w:r>
          </w:p>
        </w:tc>
        <w:tc>
          <w:tcPr>
            <w:tcW w:w="1132" w:type="dxa"/>
            <w:shd w:val="clear" w:color="auto" w:fill="auto"/>
            <w:noWrap/>
            <w:vAlign w:val="bottom"/>
          </w:tcPr>
          <w:p w14:paraId="20015FF3" w14:textId="2D28B805"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18</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492</w:t>
            </w:r>
          </w:p>
        </w:tc>
        <w:tc>
          <w:tcPr>
            <w:tcW w:w="1059" w:type="dxa"/>
            <w:shd w:val="clear" w:color="auto" w:fill="auto"/>
            <w:noWrap/>
            <w:vAlign w:val="bottom"/>
          </w:tcPr>
          <w:p w14:paraId="6FCA9E47"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-800</w:t>
            </w:r>
          </w:p>
        </w:tc>
        <w:tc>
          <w:tcPr>
            <w:tcW w:w="1311" w:type="dxa"/>
            <w:shd w:val="clear" w:color="auto" w:fill="auto"/>
            <w:noWrap/>
            <w:vAlign w:val="bottom"/>
          </w:tcPr>
          <w:p w14:paraId="4B27020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-4,1</w:t>
            </w:r>
          </w:p>
        </w:tc>
      </w:tr>
      <w:tr w:rsidR="0082227D" w:rsidRPr="00610B1B" w14:paraId="509D26D5" w14:textId="77777777" w:rsidTr="001E3FED">
        <w:trPr>
          <w:trHeight w:val="255"/>
        </w:trPr>
        <w:tc>
          <w:tcPr>
            <w:tcW w:w="2105" w:type="dxa"/>
            <w:shd w:val="clear" w:color="auto" w:fill="auto"/>
            <w:noWrap/>
            <w:vAlign w:val="bottom"/>
          </w:tcPr>
          <w:p w14:paraId="70F8B08C"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Бяла</w:t>
            </w:r>
          </w:p>
        </w:tc>
        <w:tc>
          <w:tcPr>
            <w:tcW w:w="1132" w:type="dxa"/>
            <w:shd w:val="clear" w:color="auto" w:fill="auto"/>
            <w:noWrap/>
            <w:vAlign w:val="bottom"/>
          </w:tcPr>
          <w:p w14:paraId="0F99D9FB" w14:textId="6E99F38F"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230</w:t>
            </w:r>
          </w:p>
        </w:tc>
        <w:tc>
          <w:tcPr>
            <w:tcW w:w="1132" w:type="dxa"/>
            <w:shd w:val="clear" w:color="auto" w:fill="auto"/>
            <w:noWrap/>
            <w:vAlign w:val="bottom"/>
          </w:tcPr>
          <w:p w14:paraId="1C4C340C" w14:textId="144FA89B"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287</w:t>
            </w:r>
          </w:p>
        </w:tc>
        <w:tc>
          <w:tcPr>
            <w:tcW w:w="1059" w:type="dxa"/>
            <w:shd w:val="clear" w:color="auto" w:fill="auto"/>
            <w:noWrap/>
            <w:vAlign w:val="bottom"/>
          </w:tcPr>
          <w:p w14:paraId="32757D3D"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57</w:t>
            </w:r>
          </w:p>
        </w:tc>
        <w:tc>
          <w:tcPr>
            <w:tcW w:w="1311" w:type="dxa"/>
            <w:shd w:val="clear" w:color="auto" w:fill="auto"/>
            <w:noWrap/>
            <w:vAlign w:val="bottom"/>
          </w:tcPr>
          <w:p w14:paraId="60524E92"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1,8</w:t>
            </w:r>
          </w:p>
        </w:tc>
      </w:tr>
      <w:tr w:rsidR="0082227D" w:rsidRPr="00610B1B" w14:paraId="18856B7A" w14:textId="77777777" w:rsidTr="001E3FED">
        <w:trPr>
          <w:trHeight w:val="255"/>
        </w:trPr>
        <w:tc>
          <w:tcPr>
            <w:tcW w:w="2105" w:type="dxa"/>
            <w:shd w:val="clear" w:color="auto" w:fill="auto"/>
            <w:noWrap/>
            <w:vAlign w:val="bottom"/>
          </w:tcPr>
          <w:p w14:paraId="37E79385"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Несебър</w:t>
            </w:r>
          </w:p>
        </w:tc>
        <w:tc>
          <w:tcPr>
            <w:tcW w:w="1132" w:type="dxa"/>
            <w:shd w:val="clear" w:color="auto" w:fill="auto"/>
            <w:noWrap/>
            <w:vAlign w:val="bottom"/>
          </w:tcPr>
          <w:p w14:paraId="4A131C7F" w14:textId="4EC1BCBB"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23</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145</w:t>
            </w:r>
          </w:p>
        </w:tc>
        <w:tc>
          <w:tcPr>
            <w:tcW w:w="1132" w:type="dxa"/>
            <w:shd w:val="clear" w:color="auto" w:fill="auto"/>
            <w:noWrap/>
            <w:vAlign w:val="bottom"/>
          </w:tcPr>
          <w:p w14:paraId="5A392367" w14:textId="0974CBEB"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27</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879</w:t>
            </w:r>
          </w:p>
        </w:tc>
        <w:tc>
          <w:tcPr>
            <w:tcW w:w="1059" w:type="dxa"/>
            <w:shd w:val="clear" w:color="auto" w:fill="auto"/>
            <w:noWrap/>
            <w:vAlign w:val="bottom"/>
          </w:tcPr>
          <w:p w14:paraId="5D101C81" w14:textId="0520EECD"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734</w:t>
            </w:r>
          </w:p>
        </w:tc>
        <w:tc>
          <w:tcPr>
            <w:tcW w:w="1311" w:type="dxa"/>
            <w:shd w:val="clear" w:color="auto" w:fill="auto"/>
            <w:noWrap/>
            <w:vAlign w:val="bottom"/>
          </w:tcPr>
          <w:p w14:paraId="4E2264E4"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20,5</w:t>
            </w:r>
          </w:p>
        </w:tc>
      </w:tr>
      <w:tr w:rsidR="0082227D" w:rsidRPr="00610B1B" w14:paraId="6B1307B6" w14:textId="77777777" w:rsidTr="001E3FED">
        <w:trPr>
          <w:trHeight w:val="255"/>
        </w:trPr>
        <w:tc>
          <w:tcPr>
            <w:tcW w:w="2105" w:type="dxa"/>
            <w:shd w:val="clear" w:color="auto" w:fill="auto"/>
            <w:noWrap/>
            <w:vAlign w:val="bottom"/>
          </w:tcPr>
          <w:p w14:paraId="5178E955"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Поморие</w:t>
            </w:r>
          </w:p>
        </w:tc>
        <w:tc>
          <w:tcPr>
            <w:tcW w:w="1132" w:type="dxa"/>
            <w:shd w:val="clear" w:color="auto" w:fill="auto"/>
            <w:noWrap/>
            <w:vAlign w:val="bottom"/>
          </w:tcPr>
          <w:p w14:paraId="269C3CB2" w14:textId="36CE9B2E"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27</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530</w:t>
            </w:r>
          </w:p>
        </w:tc>
        <w:tc>
          <w:tcPr>
            <w:tcW w:w="1132" w:type="dxa"/>
            <w:shd w:val="clear" w:color="auto" w:fill="auto"/>
            <w:noWrap/>
            <w:vAlign w:val="bottom"/>
          </w:tcPr>
          <w:p w14:paraId="52D131D5" w14:textId="23DCE81E"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27</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233</w:t>
            </w:r>
          </w:p>
        </w:tc>
        <w:tc>
          <w:tcPr>
            <w:tcW w:w="1059" w:type="dxa"/>
            <w:shd w:val="clear" w:color="auto" w:fill="auto"/>
            <w:noWrap/>
            <w:vAlign w:val="bottom"/>
          </w:tcPr>
          <w:p w14:paraId="3E71A8E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-297</w:t>
            </w:r>
          </w:p>
        </w:tc>
        <w:tc>
          <w:tcPr>
            <w:tcW w:w="1311" w:type="dxa"/>
            <w:shd w:val="clear" w:color="auto" w:fill="auto"/>
            <w:noWrap/>
            <w:vAlign w:val="bottom"/>
          </w:tcPr>
          <w:p w14:paraId="296A38D5"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-1,1</w:t>
            </w:r>
          </w:p>
        </w:tc>
      </w:tr>
      <w:tr w:rsidR="0082227D" w:rsidRPr="00610B1B" w14:paraId="00E3CDC2" w14:textId="77777777" w:rsidTr="001E3FED">
        <w:trPr>
          <w:trHeight w:val="255"/>
        </w:trPr>
        <w:tc>
          <w:tcPr>
            <w:tcW w:w="2105" w:type="dxa"/>
            <w:shd w:val="clear" w:color="auto" w:fill="auto"/>
            <w:noWrap/>
            <w:vAlign w:val="bottom"/>
          </w:tcPr>
          <w:p w14:paraId="541BC422"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132" w:type="dxa"/>
            <w:shd w:val="clear" w:color="auto" w:fill="auto"/>
            <w:noWrap/>
            <w:vAlign w:val="bottom"/>
          </w:tcPr>
          <w:p w14:paraId="48401F4C" w14:textId="6704BBE0"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212</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032</w:t>
            </w:r>
          </w:p>
        </w:tc>
        <w:tc>
          <w:tcPr>
            <w:tcW w:w="1132" w:type="dxa"/>
            <w:shd w:val="clear" w:color="auto" w:fill="auto"/>
            <w:noWrap/>
            <w:vAlign w:val="bottom"/>
          </w:tcPr>
          <w:p w14:paraId="5EFD835E" w14:textId="0DB56144"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208</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915</w:t>
            </w:r>
          </w:p>
        </w:tc>
        <w:tc>
          <w:tcPr>
            <w:tcW w:w="1059" w:type="dxa"/>
            <w:shd w:val="clear" w:color="auto" w:fill="auto"/>
            <w:noWrap/>
            <w:vAlign w:val="bottom"/>
          </w:tcPr>
          <w:p w14:paraId="3EA5A868" w14:textId="566273A0"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117</w:t>
            </w:r>
          </w:p>
        </w:tc>
        <w:tc>
          <w:tcPr>
            <w:tcW w:w="1311" w:type="dxa"/>
            <w:shd w:val="clear" w:color="auto" w:fill="auto"/>
            <w:noWrap/>
            <w:vAlign w:val="bottom"/>
          </w:tcPr>
          <w:p w14:paraId="743A6FE6"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w:t>
            </w:r>
          </w:p>
        </w:tc>
      </w:tr>
      <w:tr w:rsidR="0082227D" w:rsidRPr="00610B1B" w14:paraId="43973954" w14:textId="77777777" w:rsidTr="001E3FED">
        <w:trPr>
          <w:trHeight w:val="255"/>
        </w:trPr>
        <w:tc>
          <w:tcPr>
            <w:tcW w:w="2105" w:type="dxa"/>
            <w:shd w:val="clear" w:color="auto" w:fill="auto"/>
            <w:noWrap/>
            <w:vAlign w:val="bottom"/>
          </w:tcPr>
          <w:p w14:paraId="3E59410D"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lastRenderedPageBreak/>
              <w:t>Созопол</w:t>
            </w:r>
          </w:p>
        </w:tc>
        <w:tc>
          <w:tcPr>
            <w:tcW w:w="1132" w:type="dxa"/>
            <w:shd w:val="clear" w:color="auto" w:fill="auto"/>
            <w:noWrap/>
            <w:vAlign w:val="bottom"/>
          </w:tcPr>
          <w:p w14:paraId="012164B2" w14:textId="4395A194"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12</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657</w:t>
            </w:r>
          </w:p>
        </w:tc>
        <w:tc>
          <w:tcPr>
            <w:tcW w:w="1132" w:type="dxa"/>
            <w:shd w:val="clear" w:color="auto" w:fill="auto"/>
            <w:noWrap/>
            <w:vAlign w:val="bottom"/>
          </w:tcPr>
          <w:p w14:paraId="7920BEDA" w14:textId="73296872"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13</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005</w:t>
            </w:r>
          </w:p>
        </w:tc>
        <w:tc>
          <w:tcPr>
            <w:tcW w:w="1059" w:type="dxa"/>
            <w:shd w:val="clear" w:color="auto" w:fill="auto"/>
            <w:noWrap/>
            <w:vAlign w:val="bottom"/>
          </w:tcPr>
          <w:p w14:paraId="7846A84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348</w:t>
            </w:r>
          </w:p>
        </w:tc>
        <w:tc>
          <w:tcPr>
            <w:tcW w:w="1311" w:type="dxa"/>
            <w:shd w:val="clear" w:color="auto" w:fill="auto"/>
            <w:noWrap/>
            <w:vAlign w:val="bottom"/>
          </w:tcPr>
          <w:p w14:paraId="49B1C31E"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2,7</w:t>
            </w:r>
          </w:p>
        </w:tc>
      </w:tr>
      <w:tr w:rsidR="0082227D" w:rsidRPr="00610B1B" w14:paraId="0FF1557A" w14:textId="77777777" w:rsidTr="001E3FED">
        <w:trPr>
          <w:trHeight w:val="255"/>
        </w:trPr>
        <w:tc>
          <w:tcPr>
            <w:tcW w:w="2105" w:type="dxa"/>
            <w:shd w:val="clear" w:color="auto" w:fill="auto"/>
            <w:noWrap/>
            <w:vAlign w:val="bottom"/>
          </w:tcPr>
          <w:p w14:paraId="1B7F26C8"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Приморско</w:t>
            </w:r>
          </w:p>
        </w:tc>
        <w:tc>
          <w:tcPr>
            <w:tcW w:w="1132" w:type="dxa"/>
            <w:shd w:val="clear" w:color="auto" w:fill="auto"/>
            <w:noWrap/>
            <w:vAlign w:val="bottom"/>
          </w:tcPr>
          <w:p w14:paraId="77FF8345" w14:textId="3291A05E"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082</w:t>
            </w:r>
          </w:p>
        </w:tc>
        <w:tc>
          <w:tcPr>
            <w:tcW w:w="1132" w:type="dxa"/>
            <w:shd w:val="clear" w:color="auto" w:fill="auto"/>
            <w:noWrap/>
            <w:vAlign w:val="bottom"/>
          </w:tcPr>
          <w:p w14:paraId="205BEC3F" w14:textId="1F12B355"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6</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124</w:t>
            </w:r>
          </w:p>
        </w:tc>
        <w:tc>
          <w:tcPr>
            <w:tcW w:w="1059" w:type="dxa"/>
            <w:shd w:val="clear" w:color="auto" w:fill="auto"/>
            <w:noWrap/>
            <w:vAlign w:val="bottom"/>
          </w:tcPr>
          <w:p w14:paraId="0183023C"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42</w:t>
            </w:r>
          </w:p>
        </w:tc>
        <w:tc>
          <w:tcPr>
            <w:tcW w:w="1311" w:type="dxa"/>
            <w:shd w:val="clear" w:color="auto" w:fill="auto"/>
            <w:noWrap/>
            <w:vAlign w:val="bottom"/>
          </w:tcPr>
          <w:p w14:paraId="19F9670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0,7</w:t>
            </w:r>
          </w:p>
        </w:tc>
      </w:tr>
      <w:tr w:rsidR="0082227D" w:rsidRPr="00610B1B" w14:paraId="40FD39A4" w14:textId="77777777" w:rsidTr="001E3FED">
        <w:trPr>
          <w:trHeight w:val="255"/>
        </w:trPr>
        <w:tc>
          <w:tcPr>
            <w:tcW w:w="2105" w:type="dxa"/>
            <w:shd w:val="clear" w:color="auto" w:fill="auto"/>
            <w:noWrap/>
            <w:vAlign w:val="bottom"/>
          </w:tcPr>
          <w:p w14:paraId="3868EC92" w14:textId="77777777" w:rsidR="0082227D" w:rsidRPr="00610B1B" w:rsidRDefault="0082227D" w:rsidP="00D32D6A">
            <w:pPr>
              <w:spacing w:after="0" w:line="240" w:lineRule="auto"/>
              <w:rPr>
                <w:rFonts w:ascii="Times New Roman" w:hAnsi="Times New Roman" w:cs="Times New Roman"/>
                <w:lang w:val="bg-BG"/>
              </w:rPr>
            </w:pPr>
            <w:r w:rsidRPr="00610B1B">
              <w:rPr>
                <w:rFonts w:ascii="Times New Roman" w:hAnsi="Times New Roman" w:cs="Times New Roman"/>
                <w:lang w:val="bg-BG"/>
              </w:rPr>
              <w:t>Царево</w:t>
            </w:r>
          </w:p>
        </w:tc>
        <w:tc>
          <w:tcPr>
            <w:tcW w:w="1132" w:type="dxa"/>
            <w:shd w:val="clear" w:color="auto" w:fill="auto"/>
            <w:noWrap/>
            <w:vAlign w:val="bottom"/>
          </w:tcPr>
          <w:p w14:paraId="2C48648F" w14:textId="1BD27D70"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9</w:t>
            </w:r>
            <w:r w:rsidR="00B36ACE" w:rsidRPr="00610B1B">
              <w:rPr>
                <w:rFonts w:ascii="Times New Roman" w:hAnsi="Times New Roman" w:cs="Times New Roman"/>
                <w:lang w:val="bg-BG"/>
              </w:rPr>
              <w:t xml:space="preserve"> </w:t>
            </w:r>
            <w:r w:rsidRPr="00610B1B">
              <w:rPr>
                <w:rFonts w:ascii="Times New Roman" w:hAnsi="Times New Roman" w:cs="Times New Roman"/>
                <w:lang w:val="bg-BG"/>
              </w:rPr>
              <w:t>311</w:t>
            </w:r>
          </w:p>
        </w:tc>
        <w:tc>
          <w:tcPr>
            <w:tcW w:w="1132" w:type="dxa"/>
            <w:shd w:val="clear" w:color="auto" w:fill="auto"/>
            <w:noWrap/>
            <w:vAlign w:val="bottom"/>
          </w:tcPr>
          <w:p w14:paraId="70469711" w14:textId="51B0EC11" w:rsidR="0082227D" w:rsidRPr="00610B1B" w:rsidRDefault="0082227D"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9</w:t>
            </w:r>
            <w:r w:rsidR="00B36ACE" w:rsidRPr="00610B1B">
              <w:rPr>
                <w:rFonts w:ascii="Times New Roman" w:hAnsi="Times New Roman" w:cs="Times New Roman"/>
                <w:color w:val="000000"/>
                <w:lang w:val="bg-BG"/>
              </w:rPr>
              <w:t xml:space="preserve"> </w:t>
            </w:r>
            <w:r w:rsidRPr="00610B1B">
              <w:rPr>
                <w:rFonts w:ascii="Times New Roman" w:hAnsi="Times New Roman" w:cs="Times New Roman"/>
                <w:color w:val="000000"/>
                <w:lang w:val="bg-BG"/>
              </w:rPr>
              <w:t>014</w:t>
            </w:r>
          </w:p>
        </w:tc>
        <w:tc>
          <w:tcPr>
            <w:tcW w:w="1059" w:type="dxa"/>
            <w:shd w:val="clear" w:color="auto" w:fill="auto"/>
            <w:noWrap/>
            <w:vAlign w:val="bottom"/>
          </w:tcPr>
          <w:p w14:paraId="5F1E4E33"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-297</w:t>
            </w:r>
          </w:p>
        </w:tc>
        <w:tc>
          <w:tcPr>
            <w:tcW w:w="1311" w:type="dxa"/>
            <w:shd w:val="clear" w:color="auto" w:fill="auto"/>
            <w:noWrap/>
            <w:vAlign w:val="bottom"/>
          </w:tcPr>
          <w:p w14:paraId="28AAF171" w14:textId="77777777" w:rsidR="0082227D" w:rsidRPr="00610B1B" w:rsidRDefault="0082227D"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-3,2</w:t>
            </w:r>
          </w:p>
        </w:tc>
      </w:tr>
    </w:tbl>
    <w:p w14:paraId="4D992E41" w14:textId="4BDBFF78" w:rsidR="0082227D" w:rsidRPr="00610B1B" w:rsidRDefault="0082227D" w:rsidP="00EC097D">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 НСИ, обработка НЦТР</w:t>
      </w:r>
    </w:p>
    <w:p w14:paraId="683EB147" w14:textId="62A8D148"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Cs/>
          <w:sz w:val="24"/>
          <w:szCs w:val="24"/>
          <w:lang w:val="bg-BG"/>
        </w:rPr>
        <w:t xml:space="preserve">Продължава </w:t>
      </w:r>
      <w:r w:rsidRPr="00610B1B">
        <w:rPr>
          <w:rFonts w:ascii="Times New Roman" w:hAnsi="Times New Roman" w:cs="Times New Roman"/>
          <w:b/>
          <w:bCs/>
          <w:sz w:val="24"/>
          <w:szCs w:val="24"/>
          <w:lang w:val="bg-BG"/>
        </w:rPr>
        <w:t>процесът на застаряване</w:t>
      </w:r>
      <w:r w:rsidRPr="00610B1B">
        <w:rPr>
          <w:rFonts w:ascii="Times New Roman" w:hAnsi="Times New Roman" w:cs="Times New Roman"/>
          <w:bCs/>
          <w:sz w:val="24"/>
          <w:szCs w:val="24"/>
          <w:lang w:val="bg-BG"/>
        </w:rPr>
        <w:t>, който е характерен за другите общини в страната, но в Черноморските общини е с по-благоприятни стойности от средните за страната.</w:t>
      </w:r>
      <w:r w:rsidRPr="00610B1B">
        <w:rPr>
          <w:rFonts w:ascii="Times New Roman" w:hAnsi="Times New Roman" w:cs="Times New Roman"/>
          <w:b/>
          <w:bCs/>
          <w:sz w:val="24"/>
          <w:szCs w:val="24"/>
          <w:lang w:val="bg-BG"/>
        </w:rPr>
        <w:t xml:space="preserve"> </w:t>
      </w:r>
      <w:r w:rsidRPr="00610B1B">
        <w:rPr>
          <w:rFonts w:ascii="Times New Roman" w:hAnsi="Times New Roman" w:cs="Times New Roman"/>
          <w:sz w:val="24"/>
          <w:szCs w:val="24"/>
          <w:lang w:val="bg-BG"/>
        </w:rPr>
        <w:t>В края на 2018 г. лицата на 65 и повече навъ</w:t>
      </w:r>
      <w:r w:rsidR="0079021B" w:rsidRPr="00610B1B">
        <w:rPr>
          <w:rFonts w:ascii="Times New Roman" w:hAnsi="Times New Roman" w:cs="Times New Roman"/>
          <w:sz w:val="24"/>
          <w:szCs w:val="24"/>
          <w:lang w:val="bg-BG"/>
        </w:rPr>
        <w:t>ршени години са 136 913, или 18,</w:t>
      </w:r>
      <w:r w:rsidRPr="00610B1B">
        <w:rPr>
          <w:rFonts w:ascii="Times New Roman" w:hAnsi="Times New Roman" w:cs="Times New Roman"/>
          <w:sz w:val="24"/>
          <w:szCs w:val="24"/>
          <w:lang w:val="bg-BG"/>
        </w:rPr>
        <w:t>8% от населението на общините, дока</w:t>
      </w:r>
      <w:r w:rsidR="0079021B" w:rsidRPr="00610B1B">
        <w:rPr>
          <w:rFonts w:ascii="Times New Roman" w:hAnsi="Times New Roman" w:cs="Times New Roman"/>
          <w:sz w:val="24"/>
          <w:szCs w:val="24"/>
          <w:lang w:val="bg-BG"/>
        </w:rPr>
        <w:t>то за страната са 21,</w:t>
      </w:r>
      <w:r w:rsidRPr="00610B1B">
        <w:rPr>
          <w:rFonts w:ascii="Times New Roman" w:hAnsi="Times New Roman" w:cs="Times New Roman"/>
          <w:sz w:val="24"/>
          <w:szCs w:val="24"/>
          <w:lang w:val="bg-BG"/>
        </w:rPr>
        <w:t>3%. В сравнение с 2011 г. делът на населението в таз</w:t>
      </w:r>
      <w:r w:rsidR="0079021B" w:rsidRPr="00610B1B">
        <w:rPr>
          <w:rFonts w:ascii="Times New Roman" w:hAnsi="Times New Roman" w:cs="Times New Roman"/>
          <w:sz w:val="24"/>
          <w:szCs w:val="24"/>
          <w:lang w:val="bg-BG"/>
        </w:rPr>
        <w:t>и възрастова група нараства с 2,</w:t>
      </w:r>
      <w:r w:rsidRPr="00610B1B">
        <w:rPr>
          <w:rFonts w:ascii="Times New Roman" w:hAnsi="Times New Roman" w:cs="Times New Roman"/>
          <w:sz w:val="24"/>
          <w:szCs w:val="24"/>
          <w:lang w:val="bg-BG"/>
        </w:rPr>
        <w:t>6 процентни пункта.</w:t>
      </w:r>
      <w:r w:rsidR="007C310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Общо за ЕС-28 относителният дял на насе</w:t>
      </w:r>
      <w:r w:rsidR="0079021B" w:rsidRPr="00610B1B">
        <w:rPr>
          <w:rFonts w:ascii="Times New Roman" w:hAnsi="Times New Roman" w:cs="Times New Roman"/>
          <w:sz w:val="24"/>
          <w:szCs w:val="24"/>
          <w:lang w:val="bg-BG"/>
        </w:rPr>
        <w:t>лението 65 и повече години е 19,</w:t>
      </w:r>
      <w:r w:rsidRPr="00610B1B">
        <w:rPr>
          <w:rFonts w:ascii="Times New Roman" w:hAnsi="Times New Roman" w:cs="Times New Roman"/>
          <w:sz w:val="24"/>
          <w:szCs w:val="24"/>
          <w:lang w:val="bg-BG"/>
        </w:rPr>
        <w:t>7%.</w:t>
      </w:r>
      <w:r w:rsidR="005D581C" w:rsidRPr="00610B1B">
        <w:rPr>
          <w:rFonts w:ascii="Times New Roman" w:hAnsi="Times New Roman" w:cs="Times New Roman"/>
          <w:sz w:val="24"/>
          <w:szCs w:val="24"/>
          <w:lang w:val="bg-BG"/>
        </w:rPr>
        <w:t xml:space="preserve"> В </w:t>
      </w:r>
      <w:r w:rsidR="000434A3" w:rsidRPr="00610B1B">
        <w:rPr>
          <w:rFonts w:ascii="Times New Roman" w:hAnsi="Times New Roman" w:cs="Times New Roman"/>
          <w:sz w:val="24"/>
          <w:szCs w:val="24"/>
          <w:lang w:val="bg-BG"/>
        </w:rPr>
        <w:t>общините Шабла (30,8%), Аврен (26,</w:t>
      </w:r>
      <w:r w:rsidRPr="00610B1B">
        <w:rPr>
          <w:rFonts w:ascii="Times New Roman" w:hAnsi="Times New Roman" w:cs="Times New Roman"/>
          <w:sz w:val="24"/>
          <w:szCs w:val="24"/>
          <w:lang w:val="bg-BG"/>
        </w:rPr>
        <w:t>5%), Бяла (24</w:t>
      </w:r>
      <w:r w:rsidR="000434A3" w:rsidRPr="00610B1B">
        <w:rPr>
          <w:rFonts w:ascii="Times New Roman" w:hAnsi="Times New Roman" w:cs="Times New Roman"/>
          <w:sz w:val="24"/>
          <w:szCs w:val="24"/>
          <w:lang w:val="bg-BG"/>
        </w:rPr>
        <w:t>,6%) и Созопол (24,</w:t>
      </w:r>
      <w:r w:rsidRPr="00610B1B">
        <w:rPr>
          <w:rFonts w:ascii="Times New Roman" w:hAnsi="Times New Roman" w:cs="Times New Roman"/>
          <w:sz w:val="24"/>
          <w:szCs w:val="24"/>
          <w:lang w:val="bg-BG"/>
        </w:rPr>
        <w:t>4%)</w:t>
      </w:r>
      <w:r w:rsidR="005D581C" w:rsidRPr="00610B1B">
        <w:rPr>
          <w:rFonts w:ascii="Times New Roman" w:hAnsi="Times New Roman" w:cs="Times New Roman"/>
          <w:sz w:val="24"/>
          <w:szCs w:val="24"/>
          <w:lang w:val="bg-BG"/>
        </w:rPr>
        <w:t xml:space="preserve"> този дял е най-висок, а в</w:t>
      </w:r>
      <w:r w:rsidRPr="00610B1B">
        <w:rPr>
          <w:rFonts w:ascii="Times New Roman" w:hAnsi="Times New Roman" w:cs="Times New Roman"/>
          <w:sz w:val="24"/>
          <w:szCs w:val="24"/>
          <w:lang w:val="bg-BG"/>
        </w:rPr>
        <w:t xml:space="preserve"> 6 общини този дял е по-благоприятен от средния за страната</w:t>
      </w:r>
      <w:r w:rsidR="005D581C" w:rsidRPr="00610B1B">
        <w:rPr>
          <w:rFonts w:ascii="Times New Roman" w:hAnsi="Times New Roman" w:cs="Times New Roman"/>
          <w:sz w:val="24"/>
          <w:szCs w:val="24"/>
          <w:lang w:val="bg-BG"/>
        </w:rPr>
        <w:t>. В тях попадат и д</w:t>
      </w:r>
      <w:r w:rsidR="000434A3" w:rsidRPr="00610B1B">
        <w:rPr>
          <w:rFonts w:ascii="Times New Roman" w:hAnsi="Times New Roman" w:cs="Times New Roman"/>
          <w:sz w:val="24"/>
          <w:szCs w:val="24"/>
          <w:lang w:val="bg-BG"/>
        </w:rPr>
        <w:t>вете големи общини Варна</w:t>
      </w:r>
      <w:r w:rsidR="00D66FE0" w:rsidRPr="00610B1B">
        <w:rPr>
          <w:rFonts w:ascii="Times New Roman" w:hAnsi="Times New Roman" w:cs="Times New Roman"/>
          <w:sz w:val="24"/>
          <w:szCs w:val="24"/>
          <w:lang w:val="bg-BG"/>
        </w:rPr>
        <w:t xml:space="preserve"> </w:t>
      </w:r>
      <w:r w:rsidR="000434A3" w:rsidRPr="00610B1B">
        <w:rPr>
          <w:rFonts w:ascii="Times New Roman" w:hAnsi="Times New Roman" w:cs="Times New Roman"/>
          <w:sz w:val="24"/>
          <w:szCs w:val="24"/>
          <w:lang w:val="bg-BG"/>
        </w:rPr>
        <w:t>(17,9%) и Бургас (18,</w:t>
      </w:r>
      <w:r w:rsidRPr="00610B1B">
        <w:rPr>
          <w:rFonts w:ascii="Times New Roman" w:hAnsi="Times New Roman" w:cs="Times New Roman"/>
          <w:sz w:val="24"/>
          <w:szCs w:val="24"/>
          <w:lang w:val="bg-BG"/>
        </w:rPr>
        <w:t>5%).</w:t>
      </w:r>
      <w:r w:rsidR="007C3109" w:rsidRPr="00610B1B">
        <w:rPr>
          <w:rFonts w:ascii="Times New Roman" w:hAnsi="Times New Roman" w:cs="Times New Roman"/>
          <w:sz w:val="24"/>
          <w:szCs w:val="24"/>
          <w:lang w:val="bg-BG"/>
        </w:rPr>
        <w:t xml:space="preserve"> </w:t>
      </w:r>
    </w:p>
    <w:p w14:paraId="254BBF09" w14:textId="21183495"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Към 31.12.2018 г. </w:t>
      </w:r>
      <w:r w:rsidRPr="00610B1B">
        <w:rPr>
          <w:rFonts w:ascii="Times New Roman" w:hAnsi="Times New Roman" w:cs="Times New Roman"/>
          <w:b/>
          <w:bCs/>
          <w:sz w:val="24"/>
          <w:szCs w:val="24"/>
          <w:lang w:val="bg-BG"/>
        </w:rPr>
        <w:t xml:space="preserve">децата до 15 години </w:t>
      </w:r>
      <w:r w:rsidR="000434A3" w:rsidRPr="00610B1B">
        <w:rPr>
          <w:rFonts w:ascii="Times New Roman" w:hAnsi="Times New Roman" w:cs="Times New Roman"/>
          <w:bCs/>
          <w:sz w:val="24"/>
          <w:szCs w:val="24"/>
          <w:lang w:val="bg-BG"/>
        </w:rPr>
        <w:t>в общините са 110 522, или 15,</w:t>
      </w:r>
      <w:r w:rsidRPr="00610B1B">
        <w:rPr>
          <w:rFonts w:ascii="Times New Roman" w:hAnsi="Times New Roman" w:cs="Times New Roman"/>
          <w:bCs/>
          <w:sz w:val="24"/>
          <w:szCs w:val="24"/>
          <w:lang w:val="bg-BG"/>
        </w:rPr>
        <w:t xml:space="preserve">2% от общия брой </w:t>
      </w:r>
      <w:r w:rsidR="00853347" w:rsidRPr="00610B1B">
        <w:rPr>
          <w:rFonts w:ascii="Times New Roman" w:hAnsi="Times New Roman" w:cs="Times New Roman"/>
          <w:bCs/>
          <w:sz w:val="24"/>
          <w:szCs w:val="24"/>
          <w:lang w:val="bg-BG"/>
        </w:rPr>
        <w:t>н</w:t>
      </w:r>
      <w:r w:rsidRPr="00610B1B">
        <w:rPr>
          <w:rFonts w:ascii="Times New Roman" w:hAnsi="Times New Roman" w:cs="Times New Roman"/>
          <w:bCs/>
          <w:sz w:val="24"/>
          <w:szCs w:val="24"/>
          <w:lang w:val="bg-BG"/>
        </w:rPr>
        <w:t xml:space="preserve">а населението, </w:t>
      </w:r>
      <w:r w:rsidR="000434A3" w:rsidRPr="00610B1B">
        <w:rPr>
          <w:rFonts w:ascii="Times New Roman" w:hAnsi="Times New Roman" w:cs="Times New Roman"/>
          <w:sz w:val="24"/>
          <w:szCs w:val="24"/>
          <w:lang w:val="bg-BG"/>
        </w:rPr>
        <w:t>като за страната този дял е 14,</w:t>
      </w:r>
      <w:r w:rsidRPr="00610B1B">
        <w:rPr>
          <w:rFonts w:ascii="Times New Roman" w:hAnsi="Times New Roman" w:cs="Times New Roman"/>
          <w:sz w:val="24"/>
          <w:szCs w:val="24"/>
          <w:lang w:val="bg-BG"/>
        </w:rPr>
        <w:t>4%, или Черноморските общини имат п</w:t>
      </w:r>
      <w:r w:rsidR="000434A3" w:rsidRPr="00610B1B">
        <w:rPr>
          <w:rFonts w:ascii="Times New Roman" w:hAnsi="Times New Roman" w:cs="Times New Roman"/>
          <w:sz w:val="24"/>
          <w:szCs w:val="24"/>
          <w:lang w:val="bg-BG"/>
        </w:rPr>
        <w:t>о-благоприятен дял с 0,</w:t>
      </w:r>
      <w:r w:rsidRPr="00610B1B">
        <w:rPr>
          <w:rFonts w:ascii="Times New Roman" w:hAnsi="Times New Roman" w:cs="Times New Roman"/>
          <w:sz w:val="24"/>
          <w:szCs w:val="24"/>
          <w:lang w:val="bg-BG"/>
        </w:rPr>
        <w:t>8 процентни пункта.</w:t>
      </w:r>
      <w:r w:rsidR="000434A3"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Относителният дял на населението под 15 години е най-висок в общините Дол</w:t>
      </w:r>
      <w:r w:rsidR="000434A3" w:rsidRPr="00610B1B">
        <w:rPr>
          <w:rFonts w:ascii="Times New Roman" w:hAnsi="Times New Roman" w:cs="Times New Roman"/>
          <w:sz w:val="24"/>
          <w:szCs w:val="24"/>
          <w:lang w:val="bg-BG"/>
        </w:rPr>
        <w:t>ни чифлик – 17,9%, Аксаково – 15,7%, Бургас – 15,</w:t>
      </w:r>
      <w:r w:rsidRPr="00610B1B">
        <w:rPr>
          <w:rFonts w:ascii="Times New Roman" w:hAnsi="Times New Roman" w:cs="Times New Roman"/>
          <w:sz w:val="24"/>
          <w:szCs w:val="24"/>
          <w:lang w:val="bg-BG"/>
        </w:rPr>
        <w:t>6</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и Варна – </w:t>
      </w:r>
      <w:r w:rsidR="000434A3" w:rsidRPr="00610B1B">
        <w:rPr>
          <w:rFonts w:ascii="Times New Roman" w:hAnsi="Times New Roman" w:cs="Times New Roman"/>
          <w:sz w:val="24"/>
          <w:szCs w:val="24"/>
          <w:lang w:val="bg-BG"/>
        </w:rPr>
        <w:t>15,</w:t>
      </w:r>
      <w:r w:rsidRPr="00610B1B">
        <w:rPr>
          <w:rFonts w:ascii="Times New Roman" w:hAnsi="Times New Roman" w:cs="Times New Roman"/>
          <w:sz w:val="24"/>
          <w:szCs w:val="24"/>
          <w:lang w:val="bg-BG"/>
        </w:rPr>
        <w:t>1%</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 населението на общината. Общо в 8 общини този дял е под общия за страната, като на</w:t>
      </w:r>
      <w:r w:rsidR="000434A3" w:rsidRPr="00610B1B">
        <w:rPr>
          <w:rFonts w:ascii="Times New Roman" w:hAnsi="Times New Roman" w:cs="Times New Roman"/>
          <w:sz w:val="24"/>
          <w:szCs w:val="24"/>
          <w:lang w:val="bg-BG"/>
        </w:rPr>
        <w:t>й-нисък е в общините Шабла – 10,7%, Приморско – 12,1% и Созопол – 12,</w:t>
      </w:r>
      <w:r w:rsidRPr="00610B1B">
        <w:rPr>
          <w:rFonts w:ascii="Times New Roman" w:hAnsi="Times New Roman" w:cs="Times New Roman"/>
          <w:sz w:val="24"/>
          <w:szCs w:val="24"/>
          <w:lang w:val="bg-BG"/>
        </w:rPr>
        <w:t>2%.</w:t>
      </w:r>
    </w:p>
    <w:p w14:paraId="3DD4DE0A" w14:textId="6E3012F9"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Към 31.12.2018 г. населението във </w:t>
      </w:r>
      <w:r w:rsidRPr="00610B1B">
        <w:rPr>
          <w:rFonts w:ascii="Times New Roman" w:hAnsi="Times New Roman" w:cs="Times New Roman"/>
          <w:b/>
          <w:sz w:val="24"/>
          <w:szCs w:val="24"/>
          <w:lang w:val="bg-BG"/>
        </w:rPr>
        <w:t>възрастовата група 15 - 64 години</w:t>
      </w:r>
      <w:r w:rsidRPr="00610B1B">
        <w:rPr>
          <w:rFonts w:ascii="Times New Roman" w:hAnsi="Times New Roman" w:cs="Times New Roman"/>
          <w:sz w:val="24"/>
          <w:szCs w:val="24"/>
          <w:lang w:val="bg-BG"/>
        </w:rPr>
        <w:t xml:space="preserve"> в съставните общини е 479 310 души</w:t>
      </w:r>
      <w:r w:rsidR="000434A3" w:rsidRPr="00610B1B">
        <w:rPr>
          <w:rFonts w:ascii="Times New Roman" w:hAnsi="Times New Roman" w:cs="Times New Roman"/>
          <w:bCs/>
          <w:sz w:val="24"/>
          <w:szCs w:val="24"/>
          <w:lang w:val="bg-BG"/>
        </w:rPr>
        <w:t>, или 66,</w:t>
      </w:r>
      <w:r w:rsidRPr="00610B1B">
        <w:rPr>
          <w:rFonts w:ascii="Times New Roman" w:hAnsi="Times New Roman" w:cs="Times New Roman"/>
          <w:bCs/>
          <w:sz w:val="24"/>
          <w:szCs w:val="24"/>
          <w:lang w:val="bg-BG"/>
        </w:rPr>
        <w:t>0% от общия брой на населението,</w:t>
      </w:r>
      <w:r w:rsidRPr="00610B1B">
        <w:rPr>
          <w:rFonts w:ascii="Times New Roman" w:hAnsi="Times New Roman" w:cs="Times New Roman"/>
          <w:b/>
          <w:bCs/>
          <w:sz w:val="24"/>
          <w:szCs w:val="24"/>
          <w:lang w:val="bg-BG"/>
        </w:rPr>
        <w:t xml:space="preserve"> </w:t>
      </w:r>
      <w:r w:rsidRPr="00610B1B">
        <w:rPr>
          <w:rFonts w:ascii="Times New Roman" w:hAnsi="Times New Roman" w:cs="Times New Roman"/>
          <w:sz w:val="24"/>
          <w:szCs w:val="24"/>
          <w:lang w:val="bg-BG"/>
        </w:rPr>
        <w:t>като за страната средния</w:t>
      </w:r>
      <w:r w:rsidR="007C3109" w:rsidRPr="00610B1B">
        <w:rPr>
          <w:rFonts w:ascii="Times New Roman" w:hAnsi="Times New Roman" w:cs="Times New Roman"/>
          <w:sz w:val="24"/>
          <w:szCs w:val="24"/>
          <w:lang w:val="bg-BG"/>
        </w:rPr>
        <w:t>т</w:t>
      </w:r>
      <w:r w:rsidR="000434A3" w:rsidRPr="00610B1B">
        <w:rPr>
          <w:rFonts w:ascii="Times New Roman" w:hAnsi="Times New Roman" w:cs="Times New Roman"/>
          <w:sz w:val="24"/>
          <w:szCs w:val="24"/>
          <w:lang w:val="bg-BG"/>
        </w:rPr>
        <w:t xml:space="preserve"> дял е</w:t>
      </w:r>
      <w:r w:rsidR="00D66FE0" w:rsidRPr="00610B1B">
        <w:rPr>
          <w:rFonts w:ascii="Times New Roman" w:hAnsi="Times New Roman" w:cs="Times New Roman"/>
          <w:sz w:val="24"/>
          <w:szCs w:val="24"/>
          <w:lang w:val="bg-BG"/>
        </w:rPr>
        <w:t xml:space="preserve"> </w:t>
      </w:r>
      <w:r w:rsidR="000434A3" w:rsidRPr="00610B1B">
        <w:rPr>
          <w:rFonts w:ascii="Times New Roman" w:hAnsi="Times New Roman" w:cs="Times New Roman"/>
          <w:sz w:val="24"/>
          <w:szCs w:val="24"/>
          <w:lang w:val="bg-BG"/>
        </w:rPr>
        <w:t>64,</w:t>
      </w:r>
      <w:r w:rsidRPr="00610B1B">
        <w:rPr>
          <w:rFonts w:ascii="Times New Roman" w:hAnsi="Times New Roman" w:cs="Times New Roman"/>
          <w:sz w:val="24"/>
          <w:szCs w:val="24"/>
          <w:lang w:val="bg-BG"/>
        </w:rPr>
        <w:t>4%, или Черноморските общини имат по-благоприятен дял с 1.6 процентни пункта.</w:t>
      </w:r>
      <w:r w:rsidR="0062011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Относителният дял на населението в тази възрастова група е най-висок в общините Варна – 66</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9%, Бургас – 65</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9%, Поморие – 65</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3% и Приморско </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65</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2% от населението на общината. В</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6 общини </w:t>
      </w:r>
      <w:r w:rsidR="005D581C" w:rsidRPr="00610B1B">
        <w:rPr>
          <w:rFonts w:ascii="Times New Roman" w:hAnsi="Times New Roman" w:cs="Times New Roman"/>
          <w:sz w:val="24"/>
          <w:szCs w:val="24"/>
          <w:lang w:val="bg-BG"/>
        </w:rPr>
        <w:t>той</w:t>
      </w:r>
      <w:r w:rsidRPr="00610B1B">
        <w:rPr>
          <w:rFonts w:ascii="Times New Roman" w:hAnsi="Times New Roman" w:cs="Times New Roman"/>
          <w:sz w:val="24"/>
          <w:szCs w:val="24"/>
          <w:lang w:val="bg-BG"/>
        </w:rPr>
        <w:t xml:space="preserve"> е под общия за страната</w:t>
      </w:r>
      <w:r w:rsidR="007C3109" w:rsidRPr="00610B1B">
        <w:rPr>
          <w:rFonts w:ascii="Times New Roman" w:hAnsi="Times New Roman" w:cs="Times New Roman"/>
          <w:sz w:val="24"/>
          <w:szCs w:val="24"/>
          <w:lang w:val="bg-BG"/>
        </w:rPr>
        <w:t xml:space="preserve"> и е </w:t>
      </w:r>
      <w:r w:rsidRPr="00610B1B">
        <w:rPr>
          <w:rFonts w:ascii="Times New Roman" w:hAnsi="Times New Roman" w:cs="Times New Roman"/>
          <w:sz w:val="24"/>
          <w:szCs w:val="24"/>
          <w:lang w:val="bg-BG"/>
        </w:rPr>
        <w:t>най-нисък в общините Шабла – 58</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5%, Аврен – 60</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0% и Бяла – 62</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1% </w:t>
      </w:r>
    </w:p>
    <w:p w14:paraId="4E120C24" w14:textId="6AC2F0AE" w:rsidR="007C3109" w:rsidRPr="00610B1B" w:rsidRDefault="00E57141" w:rsidP="00261A06">
      <w:pPr>
        <w:spacing w:after="60" w:line="240" w:lineRule="auto"/>
        <w:ind w:right="-612"/>
        <w:jc w:val="both"/>
        <w:rPr>
          <w:rFonts w:ascii="Times New Roman" w:eastAsia="Lohit Devanagari" w:hAnsi="Times New Roman" w:cs="Times New Roman"/>
          <w:color w:val="00000A"/>
          <w:sz w:val="24"/>
          <w:szCs w:val="24"/>
          <w:lang w:val="bg-BG"/>
        </w:rPr>
      </w:pPr>
      <w:bookmarkStart w:id="310" w:name="_Toc83391601"/>
      <w:r w:rsidRPr="00610B1B">
        <w:rPr>
          <w:rFonts w:ascii="Times New Roman" w:eastAsia="Lohit Devanagari" w:hAnsi="Times New Roman" w:cs="Times New Roman"/>
          <w:color w:val="00000A"/>
          <w:sz w:val="24"/>
          <w:szCs w:val="24"/>
          <w:lang w:val="bg-BG"/>
        </w:rPr>
        <w:t xml:space="preserve">Таблица </w:t>
      </w:r>
      <w:r w:rsidRPr="00610B1B">
        <w:rPr>
          <w:rFonts w:ascii="Times New Roman" w:eastAsia="Lohit Devanagari" w:hAnsi="Times New Roman" w:cs="Times New Roman"/>
          <w:color w:val="00000A"/>
          <w:sz w:val="24"/>
          <w:szCs w:val="24"/>
          <w:lang w:val="bg-BG"/>
        </w:rPr>
        <w:fldChar w:fldCharType="begin"/>
      </w:r>
      <w:r w:rsidRPr="00610B1B">
        <w:rPr>
          <w:rFonts w:ascii="Times New Roman" w:eastAsia="Lohit Devanagari" w:hAnsi="Times New Roman" w:cs="Times New Roman"/>
          <w:color w:val="00000A"/>
          <w:sz w:val="24"/>
          <w:szCs w:val="24"/>
          <w:lang w:val="bg-BG"/>
        </w:rPr>
        <w:instrText xml:space="preserve"> SEQ Таблица \* ARABIC </w:instrText>
      </w:r>
      <w:r w:rsidRPr="00610B1B">
        <w:rPr>
          <w:rFonts w:ascii="Times New Roman" w:eastAsia="Lohit Devanagari" w:hAnsi="Times New Roman" w:cs="Times New Roman"/>
          <w:color w:val="00000A"/>
          <w:sz w:val="24"/>
          <w:szCs w:val="24"/>
          <w:lang w:val="bg-BG"/>
        </w:rPr>
        <w:fldChar w:fldCharType="separate"/>
      </w:r>
      <w:r w:rsidR="00260629" w:rsidRPr="00610B1B">
        <w:rPr>
          <w:rFonts w:ascii="Times New Roman" w:eastAsia="Lohit Devanagari" w:hAnsi="Times New Roman" w:cs="Times New Roman"/>
          <w:noProof/>
          <w:color w:val="00000A"/>
          <w:sz w:val="24"/>
          <w:szCs w:val="24"/>
          <w:lang w:val="bg-BG"/>
        </w:rPr>
        <w:t>5</w:t>
      </w:r>
      <w:r w:rsidRPr="00610B1B">
        <w:rPr>
          <w:rFonts w:ascii="Times New Roman" w:eastAsia="Lohit Devanagari" w:hAnsi="Times New Roman" w:cs="Times New Roman"/>
          <w:color w:val="00000A"/>
          <w:sz w:val="24"/>
          <w:szCs w:val="24"/>
          <w:lang w:val="bg-BG"/>
        </w:rPr>
        <w:fldChar w:fldCharType="end"/>
      </w:r>
      <w:r w:rsidRPr="00610B1B">
        <w:rPr>
          <w:rFonts w:ascii="Times New Roman" w:eastAsia="Lohit Devanagari" w:hAnsi="Times New Roman" w:cs="Times New Roman"/>
          <w:color w:val="00000A"/>
          <w:sz w:val="24"/>
          <w:szCs w:val="24"/>
          <w:lang w:val="bg-BG"/>
        </w:rPr>
        <w:t xml:space="preserve">: </w:t>
      </w:r>
      <w:r w:rsidR="007C3109" w:rsidRPr="00610B1B">
        <w:rPr>
          <w:rFonts w:ascii="Times New Roman" w:eastAsia="Lohit Devanagari" w:hAnsi="Times New Roman" w:cs="Times New Roman"/>
          <w:color w:val="00000A"/>
          <w:sz w:val="24"/>
          <w:szCs w:val="24"/>
          <w:lang w:val="bg-BG"/>
        </w:rPr>
        <w:t>Население към 31.12.2018 г. в Черноморските общини по основни възрастови групи</w:t>
      </w:r>
      <w:bookmarkEnd w:id="310"/>
    </w:p>
    <w:tbl>
      <w:tblPr>
        <w:tblW w:w="8587" w:type="dxa"/>
        <w:tblInd w:w="55" w:type="dxa"/>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1783"/>
        <w:gridCol w:w="1020"/>
        <w:gridCol w:w="1020"/>
        <w:gridCol w:w="1020"/>
        <w:gridCol w:w="1020"/>
        <w:gridCol w:w="881"/>
        <w:gridCol w:w="993"/>
        <w:gridCol w:w="850"/>
      </w:tblGrid>
      <w:tr w:rsidR="00325553" w:rsidRPr="00610B1B" w14:paraId="275CE966" w14:textId="77777777" w:rsidTr="001E3FED">
        <w:trPr>
          <w:trHeight w:val="255"/>
          <w:tblHeader/>
        </w:trPr>
        <w:tc>
          <w:tcPr>
            <w:tcW w:w="1783" w:type="dxa"/>
            <w:vMerge w:val="restart"/>
            <w:shd w:val="clear" w:color="auto" w:fill="C6D9F1" w:themeFill="text2" w:themeFillTint="33"/>
            <w:noWrap/>
            <w:vAlign w:val="center"/>
          </w:tcPr>
          <w:p w14:paraId="5368B91E" w14:textId="7777777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Общини</w:t>
            </w:r>
          </w:p>
        </w:tc>
        <w:tc>
          <w:tcPr>
            <w:tcW w:w="1020" w:type="dxa"/>
            <w:shd w:val="clear" w:color="auto" w:fill="C6D9F1" w:themeFill="text2" w:themeFillTint="33"/>
            <w:noWrap/>
            <w:vAlign w:val="bottom"/>
          </w:tcPr>
          <w:p w14:paraId="73928352" w14:textId="7777777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Общо</w:t>
            </w:r>
          </w:p>
        </w:tc>
        <w:tc>
          <w:tcPr>
            <w:tcW w:w="1020" w:type="dxa"/>
            <w:shd w:val="clear" w:color="auto" w:fill="C6D9F1" w:themeFill="text2" w:themeFillTint="33"/>
            <w:noWrap/>
            <w:vAlign w:val="bottom"/>
          </w:tcPr>
          <w:p w14:paraId="56C4CF4F" w14:textId="7777777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0-14</w:t>
            </w:r>
          </w:p>
        </w:tc>
        <w:tc>
          <w:tcPr>
            <w:tcW w:w="1020" w:type="dxa"/>
            <w:shd w:val="clear" w:color="auto" w:fill="C6D9F1" w:themeFill="text2" w:themeFillTint="33"/>
            <w:noWrap/>
            <w:vAlign w:val="bottom"/>
          </w:tcPr>
          <w:p w14:paraId="5751E08A" w14:textId="7777777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15-64</w:t>
            </w:r>
          </w:p>
        </w:tc>
        <w:tc>
          <w:tcPr>
            <w:tcW w:w="1020" w:type="dxa"/>
            <w:shd w:val="clear" w:color="auto" w:fill="C6D9F1" w:themeFill="text2" w:themeFillTint="33"/>
            <w:noWrap/>
            <w:vAlign w:val="bottom"/>
          </w:tcPr>
          <w:p w14:paraId="7B1FFBF9" w14:textId="7777777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65+</w:t>
            </w:r>
          </w:p>
        </w:tc>
        <w:tc>
          <w:tcPr>
            <w:tcW w:w="881" w:type="dxa"/>
            <w:shd w:val="clear" w:color="auto" w:fill="C6D9F1" w:themeFill="text2" w:themeFillTint="33"/>
            <w:vAlign w:val="bottom"/>
          </w:tcPr>
          <w:p w14:paraId="73278280" w14:textId="5FC4D93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0-14 %</w:t>
            </w:r>
          </w:p>
        </w:tc>
        <w:tc>
          <w:tcPr>
            <w:tcW w:w="993" w:type="dxa"/>
            <w:shd w:val="clear" w:color="auto" w:fill="C6D9F1" w:themeFill="text2" w:themeFillTint="33"/>
            <w:vAlign w:val="bottom"/>
          </w:tcPr>
          <w:p w14:paraId="0C13C845" w14:textId="3BD4F0D2"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15-64 %</w:t>
            </w:r>
          </w:p>
        </w:tc>
        <w:tc>
          <w:tcPr>
            <w:tcW w:w="850" w:type="dxa"/>
            <w:shd w:val="clear" w:color="auto" w:fill="C6D9F1" w:themeFill="text2" w:themeFillTint="33"/>
            <w:vAlign w:val="bottom"/>
          </w:tcPr>
          <w:p w14:paraId="06B3FC37" w14:textId="411079D2"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65 + %</w:t>
            </w:r>
          </w:p>
        </w:tc>
      </w:tr>
      <w:tr w:rsidR="00325553" w:rsidRPr="00610B1B" w14:paraId="7CAB7C79" w14:textId="77777777" w:rsidTr="001E3FED">
        <w:trPr>
          <w:trHeight w:val="300"/>
          <w:tblHeader/>
        </w:trPr>
        <w:tc>
          <w:tcPr>
            <w:tcW w:w="1783" w:type="dxa"/>
            <w:vMerge/>
            <w:shd w:val="clear" w:color="auto" w:fill="C6D9F1" w:themeFill="text2" w:themeFillTint="33"/>
            <w:vAlign w:val="center"/>
          </w:tcPr>
          <w:p w14:paraId="3272AAD3" w14:textId="77777777" w:rsidR="00325553" w:rsidRPr="00610B1B" w:rsidRDefault="00325553" w:rsidP="00D32D6A">
            <w:pPr>
              <w:spacing w:after="0" w:line="240" w:lineRule="auto"/>
              <w:rPr>
                <w:rFonts w:ascii="Times New Roman" w:hAnsi="Times New Roman" w:cs="Times New Roman"/>
                <w:b/>
                <w:bCs/>
                <w:color w:val="000000"/>
                <w:lang w:val="bg-BG"/>
              </w:rPr>
            </w:pPr>
          </w:p>
        </w:tc>
        <w:tc>
          <w:tcPr>
            <w:tcW w:w="4080" w:type="dxa"/>
            <w:gridSpan w:val="4"/>
            <w:shd w:val="clear" w:color="auto" w:fill="C6D9F1" w:themeFill="text2" w:themeFillTint="33"/>
            <w:noWrap/>
            <w:vAlign w:val="bottom"/>
          </w:tcPr>
          <w:p w14:paraId="7410200A" w14:textId="77777777" w:rsidR="00325553" w:rsidRPr="00610B1B" w:rsidRDefault="00325553" w:rsidP="00D32D6A">
            <w:pPr>
              <w:spacing w:after="0" w:line="240" w:lineRule="auto"/>
              <w:jc w:val="center"/>
              <w:rPr>
                <w:rFonts w:ascii="Times New Roman" w:hAnsi="Times New Roman" w:cs="Times New Roman"/>
                <w:b/>
                <w:bCs/>
                <w:color w:val="000000"/>
                <w:lang w:val="bg-BG"/>
              </w:rPr>
            </w:pPr>
            <w:r w:rsidRPr="00610B1B">
              <w:rPr>
                <w:rFonts w:ascii="Times New Roman" w:hAnsi="Times New Roman" w:cs="Times New Roman"/>
                <w:b/>
                <w:bCs/>
                <w:color w:val="000000"/>
                <w:lang w:val="bg-BG"/>
              </w:rPr>
              <w:t>брой</w:t>
            </w:r>
          </w:p>
        </w:tc>
        <w:tc>
          <w:tcPr>
            <w:tcW w:w="2724" w:type="dxa"/>
            <w:gridSpan w:val="3"/>
            <w:shd w:val="clear" w:color="auto" w:fill="C6D9F1" w:themeFill="text2" w:themeFillTint="33"/>
            <w:vAlign w:val="bottom"/>
          </w:tcPr>
          <w:p w14:paraId="33787EB9" w14:textId="4DC65D03" w:rsidR="00325553" w:rsidRPr="00610B1B" w:rsidRDefault="00325553" w:rsidP="00D32D6A">
            <w:pPr>
              <w:spacing w:after="0" w:line="240" w:lineRule="auto"/>
              <w:jc w:val="center"/>
              <w:rPr>
                <w:rFonts w:ascii="Times New Roman" w:hAnsi="Times New Roman" w:cs="Times New Roman"/>
                <w:b/>
                <w:bCs/>
                <w:lang w:val="bg-BG"/>
              </w:rPr>
            </w:pPr>
            <w:r w:rsidRPr="00610B1B">
              <w:rPr>
                <w:rFonts w:ascii="Times New Roman" w:hAnsi="Times New Roman" w:cs="Times New Roman"/>
                <w:b/>
                <w:bCs/>
                <w:lang w:val="bg-BG"/>
              </w:rPr>
              <w:t>относителен дял - %</w:t>
            </w:r>
          </w:p>
        </w:tc>
      </w:tr>
      <w:tr w:rsidR="00325553" w:rsidRPr="00610B1B" w14:paraId="6C752D0A" w14:textId="77777777" w:rsidTr="001E3FED">
        <w:trPr>
          <w:trHeight w:val="255"/>
        </w:trPr>
        <w:tc>
          <w:tcPr>
            <w:tcW w:w="1783" w:type="dxa"/>
            <w:shd w:val="clear" w:color="auto" w:fill="auto"/>
            <w:noWrap/>
            <w:vAlign w:val="bottom"/>
          </w:tcPr>
          <w:p w14:paraId="59D3185B" w14:textId="77777777" w:rsidR="00325553" w:rsidRPr="00610B1B" w:rsidRDefault="00325553" w:rsidP="00D32D6A">
            <w:pPr>
              <w:spacing w:after="0" w:line="240" w:lineRule="auto"/>
              <w:rPr>
                <w:rFonts w:ascii="Times New Roman" w:hAnsi="Times New Roman" w:cs="Times New Roman"/>
                <w:b/>
                <w:bCs/>
                <w:color w:val="000000"/>
                <w:lang w:val="bg-BG"/>
              </w:rPr>
            </w:pPr>
            <w:r w:rsidRPr="00610B1B">
              <w:rPr>
                <w:rFonts w:ascii="Times New Roman" w:hAnsi="Times New Roman" w:cs="Times New Roman"/>
                <w:b/>
                <w:bCs/>
                <w:color w:val="000000"/>
                <w:lang w:val="bg-BG"/>
              </w:rPr>
              <w:t>България</w:t>
            </w:r>
          </w:p>
        </w:tc>
        <w:tc>
          <w:tcPr>
            <w:tcW w:w="1020" w:type="dxa"/>
            <w:shd w:val="clear" w:color="auto" w:fill="auto"/>
            <w:noWrap/>
            <w:vAlign w:val="bottom"/>
          </w:tcPr>
          <w:p w14:paraId="125A3234" w14:textId="76626A7F" w:rsidR="00325553" w:rsidRPr="00610B1B" w:rsidRDefault="00325553" w:rsidP="00D32D6A">
            <w:pPr>
              <w:spacing w:after="0" w:line="240" w:lineRule="auto"/>
              <w:jc w:val="right"/>
              <w:rPr>
                <w:rFonts w:ascii="Times New Roman" w:hAnsi="Times New Roman" w:cs="Times New Roman"/>
                <w:b/>
                <w:bCs/>
                <w:color w:val="000000"/>
                <w:lang w:val="bg-BG"/>
              </w:rPr>
            </w:pPr>
            <w:r w:rsidRPr="00610B1B">
              <w:rPr>
                <w:rFonts w:ascii="Times New Roman" w:hAnsi="Times New Roman" w:cs="Times New Roman"/>
                <w:b/>
                <w:bCs/>
                <w:color w:val="000000"/>
                <w:lang w:val="bg-BG"/>
              </w:rPr>
              <w:t>7 000 039</w:t>
            </w:r>
          </w:p>
        </w:tc>
        <w:tc>
          <w:tcPr>
            <w:tcW w:w="1020" w:type="dxa"/>
            <w:shd w:val="clear" w:color="auto" w:fill="auto"/>
            <w:noWrap/>
            <w:vAlign w:val="bottom"/>
          </w:tcPr>
          <w:p w14:paraId="2944B1E2" w14:textId="657A3FB2" w:rsidR="00325553" w:rsidRPr="00610B1B" w:rsidRDefault="00325553" w:rsidP="00D32D6A">
            <w:pPr>
              <w:spacing w:after="0" w:line="240" w:lineRule="auto"/>
              <w:jc w:val="right"/>
              <w:rPr>
                <w:rFonts w:ascii="Times New Roman" w:hAnsi="Times New Roman" w:cs="Times New Roman"/>
                <w:b/>
                <w:bCs/>
                <w:color w:val="000000"/>
                <w:lang w:val="bg-BG"/>
              </w:rPr>
            </w:pPr>
            <w:r w:rsidRPr="00610B1B">
              <w:rPr>
                <w:rFonts w:ascii="Times New Roman" w:hAnsi="Times New Roman" w:cs="Times New Roman"/>
                <w:b/>
                <w:bCs/>
                <w:color w:val="000000"/>
                <w:lang w:val="bg-BG"/>
              </w:rPr>
              <w:t>1 004 845</w:t>
            </w:r>
          </w:p>
        </w:tc>
        <w:tc>
          <w:tcPr>
            <w:tcW w:w="1020" w:type="dxa"/>
            <w:shd w:val="clear" w:color="auto" w:fill="auto"/>
            <w:noWrap/>
            <w:vAlign w:val="bottom"/>
          </w:tcPr>
          <w:p w14:paraId="4B68FF65" w14:textId="4992B559" w:rsidR="00325553" w:rsidRPr="00610B1B" w:rsidRDefault="00325553" w:rsidP="00D32D6A">
            <w:pPr>
              <w:spacing w:after="0" w:line="240" w:lineRule="auto"/>
              <w:jc w:val="right"/>
              <w:rPr>
                <w:rFonts w:ascii="Times New Roman" w:hAnsi="Times New Roman" w:cs="Times New Roman"/>
                <w:b/>
                <w:bCs/>
                <w:color w:val="000000"/>
                <w:lang w:val="bg-BG"/>
              </w:rPr>
            </w:pPr>
            <w:r w:rsidRPr="00610B1B">
              <w:rPr>
                <w:rFonts w:ascii="Times New Roman" w:hAnsi="Times New Roman" w:cs="Times New Roman"/>
                <w:b/>
                <w:bCs/>
                <w:color w:val="000000"/>
                <w:lang w:val="bg-BG"/>
              </w:rPr>
              <w:t>4 502 075</w:t>
            </w:r>
          </w:p>
        </w:tc>
        <w:tc>
          <w:tcPr>
            <w:tcW w:w="1020" w:type="dxa"/>
            <w:shd w:val="clear" w:color="auto" w:fill="auto"/>
            <w:noWrap/>
            <w:vAlign w:val="bottom"/>
          </w:tcPr>
          <w:p w14:paraId="161AACCC" w14:textId="75685813"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1 493 119</w:t>
            </w:r>
          </w:p>
        </w:tc>
        <w:tc>
          <w:tcPr>
            <w:tcW w:w="881" w:type="dxa"/>
            <w:vAlign w:val="bottom"/>
          </w:tcPr>
          <w:p w14:paraId="04FB7161" w14:textId="316F72BF"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14,4</w:t>
            </w:r>
          </w:p>
        </w:tc>
        <w:tc>
          <w:tcPr>
            <w:tcW w:w="993" w:type="dxa"/>
            <w:vAlign w:val="bottom"/>
          </w:tcPr>
          <w:p w14:paraId="2A923443" w14:textId="514FFF21"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64,3</w:t>
            </w:r>
          </w:p>
        </w:tc>
        <w:tc>
          <w:tcPr>
            <w:tcW w:w="850" w:type="dxa"/>
            <w:vAlign w:val="bottom"/>
          </w:tcPr>
          <w:p w14:paraId="5E7E5BB2" w14:textId="79477E5E"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21,3</w:t>
            </w:r>
          </w:p>
        </w:tc>
      </w:tr>
      <w:tr w:rsidR="00325553" w:rsidRPr="00610B1B" w14:paraId="50644F6B" w14:textId="77777777" w:rsidTr="001E3FED">
        <w:trPr>
          <w:trHeight w:val="255"/>
        </w:trPr>
        <w:tc>
          <w:tcPr>
            <w:tcW w:w="1783" w:type="dxa"/>
            <w:shd w:val="clear" w:color="auto" w:fill="auto"/>
            <w:noWrap/>
            <w:vAlign w:val="bottom"/>
          </w:tcPr>
          <w:p w14:paraId="664DC859" w14:textId="77777777" w:rsidR="00325553" w:rsidRPr="00610B1B" w:rsidRDefault="00325553" w:rsidP="00D32D6A">
            <w:pPr>
              <w:spacing w:after="0" w:line="240" w:lineRule="auto"/>
              <w:rPr>
                <w:rFonts w:ascii="Times New Roman" w:hAnsi="Times New Roman" w:cs="Times New Roman"/>
                <w:b/>
                <w:bCs/>
                <w:color w:val="000000"/>
                <w:lang w:val="bg-BG"/>
              </w:rPr>
            </w:pPr>
            <w:r w:rsidRPr="00610B1B">
              <w:rPr>
                <w:rFonts w:ascii="Times New Roman" w:hAnsi="Times New Roman" w:cs="Times New Roman"/>
                <w:b/>
                <w:bCs/>
                <w:color w:val="000000"/>
                <w:lang w:val="bg-BG"/>
              </w:rPr>
              <w:t xml:space="preserve">Черноморки </w:t>
            </w:r>
          </w:p>
        </w:tc>
        <w:tc>
          <w:tcPr>
            <w:tcW w:w="1020" w:type="dxa"/>
            <w:shd w:val="clear" w:color="auto" w:fill="auto"/>
            <w:noWrap/>
            <w:vAlign w:val="bottom"/>
          </w:tcPr>
          <w:p w14:paraId="510BF7F1" w14:textId="456E7E8D"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726 745</w:t>
            </w:r>
          </w:p>
        </w:tc>
        <w:tc>
          <w:tcPr>
            <w:tcW w:w="1020" w:type="dxa"/>
            <w:shd w:val="clear" w:color="auto" w:fill="auto"/>
            <w:noWrap/>
            <w:vAlign w:val="bottom"/>
          </w:tcPr>
          <w:p w14:paraId="5333AAD2" w14:textId="1C71664E"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110 522</w:t>
            </w:r>
          </w:p>
        </w:tc>
        <w:tc>
          <w:tcPr>
            <w:tcW w:w="1020" w:type="dxa"/>
            <w:shd w:val="clear" w:color="auto" w:fill="auto"/>
            <w:noWrap/>
            <w:vAlign w:val="bottom"/>
          </w:tcPr>
          <w:p w14:paraId="002D2511" w14:textId="2AE7DF61"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479 310</w:t>
            </w:r>
          </w:p>
        </w:tc>
        <w:tc>
          <w:tcPr>
            <w:tcW w:w="1020" w:type="dxa"/>
            <w:shd w:val="clear" w:color="auto" w:fill="auto"/>
            <w:noWrap/>
            <w:vAlign w:val="bottom"/>
          </w:tcPr>
          <w:p w14:paraId="5EF3AA6E" w14:textId="3F07D7A0"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136 913</w:t>
            </w:r>
          </w:p>
        </w:tc>
        <w:tc>
          <w:tcPr>
            <w:tcW w:w="881" w:type="dxa"/>
            <w:vAlign w:val="bottom"/>
          </w:tcPr>
          <w:p w14:paraId="5997259C" w14:textId="1B91E16E"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15,2</w:t>
            </w:r>
          </w:p>
        </w:tc>
        <w:tc>
          <w:tcPr>
            <w:tcW w:w="993" w:type="dxa"/>
            <w:vAlign w:val="bottom"/>
          </w:tcPr>
          <w:p w14:paraId="7E2F83A0" w14:textId="3D39484A"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66,0</w:t>
            </w:r>
          </w:p>
        </w:tc>
        <w:tc>
          <w:tcPr>
            <w:tcW w:w="850" w:type="dxa"/>
            <w:vAlign w:val="bottom"/>
          </w:tcPr>
          <w:p w14:paraId="36D55B40" w14:textId="52DADFCD" w:rsidR="00325553" w:rsidRPr="00610B1B" w:rsidRDefault="00325553" w:rsidP="00D32D6A">
            <w:pPr>
              <w:spacing w:after="0" w:line="240" w:lineRule="auto"/>
              <w:jc w:val="right"/>
              <w:rPr>
                <w:rFonts w:ascii="Times New Roman" w:hAnsi="Times New Roman" w:cs="Times New Roman"/>
                <w:b/>
                <w:bCs/>
                <w:lang w:val="bg-BG"/>
              </w:rPr>
            </w:pPr>
            <w:r w:rsidRPr="00610B1B">
              <w:rPr>
                <w:rFonts w:ascii="Times New Roman" w:hAnsi="Times New Roman" w:cs="Times New Roman"/>
                <w:b/>
                <w:bCs/>
                <w:lang w:val="bg-BG"/>
              </w:rPr>
              <w:t>18,8</w:t>
            </w:r>
          </w:p>
        </w:tc>
      </w:tr>
      <w:tr w:rsidR="00325553" w:rsidRPr="00610B1B" w14:paraId="3C15720D" w14:textId="77777777" w:rsidTr="001E3FED">
        <w:trPr>
          <w:trHeight w:val="255"/>
        </w:trPr>
        <w:tc>
          <w:tcPr>
            <w:tcW w:w="1783" w:type="dxa"/>
            <w:shd w:val="clear" w:color="auto" w:fill="auto"/>
            <w:noWrap/>
            <w:vAlign w:val="bottom"/>
          </w:tcPr>
          <w:p w14:paraId="3347994F"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Шабла</w:t>
            </w:r>
          </w:p>
        </w:tc>
        <w:tc>
          <w:tcPr>
            <w:tcW w:w="1020" w:type="dxa"/>
            <w:shd w:val="clear" w:color="auto" w:fill="auto"/>
            <w:noWrap/>
            <w:vAlign w:val="bottom"/>
          </w:tcPr>
          <w:p w14:paraId="5CD13294" w14:textId="3AF9B440"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4 367</w:t>
            </w:r>
          </w:p>
        </w:tc>
        <w:tc>
          <w:tcPr>
            <w:tcW w:w="1020" w:type="dxa"/>
            <w:shd w:val="clear" w:color="auto" w:fill="auto"/>
            <w:noWrap/>
            <w:vAlign w:val="bottom"/>
          </w:tcPr>
          <w:p w14:paraId="608E5186" w14:textId="77777777"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468</w:t>
            </w:r>
          </w:p>
        </w:tc>
        <w:tc>
          <w:tcPr>
            <w:tcW w:w="1020" w:type="dxa"/>
            <w:shd w:val="clear" w:color="auto" w:fill="auto"/>
            <w:noWrap/>
            <w:vAlign w:val="bottom"/>
          </w:tcPr>
          <w:p w14:paraId="4EDA61E3" w14:textId="1138FB0B"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2 554</w:t>
            </w:r>
          </w:p>
        </w:tc>
        <w:tc>
          <w:tcPr>
            <w:tcW w:w="1020" w:type="dxa"/>
            <w:shd w:val="clear" w:color="auto" w:fill="auto"/>
            <w:noWrap/>
            <w:vAlign w:val="bottom"/>
          </w:tcPr>
          <w:p w14:paraId="2AEA23FF" w14:textId="50E771E9"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1 345</w:t>
            </w:r>
          </w:p>
        </w:tc>
        <w:tc>
          <w:tcPr>
            <w:tcW w:w="881" w:type="dxa"/>
            <w:vAlign w:val="bottom"/>
          </w:tcPr>
          <w:p w14:paraId="610DB052" w14:textId="4681FCD9"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10,7</w:t>
            </w:r>
          </w:p>
        </w:tc>
        <w:tc>
          <w:tcPr>
            <w:tcW w:w="993" w:type="dxa"/>
            <w:vAlign w:val="bottom"/>
          </w:tcPr>
          <w:p w14:paraId="583BDA2D" w14:textId="168AACA3"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58,5</w:t>
            </w:r>
          </w:p>
        </w:tc>
        <w:tc>
          <w:tcPr>
            <w:tcW w:w="850" w:type="dxa"/>
            <w:vAlign w:val="bottom"/>
          </w:tcPr>
          <w:p w14:paraId="3C71B262" w14:textId="1E59AEC2"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30,8</w:t>
            </w:r>
          </w:p>
        </w:tc>
      </w:tr>
      <w:tr w:rsidR="00325553" w:rsidRPr="00610B1B" w14:paraId="7F43B588" w14:textId="77777777" w:rsidTr="001E3FED">
        <w:trPr>
          <w:trHeight w:val="255"/>
        </w:trPr>
        <w:tc>
          <w:tcPr>
            <w:tcW w:w="1783" w:type="dxa"/>
            <w:shd w:val="clear" w:color="auto" w:fill="auto"/>
            <w:noWrap/>
            <w:vAlign w:val="bottom"/>
          </w:tcPr>
          <w:p w14:paraId="1DC53F41"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Каварна</w:t>
            </w:r>
          </w:p>
        </w:tc>
        <w:tc>
          <w:tcPr>
            <w:tcW w:w="1020" w:type="dxa"/>
            <w:shd w:val="clear" w:color="auto" w:fill="auto"/>
            <w:noWrap/>
            <w:vAlign w:val="bottom"/>
          </w:tcPr>
          <w:p w14:paraId="331874FC" w14:textId="1884CA9A"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14 020</w:t>
            </w:r>
          </w:p>
        </w:tc>
        <w:tc>
          <w:tcPr>
            <w:tcW w:w="1020" w:type="dxa"/>
            <w:shd w:val="clear" w:color="auto" w:fill="auto"/>
            <w:noWrap/>
            <w:vAlign w:val="bottom"/>
          </w:tcPr>
          <w:p w14:paraId="4C4CAF41" w14:textId="1FC2DA2F"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1 964</w:t>
            </w:r>
          </w:p>
        </w:tc>
        <w:tc>
          <w:tcPr>
            <w:tcW w:w="1020" w:type="dxa"/>
            <w:shd w:val="clear" w:color="auto" w:fill="auto"/>
            <w:noWrap/>
            <w:vAlign w:val="bottom"/>
          </w:tcPr>
          <w:p w14:paraId="34EC23EF" w14:textId="520390CA"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8 903</w:t>
            </w:r>
          </w:p>
        </w:tc>
        <w:tc>
          <w:tcPr>
            <w:tcW w:w="1020" w:type="dxa"/>
            <w:shd w:val="clear" w:color="auto" w:fill="auto"/>
            <w:noWrap/>
            <w:vAlign w:val="bottom"/>
          </w:tcPr>
          <w:p w14:paraId="622B6110" w14:textId="349EF345"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3 153</w:t>
            </w:r>
          </w:p>
        </w:tc>
        <w:tc>
          <w:tcPr>
            <w:tcW w:w="881" w:type="dxa"/>
            <w:vAlign w:val="bottom"/>
          </w:tcPr>
          <w:p w14:paraId="4F52A033" w14:textId="03CDDA0A"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14,0</w:t>
            </w:r>
          </w:p>
        </w:tc>
        <w:tc>
          <w:tcPr>
            <w:tcW w:w="993" w:type="dxa"/>
            <w:vAlign w:val="bottom"/>
          </w:tcPr>
          <w:p w14:paraId="7828144B" w14:textId="65322216"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63,5</w:t>
            </w:r>
          </w:p>
        </w:tc>
        <w:tc>
          <w:tcPr>
            <w:tcW w:w="850" w:type="dxa"/>
            <w:vAlign w:val="bottom"/>
          </w:tcPr>
          <w:p w14:paraId="3DA1ED8B" w14:textId="5DDE369D"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22,5</w:t>
            </w:r>
          </w:p>
        </w:tc>
      </w:tr>
      <w:tr w:rsidR="00325553" w:rsidRPr="00610B1B" w14:paraId="050A9586" w14:textId="77777777" w:rsidTr="001E3FED">
        <w:trPr>
          <w:trHeight w:val="255"/>
        </w:trPr>
        <w:tc>
          <w:tcPr>
            <w:tcW w:w="1783" w:type="dxa"/>
            <w:shd w:val="clear" w:color="auto" w:fill="auto"/>
            <w:noWrap/>
            <w:vAlign w:val="bottom"/>
          </w:tcPr>
          <w:p w14:paraId="63982023"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Балчик</w:t>
            </w:r>
          </w:p>
        </w:tc>
        <w:tc>
          <w:tcPr>
            <w:tcW w:w="1020" w:type="dxa"/>
            <w:shd w:val="clear" w:color="auto" w:fill="auto"/>
            <w:noWrap/>
            <w:vAlign w:val="bottom"/>
          </w:tcPr>
          <w:p w14:paraId="5E15C7B0" w14:textId="395D3722"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19 331</w:t>
            </w:r>
          </w:p>
        </w:tc>
        <w:tc>
          <w:tcPr>
            <w:tcW w:w="1020" w:type="dxa"/>
            <w:shd w:val="clear" w:color="auto" w:fill="auto"/>
            <w:noWrap/>
            <w:vAlign w:val="bottom"/>
          </w:tcPr>
          <w:p w14:paraId="049A9723" w14:textId="55BBC6B4"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2 674</w:t>
            </w:r>
          </w:p>
        </w:tc>
        <w:tc>
          <w:tcPr>
            <w:tcW w:w="1020" w:type="dxa"/>
            <w:shd w:val="clear" w:color="auto" w:fill="auto"/>
            <w:noWrap/>
            <w:vAlign w:val="bottom"/>
          </w:tcPr>
          <w:p w14:paraId="39A4D848" w14:textId="6DD66D4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12 520</w:t>
            </w:r>
          </w:p>
        </w:tc>
        <w:tc>
          <w:tcPr>
            <w:tcW w:w="1020" w:type="dxa"/>
            <w:shd w:val="clear" w:color="auto" w:fill="auto"/>
            <w:noWrap/>
            <w:vAlign w:val="bottom"/>
          </w:tcPr>
          <w:p w14:paraId="040A0F56" w14:textId="750AA669"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4 137</w:t>
            </w:r>
          </w:p>
        </w:tc>
        <w:tc>
          <w:tcPr>
            <w:tcW w:w="881" w:type="dxa"/>
            <w:vAlign w:val="bottom"/>
          </w:tcPr>
          <w:p w14:paraId="25B8DCE1" w14:textId="0B3276DF"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13,8</w:t>
            </w:r>
          </w:p>
        </w:tc>
        <w:tc>
          <w:tcPr>
            <w:tcW w:w="993" w:type="dxa"/>
            <w:vAlign w:val="bottom"/>
          </w:tcPr>
          <w:p w14:paraId="665868F8" w14:textId="2FD8A82F"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64,8</w:t>
            </w:r>
          </w:p>
        </w:tc>
        <w:tc>
          <w:tcPr>
            <w:tcW w:w="850" w:type="dxa"/>
            <w:vAlign w:val="bottom"/>
          </w:tcPr>
          <w:p w14:paraId="38434B8E" w14:textId="77E5A57C"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21,4</w:t>
            </w:r>
          </w:p>
        </w:tc>
      </w:tr>
      <w:tr w:rsidR="00325553" w:rsidRPr="00610B1B" w14:paraId="37324E71" w14:textId="77777777" w:rsidTr="001E3FED">
        <w:trPr>
          <w:trHeight w:val="255"/>
        </w:trPr>
        <w:tc>
          <w:tcPr>
            <w:tcW w:w="1783" w:type="dxa"/>
            <w:shd w:val="clear" w:color="auto" w:fill="auto"/>
            <w:noWrap/>
            <w:vAlign w:val="bottom"/>
          </w:tcPr>
          <w:p w14:paraId="0216F8E5"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Аксаково</w:t>
            </w:r>
          </w:p>
        </w:tc>
        <w:tc>
          <w:tcPr>
            <w:tcW w:w="1020" w:type="dxa"/>
            <w:shd w:val="clear" w:color="auto" w:fill="auto"/>
            <w:noWrap/>
            <w:vAlign w:val="bottom"/>
          </w:tcPr>
          <w:p w14:paraId="46571A0B" w14:textId="4818EE3D"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20 557</w:t>
            </w:r>
          </w:p>
        </w:tc>
        <w:tc>
          <w:tcPr>
            <w:tcW w:w="1020" w:type="dxa"/>
            <w:shd w:val="clear" w:color="auto" w:fill="auto"/>
            <w:noWrap/>
            <w:vAlign w:val="bottom"/>
          </w:tcPr>
          <w:p w14:paraId="168F0253" w14:textId="378A751E"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3 225</w:t>
            </w:r>
          </w:p>
        </w:tc>
        <w:tc>
          <w:tcPr>
            <w:tcW w:w="1020" w:type="dxa"/>
            <w:shd w:val="clear" w:color="auto" w:fill="auto"/>
            <w:noWrap/>
            <w:vAlign w:val="bottom"/>
          </w:tcPr>
          <w:p w14:paraId="0758EAF8" w14:textId="562AF2BE"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13 114</w:t>
            </w:r>
          </w:p>
        </w:tc>
        <w:tc>
          <w:tcPr>
            <w:tcW w:w="1020" w:type="dxa"/>
            <w:shd w:val="clear" w:color="auto" w:fill="auto"/>
            <w:noWrap/>
            <w:vAlign w:val="bottom"/>
          </w:tcPr>
          <w:p w14:paraId="793AE423" w14:textId="5A1865EA"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4 218</w:t>
            </w:r>
          </w:p>
        </w:tc>
        <w:tc>
          <w:tcPr>
            <w:tcW w:w="881" w:type="dxa"/>
            <w:vAlign w:val="bottom"/>
          </w:tcPr>
          <w:p w14:paraId="20A8CE00" w14:textId="2A06F632"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15,7</w:t>
            </w:r>
          </w:p>
        </w:tc>
        <w:tc>
          <w:tcPr>
            <w:tcW w:w="993" w:type="dxa"/>
            <w:vAlign w:val="bottom"/>
          </w:tcPr>
          <w:p w14:paraId="260FC72C" w14:textId="3FFE7A5B"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63,8</w:t>
            </w:r>
          </w:p>
        </w:tc>
        <w:tc>
          <w:tcPr>
            <w:tcW w:w="850" w:type="dxa"/>
            <w:vAlign w:val="bottom"/>
          </w:tcPr>
          <w:p w14:paraId="55A41E08" w14:textId="5329359D"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20,5</w:t>
            </w:r>
          </w:p>
        </w:tc>
      </w:tr>
      <w:tr w:rsidR="00325553" w:rsidRPr="00610B1B" w14:paraId="52809223" w14:textId="77777777" w:rsidTr="001E3FED">
        <w:trPr>
          <w:trHeight w:val="255"/>
        </w:trPr>
        <w:tc>
          <w:tcPr>
            <w:tcW w:w="1783" w:type="dxa"/>
            <w:shd w:val="clear" w:color="auto" w:fill="auto"/>
            <w:noWrap/>
            <w:vAlign w:val="bottom"/>
          </w:tcPr>
          <w:p w14:paraId="1FF82868"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Варна</w:t>
            </w:r>
          </w:p>
        </w:tc>
        <w:tc>
          <w:tcPr>
            <w:tcW w:w="1020" w:type="dxa"/>
            <w:shd w:val="clear" w:color="auto" w:fill="auto"/>
            <w:noWrap/>
            <w:vAlign w:val="bottom"/>
          </w:tcPr>
          <w:p w14:paraId="0E32F214" w14:textId="3367FFBC"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345369</w:t>
            </w:r>
          </w:p>
        </w:tc>
        <w:tc>
          <w:tcPr>
            <w:tcW w:w="1020" w:type="dxa"/>
            <w:shd w:val="clear" w:color="auto" w:fill="auto"/>
            <w:noWrap/>
            <w:vAlign w:val="bottom"/>
          </w:tcPr>
          <w:p w14:paraId="537DAA01" w14:textId="46E76E97"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52 686</w:t>
            </w:r>
          </w:p>
        </w:tc>
        <w:tc>
          <w:tcPr>
            <w:tcW w:w="1020" w:type="dxa"/>
            <w:shd w:val="clear" w:color="auto" w:fill="auto"/>
            <w:noWrap/>
            <w:vAlign w:val="bottom"/>
          </w:tcPr>
          <w:p w14:paraId="16EFBFCF" w14:textId="48AF3478"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231 024</w:t>
            </w:r>
          </w:p>
        </w:tc>
        <w:tc>
          <w:tcPr>
            <w:tcW w:w="1020" w:type="dxa"/>
            <w:shd w:val="clear" w:color="auto" w:fill="auto"/>
            <w:noWrap/>
            <w:vAlign w:val="bottom"/>
          </w:tcPr>
          <w:p w14:paraId="069E1AB4" w14:textId="6AA1BE8F"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61 659</w:t>
            </w:r>
          </w:p>
        </w:tc>
        <w:tc>
          <w:tcPr>
            <w:tcW w:w="881" w:type="dxa"/>
            <w:vAlign w:val="bottom"/>
          </w:tcPr>
          <w:p w14:paraId="4B6BD6C5" w14:textId="681FA3F1"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15,3</w:t>
            </w:r>
          </w:p>
        </w:tc>
        <w:tc>
          <w:tcPr>
            <w:tcW w:w="993" w:type="dxa"/>
            <w:vAlign w:val="bottom"/>
          </w:tcPr>
          <w:p w14:paraId="52AD3AB7" w14:textId="06F3A0C8"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66,9</w:t>
            </w:r>
          </w:p>
        </w:tc>
        <w:tc>
          <w:tcPr>
            <w:tcW w:w="850" w:type="dxa"/>
            <w:vAlign w:val="bottom"/>
          </w:tcPr>
          <w:p w14:paraId="4E72220B" w14:textId="47A72FC7"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17,9</w:t>
            </w:r>
          </w:p>
        </w:tc>
      </w:tr>
      <w:tr w:rsidR="00325553" w:rsidRPr="00610B1B" w14:paraId="072D45F6" w14:textId="77777777" w:rsidTr="001E3FED">
        <w:trPr>
          <w:trHeight w:val="255"/>
        </w:trPr>
        <w:tc>
          <w:tcPr>
            <w:tcW w:w="1783" w:type="dxa"/>
            <w:shd w:val="clear" w:color="auto" w:fill="auto"/>
            <w:noWrap/>
            <w:vAlign w:val="bottom"/>
          </w:tcPr>
          <w:p w14:paraId="29733A62"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Аврен</w:t>
            </w:r>
          </w:p>
        </w:tc>
        <w:tc>
          <w:tcPr>
            <w:tcW w:w="1020" w:type="dxa"/>
            <w:shd w:val="clear" w:color="auto" w:fill="auto"/>
            <w:noWrap/>
            <w:vAlign w:val="bottom"/>
          </w:tcPr>
          <w:p w14:paraId="44938A22" w14:textId="4CECBFD1"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9 152</w:t>
            </w:r>
          </w:p>
        </w:tc>
        <w:tc>
          <w:tcPr>
            <w:tcW w:w="1020" w:type="dxa"/>
            <w:shd w:val="clear" w:color="auto" w:fill="auto"/>
            <w:noWrap/>
            <w:vAlign w:val="bottom"/>
          </w:tcPr>
          <w:p w14:paraId="6B270D98" w14:textId="3AE0389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1 236</w:t>
            </w:r>
          </w:p>
        </w:tc>
        <w:tc>
          <w:tcPr>
            <w:tcW w:w="1020" w:type="dxa"/>
            <w:shd w:val="clear" w:color="auto" w:fill="auto"/>
            <w:noWrap/>
            <w:vAlign w:val="bottom"/>
          </w:tcPr>
          <w:p w14:paraId="544178DA" w14:textId="047CCA72"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5 492</w:t>
            </w:r>
          </w:p>
        </w:tc>
        <w:tc>
          <w:tcPr>
            <w:tcW w:w="1020" w:type="dxa"/>
            <w:shd w:val="clear" w:color="auto" w:fill="auto"/>
            <w:noWrap/>
            <w:vAlign w:val="bottom"/>
          </w:tcPr>
          <w:p w14:paraId="6EC62E1E" w14:textId="14465E71"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2 424</w:t>
            </w:r>
          </w:p>
        </w:tc>
        <w:tc>
          <w:tcPr>
            <w:tcW w:w="881" w:type="dxa"/>
            <w:vAlign w:val="bottom"/>
          </w:tcPr>
          <w:p w14:paraId="4599AA0B" w14:textId="20E15534"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13,5</w:t>
            </w:r>
          </w:p>
        </w:tc>
        <w:tc>
          <w:tcPr>
            <w:tcW w:w="993" w:type="dxa"/>
            <w:vAlign w:val="bottom"/>
          </w:tcPr>
          <w:p w14:paraId="08492413" w14:textId="031B33AA"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60,0</w:t>
            </w:r>
          </w:p>
        </w:tc>
        <w:tc>
          <w:tcPr>
            <w:tcW w:w="850" w:type="dxa"/>
            <w:vAlign w:val="bottom"/>
          </w:tcPr>
          <w:p w14:paraId="4DCB4661" w14:textId="6D7B949E"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26,5</w:t>
            </w:r>
          </w:p>
        </w:tc>
      </w:tr>
      <w:tr w:rsidR="00325553" w:rsidRPr="00610B1B" w14:paraId="1B94E5BE" w14:textId="77777777" w:rsidTr="001E3FED">
        <w:trPr>
          <w:trHeight w:val="255"/>
        </w:trPr>
        <w:tc>
          <w:tcPr>
            <w:tcW w:w="1783" w:type="dxa"/>
            <w:shd w:val="clear" w:color="auto" w:fill="auto"/>
            <w:noWrap/>
            <w:vAlign w:val="bottom"/>
          </w:tcPr>
          <w:p w14:paraId="6EE1A968"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Долни чифлик</w:t>
            </w:r>
          </w:p>
        </w:tc>
        <w:tc>
          <w:tcPr>
            <w:tcW w:w="1020" w:type="dxa"/>
            <w:shd w:val="clear" w:color="auto" w:fill="auto"/>
            <w:noWrap/>
            <w:vAlign w:val="bottom"/>
          </w:tcPr>
          <w:p w14:paraId="622D0014" w14:textId="31878879"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18 492</w:t>
            </w:r>
          </w:p>
        </w:tc>
        <w:tc>
          <w:tcPr>
            <w:tcW w:w="1020" w:type="dxa"/>
            <w:shd w:val="clear" w:color="auto" w:fill="auto"/>
            <w:noWrap/>
            <w:vAlign w:val="bottom"/>
          </w:tcPr>
          <w:p w14:paraId="7368DE7F" w14:textId="6ACFA45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3 304</w:t>
            </w:r>
          </w:p>
        </w:tc>
        <w:tc>
          <w:tcPr>
            <w:tcW w:w="1020" w:type="dxa"/>
            <w:shd w:val="clear" w:color="auto" w:fill="auto"/>
            <w:noWrap/>
            <w:vAlign w:val="bottom"/>
          </w:tcPr>
          <w:p w14:paraId="192CA92C" w14:textId="426F2BA4"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12 028</w:t>
            </w:r>
          </w:p>
        </w:tc>
        <w:tc>
          <w:tcPr>
            <w:tcW w:w="1020" w:type="dxa"/>
            <w:shd w:val="clear" w:color="auto" w:fill="auto"/>
            <w:noWrap/>
            <w:vAlign w:val="bottom"/>
          </w:tcPr>
          <w:p w14:paraId="6162BA59" w14:textId="59C2766F"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3 160</w:t>
            </w:r>
          </w:p>
        </w:tc>
        <w:tc>
          <w:tcPr>
            <w:tcW w:w="881" w:type="dxa"/>
            <w:vAlign w:val="bottom"/>
          </w:tcPr>
          <w:p w14:paraId="04EF31DC" w14:textId="7F8E8101"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17,9</w:t>
            </w:r>
          </w:p>
        </w:tc>
        <w:tc>
          <w:tcPr>
            <w:tcW w:w="993" w:type="dxa"/>
            <w:vAlign w:val="bottom"/>
          </w:tcPr>
          <w:p w14:paraId="1CB84D55" w14:textId="331D450F"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65,0</w:t>
            </w:r>
          </w:p>
        </w:tc>
        <w:tc>
          <w:tcPr>
            <w:tcW w:w="850" w:type="dxa"/>
            <w:vAlign w:val="bottom"/>
          </w:tcPr>
          <w:p w14:paraId="6960D6E1" w14:textId="66E7A77D"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17,1</w:t>
            </w:r>
          </w:p>
        </w:tc>
      </w:tr>
      <w:tr w:rsidR="00325553" w:rsidRPr="00610B1B" w14:paraId="412FC74D" w14:textId="77777777" w:rsidTr="001E3FED">
        <w:trPr>
          <w:trHeight w:val="255"/>
        </w:trPr>
        <w:tc>
          <w:tcPr>
            <w:tcW w:w="1783" w:type="dxa"/>
            <w:shd w:val="clear" w:color="auto" w:fill="auto"/>
            <w:noWrap/>
            <w:vAlign w:val="bottom"/>
          </w:tcPr>
          <w:p w14:paraId="3A3E79E6"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Бяла</w:t>
            </w:r>
          </w:p>
        </w:tc>
        <w:tc>
          <w:tcPr>
            <w:tcW w:w="1020" w:type="dxa"/>
            <w:shd w:val="clear" w:color="auto" w:fill="auto"/>
            <w:noWrap/>
            <w:vAlign w:val="bottom"/>
          </w:tcPr>
          <w:p w14:paraId="09D73829" w14:textId="378B51BD"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3 287</w:t>
            </w:r>
          </w:p>
        </w:tc>
        <w:tc>
          <w:tcPr>
            <w:tcW w:w="1020" w:type="dxa"/>
            <w:shd w:val="clear" w:color="auto" w:fill="auto"/>
            <w:noWrap/>
            <w:vAlign w:val="bottom"/>
          </w:tcPr>
          <w:p w14:paraId="20923AF0" w14:textId="77777777"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466</w:t>
            </w:r>
          </w:p>
        </w:tc>
        <w:tc>
          <w:tcPr>
            <w:tcW w:w="1020" w:type="dxa"/>
            <w:shd w:val="clear" w:color="auto" w:fill="auto"/>
            <w:noWrap/>
            <w:vAlign w:val="bottom"/>
          </w:tcPr>
          <w:p w14:paraId="24EBCBF3" w14:textId="3DE9FD3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2 013</w:t>
            </w:r>
          </w:p>
        </w:tc>
        <w:tc>
          <w:tcPr>
            <w:tcW w:w="1020" w:type="dxa"/>
            <w:shd w:val="clear" w:color="auto" w:fill="auto"/>
            <w:noWrap/>
            <w:vAlign w:val="bottom"/>
          </w:tcPr>
          <w:p w14:paraId="04FBFD0D" w14:textId="77777777"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808</w:t>
            </w:r>
          </w:p>
        </w:tc>
        <w:tc>
          <w:tcPr>
            <w:tcW w:w="881" w:type="dxa"/>
            <w:vAlign w:val="bottom"/>
          </w:tcPr>
          <w:p w14:paraId="48D329EF" w14:textId="18F810C1"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14,2</w:t>
            </w:r>
          </w:p>
        </w:tc>
        <w:tc>
          <w:tcPr>
            <w:tcW w:w="993" w:type="dxa"/>
            <w:vAlign w:val="bottom"/>
          </w:tcPr>
          <w:p w14:paraId="4E9BEAA8" w14:textId="67587D7E"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61,2</w:t>
            </w:r>
          </w:p>
        </w:tc>
        <w:tc>
          <w:tcPr>
            <w:tcW w:w="850" w:type="dxa"/>
            <w:vAlign w:val="bottom"/>
          </w:tcPr>
          <w:p w14:paraId="4CBE8E3A" w14:textId="5A9DFB99"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24,6</w:t>
            </w:r>
          </w:p>
        </w:tc>
      </w:tr>
      <w:tr w:rsidR="00325553" w:rsidRPr="00610B1B" w14:paraId="42A5E542" w14:textId="77777777" w:rsidTr="001E3FED">
        <w:trPr>
          <w:trHeight w:val="255"/>
        </w:trPr>
        <w:tc>
          <w:tcPr>
            <w:tcW w:w="1783" w:type="dxa"/>
            <w:shd w:val="clear" w:color="auto" w:fill="auto"/>
            <w:noWrap/>
            <w:vAlign w:val="bottom"/>
          </w:tcPr>
          <w:p w14:paraId="60FDB45B"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Несебър</w:t>
            </w:r>
          </w:p>
        </w:tc>
        <w:tc>
          <w:tcPr>
            <w:tcW w:w="1020" w:type="dxa"/>
            <w:shd w:val="clear" w:color="auto" w:fill="auto"/>
            <w:noWrap/>
            <w:vAlign w:val="bottom"/>
          </w:tcPr>
          <w:p w14:paraId="7FFCE9A9" w14:textId="76CB99F2"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27 879</w:t>
            </w:r>
          </w:p>
        </w:tc>
        <w:tc>
          <w:tcPr>
            <w:tcW w:w="1020" w:type="dxa"/>
            <w:shd w:val="clear" w:color="auto" w:fill="auto"/>
            <w:noWrap/>
            <w:vAlign w:val="bottom"/>
          </w:tcPr>
          <w:p w14:paraId="249CFA19" w14:textId="3323430A"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4 203</w:t>
            </w:r>
          </w:p>
        </w:tc>
        <w:tc>
          <w:tcPr>
            <w:tcW w:w="1020" w:type="dxa"/>
            <w:shd w:val="clear" w:color="auto" w:fill="auto"/>
            <w:noWrap/>
            <w:vAlign w:val="bottom"/>
          </w:tcPr>
          <w:p w14:paraId="353354BE" w14:textId="54A3B0CC"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18 267</w:t>
            </w:r>
          </w:p>
        </w:tc>
        <w:tc>
          <w:tcPr>
            <w:tcW w:w="1020" w:type="dxa"/>
            <w:shd w:val="clear" w:color="auto" w:fill="auto"/>
            <w:noWrap/>
            <w:vAlign w:val="bottom"/>
          </w:tcPr>
          <w:p w14:paraId="0D46D7B1" w14:textId="02C8506F"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5 409</w:t>
            </w:r>
          </w:p>
        </w:tc>
        <w:tc>
          <w:tcPr>
            <w:tcW w:w="881" w:type="dxa"/>
            <w:vAlign w:val="bottom"/>
          </w:tcPr>
          <w:p w14:paraId="5D4E9361" w14:textId="7FA78CA8"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15,1</w:t>
            </w:r>
          </w:p>
        </w:tc>
        <w:tc>
          <w:tcPr>
            <w:tcW w:w="993" w:type="dxa"/>
            <w:vAlign w:val="bottom"/>
          </w:tcPr>
          <w:p w14:paraId="06686C30" w14:textId="67FC8386"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65,5</w:t>
            </w:r>
          </w:p>
        </w:tc>
        <w:tc>
          <w:tcPr>
            <w:tcW w:w="850" w:type="dxa"/>
            <w:vAlign w:val="bottom"/>
          </w:tcPr>
          <w:p w14:paraId="066E2245" w14:textId="0CBC8D0C"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19,4</w:t>
            </w:r>
          </w:p>
        </w:tc>
      </w:tr>
      <w:tr w:rsidR="00325553" w:rsidRPr="00610B1B" w14:paraId="1148EC07" w14:textId="77777777" w:rsidTr="001E3FED">
        <w:trPr>
          <w:trHeight w:val="255"/>
        </w:trPr>
        <w:tc>
          <w:tcPr>
            <w:tcW w:w="1783" w:type="dxa"/>
            <w:shd w:val="clear" w:color="auto" w:fill="auto"/>
            <w:noWrap/>
            <w:vAlign w:val="bottom"/>
          </w:tcPr>
          <w:p w14:paraId="7158EB71"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Поморие</w:t>
            </w:r>
          </w:p>
        </w:tc>
        <w:tc>
          <w:tcPr>
            <w:tcW w:w="1020" w:type="dxa"/>
            <w:shd w:val="clear" w:color="auto" w:fill="auto"/>
            <w:noWrap/>
            <w:vAlign w:val="bottom"/>
          </w:tcPr>
          <w:p w14:paraId="7B4D3F6A" w14:textId="7BDDD464"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27 233</w:t>
            </w:r>
          </w:p>
        </w:tc>
        <w:tc>
          <w:tcPr>
            <w:tcW w:w="1020" w:type="dxa"/>
            <w:shd w:val="clear" w:color="auto" w:fill="auto"/>
            <w:noWrap/>
            <w:vAlign w:val="bottom"/>
          </w:tcPr>
          <w:p w14:paraId="5D86BEF7" w14:textId="1D67D356"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4 037</w:t>
            </w:r>
          </w:p>
        </w:tc>
        <w:tc>
          <w:tcPr>
            <w:tcW w:w="1020" w:type="dxa"/>
            <w:shd w:val="clear" w:color="auto" w:fill="auto"/>
            <w:noWrap/>
            <w:vAlign w:val="bottom"/>
          </w:tcPr>
          <w:p w14:paraId="1558F482" w14:textId="26C2541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17 790</w:t>
            </w:r>
          </w:p>
        </w:tc>
        <w:tc>
          <w:tcPr>
            <w:tcW w:w="1020" w:type="dxa"/>
            <w:shd w:val="clear" w:color="auto" w:fill="auto"/>
            <w:noWrap/>
            <w:vAlign w:val="bottom"/>
          </w:tcPr>
          <w:p w14:paraId="10A8CC7D" w14:textId="42BA5E81"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5 406</w:t>
            </w:r>
          </w:p>
        </w:tc>
        <w:tc>
          <w:tcPr>
            <w:tcW w:w="881" w:type="dxa"/>
            <w:vAlign w:val="bottom"/>
          </w:tcPr>
          <w:p w14:paraId="792C1912" w14:textId="59CC1359"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14,8</w:t>
            </w:r>
          </w:p>
        </w:tc>
        <w:tc>
          <w:tcPr>
            <w:tcW w:w="993" w:type="dxa"/>
            <w:vAlign w:val="bottom"/>
          </w:tcPr>
          <w:p w14:paraId="1A3C7433" w14:textId="2A78D911"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65,3</w:t>
            </w:r>
          </w:p>
        </w:tc>
        <w:tc>
          <w:tcPr>
            <w:tcW w:w="850" w:type="dxa"/>
            <w:vAlign w:val="bottom"/>
          </w:tcPr>
          <w:p w14:paraId="17277ED4" w14:textId="042DF42C"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19,9</w:t>
            </w:r>
          </w:p>
        </w:tc>
      </w:tr>
      <w:tr w:rsidR="00325553" w:rsidRPr="00610B1B" w14:paraId="5971B5FC" w14:textId="77777777" w:rsidTr="001E3FED">
        <w:trPr>
          <w:trHeight w:val="255"/>
        </w:trPr>
        <w:tc>
          <w:tcPr>
            <w:tcW w:w="1783" w:type="dxa"/>
            <w:shd w:val="clear" w:color="auto" w:fill="auto"/>
            <w:noWrap/>
            <w:vAlign w:val="bottom"/>
          </w:tcPr>
          <w:p w14:paraId="35938469"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lastRenderedPageBreak/>
              <w:t>Бургас</w:t>
            </w:r>
          </w:p>
        </w:tc>
        <w:tc>
          <w:tcPr>
            <w:tcW w:w="1020" w:type="dxa"/>
            <w:shd w:val="clear" w:color="auto" w:fill="auto"/>
            <w:noWrap/>
            <w:vAlign w:val="bottom"/>
          </w:tcPr>
          <w:p w14:paraId="774B8F00" w14:textId="082A0DB9"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208 915</w:t>
            </w:r>
          </w:p>
        </w:tc>
        <w:tc>
          <w:tcPr>
            <w:tcW w:w="1020" w:type="dxa"/>
            <w:shd w:val="clear" w:color="auto" w:fill="auto"/>
            <w:noWrap/>
            <w:vAlign w:val="bottom"/>
          </w:tcPr>
          <w:p w14:paraId="28B9F18E" w14:textId="25ADF39F"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32 539</w:t>
            </w:r>
          </w:p>
        </w:tc>
        <w:tc>
          <w:tcPr>
            <w:tcW w:w="1020" w:type="dxa"/>
            <w:shd w:val="clear" w:color="auto" w:fill="auto"/>
            <w:noWrap/>
            <w:vAlign w:val="bottom"/>
          </w:tcPr>
          <w:p w14:paraId="0074A67D" w14:textId="08207888"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137 687</w:t>
            </w:r>
          </w:p>
        </w:tc>
        <w:tc>
          <w:tcPr>
            <w:tcW w:w="1020" w:type="dxa"/>
            <w:shd w:val="clear" w:color="auto" w:fill="auto"/>
            <w:noWrap/>
            <w:vAlign w:val="bottom"/>
          </w:tcPr>
          <w:p w14:paraId="1623AAFB" w14:textId="2085A93D"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38 689</w:t>
            </w:r>
          </w:p>
        </w:tc>
        <w:tc>
          <w:tcPr>
            <w:tcW w:w="881" w:type="dxa"/>
            <w:vAlign w:val="bottom"/>
          </w:tcPr>
          <w:p w14:paraId="1A83769F" w14:textId="050F232A"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15,6</w:t>
            </w:r>
          </w:p>
        </w:tc>
        <w:tc>
          <w:tcPr>
            <w:tcW w:w="993" w:type="dxa"/>
            <w:vAlign w:val="bottom"/>
          </w:tcPr>
          <w:p w14:paraId="3D62869F" w14:textId="2BCAB4B6"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65,9</w:t>
            </w:r>
          </w:p>
        </w:tc>
        <w:tc>
          <w:tcPr>
            <w:tcW w:w="850" w:type="dxa"/>
            <w:vAlign w:val="bottom"/>
          </w:tcPr>
          <w:p w14:paraId="6B4A8303" w14:textId="1CC20BBE"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18,5</w:t>
            </w:r>
          </w:p>
        </w:tc>
      </w:tr>
      <w:tr w:rsidR="00325553" w:rsidRPr="00610B1B" w14:paraId="264C1795" w14:textId="77777777" w:rsidTr="001E3FED">
        <w:trPr>
          <w:trHeight w:val="255"/>
        </w:trPr>
        <w:tc>
          <w:tcPr>
            <w:tcW w:w="1783" w:type="dxa"/>
            <w:shd w:val="clear" w:color="auto" w:fill="auto"/>
            <w:noWrap/>
            <w:vAlign w:val="bottom"/>
          </w:tcPr>
          <w:p w14:paraId="7A5F73AA"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Созопол</w:t>
            </w:r>
          </w:p>
        </w:tc>
        <w:tc>
          <w:tcPr>
            <w:tcW w:w="1020" w:type="dxa"/>
            <w:shd w:val="clear" w:color="auto" w:fill="auto"/>
            <w:noWrap/>
            <w:vAlign w:val="bottom"/>
          </w:tcPr>
          <w:p w14:paraId="3AE528E9" w14:textId="505D1C64"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13 005</w:t>
            </w:r>
          </w:p>
        </w:tc>
        <w:tc>
          <w:tcPr>
            <w:tcW w:w="1020" w:type="dxa"/>
            <w:shd w:val="clear" w:color="auto" w:fill="auto"/>
            <w:noWrap/>
            <w:vAlign w:val="bottom"/>
          </w:tcPr>
          <w:p w14:paraId="045F38B5" w14:textId="760129CF"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1 717</w:t>
            </w:r>
          </w:p>
        </w:tc>
        <w:tc>
          <w:tcPr>
            <w:tcW w:w="1020" w:type="dxa"/>
            <w:shd w:val="clear" w:color="auto" w:fill="auto"/>
            <w:noWrap/>
            <w:vAlign w:val="bottom"/>
          </w:tcPr>
          <w:p w14:paraId="540F24DC" w14:textId="60BCB72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8 121</w:t>
            </w:r>
          </w:p>
        </w:tc>
        <w:tc>
          <w:tcPr>
            <w:tcW w:w="1020" w:type="dxa"/>
            <w:shd w:val="clear" w:color="auto" w:fill="auto"/>
            <w:noWrap/>
            <w:vAlign w:val="bottom"/>
          </w:tcPr>
          <w:p w14:paraId="6405F319" w14:textId="1D56A85D"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3 167</w:t>
            </w:r>
          </w:p>
        </w:tc>
        <w:tc>
          <w:tcPr>
            <w:tcW w:w="881" w:type="dxa"/>
            <w:vAlign w:val="bottom"/>
          </w:tcPr>
          <w:p w14:paraId="4F5868B3" w14:textId="30C4AFF7"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13,2</w:t>
            </w:r>
          </w:p>
        </w:tc>
        <w:tc>
          <w:tcPr>
            <w:tcW w:w="993" w:type="dxa"/>
            <w:vAlign w:val="bottom"/>
          </w:tcPr>
          <w:p w14:paraId="53372B90" w14:textId="406A76B2"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62,4</w:t>
            </w:r>
          </w:p>
        </w:tc>
        <w:tc>
          <w:tcPr>
            <w:tcW w:w="850" w:type="dxa"/>
            <w:vAlign w:val="bottom"/>
          </w:tcPr>
          <w:p w14:paraId="6AE8B521" w14:textId="2B1F104C"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24,4</w:t>
            </w:r>
          </w:p>
        </w:tc>
      </w:tr>
      <w:tr w:rsidR="00325553" w:rsidRPr="00610B1B" w14:paraId="335AD278" w14:textId="77777777" w:rsidTr="001E3FED">
        <w:trPr>
          <w:trHeight w:val="255"/>
        </w:trPr>
        <w:tc>
          <w:tcPr>
            <w:tcW w:w="1783" w:type="dxa"/>
            <w:shd w:val="clear" w:color="auto" w:fill="auto"/>
            <w:noWrap/>
            <w:vAlign w:val="bottom"/>
          </w:tcPr>
          <w:p w14:paraId="503163E1"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Приморско</w:t>
            </w:r>
          </w:p>
        </w:tc>
        <w:tc>
          <w:tcPr>
            <w:tcW w:w="1020" w:type="dxa"/>
            <w:shd w:val="clear" w:color="auto" w:fill="auto"/>
            <w:noWrap/>
            <w:vAlign w:val="bottom"/>
          </w:tcPr>
          <w:p w14:paraId="11D183C9" w14:textId="1F170C49"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6 124</w:t>
            </w:r>
          </w:p>
        </w:tc>
        <w:tc>
          <w:tcPr>
            <w:tcW w:w="1020" w:type="dxa"/>
            <w:shd w:val="clear" w:color="auto" w:fill="auto"/>
            <w:noWrap/>
            <w:vAlign w:val="bottom"/>
          </w:tcPr>
          <w:p w14:paraId="2DB96FB7" w14:textId="77777777"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739</w:t>
            </w:r>
          </w:p>
        </w:tc>
        <w:tc>
          <w:tcPr>
            <w:tcW w:w="1020" w:type="dxa"/>
            <w:shd w:val="clear" w:color="auto" w:fill="auto"/>
            <w:noWrap/>
            <w:vAlign w:val="bottom"/>
          </w:tcPr>
          <w:p w14:paraId="3DFF9413" w14:textId="42CAFA0E"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3 995</w:t>
            </w:r>
          </w:p>
        </w:tc>
        <w:tc>
          <w:tcPr>
            <w:tcW w:w="1020" w:type="dxa"/>
            <w:shd w:val="clear" w:color="auto" w:fill="auto"/>
            <w:noWrap/>
            <w:vAlign w:val="bottom"/>
          </w:tcPr>
          <w:p w14:paraId="10E07984" w14:textId="4D3FA2D5"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1 390</w:t>
            </w:r>
          </w:p>
        </w:tc>
        <w:tc>
          <w:tcPr>
            <w:tcW w:w="881" w:type="dxa"/>
            <w:vAlign w:val="bottom"/>
          </w:tcPr>
          <w:p w14:paraId="0514DD0A" w14:textId="049F68EE"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12,1</w:t>
            </w:r>
          </w:p>
        </w:tc>
        <w:tc>
          <w:tcPr>
            <w:tcW w:w="993" w:type="dxa"/>
            <w:vAlign w:val="bottom"/>
          </w:tcPr>
          <w:p w14:paraId="3BAA43CD" w14:textId="0DB5734C"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65,2</w:t>
            </w:r>
          </w:p>
        </w:tc>
        <w:tc>
          <w:tcPr>
            <w:tcW w:w="850" w:type="dxa"/>
            <w:vAlign w:val="bottom"/>
          </w:tcPr>
          <w:p w14:paraId="619A6A9E" w14:textId="0CA231BB"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22,7</w:t>
            </w:r>
          </w:p>
        </w:tc>
      </w:tr>
      <w:tr w:rsidR="00325553" w:rsidRPr="00610B1B" w14:paraId="3F98797E" w14:textId="77777777" w:rsidTr="001E3FED">
        <w:trPr>
          <w:trHeight w:val="255"/>
        </w:trPr>
        <w:tc>
          <w:tcPr>
            <w:tcW w:w="1783" w:type="dxa"/>
            <w:shd w:val="clear" w:color="auto" w:fill="auto"/>
            <w:noWrap/>
            <w:vAlign w:val="bottom"/>
          </w:tcPr>
          <w:p w14:paraId="3E491671" w14:textId="77777777" w:rsidR="00325553" w:rsidRPr="00610B1B" w:rsidRDefault="00325553"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Царево</w:t>
            </w:r>
          </w:p>
        </w:tc>
        <w:tc>
          <w:tcPr>
            <w:tcW w:w="1020" w:type="dxa"/>
            <w:shd w:val="clear" w:color="auto" w:fill="auto"/>
            <w:noWrap/>
            <w:vAlign w:val="bottom"/>
          </w:tcPr>
          <w:p w14:paraId="14EEC685" w14:textId="523F0BD5"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9 014</w:t>
            </w:r>
          </w:p>
        </w:tc>
        <w:tc>
          <w:tcPr>
            <w:tcW w:w="1020" w:type="dxa"/>
            <w:shd w:val="clear" w:color="auto" w:fill="auto"/>
            <w:noWrap/>
            <w:vAlign w:val="bottom"/>
          </w:tcPr>
          <w:p w14:paraId="27428B26" w14:textId="57B5D6E0"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1 264</w:t>
            </w:r>
          </w:p>
        </w:tc>
        <w:tc>
          <w:tcPr>
            <w:tcW w:w="1020" w:type="dxa"/>
            <w:shd w:val="clear" w:color="auto" w:fill="auto"/>
            <w:noWrap/>
            <w:vAlign w:val="bottom"/>
          </w:tcPr>
          <w:p w14:paraId="3EE0F870" w14:textId="7FE7CF56" w:rsidR="00325553" w:rsidRPr="00610B1B" w:rsidRDefault="00325553" w:rsidP="00D32D6A">
            <w:pPr>
              <w:spacing w:after="0" w:line="240" w:lineRule="auto"/>
              <w:jc w:val="right"/>
              <w:rPr>
                <w:rFonts w:ascii="Times New Roman" w:hAnsi="Times New Roman" w:cs="Times New Roman"/>
                <w:color w:val="000000"/>
                <w:lang w:val="bg-BG"/>
              </w:rPr>
            </w:pPr>
            <w:r w:rsidRPr="00610B1B">
              <w:rPr>
                <w:rFonts w:ascii="Times New Roman" w:hAnsi="Times New Roman" w:cs="Times New Roman"/>
                <w:color w:val="000000"/>
                <w:lang w:val="bg-BG"/>
              </w:rPr>
              <w:t>5 802</w:t>
            </w:r>
          </w:p>
        </w:tc>
        <w:tc>
          <w:tcPr>
            <w:tcW w:w="1020" w:type="dxa"/>
            <w:shd w:val="clear" w:color="auto" w:fill="auto"/>
            <w:noWrap/>
            <w:vAlign w:val="bottom"/>
          </w:tcPr>
          <w:p w14:paraId="57A7AD0A" w14:textId="7B0A17CA"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1 948</w:t>
            </w:r>
          </w:p>
        </w:tc>
        <w:tc>
          <w:tcPr>
            <w:tcW w:w="881" w:type="dxa"/>
            <w:vAlign w:val="bottom"/>
          </w:tcPr>
          <w:p w14:paraId="53BD5FAD" w14:textId="72892FE6"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14,0</w:t>
            </w:r>
          </w:p>
        </w:tc>
        <w:tc>
          <w:tcPr>
            <w:tcW w:w="993" w:type="dxa"/>
            <w:vAlign w:val="bottom"/>
          </w:tcPr>
          <w:p w14:paraId="7BEF2606" w14:textId="0C70857A"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64,4</w:t>
            </w:r>
          </w:p>
        </w:tc>
        <w:tc>
          <w:tcPr>
            <w:tcW w:w="850" w:type="dxa"/>
            <w:vAlign w:val="bottom"/>
          </w:tcPr>
          <w:p w14:paraId="1B93BE75" w14:textId="02282E16" w:rsidR="00325553" w:rsidRPr="00610B1B" w:rsidRDefault="00325553" w:rsidP="00D32D6A">
            <w:pPr>
              <w:spacing w:after="0" w:line="240" w:lineRule="auto"/>
              <w:jc w:val="right"/>
              <w:rPr>
                <w:rFonts w:ascii="Times New Roman" w:hAnsi="Times New Roman" w:cs="Times New Roman"/>
                <w:lang w:val="bg-BG"/>
              </w:rPr>
            </w:pPr>
            <w:r w:rsidRPr="00610B1B">
              <w:rPr>
                <w:rFonts w:ascii="Times New Roman" w:hAnsi="Times New Roman" w:cs="Times New Roman"/>
                <w:lang w:val="bg-BG"/>
              </w:rPr>
              <w:t>21,6</w:t>
            </w:r>
          </w:p>
        </w:tc>
      </w:tr>
    </w:tbl>
    <w:p w14:paraId="5779BCD3" w14:textId="28049479" w:rsidR="0082227D" w:rsidRPr="00610B1B" w:rsidRDefault="0082227D" w:rsidP="00EC097D">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 xml:space="preserve">Източник: НСИ, Обработка НЦТР </w:t>
      </w:r>
    </w:p>
    <w:p w14:paraId="68BC8D52" w14:textId="38E91C63" w:rsidR="0082227D" w:rsidRPr="00610B1B" w:rsidRDefault="007C3109" w:rsidP="001757A5">
      <w:pPr>
        <w:pStyle w:val="Heading4"/>
        <w:spacing w:before="0"/>
        <w:ind w:left="862" w:right="-153" w:hanging="862"/>
        <w:rPr>
          <w:rFonts w:cs="Times New Roman"/>
        </w:rPr>
      </w:pPr>
      <w:r w:rsidRPr="00610B1B">
        <w:rPr>
          <w:rFonts w:cs="Times New Roman"/>
        </w:rPr>
        <w:t>2.</w:t>
      </w:r>
      <w:r w:rsidR="00620116" w:rsidRPr="00610B1B">
        <w:rPr>
          <w:rFonts w:cs="Times New Roman"/>
        </w:rPr>
        <w:t>3</w:t>
      </w:r>
      <w:r w:rsidRPr="00610B1B">
        <w:rPr>
          <w:rFonts w:cs="Times New Roman"/>
        </w:rPr>
        <w:t>.</w:t>
      </w:r>
      <w:r w:rsidR="00620116" w:rsidRPr="00610B1B">
        <w:rPr>
          <w:rFonts w:cs="Times New Roman"/>
        </w:rPr>
        <w:t>1</w:t>
      </w:r>
      <w:r w:rsidRPr="00610B1B">
        <w:rPr>
          <w:rFonts w:cs="Times New Roman"/>
        </w:rPr>
        <w:t xml:space="preserve">.2. </w:t>
      </w:r>
      <w:r w:rsidR="0082227D" w:rsidRPr="00610B1B">
        <w:rPr>
          <w:rFonts w:cs="Times New Roman"/>
        </w:rPr>
        <w:t>Териториално разпределение на населението</w:t>
      </w:r>
    </w:p>
    <w:p w14:paraId="5345CB05" w14:textId="0F10F6BC"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Териториалното </w:t>
      </w:r>
      <w:r w:rsidR="00392A32" w:rsidRPr="00610B1B">
        <w:rPr>
          <w:rFonts w:ascii="Times New Roman" w:hAnsi="Times New Roman" w:cs="Times New Roman"/>
          <w:sz w:val="24"/>
          <w:szCs w:val="24"/>
          <w:lang w:val="bg-BG"/>
        </w:rPr>
        <w:t>разположение</w:t>
      </w:r>
      <w:r w:rsidRPr="00610B1B">
        <w:rPr>
          <w:rFonts w:ascii="Times New Roman" w:hAnsi="Times New Roman" w:cs="Times New Roman"/>
          <w:sz w:val="24"/>
          <w:szCs w:val="24"/>
          <w:lang w:val="bg-BG"/>
        </w:rPr>
        <w:t xml:space="preserve"> на </w:t>
      </w:r>
      <w:r w:rsidR="00392A32" w:rsidRPr="00610B1B">
        <w:rPr>
          <w:rFonts w:ascii="Times New Roman" w:hAnsi="Times New Roman" w:cs="Times New Roman"/>
          <w:sz w:val="24"/>
          <w:szCs w:val="24"/>
          <w:lang w:val="bg-BG"/>
        </w:rPr>
        <w:t>населението</w:t>
      </w:r>
      <w:r w:rsidRPr="00610B1B">
        <w:rPr>
          <w:rFonts w:ascii="Times New Roman" w:hAnsi="Times New Roman" w:cs="Times New Roman"/>
          <w:sz w:val="24"/>
          <w:szCs w:val="24"/>
          <w:lang w:val="bg-BG"/>
        </w:rPr>
        <w:t xml:space="preserve"> се определя от </w:t>
      </w:r>
      <w:r w:rsidRPr="00610B1B">
        <w:rPr>
          <w:rFonts w:ascii="Times New Roman" w:hAnsi="Times New Roman" w:cs="Times New Roman"/>
          <w:b/>
          <w:sz w:val="24"/>
          <w:szCs w:val="24"/>
          <w:lang w:val="bg-BG"/>
        </w:rPr>
        <w:t xml:space="preserve">естественото движение на населението (раждания и умирания), </w:t>
      </w:r>
      <w:r w:rsidRPr="00610B1B">
        <w:rPr>
          <w:rFonts w:ascii="Times New Roman" w:hAnsi="Times New Roman" w:cs="Times New Roman"/>
          <w:sz w:val="24"/>
          <w:szCs w:val="24"/>
          <w:lang w:val="bg-BG"/>
        </w:rPr>
        <w:t>както и от</w:t>
      </w:r>
      <w:r w:rsidRPr="00610B1B">
        <w:rPr>
          <w:rFonts w:ascii="Times New Roman" w:hAnsi="Times New Roman" w:cs="Times New Roman"/>
          <w:b/>
          <w:sz w:val="24"/>
          <w:szCs w:val="24"/>
          <w:lang w:val="bg-BG"/>
        </w:rPr>
        <w:t xml:space="preserve"> вътрешната и външната миграция</w:t>
      </w:r>
      <w:r w:rsidRPr="00610B1B">
        <w:rPr>
          <w:rFonts w:ascii="Times New Roman" w:hAnsi="Times New Roman" w:cs="Times New Roman"/>
          <w:sz w:val="24"/>
          <w:szCs w:val="24"/>
          <w:lang w:val="bg-BG"/>
        </w:rPr>
        <w:t>. Чисто статистическо влияние върху териториално</w:t>
      </w:r>
      <w:r w:rsidR="000434A3"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разпределение на населението оказват и промените в административно-териториалното деление на страната.</w:t>
      </w:r>
      <w:r w:rsidR="0062011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Към 31.12.2018 г. в градовете живеят 640 8</w:t>
      </w:r>
      <w:r w:rsidR="000434A3" w:rsidRPr="00610B1B">
        <w:rPr>
          <w:rFonts w:ascii="Times New Roman" w:hAnsi="Times New Roman" w:cs="Times New Roman"/>
          <w:sz w:val="24"/>
          <w:szCs w:val="24"/>
          <w:lang w:val="bg-BG"/>
        </w:rPr>
        <w:t>03 души, или 88,</w:t>
      </w:r>
      <w:r w:rsidRPr="00610B1B">
        <w:rPr>
          <w:rFonts w:ascii="Times New Roman" w:hAnsi="Times New Roman" w:cs="Times New Roman"/>
          <w:sz w:val="24"/>
          <w:szCs w:val="24"/>
          <w:lang w:val="bg-BG"/>
        </w:rPr>
        <w:t>2%, а</w:t>
      </w:r>
      <w:r w:rsidR="000434A3" w:rsidRPr="00610B1B">
        <w:rPr>
          <w:rFonts w:ascii="Times New Roman" w:hAnsi="Times New Roman" w:cs="Times New Roman"/>
          <w:sz w:val="24"/>
          <w:szCs w:val="24"/>
          <w:lang w:val="bg-BG"/>
        </w:rPr>
        <w:t xml:space="preserve"> в селата – 85 942 души, или 11,</w:t>
      </w:r>
      <w:r w:rsidRPr="00610B1B">
        <w:rPr>
          <w:rFonts w:ascii="Times New Roman" w:hAnsi="Times New Roman" w:cs="Times New Roman"/>
          <w:sz w:val="24"/>
          <w:szCs w:val="24"/>
          <w:lang w:val="bg-BG"/>
        </w:rPr>
        <w:t xml:space="preserve">8% от населението на </w:t>
      </w:r>
      <w:r w:rsidR="007C3109" w:rsidRPr="00610B1B">
        <w:rPr>
          <w:rFonts w:ascii="Times New Roman" w:hAnsi="Times New Roman" w:cs="Times New Roman"/>
          <w:sz w:val="24"/>
          <w:szCs w:val="24"/>
          <w:lang w:val="bg-BG"/>
        </w:rPr>
        <w:t xml:space="preserve">Черноморските </w:t>
      </w:r>
      <w:r w:rsidRPr="00610B1B">
        <w:rPr>
          <w:rFonts w:ascii="Times New Roman" w:hAnsi="Times New Roman" w:cs="Times New Roman"/>
          <w:sz w:val="24"/>
          <w:szCs w:val="24"/>
          <w:lang w:val="bg-BG"/>
        </w:rPr>
        <w:t>общини.</w:t>
      </w:r>
    </w:p>
    <w:p w14:paraId="378A5C1A" w14:textId="398FB4AA"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Разпределение на населението показва ясна диференциация от бреговата ивица към вътрешността. В </w:t>
      </w:r>
      <w:r w:rsidR="00345C8A" w:rsidRPr="00610B1B">
        <w:rPr>
          <w:rFonts w:ascii="Times New Roman" w:hAnsi="Times New Roman" w:cs="Times New Roman"/>
          <w:sz w:val="24"/>
          <w:szCs w:val="24"/>
          <w:lang w:val="bg-BG"/>
        </w:rPr>
        <w:t>бреговата</w:t>
      </w:r>
      <w:r w:rsidR="000434A3" w:rsidRPr="00610B1B">
        <w:rPr>
          <w:rFonts w:ascii="Times New Roman" w:hAnsi="Times New Roman" w:cs="Times New Roman"/>
          <w:sz w:val="24"/>
          <w:szCs w:val="24"/>
          <w:lang w:val="bg-BG"/>
        </w:rPr>
        <w:t xml:space="preserve"> ивица е концентрирано 85,</w:t>
      </w:r>
      <w:r w:rsidRPr="00610B1B">
        <w:rPr>
          <w:rFonts w:ascii="Times New Roman" w:hAnsi="Times New Roman" w:cs="Times New Roman"/>
          <w:sz w:val="24"/>
          <w:szCs w:val="24"/>
          <w:lang w:val="bg-BG"/>
        </w:rPr>
        <w:t xml:space="preserve">7% от населението </w:t>
      </w:r>
      <w:r w:rsidR="00345C8A" w:rsidRPr="00610B1B">
        <w:rPr>
          <w:rFonts w:ascii="Times New Roman" w:hAnsi="Times New Roman" w:cs="Times New Roman"/>
          <w:sz w:val="24"/>
          <w:szCs w:val="24"/>
          <w:lang w:val="bg-BG"/>
        </w:rPr>
        <w:t xml:space="preserve">от това в Черноморските </w:t>
      </w:r>
      <w:r w:rsidRPr="00610B1B">
        <w:rPr>
          <w:rFonts w:ascii="Times New Roman" w:hAnsi="Times New Roman" w:cs="Times New Roman"/>
          <w:sz w:val="24"/>
          <w:szCs w:val="24"/>
          <w:lang w:val="bg-BG"/>
        </w:rPr>
        <w:t>общини</w:t>
      </w:r>
      <w:r w:rsidR="00345C8A"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разположен</w:t>
      </w:r>
      <w:r w:rsidR="00264226" w:rsidRPr="00610B1B">
        <w:rPr>
          <w:rFonts w:ascii="Times New Roman" w:hAnsi="Times New Roman" w:cs="Times New Roman"/>
          <w:sz w:val="24"/>
          <w:szCs w:val="24"/>
          <w:lang w:val="bg-BG"/>
        </w:rPr>
        <w:t>о</w:t>
      </w:r>
      <w:r w:rsidRPr="00610B1B">
        <w:rPr>
          <w:rFonts w:ascii="Times New Roman" w:hAnsi="Times New Roman" w:cs="Times New Roman"/>
          <w:sz w:val="24"/>
          <w:szCs w:val="24"/>
          <w:lang w:val="bg-BG"/>
        </w:rPr>
        <w:t xml:space="preserve"> в 31 населени места. Относителният дял на градското </w:t>
      </w:r>
      <w:r w:rsidR="000434A3" w:rsidRPr="00610B1B">
        <w:rPr>
          <w:rFonts w:ascii="Times New Roman" w:hAnsi="Times New Roman" w:cs="Times New Roman"/>
          <w:sz w:val="24"/>
          <w:szCs w:val="24"/>
          <w:lang w:val="bg-BG"/>
        </w:rPr>
        <w:t>население е 98,</w:t>
      </w:r>
      <w:r w:rsidRPr="00610B1B">
        <w:rPr>
          <w:rFonts w:ascii="Times New Roman" w:hAnsi="Times New Roman" w:cs="Times New Roman"/>
          <w:sz w:val="24"/>
          <w:szCs w:val="24"/>
          <w:lang w:val="bg-BG"/>
        </w:rPr>
        <w:t xml:space="preserve">7% с тенденция за нарастване, паралелно с нарастването на населението в крайбрежната зона. Тази зона концентрира икономически и административен потенциал. </w:t>
      </w:r>
    </w:p>
    <w:p w14:paraId="52E737C0" w14:textId="5EFA0951"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Към края на 2018 г. населените места в Черноморските общини са 202, от които 22 са градове и 180 - села.</w:t>
      </w:r>
      <w:r w:rsidR="006B6BE2"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Без население е само село Брястово, община Балчик. Общият брой на селата с население до 10 жители е 7, 17 населени места </w:t>
      </w:r>
      <w:r w:rsidR="000434A3" w:rsidRPr="00610B1B">
        <w:rPr>
          <w:rFonts w:ascii="Times New Roman" w:hAnsi="Times New Roman" w:cs="Times New Roman"/>
          <w:sz w:val="24"/>
          <w:szCs w:val="24"/>
          <w:lang w:val="bg-BG"/>
        </w:rPr>
        <w:t xml:space="preserve">са </w:t>
      </w:r>
      <w:r w:rsidRPr="00610B1B">
        <w:rPr>
          <w:rFonts w:ascii="Times New Roman" w:hAnsi="Times New Roman" w:cs="Times New Roman"/>
          <w:sz w:val="24"/>
          <w:szCs w:val="24"/>
          <w:lang w:val="bg-BG"/>
        </w:rPr>
        <w:t>с населени</w:t>
      </w:r>
      <w:r w:rsidR="000434A3" w:rsidRPr="00610B1B">
        <w:rPr>
          <w:rFonts w:ascii="Times New Roman" w:hAnsi="Times New Roman" w:cs="Times New Roman"/>
          <w:sz w:val="24"/>
          <w:szCs w:val="24"/>
          <w:lang w:val="bg-BG"/>
        </w:rPr>
        <w:t>е от 11 до 50 души, или в 4,</w:t>
      </w:r>
      <w:r w:rsidRPr="00610B1B">
        <w:rPr>
          <w:rFonts w:ascii="Times New Roman" w:hAnsi="Times New Roman" w:cs="Times New Roman"/>
          <w:sz w:val="24"/>
          <w:szCs w:val="24"/>
          <w:lang w:val="bg-BG"/>
        </w:rPr>
        <w:t>0% от населените места, живеят от 1 до 50 души включително.</w:t>
      </w:r>
      <w:r w:rsidR="00D66FE0" w:rsidRPr="00610B1B">
        <w:rPr>
          <w:rFonts w:ascii="Times New Roman" w:hAnsi="Times New Roman" w:cs="Times New Roman"/>
          <w:sz w:val="24"/>
          <w:szCs w:val="24"/>
          <w:lang w:val="bg-BG"/>
        </w:rPr>
        <w:t xml:space="preserve"> </w:t>
      </w:r>
    </w:p>
    <w:p w14:paraId="7BD8FAD3" w14:textId="30FFEF22"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 население над 10 хил. души са 4 града в Черномо</w:t>
      </w:r>
      <w:r w:rsidR="000434A3" w:rsidRPr="00610B1B">
        <w:rPr>
          <w:rFonts w:ascii="Times New Roman" w:hAnsi="Times New Roman" w:cs="Times New Roman"/>
          <w:sz w:val="24"/>
          <w:szCs w:val="24"/>
          <w:lang w:val="bg-BG"/>
        </w:rPr>
        <w:t>рските общини, в които живеят 6,</w:t>
      </w:r>
      <w:r w:rsidRPr="00610B1B">
        <w:rPr>
          <w:rFonts w:ascii="Times New Roman" w:hAnsi="Times New Roman" w:cs="Times New Roman"/>
          <w:sz w:val="24"/>
          <w:szCs w:val="24"/>
          <w:lang w:val="bg-BG"/>
        </w:rPr>
        <w:t>7% от населението на</w:t>
      </w:r>
      <w:r w:rsidR="00E9671C" w:rsidRPr="00610B1B">
        <w:rPr>
          <w:rFonts w:ascii="Times New Roman" w:hAnsi="Times New Roman" w:cs="Times New Roman"/>
          <w:sz w:val="24"/>
          <w:szCs w:val="24"/>
          <w:lang w:val="bg-BG"/>
        </w:rPr>
        <w:t xml:space="preserve"> Черноморските</w:t>
      </w:r>
      <w:r w:rsidRPr="00610B1B">
        <w:rPr>
          <w:rFonts w:ascii="Times New Roman" w:hAnsi="Times New Roman" w:cs="Times New Roman"/>
          <w:sz w:val="24"/>
          <w:szCs w:val="24"/>
          <w:lang w:val="bg-BG"/>
        </w:rPr>
        <w:t xml:space="preserve"> общини. В градовете Бургас 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Варна с население над 100 хил.</w:t>
      </w:r>
      <w:r w:rsidR="007F4D14"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души живеят 74</w:t>
      </w:r>
      <w:r w:rsidR="000434A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2% от населението на общините.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Най-голяма е групата на населените места с на</w:t>
      </w:r>
      <w:r w:rsidR="000434A3" w:rsidRPr="00610B1B">
        <w:rPr>
          <w:rFonts w:ascii="Times New Roman" w:hAnsi="Times New Roman" w:cs="Times New Roman"/>
          <w:sz w:val="24"/>
          <w:szCs w:val="24"/>
          <w:lang w:val="bg-BG"/>
        </w:rPr>
        <w:t>селение между 101-500 души – 39,1%, където живее 2,</w:t>
      </w:r>
      <w:r w:rsidRPr="00610B1B">
        <w:rPr>
          <w:rFonts w:ascii="Times New Roman" w:hAnsi="Times New Roman" w:cs="Times New Roman"/>
          <w:sz w:val="24"/>
          <w:szCs w:val="24"/>
          <w:lang w:val="bg-BG"/>
        </w:rPr>
        <w:t xml:space="preserve">8% от населението на </w:t>
      </w:r>
      <w:r w:rsidR="00E9671C" w:rsidRPr="00610B1B">
        <w:rPr>
          <w:rFonts w:ascii="Times New Roman" w:hAnsi="Times New Roman" w:cs="Times New Roman"/>
          <w:sz w:val="24"/>
          <w:szCs w:val="24"/>
          <w:lang w:val="bg-BG"/>
        </w:rPr>
        <w:t xml:space="preserve">Черноморските </w:t>
      </w:r>
      <w:r w:rsidRPr="00610B1B">
        <w:rPr>
          <w:rFonts w:ascii="Times New Roman" w:hAnsi="Times New Roman" w:cs="Times New Roman"/>
          <w:sz w:val="24"/>
          <w:szCs w:val="24"/>
          <w:lang w:val="bg-BG"/>
        </w:rPr>
        <w:t>общини.</w:t>
      </w:r>
    </w:p>
    <w:p w14:paraId="3B02561E" w14:textId="51DE93AC" w:rsidR="00E9671C" w:rsidRPr="00610B1B" w:rsidRDefault="00E57141" w:rsidP="001757A5">
      <w:pPr>
        <w:autoSpaceDE w:val="0"/>
        <w:autoSpaceDN w:val="0"/>
        <w:adjustRightInd w:val="0"/>
        <w:spacing w:after="60" w:line="240" w:lineRule="auto"/>
        <w:ind w:right="-153"/>
        <w:jc w:val="both"/>
        <w:rPr>
          <w:rFonts w:ascii="Times New Roman" w:eastAsia="Lohit Devanagari" w:hAnsi="Times New Roman" w:cs="Times New Roman"/>
          <w:color w:val="00000A"/>
          <w:sz w:val="24"/>
          <w:szCs w:val="24"/>
          <w:lang w:val="bg-BG" w:eastAsia="ar-SA" w:bidi="hi-IN"/>
        </w:rPr>
      </w:pPr>
      <w:bookmarkStart w:id="311" w:name="_Toc83391602"/>
      <w:r w:rsidRPr="00610B1B">
        <w:rPr>
          <w:rFonts w:ascii="Times New Roman" w:hAnsi="Times New Roman" w:cs="Times New Roman"/>
          <w:lang w:val="bg-BG"/>
        </w:rPr>
        <w:t>Таблица</w:t>
      </w:r>
      <w:r w:rsidRPr="00610B1B">
        <w:rPr>
          <w:rFonts w:ascii="Times New Roman" w:eastAsia="Lohit Devanagari" w:hAnsi="Times New Roman" w:cs="Times New Roman"/>
          <w:color w:val="00000A"/>
          <w:sz w:val="24"/>
          <w:szCs w:val="24"/>
          <w:lang w:val="bg-BG" w:eastAsia="ar-SA" w:bidi="hi-IN"/>
        </w:rPr>
        <w:t xml:space="preserve"> </w:t>
      </w:r>
      <w:r w:rsidRPr="00610B1B">
        <w:rPr>
          <w:rFonts w:ascii="Times New Roman" w:eastAsia="Lohit Devanagari" w:hAnsi="Times New Roman" w:cs="Times New Roman"/>
          <w:color w:val="00000A"/>
          <w:sz w:val="24"/>
          <w:szCs w:val="24"/>
          <w:lang w:val="bg-BG" w:eastAsia="ar-SA" w:bidi="hi-IN"/>
        </w:rPr>
        <w:fldChar w:fldCharType="begin"/>
      </w:r>
      <w:r w:rsidRPr="00610B1B">
        <w:rPr>
          <w:rFonts w:ascii="Times New Roman" w:eastAsia="Lohit Devanagari" w:hAnsi="Times New Roman" w:cs="Times New Roman"/>
          <w:color w:val="00000A"/>
          <w:sz w:val="24"/>
          <w:szCs w:val="24"/>
          <w:lang w:val="bg-BG" w:eastAsia="ar-SA" w:bidi="hi-IN"/>
        </w:rPr>
        <w:instrText xml:space="preserve"> SEQ Таблица \* ARABIC </w:instrText>
      </w:r>
      <w:r w:rsidRPr="00610B1B">
        <w:rPr>
          <w:rFonts w:ascii="Times New Roman" w:eastAsia="Lohit Devanagari" w:hAnsi="Times New Roman" w:cs="Times New Roman"/>
          <w:color w:val="00000A"/>
          <w:sz w:val="24"/>
          <w:szCs w:val="24"/>
          <w:lang w:val="bg-BG" w:eastAsia="ar-SA" w:bidi="hi-IN"/>
        </w:rPr>
        <w:fldChar w:fldCharType="separate"/>
      </w:r>
      <w:r w:rsidR="00260629" w:rsidRPr="00610B1B">
        <w:rPr>
          <w:rFonts w:ascii="Times New Roman" w:eastAsia="Lohit Devanagari" w:hAnsi="Times New Roman" w:cs="Times New Roman"/>
          <w:noProof/>
          <w:color w:val="00000A"/>
          <w:sz w:val="24"/>
          <w:szCs w:val="24"/>
          <w:lang w:val="bg-BG" w:eastAsia="ar-SA" w:bidi="hi-IN"/>
        </w:rPr>
        <w:t>6</w:t>
      </w:r>
      <w:r w:rsidRPr="00610B1B">
        <w:rPr>
          <w:rFonts w:ascii="Times New Roman" w:eastAsia="Lohit Devanagari" w:hAnsi="Times New Roman" w:cs="Times New Roman"/>
          <w:color w:val="00000A"/>
          <w:sz w:val="24"/>
          <w:szCs w:val="24"/>
          <w:lang w:val="bg-BG" w:eastAsia="ar-SA" w:bidi="hi-IN"/>
        </w:rPr>
        <w:fldChar w:fldCharType="end"/>
      </w:r>
      <w:r w:rsidRPr="00610B1B">
        <w:rPr>
          <w:rFonts w:ascii="Times New Roman" w:eastAsia="Lohit Devanagari" w:hAnsi="Times New Roman" w:cs="Times New Roman"/>
          <w:color w:val="00000A"/>
          <w:sz w:val="24"/>
          <w:szCs w:val="24"/>
          <w:lang w:val="bg-BG" w:eastAsia="ar-SA" w:bidi="hi-IN"/>
        </w:rPr>
        <w:t xml:space="preserve">: </w:t>
      </w:r>
      <w:r w:rsidR="00E9671C" w:rsidRPr="00610B1B">
        <w:rPr>
          <w:rFonts w:ascii="Times New Roman" w:eastAsia="Lohit Devanagari" w:hAnsi="Times New Roman" w:cs="Times New Roman"/>
          <w:color w:val="00000A"/>
          <w:sz w:val="24"/>
          <w:szCs w:val="24"/>
          <w:lang w:val="bg-BG" w:eastAsia="ar-SA" w:bidi="hi-IN"/>
        </w:rPr>
        <w:t>Населени места в Черноморските общини</w:t>
      </w:r>
      <w:r w:rsidR="00D66FE0" w:rsidRPr="00610B1B">
        <w:rPr>
          <w:rFonts w:ascii="Times New Roman" w:eastAsia="Lohit Devanagari" w:hAnsi="Times New Roman" w:cs="Times New Roman"/>
          <w:color w:val="00000A"/>
          <w:sz w:val="24"/>
          <w:szCs w:val="24"/>
          <w:lang w:val="bg-BG" w:eastAsia="ar-SA" w:bidi="hi-IN"/>
        </w:rPr>
        <w:t xml:space="preserve"> </w:t>
      </w:r>
      <w:r w:rsidR="00E9671C" w:rsidRPr="00610B1B">
        <w:rPr>
          <w:rFonts w:ascii="Times New Roman" w:eastAsia="Lohit Devanagari" w:hAnsi="Times New Roman" w:cs="Times New Roman"/>
          <w:color w:val="00000A"/>
          <w:sz w:val="24"/>
          <w:szCs w:val="24"/>
          <w:lang w:val="bg-BG" w:eastAsia="ar-SA" w:bidi="hi-IN"/>
        </w:rPr>
        <w:t>според броя на населението им към 31.12.2018 г.</w:t>
      </w:r>
      <w:bookmarkEnd w:id="311"/>
    </w:p>
    <w:tbl>
      <w:tblPr>
        <w:tblStyle w:val="TableGrid"/>
        <w:tblW w:w="7933" w:type="dxa"/>
        <w:tblBorders>
          <w:left w:val="none" w:sz="0" w:space="0" w:color="auto"/>
          <w:right w:val="none" w:sz="0" w:space="0" w:color="auto"/>
          <w:insideV w:val="none" w:sz="0" w:space="0" w:color="auto"/>
        </w:tblBorders>
        <w:tblLook w:val="04A0" w:firstRow="1" w:lastRow="0" w:firstColumn="1" w:lastColumn="0" w:noHBand="0" w:noVBand="1"/>
      </w:tblPr>
      <w:tblGrid>
        <w:gridCol w:w="3397"/>
        <w:gridCol w:w="993"/>
        <w:gridCol w:w="1134"/>
        <w:gridCol w:w="1275"/>
        <w:gridCol w:w="1134"/>
      </w:tblGrid>
      <w:tr w:rsidR="00325553" w:rsidRPr="00610B1B" w14:paraId="785F1486" w14:textId="77777777" w:rsidTr="001E3FED">
        <w:tc>
          <w:tcPr>
            <w:tcW w:w="3397" w:type="dxa"/>
            <w:vMerge w:val="restart"/>
            <w:shd w:val="clear" w:color="auto" w:fill="C6D9F1" w:themeFill="text2" w:themeFillTint="33"/>
            <w:vAlign w:val="center"/>
          </w:tcPr>
          <w:p w14:paraId="106CA554" w14:textId="22E4814B" w:rsidR="00325553" w:rsidRPr="00610B1B" w:rsidRDefault="00325553" w:rsidP="00D32D6A">
            <w:pPr>
              <w:rPr>
                <w:rFonts w:ascii="Times New Roman" w:hAnsi="Times New Roman" w:cs="Times New Roman"/>
                <w:lang w:val="bg-BG"/>
              </w:rPr>
            </w:pPr>
            <w:r w:rsidRPr="00610B1B">
              <w:rPr>
                <w:rFonts w:ascii="Times New Roman" w:hAnsi="Times New Roman" w:cs="Times New Roman"/>
                <w:b/>
                <w:lang w:val="bg-BG"/>
              </w:rPr>
              <w:t>Размер на населеното място според броя на населението</w:t>
            </w:r>
          </w:p>
        </w:tc>
        <w:tc>
          <w:tcPr>
            <w:tcW w:w="2127" w:type="dxa"/>
            <w:gridSpan w:val="2"/>
            <w:shd w:val="clear" w:color="auto" w:fill="C6D9F1" w:themeFill="text2" w:themeFillTint="33"/>
            <w:vAlign w:val="center"/>
          </w:tcPr>
          <w:p w14:paraId="6B9325B8" w14:textId="3340DEF5" w:rsidR="00325553" w:rsidRPr="00610B1B" w:rsidRDefault="00325553" w:rsidP="00D32D6A">
            <w:pPr>
              <w:jc w:val="center"/>
              <w:rPr>
                <w:rFonts w:ascii="Times New Roman" w:hAnsi="Times New Roman" w:cs="Times New Roman"/>
                <w:sz w:val="20"/>
                <w:szCs w:val="20"/>
                <w:lang w:val="bg-BG"/>
              </w:rPr>
            </w:pPr>
            <w:r w:rsidRPr="00610B1B">
              <w:rPr>
                <w:rFonts w:ascii="Times New Roman" w:hAnsi="Times New Roman" w:cs="Times New Roman"/>
                <w:b/>
                <w:sz w:val="20"/>
                <w:szCs w:val="20"/>
                <w:lang w:val="bg-BG"/>
              </w:rPr>
              <w:t>Населени места</w:t>
            </w:r>
          </w:p>
        </w:tc>
        <w:tc>
          <w:tcPr>
            <w:tcW w:w="2409" w:type="dxa"/>
            <w:gridSpan w:val="2"/>
            <w:shd w:val="clear" w:color="auto" w:fill="C6D9F1" w:themeFill="text2" w:themeFillTint="33"/>
            <w:vAlign w:val="center"/>
          </w:tcPr>
          <w:p w14:paraId="2DB448F1" w14:textId="5AB62622" w:rsidR="00325553" w:rsidRPr="00610B1B" w:rsidRDefault="00325553" w:rsidP="00D32D6A">
            <w:pPr>
              <w:jc w:val="center"/>
              <w:rPr>
                <w:rFonts w:ascii="Times New Roman" w:hAnsi="Times New Roman" w:cs="Times New Roman"/>
                <w:sz w:val="20"/>
                <w:szCs w:val="20"/>
                <w:lang w:val="bg-BG"/>
              </w:rPr>
            </w:pPr>
            <w:r w:rsidRPr="00610B1B">
              <w:rPr>
                <w:rFonts w:ascii="Times New Roman" w:hAnsi="Times New Roman" w:cs="Times New Roman"/>
                <w:b/>
                <w:sz w:val="20"/>
                <w:szCs w:val="20"/>
                <w:lang w:val="bg-BG"/>
              </w:rPr>
              <w:t>Население</w:t>
            </w:r>
          </w:p>
        </w:tc>
      </w:tr>
      <w:tr w:rsidR="0042644C" w:rsidRPr="00610B1B" w14:paraId="77051413" w14:textId="77777777" w:rsidTr="001E3FED">
        <w:tc>
          <w:tcPr>
            <w:tcW w:w="3397" w:type="dxa"/>
            <w:vMerge/>
            <w:shd w:val="clear" w:color="auto" w:fill="C6D9F1" w:themeFill="text2" w:themeFillTint="33"/>
            <w:vAlign w:val="center"/>
          </w:tcPr>
          <w:p w14:paraId="72A343C0" w14:textId="77777777" w:rsidR="0042644C" w:rsidRPr="00610B1B" w:rsidRDefault="0042644C" w:rsidP="00D32D6A">
            <w:pPr>
              <w:jc w:val="center"/>
              <w:rPr>
                <w:rFonts w:ascii="Times New Roman" w:hAnsi="Times New Roman" w:cs="Times New Roman"/>
                <w:lang w:val="bg-BG"/>
              </w:rPr>
            </w:pPr>
          </w:p>
        </w:tc>
        <w:tc>
          <w:tcPr>
            <w:tcW w:w="993" w:type="dxa"/>
            <w:shd w:val="clear" w:color="auto" w:fill="C6D9F1" w:themeFill="text2" w:themeFillTint="33"/>
            <w:vAlign w:val="center"/>
          </w:tcPr>
          <w:p w14:paraId="7C6B0C51" w14:textId="18E1CAFC" w:rsidR="0042644C" w:rsidRPr="00610B1B" w:rsidRDefault="0042644C" w:rsidP="00D32D6A">
            <w:pPr>
              <w:jc w:val="center"/>
              <w:rPr>
                <w:rFonts w:ascii="Times New Roman" w:hAnsi="Times New Roman" w:cs="Times New Roman"/>
                <w:sz w:val="20"/>
                <w:szCs w:val="20"/>
                <w:lang w:val="bg-BG"/>
              </w:rPr>
            </w:pPr>
            <w:r w:rsidRPr="00610B1B">
              <w:rPr>
                <w:rFonts w:ascii="Times New Roman" w:hAnsi="Times New Roman" w:cs="Times New Roman"/>
                <w:b/>
                <w:sz w:val="20"/>
                <w:szCs w:val="20"/>
                <w:lang w:val="bg-BG"/>
              </w:rPr>
              <w:t>Брой</w:t>
            </w:r>
          </w:p>
        </w:tc>
        <w:tc>
          <w:tcPr>
            <w:tcW w:w="1134" w:type="dxa"/>
            <w:shd w:val="clear" w:color="auto" w:fill="C6D9F1" w:themeFill="text2" w:themeFillTint="33"/>
            <w:vAlign w:val="center"/>
          </w:tcPr>
          <w:p w14:paraId="31C46B19" w14:textId="2934D6DA" w:rsidR="0042644C" w:rsidRPr="00610B1B" w:rsidRDefault="0042644C" w:rsidP="00D32D6A">
            <w:pPr>
              <w:jc w:val="center"/>
              <w:rPr>
                <w:rFonts w:ascii="Times New Roman" w:hAnsi="Times New Roman" w:cs="Times New Roman"/>
                <w:sz w:val="20"/>
                <w:szCs w:val="20"/>
                <w:lang w:val="bg-BG"/>
              </w:rPr>
            </w:pPr>
            <w:r w:rsidRPr="00610B1B">
              <w:rPr>
                <w:rFonts w:ascii="Times New Roman" w:hAnsi="Times New Roman" w:cs="Times New Roman"/>
                <w:b/>
                <w:sz w:val="20"/>
                <w:szCs w:val="20"/>
                <w:lang w:val="bg-BG"/>
              </w:rPr>
              <w:t>%</w:t>
            </w:r>
          </w:p>
        </w:tc>
        <w:tc>
          <w:tcPr>
            <w:tcW w:w="1275" w:type="dxa"/>
            <w:shd w:val="clear" w:color="auto" w:fill="C6D9F1" w:themeFill="text2" w:themeFillTint="33"/>
            <w:vAlign w:val="center"/>
          </w:tcPr>
          <w:p w14:paraId="574D78AB" w14:textId="3980C53B" w:rsidR="0042644C" w:rsidRPr="00610B1B" w:rsidRDefault="0042644C" w:rsidP="00D32D6A">
            <w:pPr>
              <w:jc w:val="center"/>
              <w:rPr>
                <w:rFonts w:ascii="Times New Roman" w:hAnsi="Times New Roman" w:cs="Times New Roman"/>
                <w:sz w:val="20"/>
                <w:szCs w:val="20"/>
                <w:lang w:val="bg-BG"/>
              </w:rPr>
            </w:pPr>
            <w:r w:rsidRPr="00610B1B">
              <w:rPr>
                <w:rFonts w:ascii="Times New Roman" w:hAnsi="Times New Roman" w:cs="Times New Roman"/>
                <w:b/>
                <w:sz w:val="20"/>
                <w:szCs w:val="20"/>
                <w:lang w:val="bg-BG"/>
              </w:rPr>
              <w:t>Брой</w:t>
            </w:r>
          </w:p>
        </w:tc>
        <w:tc>
          <w:tcPr>
            <w:tcW w:w="1134" w:type="dxa"/>
            <w:shd w:val="clear" w:color="auto" w:fill="C6D9F1" w:themeFill="text2" w:themeFillTint="33"/>
            <w:vAlign w:val="center"/>
          </w:tcPr>
          <w:p w14:paraId="521B291D" w14:textId="5E5F96DD" w:rsidR="0042644C" w:rsidRPr="00610B1B" w:rsidRDefault="0042644C" w:rsidP="00D32D6A">
            <w:pPr>
              <w:jc w:val="center"/>
              <w:rPr>
                <w:rFonts w:ascii="Times New Roman" w:hAnsi="Times New Roman" w:cs="Times New Roman"/>
                <w:sz w:val="20"/>
                <w:szCs w:val="20"/>
                <w:lang w:val="bg-BG"/>
              </w:rPr>
            </w:pPr>
            <w:r w:rsidRPr="00610B1B">
              <w:rPr>
                <w:rFonts w:ascii="Times New Roman" w:hAnsi="Times New Roman" w:cs="Times New Roman"/>
                <w:b/>
                <w:sz w:val="20"/>
                <w:szCs w:val="20"/>
                <w:lang w:val="bg-BG"/>
              </w:rPr>
              <w:t>%</w:t>
            </w:r>
          </w:p>
        </w:tc>
      </w:tr>
      <w:tr w:rsidR="0042644C" w:rsidRPr="00610B1B" w14:paraId="78E0F88F" w14:textId="77777777" w:rsidTr="001E3FED">
        <w:tc>
          <w:tcPr>
            <w:tcW w:w="3397" w:type="dxa"/>
            <w:vAlign w:val="bottom"/>
          </w:tcPr>
          <w:p w14:paraId="18E0153D" w14:textId="1E1BA121" w:rsidR="0042644C" w:rsidRPr="00610B1B" w:rsidRDefault="0042644C" w:rsidP="00D32D6A">
            <w:pPr>
              <w:rPr>
                <w:rFonts w:ascii="Times New Roman" w:hAnsi="Times New Roman" w:cs="Times New Roman"/>
                <w:lang w:val="bg-BG"/>
              </w:rPr>
            </w:pPr>
            <w:r w:rsidRPr="00610B1B">
              <w:rPr>
                <w:rFonts w:ascii="Times New Roman" w:hAnsi="Times New Roman" w:cs="Times New Roman"/>
                <w:b/>
                <w:bCs/>
                <w:lang w:val="bg-BG"/>
              </w:rPr>
              <w:t>Общо</w:t>
            </w:r>
          </w:p>
        </w:tc>
        <w:tc>
          <w:tcPr>
            <w:tcW w:w="993" w:type="dxa"/>
            <w:vAlign w:val="bottom"/>
          </w:tcPr>
          <w:p w14:paraId="679B9435" w14:textId="387156F2"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lang w:val="bg-BG"/>
              </w:rPr>
              <w:t>202</w:t>
            </w:r>
          </w:p>
        </w:tc>
        <w:tc>
          <w:tcPr>
            <w:tcW w:w="1134" w:type="dxa"/>
            <w:vAlign w:val="bottom"/>
          </w:tcPr>
          <w:p w14:paraId="5691A74B" w14:textId="44912FE5"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lang w:val="bg-BG"/>
              </w:rPr>
              <w:t>100</w:t>
            </w:r>
          </w:p>
        </w:tc>
        <w:tc>
          <w:tcPr>
            <w:tcW w:w="1275" w:type="dxa"/>
            <w:vAlign w:val="bottom"/>
          </w:tcPr>
          <w:p w14:paraId="2CCBD39F" w14:textId="142B966C"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lang w:val="bg-BG"/>
              </w:rPr>
              <w:t>726 745</w:t>
            </w:r>
          </w:p>
        </w:tc>
        <w:tc>
          <w:tcPr>
            <w:tcW w:w="1134" w:type="dxa"/>
            <w:vAlign w:val="bottom"/>
          </w:tcPr>
          <w:p w14:paraId="22823967" w14:textId="3E91F16A"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lang w:val="bg-BG"/>
              </w:rPr>
              <w:t>100</w:t>
            </w:r>
          </w:p>
        </w:tc>
      </w:tr>
      <w:tr w:rsidR="0042644C" w:rsidRPr="00610B1B" w14:paraId="7BC41FB0" w14:textId="77777777" w:rsidTr="001E3FED">
        <w:tc>
          <w:tcPr>
            <w:tcW w:w="3397" w:type="dxa"/>
            <w:vAlign w:val="bottom"/>
          </w:tcPr>
          <w:p w14:paraId="69AC857A" w14:textId="5AEFBBDD"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Без население</w:t>
            </w:r>
          </w:p>
        </w:tc>
        <w:tc>
          <w:tcPr>
            <w:tcW w:w="993" w:type="dxa"/>
            <w:vAlign w:val="bottom"/>
          </w:tcPr>
          <w:p w14:paraId="1A897928" w14:textId="39F998F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w:t>
            </w:r>
          </w:p>
        </w:tc>
        <w:tc>
          <w:tcPr>
            <w:tcW w:w="1134" w:type="dxa"/>
            <w:vAlign w:val="bottom"/>
          </w:tcPr>
          <w:p w14:paraId="26F9B339" w14:textId="135B697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0,5</w:t>
            </w:r>
          </w:p>
        </w:tc>
        <w:tc>
          <w:tcPr>
            <w:tcW w:w="1275" w:type="dxa"/>
            <w:vAlign w:val="bottom"/>
          </w:tcPr>
          <w:p w14:paraId="545D5451" w14:textId="616F1563"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w:t>
            </w:r>
          </w:p>
        </w:tc>
        <w:tc>
          <w:tcPr>
            <w:tcW w:w="1134" w:type="dxa"/>
            <w:vAlign w:val="bottom"/>
          </w:tcPr>
          <w:p w14:paraId="1B7893A0" w14:textId="3E3D3CE3"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r>
      <w:tr w:rsidR="0042644C" w:rsidRPr="00610B1B" w14:paraId="33F8F0E2" w14:textId="77777777" w:rsidTr="001E3FED">
        <w:tc>
          <w:tcPr>
            <w:tcW w:w="3397" w:type="dxa"/>
            <w:vAlign w:val="bottom"/>
          </w:tcPr>
          <w:p w14:paraId="2E00967A" w14:textId="08676B2B"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1-10</w:t>
            </w:r>
          </w:p>
        </w:tc>
        <w:tc>
          <w:tcPr>
            <w:tcW w:w="993" w:type="dxa"/>
            <w:vAlign w:val="bottom"/>
          </w:tcPr>
          <w:p w14:paraId="6799A3C1" w14:textId="36CDFD8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7</w:t>
            </w:r>
          </w:p>
        </w:tc>
        <w:tc>
          <w:tcPr>
            <w:tcW w:w="1134" w:type="dxa"/>
            <w:vAlign w:val="bottom"/>
          </w:tcPr>
          <w:p w14:paraId="0C2C105D" w14:textId="178DCFF8"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3,5</w:t>
            </w:r>
          </w:p>
        </w:tc>
        <w:tc>
          <w:tcPr>
            <w:tcW w:w="1275" w:type="dxa"/>
            <w:vAlign w:val="bottom"/>
          </w:tcPr>
          <w:p w14:paraId="117C6CD2" w14:textId="0307D06C"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40</w:t>
            </w:r>
          </w:p>
        </w:tc>
        <w:tc>
          <w:tcPr>
            <w:tcW w:w="1134" w:type="dxa"/>
            <w:vAlign w:val="bottom"/>
          </w:tcPr>
          <w:p w14:paraId="6D676E22" w14:textId="160C68F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r>
      <w:tr w:rsidR="0042644C" w:rsidRPr="00610B1B" w14:paraId="3DA47A56" w14:textId="77777777" w:rsidTr="001E3FED">
        <w:tc>
          <w:tcPr>
            <w:tcW w:w="3397" w:type="dxa"/>
            <w:vAlign w:val="bottom"/>
          </w:tcPr>
          <w:p w14:paraId="703DE28B" w14:textId="6D9D4861"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11 - 50</w:t>
            </w:r>
          </w:p>
        </w:tc>
        <w:tc>
          <w:tcPr>
            <w:tcW w:w="993" w:type="dxa"/>
            <w:vAlign w:val="bottom"/>
          </w:tcPr>
          <w:p w14:paraId="1128E38A" w14:textId="71480BBA"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17</w:t>
            </w:r>
          </w:p>
        </w:tc>
        <w:tc>
          <w:tcPr>
            <w:tcW w:w="1134" w:type="dxa"/>
            <w:vAlign w:val="bottom"/>
          </w:tcPr>
          <w:p w14:paraId="68ADCE1E" w14:textId="5DA5681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8,4</w:t>
            </w:r>
          </w:p>
        </w:tc>
        <w:tc>
          <w:tcPr>
            <w:tcW w:w="1275" w:type="dxa"/>
            <w:vAlign w:val="bottom"/>
          </w:tcPr>
          <w:p w14:paraId="6EC93C72" w14:textId="1B07F025"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578</w:t>
            </w:r>
          </w:p>
        </w:tc>
        <w:tc>
          <w:tcPr>
            <w:tcW w:w="1134" w:type="dxa"/>
            <w:vAlign w:val="bottom"/>
          </w:tcPr>
          <w:p w14:paraId="3920E2AB" w14:textId="4D64288A"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0,1</w:t>
            </w:r>
          </w:p>
        </w:tc>
      </w:tr>
      <w:tr w:rsidR="0042644C" w:rsidRPr="00610B1B" w14:paraId="6232A671" w14:textId="77777777" w:rsidTr="001E3FED">
        <w:tc>
          <w:tcPr>
            <w:tcW w:w="3397" w:type="dxa"/>
            <w:vAlign w:val="bottom"/>
          </w:tcPr>
          <w:p w14:paraId="69F60244" w14:textId="7F4A8178"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51 - 100</w:t>
            </w:r>
          </w:p>
        </w:tc>
        <w:tc>
          <w:tcPr>
            <w:tcW w:w="993" w:type="dxa"/>
            <w:vAlign w:val="bottom"/>
          </w:tcPr>
          <w:p w14:paraId="1DC1E06B" w14:textId="3E76B25C"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22</w:t>
            </w:r>
          </w:p>
        </w:tc>
        <w:tc>
          <w:tcPr>
            <w:tcW w:w="1134" w:type="dxa"/>
            <w:vAlign w:val="bottom"/>
          </w:tcPr>
          <w:p w14:paraId="31CB2A0F" w14:textId="61C5BE3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10,9</w:t>
            </w:r>
          </w:p>
        </w:tc>
        <w:tc>
          <w:tcPr>
            <w:tcW w:w="1275" w:type="dxa"/>
            <w:vAlign w:val="bottom"/>
          </w:tcPr>
          <w:p w14:paraId="5A195C56" w14:textId="6736638E"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lang w:val="bg-BG"/>
              </w:rPr>
              <w:t>1 592</w:t>
            </w:r>
          </w:p>
        </w:tc>
        <w:tc>
          <w:tcPr>
            <w:tcW w:w="1134" w:type="dxa"/>
            <w:vAlign w:val="bottom"/>
          </w:tcPr>
          <w:p w14:paraId="19F835BF" w14:textId="6F52019E"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0,2</w:t>
            </w:r>
          </w:p>
        </w:tc>
      </w:tr>
      <w:tr w:rsidR="0042644C" w:rsidRPr="00610B1B" w14:paraId="04D22F23" w14:textId="77777777" w:rsidTr="001E3FED">
        <w:tc>
          <w:tcPr>
            <w:tcW w:w="3397" w:type="dxa"/>
            <w:vAlign w:val="bottom"/>
          </w:tcPr>
          <w:p w14:paraId="4C2836E2" w14:textId="1913D567"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101 - 500</w:t>
            </w:r>
          </w:p>
        </w:tc>
        <w:tc>
          <w:tcPr>
            <w:tcW w:w="993" w:type="dxa"/>
            <w:vAlign w:val="bottom"/>
          </w:tcPr>
          <w:p w14:paraId="3DCE6347" w14:textId="6479F50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79</w:t>
            </w:r>
          </w:p>
        </w:tc>
        <w:tc>
          <w:tcPr>
            <w:tcW w:w="1134" w:type="dxa"/>
            <w:vAlign w:val="bottom"/>
          </w:tcPr>
          <w:p w14:paraId="31C37934" w14:textId="179500DD"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39,1</w:t>
            </w:r>
          </w:p>
        </w:tc>
        <w:tc>
          <w:tcPr>
            <w:tcW w:w="1275" w:type="dxa"/>
            <w:vAlign w:val="bottom"/>
          </w:tcPr>
          <w:p w14:paraId="330D94A3" w14:textId="2C9632E0"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20 100</w:t>
            </w:r>
          </w:p>
        </w:tc>
        <w:tc>
          <w:tcPr>
            <w:tcW w:w="1134" w:type="dxa"/>
            <w:vAlign w:val="bottom"/>
          </w:tcPr>
          <w:p w14:paraId="2B0BF567" w14:textId="00282D48"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2,8</w:t>
            </w:r>
          </w:p>
        </w:tc>
      </w:tr>
      <w:tr w:rsidR="0042644C" w:rsidRPr="00610B1B" w14:paraId="21A430C8" w14:textId="77777777" w:rsidTr="001E3FED">
        <w:tc>
          <w:tcPr>
            <w:tcW w:w="3397" w:type="dxa"/>
            <w:vAlign w:val="bottom"/>
          </w:tcPr>
          <w:p w14:paraId="0E670678" w14:textId="483136DB"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501 - 1000</w:t>
            </w:r>
          </w:p>
        </w:tc>
        <w:tc>
          <w:tcPr>
            <w:tcW w:w="993" w:type="dxa"/>
            <w:vAlign w:val="bottom"/>
          </w:tcPr>
          <w:p w14:paraId="216FD847" w14:textId="10D8913F"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27</w:t>
            </w:r>
          </w:p>
        </w:tc>
        <w:tc>
          <w:tcPr>
            <w:tcW w:w="1134" w:type="dxa"/>
            <w:vAlign w:val="bottom"/>
          </w:tcPr>
          <w:p w14:paraId="5AC8D57D" w14:textId="0755714E"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13,4</w:t>
            </w:r>
          </w:p>
        </w:tc>
        <w:tc>
          <w:tcPr>
            <w:tcW w:w="1275" w:type="dxa"/>
            <w:vAlign w:val="bottom"/>
          </w:tcPr>
          <w:p w14:paraId="65B2F101" w14:textId="192A919F"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20 641</w:t>
            </w:r>
          </w:p>
        </w:tc>
        <w:tc>
          <w:tcPr>
            <w:tcW w:w="1134" w:type="dxa"/>
            <w:vAlign w:val="bottom"/>
          </w:tcPr>
          <w:p w14:paraId="1CD48FFA" w14:textId="3EF813E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2,8</w:t>
            </w:r>
          </w:p>
        </w:tc>
      </w:tr>
      <w:tr w:rsidR="0042644C" w:rsidRPr="00610B1B" w14:paraId="1636CCD4" w14:textId="77777777" w:rsidTr="001E3FED">
        <w:tc>
          <w:tcPr>
            <w:tcW w:w="3397" w:type="dxa"/>
            <w:vAlign w:val="bottom"/>
          </w:tcPr>
          <w:p w14:paraId="32F01CA8" w14:textId="4A44D122"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1001 - 10000</w:t>
            </w:r>
          </w:p>
        </w:tc>
        <w:tc>
          <w:tcPr>
            <w:tcW w:w="993" w:type="dxa"/>
            <w:vAlign w:val="bottom"/>
          </w:tcPr>
          <w:p w14:paraId="4088351E" w14:textId="26A3BA7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43</w:t>
            </w:r>
          </w:p>
        </w:tc>
        <w:tc>
          <w:tcPr>
            <w:tcW w:w="1134" w:type="dxa"/>
            <w:vAlign w:val="bottom"/>
          </w:tcPr>
          <w:p w14:paraId="446AA2CE" w14:textId="5B3409A8"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21,3</w:t>
            </w:r>
          </w:p>
        </w:tc>
        <w:tc>
          <w:tcPr>
            <w:tcW w:w="1275" w:type="dxa"/>
            <w:vAlign w:val="bottom"/>
          </w:tcPr>
          <w:p w14:paraId="49F489AF" w14:textId="112136DD"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96 299</w:t>
            </w:r>
          </w:p>
        </w:tc>
        <w:tc>
          <w:tcPr>
            <w:tcW w:w="1134" w:type="dxa"/>
            <w:vAlign w:val="bottom"/>
          </w:tcPr>
          <w:p w14:paraId="4552D80A" w14:textId="51AE6779"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13,3</w:t>
            </w:r>
          </w:p>
        </w:tc>
      </w:tr>
      <w:tr w:rsidR="0042644C" w:rsidRPr="00610B1B" w14:paraId="5236437C" w14:textId="77777777" w:rsidTr="001E3FED">
        <w:tc>
          <w:tcPr>
            <w:tcW w:w="3397" w:type="dxa"/>
            <w:vAlign w:val="bottom"/>
          </w:tcPr>
          <w:p w14:paraId="4F5CA8A5" w14:textId="4A04C4AA"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10001 - 50000</w:t>
            </w:r>
          </w:p>
        </w:tc>
        <w:tc>
          <w:tcPr>
            <w:tcW w:w="993" w:type="dxa"/>
            <w:vAlign w:val="bottom"/>
          </w:tcPr>
          <w:p w14:paraId="30BEB4A8" w14:textId="04F0DFFC"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4</w:t>
            </w:r>
          </w:p>
        </w:tc>
        <w:tc>
          <w:tcPr>
            <w:tcW w:w="1134" w:type="dxa"/>
            <w:vAlign w:val="bottom"/>
          </w:tcPr>
          <w:p w14:paraId="1F256E65" w14:textId="1102C78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2,0</w:t>
            </w:r>
          </w:p>
        </w:tc>
        <w:tc>
          <w:tcPr>
            <w:tcW w:w="1275" w:type="dxa"/>
            <w:vAlign w:val="bottom"/>
          </w:tcPr>
          <w:p w14:paraId="7A08D89A" w14:textId="4242754E"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lang w:val="bg-BG"/>
              </w:rPr>
              <w:t>48 556</w:t>
            </w:r>
          </w:p>
        </w:tc>
        <w:tc>
          <w:tcPr>
            <w:tcW w:w="1134" w:type="dxa"/>
            <w:vAlign w:val="bottom"/>
          </w:tcPr>
          <w:p w14:paraId="406A89D3" w14:textId="297708E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6,7</w:t>
            </w:r>
          </w:p>
        </w:tc>
      </w:tr>
      <w:tr w:rsidR="0042644C" w:rsidRPr="00610B1B" w14:paraId="160A55C8" w14:textId="77777777" w:rsidTr="001E3FED">
        <w:tc>
          <w:tcPr>
            <w:tcW w:w="3397" w:type="dxa"/>
            <w:vAlign w:val="bottom"/>
          </w:tcPr>
          <w:p w14:paraId="06C7D21A" w14:textId="468D3284"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50001 - 100000</w:t>
            </w:r>
          </w:p>
        </w:tc>
        <w:tc>
          <w:tcPr>
            <w:tcW w:w="993" w:type="dxa"/>
            <w:vAlign w:val="bottom"/>
          </w:tcPr>
          <w:p w14:paraId="3AD3F20F" w14:textId="3C1CDA2A"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w:t>
            </w:r>
          </w:p>
        </w:tc>
        <w:tc>
          <w:tcPr>
            <w:tcW w:w="1134" w:type="dxa"/>
            <w:vAlign w:val="bottom"/>
          </w:tcPr>
          <w:p w14:paraId="6FF9EF48" w14:textId="6C5BBFED"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c>
          <w:tcPr>
            <w:tcW w:w="1275" w:type="dxa"/>
            <w:vAlign w:val="bottom"/>
          </w:tcPr>
          <w:p w14:paraId="625D8215" w14:textId="7EE6978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w:t>
            </w:r>
          </w:p>
        </w:tc>
        <w:tc>
          <w:tcPr>
            <w:tcW w:w="1134" w:type="dxa"/>
            <w:vAlign w:val="bottom"/>
          </w:tcPr>
          <w:p w14:paraId="3854533E" w14:textId="6F3897A2"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r>
      <w:tr w:rsidR="0042644C" w:rsidRPr="00610B1B" w14:paraId="47A549CC" w14:textId="77777777" w:rsidTr="001E3FED">
        <w:tc>
          <w:tcPr>
            <w:tcW w:w="3397" w:type="dxa"/>
            <w:vAlign w:val="bottom"/>
          </w:tcPr>
          <w:p w14:paraId="25898E7C" w14:textId="41A060C4" w:rsidR="0042644C" w:rsidRPr="00610B1B" w:rsidRDefault="0042644C" w:rsidP="00D32D6A">
            <w:pPr>
              <w:rPr>
                <w:rFonts w:ascii="Times New Roman" w:hAnsi="Times New Roman" w:cs="Times New Roman"/>
                <w:lang w:val="bg-BG"/>
              </w:rPr>
            </w:pPr>
            <w:r w:rsidRPr="00610B1B">
              <w:rPr>
                <w:rFonts w:ascii="Times New Roman" w:hAnsi="Times New Roman" w:cs="Times New Roman"/>
                <w:color w:val="000000"/>
                <w:lang w:val="bg-BG"/>
              </w:rPr>
              <w:t>100000 и повече</w:t>
            </w:r>
          </w:p>
        </w:tc>
        <w:tc>
          <w:tcPr>
            <w:tcW w:w="993" w:type="dxa"/>
            <w:vAlign w:val="bottom"/>
          </w:tcPr>
          <w:p w14:paraId="292BE0B2" w14:textId="4DCB93F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w:t>
            </w:r>
          </w:p>
        </w:tc>
        <w:tc>
          <w:tcPr>
            <w:tcW w:w="1134" w:type="dxa"/>
            <w:vAlign w:val="bottom"/>
          </w:tcPr>
          <w:p w14:paraId="1357E89B" w14:textId="7320278A"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1,0</w:t>
            </w:r>
          </w:p>
        </w:tc>
        <w:tc>
          <w:tcPr>
            <w:tcW w:w="1275" w:type="dxa"/>
            <w:vAlign w:val="bottom"/>
          </w:tcPr>
          <w:p w14:paraId="2E8330EA" w14:textId="0A9B13F2"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lang w:val="bg-BG"/>
              </w:rPr>
              <w:t>538 939</w:t>
            </w:r>
          </w:p>
        </w:tc>
        <w:tc>
          <w:tcPr>
            <w:tcW w:w="1134" w:type="dxa"/>
            <w:vAlign w:val="bottom"/>
          </w:tcPr>
          <w:p w14:paraId="79F85A18" w14:textId="389C786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74,2</w:t>
            </w:r>
          </w:p>
        </w:tc>
      </w:tr>
    </w:tbl>
    <w:p w14:paraId="2DFDEF6F" w14:textId="3F299E05" w:rsidR="0082227D" w:rsidRPr="00610B1B" w:rsidRDefault="0082227D" w:rsidP="001757A5">
      <w:pPr>
        <w:spacing w:before="60" w:after="0" w:line="240" w:lineRule="auto"/>
        <w:ind w:right="-153"/>
        <w:jc w:val="both"/>
        <w:rPr>
          <w:rFonts w:ascii="Times New Roman" w:hAnsi="Times New Roman" w:cs="Times New Roman"/>
          <w:lang w:val="bg-BG"/>
        </w:rPr>
      </w:pPr>
      <w:r w:rsidRPr="00610B1B">
        <w:rPr>
          <w:rFonts w:ascii="Times New Roman" w:hAnsi="Times New Roman" w:cs="Times New Roman"/>
          <w:lang w:val="bg-BG"/>
        </w:rPr>
        <w:t>Източник: НСИ, обработка НЦТР</w:t>
      </w:r>
    </w:p>
    <w:p w14:paraId="62B1695B" w14:textId="3C3BAC42" w:rsidR="0082227D" w:rsidRPr="00610B1B" w:rsidRDefault="000434A3"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 xml:space="preserve">Според броя на населението в общините към 31.12.2018 г. то </w:t>
      </w:r>
      <w:r w:rsidR="00BC6049" w:rsidRPr="00610B1B">
        <w:rPr>
          <w:rFonts w:ascii="Times New Roman" w:hAnsi="Times New Roman" w:cs="Times New Roman"/>
          <w:sz w:val="24"/>
          <w:szCs w:val="24"/>
          <w:lang w:val="bg-BG"/>
        </w:rPr>
        <w:t xml:space="preserve">разпределението му логично показва неравномерност и концентрация от 76,3% в двете най-големи общини Варна (345 369 души) и Бургас (208 915 души). </w:t>
      </w:r>
      <w:r w:rsidR="0082227D" w:rsidRPr="00610B1B">
        <w:rPr>
          <w:rFonts w:ascii="Times New Roman" w:hAnsi="Times New Roman" w:cs="Times New Roman"/>
          <w:sz w:val="24"/>
          <w:szCs w:val="24"/>
          <w:lang w:val="bg-BG"/>
        </w:rPr>
        <w:t>Средният брой лица, изчислени за една община към 31.12.2018 г. възлиза на 51 910 лица.</w:t>
      </w:r>
      <w:r w:rsidR="005D581C"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В 2 общини с население под 6</w:t>
      </w:r>
      <w:r w:rsidR="005D581C"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000 души</w:t>
      </w:r>
      <w:r w:rsidR="0082227D" w:rsidRPr="00610B1B">
        <w:rPr>
          <w:rStyle w:val="FootnoteReference"/>
          <w:rFonts w:ascii="Times New Roman" w:hAnsi="Times New Roman" w:cs="Times New Roman"/>
          <w:sz w:val="24"/>
          <w:szCs w:val="24"/>
          <w:lang w:val="bg-BG"/>
        </w:rPr>
        <w:footnoteReference w:id="99"/>
      </w:r>
      <w:r w:rsidR="0076412F" w:rsidRPr="00610B1B">
        <w:rPr>
          <w:rFonts w:ascii="Times New Roman" w:hAnsi="Times New Roman" w:cs="Times New Roman"/>
          <w:sz w:val="24"/>
          <w:szCs w:val="24"/>
          <w:lang w:val="bg-BG"/>
        </w:rPr>
        <w:t xml:space="preserve"> живеят едва 1,</w:t>
      </w:r>
      <w:r w:rsidR="0082227D" w:rsidRPr="00610B1B">
        <w:rPr>
          <w:rFonts w:ascii="Times New Roman" w:hAnsi="Times New Roman" w:cs="Times New Roman"/>
          <w:sz w:val="24"/>
          <w:szCs w:val="24"/>
          <w:lang w:val="bg-BG"/>
        </w:rPr>
        <w:t>1% от населението на общините. Най-малката община е Бяла –</w:t>
      </w:r>
      <w:r w:rsidR="00D66FE0"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3 282 души, следвана от община Шабла (4 367) души.</w:t>
      </w:r>
    </w:p>
    <w:p w14:paraId="3D93D4E5" w14:textId="423D914E"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Черно море е играло ролята на градообразуващ фактор от най-ран</w:t>
      </w:r>
      <w:r w:rsidR="00E9671C" w:rsidRPr="00610B1B">
        <w:rPr>
          <w:rFonts w:ascii="Times New Roman" w:hAnsi="Times New Roman" w:cs="Times New Roman"/>
          <w:sz w:val="24"/>
          <w:szCs w:val="24"/>
          <w:lang w:val="bg-BG"/>
        </w:rPr>
        <w:t>н</w:t>
      </w:r>
      <w:r w:rsidRPr="00610B1B">
        <w:rPr>
          <w:rFonts w:ascii="Times New Roman" w:hAnsi="Times New Roman" w:cs="Times New Roman"/>
          <w:sz w:val="24"/>
          <w:szCs w:val="24"/>
          <w:lang w:val="bg-BG"/>
        </w:rPr>
        <w:t xml:space="preserve">и исторически епохи, когато по крайбрежието са били основани първите тракийски поселища. </w:t>
      </w:r>
      <w:r w:rsidR="0076412F" w:rsidRPr="00610B1B">
        <w:rPr>
          <w:rFonts w:ascii="Times New Roman" w:hAnsi="Times New Roman" w:cs="Times New Roman"/>
          <w:sz w:val="24"/>
          <w:szCs w:val="24"/>
          <w:lang w:val="bg-BG"/>
        </w:rPr>
        <w:t>П</w:t>
      </w:r>
      <w:r w:rsidRPr="00610B1B">
        <w:rPr>
          <w:rFonts w:ascii="Times New Roman" w:hAnsi="Times New Roman" w:cs="Times New Roman"/>
          <w:sz w:val="24"/>
          <w:szCs w:val="24"/>
          <w:lang w:val="bg-BG"/>
        </w:rPr>
        <w:t>рез втората половина на 7 век пр.</w:t>
      </w:r>
      <w:r w:rsidR="008E5D9F" w:rsidRPr="00610B1B">
        <w:rPr>
          <w:rFonts w:ascii="Times New Roman" w:hAnsi="Times New Roman" w:cs="Times New Roman"/>
          <w:sz w:val="24"/>
          <w:szCs w:val="24"/>
          <w:lang w:val="bg-BG"/>
        </w:rPr>
        <w:t> </w:t>
      </w:r>
      <w:r w:rsidR="006B6BE2" w:rsidRPr="00610B1B">
        <w:rPr>
          <w:rFonts w:ascii="Times New Roman" w:hAnsi="Times New Roman" w:cs="Times New Roman"/>
          <w:sz w:val="24"/>
          <w:szCs w:val="24"/>
          <w:lang w:val="bg-BG"/>
        </w:rPr>
        <w:t>Хр</w:t>
      </w:r>
      <w:r w:rsidRPr="00610B1B">
        <w:rPr>
          <w:rFonts w:ascii="Times New Roman" w:hAnsi="Times New Roman" w:cs="Times New Roman"/>
          <w:sz w:val="24"/>
          <w:szCs w:val="24"/>
          <w:lang w:val="bg-BG"/>
        </w:rPr>
        <w:t>. по Западното Черноморско крайбрежие са основани първите гръцки колонии</w:t>
      </w:r>
      <w:r w:rsidR="00E9671C"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Първите градове, създадени по </w:t>
      </w:r>
      <w:r w:rsidR="0076412F" w:rsidRPr="00610B1B">
        <w:rPr>
          <w:rFonts w:ascii="Times New Roman" w:hAnsi="Times New Roman" w:cs="Times New Roman"/>
          <w:sz w:val="24"/>
          <w:szCs w:val="24"/>
          <w:lang w:val="bg-BG"/>
        </w:rPr>
        <w:t xml:space="preserve">българското </w:t>
      </w:r>
      <w:r w:rsidRPr="00610B1B">
        <w:rPr>
          <w:rFonts w:ascii="Times New Roman" w:hAnsi="Times New Roman" w:cs="Times New Roman"/>
          <w:sz w:val="24"/>
          <w:szCs w:val="24"/>
          <w:lang w:val="bg-BG"/>
        </w:rPr>
        <w:t>Черноморско крайбрежие на мястото на стари тракийски селища или в близост до тях, са Дионисопол (Балчик), Одесос (Варна), Месемврия (Несебър), Анхиало (Поморие) и Аполония (Созопол)</w:t>
      </w:r>
      <w:r w:rsidR="00C07C4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p>
    <w:p w14:paraId="5E2E26D1" w14:textId="3065206E"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Към края на 2018 г. </w:t>
      </w:r>
      <w:r w:rsidRPr="00610B1B">
        <w:rPr>
          <w:rFonts w:ascii="Times New Roman" w:hAnsi="Times New Roman" w:cs="Times New Roman"/>
          <w:b/>
          <w:sz w:val="24"/>
          <w:szCs w:val="24"/>
          <w:lang w:val="bg-BG"/>
        </w:rPr>
        <w:t>градовете</w:t>
      </w:r>
      <w:r w:rsidRPr="00610B1B">
        <w:rPr>
          <w:rFonts w:ascii="Times New Roman" w:hAnsi="Times New Roman" w:cs="Times New Roman"/>
          <w:sz w:val="24"/>
          <w:szCs w:val="24"/>
          <w:lang w:val="bg-BG"/>
        </w:rPr>
        <w:t xml:space="preserve"> разположени в Черноморските общини са 22 и в тях живеят 640 803 души, </w:t>
      </w:r>
      <w:r w:rsidR="006210EB" w:rsidRPr="00610B1B">
        <w:rPr>
          <w:rFonts w:ascii="Times New Roman" w:hAnsi="Times New Roman" w:cs="Times New Roman"/>
          <w:sz w:val="24"/>
          <w:szCs w:val="24"/>
          <w:lang w:val="bg-BG"/>
        </w:rPr>
        <w:t>до</w:t>
      </w:r>
      <w:r w:rsidRPr="00610B1B">
        <w:rPr>
          <w:rFonts w:ascii="Times New Roman" w:hAnsi="Times New Roman" w:cs="Times New Roman"/>
          <w:sz w:val="24"/>
          <w:szCs w:val="24"/>
          <w:lang w:val="bg-BG"/>
        </w:rPr>
        <w:t>като в края на 2011 г. в тях са живели 634 984 души, или за 7 години населениет</w:t>
      </w:r>
      <w:r w:rsidR="001363AC" w:rsidRPr="00610B1B">
        <w:rPr>
          <w:rFonts w:ascii="Times New Roman" w:hAnsi="Times New Roman" w:cs="Times New Roman"/>
          <w:sz w:val="24"/>
          <w:szCs w:val="24"/>
          <w:lang w:val="bg-BG"/>
        </w:rPr>
        <w:t>о се увеличава с 5 919</w:t>
      </w:r>
      <w:r w:rsidR="00D66FE0" w:rsidRPr="00610B1B">
        <w:rPr>
          <w:rFonts w:ascii="Times New Roman" w:hAnsi="Times New Roman" w:cs="Times New Roman"/>
          <w:sz w:val="24"/>
          <w:szCs w:val="24"/>
          <w:lang w:val="bg-BG"/>
        </w:rPr>
        <w:t xml:space="preserve"> </w:t>
      </w:r>
      <w:r w:rsidR="001363AC" w:rsidRPr="00610B1B">
        <w:rPr>
          <w:rFonts w:ascii="Times New Roman" w:hAnsi="Times New Roman" w:cs="Times New Roman"/>
          <w:sz w:val="24"/>
          <w:szCs w:val="24"/>
          <w:lang w:val="bg-BG"/>
        </w:rPr>
        <w:t>души (0,</w:t>
      </w:r>
      <w:r w:rsidRPr="00610B1B">
        <w:rPr>
          <w:rFonts w:ascii="Times New Roman" w:hAnsi="Times New Roman" w:cs="Times New Roman"/>
          <w:sz w:val="24"/>
          <w:szCs w:val="24"/>
          <w:lang w:val="bg-BG"/>
        </w:rPr>
        <w:t>9%). През същия период населението на гра</w:t>
      </w:r>
      <w:r w:rsidR="001363AC" w:rsidRPr="00610B1B">
        <w:rPr>
          <w:rFonts w:ascii="Times New Roman" w:hAnsi="Times New Roman" w:cs="Times New Roman"/>
          <w:sz w:val="24"/>
          <w:szCs w:val="24"/>
          <w:lang w:val="bg-BG"/>
        </w:rPr>
        <w:t>довете в страната намалява с -3,</w:t>
      </w:r>
      <w:r w:rsidRPr="00610B1B">
        <w:rPr>
          <w:rFonts w:ascii="Times New Roman" w:hAnsi="Times New Roman" w:cs="Times New Roman"/>
          <w:sz w:val="24"/>
          <w:szCs w:val="24"/>
          <w:lang w:val="bg-BG"/>
        </w:rPr>
        <w:t xml:space="preserve">9%, или черноморските градове са в по-благоприятна ситуация от повечето градове в страната. В периода 2011–2018 г. нараства населението на </w:t>
      </w:r>
      <w:r w:rsidR="001363AC" w:rsidRPr="00610B1B">
        <w:rPr>
          <w:rFonts w:ascii="Times New Roman" w:hAnsi="Times New Roman" w:cs="Times New Roman"/>
          <w:sz w:val="24"/>
          <w:szCs w:val="24"/>
          <w:lang w:val="bg-BG"/>
        </w:rPr>
        <w:t>9 града:</w:t>
      </w:r>
      <w:r w:rsidR="00D66FE0" w:rsidRPr="00610B1B">
        <w:rPr>
          <w:rFonts w:ascii="Times New Roman" w:hAnsi="Times New Roman" w:cs="Times New Roman"/>
          <w:sz w:val="24"/>
          <w:szCs w:val="24"/>
          <w:lang w:val="bg-BG"/>
        </w:rPr>
        <w:t xml:space="preserve"> </w:t>
      </w:r>
      <w:r w:rsidR="001363AC" w:rsidRPr="00610B1B">
        <w:rPr>
          <w:rFonts w:ascii="Times New Roman" w:hAnsi="Times New Roman" w:cs="Times New Roman"/>
          <w:sz w:val="24"/>
          <w:szCs w:val="24"/>
          <w:lang w:val="bg-BG"/>
        </w:rPr>
        <w:t>Бургас с 2 950</w:t>
      </w:r>
      <w:r w:rsidR="00D66FE0" w:rsidRPr="00610B1B">
        <w:rPr>
          <w:rFonts w:ascii="Times New Roman" w:hAnsi="Times New Roman" w:cs="Times New Roman"/>
          <w:sz w:val="24"/>
          <w:szCs w:val="24"/>
          <w:lang w:val="bg-BG"/>
        </w:rPr>
        <w:t xml:space="preserve"> </w:t>
      </w:r>
      <w:r w:rsidR="001363AC" w:rsidRPr="00610B1B">
        <w:rPr>
          <w:rFonts w:ascii="Times New Roman" w:hAnsi="Times New Roman" w:cs="Times New Roman"/>
          <w:sz w:val="24"/>
          <w:szCs w:val="24"/>
          <w:lang w:val="bg-BG"/>
        </w:rPr>
        <w:t>д. (0,5%),</w:t>
      </w:r>
      <w:r w:rsidR="00D66FE0" w:rsidRPr="00610B1B">
        <w:rPr>
          <w:rFonts w:ascii="Times New Roman" w:hAnsi="Times New Roman" w:cs="Times New Roman"/>
          <w:sz w:val="24"/>
          <w:szCs w:val="24"/>
          <w:lang w:val="bg-BG"/>
        </w:rPr>
        <w:t xml:space="preserve"> </w:t>
      </w:r>
      <w:r w:rsidR="001363AC" w:rsidRPr="00610B1B">
        <w:rPr>
          <w:rFonts w:ascii="Times New Roman" w:hAnsi="Times New Roman" w:cs="Times New Roman"/>
          <w:sz w:val="24"/>
          <w:szCs w:val="24"/>
          <w:lang w:val="bg-BG"/>
        </w:rPr>
        <w:t>Несебър 2</w:t>
      </w:r>
      <w:r w:rsidR="00D23EDE" w:rsidRPr="00610B1B">
        <w:rPr>
          <w:rFonts w:ascii="Times New Roman" w:hAnsi="Times New Roman" w:cs="Times New Roman"/>
          <w:sz w:val="24"/>
          <w:szCs w:val="24"/>
          <w:lang w:val="bg-BG"/>
        </w:rPr>
        <w:t> </w:t>
      </w:r>
      <w:r w:rsidR="001363AC" w:rsidRPr="00610B1B">
        <w:rPr>
          <w:rFonts w:ascii="Times New Roman" w:hAnsi="Times New Roman" w:cs="Times New Roman"/>
          <w:sz w:val="24"/>
          <w:szCs w:val="24"/>
          <w:lang w:val="bg-BG"/>
        </w:rPr>
        <w:t>552 д. (24,</w:t>
      </w:r>
      <w:r w:rsidRPr="00610B1B">
        <w:rPr>
          <w:rFonts w:ascii="Times New Roman" w:hAnsi="Times New Roman" w:cs="Times New Roman"/>
          <w:sz w:val="24"/>
          <w:szCs w:val="24"/>
          <w:lang w:val="bg-BG"/>
        </w:rPr>
        <w:t>2%),</w:t>
      </w:r>
      <w:r w:rsidR="00C415D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Варна</w:t>
      </w:r>
      <w:r w:rsidR="001363AC" w:rsidRPr="00610B1B">
        <w:rPr>
          <w:rFonts w:ascii="Times New Roman" w:hAnsi="Times New Roman" w:cs="Times New Roman"/>
          <w:sz w:val="24"/>
          <w:szCs w:val="24"/>
          <w:lang w:val="bg-BG"/>
        </w:rPr>
        <w:t xml:space="preserve"> с 1</w:t>
      </w:r>
      <w:r w:rsidR="00D23EDE" w:rsidRPr="00610B1B">
        <w:rPr>
          <w:rFonts w:ascii="Times New Roman" w:hAnsi="Times New Roman" w:cs="Times New Roman"/>
          <w:sz w:val="24"/>
          <w:szCs w:val="24"/>
          <w:lang w:val="bg-BG"/>
        </w:rPr>
        <w:t> </w:t>
      </w:r>
      <w:r w:rsidR="001363AC" w:rsidRPr="00610B1B">
        <w:rPr>
          <w:rFonts w:ascii="Times New Roman" w:hAnsi="Times New Roman" w:cs="Times New Roman"/>
          <w:sz w:val="24"/>
          <w:szCs w:val="24"/>
          <w:lang w:val="bg-BG"/>
        </w:rPr>
        <w:t>724 д. (0,5%),</w:t>
      </w:r>
      <w:r w:rsidR="00D66FE0" w:rsidRPr="00610B1B">
        <w:rPr>
          <w:rFonts w:ascii="Times New Roman" w:hAnsi="Times New Roman" w:cs="Times New Roman"/>
          <w:sz w:val="24"/>
          <w:szCs w:val="24"/>
          <w:lang w:val="bg-BG"/>
        </w:rPr>
        <w:t xml:space="preserve"> </w:t>
      </w:r>
      <w:r w:rsidR="001363AC" w:rsidRPr="00610B1B">
        <w:rPr>
          <w:rFonts w:ascii="Times New Roman" w:hAnsi="Times New Roman" w:cs="Times New Roman"/>
          <w:sz w:val="24"/>
          <w:szCs w:val="24"/>
          <w:lang w:val="bg-BG"/>
        </w:rPr>
        <w:t>Свети Влас 865 (29,8%), Обзор 212 (9,8%), Поморие 130 (1,0%), Бяла 76 д. (3,8%), Созопол 57 д. (1,3%) и Черноморец 32 д. (1,</w:t>
      </w:r>
      <w:r w:rsidRPr="00610B1B">
        <w:rPr>
          <w:rFonts w:ascii="Times New Roman" w:hAnsi="Times New Roman" w:cs="Times New Roman"/>
          <w:sz w:val="24"/>
          <w:szCs w:val="24"/>
          <w:lang w:val="bg-BG"/>
        </w:rPr>
        <w:t xml:space="preserve">6%). По голямо намаление на населението през този период </w:t>
      </w:r>
      <w:r w:rsidR="00C07C46" w:rsidRPr="00610B1B">
        <w:rPr>
          <w:rFonts w:ascii="Times New Roman" w:hAnsi="Times New Roman" w:cs="Times New Roman"/>
          <w:sz w:val="24"/>
          <w:szCs w:val="24"/>
          <w:lang w:val="bg-BG"/>
        </w:rPr>
        <w:t>се забелязва при</w:t>
      </w:r>
      <w:r w:rsidR="001363AC" w:rsidRPr="00610B1B">
        <w:rPr>
          <w:rFonts w:ascii="Times New Roman" w:hAnsi="Times New Roman" w:cs="Times New Roman"/>
          <w:sz w:val="24"/>
          <w:szCs w:val="24"/>
          <w:lang w:val="bg-BG"/>
        </w:rPr>
        <w:t xml:space="preserve"> градовете Каварна – 714 д. (-6,2%) и Балчик</w:t>
      </w:r>
      <w:r w:rsidR="00D66FE0" w:rsidRPr="00610B1B">
        <w:rPr>
          <w:rFonts w:ascii="Times New Roman" w:hAnsi="Times New Roman" w:cs="Times New Roman"/>
          <w:sz w:val="24"/>
          <w:szCs w:val="24"/>
          <w:lang w:val="bg-BG"/>
        </w:rPr>
        <w:t xml:space="preserve"> </w:t>
      </w:r>
      <w:r w:rsidR="001363AC" w:rsidRPr="00610B1B">
        <w:rPr>
          <w:rFonts w:ascii="Times New Roman" w:hAnsi="Times New Roman" w:cs="Times New Roman"/>
          <w:sz w:val="24"/>
          <w:szCs w:val="24"/>
          <w:lang w:val="bg-BG"/>
        </w:rPr>
        <w:t>542 д. (-4,</w:t>
      </w:r>
      <w:r w:rsidRPr="00610B1B">
        <w:rPr>
          <w:rFonts w:ascii="Times New Roman" w:hAnsi="Times New Roman" w:cs="Times New Roman"/>
          <w:sz w:val="24"/>
          <w:szCs w:val="24"/>
          <w:lang w:val="bg-BG"/>
        </w:rPr>
        <w:t>7%). Според съществуващия брой на населението им градовете се категоризират</w:t>
      </w:r>
      <w:r w:rsidRPr="00610B1B">
        <w:rPr>
          <w:rStyle w:val="FootnoteReference"/>
          <w:rFonts w:ascii="Times New Roman" w:hAnsi="Times New Roman" w:cs="Times New Roman"/>
          <w:sz w:val="24"/>
          <w:szCs w:val="24"/>
          <w:lang w:val="bg-BG"/>
        </w:rPr>
        <w:footnoteReference w:id="100"/>
      </w:r>
      <w:r w:rsidRPr="00610B1B">
        <w:rPr>
          <w:rFonts w:ascii="Times New Roman" w:hAnsi="Times New Roman" w:cs="Times New Roman"/>
          <w:sz w:val="24"/>
          <w:szCs w:val="24"/>
          <w:lang w:val="bg-BG"/>
        </w:rPr>
        <w:t xml:space="preserve"> както следва: </w:t>
      </w:r>
    </w:p>
    <w:p w14:paraId="3142B277" w14:textId="53303EDC" w:rsidR="00F5321F" w:rsidRPr="00610B1B" w:rsidRDefault="00E57141" w:rsidP="00E37053">
      <w:pPr>
        <w:autoSpaceDE w:val="0"/>
        <w:autoSpaceDN w:val="0"/>
        <w:adjustRightInd w:val="0"/>
        <w:spacing w:after="70" w:line="240" w:lineRule="auto"/>
        <w:ind w:right="-153"/>
        <w:jc w:val="both"/>
        <w:rPr>
          <w:rFonts w:ascii="Times New Roman" w:eastAsia="Lohit Devanagari" w:hAnsi="Times New Roman" w:cs="Times New Roman"/>
          <w:color w:val="00000A"/>
          <w:sz w:val="24"/>
          <w:szCs w:val="24"/>
          <w:lang w:val="bg-BG" w:eastAsia="ar-SA" w:bidi="hi-IN"/>
        </w:rPr>
      </w:pPr>
      <w:bookmarkStart w:id="312" w:name="_Toc83391603"/>
      <w:r w:rsidRPr="00610B1B">
        <w:rPr>
          <w:rFonts w:ascii="Times New Roman" w:eastAsia="Lohit Devanagari" w:hAnsi="Times New Roman" w:cs="Times New Roman"/>
          <w:color w:val="00000A"/>
          <w:sz w:val="24"/>
          <w:szCs w:val="24"/>
          <w:lang w:val="bg-BG" w:eastAsia="ar-SA" w:bidi="hi-IN"/>
        </w:rPr>
        <w:t xml:space="preserve">Таблица </w:t>
      </w:r>
      <w:r w:rsidRPr="00610B1B">
        <w:rPr>
          <w:rFonts w:ascii="Times New Roman" w:eastAsia="Lohit Devanagari" w:hAnsi="Times New Roman" w:cs="Times New Roman"/>
          <w:color w:val="00000A"/>
          <w:sz w:val="24"/>
          <w:szCs w:val="24"/>
          <w:lang w:val="bg-BG" w:eastAsia="ar-SA" w:bidi="hi-IN"/>
        </w:rPr>
        <w:fldChar w:fldCharType="begin"/>
      </w:r>
      <w:r w:rsidRPr="00610B1B">
        <w:rPr>
          <w:rFonts w:ascii="Times New Roman" w:eastAsia="Lohit Devanagari" w:hAnsi="Times New Roman" w:cs="Times New Roman"/>
          <w:color w:val="00000A"/>
          <w:sz w:val="24"/>
          <w:szCs w:val="24"/>
          <w:lang w:val="bg-BG" w:eastAsia="ar-SA" w:bidi="hi-IN"/>
        </w:rPr>
        <w:instrText xml:space="preserve"> SEQ Таблица \* ARABIC </w:instrText>
      </w:r>
      <w:r w:rsidRPr="00610B1B">
        <w:rPr>
          <w:rFonts w:ascii="Times New Roman" w:eastAsia="Lohit Devanagari" w:hAnsi="Times New Roman" w:cs="Times New Roman"/>
          <w:color w:val="00000A"/>
          <w:sz w:val="24"/>
          <w:szCs w:val="24"/>
          <w:lang w:val="bg-BG" w:eastAsia="ar-SA" w:bidi="hi-IN"/>
        </w:rPr>
        <w:fldChar w:fldCharType="separate"/>
      </w:r>
      <w:r w:rsidR="00260629" w:rsidRPr="00610B1B">
        <w:rPr>
          <w:rFonts w:ascii="Times New Roman" w:eastAsia="Lohit Devanagari" w:hAnsi="Times New Roman" w:cs="Times New Roman"/>
          <w:noProof/>
          <w:color w:val="00000A"/>
          <w:sz w:val="24"/>
          <w:szCs w:val="24"/>
          <w:lang w:val="bg-BG" w:eastAsia="ar-SA" w:bidi="hi-IN"/>
        </w:rPr>
        <w:t>7</w:t>
      </w:r>
      <w:r w:rsidRPr="00610B1B">
        <w:rPr>
          <w:rFonts w:ascii="Times New Roman" w:eastAsia="Lohit Devanagari" w:hAnsi="Times New Roman" w:cs="Times New Roman"/>
          <w:color w:val="00000A"/>
          <w:sz w:val="24"/>
          <w:szCs w:val="24"/>
          <w:lang w:val="bg-BG" w:eastAsia="ar-SA" w:bidi="hi-IN"/>
        </w:rPr>
        <w:fldChar w:fldCharType="end"/>
      </w:r>
      <w:r w:rsidRPr="00610B1B">
        <w:rPr>
          <w:rFonts w:ascii="Times New Roman" w:eastAsia="Lohit Devanagari" w:hAnsi="Times New Roman" w:cs="Times New Roman"/>
          <w:color w:val="00000A"/>
          <w:sz w:val="24"/>
          <w:szCs w:val="24"/>
          <w:lang w:val="bg-BG" w:eastAsia="ar-SA" w:bidi="hi-IN"/>
        </w:rPr>
        <w:t xml:space="preserve">: </w:t>
      </w:r>
      <w:r w:rsidR="00F5321F" w:rsidRPr="00610B1B">
        <w:rPr>
          <w:rFonts w:ascii="Times New Roman" w:eastAsia="Lohit Devanagari" w:hAnsi="Times New Roman" w:cs="Times New Roman"/>
          <w:color w:val="00000A"/>
          <w:sz w:val="24"/>
          <w:szCs w:val="24"/>
          <w:lang w:val="bg-BG" w:eastAsia="ar-SA" w:bidi="hi-IN"/>
        </w:rPr>
        <w:t>Градове в Черноморските общини според броя на населението им към 31.12.2018 г.</w:t>
      </w:r>
      <w:bookmarkEnd w:id="312"/>
    </w:p>
    <w:tbl>
      <w:tblPr>
        <w:tblStyle w:val="TableGrid"/>
        <w:tblW w:w="9067" w:type="dxa"/>
        <w:tblBorders>
          <w:left w:val="none" w:sz="0" w:space="0" w:color="auto"/>
          <w:right w:val="none" w:sz="0" w:space="0" w:color="auto"/>
          <w:insideV w:val="none" w:sz="0" w:space="0" w:color="auto"/>
        </w:tblBorders>
        <w:tblLook w:val="04A0" w:firstRow="1" w:lastRow="0" w:firstColumn="1" w:lastColumn="0" w:noHBand="0" w:noVBand="1"/>
      </w:tblPr>
      <w:tblGrid>
        <w:gridCol w:w="3823"/>
        <w:gridCol w:w="1275"/>
        <w:gridCol w:w="1134"/>
        <w:gridCol w:w="1418"/>
        <w:gridCol w:w="1417"/>
      </w:tblGrid>
      <w:tr w:rsidR="0042644C" w:rsidRPr="00610B1B" w14:paraId="55DAED6E" w14:textId="77777777" w:rsidTr="001E3FED">
        <w:tc>
          <w:tcPr>
            <w:tcW w:w="3823" w:type="dxa"/>
            <w:vMerge w:val="restart"/>
            <w:shd w:val="clear" w:color="auto" w:fill="C6D9F1" w:themeFill="text2" w:themeFillTint="33"/>
            <w:vAlign w:val="center"/>
          </w:tcPr>
          <w:p w14:paraId="1C5C1B39" w14:textId="737FC1DC" w:rsidR="0042644C" w:rsidRPr="00610B1B" w:rsidRDefault="0042644C" w:rsidP="00D32D6A">
            <w:pPr>
              <w:jc w:val="center"/>
              <w:rPr>
                <w:rFonts w:ascii="Times New Roman" w:hAnsi="Times New Roman" w:cs="Times New Roman"/>
                <w:lang w:val="bg-BG"/>
              </w:rPr>
            </w:pPr>
            <w:r w:rsidRPr="00610B1B">
              <w:rPr>
                <w:rFonts w:ascii="Times New Roman" w:hAnsi="Times New Roman" w:cs="Times New Roman"/>
                <w:b/>
                <w:bCs/>
                <w:lang w:val="bg-BG"/>
              </w:rPr>
              <w:t>Големина на градовете</w:t>
            </w:r>
          </w:p>
        </w:tc>
        <w:tc>
          <w:tcPr>
            <w:tcW w:w="2409" w:type="dxa"/>
            <w:gridSpan w:val="2"/>
            <w:shd w:val="clear" w:color="auto" w:fill="C6D9F1" w:themeFill="text2" w:themeFillTint="33"/>
            <w:vAlign w:val="center"/>
          </w:tcPr>
          <w:p w14:paraId="020BD814" w14:textId="759386B9" w:rsidR="0042644C" w:rsidRPr="00610B1B" w:rsidRDefault="0042644C" w:rsidP="00D32D6A">
            <w:pPr>
              <w:jc w:val="center"/>
              <w:rPr>
                <w:rFonts w:ascii="Times New Roman" w:hAnsi="Times New Roman" w:cs="Times New Roman"/>
                <w:lang w:val="bg-BG"/>
              </w:rPr>
            </w:pPr>
            <w:r w:rsidRPr="00610B1B">
              <w:rPr>
                <w:rFonts w:ascii="Times New Roman" w:hAnsi="Times New Roman" w:cs="Times New Roman"/>
                <w:b/>
                <w:bCs/>
                <w:lang w:val="bg-BG"/>
              </w:rPr>
              <w:t>Градове</w:t>
            </w:r>
          </w:p>
        </w:tc>
        <w:tc>
          <w:tcPr>
            <w:tcW w:w="2835" w:type="dxa"/>
            <w:gridSpan w:val="2"/>
            <w:shd w:val="clear" w:color="auto" w:fill="C6D9F1" w:themeFill="text2" w:themeFillTint="33"/>
            <w:vAlign w:val="center"/>
          </w:tcPr>
          <w:p w14:paraId="459A91DF" w14:textId="1FC0315E" w:rsidR="0042644C" w:rsidRPr="00610B1B" w:rsidRDefault="0042644C" w:rsidP="00D32D6A">
            <w:pPr>
              <w:jc w:val="center"/>
              <w:rPr>
                <w:rFonts w:ascii="Times New Roman" w:hAnsi="Times New Roman" w:cs="Times New Roman"/>
                <w:lang w:val="bg-BG"/>
              </w:rPr>
            </w:pPr>
            <w:r w:rsidRPr="00610B1B">
              <w:rPr>
                <w:rFonts w:ascii="Times New Roman" w:hAnsi="Times New Roman" w:cs="Times New Roman"/>
                <w:b/>
                <w:bCs/>
                <w:lang w:val="bg-BG"/>
              </w:rPr>
              <w:t>Население</w:t>
            </w:r>
          </w:p>
        </w:tc>
      </w:tr>
      <w:tr w:rsidR="0042644C" w:rsidRPr="00610B1B" w14:paraId="732F7D6B" w14:textId="77777777" w:rsidTr="001E3FED">
        <w:tc>
          <w:tcPr>
            <w:tcW w:w="3823" w:type="dxa"/>
            <w:vMerge/>
            <w:shd w:val="clear" w:color="auto" w:fill="C6D9F1" w:themeFill="text2" w:themeFillTint="33"/>
            <w:vAlign w:val="center"/>
          </w:tcPr>
          <w:p w14:paraId="4AD3717F" w14:textId="77777777" w:rsidR="0042644C" w:rsidRPr="00610B1B" w:rsidRDefault="0042644C" w:rsidP="00D32D6A">
            <w:pPr>
              <w:jc w:val="center"/>
              <w:rPr>
                <w:rFonts w:ascii="Times New Roman" w:hAnsi="Times New Roman" w:cs="Times New Roman"/>
                <w:lang w:val="bg-BG"/>
              </w:rPr>
            </w:pPr>
          </w:p>
        </w:tc>
        <w:tc>
          <w:tcPr>
            <w:tcW w:w="1275" w:type="dxa"/>
            <w:shd w:val="clear" w:color="auto" w:fill="C6D9F1" w:themeFill="text2" w:themeFillTint="33"/>
            <w:vAlign w:val="center"/>
          </w:tcPr>
          <w:p w14:paraId="2CB5FB7E" w14:textId="689560BF" w:rsidR="0042644C" w:rsidRPr="00610B1B" w:rsidRDefault="0042644C" w:rsidP="00E37053">
            <w:pPr>
              <w:jc w:val="right"/>
              <w:rPr>
                <w:rFonts w:ascii="Times New Roman" w:hAnsi="Times New Roman" w:cs="Times New Roman"/>
                <w:lang w:val="bg-BG"/>
              </w:rPr>
            </w:pPr>
            <w:r w:rsidRPr="00610B1B">
              <w:rPr>
                <w:rFonts w:ascii="Times New Roman" w:hAnsi="Times New Roman" w:cs="Times New Roman"/>
                <w:b/>
                <w:bCs/>
                <w:lang w:val="bg-BG"/>
              </w:rPr>
              <w:t>Брой</w:t>
            </w:r>
          </w:p>
        </w:tc>
        <w:tc>
          <w:tcPr>
            <w:tcW w:w="1134" w:type="dxa"/>
            <w:shd w:val="clear" w:color="auto" w:fill="C6D9F1" w:themeFill="text2" w:themeFillTint="33"/>
            <w:vAlign w:val="center"/>
          </w:tcPr>
          <w:p w14:paraId="5C7DC8E5" w14:textId="45AD65D0" w:rsidR="0042644C" w:rsidRPr="00610B1B" w:rsidRDefault="0042644C" w:rsidP="00E37053">
            <w:pPr>
              <w:jc w:val="right"/>
              <w:rPr>
                <w:rFonts w:ascii="Times New Roman" w:hAnsi="Times New Roman" w:cs="Times New Roman"/>
                <w:lang w:val="bg-BG"/>
              </w:rPr>
            </w:pPr>
            <w:r w:rsidRPr="00610B1B">
              <w:rPr>
                <w:rFonts w:ascii="Times New Roman" w:hAnsi="Times New Roman" w:cs="Times New Roman"/>
                <w:b/>
                <w:bCs/>
                <w:lang w:val="bg-BG"/>
              </w:rPr>
              <w:t>%</w:t>
            </w:r>
          </w:p>
        </w:tc>
        <w:tc>
          <w:tcPr>
            <w:tcW w:w="1418" w:type="dxa"/>
            <w:shd w:val="clear" w:color="auto" w:fill="C6D9F1" w:themeFill="text2" w:themeFillTint="33"/>
            <w:vAlign w:val="center"/>
          </w:tcPr>
          <w:p w14:paraId="6090D4E7" w14:textId="0EE60FFC" w:rsidR="0042644C" w:rsidRPr="00610B1B" w:rsidRDefault="0042644C" w:rsidP="00E37053">
            <w:pPr>
              <w:jc w:val="right"/>
              <w:rPr>
                <w:rFonts w:ascii="Times New Roman" w:hAnsi="Times New Roman" w:cs="Times New Roman"/>
                <w:lang w:val="bg-BG"/>
              </w:rPr>
            </w:pPr>
            <w:r w:rsidRPr="00610B1B">
              <w:rPr>
                <w:rFonts w:ascii="Times New Roman" w:hAnsi="Times New Roman" w:cs="Times New Roman"/>
                <w:b/>
                <w:bCs/>
                <w:lang w:val="bg-BG"/>
              </w:rPr>
              <w:t>Брой</w:t>
            </w:r>
          </w:p>
        </w:tc>
        <w:tc>
          <w:tcPr>
            <w:tcW w:w="1417" w:type="dxa"/>
            <w:shd w:val="clear" w:color="auto" w:fill="C6D9F1" w:themeFill="text2" w:themeFillTint="33"/>
            <w:vAlign w:val="center"/>
          </w:tcPr>
          <w:p w14:paraId="2F448859" w14:textId="2AFFF8DC" w:rsidR="0042644C" w:rsidRPr="00610B1B" w:rsidRDefault="0042644C" w:rsidP="00E37053">
            <w:pPr>
              <w:jc w:val="right"/>
              <w:rPr>
                <w:rFonts w:ascii="Times New Roman" w:hAnsi="Times New Roman" w:cs="Times New Roman"/>
                <w:lang w:val="bg-BG"/>
              </w:rPr>
            </w:pPr>
            <w:r w:rsidRPr="00610B1B">
              <w:rPr>
                <w:rFonts w:ascii="Times New Roman" w:hAnsi="Times New Roman" w:cs="Times New Roman"/>
                <w:b/>
                <w:bCs/>
                <w:lang w:val="bg-BG"/>
              </w:rPr>
              <w:t>%</w:t>
            </w:r>
          </w:p>
        </w:tc>
      </w:tr>
      <w:tr w:rsidR="0042644C" w:rsidRPr="00610B1B" w14:paraId="1BF5D4FA" w14:textId="77777777" w:rsidTr="001E3FED">
        <w:tc>
          <w:tcPr>
            <w:tcW w:w="3823" w:type="dxa"/>
            <w:vAlign w:val="bottom"/>
          </w:tcPr>
          <w:p w14:paraId="7FEB6FD2" w14:textId="582C638E" w:rsidR="0042644C" w:rsidRPr="00610B1B" w:rsidRDefault="0042644C" w:rsidP="00D32D6A">
            <w:pPr>
              <w:jc w:val="both"/>
              <w:rPr>
                <w:rFonts w:ascii="Times New Roman" w:hAnsi="Times New Roman" w:cs="Times New Roman"/>
                <w:lang w:val="bg-BG"/>
              </w:rPr>
            </w:pPr>
            <w:r w:rsidRPr="00610B1B">
              <w:rPr>
                <w:rFonts w:ascii="Times New Roman" w:hAnsi="Times New Roman" w:cs="Times New Roman"/>
                <w:b/>
                <w:bCs/>
                <w:lang w:val="bg-BG"/>
              </w:rPr>
              <w:t>Общо</w:t>
            </w:r>
          </w:p>
        </w:tc>
        <w:tc>
          <w:tcPr>
            <w:tcW w:w="1275" w:type="dxa"/>
            <w:vAlign w:val="bottom"/>
          </w:tcPr>
          <w:p w14:paraId="062DD888" w14:textId="39F41CD9"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color w:val="000000"/>
                <w:lang w:val="bg-BG"/>
              </w:rPr>
              <w:t>22</w:t>
            </w:r>
          </w:p>
        </w:tc>
        <w:tc>
          <w:tcPr>
            <w:tcW w:w="1134" w:type="dxa"/>
            <w:vAlign w:val="bottom"/>
          </w:tcPr>
          <w:p w14:paraId="27D89C05" w14:textId="4A0CFB58"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lang w:val="bg-BG"/>
              </w:rPr>
              <w:t>100</w:t>
            </w:r>
          </w:p>
        </w:tc>
        <w:tc>
          <w:tcPr>
            <w:tcW w:w="1418" w:type="dxa"/>
            <w:vAlign w:val="bottom"/>
          </w:tcPr>
          <w:p w14:paraId="3BE631A6" w14:textId="51119B0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color w:val="000000"/>
                <w:lang w:val="bg-BG"/>
              </w:rPr>
              <w:t>640 803</w:t>
            </w:r>
          </w:p>
        </w:tc>
        <w:tc>
          <w:tcPr>
            <w:tcW w:w="1417" w:type="dxa"/>
            <w:vAlign w:val="bottom"/>
          </w:tcPr>
          <w:p w14:paraId="090B923D" w14:textId="507CC31A"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b/>
                <w:bCs/>
                <w:lang w:val="bg-BG"/>
              </w:rPr>
              <w:t>100</w:t>
            </w:r>
          </w:p>
        </w:tc>
      </w:tr>
      <w:tr w:rsidR="0042644C" w:rsidRPr="00610B1B" w14:paraId="0B26A710" w14:textId="77777777" w:rsidTr="001E3FED">
        <w:tc>
          <w:tcPr>
            <w:tcW w:w="3823" w:type="dxa"/>
            <w:vAlign w:val="bottom"/>
          </w:tcPr>
          <w:p w14:paraId="40F831BE" w14:textId="29A1BD75" w:rsidR="0042644C" w:rsidRPr="00610B1B" w:rsidRDefault="0042644C" w:rsidP="00D32D6A">
            <w:pPr>
              <w:jc w:val="both"/>
              <w:rPr>
                <w:rFonts w:ascii="Times New Roman" w:hAnsi="Times New Roman" w:cs="Times New Roman"/>
                <w:lang w:val="bg-BG"/>
              </w:rPr>
            </w:pPr>
            <w:r w:rsidRPr="00610B1B">
              <w:rPr>
                <w:rFonts w:ascii="Times New Roman" w:hAnsi="Times New Roman" w:cs="Times New Roman"/>
                <w:color w:val="000000"/>
                <w:lang w:val="bg-BG"/>
              </w:rPr>
              <w:t>Много големи над 200 хил. жители</w:t>
            </w:r>
          </w:p>
        </w:tc>
        <w:tc>
          <w:tcPr>
            <w:tcW w:w="1275" w:type="dxa"/>
            <w:vAlign w:val="bottom"/>
          </w:tcPr>
          <w:p w14:paraId="0C992556" w14:textId="3CEE0965"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2</w:t>
            </w:r>
          </w:p>
        </w:tc>
        <w:tc>
          <w:tcPr>
            <w:tcW w:w="1134" w:type="dxa"/>
            <w:vAlign w:val="bottom"/>
          </w:tcPr>
          <w:p w14:paraId="6A3A0984" w14:textId="12EB4402"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9,1</w:t>
            </w:r>
          </w:p>
        </w:tc>
        <w:tc>
          <w:tcPr>
            <w:tcW w:w="1418" w:type="dxa"/>
            <w:vAlign w:val="bottom"/>
          </w:tcPr>
          <w:p w14:paraId="4F8BEC69" w14:textId="669CABCF"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538 939</w:t>
            </w:r>
          </w:p>
        </w:tc>
        <w:tc>
          <w:tcPr>
            <w:tcW w:w="1417" w:type="dxa"/>
            <w:vAlign w:val="bottom"/>
          </w:tcPr>
          <w:p w14:paraId="45F961B8" w14:textId="23780F0D"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84,1</w:t>
            </w:r>
          </w:p>
        </w:tc>
      </w:tr>
      <w:tr w:rsidR="0042644C" w:rsidRPr="00610B1B" w14:paraId="748C84ED" w14:textId="77777777" w:rsidTr="001E3FED">
        <w:tc>
          <w:tcPr>
            <w:tcW w:w="3823" w:type="dxa"/>
            <w:vAlign w:val="bottom"/>
          </w:tcPr>
          <w:p w14:paraId="64E3D4C5" w14:textId="4FE619F2" w:rsidR="0042644C" w:rsidRPr="00610B1B" w:rsidRDefault="0042644C" w:rsidP="00D32D6A">
            <w:pPr>
              <w:jc w:val="both"/>
              <w:rPr>
                <w:rFonts w:ascii="Times New Roman" w:hAnsi="Times New Roman" w:cs="Times New Roman"/>
                <w:lang w:val="bg-BG"/>
              </w:rPr>
            </w:pPr>
            <w:r w:rsidRPr="00610B1B">
              <w:rPr>
                <w:rFonts w:ascii="Times New Roman" w:hAnsi="Times New Roman" w:cs="Times New Roman"/>
                <w:color w:val="000000"/>
                <w:lang w:val="bg-BG"/>
              </w:rPr>
              <w:t>Големи от 100 до 200 хил. жители</w:t>
            </w:r>
          </w:p>
        </w:tc>
        <w:tc>
          <w:tcPr>
            <w:tcW w:w="1275" w:type="dxa"/>
            <w:vAlign w:val="bottom"/>
          </w:tcPr>
          <w:p w14:paraId="1366801B" w14:textId="497E49E8"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w:t>
            </w:r>
          </w:p>
        </w:tc>
        <w:tc>
          <w:tcPr>
            <w:tcW w:w="1134" w:type="dxa"/>
            <w:vAlign w:val="bottom"/>
          </w:tcPr>
          <w:p w14:paraId="5E4D4CEB" w14:textId="0CE61FD4"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c>
          <w:tcPr>
            <w:tcW w:w="1418" w:type="dxa"/>
            <w:vAlign w:val="bottom"/>
          </w:tcPr>
          <w:p w14:paraId="568CCDA7" w14:textId="735FB39F"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lang w:val="bg-BG"/>
              </w:rPr>
              <w:t>0</w:t>
            </w:r>
          </w:p>
        </w:tc>
        <w:tc>
          <w:tcPr>
            <w:tcW w:w="1417" w:type="dxa"/>
            <w:vAlign w:val="bottom"/>
          </w:tcPr>
          <w:p w14:paraId="72BA6A4A" w14:textId="397AD006"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r>
      <w:tr w:rsidR="0042644C" w:rsidRPr="00610B1B" w14:paraId="1CFD4F08" w14:textId="77777777" w:rsidTr="001E3FED">
        <w:tc>
          <w:tcPr>
            <w:tcW w:w="3823" w:type="dxa"/>
            <w:vAlign w:val="bottom"/>
          </w:tcPr>
          <w:p w14:paraId="4DD4759A" w14:textId="378B5A5C" w:rsidR="0042644C" w:rsidRPr="00610B1B" w:rsidRDefault="0042644C" w:rsidP="00D32D6A">
            <w:pPr>
              <w:jc w:val="both"/>
              <w:rPr>
                <w:rFonts w:ascii="Times New Roman" w:hAnsi="Times New Roman" w:cs="Times New Roman"/>
                <w:lang w:val="bg-BG"/>
              </w:rPr>
            </w:pPr>
            <w:r w:rsidRPr="00610B1B">
              <w:rPr>
                <w:rFonts w:ascii="Times New Roman" w:hAnsi="Times New Roman" w:cs="Times New Roman"/>
                <w:color w:val="000000"/>
                <w:lang w:val="bg-BG"/>
              </w:rPr>
              <w:t>Средни от 30 до 100 хил. жители</w:t>
            </w:r>
          </w:p>
        </w:tc>
        <w:tc>
          <w:tcPr>
            <w:tcW w:w="1275" w:type="dxa"/>
            <w:vAlign w:val="bottom"/>
          </w:tcPr>
          <w:p w14:paraId="6AB0785F" w14:textId="78164FA3"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w:t>
            </w:r>
          </w:p>
        </w:tc>
        <w:tc>
          <w:tcPr>
            <w:tcW w:w="1134" w:type="dxa"/>
            <w:vAlign w:val="bottom"/>
          </w:tcPr>
          <w:p w14:paraId="0F06D624" w14:textId="0AFA26B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c>
          <w:tcPr>
            <w:tcW w:w="1418" w:type="dxa"/>
            <w:vAlign w:val="bottom"/>
          </w:tcPr>
          <w:p w14:paraId="1451DFB3" w14:textId="39ABEFC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w:t>
            </w:r>
          </w:p>
        </w:tc>
        <w:tc>
          <w:tcPr>
            <w:tcW w:w="1417" w:type="dxa"/>
            <w:vAlign w:val="bottom"/>
          </w:tcPr>
          <w:p w14:paraId="23FF877B" w14:textId="14199E93"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0,0</w:t>
            </w:r>
          </w:p>
        </w:tc>
      </w:tr>
      <w:tr w:rsidR="0042644C" w:rsidRPr="00610B1B" w14:paraId="282E0737" w14:textId="77777777" w:rsidTr="001E3FED">
        <w:tc>
          <w:tcPr>
            <w:tcW w:w="3823" w:type="dxa"/>
            <w:vAlign w:val="bottom"/>
          </w:tcPr>
          <w:p w14:paraId="3CCD951D" w14:textId="35E5309D" w:rsidR="0042644C" w:rsidRPr="00610B1B" w:rsidRDefault="0042644C" w:rsidP="00D32D6A">
            <w:pPr>
              <w:jc w:val="both"/>
              <w:rPr>
                <w:rFonts w:ascii="Times New Roman" w:hAnsi="Times New Roman" w:cs="Times New Roman"/>
                <w:lang w:val="bg-BG"/>
              </w:rPr>
            </w:pPr>
            <w:r w:rsidRPr="00610B1B">
              <w:rPr>
                <w:rFonts w:ascii="Times New Roman" w:hAnsi="Times New Roman" w:cs="Times New Roman"/>
                <w:color w:val="000000"/>
                <w:lang w:val="bg-BG"/>
              </w:rPr>
              <w:t>Малки от 10 до 30 хил. жители</w:t>
            </w:r>
          </w:p>
        </w:tc>
        <w:tc>
          <w:tcPr>
            <w:tcW w:w="1275" w:type="dxa"/>
            <w:vAlign w:val="bottom"/>
          </w:tcPr>
          <w:p w14:paraId="35DE3DA5" w14:textId="3486CE41"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4</w:t>
            </w:r>
          </w:p>
        </w:tc>
        <w:tc>
          <w:tcPr>
            <w:tcW w:w="1134" w:type="dxa"/>
            <w:vAlign w:val="bottom"/>
          </w:tcPr>
          <w:p w14:paraId="29EFC10E" w14:textId="32A35793"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18,2</w:t>
            </w:r>
          </w:p>
        </w:tc>
        <w:tc>
          <w:tcPr>
            <w:tcW w:w="1418" w:type="dxa"/>
            <w:vAlign w:val="bottom"/>
          </w:tcPr>
          <w:p w14:paraId="6DCDEEF4" w14:textId="3F637293"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48 556</w:t>
            </w:r>
          </w:p>
        </w:tc>
        <w:tc>
          <w:tcPr>
            <w:tcW w:w="1417" w:type="dxa"/>
            <w:vAlign w:val="bottom"/>
          </w:tcPr>
          <w:p w14:paraId="105501AD" w14:textId="652F58E0"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7,6</w:t>
            </w:r>
          </w:p>
        </w:tc>
      </w:tr>
      <w:tr w:rsidR="0042644C" w:rsidRPr="00610B1B" w14:paraId="2CF929B0" w14:textId="77777777" w:rsidTr="001E3FED">
        <w:tc>
          <w:tcPr>
            <w:tcW w:w="3823" w:type="dxa"/>
            <w:vAlign w:val="bottom"/>
          </w:tcPr>
          <w:p w14:paraId="08D799C2" w14:textId="647183A8" w:rsidR="0042644C" w:rsidRPr="00610B1B" w:rsidRDefault="0042644C" w:rsidP="00D32D6A">
            <w:pPr>
              <w:jc w:val="both"/>
              <w:rPr>
                <w:rFonts w:ascii="Times New Roman" w:hAnsi="Times New Roman" w:cs="Times New Roman"/>
                <w:lang w:val="bg-BG"/>
              </w:rPr>
            </w:pPr>
            <w:r w:rsidRPr="00610B1B">
              <w:rPr>
                <w:rFonts w:ascii="Times New Roman" w:hAnsi="Times New Roman" w:cs="Times New Roman"/>
                <w:color w:val="000000"/>
                <w:lang w:val="bg-BG"/>
              </w:rPr>
              <w:t>Много малки до 10 хил. жители</w:t>
            </w:r>
          </w:p>
        </w:tc>
        <w:tc>
          <w:tcPr>
            <w:tcW w:w="1275" w:type="dxa"/>
            <w:vAlign w:val="bottom"/>
          </w:tcPr>
          <w:p w14:paraId="5232539C" w14:textId="71D4AEA7"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16</w:t>
            </w:r>
          </w:p>
        </w:tc>
        <w:tc>
          <w:tcPr>
            <w:tcW w:w="1134" w:type="dxa"/>
            <w:vAlign w:val="bottom"/>
          </w:tcPr>
          <w:p w14:paraId="6FBE60FC" w14:textId="073D28B8"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72,7</w:t>
            </w:r>
          </w:p>
        </w:tc>
        <w:tc>
          <w:tcPr>
            <w:tcW w:w="1418" w:type="dxa"/>
            <w:vAlign w:val="bottom"/>
          </w:tcPr>
          <w:p w14:paraId="759B912A" w14:textId="504FCB9F"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53 308</w:t>
            </w:r>
          </w:p>
        </w:tc>
        <w:tc>
          <w:tcPr>
            <w:tcW w:w="1417" w:type="dxa"/>
            <w:vAlign w:val="bottom"/>
          </w:tcPr>
          <w:p w14:paraId="6C1CEE91" w14:textId="2043761E" w:rsidR="0042644C" w:rsidRPr="00610B1B" w:rsidRDefault="0042644C" w:rsidP="00D32D6A">
            <w:pPr>
              <w:jc w:val="right"/>
              <w:rPr>
                <w:rFonts w:ascii="Times New Roman" w:hAnsi="Times New Roman" w:cs="Times New Roman"/>
                <w:lang w:val="bg-BG"/>
              </w:rPr>
            </w:pPr>
            <w:r w:rsidRPr="00610B1B">
              <w:rPr>
                <w:rFonts w:ascii="Times New Roman" w:hAnsi="Times New Roman" w:cs="Times New Roman"/>
                <w:color w:val="000000"/>
                <w:lang w:val="bg-BG"/>
              </w:rPr>
              <w:t>8,3</w:t>
            </w:r>
          </w:p>
        </w:tc>
      </w:tr>
    </w:tbl>
    <w:p w14:paraId="6E3F76E1" w14:textId="52C0AFE9" w:rsidR="0082227D" w:rsidRPr="00610B1B" w:rsidRDefault="0082227D" w:rsidP="00EC097D">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 xml:space="preserve">Източник: НСИ, обработка НЦТР </w:t>
      </w:r>
    </w:p>
    <w:p w14:paraId="13C08708" w14:textId="03CFFAA0"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 първо място в</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изследвания район е категори</w:t>
      </w:r>
      <w:r w:rsidR="00A51DB4" w:rsidRPr="00610B1B">
        <w:rPr>
          <w:rFonts w:ascii="Times New Roman" w:hAnsi="Times New Roman" w:cs="Times New Roman"/>
          <w:sz w:val="24"/>
          <w:szCs w:val="24"/>
          <w:lang w:val="bg-BG"/>
        </w:rPr>
        <w:t>ята</w:t>
      </w:r>
      <w:r w:rsidRPr="00610B1B">
        <w:rPr>
          <w:rFonts w:ascii="Times New Roman" w:hAnsi="Times New Roman" w:cs="Times New Roman"/>
          <w:sz w:val="24"/>
          <w:szCs w:val="24"/>
          <w:lang w:val="bg-BG"/>
        </w:rPr>
        <w:t xml:space="preserve"> “много малките градове” – до 10 </w:t>
      </w:r>
      <w:r w:rsidR="001363AC" w:rsidRPr="00610B1B">
        <w:rPr>
          <w:rFonts w:ascii="Times New Roman" w:hAnsi="Times New Roman" w:cs="Times New Roman"/>
          <w:sz w:val="24"/>
          <w:szCs w:val="24"/>
          <w:lang w:val="bg-BG"/>
        </w:rPr>
        <w:t>000 жители. Те представляват 72,</w:t>
      </w:r>
      <w:r w:rsidRPr="00610B1B">
        <w:rPr>
          <w:rFonts w:ascii="Times New Roman" w:hAnsi="Times New Roman" w:cs="Times New Roman"/>
          <w:sz w:val="24"/>
          <w:szCs w:val="24"/>
          <w:lang w:val="bg-BG"/>
        </w:rPr>
        <w:t xml:space="preserve">7% от общия брой на </w:t>
      </w:r>
      <w:r w:rsidR="001363AC" w:rsidRPr="00610B1B">
        <w:rPr>
          <w:rFonts w:ascii="Times New Roman" w:hAnsi="Times New Roman" w:cs="Times New Roman"/>
          <w:sz w:val="24"/>
          <w:szCs w:val="24"/>
          <w:lang w:val="bg-BG"/>
        </w:rPr>
        <w:t>градовете и в тях живее близо 8,</w:t>
      </w:r>
      <w:r w:rsidRPr="00610B1B">
        <w:rPr>
          <w:rFonts w:ascii="Times New Roman" w:hAnsi="Times New Roman" w:cs="Times New Roman"/>
          <w:sz w:val="24"/>
          <w:szCs w:val="24"/>
          <w:lang w:val="bg-BG"/>
        </w:rPr>
        <w:t>3%</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 населението. Тези градове са Шабла, Аксаково, Игнатиево, Долни чифлик, Бяла, Обзор, Свети Влас, Ахелой, Каблешково, Българово, Черноморец, Созопол, Приморско, Китен, Царево и Ахтопол</w:t>
      </w:r>
      <w:r w:rsidR="00B86AB6" w:rsidRPr="00610B1B">
        <w:rPr>
          <w:rFonts w:ascii="Times New Roman" w:hAnsi="Times New Roman" w:cs="Times New Roman"/>
          <w:sz w:val="24"/>
          <w:szCs w:val="24"/>
          <w:lang w:val="bg-BG"/>
        </w:rPr>
        <w:t>, повечето от които разположени на крайбрежието</w:t>
      </w:r>
      <w:r w:rsidRPr="00610B1B">
        <w:rPr>
          <w:rFonts w:ascii="Times New Roman" w:hAnsi="Times New Roman" w:cs="Times New Roman"/>
          <w:sz w:val="24"/>
          <w:szCs w:val="24"/>
          <w:lang w:val="bg-BG"/>
        </w:rPr>
        <w:t xml:space="preserve">. </w:t>
      </w:r>
    </w:p>
    <w:p w14:paraId="5C0909F5" w14:textId="51CD881A"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В категорията “малки градове” попадат градовете Каварна, Балчик, Несебър</w:t>
      </w:r>
      <w:r w:rsidR="00A51DB4" w:rsidRPr="00610B1B">
        <w:rPr>
          <w:rFonts w:ascii="Times New Roman" w:hAnsi="Times New Roman" w:cs="Times New Roman"/>
          <w:sz w:val="24"/>
          <w:szCs w:val="24"/>
          <w:lang w:val="bg-BG"/>
        </w:rPr>
        <w:t xml:space="preserve"> и Поморие. Те представляват 18,</w:t>
      </w:r>
      <w:r w:rsidRPr="00610B1B">
        <w:rPr>
          <w:rFonts w:ascii="Times New Roman" w:hAnsi="Times New Roman" w:cs="Times New Roman"/>
          <w:sz w:val="24"/>
          <w:szCs w:val="24"/>
          <w:lang w:val="bg-BG"/>
        </w:rPr>
        <w:t xml:space="preserve">6 % от броя на населените места и </w:t>
      </w:r>
      <w:r w:rsidR="00BE41EE" w:rsidRPr="00610B1B">
        <w:rPr>
          <w:rFonts w:ascii="Times New Roman" w:hAnsi="Times New Roman" w:cs="Times New Roman"/>
          <w:sz w:val="24"/>
          <w:szCs w:val="24"/>
          <w:lang w:val="bg-BG"/>
        </w:rPr>
        <w:t xml:space="preserve">в </w:t>
      </w:r>
      <w:r w:rsidRPr="00610B1B">
        <w:rPr>
          <w:rFonts w:ascii="Times New Roman" w:hAnsi="Times New Roman" w:cs="Times New Roman"/>
          <w:sz w:val="24"/>
          <w:szCs w:val="24"/>
          <w:lang w:val="bg-BG"/>
        </w:rPr>
        <w:t>тях живее 7</w:t>
      </w:r>
      <w:r w:rsidR="00A51DB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6% от населението. </w:t>
      </w:r>
    </w:p>
    <w:p w14:paraId="7ED03073" w14:textId="13BD0214" w:rsidR="000F6CBC"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 категорията “много големи градове” попадат </w:t>
      </w:r>
      <w:r w:rsidR="00B86AB6" w:rsidRPr="00610B1B">
        <w:rPr>
          <w:rFonts w:ascii="Times New Roman" w:hAnsi="Times New Roman" w:cs="Times New Roman"/>
          <w:sz w:val="24"/>
          <w:szCs w:val="24"/>
          <w:lang w:val="bg-BG"/>
        </w:rPr>
        <w:t>Варна и Бургас</w:t>
      </w:r>
      <w:r w:rsidR="00D23EDE" w:rsidRPr="00610B1B">
        <w:rPr>
          <w:rFonts w:ascii="Times New Roman" w:hAnsi="Times New Roman" w:cs="Times New Roman"/>
          <w:sz w:val="24"/>
          <w:szCs w:val="24"/>
          <w:lang w:val="bg-BG"/>
        </w:rPr>
        <w:t xml:space="preserve">, в които </w:t>
      </w:r>
      <w:r w:rsidR="00B86AB6" w:rsidRPr="00610B1B">
        <w:rPr>
          <w:rFonts w:ascii="Times New Roman" w:hAnsi="Times New Roman" w:cs="Times New Roman"/>
          <w:sz w:val="24"/>
          <w:szCs w:val="24"/>
          <w:lang w:val="bg-BG"/>
        </w:rPr>
        <w:t>живее 84,</w:t>
      </w:r>
      <w:r w:rsidRPr="00610B1B">
        <w:rPr>
          <w:rFonts w:ascii="Times New Roman" w:hAnsi="Times New Roman" w:cs="Times New Roman"/>
          <w:sz w:val="24"/>
          <w:szCs w:val="24"/>
          <w:lang w:val="bg-BG"/>
        </w:rPr>
        <w:t xml:space="preserve">1% от населението. </w:t>
      </w:r>
      <w:r w:rsidR="000F6CBC" w:rsidRPr="00610B1B">
        <w:rPr>
          <w:rFonts w:ascii="Times New Roman" w:hAnsi="Times New Roman" w:cs="Times New Roman"/>
          <w:sz w:val="24"/>
          <w:szCs w:val="24"/>
          <w:lang w:val="bg-BG"/>
        </w:rPr>
        <w:t xml:space="preserve">Варна </w:t>
      </w:r>
      <w:r w:rsidR="00632B7B" w:rsidRPr="00610B1B">
        <w:rPr>
          <w:rFonts w:ascii="Times New Roman" w:hAnsi="Times New Roman" w:cs="Times New Roman"/>
          <w:sz w:val="24"/>
          <w:szCs w:val="24"/>
          <w:lang w:val="bg-BG"/>
        </w:rPr>
        <w:t>е най-големият град на Черноморското крайбрежие, важен център в полицентричния урбанистичен модел на страната, балансиращ влиянието на столичния град, със значение за развитието на Североизточна България. Разви</w:t>
      </w:r>
      <w:r w:rsidR="00CA540C" w:rsidRPr="00610B1B">
        <w:rPr>
          <w:rFonts w:ascii="Times New Roman" w:hAnsi="Times New Roman" w:cs="Times New Roman"/>
          <w:sz w:val="24"/>
          <w:szCs w:val="24"/>
          <w:lang w:val="bg-BG"/>
        </w:rPr>
        <w:t>т</w:t>
      </w:r>
      <w:r w:rsidR="00632B7B" w:rsidRPr="00610B1B">
        <w:rPr>
          <w:rFonts w:ascii="Times New Roman" w:hAnsi="Times New Roman" w:cs="Times New Roman"/>
          <w:sz w:val="24"/>
          <w:szCs w:val="24"/>
          <w:lang w:val="bg-BG"/>
        </w:rPr>
        <w:t xml:space="preserve">ието му се характеризира с добри стойности по </w:t>
      </w:r>
      <w:r w:rsidR="000F6CBC" w:rsidRPr="00610B1B">
        <w:rPr>
          <w:rFonts w:ascii="Times New Roman" w:hAnsi="Times New Roman" w:cs="Times New Roman"/>
          <w:sz w:val="24"/>
          <w:szCs w:val="24"/>
          <w:lang w:val="bg-BG"/>
        </w:rPr>
        <w:t xml:space="preserve">всички показатели, </w:t>
      </w:r>
      <w:r w:rsidR="00632B7B" w:rsidRPr="00610B1B">
        <w:rPr>
          <w:rFonts w:ascii="Times New Roman" w:hAnsi="Times New Roman" w:cs="Times New Roman"/>
          <w:sz w:val="24"/>
          <w:szCs w:val="24"/>
          <w:lang w:val="bg-BG"/>
        </w:rPr>
        <w:t xml:space="preserve">включително и </w:t>
      </w:r>
      <w:r w:rsidR="00CA540C" w:rsidRPr="00610B1B">
        <w:rPr>
          <w:rFonts w:ascii="Times New Roman" w:hAnsi="Times New Roman" w:cs="Times New Roman"/>
          <w:sz w:val="24"/>
          <w:szCs w:val="24"/>
          <w:lang w:val="bg-BG"/>
        </w:rPr>
        <w:t>по</w:t>
      </w:r>
      <w:r w:rsidR="000F6CBC" w:rsidRPr="00610B1B">
        <w:rPr>
          <w:rFonts w:ascii="Times New Roman" w:hAnsi="Times New Roman" w:cs="Times New Roman"/>
          <w:sz w:val="24"/>
          <w:szCs w:val="24"/>
          <w:lang w:val="bg-BG"/>
        </w:rPr>
        <w:t xml:space="preserve"> </w:t>
      </w:r>
      <w:r w:rsidR="00CA540C" w:rsidRPr="00610B1B">
        <w:rPr>
          <w:rFonts w:ascii="Times New Roman" w:hAnsi="Times New Roman" w:cs="Times New Roman"/>
          <w:sz w:val="24"/>
          <w:szCs w:val="24"/>
          <w:lang w:val="bg-BG"/>
        </w:rPr>
        <w:t xml:space="preserve">отношение </w:t>
      </w:r>
      <w:r w:rsidR="000F6CBC" w:rsidRPr="00610B1B">
        <w:rPr>
          <w:rFonts w:ascii="Times New Roman" w:hAnsi="Times New Roman" w:cs="Times New Roman"/>
          <w:sz w:val="24"/>
          <w:szCs w:val="24"/>
          <w:lang w:val="bg-BG"/>
        </w:rPr>
        <w:t>демографска</w:t>
      </w:r>
      <w:r w:rsidR="00CA540C" w:rsidRPr="00610B1B">
        <w:rPr>
          <w:rFonts w:ascii="Times New Roman" w:hAnsi="Times New Roman" w:cs="Times New Roman"/>
          <w:sz w:val="24"/>
          <w:szCs w:val="24"/>
          <w:lang w:val="bg-BG"/>
        </w:rPr>
        <w:t xml:space="preserve">та динамика и </w:t>
      </w:r>
      <w:r w:rsidR="000F6CBC" w:rsidRPr="00610B1B">
        <w:rPr>
          <w:rFonts w:ascii="Times New Roman" w:hAnsi="Times New Roman" w:cs="Times New Roman"/>
          <w:sz w:val="24"/>
          <w:szCs w:val="24"/>
          <w:lang w:val="bg-BG"/>
        </w:rPr>
        <w:t>положителен прираст за периода 2011–2018 г.</w:t>
      </w:r>
    </w:p>
    <w:p w14:paraId="062915B2" w14:textId="7B944B00" w:rsidR="000F6CBC" w:rsidRPr="00610B1B" w:rsidRDefault="000F6CB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Бургас</w:t>
      </w:r>
      <w:r w:rsidR="001454C5" w:rsidRPr="00610B1B">
        <w:rPr>
          <w:rFonts w:ascii="Times New Roman" w:hAnsi="Times New Roman" w:cs="Times New Roman"/>
          <w:sz w:val="24"/>
          <w:szCs w:val="24"/>
          <w:lang w:val="bg-BG"/>
        </w:rPr>
        <w:t xml:space="preserve">, както и Варна, също е портал на </w:t>
      </w:r>
      <w:r w:rsidRPr="00610B1B">
        <w:rPr>
          <w:rFonts w:ascii="Times New Roman" w:hAnsi="Times New Roman" w:cs="Times New Roman"/>
          <w:sz w:val="24"/>
          <w:szCs w:val="24"/>
          <w:lang w:val="bg-BG"/>
        </w:rPr>
        <w:t xml:space="preserve">Черно море, външна граница на ЕС, източен завършек на главната урбанистична ос „София </w:t>
      </w:r>
      <w:r w:rsidR="00B86AB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Пловдив - Ст. Загора - Бургас”</w:t>
      </w:r>
      <w:r w:rsidR="001454C5" w:rsidRPr="00610B1B">
        <w:rPr>
          <w:rFonts w:ascii="Times New Roman" w:hAnsi="Times New Roman" w:cs="Times New Roman"/>
          <w:sz w:val="24"/>
          <w:szCs w:val="24"/>
          <w:lang w:val="bg-BG"/>
        </w:rPr>
        <w:t>. Той е важен център в полицентричния модел на страната и</w:t>
      </w:r>
      <w:r w:rsidRPr="00610B1B">
        <w:rPr>
          <w:rFonts w:ascii="Times New Roman" w:hAnsi="Times New Roman" w:cs="Times New Roman"/>
          <w:sz w:val="24"/>
          <w:szCs w:val="24"/>
          <w:lang w:val="bg-BG"/>
        </w:rPr>
        <w:t xml:space="preserve"> балансьор на София в Югоизточна България</w:t>
      </w:r>
      <w:r w:rsidR="00B86AB6" w:rsidRPr="00610B1B">
        <w:rPr>
          <w:rFonts w:ascii="Times New Roman" w:hAnsi="Times New Roman" w:cs="Times New Roman"/>
          <w:sz w:val="24"/>
          <w:szCs w:val="24"/>
          <w:lang w:val="bg-BG"/>
        </w:rPr>
        <w:t xml:space="preserve"> с положителни демографски показатели и положителен прираст</w:t>
      </w:r>
      <w:r w:rsidR="00D66FE0" w:rsidRPr="00610B1B">
        <w:rPr>
          <w:rFonts w:ascii="Times New Roman" w:hAnsi="Times New Roman" w:cs="Times New Roman"/>
          <w:sz w:val="24"/>
          <w:szCs w:val="24"/>
          <w:lang w:val="bg-BG"/>
        </w:rPr>
        <w:t xml:space="preserve"> </w:t>
      </w:r>
      <w:r w:rsidR="00B86AB6" w:rsidRPr="00610B1B">
        <w:rPr>
          <w:rFonts w:ascii="Times New Roman" w:hAnsi="Times New Roman" w:cs="Times New Roman"/>
          <w:sz w:val="24"/>
          <w:szCs w:val="24"/>
          <w:lang w:val="bg-BG"/>
        </w:rPr>
        <w:t>на населението в същия период</w:t>
      </w:r>
      <w:r w:rsidR="001454C5" w:rsidRPr="00610B1B">
        <w:rPr>
          <w:rFonts w:ascii="Times New Roman" w:hAnsi="Times New Roman" w:cs="Times New Roman"/>
          <w:sz w:val="24"/>
          <w:szCs w:val="24"/>
          <w:lang w:val="bg-BG"/>
        </w:rPr>
        <w:t>. Заедно с Варна това са двата големи икономически, транспортни, административни, образователни, здравни, културни и туристически центрове</w:t>
      </w:r>
      <w:r w:rsidRPr="00610B1B">
        <w:rPr>
          <w:rFonts w:ascii="Times New Roman" w:hAnsi="Times New Roman" w:cs="Times New Roman"/>
          <w:sz w:val="24"/>
          <w:szCs w:val="24"/>
          <w:lang w:val="bg-BG"/>
        </w:rPr>
        <w:t xml:space="preserve">, </w:t>
      </w:r>
      <w:r w:rsidR="001454C5" w:rsidRPr="00610B1B">
        <w:rPr>
          <w:rFonts w:ascii="Times New Roman" w:hAnsi="Times New Roman" w:cs="Times New Roman"/>
          <w:sz w:val="24"/>
          <w:szCs w:val="24"/>
          <w:lang w:val="bg-BG"/>
        </w:rPr>
        <w:t xml:space="preserve">предлагащи уникална атмосфера и високо качество на живот. Варна и Бургас са центрове на агломерационни ареали, </w:t>
      </w:r>
      <w:r w:rsidR="00455B50" w:rsidRPr="00610B1B">
        <w:rPr>
          <w:rFonts w:ascii="Times New Roman" w:hAnsi="Times New Roman" w:cs="Times New Roman"/>
          <w:sz w:val="24"/>
          <w:szCs w:val="24"/>
          <w:lang w:val="bg-BG"/>
        </w:rPr>
        <w:t>интермоделни центрове с огромен потенциал за бъдещо развитие.</w:t>
      </w:r>
      <w:r w:rsidR="001454C5" w:rsidRPr="00610B1B">
        <w:rPr>
          <w:rFonts w:ascii="Times New Roman" w:hAnsi="Times New Roman" w:cs="Times New Roman"/>
          <w:sz w:val="24"/>
          <w:szCs w:val="24"/>
          <w:lang w:val="bg-BG"/>
        </w:rPr>
        <w:t xml:space="preserve"> </w:t>
      </w:r>
    </w:p>
    <w:p w14:paraId="7310988F" w14:textId="62EFF2EF" w:rsidR="00F5321F" w:rsidRPr="00610B1B" w:rsidRDefault="00BE41EE"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Селата</w:t>
      </w:r>
      <w:r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разположени в Черноморските общини</w:t>
      </w:r>
      <w:r w:rsidR="00D66FE0"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са 180 и в тях живеят 85 942 души, като в края на 2011 г. в тях са живели 85 648 души</w:t>
      </w:r>
      <w:r w:rsidR="0082227D" w:rsidRPr="00610B1B">
        <w:rPr>
          <w:rStyle w:val="FootnoteReference"/>
          <w:rFonts w:ascii="Times New Roman" w:hAnsi="Times New Roman" w:cs="Times New Roman"/>
          <w:sz w:val="24"/>
          <w:szCs w:val="24"/>
          <w:lang w:val="bg-BG"/>
        </w:rPr>
        <w:footnoteReference w:id="101"/>
      </w:r>
      <w:r w:rsidR="0082227D" w:rsidRPr="00610B1B">
        <w:rPr>
          <w:rFonts w:ascii="Times New Roman" w:hAnsi="Times New Roman" w:cs="Times New Roman"/>
          <w:sz w:val="24"/>
          <w:szCs w:val="24"/>
          <w:lang w:val="bg-BG"/>
        </w:rPr>
        <w:t>, или за 7 години населението</w:t>
      </w:r>
      <w:r w:rsidR="00B86AB6" w:rsidRPr="00610B1B">
        <w:rPr>
          <w:rFonts w:ascii="Times New Roman" w:hAnsi="Times New Roman" w:cs="Times New Roman"/>
          <w:sz w:val="24"/>
          <w:szCs w:val="24"/>
          <w:lang w:val="bg-BG"/>
        </w:rPr>
        <w:t xml:space="preserve"> се увеличава с 293</w:t>
      </w:r>
      <w:r w:rsidR="00D66FE0" w:rsidRPr="00610B1B">
        <w:rPr>
          <w:rFonts w:ascii="Times New Roman" w:hAnsi="Times New Roman" w:cs="Times New Roman"/>
          <w:sz w:val="24"/>
          <w:szCs w:val="24"/>
          <w:lang w:val="bg-BG"/>
        </w:rPr>
        <w:t xml:space="preserve"> </w:t>
      </w:r>
      <w:r w:rsidR="00B86AB6" w:rsidRPr="00610B1B">
        <w:rPr>
          <w:rFonts w:ascii="Times New Roman" w:hAnsi="Times New Roman" w:cs="Times New Roman"/>
          <w:sz w:val="24"/>
          <w:szCs w:val="24"/>
          <w:lang w:val="bg-BG"/>
        </w:rPr>
        <w:t>души (0,</w:t>
      </w:r>
      <w:r w:rsidR="0082227D" w:rsidRPr="00610B1B">
        <w:rPr>
          <w:rFonts w:ascii="Times New Roman" w:hAnsi="Times New Roman" w:cs="Times New Roman"/>
          <w:sz w:val="24"/>
          <w:szCs w:val="24"/>
          <w:lang w:val="bg-BG"/>
        </w:rPr>
        <w:t>3%). През същия период населението на селата в стра</w:t>
      </w:r>
      <w:r w:rsidR="00F5321F" w:rsidRPr="00610B1B">
        <w:rPr>
          <w:rFonts w:ascii="Times New Roman" w:hAnsi="Times New Roman" w:cs="Times New Roman"/>
          <w:sz w:val="24"/>
          <w:szCs w:val="24"/>
          <w:lang w:val="bg-BG"/>
        </w:rPr>
        <w:t>на</w:t>
      </w:r>
      <w:r w:rsidR="0082227D" w:rsidRPr="00610B1B">
        <w:rPr>
          <w:rFonts w:ascii="Times New Roman" w:hAnsi="Times New Roman" w:cs="Times New Roman"/>
          <w:sz w:val="24"/>
          <w:szCs w:val="24"/>
          <w:lang w:val="bg-BG"/>
        </w:rPr>
        <w:t>та намалява с</w:t>
      </w:r>
      <w:r w:rsidR="00B86AB6" w:rsidRPr="00610B1B">
        <w:rPr>
          <w:rFonts w:ascii="Times New Roman" w:hAnsi="Times New Roman" w:cs="Times New Roman"/>
          <w:sz w:val="24"/>
          <w:szCs w:val="24"/>
          <w:lang w:val="bg-BG"/>
        </w:rPr>
        <w:t xml:space="preserve"> -7,9</w:t>
      </w:r>
      <w:r w:rsidR="0082227D" w:rsidRPr="00610B1B">
        <w:rPr>
          <w:rFonts w:ascii="Times New Roman" w:hAnsi="Times New Roman" w:cs="Times New Roman"/>
          <w:sz w:val="24"/>
          <w:szCs w:val="24"/>
          <w:lang w:val="bg-BG"/>
        </w:rPr>
        <w:t>%, или черноморските общини са в по-благоприятна ситуация от повечето села в страната. Според съществуващия брой на населението им селата се категоризират</w:t>
      </w:r>
      <w:r w:rsidR="0082227D" w:rsidRPr="00610B1B">
        <w:rPr>
          <w:rStyle w:val="FootnoteReference"/>
          <w:rFonts w:ascii="Times New Roman" w:hAnsi="Times New Roman" w:cs="Times New Roman"/>
          <w:sz w:val="24"/>
          <w:szCs w:val="24"/>
          <w:lang w:val="bg-BG"/>
        </w:rPr>
        <w:footnoteReference w:id="102"/>
      </w:r>
      <w:r w:rsidR="0082227D" w:rsidRPr="00610B1B">
        <w:rPr>
          <w:rFonts w:ascii="Times New Roman" w:hAnsi="Times New Roman" w:cs="Times New Roman"/>
          <w:sz w:val="24"/>
          <w:szCs w:val="24"/>
          <w:lang w:val="bg-BG"/>
        </w:rPr>
        <w:t xml:space="preserve"> както следва:</w:t>
      </w:r>
    </w:p>
    <w:p w14:paraId="4DA9DDB4" w14:textId="107DC255" w:rsidR="0082227D" w:rsidRPr="00610B1B" w:rsidRDefault="00C60496" w:rsidP="00D32D6A">
      <w:pPr>
        <w:spacing w:after="120"/>
        <w:ind w:right="-153"/>
        <w:jc w:val="both"/>
        <w:rPr>
          <w:rFonts w:ascii="Times New Roman" w:hAnsi="Times New Roman" w:cs="Times New Roman"/>
          <w:b/>
          <w:sz w:val="24"/>
          <w:szCs w:val="24"/>
          <w:lang w:val="bg-BG"/>
        </w:rPr>
      </w:pPr>
      <w:r w:rsidRPr="00610B1B">
        <w:rPr>
          <w:rFonts w:ascii="Times New Roman" w:hAnsi="Times New Roman" w:cs="Times New Roman"/>
          <w:sz w:val="24"/>
          <w:szCs w:val="24"/>
          <w:lang w:val="bg-BG"/>
        </w:rPr>
        <w:t xml:space="preserve">Първо </w:t>
      </w:r>
      <w:r w:rsidR="0082227D" w:rsidRPr="00610B1B">
        <w:rPr>
          <w:rFonts w:ascii="Times New Roman" w:hAnsi="Times New Roman" w:cs="Times New Roman"/>
          <w:sz w:val="24"/>
          <w:szCs w:val="24"/>
          <w:lang w:val="bg-BG"/>
        </w:rPr>
        <w:t xml:space="preserve">място заемат “много малките села” до </w:t>
      </w:r>
      <w:r w:rsidR="00B86AB6" w:rsidRPr="00610B1B">
        <w:rPr>
          <w:rFonts w:ascii="Times New Roman" w:hAnsi="Times New Roman" w:cs="Times New Roman"/>
          <w:sz w:val="24"/>
          <w:szCs w:val="24"/>
          <w:lang w:val="bg-BG"/>
        </w:rPr>
        <w:t>250 жители. Те представляват 50,</w:t>
      </w:r>
      <w:r w:rsidR="0082227D" w:rsidRPr="00610B1B">
        <w:rPr>
          <w:rFonts w:ascii="Times New Roman" w:hAnsi="Times New Roman" w:cs="Times New Roman"/>
          <w:sz w:val="24"/>
          <w:szCs w:val="24"/>
          <w:lang w:val="bg-BG"/>
        </w:rPr>
        <w:t>6% от общия брой</w:t>
      </w:r>
      <w:r w:rsidR="00B86AB6" w:rsidRPr="00610B1B">
        <w:rPr>
          <w:rFonts w:ascii="Times New Roman" w:hAnsi="Times New Roman" w:cs="Times New Roman"/>
          <w:sz w:val="24"/>
          <w:szCs w:val="24"/>
          <w:lang w:val="bg-BG"/>
        </w:rPr>
        <w:t xml:space="preserve"> на селата</w:t>
      </w:r>
      <w:r w:rsidRPr="00610B1B">
        <w:rPr>
          <w:rFonts w:ascii="Times New Roman" w:hAnsi="Times New Roman" w:cs="Times New Roman"/>
          <w:sz w:val="24"/>
          <w:szCs w:val="24"/>
          <w:lang w:val="bg-BG"/>
        </w:rPr>
        <w:t xml:space="preserve"> и</w:t>
      </w:r>
      <w:r w:rsidR="00B86AB6" w:rsidRPr="00610B1B">
        <w:rPr>
          <w:rFonts w:ascii="Times New Roman" w:hAnsi="Times New Roman" w:cs="Times New Roman"/>
          <w:sz w:val="24"/>
          <w:szCs w:val="24"/>
          <w:lang w:val="bg-BG"/>
        </w:rPr>
        <w:t xml:space="preserve"> в тях живее 11,</w:t>
      </w:r>
      <w:r w:rsidR="0082227D" w:rsidRPr="00610B1B">
        <w:rPr>
          <w:rFonts w:ascii="Times New Roman" w:hAnsi="Times New Roman" w:cs="Times New Roman"/>
          <w:sz w:val="24"/>
          <w:szCs w:val="24"/>
          <w:lang w:val="bg-BG"/>
        </w:rPr>
        <w:t>4% от селското население.</w:t>
      </w:r>
      <w:r w:rsidR="00837C62"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На второ място е категорията “малки села” с население от 250 до 1</w:t>
      </w:r>
      <w:r w:rsidR="00B86AB6" w:rsidRPr="00610B1B">
        <w:rPr>
          <w:rFonts w:ascii="Times New Roman" w:hAnsi="Times New Roman" w:cs="Times New Roman"/>
          <w:sz w:val="24"/>
          <w:szCs w:val="24"/>
          <w:lang w:val="bg-BG"/>
        </w:rPr>
        <w:t>000 жители. Те представляват 33,</w:t>
      </w:r>
      <w:r w:rsidR="0082227D" w:rsidRPr="00610B1B">
        <w:rPr>
          <w:rFonts w:ascii="Times New Roman" w:hAnsi="Times New Roman" w:cs="Times New Roman"/>
          <w:sz w:val="24"/>
          <w:szCs w:val="24"/>
          <w:lang w:val="bg-BG"/>
        </w:rPr>
        <w:t xml:space="preserve">3% от общия </w:t>
      </w:r>
      <w:r w:rsidR="00B86AB6" w:rsidRPr="00610B1B">
        <w:rPr>
          <w:rFonts w:ascii="Times New Roman" w:hAnsi="Times New Roman" w:cs="Times New Roman"/>
          <w:sz w:val="24"/>
          <w:szCs w:val="24"/>
          <w:lang w:val="bg-BG"/>
        </w:rPr>
        <w:t>брой на селата и в тях живее 36,</w:t>
      </w:r>
      <w:r w:rsidR="0082227D" w:rsidRPr="00610B1B">
        <w:rPr>
          <w:rFonts w:ascii="Times New Roman" w:hAnsi="Times New Roman" w:cs="Times New Roman"/>
          <w:sz w:val="24"/>
          <w:szCs w:val="24"/>
          <w:lang w:val="bg-BG"/>
        </w:rPr>
        <w:t>3% от селското население.</w:t>
      </w:r>
      <w:r w:rsidR="00D66FE0"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На трето място е групата на “средните села” от 1</w:t>
      </w:r>
      <w:r w:rsidR="00B86AB6"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000 до 2</w:t>
      </w:r>
      <w:r w:rsidR="00B86AB6" w:rsidRPr="00610B1B">
        <w:rPr>
          <w:rFonts w:ascii="Times New Roman" w:hAnsi="Times New Roman" w:cs="Times New Roman"/>
          <w:sz w:val="24"/>
          <w:szCs w:val="24"/>
          <w:lang w:val="bg-BG"/>
        </w:rPr>
        <w:t> 000 жители. Те представляват 12,</w:t>
      </w:r>
      <w:r w:rsidR="0082227D" w:rsidRPr="00610B1B">
        <w:rPr>
          <w:rFonts w:ascii="Times New Roman" w:hAnsi="Times New Roman" w:cs="Times New Roman"/>
          <w:sz w:val="24"/>
          <w:szCs w:val="24"/>
          <w:lang w:val="bg-BG"/>
        </w:rPr>
        <w:t xml:space="preserve">8% от общия </w:t>
      </w:r>
      <w:r w:rsidR="00B86AB6" w:rsidRPr="00610B1B">
        <w:rPr>
          <w:rFonts w:ascii="Times New Roman" w:hAnsi="Times New Roman" w:cs="Times New Roman"/>
          <w:sz w:val="24"/>
          <w:szCs w:val="24"/>
          <w:lang w:val="bg-BG"/>
        </w:rPr>
        <w:t>брой на селата и в тях живее 33,</w:t>
      </w:r>
      <w:r w:rsidR="0082227D" w:rsidRPr="00610B1B">
        <w:rPr>
          <w:rFonts w:ascii="Times New Roman" w:hAnsi="Times New Roman" w:cs="Times New Roman"/>
          <w:sz w:val="24"/>
          <w:szCs w:val="24"/>
          <w:lang w:val="bg-BG"/>
        </w:rPr>
        <w:t>9% от населението на селата. На четвърто място е категорията на “големите села” – от 2</w:t>
      </w:r>
      <w:r w:rsidR="00B86AB6"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000 до 5</w:t>
      </w:r>
      <w:r w:rsidR="00B86AB6"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 xml:space="preserve">000 жители. Те </w:t>
      </w:r>
      <w:r w:rsidR="00392A32" w:rsidRPr="00610B1B">
        <w:rPr>
          <w:rFonts w:ascii="Times New Roman" w:hAnsi="Times New Roman" w:cs="Times New Roman"/>
          <w:sz w:val="24"/>
          <w:szCs w:val="24"/>
          <w:lang w:val="bg-BG"/>
        </w:rPr>
        <w:t>участват</w:t>
      </w:r>
      <w:r w:rsidR="00B86AB6" w:rsidRPr="00610B1B">
        <w:rPr>
          <w:rFonts w:ascii="Times New Roman" w:hAnsi="Times New Roman" w:cs="Times New Roman"/>
          <w:sz w:val="24"/>
          <w:szCs w:val="24"/>
          <w:lang w:val="bg-BG"/>
        </w:rPr>
        <w:t xml:space="preserve"> с 3,3% от общия брой на селата и 18,</w:t>
      </w:r>
      <w:r w:rsidR="0082227D" w:rsidRPr="00610B1B">
        <w:rPr>
          <w:rFonts w:ascii="Times New Roman" w:hAnsi="Times New Roman" w:cs="Times New Roman"/>
          <w:sz w:val="24"/>
          <w:szCs w:val="24"/>
          <w:lang w:val="bg-BG"/>
        </w:rPr>
        <w:t xml:space="preserve">4% от населението. Най-голямото село е </w:t>
      </w:r>
      <w:r w:rsidR="00F5321F" w:rsidRPr="00610B1B">
        <w:rPr>
          <w:rFonts w:ascii="Times New Roman" w:hAnsi="Times New Roman" w:cs="Times New Roman"/>
          <w:sz w:val="24"/>
          <w:szCs w:val="24"/>
          <w:lang w:val="bg-BG"/>
        </w:rPr>
        <w:t xml:space="preserve">с. </w:t>
      </w:r>
      <w:r w:rsidR="0082227D" w:rsidRPr="00610B1B">
        <w:rPr>
          <w:rFonts w:ascii="Times New Roman" w:hAnsi="Times New Roman" w:cs="Times New Roman"/>
          <w:sz w:val="24"/>
          <w:szCs w:val="24"/>
          <w:lang w:val="bg-BG"/>
        </w:rPr>
        <w:t>Тополи</w:t>
      </w:r>
      <w:r w:rsidR="00D66FE0"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(3</w:t>
      </w:r>
      <w:r w:rsidR="00F5321F"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072 д.), общ</w:t>
      </w:r>
      <w:r w:rsidR="00B86AB6" w:rsidRPr="00610B1B">
        <w:rPr>
          <w:rFonts w:ascii="Times New Roman" w:hAnsi="Times New Roman" w:cs="Times New Roman"/>
          <w:sz w:val="24"/>
          <w:szCs w:val="24"/>
          <w:lang w:val="bg-BG"/>
        </w:rPr>
        <w:t>ина</w:t>
      </w:r>
      <w:r w:rsidR="0082227D" w:rsidRPr="00610B1B">
        <w:rPr>
          <w:rFonts w:ascii="Times New Roman" w:hAnsi="Times New Roman" w:cs="Times New Roman"/>
          <w:sz w:val="24"/>
          <w:szCs w:val="24"/>
          <w:lang w:val="bg-BG"/>
        </w:rPr>
        <w:t xml:space="preserve"> Варна, другите големи села са Равда (2</w:t>
      </w:r>
      <w:r w:rsidR="00F5321F"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849 д.), Каменар (2</w:t>
      </w:r>
      <w:r w:rsidR="00F5321F"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806</w:t>
      </w:r>
      <w:r w:rsidR="00F5321F" w:rsidRPr="00610B1B">
        <w:rPr>
          <w:rFonts w:ascii="Times New Roman" w:hAnsi="Times New Roman" w:cs="Times New Roman"/>
          <w:sz w:val="24"/>
          <w:szCs w:val="24"/>
          <w:lang w:val="bg-BG"/>
        </w:rPr>
        <w:t xml:space="preserve"> </w:t>
      </w:r>
      <w:r w:rsidR="0082227D" w:rsidRPr="00610B1B">
        <w:rPr>
          <w:rFonts w:ascii="Times New Roman" w:hAnsi="Times New Roman" w:cs="Times New Roman"/>
          <w:sz w:val="24"/>
          <w:szCs w:val="24"/>
          <w:lang w:val="bg-BG"/>
        </w:rPr>
        <w:t>д.), Старо Оряхово (2</w:t>
      </w:r>
      <w:r w:rsidR="00F5321F"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579 д.), Гроздьово (2</w:t>
      </w:r>
      <w:r w:rsidR="00F5321F"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371 д.) и Оброчище (2</w:t>
      </w:r>
      <w:r w:rsidR="00F5321F"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 xml:space="preserve">099 д.). </w:t>
      </w:r>
    </w:p>
    <w:p w14:paraId="27B7517C" w14:textId="2C7DB9BE" w:rsidR="0082227D" w:rsidRPr="00610B1B" w:rsidRDefault="00F5321F" w:rsidP="00D32D6A">
      <w:pPr>
        <w:pStyle w:val="Heading4"/>
        <w:spacing w:before="0" w:line="276" w:lineRule="auto"/>
        <w:ind w:right="-153"/>
        <w:rPr>
          <w:rFonts w:cs="Times New Roman"/>
        </w:rPr>
      </w:pPr>
      <w:r w:rsidRPr="00610B1B">
        <w:rPr>
          <w:rFonts w:cs="Times New Roman"/>
        </w:rPr>
        <w:t>2.</w:t>
      </w:r>
      <w:r w:rsidR="00837C62" w:rsidRPr="00610B1B">
        <w:rPr>
          <w:rFonts w:cs="Times New Roman"/>
        </w:rPr>
        <w:t>3</w:t>
      </w:r>
      <w:r w:rsidRPr="00610B1B">
        <w:rPr>
          <w:rFonts w:cs="Times New Roman"/>
        </w:rPr>
        <w:t>.</w:t>
      </w:r>
      <w:r w:rsidR="00837C62" w:rsidRPr="00610B1B">
        <w:rPr>
          <w:rFonts w:cs="Times New Roman"/>
        </w:rPr>
        <w:t>1</w:t>
      </w:r>
      <w:r w:rsidRPr="00610B1B">
        <w:rPr>
          <w:rFonts w:cs="Times New Roman"/>
        </w:rPr>
        <w:t xml:space="preserve">.3. </w:t>
      </w:r>
      <w:r w:rsidR="0082227D" w:rsidRPr="00610B1B">
        <w:rPr>
          <w:rFonts w:cs="Times New Roman"/>
        </w:rPr>
        <w:t>Естествен и механичен прираст на населението</w:t>
      </w:r>
    </w:p>
    <w:p w14:paraId="3DB243A7" w14:textId="1E9231C7"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Естествен</w:t>
      </w:r>
      <w:r w:rsidR="004C382F" w:rsidRPr="00610B1B">
        <w:rPr>
          <w:rFonts w:ascii="Times New Roman" w:hAnsi="Times New Roman" w:cs="Times New Roman"/>
          <w:b/>
          <w:sz w:val="24"/>
          <w:szCs w:val="24"/>
          <w:lang w:val="bg-BG"/>
        </w:rPr>
        <w:t>ият</w:t>
      </w:r>
      <w:r w:rsidRPr="00610B1B">
        <w:rPr>
          <w:rFonts w:ascii="Times New Roman" w:hAnsi="Times New Roman" w:cs="Times New Roman"/>
          <w:b/>
          <w:sz w:val="24"/>
          <w:szCs w:val="24"/>
          <w:lang w:val="bg-BG"/>
        </w:rPr>
        <w:t xml:space="preserve"> прираст</w:t>
      </w:r>
      <w:r w:rsidR="004C382F" w:rsidRPr="00610B1B">
        <w:rPr>
          <w:rFonts w:ascii="Times New Roman" w:hAnsi="Times New Roman" w:cs="Times New Roman"/>
          <w:b/>
          <w:sz w:val="24"/>
          <w:szCs w:val="24"/>
          <w:lang w:val="bg-BG"/>
        </w:rPr>
        <w:t xml:space="preserve"> </w:t>
      </w:r>
      <w:r w:rsidR="004C382F" w:rsidRPr="00610B1B">
        <w:rPr>
          <w:rFonts w:ascii="Times New Roman" w:hAnsi="Times New Roman" w:cs="Times New Roman"/>
          <w:sz w:val="24"/>
          <w:szCs w:val="24"/>
          <w:lang w:val="bg-BG"/>
        </w:rPr>
        <w:t>в общините на българското Черноморско крайбрежие през 2018</w:t>
      </w:r>
      <w:r w:rsidR="0004160B" w:rsidRPr="00610B1B">
        <w:rPr>
          <w:rFonts w:ascii="Times New Roman" w:hAnsi="Times New Roman" w:cs="Times New Roman"/>
          <w:sz w:val="24"/>
          <w:szCs w:val="24"/>
          <w:lang w:val="bg-BG"/>
        </w:rPr>
        <w:t> </w:t>
      </w:r>
      <w:r w:rsidR="004C382F" w:rsidRPr="00610B1B">
        <w:rPr>
          <w:rFonts w:ascii="Times New Roman" w:hAnsi="Times New Roman" w:cs="Times New Roman"/>
          <w:sz w:val="24"/>
          <w:szCs w:val="24"/>
          <w:lang w:val="bg-BG"/>
        </w:rPr>
        <w:t xml:space="preserve">г. е отрицателен и населението е намаляло </w:t>
      </w:r>
      <w:r w:rsidRPr="00610B1B">
        <w:rPr>
          <w:rFonts w:ascii="Times New Roman" w:hAnsi="Times New Roman" w:cs="Times New Roman"/>
          <w:bCs/>
          <w:iCs/>
          <w:sz w:val="24"/>
          <w:szCs w:val="24"/>
          <w:lang w:val="bg-BG"/>
        </w:rPr>
        <w:t>с 2 556 души.</w:t>
      </w:r>
      <w:r w:rsidR="004C382F" w:rsidRPr="00610B1B">
        <w:rPr>
          <w:rFonts w:ascii="Times New Roman" w:hAnsi="Times New Roman" w:cs="Times New Roman"/>
          <w:bCs/>
          <w:iCs/>
          <w:sz w:val="24"/>
          <w:szCs w:val="24"/>
          <w:lang w:val="bg-BG"/>
        </w:rPr>
        <w:t xml:space="preserve"> </w:t>
      </w:r>
      <w:r w:rsidRPr="00610B1B">
        <w:rPr>
          <w:rFonts w:ascii="Times New Roman" w:hAnsi="Times New Roman" w:cs="Times New Roman"/>
          <w:iCs/>
          <w:sz w:val="24"/>
          <w:szCs w:val="24"/>
          <w:lang w:val="bg-BG"/>
        </w:rPr>
        <w:t xml:space="preserve">Намалението на населението, измерено чрез </w:t>
      </w:r>
      <w:r w:rsidRPr="00610B1B">
        <w:rPr>
          <w:rFonts w:ascii="Times New Roman" w:hAnsi="Times New Roman" w:cs="Times New Roman"/>
          <w:bCs/>
          <w:iCs/>
          <w:sz w:val="24"/>
          <w:szCs w:val="24"/>
          <w:lang w:val="bg-BG"/>
        </w:rPr>
        <w:t>коефициента</w:t>
      </w:r>
      <w:r w:rsidRPr="00610B1B">
        <w:rPr>
          <w:rFonts w:ascii="Times New Roman" w:hAnsi="Times New Roman" w:cs="Times New Roman"/>
          <w:bCs/>
          <w:i/>
          <w:sz w:val="24"/>
          <w:szCs w:val="24"/>
          <w:lang w:val="bg-BG"/>
        </w:rPr>
        <w:t xml:space="preserve"> </w:t>
      </w:r>
      <w:r w:rsidRPr="00610B1B">
        <w:rPr>
          <w:rFonts w:ascii="Times New Roman" w:hAnsi="Times New Roman" w:cs="Times New Roman"/>
          <w:bCs/>
          <w:sz w:val="24"/>
          <w:szCs w:val="24"/>
          <w:lang w:val="bg-BG"/>
        </w:rPr>
        <w:t>на естествения</w:t>
      </w:r>
      <w:r w:rsidRPr="00610B1B">
        <w:rPr>
          <w:rFonts w:ascii="Times New Roman" w:hAnsi="Times New Roman" w:cs="Times New Roman"/>
          <w:b/>
          <w:bCs/>
          <w:sz w:val="24"/>
          <w:szCs w:val="24"/>
          <w:lang w:val="bg-BG"/>
        </w:rPr>
        <w:t xml:space="preserve"> </w:t>
      </w:r>
      <w:r w:rsidRPr="00610B1B">
        <w:rPr>
          <w:rFonts w:ascii="Times New Roman" w:hAnsi="Times New Roman" w:cs="Times New Roman"/>
          <w:bCs/>
          <w:sz w:val="24"/>
          <w:szCs w:val="24"/>
          <w:lang w:val="bg-BG"/>
        </w:rPr>
        <w:t>прираст</w:t>
      </w:r>
      <w:r w:rsidRPr="00610B1B">
        <w:rPr>
          <w:rStyle w:val="FootnoteReference"/>
          <w:rFonts w:ascii="Times New Roman" w:hAnsi="Times New Roman" w:cs="Times New Roman"/>
          <w:bCs/>
          <w:sz w:val="24"/>
          <w:szCs w:val="24"/>
          <w:lang w:val="bg-BG"/>
        </w:rPr>
        <w:footnoteReference w:id="103"/>
      </w:r>
      <w:r w:rsidR="00A5699E" w:rsidRPr="00610B1B">
        <w:rPr>
          <w:rFonts w:ascii="Times New Roman" w:hAnsi="Times New Roman" w:cs="Times New Roman"/>
          <w:lang w:val="bg-BG"/>
        </w:rPr>
        <w:t xml:space="preserve"> </w:t>
      </w:r>
      <w:r w:rsidR="004C382F" w:rsidRPr="00610B1B">
        <w:rPr>
          <w:rFonts w:ascii="Times New Roman" w:hAnsi="Times New Roman" w:cs="Times New Roman"/>
          <w:bCs/>
          <w:sz w:val="24"/>
          <w:szCs w:val="24"/>
          <w:lang w:val="bg-BG"/>
        </w:rPr>
        <w:t>през 2018 г. е минус 3,</w:t>
      </w:r>
      <w:r w:rsidR="00A5699E" w:rsidRPr="00610B1B">
        <w:rPr>
          <w:rFonts w:ascii="Times New Roman" w:hAnsi="Times New Roman" w:cs="Times New Roman"/>
          <w:bCs/>
          <w:sz w:val="24"/>
          <w:szCs w:val="24"/>
          <w:lang w:val="bg-BG"/>
        </w:rPr>
        <w:t>5‰</w:t>
      </w:r>
      <w:r w:rsidR="004C382F" w:rsidRPr="00610B1B">
        <w:rPr>
          <w:rFonts w:ascii="Times New Roman" w:hAnsi="Times New Roman" w:cs="Times New Roman"/>
          <w:bCs/>
          <w:sz w:val="24"/>
          <w:szCs w:val="24"/>
          <w:lang w:val="bg-BG"/>
        </w:rPr>
        <w:t>, а през 2011 г. е минус 0,</w:t>
      </w:r>
      <w:r w:rsidRPr="00610B1B">
        <w:rPr>
          <w:rFonts w:ascii="Times New Roman" w:hAnsi="Times New Roman" w:cs="Times New Roman"/>
          <w:bCs/>
          <w:sz w:val="24"/>
          <w:szCs w:val="24"/>
          <w:lang w:val="bg-BG"/>
        </w:rPr>
        <w:t>9‰</w:t>
      </w:r>
      <w:r w:rsidR="000F6CBC" w:rsidRPr="00610B1B">
        <w:rPr>
          <w:rFonts w:ascii="Times New Roman" w:hAnsi="Times New Roman" w:cs="Times New Roman"/>
          <w:b/>
          <w:bCs/>
          <w:sz w:val="24"/>
          <w:szCs w:val="24"/>
          <w:lang w:val="bg-BG"/>
        </w:rPr>
        <w:t xml:space="preserve">. </w:t>
      </w:r>
      <w:r w:rsidRPr="00610B1B">
        <w:rPr>
          <w:rFonts w:ascii="Times New Roman" w:hAnsi="Times New Roman" w:cs="Times New Roman"/>
          <w:sz w:val="24"/>
          <w:szCs w:val="24"/>
          <w:lang w:val="bg-BG"/>
        </w:rPr>
        <w:t xml:space="preserve">Коефициентът на естествения прираст в страната през 2018 г. е </w:t>
      </w:r>
      <w:r w:rsidRPr="00610B1B">
        <w:rPr>
          <w:rFonts w:ascii="Times New Roman" w:hAnsi="Times New Roman" w:cs="Times New Roman"/>
          <w:sz w:val="24"/>
          <w:szCs w:val="24"/>
          <w:lang w:val="bg-BG"/>
        </w:rPr>
        <w:lastRenderedPageBreak/>
        <w:t>минус</w:t>
      </w:r>
      <w:r w:rsidR="004C382F" w:rsidRPr="00610B1B">
        <w:rPr>
          <w:rFonts w:ascii="Times New Roman" w:hAnsi="Times New Roman" w:cs="Times New Roman"/>
          <w:sz w:val="24"/>
          <w:szCs w:val="24"/>
          <w:lang w:val="bg-BG"/>
        </w:rPr>
        <w:t xml:space="preserve"> 6,6‰, а през 2011 г. - минус 5,</w:t>
      </w:r>
      <w:r w:rsidRPr="00610B1B">
        <w:rPr>
          <w:rFonts w:ascii="Times New Roman" w:hAnsi="Times New Roman" w:cs="Times New Roman"/>
          <w:sz w:val="24"/>
          <w:szCs w:val="24"/>
          <w:lang w:val="bg-BG"/>
        </w:rPr>
        <w:t>1‰. Коефициентът на естеств</w:t>
      </w:r>
      <w:r w:rsidR="004C382F" w:rsidRPr="00610B1B">
        <w:rPr>
          <w:rFonts w:ascii="Times New Roman" w:hAnsi="Times New Roman" w:cs="Times New Roman"/>
          <w:sz w:val="24"/>
          <w:szCs w:val="24"/>
          <w:lang w:val="bg-BG"/>
        </w:rPr>
        <w:t>ения прираст за ЕС-28 е минус 0,</w:t>
      </w:r>
      <w:r w:rsidRPr="00610B1B">
        <w:rPr>
          <w:rFonts w:ascii="Times New Roman" w:hAnsi="Times New Roman" w:cs="Times New Roman"/>
          <w:sz w:val="24"/>
          <w:szCs w:val="24"/>
          <w:lang w:val="bg-BG"/>
        </w:rPr>
        <w:t>4‰.</w:t>
      </w:r>
      <w:r w:rsidR="004C382F"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През 2011 г. 2 общини имат положителен естествен прираст, </w:t>
      </w:r>
      <w:r w:rsidR="004C382F" w:rsidRPr="00610B1B">
        <w:rPr>
          <w:rFonts w:ascii="Times New Roman" w:hAnsi="Times New Roman" w:cs="Times New Roman"/>
          <w:sz w:val="24"/>
          <w:szCs w:val="24"/>
          <w:lang w:val="bg-BG"/>
        </w:rPr>
        <w:t>до</w:t>
      </w:r>
      <w:r w:rsidRPr="00610B1B">
        <w:rPr>
          <w:rFonts w:ascii="Times New Roman" w:hAnsi="Times New Roman" w:cs="Times New Roman"/>
          <w:sz w:val="24"/>
          <w:szCs w:val="24"/>
          <w:lang w:val="bg-BG"/>
        </w:rPr>
        <w:t>като през 2018 г. всичките общини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имат отрицателен естествен прираст. Наблюдават се значителни различия между общините по отношение на коефициентите на естествен прираст. През 2018 г. с най-малки по стойности коефициенти на отрицателен естествен </w:t>
      </w:r>
      <w:r w:rsidR="004C382F" w:rsidRPr="00610B1B">
        <w:rPr>
          <w:rFonts w:ascii="Times New Roman" w:hAnsi="Times New Roman" w:cs="Times New Roman"/>
          <w:sz w:val="24"/>
          <w:szCs w:val="24"/>
          <w:lang w:val="bg-BG"/>
        </w:rPr>
        <w:t>прираст са общините Несебър (-0,0‰),</w:t>
      </w:r>
      <w:r w:rsidR="00D66FE0" w:rsidRPr="00610B1B">
        <w:rPr>
          <w:rFonts w:ascii="Times New Roman" w:hAnsi="Times New Roman" w:cs="Times New Roman"/>
          <w:sz w:val="24"/>
          <w:szCs w:val="24"/>
          <w:lang w:val="bg-BG"/>
        </w:rPr>
        <w:t xml:space="preserve"> </w:t>
      </w:r>
      <w:r w:rsidR="004C382F" w:rsidRPr="00610B1B">
        <w:rPr>
          <w:rFonts w:ascii="Times New Roman" w:hAnsi="Times New Roman" w:cs="Times New Roman"/>
          <w:sz w:val="24"/>
          <w:szCs w:val="24"/>
          <w:lang w:val="bg-BG"/>
        </w:rPr>
        <w:t>Варна (-2,1‰) и Бургас (-3,</w:t>
      </w:r>
      <w:r w:rsidRPr="00610B1B">
        <w:rPr>
          <w:rFonts w:ascii="Times New Roman" w:hAnsi="Times New Roman" w:cs="Times New Roman"/>
          <w:sz w:val="24"/>
          <w:szCs w:val="24"/>
          <w:lang w:val="bg-BG"/>
        </w:rPr>
        <w:t>1‰). В 3 общини коефициент</w:t>
      </w:r>
      <w:r w:rsidR="00A5699E" w:rsidRPr="00610B1B">
        <w:rPr>
          <w:rFonts w:ascii="Times New Roman" w:hAnsi="Times New Roman" w:cs="Times New Roman"/>
          <w:sz w:val="24"/>
          <w:szCs w:val="24"/>
          <w:lang w:val="bg-BG"/>
        </w:rPr>
        <w:t>ът</w:t>
      </w:r>
      <w:r w:rsidRPr="00610B1B">
        <w:rPr>
          <w:rFonts w:ascii="Times New Roman" w:hAnsi="Times New Roman" w:cs="Times New Roman"/>
          <w:sz w:val="24"/>
          <w:szCs w:val="24"/>
          <w:lang w:val="bg-BG"/>
        </w:rPr>
        <w:t xml:space="preserve"> на естествения прираст е 2 и повече пъти по-неблагоприятен от средния за страната </w:t>
      </w:r>
      <w:r w:rsidR="00837C62" w:rsidRPr="00610B1B">
        <w:rPr>
          <w:rFonts w:ascii="Times New Roman" w:hAnsi="Times New Roman" w:cs="Times New Roman"/>
          <w:sz w:val="24"/>
          <w:szCs w:val="24"/>
          <w:lang w:val="bg-BG"/>
        </w:rPr>
        <w:t xml:space="preserve">- </w:t>
      </w:r>
      <w:r w:rsidR="004C382F" w:rsidRPr="00610B1B">
        <w:rPr>
          <w:rFonts w:ascii="Times New Roman" w:hAnsi="Times New Roman" w:cs="Times New Roman"/>
          <w:sz w:val="24"/>
          <w:szCs w:val="24"/>
          <w:lang w:val="bg-BG"/>
        </w:rPr>
        <w:t>Шабла (-21,7‰),</w:t>
      </w:r>
      <w:r w:rsidR="00D66FE0" w:rsidRPr="00610B1B">
        <w:rPr>
          <w:rFonts w:ascii="Times New Roman" w:hAnsi="Times New Roman" w:cs="Times New Roman"/>
          <w:sz w:val="24"/>
          <w:szCs w:val="24"/>
          <w:lang w:val="bg-BG"/>
        </w:rPr>
        <w:t xml:space="preserve"> </w:t>
      </w:r>
      <w:r w:rsidR="004C382F" w:rsidRPr="00610B1B">
        <w:rPr>
          <w:rFonts w:ascii="Times New Roman" w:hAnsi="Times New Roman" w:cs="Times New Roman"/>
          <w:sz w:val="24"/>
          <w:szCs w:val="24"/>
          <w:lang w:val="bg-BG"/>
        </w:rPr>
        <w:t>Аврен</w:t>
      </w:r>
      <w:r w:rsidR="00D66FE0" w:rsidRPr="00610B1B">
        <w:rPr>
          <w:rFonts w:ascii="Times New Roman" w:hAnsi="Times New Roman" w:cs="Times New Roman"/>
          <w:sz w:val="24"/>
          <w:szCs w:val="24"/>
          <w:lang w:val="bg-BG"/>
        </w:rPr>
        <w:t xml:space="preserve"> </w:t>
      </w:r>
      <w:r w:rsidR="004C382F" w:rsidRPr="00610B1B">
        <w:rPr>
          <w:rFonts w:ascii="Times New Roman" w:hAnsi="Times New Roman" w:cs="Times New Roman"/>
          <w:sz w:val="24"/>
          <w:szCs w:val="24"/>
          <w:lang w:val="bg-BG"/>
        </w:rPr>
        <w:t>(-13,</w:t>
      </w:r>
      <w:r w:rsidRPr="00610B1B">
        <w:rPr>
          <w:rFonts w:ascii="Times New Roman" w:hAnsi="Times New Roman" w:cs="Times New Roman"/>
          <w:sz w:val="24"/>
          <w:szCs w:val="24"/>
          <w:lang w:val="bg-BG"/>
        </w:rPr>
        <w:t>0 ‰) и Бяла (-12</w:t>
      </w:r>
      <w:r w:rsidR="004C382F"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5‰).</w:t>
      </w:r>
    </w:p>
    <w:p w14:paraId="33689FF4" w14:textId="76E25605" w:rsidR="0082227D" w:rsidRPr="00610B1B" w:rsidRDefault="004C382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Механичният прираст</w:t>
      </w:r>
      <w:r w:rsidRPr="00610B1B">
        <w:rPr>
          <w:rFonts w:ascii="Times New Roman" w:hAnsi="Times New Roman" w:cs="Times New Roman"/>
          <w:sz w:val="24"/>
          <w:szCs w:val="24"/>
          <w:lang w:val="bg-BG"/>
        </w:rPr>
        <w:t xml:space="preserve"> оказва с</w:t>
      </w:r>
      <w:r w:rsidR="0082227D" w:rsidRPr="00610B1B">
        <w:rPr>
          <w:rFonts w:ascii="Times New Roman" w:hAnsi="Times New Roman" w:cs="Times New Roman"/>
          <w:sz w:val="24"/>
          <w:szCs w:val="24"/>
          <w:lang w:val="bg-BG"/>
        </w:rPr>
        <w:t xml:space="preserve">ъществено влияние върху броя и структурите на населението в района. Коефициентът на механичен прираст в </w:t>
      </w:r>
      <w:r w:rsidRPr="00610B1B">
        <w:rPr>
          <w:rFonts w:ascii="Times New Roman" w:hAnsi="Times New Roman" w:cs="Times New Roman"/>
          <w:sz w:val="24"/>
          <w:szCs w:val="24"/>
          <w:lang w:val="bg-BG"/>
        </w:rPr>
        <w:t>Черноморските</w:t>
      </w:r>
      <w:r w:rsidR="0082227D" w:rsidRPr="00610B1B">
        <w:rPr>
          <w:rFonts w:ascii="Times New Roman" w:hAnsi="Times New Roman" w:cs="Times New Roman"/>
          <w:sz w:val="24"/>
          <w:szCs w:val="24"/>
          <w:lang w:val="bg-BG"/>
        </w:rPr>
        <w:t xml:space="preserve"> общини през 2011 г. </w:t>
      </w:r>
      <w:r w:rsidRPr="00610B1B">
        <w:rPr>
          <w:rFonts w:ascii="Times New Roman" w:hAnsi="Times New Roman" w:cs="Times New Roman"/>
          <w:sz w:val="24"/>
          <w:szCs w:val="24"/>
          <w:lang w:val="bg-BG"/>
        </w:rPr>
        <w:t>е (0,8‰), а през 2018 г. (2,</w:t>
      </w:r>
      <w:r w:rsidR="0082227D" w:rsidRPr="00610B1B">
        <w:rPr>
          <w:rFonts w:ascii="Times New Roman" w:hAnsi="Times New Roman" w:cs="Times New Roman"/>
          <w:sz w:val="24"/>
          <w:szCs w:val="24"/>
          <w:lang w:val="bg-BG"/>
        </w:rPr>
        <w:t xml:space="preserve">8‰), като за страната през 2011 г. </w:t>
      </w:r>
      <w:r w:rsidRPr="00610B1B">
        <w:rPr>
          <w:rFonts w:ascii="Times New Roman" w:hAnsi="Times New Roman" w:cs="Times New Roman"/>
          <w:sz w:val="24"/>
          <w:szCs w:val="24"/>
          <w:lang w:val="bg-BG"/>
        </w:rPr>
        <w:t>е -0,8‰, а през 2018 г. е (-0,</w:t>
      </w:r>
      <w:r w:rsidR="0082227D" w:rsidRPr="00610B1B">
        <w:rPr>
          <w:rFonts w:ascii="Times New Roman" w:hAnsi="Times New Roman" w:cs="Times New Roman"/>
          <w:sz w:val="24"/>
          <w:szCs w:val="24"/>
          <w:lang w:val="bg-BG"/>
        </w:rPr>
        <w:t>5‰)</w:t>
      </w:r>
      <w:r w:rsidR="00837C62" w:rsidRPr="00610B1B">
        <w:rPr>
          <w:rFonts w:ascii="Times New Roman" w:hAnsi="Times New Roman" w:cs="Times New Roman"/>
          <w:sz w:val="24"/>
          <w:szCs w:val="24"/>
          <w:lang w:val="bg-BG"/>
        </w:rPr>
        <w:t>, и</w:t>
      </w:r>
      <w:r w:rsidR="0082227D" w:rsidRPr="00610B1B">
        <w:rPr>
          <w:rFonts w:ascii="Times New Roman" w:hAnsi="Times New Roman" w:cs="Times New Roman"/>
          <w:sz w:val="24"/>
          <w:szCs w:val="24"/>
          <w:lang w:val="bg-BG"/>
        </w:rPr>
        <w:t>ли механичния</w:t>
      </w:r>
      <w:r w:rsidR="00837C62" w:rsidRPr="00610B1B">
        <w:rPr>
          <w:rFonts w:ascii="Times New Roman" w:hAnsi="Times New Roman" w:cs="Times New Roman"/>
          <w:sz w:val="24"/>
          <w:szCs w:val="24"/>
          <w:lang w:val="bg-BG"/>
        </w:rPr>
        <w:t>т</w:t>
      </w:r>
      <w:r w:rsidR="0082227D" w:rsidRPr="00610B1B">
        <w:rPr>
          <w:rFonts w:ascii="Times New Roman" w:hAnsi="Times New Roman" w:cs="Times New Roman"/>
          <w:sz w:val="24"/>
          <w:szCs w:val="24"/>
          <w:lang w:val="bg-BG"/>
        </w:rPr>
        <w:t xml:space="preserve"> прираст в общините</w:t>
      </w:r>
      <w:r w:rsidR="009C0007" w:rsidRPr="00610B1B">
        <w:rPr>
          <w:rFonts w:ascii="Times New Roman" w:hAnsi="Times New Roman" w:cs="Times New Roman"/>
          <w:sz w:val="24"/>
          <w:szCs w:val="24"/>
          <w:lang w:val="bg-BG"/>
        </w:rPr>
        <w:t xml:space="preserve"> на крайбрежието е</w:t>
      </w:r>
      <w:r w:rsidR="0082227D" w:rsidRPr="00610B1B">
        <w:rPr>
          <w:rFonts w:ascii="Times New Roman" w:hAnsi="Times New Roman" w:cs="Times New Roman"/>
          <w:sz w:val="24"/>
          <w:szCs w:val="24"/>
          <w:lang w:val="bg-BG"/>
        </w:rPr>
        <w:t xml:space="preserve"> с по-благоприятни показатели от средните за страната. През 2018</w:t>
      </w:r>
      <w:r w:rsidR="0042644C" w:rsidRPr="00610B1B">
        <w:rPr>
          <w:rFonts w:ascii="Times New Roman" w:hAnsi="Times New Roman" w:cs="Times New Roman"/>
          <w:sz w:val="24"/>
          <w:szCs w:val="24"/>
          <w:lang w:val="bg-BG"/>
        </w:rPr>
        <w:t> </w:t>
      </w:r>
      <w:r w:rsidR="0082227D" w:rsidRPr="00610B1B">
        <w:rPr>
          <w:rFonts w:ascii="Times New Roman" w:hAnsi="Times New Roman" w:cs="Times New Roman"/>
          <w:sz w:val="24"/>
          <w:szCs w:val="24"/>
          <w:lang w:val="bg-BG"/>
        </w:rPr>
        <w:t>г. 7 общини имат положителен механичен прираст, като по-значителен е прираст</w:t>
      </w:r>
      <w:r w:rsidR="00A5699E" w:rsidRPr="00610B1B">
        <w:rPr>
          <w:rFonts w:ascii="Times New Roman" w:hAnsi="Times New Roman" w:cs="Times New Roman"/>
          <w:sz w:val="24"/>
          <w:szCs w:val="24"/>
          <w:lang w:val="bg-BG"/>
        </w:rPr>
        <w:t>ът</w:t>
      </w:r>
      <w:r w:rsidR="0082227D" w:rsidRPr="00610B1B">
        <w:rPr>
          <w:rFonts w:ascii="Times New Roman" w:hAnsi="Times New Roman" w:cs="Times New Roman"/>
          <w:sz w:val="24"/>
          <w:szCs w:val="24"/>
          <w:lang w:val="bg-BG"/>
        </w:rPr>
        <w:t xml:space="preserve"> в общин</w:t>
      </w:r>
      <w:r w:rsidR="00C60496" w:rsidRPr="00610B1B">
        <w:rPr>
          <w:rFonts w:ascii="Times New Roman" w:hAnsi="Times New Roman" w:cs="Times New Roman"/>
          <w:sz w:val="24"/>
          <w:szCs w:val="24"/>
          <w:lang w:val="bg-BG"/>
        </w:rPr>
        <w:t>ите</w:t>
      </w:r>
      <w:r w:rsidR="0082227D" w:rsidRPr="00610B1B">
        <w:rPr>
          <w:rFonts w:ascii="Times New Roman" w:hAnsi="Times New Roman" w:cs="Times New Roman"/>
          <w:sz w:val="24"/>
          <w:szCs w:val="24"/>
          <w:lang w:val="bg-BG"/>
        </w:rPr>
        <w:t xml:space="preserve"> Варна 1</w:t>
      </w:r>
      <w:r w:rsidR="00A5699E"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355 д. (3,9‰), Несебър 408 д. (17,7‰) и Бургас 363 д. (1,</w:t>
      </w:r>
      <w:r w:rsidR="0082227D" w:rsidRPr="00610B1B">
        <w:rPr>
          <w:rFonts w:ascii="Times New Roman" w:hAnsi="Times New Roman" w:cs="Times New Roman"/>
          <w:sz w:val="24"/>
          <w:szCs w:val="24"/>
          <w:lang w:val="bg-BG"/>
        </w:rPr>
        <w:t>7‰). С най-голямо намаление на населението в резултат на отрицателния механичен прираст са общините Балчик 125 д. (-6.4‰), Долни чифлик 113 д. (-6.1‰) и Царево 99 д. (- 10.9‰).</w:t>
      </w:r>
    </w:p>
    <w:p w14:paraId="2608025B" w14:textId="1AEFCF97" w:rsidR="00111024"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Освен постоянното население в населените места</w:t>
      </w:r>
      <w:r w:rsidR="00414E3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в общините пребивава и временно население</w:t>
      </w:r>
      <w:r w:rsidR="003915FD"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съсредоточено основно в</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брегова</w:t>
      </w:r>
      <w:r w:rsidR="00345C8A" w:rsidRPr="00610B1B">
        <w:rPr>
          <w:rFonts w:ascii="Times New Roman" w:hAnsi="Times New Roman" w:cs="Times New Roman"/>
          <w:sz w:val="24"/>
          <w:szCs w:val="24"/>
          <w:lang w:val="bg-BG"/>
        </w:rPr>
        <w:t>та</w:t>
      </w:r>
      <w:r w:rsidRPr="00610B1B">
        <w:rPr>
          <w:rFonts w:ascii="Times New Roman" w:hAnsi="Times New Roman" w:cs="Times New Roman"/>
          <w:sz w:val="24"/>
          <w:szCs w:val="24"/>
          <w:lang w:val="bg-BG"/>
        </w:rPr>
        <w:t xml:space="preserve"> ивица, климатични национални и местни морски курорти</w:t>
      </w:r>
      <w:r w:rsidRPr="00610B1B">
        <w:rPr>
          <w:rStyle w:val="FootnoteReference"/>
          <w:rFonts w:ascii="Times New Roman" w:hAnsi="Times New Roman" w:cs="Times New Roman"/>
          <w:sz w:val="24"/>
          <w:szCs w:val="24"/>
          <w:lang w:val="bg-BG"/>
        </w:rPr>
        <w:footnoteReference w:id="104"/>
      </w:r>
      <w:r w:rsidR="0042644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вилните зони и </w:t>
      </w:r>
      <w:r w:rsidR="009C0007" w:rsidRPr="00610B1B">
        <w:rPr>
          <w:rFonts w:ascii="Times New Roman" w:hAnsi="Times New Roman" w:cs="Times New Roman"/>
          <w:sz w:val="24"/>
          <w:szCs w:val="24"/>
          <w:lang w:val="bg-BG"/>
        </w:rPr>
        <w:t xml:space="preserve">ваканционни </w:t>
      </w:r>
      <w:r w:rsidRPr="00610B1B">
        <w:rPr>
          <w:rFonts w:ascii="Times New Roman" w:hAnsi="Times New Roman" w:cs="Times New Roman"/>
          <w:sz w:val="24"/>
          <w:szCs w:val="24"/>
          <w:lang w:val="bg-BG"/>
        </w:rPr>
        <w:t>селища</w:t>
      </w:r>
      <w:r w:rsidR="009C0007" w:rsidRPr="00610B1B">
        <w:rPr>
          <w:rFonts w:ascii="Times New Roman" w:hAnsi="Times New Roman" w:cs="Times New Roman"/>
          <w:sz w:val="24"/>
          <w:szCs w:val="24"/>
          <w:lang w:val="bg-BG"/>
        </w:rPr>
        <w:t>. Т</w:t>
      </w:r>
      <w:r w:rsidRPr="00610B1B">
        <w:rPr>
          <w:rFonts w:ascii="Times New Roman" w:hAnsi="Times New Roman" w:cs="Times New Roman"/>
          <w:sz w:val="24"/>
          <w:szCs w:val="24"/>
          <w:lang w:val="bg-BG"/>
        </w:rPr>
        <w:t>ова са почиващите туристи и хора</w:t>
      </w:r>
      <w:r w:rsidR="003915FD"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свързани с туризма (администратори, </w:t>
      </w:r>
      <w:r w:rsidR="00E04172" w:rsidRPr="00610B1B">
        <w:rPr>
          <w:rFonts w:ascii="Times New Roman" w:hAnsi="Times New Roman" w:cs="Times New Roman"/>
          <w:sz w:val="24"/>
          <w:szCs w:val="24"/>
          <w:lang w:val="bg-BG"/>
        </w:rPr>
        <w:t>сервитьори</w:t>
      </w:r>
      <w:r w:rsidRPr="00610B1B">
        <w:rPr>
          <w:rFonts w:ascii="Times New Roman" w:hAnsi="Times New Roman" w:cs="Times New Roman"/>
          <w:sz w:val="24"/>
          <w:szCs w:val="24"/>
          <w:lang w:val="bg-BG"/>
        </w:rPr>
        <w:t>, готвачи, хигиенисти, охрана, обслужващ персонал по плажовете), обслужването и търговията (персонал в заведенията за хранене и развлечения и улични продавачи) през летния сезон</w:t>
      </w:r>
      <w:r w:rsidR="00414E3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 в строителството през зимния сезон. </w:t>
      </w:r>
      <w:r w:rsidR="003915FD" w:rsidRPr="00610B1B">
        <w:rPr>
          <w:rFonts w:ascii="Times New Roman" w:hAnsi="Times New Roman" w:cs="Times New Roman"/>
          <w:sz w:val="24"/>
          <w:szCs w:val="24"/>
          <w:lang w:val="bg-BG"/>
        </w:rPr>
        <w:t>П</w:t>
      </w:r>
      <w:r w:rsidRPr="00610B1B">
        <w:rPr>
          <w:rFonts w:ascii="Times New Roman" w:hAnsi="Times New Roman" w:cs="Times New Roman"/>
          <w:sz w:val="24"/>
          <w:szCs w:val="24"/>
          <w:lang w:val="bg-BG"/>
        </w:rPr>
        <w:t xml:space="preserve">рез върховия туристически сезон в населените места на общините пребивават много повече хора от постоянното население. </w:t>
      </w:r>
      <w:r w:rsidR="009C0007" w:rsidRPr="00610B1B">
        <w:rPr>
          <w:rFonts w:ascii="Times New Roman" w:hAnsi="Times New Roman" w:cs="Times New Roman"/>
          <w:sz w:val="24"/>
          <w:szCs w:val="24"/>
          <w:lang w:val="bg-BG"/>
        </w:rPr>
        <w:t xml:space="preserve">Това изисква по-точно изчисление на натоварването на плажовете съгласно ЗУЧК и нормите по </w:t>
      </w:r>
      <w:r w:rsidRPr="00610B1B">
        <w:rPr>
          <w:rFonts w:ascii="Times New Roman" w:hAnsi="Times New Roman" w:cs="Times New Roman"/>
          <w:sz w:val="24"/>
          <w:szCs w:val="24"/>
          <w:lang w:val="bg-BG"/>
        </w:rPr>
        <w:t>чл.</w:t>
      </w:r>
      <w:r w:rsidR="003915FD"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27 ал.</w:t>
      </w:r>
      <w:r w:rsidR="003915FD"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2 т.1 от Наредба №</w:t>
      </w:r>
      <w:r w:rsidR="003915FD"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7 за </w:t>
      </w:r>
      <w:r w:rsidR="003915FD" w:rsidRPr="00610B1B">
        <w:rPr>
          <w:rFonts w:ascii="Times New Roman" w:hAnsi="Times New Roman" w:cs="Times New Roman"/>
          <w:sz w:val="24"/>
          <w:szCs w:val="24"/>
          <w:lang w:val="bg-BG"/>
        </w:rPr>
        <w:t>правила и нормативи за устройство на отделните видове територии и устройствени зони</w:t>
      </w:r>
      <w:r w:rsidRPr="00610B1B">
        <w:rPr>
          <w:rFonts w:ascii="Times New Roman" w:hAnsi="Times New Roman" w:cs="Times New Roman"/>
          <w:sz w:val="24"/>
          <w:szCs w:val="24"/>
          <w:lang w:val="bg-BG"/>
        </w:rPr>
        <w:t xml:space="preserve">. </w:t>
      </w:r>
    </w:p>
    <w:p w14:paraId="24BE0518" w14:textId="247E8D86" w:rsidR="0082227D" w:rsidRPr="00610B1B" w:rsidRDefault="00A221E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Може да се прогнозира, че и </w:t>
      </w:r>
      <w:r w:rsidR="0082227D" w:rsidRPr="00610B1B">
        <w:rPr>
          <w:rFonts w:ascii="Times New Roman" w:hAnsi="Times New Roman" w:cs="Times New Roman"/>
          <w:sz w:val="24"/>
          <w:szCs w:val="24"/>
          <w:lang w:val="bg-BG"/>
        </w:rPr>
        <w:t>в периода до 2050 г. Черноморските общини ще бъдат сред общините със силно пулсиращ брой на пребиваващите, свързан със сезонността и мащабите на морския туризъм. Това оказва значително влияние върху потребностите за развитие на социалната и техническата инфраструктура</w:t>
      </w:r>
      <w:r w:rsidRPr="00610B1B">
        <w:rPr>
          <w:rFonts w:ascii="Times New Roman" w:hAnsi="Times New Roman" w:cs="Times New Roman"/>
          <w:sz w:val="24"/>
          <w:szCs w:val="24"/>
          <w:lang w:val="bg-BG"/>
        </w:rPr>
        <w:t>.</w:t>
      </w:r>
    </w:p>
    <w:p w14:paraId="72492961" w14:textId="5139E1EC" w:rsidR="005F7963" w:rsidRPr="00610B1B" w:rsidRDefault="009C0007" w:rsidP="00D32D6A">
      <w:pPr>
        <w:pStyle w:val="BodyText"/>
        <w:spacing w:before="0" w:after="120" w:line="276" w:lineRule="auto"/>
        <w:ind w:right="-153"/>
        <w:rPr>
          <w:rFonts w:cs="Times New Roman"/>
          <w:color w:val="000000"/>
        </w:rPr>
      </w:pPr>
      <w:r w:rsidRPr="00610B1B">
        <w:rPr>
          <w:rFonts w:cs="Times New Roman"/>
        </w:rPr>
        <w:t xml:space="preserve">Краткият </w:t>
      </w:r>
      <w:r w:rsidR="00A221E9" w:rsidRPr="00610B1B">
        <w:rPr>
          <w:rFonts w:cs="Times New Roman"/>
        </w:rPr>
        <w:t xml:space="preserve">анализ </w:t>
      </w:r>
      <w:r w:rsidRPr="00610B1B">
        <w:rPr>
          <w:rFonts w:cs="Times New Roman"/>
        </w:rPr>
        <w:t xml:space="preserve">на демографската ситуация за периода 2011–2018 г. в общините на Черноморското крайбрежие показва някои </w:t>
      </w:r>
      <w:r w:rsidR="00A221E9" w:rsidRPr="00610B1B">
        <w:rPr>
          <w:rFonts w:cs="Times New Roman"/>
        </w:rPr>
        <w:t xml:space="preserve">по-важни </w:t>
      </w:r>
      <w:r w:rsidR="00A221E9" w:rsidRPr="00610B1B">
        <w:rPr>
          <w:rFonts w:cs="Times New Roman"/>
          <w:b/>
          <w:bCs/>
        </w:rPr>
        <w:t>изводи</w:t>
      </w:r>
      <w:r w:rsidR="00A221E9" w:rsidRPr="00610B1B">
        <w:rPr>
          <w:rFonts w:cs="Times New Roman"/>
        </w:rPr>
        <w:t xml:space="preserve"> </w:t>
      </w:r>
      <w:r w:rsidRPr="00610B1B">
        <w:rPr>
          <w:rFonts w:cs="Times New Roman"/>
        </w:rPr>
        <w:t xml:space="preserve">относно </w:t>
      </w:r>
      <w:r w:rsidR="0082227D" w:rsidRPr="00610B1B">
        <w:rPr>
          <w:rFonts w:cs="Times New Roman"/>
        </w:rPr>
        <w:t>минимално</w:t>
      </w:r>
      <w:r w:rsidRPr="00610B1B">
        <w:rPr>
          <w:rFonts w:cs="Times New Roman"/>
        </w:rPr>
        <w:t>то</w:t>
      </w:r>
      <w:r w:rsidR="0082227D" w:rsidRPr="00610B1B">
        <w:rPr>
          <w:rFonts w:cs="Times New Roman"/>
        </w:rPr>
        <w:t xml:space="preserve"> увеличение на населението </w:t>
      </w:r>
      <w:r w:rsidRPr="00610B1B">
        <w:rPr>
          <w:rFonts w:cs="Times New Roman"/>
        </w:rPr>
        <w:t>с 0,</w:t>
      </w:r>
      <w:r w:rsidR="0082227D" w:rsidRPr="00610B1B">
        <w:rPr>
          <w:rFonts w:cs="Times New Roman"/>
        </w:rPr>
        <w:t>04%</w:t>
      </w:r>
      <w:r w:rsidRPr="00610B1B">
        <w:rPr>
          <w:rFonts w:cs="Times New Roman"/>
        </w:rPr>
        <w:t xml:space="preserve"> при намаляване на </w:t>
      </w:r>
      <w:r w:rsidR="0082227D" w:rsidRPr="00610B1B">
        <w:rPr>
          <w:rFonts w:cs="Times New Roman"/>
        </w:rPr>
        <w:t>населението на страната</w:t>
      </w:r>
      <w:r w:rsidRPr="00610B1B">
        <w:rPr>
          <w:rFonts w:cs="Times New Roman"/>
        </w:rPr>
        <w:t xml:space="preserve"> с 4,</w:t>
      </w:r>
      <w:r w:rsidR="0082227D" w:rsidRPr="00610B1B">
        <w:rPr>
          <w:rFonts w:cs="Times New Roman"/>
        </w:rPr>
        <w:t>5 %</w:t>
      </w:r>
      <w:r w:rsidR="00414E37" w:rsidRPr="00610B1B">
        <w:rPr>
          <w:rFonts w:cs="Times New Roman"/>
        </w:rPr>
        <w:t xml:space="preserve">. </w:t>
      </w:r>
      <w:r w:rsidR="0082227D" w:rsidRPr="00610B1B">
        <w:rPr>
          <w:rFonts w:cs="Times New Roman"/>
        </w:rPr>
        <w:t>По</w:t>
      </w:r>
      <w:r w:rsidR="00414E37" w:rsidRPr="00610B1B">
        <w:rPr>
          <w:rFonts w:cs="Times New Roman"/>
        </w:rPr>
        <w:t>-</w:t>
      </w:r>
      <w:r w:rsidR="0082227D" w:rsidRPr="00610B1B">
        <w:rPr>
          <w:rFonts w:cs="Times New Roman"/>
        </w:rPr>
        <w:t xml:space="preserve">значително е увеличението на населението в общините Несебър </w:t>
      </w:r>
      <w:r w:rsidRPr="00610B1B">
        <w:rPr>
          <w:rFonts w:cs="Times New Roman"/>
        </w:rPr>
        <w:t>и</w:t>
      </w:r>
      <w:r w:rsidR="0082227D" w:rsidRPr="00610B1B">
        <w:rPr>
          <w:rFonts w:cs="Times New Roman"/>
        </w:rPr>
        <w:t xml:space="preserve"> Варна, </w:t>
      </w:r>
      <w:r w:rsidRPr="00610B1B">
        <w:rPr>
          <w:rFonts w:cs="Times New Roman"/>
        </w:rPr>
        <w:t>на</w:t>
      </w:r>
      <w:r w:rsidR="0082227D" w:rsidRPr="00610B1B">
        <w:rPr>
          <w:rFonts w:cs="Times New Roman"/>
        </w:rPr>
        <w:t xml:space="preserve"> градовете Бургас, Несебър</w:t>
      </w:r>
      <w:r w:rsidRPr="00610B1B">
        <w:rPr>
          <w:rFonts w:cs="Times New Roman"/>
        </w:rPr>
        <w:t xml:space="preserve"> и</w:t>
      </w:r>
      <w:r w:rsidR="0082227D" w:rsidRPr="00610B1B">
        <w:rPr>
          <w:rFonts w:cs="Times New Roman"/>
        </w:rPr>
        <w:t xml:space="preserve"> Варна</w:t>
      </w:r>
      <w:r w:rsidRPr="00610B1B">
        <w:rPr>
          <w:rFonts w:cs="Times New Roman"/>
        </w:rPr>
        <w:t>. Териториалното разпределение на населението показва</w:t>
      </w:r>
      <w:r w:rsidR="002A3D39" w:rsidRPr="00610B1B">
        <w:rPr>
          <w:rFonts w:cs="Times New Roman"/>
        </w:rPr>
        <w:t xml:space="preserve"> сериозен дисбаланс. В</w:t>
      </w:r>
      <w:r w:rsidR="00345C8A" w:rsidRPr="00610B1B">
        <w:rPr>
          <w:rFonts w:cs="Times New Roman"/>
          <w:bCs/>
        </w:rPr>
        <w:t xml:space="preserve"> селищата </w:t>
      </w:r>
      <w:r w:rsidRPr="00610B1B">
        <w:rPr>
          <w:rFonts w:cs="Times New Roman"/>
          <w:bCs/>
        </w:rPr>
        <w:t>със</w:t>
      </w:r>
      <w:r w:rsidR="00345C8A" w:rsidRPr="00610B1B">
        <w:rPr>
          <w:rFonts w:cs="Times New Roman"/>
          <w:bCs/>
        </w:rPr>
        <w:t xml:space="preserve"> землища на </w:t>
      </w:r>
      <w:r w:rsidR="0082227D" w:rsidRPr="00610B1B">
        <w:rPr>
          <w:rFonts w:cs="Times New Roman"/>
          <w:bCs/>
        </w:rPr>
        <w:t>брегов</w:t>
      </w:r>
      <w:r w:rsidR="005F7963" w:rsidRPr="00610B1B">
        <w:rPr>
          <w:rFonts w:cs="Times New Roman"/>
          <w:bCs/>
        </w:rPr>
        <w:t>а</w:t>
      </w:r>
      <w:r w:rsidR="00345C8A" w:rsidRPr="00610B1B">
        <w:rPr>
          <w:rFonts w:cs="Times New Roman"/>
          <w:bCs/>
        </w:rPr>
        <w:t>та линия</w:t>
      </w:r>
      <w:r w:rsidRPr="00610B1B">
        <w:rPr>
          <w:rFonts w:cs="Times New Roman"/>
          <w:bCs/>
        </w:rPr>
        <w:t xml:space="preserve"> е </w:t>
      </w:r>
      <w:r w:rsidR="002A3D39" w:rsidRPr="00610B1B">
        <w:rPr>
          <w:rFonts w:cs="Times New Roman"/>
          <w:bCs/>
        </w:rPr>
        <w:t>концентрирано</w:t>
      </w:r>
      <w:r w:rsidRPr="00610B1B">
        <w:rPr>
          <w:rFonts w:cs="Times New Roman"/>
          <w:bCs/>
        </w:rPr>
        <w:t xml:space="preserve"> 85,</w:t>
      </w:r>
      <w:r w:rsidR="0082227D" w:rsidRPr="00610B1B">
        <w:rPr>
          <w:rFonts w:cs="Times New Roman"/>
          <w:bCs/>
        </w:rPr>
        <w:t>7% от населението на общините</w:t>
      </w:r>
      <w:r w:rsidRPr="00610B1B">
        <w:rPr>
          <w:rFonts w:cs="Times New Roman"/>
          <w:bCs/>
        </w:rPr>
        <w:t xml:space="preserve">, само в </w:t>
      </w:r>
      <w:r w:rsidR="0082227D" w:rsidRPr="00610B1B">
        <w:rPr>
          <w:rFonts w:cs="Times New Roman"/>
        </w:rPr>
        <w:t xml:space="preserve">градовете </w:t>
      </w:r>
      <w:r w:rsidRPr="00610B1B">
        <w:rPr>
          <w:rFonts w:cs="Times New Roman"/>
        </w:rPr>
        <w:t xml:space="preserve">Бургас и Варна </w:t>
      </w:r>
      <w:r w:rsidR="002A3D39" w:rsidRPr="00610B1B">
        <w:rPr>
          <w:rFonts w:cs="Times New Roman"/>
        </w:rPr>
        <w:t>живее</w:t>
      </w:r>
      <w:r w:rsidRPr="00610B1B">
        <w:rPr>
          <w:rFonts w:cs="Times New Roman"/>
        </w:rPr>
        <w:t xml:space="preserve"> 74,</w:t>
      </w:r>
      <w:r w:rsidR="0082227D" w:rsidRPr="00610B1B">
        <w:rPr>
          <w:rFonts w:cs="Times New Roman"/>
        </w:rPr>
        <w:t>2% от населението</w:t>
      </w:r>
      <w:r w:rsidR="00414E37" w:rsidRPr="00610B1B">
        <w:rPr>
          <w:rFonts w:cs="Times New Roman"/>
        </w:rPr>
        <w:t xml:space="preserve">. </w:t>
      </w:r>
      <w:r w:rsidR="0082227D" w:rsidRPr="00610B1B">
        <w:rPr>
          <w:rFonts w:cs="Times New Roman"/>
          <w:color w:val="000000"/>
        </w:rPr>
        <w:t>Делът на градското население устойчиво се увеличава</w:t>
      </w:r>
      <w:r w:rsidR="002A3D39" w:rsidRPr="00610B1B">
        <w:rPr>
          <w:rFonts w:cs="Times New Roman"/>
          <w:color w:val="000000"/>
        </w:rPr>
        <w:t xml:space="preserve">. </w:t>
      </w:r>
    </w:p>
    <w:p w14:paraId="2BC9781F" w14:textId="2BA103EB" w:rsidR="005F7963" w:rsidRPr="00610B1B" w:rsidRDefault="002A3D39" w:rsidP="00D32D6A">
      <w:pPr>
        <w:pStyle w:val="BodyText"/>
        <w:spacing w:before="0" w:after="120" w:line="276" w:lineRule="auto"/>
        <w:ind w:right="-153"/>
        <w:rPr>
          <w:rFonts w:cs="Times New Roman"/>
        </w:rPr>
      </w:pPr>
      <w:r w:rsidRPr="00610B1B">
        <w:rPr>
          <w:rFonts w:cs="Times New Roman"/>
          <w:color w:val="000000"/>
        </w:rPr>
        <w:lastRenderedPageBreak/>
        <w:t xml:space="preserve">Всички показатели от демографската статистика за Черноморските общини и населени места показват по-добри стойности от средните за страната. Намалението на населението, измерено чрез коефициента на естествения прираст през 2018 г. </w:t>
      </w:r>
      <w:r w:rsidR="0082227D" w:rsidRPr="00610B1B">
        <w:rPr>
          <w:rFonts w:cs="Times New Roman"/>
          <w:bCs/>
        </w:rPr>
        <w:t>е минус 3</w:t>
      </w:r>
      <w:r w:rsidRPr="00610B1B">
        <w:rPr>
          <w:rFonts w:cs="Times New Roman"/>
          <w:bCs/>
        </w:rPr>
        <w:t>,</w:t>
      </w:r>
      <w:r w:rsidR="0082227D" w:rsidRPr="00610B1B">
        <w:rPr>
          <w:rFonts w:cs="Times New Roman"/>
          <w:bCs/>
        </w:rPr>
        <w:t xml:space="preserve">5‰, в </w:t>
      </w:r>
      <w:r w:rsidRPr="00610B1B">
        <w:rPr>
          <w:rFonts w:cs="Times New Roman"/>
          <w:bCs/>
        </w:rPr>
        <w:t xml:space="preserve">сравнение с </w:t>
      </w:r>
      <w:r w:rsidR="0082227D" w:rsidRPr="00610B1B">
        <w:rPr>
          <w:rFonts w:cs="Times New Roman"/>
        </w:rPr>
        <w:t>минус 6.6‰</w:t>
      </w:r>
      <w:r w:rsidRPr="00610B1B">
        <w:rPr>
          <w:rFonts w:cs="Times New Roman"/>
        </w:rPr>
        <w:t xml:space="preserve"> за страната</w:t>
      </w:r>
      <w:r w:rsidR="00414E37" w:rsidRPr="00610B1B">
        <w:rPr>
          <w:rFonts w:cs="Times New Roman"/>
        </w:rPr>
        <w:t xml:space="preserve">. </w:t>
      </w:r>
      <w:r w:rsidR="0082227D" w:rsidRPr="00610B1B">
        <w:rPr>
          <w:rFonts w:cs="Times New Roman"/>
        </w:rPr>
        <w:t>Механичния</w:t>
      </w:r>
      <w:r w:rsidR="005F7963" w:rsidRPr="00610B1B">
        <w:rPr>
          <w:rFonts w:cs="Times New Roman"/>
        </w:rPr>
        <w:t>т</w:t>
      </w:r>
      <w:r w:rsidR="0082227D" w:rsidRPr="00610B1B">
        <w:rPr>
          <w:rFonts w:cs="Times New Roman"/>
        </w:rPr>
        <w:t xml:space="preserve"> прираст в общините през 2018 г. е положителен 2.</w:t>
      </w:r>
      <w:r w:rsidRPr="00610B1B">
        <w:rPr>
          <w:rFonts w:cs="Times New Roman"/>
        </w:rPr>
        <w:t>5‰, а за страната е минус 0.5‰. Населението на повечето населени места в близост до морския бряг п</w:t>
      </w:r>
      <w:r w:rsidR="0082227D" w:rsidRPr="00610B1B">
        <w:rPr>
          <w:rFonts w:cs="Times New Roman"/>
        </w:rPr>
        <w:t>рез летните месеци</w:t>
      </w:r>
      <w:r w:rsidR="00D66FE0" w:rsidRPr="00610B1B">
        <w:rPr>
          <w:rFonts w:cs="Times New Roman"/>
        </w:rPr>
        <w:t xml:space="preserve"> </w:t>
      </w:r>
      <w:r w:rsidR="0082227D" w:rsidRPr="00610B1B">
        <w:rPr>
          <w:rFonts w:cs="Times New Roman"/>
        </w:rPr>
        <w:t xml:space="preserve">нараства </w:t>
      </w:r>
      <w:r w:rsidRPr="00610B1B">
        <w:rPr>
          <w:rFonts w:cs="Times New Roman"/>
        </w:rPr>
        <w:t xml:space="preserve">многократно </w:t>
      </w:r>
      <w:r w:rsidR="0082227D" w:rsidRPr="00610B1B">
        <w:rPr>
          <w:rFonts w:cs="Times New Roman"/>
        </w:rPr>
        <w:t>поради мащабите на морския туриз</w:t>
      </w:r>
      <w:r w:rsidR="000F6CBC" w:rsidRPr="00610B1B">
        <w:rPr>
          <w:rFonts w:cs="Times New Roman"/>
        </w:rPr>
        <w:t>ъ</w:t>
      </w:r>
      <w:r w:rsidRPr="00610B1B">
        <w:rPr>
          <w:rFonts w:cs="Times New Roman"/>
        </w:rPr>
        <w:t>м.</w:t>
      </w:r>
    </w:p>
    <w:p w14:paraId="72759630" w14:textId="09884A8E" w:rsidR="0082227D" w:rsidRPr="00610B1B" w:rsidRDefault="0082227D" w:rsidP="00D32D6A">
      <w:pPr>
        <w:pStyle w:val="BodyText"/>
        <w:autoSpaceDE w:val="0"/>
        <w:autoSpaceDN w:val="0"/>
        <w:adjustRightInd w:val="0"/>
        <w:spacing w:before="0" w:after="120" w:line="276" w:lineRule="auto"/>
        <w:ind w:right="-153"/>
        <w:rPr>
          <w:rFonts w:cs="Times New Roman"/>
        </w:rPr>
      </w:pPr>
      <w:r w:rsidRPr="00610B1B">
        <w:rPr>
          <w:rFonts w:cs="Times New Roman"/>
        </w:rPr>
        <w:t>Т</w:t>
      </w:r>
      <w:r w:rsidR="005F7963" w:rsidRPr="00610B1B">
        <w:rPr>
          <w:rFonts w:cs="Times New Roman"/>
        </w:rPr>
        <w:t>е</w:t>
      </w:r>
      <w:r w:rsidRPr="00610B1B">
        <w:rPr>
          <w:rFonts w:cs="Times New Roman"/>
        </w:rPr>
        <w:t>зи тенденци</w:t>
      </w:r>
      <w:r w:rsidR="005F7963" w:rsidRPr="00610B1B">
        <w:rPr>
          <w:rFonts w:cs="Times New Roman"/>
        </w:rPr>
        <w:t>и</w:t>
      </w:r>
      <w:r w:rsidRPr="00610B1B">
        <w:rPr>
          <w:rFonts w:cs="Times New Roman"/>
        </w:rPr>
        <w:t xml:space="preserve"> ще се запаз</w:t>
      </w:r>
      <w:r w:rsidR="005F7963" w:rsidRPr="00610B1B">
        <w:rPr>
          <w:rFonts w:cs="Times New Roman"/>
        </w:rPr>
        <w:t>ят</w:t>
      </w:r>
      <w:r w:rsidRPr="00610B1B">
        <w:rPr>
          <w:rFonts w:cs="Times New Roman"/>
        </w:rPr>
        <w:t xml:space="preserve"> и за в бъдеще, т.е. Черноморските общини ще бъдат </w:t>
      </w:r>
      <w:r w:rsidR="00414E37" w:rsidRPr="00610B1B">
        <w:rPr>
          <w:rFonts w:cs="Times New Roman"/>
        </w:rPr>
        <w:t xml:space="preserve">с по-добри демографски показатели от средните за страната и </w:t>
      </w:r>
      <w:r w:rsidRPr="00610B1B">
        <w:rPr>
          <w:rFonts w:cs="Times New Roman"/>
        </w:rPr>
        <w:t>със силно пулсиращ брой на населението</w:t>
      </w:r>
      <w:r w:rsidR="00414E37" w:rsidRPr="00610B1B">
        <w:rPr>
          <w:rFonts w:cs="Times New Roman"/>
        </w:rPr>
        <w:t xml:space="preserve"> в различните сезони</w:t>
      </w:r>
      <w:r w:rsidRPr="00610B1B">
        <w:rPr>
          <w:rFonts w:cs="Times New Roman"/>
        </w:rPr>
        <w:t xml:space="preserve">. </w:t>
      </w:r>
    </w:p>
    <w:p w14:paraId="06651443" w14:textId="77777777" w:rsidR="0082227D" w:rsidRPr="00610B1B" w:rsidRDefault="0082227D" w:rsidP="00D32D6A">
      <w:pPr>
        <w:pStyle w:val="Heading4"/>
        <w:spacing w:before="0" w:line="276" w:lineRule="auto"/>
        <w:ind w:right="-153"/>
        <w:rPr>
          <w:rFonts w:cs="Times New Roman"/>
        </w:rPr>
      </w:pPr>
      <w:r w:rsidRPr="00610B1B">
        <w:rPr>
          <w:rFonts w:cs="Times New Roman"/>
        </w:rPr>
        <w:t>2.</w:t>
      </w:r>
      <w:r w:rsidR="007F3E96" w:rsidRPr="00610B1B">
        <w:rPr>
          <w:rFonts w:cs="Times New Roman"/>
        </w:rPr>
        <w:t>3</w:t>
      </w:r>
      <w:r w:rsidR="005F7963" w:rsidRPr="00610B1B">
        <w:rPr>
          <w:rFonts w:cs="Times New Roman"/>
        </w:rPr>
        <w:t>.</w:t>
      </w:r>
      <w:r w:rsidR="007F3E96" w:rsidRPr="00610B1B">
        <w:rPr>
          <w:rFonts w:cs="Times New Roman"/>
        </w:rPr>
        <w:t>1</w:t>
      </w:r>
      <w:r w:rsidR="005F7963" w:rsidRPr="00610B1B">
        <w:rPr>
          <w:rFonts w:cs="Times New Roman"/>
        </w:rPr>
        <w:t xml:space="preserve">.4. </w:t>
      </w:r>
      <w:r w:rsidRPr="00610B1B">
        <w:rPr>
          <w:rFonts w:cs="Times New Roman"/>
        </w:rPr>
        <w:t>Заетост и безработица</w:t>
      </w:r>
    </w:p>
    <w:p w14:paraId="3AB14348" w14:textId="463AE994"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Заетите лица в Черноморските общини през 2017 г. са 251</w:t>
      </w:r>
      <w:r w:rsidR="0004160B"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171, а през 2014 г. са 244 908, или увеличение</w:t>
      </w:r>
      <w:r w:rsidR="005F7963"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на заетите </w:t>
      </w:r>
      <w:r w:rsidR="005F7963" w:rsidRPr="00610B1B">
        <w:rPr>
          <w:rFonts w:ascii="Times New Roman" w:hAnsi="Times New Roman" w:cs="Times New Roman"/>
          <w:sz w:val="24"/>
          <w:szCs w:val="24"/>
          <w:lang w:val="bg-BG"/>
        </w:rPr>
        <w:t xml:space="preserve">е </w:t>
      </w:r>
      <w:r w:rsidR="002A3D39" w:rsidRPr="00610B1B">
        <w:rPr>
          <w:rFonts w:ascii="Times New Roman" w:hAnsi="Times New Roman" w:cs="Times New Roman"/>
          <w:sz w:val="24"/>
          <w:szCs w:val="24"/>
          <w:lang w:val="bg-BG"/>
        </w:rPr>
        <w:t>с 2,</w:t>
      </w:r>
      <w:r w:rsidRPr="00610B1B">
        <w:rPr>
          <w:rFonts w:ascii="Times New Roman" w:hAnsi="Times New Roman" w:cs="Times New Roman"/>
          <w:sz w:val="24"/>
          <w:szCs w:val="24"/>
          <w:lang w:val="bg-BG"/>
        </w:rPr>
        <w:t>6 процентни пункта (6 263</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 В 10 общини през 2017</w:t>
      </w:r>
      <w:r w:rsidR="0004160B"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г. има увеличение на заетостта спрямо 2014</w:t>
      </w:r>
      <w:r w:rsidR="005F7963" w:rsidRPr="00610B1B">
        <w:rPr>
          <w:rFonts w:ascii="Times New Roman" w:hAnsi="Times New Roman" w:cs="Times New Roman"/>
          <w:sz w:val="24"/>
          <w:szCs w:val="24"/>
          <w:lang w:val="bg-BG"/>
        </w:rPr>
        <w:t xml:space="preserve"> г.</w:t>
      </w:r>
      <w:r w:rsidRPr="00610B1B">
        <w:rPr>
          <w:rFonts w:ascii="Times New Roman" w:hAnsi="Times New Roman" w:cs="Times New Roman"/>
          <w:sz w:val="24"/>
          <w:szCs w:val="24"/>
          <w:lang w:val="bg-BG"/>
        </w:rPr>
        <w:t xml:space="preserve"> Най-значително е увеличението в общините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Варна (4 553 д.) 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Несебър (873 д.), известно изоставане има в община Бургас, където за</w:t>
      </w:r>
      <w:r w:rsidR="002A3D39" w:rsidRPr="00610B1B">
        <w:rPr>
          <w:rFonts w:ascii="Times New Roman" w:hAnsi="Times New Roman" w:cs="Times New Roman"/>
          <w:sz w:val="24"/>
          <w:szCs w:val="24"/>
          <w:lang w:val="bg-BG"/>
        </w:rPr>
        <w:t>етите намаляват с 1 089 д. (- 1,</w:t>
      </w:r>
      <w:r w:rsidRPr="00610B1B">
        <w:rPr>
          <w:rFonts w:ascii="Times New Roman" w:hAnsi="Times New Roman" w:cs="Times New Roman"/>
          <w:sz w:val="24"/>
          <w:szCs w:val="24"/>
          <w:lang w:val="bg-BG"/>
        </w:rPr>
        <w:t>5% ).</w:t>
      </w:r>
    </w:p>
    <w:p w14:paraId="4D141EF9" w14:textId="1E9DF5DB"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Разпределението на заетите по сектори на икономиката в </w:t>
      </w:r>
      <w:r w:rsidR="009B33B6" w:rsidRPr="00610B1B">
        <w:rPr>
          <w:rFonts w:ascii="Times New Roman" w:hAnsi="Times New Roman" w:cs="Times New Roman"/>
          <w:sz w:val="24"/>
          <w:szCs w:val="24"/>
          <w:lang w:val="bg-BG"/>
        </w:rPr>
        <w:t xml:space="preserve">Черноморските общини </w:t>
      </w:r>
      <w:r w:rsidRPr="00610B1B">
        <w:rPr>
          <w:rFonts w:ascii="Times New Roman" w:hAnsi="Times New Roman" w:cs="Times New Roman"/>
          <w:sz w:val="24"/>
          <w:szCs w:val="24"/>
          <w:lang w:val="bg-BG"/>
        </w:rPr>
        <w:t>през 2017 г. е следното:</w:t>
      </w:r>
      <w:r w:rsidR="009B33B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първичен (</w:t>
      </w:r>
      <w:r w:rsidR="002A3D39" w:rsidRPr="00610B1B">
        <w:rPr>
          <w:rFonts w:ascii="Times New Roman" w:hAnsi="Times New Roman" w:cs="Times New Roman"/>
          <w:sz w:val="24"/>
          <w:szCs w:val="24"/>
          <w:lang w:val="bg-BG"/>
        </w:rPr>
        <w:t>селско, горско и рибно стопанство</w:t>
      </w:r>
      <w:r w:rsidRPr="00610B1B">
        <w:rPr>
          <w:rFonts w:ascii="Times New Roman" w:hAnsi="Times New Roman" w:cs="Times New Roman"/>
          <w:sz w:val="24"/>
          <w:szCs w:val="24"/>
          <w:lang w:val="bg-BG"/>
        </w:rPr>
        <w:t>)</w:t>
      </w:r>
      <w:r w:rsidR="009B33B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6 007 д.</w:t>
      </w:r>
      <w:r w:rsidR="00673934"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(2.4%); вторичен (индустрия) – 64 760 д. (25.8%); </w:t>
      </w:r>
      <w:r w:rsidR="009B33B6" w:rsidRPr="00610B1B">
        <w:rPr>
          <w:rFonts w:ascii="Times New Roman" w:hAnsi="Times New Roman" w:cs="Times New Roman"/>
          <w:sz w:val="24"/>
          <w:szCs w:val="24"/>
          <w:lang w:val="bg-BG"/>
        </w:rPr>
        <w:t xml:space="preserve">и </w:t>
      </w:r>
      <w:r w:rsidRPr="00610B1B">
        <w:rPr>
          <w:rFonts w:ascii="Times New Roman" w:hAnsi="Times New Roman" w:cs="Times New Roman"/>
          <w:sz w:val="24"/>
          <w:szCs w:val="24"/>
          <w:lang w:val="bg-BG"/>
        </w:rPr>
        <w:t xml:space="preserve">третичен (услуги) – 180 404 д. (71.8%). </w:t>
      </w:r>
      <w:r w:rsidR="002A3D39" w:rsidRPr="00610B1B">
        <w:rPr>
          <w:rFonts w:ascii="Times New Roman" w:hAnsi="Times New Roman" w:cs="Times New Roman"/>
          <w:sz w:val="24"/>
          <w:szCs w:val="24"/>
          <w:lang w:val="bg-BG"/>
        </w:rPr>
        <w:t>Най-голям е относителният дял на първичния</w:t>
      </w:r>
      <w:r w:rsidRPr="00610B1B">
        <w:rPr>
          <w:rFonts w:ascii="Times New Roman" w:hAnsi="Times New Roman" w:cs="Times New Roman"/>
          <w:sz w:val="24"/>
          <w:szCs w:val="24"/>
          <w:lang w:val="bg-BG"/>
        </w:rPr>
        <w:t xml:space="preserve"> сектор в общините Шабла</w:t>
      </w:r>
      <w:r w:rsidR="002A3D39" w:rsidRPr="00610B1B">
        <w:rPr>
          <w:rFonts w:ascii="Times New Roman" w:hAnsi="Times New Roman" w:cs="Times New Roman"/>
          <w:sz w:val="24"/>
          <w:szCs w:val="24"/>
          <w:lang w:val="bg-BG"/>
        </w:rPr>
        <w:t xml:space="preserve"> (43,0%)</w:t>
      </w:r>
      <w:r w:rsidRPr="00610B1B">
        <w:rPr>
          <w:rFonts w:ascii="Times New Roman" w:hAnsi="Times New Roman" w:cs="Times New Roman"/>
          <w:sz w:val="24"/>
          <w:szCs w:val="24"/>
          <w:lang w:val="bg-BG"/>
        </w:rPr>
        <w:t>, Каварна</w:t>
      </w:r>
      <w:r w:rsidR="002A3D39" w:rsidRPr="00610B1B">
        <w:rPr>
          <w:rFonts w:ascii="Times New Roman" w:hAnsi="Times New Roman" w:cs="Times New Roman"/>
          <w:sz w:val="24"/>
          <w:szCs w:val="24"/>
          <w:lang w:val="bg-BG"/>
        </w:rPr>
        <w:t xml:space="preserve"> (20,9</w:t>
      </w:r>
      <w:r w:rsidR="00B123FC"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 Долни чифлик</w:t>
      </w:r>
      <w:r w:rsidR="00B123FC" w:rsidRPr="00610B1B">
        <w:rPr>
          <w:rFonts w:ascii="Times New Roman" w:hAnsi="Times New Roman" w:cs="Times New Roman"/>
          <w:sz w:val="24"/>
          <w:szCs w:val="24"/>
          <w:lang w:val="bg-BG"/>
        </w:rPr>
        <w:t xml:space="preserve"> (24,4%)</w:t>
      </w:r>
      <w:r w:rsidRPr="00610B1B">
        <w:rPr>
          <w:rFonts w:ascii="Times New Roman" w:hAnsi="Times New Roman" w:cs="Times New Roman"/>
          <w:sz w:val="24"/>
          <w:szCs w:val="24"/>
          <w:lang w:val="bg-BG"/>
        </w:rPr>
        <w:t xml:space="preserve">, </w:t>
      </w:r>
      <w:r w:rsidR="002A3D39" w:rsidRPr="00610B1B">
        <w:rPr>
          <w:rFonts w:ascii="Times New Roman" w:hAnsi="Times New Roman" w:cs="Times New Roman"/>
          <w:sz w:val="24"/>
          <w:szCs w:val="24"/>
          <w:lang w:val="bg-BG"/>
        </w:rPr>
        <w:t xml:space="preserve">а най-голям дял в сектора на услугите се отбелязва </w:t>
      </w:r>
      <w:r w:rsidRPr="00610B1B">
        <w:rPr>
          <w:rFonts w:ascii="Times New Roman" w:hAnsi="Times New Roman" w:cs="Times New Roman"/>
          <w:sz w:val="24"/>
          <w:szCs w:val="24"/>
          <w:lang w:val="bg-BG"/>
        </w:rPr>
        <w:t>в общи</w:t>
      </w:r>
      <w:r w:rsidR="002A3D39" w:rsidRPr="00610B1B">
        <w:rPr>
          <w:rFonts w:ascii="Times New Roman" w:hAnsi="Times New Roman" w:cs="Times New Roman"/>
          <w:sz w:val="24"/>
          <w:szCs w:val="24"/>
          <w:lang w:val="bg-BG"/>
        </w:rPr>
        <w:t xml:space="preserve">ните </w:t>
      </w:r>
      <w:r w:rsidR="00B123FC" w:rsidRPr="00610B1B">
        <w:rPr>
          <w:rFonts w:ascii="Times New Roman" w:hAnsi="Times New Roman" w:cs="Times New Roman"/>
          <w:sz w:val="24"/>
          <w:szCs w:val="24"/>
          <w:lang w:val="bg-BG"/>
        </w:rPr>
        <w:t xml:space="preserve">Приморско (90,2), </w:t>
      </w:r>
      <w:r w:rsidR="002A3D39" w:rsidRPr="00610B1B">
        <w:rPr>
          <w:rFonts w:ascii="Times New Roman" w:hAnsi="Times New Roman" w:cs="Times New Roman"/>
          <w:sz w:val="24"/>
          <w:szCs w:val="24"/>
          <w:lang w:val="bg-BG"/>
        </w:rPr>
        <w:t>Несебър</w:t>
      </w:r>
      <w:r w:rsidR="00B123FC" w:rsidRPr="00610B1B">
        <w:rPr>
          <w:rFonts w:ascii="Times New Roman" w:hAnsi="Times New Roman" w:cs="Times New Roman"/>
          <w:sz w:val="24"/>
          <w:szCs w:val="24"/>
          <w:lang w:val="bg-BG"/>
        </w:rPr>
        <w:t xml:space="preserve"> (89,9%),</w:t>
      </w:r>
      <w:r w:rsidR="002A3D3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Царево </w:t>
      </w:r>
      <w:r w:rsidR="00B123FC" w:rsidRPr="00610B1B">
        <w:rPr>
          <w:rFonts w:ascii="Times New Roman" w:hAnsi="Times New Roman" w:cs="Times New Roman"/>
          <w:sz w:val="24"/>
          <w:szCs w:val="24"/>
          <w:lang w:val="bg-BG"/>
        </w:rPr>
        <w:t>(86,0%) и Созопол (84,9%)</w:t>
      </w:r>
    </w:p>
    <w:p w14:paraId="587BC72E" w14:textId="31A028E6" w:rsidR="0082227D" w:rsidRPr="00610B1B" w:rsidRDefault="00B123FC" w:rsidP="00D32D6A">
      <w:pPr>
        <w:pStyle w:val="NormalWeb"/>
        <w:spacing w:before="0" w:beforeAutospacing="0" w:after="120" w:afterAutospacing="0" w:line="276" w:lineRule="auto"/>
        <w:ind w:right="-153"/>
        <w:jc w:val="both"/>
        <w:rPr>
          <w:color w:val="000000"/>
          <w:lang w:val="bg-BG"/>
        </w:rPr>
      </w:pPr>
      <w:r w:rsidRPr="00610B1B">
        <w:rPr>
          <w:lang w:val="bg-BG"/>
        </w:rPr>
        <w:t xml:space="preserve">Въпреки ограниченията в анализите, поради изискванията на </w:t>
      </w:r>
      <w:r w:rsidR="0082227D" w:rsidRPr="00610B1B">
        <w:rPr>
          <w:lang w:val="bg-BG"/>
        </w:rPr>
        <w:t>Закона за статистиката</w:t>
      </w:r>
      <w:r w:rsidR="009B33B6" w:rsidRPr="00610B1B">
        <w:rPr>
          <w:rStyle w:val="FootnoteReference"/>
          <w:lang w:val="bg-BG"/>
        </w:rPr>
        <w:footnoteReference w:id="105"/>
      </w:r>
      <w:r w:rsidRPr="00610B1B">
        <w:rPr>
          <w:lang w:val="bg-BG"/>
        </w:rPr>
        <w:t xml:space="preserve"> (чл. 25 ал. 2) за конфиденциалност, р</w:t>
      </w:r>
      <w:r w:rsidR="0082227D" w:rsidRPr="00610B1B">
        <w:rPr>
          <w:lang w:val="bg-BG"/>
        </w:rPr>
        <w:t>азпределението по групи предприятия, според броя на заетите лица през 2017 г. е следното:</w:t>
      </w:r>
      <w:r w:rsidR="00673934" w:rsidRPr="00610B1B">
        <w:rPr>
          <w:lang w:val="bg-BG"/>
        </w:rPr>
        <w:t xml:space="preserve"> </w:t>
      </w:r>
      <w:r w:rsidR="0082227D" w:rsidRPr="00610B1B">
        <w:rPr>
          <w:lang w:val="bg-BG"/>
        </w:rPr>
        <w:t>микро до 9 заети</w:t>
      </w:r>
      <w:r w:rsidR="0004160B" w:rsidRPr="00610B1B">
        <w:rPr>
          <w:lang w:val="bg-BG"/>
        </w:rPr>
        <w:t xml:space="preserve"> – </w:t>
      </w:r>
      <w:r w:rsidR="0082227D" w:rsidRPr="00610B1B">
        <w:rPr>
          <w:lang w:val="bg-BG"/>
        </w:rPr>
        <w:t>94 724 д.</w:t>
      </w:r>
      <w:r w:rsidR="009B33B6" w:rsidRPr="00610B1B">
        <w:rPr>
          <w:lang w:val="bg-BG"/>
        </w:rPr>
        <w:t xml:space="preserve"> </w:t>
      </w:r>
      <w:r w:rsidRPr="00610B1B">
        <w:rPr>
          <w:lang w:val="bg-BG"/>
        </w:rPr>
        <w:t>(37,</w:t>
      </w:r>
      <w:r w:rsidR="0082227D" w:rsidRPr="00610B1B">
        <w:rPr>
          <w:lang w:val="bg-BG"/>
        </w:rPr>
        <w:t>7%); малки от</w:t>
      </w:r>
      <w:r w:rsidRPr="00610B1B">
        <w:rPr>
          <w:lang w:val="bg-BG"/>
        </w:rPr>
        <w:t xml:space="preserve"> 10 до 49 заети – 63 153 д. (25,</w:t>
      </w:r>
      <w:r w:rsidR="0082227D" w:rsidRPr="00610B1B">
        <w:rPr>
          <w:lang w:val="bg-BG"/>
        </w:rPr>
        <w:t>1%);</w:t>
      </w:r>
      <w:r w:rsidR="00D66FE0" w:rsidRPr="00610B1B">
        <w:rPr>
          <w:lang w:val="bg-BG"/>
        </w:rPr>
        <w:t xml:space="preserve"> </w:t>
      </w:r>
      <w:r w:rsidR="0082227D" w:rsidRPr="00610B1B">
        <w:rPr>
          <w:lang w:val="bg-BG"/>
        </w:rPr>
        <w:t>средни от</w:t>
      </w:r>
      <w:r w:rsidRPr="00610B1B">
        <w:rPr>
          <w:lang w:val="bg-BG"/>
        </w:rPr>
        <w:t xml:space="preserve"> 50 до 49 заети – 52 600 д. (20,</w:t>
      </w:r>
      <w:r w:rsidR="0082227D" w:rsidRPr="00610B1B">
        <w:rPr>
          <w:lang w:val="bg-BG"/>
        </w:rPr>
        <w:t>9%);</w:t>
      </w:r>
      <w:r w:rsidR="00673934" w:rsidRPr="00610B1B">
        <w:rPr>
          <w:lang w:val="bg-BG"/>
        </w:rPr>
        <w:t xml:space="preserve"> и </w:t>
      </w:r>
      <w:r w:rsidR="0082227D" w:rsidRPr="00610B1B">
        <w:rPr>
          <w:lang w:val="bg-BG"/>
        </w:rPr>
        <w:t>голем</w:t>
      </w:r>
      <w:r w:rsidRPr="00610B1B">
        <w:rPr>
          <w:lang w:val="bg-BG"/>
        </w:rPr>
        <w:t xml:space="preserve">и над 250 заети </w:t>
      </w:r>
      <w:r w:rsidR="0004160B" w:rsidRPr="00610B1B">
        <w:rPr>
          <w:lang w:val="bg-BG"/>
        </w:rPr>
        <w:t xml:space="preserve">– </w:t>
      </w:r>
      <w:r w:rsidRPr="00610B1B">
        <w:rPr>
          <w:lang w:val="bg-BG"/>
        </w:rPr>
        <w:t>33 073 д. (13,</w:t>
      </w:r>
      <w:r w:rsidR="0082227D" w:rsidRPr="00610B1B">
        <w:rPr>
          <w:lang w:val="bg-BG"/>
        </w:rPr>
        <w:t>2%).</w:t>
      </w:r>
      <w:r w:rsidRPr="00610B1B">
        <w:rPr>
          <w:lang w:val="bg-BG"/>
        </w:rPr>
        <w:t xml:space="preserve"> </w:t>
      </w:r>
      <w:r w:rsidR="0082227D" w:rsidRPr="00610B1B">
        <w:rPr>
          <w:color w:val="000000"/>
          <w:lang w:val="bg-BG"/>
        </w:rPr>
        <w:t>Средните и големите предприятия с над 250 заети са разположени в областните центрове Варна и Бургас. В малките общини преобладават ми</w:t>
      </w:r>
      <w:r w:rsidRPr="00610B1B">
        <w:rPr>
          <w:color w:val="000000"/>
          <w:lang w:val="bg-BG"/>
        </w:rPr>
        <w:t>к</w:t>
      </w:r>
      <w:r w:rsidR="0082227D" w:rsidRPr="00610B1B">
        <w:rPr>
          <w:color w:val="000000"/>
          <w:lang w:val="bg-BG"/>
        </w:rPr>
        <w:t xml:space="preserve">ро предприятията. </w:t>
      </w:r>
    </w:p>
    <w:p w14:paraId="77B25499" w14:textId="6225FF88" w:rsidR="0082227D" w:rsidRPr="00610B1B" w:rsidRDefault="0082227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iCs/>
          <w:sz w:val="24"/>
          <w:szCs w:val="24"/>
          <w:lang w:val="bg-BG"/>
        </w:rPr>
        <w:t>През 2018 г</w:t>
      </w:r>
      <w:r w:rsidR="00B123FC"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 xml:space="preserve"> </w:t>
      </w:r>
      <w:r w:rsidRPr="00610B1B">
        <w:rPr>
          <w:rFonts w:ascii="Times New Roman" w:hAnsi="Times New Roman" w:cs="Times New Roman"/>
          <w:b/>
          <w:iCs/>
          <w:sz w:val="24"/>
          <w:szCs w:val="24"/>
          <w:lang w:val="bg-BG"/>
        </w:rPr>
        <w:t>коефициентът на безработицата</w:t>
      </w:r>
      <w:r w:rsidRPr="00610B1B">
        <w:rPr>
          <w:rFonts w:ascii="Times New Roman" w:hAnsi="Times New Roman" w:cs="Times New Roman"/>
          <w:iCs/>
          <w:sz w:val="24"/>
          <w:szCs w:val="24"/>
          <w:lang w:val="bg-BG"/>
        </w:rPr>
        <w:t xml:space="preserve"> сред Черноморските общини</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намалява с 1</w:t>
      </w:r>
      <w:r w:rsidR="00A9753C"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1 процентни пункта в сравнение с 2014 г., като достига 3</w:t>
      </w:r>
      <w:r w:rsidR="00A9753C"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9% и е със значително по-благоприятни показатели от средните за страната 6</w:t>
      </w:r>
      <w:r w:rsidR="00A9753C"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1%.</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sz w:val="24"/>
          <w:szCs w:val="24"/>
          <w:lang w:val="bg-BG"/>
        </w:rPr>
        <w:t>На общинско ниво коефициентът на безработица 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най-нисък в общините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Варна 2</w:t>
      </w:r>
      <w:r w:rsidR="00A9753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9% и Бургас 3</w:t>
      </w:r>
      <w:r w:rsidR="00A9753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3%, значително изоставане има в общините Шабла 12</w:t>
      </w:r>
      <w:r w:rsidR="00A9753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4% и Долни чифлик 12</w:t>
      </w:r>
      <w:r w:rsidR="00A9753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1%. Разликата между равнищата на безработица в най-добре представената община Варна и най-изоставащата община Шабла е 9</w:t>
      </w:r>
      <w:r w:rsidR="00A9753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5 процентни пункта. Общините, в които коефициентът остава двуцифрен, показва сериозни структурни проблеми на местните пазари на труда и ниска мобилност на населението.</w:t>
      </w:r>
    </w:p>
    <w:p w14:paraId="0F647A41" w14:textId="471099DF" w:rsidR="0082227D" w:rsidRPr="00610B1B" w:rsidRDefault="0082227D" w:rsidP="00D32D6A">
      <w:pPr>
        <w:pStyle w:val="NormalWeb"/>
        <w:spacing w:before="0" w:beforeAutospacing="0" w:after="120" w:afterAutospacing="0" w:line="276" w:lineRule="auto"/>
        <w:ind w:right="-153"/>
        <w:jc w:val="both"/>
        <w:rPr>
          <w:lang w:val="bg-BG"/>
        </w:rPr>
      </w:pPr>
      <w:r w:rsidRPr="00610B1B">
        <w:rPr>
          <w:lang w:val="bg-BG"/>
        </w:rPr>
        <w:lastRenderedPageBreak/>
        <w:t>Характерно за Черноморските общини е липса</w:t>
      </w:r>
      <w:r w:rsidR="00673934" w:rsidRPr="00610B1B">
        <w:rPr>
          <w:lang w:val="bg-BG"/>
        </w:rPr>
        <w:t>та</w:t>
      </w:r>
      <w:r w:rsidRPr="00610B1B">
        <w:rPr>
          <w:lang w:val="bg-BG"/>
        </w:rPr>
        <w:t xml:space="preserve"> на квалифицирана работна ръка през активния туристически сезон юни-септември (готвачи, сервитьори, преводачи, хигиенисти),</w:t>
      </w:r>
      <w:r w:rsidR="00FA15C3" w:rsidRPr="00610B1B">
        <w:rPr>
          <w:lang w:val="bg-BG"/>
        </w:rPr>
        <w:t xml:space="preserve"> а п</w:t>
      </w:r>
      <w:r w:rsidRPr="00610B1B">
        <w:rPr>
          <w:lang w:val="bg-BG"/>
        </w:rPr>
        <w:t>рез есенно-зимния сезон, липсата на достатъчно работна ръка в строителството</w:t>
      </w:r>
      <w:r w:rsidR="00FA15C3" w:rsidRPr="00610B1B">
        <w:rPr>
          <w:lang w:val="bg-BG"/>
        </w:rPr>
        <w:t>. Това</w:t>
      </w:r>
      <w:r w:rsidR="00D66FE0" w:rsidRPr="00610B1B">
        <w:rPr>
          <w:lang w:val="bg-BG"/>
        </w:rPr>
        <w:t xml:space="preserve"> </w:t>
      </w:r>
      <w:r w:rsidRPr="00610B1B">
        <w:rPr>
          <w:lang w:val="bg-BG"/>
        </w:rPr>
        <w:t>налага внос на работници</w:t>
      </w:r>
      <w:r w:rsidR="00FA15C3" w:rsidRPr="00610B1B">
        <w:rPr>
          <w:lang w:val="bg-BG"/>
        </w:rPr>
        <w:t>, главно от Украйна и Молдова</w:t>
      </w:r>
      <w:r w:rsidRPr="00610B1B">
        <w:rPr>
          <w:lang w:val="bg-BG"/>
        </w:rPr>
        <w:t xml:space="preserve">. </w:t>
      </w:r>
    </w:p>
    <w:p w14:paraId="562E7345" w14:textId="0E44E408" w:rsidR="00F74673" w:rsidRPr="00610B1B" w:rsidRDefault="008D26D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bCs/>
          <w:iCs/>
          <w:sz w:val="24"/>
          <w:szCs w:val="24"/>
          <w:lang w:val="bg-BG"/>
        </w:rPr>
        <w:t>Основните извод</w:t>
      </w:r>
      <w:r w:rsidR="005E7D58" w:rsidRPr="00610B1B">
        <w:rPr>
          <w:rFonts w:ascii="Times New Roman" w:hAnsi="Times New Roman" w:cs="Times New Roman"/>
          <w:b/>
          <w:bCs/>
          <w:iCs/>
          <w:sz w:val="24"/>
          <w:szCs w:val="24"/>
          <w:lang w:val="bg-BG"/>
        </w:rPr>
        <w:t>и</w:t>
      </w:r>
      <w:r w:rsidRPr="00610B1B">
        <w:rPr>
          <w:rFonts w:ascii="Times New Roman" w:hAnsi="Times New Roman" w:cs="Times New Roman"/>
          <w:iCs/>
          <w:sz w:val="24"/>
          <w:szCs w:val="24"/>
          <w:lang w:val="bg-BG"/>
        </w:rPr>
        <w:t xml:space="preserve"> за заетостта и безработицата в Черноморските общини, за периода, за който има актуални данни, </w:t>
      </w:r>
      <w:r w:rsidR="005E7D58" w:rsidRPr="00610B1B">
        <w:rPr>
          <w:rFonts w:ascii="Times New Roman" w:hAnsi="Times New Roman" w:cs="Times New Roman"/>
          <w:iCs/>
          <w:sz w:val="24"/>
          <w:szCs w:val="24"/>
          <w:lang w:val="bg-BG"/>
        </w:rPr>
        <w:t>показват че з</w:t>
      </w:r>
      <w:r w:rsidR="0082227D" w:rsidRPr="00610B1B">
        <w:rPr>
          <w:rFonts w:ascii="Times New Roman" w:hAnsi="Times New Roman" w:cs="Times New Roman"/>
          <w:bCs/>
          <w:iCs/>
          <w:sz w:val="24"/>
          <w:szCs w:val="24"/>
          <w:lang w:val="bg-BG"/>
        </w:rPr>
        <w:t>аетостта на населението има позитивни стойности</w:t>
      </w:r>
      <w:r w:rsidR="00D66FE0" w:rsidRPr="00610B1B">
        <w:rPr>
          <w:rFonts w:ascii="Times New Roman" w:hAnsi="Times New Roman" w:cs="Times New Roman"/>
          <w:bCs/>
          <w:iCs/>
          <w:sz w:val="24"/>
          <w:szCs w:val="24"/>
          <w:lang w:val="bg-BG"/>
        </w:rPr>
        <w:t xml:space="preserve"> </w:t>
      </w:r>
      <w:r w:rsidR="0082227D" w:rsidRPr="00610B1B">
        <w:rPr>
          <w:rFonts w:ascii="Times New Roman" w:hAnsi="Times New Roman" w:cs="Times New Roman"/>
          <w:bCs/>
          <w:iCs/>
          <w:sz w:val="24"/>
          <w:szCs w:val="24"/>
          <w:lang w:val="bg-BG"/>
        </w:rPr>
        <w:t xml:space="preserve">в периода 2014-2017 г. </w:t>
      </w:r>
      <w:r w:rsidR="005E7D58" w:rsidRPr="00610B1B">
        <w:rPr>
          <w:rFonts w:ascii="Times New Roman" w:hAnsi="Times New Roman" w:cs="Times New Roman"/>
          <w:bCs/>
          <w:iCs/>
          <w:sz w:val="24"/>
          <w:szCs w:val="24"/>
          <w:lang w:val="bg-BG"/>
        </w:rPr>
        <w:t>и</w:t>
      </w:r>
      <w:r w:rsidRPr="00610B1B">
        <w:rPr>
          <w:rFonts w:ascii="Times New Roman" w:hAnsi="Times New Roman" w:cs="Times New Roman"/>
          <w:bCs/>
          <w:iCs/>
          <w:sz w:val="24"/>
          <w:szCs w:val="24"/>
          <w:lang w:val="bg-BG"/>
        </w:rPr>
        <w:t xml:space="preserve"> </w:t>
      </w:r>
      <w:r w:rsidR="0082227D" w:rsidRPr="00610B1B">
        <w:rPr>
          <w:rFonts w:ascii="Times New Roman" w:hAnsi="Times New Roman" w:cs="Times New Roman"/>
          <w:bCs/>
          <w:iCs/>
          <w:sz w:val="24"/>
          <w:szCs w:val="24"/>
          <w:lang w:val="bg-BG"/>
        </w:rPr>
        <w:t xml:space="preserve">нараства </w:t>
      </w:r>
      <w:r w:rsidRPr="00610B1B">
        <w:rPr>
          <w:rFonts w:ascii="Times New Roman" w:hAnsi="Times New Roman" w:cs="Times New Roman"/>
          <w:bCs/>
          <w:iCs/>
          <w:sz w:val="24"/>
          <w:szCs w:val="24"/>
          <w:lang w:val="bg-BG"/>
        </w:rPr>
        <w:t xml:space="preserve">най-значително </w:t>
      </w:r>
      <w:r w:rsidR="0082227D" w:rsidRPr="00610B1B">
        <w:rPr>
          <w:rFonts w:ascii="Times New Roman" w:hAnsi="Times New Roman" w:cs="Times New Roman"/>
          <w:sz w:val="24"/>
          <w:szCs w:val="24"/>
          <w:lang w:val="bg-BG"/>
        </w:rPr>
        <w:t>в общините Варна и Несебър</w:t>
      </w:r>
      <w:r w:rsidR="005E7D58" w:rsidRPr="00610B1B">
        <w:rPr>
          <w:rFonts w:ascii="Times New Roman" w:hAnsi="Times New Roman" w:cs="Times New Roman"/>
          <w:sz w:val="24"/>
          <w:szCs w:val="24"/>
          <w:lang w:val="bg-BG"/>
        </w:rPr>
        <w:t>.</w:t>
      </w:r>
      <w:r w:rsidR="00B204C4" w:rsidRPr="00610B1B">
        <w:rPr>
          <w:rFonts w:ascii="Times New Roman" w:hAnsi="Times New Roman" w:cs="Times New Roman"/>
          <w:sz w:val="24"/>
          <w:szCs w:val="24"/>
          <w:lang w:val="bg-BG"/>
        </w:rPr>
        <w:t xml:space="preserve"> В повечето общини преобладават </w:t>
      </w:r>
      <w:r w:rsidR="0082227D" w:rsidRPr="00610B1B">
        <w:rPr>
          <w:rFonts w:ascii="Times New Roman" w:hAnsi="Times New Roman" w:cs="Times New Roman"/>
          <w:sz w:val="24"/>
          <w:szCs w:val="24"/>
          <w:lang w:val="bg-BG"/>
        </w:rPr>
        <w:t>заетите в сектора на услугите</w:t>
      </w:r>
      <w:r w:rsidR="00B204C4" w:rsidRPr="00610B1B">
        <w:rPr>
          <w:rFonts w:ascii="Times New Roman" w:hAnsi="Times New Roman" w:cs="Times New Roman"/>
          <w:sz w:val="24"/>
          <w:szCs w:val="24"/>
          <w:lang w:val="bg-BG"/>
        </w:rPr>
        <w:t xml:space="preserve">, които са средно </w:t>
      </w:r>
      <w:r w:rsidR="0082227D" w:rsidRPr="00610B1B">
        <w:rPr>
          <w:rFonts w:ascii="Times New Roman" w:hAnsi="Times New Roman" w:cs="Times New Roman"/>
          <w:sz w:val="24"/>
          <w:szCs w:val="24"/>
          <w:lang w:val="bg-BG"/>
        </w:rPr>
        <w:t>71</w:t>
      </w:r>
      <w:r w:rsidR="00B204C4" w:rsidRPr="00610B1B">
        <w:rPr>
          <w:rFonts w:ascii="Times New Roman" w:hAnsi="Times New Roman" w:cs="Times New Roman"/>
          <w:sz w:val="24"/>
          <w:szCs w:val="24"/>
          <w:lang w:val="bg-BG"/>
        </w:rPr>
        <w:t>,</w:t>
      </w:r>
      <w:r w:rsidR="0082227D" w:rsidRPr="00610B1B">
        <w:rPr>
          <w:rFonts w:ascii="Times New Roman" w:hAnsi="Times New Roman" w:cs="Times New Roman"/>
          <w:sz w:val="24"/>
          <w:szCs w:val="24"/>
          <w:lang w:val="bg-BG"/>
        </w:rPr>
        <w:t>8%</w:t>
      </w:r>
      <w:r w:rsidR="00B204C4" w:rsidRPr="00610B1B">
        <w:rPr>
          <w:rFonts w:ascii="Times New Roman" w:hAnsi="Times New Roman" w:cs="Times New Roman"/>
          <w:sz w:val="24"/>
          <w:szCs w:val="24"/>
          <w:lang w:val="bg-BG"/>
        </w:rPr>
        <w:t>, а в някои общини и близо 90%.</w:t>
      </w:r>
      <w:r w:rsidR="00A679CF" w:rsidRPr="00610B1B">
        <w:rPr>
          <w:rFonts w:ascii="Times New Roman" w:hAnsi="Times New Roman" w:cs="Times New Roman"/>
          <w:sz w:val="24"/>
          <w:szCs w:val="24"/>
          <w:lang w:val="bg-BG"/>
        </w:rPr>
        <w:t xml:space="preserve"> Точно тези общини има вероятност да се окажат най-засегнати от извънредното положение, тъй като значителна част от фирмите са в сектора на туризма. Липсата на подробни данни за безработицата в резултат на мерките за ограничаване на разпространението на Covid 19 не позволява </w:t>
      </w:r>
      <w:r w:rsidR="00FA15C3" w:rsidRPr="00610B1B">
        <w:rPr>
          <w:rFonts w:ascii="Times New Roman" w:hAnsi="Times New Roman" w:cs="Times New Roman"/>
          <w:sz w:val="24"/>
          <w:szCs w:val="24"/>
          <w:lang w:val="bg-BG"/>
        </w:rPr>
        <w:t xml:space="preserve">на </w:t>
      </w:r>
      <w:r w:rsidR="00A679CF" w:rsidRPr="00610B1B">
        <w:rPr>
          <w:rFonts w:ascii="Times New Roman" w:hAnsi="Times New Roman" w:cs="Times New Roman"/>
          <w:sz w:val="24"/>
          <w:szCs w:val="24"/>
          <w:lang w:val="bg-BG"/>
        </w:rPr>
        <w:t xml:space="preserve">този етап да се правят изводи относно промените след </w:t>
      </w:r>
      <w:r w:rsidR="00E65651" w:rsidRPr="00610B1B">
        <w:rPr>
          <w:rFonts w:ascii="Times New Roman" w:hAnsi="Times New Roman" w:cs="Times New Roman"/>
          <w:sz w:val="24"/>
          <w:szCs w:val="24"/>
          <w:lang w:val="bg-BG"/>
        </w:rPr>
        <w:t xml:space="preserve">един </w:t>
      </w:r>
      <w:r w:rsidR="00A679CF" w:rsidRPr="00610B1B">
        <w:rPr>
          <w:rFonts w:ascii="Times New Roman" w:hAnsi="Times New Roman" w:cs="Times New Roman"/>
          <w:sz w:val="24"/>
          <w:szCs w:val="24"/>
          <w:lang w:val="bg-BG"/>
        </w:rPr>
        <w:t xml:space="preserve">период на постепенно намаляване на безработните до края на 2017 г. </w:t>
      </w:r>
    </w:p>
    <w:p w14:paraId="14489A67" w14:textId="77777777" w:rsidR="00E65651" w:rsidRPr="00610B1B" w:rsidRDefault="00E65651"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Аналогично на демографските показатели и при тези за </w:t>
      </w:r>
      <w:r w:rsidR="00F74673" w:rsidRPr="00610B1B">
        <w:rPr>
          <w:rFonts w:ascii="Times New Roman" w:hAnsi="Times New Roman" w:cs="Times New Roman"/>
          <w:sz w:val="24"/>
          <w:szCs w:val="24"/>
          <w:lang w:val="bg-BG"/>
        </w:rPr>
        <w:t xml:space="preserve">заетост и безработица </w:t>
      </w:r>
      <w:r w:rsidR="0082227D" w:rsidRPr="00610B1B">
        <w:rPr>
          <w:rFonts w:ascii="Times New Roman" w:hAnsi="Times New Roman" w:cs="Times New Roman"/>
          <w:sz w:val="24"/>
          <w:szCs w:val="24"/>
          <w:lang w:val="bg-BG"/>
        </w:rPr>
        <w:t xml:space="preserve">между големите общини Варна и Бургас и останалите </w:t>
      </w:r>
      <w:r w:rsidR="00F74673" w:rsidRPr="00610B1B">
        <w:rPr>
          <w:rFonts w:ascii="Times New Roman" w:hAnsi="Times New Roman" w:cs="Times New Roman"/>
          <w:sz w:val="24"/>
          <w:szCs w:val="24"/>
          <w:lang w:val="bg-BG"/>
        </w:rPr>
        <w:t>Черноморски общини</w:t>
      </w:r>
      <w:r w:rsidRPr="00610B1B">
        <w:rPr>
          <w:rFonts w:ascii="Times New Roman" w:hAnsi="Times New Roman" w:cs="Times New Roman"/>
          <w:sz w:val="24"/>
          <w:szCs w:val="24"/>
          <w:lang w:val="bg-BG"/>
        </w:rPr>
        <w:t xml:space="preserve"> съществуват значителни различия. </w:t>
      </w:r>
    </w:p>
    <w:p w14:paraId="6DB0AEA3" w14:textId="63AF44F3" w:rsidR="0082227D" w:rsidRPr="00610B1B" w:rsidRDefault="00F74673"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w:t>
      </w:r>
      <w:r w:rsidR="0082227D" w:rsidRPr="00610B1B">
        <w:rPr>
          <w:rFonts w:ascii="Times New Roman" w:hAnsi="Times New Roman" w:cs="Times New Roman"/>
          <w:sz w:val="24"/>
          <w:szCs w:val="24"/>
          <w:lang w:val="bg-BG"/>
        </w:rPr>
        <w:t xml:space="preserve">поред </w:t>
      </w:r>
      <w:r w:rsidR="0082227D" w:rsidRPr="00610B1B">
        <w:rPr>
          <w:rFonts w:ascii="Times New Roman" w:hAnsi="Times New Roman" w:cs="Times New Roman"/>
          <w:bCs/>
          <w:sz w:val="24"/>
          <w:szCs w:val="24"/>
          <w:lang w:val="bg-BG"/>
        </w:rPr>
        <w:t>прогнозите за населението</w:t>
      </w:r>
      <w:r w:rsidR="0082227D" w:rsidRPr="00610B1B">
        <w:rPr>
          <w:rFonts w:ascii="Times New Roman" w:hAnsi="Times New Roman" w:cs="Times New Roman"/>
          <w:b/>
          <w:bCs/>
          <w:sz w:val="24"/>
          <w:szCs w:val="24"/>
          <w:lang w:val="bg-BG"/>
        </w:rPr>
        <w:t xml:space="preserve"> </w:t>
      </w:r>
      <w:r w:rsidR="0082227D" w:rsidRPr="00610B1B">
        <w:rPr>
          <w:rFonts w:ascii="Times New Roman" w:hAnsi="Times New Roman" w:cs="Times New Roman"/>
          <w:sz w:val="24"/>
          <w:szCs w:val="24"/>
          <w:lang w:val="bg-BG"/>
        </w:rPr>
        <w:t>на Евростат в държавите-членки на ЕС, броят на лицата в трудоспособна възраст в България ще продължи да намалява и в бъдеще</w:t>
      </w:r>
      <w:r w:rsidR="00B36ACE" w:rsidRPr="00610B1B">
        <w:rPr>
          <w:rFonts w:ascii="Times New Roman" w:hAnsi="Times New Roman" w:cs="Times New Roman"/>
          <w:sz w:val="24"/>
          <w:szCs w:val="24"/>
          <w:lang w:val="bg-BG"/>
        </w:rPr>
        <w:t>.</w:t>
      </w:r>
      <w:r w:rsidR="00B36ACE" w:rsidRPr="00610B1B">
        <w:rPr>
          <w:rStyle w:val="FootnoteReference"/>
          <w:rFonts w:ascii="Times New Roman" w:hAnsi="Times New Roman" w:cs="Times New Roman"/>
          <w:sz w:val="24"/>
          <w:szCs w:val="24"/>
          <w:lang w:val="bg-BG"/>
        </w:rPr>
        <w:footnoteReference w:id="106"/>
      </w:r>
      <w:r w:rsidR="0082227D" w:rsidRPr="00610B1B">
        <w:rPr>
          <w:rFonts w:ascii="Times New Roman" w:hAnsi="Times New Roman" w:cs="Times New Roman"/>
          <w:sz w:val="24"/>
          <w:szCs w:val="24"/>
          <w:lang w:val="bg-BG"/>
        </w:rPr>
        <w:t xml:space="preserve"> Това е основният фактор, който ще окаже влияние върху намаляването на работната сила в общините. Според прогнозите за търсенето и предлагането на труд на Cedefop до 2025 г. се очаква намаление, както на работната сила в България, така и на заетостта. Намалението ще продължи до 2050 г., което ще засегне сериозно и Черноморските общини. </w:t>
      </w:r>
      <w:r w:rsidR="00B36ACE" w:rsidRPr="00610B1B">
        <w:rPr>
          <w:rFonts w:ascii="Times New Roman" w:hAnsi="Times New Roman" w:cs="Times New Roman"/>
          <w:sz w:val="24"/>
          <w:szCs w:val="24"/>
          <w:lang w:val="bg-BG"/>
        </w:rPr>
        <w:t xml:space="preserve">По </w:t>
      </w:r>
      <w:r w:rsidR="0082227D" w:rsidRPr="00610B1B">
        <w:rPr>
          <w:rFonts w:ascii="Times New Roman" w:hAnsi="Times New Roman" w:cs="Times New Roman"/>
          <w:sz w:val="24"/>
          <w:szCs w:val="24"/>
          <w:lang w:val="bg-BG"/>
        </w:rPr>
        <w:t>сектори на икономиката</w:t>
      </w:r>
      <w:r w:rsidR="00B36ACE" w:rsidRPr="00610B1B">
        <w:rPr>
          <w:rStyle w:val="FootnoteReference"/>
          <w:rFonts w:ascii="Times New Roman" w:hAnsi="Times New Roman" w:cs="Times New Roman"/>
          <w:sz w:val="24"/>
          <w:szCs w:val="24"/>
          <w:lang w:val="bg-BG"/>
        </w:rPr>
        <w:footnoteReference w:id="107"/>
      </w:r>
      <w:r w:rsidR="0082227D" w:rsidRPr="00610B1B">
        <w:rPr>
          <w:rFonts w:ascii="Times New Roman" w:hAnsi="Times New Roman" w:cs="Times New Roman"/>
          <w:sz w:val="24"/>
          <w:szCs w:val="24"/>
          <w:lang w:val="bg-BG"/>
        </w:rPr>
        <w:t xml:space="preserve"> ще се наблюдава нарастване на заетостта в икономическите дейности в сектор „Услуги“, докато в сектор</w:t>
      </w:r>
      <w:r w:rsidR="00FA15C3" w:rsidRPr="00610B1B">
        <w:rPr>
          <w:rFonts w:ascii="Times New Roman" w:hAnsi="Times New Roman" w:cs="Times New Roman"/>
          <w:sz w:val="24"/>
          <w:szCs w:val="24"/>
          <w:lang w:val="bg-BG"/>
        </w:rPr>
        <w:t>ите</w:t>
      </w:r>
      <w:r w:rsidR="0082227D" w:rsidRPr="00610B1B">
        <w:rPr>
          <w:rFonts w:ascii="Times New Roman" w:hAnsi="Times New Roman" w:cs="Times New Roman"/>
          <w:sz w:val="24"/>
          <w:szCs w:val="24"/>
          <w:lang w:val="bg-BG"/>
        </w:rPr>
        <w:t xml:space="preserve"> „Индустрия“ и „Селско</w:t>
      </w:r>
      <w:r w:rsidR="00E65651" w:rsidRPr="00610B1B">
        <w:rPr>
          <w:rFonts w:ascii="Times New Roman" w:hAnsi="Times New Roman" w:cs="Times New Roman"/>
          <w:sz w:val="24"/>
          <w:szCs w:val="24"/>
          <w:lang w:val="bg-BG"/>
        </w:rPr>
        <w:t>, горско и рибно</w:t>
      </w:r>
      <w:r w:rsidR="0082227D" w:rsidRPr="00610B1B">
        <w:rPr>
          <w:rFonts w:ascii="Times New Roman" w:hAnsi="Times New Roman" w:cs="Times New Roman"/>
          <w:sz w:val="24"/>
          <w:szCs w:val="24"/>
          <w:lang w:val="bg-BG"/>
        </w:rPr>
        <w:t xml:space="preserve"> стопанство“ ще има намаление. </w:t>
      </w:r>
    </w:p>
    <w:p w14:paraId="55F5047B" w14:textId="77777777" w:rsidR="00261A06" w:rsidRPr="00610B1B" w:rsidRDefault="00261A06" w:rsidP="00D32D6A">
      <w:pPr>
        <w:spacing w:after="120"/>
        <w:ind w:right="-153"/>
        <w:jc w:val="both"/>
        <w:rPr>
          <w:rFonts w:ascii="Times New Roman" w:hAnsi="Times New Roman" w:cs="Times New Roman"/>
          <w:sz w:val="24"/>
          <w:szCs w:val="24"/>
          <w:lang w:val="bg-BG"/>
        </w:rPr>
      </w:pPr>
    </w:p>
    <w:p w14:paraId="7B04210E" w14:textId="146F8DA3" w:rsidR="0082227D" w:rsidRPr="00610B1B" w:rsidRDefault="00673934" w:rsidP="00D32D6A">
      <w:pPr>
        <w:pStyle w:val="Heading3"/>
        <w:spacing w:before="0" w:line="276" w:lineRule="auto"/>
        <w:ind w:right="-153"/>
        <w:rPr>
          <w:rFonts w:cs="Times New Roman"/>
        </w:rPr>
      </w:pPr>
      <w:bookmarkStart w:id="313" w:name="_Toc83391368"/>
      <w:r w:rsidRPr="00610B1B">
        <w:rPr>
          <w:rFonts w:cs="Times New Roman"/>
        </w:rPr>
        <w:t>2.</w:t>
      </w:r>
      <w:r w:rsidR="0082227D" w:rsidRPr="00610B1B">
        <w:rPr>
          <w:rFonts w:cs="Times New Roman"/>
        </w:rPr>
        <w:t>3.</w:t>
      </w:r>
      <w:r w:rsidRPr="00610B1B">
        <w:rPr>
          <w:rFonts w:cs="Times New Roman"/>
        </w:rPr>
        <w:t>2.</w:t>
      </w:r>
      <w:r w:rsidR="0082227D" w:rsidRPr="00610B1B">
        <w:rPr>
          <w:rFonts w:cs="Times New Roman"/>
        </w:rPr>
        <w:t xml:space="preserve"> Образование</w:t>
      </w:r>
      <w:bookmarkEnd w:id="313"/>
    </w:p>
    <w:p w14:paraId="6F15C45B" w14:textId="6B2FDDF9" w:rsidR="0082227D" w:rsidRPr="00610B1B" w:rsidRDefault="00673934" w:rsidP="00D32D6A">
      <w:pPr>
        <w:pStyle w:val="Heading4"/>
        <w:spacing w:before="0" w:line="276" w:lineRule="auto"/>
        <w:ind w:right="-153"/>
        <w:rPr>
          <w:rFonts w:cs="Times New Roman"/>
        </w:rPr>
      </w:pPr>
      <w:r w:rsidRPr="00610B1B">
        <w:rPr>
          <w:rFonts w:cs="Times New Roman"/>
        </w:rPr>
        <w:t>2.</w:t>
      </w:r>
      <w:r w:rsidR="0082227D" w:rsidRPr="00610B1B">
        <w:rPr>
          <w:rFonts w:cs="Times New Roman"/>
        </w:rPr>
        <w:t>3.</w:t>
      </w:r>
      <w:r w:rsidRPr="00610B1B">
        <w:rPr>
          <w:rFonts w:cs="Times New Roman"/>
        </w:rPr>
        <w:t>2.</w:t>
      </w:r>
      <w:r w:rsidR="0082227D" w:rsidRPr="00610B1B">
        <w:rPr>
          <w:rFonts w:cs="Times New Roman"/>
        </w:rPr>
        <w:t>1.</w:t>
      </w:r>
      <w:r w:rsidR="000F6CBC" w:rsidRPr="00610B1B">
        <w:rPr>
          <w:rFonts w:cs="Times New Roman"/>
        </w:rPr>
        <w:t xml:space="preserve"> </w:t>
      </w:r>
      <w:r w:rsidR="0082227D" w:rsidRPr="00610B1B">
        <w:rPr>
          <w:rFonts w:cs="Times New Roman"/>
        </w:rPr>
        <w:t>Образованост на населението</w:t>
      </w:r>
    </w:p>
    <w:p w14:paraId="68EFCEA4" w14:textId="24AE7B72" w:rsidR="00564BAD" w:rsidRPr="00610B1B" w:rsidRDefault="007B4463"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Една </w:t>
      </w:r>
      <w:r w:rsidR="0082227D" w:rsidRPr="00610B1B">
        <w:rPr>
          <w:rFonts w:ascii="Times New Roman" w:hAnsi="Times New Roman" w:cs="Times New Roman"/>
          <w:sz w:val="24"/>
          <w:szCs w:val="24"/>
          <w:lang w:val="bg-BG"/>
        </w:rPr>
        <w:t>от водещите цели на общоевропейската стратегия „Европа 2020” е подобряване на образователното равнище на населението, намаляване на дела на преждевременно напусналите училище и увеличаване на дела на населението с висше или еквивалентно на висше образование.</w:t>
      </w:r>
      <w:r w:rsidR="00E65651" w:rsidRPr="00610B1B">
        <w:rPr>
          <w:rFonts w:ascii="Times New Roman" w:hAnsi="Times New Roman" w:cs="Times New Roman"/>
          <w:sz w:val="24"/>
          <w:szCs w:val="24"/>
          <w:lang w:val="bg-BG"/>
        </w:rPr>
        <w:t xml:space="preserve"> Това има огромно значение за осигуряване на </w:t>
      </w:r>
      <w:r w:rsidR="004E40D4" w:rsidRPr="00610B1B">
        <w:rPr>
          <w:rFonts w:ascii="Times New Roman" w:hAnsi="Times New Roman" w:cs="Times New Roman"/>
          <w:sz w:val="24"/>
          <w:szCs w:val="24"/>
          <w:lang w:val="bg-BG"/>
        </w:rPr>
        <w:t>необходимите знания и за морската околна среда, за нейното опазване и използване, за подготовката на кадри за секторите в синята икономика</w:t>
      </w:r>
      <w:r w:rsidR="00FA15C3" w:rsidRPr="00610B1B">
        <w:rPr>
          <w:rFonts w:ascii="Times New Roman" w:hAnsi="Times New Roman" w:cs="Times New Roman"/>
          <w:sz w:val="24"/>
          <w:szCs w:val="24"/>
          <w:lang w:val="bg-BG"/>
        </w:rPr>
        <w:t xml:space="preserve"> и за военноморските сили</w:t>
      </w:r>
      <w:r w:rsidR="004E40D4" w:rsidRPr="00610B1B">
        <w:rPr>
          <w:rFonts w:ascii="Times New Roman" w:hAnsi="Times New Roman" w:cs="Times New Roman"/>
          <w:sz w:val="24"/>
          <w:szCs w:val="24"/>
          <w:lang w:val="bg-BG"/>
        </w:rPr>
        <w:t xml:space="preserve">. </w:t>
      </w:r>
    </w:p>
    <w:p w14:paraId="54C287A0" w14:textId="21297DA3" w:rsidR="009907CE" w:rsidRPr="00610B1B" w:rsidRDefault="009907CE" w:rsidP="00D32D6A">
      <w:pPr>
        <w:autoSpaceDE w:val="0"/>
        <w:autoSpaceDN w:val="0"/>
        <w:adjustRightInd w:val="0"/>
        <w:spacing w:after="120"/>
        <w:ind w:right="-153"/>
        <w:jc w:val="both"/>
        <w:rPr>
          <w:rFonts w:ascii="Times New Roman" w:hAnsi="Times New Roman" w:cs="Times New Roman"/>
          <w:sz w:val="24"/>
          <w:szCs w:val="24"/>
          <w:lang w:val="bg-BG"/>
        </w:rPr>
      </w:pPr>
    </w:p>
    <w:p w14:paraId="4FC59754" w14:textId="77777777" w:rsidR="009907CE" w:rsidRPr="00610B1B" w:rsidRDefault="009907CE" w:rsidP="00D32D6A">
      <w:pPr>
        <w:autoSpaceDE w:val="0"/>
        <w:autoSpaceDN w:val="0"/>
        <w:adjustRightInd w:val="0"/>
        <w:spacing w:after="120"/>
        <w:ind w:right="-153"/>
        <w:jc w:val="both"/>
        <w:rPr>
          <w:rFonts w:ascii="Times New Roman" w:hAnsi="Times New Roman" w:cs="Times New Roman"/>
          <w:sz w:val="24"/>
          <w:szCs w:val="24"/>
          <w:lang w:val="bg-BG"/>
        </w:rPr>
      </w:pPr>
    </w:p>
    <w:p w14:paraId="29C334B4" w14:textId="6B539D19" w:rsidR="0082227D" w:rsidRPr="00610B1B" w:rsidRDefault="000B1E6E" w:rsidP="00E37053">
      <w:pPr>
        <w:autoSpaceDE w:val="0"/>
        <w:autoSpaceDN w:val="0"/>
        <w:adjustRightInd w:val="0"/>
        <w:spacing w:after="70" w:line="240" w:lineRule="auto"/>
        <w:ind w:right="-153"/>
        <w:jc w:val="both"/>
        <w:rPr>
          <w:rFonts w:ascii="Times New Roman" w:hAnsi="Times New Roman" w:cs="Times New Roman"/>
          <w:sz w:val="24"/>
          <w:szCs w:val="24"/>
          <w:lang w:val="bg-BG"/>
        </w:rPr>
      </w:pPr>
      <w:bookmarkStart w:id="314" w:name="_Toc83391604"/>
      <w:r w:rsidRPr="00610B1B">
        <w:rPr>
          <w:rFonts w:ascii="Times New Roman" w:eastAsia="Lohit Devanagari" w:hAnsi="Times New Roman" w:cs="Times New Roman"/>
          <w:color w:val="00000A"/>
          <w:sz w:val="24"/>
          <w:szCs w:val="24"/>
          <w:lang w:val="bg-BG" w:eastAsia="ar-SA" w:bidi="hi-IN"/>
        </w:rPr>
        <w:lastRenderedPageBreak/>
        <w:t xml:space="preserve">Таблица </w:t>
      </w:r>
      <w:r w:rsidRPr="00610B1B">
        <w:rPr>
          <w:rFonts w:ascii="Times New Roman" w:eastAsia="Lohit Devanagari" w:hAnsi="Times New Roman" w:cs="Times New Roman"/>
          <w:color w:val="00000A"/>
          <w:sz w:val="24"/>
          <w:szCs w:val="24"/>
          <w:lang w:val="bg-BG" w:eastAsia="ar-SA" w:bidi="hi-IN"/>
        </w:rPr>
        <w:fldChar w:fldCharType="begin"/>
      </w:r>
      <w:r w:rsidRPr="00610B1B">
        <w:rPr>
          <w:rFonts w:ascii="Times New Roman" w:eastAsia="Lohit Devanagari" w:hAnsi="Times New Roman" w:cs="Times New Roman"/>
          <w:color w:val="00000A"/>
          <w:sz w:val="24"/>
          <w:szCs w:val="24"/>
          <w:lang w:val="bg-BG" w:eastAsia="ar-SA" w:bidi="hi-IN"/>
        </w:rPr>
        <w:instrText xml:space="preserve"> SEQ Таблица \* ARABIC </w:instrText>
      </w:r>
      <w:r w:rsidRPr="00610B1B">
        <w:rPr>
          <w:rFonts w:ascii="Times New Roman" w:eastAsia="Lohit Devanagari" w:hAnsi="Times New Roman" w:cs="Times New Roman"/>
          <w:color w:val="00000A"/>
          <w:sz w:val="24"/>
          <w:szCs w:val="24"/>
          <w:lang w:val="bg-BG" w:eastAsia="ar-SA" w:bidi="hi-IN"/>
        </w:rPr>
        <w:fldChar w:fldCharType="separate"/>
      </w:r>
      <w:r w:rsidR="00260629" w:rsidRPr="00610B1B">
        <w:rPr>
          <w:rFonts w:ascii="Times New Roman" w:eastAsia="Lohit Devanagari" w:hAnsi="Times New Roman" w:cs="Times New Roman"/>
          <w:noProof/>
          <w:color w:val="00000A"/>
          <w:sz w:val="24"/>
          <w:szCs w:val="24"/>
          <w:lang w:val="bg-BG" w:eastAsia="ar-SA" w:bidi="hi-IN"/>
        </w:rPr>
        <w:t>8</w:t>
      </w:r>
      <w:r w:rsidRPr="00610B1B">
        <w:rPr>
          <w:rFonts w:ascii="Times New Roman" w:eastAsia="Lohit Devanagari" w:hAnsi="Times New Roman" w:cs="Times New Roman"/>
          <w:color w:val="00000A"/>
          <w:sz w:val="24"/>
          <w:szCs w:val="24"/>
          <w:lang w:val="bg-BG" w:eastAsia="ar-SA" w:bidi="hi-IN"/>
        </w:rPr>
        <w:fldChar w:fldCharType="end"/>
      </w:r>
      <w:r w:rsidRPr="00610B1B">
        <w:rPr>
          <w:rFonts w:ascii="Times New Roman" w:eastAsia="Lohit Devanagari" w:hAnsi="Times New Roman" w:cs="Times New Roman"/>
          <w:color w:val="00000A"/>
          <w:sz w:val="24"/>
          <w:szCs w:val="24"/>
          <w:lang w:val="bg-BG" w:eastAsia="ar-SA" w:bidi="hi-IN"/>
        </w:rPr>
        <w:t>: Население на 7 и повече години в Черноморските общини по степен на завършено образование към 01.02.2011</w:t>
      </w:r>
      <w:r w:rsidR="00243784" w:rsidRPr="00610B1B">
        <w:rPr>
          <w:rFonts w:ascii="Times New Roman" w:eastAsia="Lohit Devanagari" w:hAnsi="Times New Roman" w:cs="Times New Roman"/>
          <w:color w:val="00000A"/>
          <w:sz w:val="24"/>
          <w:szCs w:val="24"/>
          <w:lang w:val="bg-BG" w:eastAsia="ar-SA" w:bidi="hi-IN"/>
        </w:rPr>
        <w:t xml:space="preserve"> </w:t>
      </w:r>
      <w:r w:rsidRPr="00610B1B">
        <w:rPr>
          <w:rFonts w:ascii="Times New Roman" w:eastAsia="Lohit Devanagari" w:hAnsi="Times New Roman" w:cs="Times New Roman"/>
          <w:color w:val="00000A"/>
          <w:sz w:val="24"/>
          <w:szCs w:val="24"/>
          <w:lang w:val="bg-BG" w:eastAsia="ar-SA" w:bidi="hi-IN"/>
        </w:rPr>
        <w:t>г.</w:t>
      </w:r>
      <w:bookmarkEnd w:id="314"/>
    </w:p>
    <w:tbl>
      <w:tblPr>
        <w:tblW w:w="10822" w:type="dxa"/>
        <w:tblInd w:w="-709" w:type="dxa"/>
        <w:tblBorders>
          <w:top w:val="single" w:sz="4" w:space="0" w:color="auto"/>
          <w:bottom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1560"/>
        <w:gridCol w:w="815"/>
        <w:gridCol w:w="886"/>
        <w:gridCol w:w="851"/>
        <w:gridCol w:w="992"/>
        <w:gridCol w:w="992"/>
        <w:gridCol w:w="1418"/>
        <w:gridCol w:w="1417"/>
        <w:gridCol w:w="1891"/>
      </w:tblGrid>
      <w:tr w:rsidR="0082227D" w:rsidRPr="00C717D0" w14:paraId="4D84A645" w14:textId="77777777" w:rsidTr="00D05544">
        <w:trPr>
          <w:trHeight w:val="656"/>
          <w:tblHeader/>
        </w:trPr>
        <w:tc>
          <w:tcPr>
            <w:tcW w:w="1560" w:type="dxa"/>
            <w:shd w:val="clear" w:color="auto" w:fill="C6D9F1" w:themeFill="text2" w:themeFillTint="33"/>
            <w:vAlign w:val="center"/>
          </w:tcPr>
          <w:p w14:paraId="4F2E0157" w14:textId="77777777" w:rsidR="0082227D" w:rsidRPr="00610B1B" w:rsidRDefault="0082227D" w:rsidP="00D32D6A">
            <w:pPr>
              <w:spacing w:after="0" w:line="240" w:lineRule="auto"/>
              <w:jc w:val="center"/>
              <w:rPr>
                <w:rFonts w:ascii="Times New Roman" w:hAnsi="Times New Roman" w:cs="Times New Roman"/>
                <w:color w:val="000000"/>
                <w:lang w:val="bg-BG"/>
              </w:rPr>
            </w:pPr>
            <w:r w:rsidRPr="00610B1B">
              <w:rPr>
                <w:rFonts w:ascii="Times New Roman" w:hAnsi="Times New Roman" w:cs="Times New Roman"/>
                <w:color w:val="000000"/>
                <w:lang w:val="bg-BG"/>
              </w:rPr>
              <w:t>Общини</w:t>
            </w:r>
          </w:p>
        </w:tc>
        <w:tc>
          <w:tcPr>
            <w:tcW w:w="815" w:type="dxa"/>
            <w:shd w:val="clear" w:color="auto" w:fill="C6D9F1" w:themeFill="text2" w:themeFillTint="33"/>
            <w:vAlign w:val="center"/>
          </w:tcPr>
          <w:p w14:paraId="32F63B33" w14:textId="77777777" w:rsidR="0082227D" w:rsidRPr="00610B1B" w:rsidRDefault="0082227D" w:rsidP="00D32D6A">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Общо</w:t>
            </w:r>
          </w:p>
        </w:tc>
        <w:tc>
          <w:tcPr>
            <w:tcW w:w="886" w:type="dxa"/>
            <w:shd w:val="clear" w:color="auto" w:fill="C6D9F1" w:themeFill="text2" w:themeFillTint="33"/>
            <w:vAlign w:val="center"/>
          </w:tcPr>
          <w:p w14:paraId="2B49F024" w14:textId="77777777" w:rsidR="0082227D" w:rsidRPr="00610B1B" w:rsidRDefault="0082227D" w:rsidP="00D32D6A">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Висше</w:t>
            </w:r>
          </w:p>
        </w:tc>
        <w:tc>
          <w:tcPr>
            <w:tcW w:w="851" w:type="dxa"/>
            <w:shd w:val="clear" w:color="auto" w:fill="C6D9F1" w:themeFill="text2" w:themeFillTint="33"/>
            <w:vAlign w:val="center"/>
          </w:tcPr>
          <w:p w14:paraId="4E8E5C09" w14:textId="77777777" w:rsidR="0082227D" w:rsidRPr="00610B1B" w:rsidRDefault="0082227D" w:rsidP="00D32D6A">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Средно</w:t>
            </w:r>
          </w:p>
        </w:tc>
        <w:tc>
          <w:tcPr>
            <w:tcW w:w="992" w:type="dxa"/>
            <w:shd w:val="clear" w:color="auto" w:fill="C6D9F1" w:themeFill="text2" w:themeFillTint="33"/>
            <w:vAlign w:val="center"/>
          </w:tcPr>
          <w:p w14:paraId="466D9FA2" w14:textId="77777777" w:rsidR="0082227D" w:rsidRPr="00610B1B" w:rsidRDefault="0082227D" w:rsidP="00D32D6A">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Основно</w:t>
            </w:r>
          </w:p>
        </w:tc>
        <w:tc>
          <w:tcPr>
            <w:tcW w:w="992" w:type="dxa"/>
            <w:shd w:val="clear" w:color="auto" w:fill="C6D9F1" w:themeFill="text2" w:themeFillTint="33"/>
            <w:vAlign w:val="center"/>
          </w:tcPr>
          <w:p w14:paraId="7691E5EF" w14:textId="77777777" w:rsidR="0082227D" w:rsidRPr="00610B1B" w:rsidRDefault="0082227D" w:rsidP="00D32D6A">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Начално</w:t>
            </w:r>
          </w:p>
        </w:tc>
        <w:tc>
          <w:tcPr>
            <w:tcW w:w="1418" w:type="dxa"/>
            <w:shd w:val="clear" w:color="auto" w:fill="C6D9F1" w:themeFill="text2" w:themeFillTint="33"/>
            <w:vAlign w:val="center"/>
          </w:tcPr>
          <w:p w14:paraId="562F0B18" w14:textId="77777777" w:rsidR="0082227D" w:rsidRPr="00610B1B" w:rsidRDefault="0082227D" w:rsidP="00D32D6A">
            <w:pPr>
              <w:tabs>
                <w:tab w:val="left" w:pos="1071"/>
              </w:tabs>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Незавършено начално</w:t>
            </w:r>
          </w:p>
        </w:tc>
        <w:tc>
          <w:tcPr>
            <w:tcW w:w="1417" w:type="dxa"/>
            <w:shd w:val="clear" w:color="auto" w:fill="C6D9F1" w:themeFill="text2" w:themeFillTint="33"/>
            <w:vAlign w:val="center"/>
          </w:tcPr>
          <w:p w14:paraId="65C96890" w14:textId="55721E59" w:rsidR="0082227D" w:rsidRPr="00610B1B" w:rsidRDefault="0082227D" w:rsidP="00D32D6A">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Никога непосещавали училище</w:t>
            </w:r>
          </w:p>
        </w:tc>
        <w:tc>
          <w:tcPr>
            <w:tcW w:w="1891" w:type="dxa"/>
            <w:shd w:val="clear" w:color="auto" w:fill="C6D9F1" w:themeFill="text2" w:themeFillTint="33"/>
            <w:vAlign w:val="center"/>
          </w:tcPr>
          <w:p w14:paraId="7ABD5C23" w14:textId="468899AC" w:rsidR="0082227D" w:rsidRPr="00610B1B" w:rsidRDefault="007B4463" w:rsidP="00F00BE8">
            <w:pPr>
              <w:spacing w:after="0" w:line="240" w:lineRule="auto"/>
              <w:jc w:val="cente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 xml:space="preserve">Деца до 7 год. </w:t>
            </w:r>
            <w:r w:rsidR="00F00BE8" w:rsidRPr="00610B1B">
              <w:rPr>
                <w:rFonts w:ascii="Times New Roman" w:hAnsi="Times New Roman" w:cs="Times New Roman"/>
                <w:color w:val="000000"/>
                <w:sz w:val="20"/>
                <w:szCs w:val="20"/>
                <w:lang w:val="bg-BG"/>
              </w:rPr>
              <w:br/>
            </w:r>
            <w:r w:rsidR="006F7DAF" w:rsidRPr="00610B1B">
              <w:rPr>
                <w:rFonts w:ascii="Times New Roman" w:hAnsi="Times New Roman" w:cs="Times New Roman"/>
                <w:color w:val="000000"/>
                <w:sz w:val="20"/>
                <w:szCs w:val="20"/>
                <w:lang w:val="bg-BG"/>
              </w:rPr>
              <w:t>(</w:t>
            </w:r>
            <w:r w:rsidRPr="00610B1B">
              <w:rPr>
                <w:rFonts w:ascii="Times New Roman" w:hAnsi="Times New Roman" w:cs="Times New Roman"/>
                <w:color w:val="000000"/>
                <w:sz w:val="20"/>
                <w:szCs w:val="20"/>
                <w:lang w:val="bg-BG"/>
              </w:rPr>
              <w:t xml:space="preserve">вкл. </w:t>
            </w:r>
            <w:r w:rsidR="006F7DAF" w:rsidRPr="00610B1B">
              <w:rPr>
                <w:rFonts w:ascii="Times New Roman" w:hAnsi="Times New Roman" w:cs="Times New Roman"/>
                <w:color w:val="000000"/>
                <w:sz w:val="20"/>
                <w:szCs w:val="20"/>
                <w:lang w:val="bg-BG"/>
              </w:rPr>
              <w:t>не</w:t>
            </w:r>
            <w:r w:rsidR="0082227D" w:rsidRPr="00610B1B">
              <w:rPr>
                <w:rFonts w:ascii="Times New Roman" w:hAnsi="Times New Roman" w:cs="Times New Roman"/>
                <w:color w:val="000000"/>
                <w:sz w:val="20"/>
                <w:szCs w:val="20"/>
                <w:lang w:val="bg-BG"/>
              </w:rPr>
              <w:t>посещава</w:t>
            </w:r>
            <w:r w:rsidR="00853347" w:rsidRPr="00610B1B">
              <w:rPr>
                <w:rFonts w:ascii="Times New Roman" w:hAnsi="Times New Roman" w:cs="Times New Roman"/>
                <w:color w:val="000000"/>
                <w:sz w:val="20"/>
                <w:szCs w:val="20"/>
                <w:lang w:val="bg-BG"/>
              </w:rPr>
              <w:t>щи</w:t>
            </w:r>
            <w:r w:rsidR="0082227D" w:rsidRPr="00610B1B">
              <w:rPr>
                <w:rFonts w:ascii="Times New Roman" w:hAnsi="Times New Roman" w:cs="Times New Roman"/>
                <w:color w:val="000000"/>
                <w:sz w:val="20"/>
                <w:szCs w:val="20"/>
                <w:lang w:val="bg-BG"/>
              </w:rPr>
              <w:t xml:space="preserve"> училище)</w:t>
            </w:r>
          </w:p>
        </w:tc>
      </w:tr>
      <w:tr w:rsidR="006F7DAF" w:rsidRPr="00610B1B" w14:paraId="343EB452" w14:textId="77777777" w:rsidTr="00D05544">
        <w:trPr>
          <w:trHeight w:val="255"/>
        </w:trPr>
        <w:tc>
          <w:tcPr>
            <w:tcW w:w="1560" w:type="dxa"/>
            <w:shd w:val="clear" w:color="auto" w:fill="auto"/>
            <w:noWrap/>
            <w:vAlign w:val="center"/>
          </w:tcPr>
          <w:p w14:paraId="74EB9322" w14:textId="77777777" w:rsidR="006F7DAF" w:rsidRPr="00610B1B" w:rsidRDefault="006F7DAF" w:rsidP="00D32D6A">
            <w:pPr>
              <w:spacing w:after="0" w:line="240" w:lineRule="auto"/>
              <w:rPr>
                <w:rFonts w:ascii="Times New Roman" w:hAnsi="Times New Roman" w:cs="Times New Roman"/>
                <w:b/>
                <w:bCs/>
                <w:color w:val="000000"/>
                <w:lang w:val="bg-BG"/>
              </w:rPr>
            </w:pPr>
            <w:r w:rsidRPr="00610B1B">
              <w:rPr>
                <w:rFonts w:ascii="Times New Roman" w:hAnsi="Times New Roman" w:cs="Times New Roman"/>
                <w:b/>
                <w:bCs/>
                <w:color w:val="000000"/>
                <w:lang w:val="bg-BG"/>
              </w:rPr>
              <w:t>Черноморски</w:t>
            </w:r>
          </w:p>
        </w:tc>
        <w:tc>
          <w:tcPr>
            <w:tcW w:w="815" w:type="dxa"/>
            <w:shd w:val="clear" w:color="auto" w:fill="auto"/>
            <w:noWrap/>
            <w:vAlign w:val="center"/>
          </w:tcPr>
          <w:p w14:paraId="0C78790A" w14:textId="7465F03E"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674 781</w:t>
            </w:r>
          </w:p>
        </w:tc>
        <w:tc>
          <w:tcPr>
            <w:tcW w:w="886" w:type="dxa"/>
            <w:shd w:val="clear" w:color="auto" w:fill="auto"/>
            <w:noWrap/>
            <w:vAlign w:val="center"/>
          </w:tcPr>
          <w:p w14:paraId="04C82783" w14:textId="74BF629C"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162 872</w:t>
            </w:r>
          </w:p>
        </w:tc>
        <w:tc>
          <w:tcPr>
            <w:tcW w:w="851" w:type="dxa"/>
            <w:shd w:val="clear" w:color="auto" w:fill="auto"/>
            <w:noWrap/>
            <w:vAlign w:val="center"/>
          </w:tcPr>
          <w:p w14:paraId="0DA08CE2" w14:textId="72378A0D"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302 463</w:t>
            </w:r>
          </w:p>
        </w:tc>
        <w:tc>
          <w:tcPr>
            <w:tcW w:w="992" w:type="dxa"/>
            <w:shd w:val="clear" w:color="auto" w:fill="auto"/>
            <w:noWrap/>
            <w:vAlign w:val="center"/>
          </w:tcPr>
          <w:p w14:paraId="634967BB" w14:textId="4B38A328"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128 075</w:t>
            </w:r>
          </w:p>
        </w:tc>
        <w:tc>
          <w:tcPr>
            <w:tcW w:w="992" w:type="dxa"/>
            <w:shd w:val="clear" w:color="auto" w:fill="auto"/>
            <w:noWrap/>
            <w:vAlign w:val="center"/>
          </w:tcPr>
          <w:p w14:paraId="121D6287" w14:textId="3945A785"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42 265</w:t>
            </w:r>
          </w:p>
        </w:tc>
        <w:tc>
          <w:tcPr>
            <w:tcW w:w="1418" w:type="dxa"/>
            <w:shd w:val="clear" w:color="auto" w:fill="auto"/>
            <w:noWrap/>
            <w:vAlign w:val="center"/>
          </w:tcPr>
          <w:p w14:paraId="0C59969C" w14:textId="52196685"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31 401</w:t>
            </w:r>
          </w:p>
        </w:tc>
        <w:tc>
          <w:tcPr>
            <w:tcW w:w="1417" w:type="dxa"/>
            <w:shd w:val="clear" w:color="auto" w:fill="auto"/>
            <w:noWrap/>
            <w:vAlign w:val="center"/>
          </w:tcPr>
          <w:p w14:paraId="63F38FAC" w14:textId="24AB258A"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6 279</w:t>
            </w:r>
          </w:p>
        </w:tc>
        <w:tc>
          <w:tcPr>
            <w:tcW w:w="1891" w:type="dxa"/>
            <w:shd w:val="clear" w:color="auto" w:fill="auto"/>
            <w:noWrap/>
            <w:vAlign w:val="center"/>
          </w:tcPr>
          <w:p w14:paraId="11DBB1BF" w14:textId="2EE7A7F8" w:rsidR="006F7DAF" w:rsidRPr="00610B1B" w:rsidRDefault="006F7DAF" w:rsidP="00D32D6A">
            <w:pPr>
              <w:spacing w:after="0" w:line="240" w:lineRule="auto"/>
              <w:jc w:val="right"/>
              <w:rPr>
                <w:rFonts w:ascii="Times New Roman" w:hAnsi="Times New Roman" w:cs="Times New Roman"/>
                <w:b/>
                <w:bCs/>
                <w:sz w:val="20"/>
                <w:szCs w:val="20"/>
                <w:lang w:val="bg-BG"/>
              </w:rPr>
            </w:pPr>
            <w:r w:rsidRPr="00610B1B">
              <w:rPr>
                <w:rFonts w:ascii="Times New Roman" w:hAnsi="Times New Roman" w:cs="Times New Roman"/>
                <w:b/>
                <w:bCs/>
                <w:color w:val="000000"/>
                <w:sz w:val="20"/>
                <w:szCs w:val="20"/>
                <w:lang w:val="bg-BG"/>
              </w:rPr>
              <w:t>1 426</w:t>
            </w:r>
          </w:p>
        </w:tc>
      </w:tr>
      <w:tr w:rsidR="006F7DAF" w:rsidRPr="00610B1B" w14:paraId="700B8E3B" w14:textId="77777777" w:rsidTr="00D05544">
        <w:trPr>
          <w:trHeight w:val="255"/>
        </w:trPr>
        <w:tc>
          <w:tcPr>
            <w:tcW w:w="1560" w:type="dxa"/>
            <w:shd w:val="clear" w:color="auto" w:fill="auto"/>
            <w:noWrap/>
            <w:vAlign w:val="center"/>
          </w:tcPr>
          <w:p w14:paraId="64986FA6"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Шабла</w:t>
            </w:r>
          </w:p>
        </w:tc>
        <w:tc>
          <w:tcPr>
            <w:tcW w:w="815" w:type="dxa"/>
            <w:shd w:val="clear" w:color="auto" w:fill="auto"/>
            <w:noWrap/>
            <w:vAlign w:val="center"/>
          </w:tcPr>
          <w:p w14:paraId="4700268B" w14:textId="59011AC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4 834</w:t>
            </w:r>
          </w:p>
        </w:tc>
        <w:tc>
          <w:tcPr>
            <w:tcW w:w="886" w:type="dxa"/>
            <w:shd w:val="clear" w:color="auto" w:fill="auto"/>
            <w:noWrap/>
            <w:vAlign w:val="center"/>
          </w:tcPr>
          <w:p w14:paraId="6BD38A45" w14:textId="58885889"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475</w:t>
            </w:r>
          </w:p>
        </w:tc>
        <w:tc>
          <w:tcPr>
            <w:tcW w:w="851" w:type="dxa"/>
            <w:shd w:val="clear" w:color="auto" w:fill="auto"/>
            <w:noWrap/>
            <w:vAlign w:val="center"/>
          </w:tcPr>
          <w:p w14:paraId="2D6C68DC" w14:textId="3E732A0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2 018</w:t>
            </w:r>
          </w:p>
        </w:tc>
        <w:tc>
          <w:tcPr>
            <w:tcW w:w="992" w:type="dxa"/>
            <w:shd w:val="clear" w:color="auto" w:fill="auto"/>
            <w:noWrap/>
            <w:vAlign w:val="center"/>
          </w:tcPr>
          <w:p w14:paraId="32FF9A10" w14:textId="131F5E6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1 559</w:t>
            </w:r>
          </w:p>
        </w:tc>
        <w:tc>
          <w:tcPr>
            <w:tcW w:w="992" w:type="dxa"/>
            <w:shd w:val="clear" w:color="auto" w:fill="auto"/>
            <w:noWrap/>
            <w:vAlign w:val="center"/>
          </w:tcPr>
          <w:p w14:paraId="12C61EFF" w14:textId="65D7F9D3"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518</w:t>
            </w:r>
          </w:p>
        </w:tc>
        <w:tc>
          <w:tcPr>
            <w:tcW w:w="1418" w:type="dxa"/>
            <w:shd w:val="clear" w:color="auto" w:fill="auto"/>
            <w:noWrap/>
            <w:vAlign w:val="center"/>
          </w:tcPr>
          <w:p w14:paraId="559FE58A" w14:textId="4564C219"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207</w:t>
            </w:r>
          </w:p>
        </w:tc>
        <w:tc>
          <w:tcPr>
            <w:tcW w:w="1417" w:type="dxa"/>
            <w:shd w:val="clear" w:color="auto" w:fill="auto"/>
            <w:noWrap/>
            <w:vAlign w:val="center"/>
          </w:tcPr>
          <w:p w14:paraId="7235D538" w14:textId="06625F49"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53</w:t>
            </w:r>
          </w:p>
        </w:tc>
        <w:tc>
          <w:tcPr>
            <w:tcW w:w="1891" w:type="dxa"/>
            <w:shd w:val="clear" w:color="auto" w:fill="auto"/>
            <w:noWrap/>
            <w:vAlign w:val="center"/>
          </w:tcPr>
          <w:p w14:paraId="1641A960" w14:textId="7B04432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w:t>
            </w:r>
          </w:p>
        </w:tc>
      </w:tr>
      <w:tr w:rsidR="006F7DAF" w:rsidRPr="00610B1B" w14:paraId="3EDC2038" w14:textId="77777777" w:rsidTr="00D05544">
        <w:trPr>
          <w:trHeight w:val="255"/>
        </w:trPr>
        <w:tc>
          <w:tcPr>
            <w:tcW w:w="1560" w:type="dxa"/>
            <w:shd w:val="clear" w:color="auto" w:fill="auto"/>
            <w:noWrap/>
            <w:vAlign w:val="center"/>
          </w:tcPr>
          <w:p w14:paraId="065C5CC8"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Каварна</w:t>
            </w:r>
          </w:p>
        </w:tc>
        <w:tc>
          <w:tcPr>
            <w:tcW w:w="815" w:type="dxa"/>
            <w:shd w:val="clear" w:color="auto" w:fill="auto"/>
            <w:noWrap/>
            <w:vAlign w:val="center"/>
          </w:tcPr>
          <w:p w14:paraId="20601523" w14:textId="079694A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14 343</w:t>
            </w:r>
          </w:p>
        </w:tc>
        <w:tc>
          <w:tcPr>
            <w:tcW w:w="886" w:type="dxa"/>
            <w:shd w:val="clear" w:color="auto" w:fill="auto"/>
            <w:noWrap/>
            <w:vAlign w:val="center"/>
          </w:tcPr>
          <w:p w14:paraId="2117A733" w14:textId="36334AF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1 707</w:t>
            </w:r>
          </w:p>
        </w:tc>
        <w:tc>
          <w:tcPr>
            <w:tcW w:w="851" w:type="dxa"/>
            <w:shd w:val="clear" w:color="auto" w:fill="auto"/>
            <w:noWrap/>
            <w:vAlign w:val="center"/>
          </w:tcPr>
          <w:p w14:paraId="23760DF2" w14:textId="2EFF318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5 315</w:t>
            </w:r>
          </w:p>
        </w:tc>
        <w:tc>
          <w:tcPr>
            <w:tcW w:w="992" w:type="dxa"/>
            <w:shd w:val="clear" w:color="auto" w:fill="auto"/>
            <w:noWrap/>
            <w:vAlign w:val="center"/>
          </w:tcPr>
          <w:p w14:paraId="0301BC28" w14:textId="2951009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3 779</w:t>
            </w:r>
          </w:p>
        </w:tc>
        <w:tc>
          <w:tcPr>
            <w:tcW w:w="992" w:type="dxa"/>
            <w:shd w:val="clear" w:color="auto" w:fill="auto"/>
            <w:noWrap/>
            <w:vAlign w:val="center"/>
          </w:tcPr>
          <w:p w14:paraId="749C09B1" w14:textId="152E08E3"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2 212</w:t>
            </w:r>
          </w:p>
        </w:tc>
        <w:tc>
          <w:tcPr>
            <w:tcW w:w="1418" w:type="dxa"/>
            <w:shd w:val="clear" w:color="auto" w:fill="auto"/>
            <w:noWrap/>
            <w:vAlign w:val="center"/>
          </w:tcPr>
          <w:p w14:paraId="212CD03A" w14:textId="7F59F27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883</w:t>
            </w:r>
          </w:p>
        </w:tc>
        <w:tc>
          <w:tcPr>
            <w:tcW w:w="1417" w:type="dxa"/>
            <w:shd w:val="clear" w:color="auto" w:fill="auto"/>
            <w:noWrap/>
            <w:vAlign w:val="center"/>
          </w:tcPr>
          <w:p w14:paraId="4F3D1477" w14:textId="0EA202F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411</w:t>
            </w:r>
          </w:p>
        </w:tc>
        <w:tc>
          <w:tcPr>
            <w:tcW w:w="1891" w:type="dxa"/>
            <w:shd w:val="clear" w:color="auto" w:fill="auto"/>
            <w:noWrap/>
            <w:vAlign w:val="center"/>
          </w:tcPr>
          <w:p w14:paraId="7546F96F" w14:textId="0AF7E733"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36</w:t>
            </w:r>
          </w:p>
        </w:tc>
      </w:tr>
      <w:tr w:rsidR="006F7DAF" w:rsidRPr="00610B1B" w14:paraId="5DCCA149" w14:textId="77777777" w:rsidTr="00D05544">
        <w:trPr>
          <w:trHeight w:val="255"/>
        </w:trPr>
        <w:tc>
          <w:tcPr>
            <w:tcW w:w="1560" w:type="dxa"/>
            <w:shd w:val="clear" w:color="auto" w:fill="auto"/>
            <w:noWrap/>
            <w:vAlign w:val="center"/>
          </w:tcPr>
          <w:p w14:paraId="1DCCD8CA"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Балчик</w:t>
            </w:r>
          </w:p>
        </w:tc>
        <w:tc>
          <w:tcPr>
            <w:tcW w:w="815" w:type="dxa"/>
            <w:shd w:val="clear" w:color="auto" w:fill="auto"/>
            <w:noWrap/>
            <w:vAlign w:val="center"/>
          </w:tcPr>
          <w:p w14:paraId="56A58C0E" w14:textId="72400891"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18 894</w:t>
            </w:r>
          </w:p>
        </w:tc>
        <w:tc>
          <w:tcPr>
            <w:tcW w:w="886" w:type="dxa"/>
            <w:shd w:val="clear" w:color="auto" w:fill="auto"/>
            <w:noWrap/>
            <w:vAlign w:val="center"/>
          </w:tcPr>
          <w:p w14:paraId="27FAEAA6" w14:textId="0E62FCD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2 143</w:t>
            </w:r>
          </w:p>
        </w:tc>
        <w:tc>
          <w:tcPr>
            <w:tcW w:w="851" w:type="dxa"/>
            <w:shd w:val="clear" w:color="auto" w:fill="auto"/>
            <w:noWrap/>
            <w:vAlign w:val="center"/>
          </w:tcPr>
          <w:p w14:paraId="6008BBEB" w14:textId="04A5342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7 057</w:t>
            </w:r>
          </w:p>
        </w:tc>
        <w:tc>
          <w:tcPr>
            <w:tcW w:w="992" w:type="dxa"/>
            <w:shd w:val="clear" w:color="auto" w:fill="auto"/>
            <w:noWrap/>
            <w:vAlign w:val="center"/>
          </w:tcPr>
          <w:p w14:paraId="4A1E0980" w14:textId="12C4990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5 502</w:t>
            </w:r>
          </w:p>
        </w:tc>
        <w:tc>
          <w:tcPr>
            <w:tcW w:w="992" w:type="dxa"/>
            <w:shd w:val="clear" w:color="auto" w:fill="auto"/>
            <w:noWrap/>
            <w:vAlign w:val="center"/>
          </w:tcPr>
          <w:p w14:paraId="7D5F5940" w14:textId="710E541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2 586</w:t>
            </w:r>
          </w:p>
        </w:tc>
        <w:tc>
          <w:tcPr>
            <w:tcW w:w="1418" w:type="dxa"/>
            <w:shd w:val="clear" w:color="auto" w:fill="auto"/>
            <w:noWrap/>
            <w:vAlign w:val="center"/>
          </w:tcPr>
          <w:p w14:paraId="4DEFDFB7" w14:textId="5E63CD2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1 145</w:t>
            </w:r>
          </w:p>
        </w:tc>
        <w:tc>
          <w:tcPr>
            <w:tcW w:w="1417" w:type="dxa"/>
            <w:shd w:val="clear" w:color="auto" w:fill="auto"/>
            <w:noWrap/>
            <w:vAlign w:val="center"/>
          </w:tcPr>
          <w:p w14:paraId="066645E0" w14:textId="7B0617B0"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416</w:t>
            </w:r>
          </w:p>
        </w:tc>
        <w:tc>
          <w:tcPr>
            <w:tcW w:w="1891" w:type="dxa"/>
            <w:shd w:val="clear" w:color="auto" w:fill="auto"/>
            <w:noWrap/>
            <w:vAlign w:val="center"/>
          </w:tcPr>
          <w:p w14:paraId="1C93666A" w14:textId="10E47FE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45</w:t>
            </w:r>
          </w:p>
        </w:tc>
      </w:tr>
      <w:tr w:rsidR="006F7DAF" w:rsidRPr="00610B1B" w14:paraId="13A51CD9" w14:textId="77777777" w:rsidTr="00D05544">
        <w:trPr>
          <w:trHeight w:val="255"/>
        </w:trPr>
        <w:tc>
          <w:tcPr>
            <w:tcW w:w="1560" w:type="dxa"/>
            <w:shd w:val="clear" w:color="auto" w:fill="auto"/>
            <w:noWrap/>
            <w:vAlign w:val="center"/>
          </w:tcPr>
          <w:p w14:paraId="0E5450E1"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Аксаково</w:t>
            </w:r>
          </w:p>
        </w:tc>
        <w:tc>
          <w:tcPr>
            <w:tcW w:w="815" w:type="dxa"/>
            <w:shd w:val="clear" w:color="auto" w:fill="auto"/>
            <w:noWrap/>
            <w:vAlign w:val="center"/>
          </w:tcPr>
          <w:p w14:paraId="53AF75AB" w14:textId="665E1C6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18 814</w:t>
            </w:r>
          </w:p>
        </w:tc>
        <w:tc>
          <w:tcPr>
            <w:tcW w:w="886" w:type="dxa"/>
            <w:shd w:val="clear" w:color="auto" w:fill="auto"/>
            <w:noWrap/>
            <w:vAlign w:val="center"/>
          </w:tcPr>
          <w:p w14:paraId="0D42083A" w14:textId="0B246820"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1 864</w:t>
            </w:r>
          </w:p>
        </w:tc>
        <w:tc>
          <w:tcPr>
            <w:tcW w:w="851" w:type="dxa"/>
            <w:shd w:val="clear" w:color="auto" w:fill="auto"/>
            <w:noWrap/>
            <w:vAlign w:val="center"/>
          </w:tcPr>
          <w:p w14:paraId="39424A26" w14:textId="43D408E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7 266</w:t>
            </w:r>
          </w:p>
        </w:tc>
        <w:tc>
          <w:tcPr>
            <w:tcW w:w="992" w:type="dxa"/>
            <w:shd w:val="clear" w:color="auto" w:fill="auto"/>
            <w:noWrap/>
            <w:vAlign w:val="center"/>
          </w:tcPr>
          <w:p w14:paraId="3F236CAC" w14:textId="44F106A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6 365</w:t>
            </w:r>
          </w:p>
        </w:tc>
        <w:tc>
          <w:tcPr>
            <w:tcW w:w="992" w:type="dxa"/>
            <w:shd w:val="clear" w:color="auto" w:fill="auto"/>
            <w:noWrap/>
            <w:vAlign w:val="center"/>
          </w:tcPr>
          <w:p w14:paraId="4D0CC64B" w14:textId="1C84D6D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1 827</w:t>
            </w:r>
          </w:p>
        </w:tc>
        <w:tc>
          <w:tcPr>
            <w:tcW w:w="1418" w:type="dxa"/>
            <w:shd w:val="clear" w:color="auto" w:fill="auto"/>
            <w:noWrap/>
            <w:vAlign w:val="center"/>
          </w:tcPr>
          <w:p w14:paraId="7E2013D8" w14:textId="3E31A06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1 189</w:t>
            </w:r>
          </w:p>
        </w:tc>
        <w:tc>
          <w:tcPr>
            <w:tcW w:w="1417" w:type="dxa"/>
            <w:shd w:val="clear" w:color="auto" w:fill="auto"/>
            <w:noWrap/>
            <w:vAlign w:val="center"/>
          </w:tcPr>
          <w:p w14:paraId="2FA63530" w14:textId="111E8D4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252</w:t>
            </w:r>
          </w:p>
        </w:tc>
        <w:tc>
          <w:tcPr>
            <w:tcW w:w="1891" w:type="dxa"/>
            <w:shd w:val="clear" w:color="auto" w:fill="auto"/>
            <w:noWrap/>
            <w:vAlign w:val="center"/>
          </w:tcPr>
          <w:p w14:paraId="165345B0" w14:textId="23A15BE2"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51</w:t>
            </w:r>
          </w:p>
        </w:tc>
      </w:tr>
      <w:tr w:rsidR="006F7DAF" w:rsidRPr="00610B1B" w14:paraId="3202E0EA" w14:textId="77777777" w:rsidTr="00D05544">
        <w:trPr>
          <w:trHeight w:val="255"/>
        </w:trPr>
        <w:tc>
          <w:tcPr>
            <w:tcW w:w="1560" w:type="dxa"/>
            <w:shd w:val="clear" w:color="auto" w:fill="auto"/>
            <w:noWrap/>
            <w:vAlign w:val="center"/>
          </w:tcPr>
          <w:p w14:paraId="4050753E"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Варна</w:t>
            </w:r>
          </w:p>
        </w:tc>
        <w:tc>
          <w:tcPr>
            <w:tcW w:w="815" w:type="dxa"/>
            <w:shd w:val="clear" w:color="auto" w:fill="auto"/>
            <w:noWrap/>
            <w:vAlign w:val="center"/>
          </w:tcPr>
          <w:p w14:paraId="69AE9F24" w14:textId="6863E68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319 276</w:t>
            </w:r>
          </w:p>
        </w:tc>
        <w:tc>
          <w:tcPr>
            <w:tcW w:w="886" w:type="dxa"/>
            <w:shd w:val="clear" w:color="auto" w:fill="auto"/>
            <w:noWrap/>
            <w:vAlign w:val="center"/>
          </w:tcPr>
          <w:p w14:paraId="6B1C1D30" w14:textId="3A4FE61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96 060</w:t>
            </w:r>
          </w:p>
        </w:tc>
        <w:tc>
          <w:tcPr>
            <w:tcW w:w="851" w:type="dxa"/>
            <w:shd w:val="clear" w:color="auto" w:fill="auto"/>
            <w:noWrap/>
            <w:vAlign w:val="center"/>
          </w:tcPr>
          <w:p w14:paraId="3098B6F8" w14:textId="413DB7D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147 699</w:t>
            </w:r>
          </w:p>
        </w:tc>
        <w:tc>
          <w:tcPr>
            <w:tcW w:w="992" w:type="dxa"/>
            <w:shd w:val="clear" w:color="auto" w:fill="auto"/>
            <w:noWrap/>
            <w:vAlign w:val="center"/>
          </w:tcPr>
          <w:p w14:paraId="6DB01DBC" w14:textId="1D83C290"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46 575</w:t>
            </w:r>
          </w:p>
        </w:tc>
        <w:tc>
          <w:tcPr>
            <w:tcW w:w="992" w:type="dxa"/>
            <w:shd w:val="clear" w:color="auto" w:fill="auto"/>
            <w:noWrap/>
            <w:vAlign w:val="center"/>
          </w:tcPr>
          <w:p w14:paraId="1871A6BE" w14:textId="3E8E2BC7"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13 343</w:t>
            </w:r>
          </w:p>
        </w:tc>
        <w:tc>
          <w:tcPr>
            <w:tcW w:w="1418" w:type="dxa"/>
            <w:shd w:val="clear" w:color="auto" w:fill="auto"/>
            <w:noWrap/>
            <w:vAlign w:val="center"/>
          </w:tcPr>
          <w:p w14:paraId="5B167ACC" w14:textId="781FE18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13 211</w:t>
            </w:r>
          </w:p>
        </w:tc>
        <w:tc>
          <w:tcPr>
            <w:tcW w:w="1417" w:type="dxa"/>
            <w:shd w:val="clear" w:color="auto" w:fill="auto"/>
            <w:noWrap/>
            <w:vAlign w:val="center"/>
          </w:tcPr>
          <w:p w14:paraId="0871D1A9" w14:textId="112B6F1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1 830</w:t>
            </w:r>
          </w:p>
        </w:tc>
        <w:tc>
          <w:tcPr>
            <w:tcW w:w="1891" w:type="dxa"/>
            <w:shd w:val="clear" w:color="auto" w:fill="auto"/>
            <w:noWrap/>
            <w:vAlign w:val="center"/>
          </w:tcPr>
          <w:p w14:paraId="1184E2F1" w14:textId="46A8EDD1"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558</w:t>
            </w:r>
          </w:p>
        </w:tc>
      </w:tr>
      <w:tr w:rsidR="006F7DAF" w:rsidRPr="00610B1B" w14:paraId="060165E2" w14:textId="77777777" w:rsidTr="00D05544">
        <w:trPr>
          <w:trHeight w:val="255"/>
        </w:trPr>
        <w:tc>
          <w:tcPr>
            <w:tcW w:w="1560" w:type="dxa"/>
            <w:shd w:val="clear" w:color="auto" w:fill="auto"/>
            <w:noWrap/>
            <w:vAlign w:val="center"/>
          </w:tcPr>
          <w:p w14:paraId="337B2EAD"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Аврен</w:t>
            </w:r>
          </w:p>
        </w:tc>
        <w:tc>
          <w:tcPr>
            <w:tcW w:w="815" w:type="dxa"/>
            <w:shd w:val="clear" w:color="auto" w:fill="auto"/>
            <w:noWrap/>
            <w:vAlign w:val="center"/>
          </w:tcPr>
          <w:p w14:paraId="17BA6922" w14:textId="0CBA2A4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7 851</w:t>
            </w:r>
          </w:p>
        </w:tc>
        <w:tc>
          <w:tcPr>
            <w:tcW w:w="886" w:type="dxa"/>
            <w:shd w:val="clear" w:color="auto" w:fill="auto"/>
            <w:noWrap/>
            <w:vAlign w:val="center"/>
          </w:tcPr>
          <w:p w14:paraId="655FFF5D" w14:textId="5F868AE9"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624</w:t>
            </w:r>
          </w:p>
        </w:tc>
        <w:tc>
          <w:tcPr>
            <w:tcW w:w="851" w:type="dxa"/>
            <w:shd w:val="clear" w:color="auto" w:fill="auto"/>
            <w:noWrap/>
            <w:vAlign w:val="center"/>
          </w:tcPr>
          <w:p w14:paraId="2ED46D9A" w14:textId="5FE49463"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2 480</w:t>
            </w:r>
          </w:p>
        </w:tc>
        <w:tc>
          <w:tcPr>
            <w:tcW w:w="992" w:type="dxa"/>
            <w:shd w:val="clear" w:color="auto" w:fill="auto"/>
            <w:noWrap/>
            <w:vAlign w:val="center"/>
          </w:tcPr>
          <w:p w14:paraId="267D661E" w14:textId="08B3EEB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2 791</w:t>
            </w:r>
          </w:p>
        </w:tc>
        <w:tc>
          <w:tcPr>
            <w:tcW w:w="992" w:type="dxa"/>
            <w:shd w:val="clear" w:color="auto" w:fill="auto"/>
            <w:noWrap/>
            <w:vAlign w:val="center"/>
          </w:tcPr>
          <w:p w14:paraId="33C35714" w14:textId="2F48BC6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1 242</w:t>
            </w:r>
          </w:p>
        </w:tc>
        <w:tc>
          <w:tcPr>
            <w:tcW w:w="1418" w:type="dxa"/>
            <w:shd w:val="clear" w:color="auto" w:fill="auto"/>
            <w:noWrap/>
            <w:vAlign w:val="center"/>
          </w:tcPr>
          <w:p w14:paraId="67F06D5C" w14:textId="4BD9385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501</w:t>
            </w:r>
          </w:p>
        </w:tc>
        <w:tc>
          <w:tcPr>
            <w:tcW w:w="1417" w:type="dxa"/>
            <w:shd w:val="clear" w:color="auto" w:fill="auto"/>
            <w:noWrap/>
            <w:vAlign w:val="center"/>
          </w:tcPr>
          <w:p w14:paraId="0DA04D20" w14:textId="13412E1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205</w:t>
            </w:r>
          </w:p>
        </w:tc>
        <w:tc>
          <w:tcPr>
            <w:tcW w:w="1891" w:type="dxa"/>
            <w:shd w:val="clear" w:color="auto" w:fill="auto"/>
            <w:noWrap/>
            <w:vAlign w:val="center"/>
          </w:tcPr>
          <w:p w14:paraId="59BB6AEA" w14:textId="54FE8097"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w:t>
            </w:r>
          </w:p>
        </w:tc>
      </w:tr>
      <w:tr w:rsidR="006F7DAF" w:rsidRPr="00610B1B" w14:paraId="2AD0556D" w14:textId="77777777" w:rsidTr="00D05544">
        <w:trPr>
          <w:trHeight w:val="255"/>
        </w:trPr>
        <w:tc>
          <w:tcPr>
            <w:tcW w:w="1560" w:type="dxa"/>
            <w:shd w:val="clear" w:color="auto" w:fill="auto"/>
            <w:noWrap/>
            <w:vAlign w:val="center"/>
          </w:tcPr>
          <w:p w14:paraId="7EAE3E87" w14:textId="07B1E288"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Д. чифлик</w:t>
            </w:r>
          </w:p>
        </w:tc>
        <w:tc>
          <w:tcPr>
            <w:tcW w:w="815" w:type="dxa"/>
            <w:shd w:val="clear" w:color="auto" w:fill="auto"/>
            <w:noWrap/>
            <w:vAlign w:val="center"/>
          </w:tcPr>
          <w:p w14:paraId="7DA1C06B" w14:textId="5B2E93B2"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17 573</w:t>
            </w:r>
          </w:p>
        </w:tc>
        <w:tc>
          <w:tcPr>
            <w:tcW w:w="886" w:type="dxa"/>
            <w:shd w:val="clear" w:color="auto" w:fill="auto"/>
            <w:noWrap/>
            <w:vAlign w:val="center"/>
          </w:tcPr>
          <w:p w14:paraId="415FC0FB" w14:textId="01F60BC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857</w:t>
            </w:r>
          </w:p>
        </w:tc>
        <w:tc>
          <w:tcPr>
            <w:tcW w:w="851" w:type="dxa"/>
            <w:shd w:val="clear" w:color="auto" w:fill="auto"/>
            <w:noWrap/>
            <w:vAlign w:val="center"/>
          </w:tcPr>
          <w:p w14:paraId="117B3D9F" w14:textId="5CC2F83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4 973</w:t>
            </w:r>
          </w:p>
        </w:tc>
        <w:tc>
          <w:tcPr>
            <w:tcW w:w="992" w:type="dxa"/>
            <w:shd w:val="clear" w:color="auto" w:fill="auto"/>
            <w:noWrap/>
            <w:vAlign w:val="center"/>
          </w:tcPr>
          <w:p w14:paraId="3FF7A779" w14:textId="759F944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6 378</w:t>
            </w:r>
          </w:p>
        </w:tc>
        <w:tc>
          <w:tcPr>
            <w:tcW w:w="992" w:type="dxa"/>
            <w:shd w:val="clear" w:color="auto" w:fill="auto"/>
            <w:noWrap/>
            <w:vAlign w:val="center"/>
          </w:tcPr>
          <w:p w14:paraId="1AE094F7" w14:textId="2C84D77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3 212</w:t>
            </w:r>
          </w:p>
        </w:tc>
        <w:tc>
          <w:tcPr>
            <w:tcW w:w="1418" w:type="dxa"/>
            <w:shd w:val="clear" w:color="auto" w:fill="auto"/>
            <w:noWrap/>
            <w:vAlign w:val="center"/>
          </w:tcPr>
          <w:p w14:paraId="34BF9090" w14:textId="07479F1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1 438</w:t>
            </w:r>
          </w:p>
        </w:tc>
        <w:tc>
          <w:tcPr>
            <w:tcW w:w="1417" w:type="dxa"/>
            <w:shd w:val="clear" w:color="auto" w:fill="auto"/>
            <w:noWrap/>
            <w:vAlign w:val="center"/>
          </w:tcPr>
          <w:p w14:paraId="3419AD12" w14:textId="2B0DF82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643</w:t>
            </w:r>
          </w:p>
        </w:tc>
        <w:tc>
          <w:tcPr>
            <w:tcW w:w="1891" w:type="dxa"/>
            <w:shd w:val="clear" w:color="auto" w:fill="auto"/>
            <w:noWrap/>
            <w:vAlign w:val="center"/>
          </w:tcPr>
          <w:p w14:paraId="58114D53" w14:textId="715B99AE"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72</w:t>
            </w:r>
          </w:p>
        </w:tc>
      </w:tr>
      <w:tr w:rsidR="006F7DAF" w:rsidRPr="00610B1B" w14:paraId="1FD04666" w14:textId="77777777" w:rsidTr="00D05544">
        <w:trPr>
          <w:trHeight w:val="255"/>
        </w:trPr>
        <w:tc>
          <w:tcPr>
            <w:tcW w:w="1560" w:type="dxa"/>
            <w:shd w:val="clear" w:color="auto" w:fill="auto"/>
            <w:noWrap/>
            <w:vAlign w:val="center"/>
          </w:tcPr>
          <w:p w14:paraId="1569FC22"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Бяла</w:t>
            </w:r>
          </w:p>
        </w:tc>
        <w:tc>
          <w:tcPr>
            <w:tcW w:w="815" w:type="dxa"/>
            <w:shd w:val="clear" w:color="auto" w:fill="auto"/>
            <w:noWrap/>
            <w:vAlign w:val="center"/>
          </w:tcPr>
          <w:p w14:paraId="1DFA6D69" w14:textId="0940A77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3 006</w:t>
            </w:r>
          </w:p>
        </w:tc>
        <w:tc>
          <w:tcPr>
            <w:tcW w:w="886" w:type="dxa"/>
            <w:shd w:val="clear" w:color="auto" w:fill="auto"/>
            <w:noWrap/>
            <w:vAlign w:val="center"/>
          </w:tcPr>
          <w:p w14:paraId="2B440C71" w14:textId="04861BD7"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235</w:t>
            </w:r>
          </w:p>
        </w:tc>
        <w:tc>
          <w:tcPr>
            <w:tcW w:w="851" w:type="dxa"/>
            <w:shd w:val="clear" w:color="auto" w:fill="auto"/>
            <w:noWrap/>
            <w:vAlign w:val="center"/>
          </w:tcPr>
          <w:p w14:paraId="6C9E26D6" w14:textId="5B4E43C1"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1 120</w:t>
            </w:r>
          </w:p>
        </w:tc>
        <w:tc>
          <w:tcPr>
            <w:tcW w:w="992" w:type="dxa"/>
            <w:shd w:val="clear" w:color="auto" w:fill="auto"/>
            <w:noWrap/>
            <w:vAlign w:val="center"/>
          </w:tcPr>
          <w:p w14:paraId="0A44CD24" w14:textId="2376D7F1"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843</w:t>
            </w:r>
          </w:p>
        </w:tc>
        <w:tc>
          <w:tcPr>
            <w:tcW w:w="992" w:type="dxa"/>
            <w:shd w:val="clear" w:color="auto" w:fill="auto"/>
            <w:noWrap/>
            <w:vAlign w:val="center"/>
          </w:tcPr>
          <w:p w14:paraId="0C7E990D" w14:textId="3B2C9F72"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465</w:t>
            </w:r>
          </w:p>
        </w:tc>
        <w:tc>
          <w:tcPr>
            <w:tcW w:w="1418" w:type="dxa"/>
            <w:shd w:val="clear" w:color="auto" w:fill="auto"/>
            <w:noWrap/>
            <w:vAlign w:val="center"/>
          </w:tcPr>
          <w:p w14:paraId="6FC23953" w14:textId="6D6F29B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279</w:t>
            </w:r>
          </w:p>
        </w:tc>
        <w:tc>
          <w:tcPr>
            <w:tcW w:w="1417" w:type="dxa"/>
            <w:shd w:val="clear" w:color="auto" w:fill="auto"/>
            <w:noWrap/>
            <w:vAlign w:val="center"/>
          </w:tcPr>
          <w:p w14:paraId="091E0870" w14:textId="7FCBB54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60</w:t>
            </w:r>
          </w:p>
        </w:tc>
        <w:tc>
          <w:tcPr>
            <w:tcW w:w="1891" w:type="dxa"/>
            <w:shd w:val="clear" w:color="auto" w:fill="auto"/>
            <w:noWrap/>
            <w:vAlign w:val="center"/>
          </w:tcPr>
          <w:p w14:paraId="603657B9" w14:textId="285159F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w:t>
            </w:r>
          </w:p>
        </w:tc>
      </w:tr>
      <w:tr w:rsidR="006F7DAF" w:rsidRPr="00610B1B" w14:paraId="3AA9F0FA" w14:textId="77777777" w:rsidTr="00D05544">
        <w:trPr>
          <w:trHeight w:val="255"/>
        </w:trPr>
        <w:tc>
          <w:tcPr>
            <w:tcW w:w="1560" w:type="dxa"/>
            <w:shd w:val="clear" w:color="auto" w:fill="auto"/>
            <w:noWrap/>
            <w:vAlign w:val="center"/>
          </w:tcPr>
          <w:p w14:paraId="14298A01"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Несебър</w:t>
            </w:r>
          </w:p>
        </w:tc>
        <w:tc>
          <w:tcPr>
            <w:tcW w:w="815" w:type="dxa"/>
            <w:shd w:val="clear" w:color="auto" w:fill="auto"/>
            <w:noWrap/>
            <w:vAlign w:val="center"/>
          </w:tcPr>
          <w:p w14:paraId="189FFEC4" w14:textId="2AF9950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20 577</w:t>
            </w:r>
          </w:p>
        </w:tc>
        <w:tc>
          <w:tcPr>
            <w:tcW w:w="886" w:type="dxa"/>
            <w:shd w:val="clear" w:color="auto" w:fill="auto"/>
            <w:noWrap/>
            <w:vAlign w:val="center"/>
          </w:tcPr>
          <w:p w14:paraId="4CFD53BC" w14:textId="24F0B51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3 162</w:t>
            </w:r>
          </w:p>
        </w:tc>
        <w:tc>
          <w:tcPr>
            <w:tcW w:w="851" w:type="dxa"/>
            <w:shd w:val="clear" w:color="auto" w:fill="auto"/>
            <w:noWrap/>
            <w:vAlign w:val="center"/>
          </w:tcPr>
          <w:p w14:paraId="2D82256B" w14:textId="14168E5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9 871</w:t>
            </w:r>
          </w:p>
        </w:tc>
        <w:tc>
          <w:tcPr>
            <w:tcW w:w="992" w:type="dxa"/>
            <w:shd w:val="clear" w:color="auto" w:fill="auto"/>
            <w:noWrap/>
            <w:vAlign w:val="center"/>
          </w:tcPr>
          <w:p w14:paraId="74E256B4" w14:textId="42909E6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4 766</w:t>
            </w:r>
          </w:p>
        </w:tc>
        <w:tc>
          <w:tcPr>
            <w:tcW w:w="992" w:type="dxa"/>
            <w:shd w:val="clear" w:color="auto" w:fill="auto"/>
            <w:noWrap/>
            <w:vAlign w:val="center"/>
          </w:tcPr>
          <w:p w14:paraId="2A25399E" w14:textId="1561BABE"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1 619</w:t>
            </w:r>
          </w:p>
        </w:tc>
        <w:tc>
          <w:tcPr>
            <w:tcW w:w="1418" w:type="dxa"/>
            <w:shd w:val="clear" w:color="auto" w:fill="auto"/>
            <w:noWrap/>
            <w:vAlign w:val="center"/>
          </w:tcPr>
          <w:p w14:paraId="7120308C" w14:textId="4AD26FD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947</w:t>
            </w:r>
          </w:p>
        </w:tc>
        <w:tc>
          <w:tcPr>
            <w:tcW w:w="1417" w:type="dxa"/>
            <w:shd w:val="clear" w:color="auto" w:fill="auto"/>
            <w:noWrap/>
            <w:vAlign w:val="center"/>
          </w:tcPr>
          <w:p w14:paraId="7AF35601" w14:textId="458274E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152</w:t>
            </w:r>
          </w:p>
        </w:tc>
        <w:tc>
          <w:tcPr>
            <w:tcW w:w="1891" w:type="dxa"/>
            <w:shd w:val="clear" w:color="auto" w:fill="auto"/>
            <w:noWrap/>
            <w:vAlign w:val="center"/>
          </w:tcPr>
          <w:p w14:paraId="64375AF9" w14:textId="67DDB78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60</w:t>
            </w:r>
          </w:p>
        </w:tc>
      </w:tr>
      <w:tr w:rsidR="006F7DAF" w:rsidRPr="00610B1B" w14:paraId="41B62AB6" w14:textId="77777777" w:rsidTr="00D05544">
        <w:trPr>
          <w:trHeight w:val="255"/>
        </w:trPr>
        <w:tc>
          <w:tcPr>
            <w:tcW w:w="1560" w:type="dxa"/>
            <w:shd w:val="clear" w:color="auto" w:fill="auto"/>
            <w:noWrap/>
            <w:vAlign w:val="center"/>
          </w:tcPr>
          <w:p w14:paraId="248E7D97"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Поморие</w:t>
            </w:r>
          </w:p>
        </w:tc>
        <w:tc>
          <w:tcPr>
            <w:tcW w:w="815" w:type="dxa"/>
            <w:shd w:val="clear" w:color="auto" w:fill="auto"/>
            <w:noWrap/>
            <w:vAlign w:val="center"/>
          </w:tcPr>
          <w:p w14:paraId="0974CA5F" w14:textId="1CDAA4A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25 549</w:t>
            </w:r>
          </w:p>
        </w:tc>
        <w:tc>
          <w:tcPr>
            <w:tcW w:w="886" w:type="dxa"/>
            <w:shd w:val="clear" w:color="auto" w:fill="auto"/>
            <w:noWrap/>
            <w:vAlign w:val="center"/>
          </w:tcPr>
          <w:p w14:paraId="6084610C" w14:textId="2463718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2 917</w:t>
            </w:r>
          </w:p>
        </w:tc>
        <w:tc>
          <w:tcPr>
            <w:tcW w:w="851" w:type="dxa"/>
            <w:shd w:val="clear" w:color="auto" w:fill="auto"/>
            <w:noWrap/>
            <w:vAlign w:val="center"/>
          </w:tcPr>
          <w:p w14:paraId="518BEE96" w14:textId="1FE1490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9 943</w:t>
            </w:r>
          </w:p>
        </w:tc>
        <w:tc>
          <w:tcPr>
            <w:tcW w:w="992" w:type="dxa"/>
            <w:shd w:val="clear" w:color="auto" w:fill="auto"/>
            <w:noWrap/>
            <w:vAlign w:val="center"/>
          </w:tcPr>
          <w:p w14:paraId="004CD98C" w14:textId="7A966227"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7 805</w:t>
            </w:r>
          </w:p>
        </w:tc>
        <w:tc>
          <w:tcPr>
            <w:tcW w:w="992" w:type="dxa"/>
            <w:shd w:val="clear" w:color="auto" w:fill="auto"/>
            <w:noWrap/>
            <w:vAlign w:val="center"/>
          </w:tcPr>
          <w:p w14:paraId="1F42764D" w14:textId="2093224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2 713</w:t>
            </w:r>
          </w:p>
        </w:tc>
        <w:tc>
          <w:tcPr>
            <w:tcW w:w="1418" w:type="dxa"/>
            <w:shd w:val="clear" w:color="auto" w:fill="auto"/>
            <w:noWrap/>
            <w:vAlign w:val="center"/>
          </w:tcPr>
          <w:p w14:paraId="53C1226B" w14:textId="15B2437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1 725</w:t>
            </w:r>
          </w:p>
        </w:tc>
        <w:tc>
          <w:tcPr>
            <w:tcW w:w="1417" w:type="dxa"/>
            <w:shd w:val="clear" w:color="auto" w:fill="auto"/>
            <w:noWrap/>
            <w:vAlign w:val="center"/>
          </w:tcPr>
          <w:p w14:paraId="33523ECF" w14:textId="50617A19"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362</w:t>
            </w:r>
          </w:p>
        </w:tc>
        <w:tc>
          <w:tcPr>
            <w:tcW w:w="1891" w:type="dxa"/>
            <w:shd w:val="clear" w:color="auto" w:fill="auto"/>
            <w:noWrap/>
            <w:vAlign w:val="center"/>
          </w:tcPr>
          <w:p w14:paraId="7540602A" w14:textId="01DDA057"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84</w:t>
            </w:r>
          </w:p>
        </w:tc>
      </w:tr>
      <w:tr w:rsidR="006F7DAF" w:rsidRPr="00610B1B" w14:paraId="7F8672A5" w14:textId="77777777" w:rsidTr="00D05544">
        <w:trPr>
          <w:trHeight w:val="255"/>
        </w:trPr>
        <w:tc>
          <w:tcPr>
            <w:tcW w:w="1560" w:type="dxa"/>
            <w:shd w:val="clear" w:color="auto" w:fill="auto"/>
            <w:noWrap/>
            <w:vAlign w:val="center"/>
          </w:tcPr>
          <w:p w14:paraId="049160E9"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Бургас</w:t>
            </w:r>
          </w:p>
        </w:tc>
        <w:tc>
          <w:tcPr>
            <w:tcW w:w="815" w:type="dxa"/>
            <w:shd w:val="clear" w:color="auto" w:fill="auto"/>
            <w:noWrap/>
            <w:vAlign w:val="center"/>
          </w:tcPr>
          <w:p w14:paraId="583F877C" w14:textId="3A808CF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198 064</w:t>
            </w:r>
          </w:p>
        </w:tc>
        <w:tc>
          <w:tcPr>
            <w:tcW w:w="886" w:type="dxa"/>
            <w:shd w:val="clear" w:color="auto" w:fill="auto"/>
            <w:noWrap/>
            <w:vAlign w:val="center"/>
          </w:tcPr>
          <w:p w14:paraId="183D8CC5" w14:textId="3F40B970"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49 777</w:t>
            </w:r>
          </w:p>
        </w:tc>
        <w:tc>
          <w:tcPr>
            <w:tcW w:w="851" w:type="dxa"/>
            <w:shd w:val="clear" w:color="auto" w:fill="auto"/>
            <w:noWrap/>
            <w:vAlign w:val="center"/>
          </w:tcPr>
          <w:p w14:paraId="0C4E2A8D" w14:textId="52577EB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94 142</w:t>
            </w:r>
          </w:p>
        </w:tc>
        <w:tc>
          <w:tcPr>
            <w:tcW w:w="992" w:type="dxa"/>
            <w:shd w:val="clear" w:color="auto" w:fill="auto"/>
            <w:noWrap/>
            <w:vAlign w:val="center"/>
          </w:tcPr>
          <w:p w14:paraId="2DC3138E" w14:textId="5136252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33 977</w:t>
            </w:r>
          </w:p>
        </w:tc>
        <w:tc>
          <w:tcPr>
            <w:tcW w:w="992" w:type="dxa"/>
            <w:shd w:val="clear" w:color="auto" w:fill="auto"/>
            <w:noWrap/>
            <w:vAlign w:val="center"/>
          </w:tcPr>
          <w:p w14:paraId="2FD1E822" w14:textId="0370271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9 693</w:t>
            </w:r>
          </w:p>
        </w:tc>
        <w:tc>
          <w:tcPr>
            <w:tcW w:w="1418" w:type="dxa"/>
            <w:shd w:val="clear" w:color="auto" w:fill="auto"/>
            <w:noWrap/>
            <w:vAlign w:val="center"/>
          </w:tcPr>
          <w:p w14:paraId="22C32703" w14:textId="07019171"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8 478</w:t>
            </w:r>
          </w:p>
        </w:tc>
        <w:tc>
          <w:tcPr>
            <w:tcW w:w="1417" w:type="dxa"/>
            <w:shd w:val="clear" w:color="auto" w:fill="auto"/>
            <w:noWrap/>
            <w:vAlign w:val="center"/>
          </w:tcPr>
          <w:p w14:paraId="33BC5C95" w14:textId="34974FEE"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1 564</w:t>
            </w:r>
          </w:p>
        </w:tc>
        <w:tc>
          <w:tcPr>
            <w:tcW w:w="1891" w:type="dxa"/>
            <w:shd w:val="clear" w:color="auto" w:fill="auto"/>
            <w:noWrap/>
            <w:vAlign w:val="center"/>
          </w:tcPr>
          <w:p w14:paraId="5C388656" w14:textId="1EBE4A2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433</w:t>
            </w:r>
          </w:p>
        </w:tc>
      </w:tr>
      <w:tr w:rsidR="006F7DAF" w:rsidRPr="00610B1B" w14:paraId="3C236525" w14:textId="77777777" w:rsidTr="00D05544">
        <w:trPr>
          <w:trHeight w:val="255"/>
        </w:trPr>
        <w:tc>
          <w:tcPr>
            <w:tcW w:w="1560" w:type="dxa"/>
            <w:shd w:val="clear" w:color="auto" w:fill="auto"/>
            <w:noWrap/>
            <w:vAlign w:val="center"/>
          </w:tcPr>
          <w:p w14:paraId="63E9293D"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Созопол</w:t>
            </w:r>
          </w:p>
        </w:tc>
        <w:tc>
          <w:tcPr>
            <w:tcW w:w="815" w:type="dxa"/>
            <w:shd w:val="clear" w:color="auto" w:fill="auto"/>
            <w:noWrap/>
            <w:vAlign w:val="center"/>
          </w:tcPr>
          <w:p w14:paraId="02DFE866" w14:textId="2B40297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11 731</w:t>
            </w:r>
          </w:p>
        </w:tc>
        <w:tc>
          <w:tcPr>
            <w:tcW w:w="886" w:type="dxa"/>
            <w:shd w:val="clear" w:color="auto" w:fill="auto"/>
            <w:noWrap/>
            <w:vAlign w:val="center"/>
          </w:tcPr>
          <w:p w14:paraId="62E33F5C" w14:textId="0D6A3C6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1 385</w:t>
            </w:r>
          </w:p>
        </w:tc>
        <w:tc>
          <w:tcPr>
            <w:tcW w:w="851" w:type="dxa"/>
            <w:shd w:val="clear" w:color="auto" w:fill="auto"/>
            <w:noWrap/>
            <w:vAlign w:val="center"/>
          </w:tcPr>
          <w:p w14:paraId="43029001" w14:textId="77D07A5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4 555</w:t>
            </w:r>
          </w:p>
        </w:tc>
        <w:tc>
          <w:tcPr>
            <w:tcW w:w="992" w:type="dxa"/>
            <w:shd w:val="clear" w:color="auto" w:fill="auto"/>
            <w:noWrap/>
            <w:vAlign w:val="center"/>
          </w:tcPr>
          <w:p w14:paraId="545B5034" w14:textId="44D2717D"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3 887</w:t>
            </w:r>
          </w:p>
        </w:tc>
        <w:tc>
          <w:tcPr>
            <w:tcW w:w="992" w:type="dxa"/>
            <w:shd w:val="clear" w:color="auto" w:fill="auto"/>
            <w:noWrap/>
            <w:vAlign w:val="center"/>
          </w:tcPr>
          <w:p w14:paraId="4E20AC90" w14:textId="58AC0192"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1 150</w:t>
            </w:r>
          </w:p>
        </w:tc>
        <w:tc>
          <w:tcPr>
            <w:tcW w:w="1418" w:type="dxa"/>
            <w:shd w:val="clear" w:color="auto" w:fill="auto"/>
            <w:noWrap/>
            <w:vAlign w:val="center"/>
          </w:tcPr>
          <w:p w14:paraId="5688E9B3" w14:textId="7BC426CB"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583</w:t>
            </w:r>
          </w:p>
        </w:tc>
        <w:tc>
          <w:tcPr>
            <w:tcW w:w="1417" w:type="dxa"/>
            <w:shd w:val="clear" w:color="auto" w:fill="auto"/>
            <w:noWrap/>
            <w:vAlign w:val="center"/>
          </w:tcPr>
          <w:p w14:paraId="5D7A6C9D" w14:textId="3F65399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139</w:t>
            </w:r>
          </w:p>
        </w:tc>
        <w:tc>
          <w:tcPr>
            <w:tcW w:w="1891" w:type="dxa"/>
            <w:shd w:val="clear" w:color="auto" w:fill="auto"/>
            <w:noWrap/>
            <w:vAlign w:val="center"/>
          </w:tcPr>
          <w:p w14:paraId="3CA5B527" w14:textId="3250F9AA"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32</w:t>
            </w:r>
          </w:p>
        </w:tc>
      </w:tr>
      <w:tr w:rsidR="006F7DAF" w:rsidRPr="00610B1B" w14:paraId="106D0A86" w14:textId="77777777" w:rsidTr="00D05544">
        <w:trPr>
          <w:trHeight w:val="255"/>
        </w:trPr>
        <w:tc>
          <w:tcPr>
            <w:tcW w:w="1560" w:type="dxa"/>
            <w:shd w:val="clear" w:color="auto" w:fill="auto"/>
            <w:noWrap/>
            <w:vAlign w:val="center"/>
          </w:tcPr>
          <w:p w14:paraId="34EC1D53"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Приморско</w:t>
            </w:r>
          </w:p>
        </w:tc>
        <w:tc>
          <w:tcPr>
            <w:tcW w:w="815" w:type="dxa"/>
            <w:shd w:val="clear" w:color="auto" w:fill="auto"/>
            <w:noWrap/>
            <w:vAlign w:val="center"/>
          </w:tcPr>
          <w:p w14:paraId="612DCDAB" w14:textId="3540EFFE"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5 645</w:t>
            </w:r>
          </w:p>
        </w:tc>
        <w:tc>
          <w:tcPr>
            <w:tcW w:w="886" w:type="dxa"/>
            <w:shd w:val="clear" w:color="auto" w:fill="auto"/>
            <w:noWrap/>
            <w:vAlign w:val="center"/>
          </w:tcPr>
          <w:p w14:paraId="35381521" w14:textId="1BBAFEB8"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639</w:t>
            </w:r>
          </w:p>
        </w:tc>
        <w:tc>
          <w:tcPr>
            <w:tcW w:w="851" w:type="dxa"/>
            <w:shd w:val="clear" w:color="auto" w:fill="auto"/>
            <w:noWrap/>
            <w:vAlign w:val="center"/>
          </w:tcPr>
          <w:p w14:paraId="438F5E11" w14:textId="4B9DB31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2 434</w:t>
            </w:r>
          </w:p>
        </w:tc>
        <w:tc>
          <w:tcPr>
            <w:tcW w:w="992" w:type="dxa"/>
            <w:shd w:val="clear" w:color="auto" w:fill="auto"/>
            <w:noWrap/>
            <w:vAlign w:val="center"/>
          </w:tcPr>
          <w:p w14:paraId="6E188C2A" w14:textId="611EF20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1 561</w:t>
            </w:r>
          </w:p>
        </w:tc>
        <w:tc>
          <w:tcPr>
            <w:tcW w:w="992" w:type="dxa"/>
            <w:shd w:val="clear" w:color="auto" w:fill="auto"/>
            <w:noWrap/>
            <w:vAlign w:val="center"/>
          </w:tcPr>
          <w:p w14:paraId="3EC606DE" w14:textId="48399593"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649</w:t>
            </w:r>
          </w:p>
        </w:tc>
        <w:tc>
          <w:tcPr>
            <w:tcW w:w="1418" w:type="dxa"/>
            <w:shd w:val="clear" w:color="auto" w:fill="auto"/>
            <w:noWrap/>
            <w:vAlign w:val="center"/>
          </w:tcPr>
          <w:p w14:paraId="4E0243CC" w14:textId="05147095"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271</w:t>
            </w:r>
          </w:p>
        </w:tc>
        <w:tc>
          <w:tcPr>
            <w:tcW w:w="1417" w:type="dxa"/>
            <w:shd w:val="clear" w:color="auto" w:fill="auto"/>
            <w:noWrap/>
            <w:vAlign w:val="center"/>
          </w:tcPr>
          <w:p w14:paraId="47EFB815" w14:textId="4D13CD72"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82</w:t>
            </w:r>
          </w:p>
        </w:tc>
        <w:tc>
          <w:tcPr>
            <w:tcW w:w="1891" w:type="dxa"/>
            <w:shd w:val="clear" w:color="auto" w:fill="auto"/>
            <w:noWrap/>
            <w:vAlign w:val="center"/>
          </w:tcPr>
          <w:p w14:paraId="5275E8B3" w14:textId="7E663F7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9</w:t>
            </w:r>
          </w:p>
        </w:tc>
      </w:tr>
      <w:tr w:rsidR="006F7DAF" w:rsidRPr="00610B1B" w14:paraId="5C89EEAA" w14:textId="77777777" w:rsidTr="00D05544">
        <w:trPr>
          <w:trHeight w:val="255"/>
        </w:trPr>
        <w:tc>
          <w:tcPr>
            <w:tcW w:w="1560" w:type="dxa"/>
            <w:shd w:val="clear" w:color="auto" w:fill="auto"/>
            <w:noWrap/>
            <w:vAlign w:val="center"/>
          </w:tcPr>
          <w:p w14:paraId="423974F2" w14:textId="77777777" w:rsidR="006F7DAF" w:rsidRPr="00610B1B" w:rsidRDefault="006F7DAF" w:rsidP="00D32D6A">
            <w:pPr>
              <w:spacing w:after="0" w:line="240" w:lineRule="auto"/>
              <w:ind w:firstLineChars="100" w:firstLine="220"/>
              <w:rPr>
                <w:rFonts w:ascii="Times New Roman" w:hAnsi="Times New Roman" w:cs="Times New Roman"/>
                <w:color w:val="000000"/>
                <w:lang w:val="bg-BG"/>
              </w:rPr>
            </w:pPr>
            <w:r w:rsidRPr="00610B1B">
              <w:rPr>
                <w:rFonts w:ascii="Times New Roman" w:hAnsi="Times New Roman" w:cs="Times New Roman"/>
                <w:color w:val="000000"/>
                <w:lang w:val="bg-BG"/>
              </w:rPr>
              <w:t>Царево</w:t>
            </w:r>
          </w:p>
        </w:tc>
        <w:tc>
          <w:tcPr>
            <w:tcW w:w="815" w:type="dxa"/>
            <w:shd w:val="clear" w:color="auto" w:fill="auto"/>
            <w:noWrap/>
            <w:vAlign w:val="center"/>
          </w:tcPr>
          <w:p w14:paraId="31483F95" w14:textId="62BFB240"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8 624</w:t>
            </w:r>
          </w:p>
        </w:tc>
        <w:tc>
          <w:tcPr>
            <w:tcW w:w="886" w:type="dxa"/>
            <w:shd w:val="clear" w:color="auto" w:fill="auto"/>
            <w:noWrap/>
            <w:vAlign w:val="center"/>
          </w:tcPr>
          <w:p w14:paraId="3BBBFE89" w14:textId="2939B5D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1 027</w:t>
            </w:r>
          </w:p>
        </w:tc>
        <w:tc>
          <w:tcPr>
            <w:tcW w:w="851" w:type="dxa"/>
            <w:shd w:val="clear" w:color="auto" w:fill="auto"/>
            <w:noWrap/>
            <w:vAlign w:val="center"/>
          </w:tcPr>
          <w:p w14:paraId="3620AB95" w14:textId="470DCAD4"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3 590</w:t>
            </w:r>
          </w:p>
        </w:tc>
        <w:tc>
          <w:tcPr>
            <w:tcW w:w="992" w:type="dxa"/>
            <w:shd w:val="clear" w:color="auto" w:fill="auto"/>
            <w:noWrap/>
            <w:vAlign w:val="center"/>
          </w:tcPr>
          <w:p w14:paraId="1E63367E" w14:textId="4867DC3F"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2 287</w:t>
            </w:r>
          </w:p>
        </w:tc>
        <w:tc>
          <w:tcPr>
            <w:tcW w:w="992" w:type="dxa"/>
            <w:shd w:val="clear" w:color="auto" w:fill="auto"/>
            <w:noWrap/>
            <w:vAlign w:val="center"/>
          </w:tcPr>
          <w:p w14:paraId="5F2E3E90" w14:textId="6D4942D3"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1 036</w:t>
            </w:r>
          </w:p>
        </w:tc>
        <w:tc>
          <w:tcPr>
            <w:tcW w:w="1418" w:type="dxa"/>
            <w:shd w:val="clear" w:color="auto" w:fill="auto"/>
            <w:noWrap/>
            <w:vAlign w:val="center"/>
          </w:tcPr>
          <w:p w14:paraId="0C22FC66" w14:textId="3A38B0C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544</w:t>
            </w:r>
          </w:p>
        </w:tc>
        <w:tc>
          <w:tcPr>
            <w:tcW w:w="1417" w:type="dxa"/>
            <w:shd w:val="clear" w:color="auto" w:fill="auto"/>
            <w:noWrap/>
            <w:vAlign w:val="center"/>
          </w:tcPr>
          <w:p w14:paraId="35397F9D" w14:textId="29CFB81C"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110</w:t>
            </w:r>
          </w:p>
        </w:tc>
        <w:tc>
          <w:tcPr>
            <w:tcW w:w="1891" w:type="dxa"/>
            <w:shd w:val="clear" w:color="auto" w:fill="auto"/>
            <w:noWrap/>
            <w:vAlign w:val="center"/>
          </w:tcPr>
          <w:p w14:paraId="79E18A77" w14:textId="6E46C0A6" w:rsidR="006F7DAF" w:rsidRPr="00610B1B" w:rsidRDefault="006F7DAF" w:rsidP="00D32D6A">
            <w:pPr>
              <w:spacing w:after="0" w:line="240" w:lineRule="auto"/>
              <w:jc w:val="right"/>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30</w:t>
            </w:r>
          </w:p>
        </w:tc>
      </w:tr>
    </w:tbl>
    <w:p w14:paraId="3295DE47" w14:textId="39702708" w:rsidR="0082227D" w:rsidRPr="00610B1B" w:rsidRDefault="0082227D" w:rsidP="00F63461">
      <w:pPr>
        <w:autoSpaceDE w:val="0"/>
        <w:autoSpaceDN w:val="0"/>
        <w:adjustRightInd w:val="0"/>
        <w:spacing w:before="60" w:after="120"/>
        <w:ind w:right="-153"/>
        <w:jc w:val="both"/>
        <w:rPr>
          <w:rFonts w:ascii="Times New Roman" w:hAnsi="Times New Roman" w:cs="Times New Roman"/>
          <w:lang w:val="bg-BG"/>
        </w:rPr>
      </w:pPr>
      <w:r w:rsidRPr="00610B1B">
        <w:rPr>
          <w:rFonts w:ascii="Times New Roman" w:hAnsi="Times New Roman" w:cs="Times New Roman"/>
          <w:lang w:val="bg-BG"/>
        </w:rPr>
        <w:t xml:space="preserve">Източник: НСИ, Преброяване на населението и жилищния фонд 2011 г. </w:t>
      </w:r>
    </w:p>
    <w:p w14:paraId="581AAF44" w14:textId="2E8E528E" w:rsidR="00243784" w:rsidRPr="00610B1B" w:rsidRDefault="00243784"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 данни НСИ за 2011 г., относителният дял на населението на Черноморските общини с високо образователно ниво (с висше образование) е 24</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1%</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(162 872 лица) от общото население. </w:t>
      </w:r>
      <w:r w:rsidR="00FA15C3" w:rsidRPr="00610B1B">
        <w:rPr>
          <w:rFonts w:ascii="Times New Roman" w:hAnsi="Times New Roman" w:cs="Times New Roman"/>
          <w:sz w:val="24"/>
          <w:szCs w:val="24"/>
          <w:lang w:val="bg-BG"/>
        </w:rPr>
        <w:t>Тези</w:t>
      </w:r>
      <w:r w:rsidRPr="00610B1B">
        <w:rPr>
          <w:rFonts w:ascii="Times New Roman" w:hAnsi="Times New Roman" w:cs="Times New Roman"/>
          <w:sz w:val="24"/>
          <w:szCs w:val="24"/>
          <w:lang w:val="bg-BG"/>
        </w:rPr>
        <w:t xml:space="preserve"> показатели </w:t>
      </w:r>
      <w:r w:rsidR="00FA15C3" w:rsidRPr="00610B1B">
        <w:rPr>
          <w:rFonts w:ascii="Times New Roman" w:hAnsi="Times New Roman" w:cs="Times New Roman"/>
          <w:sz w:val="24"/>
          <w:szCs w:val="24"/>
          <w:lang w:val="bg-BG"/>
        </w:rPr>
        <w:t xml:space="preserve">са по-добри </w:t>
      </w:r>
      <w:r w:rsidRPr="00610B1B">
        <w:rPr>
          <w:rFonts w:ascii="Times New Roman" w:hAnsi="Times New Roman" w:cs="Times New Roman"/>
          <w:sz w:val="24"/>
          <w:szCs w:val="24"/>
          <w:lang w:val="bg-BG"/>
        </w:rPr>
        <w:t>в сравнение със средното равнище за страната 19</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6%. В общински аспект най-образовани са жителите на общините Варна 30</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1% и Бургас 25</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1%. С най-негативна образователна структура по отношение на дела на лицата с висше образование са общините Долни чифлик (4</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8%), Бяла (7</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8%), и Аврен (7</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9%).</w:t>
      </w:r>
    </w:p>
    <w:p w14:paraId="12C2B586" w14:textId="2F1A4CEF" w:rsidR="00243784" w:rsidRPr="00610B1B" w:rsidRDefault="00243784"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Лицата със средно образование са 302 463 д. (44</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8%)</w:t>
      </w:r>
      <w:r w:rsidR="00CF31EC" w:rsidRPr="00610B1B">
        <w:rPr>
          <w:rFonts w:ascii="Times New Roman" w:hAnsi="Times New Roman" w:cs="Times New Roman"/>
          <w:sz w:val="24"/>
          <w:szCs w:val="24"/>
          <w:lang w:val="bg-BG"/>
        </w:rPr>
        <w:t xml:space="preserve"> или </w:t>
      </w:r>
      <w:r w:rsidRPr="00610B1B">
        <w:rPr>
          <w:rFonts w:ascii="Times New Roman" w:hAnsi="Times New Roman" w:cs="Times New Roman"/>
          <w:sz w:val="24"/>
          <w:szCs w:val="24"/>
          <w:lang w:val="bg-BG"/>
        </w:rPr>
        <w:t>малко по-високо от средното за страната (43</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4%). С основно образование са 128 075 лица (19</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8%), с начално 42 265 лица (6</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3%) и с незавършено начално 31 401 лица (4</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4%). В дъното на образователната стълбица стоят лицата, “никога непосещавали училище”. Броят им е 6 279, или 0</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9% от населението на 7 и повече навършени години</w:t>
      </w:r>
      <w:r w:rsidR="00CF31EC"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1</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2% средно за страната</w:t>
      </w:r>
      <w:r w:rsidR="00CF31E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Най-нисък е делът на неграмотните в Долни чифлик (3</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7%), Каварна (2</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9%), Аврен (2</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6%) и Балчик (2</w:t>
      </w:r>
      <w:r w:rsidR="004E40D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2%). </w:t>
      </w:r>
    </w:p>
    <w:p w14:paraId="6D56F4D3" w14:textId="7D6C2644" w:rsidR="0082227D" w:rsidRPr="00610B1B" w:rsidRDefault="00673934" w:rsidP="00D32D6A">
      <w:pPr>
        <w:pStyle w:val="Heading4"/>
        <w:spacing w:before="0" w:line="276" w:lineRule="auto"/>
        <w:ind w:right="-153"/>
        <w:rPr>
          <w:rFonts w:cs="Times New Roman"/>
        </w:rPr>
      </w:pPr>
      <w:r w:rsidRPr="00610B1B">
        <w:rPr>
          <w:rFonts w:cs="Times New Roman"/>
        </w:rPr>
        <w:t>2.</w:t>
      </w:r>
      <w:r w:rsidR="0082227D" w:rsidRPr="00610B1B">
        <w:rPr>
          <w:rFonts w:cs="Times New Roman"/>
        </w:rPr>
        <w:t>3.2.</w:t>
      </w:r>
      <w:r w:rsidRPr="00610B1B">
        <w:rPr>
          <w:rFonts w:cs="Times New Roman"/>
        </w:rPr>
        <w:t>2.</w:t>
      </w:r>
      <w:r w:rsidR="0082227D" w:rsidRPr="00610B1B">
        <w:rPr>
          <w:rFonts w:cs="Times New Roman"/>
        </w:rPr>
        <w:t xml:space="preserve"> Образователна инфраструктура</w:t>
      </w:r>
    </w:p>
    <w:p w14:paraId="58ADFB15" w14:textId="549AB2D0" w:rsidR="00C812E9" w:rsidRPr="00610B1B" w:rsidRDefault="000F6B91" w:rsidP="00D32D6A">
      <w:pPr>
        <w:spacing w:after="120"/>
        <w:ind w:right="-153"/>
        <w:jc w:val="both"/>
        <w:rPr>
          <w:rFonts w:ascii="Times New Roman" w:hAnsi="Times New Roman" w:cs="Times New Roman"/>
          <w:iCs/>
          <w:sz w:val="24"/>
          <w:szCs w:val="24"/>
          <w:lang w:val="bg-BG"/>
        </w:rPr>
      </w:pPr>
      <w:r w:rsidRPr="00610B1B">
        <w:rPr>
          <w:rFonts w:ascii="Times New Roman" w:hAnsi="Times New Roman" w:cs="Times New Roman"/>
          <w:iCs/>
          <w:sz w:val="24"/>
          <w:szCs w:val="24"/>
          <w:lang w:val="bg-BG"/>
        </w:rPr>
        <w:t xml:space="preserve">В </w:t>
      </w:r>
      <w:r w:rsidR="004E40D4" w:rsidRPr="00610B1B">
        <w:rPr>
          <w:rFonts w:ascii="Times New Roman" w:hAnsi="Times New Roman" w:cs="Times New Roman"/>
          <w:iCs/>
          <w:sz w:val="24"/>
          <w:szCs w:val="24"/>
          <w:lang w:val="bg-BG"/>
        </w:rPr>
        <w:t>Черноморските</w:t>
      </w:r>
      <w:r w:rsidR="0082227D" w:rsidRPr="00610B1B">
        <w:rPr>
          <w:rFonts w:ascii="Times New Roman" w:hAnsi="Times New Roman" w:cs="Times New Roman"/>
          <w:iCs/>
          <w:sz w:val="24"/>
          <w:szCs w:val="24"/>
          <w:lang w:val="bg-BG"/>
        </w:rPr>
        <w:t xml:space="preserve"> общини има добре изградена мрежа от учебни заведения, които обхващат всички възрастови групи</w:t>
      </w:r>
      <w:r w:rsidR="00C812E9" w:rsidRPr="00610B1B">
        <w:rPr>
          <w:rFonts w:ascii="Times New Roman" w:hAnsi="Times New Roman" w:cs="Times New Roman"/>
          <w:iCs/>
          <w:sz w:val="24"/>
          <w:szCs w:val="24"/>
          <w:lang w:val="bg-BG"/>
        </w:rPr>
        <w:t>,</w:t>
      </w:r>
      <w:r w:rsidR="0082227D" w:rsidRPr="00610B1B">
        <w:rPr>
          <w:rFonts w:ascii="Times New Roman" w:hAnsi="Times New Roman" w:cs="Times New Roman"/>
          <w:iCs/>
          <w:sz w:val="24"/>
          <w:szCs w:val="24"/>
          <w:lang w:val="bg-BG"/>
        </w:rPr>
        <w:t xml:space="preserve"> подлежащи на задължително обучение.</w:t>
      </w:r>
      <w:r w:rsidR="006D509C" w:rsidRPr="00610B1B">
        <w:rPr>
          <w:rFonts w:ascii="Times New Roman" w:hAnsi="Times New Roman" w:cs="Times New Roman"/>
          <w:iCs/>
          <w:sz w:val="24"/>
          <w:szCs w:val="24"/>
          <w:lang w:val="bg-BG"/>
        </w:rPr>
        <w:t xml:space="preserve"> </w:t>
      </w:r>
      <w:r w:rsidR="0082227D" w:rsidRPr="00610B1B">
        <w:rPr>
          <w:rFonts w:ascii="Times New Roman" w:hAnsi="Times New Roman" w:cs="Times New Roman"/>
          <w:iCs/>
          <w:sz w:val="24"/>
          <w:szCs w:val="24"/>
          <w:lang w:val="bg-BG"/>
        </w:rPr>
        <w:t xml:space="preserve">Структурите на предучилищното образование </w:t>
      </w:r>
      <w:r w:rsidRPr="00610B1B">
        <w:rPr>
          <w:rFonts w:ascii="Times New Roman" w:hAnsi="Times New Roman" w:cs="Times New Roman"/>
          <w:iCs/>
          <w:sz w:val="24"/>
          <w:szCs w:val="24"/>
          <w:lang w:val="bg-BG"/>
        </w:rPr>
        <w:t>и о</w:t>
      </w:r>
      <w:r w:rsidR="0082227D" w:rsidRPr="00610B1B">
        <w:rPr>
          <w:rFonts w:ascii="Times New Roman" w:hAnsi="Times New Roman" w:cs="Times New Roman"/>
          <w:iCs/>
          <w:sz w:val="24"/>
          <w:szCs w:val="24"/>
          <w:lang w:val="bg-BG"/>
        </w:rPr>
        <w:t xml:space="preserve">сигуреността с детски градини, преподаватели и места в детските градини </w:t>
      </w:r>
      <w:r w:rsidRPr="00610B1B">
        <w:rPr>
          <w:rFonts w:ascii="Times New Roman" w:hAnsi="Times New Roman" w:cs="Times New Roman"/>
          <w:iCs/>
          <w:sz w:val="24"/>
          <w:szCs w:val="24"/>
          <w:lang w:val="bg-BG"/>
        </w:rPr>
        <w:t>са</w:t>
      </w:r>
      <w:r w:rsidR="0082227D" w:rsidRPr="00610B1B">
        <w:rPr>
          <w:rFonts w:ascii="Times New Roman" w:hAnsi="Times New Roman" w:cs="Times New Roman"/>
          <w:iCs/>
          <w:sz w:val="24"/>
          <w:szCs w:val="24"/>
          <w:lang w:val="bg-BG"/>
        </w:rPr>
        <w:t xml:space="preserve"> добр</w:t>
      </w:r>
      <w:r w:rsidRPr="00610B1B">
        <w:rPr>
          <w:rFonts w:ascii="Times New Roman" w:hAnsi="Times New Roman" w:cs="Times New Roman"/>
          <w:iCs/>
          <w:sz w:val="24"/>
          <w:szCs w:val="24"/>
          <w:lang w:val="bg-BG"/>
        </w:rPr>
        <w:t>и</w:t>
      </w:r>
      <w:r w:rsidR="006D509C" w:rsidRPr="00610B1B">
        <w:rPr>
          <w:rFonts w:ascii="Times New Roman" w:hAnsi="Times New Roman" w:cs="Times New Roman"/>
          <w:iCs/>
          <w:sz w:val="24"/>
          <w:szCs w:val="24"/>
          <w:lang w:val="bg-BG"/>
        </w:rPr>
        <w:t>, което е важен фактор за привличане на млади и образовани кадри</w:t>
      </w:r>
      <w:r w:rsidR="0082227D" w:rsidRPr="00610B1B">
        <w:rPr>
          <w:rFonts w:ascii="Times New Roman" w:hAnsi="Times New Roman" w:cs="Times New Roman"/>
          <w:iCs/>
          <w:sz w:val="24"/>
          <w:szCs w:val="24"/>
          <w:lang w:val="bg-BG"/>
        </w:rPr>
        <w:t xml:space="preserve">. През учебната 2018/2019 г. в общините функционират 157 самостоятелни детски градини, които се посещават от 23 914 деца. Разположени са основно в общините Варна </w:t>
      </w:r>
      <w:r w:rsidR="007B4463" w:rsidRPr="00610B1B">
        <w:rPr>
          <w:rFonts w:ascii="Times New Roman" w:hAnsi="Times New Roman" w:cs="Times New Roman"/>
          <w:iCs/>
          <w:sz w:val="24"/>
          <w:szCs w:val="24"/>
          <w:lang w:val="bg-BG"/>
        </w:rPr>
        <w:t>(</w:t>
      </w:r>
      <w:r w:rsidR="0082227D" w:rsidRPr="00610B1B">
        <w:rPr>
          <w:rFonts w:ascii="Times New Roman" w:hAnsi="Times New Roman" w:cs="Times New Roman"/>
          <w:iCs/>
          <w:sz w:val="24"/>
          <w:szCs w:val="24"/>
          <w:lang w:val="bg-BG"/>
        </w:rPr>
        <w:t>59</w:t>
      </w:r>
      <w:r w:rsidR="007B4463" w:rsidRPr="00610B1B">
        <w:rPr>
          <w:rFonts w:ascii="Times New Roman" w:hAnsi="Times New Roman" w:cs="Times New Roman"/>
          <w:iCs/>
          <w:sz w:val="24"/>
          <w:szCs w:val="24"/>
          <w:lang w:val="bg-BG"/>
        </w:rPr>
        <w:t xml:space="preserve"> бр.)</w:t>
      </w:r>
      <w:r w:rsidR="0082227D" w:rsidRPr="00610B1B">
        <w:rPr>
          <w:rFonts w:ascii="Times New Roman" w:hAnsi="Times New Roman" w:cs="Times New Roman"/>
          <w:iCs/>
          <w:sz w:val="24"/>
          <w:szCs w:val="24"/>
          <w:lang w:val="bg-BG"/>
        </w:rPr>
        <w:t xml:space="preserve"> и Бургас </w:t>
      </w:r>
      <w:r w:rsidR="007B4463" w:rsidRPr="00610B1B">
        <w:rPr>
          <w:rFonts w:ascii="Times New Roman" w:hAnsi="Times New Roman" w:cs="Times New Roman"/>
          <w:iCs/>
          <w:sz w:val="24"/>
          <w:szCs w:val="24"/>
          <w:lang w:val="bg-BG"/>
        </w:rPr>
        <w:t>(</w:t>
      </w:r>
      <w:r w:rsidR="0082227D" w:rsidRPr="00610B1B">
        <w:rPr>
          <w:rFonts w:ascii="Times New Roman" w:hAnsi="Times New Roman" w:cs="Times New Roman"/>
          <w:iCs/>
          <w:sz w:val="24"/>
          <w:szCs w:val="24"/>
          <w:lang w:val="bg-BG"/>
        </w:rPr>
        <w:t>34</w:t>
      </w:r>
      <w:r w:rsidR="007B4463" w:rsidRPr="00610B1B">
        <w:rPr>
          <w:rFonts w:ascii="Times New Roman" w:hAnsi="Times New Roman" w:cs="Times New Roman"/>
          <w:iCs/>
          <w:sz w:val="24"/>
          <w:szCs w:val="24"/>
          <w:lang w:val="bg-BG"/>
        </w:rPr>
        <w:t xml:space="preserve"> бр.)</w:t>
      </w:r>
      <w:r w:rsidR="0082227D" w:rsidRPr="00610B1B">
        <w:rPr>
          <w:rFonts w:ascii="Times New Roman" w:hAnsi="Times New Roman" w:cs="Times New Roman"/>
          <w:iCs/>
          <w:sz w:val="24"/>
          <w:szCs w:val="24"/>
          <w:lang w:val="bg-BG"/>
        </w:rPr>
        <w:t>.</w:t>
      </w:r>
      <w:r w:rsidR="00D66FE0" w:rsidRPr="00610B1B">
        <w:rPr>
          <w:rFonts w:ascii="Times New Roman" w:hAnsi="Times New Roman" w:cs="Times New Roman"/>
          <w:iCs/>
          <w:sz w:val="24"/>
          <w:szCs w:val="24"/>
          <w:lang w:val="bg-BG"/>
        </w:rPr>
        <w:t xml:space="preserve"> </w:t>
      </w:r>
    </w:p>
    <w:p w14:paraId="4FF812B8" w14:textId="528B85B9" w:rsidR="007B4463" w:rsidRPr="00610B1B" w:rsidRDefault="0082227D" w:rsidP="00D32D6A">
      <w:pPr>
        <w:spacing w:after="120"/>
        <w:ind w:right="-153"/>
        <w:jc w:val="both"/>
        <w:rPr>
          <w:rFonts w:ascii="Times New Roman" w:hAnsi="Times New Roman" w:cs="Times New Roman"/>
          <w:iCs/>
          <w:color w:val="000000"/>
          <w:sz w:val="24"/>
          <w:szCs w:val="24"/>
          <w:lang w:val="bg-BG"/>
        </w:rPr>
      </w:pPr>
      <w:r w:rsidRPr="00610B1B">
        <w:rPr>
          <w:rFonts w:ascii="Times New Roman" w:hAnsi="Times New Roman" w:cs="Times New Roman"/>
          <w:iCs/>
          <w:sz w:val="24"/>
          <w:szCs w:val="24"/>
          <w:lang w:val="bg-BG"/>
        </w:rPr>
        <w:t>В Черноморските общини</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през учебната 2018/2019</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г. учебни занятия се водят в 155 общообразователни и специални училища. Повече от половината</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 xml:space="preserve">са разположени в общините Варна </w:t>
      </w:r>
      <w:r w:rsidR="007B4463"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51</w:t>
      </w:r>
      <w:r w:rsidR="007B4463" w:rsidRPr="00610B1B">
        <w:rPr>
          <w:rFonts w:ascii="Times New Roman" w:hAnsi="Times New Roman" w:cs="Times New Roman"/>
          <w:iCs/>
          <w:sz w:val="24"/>
          <w:szCs w:val="24"/>
          <w:lang w:val="bg-BG"/>
        </w:rPr>
        <w:t xml:space="preserve"> бр.)</w:t>
      </w:r>
      <w:r w:rsidRPr="00610B1B">
        <w:rPr>
          <w:rFonts w:ascii="Times New Roman" w:hAnsi="Times New Roman" w:cs="Times New Roman"/>
          <w:iCs/>
          <w:sz w:val="24"/>
          <w:szCs w:val="24"/>
          <w:lang w:val="bg-BG"/>
        </w:rPr>
        <w:t xml:space="preserve"> и Бургас </w:t>
      </w:r>
      <w:r w:rsidR="007B4463"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41</w:t>
      </w:r>
      <w:r w:rsidR="007B4463" w:rsidRPr="00610B1B">
        <w:rPr>
          <w:rFonts w:ascii="Times New Roman" w:hAnsi="Times New Roman" w:cs="Times New Roman"/>
          <w:iCs/>
          <w:sz w:val="24"/>
          <w:szCs w:val="24"/>
          <w:lang w:val="bg-BG"/>
        </w:rPr>
        <w:t xml:space="preserve"> бр.)</w:t>
      </w:r>
      <w:r w:rsidRPr="00610B1B">
        <w:rPr>
          <w:rFonts w:ascii="Times New Roman" w:hAnsi="Times New Roman" w:cs="Times New Roman"/>
          <w:iCs/>
          <w:sz w:val="24"/>
          <w:szCs w:val="24"/>
          <w:lang w:val="bg-BG"/>
        </w:rPr>
        <w:t>.</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color w:val="000000"/>
          <w:sz w:val="24"/>
          <w:szCs w:val="24"/>
          <w:lang w:val="bg-BG"/>
        </w:rPr>
        <w:t xml:space="preserve">Професионалното образование и обучение през учебната 2018/2019 година се осъществява в 31 училища. </w:t>
      </w:r>
      <w:r w:rsidRPr="00610B1B">
        <w:rPr>
          <w:rFonts w:ascii="Times New Roman" w:hAnsi="Times New Roman" w:cs="Times New Roman"/>
          <w:iCs/>
          <w:sz w:val="24"/>
          <w:szCs w:val="24"/>
          <w:lang w:val="bg-BG"/>
        </w:rPr>
        <w:t xml:space="preserve">Професионалните гимназии са </w:t>
      </w:r>
      <w:r w:rsidRPr="00610B1B">
        <w:rPr>
          <w:rFonts w:ascii="Times New Roman" w:hAnsi="Times New Roman" w:cs="Times New Roman"/>
          <w:iCs/>
          <w:sz w:val="24"/>
          <w:szCs w:val="24"/>
          <w:lang w:val="bg-BG"/>
        </w:rPr>
        <w:lastRenderedPageBreak/>
        <w:t xml:space="preserve">разположени в по-големите общини: Варна </w:t>
      </w:r>
      <w:r w:rsidR="007B4463"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15</w:t>
      </w:r>
      <w:r w:rsidR="007B4463" w:rsidRPr="00610B1B">
        <w:rPr>
          <w:rFonts w:ascii="Times New Roman" w:hAnsi="Times New Roman" w:cs="Times New Roman"/>
          <w:iCs/>
          <w:sz w:val="24"/>
          <w:szCs w:val="24"/>
          <w:lang w:val="bg-BG"/>
        </w:rPr>
        <w:t xml:space="preserve"> бр.)</w:t>
      </w:r>
      <w:r w:rsidRPr="00610B1B">
        <w:rPr>
          <w:rFonts w:ascii="Times New Roman" w:hAnsi="Times New Roman" w:cs="Times New Roman"/>
          <w:iCs/>
          <w:sz w:val="24"/>
          <w:szCs w:val="24"/>
          <w:lang w:val="bg-BG"/>
        </w:rPr>
        <w:t xml:space="preserve">, Бургас </w:t>
      </w:r>
      <w:r w:rsidR="007B4463"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12</w:t>
      </w:r>
      <w:r w:rsidR="007B4463" w:rsidRPr="00610B1B">
        <w:rPr>
          <w:rFonts w:ascii="Times New Roman" w:hAnsi="Times New Roman" w:cs="Times New Roman"/>
          <w:iCs/>
          <w:sz w:val="24"/>
          <w:szCs w:val="24"/>
          <w:lang w:val="bg-BG"/>
        </w:rPr>
        <w:t xml:space="preserve"> бр.)</w:t>
      </w:r>
      <w:r w:rsidRPr="00610B1B">
        <w:rPr>
          <w:rFonts w:ascii="Times New Roman" w:hAnsi="Times New Roman" w:cs="Times New Roman"/>
          <w:iCs/>
          <w:sz w:val="24"/>
          <w:szCs w:val="24"/>
          <w:lang w:val="bg-BG"/>
        </w:rPr>
        <w:t xml:space="preserve">, и по 1 </w:t>
      </w:r>
      <w:r w:rsidR="007B4463" w:rsidRPr="00610B1B">
        <w:rPr>
          <w:rFonts w:ascii="Times New Roman" w:hAnsi="Times New Roman" w:cs="Times New Roman"/>
          <w:iCs/>
          <w:sz w:val="24"/>
          <w:szCs w:val="24"/>
          <w:lang w:val="bg-BG"/>
        </w:rPr>
        <w:t xml:space="preserve">бр. </w:t>
      </w:r>
      <w:r w:rsidRPr="00610B1B">
        <w:rPr>
          <w:rFonts w:ascii="Times New Roman" w:hAnsi="Times New Roman" w:cs="Times New Roman"/>
          <w:iCs/>
          <w:sz w:val="24"/>
          <w:szCs w:val="24"/>
          <w:lang w:val="bg-BG"/>
        </w:rPr>
        <w:t>в общините Каварна, Долни чифлик, Бяла и Поморие</w:t>
      </w:r>
      <w:r w:rsidR="000F6B91" w:rsidRPr="00610B1B">
        <w:rPr>
          <w:rFonts w:ascii="Times New Roman" w:hAnsi="Times New Roman" w:cs="Times New Roman"/>
          <w:iCs/>
          <w:sz w:val="24"/>
          <w:szCs w:val="24"/>
          <w:lang w:val="bg-BG"/>
        </w:rPr>
        <w:t>,</w:t>
      </w:r>
      <w:r w:rsidRPr="00610B1B">
        <w:rPr>
          <w:rFonts w:ascii="Times New Roman" w:hAnsi="Times New Roman" w:cs="Times New Roman"/>
          <w:iCs/>
          <w:sz w:val="24"/>
          <w:szCs w:val="24"/>
          <w:lang w:val="bg-BG"/>
        </w:rPr>
        <w:t xml:space="preserve"> където е концентриран по-гол</w:t>
      </w:r>
      <w:r w:rsidR="007B4463" w:rsidRPr="00610B1B">
        <w:rPr>
          <w:rFonts w:ascii="Times New Roman" w:hAnsi="Times New Roman" w:cs="Times New Roman"/>
          <w:iCs/>
          <w:sz w:val="24"/>
          <w:szCs w:val="24"/>
          <w:lang w:val="bg-BG"/>
        </w:rPr>
        <w:t>я</w:t>
      </w:r>
      <w:r w:rsidRPr="00610B1B">
        <w:rPr>
          <w:rFonts w:ascii="Times New Roman" w:hAnsi="Times New Roman" w:cs="Times New Roman"/>
          <w:iCs/>
          <w:sz w:val="24"/>
          <w:szCs w:val="24"/>
          <w:lang w:val="bg-BG"/>
        </w:rPr>
        <w:t xml:space="preserve">м брой ученици. </w:t>
      </w:r>
      <w:r w:rsidR="007B4463" w:rsidRPr="00610B1B">
        <w:rPr>
          <w:rFonts w:ascii="Times New Roman" w:hAnsi="Times New Roman" w:cs="Times New Roman"/>
          <w:iCs/>
          <w:sz w:val="24"/>
          <w:szCs w:val="24"/>
          <w:lang w:val="bg-BG"/>
        </w:rPr>
        <w:t xml:space="preserve">Продължава </w:t>
      </w:r>
      <w:r w:rsidRPr="00610B1B">
        <w:rPr>
          <w:rFonts w:ascii="Times New Roman" w:hAnsi="Times New Roman" w:cs="Times New Roman"/>
          <w:iCs/>
          <w:sz w:val="24"/>
          <w:szCs w:val="24"/>
          <w:lang w:val="bg-BG"/>
        </w:rPr>
        <w:t>да се търси по-тясно обвързване на професионалното образование с икономическите приоритети на общините и регионите.</w:t>
      </w:r>
      <w:r w:rsidRPr="00610B1B">
        <w:rPr>
          <w:rFonts w:ascii="Times New Roman" w:hAnsi="Times New Roman" w:cs="Times New Roman"/>
          <w:iCs/>
          <w:color w:val="000000"/>
          <w:sz w:val="24"/>
          <w:szCs w:val="24"/>
          <w:lang w:val="bg-BG"/>
        </w:rPr>
        <w:t xml:space="preserve"> </w:t>
      </w:r>
    </w:p>
    <w:p w14:paraId="722CBABC" w14:textId="6A1F7E10" w:rsidR="0082227D" w:rsidRPr="00610B1B" w:rsidRDefault="0082227D"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iCs/>
          <w:sz w:val="24"/>
          <w:szCs w:val="24"/>
          <w:lang w:val="bg-BG"/>
        </w:rPr>
        <w:t>Обектите на система “Висше образование” са силно поляризирани в територията</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на</w:t>
      </w:r>
      <w:r w:rsidRPr="00610B1B">
        <w:rPr>
          <w:rFonts w:ascii="Times New Roman" w:hAnsi="Times New Roman" w:cs="Times New Roman"/>
          <w:sz w:val="24"/>
          <w:szCs w:val="24"/>
          <w:lang w:val="bg-BG"/>
        </w:rPr>
        <w:t xml:space="preserve"> Черноморските общини </w:t>
      </w:r>
      <w:r w:rsidR="007B4463" w:rsidRPr="00610B1B">
        <w:rPr>
          <w:rFonts w:ascii="Times New Roman" w:hAnsi="Times New Roman" w:cs="Times New Roman"/>
          <w:sz w:val="24"/>
          <w:szCs w:val="24"/>
          <w:lang w:val="bg-BG"/>
        </w:rPr>
        <w:t xml:space="preserve">и са </w:t>
      </w:r>
      <w:r w:rsidRPr="00610B1B">
        <w:rPr>
          <w:rFonts w:ascii="Times New Roman" w:hAnsi="Times New Roman" w:cs="Times New Roman"/>
          <w:sz w:val="24"/>
          <w:szCs w:val="24"/>
          <w:lang w:val="bg-BG"/>
        </w:rPr>
        <w:t>разположени в градовете Варна и Бургас.</w:t>
      </w:r>
      <w:r w:rsidR="000F6B9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Варна е сред най-важните университетски центрове в страната с </w:t>
      </w:r>
      <w:r w:rsidR="00E10F89" w:rsidRPr="00610B1B">
        <w:rPr>
          <w:rFonts w:ascii="Times New Roman" w:hAnsi="Times New Roman" w:cs="Times New Roman"/>
          <w:sz w:val="24"/>
          <w:szCs w:val="24"/>
          <w:lang w:val="bg-BG"/>
        </w:rPr>
        <w:t>6</w:t>
      </w:r>
      <w:r w:rsidRPr="00610B1B">
        <w:rPr>
          <w:rFonts w:ascii="Times New Roman" w:hAnsi="Times New Roman" w:cs="Times New Roman"/>
          <w:sz w:val="24"/>
          <w:szCs w:val="24"/>
          <w:lang w:val="bg-BG"/>
        </w:rPr>
        <w:t xml:space="preserve"> висши училища</w:t>
      </w:r>
      <w:r w:rsidR="00CF31EC" w:rsidRPr="00610B1B">
        <w:rPr>
          <w:rFonts w:ascii="Times New Roman" w:hAnsi="Times New Roman" w:cs="Times New Roman"/>
          <w:sz w:val="24"/>
          <w:szCs w:val="24"/>
          <w:lang w:val="bg-BG"/>
        </w:rPr>
        <w:t xml:space="preserve"> с 24 хил. студенти за</w:t>
      </w:r>
      <w:r w:rsidRPr="00610B1B">
        <w:rPr>
          <w:rFonts w:ascii="Times New Roman" w:hAnsi="Times New Roman" w:cs="Times New Roman"/>
          <w:sz w:val="24"/>
          <w:szCs w:val="24"/>
          <w:lang w:val="bg-BG"/>
        </w:rPr>
        <w:t xml:space="preserve"> учебната 2018/2019 г.</w:t>
      </w:r>
      <w:r w:rsidR="00CF31EC" w:rsidRPr="00610B1B">
        <w:rPr>
          <w:rFonts w:ascii="Times New Roman" w:hAnsi="Times New Roman" w:cs="Times New Roman"/>
          <w:sz w:val="24"/>
          <w:szCs w:val="24"/>
          <w:lang w:val="bg-BG"/>
        </w:rPr>
        <w:t xml:space="preserve"> </w:t>
      </w:r>
      <w:r w:rsidR="00DF4C1E" w:rsidRPr="00610B1B">
        <w:rPr>
          <w:rFonts w:ascii="Times New Roman" w:hAnsi="Times New Roman" w:cs="Times New Roman"/>
          <w:sz w:val="24"/>
          <w:szCs w:val="24"/>
          <w:lang w:val="bg-BG"/>
        </w:rPr>
        <w:t>Научно</w:t>
      </w:r>
      <w:r w:rsidR="0091208B" w:rsidRPr="00610B1B">
        <w:rPr>
          <w:rFonts w:ascii="Times New Roman" w:hAnsi="Times New Roman" w:cs="Times New Roman"/>
          <w:sz w:val="24"/>
          <w:szCs w:val="24"/>
          <w:lang w:val="bg-BG"/>
        </w:rPr>
        <w:t>-</w:t>
      </w:r>
      <w:r w:rsidR="007B4463" w:rsidRPr="00610B1B">
        <w:rPr>
          <w:rFonts w:ascii="Times New Roman" w:hAnsi="Times New Roman" w:cs="Times New Roman"/>
          <w:sz w:val="24"/>
          <w:szCs w:val="24"/>
          <w:lang w:val="bg-BG"/>
        </w:rPr>
        <w:t>изследователски</w:t>
      </w:r>
      <w:r w:rsidR="00DF4C1E" w:rsidRPr="00610B1B">
        <w:rPr>
          <w:rFonts w:ascii="Times New Roman" w:hAnsi="Times New Roman" w:cs="Times New Roman"/>
          <w:sz w:val="24"/>
          <w:szCs w:val="24"/>
          <w:lang w:val="bg-BG"/>
        </w:rPr>
        <w:t>те</w:t>
      </w:r>
      <w:r w:rsidR="007B4463" w:rsidRPr="00610B1B">
        <w:rPr>
          <w:rFonts w:ascii="Times New Roman" w:hAnsi="Times New Roman" w:cs="Times New Roman"/>
          <w:sz w:val="24"/>
          <w:szCs w:val="24"/>
          <w:lang w:val="bg-BG"/>
        </w:rPr>
        <w:t xml:space="preserve"> центрове</w:t>
      </w:r>
      <w:r w:rsidR="00DF4C1E" w:rsidRPr="00610B1B">
        <w:rPr>
          <w:rFonts w:ascii="Times New Roman" w:hAnsi="Times New Roman" w:cs="Times New Roman"/>
          <w:sz w:val="24"/>
          <w:szCs w:val="24"/>
          <w:lang w:val="bg-BG"/>
        </w:rPr>
        <w:t xml:space="preserve"> във Варна са</w:t>
      </w:r>
      <w:r w:rsidR="007B4463" w:rsidRPr="00610B1B">
        <w:rPr>
          <w:rFonts w:ascii="Times New Roman" w:hAnsi="Times New Roman" w:cs="Times New Roman"/>
          <w:sz w:val="24"/>
          <w:szCs w:val="24"/>
          <w:lang w:val="bg-BG"/>
        </w:rPr>
        <w:t xml:space="preserve"> свързани с науки</w:t>
      </w:r>
      <w:r w:rsidR="00D77217" w:rsidRPr="00610B1B">
        <w:rPr>
          <w:rFonts w:ascii="Times New Roman" w:hAnsi="Times New Roman" w:cs="Times New Roman"/>
          <w:sz w:val="24"/>
          <w:szCs w:val="24"/>
          <w:lang w:val="bg-BG"/>
        </w:rPr>
        <w:t>те</w:t>
      </w:r>
      <w:r w:rsidR="007B4463" w:rsidRPr="00610B1B">
        <w:rPr>
          <w:rFonts w:ascii="Times New Roman" w:hAnsi="Times New Roman" w:cs="Times New Roman"/>
          <w:sz w:val="24"/>
          <w:szCs w:val="24"/>
          <w:lang w:val="bg-BG"/>
        </w:rPr>
        <w:t xml:space="preserve"> за морето и </w:t>
      </w:r>
      <w:r w:rsidR="00D77217" w:rsidRPr="00610B1B">
        <w:rPr>
          <w:rFonts w:ascii="Times New Roman" w:hAnsi="Times New Roman" w:cs="Times New Roman"/>
          <w:sz w:val="24"/>
          <w:szCs w:val="24"/>
          <w:lang w:val="bg-BG"/>
        </w:rPr>
        <w:t>морската икономика. С опита си и с установените традиции, с изградена</w:t>
      </w:r>
      <w:r w:rsidR="000F6B91" w:rsidRPr="00610B1B">
        <w:rPr>
          <w:rFonts w:ascii="Times New Roman" w:hAnsi="Times New Roman" w:cs="Times New Roman"/>
          <w:sz w:val="24"/>
          <w:szCs w:val="24"/>
          <w:lang w:val="bg-BG"/>
        </w:rPr>
        <w:t>та</w:t>
      </w:r>
      <w:r w:rsidR="00D77217" w:rsidRPr="00610B1B">
        <w:rPr>
          <w:rFonts w:ascii="Times New Roman" w:hAnsi="Times New Roman" w:cs="Times New Roman"/>
          <w:sz w:val="24"/>
          <w:szCs w:val="24"/>
          <w:lang w:val="bg-BG"/>
        </w:rPr>
        <w:t xml:space="preserve"> среда и с участието в мно</w:t>
      </w:r>
      <w:r w:rsidR="00DF4C1E" w:rsidRPr="00610B1B">
        <w:rPr>
          <w:rFonts w:ascii="Times New Roman" w:hAnsi="Times New Roman" w:cs="Times New Roman"/>
          <w:sz w:val="24"/>
          <w:szCs w:val="24"/>
          <w:lang w:val="bg-BG"/>
        </w:rPr>
        <w:t>го</w:t>
      </w:r>
      <w:r w:rsidR="00D77217" w:rsidRPr="00610B1B">
        <w:rPr>
          <w:rFonts w:ascii="Times New Roman" w:hAnsi="Times New Roman" w:cs="Times New Roman"/>
          <w:sz w:val="24"/>
          <w:szCs w:val="24"/>
          <w:lang w:val="bg-BG"/>
        </w:rPr>
        <w:t xml:space="preserve"> международни проекти, те концентрират знания, компетенции и ценна информация за морската среда.</w:t>
      </w:r>
      <w:r w:rsidR="0091208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Бургас </w:t>
      </w:r>
      <w:r w:rsidR="00D77217" w:rsidRPr="00610B1B">
        <w:rPr>
          <w:rFonts w:ascii="Times New Roman" w:hAnsi="Times New Roman" w:cs="Times New Roman"/>
          <w:sz w:val="24"/>
          <w:szCs w:val="24"/>
          <w:lang w:val="bg-BG"/>
        </w:rPr>
        <w:t xml:space="preserve">разполага с </w:t>
      </w:r>
      <w:r w:rsidR="00E10F89" w:rsidRPr="00610B1B">
        <w:rPr>
          <w:rFonts w:ascii="Times New Roman" w:hAnsi="Times New Roman" w:cs="Times New Roman"/>
          <w:sz w:val="24"/>
          <w:szCs w:val="24"/>
          <w:lang w:val="bg-BG"/>
        </w:rPr>
        <w:t>2</w:t>
      </w:r>
      <w:r w:rsidR="00D77217" w:rsidRPr="00610B1B">
        <w:rPr>
          <w:rFonts w:ascii="Times New Roman" w:hAnsi="Times New Roman" w:cs="Times New Roman"/>
          <w:sz w:val="24"/>
          <w:szCs w:val="24"/>
          <w:lang w:val="bg-BG"/>
        </w:rPr>
        <w:t xml:space="preserve"> висши училища</w:t>
      </w:r>
      <w:r w:rsidR="000F6B91" w:rsidRPr="00610B1B">
        <w:rPr>
          <w:rFonts w:ascii="Times New Roman" w:hAnsi="Times New Roman" w:cs="Times New Roman"/>
          <w:sz w:val="24"/>
          <w:szCs w:val="24"/>
          <w:lang w:val="bg-BG"/>
        </w:rPr>
        <w:t xml:space="preserve">, </w:t>
      </w:r>
      <w:r w:rsidR="00C812E9" w:rsidRPr="00610B1B">
        <w:rPr>
          <w:rFonts w:ascii="Times New Roman" w:hAnsi="Times New Roman" w:cs="Times New Roman"/>
          <w:sz w:val="24"/>
          <w:szCs w:val="24"/>
          <w:lang w:val="bg-BG"/>
        </w:rPr>
        <w:t>в които</w:t>
      </w:r>
      <w:r w:rsidRPr="00610B1B">
        <w:rPr>
          <w:rFonts w:ascii="Times New Roman" w:hAnsi="Times New Roman" w:cs="Times New Roman"/>
          <w:sz w:val="24"/>
          <w:szCs w:val="24"/>
          <w:lang w:val="bg-BG"/>
        </w:rPr>
        <w:t xml:space="preserve"> през учебната 2018/2019 г.</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се обучават 6 хил. студенти.</w:t>
      </w:r>
    </w:p>
    <w:p w14:paraId="25DFA4D3" w14:textId="2F16495E" w:rsidR="00D77217" w:rsidRPr="00610B1B" w:rsidRDefault="00D7721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От краткия анализ на образованието и на изградената инфраструктура могат да се направят </w:t>
      </w:r>
      <w:r w:rsidRPr="00610B1B">
        <w:rPr>
          <w:rFonts w:ascii="Times New Roman" w:hAnsi="Times New Roman" w:cs="Times New Roman"/>
          <w:b/>
          <w:sz w:val="24"/>
          <w:szCs w:val="24"/>
          <w:lang w:val="bg-BG"/>
        </w:rPr>
        <w:t>изводи</w:t>
      </w:r>
      <w:r w:rsidR="001E4316" w:rsidRPr="00610B1B">
        <w:rPr>
          <w:rFonts w:ascii="Times New Roman" w:hAnsi="Times New Roman" w:cs="Times New Roman"/>
          <w:b/>
          <w:sz w:val="24"/>
          <w:szCs w:val="24"/>
          <w:lang w:val="bg-BG"/>
        </w:rPr>
        <w:t>те</w:t>
      </w:r>
      <w:r w:rsidR="001E4316" w:rsidRPr="00610B1B">
        <w:rPr>
          <w:rFonts w:ascii="Times New Roman" w:hAnsi="Times New Roman" w:cs="Times New Roman"/>
          <w:bCs/>
          <w:sz w:val="24"/>
          <w:szCs w:val="24"/>
          <w:lang w:val="bg-BG"/>
        </w:rPr>
        <w:t>,</w:t>
      </w:r>
      <w:r w:rsidR="001E4316" w:rsidRPr="00610B1B">
        <w:rPr>
          <w:rFonts w:ascii="Times New Roman" w:hAnsi="Times New Roman" w:cs="Times New Roman"/>
          <w:b/>
          <w:sz w:val="24"/>
          <w:szCs w:val="24"/>
          <w:lang w:val="bg-BG"/>
        </w:rPr>
        <w:t xml:space="preserve"> </w:t>
      </w:r>
      <w:r w:rsidR="001E4316" w:rsidRPr="00610B1B">
        <w:rPr>
          <w:rFonts w:ascii="Times New Roman" w:hAnsi="Times New Roman" w:cs="Times New Roman"/>
          <w:sz w:val="24"/>
          <w:szCs w:val="24"/>
          <w:lang w:val="bg-BG"/>
        </w:rPr>
        <w:t>че в</w:t>
      </w:r>
      <w:r w:rsidRPr="00610B1B">
        <w:rPr>
          <w:rFonts w:ascii="Times New Roman" w:hAnsi="Times New Roman" w:cs="Times New Roman"/>
          <w:sz w:val="24"/>
          <w:szCs w:val="24"/>
          <w:lang w:val="bg-BG"/>
        </w:rPr>
        <w:t xml:space="preserve"> Черноморските общини е концентрирано високо образовано население</w:t>
      </w:r>
      <w:r w:rsidR="001E4316" w:rsidRPr="00610B1B">
        <w:rPr>
          <w:rFonts w:ascii="Times New Roman" w:hAnsi="Times New Roman" w:cs="Times New Roman"/>
          <w:sz w:val="24"/>
          <w:szCs w:val="24"/>
          <w:lang w:val="bg-BG"/>
        </w:rPr>
        <w:t xml:space="preserve">. Висок е относителният дял както на </w:t>
      </w:r>
      <w:r w:rsidR="0082227D" w:rsidRPr="00610B1B">
        <w:rPr>
          <w:rFonts w:ascii="Times New Roman" w:hAnsi="Times New Roman" w:cs="Times New Roman"/>
          <w:sz w:val="24"/>
          <w:szCs w:val="24"/>
          <w:lang w:val="bg-BG"/>
        </w:rPr>
        <w:t>население</w:t>
      </w:r>
      <w:r w:rsidR="001E4316" w:rsidRPr="00610B1B">
        <w:rPr>
          <w:rFonts w:ascii="Times New Roman" w:hAnsi="Times New Roman" w:cs="Times New Roman"/>
          <w:sz w:val="24"/>
          <w:szCs w:val="24"/>
          <w:lang w:val="bg-BG"/>
        </w:rPr>
        <w:t>то</w:t>
      </w:r>
      <w:r w:rsidR="0082227D" w:rsidRPr="00610B1B">
        <w:rPr>
          <w:rFonts w:ascii="Times New Roman" w:hAnsi="Times New Roman" w:cs="Times New Roman"/>
          <w:sz w:val="24"/>
          <w:szCs w:val="24"/>
          <w:lang w:val="bg-BG"/>
        </w:rPr>
        <w:t xml:space="preserve"> с висше образование </w:t>
      </w:r>
      <w:r w:rsidRPr="00610B1B">
        <w:rPr>
          <w:rFonts w:ascii="Times New Roman" w:hAnsi="Times New Roman" w:cs="Times New Roman"/>
          <w:sz w:val="24"/>
          <w:szCs w:val="24"/>
          <w:lang w:val="bg-BG"/>
        </w:rPr>
        <w:t>(</w:t>
      </w:r>
      <w:r w:rsidR="0082227D" w:rsidRPr="00610B1B">
        <w:rPr>
          <w:rFonts w:ascii="Times New Roman" w:hAnsi="Times New Roman" w:cs="Times New Roman"/>
          <w:sz w:val="24"/>
          <w:szCs w:val="24"/>
          <w:lang w:val="bg-BG"/>
        </w:rPr>
        <w:t>24.1%</w:t>
      </w:r>
      <w:r w:rsidRPr="00610B1B">
        <w:rPr>
          <w:rFonts w:ascii="Times New Roman" w:hAnsi="Times New Roman" w:cs="Times New Roman"/>
          <w:sz w:val="24"/>
          <w:szCs w:val="24"/>
          <w:lang w:val="bg-BG"/>
        </w:rPr>
        <w:t>)</w:t>
      </w:r>
      <w:r w:rsidR="001E4316" w:rsidRPr="00610B1B">
        <w:rPr>
          <w:rFonts w:ascii="Times New Roman" w:hAnsi="Times New Roman" w:cs="Times New Roman"/>
          <w:sz w:val="24"/>
          <w:szCs w:val="24"/>
          <w:lang w:val="bg-BG"/>
        </w:rPr>
        <w:t xml:space="preserve">, така </w:t>
      </w:r>
      <w:r w:rsidRPr="00610B1B">
        <w:rPr>
          <w:rFonts w:ascii="Times New Roman" w:hAnsi="Times New Roman" w:cs="Times New Roman"/>
          <w:sz w:val="24"/>
          <w:szCs w:val="24"/>
          <w:lang w:val="bg-BG"/>
        </w:rPr>
        <w:t xml:space="preserve">и </w:t>
      </w:r>
      <w:r w:rsidR="0082227D" w:rsidRPr="00610B1B">
        <w:rPr>
          <w:rFonts w:ascii="Times New Roman" w:hAnsi="Times New Roman" w:cs="Times New Roman"/>
          <w:sz w:val="24"/>
          <w:szCs w:val="24"/>
          <w:lang w:val="bg-BG"/>
        </w:rPr>
        <w:t>на население</w:t>
      </w:r>
      <w:r w:rsidR="001E4316" w:rsidRPr="00610B1B">
        <w:rPr>
          <w:rFonts w:ascii="Times New Roman" w:hAnsi="Times New Roman" w:cs="Times New Roman"/>
          <w:sz w:val="24"/>
          <w:szCs w:val="24"/>
          <w:lang w:val="bg-BG"/>
        </w:rPr>
        <w:t>то</w:t>
      </w:r>
      <w:r w:rsidR="0082227D" w:rsidRPr="00610B1B">
        <w:rPr>
          <w:rFonts w:ascii="Times New Roman" w:hAnsi="Times New Roman" w:cs="Times New Roman"/>
          <w:sz w:val="24"/>
          <w:szCs w:val="24"/>
          <w:lang w:val="bg-BG"/>
        </w:rPr>
        <w:t xml:space="preserve"> със средно образование </w:t>
      </w:r>
      <w:r w:rsidR="001E4316" w:rsidRPr="00610B1B">
        <w:rPr>
          <w:rFonts w:ascii="Times New Roman" w:hAnsi="Times New Roman" w:cs="Times New Roman"/>
          <w:sz w:val="24"/>
          <w:szCs w:val="24"/>
          <w:lang w:val="bg-BG"/>
        </w:rPr>
        <w:t>(</w:t>
      </w:r>
      <w:r w:rsidR="0082227D" w:rsidRPr="00610B1B">
        <w:rPr>
          <w:rFonts w:ascii="Times New Roman" w:hAnsi="Times New Roman" w:cs="Times New Roman"/>
          <w:sz w:val="24"/>
          <w:szCs w:val="24"/>
          <w:lang w:val="bg-BG"/>
        </w:rPr>
        <w:t>44.8%</w:t>
      </w:r>
      <w:r w:rsidR="001E4316"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 градовете Варна и Бургас функционират </w:t>
      </w:r>
      <w:r w:rsidR="0082227D" w:rsidRPr="00610B1B">
        <w:rPr>
          <w:rFonts w:ascii="Times New Roman" w:hAnsi="Times New Roman" w:cs="Times New Roman"/>
          <w:sz w:val="24"/>
          <w:szCs w:val="24"/>
          <w:lang w:val="bg-BG"/>
        </w:rPr>
        <w:t>значими общообразователни и професионални училища</w:t>
      </w:r>
      <w:r w:rsidRPr="00610B1B">
        <w:rPr>
          <w:rFonts w:ascii="Times New Roman" w:hAnsi="Times New Roman" w:cs="Times New Roman"/>
          <w:sz w:val="24"/>
          <w:szCs w:val="24"/>
          <w:lang w:val="bg-BG"/>
        </w:rPr>
        <w:t>, в по-голямата част от които се изучават дисциплини, свързани с морето и дейностите</w:t>
      </w:r>
      <w:r w:rsidR="000F6B9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осъществявани в него и в крайбрежната зона – туризъм, пристанищна дейност и логистика, морски транспорт и д</w:t>
      </w:r>
      <w:r w:rsidR="00757909" w:rsidRPr="00610B1B">
        <w:rPr>
          <w:rFonts w:ascii="Times New Roman" w:hAnsi="Times New Roman" w:cs="Times New Roman"/>
          <w:sz w:val="24"/>
          <w:szCs w:val="24"/>
          <w:lang w:val="bg-BG"/>
        </w:rPr>
        <w:t>руги</w:t>
      </w:r>
      <w:r w:rsidRPr="00610B1B">
        <w:rPr>
          <w:rFonts w:ascii="Times New Roman" w:hAnsi="Times New Roman" w:cs="Times New Roman"/>
          <w:sz w:val="24"/>
          <w:szCs w:val="24"/>
          <w:lang w:val="bg-BG"/>
        </w:rPr>
        <w:t>.</w:t>
      </w:r>
    </w:p>
    <w:p w14:paraId="193F4942" w14:textId="59BF38F6" w:rsidR="0082227D" w:rsidRPr="00610B1B" w:rsidRDefault="00D7721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 най-голямо значение в областта на образованието са градовете </w:t>
      </w:r>
      <w:r w:rsidR="0082227D" w:rsidRPr="00610B1B">
        <w:rPr>
          <w:rFonts w:ascii="Times New Roman" w:hAnsi="Times New Roman" w:cs="Times New Roman"/>
          <w:sz w:val="24"/>
          <w:szCs w:val="24"/>
          <w:lang w:val="bg-BG"/>
        </w:rPr>
        <w:t>Варна и Бургас</w:t>
      </w:r>
      <w:r w:rsidRPr="00610B1B">
        <w:rPr>
          <w:rFonts w:ascii="Times New Roman" w:hAnsi="Times New Roman" w:cs="Times New Roman"/>
          <w:sz w:val="24"/>
          <w:szCs w:val="24"/>
          <w:lang w:val="bg-BG"/>
        </w:rPr>
        <w:t xml:space="preserve">, които са </w:t>
      </w:r>
      <w:r w:rsidR="0082227D" w:rsidRPr="00610B1B">
        <w:rPr>
          <w:rFonts w:ascii="Times New Roman" w:hAnsi="Times New Roman" w:cs="Times New Roman"/>
          <w:sz w:val="24"/>
          <w:szCs w:val="24"/>
          <w:lang w:val="bg-BG"/>
        </w:rPr>
        <w:t xml:space="preserve">важни университетски </w:t>
      </w:r>
      <w:r w:rsidRPr="00610B1B">
        <w:rPr>
          <w:rFonts w:ascii="Times New Roman" w:hAnsi="Times New Roman" w:cs="Times New Roman"/>
          <w:sz w:val="24"/>
          <w:szCs w:val="24"/>
          <w:lang w:val="bg-BG"/>
        </w:rPr>
        <w:t xml:space="preserve">и научноизследователски </w:t>
      </w:r>
      <w:r w:rsidR="0082227D" w:rsidRPr="00610B1B">
        <w:rPr>
          <w:rFonts w:ascii="Times New Roman" w:hAnsi="Times New Roman" w:cs="Times New Roman"/>
          <w:sz w:val="24"/>
          <w:szCs w:val="24"/>
          <w:lang w:val="bg-BG"/>
        </w:rPr>
        <w:t>центрове</w:t>
      </w:r>
      <w:r w:rsidR="0091208B" w:rsidRPr="00610B1B">
        <w:rPr>
          <w:rFonts w:ascii="Times New Roman" w:hAnsi="Times New Roman" w:cs="Times New Roman"/>
          <w:sz w:val="24"/>
          <w:szCs w:val="24"/>
          <w:lang w:val="bg-BG"/>
        </w:rPr>
        <w:t xml:space="preserve"> и </w:t>
      </w:r>
      <w:r w:rsidR="00392A32" w:rsidRPr="00610B1B">
        <w:rPr>
          <w:rFonts w:ascii="Times New Roman" w:hAnsi="Times New Roman" w:cs="Times New Roman"/>
          <w:sz w:val="24"/>
          <w:szCs w:val="24"/>
          <w:lang w:val="bg-BG"/>
        </w:rPr>
        <w:t>осъществява</w:t>
      </w:r>
      <w:r w:rsidR="0091208B" w:rsidRPr="00610B1B">
        <w:rPr>
          <w:rFonts w:ascii="Times New Roman" w:hAnsi="Times New Roman" w:cs="Times New Roman"/>
          <w:sz w:val="24"/>
          <w:szCs w:val="24"/>
          <w:lang w:val="bg-BG"/>
        </w:rPr>
        <w:t>т</w:t>
      </w:r>
      <w:r w:rsidR="006D509C" w:rsidRPr="00610B1B">
        <w:rPr>
          <w:rFonts w:ascii="Times New Roman" w:hAnsi="Times New Roman" w:cs="Times New Roman"/>
          <w:sz w:val="24"/>
          <w:szCs w:val="24"/>
          <w:lang w:val="bg-BG"/>
        </w:rPr>
        <w:t xml:space="preserve"> своята дейност и в сферата на свързаните с морето </w:t>
      </w:r>
      <w:r w:rsidR="0091208B" w:rsidRPr="00610B1B">
        <w:rPr>
          <w:rFonts w:ascii="Times New Roman" w:hAnsi="Times New Roman" w:cs="Times New Roman"/>
          <w:sz w:val="24"/>
          <w:szCs w:val="24"/>
          <w:lang w:val="bg-BG"/>
        </w:rPr>
        <w:t xml:space="preserve">икономически </w:t>
      </w:r>
      <w:r w:rsidR="006D509C" w:rsidRPr="00610B1B">
        <w:rPr>
          <w:rFonts w:ascii="Times New Roman" w:hAnsi="Times New Roman" w:cs="Times New Roman"/>
          <w:sz w:val="24"/>
          <w:szCs w:val="24"/>
          <w:lang w:val="bg-BG"/>
        </w:rPr>
        <w:t>сектори.</w:t>
      </w:r>
      <w:r w:rsidR="000F6B91" w:rsidRPr="00610B1B">
        <w:rPr>
          <w:rFonts w:ascii="Times New Roman" w:hAnsi="Times New Roman" w:cs="Times New Roman"/>
          <w:sz w:val="24"/>
          <w:szCs w:val="24"/>
          <w:lang w:val="bg-BG"/>
        </w:rPr>
        <w:t xml:space="preserve"> Това доказва потенциал за развитие на приоритетите на стратегическите документи за Черноморския регион.</w:t>
      </w:r>
    </w:p>
    <w:p w14:paraId="17F90C5D"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0A6C2D4F" w14:textId="295AF7A6" w:rsidR="00D77217" w:rsidRPr="00610B1B" w:rsidRDefault="00923F27" w:rsidP="00D32D6A">
      <w:pPr>
        <w:pStyle w:val="Heading3"/>
        <w:spacing w:before="0" w:line="276" w:lineRule="auto"/>
        <w:rPr>
          <w:rFonts w:cs="Times New Roman"/>
        </w:rPr>
      </w:pPr>
      <w:bookmarkStart w:id="315" w:name="_Toc83391369"/>
      <w:r w:rsidRPr="00610B1B">
        <w:rPr>
          <w:rFonts w:cs="Times New Roman"/>
        </w:rPr>
        <w:t xml:space="preserve">2.3.3. </w:t>
      </w:r>
      <w:r w:rsidR="00D77217" w:rsidRPr="00610B1B">
        <w:rPr>
          <w:rFonts w:cs="Times New Roman"/>
        </w:rPr>
        <w:t>Здравеопазване</w:t>
      </w:r>
      <w:bookmarkEnd w:id="315"/>
    </w:p>
    <w:p w14:paraId="3EE17812" w14:textId="771CA262" w:rsidR="00F96DBA" w:rsidRPr="00610B1B" w:rsidRDefault="00CF31EC"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hAnsi="Times New Roman" w:cs="Times New Roman"/>
          <w:sz w:val="24"/>
          <w:szCs w:val="24"/>
          <w:lang w:val="bg-BG"/>
        </w:rPr>
        <w:t>Анализът на с</w:t>
      </w:r>
      <w:r w:rsidR="00D77217" w:rsidRPr="00610B1B">
        <w:rPr>
          <w:rFonts w:ascii="Times New Roman" w:hAnsi="Times New Roman" w:cs="Times New Roman"/>
          <w:sz w:val="24"/>
          <w:szCs w:val="24"/>
          <w:lang w:val="bg-BG"/>
        </w:rPr>
        <w:t xml:space="preserve">истемата на здравеопазването </w:t>
      </w:r>
      <w:r w:rsidRPr="00610B1B">
        <w:rPr>
          <w:rFonts w:ascii="Times New Roman" w:hAnsi="Times New Roman" w:cs="Times New Roman"/>
          <w:sz w:val="24"/>
          <w:szCs w:val="24"/>
          <w:lang w:val="bg-BG"/>
        </w:rPr>
        <w:t>показва</w:t>
      </w:r>
      <w:r w:rsidR="0091208B" w:rsidRPr="00610B1B">
        <w:rPr>
          <w:rFonts w:ascii="Times New Roman" w:hAnsi="Times New Roman" w:cs="Times New Roman"/>
          <w:sz w:val="24"/>
          <w:szCs w:val="24"/>
          <w:lang w:val="bg-BG"/>
        </w:rPr>
        <w:t xml:space="preserve"> в</w:t>
      </w:r>
      <w:r w:rsidR="00D77217" w:rsidRPr="00610B1B">
        <w:rPr>
          <w:rFonts w:ascii="Times New Roman" w:hAnsi="Times New Roman" w:cs="Times New Roman"/>
          <w:sz w:val="24"/>
          <w:szCs w:val="24"/>
          <w:lang w:val="bg-BG"/>
        </w:rPr>
        <w:t xml:space="preserve">ъзможностите за обслужване през активния туристически сезон, когато населението в Черноморските общини нараства неколкократно. </w:t>
      </w:r>
      <w:r w:rsidR="003308C9" w:rsidRPr="00610B1B">
        <w:rPr>
          <w:rFonts w:ascii="Times New Roman" w:eastAsia="Times New Roman" w:hAnsi="Times New Roman" w:cs="Times New Roman"/>
          <w:sz w:val="24"/>
          <w:szCs w:val="24"/>
          <w:lang w:val="bg-BG" w:eastAsia="bg-BG"/>
        </w:rPr>
        <w:t xml:space="preserve">През 2018 г. инфраструктура на болничната помощ включва </w:t>
      </w:r>
      <w:r w:rsidR="003308C9" w:rsidRPr="00610B1B">
        <w:rPr>
          <w:rFonts w:ascii="Times New Roman" w:eastAsia="Times New Roman" w:hAnsi="Times New Roman" w:cs="Times New Roman"/>
          <w:bCs/>
          <w:sz w:val="24"/>
          <w:szCs w:val="24"/>
          <w:lang w:val="bg-BG" w:eastAsia="bg-BG"/>
        </w:rPr>
        <w:t>32 болнични заведения</w:t>
      </w:r>
      <w:r w:rsidR="003308C9" w:rsidRPr="00610B1B">
        <w:rPr>
          <w:rFonts w:ascii="Times New Roman" w:eastAsia="Times New Roman" w:hAnsi="Times New Roman" w:cs="Times New Roman"/>
          <w:sz w:val="24"/>
          <w:szCs w:val="24"/>
          <w:lang w:val="bg-BG" w:eastAsia="bg-BG"/>
        </w:rPr>
        <w:t xml:space="preserve"> с 4 932 легла</w:t>
      </w:r>
      <w:r w:rsidR="00525DC8" w:rsidRPr="00610B1B">
        <w:rPr>
          <w:rFonts w:ascii="Times New Roman" w:eastAsia="Times New Roman" w:hAnsi="Times New Roman" w:cs="Times New Roman"/>
          <w:sz w:val="24"/>
          <w:szCs w:val="24"/>
          <w:lang w:val="bg-BG" w:eastAsia="bg-BG"/>
        </w:rPr>
        <w:t xml:space="preserve"> в СИР</w:t>
      </w:r>
      <w:r w:rsidR="003308C9" w:rsidRPr="00610B1B">
        <w:rPr>
          <w:rFonts w:ascii="Times New Roman" w:eastAsia="Times New Roman" w:hAnsi="Times New Roman" w:cs="Times New Roman"/>
          <w:sz w:val="24"/>
          <w:szCs w:val="24"/>
          <w:lang w:val="bg-BG" w:eastAsia="bg-BG"/>
        </w:rPr>
        <w:t>, което представлява 9.2% от болничните заведения и 9.3% от болничните легла в страната</w:t>
      </w:r>
      <w:r w:rsidR="00525DC8" w:rsidRPr="00610B1B">
        <w:rPr>
          <w:rFonts w:ascii="Times New Roman" w:eastAsia="Times New Roman" w:hAnsi="Times New Roman" w:cs="Times New Roman"/>
          <w:sz w:val="24"/>
          <w:szCs w:val="24"/>
          <w:lang w:val="bg-BG" w:eastAsia="bg-BG"/>
        </w:rPr>
        <w:t xml:space="preserve"> и </w:t>
      </w:r>
      <w:r w:rsidR="00525DC8" w:rsidRPr="00610B1B">
        <w:rPr>
          <w:rFonts w:ascii="Times New Roman" w:eastAsia="Calibri" w:hAnsi="Times New Roman" w:cs="Times New Roman"/>
          <w:sz w:val="24"/>
          <w:szCs w:val="24"/>
          <w:lang w:val="bg-BG" w:eastAsia="bg-BG"/>
        </w:rPr>
        <w:t xml:space="preserve">46 болнични заведения с 6 805 легла, или още 13.3% от болничните заведения и 12.8% от болничните легла в страната. </w:t>
      </w:r>
      <w:r w:rsidR="00525DC8" w:rsidRPr="00610B1B">
        <w:rPr>
          <w:rFonts w:ascii="Times New Roman" w:eastAsia="Times New Roman" w:hAnsi="Times New Roman" w:cs="Times New Roman"/>
          <w:sz w:val="24"/>
          <w:szCs w:val="24"/>
          <w:lang w:val="bg-BG" w:eastAsia="bg-BG"/>
        </w:rPr>
        <w:t xml:space="preserve">Основната </w:t>
      </w:r>
      <w:r w:rsidR="003308C9" w:rsidRPr="00610B1B">
        <w:rPr>
          <w:rFonts w:ascii="Times New Roman" w:eastAsia="Times New Roman" w:hAnsi="Times New Roman" w:cs="Times New Roman"/>
          <w:sz w:val="24"/>
          <w:szCs w:val="24"/>
          <w:lang w:val="bg-BG" w:eastAsia="bg-BG"/>
        </w:rPr>
        <w:t xml:space="preserve">част от болничните заведения </w:t>
      </w:r>
      <w:r w:rsidR="00525DC8" w:rsidRPr="00610B1B">
        <w:rPr>
          <w:rFonts w:ascii="Times New Roman" w:eastAsia="Times New Roman" w:hAnsi="Times New Roman" w:cs="Times New Roman"/>
          <w:sz w:val="24"/>
          <w:szCs w:val="24"/>
          <w:lang w:val="bg-BG" w:eastAsia="bg-BG"/>
        </w:rPr>
        <w:t xml:space="preserve">за Северното Черноморие е </w:t>
      </w:r>
      <w:r w:rsidR="003308C9" w:rsidRPr="00610B1B">
        <w:rPr>
          <w:rFonts w:ascii="Times New Roman" w:eastAsia="Times New Roman" w:hAnsi="Times New Roman" w:cs="Times New Roman"/>
          <w:sz w:val="24"/>
          <w:szCs w:val="24"/>
          <w:lang w:val="bg-BG" w:eastAsia="bg-BG"/>
        </w:rPr>
        <w:t>концентрирана в</w:t>
      </w:r>
      <w:r w:rsidR="00D66FE0" w:rsidRPr="00610B1B">
        <w:rPr>
          <w:rFonts w:ascii="Times New Roman" w:eastAsia="Times New Roman" w:hAnsi="Times New Roman" w:cs="Times New Roman"/>
          <w:sz w:val="24"/>
          <w:szCs w:val="24"/>
          <w:lang w:val="bg-BG" w:eastAsia="bg-BG"/>
        </w:rPr>
        <w:t xml:space="preserve"> </w:t>
      </w:r>
      <w:r w:rsidR="003308C9" w:rsidRPr="00610B1B">
        <w:rPr>
          <w:rFonts w:ascii="Times New Roman" w:eastAsia="Times New Roman" w:hAnsi="Times New Roman" w:cs="Times New Roman"/>
          <w:sz w:val="24"/>
          <w:szCs w:val="24"/>
          <w:lang w:val="bg-BG" w:eastAsia="bg-BG"/>
        </w:rPr>
        <w:t>област Варна</w:t>
      </w:r>
      <w:r w:rsidR="00525DC8" w:rsidRPr="00610B1B">
        <w:rPr>
          <w:rFonts w:ascii="Times New Roman" w:eastAsia="Times New Roman" w:hAnsi="Times New Roman" w:cs="Times New Roman"/>
          <w:sz w:val="24"/>
          <w:szCs w:val="24"/>
          <w:lang w:val="bg-BG" w:eastAsia="bg-BG"/>
        </w:rPr>
        <w:t>, където има 16</w:t>
      </w:r>
      <w:r w:rsidR="00D66FE0" w:rsidRPr="00610B1B">
        <w:rPr>
          <w:rFonts w:ascii="Times New Roman" w:eastAsia="Times New Roman" w:hAnsi="Times New Roman" w:cs="Times New Roman"/>
          <w:sz w:val="24"/>
          <w:szCs w:val="24"/>
          <w:lang w:val="bg-BG" w:eastAsia="bg-BG"/>
        </w:rPr>
        <w:t xml:space="preserve"> </w:t>
      </w:r>
      <w:r w:rsidR="003308C9" w:rsidRPr="00610B1B">
        <w:rPr>
          <w:rFonts w:ascii="Times New Roman" w:eastAsia="Times New Roman" w:hAnsi="Times New Roman" w:cs="Times New Roman"/>
          <w:sz w:val="24"/>
          <w:szCs w:val="24"/>
          <w:lang w:val="bg-BG" w:eastAsia="bg-BG"/>
        </w:rPr>
        <w:t>болнични</w:t>
      </w:r>
      <w:r w:rsidR="00525DC8" w:rsidRPr="00610B1B">
        <w:rPr>
          <w:rFonts w:ascii="Times New Roman" w:eastAsia="Times New Roman" w:hAnsi="Times New Roman" w:cs="Times New Roman"/>
          <w:sz w:val="24"/>
          <w:szCs w:val="24"/>
          <w:lang w:val="bg-BG" w:eastAsia="bg-BG"/>
        </w:rPr>
        <w:t xml:space="preserve"> заведения </w:t>
      </w:r>
      <w:r w:rsidR="005C345A" w:rsidRPr="00610B1B">
        <w:rPr>
          <w:rFonts w:ascii="Times New Roman" w:eastAsia="Times New Roman" w:hAnsi="Times New Roman" w:cs="Times New Roman"/>
          <w:sz w:val="24"/>
          <w:szCs w:val="24"/>
          <w:lang w:val="bg-BG" w:eastAsia="bg-BG"/>
        </w:rPr>
        <w:t>с общо 2</w:t>
      </w:r>
      <w:r w:rsidR="006D509C" w:rsidRPr="00610B1B">
        <w:rPr>
          <w:rFonts w:ascii="Times New Roman" w:eastAsia="Times New Roman" w:hAnsi="Times New Roman" w:cs="Times New Roman"/>
          <w:sz w:val="24"/>
          <w:szCs w:val="24"/>
          <w:lang w:val="bg-BG" w:eastAsia="bg-BG"/>
        </w:rPr>
        <w:t> </w:t>
      </w:r>
      <w:r w:rsidR="005C345A" w:rsidRPr="00610B1B">
        <w:rPr>
          <w:rFonts w:ascii="Times New Roman" w:eastAsia="Times New Roman" w:hAnsi="Times New Roman" w:cs="Times New Roman"/>
          <w:sz w:val="24"/>
          <w:szCs w:val="24"/>
          <w:lang w:val="bg-BG" w:eastAsia="bg-BG"/>
        </w:rPr>
        <w:t>670 легла</w:t>
      </w:r>
      <w:r w:rsidR="003308C9" w:rsidRPr="00610B1B">
        <w:rPr>
          <w:rFonts w:ascii="Times New Roman" w:eastAsia="Times New Roman" w:hAnsi="Times New Roman" w:cs="Times New Roman"/>
          <w:sz w:val="24"/>
          <w:szCs w:val="24"/>
          <w:lang w:val="bg-BG" w:eastAsia="bg-BG"/>
        </w:rPr>
        <w:t xml:space="preserve">, </w:t>
      </w:r>
      <w:r w:rsidR="005C345A" w:rsidRPr="00610B1B">
        <w:rPr>
          <w:rFonts w:ascii="Times New Roman" w:eastAsia="Times New Roman" w:hAnsi="Times New Roman" w:cs="Times New Roman"/>
          <w:sz w:val="24"/>
          <w:szCs w:val="24"/>
          <w:lang w:val="bg-BG" w:eastAsia="bg-BG"/>
        </w:rPr>
        <w:t>от които 6 многопрофилни с 2 057 легла</w:t>
      </w:r>
      <w:r w:rsidR="00D66FE0" w:rsidRPr="00610B1B">
        <w:rPr>
          <w:rFonts w:ascii="Times New Roman" w:eastAsia="Times New Roman" w:hAnsi="Times New Roman" w:cs="Times New Roman"/>
          <w:sz w:val="24"/>
          <w:szCs w:val="24"/>
          <w:lang w:val="bg-BG" w:eastAsia="bg-BG"/>
        </w:rPr>
        <w:t xml:space="preserve"> </w:t>
      </w:r>
      <w:r w:rsidR="0091208B" w:rsidRPr="00610B1B">
        <w:rPr>
          <w:rFonts w:ascii="Times New Roman" w:eastAsia="Times New Roman" w:hAnsi="Times New Roman" w:cs="Times New Roman"/>
          <w:sz w:val="24"/>
          <w:szCs w:val="24"/>
          <w:lang w:val="bg-BG" w:eastAsia="bg-BG"/>
        </w:rPr>
        <w:t xml:space="preserve">или </w:t>
      </w:r>
      <w:r w:rsidR="003308C9" w:rsidRPr="00610B1B">
        <w:rPr>
          <w:rFonts w:ascii="Times New Roman" w:eastAsia="Times New Roman" w:hAnsi="Times New Roman" w:cs="Times New Roman"/>
          <w:sz w:val="24"/>
          <w:szCs w:val="24"/>
          <w:lang w:val="bg-BG" w:eastAsia="bg-BG"/>
        </w:rPr>
        <w:t xml:space="preserve">50.0% от общия брой на болничните заведения </w:t>
      </w:r>
      <w:r w:rsidR="0091208B" w:rsidRPr="00610B1B">
        <w:rPr>
          <w:rFonts w:ascii="Times New Roman" w:eastAsia="Times New Roman" w:hAnsi="Times New Roman" w:cs="Times New Roman"/>
          <w:sz w:val="24"/>
          <w:szCs w:val="24"/>
          <w:lang w:val="bg-BG" w:eastAsia="bg-BG"/>
        </w:rPr>
        <w:t>в</w:t>
      </w:r>
      <w:r w:rsidR="003308C9" w:rsidRPr="00610B1B">
        <w:rPr>
          <w:rFonts w:ascii="Times New Roman" w:eastAsia="Times New Roman" w:hAnsi="Times New Roman" w:cs="Times New Roman"/>
          <w:sz w:val="24"/>
          <w:szCs w:val="24"/>
          <w:lang w:val="bg-BG" w:eastAsia="bg-BG"/>
        </w:rPr>
        <w:t xml:space="preserve"> региона</w:t>
      </w:r>
      <w:r w:rsidR="00525DC8" w:rsidRPr="00610B1B">
        <w:rPr>
          <w:rFonts w:ascii="Times New Roman" w:eastAsia="Times New Roman" w:hAnsi="Times New Roman" w:cs="Times New Roman"/>
          <w:sz w:val="24"/>
          <w:szCs w:val="24"/>
          <w:lang w:val="bg-BG" w:eastAsia="bg-BG"/>
        </w:rPr>
        <w:t>)</w:t>
      </w:r>
      <w:r w:rsidR="003308C9" w:rsidRPr="00610B1B">
        <w:rPr>
          <w:rFonts w:ascii="Times New Roman" w:eastAsia="Times New Roman" w:hAnsi="Times New Roman" w:cs="Times New Roman"/>
          <w:sz w:val="24"/>
          <w:szCs w:val="24"/>
          <w:lang w:val="bg-BG" w:eastAsia="bg-BG"/>
        </w:rPr>
        <w:t xml:space="preserve">. </w:t>
      </w:r>
      <w:r w:rsidR="00F96DBA" w:rsidRPr="00610B1B">
        <w:rPr>
          <w:rFonts w:ascii="Times New Roman" w:eastAsia="Times New Roman" w:hAnsi="Times New Roman" w:cs="Times New Roman"/>
          <w:sz w:val="24"/>
          <w:szCs w:val="24"/>
          <w:lang w:val="bg-BG" w:eastAsia="bg-BG"/>
        </w:rPr>
        <w:t>В област Варна на 100</w:t>
      </w:r>
      <w:r w:rsidR="006D509C" w:rsidRPr="00610B1B">
        <w:rPr>
          <w:rFonts w:ascii="Times New Roman" w:eastAsia="Times New Roman" w:hAnsi="Times New Roman" w:cs="Times New Roman"/>
          <w:sz w:val="24"/>
          <w:szCs w:val="24"/>
          <w:lang w:val="bg-BG" w:eastAsia="bg-BG"/>
        </w:rPr>
        <w:t> </w:t>
      </w:r>
      <w:r w:rsidR="00F96DBA" w:rsidRPr="00610B1B">
        <w:rPr>
          <w:rFonts w:ascii="Times New Roman" w:eastAsia="Times New Roman" w:hAnsi="Times New Roman" w:cs="Times New Roman"/>
          <w:sz w:val="24"/>
          <w:szCs w:val="24"/>
          <w:lang w:val="bg-BG" w:eastAsia="bg-BG"/>
        </w:rPr>
        <w:t xml:space="preserve">000 души от населението се падат 567 легла, а в област Добрич 438 легла. </w:t>
      </w:r>
      <w:r w:rsidR="00447637" w:rsidRPr="00610B1B">
        <w:rPr>
          <w:rFonts w:ascii="Times New Roman" w:eastAsia="Times New Roman" w:hAnsi="Times New Roman" w:cs="Times New Roman"/>
          <w:sz w:val="24"/>
          <w:szCs w:val="24"/>
          <w:lang w:val="bg-BG" w:eastAsia="bg-BG"/>
        </w:rPr>
        <w:t xml:space="preserve">За ЮИР и Южното Черноморско крайбрежие болничните заведения са концентрирани в областния център гр. Бургас, където са разположени </w:t>
      </w:r>
      <w:r w:rsidR="005C345A" w:rsidRPr="00610B1B">
        <w:rPr>
          <w:rFonts w:ascii="Times New Roman" w:eastAsia="Calibri" w:hAnsi="Times New Roman" w:cs="Times New Roman"/>
          <w:sz w:val="24"/>
          <w:szCs w:val="24"/>
          <w:lang w:val="bg-BG" w:eastAsia="bg-BG"/>
        </w:rPr>
        <w:t>20 болнични заведения с общо 2</w:t>
      </w:r>
      <w:r w:rsidR="00447637" w:rsidRPr="00610B1B">
        <w:rPr>
          <w:rFonts w:ascii="Times New Roman" w:eastAsia="Calibri" w:hAnsi="Times New Roman" w:cs="Times New Roman"/>
          <w:sz w:val="24"/>
          <w:szCs w:val="24"/>
          <w:lang w:val="bg-BG" w:eastAsia="bg-BG"/>
        </w:rPr>
        <w:t> </w:t>
      </w:r>
      <w:r w:rsidR="005C345A" w:rsidRPr="00610B1B">
        <w:rPr>
          <w:rFonts w:ascii="Times New Roman" w:eastAsia="Calibri" w:hAnsi="Times New Roman" w:cs="Times New Roman"/>
          <w:sz w:val="24"/>
          <w:szCs w:val="24"/>
          <w:lang w:val="bg-BG" w:eastAsia="bg-BG"/>
        </w:rPr>
        <w:t>910 легла, от които 9 многопрофилни болници с 1</w:t>
      </w:r>
      <w:r w:rsidR="00447637" w:rsidRPr="00610B1B">
        <w:rPr>
          <w:rFonts w:ascii="Times New Roman" w:eastAsia="Calibri" w:hAnsi="Times New Roman" w:cs="Times New Roman"/>
          <w:sz w:val="24"/>
          <w:szCs w:val="24"/>
          <w:lang w:val="bg-BG" w:eastAsia="bg-BG"/>
        </w:rPr>
        <w:t> </w:t>
      </w:r>
      <w:r w:rsidR="005C345A" w:rsidRPr="00610B1B">
        <w:rPr>
          <w:rFonts w:ascii="Times New Roman" w:eastAsia="Calibri" w:hAnsi="Times New Roman" w:cs="Times New Roman"/>
          <w:sz w:val="24"/>
          <w:szCs w:val="24"/>
          <w:lang w:val="bg-BG" w:eastAsia="bg-BG"/>
        </w:rPr>
        <w:t xml:space="preserve">407 легла. </w:t>
      </w:r>
      <w:r w:rsidR="00F96DBA" w:rsidRPr="00610B1B">
        <w:rPr>
          <w:rFonts w:ascii="Times New Roman" w:eastAsia="Calibri" w:hAnsi="Times New Roman" w:cs="Times New Roman"/>
          <w:sz w:val="24"/>
          <w:szCs w:val="24"/>
          <w:lang w:val="bg-BG" w:eastAsia="bg-BG"/>
        </w:rPr>
        <w:t>В област Бургас има 709 легла на 100</w:t>
      </w:r>
      <w:r w:rsidR="00447637" w:rsidRPr="00610B1B">
        <w:rPr>
          <w:rFonts w:ascii="Times New Roman" w:eastAsia="Calibri" w:hAnsi="Times New Roman" w:cs="Times New Roman"/>
          <w:sz w:val="24"/>
          <w:szCs w:val="24"/>
          <w:lang w:val="bg-BG" w:eastAsia="bg-BG"/>
        </w:rPr>
        <w:t> </w:t>
      </w:r>
      <w:r w:rsidR="00F96DBA" w:rsidRPr="00610B1B">
        <w:rPr>
          <w:rFonts w:ascii="Times New Roman" w:eastAsia="Calibri" w:hAnsi="Times New Roman" w:cs="Times New Roman"/>
          <w:sz w:val="24"/>
          <w:szCs w:val="24"/>
          <w:lang w:val="bg-BG" w:eastAsia="bg-BG"/>
        </w:rPr>
        <w:t xml:space="preserve">000 д. </w:t>
      </w:r>
    </w:p>
    <w:p w14:paraId="78DE84E4" w14:textId="14E53135" w:rsidR="005C345A" w:rsidRPr="00610B1B" w:rsidRDefault="003308C9"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Към 31.12.2018 г. заведенията за извънболнична помощ</w:t>
      </w:r>
      <w:r w:rsidRPr="00610B1B">
        <w:rPr>
          <w:rFonts w:ascii="Times New Roman" w:eastAsia="Times New Roman" w:hAnsi="Times New Roman" w:cs="Times New Roman"/>
          <w:b/>
          <w:bCs/>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в </w:t>
      </w:r>
      <w:r w:rsidR="00F96DBA" w:rsidRPr="00610B1B">
        <w:rPr>
          <w:rFonts w:ascii="Times New Roman" w:eastAsia="Times New Roman" w:hAnsi="Times New Roman" w:cs="Times New Roman"/>
          <w:sz w:val="24"/>
          <w:szCs w:val="24"/>
          <w:lang w:val="bg-BG" w:eastAsia="bg-BG"/>
        </w:rPr>
        <w:t>СИР</w:t>
      </w:r>
      <w:r w:rsidRPr="00610B1B">
        <w:rPr>
          <w:rFonts w:ascii="Times New Roman" w:eastAsia="Times New Roman" w:hAnsi="Times New Roman" w:cs="Times New Roman"/>
          <w:sz w:val="24"/>
          <w:szCs w:val="24"/>
          <w:lang w:val="bg-BG" w:eastAsia="bg-BG"/>
        </w:rPr>
        <w:t xml:space="preserve"> са 286 с 212 легла за краткосрочно наблюдение и престой, което представлява 13.8% от заведенията за </w:t>
      </w:r>
      <w:r w:rsidRPr="00610B1B">
        <w:rPr>
          <w:rFonts w:ascii="Times New Roman" w:eastAsia="Times New Roman" w:hAnsi="Times New Roman" w:cs="Times New Roman"/>
          <w:sz w:val="24"/>
          <w:szCs w:val="24"/>
          <w:lang w:val="bg-BG" w:eastAsia="bg-BG"/>
        </w:rPr>
        <w:lastRenderedPageBreak/>
        <w:t>извънболнична помощ и 16.9% от легла</w:t>
      </w:r>
      <w:r w:rsidR="00F96DBA" w:rsidRPr="00610B1B">
        <w:rPr>
          <w:rFonts w:ascii="Times New Roman" w:eastAsia="Times New Roman" w:hAnsi="Times New Roman" w:cs="Times New Roman"/>
          <w:sz w:val="24"/>
          <w:szCs w:val="24"/>
          <w:lang w:val="bg-BG" w:eastAsia="bg-BG"/>
        </w:rPr>
        <w:t>та</w:t>
      </w:r>
      <w:r w:rsidRPr="00610B1B">
        <w:rPr>
          <w:rFonts w:ascii="Times New Roman" w:eastAsia="Times New Roman" w:hAnsi="Times New Roman" w:cs="Times New Roman"/>
          <w:sz w:val="24"/>
          <w:szCs w:val="24"/>
          <w:lang w:val="bg-BG" w:eastAsia="bg-BG"/>
        </w:rPr>
        <w:t xml:space="preserve"> в страната. </w:t>
      </w:r>
      <w:r w:rsidR="00F96DBA" w:rsidRPr="00610B1B">
        <w:rPr>
          <w:rFonts w:ascii="Times New Roman" w:eastAsia="Times New Roman" w:hAnsi="Times New Roman" w:cs="Times New Roman"/>
          <w:sz w:val="24"/>
          <w:szCs w:val="24"/>
          <w:lang w:val="bg-BG" w:eastAsia="bg-BG"/>
        </w:rPr>
        <w:t>О</w:t>
      </w:r>
      <w:r w:rsidRPr="00610B1B">
        <w:rPr>
          <w:rFonts w:ascii="Times New Roman" w:eastAsia="Times New Roman" w:hAnsi="Times New Roman" w:cs="Times New Roman"/>
          <w:sz w:val="24"/>
          <w:szCs w:val="24"/>
          <w:lang w:val="bg-BG" w:eastAsia="bg-BG"/>
        </w:rPr>
        <w:t>сновната част от тези заведения са концентрирани в област Варна</w:t>
      </w:r>
      <w:r w:rsidR="00F96DBA" w:rsidRPr="00610B1B">
        <w:rPr>
          <w:rFonts w:ascii="Times New Roman" w:eastAsia="Times New Roman" w:hAnsi="Times New Roman" w:cs="Times New Roman"/>
          <w:sz w:val="24"/>
          <w:szCs w:val="24"/>
          <w:lang w:val="bg-BG" w:eastAsia="bg-BG"/>
        </w:rPr>
        <w:t>, к</w:t>
      </w:r>
      <w:r w:rsidRPr="00610B1B">
        <w:rPr>
          <w:rFonts w:ascii="Times New Roman" w:eastAsia="Times New Roman" w:hAnsi="Times New Roman" w:cs="Times New Roman"/>
          <w:sz w:val="24"/>
          <w:szCs w:val="24"/>
          <w:lang w:val="bg-BG" w:eastAsia="bg-BG"/>
        </w:rPr>
        <w:t>ъдето заведенията за извънболнична помощ</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са 182, </w:t>
      </w:r>
      <w:r w:rsidR="00447637" w:rsidRPr="00610B1B">
        <w:rPr>
          <w:rFonts w:ascii="Times New Roman" w:eastAsia="Times New Roman" w:hAnsi="Times New Roman" w:cs="Times New Roman"/>
          <w:sz w:val="24"/>
          <w:szCs w:val="24"/>
          <w:lang w:val="bg-BG" w:eastAsia="bg-BG"/>
        </w:rPr>
        <w:t>или</w:t>
      </w:r>
      <w:r w:rsidRPr="00610B1B">
        <w:rPr>
          <w:rFonts w:ascii="Times New Roman" w:eastAsia="Times New Roman" w:hAnsi="Times New Roman" w:cs="Times New Roman"/>
          <w:sz w:val="24"/>
          <w:szCs w:val="24"/>
          <w:lang w:val="bg-BG" w:eastAsia="bg-BG"/>
        </w:rPr>
        <w:t xml:space="preserve"> 63.6% от общия брой </w:t>
      </w:r>
      <w:r w:rsidR="0091208B" w:rsidRPr="00610B1B">
        <w:rPr>
          <w:rFonts w:ascii="Times New Roman" w:eastAsia="Times New Roman" w:hAnsi="Times New Roman" w:cs="Times New Roman"/>
          <w:sz w:val="24"/>
          <w:szCs w:val="24"/>
          <w:lang w:val="bg-BG" w:eastAsia="bg-BG"/>
        </w:rPr>
        <w:t>в</w:t>
      </w:r>
      <w:r w:rsidRPr="00610B1B">
        <w:rPr>
          <w:rFonts w:ascii="Times New Roman" w:eastAsia="Times New Roman" w:hAnsi="Times New Roman" w:cs="Times New Roman"/>
          <w:sz w:val="24"/>
          <w:szCs w:val="24"/>
          <w:lang w:val="bg-BG" w:eastAsia="bg-BG"/>
        </w:rPr>
        <w:t xml:space="preserve"> региона</w:t>
      </w:r>
      <w:bookmarkStart w:id="316" w:name="_Toc38556968"/>
      <w:r w:rsidR="00447637" w:rsidRPr="00610B1B">
        <w:rPr>
          <w:rFonts w:ascii="Times New Roman" w:eastAsia="Times New Roman" w:hAnsi="Times New Roman" w:cs="Times New Roman"/>
          <w:sz w:val="24"/>
          <w:szCs w:val="24"/>
          <w:lang w:val="bg-BG" w:eastAsia="bg-BG"/>
        </w:rPr>
        <w:t xml:space="preserve">. </w:t>
      </w:r>
      <w:bookmarkEnd w:id="316"/>
      <w:r w:rsidR="00447637" w:rsidRPr="00610B1B">
        <w:rPr>
          <w:rFonts w:ascii="Times New Roman" w:eastAsia="Calibri" w:hAnsi="Times New Roman" w:cs="Times New Roman"/>
          <w:sz w:val="24"/>
          <w:szCs w:val="24"/>
          <w:lang w:val="bg-BG" w:eastAsia="bg-BG"/>
        </w:rPr>
        <w:t>ЮИР разполага с</w:t>
      </w:r>
      <w:r w:rsidR="005C345A" w:rsidRPr="00610B1B">
        <w:rPr>
          <w:rFonts w:ascii="Times New Roman" w:eastAsia="Calibri" w:hAnsi="Times New Roman" w:cs="Times New Roman"/>
          <w:sz w:val="24"/>
          <w:szCs w:val="24"/>
          <w:lang w:val="bg-BG" w:eastAsia="bg-BG"/>
        </w:rPr>
        <w:t xml:space="preserve"> 270 </w:t>
      </w:r>
      <w:r w:rsidR="00447637" w:rsidRPr="00610B1B">
        <w:rPr>
          <w:rFonts w:ascii="Times New Roman" w:eastAsia="Calibri" w:hAnsi="Times New Roman" w:cs="Times New Roman"/>
          <w:sz w:val="24"/>
          <w:szCs w:val="24"/>
          <w:lang w:val="bg-BG" w:eastAsia="bg-BG"/>
        </w:rPr>
        <w:t xml:space="preserve">заведения за извънболнична помощ </w:t>
      </w:r>
      <w:r w:rsidR="005C345A" w:rsidRPr="00610B1B">
        <w:rPr>
          <w:rFonts w:ascii="Times New Roman" w:eastAsia="Calibri" w:hAnsi="Times New Roman" w:cs="Times New Roman"/>
          <w:sz w:val="24"/>
          <w:szCs w:val="24"/>
          <w:lang w:val="bg-BG" w:eastAsia="bg-BG"/>
        </w:rPr>
        <w:t xml:space="preserve">с 234 легла за краткосрочно наблюдение и престой, което </w:t>
      </w:r>
      <w:r w:rsidR="00447637" w:rsidRPr="00610B1B">
        <w:rPr>
          <w:rFonts w:ascii="Times New Roman" w:eastAsia="Calibri" w:hAnsi="Times New Roman" w:cs="Times New Roman"/>
          <w:sz w:val="24"/>
          <w:szCs w:val="24"/>
          <w:lang w:val="bg-BG" w:eastAsia="bg-BG"/>
        </w:rPr>
        <w:t xml:space="preserve">е </w:t>
      </w:r>
      <w:r w:rsidR="005C345A" w:rsidRPr="00610B1B">
        <w:rPr>
          <w:rFonts w:ascii="Times New Roman" w:eastAsia="Calibri" w:hAnsi="Times New Roman" w:cs="Times New Roman"/>
          <w:sz w:val="24"/>
          <w:szCs w:val="24"/>
          <w:lang w:val="bg-BG" w:eastAsia="bg-BG"/>
        </w:rPr>
        <w:t>13.1% от заведенията за извънболнична помощ и 18.7% от легла</w:t>
      </w:r>
      <w:r w:rsidR="0091208B" w:rsidRPr="00610B1B">
        <w:rPr>
          <w:rFonts w:ascii="Times New Roman" w:eastAsia="Calibri" w:hAnsi="Times New Roman" w:cs="Times New Roman"/>
          <w:sz w:val="24"/>
          <w:szCs w:val="24"/>
          <w:lang w:val="bg-BG" w:eastAsia="bg-BG"/>
        </w:rPr>
        <w:t>та</w:t>
      </w:r>
      <w:r w:rsidR="005C345A" w:rsidRPr="00610B1B">
        <w:rPr>
          <w:rFonts w:ascii="Times New Roman" w:eastAsia="Calibri" w:hAnsi="Times New Roman" w:cs="Times New Roman"/>
          <w:sz w:val="24"/>
          <w:szCs w:val="24"/>
          <w:lang w:val="bg-BG" w:eastAsia="bg-BG"/>
        </w:rPr>
        <w:t xml:space="preserve"> в страната. </w:t>
      </w:r>
      <w:r w:rsidR="00447637" w:rsidRPr="00610B1B">
        <w:rPr>
          <w:rFonts w:ascii="Times New Roman" w:eastAsia="Calibri" w:hAnsi="Times New Roman" w:cs="Times New Roman"/>
          <w:sz w:val="24"/>
          <w:szCs w:val="24"/>
          <w:lang w:val="bg-BG" w:eastAsia="bg-BG"/>
        </w:rPr>
        <w:t>В</w:t>
      </w:r>
      <w:r w:rsidR="005C345A" w:rsidRPr="00610B1B">
        <w:rPr>
          <w:rFonts w:ascii="Times New Roman" w:eastAsia="Calibri" w:hAnsi="Times New Roman" w:cs="Times New Roman"/>
          <w:sz w:val="24"/>
          <w:szCs w:val="24"/>
          <w:lang w:val="bg-BG" w:eastAsia="bg-BG"/>
        </w:rPr>
        <w:t xml:space="preserve"> област </w:t>
      </w:r>
      <w:r w:rsidR="00447637" w:rsidRPr="00610B1B">
        <w:rPr>
          <w:rFonts w:ascii="Times New Roman" w:eastAsia="Calibri" w:hAnsi="Times New Roman" w:cs="Times New Roman"/>
          <w:sz w:val="24"/>
          <w:szCs w:val="24"/>
          <w:lang w:val="bg-BG" w:eastAsia="bg-BG"/>
        </w:rPr>
        <w:t xml:space="preserve">Бургас тези заведения са 92 броя с общо 140 легла или повече от половината от тези за целия регион. </w:t>
      </w:r>
    </w:p>
    <w:p w14:paraId="7E672E1A" w14:textId="76B4D461" w:rsidR="00447637" w:rsidRPr="00610B1B" w:rsidRDefault="000E6BA7"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При средна</w:t>
      </w:r>
      <w:r w:rsidR="00447637" w:rsidRPr="00610B1B">
        <w:rPr>
          <w:rFonts w:ascii="Times New Roman" w:eastAsia="Calibri" w:hAnsi="Times New Roman" w:cs="Times New Roman"/>
          <w:sz w:val="24"/>
          <w:szCs w:val="24"/>
          <w:lang w:val="bg-BG" w:eastAsia="bg-BG"/>
        </w:rPr>
        <w:t xml:space="preserve"> </w:t>
      </w:r>
      <w:r w:rsidR="00447637" w:rsidRPr="00610B1B">
        <w:rPr>
          <w:rFonts w:ascii="Times New Roman" w:eastAsia="Calibri" w:hAnsi="Times New Roman" w:cs="Times New Roman"/>
          <w:bCs/>
          <w:sz w:val="24"/>
          <w:szCs w:val="24"/>
          <w:lang w:val="bg-BG" w:eastAsia="bg-BG"/>
        </w:rPr>
        <w:t>осигуреност на населението на един лекар</w:t>
      </w:r>
      <w:r w:rsidR="00447637" w:rsidRPr="00610B1B">
        <w:rPr>
          <w:rFonts w:ascii="Times New Roman" w:eastAsia="Calibri" w:hAnsi="Times New Roman" w:cs="Times New Roman"/>
          <w:sz w:val="24"/>
          <w:szCs w:val="24"/>
          <w:lang w:val="bg-BG" w:eastAsia="bg-BG"/>
        </w:rPr>
        <w:t xml:space="preserve"> за страната 236 души и 967 души </w:t>
      </w:r>
      <w:r w:rsidRPr="00610B1B">
        <w:rPr>
          <w:rFonts w:ascii="Times New Roman" w:eastAsia="Calibri" w:hAnsi="Times New Roman" w:cs="Times New Roman"/>
          <w:sz w:val="24"/>
          <w:szCs w:val="24"/>
          <w:lang w:val="bg-BG" w:eastAsia="bg-BG"/>
        </w:rPr>
        <w:t xml:space="preserve">на един лекар по дентална медицина </w:t>
      </w:r>
      <w:r w:rsidR="00447637" w:rsidRPr="00610B1B">
        <w:rPr>
          <w:rFonts w:ascii="Times New Roman" w:eastAsia="Calibri" w:hAnsi="Times New Roman" w:cs="Times New Roman"/>
          <w:sz w:val="24"/>
          <w:szCs w:val="24"/>
          <w:lang w:val="bg-BG" w:eastAsia="bg-BG"/>
        </w:rPr>
        <w:t xml:space="preserve">(2018 г.) за СИР тя е 253 души на 1 лекар и </w:t>
      </w:r>
      <w:r w:rsidRPr="00610B1B">
        <w:rPr>
          <w:rFonts w:ascii="Times New Roman" w:eastAsia="Times New Roman" w:hAnsi="Times New Roman" w:cs="Times New Roman"/>
          <w:sz w:val="24"/>
          <w:szCs w:val="24"/>
          <w:lang w:val="bg-BG" w:eastAsia="bg-BG"/>
        </w:rPr>
        <w:t>1</w:t>
      </w:r>
      <w:r w:rsidR="00345A67" w:rsidRPr="00610B1B">
        <w:rPr>
          <w:rFonts w:ascii="Times New Roman" w:eastAsia="Times New Roman" w:hAnsi="Times New Roman" w:cs="Times New Roman"/>
          <w:sz w:val="24"/>
          <w:szCs w:val="24"/>
          <w:lang w:val="bg-BG" w:eastAsia="bg-BG"/>
        </w:rPr>
        <w:t> </w:t>
      </w:r>
      <w:r w:rsidRPr="00610B1B">
        <w:rPr>
          <w:rFonts w:ascii="Times New Roman" w:eastAsia="Times New Roman" w:hAnsi="Times New Roman" w:cs="Times New Roman"/>
          <w:sz w:val="24"/>
          <w:szCs w:val="24"/>
          <w:lang w:val="bg-BG" w:eastAsia="bg-BG"/>
        </w:rPr>
        <w:t>082 души</w:t>
      </w:r>
      <w:r w:rsidR="00D66FE0" w:rsidRPr="00610B1B">
        <w:rPr>
          <w:rFonts w:ascii="Times New Roman" w:eastAsia="Calibri" w:hAnsi="Times New Roman" w:cs="Times New Roman"/>
          <w:sz w:val="24"/>
          <w:szCs w:val="24"/>
          <w:lang w:val="bg-BG" w:eastAsia="bg-BG"/>
        </w:rPr>
        <w:t xml:space="preserve"> </w:t>
      </w:r>
      <w:r w:rsidRPr="00610B1B">
        <w:rPr>
          <w:rFonts w:ascii="Times New Roman" w:eastAsia="Calibri" w:hAnsi="Times New Roman" w:cs="Times New Roman"/>
          <w:sz w:val="24"/>
          <w:szCs w:val="24"/>
          <w:lang w:val="bg-BG" w:eastAsia="bg-BG"/>
        </w:rPr>
        <w:t xml:space="preserve">на един лекар по дентална медицина, </w:t>
      </w:r>
      <w:r w:rsidR="00D62E87" w:rsidRPr="00610B1B">
        <w:rPr>
          <w:rFonts w:ascii="Times New Roman" w:eastAsia="Calibri" w:hAnsi="Times New Roman" w:cs="Times New Roman"/>
          <w:sz w:val="24"/>
          <w:szCs w:val="24"/>
          <w:lang w:val="bg-BG" w:eastAsia="bg-BG"/>
        </w:rPr>
        <w:t xml:space="preserve">а за ЮИР </w:t>
      </w:r>
      <w:r w:rsidR="00447637" w:rsidRPr="00610B1B">
        <w:rPr>
          <w:rFonts w:ascii="Times New Roman" w:eastAsia="Calibri" w:hAnsi="Times New Roman" w:cs="Times New Roman"/>
          <w:sz w:val="24"/>
          <w:szCs w:val="24"/>
          <w:lang w:val="bg-BG" w:eastAsia="bg-BG"/>
        </w:rPr>
        <w:t>289</w:t>
      </w:r>
      <w:r w:rsidRPr="00610B1B">
        <w:rPr>
          <w:rFonts w:ascii="Times New Roman" w:eastAsia="Calibri" w:hAnsi="Times New Roman" w:cs="Times New Roman"/>
          <w:sz w:val="24"/>
          <w:szCs w:val="24"/>
          <w:lang w:val="bg-BG" w:eastAsia="bg-BG"/>
        </w:rPr>
        <w:t xml:space="preserve"> души на един лекар и 1 279 души на един лекар по дентална медицина</w:t>
      </w:r>
      <w:r w:rsidR="00447637" w:rsidRPr="00610B1B">
        <w:rPr>
          <w:rFonts w:ascii="Times New Roman" w:eastAsia="Calibri" w:hAnsi="Times New Roman" w:cs="Times New Roman"/>
          <w:sz w:val="24"/>
          <w:szCs w:val="24"/>
          <w:lang w:val="bg-BG" w:eastAsia="bg-BG"/>
        </w:rPr>
        <w:t xml:space="preserve">. За област Варна тя е 200 души </w:t>
      </w:r>
      <w:r w:rsidRPr="00610B1B">
        <w:rPr>
          <w:rFonts w:ascii="Times New Roman" w:eastAsia="Calibri" w:hAnsi="Times New Roman" w:cs="Times New Roman"/>
          <w:sz w:val="24"/>
          <w:szCs w:val="24"/>
          <w:lang w:val="bg-BG" w:eastAsia="bg-BG"/>
        </w:rPr>
        <w:t>на един лекар и</w:t>
      </w:r>
      <w:r w:rsidR="006D509C" w:rsidRPr="00610B1B">
        <w:rPr>
          <w:rFonts w:ascii="Times New Roman" w:eastAsia="Calibri" w:hAnsi="Times New Roman" w:cs="Times New Roman"/>
          <w:sz w:val="24"/>
          <w:szCs w:val="24"/>
          <w:lang w:val="bg-BG" w:eastAsia="bg-BG"/>
        </w:rPr>
        <w:t xml:space="preserve"> </w:t>
      </w:r>
      <w:r w:rsidR="00345A67" w:rsidRPr="00610B1B">
        <w:rPr>
          <w:rFonts w:ascii="Times New Roman" w:eastAsia="Calibri" w:hAnsi="Times New Roman" w:cs="Times New Roman"/>
          <w:sz w:val="24"/>
          <w:szCs w:val="24"/>
          <w:lang w:val="bg-BG" w:eastAsia="bg-BG"/>
        </w:rPr>
        <w:t>828 на един лекар по дентална медицина</w:t>
      </w:r>
      <w:r w:rsidRPr="00610B1B">
        <w:rPr>
          <w:rFonts w:ascii="Times New Roman" w:eastAsia="Calibri" w:hAnsi="Times New Roman" w:cs="Times New Roman"/>
          <w:sz w:val="24"/>
          <w:szCs w:val="24"/>
          <w:lang w:val="bg-BG" w:eastAsia="bg-BG"/>
        </w:rPr>
        <w:t xml:space="preserve"> </w:t>
      </w:r>
      <w:r w:rsidR="00447637" w:rsidRPr="00610B1B">
        <w:rPr>
          <w:rFonts w:ascii="Times New Roman" w:eastAsia="Calibri" w:hAnsi="Times New Roman" w:cs="Times New Roman"/>
          <w:sz w:val="24"/>
          <w:szCs w:val="24"/>
          <w:lang w:val="bg-BG" w:eastAsia="bg-BG"/>
        </w:rPr>
        <w:t xml:space="preserve">и е по-благоприятна от осигуреността в останалите области в региона, поради наличие на медицински университет и университетска болница. За област </w:t>
      </w:r>
      <w:r w:rsidR="00345A67" w:rsidRPr="00610B1B">
        <w:rPr>
          <w:rFonts w:ascii="Times New Roman" w:eastAsia="Calibri" w:hAnsi="Times New Roman" w:cs="Times New Roman"/>
          <w:sz w:val="24"/>
          <w:szCs w:val="24"/>
          <w:lang w:val="bg-BG" w:eastAsia="bg-BG"/>
        </w:rPr>
        <w:t xml:space="preserve">Бургас осигуреността е 305 души на един </w:t>
      </w:r>
      <w:r w:rsidR="00447637" w:rsidRPr="00610B1B">
        <w:rPr>
          <w:rFonts w:ascii="Times New Roman" w:eastAsia="Calibri" w:hAnsi="Times New Roman" w:cs="Times New Roman"/>
          <w:sz w:val="24"/>
          <w:szCs w:val="24"/>
          <w:lang w:val="bg-BG" w:eastAsia="bg-BG"/>
        </w:rPr>
        <w:t>лекар</w:t>
      </w:r>
      <w:r w:rsidR="00345A67" w:rsidRPr="00610B1B">
        <w:rPr>
          <w:rFonts w:ascii="Times New Roman" w:eastAsia="Calibri" w:hAnsi="Times New Roman" w:cs="Times New Roman"/>
          <w:sz w:val="24"/>
          <w:szCs w:val="24"/>
          <w:lang w:val="bg-BG" w:eastAsia="bg-BG"/>
        </w:rPr>
        <w:t xml:space="preserve"> и 1 324 души на един лекар по дентална медицина.</w:t>
      </w:r>
      <w:r w:rsidR="00D66FE0" w:rsidRPr="00610B1B">
        <w:rPr>
          <w:rFonts w:ascii="Times New Roman" w:eastAsia="Calibri" w:hAnsi="Times New Roman" w:cs="Times New Roman"/>
          <w:sz w:val="24"/>
          <w:szCs w:val="24"/>
          <w:lang w:val="bg-BG" w:eastAsia="bg-BG"/>
        </w:rPr>
        <w:t xml:space="preserve"> </w:t>
      </w:r>
    </w:p>
    <w:p w14:paraId="181F697D" w14:textId="4D09042D" w:rsidR="00977C9E" w:rsidRPr="00610B1B" w:rsidRDefault="00345A6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Черноморското крайбрежие се обслужва от 2 центъра за спешна медицинска помощ </w:t>
      </w:r>
      <w:r w:rsidR="00D62E87" w:rsidRPr="00610B1B">
        <w:rPr>
          <w:rFonts w:ascii="Times New Roman" w:hAnsi="Times New Roman" w:cs="Times New Roman"/>
          <w:sz w:val="24"/>
          <w:szCs w:val="24"/>
          <w:lang w:val="bg-BG"/>
        </w:rPr>
        <w:t xml:space="preserve">(ЦСМП) </w:t>
      </w:r>
      <w:r w:rsidRPr="00610B1B">
        <w:rPr>
          <w:rFonts w:ascii="Times New Roman" w:hAnsi="Times New Roman" w:cs="Times New Roman"/>
          <w:sz w:val="24"/>
          <w:szCs w:val="24"/>
          <w:lang w:val="bg-BG"/>
        </w:rPr>
        <w:t xml:space="preserve">във Варна и Добрич и 7 филиала за северната му част и от 1 ЦСМП в Бургас и </w:t>
      </w:r>
      <w:r w:rsidR="00F8327A" w:rsidRPr="00610B1B">
        <w:rPr>
          <w:rFonts w:ascii="Times New Roman" w:hAnsi="Times New Roman" w:cs="Times New Roman"/>
          <w:sz w:val="24"/>
          <w:szCs w:val="24"/>
          <w:lang w:val="bg-BG"/>
        </w:rPr>
        <w:t xml:space="preserve">5 </w:t>
      </w:r>
      <w:r w:rsidRPr="00610B1B">
        <w:rPr>
          <w:rFonts w:ascii="Times New Roman" w:hAnsi="Times New Roman" w:cs="Times New Roman"/>
          <w:sz w:val="24"/>
          <w:szCs w:val="24"/>
          <w:lang w:val="bg-BG"/>
        </w:rPr>
        <w:t>филиал</w:t>
      </w:r>
      <w:r w:rsidR="00F8327A" w:rsidRPr="00610B1B">
        <w:rPr>
          <w:rFonts w:ascii="Times New Roman" w:hAnsi="Times New Roman" w:cs="Times New Roman"/>
          <w:sz w:val="24"/>
          <w:szCs w:val="24"/>
          <w:lang w:val="bg-BG"/>
        </w:rPr>
        <w:t>а за Южното Черноморско крайбрежие.</w:t>
      </w:r>
      <w:r w:rsidR="0091208B" w:rsidRPr="00610B1B">
        <w:rPr>
          <w:rFonts w:ascii="Times New Roman" w:hAnsi="Times New Roman" w:cs="Times New Roman"/>
          <w:sz w:val="24"/>
          <w:szCs w:val="24"/>
          <w:lang w:val="bg-BG"/>
        </w:rPr>
        <w:t xml:space="preserve"> </w:t>
      </w:r>
      <w:r w:rsidR="00F8327A" w:rsidRPr="00610B1B">
        <w:rPr>
          <w:rFonts w:ascii="Times New Roman" w:hAnsi="Times New Roman" w:cs="Times New Roman"/>
          <w:sz w:val="24"/>
          <w:szCs w:val="24"/>
          <w:lang w:val="bg-BG"/>
        </w:rPr>
        <w:t>Големите курорти по крайбрежието има</w:t>
      </w:r>
      <w:r w:rsidR="006D509C" w:rsidRPr="00610B1B">
        <w:rPr>
          <w:rFonts w:ascii="Times New Roman" w:hAnsi="Times New Roman" w:cs="Times New Roman"/>
          <w:sz w:val="24"/>
          <w:szCs w:val="24"/>
          <w:lang w:val="bg-BG"/>
        </w:rPr>
        <w:t>т</w:t>
      </w:r>
      <w:r w:rsidR="00F8327A" w:rsidRPr="00610B1B">
        <w:rPr>
          <w:rFonts w:ascii="Times New Roman" w:hAnsi="Times New Roman" w:cs="Times New Roman"/>
          <w:sz w:val="24"/>
          <w:szCs w:val="24"/>
          <w:lang w:val="bg-BG"/>
        </w:rPr>
        <w:t xml:space="preserve"> изградена система за медицинско обслужване, ко</w:t>
      </w:r>
      <w:r w:rsidR="006D509C" w:rsidRPr="00610B1B">
        <w:rPr>
          <w:rFonts w:ascii="Times New Roman" w:hAnsi="Times New Roman" w:cs="Times New Roman"/>
          <w:sz w:val="24"/>
          <w:szCs w:val="24"/>
          <w:lang w:val="bg-BG"/>
        </w:rPr>
        <w:t>я</w:t>
      </w:r>
      <w:r w:rsidR="00F8327A" w:rsidRPr="00610B1B">
        <w:rPr>
          <w:rFonts w:ascii="Times New Roman" w:hAnsi="Times New Roman" w:cs="Times New Roman"/>
          <w:sz w:val="24"/>
          <w:szCs w:val="24"/>
          <w:lang w:val="bg-BG"/>
        </w:rPr>
        <w:t xml:space="preserve">то се допълва от дейността на частни медицински центрове и от осигурени в големите хотели медицински и/или дентални услуги. </w:t>
      </w:r>
      <w:r w:rsidR="00977C9E" w:rsidRPr="00610B1B">
        <w:rPr>
          <w:rFonts w:ascii="Times New Roman" w:hAnsi="Times New Roman" w:cs="Times New Roman"/>
          <w:sz w:val="24"/>
          <w:szCs w:val="24"/>
          <w:lang w:val="bg-BG"/>
        </w:rPr>
        <w:br w:type="page"/>
      </w:r>
    </w:p>
    <w:p w14:paraId="745340C5" w14:textId="276F7FC2" w:rsidR="00407C7C" w:rsidRPr="00610B1B" w:rsidRDefault="006D509C" w:rsidP="00D32D6A">
      <w:pPr>
        <w:pStyle w:val="Heading1"/>
        <w:spacing w:before="0" w:line="276" w:lineRule="auto"/>
        <w:ind w:right="-153"/>
        <w:rPr>
          <w:rFonts w:cs="Times New Roman"/>
        </w:rPr>
      </w:pPr>
      <w:bookmarkStart w:id="317" w:name="_Toc83391370"/>
      <w:r w:rsidRPr="00610B1B">
        <w:rPr>
          <w:rFonts w:cs="Times New Roman"/>
        </w:rPr>
        <w:lastRenderedPageBreak/>
        <w:t>3</w:t>
      </w:r>
      <w:r w:rsidR="00F76609" w:rsidRPr="00610B1B">
        <w:rPr>
          <w:rFonts w:cs="Times New Roman"/>
        </w:rPr>
        <w:t xml:space="preserve">. </w:t>
      </w:r>
      <w:r w:rsidR="00D420BB" w:rsidRPr="00610B1B">
        <w:rPr>
          <w:rFonts w:cs="Times New Roman"/>
        </w:rPr>
        <w:t xml:space="preserve">ДЕЙНОСТИ В </w:t>
      </w:r>
      <w:r w:rsidR="007B3A20" w:rsidRPr="00610B1B">
        <w:rPr>
          <w:rFonts w:cs="Times New Roman"/>
        </w:rPr>
        <w:t>НАЦИОНАЛНИТЕ МОРСКИ</w:t>
      </w:r>
      <w:r w:rsidR="00D420BB" w:rsidRPr="00610B1B">
        <w:rPr>
          <w:rFonts w:cs="Times New Roman"/>
        </w:rPr>
        <w:t xml:space="preserve"> ПРОСТРАНСТВ</w:t>
      </w:r>
      <w:r w:rsidR="007B3A20" w:rsidRPr="00610B1B">
        <w:rPr>
          <w:rFonts w:cs="Times New Roman"/>
        </w:rPr>
        <w:t>А</w:t>
      </w:r>
      <w:bookmarkEnd w:id="317"/>
    </w:p>
    <w:p w14:paraId="38E8B55C" w14:textId="5E67EADA" w:rsidR="00BB060D" w:rsidRPr="00610B1B" w:rsidRDefault="006D509C" w:rsidP="00D32D6A">
      <w:pPr>
        <w:pStyle w:val="Heading2"/>
        <w:spacing w:before="0" w:line="276" w:lineRule="auto"/>
        <w:ind w:right="-153"/>
        <w:rPr>
          <w:rFonts w:cs="Times New Roman"/>
        </w:rPr>
      </w:pPr>
      <w:bookmarkStart w:id="318" w:name="_Toc83391371"/>
      <w:r w:rsidRPr="00610B1B">
        <w:rPr>
          <w:rFonts w:cs="Times New Roman"/>
        </w:rPr>
        <w:t>3</w:t>
      </w:r>
      <w:r w:rsidR="00F76609" w:rsidRPr="00610B1B">
        <w:rPr>
          <w:rFonts w:cs="Times New Roman"/>
        </w:rPr>
        <w:t xml:space="preserve">.1. </w:t>
      </w:r>
      <w:r w:rsidR="006227CB" w:rsidRPr="00610B1B">
        <w:rPr>
          <w:rFonts w:cs="Times New Roman"/>
        </w:rPr>
        <w:t>Морски транспорт</w:t>
      </w:r>
      <w:bookmarkEnd w:id="318"/>
      <w:r w:rsidR="006E2B4B" w:rsidRPr="00610B1B">
        <w:rPr>
          <w:rFonts w:cs="Times New Roman"/>
        </w:rPr>
        <w:t xml:space="preserve"> </w:t>
      </w:r>
    </w:p>
    <w:p w14:paraId="6DB7E2C3" w14:textId="11412C76" w:rsidR="00AB4C9E" w:rsidRPr="00610B1B" w:rsidRDefault="006D509C" w:rsidP="00D32D6A">
      <w:pPr>
        <w:pStyle w:val="Heading3"/>
        <w:spacing w:before="0" w:line="276" w:lineRule="auto"/>
        <w:ind w:right="-153"/>
        <w:rPr>
          <w:rFonts w:cs="Times New Roman"/>
        </w:rPr>
      </w:pPr>
      <w:bookmarkStart w:id="319" w:name="_Toc83391372"/>
      <w:r w:rsidRPr="00610B1B">
        <w:rPr>
          <w:rFonts w:cs="Times New Roman"/>
        </w:rPr>
        <w:t>3</w:t>
      </w:r>
      <w:r w:rsidR="00AB4C9E" w:rsidRPr="00610B1B">
        <w:rPr>
          <w:rFonts w:cs="Times New Roman"/>
        </w:rPr>
        <w:t>.1.1. Въведение</w:t>
      </w:r>
      <w:bookmarkEnd w:id="319"/>
    </w:p>
    <w:p w14:paraId="056AD8C2" w14:textId="6946B887" w:rsidR="00D649FB" w:rsidRPr="00610B1B" w:rsidRDefault="00E9183F"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Морският транспорт</w:t>
      </w:r>
      <w:r w:rsidR="00535909" w:rsidRPr="00610B1B">
        <w:rPr>
          <w:rFonts w:ascii="Times New Roman" w:hAnsi="Times New Roman" w:cs="Times New Roman"/>
          <w:sz w:val="24"/>
          <w:szCs w:val="24"/>
          <w:lang w:val="bg-BG"/>
        </w:rPr>
        <w:t xml:space="preserve"> е сред най-важните сектори на морската икономика в Р. България</w:t>
      </w:r>
      <w:r w:rsidR="00F92CF8" w:rsidRPr="00610B1B">
        <w:rPr>
          <w:rFonts w:ascii="Times New Roman" w:hAnsi="Times New Roman" w:cs="Times New Roman"/>
          <w:sz w:val="24"/>
          <w:szCs w:val="24"/>
          <w:lang w:val="bg-BG"/>
        </w:rPr>
        <w:t>, пряко обвързан с въ</w:t>
      </w:r>
      <w:r w:rsidR="00D649FB" w:rsidRPr="00610B1B">
        <w:rPr>
          <w:rFonts w:ascii="Times New Roman" w:hAnsi="Times New Roman" w:cs="Times New Roman"/>
          <w:sz w:val="24"/>
          <w:szCs w:val="24"/>
          <w:lang w:val="bg-BG"/>
        </w:rPr>
        <w:t xml:space="preserve">ншната политика и търговия, с екологичния статус на морската околна среда, с икономиката и туризма, с образованието и заетостта, със сигурността и безопасността на трафика в морските пространства. </w:t>
      </w:r>
      <w:r w:rsidR="00535909" w:rsidRPr="00610B1B">
        <w:rPr>
          <w:rFonts w:ascii="Times New Roman" w:hAnsi="Times New Roman" w:cs="Times New Roman"/>
          <w:sz w:val="24"/>
          <w:szCs w:val="24"/>
          <w:lang w:val="bg-BG"/>
        </w:rPr>
        <w:t>Приблизително 90% от търговията между държавите-членки и тези</w:t>
      </w:r>
      <w:r w:rsidR="00DF4C1E" w:rsidRPr="00610B1B">
        <w:rPr>
          <w:rFonts w:ascii="Times New Roman" w:hAnsi="Times New Roman" w:cs="Times New Roman"/>
          <w:sz w:val="24"/>
          <w:szCs w:val="24"/>
          <w:lang w:val="bg-BG"/>
        </w:rPr>
        <w:t xml:space="preserve"> извън</w:t>
      </w:r>
      <w:r w:rsidR="00535909" w:rsidRPr="00610B1B">
        <w:rPr>
          <w:rFonts w:ascii="Times New Roman" w:hAnsi="Times New Roman" w:cs="Times New Roman"/>
          <w:sz w:val="24"/>
          <w:szCs w:val="24"/>
          <w:lang w:val="bg-BG"/>
        </w:rPr>
        <w:t xml:space="preserve"> ЕС, се извършва чрез морски транспорт.</w:t>
      </w:r>
      <w:r w:rsidR="00D66FE0" w:rsidRPr="00610B1B">
        <w:rPr>
          <w:rFonts w:ascii="Times New Roman" w:hAnsi="Times New Roman" w:cs="Times New Roman"/>
          <w:sz w:val="24"/>
          <w:szCs w:val="24"/>
          <w:lang w:val="bg-BG"/>
        </w:rPr>
        <w:t xml:space="preserve"> </w:t>
      </w:r>
      <w:r w:rsidR="0059133E" w:rsidRPr="00610B1B">
        <w:rPr>
          <w:rFonts w:ascii="Times New Roman" w:hAnsi="Times New Roman" w:cs="Times New Roman"/>
          <w:sz w:val="24"/>
          <w:szCs w:val="24"/>
          <w:lang w:val="bg-BG"/>
        </w:rPr>
        <w:t>Той</w:t>
      </w:r>
      <w:r w:rsidR="00A90803" w:rsidRPr="00610B1B">
        <w:rPr>
          <w:rFonts w:ascii="Times New Roman" w:hAnsi="Times New Roman" w:cs="Times New Roman"/>
          <w:sz w:val="24"/>
          <w:szCs w:val="24"/>
          <w:lang w:val="bg-BG"/>
        </w:rPr>
        <w:t xml:space="preserve"> предлага възможности за превоз на големи обеми товари, значително по-ниска </w:t>
      </w:r>
      <w:r w:rsidR="0059133E" w:rsidRPr="00610B1B">
        <w:rPr>
          <w:rFonts w:ascii="Times New Roman" w:hAnsi="Times New Roman" w:cs="Times New Roman"/>
          <w:sz w:val="24"/>
          <w:szCs w:val="24"/>
          <w:lang w:val="bg-BG"/>
        </w:rPr>
        <w:t xml:space="preserve">транспортна цена </w:t>
      </w:r>
      <w:r w:rsidR="00A90803" w:rsidRPr="00610B1B">
        <w:rPr>
          <w:rFonts w:ascii="Times New Roman" w:hAnsi="Times New Roman" w:cs="Times New Roman"/>
          <w:sz w:val="24"/>
          <w:szCs w:val="24"/>
          <w:lang w:val="bg-BG"/>
        </w:rPr>
        <w:t>на тон превозен товар, гъвкавост, сигурност и ефективност. В същото време той е по-екологичен в сравнение с останалите видове транспорт. Сред недостатъците му са големите първоначални инвестиции и значително дългия</w:t>
      </w:r>
      <w:r w:rsidR="000A0B20" w:rsidRPr="00610B1B">
        <w:rPr>
          <w:rFonts w:ascii="Times New Roman" w:hAnsi="Times New Roman" w:cs="Times New Roman"/>
          <w:sz w:val="24"/>
          <w:szCs w:val="24"/>
          <w:lang w:val="bg-BG"/>
        </w:rPr>
        <w:t>т</w:t>
      </w:r>
      <w:r w:rsidR="00A90803" w:rsidRPr="00610B1B">
        <w:rPr>
          <w:rFonts w:ascii="Times New Roman" w:hAnsi="Times New Roman" w:cs="Times New Roman"/>
          <w:sz w:val="24"/>
          <w:szCs w:val="24"/>
          <w:lang w:val="bg-BG"/>
        </w:rPr>
        <w:t xml:space="preserve"> период за изплащането им, по-ниската скорост на транспортиране и ограничените райони на дейност, което налага комбинирането </w:t>
      </w:r>
      <w:r w:rsidR="001145F8" w:rsidRPr="00610B1B">
        <w:rPr>
          <w:rFonts w:ascii="Times New Roman" w:hAnsi="Times New Roman" w:cs="Times New Roman"/>
          <w:sz w:val="24"/>
          <w:szCs w:val="24"/>
          <w:lang w:val="bg-BG"/>
        </w:rPr>
        <w:t>му</w:t>
      </w:r>
      <w:r w:rsidR="00A90803" w:rsidRPr="00610B1B">
        <w:rPr>
          <w:rFonts w:ascii="Times New Roman" w:hAnsi="Times New Roman" w:cs="Times New Roman"/>
          <w:sz w:val="24"/>
          <w:szCs w:val="24"/>
          <w:lang w:val="bg-BG"/>
        </w:rPr>
        <w:t xml:space="preserve"> с други видове</w:t>
      </w:r>
      <w:r w:rsidR="000A0B20" w:rsidRPr="00610B1B">
        <w:rPr>
          <w:rFonts w:ascii="Times New Roman" w:hAnsi="Times New Roman" w:cs="Times New Roman"/>
          <w:sz w:val="24"/>
          <w:szCs w:val="24"/>
          <w:lang w:val="bg-BG"/>
        </w:rPr>
        <w:t xml:space="preserve"> транспорт</w:t>
      </w:r>
      <w:r w:rsidR="00A90803" w:rsidRPr="00610B1B">
        <w:rPr>
          <w:rFonts w:ascii="Times New Roman" w:hAnsi="Times New Roman" w:cs="Times New Roman"/>
          <w:sz w:val="24"/>
          <w:szCs w:val="24"/>
          <w:lang w:val="bg-BG"/>
        </w:rPr>
        <w:t>.</w:t>
      </w:r>
      <w:r w:rsidR="000A0B20" w:rsidRPr="00610B1B">
        <w:rPr>
          <w:rFonts w:ascii="Times New Roman" w:hAnsi="Times New Roman" w:cs="Times New Roman"/>
          <w:sz w:val="24"/>
          <w:szCs w:val="24"/>
          <w:lang w:val="bg-BG"/>
        </w:rPr>
        <w:t xml:space="preserve"> </w:t>
      </w:r>
      <w:r w:rsidR="00796C2C" w:rsidRPr="00610B1B">
        <w:rPr>
          <w:rFonts w:ascii="Times New Roman" w:hAnsi="Times New Roman" w:cs="Times New Roman"/>
          <w:sz w:val="24"/>
          <w:szCs w:val="24"/>
          <w:lang w:val="bg-BG"/>
        </w:rPr>
        <w:t>Пристанищата на Република България са важни логистични точки за цялостния транспортен процес. През тях преминават над 60% от вноса и износа на международната ни търговия и това оказва силно влияние върху цялостното развитие на икономиката на страната.</w:t>
      </w:r>
      <w:r w:rsidR="00F76609" w:rsidRPr="00610B1B">
        <w:rPr>
          <w:rFonts w:ascii="Times New Roman" w:hAnsi="Times New Roman" w:cs="Times New Roman"/>
          <w:sz w:val="24"/>
          <w:szCs w:val="24"/>
          <w:lang w:val="bg-BG"/>
        </w:rPr>
        <w:t xml:space="preserve"> </w:t>
      </w:r>
    </w:p>
    <w:p w14:paraId="5E5ADC26" w14:textId="4BBC8062" w:rsidR="00F76609" w:rsidRPr="00610B1B" w:rsidRDefault="00796C2C"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През 2017 г</w:t>
      </w:r>
      <w:r w:rsidR="000A0B2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е приета Интегрирана транспортна стратегия в периода до 2030 година</w:t>
      </w:r>
      <w:r w:rsidR="00F76609" w:rsidRPr="00610B1B">
        <w:rPr>
          <w:rStyle w:val="FootnoteReference"/>
          <w:rFonts w:ascii="Times New Roman" w:hAnsi="Times New Roman" w:cs="Times New Roman"/>
          <w:sz w:val="24"/>
          <w:szCs w:val="24"/>
          <w:lang w:val="bg-BG"/>
        </w:rPr>
        <w:footnoteReference w:id="108"/>
      </w:r>
      <w:r w:rsidRPr="00610B1B">
        <w:rPr>
          <w:rFonts w:ascii="Times New Roman" w:hAnsi="Times New Roman" w:cs="Times New Roman"/>
          <w:sz w:val="24"/>
          <w:szCs w:val="24"/>
          <w:lang w:val="bg-BG"/>
        </w:rPr>
        <w:t>. Целта на тази стратегия е да определи приноса на България към европейската транспортна система, съгласно приоритетите на чл</w:t>
      </w:r>
      <w:r w:rsidR="000A0B2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10 от Регламент (ЕС)</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1315/2013 на Европейския парламент и на Съвета, включително за инвестиции </w:t>
      </w:r>
      <w:r w:rsidR="008C454A"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 xml:space="preserve"> разширение на TEN-Т мрежа</w:t>
      </w:r>
      <w:r w:rsidR="00F76609" w:rsidRPr="00610B1B">
        <w:rPr>
          <w:rFonts w:ascii="Times New Roman" w:hAnsi="Times New Roman" w:cs="Times New Roman"/>
          <w:sz w:val="24"/>
          <w:szCs w:val="24"/>
          <w:lang w:val="bg-BG"/>
        </w:rPr>
        <w:t>та</w:t>
      </w:r>
      <w:r w:rsidR="00D649FB" w:rsidRPr="00610B1B">
        <w:rPr>
          <w:rFonts w:ascii="Times New Roman" w:hAnsi="Times New Roman" w:cs="Times New Roman"/>
          <w:sz w:val="24"/>
          <w:szCs w:val="24"/>
          <w:lang w:val="bg-BG"/>
        </w:rPr>
        <w:t xml:space="preserve">, </w:t>
      </w:r>
      <w:r w:rsidR="001145F8" w:rsidRPr="00610B1B">
        <w:rPr>
          <w:rFonts w:ascii="Times New Roman" w:hAnsi="Times New Roman" w:cs="Times New Roman"/>
          <w:sz w:val="24"/>
          <w:szCs w:val="24"/>
          <w:lang w:val="bg-BG"/>
        </w:rPr>
        <w:t>с</w:t>
      </w:r>
      <w:r w:rsidR="00D649FB" w:rsidRPr="00610B1B">
        <w:rPr>
          <w:rFonts w:ascii="Times New Roman" w:hAnsi="Times New Roman" w:cs="Times New Roman"/>
          <w:sz w:val="24"/>
          <w:szCs w:val="24"/>
          <w:lang w:val="bg-BG"/>
        </w:rPr>
        <w:t xml:space="preserve"> която са свързани и големите български пристанища</w:t>
      </w:r>
      <w:r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Интегрираната транспортна стратегия </w:t>
      </w:r>
      <w:r w:rsidR="00E9183F" w:rsidRPr="00610B1B">
        <w:rPr>
          <w:rFonts w:ascii="Times New Roman" w:hAnsi="Times New Roman" w:cs="Times New Roman"/>
          <w:sz w:val="24"/>
          <w:szCs w:val="24"/>
          <w:lang w:val="bg-BG"/>
        </w:rPr>
        <w:t xml:space="preserve">определя насоките на националната политика </w:t>
      </w:r>
      <w:r w:rsidR="00D649FB" w:rsidRPr="00610B1B">
        <w:rPr>
          <w:rFonts w:ascii="Times New Roman" w:hAnsi="Times New Roman" w:cs="Times New Roman"/>
          <w:sz w:val="24"/>
          <w:szCs w:val="24"/>
          <w:lang w:val="bg-BG"/>
        </w:rPr>
        <w:t>за</w:t>
      </w:r>
      <w:r w:rsidR="00E9183F"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устойчиво</w:t>
      </w:r>
      <w:r w:rsidR="00E9183F"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развитие на транспортната система на България</w:t>
      </w:r>
      <w:r w:rsidR="00D649FB" w:rsidRPr="00610B1B">
        <w:rPr>
          <w:rFonts w:ascii="Times New Roman" w:hAnsi="Times New Roman" w:cs="Times New Roman"/>
          <w:sz w:val="24"/>
          <w:szCs w:val="24"/>
          <w:lang w:val="bg-BG"/>
        </w:rPr>
        <w:t>, част от която е морският транспорт</w:t>
      </w:r>
      <w:r w:rsidRPr="00610B1B">
        <w:rPr>
          <w:rFonts w:ascii="Times New Roman" w:hAnsi="Times New Roman" w:cs="Times New Roman"/>
          <w:sz w:val="24"/>
          <w:szCs w:val="24"/>
          <w:lang w:val="bg-BG"/>
        </w:rPr>
        <w:t xml:space="preserve">. </w:t>
      </w:r>
    </w:p>
    <w:p w14:paraId="5ED83C55" w14:textId="26D9A3A9" w:rsidR="00796C2C" w:rsidRPr="00610B1B" w:rsidRDefault="00796C2C"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Реформата в българските пристанища</w:t>
      </w:r>
      <w:r w:rsidR="001145F8" w:rsidRPr="00610B1B">
        <w:rPr>
          <w:rFonts w:ascii="Times New Roman" w:hAnsi="Times New Roman" w:cs="Times New Roman"/>
          <w:sz w:val="24"/>
          <w:szCs w:val="24"/>
          <w:lang w:val="bg-BG"/>
        </w:rPr>
        <w:t>, която</w:t>
      </w:r>
      <w:r w:rsidRPr="00610B1B">
        <w:rPr>
          <w:rFonts w:ascii="Times New Roman" w:hAnsi="Times New Roman" w:cs="Times New Roman"/>
          <w:sz w:val="24"/>
          <w:szCs w:val="24"/>
          <w:lang w:val="bg-BG"/>
        </w:rPr>
        <w:t xml:space="preserve"> започ</w:t>
      </w:r>
      <w:r w:rsidR="001145F8"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 xml:space="preserve">а през 2000 г. </w:t>
      </w:r>
      <w:r w:rsidR="001145F8" w:rsidRPr="00610B1B">
        <w:rPr>
          <w:rFonts w:ascii="Times New Roman" w:hAnsi="Times New Roman" w:cs="Times New Roman"/>
          <w:sz w:val="24"/>
          <w:szCs w:val="24"/>
          <w:lang w:val="bg-BG"/>
        </w:rPr>
        <w:t xml:space="preserve">и </w:t>
      </w:r>
      <w:r w:rsidRPr="00610B1B">
        <w:rPr>
          <w:rFonts w:ascii="Times New Roman" w:hAnsi="Times New Roman" w:cs="Times New Roman"/>
          <w:sz w:val="24"/>
          <w:szCs w:val="24"/>
          <w:lang w:val="bg-BG"/>
        </w:rPr>
        <w:t>създа</w:t>
      </w:r>
      <w:r w:rsidR="001145F8" w:rsidRPr="00610B1B">
        <w:rPr>
          <w:rFonts w:ascii="Times New Roman" w:hAnsi="Times New Roman" w:cs="Times New Roman"/>
          <w:sz w:val="24"/>
          <w:szCs w:val="24"/>
          <w:lang w:val="bg-BG"/>
        </w:rPr>
        <w:t xml:space="preserve">ва </w:t>
      </w:r>
      <w:r w:rsidRPr="00610B1B">
        <w:rPr>
          <w:rFonts w:ascii="Times New Roman" w:hAnsi="Times New Roman" w:cs="Times New Roman"/>
          <w:sz w:val="24"/>
          <w:szCs w:val="24"/>
          <w:lang w:val="bg-BG"/>
        </w:rPr>
        <w:t>условия</w:t>
      </w:r>
      <w:r w:rsidR="00E9183F" w:rsidRPr="00610B1B">
        <w:rPr>
          <w:rFonts w:ascii="Times New Roman" w:hAnsi="Times New Roman" w:cs="Times New Roman"/>
          <w:sz w:val="24"/>
          <w:szCs w:val="24"/>
          <w:lang w:val="bg-BG"/>
        </w:rPr>
        <w:t xml:space="preserve"> за отдаване на концесия на притежаваната</w:t>
      </w:r>
      <w:r w:rsidR="006665AB" w:rsidRPr="00610B1B">
        <w:rPr>
          <w:rFonts w:ascii="Times New Roman" w:hAnsi="Times New Roman" w:cs="Times New Roman"/>
          <w:sz w:val="24"/>
          <w:szCs w:val="24"/>
          <w:lang w:val="bg-BG"/>
        </w:rPr>
        <w:t xml:space="preserve"> от инфраструктурата</w:t>
      </w:r>
      <w:r w:rsidR="00E9183F" w:rsidRPr="00610B1B">
        <w:rPr>
          <w:rFonts w:ascii="Times New Roman" w:hAnsi="Times New Roman" w:cs="Times New Roman"/>
          <w:sz w:val="24"/>
          <w:szCs w:val="24"/>
          <w:lang w:val="bg-BG"/>
        </w:rPr>
        <w:t xml:space="preserve"> </w:t>
      </w:r>
      <w:r w:rsidR="00F63461" w:rsidRPr="00610B1B">
        <w:rPr>
          <w:rFonts w:ascii="Times New Roman" w:hAnsi="Times New Roman" w:cs="Times New Roman"/>
          <w:sz w:val="24"/>
          <w:szCs w:val="24"/>
          <w:lang w:val="bg-BG"/>
        </w:rPr>
        <w:t>публична държавна собственост</w:t>
      </w:r>
      <w:r w:rsidR="00E9183F"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 пристанищата за извършване на пристанищни дейности</w:t>
      </w:r>
      <w:r w:rsidR="00E9183F" w:rsidRPr="00610B1B">
        <w:rPr>
          <w:rFonts w:ascii="Times New Roman" w:hAnsi="Times New Roman" w:cs="Times New Roman"/>
          <w:sz w:val="24"/>
          <w:szCs w:val="24"/>
          <w:lang w:val="bg-BG"/>
        </w:rPr>
        <w:t xml:space="preserve"> от </w:t>
      </w:r>
      <w:r w:rsidR="00991E30" w:rsidRPr="00610B1B">
        <w:rPr>
          <w:rFonts w:ascii="Times New Roman" w:hAnsi="Times New Roman" w:cs="Times New Roman"/>
          <w:sz w:val="24"/>
          <w:szCs w:val="24"/>
          <w:lang w:val="bg-BG"/>
        </w:rPr>
        <w:t xml:space="preserve">икономически оператори - </w:t>
      </w:r>
      <w:r w:rsidR="00E9183F" w:rsidRPr="00610B1B">
        <w:rPr>
          <w:rFonts w:ascii="Times New Roman" w:hAnsi="Times New Roman" w:cs="Times New Roman"/>
          <w:sz w:val="24"/>
          <w:szCs w:val="24"/>
          <w:lang w:val="bg-BG"/>
        </w:rPr>
        <w:t xml:space="preserve">частни </w:t>
      </w:r>
      <w:r w:rsidR="00991E30" w:rsidRPr="00610B1B">
        <w:rPr>
          <w:rFonts w:ascii="Times New Roman" w:hAnsi="Times New Roman" w:cs="Times New Roman"/>
          <w:sz w:val="24"/>
          <w:szCs w:val="24"/>
          <w:lang w:val="bg-BG"/>
        </w:rPr>
        <w:t>партньори</w:t>
      </w:r>
      <w:r w:rsidRPr="00610B1B">
        <w:rPr>
          <w:rFonts w:ascii="Times New Roman" w:hAnsi="Times New Roman" w:cs="Times New Roman"/>
          <w:sz w:val="24"/>
          <w:szCs w:val="24"/>
          <w:lang w:val="bg-BG"/>
        </w:rPr>
        <w:t xml:space="preserve">. </w:t>
      </w:r>
      <w:r w:rsidR="001145F8" w:rsidRPr="00610B1B">
        <w:rPr>
          <w:rFonts w:ascii="Times New Roman" w:hAnsi="Times New Roman" w:cs="Times New Roman"/>
          <w:sz w:val="24"/>
          <w:szCs w:val="24"/>
          <w:lang w:val="bg-BG"/>
        </w:rPr>
        <w:t xml:space="preserve">Тази </w:t>
      </w:r>
      <w:r w:rsidRPr="00610B1B">
        <w:rPr>
          <w:rFonts w:ascii="Times New Roman" w:hAnsi="Times New Roman" w:cs="Times New Roman"/>
          <w:sz w:val="24"/>
          <w:szCs w:val="24"/>
          <w:lang w:val="bg-BG"/>
        </w:rPr>
        <w:t xml:space="preserve">система </w:t>
      </w:r>
      <w:r w:rsidR="00991E30" w:rsidRPr="00610B1B">
        <w:rPr>
          <w:rFonts w:ascii="Times New Roman" w:hAnsi="Times New Roman" w:cs="Times New Roman"/>
          <w:sz w:val="24"/>
          <w:szCs w:val="24"/>
          <w:lang w:val="bg-BG"/>
        </w:rPr>
        <w:t xml:space="preserve">осигурява правни възможности </w:t>
      </w:r>
      <w:r w:rsidRPr="00610B1B">
        <w:rPr>
          <w:rFonts w:ascii="Times New Roman" w:hAnsi="Times New Roman" w:cs="Times New Roman"/>
          <w:sz w:val="24"/>
          <w:szCs w:val="24"/>
          <w:lang w:val="bg-BG"/>
        </w:rPr>
        <w:t>възможности</w:t>
      </w:r>
      <w:r w:rsidR="00E9183F"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за развитие на </w:t>
      </w:r>
      <w:r w:rsidR="00991E30" w:rsidRPr="00610B1B">
        <w:rPr>
          <w:rFonts w:ascii="Times New Roman" w:hAnsi="Times New Roman" w:cs="Times New Roman"/>
          <w:sz w:val="24"/>
          <w:szCs w:val="24"/>
          <w:lang w:val="bg-BG"/>
        </w:rPr>
        <w:t>публично-частно партньорство</w:t>
      </w:r>
      <w:r w:rsidR="00E9183F" w:rsidRPr="00610B1B">
        <w:rPr>
          <w:rFonts w:ascii="Times New Roman" w:hAnsi="Times New Roman" w:cs="Times New Roman"/>
          <w:sz w:val="24"/>
          <w:szCs w:val="24"/>
          <w:lang w:val="bg-BG"/>
        </w:rPr>
        <w:t>, за</w:t>
      </w:r>
      <w:r w:rsidRPr="00610B1B">
        <w:rPr>
          <w:rFonts w:ascii="Times New Roman" w:hAnsi="Times New Roman" w:cs="Times New Roman"/>
          <w:sz w:val="24"/>
          <w:szCs w:val="24"/>
          <w:lang w:val="bg-BG"/>
        </w:rPr>
        <w:t xml:space="preserve"> модернизиране на пристанищата,</w:t>
      </w:r>
      <w:r w:rsidR="00E9183F" w:rsidRPr="00610B1B">
        <w:rPr>
          <w:rFonts w:ascii="Times New Roman" w:hAnsi="Times New Roman" w:cs="Times New Roman"/>
          <w:sz w:val="24"/>
          <w:szCs w:val="24"/>
          <w:lang w:val="bg-BG"/>
        </w:rPr>
        <w:t xml:space="preserve"> за</w:t>
      </w:r>
      <w:r w:rsidRPr="00610B1B">
        <w:rPr>
          <w:rFonts w:ascii="Times New Roman" w:hAnsi="Times New Roman" w:cs="Times New Roman"/>
          <w:sz w:val="24"/>
          <w:szCs w:val="24"/>
          <w:lang w:val="bg-BG"/>
        </w:rPr>
        <w:t xml:space="preserve"> повишаване на тяхната конкурентоспособност</w:t>
      </w:r>
      <w:r w:rsidR="00E9183F" w:rsidRPr="00610B1B">
        <w:rPr>
          <w:rFonts w:ascii="Times New Roman" w:hAnsi="Times New Roman" w:cs="Times New Roman"/>
          <w:sz w:val="24"/>
          <w:szCs w:val="24"/>
          <w:lang w:val="bg-BG"/>
        </w:rPr>
        <w:t xml:space="preserve"> в предоставянето</w:t>
      </w:r>
      <w:r w:rsidRPr="00610B1B">
        <w:rPr>
          <w:rFonts w:ascii="Times New Roman" w:hAnsi="Times New Roman" w:cs="Times New Roman"/>
          <w:sz w:val="24"/>
          <w:szCs w:val="24"/>
          <w:lang w:val="bg-BG"/>
        </w:rPr>
        <w:t xml:space="preserve"> на пристанищни услуги</w:t>
      </w:r>
      <w:r w:rsidR="00D649FB" w:rsidRPr="00610B1B">
        <w:rPr>
          <w:rFonts w:ascii="Times New Roman" w:hAnsi="Times New Roman" w:cs="Times New Roman"/>
          <w:sz w:val="24"/>
          <w:szCs w:val="24"/>
          <w:lang w:val="bg-BG"/>
        </w:rPr>
        <w:t>.</w:t>
      </w:r>
    </w:p>
    <w:p w14:paraId="6270E383" w14:textId="3127DD65" w:rsidR="00796C2C" w:rsidRPr="00610B1B" w:rsidRDefault="00796C2C"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 целите на морското пространствено планиране пристанищата са класифицирани в съответствие с чл. 93 от ЗМПВВППРБ, а именно:</w:t>
      </w:r>
      <w:r w:rsidR="00356FA4" w:rsidRPr="00610B1B">
        <w:rPr>
          <w:rFonts w:ascii="Times New Roman" w:hAnsi="Times New Roman" w:cs="Times New Roman"/>
          <w:sz w:val="24"/>
          <w:szCs w:val="24"/>
          <w:lang w:val="bg-BG"/>
        </w:rPr>
        <w:t xml:space="preserve"> 1) за </w:t>
      </w:r>
      <w:r w:rsidRPr="00610B1B">
        <w:rPr>
          <w:rFonts w:ascii="Times New Roman" w:hAnsi="Times New Roman" w:cs="Times New Roman"/>
          <w:sz w:val="24"/>
          <w:szCs w:val="24"/>
          <w:lang w:val="bg-BG"/>
        </w:rPr>
        <w:t xml:space="preserve">обществен транспорт – </w:t>
      </w:r>
      <w:r w:rsidR="00E9183F"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вътрешен или международен трафик;</w:t>
      </w:r>
      <w:r w:rsidR="00356FA4" w:rsidRPr="00610B1B">
        <w:rPr>
          <w:rFonts w:ascii="Times New Roman" w:hAnsi="Times New Roman" w:cs="Times New Roman"/>
          <w:sz w:val="24"/>
          <w:szCs w:val="24"/>
          <w:lang w:val="bg-BG"/>
        </w:rPr>
        <w:t xml:space="preserve"> 2) рибарски</w:t>
      </w:r>
      <w:r w:rsidRPr="00610B1B">
        <w:rPr>
          <w:rFonts w:ascii="Times New Roman" w:hAnsi="Times New Roman" w:cs="Times New Roman"/>
          <w:sz w:val="24"/>
          <w:szCs w:val="24"/>
          <w:lang w:val="bg-BG"/>
        </w:rPr>
        <w:t>;</w:t>
      </w:r>
      <w:r w:rsidR="00356FA4" w:rsidRPr="00610B1B">
        <w:rPr>
          <w:rFonts w:ascii="Times New Roman" w:hAnsi="Times New Roman" w:cs="Times New Roman"/>
          <w:sz w:val="24"/>
          <w:szCs w:val="24"/>
          <w:lang w:val="bg-BG"/>
        </w:rPr>
        <w:t xml:space="preserve"> 3) я</w:t>
      </w:r>
      <w:r w:rsidRPr="00610B1B">
        <w:rPr>
          <w:rFonts w:ascii="Times New Roman" w:hAnsi="Times New Roman" w:cs="Times New Roman"/>
          <w:sz w:val="24"/>
          <w:szCs w:val="24"/>
          <w:lang w:val="bg-BG"/>
        </w:rPr>
        <w:t>хтени;</w:t>
      </w:r>
      <w:r w:rsidR="00356FA4" w:rsidRPr="00610B1B">
        <w:rPr>
          <w:rFonts w:ascii="Times New Roman" w:hAnsi="Times New Roman" w:cs="Times New Roman"/>
          <w:sz w:val="24"/>
          <w:szCs w:val="24"/>
          <w:lang w:val="bg-BG"/>
        </w:rPr>
        <w:t xml:space="preserve"> 4) със </w:t>
      </w:r>
      <w:r w:rsidRPr="00610B1B">
        <w:rPr>
          <w:rFonts w:ascii="Times New Roman" w:hAnsi="Times New Roman" w:cs="Times New Roman"/>
          <w:sz w:val="24"/>
          <w:szCs w:val="24"/>
          <w:lang w:val="bg-BG"/>
        </w:rPr>
        <w:t>специално предназначение;</w:t>
      </w:r>
      <w:r w:rsidR="00356FA4" w:rsidRPr="00610B1B">
        <w:rPr>
          <w:rFonts w:ascii="Times New Roman" w:hAnsi="Times New Roman" w:cs="Times New Roman"/>
          <w:sz w:val="24"/>
          <w:szCs w:val="24"/>
          <w:lang w:val="bg-BG"/>
        </w:rPr>
        <w:t xml:space="preserve"> 5) военни</w:t>
      </w:r>
      <w:r w:rsidRPr="00610B1B">
        <w:rPr>
          <w:rFonts w:ascii="Times New Roman" w:hAnsi="Times New Roman" w:cs="Times New Roman"/>
          <w:sz w:val="24"/>
          <w:szCs w:val="24"/>
          <w:lang w:val="bg-BG"/>
        </w:rPr>
        <w:t xml:space="preserve">, включително гранично-полицейски. </w:t>
      </w:r>
      <w:r w:rsidR="00764A7C" w:rsidRPr="00610B1B">
        <w:rPr>
          <w:rFonts w:ascii="Times New Roman" w:hAnsi="Times New Roman" w:cs="Times New Roman"/>
          <w:sz w:val="24"/>
          <w:szCs w:val="24"/>
          <w:lang w:val="bg-BG"/>
        </w:rPr>
        <w:t xml:space="preserve">Всички пристанища, с изключение на </w:t>
      </w:r>
      <w:r w:rsidR="00764A7C" w:rsidRPr="00610B1B">
        <w:rPr>
          <w:rFonts w:ascii="Times New Roman" w:hAnsi="Times New Roman" w:cs="Times New Roman"/>
          <w:sz w:val="24"/>
          <w:szCs w:val="24"/>
          <w:lang w:val="bg-BG"/>
        </w:rPr>
        <w:lastRenderedPageBreak/>
        <w:t>военните, се регистрират в съответствие с изискванията на Наредба № 19 от 9 декември 2004 г. за регистрация на пристанищата на Република България.</w:t>
      </w:r>
      <w:r w:rsidR="00764A7C" w:rsidRPr="00610B1B">
        <w:rPr>
          <w:rStyle w:val="FootnoteReference"/>
          <w:rFonts w:ascii="Times New Roman" w:hAnsi="Times New Roman" w:cs="Times New Roman"/>
          <w:sz w:val="24"/>
          <w:szCs w:val="24"/>
          <w:lang w:val="bg-BG"/>
        </w:rPr>
        <w:footnoteReference w:id="109"/>
      </w:r>
      <w:r w:rsidR="00764A7C" w:rsidRPr="00610B1B">
        <w:rPr>
          <w:rFonts w:ascii="Times New Roman" w:hAnsi="Times New Roman" w:cs="Times New Roman"/>
          <w:sz w:val="24"/>
          <w:szCs w:val="24"/>
          <w:lang w:val="bg-BG"/>
        </w:rPr>
        <w:t xml:space="preserve"> </w:t>
      </w:r>
    </w:p>
    <w:p w14:paraId="6E5851BF" w14:textId="25DE57BF" w:rsidR="00E9183F" w:rsidRPr="00610B1B" w:rsidRDefault="00551B0F"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 данни</w:t>
      </w:r>
      <w:r w:rsidR="003F1B54"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от Интегрираната транспортна стратегия</w:t>
      </w:r>
      <w:r w:rsidR="00F512B4"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националната пристанищна система разполага с 14</w:t>
      </w:r>
      <w:r w:rsidR="00F512B4"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628</w:t>
      </w:r>
      <w:r w:rsidR="00F512B4"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m обща дължина на кейовия фронт в морските пристанища за обществен </w:t>
      </w:r>
      <w:r w:rsidR="003F1B54" w:rsidRPr="00610B1B">
        <w:rPr>
          <w:rFonts w:ascii="Times New Roman" w:hAnsi="Times New Roman" w:cs="Times New Roman"/>
          <w:sz w:val="24"/>
          <w:szCs w:val="24"/>
          <w:lang w:val="bg-BG"/>
        </w:rPr>
        <w:t xml:space="preserve">транспорт. </w:t>
      </w:r>
    </w:p>
    <w:p w14:paraId="704A33F6" w14:textId="61C2FC93" w:rsidR="00796C2C" w:rsidRPr="00610B1B" w:rsidRDefault="008116FE"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След присъединяването към ЕС, българските </w:t>
      </w:r>
      <w:r w:rsidR="00796C2C" w:rsidRPr="00610B1B">
        <w:rPr>
          <w:rFonts w:ascii="Times New Roman" w:hAnsi="Times New Roman" w:cs="Times New Roman"/>
          <w:sz w:val="24"/>
          <w:szCs w:val="24"/>
          <w:lang w:val="bg-BG"/>
        </w:rPr>
        <w:t xml:space="preserve">черноморски пристанища </w:t>
      </w:r>
      <w:r w:rsidRPr="00610B1B">
        <w:rPr>
          <w:rFonts w:ascii="Times New Roman" w:hAnsi="Times New Roman" w:cs="Times New Roman"/>
          <w:sz w:val="24"/>
          <w:szCs w:val="24"/>
          <w:lang w:val="bg-BG"/>
        </w:rPr>
        <w:t>станаха</w:t>
      </w:r>
      <w:r w:rsidR="00E9183F" w:rsidRPr="00610B1B">
        <w:rPr>
          <w:rFonts w:ascii="Times New Roman" w:hAnsi="Times New Roman" w:cs="Times New Roman"/>
          <w:sz w:val="24"/>
          <w:szCs w:val="24"/>
          <w:lang w:val="bg-BG"/>
        </w:rPr>
        <w:t xml:space="preserve"> външна</w:t>
      </w:r>
      <w:r w:rsidR="00796C2C" w:rsidRPr="00610B1B">
        <w:rPr>
          <w:rFonts w:ascii="Times New Roman" w:hAnsi="Times New Roman" w:cs="Times New Roman"/>
          <w:sz w:val="24"/>
          <w:szCs w:val="24"/>
          <w:lang w:val="bg-BG"/>
        </w:rPr>
        <w:t xml:space="preserve"> граница на </w:t>
      </w:r>
      <w:r w:rsidRPr="00610B1B">
        <w:rPr>
          <w:rFonts w:ascii="Times New Roman" w:hAnsi="Times New Roman" w:cs="Times New Roman"/>
          <w:sz w:val="24"/>
          <w:szCs w:val="24"/>
          <w:lang w:val="bg-BG"/>
        </w:rPr>
        <w:t xml:space="preserve">Европейския съюз, което </w:t>
      </w:r>
      <w:r w:rsidR="00796C2C" w:rsidRPr="00610B1B">
        <w:rPr>
          <w:rFonts w:ascii="Times New Roman" w:hAnsi="Times New Roman" w:cs="Times New Roman"/>
          <w:sz w:val="24"/>
          <w:szCs w:val="24"/>
          <w:lang w:val="bg-BG"/>
        </w:rPr>
        <w:t xml:space="preserve">ги прави атрактивни за осъществяване на връзки със страните от </w:t>
      </w:r>
      <w:r w:rsidR="002C047B" w:rsidRPr="00610B1B">
        <w:rPr>
          <w:rFonts w:ascii="Times New Roman" w:hAnsi="Times New Roman" w:cs="Times New Roman"/>
          <w:sz w:val="24"/>
          <w:szCs w:val="24"/>
          <w:lang w:val="bg-BG"/>
        </w:rPr>
        <w:t>Ч</w:t>
      </w:r>
      <w:r w:rsidR="00796C2C" w:rsidRPr="00610B1B">
        <w:rPr>
          <w:rFonts w:ascii="Times New Roman" w:hAnsi="Times New Roman" w:cs="Times New Roman"/>
          <w:sz w:val="24"/>
          <w:szCs w:val="24"/>
          <w:lang w:val="bg-BG"/>
        </w:rPr>
        <w:t>ерноморския басейн</w:t>
      </w:r>
      <w:r w:rsidR="002C047B" w:rsidRPr="00610B1B">
        <w:rPr>
          <w:rFonts w:ascii="Times New Roman" w:hAnsi="Times New Roman" w:cs="Times New Roman"/>
          <w:sz w:val="24"/>
          <w:szCs w:val="24"/>
          <w:lang w:val="bg-BG"/>
        </w:rPr>
        <w:t>,</w:t>
      </w:r>
      <w:r w:rsidR="00796C2C" w:rsidRPr="00610B1B">
        <w:rPr>
          <w:rFonts w:ascii="Times New Roman" w:hAnsi="Times New Roman" w:cs="Times New Roman"/>
          <w:sz w:val="24"/>
          <w:szCs w:val="24"/>
          <w:lang w:val="bg-BG"/>
        </w:rPr>
        <w:t xml:space="preserve"> от Дале</w:t>
      </w:r>
      <w:r w:rsidR="00E9183F" w:rsidRPr="00610B1B">
        <w:rPr>
          <w:rFonts w:ascii="Times New Roman" w:hAnsi="Times New Roman" w:cs="Times New Roman"/>
          <w:sz w:val="24"/>
          <w:szCs w:val="24"/>
          <w:lang w:val="bg-BG"/>
        </w:rPr>
        <w:t xml:space="preserve">чния Изток и </w:t>
      </w:r>
      <w:r w:rsidR="00BC1196" w:rsidRPr="00610B1B">
        <w:rPr>
          <w:rFonts w:ascii="Times New Roman" w:hAnsi="Times New Roman" w:cs="Times New Roman"/>
          <w:sz w:val="24"/>
          <w:szCs w:val="24"/>
          <w:lang w:val="bg-BG"/>
        </w:rPr>
        <w:t xml:space="preserve">с </w:t>
      </w:r>
      <w:r w:rsidR="00E9183F" w:rsidRPr="00610B1B">
        <w:rPr>
          <w:rFonts w:ascii="Times New Roman" w:hAnsi="Times New Roman" w:cs="Times New Roman"/>
          <w:sz w:val="24"/>
          <w:szCs w:val="24"/>
          <w:lang w:val="bg-BG"/>
        </w:rPr>
        <w:t xml:space="preserve">азиатските страни. </w:t>
      </w:r>
      <w:r w:rsidR="0032612D" w:rsidRPr="00610B1B">
        <w:rPr>
          <w:rFonts w:ascii="Times New Roman" w:hAnsi="Times New Roman" w:cs="Times New Roman"/>
          <w:sz w:val="24"/>
          <w:szCs w:val="24"/>
          <w:lang w:val="bg-BG"/>
        </w:rPr>
        <w:t>П</w:t>
      </w:r>
      <w:r w:rsidR="00796C2C" w:rsidRPr="00610B1B">
        <w:rPr>
          <w:rFonts w:ascii="Times New Roman" w:hAnsi="Times New Roman" w:cs="Times New Roman"/>
          <w:sz w:val="24"/>
          <w:szCs w:val="24"/>
          <w:lang w:val="bg-BG"/>
        </w:rPr>
        <w:t>рез последните години ЕС обръща изключително внимание на пристанищния отрасъл</w:t>
      </w:r>
      <w:r w:rsidR="002C047B" w:rsidRPr="00610B1B">
        <w:rPr>
          <w:rFonts w:ascii="Times New Roman" w:hAnsi="Times New Roman" w:cs="Times New Roman"/>
          <w:sz w:val="24"/>
          <w:szCs w:val="24"/>
          <w:lang w:val="bg-BG"/>
        </w:rPr>
        <w:t xml:space="preserve"> като </w:t>
      </w:r>
      <w:r w:rsidR="00796C2C" w:rsidRPr="00610B1B">
        <w:rPr>
          <w:rFonts w:ascii="Times New Roman" w:hAnsi="Times New Roman" w:cs="Times New Roman"/>
          <w:sz w:val="24"/>
          <w:szCs w:val="24"/>
          <w:lang w:val="bg-BG"/>
        </w:rPr>
        <w:t>стратегическ</w:t>
      </w:r>
      <w:r w:rsidRPr="00610B1B">
        <w:rPr>
          <w:rFonts w:ascii="Times New Roman" w:hAnsi="Times New Roman" w:cs="Times New Roman"/>
          <w:sz w:val="24"/>
          <w:szCs w:val="24"/>
          <w:lang w:val="bg-BG"/>
        </w:rPr>
        <w:t>и</w:t>
      </w:r>
      <w:r w:rsidR="00796C2C" w:rsidRPr="00610B1B">
        <w:rPr>
          <w:rFonts w:ascii="Times New Roman" w:hAnsi="Times New Roman" w:cs="Times New Roman"/>
          <w:sz w:val="24"/>
          <w:szCs w:val="24"/>
          <w:lang w:val="bg-BG"/>
        </w:rPr>
        <w:t>, икономическ</w:t>
      </w:r>
      <w:r w:rsidRPr="00610B1B">
        <w:rPr>
          <w:rFonts w:ascii="Times New Roman" w:hAnsi="Times New Roman" w:cs="Times New Roman"/>
          <w:sz w:val="24"/>
          <w:szCs w:val="24"/>
          <w:lang w:val="bg-BG"/>
        </w:rPr>
        <w:t>и</w:t>
      </w:r>
      <w:r w:rsidR="00796C2C" w:rsidRPr="00610B1B">
        <w:rPr>
          <w:rFonts w:ascii="Times New Roman" w:hAnsi="Times New Roman" w:cs="Times New Roman"/>
          <w:sz w:val="24"/>
          <w:szCs w:val="24"/>
          <w:lang w:val="bg-BG"/>
        </w:rPr>
        <w:t>, екологич</w:t>
      </w:r>
      <w:r w:rsidRPr="00610B1B">
        <w:rPr>
          <w:rFonts w:ascii="Times New Roman" w:hAnsi="Times New Roman" w:cs="Times New Roman"/>
          <w:sz w:val="24"/>
          <w:szCs w:val="24"/>
          <w:lang w:val="bg-BG"/>
        </w:rPr>
        <w:t>е</w:t>
      </w:r>
      <w:r w:rsidR="00796C2C" w:rsidRPr="00610B1B">
        <w:rPr>
          <w:rFonts w:ascii="Times New Roman" w:hAnsi="Times New Roman" w:cs="Times New Roman"/>
          <w:sz w:val="24"/>
          <w:szCs w:val="24"/>
          <w:lang w:val="bg-BG"/>
        </w:rPr>
        <w:t>н и социал</w:t>
      </w:r>
      <w:r w:rsidRPr="00610B1B">
        <w:rPr>
          <w:rFonts w:ascii="Times New Roman" w:hAnsi="Times New Roman" w:cs="Times New Roman"/>
          <w:sz w:val="24"/>
          <w:szCs w:val="24"/>
          <w:lang w:val="bg-BG"/>
        </w:rPr>
        <w:t>е</w:t>
      </w:r>
      <w:r w:rsidR="00796C2C" w:rsidRPr="00610B1B">
        <w:rPr>
          <w:rFonts w:ascii="Times New Roman" w:hAnsi="Times New Roman" w:cs="Times New Roman"/>
          <w:sz w:val="24"/>
          <w:szCs w:val="24"/>
          <w:lang w:val="bg-BG"/>
        </w:rPr>
        <w:t xml:space="preserve">н </w:t>
      </w:r>
      <w:r w:rsidRPr="00610B1B">
        <w:rPr>
          <w:rFonts w:ascii="Times New Roman" w:hAnsi="Times New Roman" w:cs="Times New Roman"/>
          <w:sz w:val="24"/>
          <w:szCs w:val="24"/>
          <w:lang w:val="bg-BG"/>
        </w:rPr>
        <w:t>фактор</w:t>
      </w:r>
      <w:r w:rsidR="00796C2C" w:rsidRPr="00610B1B">
        <w:rPr>
          <w:rFonts w:ascii="Times New Roman" w:hAnsi="Times New Roman" w:cs="Times New Roman"/>
          <w:sz w:val="24"/>
          <w:szCs w:val="24"/>
          <w:lang w:val="bg-BG"/>
        </w:rPr>
        <w:t xml:space="preserve">. </w:t>
      </w:r>
      <w:r w:rsidR="002C047B" w:rsidRPr="00610B1B">
        <w:rPr>
          <w:rFonts w:ascii="Times New Roman" w:hAnsi="Times New Roman" w:cs="Times New Roman"/>
          <w:sz w:val="24"/>
          <w:szCs w:val="24"/>
          <w:lang w:val="bg-BG"/>
        </w:rPr>
        <w:t>П</w:t>
      </w:r>
      <w:r w:rsidR="00796C2C" w:rsidRPr="00610B1B">
        <w:rPr>
          <w:rFonts w:ascii="Times New Roman" w:hAnsi="Times New Roman" w:cs="Times New Roman"/>
          <w:sz w:val="24"/>
          <w:szCs w:val="24"/>
          <w:lang w:val="bg-BG"/>
        </w:rPr>
        <w:t xml:space="preserve">ристанищата имат значение </w:t>
      </w:r>
      <w:r w:rsidRPr="00610B1B">
        <w:rPr>
          <w:rFonts w:ascii="Times New Roman" w:hAnsi="Times New Roman" w:cs="Times New Roman"/>
          <w:sz w:val="24"/>
          <w:szCs w:val="24"/>
          <w:lang w:val="bg-BG"/>
        </w:rPr>
        <w:t xml:space="preserve">не само </w:t>
      </w:r>
      <w:r w:rsidR="00796C2C" w:rsidRPr="00610B1B">
        <w:rPr>
          <w:rFonts w:ascii="Times New Roman" w:hAnsi="Times New Roman" w:cs="Times New Roman"/>
          <w:sz w:val="24"/>
          <w:szCs w:val="24"/>
          <w:lang w:val="bg-BG"/>
        </w:rPr>
        <w:t>за морски</w:t>
      </w:r>
      <w:r w:rsidRPr="00610B1B">
        <w:rPr>
          <w:rFonts w:ascii="Times New Roman" w:hAnsi="Times New Roman" w:cs="Times New Roman"/>
          <w:sz w:val="24"/>
          <w:szCs w:val="24"/>
          <w:lang w:val="bg-BG"/>
        </w:rPr>
        <w:t xml:space="preserve">те, речните и </w:t>
      </w:r>
      <w:r w:rsidR="00796C2C" w:rsidRPr="00610B1B">
        <w:rPr>
          <w:rFonts w:ascii="Times New Roman" w:hAnsi="Times New Roman" w:cs="Times New Roman"/>
          <w:sz w:val="24"/>
          <w:szCs w:val="24"/>
          <w:lang w:val="bg-BG"/>
        </w:rPr>
        <w:t xml:space="preserve">интермодалните превози в Европа, </w:t>
      </w:r>
      <w:r w:rsidRPr="00610B1B">
        <w:rPr>
          <w:rFonts w:ascii="Times New Roman" w:hAnsi="Times New Roman" w:cs="Times New Roman"/>
          <w:sz w:val="24"/>
          <w:szCs w:val="24"/>
          <w:lang w:val="bg-BG"/>
        </w:rPr>
        <w:t>но и като</w:t>
      </w:r>
      <w:r w:rsidR="00796C2C" w:rsidRPr="00610B1B">
        <w:rPr>
          <w:rFonts w:ascii="Times New Roman" w:hAnsi="Times New Roman" w:cs="Times New Roman"/>
          <w:sz w:val="24"/>
          <w:szCs w:val="24"/>
          <w:lang w:val="bg-BG"/>
        </w:rPr>
        <w:t xml:space="preserve"> икономически оси</w:t>
      </w:r>
      <w:r w:rsidRPr="00610B1B">
        <w:rPr>
          <w:rFonts w:ascii="Times New Roman" w:hAnsi="Times New Roman" w:cs="Times New Roman"/>
          <w:sz w:val="24"/>
          <w:szCs w:val="24"/>
          <w:lang w:val="bg-BG"/>
        </w:rPr>
        <w:t xml:space="preserve">, </w:t>
      </w:r>
      <w:r w:rsidR="00796C2C" w:rsidRPr="00610B1B">
        <w:rPr>
          <w:rFonts w:ascii="Times New Roman" w:hAnsi="Times New Roman" w:cs="Times New Roman"/>
          <w:sz w:val="24"/>
          <w:szCs w:val="24"/>
          <w:lang w:val="bg-BG"/>
        </w:rPr>
        <w:t xml:space="preserve">източник на заетост и интегриране на населението. Изключително внимание се обръща и на технологичните промени, които </w:t>
      </w:r>
      <w:r w:rsidR="0032612D" w:rsidRPr="00610B1B">
        <w:rPr>
          <w:rFonts w:ascii="Times New Roman" w:hAnsi="Times New Roman" w:cs="Times New Roman"/>
          <w:sz w:val="24"/>
          <w:szCs w:val="24"/>
          <w:lang w:val="bg-BG"/>
        </w:rPr>
        <w:t>дават</w:t>
      </w:r>
      <w:r w:rsidR="00796C2C" w:rsidRPr="00610B1B">
        <w:rPr>
          <w:rFonts w:ascii="Times New Roman" w:hAnsi="Times New Roman" w:cs="Times New Roman"/>
          <w:sz w:val="24"/>
          <w:szCs w:val="24"/>
          <w:lang w:val="bg-BG"/>
        </w:rPr>
        <w:t xml:space="preserve"> възможност на пристанищата да посрещнат предизвикателствата на увеличения обем на трафика, за съвременно техническо оборудване, </w:t>
      </w:r>
      <w:r w:rsidR="0032612D" w:rsidRPr="00610B1B">
        <w:rPr>
          <w:rFonts w:ascii="Times New Roman" w:hAnsi="Times New Roman" w:cs="Times New Roman"/>
          <w:sz w:val="24"/>
          <w:szCs w:val="24"/>
          <w:lang w:val="bg-BG"/>
        </w:rPr>
        <w:t xml:space="preserve">за трансформиране на сгради и пространства и участие във </w:t>
      </w:r>
      <w:r w:rsidR="00796C2C" w:rsidRPr="00610B1B">
        <w:rPr>
          <w:rFonts w:ascii="Times New Roman" w:hAnsi="Times New Roman" w:cs="Times New Roman"/>
          <w:sz w:val="24"/>
          <w:szCs w:val="24"/>
          <w:lang w:val="bg-BG"/>
        </w:rPr>
        <w:t xml:space="preserve">възстановяване на градските зони, освободени </w:t>
      </w:r>
      <w:r w:rsidR="0032612D" w:rsidRPr="00610B1B">
        <w:rPr>
          <w:rFonts w:ascii="Times New Roman" w:hAnsi="Times New Roman" w:cs="Times New Roman"/>
          <w:sz w:val="24"/>
          <w:szCs w:val="24"/>
          <w:lang w:val="bg-BG"/>
        </w:rPr>
        <w:t xml:space="preserve">след </w:t>
      </w:r>
      <w:r w:rsidR="00796C2C" w:rsidRPr="00610B1B">
        <w:rPr>
          <w:rFonts w:ascii="Times New Roman" w:hAnsi="Times New Roman" w:cs="Times New Roman"/>
          <w:sz w:val="24"/>
          <w:szCs w:val="24"/>
          <w:lang w:val="bg-BG"/>
        </w:rPr>
        <w:t xml:space="preserve">прехвърлянето на пристанищни </w:t>
      </w:r>
      <w:r w:rsidR="0032612D" w:rsidRPr="00610B1B">
        <w:rPr>
          <w:rFonts w:ascii="Times New Roman" w:hAnsi="Times New Roman" w:cs="Times New Roman"/>
          <w:sz w:val="24"/>
          <w:szCs w:val="24"/>
          <w:lang w:val="bg-BG"/>
        </w:rPr>
        <w:t xml:space="preserve">дейности в извънградски райони. </w:t>
      </w:r>
      <w:r w:rsidR="00796C2C" w:rsidRPr="00610B1B">
        <w:rPr>
          <w:rFonts w:ascii="Times New Roman" w:hAnsi="Times New Roman" w:cs="Times New Roman"/>
          <w:sz w:val="24"/>
          <w:szCs w:val="24"/>
          <w:lang w:val="bg-BG"/>
        </w:rPr>
        <w:t>За по-бързото развитие и технологично обновление на пристанищата от значение са научните изследвания и иновациите, обучението и преквалификацията на заетите в пристанищната дейност лица, концесиите и държавната подкрепа.</w:t>
      </w:r>
    </w:p>
    <w:p w14:paraId="4871C18A" w14:textId="062C239E" w:rsidR="00111024" w:rsidRPr="00610B1B" w:rsidRDefault="0032612D" w:rsidP="00D32D6A">
      <w:pPr>
        <w:autoSpaceDE w:val="0"/>
        <w:autoSpaceDN w:val="0"/>
        <w:adjustRightInd w:val="0"/>
        <w:spacing w:after="120"/>
        <w:ind w:right="-153"/>
        <w:jc w:val="both"/>
        <w:rPr>
          <w:rFonts w:ascii="Times New Roman" w:hAnsi="Times New Roman" w:cs="Times New Roman"/>
          <w:bCs/>
          <w:sz w:val="24"/>
          <w:szCs w:val="24"/>
          <w:lang w:val="bg-BG"/>
        </w:rPr>
      </w:pPr>
      <w:r w:rsidRPr="00610B1B">
        <w:rPr>
          <w:rFonts w:ascii="Times New Roman" w:hAnsi="Times New Roman" w:cs="Times New Roman"/>
          <w:b/>
          <w:bCs/>
          <w:sz w:val="24"/>
          <w:szCs w:val="24"/>
          <w:lang w:val="bg-BG"/>
        </w:rPr>
        <w:t>Законодателната рамка</w:t>
      </w:r>
      <w:r w:rsidRPr="00610B1B">
        <w:rPr>
          <w:rFonts w:ascii="Times New Roman" w:hAnsi="Times New Roman" w:cs="Times New Roman"/>
          <w:sz w:val="24"/>
          <w:szCs w:val="24"/>
          <w:lang w:val="bg-BG"/>
        </w:rPr>
        <w:t xml:space="preserve"> в областта на пристанищата, пристанищната дейност и морския транспорт обхваща </w:t>
      </w:r>
      <w:r w:rsidR="00493FE8" w:rsidRPr="00610B1B">
        <w:rPr>
          <w:rFonts w:ascii="Times New Roman" w:hAnsi="Times New Roman" w:cs="Times New Roman"/>
          <w:sz w:val="24"/>
          <w:szCs w:val="24"/>
          <w:lang w:val="bg-BG"/>
        </w:rPr>
        <w:t>с</w:t>
      </w:r>
      <w:r w:rsidR="00FD1919" w:rsidRPr="00610B1B">
        <w:rPr>
          <w:rFonts w:ascii="Times New Roman" w:hAnsi="Times New Roman" w:cs="Times New Roman"/>
          <w:sz w:val="24"/>
          <w:szCs w:val="24"/>
          <w:lang w:val="bg-BG"/>
        </w:rPr>
        <w:t>пецифични</w:t>
      </w:r>
      <w:r w:rsidR="00493FE8" w:rsidRPr="00610B1B">
        <w:rPr>
          <w:rFonts w:ascii="Times New Roman" w:hAnsi="Times New Roman" w:cs="Times New Roman"/>
          <w:sz w:val="24"/>
          <w:szCs w:val="24"/>
          <w:lang w:val="bg-BG"/>
        </w:rPr>
        <w:t xml:space="preserve"> международни, европейски и национални документи, между които </w:t>
      </w:r>
      <w:r w:rsidR="00FD1919" w:rsidRPr="00610B1B">
        <w:rPr>
          <w:rFonts w:ascii="Times New Roman" w:hAnsi="Times New Roman" w:cs="Times New Roman"/>
          <w:bCs/>
          <w:sz w:val="24"/>
          <w:szCs w:val="24"/>
          <w:lang w:val="bg-BG"/>
        </w:rPr>
        <w:t>К</w:t>
      </w:r>
      <w:r w:rsidR="00796C2C" w:rsidRPr="00610B1B">
        <w:rPr>
          <w:rFonts w:ascii="Times New Roman" w:hAnsi="Times New Roman" w:cs="Times New Roman"/>
          <w:bCs/>
          <w:sz w:val="24"/>
          <w:szCs w:val="24"/>
          <w:lang w:val="bg-BG"/>
        </w:rPr>
        <w:t>онвенция</w:t>
      </w:r>
      <w:r w:rsidR="00493FE8" w:rsidRPr="00610B1B">
        <w:rPr>
          <w:rFonts w:ascii="Times New Roman" w:hAnsi="Times New Roman" w:cs="Times New Roman"/>
          <w:bCs/>
          <w:sz w:val="24"/>
          <w:szCs w:val="24"/>
          <w:lang w:val="bg-BG"/>
        </w:rPr>
        <w:t>та</w:t>
      </w:r>
      <w:r w:rsidR="00796C2C" w:rsidRPr="00610B1B">
        <w:rPr>
          <w:rFonts w:ascii="Times New Roman" w:hAnsi="Times New Roman" w:cs="Times New Roman"/>
          <w:bCs/>
          <w:sz w:val="24"/>
          <w:szCs w:val="24"/>
          <w:lang w:val="bg-BG"/>
        </w:rPr>
        <w:t xml:space="preserve"> на Организацията на обединените нации по морско право</w:t>
      </w:r>
      <w:r w:rsidR="00493FE8" w:rsidRPr="00610B1B">
        <w:rPr>
          <w:rFonts w:ascii="Times New Roman" w:hAnsi="Times New Roman" w:cs="Times New Roman"/>
          <w:bCs/>
          <w:sz w:val="24"/>
          <w:szCs w:val="24"/>
          <w:lang w:val="bg-BG"/>
        </w:rPr>
        <w:t>,</w:t>
      </w:r>
      <w:r w:rsidR="00FD1919" w:rsidRPr="00610B1B">
        <w:rPr>
          <w:rFonts w:ascii="Times New Roman" w:hAnsi="Times New Roman" w:cs="Times New Roman"/>
          <w:bCs/>
          <w:sz w:val="24"/>
          <w:szCs w:val="24"/>
          <w:lang w:val="bg-BG"/>
        </w:rPr>
        <w:t xml:space="preserve"> </w:t>
      </w:r>
      <w:r w:rsidR="00796C2C" w:rsidRPr="00610B1B">
        <w:rPr>
          <w:rFonts w:ascii="Times New Roman" w:hAnsi="Times New Roman" w:cs="Times New Roman"/>
          <w:bCs/>
          <w:sz w:val="24"/>
          <w:szCs w:val="24"/>
          <w:lang w:val="bg-BG"/>
        </w:rPr>
        <w:t>Международна</w:t>
      </w:r>
      <w:r w:rsidR="00356FA4" w:rsidRPr="00610B1B">
        <w:rPr>
          <w:rFonts w:ascii="Times New Roman" w:hAnsi="Times New Roman" w:cs="Times New Roman"/>
          <w:bCs/>
          <w:sz w:val="24"/>
          <w:szCs w:val="24"/>
          <w:lang w:val="bg-BG"/>
        </w:rPr>
        <w:t>та</w:t>
      </w:r>
      <w:r w:rsidR="00796C2C" w:rsidRPr="00610B1B">
        <w:rPr>
          <w:rFonts w:ascii="Times New Roman" w:hAnsi="Times New Roman" w:cs="Times New Roman"/>
          <w:bCs/>
          <w:sz w:val="24"/>
          <w:szCs w:val="24"/>
          <w:lang w:val="bg-BG"/>
        </w:rPr>
        <w:t xml:space="preserve"> конвенция за предотвратяване на замърсяването от кораби, (MARPOL 73/78)</w:t>
      </w:r>
      <w:r w:rsidR="00493FE8" w:rsidRPr="00610B1B">
        <w:rPr>
          <w:rFonts w:ascii="Times New Roman" w:hAnsi="Times New Roman" w:cs="Times New Roman"/>
          <w:bCs/>
          <w:sz w:val="24"/>
          <w:szCs w:val="24"/>
          <w:lang w:val="bg-BG"/>
        </w:rPr>
        <w:t>,</w:t>
      </w:r>
      <w:r w:rsidR="00356FA4" w:rsidRPr="00610B1B">
        <w:rPr>
          <w:rFonts w:ascii="Times New Roman" w:hAnsi="Times New Roman" w:cs="Times New Roman"/>
          <w:bCs/>
          <w:sz w:val="24"/>
          <w:szCs w:val="24"/>
          <w:lang w:val="bg-BG"/>
        </w:rPr>
        <w:t xml:space="preserve"> </w:t>
      </w:r>
      <w:r w:rsidR="00796C2C" w:rsidRPr="00610B1B">
        <w:rPr>
          <w:rFonts w:ascii="Times New Roman" w:hAnsi="Times New Roman" w:cs="Times New Roman"/>
          <w:bCs/>
          <w:sz w:val="24"/>
          <w:szCs w:val="24"/>
          <w:lang w:val="bg-BG"/>
        </w:rPr>
        <w:t>Международна</w:t>
      </w:r>
      <w:r w:rsidR="00AE69E4" w:rsidRPr="00610B1B">
        <w:rPr>
          <w:rFonts w:ascii="Times New Roman" w:hAnsi="Times New Roman" w:cs="Times New Roman"/>
          <w:bCs/>
          <w:sz w:val="24"/>
          <w:szCs w:val="24"/>
          <w:lang w:val="bg-BG"/>
        </w:rPr>
        <w:t>та</w:t>
      </w:r>
      <w:r w:rsidR="00796C2C" w:rsidRPr="00610B1B">
        <w:rPr>
          <w:rFonts w:ascii="Times New Roman" w:hAnsi="Times New Roman" w:cs="Times New Roman"/>
          <w:bCs/>
          <w:sz w:val="24"/>
          <w:szCs w:val="24"/>
          <w:lang w:val="bg-BG"/>
        </w:rPr>
        <w:t xml:space="preserve"> конвенция за контрол и управление на корабнитe баластни води и седименти</w:t>
      </w:r>
      <w:r w:rsidR="00AE69E4" w:rsidRPr="00610B1B">
        <w:rPr>
          <w:rFonts w:ascii="Times New Roman" w:hAnsi="Times New Roman" w:cs="Times New Roman"/>
          <w:bCs/>
          <w:sz w:val="24"/>
          <w:szCs w:val="24"/>
          <w:lang w:val="bg-BG"/>
        </w:rPr>
        <w:t>,</w:t>
      </w:r>
      <w:r w:rsidR="00356FA4" w:rsidRPr="00610B1B">
        <w:rPr>
          <w:rFonts w:ascii="Times New Roman" w:hAnsi="Times New Roman" w:cs="Times New Roman"/>
          <w:bCs/>
          <w:sz w:val="24"/>
          <w:szCs w:val="24"/>
          <w:lang w:val="bg-BG"/>
        </w:rPr>
        <w:t xml:space="preserve"> както и </w:t>
      </w:r>
      <w:r w:rsidR="00796C2C" w:rsidRPr="00610B1B">
        <w:rPr>
          <w:rFonts w:ascii="Times New Roman" w:hAnsi="Times New Roman" w:cs="Times New Roman"/>
          <w:bCs/>
          <w:sz w:val="24"/>
          <w:szCs w:val="24"/>
          <w:lang w:val="bg-BG"/>
        </w:rPr>
        <w:t>Конвенция</w:t>
      </w:r>
      <w:r w:rsidR="00356FA4" w:rsidRPr="00610B1B">
        <w:rPr>
          <w:rFonts w:ascii="Times New Roman" w:hAnsi="Times New Roman" w:cs="Times New Roman"/>
          <w:bCs/>
          <w:sz w:val="24"/>
          <w:szCs w:val="24"/>
          <w:lang w:val="bg-BG"/>
        </w:rPr>
        <w:t>та</w:t>
      </w:r>
      <w:r w:rsidR="00796C2C" w:rsidRPr="00610B1B">
        <w:rPr>
          <w:rFonts w:ascii="Times New Roman" w:hAnsi="Times New Roman" w:cs="Times New Roman"/>
          <w:bCs/>
          <w:sz w:val="24"/>
          <w:szCs w:val="24"/>
          <w:lang w:val="bg-BG"/>
        </w:rPr>
        <w:t xml:space="preserve"> за опазване на Черно море от замърсяване</w:t>
      </w:r>
      <w:r w:rsidR="00111024" w:rsidRPr="00610B1B">
        <w:rPr>
          <w:rFonts w:ascii="Times New Roman" w:hAnsi="Times New Roman" w:cs="Times New Roman"/>
          <w:bCs/>
          <w:sz w:val="24"/>
          <w:szCs w:val="24"/>
          <w:lang w:val="bg-BG"/>
        </w:rPr>
        <w:t>.</w:t>
      </w:r>
      <w:r w:rsidR="00796C2C" w:rsidRPr="00610B1B">
        <w:rPr>
          <w:rFonts w:ascii="Times New Roman" w:hAnsi="Times New Roman" w:cs="Times New Roman"/>
          <w:bCs/>
          <w:sz w:val="24"/>
          <w:szCs w:val="24"/>
          <w:lang w:val="bg-BG"/>
        </w:rPr>
        <w:t xml:space="preserve"> </w:t>
      </w:r>
      <w:bookmarkStart w:id="320" w:name="_Toc28012941"/>
    </w:p>
    <w:p w14:paraId="1854F218" w14:textId="27BB4E7A" w:rsidR="00356FA4" w:rsidRPr="00610B1B" w:rsidRDefault="00356FA4" w:rsidP="00D32D6A">
      <w:pPr>
        <w:autoSpaceDE w:val="0"/>
        <w:autoSpaceDN w:val="0"/>
        <w:adjustRightInd w:val="0"/>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От Европейското законодателство с най-голямо значение за сектора са следните директиви:</w:t>
      </w:r>
    </w:p>
    <w:bookmarkEnd w:id="320"/>
    <w:p w14:paraId="34D071EA" w14:textId="77777777" w:rsidR="000917AA" w:rsidRPr="00610B1B" w:rsidRDefault="000917AA" w:rsidP="000917AA">
      <w:pPr>
        <w:pStyle w:val="ListParagraph"/>
        <w:numPr>
          <w:ilvl w:val="0"/>
          <w:numId w:val="9"/>
        </w:numPr>
        <w:autoSpaceDE w:val="0"/>
        <w:autoSpaceDN w:val="0"/>
        <w:adjustRightInd w:val="0"/>
        <w:spacing w:after="120"/>
        <w:ind w:right="-153"/>
        <w:contextualSpacing w:val="0"/>
        <w:jc w:val="both"/>
        <w:rPr>
          <w:rFonts w:ascii="Times New Roman" w:hAnsi="Times New Roman" w:cs="Times New Roman"/>
          <w:b/>
          <w:bCs/>
          <w:sz w:val="24"/>
          <w:szCs w:val="24"/>
          <w:lang w:val="bg-BG"/>
        </w:rPr>
      </w:pPr>
      <w:r w:rsidRPr="00610B1B">
        <w:rPr>
          <w:rFonts w:ascii="Times New Roman" w:hAnsi="Times New Roman" w:cs="Times New Roman"/>
          <w:sz w:val="24"/>
          <w:szCs w:val="24"/>
          <w:lang w:val="bg-BG"/>
        </w:rPr>
        <w:t>Директива 2002/59/ЕО на Европейския парламент и на Съвета от 27 юни 2002 година за създаване на система на Общността за контрол на движението на корабите и за информация и отменяща Директива 93/75/ЕИО на Съвета;</w:t>
      </w:r>
    </w:p>
    <w:p w14:paraId="5DD7A48C" w14:textId="10FB5A01" w:rsidR="000917AA" w:rsidRPr="00610B1B" w:rsidRDefault="000917AA" w:rsidP="000917AA">
      <w:pPr>
        <w:pStyle w:val="ListParagraph"/>
        <w:numPr>
          <w:ilvl w:val="0"/>
          <w:numId w:val="9"/>
        </w:numPr>
        <w:autoSpaceDE w:val="0"/>
        <w:autoSpaceDN w:val="0"/>
        <w:adjustRightInd w:val="0"/>
        <w:spacing w:after="120"/>
        <w:ind w:right="-153"/>
        <w:contextualSpacing w:val="0"/>
        <w:jc w:val="both"/>
        <w:rPr>
          <w:rFonts w:ascii="Times New Roman" w:hAnsi="Times New Roman" w:cs="Times New Roman"/>
          <w:b/>
          <w:bCs/>
          <w:sz w:val="24"/>
          <w:szCs w:val="24"/>
          <w:lang w:val="bg-BG"/>
        </w:rPr>
      </w:pPr>
      <w:r w:rsidRPr="00610B1B">
        <w:rPr>
          <w:rFonts w:ascii="Times New Roman" w:hAnsi="Times New Roman" w:cs="Times New Roman"/>
          <w:sz w:val="24"/>
          <w:szCs w:val="24"/>
          <w:lang w:val="bg-BG"/>
        </w:rPr>
        <w:t>Директива 2005/65/ЕО на Европейския парламент и на Съвета от 26.10.2005 г. за повишаване на сигурността на пристанищата (OB, L, 310 25.11.2005), изменена с Регламент (EO) № 219/2009 на Европейския парламент и на Съвета от 11.03.2009 год. (OB, L, 87, 31.03.2009) и Регламент (EO) 2019/1243 на Европейския парламент и на Съвета от 20.06.20219 год. (OB, L, 198, 25.06.2019);</w:t>
      </w:r>
    </w:p>
    <w:p w14:paraId="1C1B47CA" w14:textId="3A93306B" w:rsidR="00493FE8" w:rsidRPr="00610B1B" w:rsidRDefault="00493FE8" w:rsidP="00B46189">
      <w:pPr>
        <w:pStyle w:val="ListParagraph"/>
        <w:numPr>
          <w:ilvl w:val="0"/>
          <w:numId w:val="9"/>
        </w:numPr>
        <w:spacing w:after="120"/>
        <w:ind w:right="-153"/>
        <w:contextualSpacing w:val="0"/>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Директива 2010/65/ЕС на Европейския парламент и на Съвета от 20 октомври 2010 г. относно формалностите за даване на сведения за кораби, пристигащи във </w:t>
      </w:r>
      <w:r w:rsidRPr="00610B1B">
        <w:rPr>
          <w:rFonts w:ascii="Times New Roman" w:hAnsi="Times New Roman" w:cs="Times New Roman"/>
          <w:sz w:val="24"/>
          <w:szCs w:val="24"/>
          <w:lang w:val="bg-BG"/>
        </w:rPr>
        <w:lastRenderedPageBreak/>
        <w:t>и/или напускащи пристанищата на държавите-членки и за отмяна на Директива 2002/6/ЕО;</w:t>
      </w:r>
    </w:p>
    <w:p w14:paraId="36F37920" w14:textId="697A392E" w:rsidR="000917AA" w:rsidRPr="00610B1B" w:rsidRDefault="000917AA" w:rsidP="000917AA">
      <w:pPr>
        <w:pStyle w:val="ListParagraph"/>
        <w:numPr>
          <w:ilvl w:val="0"/>
          <w:numId w:val="9"/>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Директива 2014/94/ЕС на Европейския парламент и на Съвета от 22 октомври 2014</w:t>
      </w:r>
      <w:r w:rsidR="00E04172" w:rsidRPr="00610B1B">
        <w:rPr>
          <w:rFonts w:ascii="Times New Roman" w:hAnsi="Times New Roman" w:cs="Times New Roman"/>
          <w:sz w:val="24"/>
          <w:szCs w:val="24"/>
          <w:lang w:val="en-US"/>
        </w:rPr>
        <w:t> </w:t>
      </w:r>
      <w:r w:rsidRPr="00610B1B">
        <w:rPr>
          <w:rFonts w:ascii="Times New Roman" w:hAnsi="Times New Roman" w:cs="Times New Roman"/>
          <w:sz w:val="24"/>
          <w:szCs w:val="24"/>
          <w:lang w:val="bg-BG"/>
        </w:rPr>
        <w:t>г. за разгръщането на инфраструктура за алтернативни горива (ОВ, L 307, 28 октомври 2014 г.), изменена с Делегиран регламент (ЕС) 2018/674 на Комисията от 17 ноември 2017 г. (ОВ, L 114, 4 май 2018 г.);</w:t>
      </w:r>
    </w:p>
    <w:p w14:paraId="357A9273" w14:textId="77777777" w:rsidR="000917AA" w:rsidRPr="00610B1B" w:rsidRDefault="000917AA" w:rsidP="000917AA">
      <w:pPr>
        <w:pStyle w:val="ListParagraph"/>
        <w:numPr>
          <w:ilvl w:val="0"/>
          <w:numId w:val="9"/>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Директива (ЕС) 2016/802 на Европейския парламент и на Съвета от 11 май 2016 г. относно намаляването на съдържанието на сяра в определени течни горива (ОВ, L 132, 21 май 2016 г.);</w:t>
      </w:r>
    </w:p>
    <w:p w14:paraId="3BB557BB" w14:textId="4A1F0334" w:rsidR="000917AA" w:rsidRPr="00610B1B" w:rsidRDefault="000917AA" w:rsidP="008753B6">
      <w:pPr>
        <w:pStyle w:val="ListParagraph"/>
        <w:numPr>
          <w:ilvl w:val="0"/>
          <w:numId w:val="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Директива 2019/883 на Европейския парламент и на Съвета от 17 април 2019 г. относно пристанищните приемни съоръжения за предаване на отпадъци от кораби, за изменение на Директива 2010/65/ЕС и за отмяна на Директива 2000/59/ЕО;</w:t>
      </w:r>
    </w:p>
    <w:p w14:paraId="137A2930" w14:textId="5D9605E0" w:rsidR="000917AA" w:rsidRPr="00610B1B" w:rsidRDefault="00796C2C" w:rsidP="00B46189">
      <w:pPr>
        <w:pStyle w:val="ListParagraph"/>
        <w:numPr>
          <w:ilvl w:val="0"/>
          <w:numId w:val="9"/>
        </w:numPr>
        <w:autoSpaceDE w:val="0"/>
        <w:autoSpaceDN w:val="0"/>
        <w:adjustRightInd w:val="0"/>
        <w:spacing w:after="120"/>
        <w:ind w:right="-153"/>
        <w:contextualSpacing w:val="0"/>
        <w:jc w:val="both"/>
        <w:rPr>
          <w:rFonts w:ascii="Times New Roman" w:hAnsi="Times New Roman" w:cs="Times New Roman"/>
          <w:b/>
          <w:bCs/>
          <w:sz w:val="24"/>
          <w:szCs w:val="24"/>
          <w:lang w:val="bg-BG"/>
        </w:rPr>
      </w:pPr>
      <w:r w:rsidRPr="00610B1B">
        <w:rPr>
          <w:rFonts w:ascii="Times New Roman" w:hAnsi="Times New Roman" w:cs="Times New Roman"/>
          <w:sz w:val="24"/>
          <w:szCs w:val="24"/>
          <w:lang w:val="bg-BG"/>
        </w:rPr>
        <w:t>Регламент (ЕС) 2017/352 на Европейския парламент и на Съвета от 15 февруари 2017 г</w:t>
      </w:r>
      <w:r w:rsidR="00E04172" w:rsidRPr="00D72982">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за създаване на рамка за предоставянето на пристанищни услуги и общи правила за финансовата прозрачност на пристанищата</w:t>
      </w:r>
      <w:r w:rsidR="000917AA" w:rsidRPr="00610B1B">
        <w:rPr>
          <w:rFonts w:ascii="Times New Roman" w:hAnsi="Times New Roman" w:cs="Times New Roman"/>
          <w:sz w:val="24"/>
          <w:szCs w:val="24"/>
          <w:lang w:val="bg-BG"/>
        </w:rPr>
        <w:t>;</w:t>
      </w:r>
    </w:p>
    <w:p w14:paraId="4FF335CD" w14:textId="3AB652C3" w:rsidR="00796C2C" w:rsidRPr="00610B1B" w:rsidRDefault="000917AA" w:rsidP="000917AA">
      <w:pPr>
        <w:pStyle w:val="ListParagraph"/>
        <w:numPr>
          <w:ilvl w:val="0"/>
          <w:numId w:val="9"/>
        </w:numPr>
        <w:autoSpaceDE w:val="0"/>
        <w:autoSpaceDN w:val="0"/>
        <w:adjustRightInd w:val="0"/>
        <w:spacing w:after="120"/>
        <w:ind w:right="-153"/>
        <w:contextualSpacing w:val="0"/>
        <w:jc w:val="both"/>
        <w:rPr>
          <w:rFonts w:ascii="Times New Roman" w:hAnsi="Times New Roman" w:cs="Times New Roman"/>
          <w:b/>
          <w:bCs/>
          <w:sz w:val="24"/>
          <w:szCs w:val="24"/>
          <w:lang w:val="bg-BG"/>
        </w:rPr>
      </w:pPr>
      <w:r w:rsidRPr="00610B1B">
        <w:rPr>
          <w:rFonts w:ascii="Times New Roman" w:hAnsi="Times New Roman" w:cs="Times New Roman"/>
          <w:sz w:val="24"/>
          <w:szCs w:val="24"/>
          <w:lang w:val="bg-BG"/>
        </w:rPr>
        <w:t>Регламент (ЕО) 725/2004 на Европейския парламент и Съюза от 31.03.20</w:t>
      </w:r>
      <w:r w:rsidR="00AE50C9">
        <w:rPr>
          <w:rFonts w:ascii="Times New Roman" w:hAnsi="Times New Roman" w:cs="Times New Roman"/>
          <w:sz w:val="24"/>
          <w:szCs w:val="24"/>
          <w:lang w:val="bg-BG"/>
        </w:rPr>
        <w:t>0</w:t>
      </w:r>
      <w:r w:rsidRPr="00610B1B">
        <w:rPr>
          <w:rFonts w:ascii="Times New Roman" w:hAnsi="Times New Roman" w:cs="Times New Roman"/>
          <w:sz w:val="24"/>
          <w:szCs w:val="24"/>
          <w:lang w:val="bg-BG"/>
        </w:rPr>
        <w:t>4 г</w:t>
      </w:r>
      <w:r w:rsidR="00E04172" w:rsidRPr="00D72982">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относно </w:t>
      </w:r>
      <w:r w:rsidR="00E04172" w:rsidRPr="00610B1B">
        <w:rPr>
          <w:rFonts w:ascii="Times New Roman" w:hAnsi="Times New Roman" w:cs="Times New Roman"/>
          <w:sz w:val="24"/>
          <w:szCs w:val="24"/>
          <w:lang w:val="bg-BG"/>
        </w:rPr>
        <w:t>подобряване</w:t>
      </w:r>
      <w:r w:rsidRPr="00610B1B">
        <w:rPr>
          <w:rFonts w:ascii="Times New Roman" w:hAnsi="Times New Roman" w:cs="Times New Roman"/>
          <w:sz w:val="24"/>
          <w:szCs w:val="24"/>
          <w:lang w:val="bg-BG"/>
        </w:rPr>
        <w:t xml:space="preserve"> сигурността на корабите и на пристанищните </w:t>
      </w:r>
      <w:r w:rsidR="00E04172" w:rsidRPr="00610B1B">
        <w:rPr>
          <w:rFonts w:ascii="Times New Roman" w:hAnsi="Times New Roman" w:cs="Times New Roman"/>
          <w:sz w:val="24"/>
          <w:szCs w:val="24"/>
          <w:lang w:val="bg-BG"/>
        </w:rPr>
        <w:t>съоръжения</w:t>
      </w:r>
      <w:r w:rsidRPr="00610B1B">
        <w:rPr>
          <w:rFonts w:ascii="Times New Roman" w:hAnsi="Times New Roman" w:cs="Times New Roman"/>
          <w:sz w:val="24"/>
          <w:szCs w:val="24"/>
          <w:lang w:val="bg-BG"/>
        </w:rPr>
        <w:t xml:space="preserve"> (OB, L 129, 29.04.20</w:t>
      </w:r>
      <w:r w:rsidR="00AE50C9">
        <w:rPr>
          <w:rFonts w:ascii="Times New Roman" w:hAnsi="Times New Roman" w:cs="Times New Roman"/>
          <w:sz w:val="24"/>
          <w:szCs w:val="24"/>
          <w:lang w:val="bg-BG"/>
        </w:rPr>
        <w:t>0</w:t>
      </w:r>
      <w:r w:rsidRPr="00610B1B">
        <w:rPr>
          <w:rFonts w:ascii="Times New Roman" w:hAnsi="Times New Roman" w:cs="Times New Roman"/>
          <w:sz w:val="24"/>
          <w:szCs w:val="24"/>
          <w:lang w:val="bg-BG"/>
        </w:rPr>
        <w:t>4), изменен с Решение на Комисията от 23.01.2009 г</w:t>
      </w:r>
      <w:r w:rsidR="00E04172" w:rsidRPr="00D72982">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(OB, L, 29 31.01.2009) и Регламент (EO) № 219 / 2009 на Европейския парламент и на Съвета от 11.03.2009 г. (OB, L, 87, 31.03.2009).</w:t>
      </w:r>
    </w:p>
    <w:p w14:paraId="770B737C" w14:textId="23DDD01B" w:rsidR="00764A7C" w:rsidRPr="00610B1B" w:rsidRDefault="00AE69E4" w:rsidP="00D32D6A">
      <w:pPr>
        <w:spacing w:after="120"/>
        <w:ind w:right="-153"/>
        <w:jc w:val="both"/>
        <w:rPr>
          <w:rFonts w:ascii="Times New Roman" w:hAnsi="Times New Roman" w:cs="Times New Roman"/>
          <w:sz w:val="24"/>
          <w:szCs w:val="24"/>
          <w:lang w:val="bg-BG"/>
        </w:rPr>
      </w:pPr>
      <w:bookmarkStart w:id="321" w:name="_Toc28012942"/>
      <w:r w:rsidRPr="00610B1B">
        <w:rPr>
          <w:rFonts w:ascii="Times New Roman" w:hAnsi="Times New Roman" w:cs="Times New Roman"/>
          <w:sz w:val="24"/>
          <w:szCs w:val="24"/>
          <w:lang w:val="bg-BG"/>
        </w:rPr>
        <w:t>В н</w:t>
      </w:r>
      <w:r w:rsidR="00796C2C" w:rsidRPr="00610B1B">
        <w:rPr>
          <w:rFonts w:ascii="Times New Roman" w:hAnsi="Times New Roman" w:cs="Times New Roman"/>
          <w:sz w:val="24"/>
          <w:szCs w:val="24"/>
          <w:lang w:val="bg-BG"/>
        </w:rPr>
        <w:t>ационално</w:t>
      </w:r>
      <w:r w:rsidR="00356FA4" w:rsidRPr="00610B1B">
        <w:rPr>
          <w:rFonts w:ascii="Times New Roman" w:hAnsi="Times New Roman" w:cs="Times New Roman"/>
          <w:sz w:val="24"/>
          <w:szCs w:val="24"/>
          <w:lang w:val="bg-BG"/>
        </w:rPr>
        <w:t xml:space="preserve">то ни </w:t>
      </w:r>
      <w:r w:rsidR="00796C2C" w:rsidRPr="00610B1B">
        <w:rPr>
          <w:rFonts w:ascii="Times New Roman" w:hAnsi="Times New Roman" w:cs="Times New Roman"/>
          <w:sz w:val="24"/>
          <w:szCs w:val="24"/>
          <w:lang w:val="bg-BG"/>
        </w:rPr>
        <w:t>законодателство</w:t>
      </w:r>
      <w:bookmarkEnd w:id="321"/>
      <w:r w:rsidR="00356FA4" w:rsidRPr="00610B1B">
        <w:rPr>
          <w:rFonts w:ascii="Times New Roman" w:hAnsi="Times New Roman" w:cs="Times New Roman"/>
          <w:sz w:val="24"/>
          <w:szCs w:val="24"/>
          <w:lang w:val="bg-BG"/>
        </w:rPr>
        <w:t>, в допълнение на ЗМПВВППРБ</w:t>
      </w:r>
      <w:r w:rsidRPr="00610B1B">
        <w:rPr>
          <w:rFonts w:ascii="Times New Roman" w:hAnsi="Times New Roman" w:cs="Times New Roman"/>
          <w:sz w:val="24"/>
          <w:szCs w:val="24"/>
          <w:lang w:val="bg-BG"/>
        </w:rPr>
        <w:t>,</w:t>
      </w:r>
      <w:r w:rsidR="00356FA4" w:rsidRPr="00610B1B">
        <w:rPr>
          <w:rFonts w:ascii="Times New Roman" w:hAnsi="Times New Roman" w:cs="Times New Roman"/>
          <w:sz w:val="24"/>
          <w:szCs w:val="24"/>
          <w:lang w:val="bg-BG"/>
        </w:rPr>
        <w:t xml:space="preserve"> действат поредица от подзаконови актове, които касаят дейността на пристанищата и морския трафик – за проектиране, изграждане, оборудване, регистриране и експлоатиране на пристанищата, за контрола на движението през тях с всички дейности по посещението, маневрирането и престоя, със сигурността,</w:t>
      </w:r>
      <w:r w:rsidR="00356FA4" w:rsidRPr="00610B1B">
        <w:rPr>
          <w:rFonts w:ascii="Times New Roman" w:hAnsi="Times New Roman" w:cs="Times New Roman"/>
          <w:lang w:val="bg-BG"/>
        </w:rPr>
        <w:t xml:space="preserve"> </w:t>
      </w:r>
      <w:r w:rsidR="00356FA4" w:rsidRPr="00610B1B">
        <w:rPr>
          <w:rFonts w:ascii="Times New Roman" w:hAnsi="Times New Roman" w:cs="Times New Roman"/>
          <w:sz w:val="24"/>
          <w:szCs w:val="24"/>
          <w:lang w:val="bg-BG"/>
        </w:rPr>
        <w:t>докладването и управление на трафика, информационното обслужване на корабоплаването в морските пространства на Република България.</w:t>
      </w:r>
      <w:r w:rsidR="00764A7C" w:rsidRPr="00610B1B">
        <w:rPr>
          <w:rFonts w:ascii="Times New Roman" w:hAnsi="Times New Roman" w:cs="Times New Roman"/>
          <w:sz w:val="24"/>
          <w:szCs w:val="24"/>
          <w:lang w:val="bg-BG"/>
        </w:rPr>
        <w:t xml:space="preserve"> </w:t>
      </w:r>
    </w:p>
    <w:p w14:paraId="0F855A14" w14:textId="77777777" w:rsidR="000917AA" w:rsidRPr="00610B1B" w:rsidRDefault="000917AA" w:rsidP="00D32D6A">
      <w:pPr>
        <w:spacing w:after="120"/>
        <w:ind w:right="-153"/>
        <w:jc w:val="both"/>
        <w:rPr>
          <w:rFonts w:ascii="Times New Roman" w:hAnsi="Times New Roman" w:cs="Times New Roman"/>
          <w:sz w:val="24"/>
          <w:szCs w:val="24"/>
          <w:lang w:val="bg-BG"/>
        </w:rPr>
      </w:pPr>
    </w:p>
    <w:p w14:paraId="2068877A" w14:textId="7E3ED52E" w:rsidR="005A32CE" w:rsidRPr="00610B1B" w:rsidRDefault="00A02DDF" w:rsidP="00D32D6A">
      <w:pPr>
        <w:pStyle w:val="Heading3"/>
        <w:spacing w:before="0" w:line="276" w:lineRule="auto"/>
        <w:ind w:right="-153"/>
        <w:rPr>
          <w:rFonts w:cs="Times New Roman"/>
        </w:rPr>
      </w:pPr>
      <w:bookmarkStart w:id="322" w:name="_Toc83391373"/>
      <w:r w:rsidRPr="00610B1B">
        <w:rPr>
          <w:rFonts w:cs="Times New Roman"/>
        </w:rPr>
        <w:t xml:space="preserve">3.1.2. </w:t>
      </w:r>
      <w:r w:rsidR="005A32CE" w:rsidRPr="00610B1B">
        <w:rPr>
          <w:rFonts w:cs="Times New Roman"/>
        </w:rPr>
        <w:t>Въздействия на вътрешни и външни фактори</w:t>
      </w:r>
      <w:bookmarkEnd w:id="322"/>
    </w:p>
    <w:p w14:paraId="1A2EAB26" w14:textId="6821B6E1" w:rsidR="00E448CC" w:rsidRPr="00610B1B" w:rsidRDefault="00796C2C" w:rsidP="00D32D6A">
      <w:pPr>
        <w:spacing w:after="120"/>
        <w:ind w:left="-76" w:right="-153"/>
        <w:jc w:val="both"/>
        <w:rPr>
          <w:rFonts w:ascii="Times New Roman" w:hAnsi="Times New Roman" w:cs="Times New Roman"/>
          <w:sz w:val="24"/>
          <w:szCs w:val="24"/>
          <w:lang w:val="bg-BG"/>
        </w:rPr>
      </w:pPr>
      <w:r w:rsidRPr="00610B1B">
        <w:rPr>
          <w:rFonts w:ascii="Times New Roman" w:hAnsi="Times New Roman" w:cs="Times New Roman"/>
          <w:bCs/>
          <w:sz w:val="24"/>
          <w:szCs w:val="24"/>
          <w:lang w:val="bg-BG"/>
        </w:rPr>
        <w:t>Вътрешните и външните фактори</w:t>
      </w:r>
      <w:r w:rsidRPr="00610B1B">
        <w:rPr>
          <w:rFonts w:ascii="Times New Roman" w:hAnsi="Times New Roman" w:cs="Times New Roman"/>
          <w:sz w:val="24"/>
          <w:szCs w:val="24"/>
          <w:lang w:val="bg-BG"/>
        </w:rPr>
        <w:t>, които оказват влияние върху морския транспорт и неговото развитие са</w:t>
      </w:r>
      <w:r w:rsidR="00E448CC"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разгледани в контекста на</w:t>
      </w:r>
      <w:r w:rsidR="00E448CC" w:rsidRPr="00610B1B">
        <w:rPr>
          <w:rFonts w:ascii="Times New Roman" w:hAnsi="Times New Roman" w:cs="Times New Roman"/>
          <w:sz w:val="24"/>
          <w:szCs w:val="24"/>
          <w:lang w:val="bg-BG"/>
        </w:rPr>
        <w:t xml:space="preserve"> з</w:t>
      </w:r>
      <w:r w:rsidRPr="00610B1B">
        <w:rPr>
          <w:rFonts w:ascii="Times New Roman" w:hAnsi="Times New Roman" w:cs="Times New Roman"/>
          <w:sz w:val="24"/>
          <w:szCs w:val="24"/>
          <w:lang w:val="bg-BG"/>
        </w:rPr>
        <w:t xml:space="preserve">асилващата се тенденция </w:t>
      </w:r>
      <w:r w:rsidR="00E448CC"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преструктуриране на превозваните от морския транспорт стоки с големи обеми и с ниска стойност</w:t>
      </w:r>
      <w:r w:rsidR="00AE69E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към стоки с малки обеми, превозвани с автотранспорт и </w:t>
      </w:r>
      <w:r w:rsidR="00AB4C9E" w:rsidRPr="00610B1B">
        <w:rPr>
          <w:rFonts w:ascii="Times New Roman" w:hAnsi="Times New Roman" w:cs="Times New Roman"/>
          <w:sz w:val="24"/>
          <w:szCs w:val="24"/>
          <w:lang w:val="bg-BG"/>
        </w:rPr>
        <w:t>жп транспорт</w:t>
      </w:r>
      <w:r w:rsidR="00E448CC" w:rsidRPr="00610B1B">
        <w:rPr>
          <w:rFonts w:ascii="Times New Roman" w:hAnsi="Times New Roman" w:cs="Times New Roman"/>
          <w:sz w:val="24"/>
          <w:szCs w:val="24"/>
          <w:lang w:val="bg-BG"/>
        </w:rPr>
        <w:t>, п</w:t>
      </w:r>
      <w:r w:rsidRPr="00610B1B">
        <w:rPr>
          <w:rFonts w:ascii="Times New Roman" w:hAnsi="Times New Roman" w:cs="Times New Roman"/>
          <w:sz w:val="24"/>
          <w:szCs w:val="24"/>
          <w:lang w:val="bg-BG"/>
        </w:rPr>
        <w:t>реструктурирането на икономиката и закриването на някои производства, традиционно разчитащи на превоз</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на суровини и материали с морски </w:t>
      </w:r>
      <w:r w:rsidR="00E448CC" w:rsidRPr="00610B1B">
        <w:rPr>
          <w:rFonts w:ascii="Times New Roman" w:hAnsi="Times New Roman" w:cs="Times New Roman"/>
          <w:sz w:val="24"/>
          <w:szCs w:val="24"/>
          <w:lang w:val="bg-BG"/>
        </w:rPr>
        <w:t xml:space="preserve">транспорт. </w:t>
      </w:r>
    </w:p>
    <w:p w14:paraId="6F6D7249" w14:textId="77777777" w:rsidR="00F61AC9" w:rsidRPr="00D03DA8" w:rsidRDefault="00F61AC9" w:rsidP="00D03DA8">
      <w:pPr>
        <w:ind w:left="-76"/>
        <w:jc w:val="both"/>
        <w:rPr>
          <w:rFonts w:ascii="Times New Roman" w:hAnsi="Times New Roman" w:cs="Times New Roman"/>
          <w:sz w:val="24"/>
          <w:szCs w:val="24"/>
          <w:lang w:val="bg-BG"/>
        </w:rPr>
      </w:pPr>
      <w:r w:rsidRPr="00522682">
        <w:rPr>
          <w:rFonts w:ascii="Times New Roman" w:hAnsi="Times New Roman" w:cs="Times New Roman"/>
          <w:sz w:val="24"/>
          <w:szCs w:val="24"/>
          <w:lang w:val="bg-BG"/>
        </w:rPr>
        <w:t xml:space="preserve">Спазването на изискванията за опазване на околната среда и налагането на по-строги мерки в областта на морския транспорт допринасят във висока степен за опазване чистотата на морските води, въздуха, намаляване и оползотворяване на отпадъците, внасяне на чужди организми чрез корабните баластни води, адаптиране към измененията на климата и ефективно използване на ресурсите. На 8 септември 2017 г. влиза в сила „Международна Конвенция за контрол и управление на корабните баластни води и седименти“. </w:t>
      </w:r>
      <w:r w:rsidRPr="00D03DA8">
        <w:rPr>
          <w:rFonts w:ascii="Times New Roman" w:hAnsi="Times New Roman" w:cs="Times New Roman"/>
          <w:sz w:val="24"/>
          <w:szCs w:val="24"/>
          <w:lang w:val="bg-BG"/>
        </w:rPr>
        <w:t xml:space="preserve">Конвенцията е ратифицирана в България и влиза в сила на 30 юли 2018 г. </w:t>
      </w:r>
      <w:r w:rsidRPr="00D03DA8">
        <w:rPr>
          <w:rFonts w:ascii="Times New Roman" w:hAnsi="Times New Roman" w:cs="Times New Roman"/>
          <w:sz w:val="24"/>
          <w:szCs w:val="24"/>
          <w:lang w:val="bg-BG"/>
        </w:rPr>
        <w:lastRenderedPageBreak/>
        <w:t>Изискванията на конвенцията включват мерки, целящи предотвратяване, намаляване и контролиране на замърсяването на морската околна среда, вследствие внасянето на вредни водни организми и патогенни микроорганизми, именно чрез корабните баластни води.</w:t>
      </w:r>
    </w:p>
    <w:p w14:paraId="2A36532A" w14:textId="54C64956" w:rsidR="00F61AC9" w:rsidRPr="00610B1B" w:rsidRDefault="00F61AC9" w:rsidP="00F61AC9">
      <w:pPr>
        <w:spacing w:after="120"/>
        <w:ind w:left="-76" w:right="-153"/>
        <w:jc w:val="both"/>
        <w:rPr>
          <w:rFonts w:ascii="Times New Roman" w:hAnsi="Times New Roman" w:cs="Times New Roman"/>
          <w:sz w:val="24"/>
          <w:szCs w:val="24"/>
          <w:lang w:val="bg-BG"/>
        </w:rPr>
      </w:pPr>
      <w:r w:rsidRPr="00D82608">
        <w:rPr>
          <w:rFonts w:ascii="Times New Roman" w:hAnsi="Times New Roman" w:cs="Times New Roman"/>
          <w:sz w:val="24"/>
          <w:szCs w:val="24"/>
          <w:lang w:val="bg-BG"/>
        </w:rPr>
        <w:t xml:space="preserve">Анекс </w:t>
      </w:r>
      <w:r w:rsidRPr="006E7D33">
        <w:rPr>
          <w:rFonts w:ascii="Times New Roman" w:hAnsi="Times New Roman" w:cs="Times New Roman"/>
          <w:sz w:val="24"/>
          <w:szCs w:val="24"/>
          <w:lang w:val="bg-BG"/>
        </w:rPr>
        <w:t>V</w:t>
      </w:r>
      <w:r w:rsidRPr="00D82608">
        <w:rPr>
          <w:rFonts w:ascii="Times New Roman" w:hAnsi="Times New Roman" w:cs="Times New Roman"/>
          <w:sz w:val="24"/>
          <w:szCs w:val="24"/>
          <w:lang w:val="bg-BG"/>
        </w:rPr>
        <w:t xml:space="preserve"> на Международната Конвенция за опазване на морето от замърсяване ( </w:t>
      </w:r>
      <w:r w:rsidRPr="006E7D33">
        <w:rPr>
          <w:rFonts w:ascii="Times New Roman" w:hAnsi="Times New Roman" w:cs="Times New Roman"/>
          <w:sz w:val="24"/>
          <w:szCs w:val="24"/>
          <w:lang w:val="bg-BG"/>
        </w:rPr>
        <w:t>MARPOL 73/78</w:t>
      </w:r>
      <w:r w:rsidRPr="00D82608">
        <w:rPr>
          <w:rFonts w:ascii="Times New Roman" w:hAnsi="Times New Roman" w:cs="Times New Roman"/>
          <w:sz w:val="24"/>
          <w:szCs w:val="24"/>
          <w:lang w:val="bg-BG"/>
        </w:rPr>
        <w:t>),</w:t>
      </w:r>
      <w:r w:rsidRPr="006E7D33">
        <w:rPr>
          <w:rFonts w:ascii="Times New Roman" w:hAnsi="Times New Roman" w:cs="Times New Roman"/>
          <w:sz w:val="24"/>
          <w:szCs w:val="24"/>
          <w:lang w:val="bg-BG"/>
        </w:rPr>
        <w:t xml:space="preserve"> </w:t>
      </w:r>
      <w:r w:rsidRPr="00D82608">
        <w:rPr>
          <w:rFonts w:ascii="Times New Roman" w:hAnsi="Times New Roman" w:cs="Times New Roman"/>
          <w:sz w:val="24"/>
          <w:szCs w:val="24"/>
          <w:lang w:val="bg-BG"/>
        </w:rPr>
        <w:t xml:space="preserve">въвежда правила за ограничаване на замърсяването с корабни отпадъци в морските води. По смисъла на този Анекс, Черно море е определено като „особен район“, нуждаещ се от приоритетна защита, в който следва да се прилагат много по-строги ограничения по отношение изхвърлянето на отпадъци от кораби. По отношение  Анекс </w:t>
      </w:r>
      <w:r w:rsidRPr="006E7D33">
        <w:rPr>
          <w:rFonts w:ascii="Times New Roman" w:hAnsi="Times New Roman" w:cs="Times New Roman"/>
          <w:sz w:val="24"/>
          <w:szCs w:val="24"/>
          <w:lang w:val="bg-BG"/>
        </w:rPr>
        <w:t>VI</w:t>
      </w:r>
      <w:r w:rsidRPr="00D82608">
        <w:rPr>
          <w:rFonts w:ascii="Times New Roman" w:hAnsi="Times New Roman" w:cs="Times New Roman"/>
          <w:sz w:val="24"/>
          <w:szCs w:val="24"/>
          <w:lang w:val="bg-BG"/>
        </w:rPr>
        <w:t xml:space="preserve"> на Международната Конвенция за опазване на морето от замърсяване (</w:t>
      </w:r>
      <w:r w:rsidRPr="006E7D33">
        <w:rPr>
          <w:rFonts w:ascii="Times New Roman" w:hAnsi="Times New Roman" w:cs="Times New Roman"/>
          <w:sz w:val="24"/>
          <w:szCs w:val="24"/>
          <w:lang w:val="bg-BG"/>
        </w:rPr>
        <w:t>MARPOL 73/78</w:t>
      </w:r>
      <w:r w:rsidRPr="00D82608">
        <w:rPr>
          <w:rFonts w:ascii="Times New Roman" w:hAnsi="Times New Roman" w:cs="Times New Roman"/>
          <w:sz w:val="24"/>
          <w:szCs w:val="24"/>
          <w:lang w:val="bg-BG"/>
        </w:rPr>
        <w:t xml:space="preserve">), от 1 ноември 2022 г. влиза изцяло ревизиран Анекс </w:t>
      </w:r>
      <w:r w:rsidRPr="006E7D33">
        <w:rPr>
          <w:rFonts w:ascii="Times New Roman" w:hAnsi="Times New Roman" w:cs="Times New Roman"/>
          <w:sz w:val="24"/>
          <w:szCs w:val="24"/>
          <w:lang w:val="bg-BG"/>
        </w:rPr>
        <w:t>VI</w:t>
      </w:r>
      <w:r w:rsidRPr="00D82608">
        <w:rPr>
          <w:rFonts w:ascii="Times New Roman" w:hAnsi="Times New Roman" w:cs="Times New Roman"/>
          <w:sz w:val="24"/>
          <w:szCs w:val="24"/>
          <w:lang w:val="bg-BG"/>
        </w:rPr>
        <w:t xml:space="preserve"> „Правила за предотвратяване замърсяването на въздуха от кораби“ на Международната Конвенция за опазване на морето от замърсяване ( </w:t>
      </w:r>
      <w:r w:rsidRPr="006E7D33">
        <w:rPr>
          <w:rFonts w:ascii="Times New Roman" w:hAnsi="Times New Roman" w:cs="Times New Roman"/>
          <w:sz w:val="24"/>
          <w:szCs w:val="24"/>
          <w:lang w:val="bg-BG"/>
        </w:rPr>
        <w:t>MARPOL 73/78</w:t>
      </w:r>
      <w:r w:rsidRPr="00D82608">
        <w:rPr>
          <w:rFonts w:ascii="Times New Roman" w:hAnsi="Times New Roman" w:cs="Times New Roman"/>
          <w:sz w:val="24"/>
          <w:szCs w:val="24"/>
          <w:lang w:val="bg-BG"/>
        </w:rPr>
        <w:t>), приет с Резолюция МЕРС.328(76) на Комитета по опазване на морската среда на Международната морска организация (обн. ДВ бр.73 от 2022 г).</w:t>
      </w:r>
      <w:r w:rsidRPr="00D82608">
        <w:rPr>
          <w:color w:val="FF0000"/>
          <w:lang w:val="bg-BG"/>
        </w:rPr>
        <w:t xml:space="preserve">   </w:t>
      </w:r>
    </w:p>
    <w:p w14:paraId="393D3E8D" w14:textId="77777777" w:rsidR="00493FE8" w:rsidRPr="00610B1B" w:rsidRDefault="00E448CC" w:rsidP="00F61AC9">
      <w:pPr>
        <w:spacing w:after="120"/>
        <w:ind w:left="-76"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Допълнително въздействие върху развитие</w:t>
      </w:r>
      <w:r w:rsidR="00A90803"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на морския транспорт оказва и е</w:t>
      </w:r>
      <w:r w:rsidR="00796C2C" w:rsidRPr="00610B1B">
        <w:rPr>
          <w:rFonts w:ascii="Times New Roman" w:hAnsi="Times New Roman" w:cs="Times New Roman"/>
          <w:sz w:val="24"/>
          <w:szCs w:val="24"/>
          <w:lang w:val="bg-BG"/>
        </w:rPr>
        <w:t xml:space="preserve">кспанзията на </w:t>
      </w:r>
      <w:r w:rsidRPr="00610B1B">
        <w:rPr>
          <w:rFonts w:ascii="Times New Roman" w:hAnsi="Times New Roman" w:cs="Times New Roman"/>
          <w:sz w:val="24"/>
          <w:szCs w:val="24"/>
          <w:lang w:val="bg-BG"/>
        </w:rPr>
        <w:t xml:space="preserve">жп </w:t>
      </w:r>
      <w:r w:rsidR="00796C2C" w:rsidRPr="00610B1B">
        <w:rPr>
          <w:rFonts w:ascii="Times New Roman" w:hAnsi="Times New Roman" w:cs="Times New Roman"/>
          <w:sz w:val="24"/>
          <w:szCs w:val="24"/>
          <w:lang w:val="bg-BG"/>
        </w:rPr>
        <w:t>превозите от Далечния изток, по-специално от Китай за Европа по трасета, които не минават през България</w:t>
      </w:r>
      <w:r w:rsidRPr="00610B1B">
        <w:rPr>
          <w:rFonts w:ascii="Times New Roman" w:hAnsi="Times New Roman" w:cs="Times New Roman"/>
          <w:sz w:val="24"/>
          <w:szCs w:val="24"/>
          <w:lang w:val="bg-BG"/>
        </w:rPr>
        <w:t xml:space="preserve">. Това </w:t>
      </w:r>
      <w:r w:rsidR="00796C2C" w:rsidRPr="00610B1B">
        <w:rPr>
          <w:rFonts w:ascii="Times New Roman" w:hAnsi="Times New Roman" w:cs="Times New Roman"/>
          <w:sz w:val="24"/>
          <w:szCs w:val="24"/>
          <w:lang w:val="bg-BG"/>
        </w:rPr>
        <w:t>води до намаляване на транзитните стоки през българските пристанища, което влияе и върху обема на превозваните товари по море.</w:t>
      </w:r>
      <w:r w:rsidRPr="00610B1B">
        <w:rPr>
          <w:rFonts w:ascii="Times New Roman" w:hAnsi="Times New Roman" w:cs="Times New Roman"/>
          <w:sz w:val="24"/>
          <w:szCs w:val="24"/>
          <w:lang w:val="bg-BG"/>
        </w:rPr>
        <w:t xml:space="preserve"> </w:t>
      </w:r>
    </w:p>
    <w:p w14:paraId="7CDEC98D" w14:textId="64125C65" w:rsidR="00AB4C9E" w:rsidRPr="00610B1B" w:rsidRDefault="00796C2C" w:rsidP="00F61AC9">
      <w:pPr>
        <w:spacing w:after="120"/>
        <w:ind w:left="-76"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Вътрешните фактори в голяма степен зависят от поведението на различните участници в този сектор.</w:t>
      </w:r>
      <w:r w:rsidR="00493FE8"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Политиката на държавата следва да бъде насочена основно към създа</w:t>
      </w:r>
      <w:r w:rsidR="00A90803" w:rsidRPr="00610B1B">
        <w:rPr>
          <w:rFonts w:ascii="Times New Roman" w:hAnsi="Times New Roman" w:cs="Times New Roman"/>
          <w:sz w:val="24"/>
          <w:szCs w:val="24"/>
          <w:lang w:val="bg-BG"/>
        </w:rPr>
        <w:t>ване на</w:t>
      </w:r>
      <w:r w:rsidRPr="00610B1B">
        <w:rPr>
          <w:rFonts w:ascii="Times New Roman" w:hAnsi="Times New Roman" w:cs="Times New Roman"/>
          <w:sz w:val="24"/>
          <w:szCs w:val="24"/>
          <w:lang w:val="bg-BG"/>
        </w:rPr>
        <w:t xml:space="preserve"> подходяща законодателна и нормативна уредба, която да стимулира и създава конкурентна среда за развитието на морския транспорт, както и да упражнява съответния контрол.</w:t>
      </w:r>
    </w:p>
    <w:p w14:paraId="4F0D028F" w14:textId="50DAA5D0" w:rsidR="00AB4C9E" w:rsidRPr="00C717D0" w:rsidRDefault="00F87963" w:rsidP="00D32D6A">
      <w:pPr>
        <w:spacing w:after="120"/>
        <w:ind w:left="-72" w:right="-153"/>
        <w:jc w:val="both"/>
        <w:rPr>
          <w:rFonts w:ascii="Times New Roman" w:hAnsi="Times New Roman" w:cs="Times New Roman"/>
          <w:strike/>
          <w:sz w:val="24"/>
          <w:szCs w:val="24"/>
          <w:lang w:val="bg-BG"/>
        </w:rPr>
      </w:pPr>
      <w:r w:rsidRPr="00610B1B">
        <w:rPr>
          <w:rFonts w:ascii="Times New Roman" w:hAnsi="Times New Roman" w:cs="Times New Roman"/>
          <w:sz w:val="24"/>
          <w:szCs w:val="24"/>
          <w:lang w:val="bg-BG"/>
        </w:rPr>
        <w:t xml:space="preserve">Държавната политика в областта на транспорта се провежда от </w:t>
      </w:r>
      <w:r w:rsidR="00796C2C" w:rsidRPr="00610B1B">
        <w:rPr>
          <w:rFonts w:ascii="Times New Roman" w:hAnsi="Times New Roman" w:cs="Times New Roman"/>
          <w:sz w:val="24"/>
          <w:szCs w:val="24"/>
          <w:lang w:val="bg-BG"/>
        </w:rPr>
        <w:t>Министър</w:t>
      </w:r>
      <w:r w:rsidRPr="00610B1B">
        <w:rPr>
          <w:rFonts w:ascii="Times New Roman" w:hAnsi="Times New Roman" w:cs="Times New Roman"/>
          <w:sz w:val="24"/>
          <w:szCs w:val="24"/>
          <w:lang w:val="bg-BG"/>
        </w:rPr>
        <w:t>а</w:t>
      </w:r>
      <w:r w:rsidR="00796C2C" w:rsidRPr="00610B1B">
        <w:rPr>
          <w:rFonts w:ascii="Times New Roman" w:hAnsi="Times New Roman" w:cs="Times New Roman"/>
          <w:sz w:val="24"/>
          <w:szCs w:val="24"/>
          <w:lang w:val="bg-BG"/>
        </w:rPr>
        <w:t xml:space="preserve"> на транспорта и съобщенията, </w:t>
      </w:r>
      <w:r w:rsidRPr="00610B1B">
        <w:rPr>
          <w:rFonts w:ascii="Times New Roman" w:hAnsi="Times New Roman" w:cs="Times New Roman"/>
          <w:sz w:val="24"/>
          <w:szCs w:val="24"/>
          <w:lang w:val="bg-BG"/>
        </w:rPr>
        <w:t xml:space="preserve">който съгласно </w:t>
      </w:r>
      <w:r w:rsidR="00796C2C" w:rsidRPr="00610B1B">
        <w:rPr>
          <w:rFonts w:ascii="Times New Roman" w:hAnsi="Times New Roman" w:cs="Times New Roman"/>
          <w:sz w:val="24"/>
          <w:lang w:val="bg-BG"/>
        </w:rPr>
        <w:t xml:space="preserve">чл. 92, ал. 3 от ЗМПВВППРБ осигурява контрол върху всички пристанища, с изключение на военните. </w:t>
      </w:r>
      <w:r w:rsidR="00796C2C" w:rsidRPr="00610B1B">
        <w:rPr>
          <w:rFonts w:ascii="Times New Roman" w:hAnsi="Times New Roman" w:cs="Times New Roman"/>
          <w:sz w:val="24"/>
          <w:szCs w:val="24"/>
          <w:lang w:val="bg-BG"/>
        </w:rPr>
        <w:t>Към Министерството на транспорта и съобщенията са създадени и функционират изпълнителни агенции</w:t>
      </w:r>
      <w:r w:rsidR="00DF653E">
        <w:rPr>
          <w:rFonts w:ascii="Times New Roman" w:hAnsi="Times New Roman" w:cs="Times New Roman"/>
          <w:sz w:val="24"/>
          <w:szCs w:val="24"/>
          <w:lang w:val="bg-BG"/>
        </w:rPr>
        <w:t>.</w:t>
      </w:r>
      <w:r w:rsidR="00796C2C" w:rsidRPr="00610B1B">
        <w:rPr>
          <w:rFonts w:ascii="Times New Roman" w:hAnsi="Times New Roman" w:cs="Times New Roman"/>
          <w:sz w:val="24"/>
          <w:szCs w:val="24"/>
          <w:lang w:val="bg-BG"/>
        </w:rPr>
        <w:t xml:space="preserve"> </w:t>
      </w:r>
      <w:bookmarkStart w:id="323" w:name="_Toc28012947"/>
    </w:p>
    <w:p w14:paraId="58F526A5" w14:textId="578B8E5B" w:rsidR="003B538F" w:rsidRPr="00610B1B" w:rsidRDefault="00796C2C" w:rsidP="00D32D6A">
      <w:pPr>
        <w:spacing w:after="120"/>
        <w:ind w:left="-72" w:right="-153"/>
        <w:jc w:val="both"/>
        <w:rPr>
          <w:rFonts w:ascii="Times New Roman" w:hAnsi="Times New Roman" w:cs="Times New Roman"/>
          <w:sz w:val="28"/>
          <w:szCs w:val="28"/>
          <w:lang w:val="bg-BG"/>
        </w:rPr>
      </w:pPr>
      <w:r w:rsidRPr="00610B1B">
        <w:rPr>
          <w:rFonts w:ascii="Times New Roman" w:eastAsiaTheme="majorEastAsia" w:hAnsi="Times New Roman" w:cs="Times New Roman"/>
          <w:i/>
          <w:iCs/>
          <w:color w:val="000000" w:themeColor="text1"/>
          <w:sz w:val="24"/>
          <w:szCs w:val="24"/>
          <w:lang w:val="bg-BG"/>
        </w:rPr>
        <w:t>Изпълнителна агенция „Морска администрация</w:t>
      </w:r>
      <w:r w:rsidRPr="00610B1B">
        <w:rPr>
          <w:rFonts w:ascii="Times New Roman" w:eastAsiaTheme="majorEastAsia" w:hAnsi="Times New Roman" w:cs="Times New Roman"/>
          <w:color w:val="000000" w:themeColor="text1"/>
          <w:sz w:val="24"/>
          <w:szCs w:val="24"/>
          <w:lang w:val="bg-BG"/>
        </w:rPr>
        <w:t>” (ИАМА</w:t>
      </w:r>
      <w:r w:rsidR="00AB4C9E" w:rsidRPr="00610B1B">
        <w:rPr>
          <w:rFonts w:ascii="Times New Roman" w:eastAsiaTheme="majorEastAsia" w:hAnsi="Times New Roman" w:cs="Times New Roman"/>
          <w:color w:val="000000" w:themeColor="text1"/>
          <w:sz w:val="24"/>
          <w:szCs w:val="24"/>
          <w:lang w:val="bg-BG"/>
        </w:rPr>
        <w:t>)</w:t>
      </w:r>
      <w:r w:rsidRPr="00610B1B">
        <w:rPr>
          <w:rStyle w:val="FootnoteReference"/>
          <w:rFonts w:ascii="Times New Roman" w:eastAsiaTheme="majorEastAsia" w:hAnsi="Times New Roman" w:cs="Times New Roman"/>
          <w:color w:val="000000" w:themeColor="text1"/>
          <w:sz w:val="24"/>
          <w:szCs w:val="24"/>
          <w:lang w:val="bg-BG"/>
        </w:rPr>
        <w:footnoteReference w:id="110"/>
      </w:r>
      <w:bookmarkEnd w:id="323"/>
      <w:r w:rsidRPr="00610B1B">
        <w:rPr>
          <w:rFonts w:ascii="Times New Roman" w:eastAsiaTheme="majorEastAsia" w:hAnsi="Times New Roman" w:cs="Times New Roman"/>
          <w:color w:val="000000" w:themeColor="text1"/>
          <w:sz w:val="24"/>
          <w:szCs w:val="24"/>
          <w:lang w:val="bg-BG"/>
        </w:rPr>
        <w:t xml:space="preserve"> </w:t>
      </w:r>
      <w:r w:rsidRPr="00610B1B">
        <w:rPr>
          <w:rFonts w:ascii="Times New Roman" w:eastAsia="Times New Roman" w:hAnsi="Times New Roman" w:cs="Times New Roman"/>
          <w:sz w:val="24"/>
          <w:szCs w:val="24"/>
          <w:lang w:val="bg-BG" w:eastAsia="bg-BG"/>
        </w:rPr>
        <w:t>организира и координира дейности по безопасност на корабоплаването в морските пространства и във вътрешните водни пътища на Република България;</w:t>
      </w:r>
      <w:r w:rsidR="00AB4C9E"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осигурява реалната връзка между държавата и корабите, плаващи под българско знаме</w:t>
      </w:r>
      <w:r w:rsidR="00AB4C9E" w:rsidRPr="00610B1B">
        <w:rPr>
          <w:rFonts w:ascii="Times New Roman" w:eastAsia="Times New Roman" w:hAnsi="Times New Roman" w:cs="Times New Roman"/>
          <w:sz w:val="24"/>
          <w:szCs w:val="24"/>
          <w:lang w:val="bg-BG" w:eastAsia="bg-BG"/>
        </w:rPr>
        <w:t xml:space="preserve"> и </w:t>
      </w:r>
      <w:r w:rsidRPr="00610B1B">
        <w:rPr>
          <w:rFonts w:ascii="Times New Roman" w:eastAsia="Times New Roman" w:hAnsi="Times New Roman" w:cs="Times New Roman"/>
          <w:sz w:val="24"/>
          <w:szCs w:val="24"/>
          <w:lang w:val="bg-BG" w:eastAsia="bg-BG"/>
        </w:rPr>
        <w:t>упражнява контрол</w:t>
      </w:r>
      <w:r w:rsidR="00AB4C9E" w:rsidRPr="00610B1B">
        <w:rPr>
          <w:rFonts w:ascii="Times New Roman" w:eastAsia="Times New Roman" w:hAnsi="Times New Roman" w:cs="Times New Roman"/>
          <w:sz w:val="24"/>
          <w:szCs w:val="24"/>
          <w:lang w:val="bg-BG" w:eastAsia="bg-BG"/>
        </w:rPr>
        <w:t>, съгласно предписанията на закона.</w:t>
      </w:r>
      <w:r w:rsidR="00D66FE0" w:rsidRPr="00610B1B">
        <w:rPr>
          <w:rFonts w:ascii="Times New Roman" w:eastAsia="Times New Roman" w:hAnsi="Times New Roman" w:cs="Times New Roman"/>
          <w:sz w:val="24"/>
          <w:szCs w:val="24"/>
          <w:lang w:val="bg-BG" w:eastAsia="bg-BG"/>
        </w:rPr>
        <w:t xml:space="preserve"> </w:t>
      </w:r>
      <w:r w:rsidR="003B538F" w:rsidRPr="00610B1B">
        <w:rPr>
          <w:rFonts w:ascii="Times New Roman" w:eastAsia="Times New Roman" w:hAnsi="Times New Roman" w:cs="Times New Roman"/>
          <w:sz w:val="24"/>
          <w:szCs w:val="24"/>
          <w:lang w:val="bg-BG" w:eastAsia="bg-BG"/>
        </w:rPr>
        <w:t xml:space="preserve">ИАМА организира и координира търсенето и спасяването на бедстващи хора, кораби и самолети, упражнява контрол върху опазването на морската среда от замърсяване от кораби и </w:t>
      </w:r>
      <w:r w:rsidRPr="00610B1B">
        <w:rPr>
          <w:rFonts w:ascii="Times New Roman" w:eastAsia="Times New Roman" w:hAnsi="Times New Roman" w:cs="Times New Roman"/>
          <w:sz w:val="24"/>
          <w:szCs w:val="24"/>
          <w:lang w:val="bg-BG" w:eastAsia="bg-BG"/>
        </w:rPr>
        <w:t>води регистри на корабите, морските лица, пристанищата и пристанищните оператори</w:t>
      </w:r>
      <w:r w:rsidR="00F87963" w:rsidRPr="00610B1B">
        <w:rPr>
          <w:rFonts w:ascii="Times New Roman" w:eastAsia="Times New Roman" w:hAnsi="Times New Roman" w:cs="Times New Roman"/>
          <w:sz w:val="24"/>
          <w:szCs w:val="24"/>
          <w:lang w:val="bg-BG" w:eastAsia="bg-BG"/>
        </w:rPr>
        <w:t xml:space="preserve">. </w:t>
      </w:r>
      <w:bookmarkStart w:id="324" w:name="_Toc28012948"/>
    </w:p>
    <w:p w14:paraId="012A897F" w14:textId="3CAF1B83" w:rsidR="00D34C79" w:rsidRPr="00610B1B" w:rsidRDefault="00796C2C" w:rsidP="00D32D6A">
      <w:pPr>
        <w:spacing w:after="120"/>
        <w:ind w:left="-72" w:right="-153"/>
        <w:jc w:val="both"/>
        <w:rPr>
          <w:rFonts w:ascii="Times New Roman" w:eastAsia="Times New Roman" w:hAnsi="Times New Roman" w:cs="Times New Roman"/>
          <w:sz w:val="24"/>
          <w:szCs w:val="24"/>
          <w:lang w:val="bg-BG" w:eastAsia="bg-BG"/>
        </w:rPr>
      </w:pPr>
      <w:r w:rsidRPr="00610B1B">
        <w:rPr>
          <w:rFonts w:ascii="Times New Roman" w:eastAsiaTheme="majorEastAsia" w:hAnsi="Times New Roman" w:cs="Times New Roman"/>
          <w:i/>
          <w:iCs/>
          <w:sz w:val="24"/>
          <w:szCs w:val="24"/>
          <w:lang w:val="bg-BG"/>
        </w:rPr>
        <w:t>Държавно предприятие „Пристанищна инфраструктура</w:t>
      </w:r>
      <w:r w:rsidRPr="00610B1B">
        <w:rPr>
          <w:rFonts w:ascii="Times New Roman" w:eastAsiaTheme="majorEastAsia" w:hAnsi="Times New Roman" w:cs="Times New Roman"/>
          <w:sz w:val="24"/>
          <w:szCs w:val="24"/>
          <w:lang w:val="bg-BG"/>
        </w:rPr>
        <w:t>” (ДППИ</w:t>
      </w:r>
      <w:r w:rsidR="003B538F" w:rsidRPr="00610B1B">
        <w:rPr>
          <w:rFonts w:ascii="Times New Roman" w:eastAsiaTheme="majorEastAsia" w:hAnsi="Times New Roman" w:cs="Times New Roman"/>
          <w:sz w:val="24"/>
          <w:szCs w:val="24"/>
          <w:lang w:val="bg-BG"/>
        </w:rPr>
        <w:t>)</w:t>
      </w:r>
      <w:r w:rsidRPr="00610B1B">
        <w:rPr>
          <w:rStyle w:val="FootnoteReference"/>
          <w:rFonts w:ascii="Times New Roman" w:eastAsiaTheme="majorEastAsia" w:hAnsi="Times New Roman" w:cs="Times New Roman"/>
          <w:sz w:val="24"/>
          <w:szCs w:val="24"/>
          <w:lang w:val="bg-BG"/>
        </w:rPr>
        <w:footnoteReference w:id="111"/>
      </w:r>
      <w:bookmarkEnd w:id="324"/>
      <w:r w:rsidR="00D34C79" w:rsidRPr="00610B1B">
        <w:rPr>
          <w:rFonts w:ascii="Times New Roman" w:eastAsiaTheme="majorEastAsia" w:hAnsi="Times New Roman" w:cs="Times New Roman"/>
          <w:sz w:val="24"/>
          <w:szCs w:val="24"/>
          <w:lang w:val="bg-BG"/>
        </w:rPr>
        <w:t xml:space="preserve"> </w:t>
      </w:r>
      <w:r w:rsidR="00D136B9" w:rsidRPr="00610B1B">
        <w:rPr>
          <w:rFonts w:ascii="Times New Roman" w:eastAsiaTheme="majorEastAsia" w:hAnsi="Times New Roman" w:cs="Times New Roman"/>
          <w:sz w:val="24"/>
          <w:szCs w:val="24"/>
          <w:lang w:val="bg-BG"/>
        </w:rPr>
        <w:t xml:space="preserve">е Управителен орган на пристанищата по чл.106а от ЗМПВВППРБ. Основните му дейности са свързани с: управление на пристанищната инфраструктура и развитие на морските и речните пристанища; предоставяне на услуги, чрез Световна морска система за бедствия и </w:t>
      </w:r>
      <w:r w:rsidR="00D136B9" w:rsidRPr="00610B1B">
        <w:rPr>
          <w:rFonts w:ascii="Times New Roman" w:eastAsiaTheme="majorEastAsia" w:hAnsi="Times New Roman" w:cs="Times New Roman"/>
          <w:sz w:val="24"/>
          <w:szCs w:val="24"/>
          <w:lang w:val="bg-BG"/>
        </w:rPr>
        <w:lastRenderedPageBreak/>
        <w:t xml:space="preserve">безопасност; обезпечаване на спасителни и неотложни аварийно-възстановителни работи; предоставяне на далекосъобщителни услуги кораб-бряг и бряг-кораб, на услуги по управление на трафика и информационно обслужване на корабоплаването и предоставяне на речни информационни услуги на корабния трафик. ДППИ предоставя хидрометеорологична </w:t>
      </w:r>
      <w:r w:rsidR="00D136B9" w:rsidRPr="00BB2476">
        <w:rPr>
          <w:rFonts w:ascii="Times New Roman" w:eastAsiaTheme="majorEastAsia" w:hAnsi="Times New Roman" w:cs="Times New Roman"/>
          <w:sz w:val="24"/>
          <w:szCs w:val="24"/>
          <w:lang w:val="bg-BG"/>
        </w:rPr>
        <w:t>информация,</w:t>
      </w:r>
      <w:r w:rsidR="00DF653E" w:rsidRPr="00BB2476">
        <w:rPr>
          <w:rFonts w:ascii="Times New Roman" w:eastAsiaTheme="majorEastAsia" w:hAnsi="Times New Roman" w:cs="Times New Roman"/>
          <w:sz w:val="24"/>
          <w:szCs w:val="24"/>
          <w:lang w:val="bg-BG"/>
        </w:rPr>
        <w:t xml:space="preserve"> отговаряща за предоставянето на</w:t>
      </w:r>
      <w:r w:rsidR="00D136B9" w:rsidRPr="00BB2476">
        <w:rPr>
          <w:rFonts w:ascii="Times New Roman" w:eastAsiaTheme="majorEastAsia" w:hAnsi="Times New Roman" w:cs="Times New Roman"/>
          <w:sz w:val="24"/>
          <w:szCs w:val="24"/>
          <w:lang w:val="bg-BG"/>
        </w:rPr>
        <w:t xml:space="preserve"> </w:t>
      </w:r>
      <w:r w:rsidR="00D136B9" w:rsidRPr="00610B1B">
        <w:rPr>
          <w:rFonts w:ascii="Times New Roman" w:eastAsiaTheme="majorEastAsia" w:hAnsi="Times New Roman" w:cs="Times New Roman"/>
          <w:sz w:val="24"/>
          <w:szCs w:val="24"/>
          <w:lang w:val="bg-BG"/>
        </w:rPr>
        <w:t>пристанищни услуги и извършва съпътстващи дейности по чл.116а от ЗМПВВППРБ.</w:t>
      </w:r>
    </w:p>
    <w:p w14:paraId="03B63F61" w14:textId="3C26F3BE" w:rsidR="007927C6" w:rsidRPr="00610B1B" w:rsidRDefault="00971BB5" w:rsidP="007927C6">
      <w:pPr>
        <w:spacing w:after="120"/>
        <w:ind w:left="-72" w:right="-153"/>
        <w:jc w:val="both"/>
        <w:rPr>
          <w:rFonts w:ascii="Times New Roman" w:hAnsi="Times New Roman" w:cs="Times New Roman"/>
          <w:sz w:val="24"/>
          <w:lang w:val="bg-BG"/>
        </w:rPr>
      </w:pPr>
      <w:r w:rsidRPr="00610B1B">
        <w:rPr>
          <w:rFonts w:ascii="Times New Roman" w:hAnsi="Times New Roman" w:cs="Times New Roman"/>
          <w:sz w:val="24"/>
          <w:lang w:val="bg-BG"/>
        </w:rPr>
        <w:t xml:space="preserve">Морските общини Поморие, Царево и Ахтопол са собственици на пристанища за обществен транспорт, а други общини са собственици на рибарски и яхтени пристанища, които се управляват от тях. </w:t>
      </w:r>
      <w:r w:rsidR="007927C6" w:rsidRPr="00610B1B">
        <w:rPr>
          <w:rFonts w:ascii="Times New Roman" w:hAnsi="Times New Roman" w:cs="Times New Roman"/>
          <w:sz w:val="24"/>
          <w:lang w:val="bg-BG"/>
        </w:rPr>
        <w:t xml:space="preserve">За разлика от тях, морските общини Варна и Бургас нямат собственост и нямат пряко отношение към управлението на морските пристанища и прилежащите им терминали за обществен транспорт, в които се извършват товарно-разтоварни операции на различни по тип товари. В същото време, те възлагат изработването и съгласуват общите устройствени планове, подробни устройствени планове, проекти за брегоукрепителни и брегозащитни дейности, съгласуват разрешителните за строеж на територията на пристанищата. За разлика от България, разпространена практика в Европа е, морските общини да имат пряко участие в управлението на пристанищата, в които те имат собственост, което им дава възможност за по-добро планиране на развитието на пристанищните градове. Участието на общините би повишило контрола по опазването на морската околна среда и би спомогнало за по-добрия контрол на пристанищните дейности. Те биха могли да подпомогнат значително отварянето на пристанищата и превръщането им в зони за отдих и развлечение. Не на последно място, участието на общините в управлението на пристанищата значително би повишило приходите им. </w:t>
      </w:r>
    </w:p>
    <w:p w14:paraId="3925DC8C" w14:textId="457E0BDB" w:rsidR="00D34C79" w:rsidRPr="00610B1B" w:rsidRDefault="00D34C79" w:rsidP="00D32D6A">
      <w:pPr>
        <w:spacing w:after="120"/>
        <w:ind w:left="-72" w:right="-153"/>
        <w:jc w:val="both"/>
        <w:rPr>
          <w:rFonts w:ascii="Times New Roman" w:hAnsi="Times New Roman" w:cs="Times New Roman"/>
          <w:sz w:val="24"/>
          <w:lang w:val="bg-BG"/>
        </w:rPr>
      </w:pPr>
      <w:r w:rsidRPr="00610B1B">
        <w:rPr>
          <w:rFonts w:ascii="Times New Roman" w:hAnsi="Times New Roman" w:cs="Times New Roman"/>
          <w:sz w:val="24"/>
          <w:lang w:val="bg-BG"/>
        </w:rPr>
        <w:t xml:space="preserve">Сред </w:t>
      </w:r>
      <w:r w:rsidRPr="00610B1B">
        <w:rPr>
          <w:rFonts w:ascii="Times New Roman" w:hAnsi="Times New Roman" w:cs="Times New Roman"/>
          <w:i/>
          <w:iCs/>
          <w:sz w:val="24"/>
          <w:lang w:val="bg-BG"/>
        </w:rPr>
        <w:t>външните фактори</w:t>
      </w:r>
      <w:r w:rsidRPr="00610B1B">
        <w:rPr>
          <w:rFonts w:ascii="Times New Roman" w:hAnsi="Times New Roman" w:cs="Times New Roman"/>
          <w:sz w:val="24"/>
          <w:lang w:val="bg-BG"/>
        </w:rPr>
        <w:t xml:space="preserve"> от значение </w:t>
      </w:r>
      <w:r w:rsidR="00F87963" w:rsidRPr="00610B1B">
        <w:rPr>
          <w:rFonts w:ascii="Times New Roman" w:hAnsi="Times New Roman" w:cs="Times New Roman"/>
          <w:sz w:val="24"/>
          <w:lang w:val="bg-BG"/>
        </w:rPr>
        <w:t>за</w:t>
      </w:r>
      <w:r w:rsidRPr="00610B1B">
        <w:rPr>
          <w:rFonts w:ascii="Times New Roman" w:hAnsi="Times New Roman" w:cs="Times New Roman"/>
          <w:sz w:val="24"/>
          <w:lang w:val="bg-BG"/>
        </w:rPr>
        <w:t xml:space="preserve"> развитието на пристанищата в </w:t>
      </w:r>
      <w:r w:rsidR="00470AB5" w:rsidRPr="00610B1B">
        <w:rPr>
          <w:rFonts w:ascii="Times New Roman" w:hAnsi="Times New Roman" w:cs="Times New Roman"/>
          <w:sz w:val="24"/>
          <w:lang w:val="bg-BG"/>
        </w:rPr>
        <w:t>Ч</w:t>
      </w:r>
      <w:r w:rsidRPr="00610B1B">
        <w:rPr>
          <w:rFonts w:ascii="Times New Roman" w:hAnsi="Times New Roman" w:cs="Times New Roman"/>
          <w:sz w:val="24"/>
          <w:lang w:val="bg-BG"/>
        </w:rPr>
        <w:t>ерноморския регион и тяхната конкурентоспособност</w:t>
      </w:r>
      <w:r w:rsidR="00F87963" w:rsidRPr="00610B1B">
        <w:rPr>
          <w:rFonts w:ascii="Times New Roman" w:hAnsi="Times New Roman" w:cs="Times New Roman"/>
          <w:sz w:val="24"/>
          <w:lang w:val="bg-BG"/>
        </w:rPr>
        <w:t xml:space="preserve"> са</w:t>
      </w:r>
      <w:r w:rsidRPr="00610B1B">
        <w:rPr>
          <w:rFonts w:ascii="Times New Roman" w:hAnsi="Times New Roman" w:cs="Times New Roman"/>
          <w:sz w:val="24"/>
          <w:lang w:val="bg-BG"/>
        </w:rPr>
        <w:t xml:space="preserve"> технологичните промени,</w:t>
      </w:r>
      <w:r w:rsidR="00470AB5" w:rsidRPr="00610B1B">
        <w:rPr>
          <w:rFonts w:ascii="Times New Roman" w:hAnsi="Times New Roman" w:cs="Times New Roman"/>
          <w:sz w:val="24"/>
          <w:lang w:val="bg-BG"/>
        </w:rPr>
        <w:t xml:space="preserve"> различията в морските политики на държавите от Черноморския басейн</w:t>
      </w:r>
      <w:r w:rsidR="004C259A" w:rsidRPr="00610B1B">
        <w:rPr>
          <w:rFonts w:ascii="Times New Roman" w:hAnsi="Times New Roman" w:cs="Times New Roman"/>
          <w:sz w:val="24"/>
          <w:lang w:val="bg-BG"/>
        </w:rPr>
        <w:t xml:space="preserve"> и </w:t>
      </w:r>
      <w:r w:rsidR="00F87963" w:rsidRPr="00610B1B">
        <w:rPr>
          <w:rFonts w:ascii="Times New Roman" w:hAnsi="Times New Roman" w:cs="Times New Roman"/>
          <w:sz w:val="24"/>
          <w:lang w:val="bg-BG"/>
        </w:rPr>
        <w:t xml:space="preserve">в </w:t>
      </w:r>
      <w:r w:rsidR="004C259A" w:rsidRPr="00610B1B">
        <w:rPr>
          <w:rFonts w:ascii="Times New Roman" w:hAnsi="Times New Roman" w:cs="Times New Roman"/>
          <w:sz w:val="24"/>
          <w:lang w:val="bg-BG"/>
        </w:rPr>
        <w:t>степента на социално-икономическо развитие</w:t>
      </w:r>
      <w:r w:rsidR="00470AB5" w:rsidRPr="00610B1B">
        <w:rPr>
          <w:rFonts w:ascii="Times New Roman" w:hAnsi="Times New Roman" w:cs="Times New Roman"/>
          <w:sz w:val="24"/>
          <w:lang w:val="bg-BG"/>
        </w:rPr>
        <w:t>.</w:t>
      </w:r>
      <w:r w:rsidRPr="00610B1B">
        <w:rPr>
          <w:rFonts w:ascii="Times New Roman" w:hAnsi="Times New Roman" w:cs="Times New Roman"/>
          <w:sz w:val="24"/>
          <w:lang w:val="bg-BG"/>
        </w:rPr>
        <w:t xml:space="preserve"> </w:t>
      </w:r>
    </w:p>
    <w:p w14:paraId="11BCC68F" w14:textId="73107599" w:rsidR="00D730FD"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Черноморския регион голямо внимание се обръща на развитието на контейнерните терминали. За разлика от България, в почти всички черноморски пристанища се изградиха нови или обновиха старите терминали, превръщайки ги в модерни и силно конкурентоспособни. Това сериозно се отразява върху конкурентоспособността на българските пристанища, а оттам и на българската икономика.</w:t>
      </w:r>
      <w:r w:rsidR="00D34C7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Истанбул е главното контейнерно пристанище, обслужващо Черно море</w:t>
      </w:r>
      <w:r w:rsidR="00D730FD"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 е основно трансбордно пристанище за Черноморския регион. Това до голяма степен се дължи на физическото ограничаване на Босфора, което затруднява преминаването на кораби с дължина по-голяма от 300 </w:t>
      </w:r>
      <w:r w:rsidR="00D34C79"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w:t>
      </w:r>
      <w:r w:rsidR="00D730FD" w:rsidRPr="00610B1B">
        <w:rPr>
          <w:rFonts w:ascii="Times New Roman" w:hAnsi="Times New Roman" w:cs="Times New Roman"/>
          <w:sz w:val="24"/>
          <w:szCs w:val="24"/>
          <w:lang w:val="bg-BG"/>
        </w:rPr>
        <w:t xml:space="preserve">Ако се изгради втори канал при Истанбул, </w:t>
      </w:r>
      <w:r w:rsidRPr="00610B1B">
        <w:rPr>
          <w:rFonts w:ascii="Times New Roman" w:hAnsi="Times New Roman" w:cs="Times New Roman"/>
          <w:sz w:val="24"/>
          <w:szCs w:val="24"/>
          <w:lang w:val="bg-BG"/>
        </w:rPr>
        <w:t>вероятно сегашните ограничения ще се облекчат значително.</w:t>
      </w:r>
      <w:r w:rsidR="00A02DDF"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Независимо от затруднени</w:t>
      </w:r>
      <w:r w:rsidR="00A02DDF" w:rsidRPr="00610B1B">
        <w:rPr>
          <w:rFonts w:ascii="Times New Roman" w:hAnsi="Times New Roman" w:cs="Times New Roman"/>
          <w:sz w:val="24"/>
          <w:szCs w:val="24"/>
          <w:lang w:val="bg-BG"/>
        </w:rPr>
        <w:t>ята</w:t>
      </w:r>
      <w:r w:rsidRPr="00610B1B">
        <w:rPr>
          <w:rFonts w:ascii="Times New Roman" w:hAnsi="Times New Roman" w:cs="Times New Roman"/>
          <w:sz w:val="24"/>
          <w:szCs w:val="24"/>
          <w:lang w:val="bg-BG"/>
        </w:rPr>
        <w:t xml:space="preserve">, вече има контейнерни сервизи от Далечния изток с кораби с такъв размер, които извършват седмични посещения в Истанбул, Констанца и Одеса. Това стимулира останалите пристанища да търсят варианти за приемане на този максимален тонаж, </w:t>
      </w:r>
      <w:r w:rsidR="00D730FD" w:rsidRPr="00610B1B">
        <w:rPr>
          <w:rFonts w:ascii="Times New Roman" w:hAnsi="Times New Roman" w:cs="Times New Roman"/>
          <w:sz w:val="24"/>
          <w:szCs w:val="24"/>
          <w:lang w:val="bg-BG"/>
        </w:rPr>
        <w:t>за да не</w:t>
      </w:r>
      <w:r w:rsidRPr="00610B1B">
        <w:rPr>
          <w:rFonts w:ascii="Times New Roman" w:hAnsi="Times New Roman" w:cs="Times New Roman"/>
          <w:sz w:val="24"/>
          <w:szCs w:val="24"/>
          <w:lang w:val="bg-BG"/>
        </w:rPr>
        <w:t xml:space="preserve"> останат извън главните потоци, </w:t>
      </w:r>
      <w:r w:rsidR="00D730FD" w:rsidRPr="00610B1B">
        <w:rPr>
          <w:rFonts w:ascii="Times New Roman" w:hAnsi="Times New Roman" w:cs="Times New Roman"/>
          <w:sz w:val="24"/>
          <w:szCs w:val="24"/>
          <w:lang w:val="bg-BG"/>
        </w:rPr>
        <w:t>да не се</w:t>
      </w:r>
      <w:r w:rsidRPr="00610B1B">
        <w:rPr>
          <w:rFonts w:ascii="Times New Roman" w:hAnsi="Times New Roman" w:cs="Times New Roman"/>
          <w:sz w:val="24"/>
          <w:szCs w:val="24"/>
          <w:lang w:val="bg-BG"/>
        </w:rPr>
        <w:t xml:space="preserve"> намали тяхната привлекателност и </w:t>
      </w:r>
      <w:r w:rsidR="00D730FD" w:rsidRPr="00610B1B">
        <w:rPr>
          <w:rFonts w:ascii="Times New Roman" w:hAnsi="Times New Roman" w:cs="Times New Roman"/>
          <w:sz w:val="24"/>
          <w:szCs w:val="24"/>
          <w:lang w:val="bg-BG"/>
        </w:rPr>
        <w:t>да не се</w:t>
      </w:r>
      <w:r w:rsidRPr="00610B1B">
        <w:rPr>
          <w:rFonts w:ascii="Times New Roman" w:hAnsi="Times New Roman" w:cs="Times New Roman"/>
          <w:sz w:val="24"/>
          <w:szCs w:val="24"/>
          <w:lang w:val="bg-BG"/>
        </w:rPr>
        <w:t xml:space="preserve"> огранич</w:t>
      </w:r>
      <w:r w:rsidR="00D730FD" w:rsidRPr="00610B1B">
        <w:rPr>
          <w:rFonts w:ascii="Times New Roman" w:hAnsi="Times New Roman" w:cs="Times New Roman"/>
          <w:sz w:val="24"/>
          <w:szCs w:val="24"/>
          <w:lang w:val="bg-BG"/>
        </w:rPr>
        <w:t>ат</w:t>
      </w:r>
      <w:r w:rsidRPr="00610B1B">
        <w:rPr>
          <w:rFonts w:ascii="Times New Roman" w:hAnsi="Times New Roman" w:cs="Times New Roman"/>
          <w:sz w:val="24"/>
          <w:szCs w:val="24"/>
          <w:lang w:val="bg-BG"/>
        </w:rPr>
        <w:t xml:space="preserve"> икономическите възможности на съответната </w:t>
      </w:r>
      <w:r w:rsidR="00CB73C4" w:rsidRPr="00610B1B">
        <w:rPr>
          <w:rFonts w:ascii="Times New Roman" w:hAnsi="Times New Roman" w:cs="Times New Roman"/>
          <w:sz w:val="24"/>
          <w:szCs w:val="24"/>
          <w:lang w:val="bg-BG"/>
        </w:rPr>
        <w:t>държава</w:t>
      </w:r>
      <w:r w:rsidRPr="00610B1B">
        <w:rPr>
          <w:rFonts w:ascii="Times New Roman" w:hAnsi="Times New Roman" w:cs="Times New Roman"/>
          <w:sz w:val="24"/>
          <w:szCs w:val="24"/>
          <w:lang w:val="bg-BG"/>
        </w:rPr>
        <w:t xml:space="preserve">. </w:t>
      </w:r>
    </w:p>
    <w:p w14:paraId="3FAECE2C" w14:textId="4DD458E2" w:rsidR="009B0B1B"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 xml:space="preserve">Много от черноморските държави влагат значителни средства в изграждането на нови терминали, които повишават тяхната конкурентоспособност. Грузия инвестира в ново </w:t>
      </w:r>
      <w:r w:rsidR="00D730FD" w:rsidRPr="00610B1B">
        <w:rPr>
          <w:rFonts w:ascii="Times New Roman" w:hAnsi="Times New Roman" w:cs="Times New Roman"/>
          <w:sz w:val="24"/>
          <w:szCs w:val="24"/>
          <w:lang w:val="bg-BG"/>
        </w:rPr>
        <w:t xml:space="preserve">дълбоководно </w:t>
      </w:r>
      <w:r w:rsidRPr="00610B1B">
        <w:rPr>
          <w:rFonts w:ascii="Times New Roman" w:hAnsi="Times New Roman" w:cs="Times New Roman"/>
          <w:sz w:val="24"/>
          <w:szCs w:val="24"/>
          <w:lang w:val="bg-BG"/>
        </w:rPr>
        <w:t xml:space="preserve">пристанище </w:t>
      </w:r>
      <w:r w:rsidR="00D730FD" w:rsidRPr="00610B1B">
        <w:rPr>
          <w:rFonts w:ascii="Times New Roman" w:hAnsi="Times New Roman" w:cs="Times New Roman"/>
          <w:sz w:val="24"/>
          <w:szCs w:val="24"/>
          <w:lang w:val="bg-BG"/>
        </w:rPr>
        <w:t xml:space="preserve">на Черно море в близост до </w:t>
      </w:r>
      <w:r w:rsidRPr="00610B1B">
        <w:rPr>
          <w:rFonts w:ascii="Times New Roman" w:hAnsi="Times New Roman" w:cs="Times New Roman"/>
          <w:sz w:val="24"/>
          <w:szCs w:val="24"/>
          <w:lang w:val="bg-BG"/>
        </w:rPr>
        <w:t>Анаклия</w:t>
      </w:r>
      <w:r w:rsidR="00BE7649" w:rsidRPr="00610B1B">
        <w:rPr>
          <w:rFonts w:ascii="Times New Roman" w:hAnsi="Times New Roman" w:cs="Times New Roman"/>
          <w:sz w:val="24"/>
          <w:szCs w:val="24"/>
          <w:lang w:val="bg-BG"/>
        </w:rPr>
        <w:t xml:space="preserve"> на площ от около</w:t>
      </w:r>
      <w:r w:rsidR="00BE7649" w:rsidRPr="00610B1B">
        <w:rPr>
          <w:rFonts w:ascii="Times New Roman" w:hAnsi="Times New Roman" w:cs="Times New Roman"/>
          <w:lang w:val="bg-BG"/>
        </w:rPr>
        <w:t xml:space="preserve"> </w:t>
      </w:r>
      <w:r w:rsidR="00BE7649" w:rsidRPr="00610B1B">
        <w:rPr>
          <w:rFonts w:ascii="Times New Roman" w:hAnsi="Times New Roman" w:cs="Times New Roman"/>
          <w:sz w:val="24"/>
          <w:szCs w:val="24"/>
          <w:lang w:val="bg-BG"/>
        </w:rPr>
        <w:t>400 ha</w:t>
      </w:r>
      <w:r w:rsidRPr="00610B1B">
        <w:rPr>
          <w:rFonts w:ascii="Times New Roman" w:hAnsi="Times New Roman" w:cs="Times New Roman"/>
          <w:sz w:val="24"/>
          <w:szCs w:val="24"/>
          <w:lang w:val="bg-BG"/>
        </w:rPr>
        <w:t xml:space="preserve">. Независимо от оттегляне на основни инвеститори от проекта, грузинското правителство </w:t>
      </w:r>
      <w:r w:rsidR="00BE7649" w:rsidRPr="00610B1B">
        <w:rPr>
          <w:rFonts w:ascii="Times New Roman" w:hAnsi="Times New Roman" w:cs="Times New Roman"/>
          <w:sz w:val="24"/>
          <w:szCs w:val="24"/>
          <w:lang w:val="bg-BG"/>
        </w:rPr>
        <w:t xml:space="preserve">се надява пристанището да бъде </w:t>
      </w:r>
      <w:r w:rsidRPr="00610B1B">
        <w:rPr>
          <w:rFonts w:ascii="Times New Roman" w:hAnsi="Times New Roman" w:cs="Times New Roman"/>
          <w:sz w:val="24"/>
          <w:szCs w:val="24"/>
          <w:lang w:val="bg-BG"/>
        </w:rPr>
        <w:t>завършен</w:t>
      </w:r>
      <w:r w:rsidR="00BE7649" w:rsidRPr="00610B1B">
        <w:rPr>
          <w:rFonts w:ascii="Times New Roman" w:hAnsi="Times New Roman" w:cs="Times New Roman"/>
          <w:sz w:val="24"/>
          <w:szCs w:val="24"/>
          <w:lang w:val="bg-BG"/>
        </w:rPr>
        <w:t xml:space="preserve">о, с което да се повиши и сигурността в района. </w:t>
      </w:r>
      <w:r w:rsidRPr="00610B1B">
        <w:rPr>
          <w:rFonts w:ascii="Times New Roman" w:hAnsi="Times New Roman" w:cs="Times New Roman"/>
          <w:sz w:val="24"/>
          <w:szCs w:val="24"/>
          <w:lang w:val="bg-BG"/>
        </w:rPr>
        <w:t>В Новоросийск влезе в експлоатация дълбоководния</w:t>
      </w:r>
      <w:r w:rsidR="00BE7649"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w:t>
      </w:r>
      <w:r w:rsidR="00BE7649" w:rsidRPr="00610B1B">
        <w:rPr>
          <w:rFonts w:ascii="Times New Roman" w:hAnsi="Times New Roman" w:cs="Times New Roman"/>
          <w:sz w:val="24"/>
          <w:szCs w:val="24"/>
          <w:lang w:val="bg-BG"/>
        </w:rPr>
        <w:t xml:space="preserve">кей </w:t>
      </w:r>
      <w:r w:rsidRPr="00610B1B">
        <w:rPr>
          <w:rFonts w:ascii="Times New Roman" w:hAnsi="Times New Roman" w:cs="Times New Roman"/>
          <w:sz w:val="24"/>
          <w:szCs w:val="24"/>
          <w:lang w:val="bg-BG"/>
        </w:rPr>
        <w:t>38 на НУТЕП</w:t>
      </w:r>
      <w:r w:rsidRPr="00610B1B">
        <w:rPr>
          <w:rStyle w:val="FootnoteReference"/>
          <w:rFonts w:ascii="Times New Roman" w:hAnsi="Times New Roman" w:cs="Times New Roman"/>
          <w:sz w:val="24"/>
          <w:szCs w:val="24"/>
          <w:lang w:val="bg-BG"/>
        </w:rPr>
        <w:footnoteReference w:id="112"/>
      </w:r>
      <w:r w:rsidRPr="00610B1B">
        <w:rPr>
          <w:rFonts w:ascii="Times New Roman" w:hAnsi="Times New Roman" w:cs="Times New Roman"/>
          <w:sz w:val="24"/>
          <w:szCs w:val="24"/>
          <w:lang w:val="bg-BG"/>
        </w:rPr>
        <w:t xml:space="preserve">, който може да обработва кораби с капацитет 10,000 TEU, с дължина на кейовата стена 390 </w:t>
      </w:r>
      <w:r w:rsidR="00BE7649" w:rsidRPr="00610B1B">
        <w:rPr>
          <w:rFonts w:ascii="Times New Roman" w:hAnsi="Times New Roman" w:cs="Times New Roman"/>
          <w:sz w:val="24"/>
          <w:szCs w:val="24"/>
          <w:lang w:val="bg-BG"/>
        </w:rPr>
        <w:t>m и</w:t>
      </w:r>
      <w:r w:rsidRPr="00610B1B">
        <w:rPr>
          <w:rFonts w:ascii="Times New Roman" w:hAnsi="Times New Roman" w:cs="Times New Roman"/>
          <w:sz w:val="24"/>
          <w:szCs w:val="24"/>
          <w:lang w:val="bg-BG"/>
        </w:rPr>
        <w:t xml:space="preserve"> газене 15 </w:t>
      </w:r>
      <w:r w:rsidR="00BE7649"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Очаква се пристанището да обработва около 700,000 TEU годишно. Това го прави основно черноморско пристанище на Русия.</w:t>
      </w:r>
      <w:r w:rsidR="009B0B1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Одеса изгради модерен контейнерен терминал, а кейовете в Констанца </w:t>
      </w:r>
      <w:r w:rsidR="009B0B1B" w:rsidRPr="00610B1B">
        <w:rPr>
          <w:rFonts w:ascii="Times New Roman" w:hAnsi="Times New Roman" w:cs="Times New Roman"/>
          <w:sz w:val="24"/>
          <w:szCs w:val="24"/>
          <w:lang w:val="bg-BG"/>
        </w:rPr>
        <w:t>са</w:t>
      </w:r>
      <w:r w:rsidRPr="00610B1B">
        <w:rPr>
          <w:rFonts w:ascii="Times New Roman" w:hAnsi="Times New Roman" w:cs="Times New Roman"/>
          <w:sz w:val="24"/>
          <w:szCs w:val="24"/>
          <w:lang w:val="bg-BG"/>
        </w:rPr>
        <w:t xml:space="preserve"> отдадени на концесия</w:t>
      </w:r>
      <w:r w:rsidR="009B0B1B" w:rsidRPr="00610B1B">
        <w:rPr>
          <w:rFonts w:ascii="Times New Roman" w:hAnsi="Times New Roman" w:cs="Times New Roman"/>
          <w:sz w:val="24"/>
          <w:szCs w:val="24"/>
          <w:lang w:val="bg-BG"/>
        </w:rPr>
        <w:t xml:space="preserve">. В </w:t>
      </w:r>
      <w:r w:rsidRPr="00610B1B">
        <w:rPr>
          <w:rFonts w:ascii="Times New Roman" w:hAnsi="Times New Roman" w:cs="Times New Roman"/>
          <w:sz w:val="24"/>
          <w:szCs w:val="24"/>
          <w:lang w:val="bg-BG"/>
        </w:rPr>
        <w:t xml:space="preserve">тях </w:t>
      </w:r>
      <w:r w:rsidR="009B0B1B" w:rsidRPr="00610B1B">
        <w:rPr>
          <w:rFonts w:ascii="Times New Roman" w:hAnsi="Times New Roman" w:cs="Times New Roman"/>
          <w:sz w:val="24"/>
          <w:szCs w:val="24"/>
          <w:lang w:val="bg-BG"/>
        </w:rPr>
        <w:t>с</w:t>
      </w:r>
      <w:r w:rsidRPr="00610B1B">
        <w:rPr>
          <w:rFonts w:ascii="Times New Roman" w:hAnsi="Times New Roman" w:cs="Times New Roman"/>
          <w:sz w:val="24"/>
          <w:szCs w:val="24"/>
          <w:lang w:val="bg-BG"/>
        </w:rPr>
        <w:t>а вложени значителни средства</w:t>
      </w:r>
      <w:r w:rsidR="009B0B1B" w:rsidRPr="00610B1B">
        <w:rPr>
          <w:rFonts w:ascii="Times New Roman" w:hAnsi="Times New Roman" w:cs="Times New Roman"/>
          <w:sz w:val="24"/>
          <w:szCs w:val="24"/>
          <w:lang w:val="bg-BG"/>
        </w:rPr>
        <w:t xml:space="preserve"> и това</w:t>
      </w:r>
      <w:r w:rsidRPr="00610B1B">
        <w:rPr>
          <w:rFonts w:ascii="Times New Roman" w:hAnsi="Times New Roman" w:cs="Times New Roman"/>
          <w:sz w:val="24"/>
          <w:szCs w:val="24"/>
          <w:lang w:val="bg-BG"/>
        </w:rPr>
        <w:t xml:space="preserve"> превр</w:t>
      </w:r>
      <w:r w:rsidR="00A02DDF" w:rsidRPr="00610B1B">
        <w:rPr>
          <w:rFonts w:ascii="Times New Roman" w:hAnsi="Times New Roman" w:cs="Times New Roman"/>
          <w:sz w:val="24"/>
          <w:szCs w:val="24"/>
          <w:lang w:val="bg-BG"/>
        </w:rPr>
        <w:t>ъща</w:t>
      </w:r>
      <w:r w:rsidRPr="00610B1B">
        <w:rPr>
          <w:rFonts w:ascii="Times New Roman" w:hAnsi="Times New Roman" w:cs="Times New Roman"/>
          <w:sz w:val="24"/>
          <w:szCs w:val="24"/>
          <w:lang w:val="bg-BG"/>
        </w:rPr>
        <w:t xml:space="preserve"> Констанца в едно от основните контейнерни пристанища </w:t>
      </w:r>
      <w:r w:rsidR="009B0B1B" w:rsidRPr="00610B1B">
        <w:rPr>
          <w:rFonts w:ascii="Times New Roman" w:hAnsi="Times New Roman" w:cs="Times New Roman"/>
          <w:sz w:val="24"/>
          <w:szCs w:val="24"/>
          <w:lang w:val="bg-BG"/>
        </w:rPr>
        <w:t>на</w:t>
      </w:r>
      <w:r w:rsidRPr="00610B1B">
        <w:rPr>
          <w:rFonts w:ascii="Times New Roman" w:hAnsi="Times New Roman" w:cs="Times New Roman"/>
          <w:sz w:val="24"/>
          <w:szCs w:val="24"/>
          <w:lang w:val="bg-BG"/>
        </w:rPr>
        <w:t xml:space="preserve"> Черно море. </w:t>
      </w:r>
    </w:p>
    <w:p w14:paraId="4153318F" w14:textId="77777777" w:rsidR="004B76E6"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Пристанища като Новоросийск, Одеса, Варна и Бургас обслужват основно местните си пазари. Други пристанища, като Поти</w:t>
      </w:r>
      <w:r w:rsidR="004B76E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развиват транзитирането на товари, главно от/до Азербайджан. Констанца също транзитира товари използвайки река Дунав от/до страните от Централна Европа, включително и от България.</w:t>
      </w:r>
      <w:r w:rsidR="004B76E6" w:rsidRPr="00610B1B">
        <w:rPr>
          <w:rFonts w:ascii="Times New Roman" w:hAnsi="Times New Roman" w:cs="Times New Roman"/>
          <w:sz w:val="24"/>
          <w:szCs w:val="24"/>
          <w:lang w:val="bg-BG"/>
        </w:rPr>
        <w:t xml:space="preserve"> </w:t>
      </w:r>
    </w:p>
    <w:p w14:paraId="02446DBB" w14:textId="430E9452" w:rsidR="00160C72"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Предви</w:t>
      </w:r>
      <w:r w:rsidR="00991E30" w:rsidRPr="00610B1B">
        <w:rPr>
          <w:rFonts w:ascii="Times New Roman" w:hAnsi="Times New Roman" w:cs="Times New Roman"/>
          <w:sz w:val="24"/>
          <w:szCs w:val="24"/>
          <w:lang w:val="bg-BG"/>
        </w:rPr>
        <w:t xml:space="preserve">дена е </w:t>
      </w:r>
      <w:r w:rsidRPr="00610B1B">
        <w:rPr>
          <w:rFonts w:ascii="Times New Roman" w:hAnsi="Times New Roman" w:cs="Times New Roman"/>
          <w:sz w:val="24"/>
          <w:szCs w:val="24"/>
          <w:lang w:val="bg-BG"/>
        </w:rPr>
        <w:t xml:space="preserve">значителна инвестиция за пристанище Варна, </w:t>
      </w:r>
      <w:r w:rsidR="00991E30" w:rsidRPr="00610B1B">
        <w:rPr>
          <w:rFonts w:ascii="Times New Roman" w:hAnsi="Times New Roman" w:cs="Times New Roman"/>
          <w:sz w:val="24"/>
          <w:szCs w:val="24"/>
          <w:lang w:val="bg-BG"/>
        </w:rPr>
        <w:t>свързана с</w:t>
      </w:r>
      <w:r w:rsidRPr="00610B1B">
        <w:rPr>
          <w:rFonts w:ascii="Times New Roman" w:hAnsi="Times New Roman" w:cs="Times New Roman"/>
          <w:sz w:val="24"/>
          <w:szCs w:val="24"/>
          <w:lang w:val="bg-BG"/>
        </w:rPr>
        <w:t xml:space="preserve"> удълбочаване на Канал</w:t>
      </w:r>
      <w:r w:rsidR="009B0B1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1</w:t>
      </w:r>
      <w:r w:rsidR="00991E30" w:rsidRPr="00610B1B">
        <w:rPr>
          <w:rFonts w:ascii="Times New Roman" w:hAnsi="Times New Roman" w:cs="Times New Roman"/>
          <w:sz w:val="24"/>
          <w:szCs w:val="24"/>
          <w:lang w:val="bg-BG"/>
        </w:rPr>
        <w:t xml:space="preserve">, плавателен </w:t>
      </w:r>
      <w:r w:rsidRPr="00610B1B">
        <w:rPr>
          <w:rFonts w:ascii="Times New Roman" w:hAnsi="Times New Roman" w:cs="Times New Roman"/>
          <w:sz w:val="24"/>
          <w:szCs w:val="24"/>
          <w:lang w:val="bg-BG"/>
        </w:rPr>
        <w:t>Канал</w:t>
      </w:r>
      <w:r w:rsidR="009B0B1B"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2</w:t>
      </w:r>
      <w:r w:rsidR="00160C72" w:rsidRPr="00610B1B">
        <w:rPr>
          <w:rFonts w:ascii="Times New Roman" w:hAnsi="Times New Roman" w:cs="Times New Roman"/>
          <w:sz w:val="24"/>
          <w:szCs w:val="24"/>
          <w:lang w:val="bg-BG"/>
        </w:rPr>
        <w:t xml:space="preserve"> и</w:t>
      </w:r>
      <w:r w:rsidR="00991E30" w:rsidRPr="00610B1B">
        <w:rPr>
          <w:rFonts w:ascii="Times New Roman" w:hAnsi="Times New Roman" w:cs="Times New Roman"/>
          <w:sz w:val="24"/>
          <w:szCs w:val="24"/>
          <w:lang w:val="bg-BG"/>
        </w:rPr>
        <w:t xml:space="preserve"> обръщателния кръг на пристанищен терминал Варна-</w:t>
      </w:r>
      <w:r w:rsidR="00E04172" w:rsidRPr="00610B1B">
        <w:rPr>
          <w:rFonts w:ascii="Times New Roman" w:hAnsi="Times New Roman" w:cs="Times New Roman"/>
          <w:sz w:val="24"/>
          <w:szCs w:val="24"/>
          <w:lang w:val="bg-BG"/>
        </w:rPr>
        <w:t>Запад. Драгажните</w:t>
      </w:r>
      <w:r w:rsidR="00991E30" w:rsidRPr="00610B1B">
        <w:rPr>
          <w:rFonts w:ascii="Times New Roman" w:hAnsi="Times New Roman" w:cs="Times New Roman"/>
          <w:sz w:val="24"/>
          <w:szCs w:val="24"/>
          <w:lang w:val="bg-BG"/>
        </w:rPr>
        <w:t xml:space="preserve"> работи се извършват до дълбочина 14</w:t>
      </w:r>
      <w:r w:rsidRPr="00610B1B">
        <w:rPr>
          <w:rFonts w:ascii="Times New Roman" w:hAnsi="Times New Roman" w:cs="Times New Roman"/>
          <w:sz w:val="24"/>
          <w:szCs w:val="24"/>
          <w:lang w:val="bg-BG"/>
        </w:rPr>
        <w:t>,5</w:t>
      </w:r>
      <w:r w:rsidR="00567A0E" w:rsidRPr="00610B1B">
        <w:rPr>
          <w:rFonts w:ascii="Times New Roman" w:hAnsi="Times New Roman" w:cs="Times New Roman"/>
          <w:sz w:val="24"/>
          <w:szCs w:val="24"/>
          <w:lang w:val="bg-BG"/>
        </w:rPr>
        <w:t>0</w:t>
      </w:r>
      <w:r w:rsidRPr="00610B1B">
        <w:rPr>
          <w:rFonts w:ascii="Times New Roman" w:hAnsi="Times New Roman" w:cs="Times New Roman"/>
          <w:sz w:val="24"/>
          <w:szCs w:val="24"/>
          <w:lang w:val="bg-BG"/>
        </w:rPr>
        <w:t xml:space="preserve"> </w:t>
      </w:r>
      <w:r w:rsidR="009B0B1B" w:rsidRPr="00610B1B">
        <w:rPr>
          <w:rFonts w:ascii="Times New Roman" w:hAnsi="Times New Roman" w:cs="Times New Roman"/>
          <w:sz w:val="24"/>
          <w:szCs w:val="24"/>
          <w:lang w:val="bg-BG"/>
        </w:rPr>
        <w:t>m</w:t>
      </w:r>
      <w:r w:rsidR="00567A0E"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00991E30" w:rsidRPr="00610B1B">
        <w:rPr>
          <w:rFonts w:ascii="Times New Roman" w:hAnsi="Times New Roman" w:cs="Times New Roman"/>
          <w:sz w:val="24"/>
          <w:szCs w:val="24"/>
          <w:lang w:val="bg-BG"/>
        </w:rPr>
        <w:t xml:space="preserve">Целта е да се създаде възможност кораби с по-голямо газене да достигат до пристанищните терминали, разположени във Варненското и Белославското езеро. Дълбочината на газене на корабите ще бъде увеличена от 11.50 </w:t>
      </w:r>
      <w:r w:rsidR="00337D6F" w:rsidRPr="00610B1B">
        <w:rPr>
          <w:rFonts w:ascii="Times New Roman" w:hAnsi="Times New Roman" w:cs="Times New Roman"/>
          <w:sz w:val="24"/>
          <w:szCs w:val="24"/>
          <w:lang w:val="bg-BG"/>
        </w:rPr>
        <w:t xml:space="preserve">m на 13.50 m. Изпълнението на проекта стартира през 2019 г. и се очаква да приключи окончателно през 2022 г. </w:t>
      </w:r>
    </w:p>
    <w:p w14:paraId="61C03038" w14:textId="216EBC94" w:rsidR="009B0B1B"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края на 2019 г. бе обявена обществена поръчка за „БМФ Порт Бургас</w:t>
      </w:r>
      <w:r w:rsidR="00AC1265" w:rsidRPr="00C717D0">
        <w:rPr>
          <w:rFonts w:ascii="Times New Roman" w:hAnsi="Times New Roman" w:cs="Times New Roman"/>
          <w:sz w:val="24"/>
          <w:szCs w:val="24"/>
          <w:lang w:val="bg-BG"/>
        </w:rPr>
        <w:t xml:space="preserve"> </w:t>
      </w:r>
      <w:r w:rsidR="00AC1265" w:rsidRPr="00D04DA6">
        <w:rPr>
          <w:rFonts w:ascii="Times New Roman" w:hAnsi="Times New Roman" w:cs="Times New Roman"/>
          <w:sz w:val="24"/>
          <w:szCs w:val="24"/>
          <w:lang w:val="bg-BG"/>
        </w:rPr>
        <w:t>АД</w:t>
      </w:r>
      <w:r w:rsidR="009B0B1B" w:rsidRPr="00D04DA6">
        <w:rPr>
          <w:rFonts w:ascii="Times New Roman" w:hAnsi="Times New Roman" w:cs="Times New Roman"/>
          <w:sz w:val="24"/>
          <w:szCs w:val="24"/>
          <w:lang w:val="bg-BG"/>
        </w:rPr>
        <w:t>“</w:t>
      </w:r>
      <w:r w:rsidR="00B962BD" w:rsidRPr="00D04DA6">
        <w:rPr>
          <w:rFonts w:ascii="Times New Roman" w:hAnsi="Times New Roman" w:cs="Times New Roman"/>
          <w:sz w:val="24"/>
          <w:szCs w:val="24"/>
          <w:lang w:val="bg-BG"/>
        </w:rPr>
        <w:t xml:space="preserve"> </w:t>
      </w:r>
      <w:r w:rsidR="00B962BD" w:rsidRPr="00610B1B">
        <w:rPr>
          <w:rFonts w:ascii="Times New Roman" w:hAnsi="Times New Roman" w:cs="Times New Roman"/>
          <w:sz w:val="24"/>
          <w:szCs w:val="24"/>
          <w:lang w:val="bg-BG"/>
        </w:rPr>
        <w:t xml:space="preserve">за разширяване </w:t>
      </w:r>
      <w:r w:rsidR="00B962BD" w:rsidRPr="00D04DA6">
        <w:rPr>
          <w:rFonts w:ascii="Times New Roman" w:hAnsi="Times New Roman" w:cs="Times New Roman"/>
          <w:sz w:val="24"/>
          <w:szCs w:val="24"/>
          <w:lang w:val="bg-BG"/>
        </w:rPr>
        <w:t xml:space="preserve">на </w:t>
      </w:r>
      <w:r w:rsidR="00AC1265" w:rsidRPr="00D04DA6">
        <w:rPr>
          <w:rFonts w:ascii="Times New Roman" w:hAnsi="Times New Roman" w:cs="Times New Roman"/>
          <w:sz w:val="24"/>
          <w:szCs w:val="24"/>
          <w:lang w:val="bg-BG"/>
        </w:rPr>
        <w:t xml:space="preserve">пристанищен терминал „Бургас -запад“ </w:t>
      </w:r>
      <w:r w:rsidR="004B76E6" w:rsidRPr="00610B1B">
        <w:rPr>
          <w:rFonts w:ascii="Times New Roman" w:hAnsi="Times New Roman" w:cs="Times New Roman"/>
          <w:sz w:val="24"/>
          <w:szCs w:val="24"/>
          <w:lang w:val="bg-BG"/>
        </w:rPr>
        <w:t>на с</w:t>
      </w:r>
      <w:r w:rsidRPr="00610B1B">
        <w:rPr>
          <w:rFonts w:ascii="Times New Roman" w:hAnsi="Times New Roman" w:cs="Times New Roman"/>
          <w:sz w:val="24"/>
          <w:szCs w:val="24"/>
          <w:lang w:val="bg-BG"/>
        </w:rPr>
        <w:t>тойност над 300 млн. лв.</w:t>
      </w:r>
      <w:r w:rsidR="004B76E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европейски средства по </w:t>
      </w:r>
      <w:r w:rsidR="00A02DDF"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Механизъм за свързана Европа</w:t>
      </w:r>
      <w:r w:rsidR="00A02DDF"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Инвестицията е предвидена за удължаване на кейовите стени и </w:t>
      </w:r>
      <w:r w:rsidR="00B962BD" w:rsidRPr="00610B1B">
        <w:rPr>
          <w:rFonts w:ascii="Times New Roman" w:hAnsi="Times New Roman" w:cs="Times New Roman"/>
          <w:sz w:val="24"/>
          <w:szCs w:val="24"/>
          <w:lang w:val="bg-BG"/>
        </w:rPr>
        <w:t xml:space="preserve">за </w:t>
      </w:r>
      <w:r w:rsidRPr="00610B1B">
        <w:rPr>
          <w:rFonts w:ascii="Times New Roman" w:hAnsi="Times New Roman" w:cs="Times New Roman"/>
          <w:sz w:val="24"/>
          <w:szCs w:val="24"/>
          <w:lang w:val="bg-BG"/>
        </w:rPr>
        <w:t xml:space="preserve">доизграждане на </w:t>
      </w:r>
      <w:r w:rsidR="009B0B1B" w:rsidRPr="00610B1B">
        <w:rPr>
          <w:rFonts w:ascii="Times New Roman" w:hAnsi="Times New Roman" w:cs="Times New Roman"/>
          <w:sz w:val="24"/>
          <w:szCs w:val="24"/>
          <w:lang w:val="bg-BG"/>
        </w:rPr>
        <w:t xml:space="preserve">жп </w:t>
      </w:r>
      <w:r w:rsidRPr="00610B1B">
        <w:rPr>
          <w:rFonts w:ascii="Times New Roman" w:hAnsi="Times New Roman" w:cs="Times New Roman"/>
          <w:sz w:val="24"/>
          <w:szCs w:val="24"/>
          <w:lang w:val="bg-BG"/>
        </w:rPr>
        <w:t xml:space="preserve">инфраструктура. Другата поръчка е за изграждане на кейова стена за корабно място 33 на терминал </w:t>
      </w:r>
      <w:r w:rsidR="004B76E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Бургас-изток 2</w:t>
      </w:r>
      <w:r w:rsidR="004B76E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 </w:t>
      </w:r>
      <w:r w:rsidR="009B0B1B" w:rsidRPr="00610B1B">
        <w:rPr>
          <w:rFonts w:ascii="Times New Roman" w:hAnsi="Times New Roman" w:cs="Times New Roman"/>
          <w:sz w:val="24"/>
          <w:szCs w:val="24"/>
          <w:lang w:val="bg-BG"/>
        </w:rPr>
        <w:t xml:space="preserve">e </w:t>
      </w:r>
      <w:r w:rsidRPr="00610B1B">
        <w:rPr>
          <w:rFonts w:ascii="Times New Roman" w:hAnsi="Times New Roman" w:cs="Times New Roman"/>
          <w:sz w:val="24"/>
          <w:szCs w:val="24"/>
          <w:lang w:val="bg-BG"/>
        </w:rPr>
        <w:t>на стойност 61 млн. лв. Доизграждането на съществуващата кейова стена ще удължи корабното място, предвидено</w:t>
      </w:r>
      <w:r w:rsidR="004B76E6" w:rsidRPr="00610B1B">
        <w:rPr>
          <w:rFonts w:ascii="Times New Roman" w:hAnsi="Times New Roman" w:cs="Times New Roman"/>
          <w:sz w:val="24"/>
          <w:szCs w:val="24"/>
          <w:lang w:val="bg-BG"/>
        </w:rPr>
        <w:t xml:space="preserve"> е</w:t>
      </w:r>
      <w:r w:rsidRPr="00610B1B">
        <w:rPr>
          <w:rFonts w:ascii="Times New Roman" w:hAnsi="Times New Roman" w:cs="Times New Roman"/>
          <w:sz w:val="24"/>
          <w:szCs w:val="24"/>
          <w:lang w:val="bg-BG"/>
        </w:rPr>
        <w:t xml:space="preserve"> драгиране на оперативната акватория и зоната за маневриране, изграждане на настилка и съоръжения, включително и жп коловоз. </w:t>
      </w:r>
      <w:r w:rsidR="009B0B1B" w:rsidRPr="00610B1B">
        <w:rPr>
          <w:rFonts w:ascii="Times New Roman" w:hAnsi="Times New Roman" w:cs="Times New Roman"/>
          <w:sz w:val="24"/>
          <w:szCs w:val="24"/>
          <w:lang w:val="bg-BG"/>
        </w:rPr>
        <w:t xml:space="preserve">Това </w:t>
      </w:r>
      <w:r w:rsidRPr="00610B1B">
        <w:rPr>
          <w:rFonts w:ascii="Times New Roman" w:hAnsi="Times New Roman" w:cs="Times New Roman"/>
          <w:sz w:val="24"/>
          <w:szCs w:val="24"/>
          <w:lang w:val="bg-BG"/>
        </w:rPr>
        <w:t xml:space="preserve">ще позволи обособяването на площадка за обработка и съхранение на генерални товари и контейнери. Целта е да могат да се обработват кораби с газене до 14.6 </w:t>
      </w:r>
      <w:r w:rsidR="009B0B1B" w:rsidRPr="00610B1B">
        <w:rPr>
          <w:rFonts w:ascii="Times New Roman" w:hAnsi="Times New Roman" w:cs="Times New Roman"/>
          <w:sz w:val="24"/>
          <w:szCs w:val="24"/>
          <w:lang w:val="bg-BG"/>
        </w:rPr>
        <w:t>m</w:t>
      </w:r>
      <w:r w:rsidRPr="00610B1B">
        <w:rPr>
          <w:rFonts w:ascii="Times New Roman" w:hAnsi="Times New Roman" w:cs="Times New Roman"/>
          <w:sz w:val="24"/>
          <w:szCs w:val="24"/>
          <w:lang w:val="bg-BG"/>
        </w:rPr>
        <w:t xml:space="preserve"> и 120 хил. тона.</w:t>
      </w:r>
      <w:r w:rsidR="009B0B1B" w:rsidRPr="00610B1B">
        <w:rPr>
          <w:rFonts w:ascii="Times New Roman" w:hAnsi="Times New Roman" w:cs="Times New Roman"/>
          <w:sz w:val="24"/>
          <w:szCs w:val="24"/>
          <w:lang w:val="bg-BG"/>
        </w:rPr>
        <w:t xml:space="preserve"> От </w:t>
      </w:r>
      <w:r w:rsidRPr="00610B1B">
        <w:rPr>
          <w:rFonts w:ascii="Times New Roman" w:hAnsi="Times New Roman" w:cs="Times New Roman"/>
          <w:sz w:val="24"/>
          <w:szCs w:val="24"/>
          <w:lang w:val="bg-BG"/>
        </w:rPr>
        <w:t>2021 г</w:t>
      </w:r>
      <w:r w:rsidR="004B76E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 Бургас ще има възможност за прием на кораби с капацитет около 10,000 TEU.</w:t>
      </w:r>
    </w:p>
    <w:p w14:paraId="2BA865AA" w14:textId="0E763701" w:rsidR="00470AB5"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Друг</w:t>
      </w:r>
      <w:r w:rsidR="00470AB5"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 фактор</w:t>
      </w:r>
      <w:r w:rsidR="00470AB5"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влияещ</w:t>
      </w:r>
      <w:r w:rsidR="00470AB5"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 върху </w:t>
      </w:r>
      <w:r w:rsidR="00470AB5" w:rsidRPr="00610B1B">
        <w:rPr>
          <w:rFonts w:ascii="Times New Roman" w:hAnsi="Times New Roman" w:cs="Times New Roman"/>
          <w:sz w:val="24"/>
          <w:szCs w:val="24"/>
          <w:lang w:val="bg-BG"/>
        </w:rPr>
        <w:t xml:space="preserve">морската политика в региона и на </w:t>
      </w:r>
      <w:r w:rsidRPr="00610B1B">
        <w:rPr>
          <w:rFonts w:ascii="Times New Roman" w:hAnsi="Times New Roman" w:cs="Times New Roman"/>
          <w:sz w:val="24"/>
          <w:szCs w:val="24"/>
          <w:lang w:val="bg-BG"/>
        </w:rPr>
        <w:t xml:space="preserve">морските превози в Черно море, е </w:t>
      </w:r>
      <w:r w:rsidR="00470AB5" w:rsidRPr="00610B1B">
        <w:rPr>
          <w:rFonts w:ascii="Times New Roman" w:hAnsi="Times New Roman" w:cs="Times New Roman"/>
          <w:sz w:val="24"/>
          <w:szCs w:val="24"/>
          <w:lang w:val="bg-BG"/>
        </w:rPr>
        <w:t>членството в ЕС и НАТО само на част от държавите с излаз на Черно море, военните конфликти в</w:t>
      </w:r>
      <w:r w:rsidRPr="00610B1B">
        <w:rPr>
          <w:rFonts w:ascii="Times New Roman" w:hAnsi="Times New Roman" w:cs="Times New Roman"/>
          <w:sz w:val="24"/>
          <w:szCs w:val="24"/>
          <w:lang w:val="bg-BG"/>
        </w:rPr>
        <w:t xml:space="preserve"> Източна Украйна</w:t>
      </w:r>
      <w:r w:rsidR="00470AB5" w:rsidRPr="00610B1B">
        <w:rPr>
          <w:rFonts w:ascii="Times New Roman" w:hAnsi="Times New Roman" w:cs="Times New Roman"/>
          <w:sz w:val="24"/>
          <w:szCs w:val="24"/>
          <w:lang w:val="bg-BG"/>
        </w:rPr>
        <w:t xml:space="preserve"> от 2014 г. и др. Това затруднява провеждането на общата политика за Черноморския басейн и сътрудничеството в трансграничното морско пространствено планиране, върху които се работи повече от три десетилетия.</w:t>
      </w:r>
    </w:p>
    <w:p w14:paraId="2F8FD3E0" w14:textId="0C01A18D" w:rsidR="0024776B"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 xml:space="preserve">Независимо от гореизброените фактори, </w:t>
      </w:r>
      <w:r w:rsidR="00470AB5" w:rsidRPr="00610B1B">
        <w:rPr>
          <w:rFonts w:ascii="Times New Roman" w:hAnsi="Times New Roman" w:cs="Times New Roman"/>
          <w:sz w:val="24"/>
          <w:szCs w:val="24"/>
          <w:lang w:val="bg-BG"/>
        </w:rPr>
        <w:t>не се очакват съществени промени в</w:t>
      </w:r>
      <w:r w:rsidRPr="00610B1B">
        <w:rPr>
          <w:rFonts w:ascii="Times New Roman" w:hAnsi="Times New Roman" w:cs="Times New Roman"/>
          <w:sz w:val="24"/>
          <w:szCs w:val="24"/>
          <w:lang w:val="bg-BG"/>
        </w:rPr>
        <w:t xml:space="preserve"> общата динамика </w:t>
      </w:r>
      <w:r w:rsidR="00470AB5" w:rsidRPr="00610B1B">
        <w:rPr>
          <w:rFonts w:ascii="Times New Roman" w:hAnsi="Times New Roman" w:cs="Times New Roman"/>
          <w:sz w:val="24"/>
          <w:szCs w:val="24"/>
          <w:lang w:val="bg-BG"/>
        </w:rPr>
        <w:t xml:space="preserve">на </w:t>
      </w:r>
      <w:r w:rsidRPr="00610B1B">
        <w:rPr>
          <w:rFonts w:ascii="Times New Roman" w:hAnsi="Times New Roman" w:cs="Times New Roman"/>
          <w:sz w:val="24"/>
          <w:szCs w:val="24"/>
          <w:lang w:val="bg-BG"/>
        </w:rPr>
        <w:t>Черноморския регион</w:t>
      </w:r>
      <w:r w:rsidR="00470AB5"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тъй като всички пристанища се фокусират главно върху обслужването на националните си икономики.</w:t>
      </w:r>
      <w:r w:rsidR="004B76E6" w:rsidRPr="00610B1B">
        <w:rPr>
          <w:rFonts w:ascii="Times New Roman" w:hAnsi="Times New Roman" w:cs="Times New Roman"/>
          <w:sz w:val="24"/>
          <w:szCs w:val="24"/>
          <w:lang w:val="bg-BG"/>
        </w:rPr>
        <w:t xml:space="preserve"> Посочените в</w:t>
      </w:r>
      <w:r w:rsidRPr="00610B1B">
        <w:rPr>
          <w:rFonts w:ascii="Times New Roman" w:hAnsi="Times New Roman" w:cs="Times New Roman"/>
          <w:sz w:val="24"/>
          <w:szCs w:val="24"/>
          <w:lang w:val="bg-BG"/>
        </w:rPr>
        <w:t>ъншни факторите, оказващи влияние върху морския транспорт са различни</w:t>
      </w:r>
      <w:r w:rsidR="004C259A" w:rsidRPr="00610B1B">
        <w:rPr>
          <w:rFonts w:ascii="Times New Roman" w:hAnsi="Times New Roman" w:cs="Times New Roman"/>
          <w:sz w:val="24"/>
          <w:szCs w:val="24"/>
          <w:lang w:val="bg-BG"/>
        </w:rPr>
        <w:t>, но те подсказват насоките, към които да се ориентира политиката на България в тази сфера. България има благоприятно географско и геополитическо положение, но то само по себе си не гарантира и не е достатъчно за привличането на транзитни превози. Ако към това се прибавят и предизвикателствата на глобализацията на световната икономика и в частност морския транспорт, все по-необходимо е да се търсят възможности за</w:t>
      </w:r>
      <w:r w:rsidR="00D66FE0" w:rsidRPr="00610B1B">
        <w:rPr>
          <w:rFonts w:ascii="Times New Roman" w:hAnsi="Times New Roman" w:cs="Times New Roman"/>
          <w:sz w:val="24"/>
          <w:szCs w:val="24"/>
          <w:lang w:val="bg-BG"/>
        </w:rPr>
        <w:t xml:space="preserve"> </w:t>
      </w:r>
      <w:r w:rsidR="004C259A" w:rsidRPr="00610B1B">
        <w:rPr>
          <w:rFonts w:ascii="Times New Roman" w:hAnsi="Times New Roman" w:cs="Times New Roman"/>
          <w:sz w:val="24"/>
          <w:szCs w:val="24"/>
          <w:lang w:val="bg-BG"/>
        </w:rPr>
        <w:t xml:space="preserve">привличане на транзитните товари от Азия за Европа и обратно. Необходими са значителни инвестиции за подобряване и поддържане на съществуващата инфраструктура, както и за технологично обновление на </w:t>
      </w:r>
      <w:r w:rsidR="00A02DDF" w:rsidRPr="00610B1B">
        <w:rPr>
          <w:rFonts w:ascii="Times New Roman" w:hAnsi="Times New Roman" w:cs="Times New Roman"/>
          <w:sz w:val="24"/>
          <w:szCs w:val="24"/>
          <w:lang w:val="bg-BG"/>
        </w:rPr>
        <w:t xml:space="preserve">българските </w:t>
      </w:r>
      <w:r w:rsidR="004C259A" w:rsidRPr="00610B1B">
        <w:rPr>
          <w:rFonts w:ascii="Times New Roman" w:hAnsi="Times New Roman" w:cs="Times New Roman"/>
          <w:sz w:val="24"/>
          <w:szCs w:val="24"/>
          <w:lang w:val="bg-BG"/>
        </w:rPr>
        <w:t>пристанища.</w:t>
      </w:r>
      <w:r w:rsidR="00D66FE0" w:rsidRPr="00610B1B">
        <w:rPr>
          <w:rFonts w:ascii="Times New Roman" w:hAnsi="Times New Roman" w:cs="Times New Roman"/>
          <w:sz w:val="24"/>
          <w:szCs w:val="24"/>
          <w:lang w:val="bg-BG"/>
        </w:rPr>
        <w:t xml:space="preserve"> </w:t>
      </w:r>
    </w:p>
    <w:p w14:paraId="347845F3" w14:textId="0A54F806" w:rsidR="004C259A" w:rsidRPr="00610B1B" w:rsidRDefault="004C259A"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След присъединяването на България към ЕС се отбелязва значително увеличение на броя на посещаващите български Черноморски пристанища пасажерски кораби. </w:t>
      </w:r>
      <w:r w:rsidR="0024776B" w:rsidRPr="00610B1B">
        <w:rPr>
          <w:rFonts w:ascii="Times New Roman" w:hAnsi="Times New Roman" w:cs="Times New Roman"/>
          <w:sz w:val="24"/>
          <w:szCs w:val="24"/>
          <w:lang w:val="bg-BG"/>
        </w:rPr>
        <w:t>Заедно с това все по-голямо внимание</w:t>
      </w:r>
      <w:r w:rsidR="0024776B" w:rsidRPr="00610B1B">
        <w:rPr>
          <w:rFonts w:ascii="Times New Roman" w:hAnsi="Times New Roman" w:cs="Times New Roman"/>
          <w:lang w:val="bg-BG"/>
        </w:rPr>
        <w:t xml:space="preserve"> </w:t>
      </w:r>
      <w:r w:rsidR="0024776B" w:rsidRPr="00610B1B">
        <w:rPr>
          <w:rFonts w:ascii="Times New Roman" w:hAnsi="Times New Roman" w:cs="Times New Roman"/>
          <w:sz w:val="24"/>
          <w:szCs w:val="24"/>
          <w:lang w:val="bg-BG"/>
        </w:rPr>
        <w:t xml:space="preserve">се обръща на сигурността на превозите и пристанищата. Спадът на броя на пасажерските кораби в пристанищата на България поради </w:t>
      </w:r>
      <w:r w:rsidRPr="00610B1B">
        <w:rPr>
          <w:rFonts w:ascii="Times New Roman" w:hAnsi="Times New Roman" w:cs="Times New Roman"/>
          <w:sz w:val="24"/>
          <w:szCs w:val="24"/>
          <w:lang w:val="bg-BG"/>
        </w:rPr>
        <w:t>усложнената геополитическа ситуация в Черно</w:t>
      </w:r>
      <w:r w:rsidR="0024776B" w:rsidRPr="00610B1B">
        <w:rPr>
          <w:rFonts w:ascii="Times New Roman" w:hAnsi="Times New Roman" w:cs="Times New Roman"/>
          <w:sz w:val="24"/>
          <w:szCs w:val="24"/>
          <w:lang w:val="bg-BG"/>
        </w:rPr>
        <w:t xml:space="preserve"> море е доказателство за това. </w:t>
      </w:r>
      <w:r w:rsidR="004B76E6" w:rsidRPr="00610B1B">
        <w:rPr>
          <w:rFonts w:ascii="Times New Roman" w:hAnsi="Times New Roman" w:cs="Times New Roman"/>
          <w:sz w:val="24"/>
          <w:szCs w:val="24"/>
          <w:lang w:val="bg-BG"/>
        </w:rPr>
        <w:t xml:space="preserve">Необходими са </w:t>
      </w:r>
      <w:r w:rsidR="0024776B" w:rsidRPr="00610B1B">
        <w:rPr>
          <w:rFonts w:ascii="Times New Roman" w:hAnsi="Times New Roman" w:cs="Times New Roman"/>
          <w:sz w:val="24"/>
          <w:szCs w:val="24"/>
          <w:lang w:val="bg-BG"/>
        </w:rPr>
        <w:t>мерки, в допълнение на общите системи за сигурност в Черно море и изпълнените проекти за оборудване, обучение и изграждане на капацитет, за повишаване и гарантиране на сигурността и безопасността</w:t>
      </w:r>
      <w:r w:rsidRPr="00610B1B">
        <w:rPr>
          <w:rFonts w:ascii="Times New Roman" w:hAnsi="Times New Roman" w:cs="Times New Roman"/>
          <w:sz w:val="24"/>
          <w:szCs w:val="24"/>
          <w:lang w:val="bg-BG"/>
        </w:rPr>
        <w:t xml:space="preserve">. </w:t>
      </w:r>
    </w:p>
    <w:p w14:paraId="64861FE9" w14:textId="2485A098" w:rsidR="00A2160D" w:rsidRPr="00610B1B" w:rsidRDefault="00796C2C" w:rsidP="00D32D6A">
      <w:pPr>
        <w:spacing w:after="120"/>
        <w:ind w:left="-72"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Опазване</w:t>
      </w:r>
      <w:r w:rsidR="00B962BD" w:rsidRPr="00610B1B">
        <w:rPr>
          <w:rFonts w:ascii="Times New Roman" w:hAnsi="Times New Roman" w:cs="Times New Roman"/>
          <w:sz w:val="24"/>
          <w:szCs w:val="24"/>
          <w:lang w:val="bg-BG"/>
        </w:rPr>
        <w:t>то</w:t>
      </w:r>
      <w:r w:rsidRPr="00610B1B">
        <w:rPr>
          <w:rFonts w:ascii="Times New Roman" w:hAnsi="Times New Roman" w:cs="Times New Roman"/>
          <w:sz w:val="24"/>
          <w:szCs w:val="24"/>
          <w:lang w:val="bg-BG"/>
        </w:rPr>
        <w:t xml:space="preserve"> на околната среда се превръща в първостепенна задача в световен мащаб, което ще доведе до увеличаване на разходите и цената на транспортните услуги, поддържането и експлоатацията на транспортната инфраструктура на Р. България</w:t>
      </w:r>
      <w:r w:rsidR="00A2160D" w:rsidRPr="00610B1B">
        <w:rPr>
          <w:rFonts w:ascii="Times New Roman" w:hAnsi="Times New Roman" w:cs="Times New Roman"/>
          <w:sz w:val="24"/>
          <w:szCs w:val="24"/>
          <w:lang w:val="bg-BG"/>
        </w:rPr>
        <w:t>.</w:t>
      </w:r>
      <w:bookmarkStart w:id="325" w:name="_Toc28012951"/>
    </w:p>
    <w:p w14:paraId="356EB5E5" w14:textId="77777777" w:rsidR="007927C6" w:rsidRPr="00610B1B" w:rsidRDefault="007927C6" w:rsidP="00D32D6A">
      <w:pPr>
        <w:spacing w:after="120"/>
        <w:ind w:left="-72" w:right="-153"/>
        <w:jc w:val="both"/>
        <w:rPr>
          <w:rFonts w:ascii="Times New Roman" w:hAnsi="Times New Roman" w:cs="Times New Roman"/>
          <w:sz w:val="24"/>
          <w:szCs w:val="24"/>
          <w:lang w:val="bg-BG"/>
        </w:rPr>
      </w:pPr>
    </w:p>
    <w:p w14:paraId="0B7767F9" w14:textId="0C04741C" w:rsidR="00796C2C" w:rsidRPr="00610B1B" w:rsidRDefault="00A02DDF" w:rsidP="00D32D6A">
      <w:pPr>
        <w:pStyle w:val="Heading3"/>
        <w:spacing w:before="0" w:line="276" w:lineRule="auto"/>
        <w:ind w:right="-153"/>
        <w:rPr>
          <w:rFonts w:cs="Times New Roman"/>
        </w:rPr>
      </w:pPr>
      <w:bookmarkStart w:id="326" w:name="_Toc83391374"/>
      <w:r w:rsidRPr="00610B1B">
        <w:rPr>
          <w:rFonts w:cs="Times New Roman"/>
        </w:rPr>
        <w:t>3</w:t>
      </w:r>
      <w:r w:rsidR="00A2160D" w:rsidRPr="00610B1B">
        <w:rPr>
          <w:rFonts w:cs="Times New Roman"/>
        </w:rPr>
        <w:t>.</w:t>
      </w:r>
      <w:r w:rsidRPr="00610B1B">
        <w:rPr>
          <w:rFonts w:cs="Times New Roman"/>
        </w:rPr>
        <w:t>1</w:t>
      </w:r>
      <w:r w:rsidR="00A2160D" w:rsidRPr="00610B1B">
        <w:rPr>
          <w:rFonts w:cs="Times New Roman"/>
        </w:rPr>
        <w:t>.3. М</w:t>
      </w:r>
      <w:r w:rsidR="00796C2C" w:rsidRPr="00610B1B">
        <w:rPr>
          <w:rFonts w:cs="Times New Roman"/>
        </w:rPr>
        <w:t>орски търговски дестинации. Типове кораби и количества товари.</w:t>
      </w:r>
      <w:bookmarkEnd w:id="325"/>
      <w:bookmarkEnd w:id="326"/>
    </w:p>
    <w:p w14:paraId="4FD918D9" w14:textId="20D4D2E3" w:rsidR="00796C2C" w:rsidRPr="00610B1B" w:rsidRDefault="00A02DDF" w:rsidP="00D32D6A">
      <w:pPr>
        <w:pStyle w:val="Heading4"/>
        <w:spacing w:before="0" w:line="276" w:lineRule="auto"/>
        <w:ind w:right="-153"/>
        <w:rPr>
          <w:rFonts w:cs="Times New Roman"/>
        </w:rPr>
      </w:pPr>
      <w:bookmarkStart w:id="327" w:name="_Toc28012952"/>
      <w:r w:rsidRPr="00610B1B">
        <w:rPr>
          <w:rFonts w:cs="Times New Roman"/>
        </w:rPr>
        <w:t>3</w:t>
      </w:r>
      <w:r w:rsidR="00A2160D" w:rsidRPr="00610B1B">
        <w:rPr>
          <w:rFonts w:cs="Times New Roman"/>
        </w:rPr>
        <w:t>.</w:t>
      </w:r>
      <w:r w:rsidRPr="00610B1B">
        <w:rPr>
          <w:rFonts w:cs="Times New Roman"/>
        </w:rPr>
        <w:t>1</w:t>
      </w:r>
      <w:r w:rsidR="00A2160D" w:rsidRPr="00610B1B">
        <w:rPr>
          <w:rFonts w:cs="Times New Roman"/>
        </w:rPr>
        <w:t xml:space="preserve">.3.1. </w:t>
      </w:r>
      <w:r w:rsidR="00796C2C" w:rsidRPr="00610B1B">
        <w:rPr>
          <w:rFonts w:cs="Times New Roman"/>
        </w:rPr>
        <w:t>Морски търговски дестинации</w:t>
      </w:r>
      <w:bookmarkEnd w:id="327"/>
    </w:p>
    <w:p w14:paraId="0B1936C2" w14:textId="7D584020" w:rsidR="00977C9E" w:rsidRPr="00610B1B" w:rsidRDefault="00A02DDF" w:rsidP="00D32D6A">
      <w:pPr>
        <w:pStyle w:val="Caption"/>
        <w:spacing w:before="0" w:line="276" w:lineRule="auto"/>
        <w:ind w:right="-153"/>
        <w:jc w:val="both"/>
        <w:rPr>
          <w:rFonts w:cs="Times New Roman"/>
        </w:rPr>
      </w:pPr>
      <w:r w:rsidRPr="00610B1B">
        <w:rPr>
          <w:rFonts w:cs="Times New Roman"/>
        </w:rPr>
        <w:t xml:space="preserve">Съгласно данните за общия обем стоки за внос и износ от/за България, на Националния статистически институт (НСИ), основни търговски партньори на България </w:t>
      </w:r>
      <w:r w:rsidR="004B76E6" w:rsidRPr="00610B1B">
        <w:rPr>
          <w:rFonts w:cs="Times New Roman"/>
        </w:rPr>
        <w:t>в</w:t>
      </w:r>
      <w:r w:rsidRPr="00610B1B">
        <w:rPr>
          <w:rFonts w:cs="Times New Roman"/>
        </w:rPr>
        <w:t xml:space="preserve"> износа за страните от ЕС за </w:t>
      </w:r>
      <w:r w:rsidR="006011C0" w:rsidRPr="00610B1B">
        <w:rPr>
          <w:rFonts w:cs="Times New Roman"/>
        </w:rPr>
        <w:t>периода</w:t>
      </w:r>
      <w:r w:rsidRPr="00610B1B">
        <w:rPr>
          <w:rFonts w:cs="Times New Roman"/>
        </w:rPr>
        <w:t xml:space="preserve"> 2018-2019 са Германия, Италия, Румъния и др., а за търговията с трети страни основните партньори са Турция, Китай, САЩ и Русия. </w:t>
      </w:r>
      <w:r w:rsidR="00977C9E" w:rsidRPr="00610B1B">
        <w:rPr>
          <w:rFonts w:cs="Times New Roman"/>
        </w:rPr>
        <w:t>По отношение на вноса на стоки за България основните търговски партньори от страните на ЕС са Германия, Италия, Испания, Румъния и др. От третите страни най-големият внос е от Русия, Турция, Китай и Египет.</w:t>
      </w:r>
    </w:p>
    <w:p w14:paraId="34ABC4CB" w14:textId="694707EE" w:rsidR="00422374" w:rsidRPr="00610B1B" w:rsidRDefault="00422374"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Съгласно</w:t>
      </w:r>
      <w:r w:rsidR="00977C9E" w:rsidRPr="00610B1B">
        <w:rPr>
          <w:rFonts w:ascii="Times New Roman" w:hAnsi="Times New Roman" w:cs="Times New Roman"/>
          <w:sz w:val="24"/>
          <w:szCs w:val="24"/>
          <w:lang w:val="bg-BG"/>
        </w:rPr>
        <w:t xml:space="preserve"> информация</w:t>
      </w:r>
      <w:r w:rsidRPr="00610B1B">
        <w:rPr>
          <w:rFonts w:ascii="Times New Roman" w:hAnsi="Times New Roman" w:cs="Times New Roman"/>
          <w:sz w:val="24"/>
          <w:szCs w:val="24"/>
          <w:lang w:val="bg-BG"/>
        </w:rPr>
        <w:t>та</w:t>
      </w:r>
      <w:r w:rsidR="00977C9E" w:rsidRPr="00610B1B">
        <w:rPr>
          <w:rFonts w:ascii="Times New Roman" w:hAnsi="Times New Roman" w:cs="Times New Roman"/>
          <w:sz w:val="24"/>
          <w:szCs w:val="24"/>
          <w:lang w:val="bg-BG"/>
        </w:rPr>
        <w:t xml:space="preserve"> от Териториална дирекция Северна морска на Агенция „Митници“ основните стоки, които преминават през пристанище Варна са от/за основни морски дестинации държави извън Европейския съюз. Със страните от </w:t>
      </w:r>
      <w:r w:rsidR="00977C9E" w:rsidRPr="00610B1B">
        <w:rPr>
          <w:rFonts w:ascii="Times New Roman" w:hAnsi="Times New Roman" w:cs="Times New Roman"/>
          <w:iCs/>
          <w:sz w:val="24"/>
          <w:szCs w:val="24"/>
          <w:lang w:val="bg-BG"/>
        </w:rPr>
        <w:t>ЕС</w:t>
      </w:r>
      <w:r w:rsidR="00977C9E" w:rsidRPr="00610B1B">
        <w:rPr>
          <w:rFonts w:ascii="Times New Roman" w:hAnsi="Times New Roman" w:cs="Times New Roman"/>
          <w:sz w:val="24"/>
          <w:szCs w:val="24"/>
          <w:lang w:val="bg-BG"/>
        </w:rPr>
        <w:t xml:space="preserve"> България изнася и внася стоки основно с автомобилен транспорт. </w:t>
      </w:r>
      <w:r w:rsidRPr="00610B1B">
        <w:rPr>
          <w:rFonts w:ascii="Times New Roman" w:hAnsi="Times New Roman" w:cs="Times New Roman"/>
          <w:sz w:val="24"/>
          <w:szCs w:val="24"/>
          <w:lang w:val="bg-BG"/>
        </w:rPr>
        <w:t xml:space="preserve">В периода 2014-2018 г. през пристанището са внесени общо 241 400 бр. контейнери от Обединените Арабски емирства, САЩ, Украйна, Китай и др. и 60,88 млн. тона насипни товари от Обединени Арабски емирства, Иран, Малайзия, Русия, Грузия, Турция. Изнесените контейнери са 109 </w:t>
      </w:r>
      <w:r w:rsidRPr="00610B1B">
        <w:rPr>
          <w:rFonts w:ascii="Times New Roman" w:hAnsi="Times New Roman" w:cs="Times New Roman"/>
          <w:sz w:val="24"/>
          <w:szCs w:val="24"/>
          <w:lang w:val="bg-BG"/>
        </w:rPr>
        <w:lastRenderedPageBreak/>
        <w:t>743 бр. към Обединени Арабски емирства, Китай, Египет, Япония, а изнесените насипни товари от общо 104,96 млн</w:t>
      </w:r>
      <w:r w:rsidR="00EE4544"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тона са към Обединени Арабски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емирства, Алжир,</w:t>
      </w:r>
      <w:r w:rsidR="00C415D1"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Малайзия, Русия, Грузия.</w:t>
      </w:r>
    </w:p>
    <w:p w14:paraId="650813F2" w14:textId="203C1CAE" w:rsidR="009907CE" w:rsidRPr="00610B1B" w:rsidRDefault="009907CE" w:rsidP="00D32D6A">
      <w:pPr>
        <w:spacing w:after="120"/>
        <w:ind w:right="-153"/>
        <w:jc w:val="both"/>
        <w:rPr>
          <w:rFonts w:ascii="Times New Roman" w:hAnsi="Times New Roman" w:cs="Times New Roman"/>
          <w:sz w:val="24"/>
          <w:szCs w:val="24"/>
          <w:lang w:val="bg-BG"/>
        </w:rPr>
      </w:pPr>
    </w:p>
    <w:p w14:paraId="3D250771" w14:textId="097ED031" w:rsidR="009907CE" w:rsidRPr="00610B1B" w:rsidRDefault="009907CE" w:rsidP="00D32D6A">
      <w:pPr>
        <w:spacing w:after="120"/>
        <w:ind w:right="-153"/>
        <w:jc w:val="both"/>
        <w:rPr>
          <w:rFonts w:ascii="Times New Roman" w:hAnsi="Times New Roman" w:cs="Times New Roman"/>
          <w:sz w:val="24"/>
          <w:szCs w:val="24"/>
          <w:lang w:val="bg-BG"/>
        </w:rPr>
      </w:pPr>
    </w:p>
    <w:p w14:paraId="61059A73" w14:textId="47D649C2" w:rsidR="008C6B1F" w:rsidRPr="00610B1B" w:rsidRDefault="008C6B1F" w:rsidP="00D32D6A">
      <w:pPr>
        <w:spacing w:after="120"/>
        <w:ind w:right="-153"/>
        <w:jc w:val="both"/>
        <w:rPr>
          <w:rFonts w:ascii="Times New Roman" w:hAnsi="Times New Roman" w:cs="Times New Roman"/>
          <w:sz w:val="24"/>
          <w:szCs w:val="24"/>
          <w:lang w:val="bg-BG"/>
        </w:rPr>
      </w:pPr>
    </w:p>
    <w:p w14:paraId="02D8639C" w14:textId="77777777" w:rsidR="008C6B1F" w:rsidRPr="00610B1B" w:rsidRDefault="008C6B1F" w:rsidP="00D32D6A">
      <w:pPr>
        <w:spacing w:after="120"/>
        <w:ind w:right="-153"/>
        <w:jc w:val="both"/>
        <w:rPr>
          <w:rFonts w:ascii="Times New Roman" w:hAnsi="Times New Roman" w:cs="Times New Roman"/>
          <w:sz w:val="24"/>
          <w:szCs w:val="24"/>
          <w:lang w:val="bg-BG"/>
        </w:rPr>
      </w:pPr>
    </w:p>
    <w:p w14:paraId="432C49AC" w14:textId="081ED1C0" w:rsidR="009907CE" w:rsidRPr="00610B1B" w:rsidRDefault="009907CE" w:rsidP="00D32D6A">
      <w:pPr>
        <w:spacing w:after="120"/>
        <w:ind w:right="-153"/>
        <w:jc w:val="both"/>
        <w:rPr>
          <w:rFonts w:ascii="Times New Roman" w:hAnsi="Times New Roman" w:cs="Times New Roman"/>
          <w:sz w:val="24"/>
          <w:szCs w:val="24"/>
          <w:lang w:val="bg-BG"/>
        </w:rPr>
      </w:pPr>
    </w:p>
    <w:p w14:paraId="2161627B"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17B30B4C" w14:textId="71B7BAA1" w:rsidR="00796C2C" w:rsidRPr="00610B1B" w:rsidRDefault="00B62269" w:rsidP="00D32D6A">
      <w:pPr>
        <w:pStyle w:val="Caption"/>
        <w:spacing w:before="0" w:line="276" w:lineRule="auto"/>
        <w:ind w:right="-153"/>
        <w:jc w:val="both"/>
        <w:rPr>
          <w:rFonts w:cs="Times New Roman"/>
        </w:rPr>
      </w:pPr>
      <w:bookmarkStart w:id="328" w:name="_Toc83391471"/>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8</w:t>
      </w:r>
      <w:r w:rsidRPr="00610B1B">
        <w:rPr>
          <w:rFonts w:cs="Times New Roman"/>
        </w:rPr>
        <w:fldChar w:fldCharType="end"/>
      </w:r>
      <w:r w:rsidRPr="00610B1B">
        <w:rPr>
          <w:rFonts w:cs="Times New Roman"/>
        </w:rPr>
        <w:t xml:space="preserve">: </w:t>
      </w:r>
      <w:r w:rsidR="00BB1991" w:rsidRPr="00610B1B">
        <w:rPr>
          <w:rFonts w:cs="Times New Roman"/>
        </w:rPr>
        <w:t>Транзитни м</w:t>
      </w:r>
      <w:r w:rsidR="00796C2C" w:rsidRPr="00610B1B">
        <w:rPr>
          <w:rFonts w:cs="Times New Roman"/>
        </w:rPr>
        <w:t>аршрути на кораби, влезли и излезли от пристанище Варна и Бургас</w:t>
      </w:r>
      <w:r w:rsidR="00A2160D" w:rsidRPr="00610B1B">
        <w:rPr>
          <w:rFonts w:cs="Times New Roman"/>
        </w:rPr>
        <w:t xml:space="preserve"> з</w:t>
      </w:r>
      <w:r w:rsidR="00796C2C" w:rsidRPr="00610B1B">
        <w:rPr>
          <w:rFonts w:cs="Times New Roman"/>
        </w:rPr>
        <w:t>а м. януари 2019 г.</w:t>
      </w:r>
      <w:bookmarkEnd w:id="328"/>
    </w:p>
    <w:p w14:paraId="4AC514BC" w14:textId="77777777" w:rsidR="00796C2C" w:rsidRPr="00610B1B" w:rsidRDefault="00796C2C" w:rsidP="00D32D6A">
      <w:pPr>
        <w:spacing w:after="120"/>
        <w:ind w:left="284" w:right="-153"/>
        <w:jc w:val="both"/>
        <w:rPr>
          <w:rFonts w:ascii="Times New Roman" w:hAnsi="Times New Roman" w:cs="Times New Roman"/>
          <w:sz w:val="24"/>
          <w:szCs w:val="24"/>
          <w:lang w:val="bg-BG"/>
        </w:rPr>
      </w:pPr>
      <w:r w:rsidRPr="00610B1B">
        <w:rPr>
          <w:rFonts w:ascii="Times New Roman" w:hAnsi="Times New Roman" w:cs="Times New Roman"/>
          <w:noProof/>
          <w:sz w:val="24"/>
          <w:szCs w:val="24"/>
          <w:lang w:val="bg-BG" w:eastAsia="bg-BG"/>
        </w:rPr>
        <w:drawing>
          <wp:anchor distT="0" distB="0" distL="114300" distR="114300" simplePos="0" relativeHeight="251717632" behindDoc="0" locked="0" layoutInCell="1" allowOverlap="1" wp14:anchorId="43F968FA" wp14:editId="2A653489">
            <wp:simplePos x="0" y="0"/>
            <wp:positionH relativeFrom="column">
              <wp:posOffset>85441</wp:posOffset>
            </wp:positionH>
            <wp:positionV relativeFrom="paragraph">
              <wp:posOffset>1905</wp:posOffset>
            </wp:positionV>
            <wp:extent cx="3835319" cy="3455582"/>
            <wp:effectExtent l="0" t="0" r="0" b="0"/>
            <wp:wrapSquare wrapText="bothSides"/>
            <wp:docPr id="29" name="Картина 7" descr="C:\Users\Морска Камара 1\Desktop\Товарни\Товарни\2019\01.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орска Камара 1\Desktop\Товарни\Товарни\2019\01.2019.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35319" cy="3455582"/>
                    </a:xfrm>
                    <a:prstGeom prst="rect">
                      <a:avLst/>
                    </a:prstGeom>
                    <a:noFill/>
                    <a:ln>
                      <a:noFill/>
                    </a:ln>
                  </pic:spPr>
                </pic:pic>
              </a:graphicData>
            </a:graphic>
          </wp:anchor>
        </w:drawing>
      </w:r>
    </w:p>
    <w:p w14:paraId="07132FA8" w14:textId="08BD63B0" w:rsidR="00A2160D" w:rsidRPr="00610B1B" w:rsidRDefault="00F00BE8" w:rsidP="00D32D6A">
      <w:pPr>
        <w:pStyle w:val="Caption"/>
        <w:spacing w:before="0" w:line="276" w:lineRule="auto"/>
        <w:ind w:right="-153"/>
        <w:rPr>
          <w:rFonts w:cs="Times New Roman"/>
          <w:i/>
          <w:iCs/>
          <w:sz w:val="22"/>
          <w:szCs w:val="22"/>
        </w:rPr>
      </w:pPr>
      <w:r w:rsidRPr="00610B1B">
        <w:rPr>
          <w:rFonts w:cs="Times New Roman"/>
          <w:i/>
          <w:iCs/>
          <w:sz w:val="22"/>
          <w:szCs w:val="22"/>
          <w:u w:val="single"/>
        </w:rPr>
        <w:t>Легенда</w:t>
      </w:r>
      <w:r w:rsidR="00A2160D" w:rsidRPr="00610B1B">
        <w:rPr>
          <w:rFonts w:cs="Times New Roman"/>
          <w:i/>
          <w:iCs/>
          <w:sz w:val="22"/>
          <w:szCs w:val="22"/>
        </w:rPr>
        <w:t>:</w:t>
      </w:r>
      <w:r w:rsidRPr="00610B1B">
        <w:rPr>
          <w:rFonts w:cs="Times New Roman"/>
          <w:i/>
          <w:iCs/>
          <w:sz w:val="22"/>
          <w:szCs w:val="22"/>
        </w:rPr>
        <w:br/>
      </w:r>
      <w:r w:rsidR="00A2160D" w:rsidRPr="00610B1B">
        <w:rPr>
          <w:rFonts w:cs="Times New Roman"/>
          <w:i/>
          <w:iCs/>
          <w:sz w:val="22"/>
          <w:szCs w:val="22"/>
        </w:rPr>
        <w:t>Сини линии - движение на корабите в северна посок</w:t>
      </w:r>
      <w:r w:rsidR="00D05544" w:rsidRPr="00610B1B">
        <w:rPr>
          <w:rFonts w:cs="Times New Roman"/>
          <w:i/>
          <w:iCs/>
          <w:sz w:val="22"/>
          <w:szCs w:val="22"/>
        </w:rPr>
        <w:t>a</w:t>
      </w:r>
      <w:r w:rsidRPr="00610B1B">
        <w:rPr>
          <w:rFonts w:cs="Times New Roman"/>
          <w:i/>
          <w:iCs/>
          <w:sz w:val="22"/>
          <w:szCs w:val="22"/>
        </w:rPr>
        <w:t>;</w:t>
      </w:r>
      <w:r w:rsidR="00A2160D" w:rsidRPr="00610B1B">
        <w:rPr>
          <w:rFonts w:cs="Times New Roman"/>
          <w:i/>
          <w:iCs/>
          <w:sz w:val="22"/>
          <w:szCs w:val="22"/>
        </w:rPr>
        <w:t xml:space="preserve">, </w:t>
      </w:r>
      <w:r w:rsidRPr="00610B1B">
        <w:rPr>
          <w:rFonts w:cs="Times New Roman"/>
          <w:i/>
          <w:iCs/>
          <w:sz w:val="22"/>
          <w:szCs w:val="22"/>
        </w:rPr>
        <w:t>Ч</w:t>
      </w:r>
      <w:r w:rsidR="00A2160D" w:rsidRPr="00610B1B">
        <w:rPr>
          <w:rFonts w:cs="Times New Roman"/>
          <w:i/>
          <w:iCs/>
          <w:sz w:val="22"/>
          <w:szCs w:val="22"/>
        </w:rPr>
        <w:t>ервени линии – движение в южна посока</w:t>
      </w:r>
      <w:r w:rsidRPr="00610B1B">
        <w:rPr>
          <w:rFonts w:cs="Times New Roman"/>
          <w:i/>
          <w:iCs/>
          <w:sz w:val="22"/>
          <w:szCs w:val="22"/>
        </w:rPr>
        <w:t>.</w:t>
      </w:r>
    </w:p>
    <w:p w14:paraId="6BF22CB0" w14:textId="3CBC3A0D" w:rsidR="00F00BE8" w:rsidRPr="00610B1B" w:rsidRDefault="00F00BE8" w:rsidP="00D32D6A">
      <w:pPr>
        <w:pStyle w:val="Caption"/>
        <w:spacing w:before="0" w:line="276" w:lineRule="auto"/>
        <w:ind w:right="-153"/>
        <w:rPr>
          <w:rFonts w:cs="Times New Roman"/>
          <w:i/>
          <w:iCs/>
          <w:sz w:val="22"/>
          <w:szCs w:val="22"/>
        </w:rPr>
      </w:pPr>
    </w:p>
    <w:p w14:paraId="1C0BE635" w14:textId="0F8B3ECC" w:rsidR="00F00BE8" w:rsidRPr="00610B1B" w:rsidRDefault="00F00BE8" w:rsidP="00D32D6A">
      <w:pPr>
        <w:pStyle w:val="Caption"/>
        <w:spacing w:before="0" w:line="276" w:lineRule="auto"/>
        <w:ind w:right="-153"/>
        <w:rPr>
          <w:rFonts w:cs="Times New Roman"/>
          <w:i/>
          <w:iCs/>
          <w:sz w:val="22"/>
          <w:szCs w:val="22"/>
        </w:rPr>
      </w:pPr>
    </w:p>
    <w:p w14:paraId="6BF4CCC8" w14:textId="29610919" w:rsidR="00F00BE8" w:rsidRPr="00610B1B" w:rsidRDefault="00F00BE8" w:rsidP="00D32D6A">
      <w:pPr>
        <w:pStyle w:val="Caption"/>
        <w:spacing w:before="0" w:line="276" w:lineRule="auto"/>
        <w:ind w:right="-153"/>
        <w:rPr>
          <w:rFonts w:cs="Times New Roman"/>
          <w:i/>
          <w:iCs/>
          <w:sz w:val="22"/>
          <w:szCs w:val="22"/>
        </w:rPr>
      </w:pPr>
    </w:p>
    <w:p w14:paraId="0AA6C20D" w14:textId="3A6F2884" w:rsidR="00F00BE8" w:rsidRPr="00610B1B" w:rsidRDefault="00F00BE8" w:rsidP="00D32D6A">
      <w:pPr>
        <w:pStyle w:val="Caption"/>
        <w:spacing w:before="0" w:line="276" w:lineRule="auto"/>
        <w:ind w:right="-153"/>
        <w:rPr>
          <w:rFonts w:cs="Times New Roman"/>
          <w:i/>
          <w:iCs/>
          <w:sz w:val="22"/>
          <w:szCs w:val="22"/>
        </w:rPr>
      </w:pPr>
    </w:p>
    <w:p w14:paraId="557227D8" w14:textId="79A4148E" w:rsidR="00F00BE8" w:rsidRPr="00610B1B" w:rsidRDefault="00F00BE8" w:rsidP="00D32D6A">
      <w:pPr>
        <w:pStyle w:val="Caption"/>
        <w:spacing w:before="0" w:line="276" w:lineRule="auto"/>
        <w:ind w:right="-153"/>
        <w:rPr>
          <w:rFonts w:cs="Times New Roman"/>
          <w:i/>
          <w:iCs/>
          <w:sz w:val="22"/>
          <w:szCs w:val="22"/>
        </w:rPr>
      </w:pPr>
    </w:p>
    <w:p w14:paraId="26B58891" w14:textId="1D44FB9E" w:rsidR="00F00BE8" w:rsidRPr="00610B1B" w:rsidRDefault="00F00BE8" w:rsidP="00D32D6A">
      <w:pPr>
        <w:pStyle w:val="Caption"/>
        <w:spacing w:before="0" w:line="276" w:lineRule="auto"/>
        <w:ind w:right="-153"/>
        <w:rPr>
          <w:rFonts w:cs="Times New Roman"/>
          <w:i/>
          <w:iCs/>
          <w:sz w:val="22"/>
          <w:szCs w:val="22"/>
        </w:rPr>
      </w:pPr>
    </w:p>
    <w:p w14:paraId="7A75A72C" w14:textId="0E9B4DD4" w:rsidR="00F00BE8" w:rsidRPr="00610B1B" w:rsidRDefault="00F00BE8" w:rsidP="00D32D6A">
      <w:pPr>
        <w:pStyle w:val="Caption"/>
        <w:spacing w:before="0" w:line="276" w:lineRule="auto"/>
        <w:ind w:right="-153"/>
        <w:rPr>
          <w:rFonts w:cs="Times New Roman"/>
          <w:i/>
          <w:iCs/>
          <w:sz w:val="22"/>
          <w:szCs w:val="22"/>
        </w:rPr>
      </w:pPr>
    </w:p>
    <w:p w14:paraId="770587D1" w14:textId="2A3859E8" w:rsidR="00F00BE8" w:rsidRPr="00610B1B" w:rsidRDefault="00F00BE8" w:rsidP="00D32D6A">
      <w:pPr>
        <w:pStyle w:val="Caption"/>
        <w:spacing w:before="0" w:line="276" w:lineRule="auto"/>
        <w:ind w:right="-153"/>
        <w:rPr>
          <w:rFonts w:cs="Times New Roman"/>
          <w:i/>
          <w:iCs/>
          <w:sz w:val="22"/>
          <w:szCs w:val="22"/>
        </w:rPr>
      </w:pPr>
    </w:p>
    <w:p w14:paraId="4EDDF238" w14:textId="77777777" w:rsidR="00F00BE8" w:rsidRPr="00610B1B" w:rsidRDefault="00F00BE8" w:rsidP="00D32D6A">
      <w:pPr>
        <w:pStyle w:val="Caption"/>
        <w:spacing w:before="0" w:line="276" w:lineRule="auto"/>
        <w:ind w:right="-153"/>
        <w:rPr>
          <w:rFonts w:cs="Times New Roman"/>
          <w:i/>
          <w:iCs/>
          <w:sz w:val="22"/>
          <w:szCs w:val="22"/>
        </w:rPr>
      </w:pPr>
    </w:p>
    <w:p w14:paraId="4BE33AD6" w14:textId="726A5C86" w:rsidR="00F00BE8" w:rsidRPr="00610B1B" w:rsidRDefault="00F00BE8" w:rsidP="00D32D6A">
      <w:pPr>
        <w:pStyle w:val="Caption"/>
        <w:spacing w:before="0" w:line="276" w:lineRule="auto"/>
        <w:ind w:right="-153"/>
        <w:rPr>
          <w:rFonts w:cs="Times New Roman"/>
          <w:i/>
          <w:iCs/>
          <w:sz w:val="22"/>
          <w:szCs w:val="22"/>
        </w:rPr>
      </w:pPr>
      <w:r w:rsidRPr="00610B1B">
        <w:rPr>
          <w:rFonts w:cs="Times New Roman"/>
          <w:sz w:val="22"/>
          <w:szCs w:val="22"/>
        </w:rPr>
        <w:t>Източник: ДППИ, Информационна система за управление на трафика</w:t>
      </w:r>
    </w:p>
    <w:p w14:paraId="752C45E1" w14:textId="560A4350" w:rsidR="00D703D4" w:rsidRPr="00610B1B" w:rsidRDefault="00BB1991"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През последните години, превозът на контейнеризирани стоки в световен мащаб се предпочита. Тази тенденция ще се задълбочава</w:t>
      </w:r>
      <w:r w:rsidR="00422374" w:rsidRPr="00610B1B">
        <w:rPr>
          <w:rFonts w:ascii="Times New Roman" w:hAnsi="Times New Roman" w:cs="Times New Roman"/>
          <w:sz w:val="24"/>
          <w:szCs w:val="24"/>
          <w:lang w:val="bg-BG"/>
        </w:rPr>
        <w:t xml:space="preserve"> и ще се </w:t>
      </w:r>
      <w:r w:rsidRPr="00610B1B">
        <w:rPr>
          <w:rFonts w:ascii="Times New Roman" w:hAnsi="Times New Roman" w:cs="Times New Roman"/>
          <w:sz w:val="24"/>
          <w:szCs w:val="24"/>
          <w:lang w:val="bg-BG"/>
        </w:rPr>
        <w:t>преминава</w:t>
      </w:r>
      <w:r w:rsidR="00422374" w:rsidRPr="00610B1B">
        <w:rPr>
          <w:rFonts w:ascii="Times New Roman" w:hAnsi="Times New Roman" w:cs="Times New Roman"/>
          <w:sz w:val="24"/>
          <w:szCs w:val="24"/>
          <w:lang w:val="bg-BG"/>
        </w:rPr>
        <w:t xml:space="preserve"> от</w:t>
      </w:r>
      <w:r w:rsidRPr="00610B1B">
        <w:rPr>
          <w:rFonts w:ascii="Times New Roman" w:hAnsi="Times New Roman" w:cs="Times New Roman"/>
          <w:sz w:val="24"/>
          <w:szCs w:val="24"/>
          <w:lang w:val="bg-BG"/>
        </w:rPr>
        <w:t xml:space="preserve"> традиционно масови товари към превоз с контейнери. България търгува със значителен брой страни за внос и износ на контейнеризирани стоки, преминаващи през морските пристанища.</w:t>
      </w:r>
    </w:p>
    <w:p w14:paraId="7C8C9B49" w14:textId="7C3C6ADF" w:rsidR="0053073F" w:rsidRPr="00610B1B" w:rsidRDefault="00B62269" w:rsidP="00D32D6A">
      <w:pPr>
        <w:spacing w:after="120"/>
        <w:ind w:right="-153"/>
        <w:rPr>
          <w:rFonts w:ascii="Times New Roman" w:hAnsi="Times New Roman" w:cs="Times New Roman"/>
          <w:sz w:val="24"/>
          <w:szCs w:val="24"/>
          <w:lang w:val="bg-BG"/>
        </w:rPr>
      </w:pPr>
      <w:bookmarkStart w:id="329" w:name="_Toc83391472"/>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9</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53073F" w:rsidRPr="00610B1B">
        <w:rPr>
          <w:rFonts w:ascii="Times New Roman" w:hAnsi="Times New Roman" w:cs="Times New Roman"/>
          <w:sz w:val="24"/>
          <w:szCs w:val="24"/>
          <w:lang w:val="bg-BG"/>
        </w:rPr>
        <w:t>Общо контейнери внос/износ по региони (TEUs)</w:t>
      </w:r>
      <w:bookmarkEnd w:id="329"/>
    </w:p>
    <w:p w14:paraId="29773F48" w14:textId="668EF6AC" w:rsidR="00796C2C" w:rsidRPr="00610B1B" w:rsidRDefault="00595F51" w:rsidP="00D32D6A">
      <w:pPr>
        <w:pStyle w:val="Caption"/>
        <w:spacing w:before="0" w:line="276" w:lineRule="auto"/>
        <w:ind w:right="-153"/>
        <w:rPr>
          <w:rFonts w:cs="Times New Roman"/>
        </w:rPr>
      </w:pPr>
      <w:r w:rsidRPr="00610B1B">
        <w:rPr>
          <w:rFonts w:cs="Times New Roman"/>
          <w:noProof/>
          <w:lang w:eastAsia="bg-BG" w:bidi="ar-SA"/>
        </w:rPr>
        <w:lastRenderedPageBreak/>
        <w:drawing>
          <wp:inline distT="0" distB="0" distL="0" distR="0" wp14:anchorId="159A17E0" wp14:editId="25612865">
            <wp:extent cx="4572359" cy="23646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t="6322" b="7471"/>
                    <a:stretch/>
                  </pic:blipFill>
                  <pic:spPr bwMode="auto">
                    <a:xfrm>
                      <a:off x="0" y="0"/>
                      <a:ext cx="4572635" cy="2364818"/>
                    </a:xfrm>
                    <a:prstGeom prst="rect">
                      <a:avLst/>
                    </a:prstGeom>
                    <a:noFill/>
                    <a:ln>
                      <a:noFill/>
                    </a:ln>
                    <a:extLst>
                      <a:ext uri="{53640926-AAD7-44D8-BBD7-CCE9431645EC}">
                        <a14:shadowObscured xmlns:a14="http://schemas.microsoft.com/office/drawing/2010/main"/>
                      </a:ext>
                    </a:extLst>
                  </pic:spPr>
                </pic:pic>
              </a:graphicData>
            </a:graphic>
          </wp:inline>
        </w:drawing>
      </w:r>
    </w:p>
    <w:p w14:paraId="5EC37383" w14:textId="74F227B1" w:rsidR="00796C2C" w:rsidRPr="00610B1B" w:rsidRDefault="00796C2C" w:rsidP="00D32D6A">
      <w:pPr>
        <w:pStyle w:val="Caption"/>
        <w:spacing w:before="0" w:line="276" w:lineRule="auto"/>
        <w:ind w:right="-153"/>
        <w:rPr>
          <w:rFonts w:cs="Times New Roman"/>
          <w:sz w:val="22"/>
          <w:szCs w:val="22"/>
        </w:rPr>
      </w:pPr>
      <w:r w:rsidRPr="00610B1B">
        <w:rPr>
          <w:rFonts w:cs="Times New Roman"/>
          <w:sz w:val="22"/>
          <w:szCs w:val="22"/>
        </w:rPr>
        <w:t>Източни</w:t>
      </w:r>
      <w:r w:rsidR="0053073F" w:rsidRPr="00610B1B">
        <w:rPr>
          <w:rFonts w:cs="Times New Roman"/>
          <w:sz w:val="22"/>
          <w:szCs w:val="22"/>
        </w:rPr>
        <w:t>к:</w:t>
      </w:r>
      <w:r w:rsidR="00C375D2" w:rsidRPr="00610B1B">
        <w:rPr>
          <w:rFonts w:cs="Times New Roman"/>
          <w:sz w:val="22"/>
          <w:szCs w:val="22"/>
        </w:rPr>
        <w:t xml:space="preserve"> </w:t>
      </w:r>
      <w:r w:rsidRPr="00610B1B">
        <w:rPr>
          <w:rFonts w:cs="Times New Roman"/>
          <w:sz w:val="22"/>
          <w:szCs w:val="22"/>
        </w:rPr>
        <w:t>БАКБА</w:t>
      </w:r>
    </w:p>
    <w:p w14:paraId="0B3357F0" w14:textId="0BAC6E6D" w:rsidR="00796C2C" w:rsidRPr="00610B1B" w:rsidRDefault="00796C2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За 2018 г., по данни от Българската асоциация на корабните брокери и агенти (БАКБА), основните търговски партньори на България </w:t>
      </w:r>
      <w:r w:rsidR="0053073F"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w:t>
      </w:r>
      <w:r w:rsidRPr="00610B1B">
        <w:rPr>
          <w:rFonts w:ascii="Times New Roman" w:hAnsi="Times New Roman" w:cs="Times New Roman"/>
          <w:bCs/>
          <w:sz w:val="24"/>
          <w:szCs w:val="24"/>
          <w:lang w:val="bg-BG"/>
        </w:rPr>
        <w:t>внос</w:t>
      </w:r>
      <w:r w:rsidRPr="00610B1B">
        <w:rPr>
          <w:rFonts w:ascii="Times New Roman" w:hAnsi="Times New Roman" w:cs="Times New Roman"/>
          <w:sz w:val="24"/>
          <w:szCs w:val="24"/>
          <w:lang w:val="bg-BG"/>
        </w:rPr>
        <w:t xml:space="preserve"> на стоки с контейнери (в TEU) са страните от Далечния изток,</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Средиземноморието, Северна Европа и Скандинавските страни.</w:t>
      </w:r>
    </w:p>
    <w:p w14:paraId="5021A1DC" w14:textId="41C9C161" w:rsidR="00796C2C" w:rsidRPr="00610B1B" w:rsidRDefault="00B62269" w:rsidP="00D32D6A">
      <w:pPr>
        <w:pStyle w:val="Caption"/>
        <w:spacing w:before="0" w:line="276" w:lineRule="auto"/>
        <w:ind w:right="-153"/>
        <w:jc w:val="both"/>
        <w:rPr>
          <w:rFonts w:eastAsiaTheme="minorHAnsi" w:cs="Times New Roman"/>
          <w:color w:val="auto"/>
          <w:lang w:eastAsia="en-US" w:bidi="ar-SA"/>
        </w:rPr>
      </w:pPr>
      <w:bookmarkStart w:id="330" w:name="_Toc83391473"/>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10</w:t>
      </w:r>
      <w:r w:rsidRPr="00610B1B">
        <w:rPr>
          <w:rFonts w:cs="Times New Roman"/>
        </w:rPr>
        <w:fldChar w:fldCharType="end"/>
      </w:r>
      <w:r w:rsidRPr="00610B1B">
        <w:rPr>
          <w:rFonts w:cs="Times New Roman"/>
        </w:rPr>
        <w:t xml:space="preserve">: </w:t>
      </w:r>
      <w:r w:rsidR="0053073F" w:rsidRPr="00610B1B">
        <w:rPr>
          <w:rFonts w:eastAsiaTheme="minorHAnsi" w:cs="Times New Roman"/>
          <w:color w:val="auto"/>
          <w:lang w:eastAsia="en-US" w:bidi="ar-SA"/>
        </w:rPr>
        <w:t>Внос на контейнери (TEUs) по региони</w:t>
      </w:r>
      <w:bookmarkEnd w:id="330"/>
    </w:p>
    <w:p w14:paraId="354B61F2" w14:textId="7B6D9DD0" w:rsidR="00796C2C" w:rsidRPr="00610B1B" w:rsidRDefault="00595F51" w:rsidP="00D32D6A">
      <w:pPr>
        <w:spacing w:after="120"/>
        <w:ind w:left="284" w:right="-153"/>
        <w:jc w:val="both"/>
        <w:rPr>
          <w:rFonts w:ascii="Times New Roman" w:hAnsi="Times New Roman" w:cs="Times New Roman"/>
          <w:sz w:val="24"/>
          <w:szCs w:val="24"/>
          <w:lang w:val="bg-BG"/>
        </w:rPr>
      </w:pPr>
      <w:r w:rsidRPr="00610B1B">
        <w:rPr>
          <w:rFonts w:ascii="Times New Roman" w:hAnsi="Times New Roman" w:cs="Times New Roman"/>
          <w:noProof/>
          <w:szCs w:val="24"/>
          <w:lang w:val="bg-BG" w:eastAsia="bg-BG"/>
        </w:rPr>
        <w:drawing>
          <wp:inline distT="0" distB="0" distL="0" distR="0" wp14:anchorId="374C3E22" wp14:editId="11AC6738">
            <wp:extent cx="4553945" cy="23332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a:extLst>
                        <a:ext uri="{28A0092B-C50C-407E-A947-70E740481C1C}">
                          <a14:useLocalDpi xmlns:a14="http://schemas.microsoft.com/office/drawing/2010/main" val="0"/>
                        </a:ext>
                      </a:extLst>
                    </a:blip>
                    <a:srcRect t="7471" b="7466"/>
                    <a:stretch/>
                  </pic:blipFill>
                  <pic:spPr bwMode="auto">
                    <a:xfrm>
                      <a:off x="0" y="0"/>
                      <a:ext cx="4554220" cy="2333438"/>
                    </a:xfrm>
                    <a:prstGeom prst="rect">
                      <a:avLst/>
                    </a:prstGeom>
                    <a:noFill/>
                    <a:ln>
                      <a:noFill/>
                    </a:ln>
                    <a:extLst>
                      <a:ext uri="{53640926-AAD7-44D8-BBD7-CCE9431645EC}">
                        <a14:shadowObscured xmlns:a14="http://schemas.microsoft.com/office/drawing/2010/main"/>
                      </a:ext>
                    </a:extLst>
                  </pic:spPr>
                </pic:pic>
              </a:graphicData>
            </a:graphic>
          </wp:inline>
        </w:drawing>
      </w:r>
    </w:p>
    <w:p w14:paraId="27F93F68" w14:textId="2FAEE69E" w:rsidR="00796C2C" w:rsidRPr="00610B1B" w:rsidRDefault="00796C2C" w:rsidP="00D32D6A">
      <w:pPr>
        <w:pStyle w:val="Caption"/>
        <w:spacing w:before="0" w:line="276" w:lineRule="auto"/>
        <w:ind w:right="-153"/>
        <w:jc w:val="both"/>
        <w:rPr>
          <w:rFonts w:cs="Times New Roman"/>
          <w:sz w:val="22"/>
          <w:szCs w:val="22"/>
        </w:rPr>
      </w:pPr>
      <w:r w:rsidRPr="00610B1B">
        <w:rPr>
          <w:rFonts w:cs="Times New Roman"/>
          <w:sz w:val="22"/>
          <w:szCs w:val="22"/>
        </w:rPr>
        <w:t>Източник</w:t>
      </w:r>
      <w:r w:rsidR="00046646" w:rsidRPr="00610B1B">
        <w:rPr>
          <w:rFonts w:cs="Times New Roman"/>
          <w:sz w:val="22"/>
          <w:szCs w:val="22"/>
        </w:rPr>
        <w:t xml:space="preserve">: </w:t>
      </w:r>
      <w:r w:rsidRPr="00610B1B">
        <w:rPr>
          <w:rFonts w:cs="Times New Roman"/>
          <w:sz w:val="22"/>
          <w:szCs w:val="22"/>
        </w:rPr>
        <w:t>БАКБА</w:t>
      </w:r>
    </w:p>
    <w:p w14:paraId="11375152" w14:textId="1E00940C" w:rsidR="00796C2C" w:rsidRPr="00610B1B" w:rsidRDefault="00C375D2"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При</w:t>
      </w:r>
      <w:r w:rsidR="00796C2C" w:rsidRPr="00610B1B">
        <w:rPr>
          <w:rFonts w:ascii="Times New Roman" w:hAnsi="Times New Roman" w:cs="Times New Roman"/>
          <w:sz w:val="24"/>
          <w:szCs w:val="24"/>
          <w:lang w:val="bg-BG"/>
        </w:rPr>
        <w:t xml:space="preserve"> износа на България на стоки в контейнери (TEU) за 2018 г,, на първо място са страните от Средиземноморието, на второ, страните от Далечния изток, а на трето Северна Америка. </w:t>
      </w:r>
    </w:p>
    <w:p w14:paraId="73B7FB94" w14:textId="4BD0928D" w:rsidR="00796C2C" w:rsidRPr="00610B1B" w:rsidRDefault="00B62269" w:rsidP="00D32D6A">
      <w:pPr>
        <w:pStyle w:val="Caption"/>
        <w:spacing w:before="0" w:line="276" w:lineRule="auto"/>
        <w:ind w:right="-153"/>
        <w:rPr>
          <w:rFonts w:cs="Times New Roman"/>
          <w:lang w:eastAsia="en-US" w:bidi="ar-SA"/>
        </w:rPr>
      </w:pPr>
      <w:bookmarkStart w:id="331" w:name="_Toc83391474"/>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11</w:t>
      </w:r>
      <w:r w:rsidRPr="00610B1B">
        <w:rPr>
          <w:rFonts w:cs="Times New Roman"/>
        </w:rPr>
        <w:fldChar w:fldCharType="end"/>
      </w:r>
      <w:r w:rsidRPr="00610B1B">
        <w:rPr>
          <w:rFonts w:cs="Times New Roman"/>
        </w:rPr>
        <w:t xml:space="preserve">: </w:t>
      </w:r>
      <w:r w:rsidR="00C375D2" w:rsidRPr="00610B1B">
        <w:rPr>
          <w:rFonts w:cs="Times New Roman"/>
          <w:lang w:eastAsia="en-US" w:bidi="ar-SA"/>
        </w:rPr>
        <w:t>Износ на контейнери (TEUs)</w:t>
      </w:r>
      <w:r w:rsidR="00046646" w:rsidRPr="00610B1B">
        <w:rPr>
          <w:rFonts w:cs="Times New Roman"/>
          <w:lang w:eastAsia="en-US" w:bidi="ar-SA"/>
        </w:rPr>
        <w:t xml:space="preserve"> </w:t>
      </w:r>
      <w:r w:rsidR="00C375D2" w:rsidRPr="00610B1B">
        <w:rPr>
          <w:rFonts w:cs="Times New Roman"/>
          <w:lang w:eastAsia="en-US" w:bidi="ar-SA"/>
        </w:rPr>
        <w:t>по региони</w:t>
      </w:r>
      <w:bookmarkEnd w:id="331"/>
    </w:p>
    <w:p w14:paraId="743B50D4" w14:textId="2466E4C4" w:rsidR="00796C2C" w:rsidRPr="00610B1B" w:rsidRDefault="00595F51" w:rsidP="00F00BE8">
      <w:pPr>
        <w:spacing w:after="0"/>
        <w:ind w:left="284" w:right="-153"/>
        <w:jc w:val="both"/>
        <w:rPr>
          <w:rFonts w:ascii="Times New Roman" w:hAnsi="Times New Roman" w:cs="Times New Roman"/>
          <w:sz w:val="20"/>
          <w:szCs w:val="20"/>
          <w:lang w:val="bg-BG"/>
        </w:rPr>
      </w:pPr>
      <w:r w:rsidRPr="00610B1B">
        <w:rPr>
          <w:rFonts w:ascii="Times New Roman" w:hAnsi="Times New Roman" w:cs="Times New Roman"/>
          <w:noProof/>
          <w:sz w:val="20"/>
          <w:szCs w:val="20"/>
          <w:lang w:val="bg-BG" w:eastAsia="bg-BG"/>
        </w:rPr>
        <w:lastRenderedPageBreak/>
        <w:drawing>
          <wp:inline distT="0" distB="0" distL="0" distR="0" wp14:anchorId="1A62E8EE" wp14:editId="5F8EAF00">
            <wp:extent cx="4578350" cy="2362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a:extLst>
                        <a:ext uri="{28A0092B-C50C-407E-A947-70E740481C1C}">
                          <a14:useLocalDpi xmlns:a14="http://schemas.microsoft.com/office/drawing/2010/main" val="0"/>
                        </a:ext>
                      </a:extLst>
                    </a:blip>
                    <a:srcRect t="6944" b="6944"/>
                    <a:stretch/>
                  </pic:blipFill>
                  <pic:spPr bwMode="auto">
                    <a:xfrm>
                      <a:off x="0" y="0"/>
                      <a:ext cx="4578350" cy="2362200"/>
                    </a:xfrm>
                    <a:prstGeom prst="rect">
                      <a:avLst/>
                    </a:prstGeom>
                    <a:noFill/>
                    <a:ln>
                      <a:noFill/>
                    </a:ln>
                    <a:extLst>
                      <a:ext uri="{53640926-AAD7-44D8-BBD7-CCE9431645EC}">
                        <a14:shadowObscured xmlns:a14="http://schemas.microsoft.com/office/drawing/2010/main"/>
                      </a:ext>
                    </a:extLst>
                  </pic:spPr>
                </pic:pic>
              </a:graphicData>
            </a:graphic>
          </wp:inline>
        </w:drawing>
      </w:r>
    </w:p>
    <w:p w14:paraId="228DCCC6" w14:textId="2A3ACF66" w:rsidR="00C375D2" w:rsidRPr="00610B1B" w:rsidRDefault="00796C2C" w:rsidP="00D32D6A">
      <w:pPr>
        <w:pStyle w:val="Caption"/>
        <w:spacing w:before="0" w:line="276" w:lineRule="auto"/>
        <w:ind w:right="-153"/>
        <w:rPr>
          <w:rFonts w:cs="Times New Roman"/>
          <w:sz w:val="22"/>
          <w:szCs w:val="22"/>
        </w:rPr>
      </w:pPr>
      <w:r w:rsidRPr="00610B1B">
        <w:rPr>
          <w:rFonts w:cs="Times New Roman"/>
          <w:sz w:val="22"/>
          <w:szCs w:val="22"/>
        </w:rPr>
        <w:t>Източник</w:t>
      </w:r>
      <w:r w:rsidR="00C375D2" w:rsidRPr="00610B1B">
        <w:rPr>
          <w:rFonts w:cs="Times New Roman"/>
          <w:sz w:val="22"/>
          <w:szCs w:val="22"/>
        </w:rPr>
        <w:t xml:space="preserve">: </w:t>
      </w:r>
      <w:r w:rsidRPr="00610B1B">
        <w:rPr>
          <w:rFonts w:cs="Times New Roman"/>
          <w:sz w:val="22"/>
          <w:szCs w:val="22"/>
        </w:rPr>
        <w:t>БАКБА</w:t>
      </w:r>
      <w:bookmarkStart w:id="332" w:name="_Toc28012953"/>
    </w:p>
    <w:bookmarkEnd w:id="332"/>
    <w:p w14:paraId="63A6224F" w14:textId="4D7ECE17" w:rsidR="00F92CF8" w:rsidRPr="00610B1B" w:rsidRDefault="00F92CF8" w:rsidP="00D32D6A">
      <w:pPr>
        <w:spacing w:after="120"/>
        <w:ind w:right="-153"/>
        <w:jc w:val="both"/>
        <w:rPr>
          <w:rFonts w:ascii="Times New Roman" w:hAnsi="Times New Roman" w:cs="Times New Roman"/>
          <w:sz w:val="24"/>
          <w:szCs w:val="20"/>
          <w:lang w:val="bg-BG"/>
        </w:rPr>
      </w:pPr>
      <w:r w:rsidRPr="00610B1B">
        <w:rPr>
          <w:rFonts w:ascii="Times New Roman" w:hAnsi="Times New Roman" w:cs="Times New Roman"/>
          <w:sz w:val="24"/>
          <w:szCs w:val="20"/>
          <w:lang w:val="bg-BG"/>
        </w:rPr>
        <w:t>Изводът, който може да се направи при сравняване на данните е, че не може да се очаква значително увеличение на товаропотоците в района на Черноморския басейн.</w:t>
      </w:r>
      <w:r w:rsidR="00D66FE0" w:rsidRPr="00610B1B">
        <w:rPr>
          <w:rFonts w:ascii="Times New Roman" w:hAnsi="Times New Roman" w:cs="Times New Roman"/>
          <w:sz w:val="24"/>
          <w:szCs w:val="20"/>
          <w:lang w:val="bg-BG"/>
        </w:rPr>
        <w:t xml:space="preserve"> </w:t>
      </w:r>
      <w:r w:rsidRPr="00610B1B">
        <w:rPr>
          <w:rFonts w:ascii="Times New Roman" w:hAnsi="Times New Roman" w:cs="Times New Roman"/>
          <w:sz w:val="24"/>
          <w:szCs w:val="20"/>
          <w:lang w:val="bg-BG"/>
        </w:rPr>
        <w:t>По данните на ИАМА, товарооборотите на двете български морски пристанища за последните 5 години е сравнително постоянна величина, което означава, че българските морски пристанища следват тенденцията на останалите черноморски пристанища.</w:t>
      </w:r>
    </w:p>
    <w:p w14:paraId="61660A37" w14:textId="3801D7DF" w:rsidR="00BB1991" w:rsidRPr="00610B1B" w:rsidRDefault="00BB1991" w:rsidP="00D32D6A">
      <w:pPr>
        <w:pStyle w:val="Caption"/>
        <w:spacing w:before="0" w:line="276" w:lineRule="auto"/>
        <w:ind w:right="-153"/>
        <w:jc w:val="both"/>
        <w:rPr>
          <w:rFonts w:cs="Times New Roman"/>
        </w:rPr>
      </w:pPr>
      <w:r w:rsidRPr="00610B1B">
        <w:rPr>
          <w:rFonts w:cs="Times New Roman"/>
        </w:rPr>
        <w:t>Общият годишен товарооборот на българските морски пристанища за обществен транспорт е бил най-голям през 2017 г. достигайки почти 32 млн</w:t>
      </w:r>
      <w:r w:rsidR="00E04172" w:rsidRPr="00D72982">
        <w:rPr>
          <w:rFonts w:cs="Times New Roman"/>
        </w:rPr>
        <w:t>.</w:t>
      </w:r>
      <w:r w:rsidRPr="00610B1B">
        <w:rPr>
          <w:rFonts w:cs="Times New Roman"/>
        </w:rPr>
        <w:t xml:space="preserve"> тона. През Варна за последните 5 години са преминали около 60 млн</w:t>
      </w:r>
      <w:r w:rsidR="00E04172" w:rsidRPr="00D72982">
        <w:rPr>
          <w:rFonts w:cs="Times New Roman"/>
        </w:rPr>
        <w:t>.</w:t>
      </w:r>
      <w:r w:rsidRPr="00610B1B">
        <w:rPr>
          <w:rFonts w:cs="Times New Roman"/>
        </w:rPr>
        <w:t xml:space="preserve"> тона, т.е. средно около 12 млн</w:t>
      </w:r>
      <w:r w:rsidR="00E04172" w:rsidRPr="00D72982">
        <w:rPr>
          <w:rFonts w:cs="Times New Roman"/>
        </w:rPr>
        <w:t>.</w:t>
      </w:r>
      <w:r w:rsidRPr="00610B1B">
        <w:rPr>
          <w:rFonts w:cs="Times New Roman"/>
        </w:rPr>
        <w:t xml:space="preserve"> тона на година, а през Бургас около 84 млн. тона, т.е. средно около 17 млн. тона на година. Средният общ обем е около 29 млн</w:t>
      </w:r>
      <w:r w:rsidR="00E04172" w:rsidRPr="00D72982">
        <w:rPr>
          <w:rFonts w:cs="Times New Roman"/>
        </w:rPr>
        <w:t>.</w:t>
      </w:r>
      <w:r w:rsidRPr="00610B1B">
        <w:rPr>
          <w:rFonts w:cs="Times New Roman"/>
        </w:rPr>
        <w:t xml:space="preserve"> тона на година.</w:t>
      </w:r>
    </w:p>
    <w:p w14:paraId="51C43BF7" w14:textId="6DE8687D" w:rsidR="00796C2C" w:rsidRPr="00610B1B" w:rsidRDefault="00B62269" w:rsidP="00D32D6A">
      <w:pPr>
        <w:pStyle w:val="Caption"/>
        <w:spacing w:before="0" w:line="276" w:lineRule="auto"/>
        <w:ind w:right="-153"/>
        <w:rPr>
          <w:rFonts w:eastAsiaTheme="minorHAnsi" w:cs="Times New Roman"/>
          <w:color w:val="auto"/>
          <w:lang w:eastAsia="en-US" w:bidi="ar-SA"/>
        </w:rPr>
      </w:pPr>
      <w:bookmarkStart w:id="333" w:name="_Toc83391475"/>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12</w:t>
      </w:r>
      <w:r w:rsidRPr="00610B1B">
        <w:rPr>
          <w:rFonts w:cs="Times New Roman"/>
        </w:rPr>
        <w:fldChar w:fldCharType="end"/>
      </w:r>
      <w:r w:rsidRPr="00610B1B">
        <w:rPr>
          <w:rFonts w:cs="Times New Roman"/>
        </w:rPr>
        <w:t>:</w:t>
      </w:r>
      <w:r w:rsidR="00D66FE0" w:rsidRPr="00610B1B">
        <w:rPr>
          <w:rFonts w:cs="Times New Roman"/>
        </w:rPr>
        <w:t xml:space="preserve"> </w:t>
      </w:r>
      <w:r w:rsidR="00796C2C" w:rsidRPr="00610B1B">
        <w:rPr>
          <w:rFonts w:eastAsiaTheme="minorHAnsi" w:cs="Times New Roman"/>
          <w:color w:val="auto"/>
          <w:lang w:eastAsia="en-US" w:bidi="ar-SA"/>
        </w:rPr>
        <w:t>Товарооборот на пристанищата Варна и Бургас</w:t>
      </w:r>
      <w:bookmarkEnd w:id="333"/>
    </w:p>
    <w:p w14:paraId="703D466D" w14:textId="2477DA82" w:rsidR="00796C2C" w:rsidRPr="00610B1B" w:rsidRDefault="00595F51" w:rsidP="00F00BE8">
      <w:pPr>
        <w:spacing w:after="0"/>
        <w:ind w:left="284" w:right="-153"/>
        <w:jc w:val="both"/>
        <w:rPr>
          <w:rFonts w:ascii="Times New Roman" w:hAnsi="Times New Roman" w:cs="Times New Roman"/>
          <w:lang w:val="bg-BG"/>
        </w:rPr>
      </w:pPr>
      <w:r w:rsidRPr="00610B1B">
        <w:rPr>
          <w:rFonts w:ascii="Times New Roman" w:hAnsi="Times New Roman" w:cs="Times New Roman"/>
          <w:noProof/>
          <w:lang w:val="bg-BG" w:eastAsia="bg-BG"/>
        </w:rPr>
        <w:drawing>
          <wp:inline distT="0" distB="0" distL="0" distR="0" wp14:anchorId="25067E3A" wp14:editId="0525381D">
            <wp:extent cx="4305300" cy="2582821"/>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5300" cy="2582821"/>
                    </a:xfrm>
                    <a:prstGeom prst="rect">
                      <a:avLst/>
                    </a:prstGeom>
                    <a:noFill/>
                  </pic:spPr>
                </pic:pic>
              </a:graphicData>
            </a:graphic>
          </wp:inline>
        </w:drawing>
      </w:r>
    </w:p>
    <w:p w14:paraId="79C3A4C7" w14:textId="66C69F05" w:rsidR="00796C2C" w:rsidRPr="00610B1B" w:rsidRDefault="00796C2C" w:rsidP="00D32D6A">
      <w:pPr>
        <w:pStyle w:val="Caption"/>
        <w:spacing w:before="0" w:line="276" w:lineRule="auto"/>
        <w:ind w:right="-153"/>
        <w:rPr>
          <w:rFonts w:cs="Times New Roman"/>
          <w:color w:val="FF0000"/>
          <w:sz w:val="22"/>
          <w:szCs w:val="22"/>
        </w:rPr>
      </w:pPr>
      <w:r w:rsidRPr="00610B1B">
        <w:rPr>
          <w:rFonts w:cs="Times New Roman"/>
          <w:sz w:val="22"/>
          <w:szCs w:val="22"/>
        </w:rPr>
        <w:t>Източник</w:t>
      </w:r>
      <w:r w:rsidR="00513974" w:rsidRPr="00610B1B">
        <w:rPr>
          <w:rFonts w:cs="Times New Roman"/>
          <w:sz w:val="22"/>
          <w:szCs w:val="22"/>
        </w:rPr>
        <w:t>:</w:t>
      </w:r>
      <w:r w:rsidRPr="00610B1B">
        <w:rPr>
          <w:rFonts w:cs="Times New Roman"/>
          <w:sz w:val="22"/>
          <w:szCs w:val="22"/>
        </w:rPr>
        <w:t xml:space="preserve"> ИАМА</w:t>
      </w:r>
    </w:p>
    <w:p w14:paraId="2C7B53CC" w14:textId="5CB4AF43" w:rsidR="00971BB5" w:rsidRPr="00610B1B" w:rsidRDefault="00796C2C" w:rsidP="00971BB5">
      <w:pPr>
        <w:spacing w:after="120"/>
        <w:ind w:right="-153"/>
        <w:jc w:val="both"/>
        <w:rPr>
          <w:rFonts w:ascii="Times New Roman" w:hAnsi="Times New Roman" w:cs="Times New Roman"/>
          <w:sz w:val="24"/>
          <w:szCs w:val="20"/>
          <w:lang w:val="bg-BG"/>
        </w:rPr>
      </w:pPr>
      <w:r w:rsidRPr="00610B1B">
        <w:rPr>
          <w:rFonts w:ascii="Times New Roman" w:hAnsi="Times New Roman" w:cs="Times New Roman"/>
          <w:sz w:val="24"/>
          <w:szCs w:val="20"/>
          <w:lang w:val="bg-BG"/>
        </w:rPr>
        <w:t xml:space="preserve">От </w:t>
      </w:r>
      <w:r w:rsidR="000D5BF5" w:rsidRPr="00610B1B">
        <w:rPr>
          <w:rFonts w:ascii="Times New Roman" w:hAnsi="Times New Roman" w:cs="Times New Roman"/>
          <w:sz w:val="24"/>
          <w:szCs w:val="20"/>
          <w:lang w:val="bg-BG"/>
        </w:rPr>
        <w:t xml:space="preserve">анализа на </w:t>
      </w:r>
      <w:r w:rsidRPr="00610B1B">
        <w:rPr>
          <w:rFonts w:ascii="Times New Roman" w:hAnsi="Times New Roman" w:cs="Times New Roman"/>
          <w:sz w:val="24"/>
          <w:szCs w:val="20"/>
          <w:lang w:val="bg-BG"/>
        </w:rPr>
        <w:t>предоставен</w:t>
      </w:r>
      <w:r w:rsidR="000D5BF5" w:rsidRPr="00610B1B">
        <w:rPr>
          <w:rFonts w:ascii="Times New Roman" w:hAnsi="Times New Roman" w:cs="Times New Roman"/>
          <w:sz w:val="24"/>
          <w:szCs w:val="20"/>
          <w:lang w:val="bg-BG"/>
        </w:rPr>
        <w:t xml:space="preserve">ите </w:t>
      </w:r>
      <w:r w:rsidRPr="00610B1B">
        <w:rPr>
          <w:rFonts w:ascii="Times New Roman" w:hAnsi="Times New Roman" w:cs="Times New Roman"/>
          <w:sz w:val="24"/>
          <w:szCs w:val="20"/>
          <w:lang w:val="bg-BG"/>
        </w:rPr>
        <w:t xml:space="preserve">от ДППИ </w:t>
      </w:r>
      <w:r w:rsidR="000D5BF5" w:rsidRPr="00610B1B">
        <w:rPr>
          <w:rFonts w:ascii="Times New Roman" w:hAnsi="Times New Roman" w:cs="Times New Roman"/>
          <w:sz w:val="24"/>
          <w:szCs w:val="20"/>
          <w:lang w:val="bg-BG"/>
        </w:rPr>
        <w:t>данни</w:t>
      </w:r>
      <w:r w:rsidRPr="00610B1B">
        <w:rPr>
          <w:rFonts w:ascii="Times New Roman" w:hAnsi="Times New Roman" w:cs="Times New Roman"/>
          <w:sz w:val="24"/>
          <w:szCs w:val="20"/>
          <w:lang w:val="bg-BG"/>
        </w:rPr>
        <w:t xml:space="preserve"> за п</w:t>
      </w:r>
      <w:r w:rsidR="000D5BF5" w:rsidRPr="00610B1B">
        <w:rPr>
          <w:rFonts w:ascii="Times New Roman" w:hAnsi="Times New Roman" w:cs="Times New Roman"/>
          <w:sz w:val="24"/>
          <w:szCs w:val="20"/>
          <w:lang w:val="bg-BG"/>
        </w:rPr>
        <w:t>ристани</w:t>
      </w:r>
      <w:r w:rsidRPr="00610B1B">
        <w:rPr>
          <w:rFonts w:ascii="Times New Roman" w:hAnsi="Times New Roman" w:cs="Times New Roman"/>
          <w:sz w:val="24"/>
          <w:szCs w:val="20"/>
          <w:lang w:val="bg-BG"/>
        </w:rPr>
        <w:t xml:space="preserve">ще Варна могат да се направят </w:t>
      </w:r>
      <w:r w:rsidRPr="00610B1B">
        <w:rPr>
          <w:rFonts w:ascii="Times New Roman" w:hAnsi="Times New Roman" w:cs="Times New Roman"/>
          <w:b/>
          <w:bCs/>
          <w:sz w:val="24"/>
          <w:szCs w:val="20"/>
          <w:lang w:val="bg-BG"/>
        </w:rPr>
        <w:t>изводи</w:t>
      </w:r>
      <w:r w:rsidR="000D5BF5" w:rsidRPr="00610B1B">
        <w:rPr>
          <w:rFonts w:ascii="Times New Roman" w:hAnsi="Times New Roman" w:cs="Times New Roman"/>
          <w:b/>
          <w:bCs/>
          <w:sz w:val="24"/>
          <w:szCs w:val="20"/>
          <w:lang w:val="bg-BG"/>
        </w:rPr>
        <w:t>те,</w:t>
      </w:r>
      <w:r w:rsidR="000D5BF5" w:rsidRPr="00610B1B">
        <w:rPr>
          <w:rFonts w:ascii="Times New Roman" w:hAnsi="Times New Roman" w:cs="Times New Roman"/>
          <w:sz w:val="24"/>
          <w:szCs w:val="20"/>
          <w:lang w:val="bg-BG"/>
        </w:rPr>
        <w:t xml:space="preserve"> че б</w:t>
      </w:r>
      <w:r w:rsidRPr="00610B1B">
        <w:rPr>
          <w:rFonts w:ascii="Times New Roman" w:hAnsi="Times New Roman" w:cs="Times New Roman"/>
          <w:sz w:val="24"/>
          <w:szCs w:val="20"/>
          <w:lang w:val="bg-BG"/>
        </w:rPr>
        <w:t>роят на корабите</w:t>
      </w:r>
      <w:r w:rsidR="00F92CF8" w:rsidRPr="00610B1B">
        <w:rPr>
          <w:rFonts w:ascii="Times New Roman" w:hAnsi="Times New Roman" w:cs="Times New Roman"/>
          <w:sz w:val="24"/>
          <w:szCs w:val="20"/>
          <w:lang w:val="bg-BG"/>
        </w:rPr>
        <w:t>,</w:t>
      </w:r>
      <w:r w:rsidRPr="00610B1B">
        <w:rPr>
          <w:rFonts w:ascii="Times New Roman" w:hAnsi="Times New Roman" w:cs="Times New Roman"/>
          <w:sz w:val="24"/>
          <w:szCs w:val="20"/>
          <w:lang w:val="bg-BG"/>
        </w:rPr>
        <w:t xml:space="preserve"> посещаващи п</w:t>
      </w:r>
      <w:r w:rsidR="000D5BF5" w:rsidRPr="00610B1B">
        <w:rPr>
          <w:rFonts w:ascii="Times New Roman" w:hAnsi="Times New Roman" w:cs="Times New Roman"/>
          <w:sz w:val="24"/>
          <w:szCs w:val="20"/>
          <w:lang w:val="bg-BG"/>
        </w:rPr>
        <w:t>ристанище</w:t>
      </w:r>
      <w:r w:rsidRPr="00610B1B">
        <w:rPr>
          <w:rFonts w:ascii="Times New Roman" w:hAnsi="Times New Roman" w:cs="Times New Roman"/>
          <w:sz w:val="24"/>
          <w:szCs w:val="20"/>
          <w:lang w:val="bg-BG"/>
        </w:rPr>
        <w:t xml:space="preserve"> Варна за година е сравнително постоянен и е средно около 2</w:t>
      </w:r>
      <w:r w:rsidR="000D5BF5" w:rsidRPr="00610B1B">
        <w:rPr>
          <w:rFonts w:ascii="Times New Roman" w:hAnsi="Times New Roman" w:cs="Times New Roman"/>
          <w:sz w:val="24"/>
          <w:szCs w:val="20"/>
          <w:lang w:val="bg-BG"/>
        </w:rPr>
        <w:t> </w:t>
      </w:r>
      <w:r w:rsidRPr="00610B1B">
        <w:rPr>
          <w:rFonts w:ascii="Times New Roman" w:hAnsi="Times New Roman" w:cs="Times New Roman"/>
          <w:sz w:val="24"/>
          <w:szCs w:val="20"/>
          <w:lang w:val="bg-BG"/>
        </w:rPr>
        <w:t>190 кораба на година.</w:t>
      </w:r>
      <w:r w:rsidR="000D5BF5" w:rsidRPr="00610B1B">
        <w:rPr>
          <w:rFonts w:ascii="Times New Roman" w:hAnsi="Times New Roman" w:cs="Times New Roman"/>
          <w:sz w:val="24"/>
          <w:szCs w:val="20"/>
          <w:lang w:val="bg-BG"/>
        </w:rPr>
        <w:t xml:space="preserve"> </w:t>
      </w:r>
      <w:r w:rsidRPr="00610B1B">
        <w:rPr>
          <w:rFonts w:ascii="Times New Roman" w:hAnsi="Times New Roman" w:cs="Times New Roman"/>
          <w:sz w:val="24"/>
          <w:szCs w:val="20"/>
          <w:lang w:val="bg-BG"/>
        </w:rPr>
        <w:t xml:space="preserve">Значителен спад има през 2017 и 2018 година, а през 2019 </w:t>
      </w:r>
      <w:r w:rsidR="000D5BF5" w:rsidRPr="00610B1B">
        <w:rPr>
          <w:rFonts w:ascii="Times New Roman" w:hAnsi="Times New Roman" w:cs="Times New Roman"/>
          <w:sz w:val="24"/>
          <w:szCs w:val="20"/>
          <w:lang w:val="bg-BG"/>
        </w:rPr>
        <w:t xml:space="preserve">г. броят на корабите, посетили пристанище Варна </w:t>
      </w:r>
      <w:r w:rsidRPr="00610B1B">
        <w:rPr>
          <w:rFonts w:ascii="Times New Roman" w:hAnsi="Times New Roman" w:cs="Times New Roman"/>
          <w:sz w:val="24"/>
          <w:szCs w:val="20"/>
          <w:lang w:val="bg-BG"/>
        </w:rPr>
        <w:t>рязко се повишава.</w:t>
      </w:r>
      <w:r w:rsidR="000D5BF5" w:rsidRPr="00610B1B">
        <w:rPr>
          <w:rFonts w:ascii="Times New Roman" w:hAnsi="Times New Roman" w:cs="Times New Roman"/>
          <w:sz w:val="24"/>
          <w:szCs w:val="20"/>
          <w:lang w:val="bg-BG"/>
        </w:rPr>
        <w:t xml:space="preserve"> </w:t>
      </w:r>
      <w:r w:rsidR="004B6B3E" w:rsidRPr="00610B1B">
        <w:rPr>
          <w:rFonts w:ascii="Times New Roman" w:hAnsi="Times New Roman" w:cs="Times New Roman"/>
          <w:sz w:val="24"/>
          <w:szCs w:val="20"/>
          <w:lang w:val="bg-BG"/>
        </w:rPr>
        <w:lastRenderedPageBreak/>
        <w:t>Аналогични са изводите и за пристанище Бургас за периода 2015 – 2019 г.</w:t>
      </w:r>
      <w:r w:rsidR="00D66FE0" w:rsidRPr="00610B1B">
        <w:rPr>
          <w:rFonts w:ascii="Times New Roman" w:hAnsi="Times New Roman" w:cs="Times New Roman"/>
          <w:sz w:val="24"/>
          <w:szCs w:val="20"/>
          <w:lang w:val="bg-BG"/>
        </w:rPr>
        <w:t xml:space="preserve"> </w:t>
      </w:r>
      <w:r w:rsidR="004B6B3E" w:rsidRPr="00610B1B">
        <w:rPr>
          <w:rFonts w:ascii="Times New Roman" w:hAnsi="Times New Roman" w:cs="Times New Roman"/>
          <w:sz w:val="24"/>
          <w:szCs w:val="20"/>
          <w:lang w:val="bg-BG"/>
        </w:rPr>
        <w:t xml:space="preserve">Броят </w:t>
      </w:r>
      <w:r w:rsidRPr="00610B1B">
        <w:rPr>
          <w:rFonts w:ascii="Times New Roman" w:hAnsi="Times New Roman" w:cs="Times New Roman"/>
          <w:sz w:val="24"/>
          <w:szCs w:val="20"/>
          <w:lang w:val="bg-BG"/>
        </w:rPr>
        <w:t>на корабите</w:t>
      </w:r>
      <w:r w:rsidR="00014D09" w:rsidRPr="00610B1B">
        <w:rPr>
          <w:rFonts w:ascii="Times New Roman" w:hAnsi="Times New Roman" w:cs="Times New Roman"/>
          <w:sz w:val="24"/>
          <w:szCs w:val="20"/>
          <w:lang w:val="bg-BG"/>
        </w:rPr>
        <w:t>,</w:t>
      </w:r>
      <w:r w:rsidRPr="00610B1B">
        <w:rPr>
          <w:rFonts w:ascii="Times New Roman" w:hAnsi="Times New Roman" w:cs="Times New Roman"/>
          <w:sz w:val="24"/>
          <w:szCs w:val="20"/>
          <w:lang w:val="bg-BG"/>
        </w:rPr>
        <w:t xml:space="preserve"> посещаващи п</w:t>
      </w:r>
      <w:r w:rsidR="00014D09" w:rsidRPr="00610B1B">
        <w:rPr>
          <w:rFonts w:ascii="Times New Roman" w:hAnsi="Times New Roman" w:cs="Times New Roman"/>
          <w:sz w:val="24"/>
          <w:szCs w:val="20"/>
          <w:lang w:val="bg-BG"/>
        </w:rPr>
        <w:t xml:space="preserve">ристанище </w:t>
      </w:r>
      <w:r w:rsidRPr="00610B1B">
        <w:rPr>
          <w:rFonts w:ascii="Times New Roman" w:hAnsi="Times New Roman" w:cs="Times New Roman"/>
          <w:sz w:val="24"/>
          <w:szCs w:val="20"/>
          <w:lang w:val="bg-BG"/>
        </w:rPr>
        <w:t>Бургас за година варира значително, като средно е около 2</w:t>
      </w:r>
      <w:r w:rsidR="00014D09" w:rsidRPr="00610B1B">
        <w:rPr>
          <w:rFonts w:ascii="Times New Roman" w:hAnsi="Times New Roman" w:cs="Times New Roman"/>
          <w:sz w:val="24"/>
          <w:szCs w:val="20"/>
          <w:lang w:val="bg-BG"/>
        </w:rPr>
        <w:t> </w:t>
      </w:r>
      <w:r w:rsidRPr="00610B1B">
        <w:rPr>
          <w:rFonts w:ascii="Times New Roman" w:hAnsi="Times New Roman" w:cs="Times New Roman"/>
          <w:sz w:val="24"/>
          <w:szCs w:val="20"/>
          <w:lang w:val="bg-BG"/>
        </w:rPr>
        <w:t>100 кораба на година</w:t>
      </w:r>
      <w:r w:rsidR="004B6B3E" w:rsidRPr="00610B1B">
        <w:rPr>
          <w:rFonts w:ascii="Times New Roman" w:hAnsi="Times New Roman" w:cs="Times New Roman"/>
          <w:sz w:val="24"/>
          <w:szCs w:val="20"/>
          <w:lang w:val="bg-BG"/>
        </w:rPr>
        <w:t xml:space="preserve">, спадът се отбелязва също </w:t>
      </w:r>
      <w:r w:rsidRPr="00610B1B">
        <w:rPr>
          <w:rFonts w:ascii="Times New Roman" w:hAnsi="Times New Roman" w:cs="Times New Roman"/>
          <w:sz w:val="24"/>
          <w:szCs w:val="20"/>
          <w:lang w:val="bg-BG"/>
        </w:rPr>
        <w:t xml:space="preserve">през 2017 и 2018 година, а </w:t>
      </w:r>
      <w:r w:rsidR="004B6B3E" w:rsidRPr="00610B1B">
        <w:rPr>
          <w:rFonts w:ascii="Times New Roman" w:hAnsi="Times New Roman" w:cs="Times New Roman"/>
          <w:sz w:val="24"/>
          <w:szCs w:val="20"/>
          <w:lang w:val="bg-BG"/>
        </w:rPr>
        <w:t xml:space="preserve">рязкото повишение на броя на корабите е </w:t>
      </w:r>
      <w:r w:rsidRPr="00610B1B">
        <w:rPr>
          <w:rFonts w:ascii="Times New Roman" w:hAnsi="Times New Roman" w:cs="Times New Roman"/>
          <w:sz w:val="24"/>
          <w:szCs w:val="20"/>
          <w:lang w:val="bg-BG"/>
        </w:rPr>
        <w:t>през 2019</w:t>
      </w:r>
      <w:r w:rsidR="00014D09" w:rsidRPr="00610B1B">
        <w:rPr>
          <w:rFonts w:ascii="Times New Roman" w:hAnsi="Times New Roman" w:cs="Times New Roman"/>
          <w:sz w:val="24"/>
          <w:szCs w:val="20"/>
          <w:lang w:val="bg-BG"/>
        </w:rPr>
        <w:t xml:space="preserve"> г. </w:t>
      </w:r>
      <w:r w:rsidR="004B6B3E" w:rsidRPr="00610B1B">
        <w:rPr>
          <w:rFonts w:ascii="Times New Roman" w:hAnsi="Times New Roman" w:cs="Times New Roman"/>
          <w:sz w:val="24"/>
          <w:szCs w:val="20"/>
          <w:lang w:val="bg-BG"/>
        </w:rPr>
        <w:t>И при двете пристанища н</w:t>
      </w:r>
      <w:r w:rsidRPr="00610B1B">
        <w:rPr>
          <w:rFonts w:ascii="Times New Roman" w:hAnsi="Times New Roman" w:cs="Times New Roman"/>
          <w:sz w:val="24"/>
          <w:szCs w:val="20"/>
          <w:lang w:val="bg-BG"/>
        </w:rPr>
        <w:t>ай-голям е броят на корабите за генерални товари и контейнеровози.</w:t>
      </w:r>
      <w:r w:rsidR="004B6B3E" w:rsidRPr="00610B1B">
        <w:rPr>
          <w:rFonts w:ascii="Times New Roman" w:hAnsi="Times New Roman" w:cs="Times New Roman"/>
          <w:sz w:val="24"/>
          <w:szCs w:val="20"/>
          <w:lang w:val="bg-BG"/>
        </w:rPr>
        <w:t xml:space="preserve"> </w:t>
      </w:r>
      <w:bookmarkStart w:id="334" w:name="_Hlk83281919"/>
      <w:r w:rsidR="00971BB5" w:rsidRPr="00610B1B">
        <w:rPr>
          <w:rFonts w:ascii="Times New Roman" w:hAnsi="Times New Roman" w:cs="Times New Roman"/>
          <w:sz w:val="24"/>
          <w:szCs w:val="24"/>
          <w:lang w:val="bg-BG"/>
        </w:rPr>
        <w:t>През 2014 година е открита ро-ро връзката Бургас – Батуми (Поти) – Новоросийск – Бургас, която значително увеличава конкурентоспособността на пристанище Бургас.</w:t>
      </w:r>
      <w:bookmarkEnd w:id="334"/>
    </w:p>
    <w:p w14:paraId="3CBC4F1F" w14:textId="75648626" w:rsidR="00796C2C" w:rsidRPr="00610B1B" w:rsidRDefault="004B6B3E" w:rsidP="00D32D6A">
      <w:pPr>
        <w:spacing w:after="120"/>
        <w:ind w:right="-153"/>
        <w:jc w:val="both"/>
        <w:rPr>
          <w:rFonts w:ascii="Times New Roman" w:hAnsi="Times New Roman" w:cs="Times New Roman"/>
          <w:sz w:val="24"/>
          <w:lang w:val="bg-BG"/>
        </w:rPr>
      </w:pPr>
      <w:r w:rsidRPr="00610B1B">
        <w:rPr>
          <w:rFonts w:ascii="Times New Roman" w:hAnsi="Times New Roman" w:cs="Times New Roman"/>
          <w:sz w:val="24"/>
          <w:lang w:val="bg-BG"/>
        </w:rPr>
        <w:t xml:space="preserve">За </w:t>
      </w:r>
      <w:r w:rsidR="00796C2C" w:rsidRPr="00610B1B">
        <w:rPr>
          <w:rFonts w:ascii="Times New Roman" w:hAnsi="Times New Roman" w:cs="Times New Roman"/>
          <w:sz w:val="24"/>
          <w:lang w:val="bg-BG"/>
        </w:rPr>
        <w:t>последните 5 години и двете пристанища обработват традиционни за тях товари. Количествата на товарите, както и броя</w:t>
      </w:r>
      <w:r w:rsidR="00014D09" w:rsidRPr="00610B1B">
        <w:rPr>
          <w:rFonts w:ascii="Times New Roman" w:hAnsi="Times New Roman" w:cs="Times New Roman"/>
          <w:sz w:val="24"/>
          <w:lang w:val="bg-BG"/>
        </w:rPr>
        <w:t>т</w:t>
      </w:r>
      <w:r w:rsidR="00796C2C" w:rsidRPr="00610B1B">
        <w:rPr>
          <w:rFonts w:ascii="Times New Roman" w:hAnsi="Times New Roman" w:cs="Times New Roman"/>
          <w:sz w:val="24"/>
          <w:lang w:val="bg-BG"/>
        </w:rPr>
        <w:t xml:space="preserve"> на корабите посещаващи пристанище Варна и Бургас са относително постоянни</w:t>
      </w:r>
      <w:r w:rsidR="00014D09" w:rsidRPr="00610B1B">
        <w:rPr>
          <w:rFonts w:ascii="Times New Roman" w:hAnsi="Times New Roman" w:cs="Times New Roman"/>
          <w:sz w:val="24"/>
          <w:lang w:val="bg-BG"/>
        </w:rPr>
        <w:t>, а тенденциите в натоварването през годините са аналогични и в двете пристанища</w:t>
      </w:r>
      <w:r w:rsidR="00796C2C" w:rsidRPr="00610B1B">
        <w:rPr>
          <w:rFonts w:ascii="Times New Roman" w:hAnsi="Times New Roman" w:cs="Times New Roman"/>
          <w:sz w:val="24"/>
          <w:lang w:val="bg-BG"/>
        </w:rPr>
        <w:t xml:space="preserve">. </w:t>
      </w:r>
    </w:p>
    <w:p w14:paraId="2FEBC732" w14:textId="464A7E86" w:rsidR="00796C2C" w:rsidRPr="00610B1B" w:rsidRDefault="00046646" w:rsidP="00D32D6A">
      <w:pPr>
        <w:pStyle w:val="Heading4"/>
        <w:spacing w:before="0" w:line="276" w:lineRule="auto"/>
        <w:ind w:right="-153"/>
        <w:rPr>
          <w:rFonts w:cs="Times New Roman"/>
        </w:rPr>
      </w:pPr>
      <w:bookmarkStart w:id="335" w:name="_Toc28012957"/>
      <w:r w:rsidRPr="00610B1B">
        <w:rPr>
          <w:rFonts w:cs="Times New Roman"/>
        </w:rPr>
        <w:t>3</w:t>
      </w:r>
      <w:r w:rsidR="005A32CE" w:rsidRPr="00610B1B">
        <w:rPr>
          <w:rFonts w:cs="Times New Roman"/>
        </w:rPr>
        <w:t>.1.</w:t>
      </w:r>
      <w:r w:rsidR="00014D09" w:rsidRPr="00610B1B">
        <w:rPr>
          <w:rFonts w:cs="Times New Roman"/>
        </w:rPr>
        <w:t xml:space="preserve">3.2. </w:t>
      </w:r>
      <w:r w:rsidR="00796C2C" w:rsidRPr="00610B1B">
        <w:rPr>
          <w:rFonts w:cs="Times New Roman"/>
        </w:rPr>
        <w:t>Пътническо плаване</w:t>
      </w:r>
      <w:bookmarkEnd w:id="335"/>
      <w:r w:rsidR="00796C2C" w:rsidRPr="00610B1B">
        <w:rPr>
          <w:rFonts w:cs="Times New Roman"/>
        </w:rPr>
        <w:t xml:space="preserve"> </w:t>
      </w:r>
    </w:p>
    <w:p w14:paraId="6BBB0405" w14:textId="60CBA8C4" w:rsidR="00796C2C" w:rsidRPr="00610B1B" w:rsidRDefault="005A32CE" w:rsidP="00D32D6A">
      <w:pPr>
        <w:pStyle w:val="BodyText"/>
        <w:spacing w:before="0" w:after="120" w:line="276" w:lineRule="auto"/>
        <w:ind w:right="-153"/>
        <w:rPr>
          <w:rFonts w:cs="Times New Roman"/>
          <w:bCs/>
        </w:rPr>
      </w:pPr>
      <w:r w:rsidRPr="00610B1B">
        <w:rPr>
          <w:rFonts w:cs="Times New Roman"/>
        </w:rPr>
        <w:t xml:space="preserve">Анализът на </w:t>
      </w:r>
      <w:r w:rsidR="004D4F60" w:rsidRPr="00610B1B">
        <w:rPr>
          <w:rFonts w:cs="Times New Roman"/>
        </w:rPr>
        <w:t>пътническия трафик в Черно море е извършен въз основа на предоставените данни за пътникопотоците в двете най-големи пристанища – Варна и Бургас</w:t>
      </w:r>
      <w:r w:rsidR="000F0DD4" w:rsidRPr="00610B1B">
        <w:rPr>
          <w:rFonts w:cs="Times New Roman"/>
        </w:rPr>
        <w:t xml:space="preserve">. В пристанище </w:t>
      </w:r>
      <w:r w:rsidR="006A7DA8">
        <w:rPr>
          <w:rFonts w:cs="Times New Roman"/>
        </w:rPr>
        <w:t xml:space="preserve">за обществен транспорт </w:t>
      </w:r>
      <w:r w:rsidR="000F0DD4" w:rsidRPr="00610B1B">
        <w:rPr>
          <w:rFonts w:cs="Times New Roman"/>
        </w:rPr>
        <w:t>Варна данните</w:t>
      </w:r>
      <w:r w:rsidR="00314D97" w:rsidRPr="00610B1B">
        <w:rPr>
          <w:rFonts w:cs="Times New Roman"/>
        </w:rPr>
        <w:t xml:space="preserve"> показва</w:t>
      </w:r>
      <w:r w:rsidR="000F0DD4" w:rsidRPr="00610B1B">
        <w:rPr>
          <w:rFonts w:cs="Times New Roman"/>
        </w:rPr>
        <w:t>т</w:t>
      </w:r>
      <w:r w:rsidR="00314D97" w:rsidRPr="00610B1B">
        <w:rPr>
          <w:rFonts w:cs="Times New Roman"/>
        </w:rPr>
        <w:t xml:space="preserve"> спад на </w:t>
      </w:r>
      <w:r w:rsidR="00314D97" w:rsidRPr="00610B1B">
        <w:rPr>
          <w:rFonts w:cs="Times New Roman"/>
          <w:b/>
          <w:bCs/>
        </w:rPr>
        <w:t>пасажерските кораби и пътникопотока</w:t>
      </w:r>
      <w:r w:rsidR="00314D97" w:rsidRPr="00610B1B">
        <w:rPr>
          <w:rFonts w:cs="Times New Roman"/>
        </w:rPr>
        <w:t xml:space="preserve"> от съответно 36 посещения на пътнически кораби през 2014 г. с </w:t>
      </w:r>
      <w:r w:rsidR="002218E6" w:rsidRPr="00897CEA">
        <w:rPr>
          <w:rFonts w:cs="Times New Roman"/>
        </w:rPr>
        <w:t xml:space="preserve">2 994 </w:t>
      </w:r>
      <w:r w:rsidR="00314D97" w:rsidRPr="00610B1B">
        <w:rPr>
          <w:rFonts w:cs="Times New Roman"/>
        </w:rPr>
        <w:t>пътници на 1 посещение и 79, пътника през 2017 г.</w:t>
      </w:r>
      <w:r w:rsidR="00D66FE0" w:rsidRPr="00610B1B">
        <w:rPr>
          <w:rFonts w:cs="Times New Roman"/>
        </w:rPr>
        <w:t xml:space="preserve"> </w:t>
      </w:r>
      <w:r w:rsidR="00796C2C" w:rsidRPr="00610B1B">
        <w:rPr>
          <w:rFonts w:cs="Times New Roman"/>
          <w:bCs/>
        </w:rPr>
        <w:t>Към края на 2019 г. за 2020 година са заявени 6 кораба с 3 610 пасажера, а за 2021</w:t>
      </w:r>
      <w:r w:rsidR="008A6990" w:rsidRPr="00610B1B">
        <w:rPr>
          <w:rFonts w:cs="Times New Roman"/>
          <w:bCs/>
        </w:rPr>
        <w:t xml:space="preserve"> </w:t>
      </w:r>
      <w:r w:rsidR="00796C2C" w:rsidRPr="00610B1B">
        <w:rPr>
          <w:rFonts w:cs="Times New Roman"/>
          <w:bCs/>
        </w:rPr>
        <w:t>г.</w:t>
      </w:r>
      <w:r w:rsidR="00D66FE0" w:rsidRPr="00610B1B">
        <w:rPr>
          <w:rFonts w:cs="Times New Roman"/>
          <w:bCs/>
        </w:rPr>
        <w:t xml:space="preserve"> </w:t>
      </w:r>
      <w:r w:rsidR="00796C2C" w:rsidRPr="00610B1B">
        <w:rPr>
          <w:rFonts w:cs="Times New Roman"/>
          <w:bCs/>
        </w:rPr>
        <w:t xml:space="preserve">са заявени 5 кораба с 2 980 пасажера. </w:t>
      </w:r>
    </w:p>
    <w:p w14:paraId="2F34B8B4" w14:textId="1976E0B4" w:rsidR="00314D97" w:rsidRPr="00610B1B" w:rsidRDefault="00314D97" w:rsidP="00D32D6A">
      <w:pPr>
        <w:pStyle w:val="BodyText"/>
        <w:spacing w:before="0" w:after="120" w:line="276" w:lineRule="auto"/>
        <w:ind w:right="-153"/>
        <w:rPr>
          <w:rFonts w:cs="Times New Roman"/>
          <w:bCs/>
        </w:rPr>
      </w:pPr>
      <w:r w:rsidRPr="00610B1B">
        <w:rPr>
          <w:rFonts w:cs="Times New Roman"/>
          <w:bCs/>
        </w:rPr>
        <w:t xml:space="preserve">За </w:t>
      </w:r>
      <w:r w:rsidR="000F0DD4" w:rsidRPr="00610B1B">
        <w:rPr>
          <w:rFonts w:cs="Times New Roman"/>
          <w:bCs/>
        </w:rPr>
        <w:t>п</w:t>
      </w:r>
      <w:r w:rsidRPr="00610B1B">
        <w:rPr>
          <w:rFonts w:cs="Times New Roman"/>
          <w:bCs/>
        </w:rPr>
        <w:t>ериод</w:t>
      </w:r>
      <w:r w:rsidR="000F0DD4" w:rsidRPr="00610B1B">
        <w:rPr>
          <w:rFonts w:cs="Times New Roman"/>
          <w:bCs/>
        </w:rPr>
        <w:t>а</w:t>
      </w:r>
      <w:r w:rsidRPr="00610B1B">
        <w:rPr>
          <w:rFonts w:cs="Times New Roman"/>
          <w:bCs/>
        </w:rPr>
        <w:t xml:space="preserve"> 2014-2019 г. пристанище</w:t>
      </w:r>
      <w:r w:rsidR="006A7DA8" w:rsidRPr="006A7DA8">
        <w:rPr>
          <w:rFonts w:cs="Times New Roman"/>
        </w:rPr>
        <w:t xml:space="preserve"> </w:t>
      </w:r>
      <w:r w:rsidR="006A7DA8">
        <w:rPr>
          <w:rFonts w:cs="Times New Roman"/>
        </w:rPr>
        <w:t>за обществен транспорт</w:t>
      </w:r>
      <w:r w:rsidRPr="00610B1B">
        <w:rPr>
          <w:rFonts w:cs="Times New Roman"/>
          <w:bCs/>
        </w:rPr>
        <w:t xml:space="preserve"> Бургас показва същите тенденции. Най-много посещения на пасажерски кораби са регистрирани през 2014 г. </w:t>
      </w:r>
      <w:r w:rsidR="000F0DD4" w:rsidRPr="00610B1B">
        <w:rPr>
          <w:rFonts w:cs="Times New Roman"/>
          <w:bCs/>
        </w:rPr>
        <w:t xml:space="preserve">от </w:t>
      </w:r>
      <w:r w:rsidRPr="00610B1B">
        <w:rPr>
          <w:rFonts w:cs="Times New Roman"/>
          <w:bCs/>
        </w:rPr>
        <w:t>общо 27 бр. с 41 761 пътници, които през 2017 г. спадат на 2 бр. посещения с 1 925 пътници.</w:t>
      </w:r>
      <w:r w:rsidRPr="00610B1B">
        <w:rPr>
          <w:rFonts w:cs="Times New Roman"/>
        </w:rPr>
        <w:t xml:space="preserve"> </w:t>
      </w:r>
      <w:r w:rsidRPr="00610B1B">
        <w:rPr>
          <w:rFonts w:cs="Times New Roman"/>
          <w:bCs/>
        </w:rPr>
        <w:t>Към края на 2019</w:t>
      </w:r>
      <w:r w:rsidR="00F00BE8" w:rsidRPr="00610B1B">
        <w:rPr>
          <w:rFonts w:cs="Times New Roman"/>
          <w:bCs/>
        </w:rPr>
        <w:t> </w:t>
      </w:r>
      <w:r w:rsidRPr="00610B1B">
        <w:rPr>
          <w:rFonts w:cs="Times New Roman"/>
          <w:bCs/>
        </w:rPr>
        <w:t>г. за 2020 година са заявени 1 кораб с 1 460 пасажера, а за 2021</w:t>
      </w:r>
      <w:r w:rsidR="006A7DA8">
        <w:rPr>
          <w:rFonts w:cs="Times New Roman"/>
          <w:bCs/>
        </w:rPr>
        <w:t> </w:t>
      </w:r>
      <w:r w:rsidRPr="00610B1B">
        <w:rPr>
          <w:rFonts w:cs="Times New Roman"/>
          <w:bCs/>
        </w:rPr>
        <w:t>г.</w:t>
      </w:r>
      <w:r w:rsidR="00D66FE0" w:rsidRPr="00610B1B">
        <w:rPr>
          <w:rFonts w:cs="Times New Roman"/>
          <w:bCs/>
        </w:rPr>
        <w:t xml:space="preserve"> </w:t>
      </w:r>
      <w:r w:rsidRPr="00610B1B">
        <w:rPr>
          <w:rFonts w:cs="Times New Roman"/>
          <w:bCs/>
        </w:rPr>
        <w:t>са заявени 4 кораба с 2</w:t>
      </w:r>
      <w:r w:rsidR="00F00BE8" w:rsidRPr="00610B1B">
        <w:rPr>
          <w:rFonts w:cs="Times New Roman"/>
          <w:bCs/>
        </w:rPr>
        <w:t> </w:t>
      </w:r>
      <w:r w:rsidRPr="00610B1B">
        <w:rPr>
          <w:rFonts w:cs="Times New Roman"/>
          <w:bCs/>
        </w:rPr>
        <w:t>130 пасажера.</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66"/>
      </w:tblGrid>
      <w:tr w:rsidR="000C428F" w:rsidRPr="00C717D0" w14:paraId="3FC05C7C" w14:textId="77777777" w:rsidTr="00D03DA8">
        <w:tc>
          <w:tcPr>
            <w:tcW w:w="9356" w:type="dxa"/>
            <w:gridSpan w:val="2"/>
          </w:tcPr>
          <w:p w14:paraId="273F3AD2" w14:textId="742D653D" w:rsidR="000C428F" w:rsidRPr="00610B1B" w:rsidRDefault="000C428F" w:rsidP="00D03DA8">
            <w:pPr>
              <w:pStyle w:val="BodyText"/>
              <w:spacing w:before="0" w:after="0" w:line="240" w:lineRule="auto"/>
              <w:ind w:left="-105" w:right="-289"/>
              <w:rPr>
                <w:rFonts w:cs="Times New Roman"/>
                <w:sz w:val="22"/>
              </w:rPr>
            </w:pPr>
            <w:bookmarkStart w:id="336" w:name="_Toc83391476"/>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13</w:t>
            </w:r>
            <w:r w:rsidRPr="00610B1B">
              <w:rPr>
                <w:rFonts w:cs="Times New Roman"/>
              </w:rPr>
              <w:fldChar w:fldCharType="end"/>
            </w:r>
            <w:r w:rsidRPr="00610B1B">
              <w:rPr>
                <w:rFonts w:cs="Times New Roman"/>
              </w:rPr>
              <w:t xml:space="preserve">: Обобщена графика за </w:t>
            </w:r>
            <w:r w:rsidR="006A7DA8">
              <w:rPr>
                <w:rFonts w:cs="Times New Roman"/>
              </w:rPr>
              <w:t xml:space="preserve">пристанищата за обществен транспорт </w:t>
            </w:r>
            <w:r w:rsidRPr="00610B1B">
              <w:rPr>
                <w:rFonts w:cs="Times New Roman"/>
              </w:rPr>
              <w:t>Бургас и Варна</w:t>
            </w:r>
            <w:bookmarkEnd w:id="336"/>
          </w:p>
        </w:tc>
      </w:tr>
      <w:tr w:rsidR="000C428F" w:rsidRPr="00610B1B" w14:paraId="25F40390" w14:textId="77777777" w:rsidTr="00D03DA8">
        <w:tc>
          <w:tcPr>
            <w:tcW w:w="4513" w:type="dxa"/>
          </w:tcPr>
          <w:p w14:paraId="51A8E4DA" w14:textId="619C5052" w:rsidR="000C428F" w:rsidRPr="00610B1B" w:rsidRDefault="0004160B" w:rsidP="00D32D6A">
            <w:pPr>
              <w:pStyle w:val="BodyText"/>
              <w:spacing w:before="0" w:after="0" w:line="240" w:lineRule="auto"/>
              <w:rPr>
                <w:rFonts w:cs="Times New Roman"/>
                <w:sz w:val="22"/>
              </w:rPr>
            </w:pPr>
            <w:r w:rsidRPr="00610B1B">
              <w:rPr>
                <w:rFonts w:cs="Times New Roman"/>
                <w:noProof/>
                <w:lang w:eastAsia="bg-BG" w:bidi="ar-SA"/>
              </w:rPr>
              <w:drawing>
                <wp:inline distT="0" distB="0" distL="0" distR="0" wp14:anchorId="44C250ED" wp14:editId="6DA76697">
                  <wp:extent cx="2952000" cy="3060336"/>
                  <wp:effectExtent l="0" t="0" r="127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52000" cy="3060336"/>
                          </a:xfrm>
                          <a:prstGeom prst="rect">
                            <a:avLst/>
                          </a:prstGeom>
                          <a:noFill/>
                        </pic:spPr>
                      </pic:pic>
                    </a:graphicData>
                  </a:graphic>
                </wp:inline>
              </w:drawing>
            </w:r>
          </w:p>
        </w:tc>
        <w:tc>
          <w:tcPr>
            <w:tcW w:w="4843" w:type="dxa"/>
          </w:tcPr>
          <w:p w14:paraId="576056EF" w14:textId="08258293" w:rsidR="000C428F" w:rsidRPr="00610B1B" w:rsidRDefault="0004160B" w:rsidP="00D32D6A">
            <w:pPr>
              <w:pStyle w:val="BodyText"/>
              <w:spacing w:before="0" w:after="0" w:line="240" w:lineRule="auto"/>
              <w:rPr>
                <w:rFonts w:cs="Times New Roman"/>
                <w:sz w:val="22"/>
              </w:rPr>
            </w:pPr>
            <w:r w:rsidRPr="00610B1B">
              <w:rPr>
                <w:rFonts w:cs="Times New Roman"/>
                <w:noProof/>
                <w:lang w:eastAsia="bg-BG" w:bidi="ar-SA"/>
              </w:rPr>
              <w:drawing>
                <wp:inline distT="0" distB="0" distL="0" distR="0" wp14:anchorId="220EF0C2" wp14:editId="32371486">
                  <wp:extent cx="2944495" cy="3103245"/>
                  <wp:effectExtent l="0" t="0" r="8255"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44495" cy="3103245"/>
                          </a:xfrm>
                          <a:prstGeom prst="rect">
                            <a:avLst/>
                          </a:prstGeom>
                          <a:noFill/>
                        </pic:spPr>
                      </pic:pic>
                    </a:graphicData>
                  </a:graphic>
                </wp:inline>
              </w:drawing>
            </w:r>
          </w:p>
        </w:tc>
      </w:tr>
      <w:tr w:rsidR="000C428F" w:rsidRPr="00610B1B" w14:paraId="7DD80FB6" w14:textId="77777777" w:rsidTr="00D03DA8">
        <w:tc>
          <w:tcPr>
            <w:tcW w:w="9356" w:type="dxa"/>
            <w:gridSpan w:val="2"/>
          </w:tcPr>
          <w:p w14:paraId="42B03B19" w14:textId="6022931F" w:rsidR="000C428F" w:rsidRPr="00610B1B" w:rsidRDefault="000C428F" w:rsidP="00F512B4">
            <w:pPr>
              <w:pStyle w:val="BodyText"/>
              <w:spacing w:before="0" w:after="120" w:line="240" w:lineRule="auto"/>
              <w:ind w:right="-153"/>
              <w:rPr>
                <w:rFonts w:cs="Times New Roman"/>
                <w:sz w:val="22"/>
              </w:rPr>
            </w:pPr>
            <w:r w:rsidRPr="00610B1B">
              <w:rPr>
                <w:rFonts w:cs="Times New Roman"/>
                <w:sz w:val="22"/>
              </w:rPr>
              <w:t>Източник: Пристанище Бургас и Варна</w:t>
            </w:r>
          </w:p>
        </w:tc>
      </w:tr>
    </w:tbl>
    <w:p w14:paraId="0C99354D" w14:textId="64A607F1" w:rsidR="00DD35B2" w:rsidRPr="00F61AC9" w:rsidRDefault="00DD35B2" w:rsidP="00D32D6A">
      <w:pPr>
        <w:pStyle w:val="BodyText"/>
        <w:spacing w:before="0" w:after="120" w:line="276" w:lineRule="auto"/>
        <w:ind w:right="-153"/>
        <w:rPr>
          <w:rFonts w:cs="Times New Roman"/>
        </w:rPr>
      </w:pPr>
      <w:r w:rsidRPr="00F61AC9">
        <w:rPr>
          <w:rFonts w:cs="Times New Roman"/>
        </w:rPr>
        <w:lastRenderedPageBreak/>
        <w:t>Пасажерските терминали във Варна и Бургас са посещавани от едни от най-големите компании, между които MSC Cruises, Princess Cruises, Carnival Corporation и други.</w:t>
      </w:r>
    </w:p>
    <w:p w14:paraId="5710D831" w14:textId="0ECD7FBC" w:rsidR="006E4740" w:rsidRPr="00D03DA8" w:rsidRDefault="006E4740" w:rsidP="006E4740">
      <w:pPr>
        <w:widowControl w:val="0"/>
        <w:spacing w:after="120"/>
        <w:ind w:right="-153"/>
        <w:jc w:val="both"/>
        <w:rPr>
          <w:rFonts w:ascii="Times New Roman" w:eastAsia="Source Han Sans CN Regular" w:hAnsi="Times New Roman" w:cs="Times New Roman"/>
          <w:sz w:val="24"/>
          <w:szCs w:val="24"/>
          <w:lang w:val="bg-BG" w:eastAsia="zh-CN" w:bidi="hi-IN"/>
        </w:rPr>
      </w:pPr>
      <w:r w:rsidRPr="00D03DA8">
        <w:rPr>
          <w:rFonts w:ascii="Times New Roman" w:eastAsia="Source Han Sans CN Regular" w:hAnsi="Times New Roman" w:cs="Times New Roman"/>
          <w:sz w:val="24"/>
          <w:szCs w:val="24"/>
          <w:lang w:val="bg-BG" w:eastAsia="zh-CN" w:bidi="hi-IN"/>
        </w:rPr>
        <w:t xml:space="preserve">По-пълна информация за броя на пътниците, преминали през морските пристанища на Република България през периода 2014-2019 г е достъпна на електронната страница на статистическата служба на Европейската комисия (Евростат) в рубриката: </w:t>
      </w:r>
      <w:r w:rsidRPr="00D03DA8">
        <w:rPr>
          <w:rFonts w:ascii="Times New Roman" w:eastAsia="Source Han Sans CN Regular" w:hAnsi="Times New Roman" w:cs="Times New Roman"/>
          <w:sz w:val="24"/>
          <w:szCs w:val="24"/>
          <w:lang w:val="en-US" w:eastAsia="zh-CN" w:bidi="hi-IN"/>
        </w:rPr>
        <w:t>Maritime</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transport</w:t>
      </w:r>
      <w:r w:rsidRPr="00D03DA8">
        <w:rPr>
          <w:rFonts w:ascii="Times New Roman" w:eastAsia="Source Han Sans CN Regular" w:hAnsi="Times New Roman" w:cs="Times New Roman"/>
          <w:sz w:val="24"/>
          <w:szCs w:val="24"/>
          <w:lang w:val="bg-BG" w:eastAsia="zh-CN" w:bidi="hi-IN"/>
        </w:rPr>
        <w:t>/</w:t>
      </w:r>
      <w:r w:rsidRPr="00D03DA8">
        <w:rPr>
          <w:rFonts w:ascii="Times New Roman" w:eastAsia="Source Han Sans CN Regular" w:hAnsi="Times New Roman" w:cs="Times New Roman"/>
          <w:sz w:val="24"/>
          <w:szCs w:val="24"/>
          <w:lang w:val="en-US" w:eastAsia="zh-CN" w:bidi="hi-IN"/>
        </w:rPr>
        <w:t>Maritime</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transport</w:t>
      </w:r>
      <w:r w:rsidRPr="00D03DA8">
        <w:rPr>
          <w:rFonts w:ascii="Times New Roman" w:eastAsia="Source Han Sans CN Regular" w:hAnsi="Times New Roman" w:cs="Times New Roman"/>
          <w:sz w:val="24"/>
          <w:szCs w:val="24"/>
          <w:lang w:val="bg-BG" w:eastAsia="zh-CN" w:bidi="hi-IN"/>
        </w:rPr>
        <w:t>-</w:t>
      </w:r>
      <w:r w:rsidRPr="00D03DA8">
        <w:rPr>
          <w:rFonts w:ascii="Times New Roman" w:eastAsia="Source Han Sans CN Regular" w:hAnsi="Times New Roman" w:cs="Times New Roman"/>
          <w:sz w:val="24"/>
          <w:szCs w:val="24"/>
          <w:lang w:val="en-US" w:eastAsia="zh-CN" w:bidi="hi-IN"/>
        </w:rPr>
        <w:t>passenger</w:t>
      </w:r>
      <w:r w:rsidRPr="00D03DA8">
        <w:rPr>
          <w:rFonts w:ascii="Times New Roman" w:eastAsia="Source Han Sans CN Regular" w:hAnsi="Times New Roman" w:cs="Times New Roman"/>
          <w:sz w:val="24"/>
          <w:szCs w:val="24"/>
          <w:lang w:val="bg-BG" w:eastAsia="zh-CN" w:bidi="hi-IN"/>
        </w:rPr>
        <w:t>-</w:t>
      </w:r>
      <w:r w:rsidRPr="00D03DA8">
        <w:rPr>
          <w:rFonts w:ascii="Times New Roman" w:eastAsia="Source Han Sans CN Regular" w:hAnsi="Times New Roman" w:cs="Times New Roman"/>
          <w:sz w:val="24"/>
          <w:szCs w:val="24"/>
          <w:lang w:val="en-US" w:eastAsia="zh-CN" w:bidi="hi-IN"/>
        </w:rPr>
        <w:t>detailed</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annual</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and</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quarterly</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results</w:t>
      </w:r>
      <w:r w:rsidRPr="00D03DA8">
        <w:rPr>
          <w:rFonts w:ascii="Times New Roman" w:eastAsia="Source Han Sans CN Regular" w:hAnsi="Times New Roman" w:cs="Times New Roman"/>
          <w:sz w:val="24"/>
          <w:szCs w:val="24"/>
          <w:lang w:val="bg-BG" w:eastAsia="zh-CN" w:bidi="hi-IN"/>
        </w:rPr>
        <w:t>/</w:t>
      </w:r>
      <w:r w:rsidRPr="00D03DA8">
        <w:rPr>
          <w:rFonts w:ascii="Times New Roman" w:eastAsia="Source Han Sans CN Regular" w:hAnsi="Times New Roman" w:cs="Times New Roman"/>
          <w:sz w:val="24"/>
          <w:szCs w:val="24"/>
          <w:lang w:val="en-US" w:eastAsia="zh-CN" w:bidi="hi-IN"/>
        </w:rPr>
        <w:t>Passengers</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embarked</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and</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disembarked</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in</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all</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ports</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by</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direction</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annual</w:t>
      </w:r>
      <w:r w:rsidRPr="00D03DA8">
        <w:rPr>
          <w:rFonts w:ascii="Times New Roman" w:eastAsia="Source Han Sans CN Regular" w:hAnsi="Times New Roman" w:cs="Times New Roman"/>
          <w:sz w:val="24"/>
          <w:szCs w:val="24"/>
          <w:lang w:val="bg-BG" w:eastAsia="zh-CN" w:bidi="hi-IN"/>
        </w:rPr>
        <w:t xml:space="preserve"> </w:t>
      </w:r>
      <w:r w:rsidRPr="00D03DA8">
        <w:rPr>
          <w:rFonts w:ascii="Times New Roman" w:eastAsia="Source Han Sans CN Regular" w:hAnsi="Times New Roman" w:cs="Times New Roman"/>
          <w:sz w:val="24"/>
          <w:szCs w:val="24"/>
          <w:lang w:val="en-US" w:eastAsia="zh-CN" w:bidi="hi-IN"/>
        </w:rPr>
        <w:t>data</w:t>
      </w:r>
      <w:r w:rsidRPr="00D03DA8">
        <w:rPr>
          <w:rFonts w:ascii="Times New Roman" w:eastAsia="Source Han Sans CN Regular" w:hAnsi="Times New Roman" w:cs="Times New Roman"/>
          <w:sz w:val="24"/>
          <w:szCs w:val="24"/>
          <w:lang w:val="bg-BG" w:eastAsia="zh-CN" w:bidi="hi-IN"/>
        </w:rPr>
        <w:t>.</w:t>
      </w:r>
    </w:p>
    <w:p w14:paraId="7CAA1534" w14:textId="52F1FEB2" w:rsidR="006E4740" w:rsidRPr="00D03DA8" w:rsidRDefault="006E4740" w:rsidP="006E4740">
      <w:pPr>
        <w:widowControl w:val="0"/>
        <w:spacing w:after="60"/>
        <w:ind w:right="-153"/>
        <w:jc w:val="both"/>
        <w:rPr>
          <w:rFonts w:ascii="Times New Roman" w:eastAsia="Source Han Sans CN Regular" w:hAnsi="Times New Roman" w:cs="Times New Roman"/>
          <w:sz w:val="24"/>
          <w:szCs w:val="24"/>
          <w:lang w:val="bg-BG" w:eastAsia="zh-CN" w:bidi="hi-IN"/>
        </w:rPr>
      </w:pPr>
      <w:bookmarkStart w:id="337" w:name="_Hlk128056403"/>
      <w:r w:rsidRPr="00D03DA8">
        <w:rPr>
          <w:rFonts w:ascii="Times New Roman" w:eastAsia="Source Han Sans CN Regular" w:hAnsi="Times New Roman" w:cs="Times New Roman"/>
          <w:sz w:val="24"/>
          <w:szCs w:val="24"/>
          <w:lang w:val="bg-BG" w:eastAsia="zh-CN" w:bidi="hi-IN"/>
        </w:rPr>
        <w:t xml:space="preserve">Таблица </w:t>
      </w:r>
      <w:r w:rsidRPr="00F61AC9">
        <w:rPr>
          <w:rFonts w:ascii="Times New Roman" w:eastAsia="Source Han Sans CN Regular" w:hAnsi="Times New Roman" w:cs="Times New Roman"/>
          <w:sz w:val="24"/>
          <w:szCs w:val="24"/>
          <w:lang w:eastAsia="zh-CN" w:bidi="hi-IN"/>
        </w:rPr>
        <w:fldChar w:fldCharType="begin"/>
      </w:r>
      <w:r w:rsidRPr="00D03DA8">
        <w:rPr>
          <w:rFonts w:ascii="Times New Roman" w:eastAsia="Source Han Sans CN Regular" w:hAnsi="Times New Roman" w:cs="Times New Roman"/>
          <w:sz w:val="24"/>
          <w:szCs w:val="24"/>
          <w:lang w:val="bg-BG" w:eastAsia="zh-CN" w:bidi="hi-IN"/>
        </w:rPr>
        <w:instrText xml:space="preserve"> </w:instrText>
      </w:r>
      <w:r w:rsidRPr="00F61AC9">
        <w:rPr>
          <w:rFonts w:ascii="Times New Roman" w:eastAsia="Source Han Sans CN Regular" w:hAnsi="Times New Roman" w:cs="Times New Roman"/>
          <w:sz w:val="24"/>
          <w:szCs w:val="24"/>
          <w:lang w:eastAsia="zh-CN" w:bidi="hi-IN"/>
        </w:rPr>
        <w:instrText>SEQ</w:instrText>
      </w:r>
      <w:r w:rsidRPr="00D03DA8">
        <w:rPr>
          <w:rFonts w:ascii="Times New Roman" w:eastAsia="Source Han Sans CN Regular" w:hAnsi="Times New Roman" w:cs="Times New Roman"/>
          <w:sz w:val="24"/>
          <w:szCs w:val="24"/>
          <w:lang w:val="bg-BG" w:eastAsia="zh-CN" w:bidi="hi-IN"/>
        </w:rPr>
        <w:instrText xml:space="preserve"> Таблица \* </w:instrText>
      </w:r>
      <w:r w:rsidRPr="00F61AC9">
        <w:rPr>
          <w:rFonts w:ascii="Times New Roman" w:eastAsia="Source Han Sans CN Regular" w:hAnsi="Times New Roman" w:cs="Times New Roman"/>
          <w:sz w:val="24"/>
          <w:szCs w:val="24"/>
          <w:lang w:eastAsia="zh-CN" w:bidi="hi-IN"/>
        </w:rPr>
        <w:instrText>ARABIC</w:instrText>
      </w:r>
      <w:r w:rsidRPr="00D03DA8">
        <w:rPr>
          <w:rFonts w:ascii="Times New Roman" w:eastAsia="Source Han Sans CN Regular" w:hAnsi="Times New Roman" w:cs="Times New Roman"/>
          <w:sz w:val="24"/>
          <w:szCs w:val="24"/>
          <w:lang w:val="bg-BG" w:eastAsia="zh-CN" w:bidi="hi-IN"/>
        </w:rPr>
        <w:instrText xml:space="preserve"> </w:instrText>
      </w:r>
      <w:r w:rsidRPr="00F61AC9">
        <w:rPr>
          <w:rFonts w:ascii="Times New Roman" w:eastAsia="Source Han Sans CN Regular" w:hAnsi="Times New Roman" w:cs="Times New Roman"/>
          <w:sz w:val="24"/>
          <w:szCs w:val="24"/>
          <w:lang w:eastAsia="zh-CN" w:bidi="hi-IN"/>
        </w:rPr>
        <w:fldChar w:fldCharType="separate"/>
      </w:r>
      <w:r w:rsidRPr="00D03DA8">
        <w:rPr>
          <w:rFonts w:ascii="Times New Roman" w:eastAsia="Source Han Sans CN Regular" w:hAnsi="Times New Roman" w:cs="Times New Roman"/>
          <w:sz w:val="24"/>
          <w:szCs w:val="24"/>
          <w:lang w:val="bg-BG" w:eastAsia="zh-CN" w:bidi="hi-IN"/>
        </w:rPr>
        <w:t>11</w:t>
      </w:r>
      <w:r w:rsidRPr="00F61AC9">
        <w:rPr>
          <w:rFonts w:ascii="Times New Roman" w:eastAsia="Source Han Sans CN Regular" w:hAnsi="Times New Roman" w:cs="Times New Roman"/>
          <w:sz w:val="24"/>
          <w:szCs w:val="24"/>
          <w:lang w:val="bg-BG" w:eastAsia="zh-CN" w:bidi="hi-IN"/>
        </w:rPr>
        <w:fldChar w:fldCharType="end"/>
      </w:r>
      <w:r w:rsidRPr="00D03DA8">
        <w:rPr>
          <w:rFonts w:ascii="Times New Roman" w:eastAsia="Source Han Sans CN Regular" w:hAnsi="Times New Roman" w:cs="Times New Roman"/>
          <w:sz w:val="24"/>
          <w:szCs w:val="24"/>
          <w:lang w:val="bg-BG" w:eastAsia="zh-CN" w:bidi="hi-IN"/>
        </w:rPr>
        <w:t xml:space="preserve">: </w:t>
      </w:r>
      <w:r w:rsidRPr="00F61AC9">
        <w:rPr>
          <w:rFonts w:ascii="Times New Roman" w:eastAsia="Source Han Sans CN Regular" w:hAnsi="Times New Roman" w:cs="Times New Roman"/>
          <w:sz w:val="24"/>
          <w:szCs w:val="24"/>
          <w:lang w:val="bg-BG" w:eastAsia="zh-CN" w:bidi="hi-IN"/>
        </w:rPr>
        <w:t>Б</w:t>
      </w:r>
      <w:r w:rsidRPr="00D03DA8">
        <w:rPr>
          <w:rFonts w:ascii="Times New Roman" w:eastAsia="Source Han Sans CN Regular" w:hAnsi="Times New Roman" w:cs="Times New Roman"/>
          <w:sz w:val="24"/>
          <w:szCs w:val="24"/>
          <w:lang w:val="bg-BG" w:eastAsia="zh-CN" w:bidi="hi-IN"/>
        </w:rPr>
        <w:t>ро</w:t>
      </w:r>
      <w:r w:rsidRPr="00F61AC9">
        <w:rPr>
          <w:rFonts w:ascii="Times New Roman" w:eastAsia="Source Han Sans CN Regular" w:hAnsi="Times New Roman" w:cs="Times New Roman"/>
          <w:sz w:val="24"/>
          <w:szCs w:val="24"/>
          <w:lang w:val="bg-BG" w:eastAsia="zh-CN" w:bidi="hi-IN"/>
        </w:rPr>
        <w:t>й</w:t>
      </w:r>
      <w:r w:rsidRPr="00D03DA8">
        <w:rPr>
          <w:rFonts w:ascii="Times New Roman" w:eastAsia="Source Han Sans CN Regular" w:hAnsi="Times New Roman" w:cs="Times New Roman"/>
          <w:sz w:val="24"/>
          <w:szCs w:val="24"/>
          <w:lang w:val="bg-BG" w:eastAsia="zh-CN" w:bidi="hi-IN"/>
        </w:rPr>
        <w:t xml:space="preserve"> пътници, преминали през морските пристанища на Р</w:t>
      </w:r>
      <w:r w:rsidRPr="00F61AC9">
        <w:rPr>
          <w:rFonts w:ascii="Times New Roman" w:eastAsia="Source Han Sans CN Regular" w:hAnsi="Times New Roman" w:cs="Times New Roman"/>
          <w:sz w:val="24"/>
          <w:szCs w:val="24"/>
          <w:lang w:val="bg-BG" w:eastAsia="zh-CN" w:bidi="hi-IN"/>
        </w:rPr>
        <w:t>.</w:t>
      </w:r>
      <w:r w:rsidRPr="00D03DA8">
        <w:rPr>
          <w:rFonts w:ascii="Times New Roman" w:eastAsia="Source Han Sans CN Regular" w:hAnsi="Times New Roman" w:cs="Times New Roman"/>
          <w:sz w:val="24"/>
          <w:szCs w:val="24"/>
          <w:lang w:val="bg-BG" w:eastAsia="zh-CN" w:bidi="hi-IN"/>
        </w:rPr>
        <w:t xml:space="preserve"> България през периода 2014-2019 г</w:t>
      </w:r>
    </w:p>
    <w:bookmarkEnd w:id="337"/>
    <w:tbl>
      <w:tblPr>
        <w:tblW w:w="9665" w:type="dxa"/>
        <w:tblInd w:w="-284" w:type="dxa"/>
        <w:tblBorders>
          <w:top w:val="single" w:sz="4" w:space="0" w:color="auto"/>
          <w:bottom w:val="single" w:sz="4" w:space="0" w:color="auto"/>
          <w:insideH w:val="single" w:sz="4" w:space="0" w:color="auto"/>
        </w:tblBorders>
        <w:tblLook w:val="00A0" w:firstRow="1" w:lastRow="0" w:firstColumn="1" w:lastColumn="0" w:noHBand="0" w:noVBand="0"/>
      </w:tblPr>
      <w:tblGrid>
        <w:gridCol w:w="5529"/>
        <w:gridCol w:w="705"/>
        <w:gridCol w:w="704"/>
        <w:gridCol w:w="705"/>
        <w:gridCol w:w="656"/>
        <w:gridCol w:w="705"/>
        <w:gridCol w:w="661"/>
      </w:tblGrid>
      <w:tr w:rsidR="00F61AC9" w:rsidRPr="00F61AC9" w14:paraId="4839396B" w14:textId="4D85D4A6" w:rsidTr="006E4740">
        <w:trPr>
          <w:tblHeader/>
        </w:trPr>
        <w:tc>
          <w:tcPr>
            <w:tcW w:w="5529" w:type="dxa"/>
            <w:shd w:val="clear" w:color="auto" w:fill="C6D9F1" w:themeFill="text2" w:themeFillTint="33"/>
            <w:vAlign w:val="center"/>
          </w:tcPr>
          <w:p w14:paraId="1508CE84" w14:textId="77777777" w:rsidR="006E4740" w:rsidRPr="00D03DA8" w:rsidRDefault="006E4740" w:rsidP="00522682">
            <w:pPr>
              <w:spacing w:after="0" w:line="240" w:lineRule="auto"/>
              <w:jc w:val="center"/>
              <w:rPr>
                <w:rFonts w:ascii="Times New Roman" w:eastAsia="Times New Roman" w:hAnsi="Times New Roman" w:cs="Times New Roman"/>
                <w:b/>
                <w:bCs/>
                <w:lang w:val="bg-BG" w:eastAsia="bg-BG"/>
              </w:rPr>
            </w:pPr>
          </w:p>
        </w:tc>
        <w:tc>
          <w:tcPr>
            <w:tcW w:w="705" w:type="dxa"/>
            <w:shd w:val="clear" w:color="auto" w:fill="C6D9F1" w:themeFill="text2" w:themeFillTint="33"/>
            <w:vAlign w:val="center"/>
          </w:tcPr>
          <w:p w14:paraId="0DE75A33" w14:textId="45833390" w:rsidR="006E4740" w:rsidRPr="00D03DA8" w:rsidRDefault="006E4740" w:rsidP="006E4740">
            <w:pPr>
              <w:spacing w:after="0" w:line="240" w:lineRule="auto"/>
              <w:jc w:val="right"/>
              <w:rPr>
                <w:rFonts w:ascii="Times New Roman" w:eastAsia="Times New Roman" w:hAnsi="Times New Roman" w:cs="Times New Roman"/>
                <w:b/>
                <w:bCs/>
                <w:lang w:val="en-US" w:eastAsia="bg-BG"/>
              </w:rPr>
            </w:pPr>
            <w:r w:rsidRPr="00D03DA8">
              <w:rPr>
                <w:rFonts w:ascii="Times New Roman" w:eastAsia="Times New Roman" w:hAnsi="Times New Roman" w:cs="Times New Roman"/>
                <w:b/>
                <w:bCs/>
                <w:lang w:val="en-US" w:eastAsia="bg-BG"/>
              </w:rPr>
              <w:t>2014</w:t>
            </w:r>
          </w:p>
        </w:tc>
        <w:tc>
          <w:tcPr>
            <w:tcW w:w="704" w:type="dxa"/>
            <w:shd w:val="clear" w:color="auto" w:fill="C6D9F1" w:themeFill="text2" w:themeFillTint="33"/>
            <w:vAlign w:val="center"/>
          </w:tcPr>
          <w:p w14:paraId="7F7C0B80" w14:textId="52EC9EDC" w:rsidR="006E4740" w:rsidRPr="00D03DA8" w:rsidRDefault="006E4740" w:rsidP="006E4740">
            <w:pPr>
              <w:spacing w:after="0" w:line="240" w:lineRule="auto"/>
              <w:jc w:val="right"/>
              <w:rPr>
                <w:rFonts w:ascii="Times New Roman" w:eastAsia="Times New Roman" w:hAnsi="Times New Roman" w:cs="Times New Roman"/>
                <w:b/>
                <w:bCs/>
                <w:lang w:val="en-US" w:eastAsia="bg-BG"/>
              </w:rPr>
            </w:pPr>
            <w:r w:rsidRPr="00D03DA8">
              <w:rPr>
                <w:rFonts w:ascii="Times New Roman" w:eastAsia="Times New Roman" w:hAnsi="Times New Roman" w:cs="Times New Roman"/>
                <w:b/>
                <w:bCs/>
                <w:lang w:val="en-US" w:eastAsia="bg-BG"/>
              </w:rPr>
              <w:t>2015</w:t>
            </w:r>
          </w:p>
        </w:tc>
        <w:tc>
          <w:tcPr>
            <w:tcW w:w="705" w:type="dxa"/>
            <w:shd w:val="clear" w:color="auto" w:fill="C6D9F1" w:themeFill="text2" w:themeFillTint="33"/>
            <w:vAlign w:val="center"/>
          </w:tcPr>
          <w:p w14:paraId="54D21773" w14:textId="319E2717" w:rsidR="006E4740" w:rsidRPr="00D03DA8" w:rsidRDefault="006E4740" w:rsidP="006E4740">
            <w:pPr>
              <w:spacing w:after="0" w:line="240" w:lineRule="auto"/>
              <w:jc w:val="right"/>
              <w:rPr>
                <w:rFonts w:ascii="Times New Roman" w:eastAsia="Times New Roman" w:hAnsi="Times New Roman" w:cs="Times New Roman"/>
                <w:b/>
                <w:bCs/>
                <w:lang w:val="en-US" w:eastAsia="bg-BG"/>
              </w:rPr>
            </w:pPr>
            <w:r w:rsidRPr="00D03DA8">
              <w:rPr>
                <w:rFonts w:ascii="Times New Roman" w:eastAsia="Times New Roman" w:hAnsi="Times New Roman" w:cs="Times New Roman"/>
                <w:b/>
                <w:bCs/>
                <w:lang w:val="en-US" w:eastAsia="bg-BG"/>
              </w:rPr>
              <w:t>2016</w:t>
            </w:r>
          </w:p>
        </w:tc>
        <w:tc>
          <w:tcPr>
            <w:tcW w:w="656" w:type="dxa"/>
            <w:shd w:val="clear" w:color="auto" w:fill="C6D9F1" w:themeFill="text2" w:themeFillTint="33"/>
            <w:vAlign w:val="center"/>
          </w:tcPr>
          <w:p w14:paraId="1ADA6AA0" w14:textId="3F9D8386" w:rsidR="006E4740" w:rsidRPr="00D03DA8" w:rsidRDefault="006E4740" w:rsidP="006E4740">
            <w:pPr>
              <w:spacing w:after="0" w:line="240" w:lineRule="auto"/>
              <w:jc w:val="right"/>
              <w:rPr>
                <w:rFonts w:ascii="Times New Roman" w:eastAsia="Times New Roman" w:hAnsi="Times New Roman" w:cs="Times New Roman"/>
                <w:b/>
                <w:bCs/>
                <w:lang w:val="en-US" w:eastAsia="bg-BG"/>
              </w:rPr>
            </w:pPr>
            <w:r w:rsidRPr="00D03DA8">
              <w:rPr>
                <w:rFonts w:ascii="Times New Roman" w:eastAsia="Times New Roman" w:hAnsi="Times New Roman" w:cs="Times New Roman"/>
                <w:b/>
                <w:bCs/>
                <w:lang w:val="en-US" w:eastAsia="bg-BG"/>
              </w:rPr>
              <w:t>2017</w:t>
            </w:r>
          </w:p>
        </w:tc>
        <w:tc>
          <w:tcPr>
            <w:tcW w:w="705" w:type="dxa"/>
            <w:shd w:val="clear" w:color="auto" w:fill="C6D9F1" w:themeFill="text2" w:themeFillTint="33"/>
          </w:tcPr>
          <w:p w14:paraId="19446E8A" w14:textId="14729E05" w:rsidR="006E4740" w:rsidRPr="00D03DA8" w:rsidRDefault="006E4740" w:rsidP="006E4740">
            <w:pPr>
              <w:spacing w:after="0" w:line="240" w:lineRule="auto"/>
              <w:jc w:val="right"/>
              <w:rPr>
                <w:rFonts w:ascii="Times New Roman" w:eastAsia="Times New Roman" w:hAnsi="Times New Roman" w:cs="Times New Roman"/>
                <w:b/>
                <w:bCs/>
                <w:lang w:val="en-US" w:eastAsia="bg-BG"/>
              </w:rPr>
            </w:pPr>
            <w:r w:rsidRPr="00D03DA8">
              <w:rPr>
                <w:rFonts w:ascii="Times New Roman" w:eastAsia="Times New Roman" w:hAnsi="Times New Roman" w:cs="Times New Roman"/>
                <w:b/>
                <w:bCs/>
                <w:lang w:val="en-US" w:eastAsia="bg-BG"/>
              </w:rPr>
              <w:t>2018</w:t>
            </w:r>
          </w:p>
        </w:tc>
        <w:tc>
          <w:tcPr>
            <w:tcW w:w="661" w:type="dxa"/>
            <w:shd w:val="clear" w:color="auto" w:fill="C6D9F1" w:themeFill="text2" w:themeFillTint="33"/>
          </w:tcPr>
          <w:p w14:paraId="223BD586" w14:textId="6FFF6FC0" w:rsidR="006E4740" w:rsidRPr="00D03DA8" w:rsidRDefault="006E4740" w:rsidP="006E4740">
            <w:pPr>
              <w:spacing w:after="0" w:line="240" w:lineRule="auto"/>
              <w:jc w:val="right"/>
              <w:rPr>
                <w:rFonts w:ascii="Times New Roman" w:eastAsia="Times New Roman" w:hAnsi="Times New Roman" w:cs="Times New Roman"/>
                <w:b/>
                <w:bCs/>
                <w:lang w:val="en-US" w:eastAsia="bg-BG"/>
              </w:rPr>
            </w:pPr>
            <w:r w:rsidRPr="00D03DA8">
              <w:rPr>
                <w:rFonts w:ascii="Times New Roman" w:eastAsia="Times New Roman" w:hAnsi="Times New Roman" w:cs="Times New Roman"/>
                <w:b/>
                <w:bCs/>
                <w:lang w:val="en-US" w:eastAsia="bg-BG"/>
              </w:rPr>
              <w:t>2019</w:t>
            </w:r>
          </w:p>
        </w:tc>
      </w:tr>
      <w:tr w:rsidR="00F61AC9" w:rsidRPr="00F61AC9" w14:paraId="1EB62285" w14:textId="6C7B3AC3" w:rsidTr="006E4740">
        <w:tc>
          <w:tcPr>
            <w:tcW w:w="5529" w:type="dxa"/>
          </w:tcPr>
          <w:p w14:paraId="565C87AD" w14:textId="6E54F080" w:rsidR="006E4740" w:rsidRPr="00F61AC9" w:rsidRDefault="006E4740" w:rsidP="006E4740">
            <w:pPr>
              <w:spacing w:before="20" w:after="20" w:line="240" w:lineRule="auto"/>
              <w:rPr>
                <w:rFonts w:ascii="Times New Roman" w:eastAsia="Source Han Sans CN Regular" w:hAnsi="Times New Roman" w:cs="Times New Roman"/>
                <w:sz w:val="24"/>
                <w:szCs w:val="24"/>
                <w:lang w:val="bg-BG" w:eastAsia="zh-CN" w:bidi="hi-IN"/>
              </w:rPr>
            </w:pPr>
            <w:r w:rsidRPr="00F61AC9">
              <w:rPr>
                <w:rFonts w:ascii="Times New Roman" w:eastAsia="Source Han Sans CN Regular" w:hAnsi="Times New Roman" w:cs="Times New Roman"/>
                <w:sz w:val="24"/>
                <w:szCs w:val="24"/>
                <w:lang w:val="bg-BG" w:eastAsia="zh-CN" w:bidi="hi-IN"/>
              </w:rPr>
              <w:t>Брой пътници, с изключение на круизните (хиляди)</w:t>
            </w:r>
          </w:p>
        </w:tc>
        <w:tc>
          <w:tcPr>
            <w:tcW w:w="705" w:type="dxa"/>
          </w:tcPr>
          <w:p w14:paraId="36CDCE77" w14:textId="2DAACAF2" w:rsidR="006E4740" w:rsidRPr="00D03DA8" w:rsidRDefault="006E4740" w:rsidP="006E4740">
            <w:pPr>
              <w:spacing w:before="20" w:after="20" w:line="240" w:lineRule="auto"/>
              <w:jc w:val="right"/>
              <w:rPr>
                <w:rFonts w:ascii="Times New Roman" w:eastAsia="Times New Roman" w:hAnsi="Times New Roman" w:cs="Times New Roman"/>
                <w:b/>
                <w:bCs/>
                <w:lang w:val="bg-BG" w:eastAsia="bg-BG"/>
              </w:rPr>
            </w:pPr>
            <w:r w:rsidRPr="00D03DA8">
              <w:rPr>
                <w:rFonts w:ascii="Times New Roman" w:eastAsia="Source Han Sans CN Regular" w:hAnsi="Times New Roman" w:cs="Times New Roman"/>
                <w:sz w:val="24"/>
                <w:szCs w:val="24"/>
                <w:lang w:eastAsia="zh-CN" w:bidi="hi-IN"/>
              </w:rPr>
              <w:t>1</w:t>
            </w:r>
          </w:p>
        </w:tc>
        <w:tc>
          <w:tcPr>
            <w:tcW w:w="704" w:type="dxa"/>
          </w:tcPr>
          <w:p w14:paraId="1076842C" w14:textId="6D2E106E" w:rsidR="006E4740" w:rsidRPr="00D03DA8" w:rsidRDefault="006E4740" w:rsidP="006E4740">
            <w:pPr>
              <w:spacing w:before="20" w:after="20" w:line="240" w:lineRule="auto"/>
              <w:jc w:val="right"/>
              <w:rPr>
                <w:rFonts w:ascii="Times New Roman" w:eastAsia="Times New Roman" w:hAnsi="Times New Roman" w:cs="Times New Roman"/>
                <w:b/>
                <w:bCs/>
                <w:lang w:val="bg-BG" w:eastAsia="bg-BG"/>
              </w:rPr>
            </w:pPr>
            <w:r w:rsidRPr="00D03DA8">
              <w:rPr>
                <w:rFonts w:ascii="Times New Roman" w:eastAsia="Source Han Sans CN Regular" w:hAnsi="Times New Roman" w:cs="Times New Roman"/>
                <w:sz w:val="24"/>
                <w:szCs w:val="24"/>
                <w:lang w:eastAsia="zh-CN" w:bidi="hi-IN"/>
              </w:rPr>
              <w:t>2</w:t>
            </w:r>
          </w:p>
        </w:tc>
        <w:tc>
          <w:tcPr>
            <w:tcW w:w="705" w:type="dxa"/>
          </w:tcPr>
          <w:p w14:paraId="2DB956C4" w14:textId="001799D7" w:rsidR="006E4740" w:rsidRPr="00D03DA8" w:rsidRDefault="006E4740" w:rsidP="006E4740">
            <w:pPr>
              <w:spacing w:before="20" w:after="20" w:line="240" w:lineRule="auto"/>
              <w:jc w:val="right"/>
              <w:rPr>
                <w:rFonts w:ascii="Times New Roman" w:eastAsia="Times New Roman" w:hAnsi="Times New Roman" w:cs="Times New Roman"/>
                <w:b/>
                <w:bCs/>
                <w:lang w:val="bg-BG" w:eastAsia="bg-BG"/>
              </w:rPr>
            </w:pPr>
            <w:r w:rsidRPr="00D03DA8">
              <w:rPr>
                <w:rFonts w:ascii="Times New Roman" w:eastAsia="Source Han Sans CN Regular" w:hAnsi="Times New Roman" w:cs="Times New Roman"/>
                <w:sz w:val="24"/>
                <w:szCs w:val="24"/>
                <w:lang w:eastAsia="zh-CN" w:bidi="hi-IN"/>
              </w:rPr>
              <w:t>3</w:t>
            </w:r>
          </w:p>
        </w:tc>
        <w:tc>
          <w:tcPr>
            <w:tcW w:w="656" w:type="dxa"/>
          </w:tcPr>
          <w:p w14:paraId="3A425B52" w14:textId="49545701" w:rsidR="006E4740" w:rsidRPr="00D03DA8" w:rsidRDefault="006E4740" w:rsidP="006E4740">
            <w:pPr>
              <w:spacing w:before="20" w:after="20" w:line="240" w:lineRule="auto"/>
              <w:jc w:val="right"/>
              <w:rPr>
                <w:rFonts w:ascii="Times New Roman" w:eastAsia="Times New Roman" w:hAnsi="Times New Roman" w:cs="Times New Roman"/>
                <w:b/>
                <w:bCs/>
                <w:lang w:val="bg-BG" w:eastAsia="bg-BG"/>
              </w:rPr>
            </w:pPr>
            <w:r w:rsidRPr="00D03DA8">
              <w:rPr>
                <w:rFonts w:ascii="Times New Roman" w:eastAsia="Source Han Sans CN Regular" w:hAnsi="Times New Roman" w:cs="Times New Roman"/>
                <w:sz w:val="24"/>
                <w:szCs w:val="24"/>
                <w:lang w:eastAsia="zh-CN" w:bidi="hi-IN"/>
              </w:rPr>
              <w:t>2</w:t>
            </w:r>
          </w:p>
        </w:tc>
        <w:tc>
          <w:tcPr>
            <w:tcW w:w="705" w:type="dxa"/>
          </w:tcPr>
          <w:p w14:paraId="5AE812D5" w14:textId="439A8D0A" w:rsidR="006E4740" w:rsidRPr="00D03DA8" w:rsidRDefault="006E4740" w:rsidP="006E4740">
            <w:pPr>
              <w:spacing w:before="20" w:after="20" w:line="240" w:lineRule="auto"/>
              <w:jc w:val="right"/>
              <w:rPr>
                <w:rFonts w:ascii="Times New Roman" w:eastAsia="Times New Roman" w:hAnsi="Times New Roman" w:cs="Times New Roman"/>
                <w:b/>
                <w:bCs/>
                <w:lang w:val="bg-BG" w:eastAsia="bg-BG"/>
              </w:rPr>
            </w:pPr>
            <w:r w:rsidRPr="00D03DA8">
              <w:rPr>
                <w:rFonts w:ascii="Times New Roman" w:eastAsia="Source Han Sans CN Regular" w:hAnsi="Times New Roman" w:cs="Times New Roman"/>
                <w:sz w:val="24"/>
                <w:szCs w:val="24"/>
                <w:lang w:eastAsia="zh-CN" w:bidi="hi-IN"/>
              </w:rPr>
              <w:t>3</w:t>
            </w:r>
          </w:p>
        </w:tc>
        <w:tc>
          <w:tcPr>
            <w:tcW w:w="661" w:type="dxa"/>
          </w:tcPr>
          <w:p w14:paraId="4E8A36D0" w14:textId="1B21A402" w:rsidR="006E4740" w:rsidRPr="00D03DA8" w:rsidRDefault="006E4740" w:rsidP="006E4740">
            <w:pPr>
              <w:spacing w:before="20" w:after="20" w:line="240" w:lineRule="auto"/>
              <w:jc w:val="right"/>
              <w:rPr>
                <w:rFonts w:ascii="Times New Roman" w:eastAsia="Times New Roman" w:hAnsi="Times New Roman" w:cs="Times New Roman"/>
                <w:b/>
                <w:bCs/>
                <w:lang w:val="bg-BG" w:eastAsia="bg-BG"/>
              </w:rPr>
            </w:pPr>
            <w:r w:rsidRPr="00D03DA8">
              <w:rPr>
                <w:rFonts w:ascii="Times New Roman" w:eastAsia="Source Han Sans CN Regular" w:hAnsi="Times New Roman" w:cs="Times New Roman"/>
                <w:sz w:val="24"/>
                <w:szCs w:val="24"/>
                <w:lang w:eastAsia="zh-CN" w:bidi="hi-IN"/>
              </w:rPr>
              <w:t>5</w:t>
            </w:r>
          </w:p>
        </w:tc>
      </w:tr>
      <w:tr w:rsidR="00F61AC9" w:rsidRPr="00F61AC9" w14:paraId="6FF868C2" w14:textId="276599AA" w:rsidTr="006E4740">
        <w:tc>
          <w:tcPr>
            <w:tcW w:w="5529" w:type="dxa"/>
          </w:tcPr>
          <w:p w14:paraId="4C5717F7" w14:textId="21AF9B2C" w:rsidR="006E4740" w:rsidRPr="00F61AC9" w:rsidRDefault="006E4740" w:rsidP="006E4740">
            <w:pPr>
              <w:spacing w:before="20" w:after="20" w:line="240" w:lineRule="auto"/>
              <w:rPr>
                <w:rFonts w:ascii="Times New Roman" w:eastAsia="Source Han Sans CN Regular" w:hAnsi="Times New Roman" w:cs="Times New Roman"/>
                <w:sz w:val="24"/>
                <w:szCs w:val="24"/>
                <w:lang w:val="bg-BG" w:eastAsia="zh-CN" w:bidi="hi-IN"/>
              </w:rPr>
            </w:pPr>
            <w:r w:rsidRPr="00F61AC9">
              <w:rPr>
                <w:rFonts w:ascii="Times New Roman" w:eastAsia="Source Han Sans CN Regular" w:hAnsi="Times New Roman" w:cs="Times New Roman"/>
                <w:sz w:val="24"/>
                <w:szCs w:val="24"/>
                <w:lang w:val="bg-BG" w:eastAsia="zh-CN" w:bidi="hi-IN"/>
              </w:rPr>
              <w:t>Брой круизни пътници, осъществяващи круизна пътническа екскурзия (хиляди)</w:t>
            </w:r>
          </w:p>
        </w:tc>
        <w:tc>
          <w:tcPr>
            <w:tcW w:w="705" w:type="dxa"/>
          </w:tcPr>
          <w:p w14:paraId="443F3BCB" w14:textId="4A993B33" w:rsidR="006E4740" w:rsidRPr="00D03DA8" w:rsidRDefault="006E4740" w:rsidP="006E4740">
            <w:pPr>
              <w:spacing w:before="20" w:after="20" w:line="240" w:lineRule="auto"/>
              <w:jc w:val="right"/>
              <w:rPr>
                <w:rFonts w:ascii="Times New Roman" w:eastAsia="Times New Roman" w:hAnsi="Times New Roman" w:cs="Times New Roman"/>
                <w:bCs/>
                <w:lang w:val="bg-BG" w:eastAsia="bg-BG"/>
              </w:rPr>
            </w:pPr>
            <w:r w:rsidRPr="00D03DA8">
              <w:rPr>
                <w:rFonts w:ascii="Times New Roman" w:eastAsia="Source Han Sans CN Regular" w:hAnsi="Times New Roman" w:cs="Times New Roman"/>
                <w:sz w:val="24"/>
                <w:szCs w:val="24"/>
                <w:lang w:eastAsia="zh-CN" w:bidi="hi-IN"/>
              </w:rPr>
              <w:t>77</w:t>
            </w:r>
          </w:p>
        </w:tc>
        <w:tc>
          <w:tcPr>
            <w:tcW w:w="704" w:type="dxa"/>
          </w:tcPr>
          <w:p w14:paraId="48E5A526" w14:textId="369D241C" w:rsidR="006E4740" w:rsidRPr="00D03DA8" w:rsidRDefault="006E4740" w:rsidP="006E4740">
            <w:pPr>
              <w:spacing w:before="20" w:after="20" w:line="240" w:lineRule="auto"/>
              <w:jc w:val="right"/>
              <w:rPr>
                <w:rFonts w:ascii="Times New Roman" w:eastAsia="Times New Roman" w:hAnsi="Times New Roman" w:cs="Times New Roman"/>
                <w:bCs/>
                <w:lang w:val="bg-BG" w:eastAsia="bg-BG"/>
              </w:rPr>
            </w:pPr>
            <w:r w:rsidRPr="00D03DA8">
              <w:rPr>
                <w:rFonts w:ascii="Times New Roman" w:eastAsia="Source Han Sans CN Regular" w:hAnsi="Times New Roman" w:cs="Times New Roman"/>
                <w:sz w:val="24"/>
                <w:szCs w:val="24"/>
                <w:lang w:eastAsia="zh-CN" w:bidi="hi-IN"/>
              </w:rPr>
              <w:t>18</w:t>
            </w:r>
          </w:p>
        </w:tc>
        <w:tc>
          <w:tcPr>
            <w:tcW w:w="705" w:type="dxa"/>
          </w:tcPr>
          <w:p w14:paraId="2CFD8ACF" w14:textId="39CADB73" w:rsidR="006E4740" w:rsidRPr="00D03DA8" w:rsidRDefault="006E4740" w:rsidP="006E4740">
            <w:pPr>
              <w:spacing w:before="20" w:after="20" w:line="240" w:lineRule="auto"/>
              <w:jc w:val="right"/>
              <w:rPr>
                <w:rFonts w:ascii="Times New Roman" w:eastAsia="Times New Roman" w:hAnsi="Times New Roman" w:cs="Times New Roman"/>
                <w:bCs/>
                <w:lang w:val="bg-BG" w:eastAsia="bg-BG"/>
              </w:rPr>
            </w:pPr>
            <w:r w:rsidRPr="00D03DA8">
              <w:rPr>
                <w:rFonts w:ascii="Times New Roman" w:eastAsia="Source Han Sans CN Regular" w:hAnsi="Times New Roman" w:cs="Times New Roman"/>
                <w:sz w:val="24"/>
                <w:szCs w:val="24"/>
                <w:lang w:eastAsia="zh-CN" w:bidi="hi-IN"/>
              </w:rPr>
              <w:t>8</w:t>
            </w:r>
          </w:p>
        </w:tc>
        <w:tc>
          <w:tcPr>
            <w:tcW w:w="656" w:type="dxa"/>
          </w:tcPr>
          <w:p w14:paraId="15C2DF2C" w14:textId="769AC241" w:rsidR="006E4740" w:rsidRPr="00D03DA8" w:rsidRDefault="006E4740" w:rsidP="006E4740">
            <w:pPr>
              <w:spacing w:before="20" w:after="20" w:line="240" w:lineRule="auto"/>
              <w:jc w:val="right"/>
              <w:rPr>
                <w:rFonts w:ascii="Times New Roman" w:eastAsia="Times New Roman" w:hAnsi="Times New Roman" w:cs="Times New Roman"/>
                <w:bCs/>
                <w:lang w:val="bg-BG" w:eastAsia="bg-BG"/>
              </w:rPr>
            </w:pPr>
            <w:r w:rsidRPr="00D03DA8">
              <w:rPr>
                <w:rFonts w:ascii="Times New Roman" w:eastAsia="Source Han Sans CN Regular" w:hAnsi="Times New Roman" w:cs="Times New Roman"/>
                <w:sz w:val="24"/>
                <w:szCs w:val="24"/>
                <w:lang w:eastAsia="zh-CN" w:bidi="hi-IN"/>
              </w:rPr>
              <w:t>3</w:t>
            </w:r>
          </w:p>
        </w:tc>
        <w:tc>
          <w:tcPr>
            <w:tcW w:w="705" w:type="dxa"/>
          </w:tcPr>
          <w:p w14:paraId="42E8EB16" w14:textId="2A1B38B7" w:rsidR="006E4740" w:rsidRPr="00D03DA8" w:rsidRDefault="006E4740" w:rsidP="006E4740">
            <w:pPr>
              <w:spacing w:before="20" w:after="20" w:line="240" w:lineRule="auto"/>
              <w:jc w:val="right"/>
              <w:rPr>
                <w:rFonts w:ascii="Times New Roman" w:eastAsia="Times New Roman" w:hAnsi="Times New Roman" w:cs="Times New Roman"/>
                <w:bCs/>
                <w:lang w:val="bg-BG" w:eastAsia="bg-BG"/>
              </w:rPr>
            </w:pPr>
            <w:r w:rsidRPr="00D03DA8">
              <w:rPr>
                <w:rFonts w:ascii="Times New Roman" w:eastAsia="Source Han Sans CN Regular" w:hAnsi="Times New Roman" w:cs="Times New Roman"/>
                <w:sz w:val="24"/>
                <w:szCs w:val="24"/>
                <w:lang w:eastAsia="zh-CN" w:bidi="hi-IN"/>
              </w:rPr>
              <w:t>0</w:t>
            </w:r>
          </w:p>
        </w:tc>
        <w:tc>
          <w:tcPr>
            <w:tcW w:w="661" w:type="dxa"/>
          </w:tcPr>
          <w:p w14:paraId="7FC4C8E6" w14:textId="715B9D1E" w:rsidR="006E4740" w:rsidRPr="00D03DA8" w:rsidRDefault="006E4740" w:rsidP="006E4740">
            <w:pPr>
              <w:spacing w:before="20" w:after="20" w:line="240" w:lineRule="auto"/>
              <w:jc w:val="right"/>
              <w:rPr>
                <w:rFonts w:ascii="Times New Roman" w:eastAsia="Times New Roman" w:hAnsi="Times New Roman" w:cs="Times New Roman"/>
                <w:bCs/>
                <w:lang w:val="bg-BG" w:eastAsia="bg-BG"/>
              </w:rPr>
            </w:pPr>
            <w:r w:rsidRPr="00D03DA8">
              <w:rPr>
                <w:rFonts w:ascii="Times New Roman" w:eastAsia="Source Han Sans CN Regular" w:hAnsi="Times New Roman" w:cs="Times New Roman"/>
                <w:sz w:val="24"/>
                <w:szCs w:val="24"/>
                <w:lang w:eastAsia="zh-CN" w:bidi="hi-IN"/>
              </w:rPr>
              <w:t>1</w:t>
            </w:r>
          </w:p>
        </w:tc>
      </w:tr>
    </w:tbl>
    <w:p w14:paraId="0B6923D3" w14:textId="77777777" w:rsidR="006E4740" w:rsidRPr="00D03DA8" w:rsidRDefault="006E4740" w:rsidP="006E4740">
      <w:pPr>
        <w:widowControl w:val="0"/>
        <w:spacing w:after="120"/>
        <w:ind w:right="-153"/>
        <w:jc w:val="both"/>
        <w:rPr>
          <w:rFonts w:ascii="Times New Roman" w:eastAsia="Source Han Sans CN Regular" w:hAnsi="Times New Roman" w:cs="Times New Roman"/>
          <w:sz w:val="24"/>
          <w:szCs w:val="24"/>
          <w:lang w:val="en-US" w:eastAsia="zh-CN" w:bidi="hi-IN"/>
        </w:rPr>
      </w:pPr>
      <w:bookmarkStart w:id="338" w:name="_Hlk128056414"/>
      <w:r w:rsidRPr="00D03DA8">
        <w:rPr>
          <w:rFonts w:ascii="Times New Roman" w:eastAsia="Source Han Sans CN Regular" w:hAnsi="Times New Roman" w:cs="Times New Roman"/>
          <w:sz w:val="24"/>
          <w:szCs w:val="24"/>
          <w:lang w:eastAsia="zh-CN" w:bidi="hi-IN"/>
        </w:rPr>
        <w:t xml:space="preserve">Източник: </w:t>
      </w:r>
      <w:hyperlink r:id="rId33" w:history="1">
        <w:r w:rsidRPr="00D03DA8">
          <w:rPr>
            <w:rStyle w:val="Hyperlink"/>
            <w:rFonts w:ascii="Times New Roman" w:eastAsia="Source Han Sans CN Regular" w:hAnsi="Times New Roman" w:cs="Times New Roman"/>
            <w:i/>
            <w:color w:val="auto"/>
            <w:sz w:val="24"/>
            <w:szCs w:val="24"/>
            <w:lang w:eastAsia="zh-CN" w:bidi="hi-IN"/>
          </w:rPr>
          <w:t>https://ec.europa.eu/eurostat/web/transport/data/database</w:t>
        </w:r>
      </w:hyperlink>
      <w:r w:rsidRPr="00D03DA8">
        <w:rPr>
          <w:rFonts w:ascii="Times New Roman" w:eastAsia="Source Han Sans CN Regular" w:hAnsi="Times New Roman" w:cs="Times New Roman"/>
          <w:i/>
          <w:sz w:val="24"/>
          <w:szCs w:val="24"/>
          <w:lang w:val="en-US" w:eastAsia="zh-CN" w:bidi="hi-IN"/>
        </w:rPr>
        <w:t xml:space="preserve"> </w:t>
      </w:r>
    </w:p>
    <w:bookmarkEnd w:id="338"/>
    <w:p w14:paraId="341821E1" w14:textId="28DEECAD" w:rsidR="00796C2C" w:rsidRPr="00610B1B" w:rsidRDefault="000F0DD4" w:rsidP="00D32D6A">
      <w:pPr>
        <w:pStyle w:val="BodyText"/>
        <w:spacing w:before="0" w:after="120" w:line="276" w:lineRule="auto"/>
        <w:ind w:right="-153"/>
        <w:rPr>
          <w:rFonts w:cs="Times New Roman"/>
        </w:rPr>
      </w:pPr>
      <w:r w:rsidRPr="00610B1B">
        <w:rPr>
          <w:rFonts w:cs="Times New Roman"/>
        </w:rPr>
        <w:t xml:space="preserve">Инвестициите </w:t>
      </w:r>
      <w:r w:rsidR="0034512A" w:rsidRPr="00610B1B">
        <w:rPr>
          <w:rFonts w:cs="Times New Roman"/>
        </w:rPr>
        <w:t xml:space="preserve">в обновяване на градската среда и закъснялата конверсия на пристанищни зони </w:t>
      </w:r>
      <w:r w:rsidR="005A32CE" w:rsidRPr="00610B1B">
        <w:rPr>
          <w:rFonts w:cs="Times New Roman"/>
        </w:rPr>
        <w:t xml:space="preserve">в България </w:t>
      </w:r>
      <w:r w:rsidR="00796C2C" w:rsidRPr="00610B1B">
        <w:rPr>
          <w:rFonts w:cs="Times New Roman"/>
        </w:rPr>
        <w:t>са</w:t>
      </w:r>
      <w:r w:rsidR="0034512A" w:rsidRPr="00610B1B">
        <w:rPr>
          <w:rFonts w:cs="Times New Roman"/>
        </w:rPr>
        <w:t xml:space="preserve"> част от политиката</w:t>
      </w:r>
      <w:r w:rsidR="00D66FE0" w:rsidRPr="00610B1B">
        <w:rPr>
          <w:rFonts w:cs="Times New Roman"/>
        </w:rPr>
        <w:t xml:space="preserve"> </w:t>
      </w:r>
      <w:r w:rsidR="0034512A" w:rsidRPr="00610B1B">
        <w:rPr>
          <w:rFonts w:cs="Times New Roman"/>
        </w:rPr>
        <w:t>за градско развитие, приоритетна в прогр</w:t>
      </w:r>
      <w:r w:rsidR="005A32CE" w:rsidRPr="00610B1B">
        <w:rPr>
          <w:rFonts w:cs="Times New Roman"/>
        </w:rPr>
        <w:t>амите на ЕС още от края на 1990-</w:t>
      </w:r>
      <w:r w:rsidR="0034512A" w:rsidRPr="00610B1B">
        <w:rPr>
          <w:rFonts w:cs="Times New Roman"/>
        </w:rPr>
        <w:t>те години. Засилва се посещаемостта на обектите в зоните около морските гари на двата града</w:t>
      </w:r>
      <w:r w:rsidRPr="00610B1B">
        <w:rPr>
          <w:rFonts w:cs="Times New Roman"/>
        </w:rPr>
        <w:t xml:space="preserve"> и интересите към круизни пътувания</w:t>
      </w:r>
      <w:r w:rsidR="00796C2C" w:rsidRPr="00610B1B">
        <w:rPr>
          <w:rFonts w:cs="Times New Roman"/>
        </w:rPr>
        <w:t xml:space="preserve">. Политиката за инвестиране и изграждане в инфраструктурата и популяризиране на България като морска туристическа дестинация би следвало да се задълбочава, защото </w:t>
      </w:r>
      <w:r w:rsidR="0034512A" w:rsidRPr="00610B1B">
        <w:rPr>
          <w:rFonts w:cs="Times New Roman"/>
        </w:rPr>
        <w:t>има</w:t>
      </w:r>
      <w:r w:rsidR="00796C2C" w:rsidRPr="00610B1B">
        <w:rPr>
          <w:rFonts w:cs="Times New Roman"/>
        </w:rPr>
        <w:t xml:space="preserve"> положителен ефект не само за туристическия бизнес, </w:t>
      </w:r>
      <w:r w:rsidR="005A32CE" w:rsidRPr="00610B1B">
        <w:rPr>
          <w:rFonts w:cs="Times New Roman"/>
        </w:rPr>
        <w:t xml:space="preserve">но за </w:t>
      </w:r>
      <w:r w:rsidR="006011C0" w:rsidRPr="00610B1B">
        <w:rPr>
          <w:rFonts w:cs="Times New Roman"/>
        </w:rPr>
        <w:t>икономиката</w:t>
      </w:r>
      <w:r w:rsidR="0034512A" w:rsidRPr="00610B1B">
        <w:rPr>
          <w:rFonts w:cs="Times New Roman"/>
        </w:rPr>
        <w:t>, подсилва интереса и привлича</w:t>
      </w:r>
      <w:r w:rsidR="005A32CE" w:rsidRPr="00610B1B">
        <w:rPr>
          <w:rFonts w:cs="Times New Roman"/>
        </w:rPr>
        <w:t xml:space="preserve"> </w:t>
      </w:r>
      <w:r w:rsidR="0034512A" w:rsidRPr="00610B1B">
        <w:rPr>
          <w:rFonts w:cs="Times New Roman"/>
        </w:rPr>
        <w:t xml:space="preserve">инвестиции, създава условия за </w:t>
      </w:r>
      <w:r w:rsidR="00796C2C" w:rsidRPr="00610B1B">
        <w:rPr>
          <w:rFonts w:cs="Times New Roman"/>
        </w:rPr>
        <w:t xml:space="preserve">запознаване с културното наследство на България. </w:t>
      </w:r>
    </w:p>
    <w:p w14:paraId="0B915623" w14:textId="3F4A0D90" w:rsidR="001958B4" w:rsidRPr="00610B1B" w:rsidRDefault="001958B4" w:rsidP="00D32D6A">
      <w:pPr>
        <w:pStyle w:val="BodyText"/>
        <w:spacing w:before="0" w:after="120" w:line="276" w:lineRule="auto"/>
        <w:ind w:right="-153"/>
        <w:rPr>
          <w:rFonts w:cs="Times New Roman"/>
        </w:rPr>
      </w:pPr>
      <w:r w:rsidRPr="00610B1B">
        <w:rPr>
          <w:rFonts w:cs="Times New Roman"/>
          <w:b/>
          <w:bCs/>
        </w:rPr>
        <w:t>Морските туристическите маршрути</w:t>
      </w:r>
      <w:r w:rsidRPr="00610B1B">
        <w:rPr>
          <w:rFonts w:cs="Times New Roman"/>
        </w:rPr>
        <w:t xml:space="preserve">, сравнени с периода преди 1989 г. са значително по-малко, но през последните години се забелязва повишаване на интереса към преходи по море на близки разстояния. Поради неефективността и малкото натоварване на подобни маршрути и плавателни съдове, които ги обслужват се търсят разнообразни форми на подпомагане. </w:t>
      </w:r>
    </w:p>
    <w:p w14:paraId="226E7724" w14:textId="6777044D" w:rsidR="0034512A" w:rsidRPr="00610B1B" w:rsidRDefault="001958B4" w:rsidP="00D32D6A">
      <w:pPr>
        <w:pStyle w:val="BodyText"/>
        <w:spacing w:before="0" w:after="120" w:line="276" w:lineRule="auto"/>
        <w:ind w:right="-153"/>
        <w:rPr>
          <w:rFonts w:cs="Times New Roman"/>
        </w:rPr>
      </w:pPr>
      <w:r w:rsidRPr="00610B1B">
        <w:rPr>
          <w:rFonts w:cs="Times New Roman"/>
        </w:rPr>
        <w:t xml:space="preserve">Информацията </w:t>
      </w:r>
      <w:r w:rsidR="004D4F60" w:rsidRPr="00610B1B">
        <w:rPr>
          <w:rFonts w:cs="Times New Roman"/>
        </w:rPr>
        <w:t>от</w:t>
      </w:r>
      <w:r w:rsidR="00D66FE0" w:rsidRPr="00610B1B">
        <w:rPr>
          <w:rFonts w:cs="Times New Roman"/>
        </w:rPr>
        <w:t xml:space="preserve"> </w:t>
      </w:r>
      <w:r w:rsidR="004D4F60" w:rsidRPr="00610B1B">
        <w:rPr>
          <w:rFonts w:cs="Times New Roman"/>
        </w:rPr>
        <w:t>Дирекция “Морска администрация“ Бургас</w:t>
      </w:r>
      <w:r w:rsidR="00D66FE0" w:rsidRPr="00610B1B">
        <w:rPr>
          <w:rFonts w:cs="Times New Roman"/>
        </w:rPr>
        <w:t xml:space="preserve"> </w:t>
      </w:r>
      <w:r w:rsidRPr="00610B1B">
        <w:rPr>
          <w:rFonts w:cs="Times New Roman"/>
        </w:rPr>
        <w:t xml:space="preserve">за корабите, обслужващи Южното Черноморие </w:t>
      </w:r>
      <w:bookmarkStart w:id="339" w:name="_Toc28012962"/>
      <w:r w:rsidR="004D4F60" w:rsidRPr="00610B1B">
        <w:rPr>
          <w:rFonts w:cs="Times New Roman"/>
        </w:rPr>
        <w:t>по маршрутите Несебър-Поморие-Созопол и Бургас – Остров „Св. Анастасия“ показва, че се ползват кораби тип катамарани с капацитет от 50 до 210 места</w:t>
      </w:r>
    </w:p>
    <w:bookmarkEnd w:id="339"/>
    <w:p w14:paraId="7247D267" w14:textId="71686AE8" w:rsidR="00796C2C" w:rsidRPr="00610B1B" w:rsidRDefault="004D4F60" w:rsidP="00D32D6A">
      <w:pPr>
        <w:pStyle w:val="Caption"/>
        <w:spacing w:before="0" w:line="276" w:lineRule="auto"/>
        <w:ind w:right="-153"/>
        <w:jc w:val="both"/>
        <w:rPr>
          <w:rStyle w:val="FontStyle27"/>
          <w:b w:val="0"/>
          <w:iCs/>
          <w:sz w:val="24"/>
        </w:rPr>
      </w:pPr>
      <w:r w:rsidRPr="00610B1B">
        <w:rPr>
          <w:rStyle w:val="FontStyle27"/>
          <w:b w:val="0"/>
          <w:iCs/>
          <w:sz w:val="24"/>
        </w:rPr>
        <w:t>Освен тези кораби</w:t>
      </w:r>
      <w:r w:rsidR="00A64AE8" w:rsidRPr="00610B1B">
        <w:rPr>
          <w:rStyle w:val="FontStyle27"/>
          <w:b w:val="0"/>
          <w:iCs/>
          <w:sz w:val="24"/>
        </w:rPr>
        <w:t>,</w:t>
      </w:r>
      <w:r w:rsidRPr="00610B1B">
        <w:rPr>
          <w:rStyle w:val="FontStyle27"/>
          <w:b w:val="0"/>
          <w:iCs/>
          <w:sz w:val="24"/>
        </w:rPr>
        <w:t xml:space="preserve"> в пристанищата на Южното Черноморско крайбрежие </w:t>
      </w:r>
      <w:r w:rsidR="001958B4" w:rsidRPr="00610B1B">
        <w:rPr>
          <w:rStyle w:val="FontStyle27"/>
          <w:b w:val="0"/>
          <w:iCs/>
          <w:sz w:val="24"/>
        </w:rPr>
        <w:t>п</w:t>
      </w:r>
      <w:r w:rsidR="00796C2C" w:rsidRPr="00610B1B">
        <w:rPr>
          <w:rStyle w:val="FontStyle27"/>
          <w:b w:val="0"/>
          <w:iCs/>
          <w:sz w:val="24"/>
        </w:rPr>
        <w:t>лавателни</w:t>
      </w:r>
      <w:r w:rsidR="001958B4" w:rsidRPr="00610B1B">
        <w:rPr>
          <w:rStyle w:val="FontStyle27"/>
          <w:b w:val="0"/>
          <w:iCs/>
          <w:sz w:val="24"/>
        </w:rPr>
        <w:t xml:space="preserve">те </w:t>
      </w:r>
      <w:r w:rsidR="00796C2C" w:rsidRPr="00610B1B">
        <w:rPr>
          <w:rStyle w:val="FontStyle27"/>
          <w:b w:val="0"/>
          <w:iCs/>
          <w:sz w:val="24"/>
        </w:rPr>
        <w:t xml:space="preserve">съдове за сезонен превоз на хора, които плават изключително в района на пристанището си на регистрация с лица на борда, </w:t>
      </w:r>
      <w:r w:rsidR="001958B4" w:rsidRPr="00610B1B">
        <w:rPr>
          <w:rStyle w:val="FontStyle27"/>
          <w:b w:val="0"/>
          <w:iCs/>
          <w:sz w:val="24"/>
        </w:rPr>
        <w:t xml:space="preserve">са </w:t>
      </w:r>
      <w:r w:rsidR="00C00782" w:rsidRPr="00610B1B">
        <w:rPr>
          <w:rStyle w:val="FontStyle27"/>
          <w:b w:val="0"/>
          <w:iCs/>
          <w:sz w:val="24"/>
        </w:rPr>
        <w:t xml:space="preserve">три </w:t>
      </w:r>
      <w:r w:rsidRPr="00610B1B">
        <w:rPr>
          <w:rStyle w:val="FontStyle27"/>
          <w:b w:val="0"/>
          <w:iCs/>
          <w:sz w:val="24"/>
        </w:rPr>
        <w:t>вида</w:t>
      </w:r>
      <w:r w:rsidR="00D66FE0" w:rsidRPr="00610B1B">
        <w:rPr>
          <w:rStyle w:val="FontStyle27"/>
          <w:b w:val="0"/>
          <w:iCs/>
          <w:sz w:val="24"/>
        </w:rPr>
        <w:t xml:space="preserve"> </w:t>
      </w:r>
      <w:r w:rsidR="00C00782" w:rsidRPr="00610B1B">
        <w:rPr>
          <w:rStyle w:val="FontStyle27"/>
          <w:b w:val="0"/>
          <w:iCs/>
          <w:sz w:val="24"/>
        </w:rPr>
        <w:t>- до 12 лица на борда, до 35 лица на борд</w:t>
      </w:r>
      <w:r w:rsidR="00A64AE8" w:rsidRPr="00610B1B">
        <w:rPr>
          <w:rStyle w:val="FontStyle27"/>
          <w:b w:val="0"/>
          <w:iCs/>
          <w:sz w:val="24"/>
        </w:rPr>
        <w:t>а и с повече от 35 лица на бор</w:t>
      </w:r>
      <w:r w:rsidR="000F0DD4" w:rsidRPr="00610B1B">
        <w:rPr>
          <w:rStyle w:val="FontStyle27"/>
          <w:b w:val="0"/>
          <w:iCs/>
          <w:sz w:val="24"/>
        </w:rPr>
        <w:t>да</w:t>
      </w:r>
      <w:r w:rsidR="00A64AE8" w:rsidRPr="00610B1B">
        <w:rPr>
          <w:rStyle w:val="FontStyle27"/>
          <w:b w:val="0"/>
          <w:iCs/>
          <w:sz w:val="24"/>
        </w:rPr>
        <w:t>. Регистрираните кораби в пристанищата Несебър, Поморие, Бургас, Созопол, П</w:t>
      </w:r>
      <w:r w:rsidR="00C740FA" w:rsidRPr="00610B1B">
        <w:rPr>
          <w:rStyle w:val="FontStyle27"/>
          <w:b w:val="0"/>
          <w:iCs/>
          <w:sz w:val="24"/>
        </w:rPr>
        <w:t xml:space="preserve">риморско и Ахтопол </w:t>
      </w:r>
      <w:r w:rsidR="000F0DD4" w:rsidRPr="00610B1B">
        <w:rPr>
          <w:rStyle w:val="FontStyle27"/>
          <w:b w:val="0"/>
          <w:iCs/>
          <w:sz w:val="24"/>
        </w:rPr>
        <w:t xml:space="preserve">от първия тип </w:t>
      </w:r>
      <w:r w:rsidR="00C740FA" w:rsidRPr="00610B1B">
        <w:rPr>
          <w:rStyle w:val="FontStyle27"/>
          <w:b w:val="0"/>
          <w:iCs/>
          <w:sz w:val="24"/>
        </w:rPr>
        <w:t>са приблизите</w:t>
      </w:r>
      <w:r w:rsidR="00A64AE8" w:rsidRPr="00610B1B">
        <w:rPr>
          <w:rStyle w:val="FontStyle27"/>
          <w:b w:val="0"/>
          <w:iCs/>
          <w:sz w:val="24"/>
        </w:rPr>
        <w:t>лно по равен брой, от втория тип</w:t>
      </w:r>
      <w:r w:rsidR="00D66FE0" w:rsidRPr="00610B1B">
        <w:rPr>
          <w:rStyle w:val="FontStyle27"/>
          <w:b w:val="0"/>
          <w:iCs/>
          <w:sz w:val="24"/>
        </w:rPr>
        <w:t xml:space="preserve"> </w:t>
      </w:r>
      <w:r w:rsidR="00A64AE8" w:rsidRPr="00610B1B">
        <w:rPr>
          <w:rStyle w:val="FontStyle27"/>
          <w:b w:val="0"/>
          <w:iCs/>
          <w:sz w:val="24"/>
        </w:rPr>
        <w:t>най-много кораби са регистрирани в пристанище Несебър (25 бр.), а от третия тип в пристанище Бургас</w:t>
      </w:r>
      <w:r w:rsidR="00D66FE0" w:rsidRPr="00610B1B">
        <w:rPr>
          <w:rStyle w:val="FontStyle27"/>
          <w:b w:val="0"/>
          <w:iCs/>
          <w:sz w:val="24"/>
        </w:rPr>
        <w:t xml:space="preserve"> </w:t>
      </w:r>
      <w:r w:rsidR="00A64AE8" w:rsidRPr="00610B1B">
        <w:rPr>
          <w:rStyle w:val="FontStyle27"/>
          <w:b w:val="0"/>
          <w:iCs/>
          <w:sz w:val="24"/>
        </w:rPr>
        <w:t>(</w:t>
      </w:r>
      <w:r w:rsidR="006A6784" w:rsidRPr="00610B1B">
        <w:rPr>
          <w:rStyle w:val="FontStyle27"/>
          <w:b w:val="0"/>
          <w:iCs/>
          <w:sz w:val="24"/>
        </w:rPr>
        <w:t>12 бр.</w:t>
      </w:r>
      <w:r w:rsidR="00A64AE8" w:rsidRPr="00610B1B">
        <w:rPr>
          <w:rStyle w:val="FontStyle27"/>
          <w:b w:val="0"/>
          <w:iCs/>
          <w:sz w:val="24"/>
        </w:rPr>
        <w:t>)</w:t>
      </w:r>
      <w:r w:rsidR="006A6784" w:rsidRPr="00610B1B">
        <w:rPr>
          <w:rStyle w:val="FontStyle27"/>
          <w:b w:val="0"/>
          <w:iCs/>
          <w:sz w:val="24"/>
        </w:rPr>
        <w:t>.</w:t>
      </w:r>
      <w:r w:rsidR="00D66FE0" w:rsidRPr="00610B1B">
        <w:rPr>
          <w:rStyle w:val="FontStyle27"/>
          <w:b w:val="0"/>
          <w:iCs/>
          <w:sz w:val="24"/>
        </w:rPr>
        <w:t xml:space="preserve"> </w:t>
      </w:r>
    </w:p>
    <w:p w14:paraId="189F7DA5" w14:textId="487CCDF4" w:rsidR="00796C2C" w:rsidRPr="00610B1B" w:rsidRDefault="00C00782" w:rsidP="00D32D6A">
      <w:pPr>
        <w:spacing w:after="120"/>
        <w:ind w:right="-153"/>
        <w:jc w:val="both"/>
        <w:rPr>
          <w:rStyle w:val="FontStyle28"/>
          <w:b/>
          <w:bCs/>
          <w:sz w:val="24"/>
          <w:szCs w:val="24"/>
          <w:lang w:val="bg-BG"/>
        </w:rPr>
      </w:pPr>
      <w:bookmarkStart w:id="340" w:name="_Toc28012963"/>
      <w:r w:rsidRPr="00610B1B">
        <w:rPr>
          <w:rFonts w:ascii="Times New Roman" w:hAnsi="Times New Roman" w:cs="Times New Roman"/>
          <w:sz w:val="24"/>
          <w:szCs w:val="24"/>
          <w:lang w:val="bg-BG"/>
        </w:rPr>
        <w:t xml:space="preserve">По аналогичен начин са систематизирани и анализирани данните и за корабите, обслужващи крайбрежното плаване и по </w:t>
      </w:r>
      <w:r w:rsidR="00796C2C" w:rsidRPr="00610B1B">
        <w:rPr>
          <w:rFonts w:ascii="Times New Roman" w:hAnsi="Times New Roman" w:cs="Times New Roman"/>
          <w:sz w:val="24"/>
          <w:szCs w:val="24"/>
          <w:lang w:val="bg-BG"/>
        </w:rPr>
        <w:t>Северно</w:t>
      </w:r>
      <w:r w:rsidRPr="00610B1B">
        <w:rPr>
          <w:rFonts w:ascii="Times New Roman" w:hAnsi="Times New Roman" w:cs="Times New Roman"/>
          <w:sz w:val="24"/>
          <w:szCs w:val="24"/>
          <w:lang w:val="bg-BG"/>
        </w:rPr>
        <w:t>то</w:t>
      </w:r>
      <w:r w:rsidR="00796C2C" w:rsidRPr="00610B1B">
        <w:rPr>
          <w:rFonts w:ascii="Times New Roman" w:hAnsi="Times New Roman" w:cs="Times New Roman"/>
          <w:sz w:val="24"/>
          <w:szCs w:val="24"/>
          <w:lang w:val="bg-BG"/>
        </w:rPr>
        <w:t xml:space="preserve"> Черномор</w:t>
      </w:r>
      <w:r w:rsidRPr="00610B1B">
        <w:rPr>
          <w:rFonts w:ascii="Times New Roman" w:hAnsi="Times New Roman" w:cs="Times New Roman"/>
          <w:sz w:val="24"/>
          <w:szCs w:val="24"/>
          <w:lang w:val="bg-BG"/>
        </w:rPr>
        <w:t>ско крайбрежие</w:t>
      </w:r>
      <w:bookmarkEnd w:id="340"/>
      <w:r w:rsidRPr="00610B1B">
        <w:rPr>
          <w:rFonts w:ascii="Times New Roman" w:hAnsi="Times New Roman" w:cs="Times New Roman"/>
          <w:sz w:val="24"/>
          <w:szCs w:val="24"/>
          <w:lang w:val="bg-BG"/>
        </w:rPr>
        <w:t xml:space="preserve">. </w:t>
      </w:r>
      <w:r w:rsidR="00796C2C" w:rsidRPr="00610B1B">
        <w:rPr>
          <w:rStyle w:val="FontStyle27"/>
          <w:b w:val="0"/>
          <w:bCs w:val="0"/>
          <w:sz w:val="24"/>
          <w:szCs w:val="24"/>
          <w:lang w:val="bg-BG"/>
        </w:rPr>
        <w:t>Плавателни</w:t>
      </w:r>
      <w:r w:rsidRPr="00610B1B">
        <w:rPr>
          <w:rStyle w:val="FontStyle27"/>
          <w:b w:val="0"/>
          <w:bCs w:val="0"/>
          <w:sz w:val="24"/>
          <w:szCs w:val="24"/>
          <w:lang w:val="bg-BG"/>
        </w:rPr>
        <w:t>те</w:t>
      </w:r>
      <w:r w:rsidR="00796C2C" w:rsidRPr="00610B1B">
        <w:rPr>
          <w:rStyle w:val="FontStyle27"/>
          <w:b w:val="0"/>
          <w:bCs w:val="0"/>
          <w:sz w:val="24"/>
          <w:szCs w:val="24"/>
          <w:lang w:val="bg-BG"/>
        </w:rPr>
        <w:t xml:space="preserve"> съдове за сезонен превоз на хора, които плават изключително в района на пристанището си на регистрация с лица на борда, </w:t>
      </w:r>
      <w:r w:rsidRPr="00610B1B">
        <w:rPr>
          <w:rStyle w:val="FontStyle27"/>
          <w:b w:val="0"/>
          <w:bCs w:val="0"/>
          <w:sz w:val="24"/>
          <w:szCs w:val="24"/>
          <w:lang w:val="bg-BG"/>
        </w:rPr>
        <w:t xml:space="preserve">са систематизирани в същите три групи </w:t>
      </w:r>
      <w:r w:rsidRPr="00610B1B">
        <w:rPr>
          <w:rStyle w:val="FontStyle27"/>
          <w:b w:val="0"/>
          <w:bCs w:val="0"/>
          <w:sz w:val="24"/>
          <w:szCs w:val="24"/>
          <w:lang w:val="bg-BG"/>
        </w:rPr>
        <w:lastRenderedPageBreak/>
        <w:t xml:space="preserve">и </w:t>
      </w:r>
      <w:r w:rsidR="006A6784" w:rsidRPr="00610B1B">
        <w:rPr>
          <w:rStyle w:val="FontStyle27"/>
          <w:b w:val="0"/>
          <w:bCs w:val="0"/>
          <w:sz w:val="24"/>
          <w:szCs w:val="24"/>
          <w:lang w:val="bg-BG"/>
        </w:rPr>
        <w:t>показват</w:t>
      </w:r>
      <w:r w:rsidR="009A2898" w:rsidRPr="00610B1B">
        <w:rPr>
          <w:rStyle w:val="FontStyle27"/>
          <w:b w:val="0"/>
          <w:bCs w:val="0"/>
          <w:sz w:val="24"/>
          <w:szCs w:val="24"/>
          <w:lang w:val="bg-BG"/>
        </w:rPr>
        <w:t>, че най-голям брой регистрирани плавателни съдове и с най-голям брой места за пасажери са регистрирани в пристанище Варна.</w:t>
      </w:r>
    </w:p>
    <w:p w14:paraId="0F796FD3" w14:textId="69D7E098" w:rsidR="00796C2C" w:rsidRPr="00610B1B" w:rsidRDefault="000C67F0"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 експертна оценка, на този етап, корабите, </w:t>
      </w:r>
      <w:r w:rsidR="00796C2C" w:rsidRPr="00610B1B">
        <w:rPr>
          <w:rFonts w:ascii="Times New Roman" w:hAnsi="Times New Roman" w:cs="Times New Roman"/>
          <w:sz w:val="24"/>
          <w:szCs w:val="24"/>
          <w:lang w:val="bg-BG"/>
        </w:rPr>
        <w:t>регистрирани в п</w:t>
      </w:r>
      <w:r w:rsidR="00043308" w:rsidRPr="00610B1B">
        <w:rPr>
          <w:rFonts w:ascii="Times New Roman" w:hAnsi="Times New Roman" w:cs="Times New Roman"/>
          <w:sz w:val="24"/>
          <w:szCs w:val="24"/>
          <w:lang w:val="bg-BG"/>
        </w:rPr>
        <w:t>ристани</w:t>
      </w:r>
      <w:r w:rsidR="00796C2C" w:rsidRPr="00610B1B">
        <w:rPr>
          <w:rFonts w:ascii="Times New Roman" w:hAnsi="Times New Roman" w:cs="Times New Roman"/>
          <w:sz w:val="24"/>
          <w:szCs w:val="24"/>
          <w:lang w:val="bg-BG"/>
        </w:rPr>
        <w:t xml:space="preserve">ще Бургас и терминалите по Южното Черноморие като бройки и капацитет </w:t>
      </w:r>
      <w:r w:rsidRPr="00610B1B">
        <w:rPr>
          <w:rFonts w:ascii="Times New Roman" w:hAnsi="Times New Roman" w:cs="Times New Roman"/>
          <w:sz w:val="24"/>
          <w:szCs w:val="24"/>
          <w:lang w:val="bg-BG"/>
        </w:rPr>
        <w:t>се приемат за</w:t>
      </w:r>
      <w:r w:rsidR="00796C2C" w:rsidRPr="00610B1B">
        <w:rPr>
          <w:rFonts w:ascii="Times New Roman" w:hAnsi="Times New Roman" w:cs="Times New Roman"/>
          <w:sz w:val="24"/>
          <w:szCs w:val="24"/>
          <w:lang w:val="bg-BG"/>
        </w:rPr>
        <w:t xml:space="preserve"> достатъчни. </w:t>
      </w:r>
      <w:r w:rsidRPr="00610B1B">
        <w:rPr>
          <w:rFonts w:ascii="Times New Roman" w:hAnsi="Times New Roman" w:cs="Times New Roman"/>
          <w:sz w:val="24"/>
          <w:szCs w:val="24"/>
          <w:lang w:val="bg-BG"/>
        </w:rPr>
        <w:t>За разлика от пристанище Бургас и терминалите в по-малките туристически селища на областта, в</w:t>
      </w:r>
      <w:r w:rsidR="00796C2C" w:rsidRPr="00610B1B">
        <w:rPr>
          <w:rFonts w:ascii="Times New Roman" w:hAnsi="Times New Roman" w:cs="Times New Roman"/>
          <w:sz w:val="24"/>
          <w:szCs w:val="24"/>
          <w:lang w:val="bg-BG"/>
        </w:rPr>
        <w:t xml:space="preserve"> пристанище Варна няма установени туристически маршрути. Корабите за развлекателна дейност регистрирани в п</w:t>
      </w:r>
      <w:r w:rsidRPr="00610B1B">
        <w:rPr>
          <w:rFonts w:ascii="Times New Roman" w:hAnsi="Times New Roman" w:cs="Times New Roman"/>
          <w:sz w:val="24"/>
          <w:szCs w:val="24"/>
          <w:lang w:val="bg-BG"/>
        </w:rPr>
        <w:t>ристанищата</w:t>
      </w:r>
      <w:r w:rsidR="00796C2C" w:rsidRPr="00610B1B">
        <w:rPr>
          <w:rFonts w:ascii="Times New Roman" w:hAnsi="Times New Roman" w:cs="Times New Roman"/>
          <w:sz w:val="24"/>
          <w:szCs w:val="24"/>
          <w:lang w:val="bg-BG"/>
        </w:rPr>
        <w:t xml:space="preserve"> Варна, Балчик и Каварна, работят само през активния летен сезон. Преди </w:t>
      </w:r>
      <w:r w:rsidRPr="00610B1B">
        <w:rPr>
          <w:rFonts w:ascii="Times New Roman" w:hAnsi="Times New Roman" w:cs="Times New Roman"/>
          <w:sz w:val="24"/>
          <w:szCs w:val="24"/>
          <w:lang w:val="bg-BG"/>
        </w:rPr>
        <w:t xml:space="preserve">около 30 години </w:t>
      </w:r>
      <w:r w:rsidR="00796C2C" w:rsidRPr="00610B1B">
        <w:rPr>
          <w:rFonts w:ascii="Times New Roman" w:hAnsi="Times New Roman" w:cs="Times New Roman"/>
          <w:sz w:val="24"/>
          <w:szCs w:val="24"/>
          <w:lang w:val="bg-BG"/>
        </w:rPr>
        <w:t>имаше установени традиционни морски туристически маршрути Варна – Бургас – Несебър – Созопол, които се обслужваха от кораби тип „Комета“.</w:t>
      </w:r>
      <w:r w:rsidRPr="00610B1B">
        <w:rPr>
          <w:rFonts w:ascii="Times New Roman" w:hAnsi="Times New Roman" w:cs="Times New Roman"/>
          <w:sz w:val="24"/>
          <w:szCs w:val="24"/>
          <w:lang w:val="bg-BG"/>
        </w:rPr>
        <w:t xml:space="preserve"> Функционираха и </w:t>
      </w:r>
      <w:r w:rsidR="00796C2C" w:rsidRPr="00610B1B">
        <w:rPr>
          <w:rFonts w:ascii="Times New Roman" w:hAnsi="Times New Roman" w:cs="Times New Roman"/>
          <w:sz w:val="24"/>
          <w:szCs w:val="24"/>
          <w:lang w:val="bg-BG"/>
        </w:rPr>
        <w:t>сезонни</w:t>
      </w:r>
      <w:r w:rsidRPr="00610B1B">
        <w:rPr>
          <w:rFonts w:ascii="Times New Roman" w:hAnsi="Times New Roman" w:cs="Times New Roman"/>
          <w:sz w:val="24"/>
          <w:szCs w:val="24"/>
          <w:lang w:val="bg-BG"/>
        </w:rPr>
        <w:t>те</w:t>
      </w:r>
      <w:r w:rsidR="00796C2C" w:rsidRPr="00610B1B">
        <w:rPr>
          <w:rFonts w:ascii="Times New Roman" w:hAnsi="Times New Roman" w:cs="Times New Roman"/>
          <w:sz w:val="24"/>
          <w:szCs w:val="24"/>
          <w:lang w:val="bg-BG"/>
        </w:rPr>
        <w:t xml:space="preserve"> линии Варна – Балчик и Варна – Галата, обслужвани от малки пасажерски кораби. За разлика от Южното Черноморие, Северното не разполага с достатъчно атрактивни исторически и културни обекти, които да привличат туристи. </w:t>
      </w:r>
    </w:p>
    <w:p w14:paraId="19D0099A"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2AB44AE8" w14:textId="7F4DA8A6" w:rsidR="00796C2C" w:rsidRPr="00610B1B" w:rsidRDefault="009A2898" w:rsidP="00D32D6A">
      <w:pPr>
        <w:pStyle w:val="Heading3"/>
        <w:spacing w:before="0" w:line="276" w:lineRule="auto"/>
        <w:ind w:right="-153"/>
        <w:rPr>
          <w:rFonts w:cs="Times New Roman"/>
        </w:rPr>
      </w:pPr>
      <w:bookmarkStart w:id="341" w:name="_Toc28012964"/>
      <w:bookmarkStart w:id="342" w:name="_Toc83391375"/>
      <w:r w:rsidRPr="00610B1B">
        <w:rPr>
          <w:rFonts w:cs="Times New Roman"/>
        </w:rPr>
        <w:t>3</w:t>
      </w:r>
      <w:r w:rsidR="00F12FBF" w:rsidRPr="00610B1B">
        <w:rPr>
          <w:rFonts w:cs="Times New Roman"/>
        </w:rPr>
        <w:t>.</w:t>
      </w:r>
      <w:r w:rsidR="00BF0D18" w:rsidRPr="00610B1B">
        <w:rPr>
          <w:rFonts w:cs="Times New Roman"/>
        </w:rPr>
        <w:t>1</w:t>
      </w:r>
      <w:r w:rsidR="00F12FBF" w:rsidRPr="00610B1B">
        <w:rPr>
          <w:rFonts w:cs="Times New Roman"/>
        </w:rPr>
        <w:t xml:space="preserve">.4. </w:t>
      </w:r>
      <w:r w:rsidR="00796C2C" w:rsidRPr="00610B1B">
        <w:rPr>
          <w:rFonts w:cs="Times New Roman"/>
        </w:rPr>
        <w:t>Характеристика на морските пристанища на Р. България</w:t>
      </w:r>
      <w:bookmarkEnd w:id="341"/>
      <w:bookmarkEnd w:id="342"/>
    </w:p>
    <w:p w14:paraId="78791CA5" w14:textId="01720F49" w:rsidR="00796C2C" w:rsidRPr="00610B1B" w:rsidRDefault="009A2898" w:rsidP="00D32D6A">
      <w:pPr>
        <w:pStyle w:val="Heading4"/>
        <w:spacing w:before="0" w:line="276" w:lineRule="auto"/>
        <w:ind w:right="-153"/>
        <w:rPr>
          <w:rFonts w:cs="Times New Roman"/>
        </w:rPr>
      </w:pPr>
      <w:bookmarkStart w:id="343" w:name="_Toc28012965"/>
      <w:r w:rsidRPr="00610B1B">
        <w:rPr>
          <w:rFonts w:cs="Times New Roman"/>
        </w:rPr>
        <w:t>3</w:t>
      </w:r>
      <w:r w:rsidR="00F12FBF" w:rsidRPr="00610B1B">
        <w:rPr>
          <w:rFonts w:cs="Times New Roman"/>
        </w:rPr>
        <w:t>.</w:t>
      </w:r>
      <w:r w:rsidR="00BF0D18" w:rsidRPr="00610B1B">
        <w:rPr>
          <w:rFonts w:cs="Times New Roman"/>
        </w:rPr>
        <w:t>1</w:t>
      </w:r>
      <w:r w:rsidR="00F12FBF" w:rsidRPr="00610B1B">
        <w:rPr>
          <w:rFonts w:cs="Times New Roman"/>
        </w:rPr>
        <w:t xml:space="preserve">.4.1. </w:t>
      </w:r>
      <w:r w:rsidR="00796C2C" w:rsidRPr="00610B1B">
        <w:rPr>
          <w:rFonts w:cs="Times New Roman"/>
        </w:rPr>
        <w:t>Състояние на пристанищната инфраструктура</w:t>
      </w:r>
      <w:bookmarkEnd w:id="343"/>
    </w:p>
    <w:p w14:paraId="42E649CB" w14:textId="6E2C2447" w:rsidR="00557F63" w:rsidRPr="00610B1B" w:rsidRDefault="00796C2C" w:rsidP="00557F63">
      <w:pPr>
        <w:autoSpaceDE w:val="0"/>
        <w:autoSpaceDN w:val="0"/>
        <w:adjustRightInd w:val="0"/>
        <w:spacing w:after="120"/>
        <w:ind w:right="-153"/>
        <w:jc w:val="both"/>
        <w:rPr>
          <w:rFonts w:ascii="Times New Roman" w:hAnsi="Times New Roman" w:cs="Times New Roman"/>
          <w:color w:val="000000" w:themeColor="text1"/>
          <w:sz w:val="24"/>
          <w:szCs w:val="24"/>
          <w:lang w:val="bg-BG"/>
        </w:rPr>
      </w:pPr>
      <w:bookmarkStart w:id="344" w:name="_Hlk83282109"/>
      <w:r w:rsidRPr="00610B1B">
        <w:rPr>
          <w:rFonts w:ascii="Times New Roman" w:hAnsi="Times New Roman" w:cs="Times New Roman"/>
          <w:color w:val="000000" w:themeColor="text1"/>
          <w:sz w:val="24"/>
          <w:szCs w:val="24"/>
          <w:lang w:val="bg-BG"/>
        </w:rPr>
        <w:t>В голямата си част инфраструктура</w:t>
      </w:r>
      <w:r w:rsidR="004F41D3">
        <w:rPr>
          <w:rFonts w:ascii="Times New Roman" w:hAnsi="Times New Roman" w:cs="Times New Roman"/>
          <w:color w:val="000000" w:themeColor="text1"/>
          <w:sz w:val="24"/>
          <w:szCs w:val="24"/>
          <w:lang w:val="bg-BG"/>
        </w:rPr>
        <w:t>та</w:t>
      </w:r>
      <w:r w:rsidRPr="00610B1B">
        <w:rPr>
          <w:rFonts w:ascii="Times New Roman" w:hAnsi="Times New Roman" w:cs="Times New Roman"/>
          <w:color w:val="000000" w:themeColor="text1"/>
          <w:sz w:val="24"/>
          <w:szCs w:val="24"/>
          <w:lang w:val="bg-BG"/>
        </w:rPr>
        <w:t xml:space="preserve"> на българските пристанища е строена преди повече от 100 години</w:t>
      </w:r>
      <w:r w:rsidR="007927C6" w:rsidRPr="00610B1B">
        <w:rPr>
          <w:rFonts w:ascii="Times New Roman" w:hAnsi="Times New Roman" w:cs="Times New Roman"/>
          <w:color w:val="000000" w:themeColor="text1"/>
          <w:sz w:val="24"/>
          <w:szCs w:val="24"/>
          <w:lang w:val="bg-BG"/>
        </w:rPr>
        <w:t xml:space="preserve">, като процесът на модернизацията </w:t>
      </w:r>
      <w:r w:rsidR="004F41D3">
        <w:rPr>
          <w:rFonts w:ascii="Times New Roman" w:hAnsi="Times New Roman" w:cs="Times New Roman"/>
          <w:color w:val="000000" w:themeColor="text1"/>
          <w:sz w:val="24"/>
          <w:szCs w:val="24"/>
          <w:lang w:val="bg-BG"/>
        </w:rPr>
        <w:t xml:space="preserve">им </w:t>
      </w:r>
      <w:r w:rsidR="007927C6" w:rsidRPr="00610B1B">
        <w:rPr>
          <w:rFonts w:ascii="Times New Roman" w:hAnsi="Times New Roman" w:cs="Times New Roman"/>
          <w:color w:val="000000" w:themeColor="text1"/>
          <w:sz w:val="24"/>
          <w:szCs w:val="24"/>
          <w:lang w:val="bg-BG"/>
        </w:rPr>
        <w:t>продължава и до днес.</w:t>
      </w:r>
      <w:r w:rsidRPr="00610B1B">
        <w:rPr>
          <w:rFonts w:ascii="Times New Roman" w:hAnsi="Times New Roman" w:cs="Times New Roman"/>
          <w:color w:val="000000" w:themeColor="text1"/>
          <w:sz w:val="24"/>
          <w:szCs w:val="24"/>
          <w:lang w:val="bg-BG"/>
        </w:rPr>
        <w:t xml:space="preserve"> </w:t>
      </w:r>
      <w:bookmarkStart w:id="345" w:name="_Hlk128051977"/>
      <w:r w:rsidRPr="00610B1B">
        <w:rPr>
          <w:rFonts w:ascii="Times New Roman" w:hAnsi="Times New Roman" w:cs="Times New Roman"/>
          <w:color w:val="000000" w:themeColor="text1"/>
          <w:sz w:val="24"/>
          <w:szCs w:val="24"/>
          <w:lang w:val="bg-BG"/>
        </w:rPr>
        <w:t xml:space="preserve">По-нови са </w:t>
      </w:r>
      <w:r w:rsidR="004F41D3">
        <w:rPr>
          <w:rFonts w:ascii="Times New Roman" w:hAnsi="Times New Roman" w:cs="Times New Roman"/>
          <w:color w:val="000000" w:themeColor="text1"/>
          <w:sz w:val="24"/>
          <w:szCs w:val="24"/>
          <w:lang w:val="bg-BG"/>
        </w:rPr>
        <w:t xml:space="preserve">пристанищните </w:t>
      </w:r>
      <w:r w:rsidRPr="00610B1B">
        <w:rPr>
          <w:rFonts w:ascii="Times New Roman" w:hAnsi="Times New Roman" w:cs="Times New Roman"/>
          <w:color w:val="000000" w:themeColor="text1"/>
          <w:sz w:val="24"/>
          <w:szCs w:val="24"/>
          <w:lang w:val="bg-BG"/>
        </w:rPr>
        <w:t xml:space="preserve">терминали “Варна-Запад”, „Фериботен комплекс–Варна“, „Леспорт“, „ТЕЦ Езерово“,  </w:t>
      </w:r>
      <w:r w:rsidR="004F41D3">
        <w:rPr>
          <w:rFonts w:ascii="Times New Roman" w:hAnsi="Times New Roman" w:cs="Times New Roman"/>
          <w:color w:val="000000" w:themeColor="text1"/>
          <w:sz w:val="24"/>
          <w:szCs w:val="24"/>
          <w:lang w:val="bg-BG"/>
        </w:rPr>
        <w:t>„</w:t>
      </w:r>
      <w:r w:rsidRPr="00610B1B">
        <w:rPr>
          <w:rFonts w:ascii="Times New Roman" w:hAnsi="Times New Roman" w:cs="Times New Roman"/>
          <w:color w:val="000000" w:themeColor="text1"/>
          <w:sz w:val="24"/>
          <w:szCs w:val="24"/>
          <w:lang w:val="bg-BG"/>
        </w:rPr>
        <w:t>Балчик</w:t>
      </w:r>
      <w:r w:rsidR="004F41D3">
        <w:rPr>
          <w:rFonts w:ascii="Times New Roman" w:hAnsi="Times New Roman" w:cs="Times New Roman"/>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w:t>
      </w:r>
      <w:r w:rsidR="00557F63" w:rsidRPr="00610B1B">
        <w:rPr>
          <w:rFonts w:ascii="Times New Roman" w:hAnsi="Times New Roman" w:cs="Times New Roman"/>
          <w:color w:val="000000" w:themeColor="text1"/>
          <w:sz w:val="24"/>
          <w:szCs w:val="24"/>
          <w:lang w:val="bg-BG"/>
        </w:rPr>
        <w:t>„ПЧМВ” – Варна, „Одесос ПБМ” ЕАД – Варна и</w:t>
      </w:r>
      <w:r w:rsidR="00D66FE0" w:rsidRPr="00610B1B">
        <w:rPr>
          <w:rFonts w:ascii="Times New Roman" w:hAnsi="Times New Roman" w:cs="Times New Roman"/>
          <w:color w:val="000000" w:themeColor="text1"/>
          <w:sz w:val="24"/>
          <w:szCs w:val="24"/>
          <w:lang w:val="bg-BG"/>
        </w:rPr>
        <w:t xml:space="preserve"> </w:t>
      </w:r>
      <w:r w:rsidR="00557F63" w:rsidRPr="00610B1B">
        <w:rPr>
          <w:rFonts w:ascii="Times New Roman" w:hAnsi="Times New Roman" w:cs="Times New Roman"/>
          <w:color w:val="000000" w:themeColor="text1"/>
          <w:sz w:val="24"/>
          <w:szCs w:val="24"/>
          <w:lang w:val="bg-BG"/>
        </w:rPr>
        <w:t>„Бургас-Запад“.</w:t>
      </w:r>
      <w:r w:rsidR="007927C6" w:rsidRPr="00610B1B">
        <w:rPr>
          <w:rStyle w:val="FootnoteReference"/>
          <w:rFonts w:ascii="Times New Roman" w:hAnsi="Times New Roman" w:cs="Times New Roman"/>
          <w:color w:val="000000" w:themeColor="text1"/>
          <w:sz w:val="24"/>
          <w:szCs w:val="24"/>
          <w:lang w:val="bg-BG"/>
        </w:rPr>
        <w:footnoteReference w:id="113"/>
      </w:r>
      <w:bookmarkStart w:id="346" w:name="_Hlk83282122"/>
      <w:bookmarkEnd w:id="344"/>
      <w:r w:rsidR="008753B6" w:rsidRPr="00610B1B">
        <w:rPr>
          <w:rFonts w:ascii="Times New Roman" w:hAnsi="Times New Roman" w:cs="Times New Roman"/>
          <w:color w:val="000000" w:themeColor="text1"/>
          <w:sz w:val="24"/>
          <w:szCs w:val="24"/>
          <w:lang w:val="bg-BG"/>
        </w:rPr>
        <w:t xml:space="preserve"> </w:t>
      </w:r>
      <w:r w:rsidR="00557F63" w:rsidRPr="00610B1B">
        <w:rPr>
          <w:rFonts w:ascii="Times New Roman" w:hAnsi="Times New Roman" w:cs="Times New Roman"/>
          <w:color w:val="000000" w:themeColor="text1"/>
          <w:sz w:val="24"/>
          <w:szCs w:val="24"/>
          <w:lang w:val="bg-BG"/>
        </w:rPr>
        <w:t xml:space="preserve">В процес на изграждане са два нови </w:t>
      </w:r>
      <w:r w:rsidR="004F41D3">
        <w:rPr>
          <w:rFonts w:ascii="Times New Roman" w:hAnsi="Times New Roman" w:cs="Times New Roman"/>
          <w:color w:val="000000" w:themeColor="text1"/>
          <w:sz w:val="24"/>
          <w:szCs w:val="24"/>
          <w:lang w:val="bg-BG"/>
        </w:rPr>
        <w:t xml:space="preserve">пристанищни </w:t>
      </w:r>
      <w:r w:rsidR="00557F63" w:rsidRPr="00610B1B">
        <w:rPr>
          <w:rFonts w:ascii="Times New Roman" w:hAnsi="Times New Roman" w:cs="Times New Roman"/>
          <w:color w:val="000000" w:themeColor="text1"/>
          <w:sz w:val="24"/>
          <w:szCs w:val="24"/>
          <w:lang w:val="bg-BG"/>
        </w:rPr>
        <w:t>терминала в Пристанище Варна, в землището на гр.</w:t>
      </w:r>
      <w:r w:rsidR="001757A5" w:rsidRPr="00610B1B">
        <w:rPr>
          <w:rFonts w:ascii="Times New Roman" w:hAnsi="Times New Roman" w:cs="Times New Roman"/>
          <w:color w:val="000000" w:themeColor="text1"/>
          <w:sz w:val="24"/>
          <w:szCs w:val="24"/>
          <w:lang w:val="bg-BG"/>
        </w:rPr>
        <w:t> </w:t>
      </w:r>
      <w:r w:rsidR="00557F63" w:rsidRPr="00610B1B">
        <w:rPr>
          <w:rFonts w:ascii="Times New Roman" w:hAnsi="Times New Roman" w:cs="Times New Roman"/>
          <w:color w:val="000000" w:themeColor="text1"/>
          <w:sz w:val="24"/>
          <w:szCs w:val="24"/>
          <w:lang w:val="bg-BG"/>
        </w:rPr>
        <w:t>Белослав –за горива с инвеститор „Газтрейд”</w:t>
      </w:r>
      <w:r w:rsidR="00E04172" w:rsidRPr="00610B1B">
        <w:rPr>
          <w:rFonts w:ascii="Times New Roman" w:hAnsi="Times New Roman" w:cs="Times New Roman"/>
          <w:color w:val="000000" w:themeColor="text1"/>
          <w:sz w:val="24"/>
          <w:szCs w:val="24"/>
          <w:lang w:val="en-US"/>
        </w:rPr>
        <w:t> </w:t>
      </w:r>
      <w:r w:rsidR="00557F63" w:rsidRPr="00610B1B">
        <w:rPr>
          <w:rFonts w:ascii="Times New Roman" w:hAnsi="Times New Roman" w:cs="Times New Roman"/>
          <w:color w:val="000000" w:themeColor="text1"/>
          <w:sz w:val="24"/>
          <w:szCs w:val="24"/>
          <w:lang w:val="bg-BG"/>
        </w:rPr>
        <w:t xml:space="preserve">АД </w:t>
      </w:r>
      <w:bookmarkEnd w:id="345"/>
      <w:r w:rsidR="00557F63" w:rsidRPr="00610B1B">
        <w:rPr>
          <w:rFonts w:ascii="Times New Roman" w:hAnsi="Times New Roman" w:cs="Times New Roman"/>
          <w:color w:val="000000" w:themeColor="text1"/>
          <w:sz w:val="24"/>
          <w:szCs w:val="24"/>
          <w:lang w:val="bg-BG"/>
        </w:rPr>
        <w:t>и за насипни товари и неопасни наливни товари с инвеститор „Бора Инвест”</w:t>
      </w:r>
      <w:r w:rsidR="001757A5" w:rsidRPr="00610B1B">
        <w:rPr>
          <w:rFonts w:ascii="Times New Roman" w:hAnsi="Times New Roman" w:cs="Times New Roman"/>
          <w:lang w:val="bg-BG"/>
        </w:rPr>
        <w:t> </w:t>
      </w:r>
      <w:r w:rsidR="00557F63" w:rsidRPr="00610B1B">
        <w:rPr>
          <w:rFonts w:ascii="Times New Roman" w:hAnsi="Times New Roman" w:cs="Times New Roman"/>
          <w:color w:val="000000" w:themeColor="text1"/>
          <w:sz w:val="24"/>
          <w:szCs w:val="24"/>
          <w:lang w:val="bg-BG"/>
        </w:rPr>
        <w:t>ЕООД.</w:t>
      </w:r>
      <w:r w:rsidR="000E3B90" w:rsidRPr="00610B1B">
        <w:rPr>
          <w:rFonts w:ascii="Times New Roman" w:hAnsi="Times New Roman" w:cs="Times New Roman"/>
          <w:color w:val="000000" w:themeColor="text1"/>
          <w:sz w:val="24"/>
          <w:szCs w:val="24"/>
          <w:lang w:val="bg-BG"/>
        </w:rPr>
        <w:t xml:space="preserve"> През последните години се влагат значителни инвестиции за модернизиране и повишаване конкурентоспособността на пристанищата.</w:t>
      </w:r>
      <w:r w:rsidR="000E3B90" w:rsidRPr="00610B1B">
        <w:rPr>
          <w:rStyle w:val="FootnoteReference"/>
          <w:rFonts w:ascii="Times New Roman" w:hAnsi="Times New Roman" w:cs="Times New Roman"/>
          <w:color w:val="000000" w:themeColor="text1"/>
          <w:sz w:val="24"/>
          <w:szCs w:val="24"/>
          <w:lang w:val="bg-BG"/>
        </w:rPr>
        <w:footnoteReference w:id="114"/>
      </w:r>
    </w:p>
    <w:bookmarkEnd w:id="346"/>
    <w:p w14:paraId="7204DB84" w14:textId="63953DF1" w:rsidR="00796C2C" w:rsidRPr="00610B1B" w:rsidRDefault="00796C2C" w:rsidP="00557F63">
      <w:pPr>
        <w:autoSpaceDE w:val="0"/>
        <w:autoSpaceDN w:val="0"/>
        <w:adjustRightInd w:val="0"/>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Техниката</w:t>
      </w:r>
      <w:r w:rsidR="009A2898" w:rsidRPr="00610B1B">
        <w:rPr>
          <w:rFonts w:ascii="Times New Roman" w:hAnsi="Times New Roman" w:cs="Times New Roman"/>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с която разполагат </w:t>
      </w:r>
      <w:r w:rsidR="004F41D3">
        <w:rPr>
          <w:rFonts w:ascii="Times New Roman" w:hAnsi="Times New Roman" w:cs="Times New Roman"/>
          <w:color w:val="000000" w:themeColor="text1"/>
          <w:sz w:val="24"/>
          <w:szCs w:val="24"/>
          <w:lang w:val="bg-BG"/>
        </w:rPr>
        <w:t xml:space="preserve">пристанищните </w:t>
      </w:r>
      <w:r w:rsidRPr="00610B1B">
        <w:rPr>
          <w:rFonts w:ascii="Times New Roman" w:hAnsi="Times New Roman" w:cs="Times New Roman"/>
          <w:color w:val="000000" w:themeColor="text1"/>
          <w:sz w:val="24"/>
          <w:szCs w:val="24"/>
          <w:lang w:val="bg-BG"/>
        </w:rPr>
        <w:t xml:space="preserve">терминали </w:t>
      </w:r>
      <w:r w:rsidR="00337D6F" w:rsidRPr="00610B1B">
        <w:rPr>
          <w:rFonts w:ascii="Times New Roman" w:hAnsi="Times New Roman" w:cs="Times New Roman"/>
          <w:color w:val="000000" w:themeColor="text1"/>
          <w:sz w:val="24"/>
          <w:szCs w:val="24"/>
          <w:lang w:val="bg-BG"/>
        </w:rPr>
        <w:t xml:space="preserve">трябва да </w:t>
      </w:r>
      <w:r w:rsidRPr="00610B1B">
        <w:rPr>
          <w:rFonts w:ascii="Times New Roman" w:hAnsi="Times New Roman" w:cs="Times New Roman"/>
          <w:color w:val="000000" w:themeColor="text1"/>
          <w:sz w:val="24"/>
          <w:szCs w:val="24"/>
          <w:lang w:val="bg-BG"/>
        </w:rPr>
        <w:t xml:space="preserve">отговаря на съвременните изисквания за обработка на товари. </w:t>
      </w:r>
      <w:r w:rsidR="00337D6F" w:rsidRPr="00610B1B">
        <w:rPr>
          <w:rFonts w:ascii="Times New Roman" w:hAnsi="Times New Roman" w:cs="Times New Roman"/>
          <w:color w:val="000000" w:themeColor="text1"/>
          <w:sz w:val="24"/>
          <w:szCs w:val="24"/>
          <w:lang w:val="bg-BG"/>
        </w:rPr>
        <w:t xml:space="preserve">Увеличаването на </w:t>
      </w:r>
      <w:r w:rsidRPr="00610B1B">
        <w:rPr>
          <w:rFonts w:ascii="Times New Roman" w:hAnsi="Times New Roman" w:cs="Times New Roman"/>
          <w:color w:val="000000" w:themeColor="text1"/>
          <w:sz w:val="24"/>
          <w:szCs w:val="24"/>
          <w:lang w:val="bg-BG"/>
        </w:rPr>
        <w:t>инвестиции</w:t>
      </w:r>
      <w:r w:rsidR="00337D6F" w:rsidRPr="00610B1B">
        <w:rPr>
          <w:rFonts w:ascii="Times New Roman" w:hAnsi="Times New Roman" w:cs="Times New Roman"/>
          <w:color w:val="000000" w:themeColor="text1"/>
          <w:sz w:val="24"/>
          <w:szCs w:val="24"/>
          <w:lang w:val="bg-BG"/>
        </w:rPr>
        <w:t>те</w:t>
      </w:r>
      <w:r w:rsidRPr="00610B1B">
        <w:rPr>
          <w:rFonts w:ascii="Times New Roman" w:hAnsi="Times New Roman" w:cs="Times New Roman"/>
          <w:color w:val="000000" w:themeColor="text1"/>
          <w:sz w:val="24"/>
          <w:szCs w:val="24"/>
          <w:lang w:val="bg-BG"/>
        </w:rPr>
        <w:t xml:space="preserve"> </w:t>
      </w:r>
      <w:r w:rsidR="000765AE" w:rsidRPr="00610B1B">
        <w:rPr>
          <w:rFonts w:ascii="Times New Roman" w:hAnsi="Times New Roman" w:cs="Times New Roman"/>
          <w:color w:val="000000" w:themeColor="text1"/>
          <w:sz w:val="24"/>
          <w:szCs w:val="24"/>
          <w:lang w:val="bg-BG"/>
        </w:rPr>
        <w:t>за</w:t>
      </w:r>
      <w:r w:rsidRPr="00610B1B">
        <w:rPr>
          <w:rFonts w:ascii="Times New Roman" w:hAnsi="Times New Roman" w:cs="Times New Roman"/>
          <w:color w:val="000000" w:themeColor="text1"/>
          <w:sz w:val="24"/>
          <w:szCs w:val="24"/>
          <w:lang w:val="bg-BG"/>
        </w:rPr>
        <w:t xml:space="preserve"> изграждане на модерна инфраструктура</w:t>
      </w:r>
      <w:r w:rsidR="00337D6F" w:rsidRPr="00610B1B">
        <w:rPr>
          <w:rFonts w:ascii="Times New Roman" w:hAnsi="Times New Roman" w:cs="Times New Roman"/>
          <w:color w:val="000000" w:themeColor="text1"/>
          <w:sz w:val="24"/>
          <w:szCs w:val="24"/>
          <w:lang w:val="bg-BG"/>
        </w:rPr>
        <w:t xml:space="preserve"> и за технологично обновление на </w:t>
      </w:r>
      <w:r w:rsidR="004F41D3">
        <w:rPr>
          <w:rFonts w:ascii="Times New Roman" w:hAnsi="Times New Roman" w:cs="Times New Roman"/>
          <w:color w:val="000000" w:themeColor="text1"/>
          <w:sz w:val="24"/>
          <w:szCs w:val="24"/>
          <w:lang w:val="bg-BG"/>
        </w:rPr>
        <w:t xml:space="preserve">пристанищните </w:t>
      </w:r>
      <w:r w:rsidR="00337D6F" w:rsidRPr="00610B1B">
        <w:rPr>
          <w:rFonts w:ascii="Times New Roman" w:hAnsi="Times New Roman" w:cs="Times New Roman"/>
          <w:color w:val="000000" w:themeColor="text1"/>
          <w:sz w:val="24"/>
          <w:szCs w:val="24"/>
          <w:lang w:val="bg-BG"/>
        </w:rPr>
        <w:t xml:space="preserve">терминали ще повиши </w:t>
      </w:r>
      <w:r w:rsidRPr="00610B1B">
        <w:rPr>
          <w:rFonts w:ascii="Times New Roman" w:hAnsi="Times New Roman" w:cs="Times New Roman"/>
          <w:color w:val="000000" w:themeColor="text1"/>
          <w:sz w:val="24"/>
          <w:szCs w:val="24"/>
          <w:lang w:val="bg-BG"/>
        </w:rPr>
        <w:t>конкурентоспособно</w:t>
      </w:r>
      <w:r w:rsidR="00337D6F" w:rsidRPr="00610B1B">
        <w:rPr>
          <w:rFonts w:ascii="Times New Roman" w:hAnsi="Times New Roman" w:cs="Times New Roman"/>
          <w:color w:val="000000" w:themeColor="text1"/>
          <w:sz w:val="24"/>
          <w:szCs w:val="24"/>
          <w:lang w:val="bg-BG"/>
        </w:rPr>
        <w:t xml:space="preserve">стта на българските пристанища. </w:t>
      </w:r>
    </w:p>
    <w:p w14:paraId="38CF34B7" w14:textId="6EA7DFE3" w:rsidR="008B5DA1" w:rsidRPr="00610B1B" w:rsidRDefault="00CA375F" w:rsidP="00D32D6A">
      <w:pPr>
        <w:autoSpaceDE w:val="0"/>
        <w:autoSpaceDN w:val="0"/>
        <w:adjustRightInd w:val="0"/>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 xml:space="preserve">Развитието </w:t>
      </w:r>
      <w:r w:rsidR="004566C7" w:rsidRPr="00610B1B">
        <w:rPr>
          <w:rFonts w:ascii="Times New Roman" w:hAnsi="Times New Roman" w:cs="Times New Roman"/>
          <w:color w:val="000000" w:themeColor="text1"/>
          <w:sz w:val="24"/>
          <w:szCs w:val="24"/>
          <w:lang w:val="bg-BG"/>
        </w:rPr>
        <w:t xml:space="preserve">на морския транспорт, пристанищата и пристанищните дейности </w:t>
      </w:r>
      <w:r w:rsidR="009A2898" w:rsidRPr="00610B1B">
        <w:rPr>
          <w:rFonts w:ascii="Times New Roman" w:hAnsi="Times New Roman" w:cs="Times New Roman"/>
          <w:color w:val="000000" w:themeColor="text1"/>
          <w:sz w:val="24"/>
          <w:szCs w:val="24"/>
          <w:lang w:val="bg-BG"/>
        </w:rPr>
        <w:t>са</w:t>
      </w:r>
      <w:r w:rsidR="004566C7"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 xml:space="preserve">неотменна част </w:t>
      </w:r>
      <w:r w:rsidR="00551B0F" w:rsidRPr="00610B1B">
        <w:rPr>
          <w:rFonts w:ascii="Times New Roman" w:hAnsi="Times New Roman" w:cs="Times New Roman"/>
          <w:color w:val="000000" w:themeColor="text1"/>
          <w:sz w:val="24"/>
          <w:szCs w:val="24"/>
          <w:lang w:val="bg-BG"/>
        </w:rPr>
        <w:t>от цялостната морска политика на страната</w:t>
      </w:r>
      <w:r w:rsidRPr="00610B1B">
        <w:rPr>
          <w:rFonts w:ascii="Times New Roman" w:hAnsi="Times New Roman" w:cs="Times New Roman"/>
          <w:color w:val="000000" w:themeColor="text1"/>
          <w:sz w:val="24"/>
          <w:szCs w:val="24"/>
          <w:lang w:val="bg-BG"/>
        </w:rPr>
        <w:t xml:space="preserve"> и именно поради това е н</w:t>
      </w:r>
      <w:r w:rsidR="00551B0F" w:rsidRPr="00610B1B">
        <w:rPr>
          <w:rFonts w:ascii="Times New Roman" w:hAnsi="Times New Roman" w:cs="Times New Roman"/>
          <w:color w:val="000000" w:themeColor="text1"/>
          <w:sz w:val="24"/>
          <w:szCs w:val="24"/>
          <w:lang w:val="bg-BG"/>
        </w:rPr>
        <w:t>еобходима ясна стратегия</w:t>
      </w:r>
      <w:r w:rsidRPr="00610B1B">
        <w:rPr>
          <w:rFonts w:ascii="Times New Roman" w:hAnsi="Times New Roman" w:cs="Times New Roman"/>
          <w:color w:val="000000" w:themeColor="text1"/>
          <w:sz w:val="24"/>
          <w:szCs w:val="24"/>
          <w:lang w:val="bg-BG"/>
        </w:rPr>
        <w:t xml:space="preserve"> за развитие на сектора. Тъй като инвестициите в морски транспорт и в пристанищна инфраструктура са значителни и с дълъг период на възвращаемост, държавата трябва да </w:t>
      </w:r>
      <w:r w:rsidR="00337D6F" w:rsidRPr="00610B1B">
        <w:rPr>
          <w:rFonts w:ascii="Times New Roman" w:hAnsi="Times New Roman" w:cs="Times New Roman"/>
          <w:color w:val="000000" w:themeColor="text1"/>
          <w:sz w:val="24"/>
          <w:szCs w:val="24"/>
          <w:lang w:val="bg-BG"/>
        </w:rPr>
        <w:t>насърчава икономическите оператори</w:t>
      </w:r>
      <w:r w:rsidRPr="00610B1B">
        <w:rPr>
          <w:rFonts w:ascii="Times New Roman" w:hAnsi="Times New Roman" w:cs="Times New Roman"/>
          <w:color w:val="000000" w:themeColor="text1"/>
          <w:sz w:val="24"/>
          <w:szCs w:val="24"/>
          <w:lang w:val="bg-BG"/>
        </w:rPr>
        <w:t xml:space="preserve">, чрез </w:t>
      </w:r>
      <w:r w:rsidR="00337D6F" w:rsidRPr="00610B1B">
        <w:rPr>
          <w:rFonts w:ascii="Times New Roman" w:hAnsi="Times New Roman" w:cs="Times New Roman"/>
          <w:color w:val="000000" w:themeColor="text1"/>
          <w:sz w:val="24"/>
          <w:szCs w:val="24"/>
          <w:lang w:val="bg-BG"/>
        </w:rPr>
        <w:t>механизмите на публично-частното партньорство, съгласно изискванията на Закона за концесиите</w:t>
      </w:r>
      <w:r w:rsidR="008753B6" w:rsidRPr="00610B1B">
        <w:rPr>
          <w:rFonts w:ascii="Times New Roman" w:hAnsi="Times New Roman" w:cs="Times New Roman"/>
          <w:color w:val="000000" w:themeColor="text1"/>
          <w:sz w:val="24"/>
          <w:szCs w:val="24"/>
          <w:lang w:val="bg-BG"/>
        </w:rPr>
        <w:t xml:space="preserve"> </w:t>
      </w:r>
      <w:r w:rsidR="00337D6F" w:rsidRPr="00610B1B">
        <w:rPr>
          <w:rFonts w:ascii="Times New Roman" w:hAnsi="Times New Roman" w:cs="Times New Roman"/>
          <w:color w:val="000000" w:themeColor="text1"/>
          <w:sz w:val="24"/>
          <w:szCs w:val="24"/>
          <w:lang w:val="bg-BG"/>
        </w:rPr>
        <w:t xml:space="preserve">и в съответствие със законодателството на ЕС. </w:t>
      </w:r>
      <w:r w:rsidRPr="00610B1B">
        <w:rPr>
          <w:rFonts w:ascii="Times New Roman" w:hAnsi="Times New Roman" w:cs="Times New Roman"/>
          <w:color w:val="000000" w:themeColor="text1"/>
          <w:sz w:val="24"/>
          <w:szCs w:val="24"/>
          <w:lang w:val="bg-BG"/>
        </w:rPr>
        <w:t>Това ще осигури</w:t>
      </w:r>
      <w:r w:rsidR="00D66FE0"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 xml:space="preserve">инвестиране в нови </w:t>
      </w:r>
      <w:r w:rsidRPr="00610B1B">
        <w:rPr>
          <w:rFonts w:ascii="Times New Roman" w:hAnsi="Times New Roman" w:cs="Times New Roman"/>
          <w:color w:val="000000" w:themeColor="text1"/>
          <w:sz w:val="24"/>
          <w:szCs w:val="24"/>
          <w:lang w:val="bg-BG"/>
        </w:rPr>
        <w:lastRenderedPageBreak/>
        <w:t>технологични решени</w:t>
      </w:r>
      <w:r w:rsidR="008B5DA1" w:rsidRPr="00610B1B">
        <w:rPr>
          <w:rFonts w:ascii="Times New Roman" w:hAnsi="Times New Roman" w:cs="Times New Roman"/>
          <w:color w:val="000000" w:themeColor="text1"/>
          <w:sz w:val="24"/>
          <w:szCs w:val="24"/>
          <w:lang w:val="bg-BG"/>
        </w:rPr>
        <w:t>я</w:t>
      </w:r>
      <w:r w:rsidRPr="00610B1B">
        <w:rPr>
          <w:rFonts w:ascii="Times New Roman" w:hAnsi="Times New Roman" w:cs="Times New Roman"/>
          <w:color w:val="000000" w:themeColor="text1"/>
          <w:sz w:val="24"/>
          <w:szCs w:val="24"/>
          <w:lang w:val="bg-BG"/>
        </w:rPr>
        <w:t xml:space="preserve"> за товарно-разтоварните дейности, </w:t>
      </w:r>
      <w:r w:rsidR="008B5DA1" w:rsidRPr="00610B1B">
        <w:rPr>
          <w:rFonts w:ascii="Times New Roman" w:hAnsi="Times New Roman" w:cs="Times New Roman"/>
          <w:color w:val="000000" w:themeColor="text1"/>
          <w:sz w:val="24"/>
          <w:szCs w:val="24"/>
          <w:lang w:val="bg-BG"/>
        </w:rPr>
        <w:t xml:space="preserve">в </w:t>
      </w:r>
      <w:r w:rsidRPr="00610B1B">
        <w:rPr>
          <w:rFonts w:ascii="Times New Roman" w:hAnsi="Times New Roman" w:cs="Times New Roman"/>
          <w:color w:val="000000" w:themeColor="text1"/>
          <w:sz w:val="24"/>
          <w:szCs w:val="24"/>
          <w:lang w:val="bg-BG"/>
        </w:rPr>
        <w:t xml:space="preserve">логистичните зони за съхранение и дистрибуция на стоки и товари, което значително ще ускори обработването на корабите и товарите и ще увеличи ефективността на българската икономика. </w:t>
      </w:r>
    </w:p>
    <w:p w14:paraId="38DF12BF" w14:textId="6E041641" w:rsidR="00796C2C" w:rsidRPr="00610B1B" w:rsidRDefault="008B5DA1" w:rsidP="00D32D6A">
      <w:pPr>
        <w:autoSpaceDE w:val="0"/>
        <w:autoSpaceDN w:val="0"/>
        <w:adjustRightInd w:val="0"/>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 xml:space="preserve">Допълнително е необходимо да </w:t>
      </w:r>
      <w:r w:rsidR="009A2898" w:rsidRPr="00610B1B">
        <w:rPr>
          <w:rFonts w:ascii="Times New Roman" w:hAnsi="Times New Roman" w:cs="Times New Roman"/>
          <w:color w:val="000000" w:themeColor="text1"/>
          <w:sz w:val="24"/>
          <w:szCs w:val="24"/>
          <w:lang w:val="bg-BG"/>
        </w:rPr>
        <w:t xml:space="preserve">се </w:t>
      </w:r>
      <w:r w:rsidRPr="00610B1B">
        <w:rPr>
          <w:rFonts w:ascii="Times New Roman" w:hAnsi="Times New Roman" w:cs="Times New Roman"/>
          <w:color w:val="000000" w:themeColor="text1"/>
          <w:sz w:val="24"/>
          <w:szCs w:val="24"/>
          <w:lang w:val="bg-BG"/>
        </w:rPr>
        <w:t>намали административната тежест в морския сектор. Това може да се постигне чрез съкращаване на сроковете и опростяване на процедурите за получаване на разрешение за строеж, за изграждане или разширение на терминал, за конверсия на сгради и пространства. Процесът на подготовка на документацията, съгласувателните процедури и одобряването трябва да бъде улеснен</w:t>
      </w:r>
      <w:r w:rsidR="009A2898"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сроковете намалени, а институциите да оказват съдействие за реализиране на подобни проекти.</w:t>
      </w:r>
      <w:r w:rsidR="00CA375F" w:rsidRPr="00610B1B">
        <w:rPr>
          <w:rFonts w:ascii="Times New Roman" w:hAnsi="Times New Roman" w:cs="Times New Roman"/>
          <w:color w:val="000000" w:themeColor="text1"/>
          <w:sz w:val="24"/>
          <w:szCs w:val="24"/>
          <w:lang w:val="bg-BG"/>
        </w:rPr>
        <w:t xml:space="preserve"> </w:t>
      </w:r>
    </w:p>
    <w:p w14:paraId="7DACDF67" w14:textId="77777777" w:rsidR="0074232E" w:rsidRPr="00610B1B" w:rsidRDefault="00490395" w:rsidP="00D32D6A">
      <w:pPr>
        <w:autoSpaceDE w:val="0"/>
        <w:autoSpaceDN w:val="0"/>
        <w:adjustRightInd w:val="0"/>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Развитието на пристанищата ще бъде свързано с тяхното преструктуриране и функционално и технологично обновяване, преместването на определени дейности извън конфликтните зони, изграждането на специализирани пристанищни терминали и с</w:t>
      </w:r>
      <w:r w:rsidR="00796C2C" w:rsidRPr="00610B1B">
        <w:rPr>
          <w:rFonts w:ascii="Times New Roman" w:hAnsi="Times New Roman" w:cs="Times New Roman"/>
          <w:color w:val="000000" w:themeColor="text1"/>
          <w:sz w:val="24"/>
          <w:szCs w:val="24"/>
          <w:lang w:val="bg-BG"/>
        </w:rPr>
        <w:t>ъздаване</w:t>
      </w:r>
      <w:r w:rsidRPr="00610B1B">
        <w:rPr>
          <w:rFonts w:ascii="Times New Roman" w:hAnsi="Times New Roman" w:cs="Times New Roman"/>
          <w:color w:val="000000" w:themeColor="text1"/>
          <w:sz w:val="24"/>
          <w:szCs w:val="24"/>
          <w:lang w:val="bg-BG"/>
        </w:rPr>
        <w:t>то</w:t>
      </w:r>
      <w:r w:rsidR="00796C2C" w:rsidRPr="00610B1B">
        <w:rPr>
          <w:rFonts w:ascii="Times New Roman" w:hAnsi="Times New Roman" w:cs="Times New Roman"/>
          <w:color w:val="000000" w:themeColor="text1"/>
          <w:sz w:val="24"/>
          <w:szCs w:val="24"/>
          <w:lang w:val="bg-BG"/>
        </w:rPr>
        <w:t xml:space="preserve"> на условия за приемане и обработка на голямотонажни кораби чрез удълбочаване на подходите и акваторията</w:t>
      </w:r>
      <w:r w:rsidRPr="00610B1B">
        <w:rPr>
          <w:rFonts w:ascii="Times New Roman" w:hAnsi="Times New Roman" w:cs="Times New Roman"/>
          <w:color w:val="000000" w:themeColor="text1"/>
          <w:sz w:val="24"/>
          <w:szCs w:val="24"/>
          <w:lang w:val="bg-BG"/>
        </w:rPr>
        <w:t xml:space="preserve"> и премахване на физическите ограничения. </w:t>
      </w:r>
    </w:p>
    <w:p w14:paraId="345AFBAA" w14:textId="48560B2A" w:rsidR="00490395" w:rsidRPr="00610B1B" w:rsidRDefault="00796C2C" w:rsidP="00D32D6A">
      <w:pPr>
        <w:autoSpaceDE w:val="0"/>
        <w:autoSpaceDN w:val="0"/>
        <w:adjustRightInd w:val="0"/>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 xml:space="preserve">Във връзка с повишените изисквания </w:t>
      </w:r>
      <w:r w:rsidR="00490395" w:rsidRPr="00610B1B">
        <w:rPr>
          <w:rFonts w:ascii="Times New Roman" w:hAnsi="Times New Roman" w:cs="Times New Roman"/>
          <w:color w:val="000000" w:themeColor="text1"/>
          <w:sz w:val="24"/>
          <w:szCs w:val="24"/>
          <w:lang w:val="bg-BG"/>
        </w:rPr>
        <w:t>за</w:t>
      </w:r>
      <w:r w:rsidRPr="00610B1B">
        <w:rPr>
          <w:rFonts w:ascii="Times New Roman" w:hAnsi="Times New Roman" w:cs="Times New Roman"/>
          <w:color w:val="000000" w:themeColor="text1"/>
          <w:sz w:val="24"/>
          <w:szCs w:val="24"/>
          <w:lang w:val="bg-BG"/>
        </w:rPr>
        <w:t xml:space="preserve"> опазване на околната среда, е необходимо да се изградят подходящи</w:t>
      </w:r>
      <w:r w:rsidR="00490395" w:rsidRPr="00610B1B">
        <w:rPr>
          <w:rFonts w:ascii="Times New Roman" w:hAnsi="Times New Roman" w:cs="Times New Roman"/>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отговарящи на международни</w:t>
      </w:r>
      <w:r w:rsidR="00490395" w:rsidRPr="00610B1B">
        <w:rPr>
          <w:rFonts w:ascii="Times New Roman" w:hAnsi="Times New Roman" w:cs="Times New Roman"/>
          <w:color w:val="000000" w:themeColor="text1"/>
          <w:sz w:val="24"/>
          <w:szCs w:val="24"/>
          <w:lang w:val="bg-BG"/>
        </w:rPr>
        <w:t>те</w:t>
      </w:r>
      <w:r w:rsidRPr="00610B1B">
        <w:rPr>
          <w:rFonts w:ascii="Times New Roman" w:hAnsi="Times New Roman" w:cs="Times New Roman"/>
          <w:color w:val="000000" w:themeColor="text1"/>
          <w:sz w:val="24"/>
          <w:szCs w:val="24"/>
          <w:lang w:val="bg-BG"/>
        </w:rPr>
        <w:t xml:space="preserve"> изисквания</w:t>
      </w:r>
      <w:r w:rsidR="00490395" w:rsidRPr="00610B1B">
        <w:rPr>
          <w:rFonts w:ascii="Times New Roman" w:hAnsi="Times New Roman" w:cs="Times New Roman"/>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приемни съоръжения за събиране и обработване на корабни отпадъци и управление на баластни води.</w:t>
      </w:r>
      <w:r w:rsidR="00490395" w:rsidRPr="00610B1B">
        <w:rPr>
          <w:rFonts w:ascii="Times New Roman" w:hAnsi="Times New Roman" w:cs="Times New Roman"/>
          <w:color w:val="000000" w:themeColor="text1"/>
          <w:sz w:val="24"/>
          <w:szCs w:val="24"/>
          <w:lang w:val="bg-BG"/>
        </w:rPr>
        <w:t xml:space="preserve"> Това ще подпомогне дейностите по опазване на морската околна среда, ще намали заплахата от навлизането на чужди инвазивни видове и заедно с мерките по защита на урбанизираните територии и инфраструктурата от екстремни климатични събития в резултат от изменението на климата, ще отговори на глобалните екологични предизвикателства. </w:t>
      </w:r>
      <w:r w:rsidR="00557F63" w:rsidRPr="00610B1B">
        <w:rPr>
          <w:rFonts w:ascii="Times New Roman" w:hAnsi="Times New Roman" w:cs="Times New Roman"/>
          <w:color w:val="000000" w:themeColor="text1"/>
          <w:sz w:val="24"/>
          <w:szCs w:val="24"/>
          <w:lang w:val="bg-BG"/>
        </w:rPr>
        <w:t xml:space="preserve">За да отговори на тези изисквания ДП „Пристанищна инфраструктура“ е в процес на изпълнение на </w:t>
      </w:r>
      <w:r w:rsidR="00337D6F" w:rsidRPr="00610B1B">
        <w:rPr>
          <w:rFonts w:ascii="Times New Roman" w:hAnsi="Times New Roman" w:cs="Times New Roman"/>
          <w:color w:val="000000" w:themeColor="text1"/>
          <w:sz w:val="24"/>
          <w:szCs w:val="24"/>
          <w:lang w:val="bg-BG"/>
        </w:rPr>
        <w:t xml:space="preserve">два проекта с европейско финансиране, а именно: </w:t>
      </w:r>
      <w:r w:rsidR="00557F63" w:rsidRPr="00610B1B">
        <w:rPr>
          <w:rFonts w:ascii="Times New Roman" w:hAnsi="Times New Roman" w:cs="Times New Roman"/>
          <w:color w:val="000000" w:themeColor="text1"/>
          <w:sz w:val="24"/>
          <w:szCs w:val="24"/>
          <w:lang w:val="bg-BG"/>
        </w:rPr>
        <w:t>Проект № BG16М1ОР001-4.001-0005 „Техническа помощ за подготовката и реализацията на проект „Доставка, монтаж и въвеждане в експлоатация на пристанищни приемни съоръжения (ППС) в българските пристанища за обществен транспорт с национално значение“</w:t>
      </w:r>
      <w:r w:rsidR="00337D6F" w:rsidRPr="00610B1B">
        <w:rPr>
          <w:rFonts w:ascii="Times New Roman" w:hAnsi="Times New Roman" w:cs="Times New Roman"/>
          <w:color w:val="000000" w:themeColor="text1"/>
          <w:sz w:val="24"/>
          <w:szCs w:val="24"/>
          <w:lang w:val="bg-BG"/>
        </w:rPr>
        <w:t xml:space="preserve"> и проект BG16М1ОР001-4.001-0015 „Доставка </w:t>
      </w:r>
      <w:r w:rsidR="00727BAE" w:rsidRPr="00610B1B">
        <w:rPr>
          <w:rFonts w:ascii="Times New Roman" w:hAnsi="Times New Roman" w:cs="Times New Roman"/>
          <w:color w:val="000000" w:themeColor="text1"/>
          <w:sz w:val="24"/>
          <w:szCs w:val="24"/>
          <w:lang w:val="bg-BG"/>
        </w:rPr>
        <w:t xml:space="preserve">монтаж и въвеждане в експлоатация на пристанищни приемни съоръжения (ППС) в българските пристанища с национално значение“, финансиран по </w:t>
      </w:r>
      <w:r w:rsidR="00C32D10" w:rsidRPr="00610B1B">
        <w:rPr>
          <w:rFonts w:ascii="Times New Roman" w:hAnsi="Times New Roman" w:cs="Times New Roman"/>
          <w:color w:val="000000" w:themeColor="text1"/>
          <w:sz w:val="24"/>
          <w:szCs w:val="24"/>
          <w:lang w:val="bg-BG"/>
        </w:rPr>
        <w:t xml:space="preserve">Приоритетна </w:t>
      </w:r>
      <w:r w:rsidR="00727BAE" w:rsidRPr="00610B1B">
        <w:rPr>
          <w:rFonts w:ascii="Times New Roman" w:hAnsi="Times New Roman" w:cs="Times New Roman"/>
          <w:color w:val="000000" w:themeColor="text1"/>
          <w:sz w:val="24"/>
          <w:szCs w:val="24"/>
          <w:lang w:val="bg-BG"/>
        </w:rPr>
        <w:t xml:space="preserve">ос 4 на Оперативна програма „Транспорт и транспортна инфраструктура“ 2014 – 2020 г. </w:t>
      </w:r>
    </w:p>
    <w:p w14:paraId="5CE65D32" w14:textId="4DF8A5D2" w:rsidR="0074232E" w:rsidRPr="00610B1B" w:rsidRDefault="0048393E" w:rsidP="0074232E">
      <w:pPr>
        <w:autoSpaceDE w:val="0"/>
        <w:autoSpaceDN w:val="0"/>
        <w:adjustRightInd w:val="0"/>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 xml:space="preserve">Част от политиката по обновяване на пристанищните градски зони са и етапно </w:t>
      </w:r>
      <w:r w:rsidR="00E04172" w:rsidRPr="00610B1B">
        <w:rPr>
          <w:rFonts w:ascii="Times New Roman" w:hAnsi="Times New Roman" w:cs="Times New Roman"/>
          <w:color w:val="000000" w:themeColor="text1"/>
          <w:sz w:val="24"/>
          <w:szCs w:val="24"/>
          <w:lang w:val="bg-BG"/>
        </w:rPr>
        <w:t>осъществяваните</w:t>
      </w:r>
      <w:r w:rsidRPr="00610B1B">
        <w:rPr>
          <w:rFonts w:ascii="Times New Roman" w:hAnsi="Times New Roman" w:cs="Times New Roman"/>
          <w:color w:val="000000" w:themeColor="text1"/>
          <w:sz w:val="24"/>
          <w:szCs w:val="24"/>
          <w:lang w:val="bg-BG"/>
        </w:rPr>
        <w:t xml:space="preserve"> проекти за частичното „отваряне“ на пристанищната територия в „Зона за обществен достъп" на пристанища за обществен транспорт Варна и Бургас, с цел постигане на оптимална интеграция на градската зона с морето. Друг </w:t>
      </w:r>
      <w:r w:rsidR="00727BAE" w:rsidRPr="00610B1B">
        <w:rPr>
          <w:rFonts w:ascii="Times New Roman" w:hAnsi="Times New Roman" w:cs="Times New Roman"/>
          <w:color w:val="000000" w:themeColor="text1"/>
          <w:sz w:val="24"/>
          <w:szCs w:val="24"/>
          <w:lang w:val="bg-BG"/>
        </w:rPr>
        <w:t>стратегически</w:t>
      </w:r>
      <w:r w:rsidRPr="00610B1B">
        <w:rPr>
          <w:rFonts w:ascii="Times New Roman" w:hAnsi="Times New Roman" w:cs="Times New Roman"/>
          <w:color w:val="000000" w:themeColor="text1"/>
          <w:sz w:val="24"/>
          <w:szCs w:val="24"/>
          <w:lang w:val="bg-BG"/>
        </w:rPr>
        <w:t xml:space="preserve"> проект</w:t>
      </w:r>
      <w:r w:rsidR="00727BAE" w:rsidRPr="00610B1B">
        <w:rPr>
          <w:rFonts w:ascii="Times New Roman" w:hAnsi="Times New Roman" w:cs="Times New Roman"/>
          <w:color w:val="000000" w:themeColor="text1"/>
          <w:sz w:val="24"/>
          <w:szCs w:val="24"/>
          <w:lang w:val="bg-BG"/>
        </w:rPr>
        <w:t xml:space="preserve"> е „Възстановяване на проектните параметри на морската естакада Шабла“, разположена в непосредствена близост до нос Шабла. Съоръжението е построено в</w:t>
      </w:r>
      <w:r w:rsidR="0074232E" w:rsidRPr="00610B1B">
        <w:rPr>
          <w:rFonts w:ascii="Times New Roman" w:hAnsi="Times New Roman" w:cs="Times New Roman"/>
          <w:color w:val="000000" w:themeColor="text1"/>
          <w:sz w:val="24"/>
          <w:szCs w:val="24"/>
          <w:lang w:val="bg-BG"/>
        </w:rPr>
        <w:t xml:space="preserve"> периода 1967-68 г. за нуждите на нефтодобива. Пристанищното съоръжение навлиза в Че</w:t>
      </w:r>
      <w:r w:rsidR="00727BAE" w:rsidRPr="00610B1B">
        <w:rPr>
          <w:rFonts w:ascii="Times New Roman" w:hAnsi="Times New Roman" w:cs="Times New Roman"/>
          <w:color w:val="000000" w:themeColor="text1"/>
          <w:sz w:val="24"/>
          <w:szCs w:val="24"/>
          <w:lang w:val="bg-BG"/>
        </w:rPr>
        <w:t>рно море с дължина 414 m, широко</w:t>
      </w:r>
      <w:r w:rsidR="0074232E" w:rsidRPr="00610B1B">
        <w:rPr>
          <w:rFonts w:ascii="Times New Roman" w:hAnsi="Times New Roman" w:cs="Times New Roman"/>
          <w:color w:val="000000" w:themeColor="text1"/>
          <w:sz w:val="24"/>
          <w:szCs w:val="24"/>
          <w:lang w:val="bg-BG"/>
        </w:rPr>
        <w:t xml:space="preserve"> е 6 m и има островна площадка, издигната на 8,5 m над морското равнище. През годините съоръжението не е поддържано, в резултат на което носещата конструкция е компрометирана и естакадата е негодна за експлоатация.</w:t>
      </w:r>
      <w:r w:rsidRPr="00610B1B">
        <w:rPr>
          <w:rFonts w:ascii="Times New Roman" w:hAnsi="Times New Roman" w:cs="Times New Roman"/>
          <w:color w:val="000000" w:themeColor="text1"/>
          <w:sz w:val="24"/>
          <w:szCs w:val="24"/>
          <w:lang w:val="bg-BG"/>
        </w:rPr>
        <w:t xml:space="preserve"> </w:t>
      </w:r>
      <w:r w:rsidR="0074232E" w:rsidRPr="00610B1B">
        <w:rPr>
          <w:rFonts w:ascii="Times New Roman" w:hAnsi="Times New Roman" w:cs="Times New Roman"/>
          <w:color w:val="000000" w:themeColor="text1"/>
          <w:sz w:val="24"/>
          <w:szCs w:val="24"/>
          <w:lang w:val="bg-BG"/>
        </w:rPr>
        <w:t xml:space="preserve">През 2012 г. Морска естакада Шабла е предоставена за управление на Държавно предприятие </w:t>
      </w:r>
      <w:r w:rsidR="0074232E" w:rsidRPr="00610B1B">
        <w:rPr>
          <w:rFonts w:ascii="Times New Roman" w:hAnsi="Times New Roman" w:cs="Times New Roman"/>
          <w:color w:val="000000" w:themeColor="text1"/>
          <w:sz w:val="24"/>
          <w:szCs w:val="24"/>
          <w:lang w:val="bg-BG"/>
        </w:rPr>
        <w:lastRenderedPageBreak/>
        <w:t>"Пристанищна инфраструктура". В момента естакадата е в процес на възстановяване за достигане на проектните</w:t>
      </w:r>
      <w:r w:rsidR="00DE3A13" w:rsidRPr="00610B1B">
        <w:rPr>
          <w:rFonts w:ascii="Times New Roman" w:hAnsi="Times New Roman" w:cs="Times New Roman"/>
          <w:color w:val="000000" w:themeColor="text1"/>
          <w:sz w:val="24"/>
          <w:szCs w:val="24"/>
          <w:lang w:val="bg-BG"/>
        </w:rPr>
        <w:t xml:space="preserve"> ѝ </w:t>
      </w:r>
      <w:r w:rsidR="0074232E" w:rsidRPr="00610B1B">
        <w:rPr>
          <w:rFonts w:ascii="Times New Roman" w:hAnsi="Times New Roman" w:cs="Times New Roman"/>
          <w:color w:val="000000" w:themeColor="text1"/>
          <w:sz w:val="24"/>
          <w:szCs w:val="24"/>
          <w:lang w:val="bg-BG"/>
        </w:rPr>
        <w:t>параметри.</w:t>
      </w:r>
    </w:p>
    <w:p w14:paraId="044DCD3A" w14:textId="4B77D384" w:rsidR="00410372" w:rsidRPr="00610B1B" w:rsidRDefault="009A2898" w:rsidP="00D32D6A">
      <w:pPr>
        <w:pStyle w:val="Heading4"/>
        <w:spacing w:before="0" w:line="276" w:lineRule="auto"/>
        <w:ind w:right="-153"/>
        <w:rPr>
          <w:rFonts w:cs="Times New Roman"/>
        </w:rPr>
      </w:pPr>
      <w:r w:rsidRPr="00610B1B">
        <w:rPr>
          <w:rFonts w:cs="Times New Roman"/>
        </w:rPr>
        <w:t>3</w:t>
      </w:r>
      <w:r w:rsidR="00490395" w:rsidRPr="00610B1B">
        <w:rPr>
          <w:rFonts w:cs="Times New Roman"/>
        </w:rPr>
        <w:t>.</w:t>
      </w:r>
      <w:r w:rsidR="00BF0D18" w:rsidRPr="00610B1B">
        <w:rPr>
          <w:rFonts w:cs="Times New Roman"/>
        </w:rPr>
        <w:t>1</w:t>
      </w:r>
      <w:r w:rsidR="00490395" w:rsidRPr="00610B1B">
        <w:rPr>
          <w:rFonts w:cs="Times New Roman"/>
        </w:rPr>
        <w:t xml:space="preserve">.4.2. </w:t>
      </w:r>
      <w:r w:rsidR="00410372" w:rsidRPr="00610B1B">
        <w:rPr>
          <w:rFonts w:cs="Times New Roman"/>
        </w:rPr>
        <w:t>Крайбрежна транспортна инфраструктура</w:t>
      </w:r>
    </w:p>
    <w:p w14:paraId="37C6E9FC" w14:textId="340FD81E"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 xml:space="preserve">Новата политика на ЕС за транспортната инфраструктура цели превръщането на мрежата от съществуващите европейски пътища, железопътни линии, вътрешни водни пътища, летища, вътрешни и морски пристанища и железопътни/пътни терминали в интегрирана мрежа, обхващаща всички държави членки. Политиката за мрежата TEN-T е насочена </w:t>
      </w:r>
      <w:r w:rsidR="00CC1F81" w:rsidRPr="00610B1B">
        <w:rPr>
          <w:rFonts w:ascii="Times New Roman" w:eastAsia="Times New Roman" w:hAnsi="Times New Roman" w:cs="Times New Roman"/>
          <w:sz w:val="24"/>
          <w:szCs w:val="24"/>
          <w:lang w:val="bg-BG" w:eastAsia="bg-BG"/>
        </w:rPr>
        <w:t>и</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към развитието на </w:t>
      </w:r>
      <w:r w:rsidRPr="00610B1B">
        <w:rPr>
          <w:rFonts w:ascii="Times New Roman" w:eastAsia="Times New Roman" w:hAnsi="Times New Roman" w:cs="Times New Roman"/>
          <w:b/>
          <w:sz w:val="24"/>
          <w:szCs w:val="24"/>
          <w:lang w:val="bg-BG" w:eastAsia="bg-BG"/>
        </w:rPr>
        <w:t>морските магистрали</w:t>
      </w:r>
      <w:r w:rsidRPr="00610B1B">
        <w:rPr>
          <w:rFonts w:ascii="Times New Roman" w:eastAsia="Times New Roman" w:hAnsi="Times New Roman" w:cs="Times New Roman"/>
          <w:sz w:val="24"/>
          <w:szCs w:val="24"/>
          <w:lang w:val="bg-BG" w:eastAsia="bg-BG"/>
        </w:rPr>
        <w:t xml:space="preserve">, както и към прилагането на Европейската система за управление на железопътното движение (ERTMS). </w:t>
      </w:r>
    </w:p>
    <w:p w14:paraId="7BA585A4" w14:textId="59F4528E"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sz w:val="24"/>
          <w:szCs w:val="24"/>
          <w:lang w:val="bg-BG" w:eastAsia="bg-BG"/>
        </w:rPr>
        <w:t>Морските магистрали</w:t>
      </w:r>
      <w:r w:rsidRPr="00610B1B">
        <w:rPr>
          <w:rFonts w:ascii="Times New Roman" w:eastAsia="Times New Roman" w:hAnsi="Times New Roman" w:cs="Times New Roman"/>
          <w:sz w:val="24"/>
          <w:szCs w:val="24"/>
          <w:lang w:val="bg-BG" w:eastAsia="bg-BG"/>
        </w:rPr>
        <w:t xml:space="preserve"> представляват морската част от трансевропейската транспортна мрежа (TEN-T), с която се предвижда съсредоточаване на товаропотоците по морски пътища с логистично предназначение, с цел подобряване на съществуващите или създаване на нови жизнеспособни, редовни и чести морски връзки, за да се намали натоварването по пътищата. Като ключов инструмент за постигане на баланс между секторните интереси, морското пространствено планиране е насочено към постигане на устойчиво използване на морските ресурси посредством екосистем</w:t>
      </w:r>
      <w:r w:rsidR="006011C0" w:rsidRPr="00610B1B">
        <w:rPr>
          <w:rFonts w:ascii="Times New Roman" w:eastAsia="Times New Roman" w:hAnsi="Times New Roman" w:cs="Times New Roman"/>
          <w:sz w:val="24"/>
          <w:szCs w:val="24"/>
          <w:lang w:val="bg-BG" w:eastAsia="bg-BG"/>
        </w:rPr>
        <w:t>н</w:t>
      </w:r>
      <w:r w:rsidRPr="00610B1B">
        <w:rPr>
          <w:rFonts w:ascii="Times New Roman" w:eastAsia="Times New Roman" w:hAnsi="Times New Roman" w:cs="Times New Roman"/>
          <w:sz w:val="24"/>
          <w:szCs w:val="24"/>
          <w:lang w:val="bg-BG" w:eastAsia="bg-BG"/>
        </w:rPr>
        <w:t>и</w:t>
      </w:r>
      <w:r w:rsidR="00CC1F81" w:rsidRPr="00610B1B">
        <w:rPr>
          <w:rFonts w:ascii="Times New Roman" w:eastAsia="Times New Roman" w:hAnsi="Times New Roman" w:cs="Times New Roman"/>
          <w:sz w:val="24"/>
          <w:szCs w:val="24"/>
          <w:lang w:val="bg-BG" w:eastAsia="bg-BG"/>
        </w:rPr>
        <w:t>я</w:t>
      </w:r>
      <w:r w:rsidRPr="00610B1B">
        <w:rPr>
          <w:rFonts w:ascii="Times New Roman" w:eastAsia="Times New Roman" w:hAnsi="Times New Roman" w:cs="Times New Roman"/>
          <w:sz w:val="24"/>
          <w:szCs w:val="24"/>
          <w:lang w:val="bg-BG" w:eastAsia="bg-BG"/>
        </w:rPr>
        <w:t xml:space="preserve"> подход. Мерките в подкрепа на морските магистрали следва да бъдат насочени и към инфраструктурата и по-специално към разширението на пристанищата и връзките с хинтерланда.</w:t>
      </w:r>
    </w:p>
    <w:p w14:paraId="1804F0FF" w14:textId="0260DD31"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Широкообхватната транспортна мрежа на ЕС е мултимодална мрежа с относително висока плътност, която осигурява достъп до всички региони на ЕС</w:t>
      </w:r>
      <w:r w:rsidR="00CC1F81" w:rsidRPr="00610B1B">
        <w:rPr>
          <w:rFonts w:ascii="Times New Roman" w:eastAsia="Times New Roman" w:hAnsi="Times New Roman" w:cs="Times New Roman"/>
          <w:sz w:val="24"/>
          <w:szCs w:val="24"/>
          <w:lang w:val="bg-BG" w:eastAsia="bg-BG"/>
        </w:rPr>
        <w:t xml:space="preserve"> за да се </w:t>
      </w:r>
      <w:r w:rsidRPr="00610B1B">
        <w:rPr>
          <w:rFonts w:ascii="Times New Roman" w:eastAsia="Times New Roman" w:hAnsi="Times New Roman" w:cs="Times New Roman"/>
          <w:sz w:val="24"/>
          <w:szCs w:val="24"/>
          <w:lang w:val="bg-BG" w:eastAsia="bg-BG"/>
        </w:rPr>
        <w:t>подпомогне тяхното икономическо, социално и териториално развитие. Основната мрежа TEN-T включва тези части от широкообхватната мрежа, които са от най-голямо стратегическо значение за европейските и международните транспортни потоци. Целта на развитието на инфраструктурата от основната мрежа е реализирането на безпрепятствени връзки по море и суша, които ще позволят предоставянето на ефективни и качествени транспортни услуги за гражданите и икономическите оператори.</w:t>
      </w:r>
    </w:p>
    <w:p w14:paraId="109E2967" w14:textId="223F4A53" w:rsidR="00410372" w:rsidRPr="00610B1B" w:rsidRDefault="00410372" w:rsidP="00D32D6A">
      <w:pPr>
        <w:spacing w:after="120"/>
        <w:ind w:right="-153"/>
        <w:jc w:val="both"/>
        <w:rPr>
          <w:rFonts w:ascii="Times New Roman" w:eastAsia="Times New Roman" w:hAnsi="Times New Roman" w:cs="Times New Roman"/>
          <w:b/>
          <w:sz w:val="24"/>
          <w:szCs w:val="24"/>
          <w:lang w:val="bg-BG" w:eastAsia="bg-BG"/>
        </w:rPr>
      </w:pPr>
      <w:r w:rsidRPr="00610B1B">
        <w:rPr>
          <w:rFonts w:ascii="Times New Roman" w:eastAsia="Times New Roman" w:hAnsi="Times New Roman" w:cs="Times New Roman"/>
          <w:sz w:val="24"/>
          <w:szCs w:val="24"/>
          <w:lang w:val="bg-BG" w:eastAsia="bg-BG"/>
        </w:rPr>
        <w:t xml:space="preserve">Като връзки между морския и сухоземен транспорт, на територията на Р. България в основната TEN-T мрежа на ЕС е включено </w:t>
      </w:r>
      <w:r w:rsidRPr="00610B1B">
        <w:rPr>
          <w:rFonts w:ascii="Times New Roman" w:eastAsia="Times New Roman" w:hAnsi="Times New Roman" w:cs="Times New Roman"/>
          <w:b/>
          <w:sz w:val="24"/>
          <w:szCs w:val="24"/>
          <w:lang w:val="bg-BG" w:eastAsia="bg-BG"/>
        </w:rPr>
        <w:t>пристанище Бургас</w:t>
      </w:r>
      <w:r w:rsidRPr="00610B1B">
        <w:rPr>
          <w:rFonts w:ascii="Times New Roman" w:eastAsia="Times New Roman" w:hAnsi="Times New Roman" w:cs="Times New Roman"/>
          <w:sz w:val="24"/>
          <w:szCs w:val="24"/>
          <w:lang w:val="bg-BG" w:eastAsia="bg-BG"/>
        </w:rPr>
        <w:t>, а в широкообхватната –</w:t>
      </w:r>
      <w:r w:rsidRPr="00610B1B">
        <w:rPr>
          <w:rFonts w:ascii="Times New Roman" w:eastAsia="Times New Roman" w:hAnsi="Times New Roman" w:cs="Times New Roman"/>
          <w:b/>
          <w:sz w:val="24"/>
          <w:szCs w:val="24"/>
          <w:lang w:val="bg-BG" w:eastAsia="bg-BG"/>
        </w:rPr>
        <w:t>пристанище Варна.</w:t>
      </w:r>
    </w:p>
    <w:p w14:paraId="048083FF" w14:textId="6F7627CE" w:rsidR="000E3B90" w:rsidRPr="00610B1B" w:rsidRDefault="000E3B90" w:rsidP="000E3B90">
      <w:pPr>
        <w:widowControl w:val="0"/>
        <w:spacing w:after="120"/>
        <w:ind w:right="-153"/>
        <w:jc w:val="both"/>
        <w:rPr>
          <w:rFonts w:ascii="Times New Roman" w:eastAsia="Arial Unicode MS" w:hAnsi="Times New Roman" w:cs="Times New Roman"/>
          <w:color w:val="000000"/>
          <w:sz w:val="24"/>
          <w:szCs w:val="24"/>
          <w:shd w:val="clear" w:color="auto" w:fill="FFFFFF"/>
          <w:lang w:val="bg-BG"/>
        </w:rPr>
      </w:pPr>
      <w:bookmarkStart w:id="347" w:name="_Hlk83282285"/>
      <w:r w:rsidRPr="00610B1B">
        <w:rPr>
          <w:rFonts w:ascii="Times New Roman" w:eastAsia="Arial Unicode MS" w:hAnsi="Times New Roman" w:cs="Times New Roman"/>
          <w:color w:val="000000"/>
          <w:sz w:val="24"/>
          <w:szCs w:val="24"/>
          <w:shd w:val="clear" w:color="auto" w:fill="FFFFFF"/>
          <w:lang w:val="bg-BG"/>
        </w:rPr>
        <w:t>След изменението на ЗМПВВППРБ</w:t>
      </w:r>
      <w:r w:rsidR="008753B6" w:rsidRPr="00610B1B">
        <w:rPr>
          <w:rFonts w:ascii="Times New Roman" w:eastAsia="Arial Unicode MS" w:hAnsi="Times New Roman" w:cs="Times New Roman"/>
          <w:color w:val="000000"/>
          <w:sz w:val="24"/>
          <w:szCs w:val="24"/>
          <w:shd w:val="clear" w:color="auto" w:fill="FFFFFF"/>
          <w:lang w:val="bg-BG"/>
        </w:rPr>
        <w:t xml:space="preserve"> </w:t>
      </w:r>
      <w:r w:rsidRPr="00610B1B">
        <w:rPr>
          <w:rFonts w:ascii="Times New Roman" w:eastAsia="Arial Unicode MS" w:hAnsi="Times New Roman" w:cs="Times New Roman"/>
          <w:color w:val="000000"/>
          <w:sz w:val="24"/>
          <w:szCs w:val="24"/>
          <w:shd w:val="clear" w:color="auto" w:fill="FFFFFF"/>
          <w:lang w:val="bg-BG"/>
        </w:rPr>
        <w:t>и издадената в изпълнение на § 53, ал. 1 от Преходните и заключителни разпоредби Заповед № РД-08-19/21.01.2021 г.</w:t>
      </w:r>
      <w:r w:rsidR="008753B6" w:rsidRPr="00610B1B">
        <w:rPr>
          <w:rFonts w:ascii="Times New Roman" w:eastAsia="Arial Unicode MS" w:hAnsi="Times New Roman" w:cs="Times New Roman"/>
          <w:color w:val="000000"/>
          <w:sz w:val="24"/>
          <w:szCs w:val="24"/>
          <w:shd w:val="clear" w:color="auto" w:fill="FFFFFF"/>
          <w:lang w:val="bg-BG"/>
        </w:rPr>
        <w:t xml:space="preserve"> </w:t>
      </w:r>
      <w:r w:rsidRPr="00610B1B">
        <w:rPr>
          <w:rFonts w:ascii="Times New Roman" w:eastAsia="Arial Unicode MS" w:hAnsi="Times New Roman" w:cs="Times New Roman"/>
          <w:color w:val="000000"/>
          <w:sz w:val="24"/>
          <w:szCs w:val="24"/>
          <w:shd w:val="clear" w:color="auto" w:fill="FFFFFF"/>
          <w:lang w:val="bg-BG"/>
        </w:rPr>
        <w:t>на министъра на транспорта и съобщенията,</w:t>
      </w:r>
      <w:r w:rsidRPr="00610B1B">
        <w:rPr>
          <w:rFonts w:ascii="Times New Roman" w:eastAsia="Arial Unicode MS" w:hAnsi="Times New Roman" w:cs="Times New Roman"/>
          <w:b/>
          <w:bCs/>
          <w:color w:val="000000"/>
          <w:sz w:val="24"/>
          <w:szCs w:val="24"/>
          <w:shd w:val="clear" w:color="auto" w:fill="FFFFFF"/>
          <w:lang w:val="bg-BG"/>
        </w:rPr>
        <w:t xml:space="preserve"> пристанище за обществен транспорт Варна </w:t>
      </w:r>
      <w:r w:rsidRPr="00610B1B">
        <w:rPr>
          <w:rFonts w:ascii="Times New Roman" w:eastAsia="Arial Unicode MS" w:hAnsi="Times New Roman" w:cs="Times New Roman"/>
          <w:color w:val="000000"/>
          <w:sz w:val="24"/>
          <w:szCs w:val="24"/>
          <w:shd w:val="clear" w:color="auto" w:fill="FFFFFF"/>
          <w:lang w:val="bg-BG"/>
        </w:rPr>
        <w:t xml:space="preserve">включва следните пристанищни терминали - държавна и частна собственост, а именно: Балчик Варна-изток, Петрол, „ПЧМВ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Варна</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„Терминал за базови масла</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„Одесос ПБМ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Варна</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Леспорт</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„ТЕЦ Езерово</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Варна-запад</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и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Фериботен комплекс – Варна</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w:t>
      </w:r>
    </w:p>
    <w:p w14:paraId="2034EAA7" w14:textId="432D5473" w:rsidR="00410372" w:rsidRPr="00610B1B" w:rsidRDefault="00976746" w:rsidP="00D32D6A">
      <w:pPr>
        <w:widowControl w:val="0"/>
        <w:spacing w:after="120"/>
        <w:ind w:right="-153"/>
        <w:jc w:val="both"/>
        <w:rPr>
          <w:rFonts w:ascii="Times New Roman" w:eastAsia="Arial Unicode MS" w:hAnsi="Times New Roman" w:cs="Times New Roman"/>
          <w:color w:val="000000"/>
          <w:sz w:val="24"/>
          <w:szCs w:val="24"/>
          <w:lang w:val="bg-BG" w:eastAsia="bg-BG"/>
        </w:rPr>
      </w:pPr>
      <w:bookmarkStart w:id="348" w:name="_Hlk83282279"/>
      <w:bookmarkEnd w:id="347"/>
      <w:r w:rsidRPr="00610B1B">
        <w:rPr>
          <w:rFonts w:ascii="Times New Roman" w:eastAsia="Arial Unicode MS" w:hAnsi="Times New Roman" w:cs="Times New Roman"/>
          <w:b/>
          <w:bCs/>
          <w:color w:val="000000"/>
          <w:sz w:val="24"/>
          <w:szCs w:val="24"/>
          <w:shd w:val="clear" w:color="auto" w:fill="FFFFFF"/>
          <w:lang w:val="bg-BG"/>
        </w:rPr>
        <w:t>Пристанището за обществен транспорт Бургас</w:t>
      </w:r>
      <w:r w:rsidRPr="00610B1B">
        <w:rPr>
          <w:rFonts w:ascii="Times New Roman" w:eastAsia="Arial Unicode MS" w:hAnsi="Times New Roman" w:cs="Times New Roman"/>
          <w:color w:val="000000"/>
          <w:sz w:val="24"/>
          <w:szCs w:val="24"/>
          <w:shd w:val="clear" w:color="auto" w:fill="FFFFFF"/>
          <w:lang w:val="bg-BG"/>
        </w:rPr>
        <w:t xml:space="preserve"> е разположено в едноименния Бургаски залив на брега на Черно море. То включва пристанищни терминали: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Бургас-изток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1</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Бургас-изток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2</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Бургас-запад</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„Порт България Уест</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„Кораборемонтен завод „Порт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Бургас</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„Трансстрой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Бургас</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„Бургаски корабостроителници южен кей </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Л</w:t>
      </w:r>
      <w:r w:rsidR="00677D3C">
        <w:rPr>
          <w:rFonts w:ascii="Times New Roman" w:eastAsia="Arial Unicode MS" w:hAnsi="Times New Roman" w:cs="Times New Roman"/>
          <w:color w:val="000000"/>
          <w:sz w:val="24"/>
          <w:szCs w:val="24"/>
          <w:shd w:val="clear" w:color="auto" w:fill="FFFFFF"/>
          <w:lang w:val="bg-BG"/>
        </w:rPr>
        <w:t>“</w:t>
      </w:r>
      <w:r w:rsidRPr="00610B1B">
        <w:rPr>
          <w:rFonts w:ascii="Times New Roman" w:eastAsia="Arial Unicode MS" w:hAnsi="Times New Roman" w:cs="Times New Roman"/>
          <w:color w:val="000000"/>
          <w:sz w:val="24"/>
          <w:szCs w:val="24"/>
          <w:shd w:val="clear" w:color="auto" w:fill="FFFFFF"/>
          <w:lang w:val="bg-BG"/>
        </w:rPr>
        <w:t xml:space="preserve">, Росенец и Несебър. </w:t>
      </w:r>
      <w:bookmarkEnd w:id="348"/>
      <w:r w:rsidR="00410372" w:rsidRPr="00610B1B">
        <w:rPr>
          <w:rFonts w:ascii="Times New Roman" w:eastAsia="Arial Unicode MS" w:hAnsi="Times New Roman" w:cs="Times New Roman"/>
          <w:color w:val="000000"/>
          <w:sz w:val="24"/>
          <w:szCs w:val="24"/>
          <w:shd w:val="clear" w:color="auto" w:fill="FFFFFF"/>
          <w:lang w:val="bg-BG" w:eastAsia="bg-BG"/>
        </w:rPr>
        <w:t xml:space="preserve">Пристанищни терминали </w:t>
      </w:r>
      <w:r w:rsidR="00677D3C">
        <w:rPr>
          <w:rFonts w:ascii="Times New Roman" w:eastAsia="Arial Unicode MS" w:hAnsi="Times New Roman" w:cs="Times New Roman"/>
          <w:color w:val="000000"/>
          <w:sz w:val="24"/>
          <w:szCs w:val="24"/>
          <w:shd w:val="clear" w:color="auto" w:fill="FFFFFF"/>
          <w:lang w:val="bg-BG" w:eastAsia="bg-BG"/>
        </w:rPr>
        <w:t>„</w:t>
      </w:r>
      <w:r w:rsidR="00410372" w:rsidRPr="00610B1B">
        <w:rPr>
          <w:rFonts w:ascii="Times New Roman" w:eastAsia="Arial Unicode MS" w:hAnsi="Times New Roman" w:cs="Times New Roman"/>
          <w:color w:val="000000"/>
          <w:sz w:val="24"/>
          <w:szCs w:val="24"/>
          <w:shd w:val="clear" w:color="auto" w:fill="FFFFFF"/>
          <w:lang w:val="bg-BG" w:eastAsia="bg-BG"/>
        </w:rPr>
        <w:t>Бургас-</w:t>
      </w:r>
      <w:r w:rsidR="007B3AAB" w:rsidRPr="00610B1B">
        <w:rPr>
          <w:rFonts w:ascii="Times New Roman" w:eastAsia="Arial Unicode MS" w:hAnsi="Times New Roman" w:cs="Times New Roman"/>
          <w:color w:val="000000"/>
          <w:sz w:val="24"/>
          <w:szCs w:val="24"/>
          <w:shd w:val="clear" w:color="auto" w:fill="FFFFFF"/>
          <w:lang w:val="bg-BG" w:eastAsia="bg-BG"/>
        </w:rPr>
        <w:t xml:space="preserve">Изток </w:t>
      </w:r>
      <w:r w:rsidR="00410372" w:rsidRPr="00610B1B">
        <w:rPr>
          <w:rFonts w:ascii="Times New Roman" w:eastAsia="Arial Unicode MS" w:hAnsi="Times New Roman" w:cs="Times New Roman"/>
          <w:color w:val="000000"/>
          <w:sz w:val="24"/>
          <w:szCs w:val="24"/>
          <w:shd w:val="clear" w:color="auto" w:fill="FFFFFF"/>
          <w:lang w:val="bg-BG" w:eastAsia="bg-BG"/>
        </w:rPr>
        <w:t>1</w:t>
      </w:r>
      <w:r w:rsidR="00677D3C">
        <w:rPr>
          <w:rFonts w:ascii="Times New Roman" w:eastAsia="Arial Unicode MS" w:hAnsi="Times New Roman" w:cs="Times New Roman"/>
          <w:color w:val="000000"/>
          <w:sz w:val="24"/>
          <w:szCs w:val="24"/>
          <w:shd w:val="clear" w:color="auto" w:fill="FFFFFF"/>
          <w:lang w:val="bg-BG" w:eastAsia="bg-BG"/>
        </w:rPr>
        <w:t>“</w:t>
      </w:r>
      <w:r w:rsidR="00410372" w:rsidRPr="00610B1B">
        <w:rPr>
          <w:rFonts w:ascii="Times New Roman" w:eastAsia="Arial Unicode MS" w:hAnsi="Times New Roman" w:cs="Times New Roman"/>
          <w:color w:val="000000"/>
          <w:sz w:val="24"/>
          <w:szCs w:val="24"/>
          <w:shd w:val="clear" w:color="auto" w:fill="FFFFFF"/>
          <w:lang w:val="bg-BG" w:eastAsia="bg-BG"/>
        </w:rPr>
        <w:t xml:space="preserve">, </w:t>
      </w:r>
      <w:r w:rsidR="00677D3C">
        <w:rPr>
          <w:rFonts w:ascii="Times New Roman" w:eastAsia="Arial Unicode MS" w:hAnsi="Times New Roman" w:cs="Times New Roman"/>
          <w:color w:val="000000"/>
          <w:sz w:val="24"/>
          <w:szCs w:val="24"/>
          <w:shd w:val="clear" w:color="auto" w:fill="FFFFFF"/>
          <w:lang w:val="bg-BG" w:eastAsia="bg-BG"/>
        </w:rPr>
        <w:t>„</w:t>
      </w:r>
      <w:r w:rsidR="00410372" w:rsidRPr="00610B1B">
        <w:rPr>
          <w:rFonts w:ascii="Times New Roman" w:eastAsia="Arial Unicode MS" w:hAnsi="Times New Roman" w:cs="Times New Roman"/>
          <w:color w:val="000000"/>
          <w:sz w:val="24"/>
          <w:szCs w:val="24"/>
          <w:shd w:val="clear" w:color="auto" w:fill="FFFFFF"/>
          <w:lang w:val="bg-BG" w:eastAsia="bg-BG"/>
        </w:rPr>
        <w:t>Бургас-</w:t>
      </w:r>
      <w:r w:rsidR="007B3AAB" w:rsidRPr="00610B1B">
        <w:rPr>
          <w:rFonts w:ascii="Times New Roman" w:eastAsia="Arial Unicode MS" w:hAnsi="Times New Roman" w:cs="Times New Roman"/>
          <w:color w:val="000000"/>
          <w:sz w:val="24"/>
          <w:szCs w:val="24"/>
          <w:shd w:val="clear" w:color="auto" w:fill="FFFFFF"/>
          <w:lang w:val="bg-BG" w:eastAsia="bg-BG"/>
        </w:rPr>
        <w:t xml:space="preserve">Изток </w:t>
      </w:r>
      <w:r w:rsidR="00410372" w:rsidRPr="00610B1B">
        <w:rPr>
          <w:rFonts w:ascii="Times New Roman" w:eastAsia="Arial Unicode MS" w:hAnsi="Times New Roman" w:cs="Times New Roman"/>
          <w:color w:val="000000"/>
          <w:sz w:val="24"/>
          <w:szCs w:val="24"/>
          <w:shd w:val="clear" w:color="auto" w:fill="FFFFFF"/>
          <w:lang w:val="bg-BG" w:eastAsia="bg-BG"/>
        </w:rPr>
        <w:t>2</w:t>
      </w:r>
      <w:r w:rsidR="00677D3C">
        <w:rPr>
          <w:rFonts w:ascii="Times New Roman" w:eastAsia="Arial Unicode MS" w:hAnsi="Times New Roman" w:cs="Times New Roman"/>
          <w:color w:val="000000"/>
          <w:sz w:val="24"/>
          <w:szCs w:val="24"/>
          <w:shd w:val="clear" w:color="auto" w:fill="FFFFFF"/>
          <w:lang w:val="bg-BG" w:eastAsia="bg-BG"/>
        </w:rPr>
        <w:t>“</w:t>
      </w:r>
      <w:r w:rsidR="00410372" w:rsidRPr="00610B1B">
        <w:rPr>
          <w:rFonts w:ascii="Times New Roman" w:eastAsia="Arial Unicode MS" w:hAnsi="Times New Roman" w:cs="Times New Roman"/>
          <w:color w:val="000000"/>
          <w:sz w:val="24"/>
          <w:szCs w:val="24"/>
          <w:shd w:val="clear" w:color="auto" w:fill="FFFFFF"/>
          <w:lang w:val="bg-BG" w:eastAsia="bg-BG"/>
        </w:rPr>
        <w:t xml:space="preserve"> и </w:t>
      </w:r>
      <w:r w:rsidR="00677D3C">
        <w:rPr>
          <w:rFonts w:ascii="Times New Roman" w:eastAsia="Arial Unicode MS" w:hAnsi="Times New Roman" w:cs="Times New Roman"/>
          <w:color w:val="000000"/>
          <w:sz w:val="24"/>
          <w:szCs w:val="24"/>
          <w:shd w:val="clear" w:color="auto" w:fill="FFFFFF"/>
          <w:lang w:val="bg-BG" w:eastAsia="bg-BG"/>
        </w:rPr>
        <w:t>„</w:t>
      </w:r>
      <w:r w:rsidR="00410372" w:rsidRPr="00610B1B">
        <w:rPr>
          <w:rFonts w:ascii="Times New Roman" w:eastAsia="Arial Unicode MS" w:hAnsi="Times New Roman" w:cs="Times New Roman"/>
          <w:color w:val="000000"/>
          <w:sz w:val="24"/>
          <w:szCs w:val="24"/>
          <w:shd w:val="clear" w:color="auto" w:fill="FFFFFF"/>
          <w:lang w:val="bg-BG" w:eastAsia="bg-BG"/>
        </w:rPr>
        <w:t>Бургас-</w:t>
      </w:r>
      <w:r w:rsidR="007B3AAB" w:rsidRPr="00610B1B">
        <w:rPr>
          <w:rFonts w:ascii="Times New Roman" w:eastAsia="Arial Unicode MS" w:hAnsi="Times New Roman" w:cs="Times New Roman"/>
          <w:color w:val="000000"/>
          <w:sz w:val="24"/>
          <w:szCs w:val="24"/>
          <w:shd w:val="clear" w:color="auto" w:fill="FFFFFF"/>
          <w:lang w:val="bg-BG" w:eastAsia="bg-BG"/>
        </w:rPr>
        <w:t>Запад</w:t>
      </w:r>
      <w:r w:rsidR="00677D3C">
        <w:rPr>
          <w:rFonts w:ascii="Times New Roman" w:eastAsia="Arial Unicode MS" w:hAnsi="Times New Roman" w:cs="Times New Roman"/>
          <w:color w:val="000000"/>
          <w:sz w:val="24"/>
          <w:szCs w:val="24"/>
          <w:shd w:val="clear" w:color="auto" w:fill="FFFFFF"/>
          <w:lang w:val="bg-BG" w:eastAsia="bg-BG"/>
        </w:rPr>
        <w:t>“</w:t>
      </w:r>
      <w:r w:rsidR="00410372" w:rsidRPr="00610B1B">
        <w:rPr>
          <w:rFonts w:ascii="Times New Roman" w:eastAsia="Arial Unicode MS" w:hAnsi="Times New Roman" w:cs="Times New Roman"/>
          <w:color w:val="000000"/>
          <w:sz w:val="24"/>
          <w:szCs w:val="24"/>
          <w:shd w:val="clear" w:color="auto" w:fill="FFFFFF"/>
          <w:lang w:val="bg-BG" w:eastAsia="bg-BG"/>
        </w:rPr>
        <w:t xml:space="preserve">, както и </w:t>
      </w:r>
      <w:r w:rsidR="00CC1F81" w:rsidRPr="00610B1B">
        <w:rPr>
          <w:rFonts w:ascii="Times New Roman" w:eastAsia="Arial Unicode MS" w:hAnsi="Times New Roman" w:cs="Times New Roman"/>
          <w:color w:val="000000"/>
          <w:sz w:val="24"/>
          <w:szCs w:val="24"/>
          <w:shd w:val="clear" w:color="auto" w:fill="FFFFFF"/>
          <w:lang w:val="bg-BG" w:eastAsia="bg-BG"/>
        </w:rPr>
        <w:t xml:space="preserve">нов </w:t>
      </w:r>
      <w:r w:rsidR="00410372" w:rsidRPr="00610B1B">
        <w:rPr>
          <w:rFonts w:ascii="Times New Roman" w:eastAsia="Arial Unicode MS" w:hAnsi="Times New Roman" w:cs="Times New Roman"/>
          <w:color w:val="000000"/>
          <w:sz w:val="24"/>
          <w:szCs w:val="24"/>
          <w:shd w:val="clear" w:color="auto" w:fill="FFFFFF"/>
          <w:lang w:val="bg-BG" w:eastAsia="bg-BG"/>
        </w:rPr>
        <w:t xml:space="preserve">източен вълнолом се намират в Южната промишлена зона на град </w:t>
      </w:r>
      <w:r w:rsidR="00410372" w:rsidRPr="00610B1B">
        <w:rPr>
          <w:rFonts w:ascii="Times New Roman" w:eastAsia="Arial Unicode MS" w:hAnsi="Times New Roman" w:cs="Times New Roman"/>
          <w:color w:val="000000"/>
          <w:sz w:val="24"/>
          <w:szCs w:val="24"/>
          <w:shd w:val="clear" w:color="auto" w:fill="FFFFFF"/>
          <w:lang w:val="bg-BG" w:eastAsia="bg-BG"/>
        </w:rPr>
        <w:lastRenderedPageBreak/>
        <w:t>Бургас. Трите терминала са разположени един до друг с обща дължина на кейовите стени</w:t>
      </w:r>
      <w:r w:rsidR="00D66FE0" w:rsidRPr="00610B1B">
        <w:rPr>
          <w:rFonts w:ascii="Times New Roman" w:eastAsia="Arial Unicode MS" w:hAnsi="Times New Roman" w:cs="Times New Roman"/>
          <w:color w:val="000000"/>
          <w:sz w:val="24"/>
          <w:szCs w:val="24"/>
          <w:shd w:val="clear" w:color="auto" w:fill="FFFFFF"/>
          <w:lang w:val="bg-BG" w:eastAsia="bg-BG"/>
        </w:rPr>
        <w:t xml:space="preserve"> </w:t>
      </w:r>
      <w:r w:rsidR="00410372" w:rsidRPr="00610B1B">
        <w:rPr>
          <w:rFonts w:ascii="Times New Roman" w:eastAsia="Arial Unicode MS" w:hAnsi="Times New Roman" w:cs="Times New Roman"/>
          <w:color w:val="000000"/>
          <w:sz w:val="24"/>
          <w:szCs w:val="24"/>
          <w:shd w:val="clear" w:color="auto" w:fill="FFFFFF"/>
          <w:lang w:val="bg-BG" w:eastAsia="bg-BG"/>
        </w:rPr>
        <w:t xml:space="preserve">4500 </w:t>
      </w:r>
      <w:r w:rsidR="00BF063E" w:rsidRPr="00610B1B">
        <w:rPr>
          <w:rFonts w:ascii="Times New Roman" w:eastAsia="Arial Unicode MS" w:hAnsi="Times New Roman" w:cs="Times New Roman"/>
          <w:color w:val="000000"/>
          <w:sz w:val="24"/>
          <w:szCs w:val="24"/>
          <w:shd w:val="clear" w:color="auto" w:fill="FFFFFF"/>
          <w:lang w:val="bg-BG" w:eastAsia="bg-BG"/>
        </w:rPr>
        <w:t>m</w:t>
      </w:r>
      <w:r w:rsidR="00410372" w:rsidRPr="00610B1B">
        <w:rPr>
          <w:rFonts w:ascii="Times New Roman" w:eastAsia="Arial Unicode MS" w:hAnsi="Times New Roman" w:cs="Times New Roman"/>
          <w:color w:val="000000"/>
          <w:sz w:val="24"/>
          <w:szCs w:val="24"/>
          <w:shd w:val="clear" w:color="auto" w:fill="FFFFFF"/>
          <w:lang w:val="bg-BG" w:eastAsia="bg-BG"/>
        </w:rPr>
        <w:t>.</w:t>
      </w:r>
    </w:p>
    <w:p w14:paraId="489DC76C" w14:textId="0C2CCA85"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Като краен пункт на коридора от основната TEN-T мрежа „Ориент/Източно-Средиземноморски</w:t>
      </w:r>
      <w:r w:rsidR="00677D3C">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 xml:space="preserve"> пристанище Бургас се обслужва от АМ “Тракия” и жп линия 8, формиращи направлението на този коридор.</w:t>
      </w:r>
      <w:r w:rsidR="00CC1F81"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bCs/>
          <w:sz w:val="24"/>
          <w:szCs w:val="24"/>
          <w:lang w:val="bg-BG" w:eastAsia="bg-BG"/>
        </w:rPr>
        <w:t>Автомагистрала “Тракия”</w:t>
      </w:r>
      <w:r w:rsidRPr="00610B1B">
        <w:rPr>
          <w:rFonts w:ascii="Times New Roman" w:eastAsia="Times New Roman" w:hAnsi="Times New Roman" w:cs="Times New Roman"/>
          <w:sz w:val="24"/>
          <w:szCs w:val="24"/>
          <w:lang w:val="bg-BG" w:eastAsia="bg-BG"/>
        </w:rPr>
        <w:t xml:space="preserve"> –</w:t>
      </w:r>
      <w:r w:rsidR="00BF063E"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София-Пловдив-Бургас, с обща дължина 360 </w:t>
      </w:r>
      <w:r w:rsidR="001E46E8" w:rsidRPr="00610B1B">
        <w:rPr>
          <w:rFonts w:ascii="Times New Roman" w:eastAsia="Times New Roman" w:hAnsi="Times New Roman" w:cs="Times New Roman"/>
          <w:sz w:val="24"/>
          <w:szCs w:val="24"/>
          <w:lang w:val="bg-BG" w:eastAsia="bg-BG"/>
        </w:rPr>
        <w:t>km</w:t>
      </w:r>
      <w:r w:rsidRPr="00610B1B">
        <w:rPr>
          <w:rFonts w:ascii="Times New Roman" w:eastAsia="Times New Roman" w:hAnsi="Times New Roman" w:cs="Times New Roman"/>
          <w:sz w:val="24"/>
          <w:szCs w:val="24"/>
          <w:lang w:val="bg-BG" w:eastAsia="bg-BG"/>
        </w:rPr>
        <w:t xml:space="preserve"> е</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напълно изградена и е главната пътна артерия в страната</w:t>
      </w:r>
      <w:r w:rsidR="007B3AAB"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основна връзка на Черноморското крайбрежие с вътрешността на страната и Столицата.</w:t>
      </w:r>
      <w:r w:rsidR="00CC1F81"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bCs/>
          <w:sz w:val="24"/>
          <w:szCs w:val="24"/>
          <w:lang w:val="bg-BG" w:eastAsia="bg-BG"/>
        </w:rPr>
        <w:t>Жп линия 8</w:t>
      </w:r>
      <w:r w:rsidRPr="00610B1B">
        <w:rPr>
          <w:rFonts w:ascii="Times New Roman" w:eastAsia="Times New Roman" w:hAnsi="Times New Roman" w:cs="Times New Roman"/>
          <w:bCs/>
          <w:color w:val="000000"/>
          <w:sz w:val="24"/>
          <w:szCs w:val="24"/>
          <w:lang w:val="bg-BG" w:eastAsia="bg-BG"/>
        </w:rPr>
        <w:t xml:space="preserve"> София/Пловдив</w:t>
      </w:r>
      <w:r w:rsidR="001E46E8" w:rsidRPr="00610B1B">
        <w:rPr>
          <w:rFonts w:ascii="Times New Roman" w:eastAsia="Times New Roman" w:hAnsi="Times New Roman" w:cs="Times New Roman"/>
          <w:color w:val="000000"/>
          <w:sz w:val="24"/>
          <w:szCs w:val="24"/>
          <w:lang w:val="bg-BG" w:eastAsia="bg-BG"/>
        </w:rPr>
        <w:t>-</w:t>
      </w:r>
      <w:r w:rsidRPr="00610B1B">
        <w:rPr>
          <w:rFonts w:ascii="Times New Roman" w:eastAsia="Times New Roman" w:hAnsi="Times New Roman" w:cs="Times New Roman"/>
          <w:color w:val="000000"/>
          <w:sz w:val="24"/>
          <w:szCs w:val="24"/>
          <w:lang w:val="bg-BG" w:eastAsia="bg-BG"/>
        </w:rPr>
        <w:t>Стара Загора</w:t>
      </w:r>
      <w:r w:rsidR="001E46E8" w:rsidRPr="00610B1B">
        <w:rPr>
          <w:rFonts w:ascii="Times New Roman" w:eastAsia="Times New Roman" w:hAnsi="Times New Roman" w:cs="Times New Roman"/>
          <w:color w:val="000000"/>
          <w:sz w:val="24"/>
          <w:szCs w:val="24"/>
          <w:lang w:val="bg-BG" w:eastAsia="bg-BG"/>
        </w:rPr>
        <w:t>-</w:t>
      </w:r>
      <w:r w:rsidRPr="00610B1B">
        <w:rPr>
          <w:rFonts w:ascii="Times New Roman" w:eastAsia="Times New Roman" w:hAnsi="Times New Roman" w:cs="Times New Roman"/>
          <w:color w:val="000000"/>
          <w:sz w:val="24"/>
          <w:szCs w:val="24"/>
          <w:lang w:val="bg-BG" w:eastAsia="bg-BG"/>
        </w:rPr>
        <w:t>Зимница</w:t>
      </w:r>
      <w:r w:rsidR="001E46E8" w:rsidRPr="00610B1B">
        <w:rPr>
          <w:rFonts w:ascii="Times New Roman" w:eastAsia="Times New Roman" w:hAnsi="Times New Roman" w:cs="Times New Roman"/>
          <w:color w:val="000000"/>
          <w:sz w:val="24"/>
          <w:szCs w:val="24"/>
          <w:lang w:val="bg-BG" w:eastAsia="bg-BG"/>
        </w:rPr>
        <w:t>-</w:t>
      </w:r>
      <w:r w:rsidRPr="00610B1B">
        <w:rPr>
          <w:rFonts w:ascii="Times New Roman" w:eastAsia="Times New Roman" w:hAnsi="Times New Roman" w:cs="Times New Roman"/>
          <w:color w:val="000000"/>
          <w:sz w:val="24"/>
          <w:szCs w:val="24"/>
          <w:lang w:val="bg-BG" w:eastAsia="bg-BG"/>
        </w:rPr>
        <w:t>Карнобат-Бургас е другия</w:t>
      </w:r>
      <w:r w:rsidR="001E46E8" w:rsidRPr="00610B1B">
        <w:rPr>
          <w:rFonts w:ascii="Times New Roman" w:eastAsia="Times New Roman" w:hAnsi="Times New Roman" w:cs="Times New Roman"/>
          <w:color w:val="000000"/>
          <w:sz w:val="24"/>
          <w:szCs w:val="24"/>
          <w:lang w:val="bg-BG" w:eastAsia="bg-BG"/>
        </w:rPr>
        <w:t>т</w:t>
      </w:r>
      <w:r w:rsidRPr="00610B1B">
        <w:rPr>
          <w:rFonts w:ascii="Times New Roman" w:eastAsia="Times New Roman" w:hAnsi="Times New Roman" w:cs="Times New Roman"/>
          <w:color w:val="000000"/>
          <w:sz w:val="24"/>
          <w:szCs w:val="24"/>
          <w:lang w:val="bg-BG" w:eastAsia="bg-BG"/>
        </w:rPr>
        <w:t xml:space="preserve"> съставен елемент </w:t>
      </w:r>
      <w:r w:rsidRPr="00610B1B">
        <w:rPr>
          <w:rFonts w:ascii="Times New Roman" w:eastAsia="Times New Roman" w:hAnsi="Times New Roman" w:cs="Times New Roman"/>
          <w:sz w:val="24"/>
          <w:szCs w:val="24"/>
          <w:lang w:val="bg-BG" w:eastAsia="bg-BG"/>
        </w:rPr>
        <w:t>от коридора на основната TEN-T мрежа - „Ориент/Източно-Средиземноморски”. Това е основната жп линия, обслужваща Черноморското крайбрежие, свързвайки го с вътрешността на страната и Столицата.</w:t>
      </w:r>
      <w:r w:rsidRPr="00610B1B">
        <w:rPr>
          <w:rFonts w:ascii="Times New Roman" w:eastAsia="Times New Roman" w:hAnsi="Times New Roman" w:cs="Times New Roman"/>
          <w:color w:val="000000"/>
          <w:sz w:val="24"/>
          <w:szCs w:val="24"/>
          <w:lang w:val="bg-BG" w:eastAsia="bg-BG"/>
        </w:rPr>
        <w:t xml:space="preserve"> </w:t>
      </w:r>
      <w:r w:rsidR="00CC1F81" w:rsidRPr="00610B1B">
        <w:rPr>
          <w:rFonts w:ascii="Times New Roman" w:eastAsia="Times New Roman" w:hAnsi="Times New Roman" w:cs="Times New Roman"/>
          <w:color w:val="000000"/>
          <w:sz w:val="24"/>
          <w:szCs w:val="24"/>
          <w:lang w:val="bg-BG" w:eastAsia="bg-BG"/>
        </w:rPr>
        <w:t xml:space="preserve">Част </w:t>
      </w:r>
      <w:r w:rsidRPr="00610B1B">
        <w:rPr>
          <w:rFonts w:ascii="Times New Roman" w:eastAsia="Times New Roman" w:hAnsi="Times New Roman" w:cs="Times New Roman"/>
          <w:color w:val="000000"/>
          <w:sz w:val="24"/>
          <w:szCs w:val="24"/>
          <w:lang w:val="bg-BG" w:eastAsia="bg-BG"/>
        </w:rPr>
        <w:t xml:space="preserve">от </w:t>
      </w:r>
      <w:r w:rsidR="00CC1F81" w:rsidRPr="00610B1B">
        <w:rPr>
          <w:rFonts w:ascii="Times New Roman" w:eastAsia="Times New Roman" w:hAnsi="Times New Roman" w:cs="Times New Roman"/>
          <w:sz w:val="24"/>
          <w:szCs w:val="24"/>
          <w:lang w:val="bg-BG" w:eastAsia="bg-BG"/>
        </w:rPr>
        <w:t xml:space="preserve">жп линия 8 Пловдив-Филипово-Бургас </w:t>
      </w:r>
      <w:r w:rsidRPr="00610B1B">
        <w:rPr>
          <w:rFonts w:ascii="Times New Roman" w:eastAsia="Times New Roman" w:hAnsi="Times New Roman" w:cs="Times New Roman"/>
          <w:sz w:val="24"/>
          <w:szCs w:val="24"/>
          <w:lang w:val="bg-BG" w:eastAsia="bg-BG"/>
        </w:rPr>
        <w:t xml:space="preserve">е </w:t>
      </w:r>
      <w:r w:rsidR="00CC1F81" w:rsidRPr="00610B1B">
        <w:rPr>
          <w:rFonts w:ascii="Times New Roman" w:eastAsia="Times New Roman" w:hAnsi="Times New Roman" w:cs="Times New Roman"/>
          <w:sz w:val="24"/>
          <w:szCs w:val="24"/>
          <w:lang w:val="bg-BG" w:eastAsia="bg-BG"/>
        </w:rPr>
        <w:t xml:space="preserve">интермодалният </w:t>
      </w:r>
      <w:r w:rsidRPr="00610B1B">
        <w:rPr>
          <w:rFonts w:ascii="Times New Roman" w:eastAsia="Times New Roman" w:hAnsi="Times New Roman" w:cs="Times New Roman"/>
          <w:sz w:val="24"/>
          <w:szCs w:val="24"/>
          <w:lang w:val="bg-BG" w:eastAsia="bg-BG"/>
        </w:rPr>
        <w:t>терминал (</w:t>
      </w:r>
      <w:r w:rsidRPr="00610B1B">
        <w:rPr>
          <w:rFonts w:ascii="Times New Roman" w:eastAsia="Times New Roman" w:hAnsi="Times New Roman" w:cs="Times New Roman"/>
          <w:color w:val="000000"/>
          <w:sz w:val="24"/>
          <w:szCs w:val="24"/>
          <w:lang w:val="bg-BG" w:eastAsia="bg-BG"/>
        </w:rPr>
        <w:t>ИМТ) “Бургас-Долно Езерово”</w:t>
      </w:r>
      <w:r w:rsidR="00CC1F81" w:rsidRPr="00610B1B">
        <w:rPr>
          <w:rFonts w:ascii="Times New Roman" w:eastAsia="Times New Roman" w:hAnsi="Times New Roman" w:cs="Times New Roman"/>
          <w:color w:val="000000"/>
          <w:sz w:val="24"/>
          <w:szCs w:val="24"/>
          <w:lang w:val="bg-BG" w:eastAsia="bg-BG"/>
        </w:rPr>
        <w:t xml:space="preserve">, </w:t>
      </w:r>
      <w:r w:rsidRPr="00610B1B">
        <w:rPr>
          <w:rFonts w:ascii="Times New Roman" w:eastAsia="Times New Roman" w:hAnsi="Times New Roman" w:cs="Times New Roman"/>
          <w:color w:val="000000"/>
          <w:sz w:val="24"/>
          <w:szCs w:val="24"/>
          <w:lang w:val="bg-BG" w:eastAsia="bg-BG"/>
        </w:rPr>
        <w:t xml:space="preserve">собственост на „Деспред“ АД. </w:t>
      </w:r>
    </w:p>
    <w:p w14:paraId="2803D883" w14:textId="1804B680" w:rsidR="00410372" w:rsidRPr="00610B1B" w:rsidRDefault="00410372" w:rsidP="00D32D6A">
      <w:pPr>
        <w:snapToGri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color w:val="000000"/>
          <w:sz w:val="24"/>
          <w:szCs w:val="20"/>
          <w:lang w:val="bg-BG"/>
        </w:rPr>
        <w:t>Р</w:t>
      </w:r>
      <w:r w:rsidRPr="00610B1B">
        <w:rPr>
          <w:rFonts w:ascii="Times New Roman" w:eastAsia="Times New Roman" w:hAnsi="Times New Roman" w:cs="Times New Roman"/>
          <w:color w:val="000000"/>
          <w:sz w:val="24"/>
          <w:szCs w:val="20"/>
          <w:shd w:val="clear" w:color="auto" w:fill="FFFFFF"/>
          <w:lang w:val="bg-BG"/>
        </w:rPr>
        <w:t>азвитието на коридор</w:t>
      </w:r>
      <w:r w:rsidRPr="00610B1B">
        <w:rPr>
          <w:rFonts w:ascii="Times New Roman" w:eastAsia="Times New Roman" w:hAnsi="Times New Roman" w:cs="Times New Roman"/>
          <w:i/>
          <w:iCs/>
          <w:color w:val="000000"/>
          <w:sz w:val="24"/>
          <w:szCs w:val="20"/>
          <w:lang w:val="bg-BG"/>
        </w:rPr>
        <w:t xml:space="preserve"> </w:t>
      </w:r>
      <w:r w:rsidRPr="00610B1B">
        <w:rPr>
          <w:rFonts w:ascii="Times New Roman" w:eastAsia="Times New Roman" w:hAnsi="Times New Roman" w:cs="Times New Roman"/>
          <w:color w:val="000000"/>
          <w:sz w:val="24"/>
          <w:szCs w:val="20"/>
          <w:lang w:val="bg-BG"/>
        </w:rPr>
        <w:t xml:space="preserve">Ориент/Източно-Средиземноморски” </w:t>
      </w:r>
      <w:r w:rsidRPr="00610B1B">
        <w:rPr>
          <w:rFonts w:ascii="Times New Roman" w:eastAsia="Times New Roman" w:hAnsi="Times New Roman" w:cs="Times New Roman"/>
          <w:color w:val="000000"/>
          <w:sz w:val="24"/>
          <w:szCs w:val="20"/>
          <w:shd w:val="clear" w:color="auto" w:fill="FFFFFF"/>
          <w:lang w:val="bg-BG"/>
        </w:rPr>
        <w:t>и неговото разширяване на изток, където прераства в ТРАСЕКА (транспортен коридор Европа – Кавказ – Азия) е от</w:t>
      </w:r>
      <w:r w:rsidRPr="00610B1B">
        <w:rPr>
          <w:rFonts w:ascii="Times New Roman" w:eastAsia="Times New Roman" w:hAnsi="Times New Roman" w:cs="Times New Roman"/>
          <w:color w:val="000000"/>
          <w:sz w:val="24"/>
          <w:szCs w:val="20"/>
          <w:lang w:val="bg-BG"/>
        </w:rPr>
        <w:t xml:space="preserve"> особена важност за </w:t>
      </w:r>
      <w:r w:rsidRPr="00610B1B">
        <w:rPr>
          <w:rFonts w:ascii="Times New Roman" w:eastAsia="Times New Roman" w:hAnsi="Times New Roman" w:cs="Times New Roman"/>
          <w:color w:val="000000"/>
          <w:sz w:val="24"/>
          <w:szCs w:val="20"/>
          <w:shd w:val="clear" w:color="auto" w:fill="FFFFFF"/>
          <w:lang w:val="bg-BG"/>
        </w:rPr>
        <w:t>управлението и разработването на потенциални пазари на източния бряг на Черно море и страните от Централна Азия и за превръщане</w:t>
      </w:r>
      <w:r w:rsidR="001E46E8" w:rsidRPr="00610B1B">
        <w:rPr>
          <w:rFonts w:ascii="Times New Roman" w:eastAsia="Times New Roman" w:hAnsi="Times New Roman" w:cs="Times New Roman"/>
          <w:color w:val="000000"/>
          <w:sz w:val="24"/>
          <w:szCs w:val="20"/>
          <w:shd w:val="clear" w:color="auto" w:fill="FFFFFF"/>
          <w:lang w:val="bg-BG"/>
        </w:rPr>
        <w:t>то</w:t>
      </w:r>
      <w:r w:rsidRPr="00610B1B">
        <w:rPr>
          <w:rFonts w:ascii="Times New Roman" w:eastAsia="Times New Roman" w:hAnsi="Times New Roman" w:cs="Times New Roman"/>
          <w:color w:val="000000"/>
          <w:sz w:val="24"/>
          <w:szCs w:val="20"/>
          <w:shd w:val="clear" w:color="auto" w:fill="FFFFFF"/>
          <w:lang w:val="bg-BG"/>
        </w:rPr>
        <w:t xml:space="preserve"> на пристанище Бургас в основна връзка между континента Европа и Близкия изток. </w:t>
      </w:r>
      <w:r w:rsidRPr="00610B1B">
        <w:rPr>
          <w:rFonts w:ascii="Times New Roman" w:eastAsia="Times New Roman" w:hAnsi="Times New Roman" w:cs="Times New Roman"/>
          <w:sz w:val="24"/>
          <w:szCs w:val="24"/>
          <w:shd w:val="clear" w:color="auto" w:fill="FFFFFF"/>
          <w:lang w:val="bg-BG" w:eastAsia="bg-BG"/>
        </w:rPr>
        <w:t xml:space="preserve">В тази връзка важна роля ще има изградената и пусната в експлоатация от „БМФ Порт Бургас” нова логистична база, която ще получава, съхранява и претоварва оборудване за разработване на петролните полета в Казахстан. </w:t>
      </w:r>
      <w:r w:rsidRPr="00610B1B">
        <w:rPr>
          <w:rFonts w:ascii="Times New Roman" w:eastAsia="Times New Roman" w:hAnsi="Times New Roman" w:cs="Times New Roman"/>
          <w:sz w:val="24"/>
          <w:szCs w:val="24"/>
          <w:lang w:val="bg-BG" w:eastAsia="bg-BG"/>
        </w:rPr>
        <w:t>Новата база е важна връзка при реализацията на един от най-големите логистични проекти в света. За изграждането</w:t>
      </w:r>
      <w:r w:rsidR="00DE3A13" w:rsidRPr="00610B1B">
        <w:rPr>
          <w:rFonts w:ascii="Times New Roman" w:eastAsia="Times New Roman" w:hAnsi="Times New Roman" w:cs="Times New Roman"/>
          <w:sz w:val="24"/>
          <w:szCs w:val="24"/>
          <w:lang w:val="bg-BG" w:eastAsia="bg-BG"/>
        </w:rPr>
        <w:t xml:space="preserve"> ѝ </w:t>
      </w:r>
      <w:r w:rsidRPr="00610B1B">
        <w:rPr>
          <w:rFonts w:ascii="Times New Roman" w:eastAsia="Times New Roman" w:hAnsi="Times New Roman" w:cs="Times New Roman"/>
          <w:sz w:val="24"/>
          <w:szCs w:val="24"/>
          <w:lang w:val="bg-BG" w:eastAsia="bg-BG"/>
        </w:rPr>
        <w:t>концесионерът на пристанище Бургас извършва мащабни морски строителни дейности, които са прецедент в съвременната пристанищна история на България. Това е най-голямата частна инвестиция в пристанищна инфраструктура в страната и голям потенциал за развитие.</w:t>
      </w:r>
    </w:p>
    <w:p w14:paraId="3695E844" w14:textId="55F1CAC4"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bCs/>
          <w:i/>
          <w:sz w:val="24"/>
          <w:szCs w:val="24"/>
          <w:lang w:val="bg-BG" w:eastAsia="bg-BG"/>
        </w:rPr>
        <w:t>А</w:t>
      </w:r>
      <w:r w:rsidRPr="00610B1B">
        <w:rPr>
          <w:rFonts w:ascii="Times New Roman" w:eastAsia="Times New Roman" w:hAnsi="Times New Roman" w:cs="Times New Roman"/>
          <w:b/>
          <w:i/>
          <w:sz w:val="24"/>
          <w:szCs w:val="24"/>
          <w:lang w:val="bg-BG" w:eastAsia="bg-BG"/>
        </w:rPr>
        <w:t>втомагистрала “Черно море”</w:t>
      </w:r>
      <w:r w:rsidR="00E71B5C" w:rsidRPr="00610B1B">
        <w:rPr>
          <w:rFonts w:ascii="Times New Roman" w:eastAsia="Times New Roman" w:hAnsi="Times New Roman" w:cs="Times New Roman"/>
          <w:b/>
          <w:sz w:val="24"/>
          <w:szCs w:val="24"/>
          <w:lang w:val="bg-BG" w:eastAsia="bg-BG"/>
        </w:rPr>
        <w:t xml:space="preserve"> –</w:t>
      </w:r>
      <w:r w:rsidRPr="00610B1B">
        <w:rPr>
          <w:rFonts w:ascii="Times New Roman" w:eastAsia="Times New Roman" w:hAnsi="Times New Roman" w:cs="Times New Roman"/>
          <w:i/>
          <w:iCs/>
          <w:sz w:val="24"/>
          <w:szCs w:val="24"/>
          <w:lang w:val="bg-BG" w:eastAsia="bg-BG"/>
        </w:rPr>
        <w:t xml:space="preserve"> </w:t>
      </w:r>
      <w:r w:rsidRPr="00610B1B">
        <w:rPr>
          <w:rFonts w:ascii="Times New Roman" w:eastAsia="Times New Roman" w:hAnsi="Times New Roman" w:cs="Times New Roman"/>
          <w:sz w:val="24"/>
          <w:szCs w:val="24"/>
          <w:lang w:val="bg-BG" w:eastAsia="bg-BG"/>
        </w:rPr>
        <w:t>Бургас-Слънчев бряг</w:t>
      </w:r>
      <w:r w:rsidR="00E71B5C"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Варна</w:t>
      </w:r>
      <w:r w:rsidR="00E71B5C" w:rsidRPr="00610B1B">
        <w:rPr>
          <w:rFonts w:ascii="Times New Roman" w:eastAsia="Times New Roman" w:hAnsi="Times New Roman" w:cs="Times New Roman"/>
          <w:sz w:val="24"/>
          <w:szCs w:val="24"/>
          <w:lang w:val="bg-BG" w:eastAsia="bg-BG"/>
        </w:rPr>
        <w:t xml:space="preserve"> от </w:t>
      </w:r>
      <w:r w:rsidRPr="00610B1B">
        <w:rPr>
          <w:rFonts w:ascii="Times New Roman" w:eastAsia="Times New Roman" w:hAnsi="Times New Roman" w:cs="Times New Roman"/>
          <w:sz w:val="24"/>
          <w:szCs w:val="24"/>
          <w:lang w:val="bg-BG" w:eastAsia="bg-BG"/>
        </w:rPr>
        <w:t>широкообхватната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TEN-T мрежа на територията на страната все още не е доизградена. Планирана като връзка между двата главни урбанизационни центрове на Черноморското крайбрежие Варна и Бургас,</w:t>
      </w:r>
      <w:r w:rsidR="00D66FE0" w:rsidRPr="00610B1B">
        <w:rPr>
          <w:rFonts w:ascii="Times New Roman" w:eastAsia="Times New Roman" w:hAnsi="Times New Roman" w:cs="Times New Roman"/>
          <w:sz w:val="24"/>
          <w:szCs w:val="24"/>
          <w:lang w:val="bg-BG" w:eastAsia="bg-BG"/>
        </w:rPr>
        <w:t xml:space="preserve"> </w:t>
      </w:r>
      <w:r w:rsidR="008E37F5" w:rsidRPr="00610B1B">
        <w:rPr>
          <w:rFonts w:ascii="Times New Roman" w:eastAsia="Times New Roman" w:hAnsi="Times New Roman" w:cs="Times New Roman"/>
          <w:sz w:val="24"/>
          <w:szCs w:val="24"/>
          <w:lang w:val="bg-BG" w:eastAsia="bg-BG"/>
        </w:rPr>
        <w:t xml:space="preserve">тя </w:t>
      </w:r>
      <w:r w:rsidRPr="00610B1B">
        <w:rPr>
          <w:rFonts w:ascii="Times New Roman" w:eastAsia="Times New Roman" w:hAnsi="Times New Roman" w:cs="Times New Roman"/>
          <w:sz w:val="24"/>
          <w:szCs w:val="24"/>
          <w:lang w:val="bg-BG" w:eastAsia="bg-BG"/>
        </w:rPr>
        <w:t>ще бъде ситуирана в тила на крайбрежието за провеждане на транзитните потоци, вкл. обслужване на пристанищата Бургас и Варна.</w:t>
      </w:r>
    </w:p>
    <w:p w14:paraId="2FFC47E7" w14:textId="704ACCDF"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Към настоящия момент сухоземните транспортни комуникации между Бургас и Варна се осъществяват посредством първокласен път І-9 граница Румъния-Дуранкулак-Варна-Бургас-Малко Търново-граница Турция</w:t>
      </w:r>
      <w:r w:rsidR="001E46E8"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(Е-87). Пътят обслужва туристическия поток по Черноморското крайбрежие</w:t>
      </w:r>
      <w:r w:rsidR="00E71B5C" w:rsidRPr="00610B1B">
        <w:rPr>
          <w:rFonts w:ascii="Times New Roman" w:eastAsia="Times New Roman" w:hAnsi="Times New Roman" w:cs="Times New Roman"/>
          <w:sz w:val="24"/>
          <w:szCs w:val="24"/>
          <w:lang w:val="bg-BG" w:eastAsia="bg-BG"/>
        </w:rPr>
        <w:t>. Н</w:t>
      </w:r>
      <w:r w:rsidRPr="00610B1B">
        <w:rPr>
          <w:rFonts w:ascii="Times New Roman" w:eastAsia="Times New Roman" w:hAnsi="Times New Roman" w:cs="Times New Roman"/>
          <w:sz w:val="24"/>
          <w:szCs w:val="24"/>
          <w:lang w:val="bg-BG" w:eastAsia="bg-BG"/>
        </w:rPr>
        <w:t>а юг от Бургас</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провежда главно транзитен трафик за/от Р. Турция. </w:t>
      </w:r>
    </w:p>
    <w:p w14:paraId="7C5F4287" w14:textId="3BA77C1C"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bCs/>
          <w:i/>
          <w:sz w:val="24"/>
          <w:szCs w:val="24"/>
          <w:lang w:val="bg-BG" w:eastAsia="bg-BG"/>
        </w:rPr>
        <w:t>Първокласният път</w:t>
      </w:r>
      <w:r w:rsidRPr="00610B1B">
        <w:rPr>
          <w:rFonts w:ascii="Times New Roman" w:eastAsia="Times New Roman" w:hAnsi="Times New Roman" w:cs="Times New Roman"/>
          <w:i/>
          <w:sz w:val="24"/>
          <w:szCs w:val="24"/>
          <w:lang w:val="bg-BG" w:eastAsia="bg-BG"/>
        </w:rPr>
        <w:t xml:space="preserve"> </w:t>
      </w:r>
      <w:r w:rsidRPr="00610B1B">
        <w:rPr>
          <w:rFonts w:ascii="Times New Roman" w:eastAsia="Times New Roman" w:hAnsi="Times New Roman" w:cs="Times New Roman"/>
          <w:b/>
          <w:bCs/>
          <w:i/>
          <w:sz w:val="24"/>
          <w:szCs w:val="24"/>
          <w:lang w:val="bg-BG" w:eastAsia="bg-BG"/>
        </w:rPr>
        <w:t>І-9</w:t>
      </w:r>
      <w:r w:rsidRPr="00610B1B">
        <w:rPr>
          <w:rFonts w:ascii="Times New Roman" w:eastAsia="Times New Roman" w:hAnsi="Times New Roman" w:cs="Times New Roman"/>
          <w:b/>
          <w:bCs/>
          <w:i/>
          <w:iCs/>
          <w:sz w:val="24"/>
          <w:szCs w:val="24"/>
          <w:lang w:val="bg-BG" w:eastAsia="bg-BG"/>
        </w:rPr>
        <w:t xml:space="preserve"> </w:t>
      </w:r>
      <w:r w:rsidRPr="00610B1B">
        <w:rPr>
          <w:rFonts w:ascii="Times New Roman" w:eastAsia="Times New Roman" w:hAnsi="Times New Roman" w:cs="Times New Roman"/>
          <w:bCs/>
          <w:sz w:val="24"/>
          <w:szCs w:val="24"/>
          <w:lang w:val="bg-BG" w:eastAsia="bg-BG"/>
        </w:rPr>
        <w:t>обслужва</w:t>
      </w:r>
      <w:r w:rsidR="00D66FE0" w:rsidRPr="00610B1B">
        <w:rPr>
          <w:rFonts w:ascii="Times New Roman" w:eastAsia="Times New Roman" w:hAnsi="Times New Roman" w:cs="Times New Roman"/>
          <w:bCs/>
          <w:sz w:val="24"/>
          <w:szCs w:val="24"/>
          <w:lang w:val="bg-BG" w:eastAsia="bg-BG"/>
        </w:rPr>
        <w:t xml:space="preserve"> </w:t>
      </w:r>
      <w:r w:rsidRPr="00610B1B">
        <w:rPr>
          <w:rFonts w:ascii="Times New Roman" w:eastAsia="Times New Roman" w:hAnsi="Times New Roman" w:cs="Times New Roman"/>
          <w:bCs/>
          <w:sz w:val="24"/>
          <w:szCs w:val="24"/>
          <w:lang w:val="bg-BG" w:eastAsia="bg-BG"/>
        </w:rPr>
        <w:t xml:space="preserve">и </w:t>
      </w:r>
      <w:r w:rsidRPr="00610B1B">
        <w:rPr>
          <w:rFonts w:ascii="Times New Roman" w:eastAsia="Times New Roman" w:hAnsi="Times New Roman" w:cs="Times New Roman"/>
          <w:bCs/>
          <w:i/>
          <w:sz w:val="24"/>
          <w:szCs w:val="24"/>
          <w:lang w:val="bg-BG" w:eastAsia="bg-BG"/>
        </w:rPr>
        <w:t>Пристанищен терминал Несебър</w:t>
      </w:r>
      <w:r w:rsidR="00E71B5C" w:rsidRPr="00610B1B">
        <w:rPr>
          <w:rFonts w:ascii="Times New Roman" w:eastAsia="Times New Roman" w:hAnsi="Times New Roman" w:cs="Times New Roman"/>
          <w:bCs/>
          <w:i/>
          <w:sz w:val="24"/>
          <w:szCs w:val="24"/>
          <w:lang w:val="bg-BG" w:eastAsia="bg-BG"/>
        </w:rPr>
        <w:t>,</w:t>
      </w:r>
      <w:r w:rsidRPr="00610B1B">
        <w:rPr>
          <w:rFonts w:ascii="Times New Roman" w:eastAsia="Times New Roman" w:hAnsi="Times New Roman" w:cs="Times New Roman"/>
          <w:b/>
          <w:sz w:val="24"/>
          <w:szCs w:val="24"/>
          <w:lang w:val="bg-BG" w:eastAsia="bg-BG"/>
        </w:rPr>
        <w:t xml:space="preserve"> </w:t>
      </w:r>
      <w:r w:rsidRPr="00610B1B">
        <w:rPr>
          <w:rFonts w:ascii="Times New Roman" w:eastAsia="Times New Roman" w:hAnsi="Times New Roman" w:cs="Times New Roman"/>
          <w:sz w:val="24"/>
          <w:szCs w:val="24"/>
          <w:lang w:val="bg-BG" w:eastAsia="bg-BG"/>
        </w:rPr>
        <w:t>който е част от пристанище</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Бургас. Терминалът е пътнически с целогодишна навигация и разполага с</w:t>
      </w:r>
      <w:r w:rsidR="00E71B5C" w:rsidRPr="00610B1B">
        <w:rPr>
          <w:rFonts w:ascii="Times New Roman" w:eastAsia="Times New Roman" w:hAnsi="Times New Roman" w:cs="Times New Roman"/>
          <w:sz w:val="24"/>
          <w:szCs w:val="24"/>
          <w:lang w:val="bg-BG" w:eastAsia="bg-BG"/>
        </w:rPr>
        <w:t xml:space="preserve"> 3 корабни места с дължина 410 m</w:t>
      </w:r>
      <w:r w:rsidRPr="00610B1B">
        <w:rPr>
          <w:rFonts w:ascii="Times New Roman" w:eastAsia="Times New Roman" w:hAnsi="Times New Roman" w:cs="Times New Roman"/>
          <w:sz w:val="24"/>
          <w:szCs w:val="24"/>
          <w:lang w:val="bg-BG" w:eastAsia="bg-BG"/>
        </w:rPr>
        <w:t>. Разположен е в Бургаския залив на южния бряг на стария град Несебър.</w:t>
      </w:r>
    </w:p>
    <w:p w14:paraId="6D883E89" w14:textId="0378B3C5" w:rsidR="00410372" w:rsidRPr="00610B1B" w:rsidRDefault="00410372"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Cs/>
          <w:sz w:val="24"/>
          <w:szCs w:val="24"/>
          <w:lang w:val="bg-BG" w:eastAsia="bg-BG"/>
        </w:rPr>
        <w:t>Другата транспортна връзка</w:t>
      </w:r>
      <w:r w:rsidRPr="00610B1B">
        <w:rPr>
          <w:rFonts w:ascii="Times New Roman" w:eastAsia="Times New Roman" w:hAnsi="Times New Roman" w:cs="Times New Roman"/>
          <w:b/>
          <w:bCs/>
          <w:sz w:val="24"/>
          <w:szCs w:val="24"/>
          <w:lang w:val="bg-BG" w:eastAsia="bg-BG"/>
        </w:rPr>
        <w:t xml:space="preserve"> </w:t>
      </w:r>
      <w:r w:rsidRPr="00610B1B">
        <w:rPr>
          <w:rFonts w:ascii="Times New Roman" w:eastAsia="Times New Roman" w:hAnsi="Times New Roman" w:cs="Times New Roman"/>
          <w:bCs/>
          <w:sz w:val="24"/>
          <w:szCs w:val="24"/>
          <w:lang w:val="bg-BG" w:eastAsia="bg-BG"/>
        </w:rPr>
        <w:t xml:space="preserve">на </w:t>
      </w:r>
      <w:r w:rsidRPr="00610B1B">
        <w:rPr>
          <w:rFonts w:ascii="Times New Roman" w:eastAsia="Times New Roman" w:hAnsi="Times New Roman" w:cs="Times New Roman"/>
          <w:sz w:val="24"/>
          <w:szCs w:val="24"/>
          <w:lang w:val="bg-BG" w:eastAsia="bg-BG"/>
        </w:rPr>
        <w:t>пристанище Бургас</w:t>
      </w:r>
      <w:r w:rsidRPr="00610B1B">
        <w:rPr>
          <w:rFonts w:ascii="Times New Roman" w:eastAsia="Times New Roman" w:hAnsi="Times New Roman" w:cs="Times New Roman"/>
          <w:bCs/>
          <w:sz w:val="24"/>
          <w:szCs w:val="24"/>
          <w:lang w:val="bg-BG" w:eastAsia="bg-BG"/>
        </w:rPr>
        <w:t xml:space="preserve"> с вътрешността на страната и Столицата е </w:t>
      </w:r>
      <w:r w:rsidRPr="00610B1B">
        <w:rPr>
          <w:rFonts w:ascii="Times New Roman" w:eastAsia="Times New Roman" w:hAnsi="Times New Roman" w:cs="Times New Roman"/>
          <w:b/>
          <w:bCs/>
          <w:i/>
          <w:sz w:val="24"/>
          <w:szCs w:val="24"/>
          <w:lang w:val="bg-BG" w:eastAsia="bg-BG"/>
        </w:rPr>
        <w:t>първокласен път І-6</w:t>
      </w:r>
      <w:r w:rsidRPr="00610B1B">
        <w:rPr>
          <w:rFonts w:ascii="Times New Roman" w:eastAsia="Times New Roman" w:hAnsi="Times New Roman" w:cs="Times New Roman"/>
          <w:b/>
          <w:bCs/>
          <w:i/>
          <w:iCs/>
          <w:sz w:val="24"/>
          <w:szCs w:val="24"/>
          <w:lang w:val="bg-BG" w:eastAsia="bg-BG"/>
        </w:rPr>
        <w:t xml:space="preserve"> </w:t>
      </w:r>
      <w:r w:rsidRPr="00610B1B">
        <w:rPr>
          <w:rFonts w:ascii="Times New Roman" w:eastAsia="Times New Roman" w:hAnsi="Times New Roman" w:cs="Times New Roman"/>
          <w:sz w:val="24"/>
          <w:szCs w:val="24"/>
          <w:lang w:val="bg-BG" w:eastAsia="bg-BG"/>
        </w:rPr>
        <w:t>граница Македония-Гюешево-Кюстендил-Радомир-</w:t>
      </w:r>
      <w:r w:rsidRPr="00610B1B">
        <w:rPr>
          <w:rFonts w:ascii="Times New Roman" w:eastAsia="Times New Roman" w:hAnsi="Times New Roman" w:cs="Times New Roman"/>
          <w:sz w:val="24"/>
          <w:szCs w:val="24"/>
          <w:lang w:val="bg-BG" w:eastAsia="bg-BG"/>
        </w:rPr>
        <w:lastRenderedPageBreak/>
        <w:t>София-Карлово-Казанлък-Бургас.</w:t>
      </w:r>
      <w:r w:rsidRPr="00610B1B">
        <w:rPr>
          <w:rFonts w:ascii="Times New Roman" w:eastAsia="Times New Roman" w:hAnsi="Times New Roman" w:cs="Times New Roman"/>
          <w:i/>
          <w:iCs/>
          <w:sz w:val="24"/>
          <w:szCs w:val="24"/>
          <w:lang w:val="bg-BG" w:eastAsia="bg-BG"/>
        </w:rPr>
        <w:t xml:space="preserve"> </w:t>
      </w:r>
      <w:r w:rsidRPr="00610B1B">
        <w:rPr>
          <w:rFonts w:ascii="Times New Roman" w:eastAsia="Times New Roman" w:hAnsi="Times New Roman" w:cs="Times New Roman"/>
          <w:iCs/>
          <w:sz w:val="24"/>
          <w:szCs w:val="24"/>
          <w:lang w:val="bg-BG" w:eastAsia="bg-BG"/>
        </w:rPr>
        <w:t>Пътят о</w:t>
      </w:r>
      <w:r w:rsidRPr="00610B1B">
        <w:rPr>
          <w:rFonts w:ascii="Times New Roman" w:eastAsia="Times New Roman" w:hAnsi="Times New Roman" w:cs="Times New Roman"/>
          <w:sz w:val="24"/>
          <w:szCs w:val="24"/>
          <w:lang w:val="bg-BG" w:eastAsia="bg-BG"/>
        </w:rPr>
        <w:t>бслужва т</w:t>
      </w:r>
      <w:r w:rsidR="001E46E8"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н</w:t>
      </w:r>
      <w:r w:rsidR="001E46E8" w:rsidRPr="00610B1B">
        <w:rPr>
          <w:rFonts w:ascii="Times New Roman" w:eastAsia="Times New Roman" w:hAnsi="Times New Roman" w:cs="Times New Roman"/>
          <w:sz w:val="24"/>
          <w:szCs w:val="24"/>
          <w:lang w:val="bg-BG" w:eastAsia="bg-BG"/>
        </w:rPr>
        <w:t>ар.</w:t>
      </w:r>
      <w:r w:rsidRPr="00610B1B">
        <w:rPr>
          <w:rFonts w:ascii="Times New Roman" w:eastAsia="Times New Roman" w:hAnsi="Times New Roman" w:cs="Times New Roman"/>
          <w:sz w:val="24"/>
          <w:szCs w:val="24"/>
          <w:lang w:val="bg-BG" w:eastAsia="bg-BG"/>
        </w:rPr>
        <w:t xml:space="preserve"> “подбалканска линия” и не попада в обхвата на TEN-T мрежата.</w:t>
      </w:r>
    </w:p>
    <w:p w14:paraId="1ED3F399" w14:textId="0374BA71" w:rsidR="00410372" w:rsidRPr="00610B1B" w:rsidRDefault="00410372"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bCs/>
          <w:i/>
          <w:sz w:val="24"/>
          <w:szCs w:val="24"/>
          <w:lang w:val="bg-BG" w:eastAsia="bg-BG"/>
        </w:rPr>
        <w:t>Второкласен път ІІ-79</w:t>
      </w:r>
      <w:r w:rsidRPr="00610B1B">
        <w:rPr>
          <w:rFonts w:ascii="Times New Roman" w:eastAsia="Times New Roman" w:hAnsi="Times New Roman" w:cs="Times New Roman"/>
          <w:b/>
          <w:bCs/>
          <w:sz w:val="24"/>
          <w:szCs w:val="24"/>
          <w:lang w:val="bg-BG" w:eastAsia="bg-BG"/>
        </w:rPr>
        <w:t xml:space="preserve"> </w:t>
      </w:r>
      <w:r w:rsidRPr="00610B1B">
        <w:rPr>
          <w:rFonts w:ascii="Times New Roman" w:eastAsia="Times New Roman" w:hAnsi="Times New Roman" w:cs="Times New Roman"/>
          <w:sz w:val="24"/>
          <w:szCs w:val="24"/>
          <w:lang w:val="bg-BG" w:eastAsia="bg-BG"/>
        </w:rPr>
        <w:t>о</w:t>
      </w:r>
      <w:r w:rsidR="001E46E8"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z w:val="24"/>
          <w:szCs w:val="24"/>
          <w:lang w:val="bg-BG" w:eastAsia="bg-BG"/>
        </w:rPr>
        <w:t xml:space="preserve"> Елхово</w:t>
      </w:r>
      <w:r w:rsidR="001E46E8"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Болярово-Средец</w:t>
      </w:r>
      <w:r w:rsidR="001E46E8"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кв</w:t>
      </w:r>
      <w:r w:rsidR="001E46E8"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 xml:space="preserve"> Меден рудник-(Бургас-Маринка) допълва транспортното обслужване на пристанище Бургас като връзка с тила на Южното Черноморие</w:t>
      </w:r>
      <w:r w:rsidR="001E46E8" w:rsidRPr="00610B1B">
        <w:rPr>
          <w:rFonts w:ascii="Times New Roman" w:eastAsia="Times New Roman" w:hAnsi="Times New Roman" w:cs="Times New Roman"/>
          <w:sz w:val="24"/>
          <w:szCs w:val="24"/>
          <w:lang w:val="bg-BG" w:eastAsia="bg-BG"/>
        </w:rPr>
        <w:t>.</w:t>
      </w:r>
    </w:p>
    <w:p w14:paraId="367F097D" w14:textId="614D1248" w:rsidR="00A9007A" w:rsidRPr="00610B1B" w:rsidRDefault="00410372" w:rsidP="00A9007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bCs/>
          <w:i/>
          <w:sz w:val="24"/>
          <w:szCs w:val="24"/>
          <w:lang w:val="bg-BG" w:eastAsia="bg-BG"/>
        </w:rPr>
        <w:t>Второкласен път ІІ-99</w:t>
      </w:r>
      <w:r w:rsidRPr="00610B1B">
        <w:rPr>
          <w:rFonts w:ascii="Times New Roman" w:eastAsia="Times New Roman" w:hAnsi="Times New Roman" w:cs="Times New Roman"/>
          <w:b/>
          <w:bCs/>
          <w:sz w:val="24"/>
          <w:szCs w:val="24"/>
          <w:lang w:val="bg-BG" w:eastAsia="bg-BG"/>
        </w:rPr>
        <w:t xml:space="preserve"> </w:t>
      </w:r>
      <w:r w:rsidRPr="00610B1B">
        <w:rPr>
          <w:rFonts w:ascii="Times New Roman" w:eastAsia="Times New Roman" w:hAnsi="Times New Roman" w:cs="Times New Roman"/>
          <w:sz w:val="24"/>
          <w:szCs w:val="24"/>
          <w:lang w:val="bg-BG" w:eastAsia="bg-BG"/>
        </w:rPr>
        <w:t>(Бургас-Маринка)-Созопол-Приморско-Царево-Малко Търново (о.п. Малко Търново-граница</w:t>
      </w:r>
      <w:r w:rsidR="001E46E8"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Турция)</w:t>
      </w:r>
      <w:r w:rsidRPr="00610B1B">
        <w:rPr>
          <w:rFonts w:ascii="Times New Roman" w:eastAsia="Times New Roman" w:hAnsi="Times New Roman" w:cs="Times New Roman"/>
          <w:i/>
          <w:iCs/>
          <w:sz w:val="24"/>
          <w:szCs w:val="24"/>
          <w:lang w:val="bg-BG" w:eastAsia="bg-BG"/>
        </w:rPr>
        <w:t xml:space="preserve"> </w:t>
      </w:r>
      <w:r w:rsidRPr="00610B1B">
        <w:rPr>
          <w:rFonts w:ascii="Times New Roman" w:eastAsia="Times New Roman" w:hAnsi="Times New Roman" w:cs="Times New Roman"/>
          <w:sz w:val="24"/>
          <w:szCs w:val="24"/>
          <w:lang w:val="bg-BG" w:eastAsia="bg-BG"/>
        </w:rPr>
        <w:t>обслужва южната част на Черноморското крайбрежие.</w:t>
      </w:r>
      <w:r w:rsidR="00E71B5C" w:rsidRPr="00610B1B">
        <w:rPr>
          <w:rFonts w:ascii="Times New Roman" w:eastAsia="Times New Roman" w:hAnsi="Times New Roman" w:cs="Times New Roman"/>
          <w:sz w:val="24"/>
          <w:szCs w:val="24"/>
          <w:lang w:val="bg-BG" w:eastAsia="bg-BG"/>
        </w:rPr>
        <w:t xml:space="preserve"> Той</w:t>
      </w:r>
      <w:r w:rsidRPr="00610B1B">
        <w:rPr>
          <w:rFonts w:ascii="Times New Roman" w:eastAsia="Times New Roman" w:hAnsi="Times New Roman" w:cs="Times New Roman"/>
          <w:sz w:val="24"/>
          <w:szCs w:val="24"/>
          <w:lang w:val="bg-BG" w:eastAsia="bg-BG"/>
        </w:rPr>
        <w:t xml:space="preserve"> обслужва и</w:t>
      </w:r>
      <w:r w:rsidRPr="00610B1B">
        <w:rPr>
          <w:rFonts w:ascii="Times New Roman" w:eastAsia="Times New Roman" w:hAnsi="Times New Roman" w:cs="Times New Roman"/>
          <w:i/>
          <w:sz w:val="24"/>
          <w:szCs w:val="24"/>
          <w:lang w:val="bg-BG" w:eastAsia="bg-BG"/>
        </w:rPr>
        <w:t xml:space="preserve"> Пристанищен терминал „Росенец”,</w:t>
      </w:r>
      <w:r w:rsidRPr="00610B1B">
        <w:rPr>
          <w:rFonts w:ascii="Times New Roman" w:eastAsia="Times New Roman" w:hAnsi="Times New Roman" w:cs="Times New Roman"/>
          <w:b/>
          <w:sz w:val="24"/>
          <w:szCs w:val="24"/>
          <w:lang w:val="bg-BG" w:eastAsia="bg-BG"/>
        </w:rPr>
        <w:t xml:space="preserve"> </w:t>
      </w:r>
      <w:r w:rsidRPr="00610B1B">
        <w:rPr>
          <w:rFonts w:ascii="Times New Roman" w:eastAsia="Times New Roman" w:hAnsi="Times New Roman" w:cs="Times New Roman"/>
          <w:sz w:val="24"/>
          <w:szCs w:val="24"/>
          <w:lang w:val="bg-BG" w:eastAsia="bg-BG"/>
        </w:rPr>
        <w:t>разположен югоизточно от град Бургас, между кв. Крайморие -</w:t>
      </w:r>
      <w:r w:rsidR="00054383"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Бургас и с. Атия. </w:t>
      </w:r>
      <w:r w:rsidR="00A9007A" w:rsidRPr="00610B1B">
        <w:rPr>
          <w:rFonts w:ascii="Times New Roman" w:eastAsia="Times New Roman" w:hAnsi="Times New Roman" w:cs="Times New Roman"/>
          <w:sz w:val="24"/>
          <w:szCs w:val="24"/>
          <w:lang w:val="bg-BG" w:eastAsia="bg-BG"/>
        </w:rPr>
        <w:t>Той е част от пристанище за обществен транспорт</w:t>
      </w:r>
      <w:r w:rsidR="008753B6" w:rsidRPr="00610B1B">
        <w:rPr>
          <w:rFonts w:ascii="Times New Roman" w:eastAsia="Times New Roman" w:hAnsi="Times New Roman" w:cs="Times New Roman"/>
          <w:sz w:val="24"/>
          <w:szCs w:val="24"/>
          <w:lang w:val="bg-BG" w:eastAsia="bg-BG"/>
        </w:rPr>
        <w:t xml:space="preserve"> </w:t>
      </w:r>
      <w:r w:rsidR="00A9007A" w:rsidRPr="00610B1B">
        <w:rPr>
          <w:rFonts w:ascii="Times New Roman" w:eastAsia="Times New Roman" w:hAnsi="Times New Roman" w:cs="Times New Roman"/>
          <w:sz w:val="24"/>
          <w:szCs w:val="24"/>
          <w:lang w:val="bg-BG" w:eastAsia="bg-BG"/>
        </w:rPr>
        <w:t>Бургас. С договор от 12.05.2011 г., терминалът е</w:t>
      </w:r>
      <w:r w:rsidR="00D66FE0" w:rsidRPr="00610B1B">
        <w:rPr>
          <w:rFonts w:ascii="Times New Roman" w:eastAsia="Times New Roman" w:hAnsi="Times New Roman" w:cs="Times New Roman"/>
          <w:sz w:val="24"/>
          <w:szCs w:val="24"/>
          <w:lang w:val="bg-BG" w:eastAsia="bg-BG"/>
        </w:rPr>
        <w:t xml:space="preserve"> </w:t>
      </w:r>
      <w:r w:rsidR="00A9007A" w:rsidRPr="00610B1B">
        <w:rPr>
          <w:rFonts w:ascii="Times New Roman" w:eastAsia="Times New Roman" w:hAnsi="Times New Roman" w:cs="Times New Roman"/>
          <w:sz w:val="24"/>
          <w:szCs w:val="24"/>
          <w:lang w:val="bg-BG" w:eastAsia="bg-BG"/>
        </w:rPr>
        <w:t>предоставен на концесия за срок от 35 години</w:t>
      </w:r>
      <w:r w:rsidR="00D66FE0" w:rsidRPr="00610B1B">
        <w:rPr>
          <w:rFonts w:ascii="Times New Roman" w:eastAsia="Times New Roman" w:hAnsi="Times New Roman" w:cs="Times New Roman"/>
          <w:sz w:val="24"/>
          <w:szCs w:val="24"/>
          <w:lang w:val="bg-BG" w:eastAsia="bg-BG"/>
        </w:rPr>
        <w:t xml:space="preserve"> </w:t>
      </w:r>
      <w:r w:rsidR="00A9007A" w:rsidRPr="00610B1B">
        <w:rPr>
          <w:rFonts w:ascii="Times New Roman" w:eastAsia="Times New Roman" w:hAnsi="Times New Roman" w:cs="Times New Roman"/>
          <w:sz w:val="24"/>
          <w:szCs w:val="24"/>
          <w:lang w:val="bg-BG" w:eastAsia="bg-BG"/>
        </w:rPr>
        <w:t>на „Лукойл Нефтохим Бургас“ АД. Концесията е за услуга с основен предмет управление и поддържане на обекта срещу правото и задължението на концесионера да извършва пристанищни услуги по чл. 116, ал. 3, т. 2 от ЗМПВВППРБ</w:t>
      </w:r>
      <w:r w:rsidR="00BD0893">
        <w:rPr>
          <w:rFonts w:ascii="Times New Roman" w:eastAsia="Times New Roman" w:hAnsi="Times New Roman" w:cs="Times New Roman"/>
          <w:sz w:val="24"/>
          <w:szCs w:val="24"/>
          <w:lang w:val="bg-BG" w:eastAsia="bg-BG"/>
        </w:rPr>
        <w:t xml:space="preserve"> </w:t>
      </w:r>
      <w:r w:rsidR="00BD0893" w:rsidRPr="00BD0893">
        <w:rPr>
          <w:rFonts w:ascii="Times New Roman" w:eastAsia="Times New Roman" w:hAnsi="Times New Roman" w:cs="Times New Roman"/>
          <w:sz w:val="24"/>
          <w:szCs w:val="24"/>
          <w:lang w:val="bg-BG" w:eastAsia="bg-BG"/>
        </w:rPr>
        <w:t>(понастоящем по чл. 116, ал.2 т.1 и т.2 от ЗМПВВППРБ)</w:t>
      </w:r>
      <w:r w:rsidR="00A9007A" w:rsidRPr="00610B1B">
        <w:rPr>
          <w:rFonts w:ascii="Times New Roman" w:eastAsia="Times New Roman" w:hAnsi="Times New Roman" w:cs="Times New Roman"/>
          <w:sz w:val="24"/>
          <w:szCs w:val="24"/>
          <w:lang w:val="bg-BG" w:eastAsia="bg-BG"/>
        </w:rPr>
        <w:t>. Предлаганите пристанищни услуги са: обработка (товарене, разтоварване, съхраняване) на опасни наливни товари -нефт, нефтопродукти и други наливни опасни товари от клас 3 по Класификацията на ИМО.</w:t>
      </w:r>
    </w:p>
    <w:p w14:paraId="30CF2BFB" w14:textId="198728BB" w:rsidR="00410372" w:rsidRPr="00610B1B" w:rsidRDefault="00410372" w:rsidP="00A9007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sz w:val="24"/>
          <w:szCs w:val="24"/>
          <w:lang w:val="bg-BG" w:eastAsia="bg-BG"/>
        </w:rPr>
        <w:t xml:space="preserve">Пристанищата за обществен транспорт </w:t>
      </w:r>
      <w:r w:rsidR="00D44498" w:rsidRPr="00610B1B">
        <w:rPr>
          <w:rFonts w:ascii="Times New Roman" w:eastAsia="Times New Roman" w:hAnsi="Times New Roman" w:cs="Times New Roman"/>
          <w:sz w:val="24"/>
          <w:szCs w:val="24"/>
          <w:lang w:val="bg-BG" w:eastAsia="bg-BG"/>
        </w:rPr>
        <w:t>в по-малките черноморски градове</w:t>
      </w:r>
      <w:r w:rsidR="008F4426" w:rsidRPr="00610B1B">
        <w:rPr>
          <w:rFonts w:ascii="Times New Roman" w:eastAsia="Times New Roman" w:hAnsi="Times New Roman" w:cs="Times New Roman"/>
          <w:sz w:val="24"/>
          <w:szCs w:val="24"/>
          <w:lang w:val="bg-BG" w:eastAsia="bg-BG"/>
        </w:rPr>
        <w:t>, които са собственост на общините,</w:t>
      </w:r>
      <w:r w:rsidRPr="00610B1B">
        <w:rPr>
          <w:rFonts w:ascii="Times New Roman" w:eastAsia="Times New Roman" w:hAnsi="Times New Roman" w:cs="Times New Roman"/>
          <w:sz w:val="24"/>
          <w:szCs w:val="24"/>
          <w:lang w:val="bg-BG" w:eastAsia="bg-BG"/>
        </w:rPr>
        <w:t xml:space="preserve"> се обслужват с вече описаните пътища от републиканската пътна мрежа, както следва:</w:t>
      </w:r>
    </w:p>
    <w:p w14:paraId="16D7144D" w14:textId="524E6F14" w:rsidR="00410372" w:rsidRPr="00610B1B" w:rsidRDefault="00410372" w:rsidP="00B46189">
      <w:pPr>
        <w:pStyle w:val="ListParagraph"/>
        <w:numPr>
          <w:ilvl w:val="0"/>
          <w:numId w:val="10"/>
        </w:numPr>
        <w:spacing w:after="120"/>
        <w:ind w:right="-153"/>
        <w:contextualSpacing w:val="0"/>
        <w:jc w:val="both"/>
        <w:rPr>
          <w:rFonts w:ascii="Times New Roman" w:eastAsia="Times New Roman" w:hAnsi="Times New Roman" w:cs="Times New Roman"/>
          <w:bCs/>
          <w:sz w:val="24"/>
          <w:szCs w:val="24"/>
          <w:lang w:val="bg-BG" w:eastAsia="bg-BG"/>
        </w:rPr>
      </w:pPr>
      <w:r w:rsidRPr="00610B1B">
        <w:rPr>
          <w:rFonts w:ascii="Times New Roman" w:eastAsia="Times New Roman" w:hAnsi="Times New Roman" w:cs="Times New Roman"/>
          <w:bCs/>
          <w:i/>
          <w:sz w:val="24"/>
          <w:szCs w:val="24"/>
          <w:lang w:val="bg-BG" w:eastAsia="bg-BG"/>
        </w:rPr>
        <w:t>Пристанище Поморие</w:t>
      </w:r>
      <w:r w:rsidR="00D66FE0" w:rsidRPr="00610B1B">
        <w:rPr>
          <w:rFonts w:ascii="Times New Roman" w:eastAsia="Times New Roman" w:hAnsi="Times New Roman" w:cs="Times New Roman"/>
          <w:bCs/>
          <w:i/>
          <w:sz w:val="24"/>
          <w:szCs w:val="24"/>
          <w:lang w:val="bg-BG" w:eastAsia="bg-BG"/>
        </w:rPr>
        <w:t xml:space="preserve"> </w:t>
      </w:r>
      <w:r w:rsidRPr="00610B1B">
        <w:rPr>
          <w:rFonts w:ascii="Times New Roman" w:eastAsia="Times New Roman" w:hAnsi="Times New Roman" w:cs="Times New Roman"/>
          <w:bCs/>
          <w:i/>
          <w:sz w:val="24"/>
          <w:szCs w:val="24"/>
          <w:lang w:val="bg-BG" w:eastAsia="bg-BG"/>
        </w:rPr>
        <w:t>-</w:t>
      </w:r>
      <w:r w:rsidR="00054383" w:rsidRPr="00610B1B">
        <w:rPr>
          <w:rFonts w:ascii="Times New Roman" w:eastAsia="Times New Roman" w:hAnsi="Times New Roman" w:cs="Times New Roman"/>
          <w:bCs/>
          <w:i/>
          <w:sz w:val="24"/>
          <w:szCs w:val="24"/>
          <w:lang w:val="bg-BG" w:eastAsia="bg-BG"/>
        </w:rPr>
        <w:t xml:space="preserve"> </w:t>
      </w:r>
      <w:r w:rsidRPr="00610B1B">
        <w:rPr>
          <w:rFonts w:ascii="Times New Roman" w:eastAsia="Times New Roman" w:hAnsi="Times New Roman" w:cs="Times New Roman"/>
          <w:bCs/>
          <w:sz w:val="24"/>
          <w:szCs w:val="24"/>
          <w:lang w:val="bg-BG" w:eastAsia="bg-BG"/>
        </w:rPr>
        <w:t>от</w:t>
      </w:r>
      <w:r w:rsidRPr="00610B1B">
        <w:rPr>
          <w:rFonts w:ascii="Times New Roman" w:eastAsia="Times New Roman" w:hAnsi="Times New Roman" w:cs="Times New Roman"/>
          <w:bCs/>
          <w:i/>
          <w:sz w:val="24"/>
          <w:szCs w:val="24"/>
          <w:lang w:val="bg-BG" w:eastAsia="bg-BG"/>
        </w:rPr>
        <w:t xml:space="preserve"> </w:t>
      </w:r>
      <w:r w:rsidRPr="00610B1B">
        <w:rPr>
          <w:rFonts w:ascii="Times New Roman" w:eastAsia="Times New Roman" w:hAnsi="Times New Roman" w:cs="Times New Roman"/>
          <w:bCs/>
          <w:sz w:val="24"/>
          <w:szCs w:val="24"/>
          <w:lang w:val="bg-BG" w:eastAsia="bg-BG"/>
        </w:rPr>
        <w:t>първокласния път І-9</w:t>
      </w:r>
      <w:r w:rsidRPr="00610B1B">
        <w:rPr>
          <w:rFonts w:ascii="Times New Roman" w:eastAsia="Times New Roman" w:hAnsi="Times New Roman" w:cs="Times New Roman"/>
          <w:bCs/>
          <w:i/>
          <w:iCs/>
          <w:sz w:val="24"/>
          <w:szCs w:val="24"/>
          <w:lang w:val="bg-BG" w:eastAsia="bg-BG"/>
        </w:rPr>
        <w:t xml:space="preserve"> </w:t>
      </w:r>
      <w:r w:rsidRPr="00610B1B">
        <w:rPr>
          <w:rFonts w:ascii="Times New Roman" w:eastAsia="Times New Roman" w:hAnsi="Times New Roman" w:cs="Times New Roman"/>
          <w:bCs/>
          <w:sz w:val="24"/>
          <w:szCs w:val="24"/>
          <w:lang w:val="bg-BG" w:eastAsia="bg-BG"/>
        </w:rPr>
        <w:t>граница Румъния-Дуранкулак-Варна-Бургас-Малко Търново-граница Турция</w:t>
      </w:r>
      <w:r w:rsidR="00054383" w:rsidRPr="00610B1B">
        <w:rPr>
          <w:rFonts w:ascii="Times New Roman" w:eastAsia="Times New Roman" w:hAnsi="Times New Roman" w:cs="Times New Roman"/>
          <w:bCs/>
          <w:sz w:val="24"/>
          <w:szCs w:val="24"/>
          <w:lang w:val="bg-BG" w:eastAsia="bg-BG"/>
        </w:rPr>
        <w:t xml:space="preserve"> </w:t>
      </w:r>
      <w:r w:rsidRPr="00610B1B">
        <w:rPr>
          <w:rFonts w:ascii="Times New Roman" w:eastAsia="Times New Roman" w:hAnsi="Times New Roman" w:cs="Times New Roman"/>
          <w:bCs/>
          <w:sz w:val="24"/>
          <w:szCs w:val="24"/>
          <w:lang w:val="bg-BG" w:eastAsia="bg-BG"/>
        </w:rPr>
        <w:t>(Е-87)</w:t>
      </w:r>
      <w:r w:rsidR="00054383" w:rsidRPr="00610B1B">
        <w:rPr>
          <w:rFonts w:ascii="Times New Roman" w:eastAsia="Times New Roman" w:hAnsi="Times New Roman" w:cs="Times New Roman"/>
          <w:bCs/>
          <w:sz w:val="24"/>
          <w:szCs w:val="24"/>
          <w:lang w:val="bg-BG" w:eastAsia="bg-BG"/>
        </w:rPr>
        <w:t>;</w:t>
      </w:r>
      <w:r w:rsidRPr="00610B1B">
        <w:rPr>
          <w:rFonts w:ascii="Times New Roman" w:eastAsia="Times New Roman" w:hAnsi="Times New Roman" w:cs="Times New Roman"/>
          <w:bCs/>
          <w:sz w:val="24"/>
          <w:szCs w:val="24"/>
          <w:lang w:val="bg-BG" w:eastAsia="bg-BG"/>
        </w:rPr>
        <w:t xml:space="preserve"> </w:t>
      </w:r>
    </w:p>
    <w:p w14:paraId="3F57E1B2" w14:textId="212F4964" w:rsidR="00054383" w:rsidRPr="00610B1B" w:rsidRDefault="00410372" w:rsidP="00B46189">
      <w:pPr>
        <w:pStyle w:val="ListParagraph"/>
        <w:numPr>
          <w:ilvl w:val="0"/>
          <w:numId w:val="10"/>
        </w:numPr>
        <w:spacing w:after="120"/>
        <w:ind w:right="-153"/>
        <w:contextualSpacing w:val="0"/>
        <w:jc w:val="both"/>
        <w:rPr>
          <w:rFonts w:ascii="Times New Roman" w:eastAsia="Times New Roman" w:hAnsi="Times New Roman" w:cs="Times New Roman"/>
          <w:i/>
          <w:sz w:val="24"/>
          <w:szCs w:val="24"/>
          <w:lang w:val="bg-BG" w:eastAsia="bg-BG"/>
        </w:rPr>
      </w:pPr>
      <w:r w:rsidRPr="00610B1B">
        <w:rPr>
          <w:rFonts w:ascii="Times New Roman" w:eastAsia="Times New Roman" w:hAnsi="Times New Roman" w:cs="Times New Roman"/>
          <w:bCs/>
          <w:i/>
          <w:sz w:val="24"/>
          <w:szCs w:val="24"/>
          <w:lang w:val="bg-BG" w:eastAsia="bg-BG"/>
        </w:rPr>
        <w:t>Пристанище Царево</w:t>
      </w:r>
      <w:r w:rsidRPr="00610B1B">
        <w:rPr>
          <w:rFonts w:ascii="Times New Roman" w:eastAsia="Times New Roman" w:hAnsi="Times New Roman" w:cs="Times New Roman"/>
          <w:b/>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 от крайбрежния в</w:t>
      </w:r>
      <w:r w:rsidRPr="00610B1B">
        <w:rPr>
          <w:rFonts w:ascii="Times New Roman" w:eastAsia="Times New Roman" w:hAnsi="Times New Roman" w:cs="Times New Roman"/>
          <w:bCs/>
          <w:sz w:val="24"/>
          <w:szCs w:val="24"/>
          <w:lang w:val="bg-BG" w:eastAsia="bg-BG"/>
        </w:rPr>
        <w:t xml:space="preserve">торокласен път </w:t>
      </w:r>
      <w:r w:rsidRPr="00610B1B">
        <w:rPr>
          <w:rFonts w:ascii="Times New Roman" w:eastAsia="Times New Roman" w:hAnsi="Times New Roman" w:cs="Times New Roman"/>
          <w:sz w:val="24"/>
          <w:szCs w:val="24"/>
          <w:lang w:val="bg-BG" w:eastAsia="bg-BG"/>
        </w:rPr>
        <w:t>ІІ-99</w:t>
      </w:r>
      <w:r w:rsidRPr="00610B1B">
        <w:rPr>
          <w:rFonts w:ascii="Times New Roman" w:eastAsia="Times New Roman" w:hAnsi="Times New Roman" w:cs="Times New Roman"/>
          <w:bCs/>
          <w:sz w:val="24"/>
          <w:szCs w:val="24"/>
          <w:lang w:val="bg-BG" w:eastAsia="bg-BG"/>
        </w:rPr>
        <w:t xml:space="preserve"> с туристическо значение</w:t>
      </w:r>
      <w:r w:rsidR="00054383" w:rsidRPr="00610B1B">
        <w:rPr>
          <w:rFonts w:ascii="Times New Roman" w:eastAsia="Times New Roman" w:hAnsi="Times New Roman" w:cs="Times New Roman"/>
          <w:bCs/>
          <w:sz w:val="24"/>
          <w:szCs w:val="24"/>
          <w:lang w:val="bg-BG" w:eastAsia="bg-BG"/>
        </w:rPr>
        <w:t>;</w:t>
      </w:r>
      <w:r w:rsidR="00D66FE0" w:rsidRPr="00610B1B">
        <w:rPr>
          <w:rFonts w:ascii="Times New Roman" w:eastAsia="Times New Roman" w:hAnsi="Times New Roman" w:cs="Times New Roman"/>
          <w:bCs/>
          <w:sz w:val="24"/>
          <w:szCs w:val="24"/>
          <w:lang w:val="bg-BG" w:eastAsia="bg-BG"/>
        </w:rPr>
        <w:t xml:space="preserve"> </w:t>
      </w:r>
    </w:p>
    <w:p w14:paraId="543298D3" w14:textId="3A6E9506" w:rsidR="00410372" w:rsidRPr="00610B1B" w:rsidRDefault="00410372" w:rsidP="00B46189">
      <w:pPr>
        <w:pStyle w:val="ListParagraph"/>
        <w:numPr>
          <w:ilvl w:val="0"/>
          <w:numId w:val="10"/>
        </w:numPr>
        <w:spacing w:after="120"/>
        <w:ind w:right="-153"/>
        <w:contextualSpacing w:val="0"/>
        <w:jc w:val="both"/>
        <w:rPr>
          <w:rFonts w:ascii="Times New Roman" w:eastAsia="Times New Roman" w:hAnsi="Times New Roman" w:cs="Times New Roman"/>
          <w:iCs/>
          <w:sz w:val="24"/>
          <w:szCs w:val="24"/>
          <w:lang w:val="bg-BG" w:eastAsia="bg-BG"/>
        </w:rPr>
      </w:pPr>
      <w:r w:rsidRPr="00610B1B">
        <w:rPr>
          <w:rFonts w:ascii="Times New Roman" w:eastAsia="Times New Roman" w:hAnsi="Times New Roman" w:cs="Times New Roman"/>
          <w:i/>
          <w:sz w:val="24"/>
          <w:szCs w:val="24"/>
          <w:lang w:val="bg-BG" w:eastAsia="bg-BG"/>
        </w:rPr>
        <w:t>Пристанище Ахтопол</w:t>
      </w:r>
      <w:r w:rsidR="00054383" w:rsidRPr="00610B1B">
        <w:rPr>
          <w:rFonts w:ascii="Times New Roman" w:eastAsia="Times New Roman" w:hAnsi="Times New Roman" w:cs="Times New Roman"/>
          <w:b/>
          <w:bCs/>
          <w:i/>
          <w:sz w:val="24"/>
          <w:szCs w:val="24"/>
          <w:lang w:val="bg-BG" w:eastAsia="bg-BG"/>
        </w:rPr>
        <w:t xml:space="preserve"> </w:t>
      </w:r>
      <w:r w:rsidRPr="00610B1B">
        <w:rPr>
          <w:rFonts w:ascii="Times New Roman" w:eastAsia="Times New Roman" w:hAnsi="Times New Roman" w:cs="Times New Roman"/>
          <w:bCs/>
          <w:sz w:val="24"/>
          <w:szCs w:val="24"/>
          <w:lang w:val="bg-BG" w:eastAsia="bg-BG"/>
        </w:rPr>
        <w:t>-</w:t>
      </w:r>
      <w:r w:rsidR="00054383" w:rsidRPr="00610B1B">
        <w:rPr>
          <w:rFonts w:ascii="Times New Roman" w:eastAsia="Times New Roman" w:hAnsi="Times New Roman" w:cs="Times New Roman"/>
          <w:bCs/>
          <w:sz w:val="24"/>
          <w:szCs w:val="24"/>
          <w:lang w:val="bg-BG" w:eastAsia="bg-BG"/>
        </w:rPr>
        <w:t xml:space="preserve"> </w:t>
      </w:r>
      <w:r w:rsidRPr="00610B1B">
        <w:rPr>
          <w:rFonts w:ascii="Times New Roman" w:eastAsia="Times New Roman" w:hAnsi="Times New Roman" w:cs="Times New Roman"/>
          <w:bCs/>
          <w:sz w:val="24"/>
          <w:szCs w:val="24"/>
          <w:lang w:val="bg-BG" w:eastAsia="bg-BG"/>
        </w:rPr>
        <w:t xml:space="preserve">от третокласния път </w:t>
      </w:r>
      <w:r w:rsidRPr="00610B1B">
        <w:rPr>
          <w:rFonts w:ascii="Times New Roman" w:eastAsia="Times New Roman" w:hAnsi="Times New Roman" w:cs="Times New Roman"/>
          <w:bCs/>
          <w:color w:val="222222"/>
          <w:sz w:val="24"/>
          <w:szCs w:val="24"/>
          <w:shd w:val="clear" w:color="auto" w:fill="F9F9F9"/>
          <w:lang w:val="bg-BG" w:eastAsia="bg-BG"/>
        </w:rPr>
        <w:t>III-9901</w:t>
      </w:r>
      <w:r w:rsidRPr="00610B1B">
        <w:rPr>
          <w:rFonts w:ascii="Times New Roman" w:eastAsia="Times New Roman" w:hAnsi="Times New Roman" w:cs="Times New Roman"/>
          <w:color w:val="222222"/>
          <w:sz w:val="24"/>
          <w:szCs w:val="24"/>
          <w:shd w:val="clear" w:color="auto" w:fill="F9F9F9"/>
          <w:lang w:val="bg-BG" w:eastAsia="bg-BG"/>
        </w:rPr>
        <w:t xml:space="preserve"> </w:t>
      </w:r>
      <w:r w:rsidRPr="00610B1B">
        <w:rPr>
          <w:rFonts w:ascii="Times New Roman" w:eastAsia="Times New Roman" w:hAnsi="Times New Roman" w:cs="Times New Roman"/>
          <w:iCs/>
          <w:color w:val="222222"/>
          <w:sz w:val="24"/>
          <w:szCs w:val="24"/>
          <w:shd w:val="clear" w:color="auto" w:fill="F9F9F9"/>
          <w:lang w:val="bg-BG" w:eastAsia="bg-BG"/>
        </w:rPr>
        <w:t>Царево-</w:t>
      </w:r>
      <w:r w:rsidR="00054383" w:rsidRPr="00610B1B">
        <w:rPr>
          <w:rFonts w:ascii="Times New Roman" w:eastAsia="Times New Roman" w:hAnsi="Times New Roman" w:cs="Times New Roman"/>
          <w:iCs/>
          <w:color w:val="222222"/>
          <w:sz w:val="24"/>
          <w:szCs w:val="24"/>
          <w:shd w:val="clear" w:color="auto" w:fill="F9F9F9"/>
          <w:lang w:val="bg-BG" w:eastAsia="bg-BG"/>
        </w:rPr>
        <w:t>А</w:t>
      </w:r>
      <w:r w:rsidRPr="00610B1B">
        <w:rPr>
          <w:rFonts w:ascii="Times New Roman" w:eastAsia="Times New Roman" w:hAnsi="Times New Roman" w:cs="Times New Roman"/>
          <w:iCs/>
          <w:color w:val="222222"/>
          <w:sz w:val="24"/>
          <w:szCs w:val="24"/>
          <w:shd w:val="clear" w:color="auto" w:fill="F9F9F9"/>
          <w:lang w:val="bg-BG" w:eastAsia="bg-BG"/>
        </w:rPr>
        <w:t>хтопол.</w:t>
      </w:r>
    </w:p>
    <w:p w14:paraId="7AC71A73" w14:textId="12E1C94B" w:rsidR="00410372" w:rsidRPr="00610B1B" w:rsidRDefault="000D2175"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Arial Unicode MS" w:hAnsi="Times New Roman" w:cs="Times New Roman"/>
          <w:b/>
          <w:kern w:val="32"/>
          <w:sz w:val="24"/>
          <w:szCs w:val="24"/>
          <w:lang w:val="bg-BG"/>
        </w:rPr>
        <w:t>П</w:t>
      </w:r>
      <w:r w:rsidR="00410372" w:rsidRPr="00610B1B">
        <w:rPr>
          <w:rFonts w:ascii="Times New Roman" w:eastAsia="Arial Unicode MS" w:hAnsi="Times New Roman" w:cs="Times New Roman"/>
          <w:b/>
          <w:kern w:val="32"/>
          <w:sz w:val="24"/>
          <w:szCs w:val="24"/>
          <w:lang w:val="bg-BG"/>
        </w:rPr>
        <w:t xml:space="preserve">ристанище </w:t>
      </w:r>
      <w:r w:rsidR="00677D3C">
        <w:rPr>
          <w:rFonts w:ascii="Times New Roman" w:eastAsia="Arial Unicode MS" w:hAnsi="Times New Roman" w:cs="Times New Roman"/>
          <w:b/>
          <w:kern w:val="32"/>
          <w:sz w:val="24"/>
          <w:szCs w:val="24"/>
          <w:lang w:val="bg-BG"/>
        </w:rPr>
        <w:t xml:space="preserve">за обществен транспорт </w:t>
      </w:r>
      <w:r w:rsidR="00410372" w:rsidRPr="00610B1B">
        <w:rPr>
          <w:rFonts w:ascii="Times New Roman" w:eastAsia="Arial Unicode MS" w:hAnsi="Times New Roman" w:cs="Times New Roman"/>
          <w:b/>
          <w:kern w:val="32"/>
          <w:sz w:val="24"/>
          <w:szCs w:val="24"/>
          <w:lang w:val="bg-BG"/>
        </w:rPr>
        <w:t>Варна</w:t>
      </w:r>
      <w:r w:rsidR="00410372" w:rsidRPr="00610B1B">
        <w:rPr>
          <w:rFonts w:ascii="Times New Roman" w:eastAsia="Arial Unicode MS" w:hAnsi="Times New Roman" w:cs="Times New Roman"/>
          <w:kern w:val="32"/>
          <w:sz w:val="24"/>
          <w:szCs w:val="24"/>
          <w:lang w:val="bg-BG"/>
        </w:rPr>
        <w:t xml:space="preserve"> е</w:t>
      </w:r>
      <w:r w:rsidR="00410372" w:rsidRPr="00610B1B">
        <w:rPr>
          <w:rFonts w:ascii="Times New Roman" w:eastAsia="Times New Roman" w:hAnsi="Times New Roman" w:cs="Times New Roman"/>
          <w:sz w:val="24"/>
          <w:szCs w:val="24"/>
          <w:lang w:val="bg-BG" w:eastAsia="bg-BG"/>
        </w:rPr>
        <w:t xml:space="preserve"> важен център на транспортната система на страната,</w:t>
      </w:r>
      <w:r w:rsidR="00D66FE0" w:rsidRPr="00610B1B">
        <w:rPr>
          <w:rFonts w:ascii="Times New Roman" w:eastAsia="Times New Roman" w:hAnsi="Times New Roman" w:cs="Times New Roman"/>
          <w:sz w:val="24"/>
          <w:szCs w:val="24"/>
          <w:lang w:val="bg-BG" w:eastAsia="bg-BG"/>
        </w:rPr>
        <w:t xml:space="preserve"> </w:t>
      </w:r>
      <w:r w:rsidR="00410372" w:rsidRPr="00610B1B">
        <w:rPr>
          <w:rFonts w:ascii="Times New Roman" w:eastAsia="Times New Roman" w:hAnsi="Times New Roman" w:cs="Times New Roman"/>
          <w:sz w:val="24"/>
          <w:szCs w:val="24"/>
          <w:lang w:val="bg-BG" w:eastAsia="bg-BG"/>
        </w:rPr>
        <w:t>през ко</w:t>
      </w:r>
      <w:r w:rsidR="00054383" w:rsidRPr="00610B1B">
        <w:rPr>
          <w:rFonts w:ascii="Times New Roman" w:eastAsia="Times New Roman" w:hAnsi="Times New Roman" w:cs="Times New Roman"/>
          <w:sz w:val="24"/>
          <w:szCs w:val="24"/>
          <w:lang w:val="bg-BG" w:eastAsia="bg-BG"/>
        </w:rPr>
        <w:t>е</w:t>
      </w:r>
      <w:r w:rsidR="00410372" w:rsidRPr="00610B1B">
        <w:rPr>
          <w:rFonts w:ascii="Times New Roman" w:eastAsia="Times New Roman" w:hAnsi="Times New Roman" w:cs="Times New Roman"/>
          <w:sz w:val="24"/>
          <w:szCs w:val="24"/>
          <w:lang w:val="bg-BG" w:eastAsia="bg-BG"/>
        </w:rPr>
        <w:t>то преминава голяма част от вноса и износа. Граничното положение на</w:t>
      </w:r>
      <w:r w:rsidR="00D66FE0" w:rsidRPr="00610B1B">
        <w:rPr>
          <w:rFonts w:ascii="Times New Roman" w:eastAsia="Times New Roman" w:hAnsi="Times New Roman" w:cs="Times New Roman"/>
          <w:sz w:val="24"/>
          <w:szCs w:val="24"/>
          <w:lang w:val="bg-BG" w:eastAsia="bg-BG"/>
        </w:rPr>
        <w:t xml:space="preserve"> </w:t>
      </w:r>
      <w:r w:rsidR="00410372" w:rsidRPr="00610B1B">
        <w:rPr>
          <w:rFonts w:ascii="Times New Roman" w:eastAsia="Times New Roman" w:hAnsi="Times New Roman" w:cs="Times New Roman"/>
          <w:sz w:val="24"/>
          <w:szCs w:val="24"/>
          <w:lang w:val="bg-BG" w:eastAsia="bg-BG"/>
        </w:rPr>
        <w:t>пристанището е предпоставка за ключовата му роля в икономиката на страната и района и поради факта, че всички стоки превозвани по вода</w:t>
      </w:r>
      <w:r w:rsidR="00E71B5C" w:rsidRPr="00610B1B">
        <w:rPr>
          <w:rFonts w:ascii="Times New Roman" w:eastAsia="Times New Roman" w:hAnsi="Times New Roman" w:cs="Times New Roman"/>
          <w:sz w:val="24"/>
          <w:szCs w:val="24"/>
          <w:lang w:val="bg-BG" w:eastAsia="bg-BG"/>
        </w:rPr>
        <w:t>,</w:t>
      </w:r>
      <w:r w:rsidR="00410372" w:rsidRPr="00610B1B">
        <w:rPr>
          <w:rFonts w:ascii="Times New Roman" w:eastAsia="Times New Roman" w:hAnsi="Times New Roman" w:cs="Times New Roman"/>
          <w:sz w:val="24"/>
          <w:szCs w:val="24"/>
          <w:lang w:val="bg-BG" w:eastAsia="bg-BG"/>
        </w:rPr>
        <w:t xml:space="preserve"> независимо от това дали са предназначени за вътрешния пазар или са транзитно преминаващи, се обработват в него. </w:t>
      </w:r>
      <w:r w:rsidR="00410372" w:rsidRPr="00610B1B">
        <w:rPr>
          <w:rFonts w:ascii="Times New Roman" w:eastAsia="Arial Unicode MS" w:hAnsi="Times New Roman" w:cs="Times New Roman"/>
          <w:kern w:val="32"/>
          <w:sz w:val="24"/>
          <w:szCs w:val="24"/>
          <w:lang w:val="bg-BG"/>
        </w:rPr>
        <w:t>Пристанищ</w:t>
      </w:r>
      <w:r w:rsidR="00677D3C">
        <w:rPr>
          <w:rFonts w:ascii="Times New Roman" w:eastAsia="Arial Unicode MS" w:hAnsi="Times New Roman" w:cs="Times New Roman"/>
          <w:kern w:val="32"/>
          <w:sz w:val="24"/>
          <w:szCs w:val="24"/>
          <w:lang w:val="bg-BG"/>
        </w:rPr>
        <w:t xml:space="preserve">е за обществен транспорт </w:t>
      </w:r>
      <w:r w:rsidR="00410372" w:rsidRPr="00610B1B">
        <w:rPr>
          <w:rFonts w:ascii="Times New Roman" w:eastAsia="Arial Unicode MS" w:hAnsi="Times New Roman" w:cs="Times New Roman"/>
          <w:kern w:val="32"/>
          <w:sz w:val="24"/>
          <w:szCs w:val="24"/>
          <w:lang w:val="bg-BG"/>
        </w:rPr>
        <w:t>Варна включва терминал</w:t>
      </w:r>
      <w:r w:rsidR="00E71B5C" w:rsidRPr="00610B1B">
        <w:rPr>
          <w:rFonts w:ascii="Times New Roman" w:eastAsia="Arial Unicode MS" w:hAnsi="Times New Roman" w:cs="Times New Roman"/>
          <w:kern w:val="32"/>
          <w:sz w:val="24"/>
          <w:szCs w:val="24"/>
          <w:lang w:val="bg-BG"/>
        </w:rPr>
        <w:t>и</w:t>
      </w:r>
      <w:r w:rsidR="00054383" w:rsidRPr="00610B1B">
        <w:rPr>
          <w:rFonts w:ascii="Times New Roman" w:eastAsia="Arial Unicode MS" w:hAnsi="Times New Roman" w:cs="Times New Roman"/>
          <w:kern w:val="32"/>
          <w:sz w:val="24"/>
          <w:szCs w:val="24"/>
          <w:lang w:val="bg-BG"/>
        </w:rPr>
        <w:t xml:space="preserve">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Балчик</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Варна-изток</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Петрол</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„ПЧМВ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Варна</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„Терминал за базови масла</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„Одесос ПБМ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Варна</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Леспорт</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„ТЕЦ Езерово</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Варна-запад</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 xml:space="preserve"> и </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Фериботен комплекс – Варна</w:t>
      </w:r>
      <w:r w:rsidR="00677D3C">
        <w:rPr>
          <w:rFonts w:ascii="Times New Roman" w:eastAsia="Arial Unicode MS" w:hAnsi="Times New Roman" w:cs="Times New Roman"/>
          <w:kern w:val="32"/>
          <w:sz w:val="24"/>
          <w:szCs w:val="24"/>
          <w:lang w:val="bg-BG"/>
        </w:rPr>
        <w:t>“</w:t>
      </w:r>
      <w:r w:rsidR="00A102FE" w:rsidRPr="00610B1B">
        <w:rPr>
          <w:rFonts w:ascii="Times New Roman" w:eastAsia="Arial Unicode MS" w:hAnsi="Times New Roman" w:cs="Times New Roman"/>
          <w:kern w:val="32"/>
          <w:sz w:val="24"/>
          <w:szCs w:val="24"/>
          <w:lang w:val="bg-BG"/>
        </w:rPr>
        <w:t>.</w:t>
      </w:r>
    </w:p>
    <w:p w14:paraId="434EA6A3" w14:textId="2B60BBB2"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i/>
          <w:sz w:val="24"/>
          <w:szCs w:val="24"/>
          <w:lang w:val="bg-BG" w:eastAsia="bg-BG"/>
        </w:rPr>
        <w:t>Пристанищен терминал Варна-</w:t>
      </w:r>
      <w:r w:rsidR="008E37F5" w:rsidRPr="00610B1B">
        <w:rPr>
          <w:rFonts w:ascii="Times New Roman" w:eastAsia="Times New Roman" w:hAnsi="Times New Roman" w:cs="Times New Roman"/>
          <w:i/>
          <w:sz w:val="24"/>
          <w:szCs w:val="24"/>
          <w:lang w:val="bg-BG" w:eastAsia="bg-BG"/>
        </w:rPr>
        <w:t>Изток</w:t>
      </w:r>
      <w:r w:rsidR="008E37F5"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се намира в район „Одесос” на гр</w:t>
      </w:r>
      <w:r w:rsidR="00054383"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Варна. На югозапад се намира Канал 1, входен за Варненското езеро, а по продължение на вълнолома, на североизток е разположен централния</w:t>
      </w:r>
      <w:r w:rsidR="00054383"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z w:val="24"/>
          <w:szCs w:val="24"/>
          <w:lang w:val="bg-BG" w:eastAsia="bg-BG"/>
        </w:rPr>
        <w:t xml:space="preserve"> градски плаж. Общата дължина на кейовите стени, които се използват за товаро-разтоварни дейности е 2</w:t>
      </w:r>
      <w:r w:rsidR="008E37F5" w:rsidRPr="00610B1B">
        <w:rPr>
          <w:rFonts w:ascii="Times New Roman" w:eastAsia="Times New Roman" w:hAnsi="Times New Roman" w:cs="Times New Roman"/>
          <w:sz w:val="24"/>
          <w:szCs w:val="24"/>
          <w:lang w:val="bg-BG" w:eastAsia="bg-BG"/>
        </w:rPr>
        <w:t> </w:t>
      </w:r>
      <w:r w:rsidRPr="00610B1B">
        <w:rPr>
          <w:rFonts w:ascii="Times New Roman" w:eastAsia="Times New Roman" w:hAnsi="Times New Roman" w:cs="Times New Roman"/>
          <w:sz w:val="24"/>
          <w:szCs w:val="24"/>
          <w:lang w:val="bg-BG" w:eastAsia="bg-BG"/>
        </w:rPr>
        <w:t xml:space="preserve">345 </w:t>
      </w:r>
      <w:r w:rsidR="00054383" w:rsidRPr="00610B1B">
        <w:rPr>
          <w:rFonts w:ascii="Times New Roman" w:eastAsia="Times New Roman" w:hAnsi="Times New Roman" w:cs="Times New Roman"/>
          <w:sz w:val="24"/>
          <w:szCs w:val="24"/>
          <w:lang w:val="bg-BG" w:eastAsia="bg-BG"/>
        </w:rPr>
        <w:t>m</w:t>
      </w:r>
      <w:r w:rsidRPr="00610B1B">
        <w:rPr>
          <w:rFonts w:ascii="Times New Roman" w:eastAsia="Times New Roman" w:hAnsi="Times New Roman" w:cs="Times New Roman"/>
          <w:sz w:val="24"/>
          <w:szCs w:val="24"/>
          <w:lang w:val="bg-BG" w:eastAsia="bg-BG"/>
        </w:rPr>
        <w:t>.</w:t>
      </w:r>
    </w:p>
    <w:p w14:paraId="3B5B949B" w14:textId="7AC2B6A2"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i/>
          <w:sz w:val="24"/>
          <w:szCs w:val="24"/>
          <w:lang w:val="bg-BG" w:eastAsia="bg-BG"/>
        </w:rPr>
        <w:t xml:space="preserve">Пристанищен терминал </w:t>
      </w:r>
      <w:r w:rsidR="00677D3C">
        <w:rPr>
          <w:rFonts w:ascii="Times New Roman" w:eastAsia="Times New Roman" w:hAnsi="Times New Roman" w:cs="Times New Roman"/>
          <w:i/>
          <w:sz w:val="24"/>
          <w:szCs w:val="24"/>
          <w:lang w:val="bg-BG" w:eastAsia="bg-BG"/>
        </w:rPr>
        <w:t>„</w:t>
      </w:r>
      <w:r w:rsidRPr="00610B1B">
        <w:rPr>
          <w:rFonts w:ascii="Times New Roman" w:eastAsia="Times New Roman" w:hAnsi="Times New Roman" w:cs="Times New Roman"/>
          <w:i/>
          <w:sz w:val="24"/>
          <w:szCs w:val="24"/>
          <w:lang w:val="bg-BG" w:eastAsia="bg-BG"/>
        </w:rPr>
        <w:t>Варна-</w:t>
      </w:r>
      <w:r w:rsidR="008E37F5" w:rsidRPr="00610B1B">
        <w:rPr>
          <w:rFonts w:ascii="Times New Roman" w:eastAsia="Times New Roman" w:hAnsi="Times New Roman" w:cs="Times New Roman"/>
          <w:i/>
          <w:sz w:val="24"/>
          <w:szCs w:val="24"/>
          <w:lang w:val="bg-BG" w:eastAsia="bg-BG"/>
        </w:rPr>
        <w:t>Запад</w:t>
      </w:r>
      <w:r w:rsidR="00677D3C">
        <w:rPr>
          <w:rFonts w:ascii="Times New Roman" w:eastAsia="Times New Roman" w:hAnsi="Times New Roman" w:cs="Times New Roman"/>
          <w:i/>
          <w:sz w:val="24"/>
          <w:szCs w:val="24"/>
          <w:lang w:val="bg-BG" w:eastAsia="bg-BG"/>
        </w:rPr>
        <w:t>“</w:t>
      </w:r>
      <w:r w:rsidR="008E37F5"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се намира в северозападния край на Белославското езеро. Общата дължина на кейовите стени е 3</w:t>
      </w:r>
      <w:r w:rsidR="008E37F5" w:rsidRPr="00610B1B">
        <w:rPr>
          <w:rFonts w:ascii="Times New Roman" w:eastAsia="Times New Roman" w:hAnsi="Times New Roman" w:cs="Times New Roman"/>
          <w:sz w:val="24"/>
          <w:szCs w:val="24"/>
          <w:lang w:val="bg-BG" w:eastAsia="bg-BG"/>
        </w:rPr>
        <w:t> </w:t>
      </w:r>
      <w:r w:rsidRPr="00610B1B">
        <w:rPr>
          <w:rFonts w:ascii="Times New Roman" w:eastAsia="Times New Roman" w:hAnsi="Times New Roman" w:cs="Times New Roman"/>
          <w:sz w:val="24"/>
          <w:szCs w:val="24"/>
          <w:lang w:val="bg-BG" w:eastAsia="bg-BG"/>
        </w:rPr>
        <w:t xml:space="preserve">430 </w:t>
      </w:r>
      <w:r w:rsidR="00054383" w:rsidRPr="00610B1B">
        <w:rPr>
          <w:rFonts w:ascii="Times New Roman" w:eastAsia="Times New Roman" w:hAnsi="Times New Roman" w:cs="Times New Roman"/>
          <w:sz w:val="24"/>
          <w:szCs w:val="24"/>
          <w:lang w:val="bg-BG" w:eastAsia="bg-BG"/>
        </w:rPr>
        <w:t>m</w:t>
      </w:r>
      <w:r w:rsidR="008E37F5" w:rsidRPr="00610B1B">
        <w:rPr>
          <w:rFonts w:ascii="Times New Roman" w:eastAsia="Times New Roman" w:hAnsi="Times New Roman" w:cs="Times New Roman"/>
          <w:sz w:val="24"/>
          <w:szCs w:val="24"/>
          <w:lang w:val="bg-BG" w:eastAsia="bg-BG"/>
        </w:rPr>
        <w:t>.</w:t>
      </w:r>
    </w:p>
    <w:p w14:paraId="4360CC89" w14:textId="2DB1CAF8"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i/>
          <w:sz w:val="24"/>
          <w:szCs w:val="24"/>
          <w:lang w:val="bg-BG" w:eastAsia="bg-BG"/>
        </w:rPr>
        <w:lastRenderedPageBreak/>
        <w:t>Пристанищен терминал „Леспорт”,</w:t>
      </w:r>
      <w:r w:rsidRPr="00610B1B">
        <w:rPr>
          <w:rFonts w:ascii="Times New Roman" w:eastAsia="Times New Roman" w:hAnsi="Times New Roman" w:cs="Times New Roman"/>
          <w:sz w:val="24"/>
          <w:szCs w:val="24"/>
          <w:lang w:val="bg-BG" w:eastAsia="bg-BG"/>
        </w:rPr>
        <w:t xml:space="preserve"> част от пристанище за обществен транспорт</w:t>
      </w:r>
      <w:r w:rsidR="008753B6"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Варна, е разположен на северния бряг на Варненското езеро и се намира в южната част на землището на село Тополи на стария път за град Варна между с. Езерово и с. Казашко. Общата дължина на кейовия фронт е </w:t>
      </w:r>
      <w:r w:rsidR="00A9007A" w:rsidRPr="00610B1B">
        <w:rPr>
          <w:rFonts w:ascii="Times New Roman" w:eastAsia="Times New Roman" w:hAnsi="Times New Roman" w:cs="Times New Roman"/>
          <w:sz w:val="24"/>
          <w:szCs w:val="24"/>
          <w:lang w:val="bg-BG" w:eastAsia="bg-BG"/>
        </w:rPr>
        <w:t>4</w:t>
      </w:r>
      <w:r w:rsidRPr="00610B1B">
        <w:rPr>
          <w:rFonts w:ascii="Times New Roman" w:eastAsia="Times New Roman" w:hAnsi="Times New Roman" w:cs="Times New Roman"/>
          <w:sz w:val="24"/>
          <w:szCs w:val="24"/>
          <w:lang w:val="bg-BG" w:eastAsia="bg-BG"/>
        </w:rPr>
        <w:t xml:space="preserve">50 </w:t>
      </w:r>
      <w:r w:rsidR="00054383" w:rsidRPr="00610B1B">
        <w:rPr>
          <w:rFonts w:ascii="Times New Roman" w:eastAsia="Times New Roman" w:hAnsi="Times New Roman" w:cs="Times New Roman"/>
          <w:sz w:val="24"/>
          <w:szCs w:val="24"/>
          <w:lang w:val="bg-BG" w:eastAsia="bg-BG"/>
        </w:rPr>
        <w:t>m</w:t>
      </w:r>
      <w:r w:rsidRPr="00610B1B">
        <w:rPr>
          <w:rFonts w:ascii="Times New Roman" w:eastAsia="Times New Roman" w:hAnsi="Times New Roman" w:cs="Times New Roman"/>
          <w:sz w:val="24"/>
          <w:szCs w:val="24"/>
          <w:lang w:val="bg-BG" w:eastAsia="bg-BG"/>
        </w:rPr>
        <w:t>.</w:t>
      </w:r>
      <w:r w:rsidR="00D66FE0" w:rsidRPr="00610B1B">
        <w:rPr>
          <w:rFonts w:ascii="Times New Roman" w:eastAsia="Times New Roman" w:hAnsi="Times New Roman" w:cs="Times New Roman"/>
          <w:sz w:val="24"/>
          <w:szCs w:val="24"/>
          <w:lang w:val="bg-BG" w:eastAsia="bg-BG"/>
        </w:rPr>
        <w:t xml:space="preserve"> </w:t>
      </w:r>
      <w:r w:rsidR="00A9007A" w:rsidRPr="00610B1B">
        <w:rPr>
          <w:rFonts w:ascii="Times New Roman" w:eastAsia="Times New Roman" w:hAnsi="Times New Roman" w:cs="Times New Roman"/>
          <w:sz w:val="24"/>
          <w:szCs w:val="24"/>
          <w:lang w:val="bg-BG" w:eastAsia="bg-BG"/>
        </w:rPr>
        <w:t>Терминалът има 3 (три) кейови места с дължини – 130, 180 и 140 метра.</w:t>
      </w:r>
      <w:r w:rsidR="00D66FE0" w:rsidRPr="00610B1B">
        <w:rPr>
          <w:rFonts w:ascii="Times New Roman" w:eastAsia="Times New Roman" w:hAnsi="Times New Roman" w:cs="Times New Roman"/>
          <w:sz w:val="24"/>
          <w:szCs w:val="24"/>
          <w:lang w:val="bg-BG" w:eastAsia="bg-BG"/>
        </w:rPr>
        <w:t xml:space="preserve"> </w:t>
      </w:r>
    </w:p>
    <w:p w14:paraId="73936F85" w14:textId="7C435FA8" w:rsidR="00410372" w:rsidRPr="00610B1B" w:rsidRDefault="00410372" w:rsidP="00D32D6A">
      <w:pPr>
        <w:spacing w:after="120"/>
        <w:ind w:right="-153"/>
        <w:jc w:val="both"/>
        <w:rPr>
          <w:rFonts w:ascii="Times New Roman" w:eastAsia="Arial Unicode MS" w:hAnsi="Times New Roman" w:cs="Times New Roman"/>
          <w:color w:val="000000"/>
          <w:sz w:val="24"/>
          <w:szCs w:val="24"/>
          <w:lang w:val="bg-BG" w:eastAsia="bg-BG"/>
        </w:rPr>
      </w:pPr>
      <w:r w:rsidRPr="00610B1B">
        <w:rPr>
          <w:rFonts w:ascii="Times New Roman" w:eastAsia="Arial Unicode MS" w:hAnsi="Times New Roman" w:cs="Times New Roman"/>
          <w:i/>
          <w:color w:val="000000"/>
          <w:sz w:val="24"/>
          <w:szCs w:val="24"/>
          <w:shd w:val="clear" w:color="auto" w:fill="FFFFFF"/>
          <w:lang w:val="bg-BG" w:eastAsia="bg-BG"/>
        </w:rPr>
        <w:t>Пристанищен терминал</w:t>
      </w:r>
      <w:r w:rsidRPr="00610B1B">
        <w:rPr>
          <w:rFonts w:ascii="Times New Roman" w:eastAsia="Arial Unicode MS" w:hAnsi="Times New Roman" w:cs="Times New Roman"/>
          <w:color w:val="000000"/>
          <w:sz w:val="24"/>
          <w:szCs w:val="24"/>
          <w:shd w:val="clear" w:color="auto" w:fill="FFFFFF"/>
          <w:lang w:val="bg-BG" w:eastAsia="bg-BG"/>
        </w:rPr>
        <w:t xml:space="preserve"> „</w:t>
      </w:r>
      <w:r w:rsidRPr="00610B1B">
        <w:rPr>
          <w:rFonts w:ascii="Times New Roman" w:eastAsia="Arial Unicode MS" w:hAnsi="Times New Roman" w:cs="Times New Roman"/>
          <w:i/>
          <w:color w:val="000000"/>
          <w:sz w:val="24"/>
          <w:szCs w:val="24"/>
          <w:shd w:val="clear" w:color="auto" w:fill="FFFFFF"/>
          <w:lang w:val="bg-BG" w:eastAsia="bg-BG"/>
        </w:rPr>
        <w:t>Фериботен комплекс Варна”</w:t>
      </w:r>
      <w:r w:rsidRPr="00610B1B">
        <w:rPr>
          <w:rFonts w:ascii="Times New Roman" w:eastAsia="Arial Unicode MS" w:hAnsi="Times New Roman" w:cs="Times New Roman"/>
          <w:color w:val="000000"/>
          <w:sz w:val="24"/>
          <w:szCs w:val="24"/>
          <w:shd w:val="clear" w:color="auto" w:fill="FFFFFF"/>
          <w:lang w:val="bg-BG" w:eastAsia="bg-BG"/>
        </w:rPr>
        <w:t xml:space="preserve"> </w:t>
      </w:r>
      <w:r w:rsidRPr="00610B1B">
        <w:rPr>
          <w:rFonts w:ascii="Times New Roman" w:eastAsia="Times New Roman" w:hAnsi="Times New Roman" w:cs="Times New Roman"/>
          <w:sz w:val="24"/>
          <w:szCs w:val="24"/>
          <w:lang w:val="bg-BG" w:eastAsia="bg-BG"/>
        </w:rPr>
        <w:t xml:space="preserve">се намира на 22 </w:t>
      </w:r>
      <w:r w:rsidR="00054383" w:rsidRPr="00610B1B">
        <w:rPr>
          <w:rFonts w:ascii="Times New Roman" w:eastAsia="Times New Roman" w:hAnsi="Times New Roman" w:cs="Times New Roman"/>
          <w:sz w:val="24"/>
          <w:szCs w:val="24"/>
          <w:lang w:val="bg-BG" w:eastAsia="bg-BG"/>
        </w:rPr>
        <w:t>km</w:t>
      </w:r>
      <w:r w:rsidRPr="00610B1B">
        <w:rPr>
          <w:rFonts w:ascii="Times New Roman" w:eastAsia="Times New Roman" w:hAnsi="Times New Roman" w:cs="Times New Roman"/>
          <w:sz w:val="24"/>
          <w:szCs w:val="24"/>
          <w:lang w:val="bg-BG" w:eastAsia="bg-BG"/>
        </w:rPr>
        <w:t xml:space="preserve"> западно от Варна - на южния бряг на Белославското езеро на пътя село Разделна - град Белослав. Пирсът на пристанището е с обиколна дължина 400 </w:t>
      </w:r>
      <w:r w:rsidR="00054383" w:rsidRPr="00610B1B">
        <w:rPr>
          <w:rFonts w:ascii="Times New Roman" w:eastAsia="Times New Roman" w:hAnsi="Times New Roman" w:cs="Times New Roman"/>
          <w:sz w:val="24"/>
          <w:szCs w:val="24"/>
          <w:lang w:val="bg-BG" w:eastAsia="bg-BG"/>
        </w:rPr>
        <w:t>m</w:t>
      </w:r>
      <w:r w:rsidRPr="00610B1B">
        <w:rPr>
          <w:rFonts w:ascii="Times New Roman" w:eastAsia="Times New Roman" w:hAnsi="Times New Roman" w:cs="Times New Roman"/>
          <w:sz w:val="24"/>
          <w:szCs w:val="24"/>
          <w:lang w:val="bg-BG" w:eastAsia="bg-BG"/>
        </w:rPr>
        <w:t>.</w:t>
      </w:r>
    </w:p>
    <w:p w14:paraId="400C9510" w14:textId="63E95275" w:rsidR="00410372" w:rsidRPr="00610B1B" w:rsidRDefault="00410372" w:rsidP="00D32D6A">
      <w:pPr>
        <w:widowControl w:val="0"/>
        <w:spacing w:after="120"/>
        <w:ind w:right="-153"/>
        <w:jc w:val="both"/>
        <w:rPr>
          <w:rFonts w:ascii="Times New Roman" w:eastAsia="Arial Unicode MS" w:hAnsi="Times New Roman" w:cs="Times New Roman"/>
          <w:color w:val="000000"/>
          <w:sz w:val="24"/>
          <w:szCs w:val="24"/>
          <w:u w:val="single"/>
          <w:shd w:val="clear" w:color="auto" w:fill="FFFFFF"/>
          <w:lang w:val="bg-BG" w:eastAsia="bg-BG"/>
        </w:rPr>
      </w:pPr>
      <w:r w:rsidRPr="00610B1B">
        <w:rPr>
          <w:rFonts w:ascii="Times New Roman" w:eastAsia="Arial Unicode MS" w:hAnsi="Times New Roman" w:cs="Times New Roman"/>
          <w:i/>
          <w:color w:val="000000"/>
          <w:sz w:val="24"/>
          <w:szCs w:val="24"/>
          <w:lang w:val="bg-BG" w:eastAsia="bg-BG"/>
        </w:rPr>
        <w:t>Пристанищен терминал Балчик</w:t>
      </w:r>
      <w:r w:rsidRPr="00610B1B">
        <w:rPr>
          <w:rFonts w:ascii="Times New Roman" w:eastAsia="Arial Unicode MS" w:hAnsi="Times New Roman" w:cs="Times New Roman"/>
          <w:color w:val="000000"/>
          <w:sz w:val="24"/>
          <w:szCs w:val="24"/>
          <w:lang w:val="bg-BG" w:eastAsia="bg-BG"/>
        </w:rPr>
        <w:t xml:space="preserve"> е разположен в източната градска част на град Балчик. Пристанищният комплекс с административната сграда, обслужваща терминала</w:t>
      </w:r>
      <w:r w:rsidR="00054383" w:rsidRPr="00610B1B">
        <w:rPr>
          <w:rFonts w:ascii="Times New Roman" w:eastAsia="Arial Unicode MS" w:hAnsi="Times New Roman" w:cs="Times New Roman"/>
          <w:color w:val="000000"/>
          <w:sz w:val="24"/>
          <w:szCs w:val="24"/>
          <w:lang w:val="bg-BG" w:eastAsia="bg-BG"/>
        </w:rPr>
        <w:t>,</w:t>
      </w:r>
      <w:r w:rsidRPr="00610B1B">
        <w:rPr>
          <w:rFonts w:ascii="Times New Roman" w:eastAsia="Arial Unicode MS" w:hAnsi="Times New Roman" w:cs="Times New Roman"/>
          <w:color w:val="000000"/>
          <w:sz w:val="24"/>
          <w:szCs w:val="24"/>
          <w:lang w:val="bg-BG" w:eastAsia="bg-BG"/>
        </w:rPr>
        <w:t xml:space="preserve"> се намира при кейовата стена, изградена при уширение на вълнозащитния мол. Дължина</w:t>
      </w:r>
      <w:r w:rsidR="00054383" w:rsidRPr="00610B1B">
        <w:rPr>
          <w:rFonts w:ascii="Times New Roman" w:eastAsia="Arial Unicode MS" w:hAnsi="Times New Roman" w:cs="Times New Roman"/>
          <w:color w:val="000000"/>
          <w:sz w:val="24"/>
          <w:szCs w:val="24"/>
          <w:lang w:val="bg-BG" w:eastAsia="bg-BG"/>
        </w:rPr>
        <w:t>та</w:t>
      </w:r>
      <w:r w:rsidRPr="00610B1B">
        <w:rPr>
          <w:rFonts w:ascii="Times New Roman" w:eastAsia="Arial Unicode MS" w:hAnsi="Times New Roman" w:cs="Times New Roman"/>
          <w:color w:val="000000"/>
          <w:sz w:val="24"/>
          <w:szCs w:val="24"/>
          <w:lang w:val="bg-BG" w:eastAsia="bg-BG"/>
        </w:rPr>
        <w:t xml:space="preserve"> на корабните места е 164 </w:t>
      </w:r>
      <w:r w:rsidR="00054383" w:rsidRPr="00610B1B">
        <w:rPr>
          <w:rFonts w:ascii="Times New Roman" w:eastAsia="Arial Unicode MS" w:hAnsi="Times New Roman" w:cs="Times New Roman"/>
          <w:color w:val="000000"/>
          <w:sz w:val="24"/>
          <w:szCs w:val="24"/>
          <w:lang w:val="bg-BG" w:eastAsia="bg-BG"/>
        </w:rPr>
        <w:t>m</w:t>
      </w:r>
      <w:r w:rsidRPr="00610B1B">
        <w:rPr>
          <w:rFonts w:ascii="Times New Roman" w:eastAsia="Arial Unicode MS" w:hAnsi="Times New Roman" w:cs="Times New Roman"/>
          <w:color w:val="000000"/>
          <w:sz w:val="24"/>
          <w:szCs w:val="24"/>
          <w:lang w:val="bg-BG" w:eastAsia="bg-BG"/>
        </w:rPr>
        <w:t xml:space="preserve">, а дължината на вълнолома е 1200 </w:t>
      </w:r>
      <w:r w:rsidR="00054383" w:rsidRPr="00610B1B">
        <w:rPr>
          <w:rFonts w:ascii="Times New Roman" w:eastAsia="Arial Unicode MS" w:hAnsi="Times New Roman" w:cs="Times New Roman"/>
          <w:color w:val="000000"/>
          <w:sz w:val="24"/>
          <w:szCs w:val="24"/>
          <w:lang w:val="bg-BG" w:eastAsia="bg-BG"/>
        </w:rPr>
        <w:t>m</w:t>
      </w:r>
      <w:r w:rsidRPr="00610B1B">
        <w:rPr>
          <w:rFonts w:ascii="Times New Roman" w:eastAsia="Arial Unicode MS" w:hAnsi="Times New Roman" w:cs="Times New Roman"/>
          <w:color w:val="000000"/>
          <w:sz w:val="24"/>
          <w:szCs w:val="24"/>
          <w:lang w:val="bg-BG" w:eastAsia="bg-BG"/>
        </w:rPr>
        <w:t>.</w:t>
      </w:r>
      <w:bookmarkStart w:id="349" w:name="bookmark11"/>
    </w:p>
    <w:bookmarkEnd w:id="349"/>
    <w:p w14:paraId="4250ABF8" w14:textId="78105995" w:rsidR="00054383" w:rsidRPr="00610B1B" w:rsidRDefault="00410372" w:rsidP="00D32D6A">
      <w:pPr>
        <w:widowControl w:val="0"/>
        <w:spacing w:after="120"/>
        <w:ind w:right="-153"/>
        <w:jc w:val="both"/>
        <w:rPr>
          <w:rFonts w:ascii="Times New Roman" w:eastAsia="Arial Unicode MS" w:hAnsi="Times New Roman" w:cs="Times New Roman"/>
          <w:color w:val="000000"/>
          <w:sz w:val="24"/>
          <w:szCs w:val="24"/>
          <w:lang w:val="bg-BG" w:eastAsia="bg-BG"/>
        </w:rPr>
      </w:pPr>
      <w:r w:rsidRPr="00610B1B">
        <w:rPr>
          <w:rFonts w:ascii="Times New Roman" w:eastAsia="Arial Unicode MS" w:hAnsi="Times New Roman" w:cs="Times New Roman"/>
          <w:i/>
          <w:color w:val="000000"/>
          <w:sz w:val="24"/>
          <w:szCs w:val="24"/>
          <w:lang w:val="bg-BG" w:eastAsia="bg-BG"/>
        </w:rPr>
        <w:t xml:space="preserve">Пристанищен терминал </w:t>
      </w:r>
      <w:r w:rsidR="00677D3C">
        <w:rPr>
          <w:rFonts w:ascii="Times New Roman" w:eastAsia="Arial Unicode MS" w:hAnsi="Times New Roman" w:cs="Times New Roman"/>
          <w:i/>
          <w:color w:val="000000"/>
          <w:sz w:val="24"/>
          <w:szCs w:val="24"/>
          <w:lang w:val="bg-BG" w:eastAsia="bg-BG"/>
        </w:rPr>
        <w:t>„</w:t>
      </w:r>
      <w:r w:rsidRPr="00610B1B">
        <w:rPr>
          <w:rFonts w:ascii="Times New Roman" w:eastAsia="Arial Unicode MS" w:hAnsi="Times New Roman" w:cs="Times New Roman"/>
          <w:i/>
          <w:color w:val="000000"/>
          <w:sz w:val="24"/>
          <w:szCs w:val="24"/>
          <w:lang w:val="bg-BG" w:eastAsia="bg-BG"/>
        </w:rPr>
        <w:t>Петрол Варна</w:t>
      </w:r>
      <w:r w:rsidR="00677D3C">
        <w:rPr>
          <w:rFonts w:ascii="Times New Roman" w:eastAsia="Arial Unicode MS" w:hAnsi="Times New Roman" w:cs="Times New Roman"/>
          <w:i/>
          <w:color w:val="000000"/>
          <w:sz w:val="24"/>
          <w:szCs w:val="24"/>
          <w:lang w:val="bg-BG" w:eastAsia="bg-BG"/>
        </w:rPr>
        <w:t>“</w:t>
      </w:r>
      <w:r w:rsidRPr="00610B1B">
        <w:rPr>
          <w:rFonts w:ascii="Times New Roman" w:eastAsia="Arial Unicode MS" w:hAnsi="Times New Roman" w:cs="Times New Roman"/>
          <w:i/>
          <w:color w:val="000000"/>
          <w:sz w:val="24"/>
          <w:szCs w:val="24"/>
          <w:lang w:val="bg-BG" w:eastAsia="bg-BG"/>
        </w:rPr>
        <w:t>,</w:t>
      </w:r>
      <w:r w:rsidRPr="00610B1B">
        <w:rPr>
          <w:rFonts w:ascii="Times New Roman" w:eastAsia="Arial Unicode MS" w:hAnsi="Times New Roman" w:cs="Times New Roman"/>
          <w:color w:val="000000"/>
          <w:sz w:val="24"/>
          <w:szCs w:val="24"/>
          <w:lang w:val="bg-BG" w:eastAsia="bg-BG"/>
        </w:rPr>
        <w:t xml:space="preserve"> изграден през 60-те години на миналия век е разположен на острова между стария и новия канал - на южния бряг на стария канал море-езеро. Терминалът е разположен върху тясна брегова ивица, където са трите пирса и пътна връзка за обслужването им. Ползван е за извършване на товаро-разтоварни дейности за наливни товари - суров петрол, петролни продукти и деривати. Общата дължина на кейовия фронт </w:t>
      </w:r>
      <w:r w:rsidR="00A9007A" w:rsidRPr="00610B1B">
        <w:rPr>
          <w:rFonts w:ascii="Times New Roman" w:eastAsia="Arial Unicode MS" w:hAnsi="Times New Roman" w:cs="Times New Roman"/>
          <w:color w:val="000000"/>
          <w:sz w:val="24"/>
          <w:szCs w:val="24"/>
          <w:lang w:val="bg-BG" w:eastAsia="bg-BG"/>
        </w:rPr>
        <w:t>е 515</w:t>
      </w:r>
      <w:r w:rsidRPr="00610B1B">
        <w:rPr>
          <w:rFonts w:ascii="Times New Roman" w:eastAsia="Arial Unicode MS" w:hAnsi="Times New Roman" w:cs="Times New Roman"/>
          <w:color w:val="000000"/>
          <w:sz w:val="24"/>
          <w:szCs w:val="24"/>
          <w:lang w:val="bg-BG" w:eastAsia="bg-BG"/>
        </w:rPr>
        <w:t xml:space="preserve"> </w:t>
      </w:r>
      <w:r w:rsidR="00054383" w:rsidRPr="00610B1B">
        <w:rPr>
          <w:rFonts w:ascii="Times New Roman" w:eastAsia="Arial Unicode MS" w:hAnsi="Times New Roman" w:cs="Times New Roman"/>
          <w:color w:val="000000"/>
          <w:sz w:val="24"/>
          <w:szCs w:val="24"/>
          <w:lang w:val="bg-BG" w:eastAsia="bg-BG"/>
        </w:rPr>
        <w:t>m</w:t>
      </w:r>
      <w:r w:rsidRPr="00610B1B">
        <w:rPr>
          <w:rFonts w:ascii="Times New Roman" w:eastAsia="Arial Unicode MS" w:hAnsi="Times New Roman" w:cs="Times New Roman"/>
          <w:color w:val="000000"/>
          <w:sz w:val="24"/>
          <w:szCs w:val="24"/>
          <w:lang w:val="bg-BG" w:eastAsia="bg-BG"/>
        </w:rPr>
        <w:t>.</w:t>
      </w:r>
      <w:bookmarkStart w:id="350" w:name="bookmark12"/>
      <w:r w:rsidR="00D91351" w:rsidRPr="00610B1B">
        <w:rPr>
          <w:rFonts w:ascii="Times New Roman" w:eastAsia="Arial Unicode MS" w:hAnsi="Times New Roman" w:cs="Times New Roman"/>
          <w:color w:val="000000"/>
          <w:sz w:val="24"/>
          <w:szCs w:val="24"/>
          <w:lang w:val="bg-BG" w:eastAsia="bg-BG"/>
        </w:rPr>
        <w:t xml:space="preserve"> Терминалът разполага с 3 (три) кейови места с дължини – 220, 185 и 110 метра.</w:t>
      </w:r>
    </w:p>
    <w:p w14:paraId="73392956" w14:textId="39EE0D63" w:rsidR="00410372" w:rsidRDefault="00410372" w:rsidP="00D32D6A">
      <w:pPr>
        <w:widowControl w:val="0"/>
        <w:spacing w:after="120"/>
        <w:ind w:right="-153"/>
        <w:jc w:val="both"/>
        <w:rPr>
          <w:rFonts w:ascii="Times New Roman" w:eastAsia="Arial Unicode MS" w:hAnsi="Times New Roman" w:cs="Times New Roman"/>
          <w:bCs/>
          <w:color w:val="000000"/>
          <w:sz w:val="24"/>
          <w:szCs w:val="24"/>
          <w:lang w:val="bg-BG" w:eastAsia="bg-BG"/>
        </w:rPr>
      </w:pPr>
      <w:r w:rsidRPr="00610B1B">
        <w:rPr>
          <w:rFonts w:ascii="Times New Roman" w:eastAsia="Arial Unicode MS" w:hAnsi="Times New Roman" w:cs="Times New Roman"/>
          <w:i/>
          <w:color w:val="000000"/>
          <w:sz w:val="24"/>
          <w:szCs w:val="24"/>
          <w:shd w:val="clear" w:color="auto" w:fill="FFFFFF"/>
          <w:lang w:val="bg-BG" w:eastAsia="bg-BG"/>
        </w:rPr>
        <w:t>Пристанищен терминал „ТЕЦ Езерово”</w:t>
      </w:r>
      <w:bookmarkEnd w:id="350"/>
      <w:r w:rsidRPr="00610B1B">
        <w:rPr>
          <w:rFonts w:ascii="Times New Roman" w:eastAsia="Arial Unicode MS" w:hAnsi="Times New Roman" w:cs="Times New Roman"/>
          <w:color w:val="000000"/>
          <w:sz w:val="24"/>
          <w:szCs w:val="24"/>
          <w:shd w:val="clear" w:color="auto" w:fill="FFFFFF"/>
          <w:lang w:val="bg-BG" w:eastAsia="bg-BG"/>
        </w:rPr>
        <w:t xml:space="preserve"> е разположен на северния бряг на Варненското езеро в землището на с. Езерово, с</w:t>
      </w:r>
      <w:r w:rsidR="00375B2C" w:rsidRPr="00610B1B">
        <w:rPr>
          <w:rFonts w:ascii="Times New Roman" w:eastAsia="Arial Unicode MS" w:hAnsi="Times New Roman" w:cs="Times New Roman"/>
          <w:color w:val="000000"/>
          <w:sz w:val="24"/>
          <w:szCs w:val="24"/>
          <w:shd w:val="clear" w:color="auto" w:fill="FFFFFF"/>
          <w:lang w:val="bg-BG" w:eastAsia="bg-BG"/>
        </w:rPr>
        <w:t xml:space="preserve"> </w:t>
      </w:r>
      <w:r w:rsidRPr="00610B1B">
        <w:rPr>
          <w:rFonts w:ascii="Times New Roman" w:eastAsia="Arial Unicode MS" w:hAnsi="Times New Roman" w:cs="Times New Roman"/>
          <w:bCs/>
          <w:color w:val="000000"/>
          <w:sz w:val="24"/>
          <w:szCs w:val="24"/>
          <w:lang w:val="bg-BG" w:eastAsia="bg-BG"/>
        </w:rPr>
        <w:t>обща дължина на кейовия фронт</w:t>
      </w:r>
      <w:r w:rsidR="00D66FE0" w:rsidRPr="00610B1B">
        <w:rPr>
          <w:rFonts w:ascii="Times New Roman" w:eastAsia="Arial Unicode MS" w:hAnsi="Times New Roman" w:cs="Times New Roman"/>
          <w:bCs/>
          <w:color w:val="000000"/>
          <w:sz w:val="24"/>
          <w:szCs w:val="24"/>
          <w:lang w:val="bg-BG" w:eastAsia="bg-BG"/>
        </w:rPr>
        <w:t xml:space="preserve"> </w:t>
      </w:r>
      <w:r w:rsidRPr="00610B1B">
        <w:rPr>
          <w:rFonts w:ascii="Times New Roman" w:eastAsia="Arial Unicode MS" w:hAnsi="Times New Roman" w:cs="Times New Roman"/>
          <w:bCs/>
          <w:color w:val="000000"/>
          <w:sz w:val="24"/>
          <w:szCs w:val="24"/>
          <w:lang w:val="bg-BG" w:eastAsia="bg-BG"/>
        </w:rPr>
        <w:t xml:space="preserve">480 </w:t>
      </w:r>
      <w:r w:rsidR="00054383" w:rsidRPr="00610B1B">
        <w:rPr>
          <w:rFonts w:ascii="Times New Roman" w:eastAsia="Arial Unicode MS" w:hAnsi="Times New Roman" w:cs="Times New Roman"/>
          <w:bCs/>
          <w:color w:val="000000"/>
          <w:sz w:val="24"/>
          <w:szCs w:val="24"/>
          <w:lang w:val="bg-BG" w:eastAsia="bg-BG"/>
        </w:rPr>
        <w:t>m.</w:t>
      </w:r>
      <w:r w:rsidR="00C415D1" w:rsidRPr="00610B1B">
        <w:rPr>
          <w:rFonts w:ascii="Times New Roman" w:eastAsia="Arial Unicode MS" w:hAnsi="Times New Roman" w:cs="Times New Roman"/>
          <w:bCs/>
          <w:color w:val="000000"/>
          <w:sz w:val="24"/>
          <w:szCs w:val="24"/>
          <w:lang w:val="bg-BG" w:eastAsia="bg-BG"/>
        </w:rPr>
        <w:t xml:space="preserve"> </w:t>
      </w:r>
    </w:p>
    <w:p w14:paraId="05587CA3" w14:textId="77777777" w:rsidR="00677D3C" w:rsidRPr="004F7C80" w:rsidRDefault="00677D3C" w:rsidP="00677D3C">
      <w:pPr>
        <w:pStyle w:val="NormalWeb"/>
        <w:shd w:val="clear" w:color="auto" w:fill="FFFFFF"/>
        <w:spacing w:before="0" w:beforeAutospacing="0" w:after="120" w:afterAutospacing="0" w:line="259" w:lineRule="auto"/>
        <w:jc w:val="both"/>
        <w:rPr>
          <w:shd w:val="clear" w:color="auto" w:fill="FFFFFF"/>
          <w:lang w:val="bg-BG"/>
        </w:rPr>
      </w:pPr>
      <w:r w:rsidRPr="00D03DA8">
        <w:rPr>
          <w:i/>
          <w:lang w:val="bg-BG"/>
        </w:rPr>
        <w:t>Пристанище</w:t>
      </w:r>
      <w:r w:rsidRPr="004F7C80">
        <w:rPr>
          <w:i/>
          <w:lang w:val="bg-BG"/>
        </w:rPr>
        <w:t>н терминал</w:t>
      </w:r>
      <w:r w:rsidRPr="00D03DA8">
        <w:rPr>
          <w:i/>
          <w:lang w:val="bg-BG"/>
        </w:rPr>
        <w:t xml:space="preserve"> „ ПЧМВ</w:t>
      </w:r>
      <w:r w:rsidRPr="004F7C80">
        <w:rPr>
          <w:i/>
          <w:lang w:val="bg-BG"/>
        </w:rPr>
        <w:t>-Варна</w:t>
      </w:r>
      <w:r w:rsidRPr="00D03DA8">
        <w:rPr>
          <w:i/>
          <w:lang w:val="bg-BG"/>
        </w:rPr>
        <w:t>”</w:t>
      </w:r>
      <w:r w:rsidRPr="00D03DA8">
        <w:rPr>
          <w:lang w:val="bg-BG"/>
        </w:rPr>
        <w:t xml:space="preserve"> е разположен на северния бряг на входа на канала на Варненското езеро. </w:t>
      </w:r>
      <w:r w:rsidRPr="00D03DA8">
        <w:rPr>
          <w:shd w:val="clear" w:color="auto" w:fill="FFFFFF"/>
          <w:lang w:val="bg-BG"/>
        </w:rPr>
        <w:t>Пристанището разполага с 18</w:t>
      </w:r>
      <w:r w:rsidRPr="004F7C80">
        <w:rPr>
          <w:shd w:val="clear" w:color="auto" w:fill="FFFFFF"/>
        </w:rPr>
        <w:t> </w:t>
      </w:r>
      <w:r w:rsidRPr="00D03DA8">
        <w:rPr>
          <w:shd w:val="clear" w:color="auto" w:fill="FFFFFF"/>
          <w:lang w:val="bg-BG"/>
        </w:rPr>
        <w:t>000 кв.м. открита площ, част от която е регистрирана като временен и митнически склад. Възможност за обработка на кораби с дължина до 200 м</w:t>
      </w:r>
      <w:r w:rsidRPr="004F7C80">
        <w:rPr>
          <w:shd w:val="clear" w:color="auto" w:fill="FFFFFF"/>
          <w:lang w:val="bg-BG"/>
        </w:rPr>
        <w:t>.</w:t>
      </w:r>
    </w:p>
    <w:p w14:paraId="2EB21C48" w14:textId="29AC36DA" w:rsidR="00677D3C" w:rsidRPr="00D03DA8" w:rsidRDefault="00677D3C" w:rsidP="00677D3C">
      <w:pPr>
        <w:pStyle w:val="NormalWeb"/>
        <w:shd w:val="clear" w:color="auto" w:fill="FFFFFF"/>
        <w:spacing w:before="0" w:beforeAutospacing="0" w:after="120" w:afterAutospacing="0" w:line="259" w:lineRule="auto"/>
        <w:jc w:val="both"/>
        <w:rPr>
          <w:shd w:val="clear" w:color="auto" w:fill="FFFFFF"/>
          <w:lang w:val="bg-BG"/>
        </w:rPr>
      </w:pPr>
      <w:r w:rsidRPr="004F7C80">
        <w:rPr>
          <w:i/>
          <w:shd w:val="clear" w:color="auto" w:fill="FFFFFF"/>
          <w:lang w:val="bg-BG"/>
        </w:rPr>
        <w:t>„</w:t>
      </w:r>
      <w:r w:rsidRPr="00D03DA8">
        <w:rPr>
          <w:i/>
          <w:shd w:val="clear" w:color="auto" w:fill="FFFFFF"/>
          <w:lang w:val="bg-BG"/>
        </w:rPr>
        <w:t>Терминалът за базови масла</w:t>
      </w:r>
      <w:r w:rsidRPr="004F7C80">
        <w:rPr>
          <w:i/>
          <w:shd w:val="clear" w:color="auto" w:fill="FFFFFF"/>
          <w:lang w:val="bg-BG"/>
        </w:rPr>
        <w:t>“</w:t>
      </w:r>
      <w:r w:rsidRPr="00D03DA8">
        <w:rPr>
          <w:shd w:val="clear" w:color="auto" w:fill="FFFFFF"/>
          <w:lang w:val="bg-BG"/>
        </w:rPr>
        <w:t xml:space="preserve"> е изграден върху 29</w:t>
      </w:r>
      <w:r>
        <w:rPr>
          <w:shd w:val="clear" w:color="auto" w:fill="FFFFFF"/>
          <w:lang w:val="bg-BG"/>
        </w:rPr>
        <w:t xml:space="preserve"> </w:t>
      </w:r>
      <w:r w:rsidRPr="00D03DA8">
        <w:rPr>
          <w:shd w:val="clear" w:color="auto" w:fill="FFFFFF"/>
          <w:lang w:val="bg-BG"/>
        </w:rPr>
        <w:t>000 м</w:t>
      </w:r>
      <w:r w:rsidRPr="00D03DA8">
        <w:rPr>
          <w:shd w:val="clear" w:color="auto" w:fill="FFFFFF"/>
          <w:vertAlign w:val="superscript"/>
          <w:lang w:val="bg-BG"/>
        </w:rPr>
        <w:t>2</w:t>
      </w:r>
      <w:r w:rsidRPr="004F7C80">
        <w:rPr>
          <w:shd w:val="clear" w:color="auto" w:fill="FFFFFF"/>
          <w:vertAlign w:val="superscript"/>
        </w:rPr>
        <w:t> </w:t>
      </w:r>
      <w:r>
        <w:rPr>
          <w:shd w:val="clear" w:color="auto" w:fill="FFFFFF"/>
          <w:vertAlign w:val="superscript"/>
          <w:lang w:val="bg-BG"/>
        </w:rPr>
        <w:t xml:space="preserve"> </w:t>
      </w:r>
      <w:r w:rsidRPr="00D03DA8">
        <w:rPr>
          <w:shd w:val="clear" w:color="auto" w:fill="FFFFFF"/>
          <w:lang w:val="bg-BG"/>
        </w:rPr>
        <w:t>площ на територията на „ПЧМВ” АД, в Източната част на Южна промишлена зона „Острова”.</w:t>
      </w:r>
      <w:r w:rsidRPr="004F7C80">
        <w:rPr>
          <w:shd w:val="clear" w:color="auto" w:fill="FFFFFF"/>
          <w:lang w:val="bg-BG"/>
        </w:rPr>
        <w:t xml:space="preserve"> </w:t>
      </w:r>
      <w:r w:rsidRPr="00D03DA8">
        <w:rPr>
          <w:shd w:val="clear" w:color="auto" w:fill="FFFFFF"/>
          <w:lang w:val="bg-BG"/>
        </w:rPr>
        <w:t>Терминалът разполага с пристан, който има възможност за приемане на танкери с дължина до 130 м и максимално газене 8,00 м.</w:t>
      </w:r>
    </w:p>
    <w:p w14:paraId="01F3D04D" w14:textId="77777777" w:rsidR="00677D3C" w:rsidRPr="00D03DA8" w:rsidRDefault="00677D3C" w:rsidP="00677D3C">
      <w:pPr>
        <w:pStyle w:val="NormalWeb"/>
        <w:spacing w:before="0" w:beforeAutospacing="0" w:after="120" w:afterAutospacing="0" w:line="259" w:lineRule="auto"/>
        <w:jc w:val="both"/>
        <w:rPr>
          <w:lang w:val="bg-BG"/>
        </w:rPr>
      </w:pPr>
      <w:r w:rsidRPr="004F7C80">
        <w:rPr>
          <w:i/>
          <w:lang w:val="bg-BG"/>
        </w:rPr>
        <w:t>П</w:t>
      </w:r>
      <w:r w:rsidRPr="00D03DA8">
        <w:rPr>
          <w:i/>
          <w:lang w:val="bg-BG"/>
        </w:rPr>
        <w:t>ристанищен терминал „Одесос ПБМ-Варна”</w:t>
      </w:r>
      <w:r w:rsidRPr="00D03DA8">
        <w:rPr>
          <w:lang w:val="bg-BG"/>
        </w:rPr>
        <w:t xml:space="preserve"> е разположен в източната част на Варненско езеро на Плавателен канал 3 (стария плавателен канал на Варна). Оперира 3 корабни места с обща дължина 498 метра</w:t>
      </w:r>
      <w:r w:rsidRPr="004F7C80">
        <w:t> </w:t>
      </w:r>
      <w:r w:rsidRPr="00D03DA8">
        <w:rPr>
          <w:lang w:val="bg-BG"/>
        </w:rPr>
        <w:t>и максимално безопасно газене 6,80 м.</w:t>
      </w:r>
    </w:p>
    <w:p w14:paraId="72F3B64F" w14:textId="080F9A39" w:rsidR="00410372" w:rsidRPr="00610B1B" w:rsidRDefault="00410372" w:rsidP="00D32D6A">
      <w:pPr>
        <w:snapToGrid w:val="0"/>
        <w:spacing w:after="120"/>
        <w:ind w:right="-153"/>
        <w:jc w:val="both"/>
        <w:rPr>
          <w:rFonts w:ascii="Times New Roman" w:eastAsia="Times New Roman" w:hAnsi="Times New Roman" w:cs="Times New Roman"/>
          <w:b/>
          <w:bCs/>
          <w:color w:val="000000"/>
          <w:sz w:val="24"/>
          <w:szCs w:val="20"/>
          <w:lang w:val="bg-BG"/>
        </w:rPr>
      </w:pPr>
      <w:r w:rsidRPr="00610B1B">
        <w:rPr>
          <w:rFonts w:ascii="Times New Roman" w:eastAsia="Arial Unicode MS" w:hAnsi="Times New Roman" w:cs="Times New Roman"/>
          <w:b/>
          <w:color w:val="000000"/>
          <w:kern w:val="32"/>
          <w:sz w:val="24"/>
          <w:szCs w:val="24"/>
          <w:lang w:val="bg-BG"/>
        </w:rPr>
        <w:t>Пристанищ</w:t>
      </w:r>
      <w:r w:rsidR="000D2175" w:rsidRPr="00610B1B">
        <w:rPr>
          <w:rFonts w:ascii="Times New Roman" w:eastAsia="Arial Unicode MS" w:hAnsi="Times New Roman" w:cs="Times New Roman"/>
          <w:b/>
          <w:color w:val="000000"/>
          <w:kern w:val="32"/>
          <w:sz w:val="24"/>
          <w:szCs w:val="24"/>
          <w:lang w:val="bg-BG"/>
        </w:rPr>
        <w:t>е</w:t>
      </w:r>
      <w:r w:rsidRPr="00610B1B">
        <w:rPr>
          <w:rFonts w:ascii="Times New Roman" w:eastAsia="Arial Unicode MS" w:hAnsi="Times New Roman" w:cs="Times New Roman"/>
          <w:b/>
          <w:color w:val="000000"/>
          <w:kern w:val="32"/>
          <w:sz w:val="24"/>
          <w:szCs w:val="24"/>
          <w:lang w:val="bg-BG"/>
        </w:rPr>
        <w:t xml:space="preserve"> </w:t>
      </w:r>
      <w:r w:rsidR="00677D3C">
        <w:rPr>
          <w:rFonts w:ascii="Times New Roman" w:eastAsia="Arial Unicode MS" w:hAnsi="Times New Roman" w:cs="Times New Roman"/>
          <w:b/>
          <w:color w:val="000000"/>
          <w:kern w:val="32"/>
          <w:sz w:val="24"/>
          <w:szCs w:val="24"/>
          <w:lang w:val="bg-BG"/>
        </w:rPr>
        <w:t>за обществен транспорт</w:t>
      </w:r>
      <w:r w:rsidRPr="00610B1B">
        <w:rPr>
          <w:rFonts w:ascii="Times New Roman" w:eastAsia="Arial Unicode MS" w:hAnsi="Times New Roman" w:cs="Times New Roman"/>
          <w:b/>
          <w:color w:val="000000"/>
          <w:kern w:val="32"/>
          <w:sz w:val="24"/>
          <w:szCs w:val="24"/>
          <w:lang w:val="bg-BG"/>
        </w:rPr>
        <w:t>Варна</w:t>
      </w:r>
      <w:r w:rsidRPr="00610B1B">
        <w:rPr>
          <w:rFonts w:ascii="Times New Roman" w:eastAsia="Arial Unicode MS" w:hAnsi="Times New Roman" w:cs="Times New Roman"/>
          <w:color w:val="000000"/>
          <w:kern w:val="32"/>
          <w:sz w:val="24"/>
          <w:szCs w:val="24"/>
          <w:lang w:val="bg-BG"/>
        </w:rPr>
        <w:t xml:space="preserve"> </w:t>
      </w:r>
      <w:r w:rsidRPr="00610B1B">
        <w:rPr>
          <w:rFonts w:ascii="Times New Roman" w:eastAsia="Times New Roman" w:hAnsi="Times New Roman" w:cs="Times New Roman"/>
          <w:color w:val="000000"/>
          <w:sz w:val="24"/>
          <w:szCs w:val="20"/>
          <w:lang w:val="bg-BG"/>
        </w:rPr>
        <w:t>е включен</w:t>
      </w:r>
      <w:r w:rsidR="000D2175" w:rsidRPr="00610B1B">
        <w:rPr>
          <w:rFonts w:ascii="Times New Roman" w:eastAsia="Times New Roman" w:hAnsi="Times New Roman" w:cs="Times New Roman"/>
          <w:color w:val="000000"/>
          <w:sz w:val="24"/>
          <w:szCs w:val="20"/>
          <w:lang w:val="bg-BG"/>
        </w:rPr>
        <w:t>о</w:t>
      </w:r>
      <w:r w:rsidRPr="00610B1B">
        <w:rPr>
          <w:rFonts w:ascii="Times New Roman" w:eastAsia="Times New Roman" w:hAnsi="Times New Roman" w:cs="Times New Roman"/>
          <w:color w:val="000000"/>
          <w:sz w:val="24"/>
          <w:szCs w:val="20"/>
          <w:lang w:val="bg-BG"/>
        </w:rPr>
        <w:t xml:space="preserve"> в разширената ТEN-T мрежа на територията на страната и се обслужва основно от жп линия 2</w:t>
      </w:r>
      <w:r w:rsidR="00E71B5C" w:rsidRPr="00610B1B">
        <w:rPr>
          <w:rFonts w:ascii="Times New Roman" w:eastAsia="Times New Roman" w:hAnsi="Times New Roman" w:cs="Times New Roman"/>
          <w:color w:val="000000"/>
          <w:sz w:val="24"/>
          <w:szCs w:val="20"/>
          <w:lang w:val="bg-BG"/>
        </w:rPr>
        <w:t>,</w:t>
      </w:r>
      <w:r w:rsidRPr="00610B1B">
        <w:rPr>
          <w:rFonts w:ascii="Times New Roman" w:eastAsia="Times New Roman" w:hAnsi="Times New Roman" w:cs="Times New Roman"/>
          <w:color w:val="000000"/>
          <w:sz w:val="24"/>
          <w:szCs w:val="20"/>
          <w:lang w:val="bg-BG"/>
        </w:rPr>
        <w:t xml:space="preserve"> жп линия 3, включени в разширената ТEN-T мрежа</w:t>
      </w:r>
      <w:r w:rsidR="00E71B5C" w:rsidRPr="00610B1B">
        <w:rPr>
          <w:rFonts w:ascii="Times New Roman" w:eastAsia="Times New Roman" w:hAnsi="Times New Roman" w:cs="Times New Roman"/>
          <w:color w:val="000000"/>
          <w:sz w:val="24"/>
          <w:szCs w:val="20"/>
          <w:lang w:val="bg-BG"/>
        </w:rPr>
        <w:t xml:space="preserve"> и жп линия 9</w:t>
      </w:r>
      <w:r w:rsidRPr="00610B1B">
        <w:rPr>
          <w:rFonts w:ascii="Times New Roman" w:eastAsia="Times New Roman" w:hAnsi="Times New Roman" w:cs="Times New Roman"/>
          <w:color w:val="000000"/>
          <w:sz w:val="24"/>
          <w:szCs w:val="20"/>
          <w:lang w:val="bg-BG"/>
        </w:rPr>
        <w:t>, както и с пътните направления от същата мрежа - АМ “Хемус”, АМ “Черно море” и скоростен път Варна-Дуранкулак (път І-9).</w:t>
      </w:r>
    </w:p>
    <w:p w14:paraId="33C7F491" w14:textId="71E7F1AD" w:rsidR="00410372" w:rsidRPr="00610B1B" w:rsidRDefault="00410372"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 xml:space="preserve">Бъдещото развитие на жп възел Варна се предвижда като Интермодален терминал </w:t>
      </w:r>
      <w:r w:rsidR="00375B2C"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b/>
          <w:bCs/>
          <w:color w:val="000000"/>
          <w:sz w:val="24"/>
          <w:szCs w:val="24"/>
          <w:lang w:val="bg-BG" w:eastAsia="bg-BG"/>
        </w:rPr>
        <w:t>ИМТ</w:t>
      </w:r>
      <w:r w:rsidR="00375B2C" w:rsidRPr="00610B1B">
        <w:rPr>
          <w:rFonts w:ascii="Times New Roman" w:eastAsia="Times New Roman" w:hAnsi="Times New Roman" w:cs="Times New Roman"/>
          <w:b/>
          <w:bCs/>
          <w:color w:val="000000"/>
          <w:sz w:val="24"/>
          <w:szCs w:val="24"/>
          <w:lang w:val="bg-BG" w:eastAsia="bg-BG"/>
        </w:rPr>
        <w:t>)</w:t>
      </w:r>
      <w:r w:rsidRPr="00610B1B">
        <w:rPr>
          <w:rFonts w:ascii="Times New Roman" w:eastAsia="Times New Roman" w:hAnsi="Times New Roman" w:cs="Times New Roman"/>
          <w:b/>
          <w:bCs/>
          <w:color w:val="000000"/>
          <w:sz w:val="24"/>
          <w:szCs w:val="24"/>
          <w:lang w:val="bg-BG" w:eastAsia="bg-BG"/>
        </w:rPr>
        <w:t xml:space="preserve"> “Варна</w:t>
      </w:r>
      <w:r w:rsidRPr="00610B1B">
        <w:rPr>
          <w:rFonts w:ascii="Times New Roman" w:eastAsia="Times New Roman" w:hAnsi="Times New Roman" w:cs="Times New Roman"/>
          <w:bCs/>
          <w:color w:val="000000"/>
          <w:sz w:val="24"/>
          <w:szCs w:val="24"/>
          <w:lang w:val="bg-BG" w:eastAsia="bg-BG"/>
        </w:rPr>
        <w:t>”</w:t>
      </w:r>
      <w:r w:rsidR="008E37F5" w:rsidRPr="00610B1B">
        <w:rPr>
          <w:rFonts w:ascii="Times New Roman" w:eastAsia="Times New Roman" w:hAnsi="Times New Roman" w:cs="Times New Roman"/>
          <w:bCs/>
          <w:color w:val="000000"/>
          <w:sz w:val="24"/>
          <w:szCs w:val="24"/>
          <w:lang w:val="bg-BG" w:eastAsia="bg-BG"/>
        </w:rPr>
        <w:t xml:space="preserve"> (</w:t>
      </w:r>
      <w:r w:rsidRPr="00610B1B">
        <w:rPr>
          <w:rFonts w:ascii="Times New Roman" w:eastAsia="Times New Roman" w:hAnsi="Times New Roman" w:cs="Times New Roman"/>
          <w:bCs/>
          <w:color w:val="000000"/>
          <w:sz w:val="24"/>
          <w:szCs w:val="24"/>
          <w:lang w:val="bg-BG" w:eastAsia="bg-BG"/>
        </w:rPr>
        <w:t>проект</w:t>
      </w:r>
      <w:r w:rsidR="008E37F5" w:rsidRPr="00610B1B">
        <w:rPr>
          <w:rFonts w:ascii="Times New Roman" w:eastAsia="Times New Roman" w:hAnsi="Times New Roman" w:cs="Times New Roman"/>
          <w:bCs/>
          <w:color w:val="000000"/>
          <w:sz w:val="24"/>
          <w:szCs w:val="24"/>
          <w:lang w:val="bg-BG" w:eastAsia="bg-BG"/>
        </w:rPr>
        <w:t>)</w:t>
      </w:r>
      <w:r w:rsidRPr="00610B1B">
        <w:rPr>
          <w:rFonts w:ascii="Times New Roman" w:eastAsia="Times New Roman" w:hAnsi="Times New Roman" w:cs="Times New Roman"/>
          <w:bCs/>
          <w:color w:val="000000"/>
          <w:sz w:val="24"/>
          <w:szCs w:val="24"/>
          <w:lang w:val="bg-BG" w:eastAsia="bg-BG"/>
        </w:rPr>
        <w:t>,</w:t>
      </w:r>
      <w:r w:rsidR="00D66FE0" w:rsidRPr="00610B1B">
        <w:rPr>
          <w:rFonts w:ascii="Times New Roman" w:eastAsia="Times New Roman" w:hAnsi="Times New Roman" w:cs="Times New Roman"/>
          <w:bCs/>
          <w:color w:val="000000"/>
          <w:sz w:val="24"/>
          <w:szCs w:val="24"/>
          <w:lang w:val="bg-BG" w:eastAsia="bg-BG"/>
        </w:rPr>
        <w:t xml:space="preserve"> </w:t>
      </w:r>
      <w:r w:rsidRPr="00610B1B">
        <w:rPr>
          <w:rFonts w:ascii="Times New Roman" w:eastAsia="Times New Roman" w:hAnsi="Times New Roman" w:cs="Times New Roman"/>
          <w:sz w:val="24"/>
          <w:szCs w:val="24"/>
          <w:lang w:val="bg-BG" w:eastAsia="bg-BG"/>
        </w:rPr>
        <w:t>включен в разширената TEN-T мрежа за интермодален транспорт по направление</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на жп линия 2 </w:t>
      </w:r>
      <w:r w:rsidRPr="00610B1B">
        <w:rPr>
          <w:rFonts w:ascii="Times New Roman" w:eastAsia="Times New Roman" w:hAnsi="Times New Roman" w:cs="Times New Roman"/>
          <w:color w:val="000000"/>
          <w:sz w:val="24"/>
          <w:szCs w:val="24"/>
          <w:lang w:val="bg-BG" w:eastAsia="bg-BG"/>
        </w:rPr>
        <w:t>София-Мездра-Горна Оряховица-Каспичан-Синдел–Варна</w:t>
      </w:r>
      <w:r w:rsidR="00375B2C" w:rsidRPr="00610B1B">
        <w:rPr>
          <w:rFonts w:ascii="Times New Roman" w:eastAsia="Times New Roman" w:hAnsi="Times New Roman" w:cs="Times New Roman"/>
          <w:color w:val="000000"/>
          <w:sz w:val="24"/>
          <w:szCs w:val="24"/>
          <w:lang w:val="bg-BG" w:eastAsia="bg-BG"/>
        </w:rPr>
        <w:t>.</w:t>
      </w:r>
    </w:p>
    <w:p w14:paraId="18FE26C2" w14:textId="39983FFC"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i/>
          <w:sz w:val="24"/>
          <w:szCs w:val="24"/>
          <w:lang w:val="bg-BG" w:eastAsia="bg-BG"/>
        </w:rPr>
        <w:lastRenderedPageBreak/>
        <w:t>Автомагистрала “Хемус”</w:t>
      </w:r>
      <w:r w:rsidRPr="00610B1B">
        <w:rPr>
          <w:rFonts w:ascii="Times New Roman" w:eastAsia="Times New Roman" w:hAnsi="Times New Roman" w:cs="Times New Roman"/>
          <w:sz w:val="24"/>
          <w:szCs w:val="24"/>
          <w:lang w:val="bg-BG" w:eastAsia="bg-BG"/>
        </w:rPr>
        <w:t xml:space="preserve"> –</w:t>
      </w:r>
      <w:r w:rsidR="00375B2C"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iCs/>
          <w:sz w:val="24"/>
          <w:szCs w:val="24"/>
          <w:lang w:val="bg-BG" w:eastAsia="bg-BG"/>
        </w:rPr>
        <w:t xml:space="preserve">София-Велико Търново-Варна, </w:t>
      </w:r>
      <w:r w:rsidRPr="00610B1B">
        <w:rPr>
          <w:rFonts w:ascii="Times New Roman" w:eastAsia="Times New Roman" w:hAnsi="Times New Roman" w:cs="Times New Roman"/>
          <w:sz w:val="24"/>
          <w:szCs w:val="24"/>
          <w:lang w:val="bg-BG" w:eastAsia="bg-BG"/>
        </w:rPr>
        <w:t>е основната пътна връзка на Пристанище Варна с вътрешността на страната. В участъка Варна-Шумен магистралата е</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изградена, включена в широкообхватната TEN-T мрежа.</w:t>
      </w:r>
    </w:p>
    <w:p w14:paraId="6921B046" w14:textId="3BD36C47"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i/>
          <w:sz w:val="24"/>
          <w:szCs w:val="24"/>
          <w:lang w:val="bg-BG" w:eastAsia="bg-BG"/>
        </w:rPr>
        <w:t>Първокласен път</w:t>
      </w:r>
      <w:r w:rsidRPr="00610B1B">
        <w:rPr>
          <w:rFonts w:ascii="Times New Roman" w:eastAsia="Times New Roman" w:hAnsi="Times New Roman" w:cs="Times New Roman"/>
          <w:i/>
          <w:sz w:val="24"/>
          <w:szCs w:val="24"/>
          <w:lang w:val="bg-BG" w:eastAsia="bg-BG"/>
        </w:rPr>
        <w:t xml:space="preserve"> </w:t>
      </w:r>
      <w:r w:rsidRPr="00610B1B">
        <w:rPr>
          <w:rFonts w:ascii="Times New Roman" w:eastAsia="Times New Roman" w:hAnsi="Times New Roman" w:cs="Times New Roman"/>
          <w:b/>
          <w:bCs/>
          <w:i/>
          <w:sz w:val="24"/>
          <w:szCs w:val="24"/>
          <w:lang w:val="bg-BG" w:eastAsia="bg-BG"/>
        </w:rPr>
        <w:t>I-4</w:t>
      </w:r>
      <w:r w:rsidRPr="00610B1B">
        <w:rPr>
          <w:rFonts w:ascii="Times New Roman" w:eastAsia="Times New Roman" w:hAnsi="Times New Roman" w:cs="Times New Roman"/>
          <w:b/>
          <w:bCs/>
          <w:sz w:val="24"/>
          <w:szCs w:val="24"/>
          <w:lang w:val="bg-BG" w:eastAsia="bg-BG"/>
        </w:rPr>
        <w:t xml:space="preserve"> </w:t>
      </w:r>
      <w:r w:rsidRPr="00610B1B">
        <w:rPr>
          <w:rFonts w:ascii="Times New Roman" w:eastAsia="Times New Roman" w:hAnsi="Times New Roman" w:cs="Times New Roman"/>
          <w:bCs/>
          <w:sz w:val="24"/>
          <w:szCs w:val="24"/>
          <w:lang w:val="bg-BG" w:eastAsia="bg-BG"/>
        </w:rPr>
        <w:t>София/Ботевград-Севлиево-Велико Търново-Шумен/Варна</w:t>
      </w:r>
      <w:r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b/>
          <w:sz w:val="24"/>
          <w:szCs w:val="24"/>
          <w:lang w:val="bg-BG" w:eastAsia="bg-BG"/>
        </w:rPr>
        <w:t>(Е-772)</w:t>
      </w:r>
      <w:r w:rsidRPr="00610B1B">
        <w:rPr>
          <w:rFonts w:ascii="Times New Roman" w:eastAsia="Times New Roman" w:hAnsi="Times New Roman" w:cs="Times New Roman"/>
          <w:sz w:val="24"/>
          <w:szCs w:val="24"/>
          <w:lang w:val="bg-BG" w:eastAsia="bg-BG"/>
        </w:rPr>
        <w:t xml:space="preserve"> допълва функциите на недоизградената АМ “Хемус” към вътрешността на страната и Столицата.</w:t>
      </w:r>
    </w:p>
    <w:p w14:paraId="4C74586D" w14:textId="38EDB13E"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i/>
          <w:sz w:val="24"/>
          <w:szCs w:val="24"/>
          <w:lang w:val="bg-BG" w:eastAsia="bg-BG"/>
        </w:rPr>
        <w:t xml:space="preserve">Първокласен път І-2 </w:t>
      </w:r>
      <w:r w:rsidRPr="00610B1B">
        <w:rPr>
          <w:rFonts w:ascii="Times New Roman" w:eastAsia="Times New Roman" w:hAnsi="Times New Roman" w:cs="Times New Roman"/>
          <w:iCs/>
          <w:sz w:val="24"/>
          <w:szCs w:val="24"/>
          <w:lang w:val="bg-BG" w:eastAsia="bg-BG"/>
        </w:rPr>
        <w:t>Русе-Разград-Шумен-Варна (</w:t>
      </w:r>
      <w:r w:rsidRPr="00610B1B">
        <w:rPr>
          <w:rFonts w:ascii="Times New Roman" w:eastAsia="Times New Roman" w:hAnsi="Times New Roman" w:cs="Times New Roman"/>
          <w:bCs/>
          <w:iCs/>
          <w:sz w:val="24"/>
          <w:szCs w:val="24"/>
          <w:lang w:val="bg-BG" w:eastAsia="bg-BG"/>
        </w:rPr>
        <w:t>E-70</w:t>
      </w:r>
      <w:r w:rsidR="008E37F5" w:rsidRPr="00610B1B">
        <w:rPr>
          <w:rFonts w:ascii="Times New Roman" w:eastAsia="Times New Roman" w:hAnsi="Times New Roman" w:cs="Times New Roman"/>
          <w:bCs/>
          <w:iCs/>
          <w:sz w:val="24"/>
          <w:szCs w:val="24"/>
          <w:lang w:val="bg-BG" w:eastAsia="bg-BG"/>
        </w:rPr>
        <w:t>)</w:t>
      </w:r>
      <w:r w:rsidRPr="00610B1B">
        <w:rPr>
          <w:rFonts w:ascii="Times New Roman" w:eastAsia="Times New Roman" w:hAnsi="Times New Roman" w:cs="Times New Roman"/>
          <w:bCs/>
          <w:iCs/>
          <w:sz w:val="24"/>
          <w:szCs w:val="24"/>
          <w:lang w:val="bg-BG" w:eastAsia="bg-BG"/>
        </w:rPr>
        <w:t xml:space="preserve"> заедно с жп линия 9</w:t>
      </w:r>
      <w:r w:rsidRPr="00610B1B">
        <w:rPr>
          <w:rFonts w:ascii="Times New Roman" w:eastAsia="Times New Roman" w:hAnsi="Times New Roman" w:cs="Times New Roman"/>
          <w:iCs/>
          <w:sz w:val="24"/>
          <w:szCs w:val="24"/>
          <w:lang w:val="bg-BG" w:eastAsia="bg-BG"/>
        </w:rPr>
        <w:t xml:space="preserve"> </w:t>
      </w:r>
      <w:r w:rsidRPr="00610B1B">
        <w:rPr>
          <w:rFonts w:ascii="Times New Roman" w:eastAsia="Times New Roman" w:hAnsi="Times New Roman" w:cs="Times New Roman"/>
          <w:iCs/>
          <w:color w:val="000000"/>
          <w:sz w:val="24"/>
          <w:szCs w:val="24"/>
          <w:lang w:val="bg-BG" w:eastAsia="bg-BG"/>
        </w:rPr>
        <w:t>Русе-Каспичан</w:t>
      </w:r>
      <w:r w:rsidRPr="00610B1B">
        <w:rPr>
          <w:rFonts w:ascii="Times New Roman" w:eastAsia="Times New Roman" w:hAnsi="Times New Roman" w:cs="Times New Roman"/>
          <w:color w:val="000000"/>
          <w:sz w:val="24"/>
          <w:szCs w:val="24"/>
          <w:lang w:val="bg-BG" w:eastAsia="bg-BG"/>
        </w:rPr>
        <w:t xml:space="preserve"> подсилва функциите на важната транспортна ос между Пристанище Варна и Пристанище Русе с възможността за транспортни комуникации между Черно море и р. Дунав.</w:t>
      </w:r>
    </w:p>
    <w:p w14:paraId="26713620" w14:textId="0AB81D71" w:rsidR="00410372" w:rsidRPr="00610B1B" w:rsidRDefault="00410372"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bCs/>
          <w:i/>
          <w:sz w:val="24"/>
          <w:szCs w:val="24"/>
          <w:lang w:val="bg-BG" w:eastAsia="bg-BG"/>
        </w:rPr>
        <w:t>Първокласен път І-7</w:t>
      </w:r>
      <w:r w:rsidRPr="00610B1B">
        <w:rPr>
          <w:rFonts w:ascii="Times New Roman" w:eastAsia="Times New Roman" w:hAnsi="Times New Roman" w:cs="Times New Roman"/>
          <w:bCs/>
          <w:i/>
          <w:sz w:val="24"/>
          <w:szCs w:val="24"/>
          <w:lang w:val="bg-BG" w:eastAsia="bg-BG"/>
        </w:rPr>
        <w:t xml:space="preserve"> </w:t>
      </w:r>
      <w:r w:rsidRPr="00610B1B">
        <w:rPr>
          <w:rFonts w:ascii="Times New Roman" w:eastAsia="Times New Roman" w:hAnsi="Times New Roman" w:cs="Times New Roman"/>
          <w:bCs/>
          <w:iCs/>
          <w:sz w:val="24"/>
          <w:szCs w:val="24"/>
          <w:lang w:val="bg-BG" w:eastAsia="bg-BG"/>
        </w:rPr>
        <w:t>граница Румъния/ГКПП “Силистра”– Шумен–Ямбол–Елхово–ГКПП</w:t>
      </w:r>
      <w:r w:rsidR="00375B2C" w:rsidRPr="00610B1B">
        <w:rPr>
          <w:rFonts w:ascii="Times New Roman" w:eastAsia="Times New Roman" w:hAnsi="Times New Roman" w:cs="Times New Roman"/>
          <w:bCs/>
          <w:iCs/>
          <w:sz w:val="24"/>
          <w:szCs w:val="24"/>
          <w:lang w:val="bg-BG" w:eastAsia="bg-BG"/>
        </w:rPr>
        <w:t xml:space="preserve"> </w:t>
      </w:r>
      <w:r w:rsidRPr="00610B1B">
        <w:rPr>
          <w:rFonts w:ascii="Times New Roman" w:eastAsia="Times New Roman" w:hAnsi="Times New Roman" w:cs="Times New Roman"/>
          <w:bCs/>
          <w:iCs/>
          <w:sz w:val="24"/>
          <w:szCs w:val="24"/>
          <w:lang w:val="bg-BG" w:eastAsia="bg-BG"/>
        </w:rPr>
        <w:t>“Лесово-Xамзъбейли”/граница Турция</w:t>
      </w:r>
      <w:r w:rsidRPr="00610B1B">
        <w:rPr>
          <w:rFonts w:ascii="Times New Roman" w:eastAsia="Times New Roman" w:hAnsi="Times New Roman" w:cs="Times New Roman"/>
          <w:bCs/>
          <w:sz w:val="24"/>
          <w:szCs w:val="24"/>
          <w:lang w:val="bg-BG" w:eastAsia="bg-BG"/>
        </w:rPr>
        <w:t xml:space="preserve"> е допълнителна транспортна връзка на Пристанище Варна с р. Дунав (Пристанище Силистра).</w:t>
      </w:r>
    </w:p>
    <w:p w14:paraId="60362C03" w14:textId="20F5BAD6" w:rsidR="00410372" w:rsidRPr="00610B1B" w:rsidRDefault="00410372"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bCs/>
          <w:i/>
          <w:sz w:val="24"/>
          <w:szCs w:val="24"/>
          <w:lang w:val="bg-BG" w:eastAsia="bg-BG"/>
        </w:rPr>
        <w:t>А</w:t>
      </w:r>
      <w:r w:rsidRPr="00610B1B">
        <w:rPr>
          <w:rFonts w:ascii="Times New Roman" w:eastAsia="Times New Roman" w:hAnsi="Times New Roman" w:cs="Times New Roman"/>
          <w:b/>
          <w:i/>
          <w:sz w:val="24"/>
          <w:szCs w:val="24"/>
          <w:lang w:val="bg-BG" w:eastAsia="bg-BG"/>
        </w:rPr>
        <w:t>втомагистрала “Черно море”</w:t>
      </w:r>
      <w:r w:rsidRPr="00610B1B">
        <w:rPr>
          <w:rFonts w:ascii="Times New Roman" w:eastAsia="Times New Roman" w:hAnsi="Times New Roman" w:cs="Times New Roman"/>
          <w:b/>
          <w:sz w:val="24"/>
          <w:szCs w:val="24"/>
          <w:lang w:val="bg-BG" w:eastAsia="bg-BG"/>
        </w:rPr>
        <w:t xml:space="preserve"> </w:t>
      </w:r>
      <w:r w:rsidRPr="00610B1B">
        <w:rPr>
          <w:rFonts w:ascii="Times New Roman" w:eastAsia="Times New Roman" w:hAnsi="Times New Roman" w:cs="Times New Roman"/>
          <w:iCs/>
          <w:sz w:val="24"/>
          <w:szCs w:val="24"/>
          <w:lang w:val="bg-BG" w:eastAsia="bg-BG"/>
        </w:rPr>
        <w:t>Варна</w:t>
      </w:r>
      <w:r w:rsidRPr="00610B1B">
        <w:rPr>
          <w:rFonts w:ascii="Times New Roman" w:eastAsia="Times New Roman" w:hAnsi="Times New Roman" w:cs="Times New Roman"/>
          <w:b/>
          <w:iCs/>
          <w:sz w:val="24"/>
          <w:szCs w:val="24"/>
          <w:lang w:val="bg-BG" w:eastAsia="bg-BG"/>
        </w:rPr>
        <w:t>-</w:t>
      </w:r>
      <w:r w:rsidRPr="00610B1B">
        <w:rPr>
          <w:rFonts w:ascii="Times New Roman" w:eastAsia="Times New Roman" w:hAnsi="Times New Roman" w:cs="Times New Roman"/>
          <w:iCs/>
          <w:sz w:val="24"/>
          <w:szCs w:val="24"/>
          <w:lang w:val="bg-BG" w:eastAsia="bg-BG"/>
        </w:rPr>
        <w:t>Слънчев бряг-Бургас</w:t>
      </w:r>
      <w:r w:rsidRPr="00610B1B">
        <w:rPr>
          <w:rFonts w:ascii="Times New Roman" w:eastAsia="Times New Roman" w:hAnsi="Times New Roman" w:cs="Times New Roman"/>
          <w:i/>
          <w:iCs/>
          <w:sz w:val="24"/>
          <w:szCs w:val="24"/>
          <w:lang w:val="bg-BG" w:eastAsia="bg-BG"/>
        </w:rPr>
        <w:t>,</w:t>
      </w:r>
      <w:r w:rsidR="00D66FE0" w:rsidRPr="00610B1B">
        <w:rPr>
          <w:rFonts w:ascii="Times New Roman" w:eastAsia="Times New Roman" w:hAnsi="Times New Roman" w:cs="Times New Roman"/>
          <w:i/>
          <w:iCs/>
          <w:sz w:val="24"/>
          <w:szCs w:val="24"/>
          <w:lang w:val="bg-BG" w:eastAsia="bg-BG"/>
        </w:rPr>
        <w:t xml:space="preserve"> </w:t>
      </w:r>
      <w:r w:rsidRPr="00610B1B">
        <w:rPr>
          <w:rFonts w:ascii="Times New Roman" w:eastAsia="Times New Roman" w:hAnsi="Times New Roman" w:cs="Times New Roman"/>
          <w:sz w:val="24"/>
          <w:szCs w:val="24"/>
          <w:lang w:val="bg-BG" w:eastAsia="bg-BG"/>
        </w:rPr>
        <w:t>планирана като връзка между двата главни урбанизационни центрове на Черноморското крайбрежие -</w:t>
      </w:r>
      <w:r w:rsidR="00375B2C"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Варна и Бургас</w:t>
      </w:r>
      <w:r w:rsidR="00115C8D"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е </w:t>
      </w:r>
      <w:r w:rsidR="00115C8D" w:rsidRPr="00610B1B">
        <w:rPr>
          <w:rFonts w:ascii="Times New Roman" w:eastAsia="Times New Roman" w:hAnsi="Times New Roman" w:cs="Times New Roman"/>
          <w:sz w:val="24"/>
          <w:szCs w:val="24"/>
          <w:lang w:val="bg-BG" w:eastAsia="bg-BG"/>
        </w:rPr>
        <w:t>с</w:t>
      </w:r>
      <w:r w:rsidRPr="00610B1B">
        <w:rPr>
          <w:rFonts w:ascii="Times New Roman" w:eastAsia="Times New Roman" w:hAnsi="Times New Roman" w:cs="Times New Roman"/>
          <w:sz w:val="24"/>
          <w:szCs w:val="24"/>
          <w:lang w:val="bg-BG" w:eastAsia="bg-BG"/>
        </w:rPr>
        <w:t>итуирана в тила на крайбрежието за провеждане на транзитните потоци, вкл. обслужване на пристанищата Бургас и Варна.</w:t>
      </w:r>
    </w:p>
    <w:p w14:paraId="42B87575" w14:textId="18ACDDF8" w:rsidR="00410372" w:rsidRPr="00610B1B" w:rsidRDefault="00410372" w:rsidP="00D32D6A">
      <w:pPr>
        <w:autoSpaceDE w:val="0"/>
        <w:autoSpaceDN w:val="0"/>
        <w:adjustRightInd w:val="0"/>
        <w:spacing w:after="120"/>
        <w:ind w:right="-153"/>
        <w:jc w:val="both"/>
        <w:rPr>
          <w:rFonts w:ascii="Times New Roman" w:eastAsia="Times New Roman" w:hAnsi="Times New Roman" w:cs="Times New Roman"/>
          <w:color w:val="000000"/>
          <w:sz w:val="24"/>
          <w:szCs w:val="24"/>
          <w:lang w:val="bg-BG" w:eastAsia="bg-BG"/>
        </w:rPr>
      </w:pPr>
      <w:r w:rsidRPr="00610B1B">
        <w:rPr>
          <w:rFonts w:ascii="Times New Roman" w:eastAsia="Times New Roman" w:hAnsi="Times New Roman" w:cs="Times New Roman"/>
          <w:sz w:val="24"/>
          <w:szCs w:val="24"/>
          <w:lang w:val="bg-BG" w:eastAsia="bg-BG"/>
        </w:rPr>
        <w:t>Основният обслужващ път за Северното Черн</w:t>
      </w:r>
      <w:r w:rsidR="00115C8D" w:rsidRPr="00610B1B">
        <w:rPr>
          <w:rFonts w:ascii="Times New Roman" w:eastAsia="Times New Roman" w:hAnsi="Times New Roman" w:cs="Times New Roman"/>
          <w:sz w:val="24"/>
          <w:szCs w:val="24"/>
          <w:lang w:val="bg-BG" w:eastAsia="bg-BG"/>
        </w:rPr>
        <w:t xml:space="preserve">оморие </w:t>
      </w:r>
      <w:r w:rsidR="00115C8D" w:rsidRPr="00610B1B">
        <w:rPr>
          <w:rFonts w:ascii="Times New Roman" w:eastAsia="Times New Roman" w:hAnsi="Times New Roman" w:cs="Times New Roman"/>
          <w:b/>
          <w:i/>
          <w:sz w:val="24"/>
          <w:szCs w:val="24"/>
          <w:lang w:val="bg-BG" w:eastAsia="bg-BG"/>
        </w:rPr>
        <w:t>е първокласният път І.9</w:t>
      </w:r>
      <w:r w:rsidR="00115C8D"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iCs/>
          <w:sz w:val="24"/>
          <w:szCs w:val="24"/>
          <w:lang w:val="bg-BG" w:eastAsia="bg-BG"/>
        </w:rPr>
        <w:t>граница Румъния-Дуранкулак-Варна-Бургас-Малко Търново-граница Турция</w:t>
      </w:r>
      <w:r w:rsidR="000C67F0" w:rsidRPr="00610B1B">
        <w:rPr>
          <w:rFonts w:ascii="Times New Roman" w:eastAsia="Times New Roman" w:hAnsi="Times New Roman" w:cs="Times New Roman"/>
          <w:iCs/>
          <w:sz w:val="24"/>
          <w:szCs w:val="24"/>
          <w:lang w:val="bg-BG" w:eastAsia="bg-BG"/>
        </w:rPr>
        <w:t xml:space="preserve"> </w:t>
      </w:r>
      <w:r w:rsidRPr="00610B1B">
        <w:rPr>
          <w:rFonts w:ascii="Times New Roman" w:eastAsia="Times New Roman" w:hAnsi="Times New Roman" w:cs="Times New Roman"/>
          <w:iCs/>
          <w:sz w:val="24"/>
          <w:szCs w:val="24"/>
          <w:lang w:val="bg-BG" w:eastAsia="bg-BG"/>
        </w:rPr>
        <w:t>(Е-87)</w:t>
      </w:r>
      <w:r w:rsidR="00115C8D" w:rsidRPr="00610B1B">
        <w:rPr>
          <w:rFonts w:ascii="Times New Roman" w:eastAsia="Times New Roman" w:hAnsi="Times New Roman" w:cs="Times New Roman"/>
          <w:iCs/>
          <w:sz w:val="24"/>
          <w:szCs w:val="24"/>
          <w:lang w:val="bg-BG" w:eastAsia="bg-BG"/>
        </w:rPr>
        <w:t xml:space="preserve">. </w:t>
      </w:r>
      <w:r w:rsidR="00115C8D" w:rsidRPr="00610B1B">
        <w:rPr>
          <w:rFonts w:ascii="Times New Roman" w:eastAsia="Times New Roman" w:hAnsi="Times New Roman" w:cs="Times New Roman"/>
          <w:sz w:val="24"/>
          <w:szCs w:val="24"/>
          <w:lang w:val="bg-BG" w:eastAsia="bg-BG"/>
        </w:rPr>
        <w:t xml:space="preserve">В </w:t>
      </w:r>
      <w:r w:rsidRPr="00610B1B">
        <w:rPr>
          <w:rFonts w:ascii="Times New Roman" w:eastAsia="Times New Roman" w:hAnsi="Times New Roman" w:cs="Times New Roman"/>
          <w:sz w:val="24"/>
          <w:szCs w:val="24"/>
          <w:lang w:val="bg-BG" w:eastAsia="bg-BG"/>
        </w:rPr>
        <w:t>частта си граница Румъния - Варна е включен в широкообхватната TEN-T мрежа на територията на страната.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iCs/>
          <w:sz w:val="24"/>
          <w:szCs w:val="24"/>
          <w:lang w:val="bg-BG" w:eastAsia="bg-BG"/>
        </w:rPr>
        <w:t>Пътят</w:t>
      </w:r>
      <w:r w:rsidRPr="00610B1B">
        <w:rPr>
          <w:rFonts w:ascii="Times New Roman" w:eastAsia="Times New Roman" w:hAnsi="Times New Roman" w:cs="Times New Roman"/>
          <w:sz w:val="24"/>
          <w:szCs w:val="24"/>
          <w:lang w:val="bg-BG" w:eastAsia="bg-BG"/>
        </w:rPr>
        <w:t xml:space="preserve"> обслужва туристическия поток по Черноморското крайбрежие като връзка на север с </w:t>
      </w:r>
      <w:r w:rsidR="001A48C4">
        <w:rPr>
          <w:rFonts w:ascii="Times New Roman" w:eastAsia="Times New Roman" w:hAnsi="Times New Roman" w:cs="Times New Roman"/>
          <w:sz w:val="24"/>
          <w:szCs w:val="24"/>
          <w:lang w:val="bg-BG" w:eastAsia="bg-BG"/>
        </w:rPr>
        <w:t>Румъния</w:t>
      </w:r>
      <w:r w:rsidRPr="00610B1B">
        <w:rPr>
          <w:rFonts w:ascii="Times New Roman" w:eastAsia="Times New Roman" w:hAnsi="Times New Roman" w:cs="Times New Roman"/>
          <w:sz w:val="24"/>
          <w:szCs w:val="24"/>
          <w:lang w:val="bg-BG" w:eastAsia="bg-BG"/>
        </w:rPr>
        <w:t xml:space="preserve"> и транспортните комуникации между Бургас и Варна,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но на юг от Бургас</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провежда главно транзитен трафик за/от Р. Турция.</w:t>
      </w:r>
      <w:r w:rsidR="00115C8D" w:rsidRPr="00610B1B">
        <w:rPr>
          <w:rFonts w:ascii="Times New Roman" w:eastAsia="Times New Roman" w:hAnsi="Times New Roman" w:cs="Times New Roman"/>
          <w:sz w:val="24"/>
          <w:szCs w:val="24"/>
          <w:lang w:val="bg-BG" w:eastAsia="bg-BG"/>
        </w:rPr>
        <w:t xml:space="preserve"> Той е </w:t>
      </w:r>
      <w:r w:rsidRPr="00610B1B">
        <w:rPr>
          <w:rFonts w:ascii="Times New Roman" w:eastAsia="Times New Roman" w:hAnsi="Times New Roman" w:cs="Times New Roman"/>
          <w:sz w:val="24"/>
          <w:szCs w:val="24"/>
          <w:lang w:val="bg-BG" w:eastAsia="bg-BG"/>
        </w:rPr>
        <w:t xml:space="preserve">и основният обслужващ път за </w:t>
      </w:r>
      <w:r w:rsidRPr="00610B1B">
        <w:rPr>
          <w:rFonts w:ascii="Times New Roman" w:eastAsia="Times New Roman" w:hAnsi="Times New Roman" w:cs="Times New Roman"/>
          <w:bCs/>
          <w:i/>
          <w:sz w:val="24"/>
          <w:szCs w:val="24"/>
          <w:lang w:val="bg-BG" w:eastAsia="bg-BG"/>
        </w:rPr>
        <w:t>Пристанище</w:t>
      </w:r>
      <w:r w:rsidR="00A102FE" w:rsidRPr="00610B1B">
        <w:rPr>
          <w:rFonts w:ascii="Times New Roman" w:eastAsia="Times New Roman" w:hAnsi="Times New Roman" w:cs="Times New Roman"/>
          <w:bCs/>
          <w:i/>
          <w:sz w:val="24"/>
          <w:szCs w:val="24"/>
          <w:lang w:val="bg-BG" w:eastAsia="bg-BG"/>
        </w:rPr>
        <w:t>н терминал</w:t>
      </w:r>
      <w:r w:rsidRPr="00610B1B">
        <w:rPr>
          <w:rFonts w:ascii="Times New Roman" w:eastAsia="Times New Roman" w:hAnsi="Times New Roman" w:cs="Times New Roman"/>
          <w:bCs/>
          <w:i/>
          <w:sz w:val="24"/>
          <w:szCs w:val="24"/>
          <w:lang w:val="bg-BG" w:eastAsia="bg-BG"/>
        </w:rPr>
        <w:t xml:space="preserve"> Балчик</w:t>
      </w:r>
      <w:r w:rsidR="00A102FE" w:rsidRPr="00610B1B">
        <w:rPr>
          <w:rFonts w:ascii="Times New Roman" w:eastAsia="Times New Roman" w:hAnsi="Times New Roman" w:cs="Times New Roman"/>
          <w:sz w:val="24"/>
          <w:szCs w:val="24"/>
          <w:lang w:val="bg-BG" w:eastAsia="bg-BG"/>
        </w:rPr>
        <w:t xml:space="preserve"> </w:t>
      </w:r>
      <w:r w:rsidR="009A7D84" w:rsidRPr="00897CEA">
        <w:rPr>
          <w:rFonts w:ascii="Times New Roman" w:eastAsia="Times New Roman" w:hAnsi="Times New Roman" w:cs="Times New Roman"/>
          <w:sz w:val="24"/>
          <w:szCs w:val="24"/>
          <w:lang w:val="bg-BG" w:eastAsia="bg-BG"/>
        </w:rPr>
        <w:t xml:space="preserve"> който</w:t>
      </w:r>
      <w:r w:rsidR="009A7D84" w:rsidRPr="00BC6EFF">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има потенциал за обслужване на туристите в района, но се използва ограничено. В непосредствена близост се намира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яхтено пристанище Балчик с капацитет 70 места, чието </w:t>
      </w:r>
      <w:r w:rsidRPr="00610B1B">
        <w:rPr>
          <w:rFonts w:ascii="Times New Roman" w:eastAsia="Times New Roman" w:hAnsi="Times New Roman" w:cs="Times New Roman"/>
          <w:color w:val="000000"/>
          <w:sz w:val="24"/>
          <w:szCs w:val="24"/>
          <w:lang w:val="bg-BG" w:eastAsia="bg-BG"/>
        </w:rPr>
        <w:t>развитие е обвързано с развитието на крайбрежната зона</w:t>
      </w:r>
      <w:r w:rsidR="008E37F5" w:rsidRPr="00610B1B">
        <w:rPr>
          <w:rFonts w:ascii="Times New Roman" w:eastAsia="Times New Roman" w:hAnsi="Times New Roman" w:cs="Times New Roman"/>
          <w:color w:val="000000"/>
          <w:sz w:val="24"/>
          <w:szCs w:val="24"/>
          <w:lang w:val="bg-BG" w:eastAsia="bg-BG"/>
        </w:rPr>
        <w:t>.</w:t>
      </w:r>
    </w:p>
    <w:p w14:paraId="397EF15B" w14:textId="29114989" w:rsidR="00410372" w:rsidRPr="00610B1B" w:rsidRDefault="00410372" w:rsidP="00D32D6A">
      <w:pPr>
        <w:spacing w:after="120"/>
        <w:ind w:right="-153"/>
        <w:rPr>
          <w:rFonts w:ascii="Times New Roman" w:eastAsia="Times New Roman" w:hAnsi="Times New Roman" w:cs="Times New Roman"/>
          <w:color w:val="000000"/>
          <w:sz w:val="24"/>
          <w:szCs w:val="24"/>
          <w:lang w:val="bg-BG" w:eastAsia="bg-BG"/>
        </w:rPr>
      </w:pPr>
      <w:r w:rsidRPr="00610B1B">
        <w:rPr>
          <w:rFonts w:ascii="Times New Roman" w:eastAsia="Times New Roman" w:hAnsi="Times New Roman" w:cs="Times New Roman"/>
          <w:color w:val="000000"/>
          <w:sz w:val="24"/>
          <w:szCs w:val="24"/>
          <w:lang w:val="bg-BG" w:eastAsia="bg-BG"/>
        </w:rPr>
        <w:t>Обслужването на Пристанище</w:t>
      </w:r>
      <w:r w:rsidR="00A102FE" w:rsidRPr="00610B1B">
        <w:rPr>
          <w:rFonts w:ascii="Times New Roman" w:eastAsia="Times New Roman" w:hAnsi="Times New Roman" w:cs="Times New Roman"/>
          <w:color w:val="000000"/>
          <w:sz w:val="24"/>
          <w:szCs w:val="24"/>
          <w:lang w:val="bg-BG" w:eastAsia="bg-BG"/>
        </w:rPr>
        <w:t>н терминал</w:t>
      </w:r>
      <w:r w:rsidRPr="00610B1B">
        <w:rPr>
          <w:rFonts w:ascii="Times New Roman" w:eastAsia="Times New Roman" w:hAnsi="Times New Roman" w:cs="Times New Roman"/>
          <w:color w:val="000000"/>
          <w:sz w:val="24"/>
          <w:szCs w:val="24"/>
          <w:lang w:val="bg-BG" w:eastAsia="bg-BG"/>
        </w:rPr>
        <w:t xml:space="preserve"> Балчик се допълва от</w:t>
      </w:r>
      <w:r w:rsidR="00375B2C" w:rsidRPr="00610B1B">
        <w:rPr>
          <w:rFonts w:ascii="Times New Roman" w:eastAsia="Times New Roman" w:hAnsi="Times New Roman" w:cs="Times New Roman"/>
          <w:color w:val="000000"/>
          <w:sz w:val="24"/>
          <w:szCs w:val="24"/>
          <w:lang w:val="bg-BG" w:eastAsia="bg-BG"/>
        </w:rPr>
        <w:t xml:space="preserve"> следните пътища:</w:t>
      </w:r>
      <w:r w:rsidRPr="00610B1B">
        <w:rPr>
          <w:rFonts w:ascii="Times New Roman" w:eastAsia="Times New Roman" w:hAnsi="Times New Roman" w:cs="Times New Roman"/>
          <w:color w:val="000000"/>
          <w:sz w:val="24"/>
          <w:szCs w:val="24"/>
          <w:lang w:val="bg-BG" w:eastAsia="bg-BG"/>
        </w:rPr>
        <w:t xml:space="preserve"> </w:t>
      </w:r>
    </w:p>
    <w:p w14:paraId="55FE0075" w14:textId="22B13352" w:rsidR="00410372" w:rsidRPr="00610B1B" w:rsidRDefault="00410372" w:rsidP="00B46189">
      <w:pPr>
        <w:numPr>
          <w:ilvl w:val="0"/>
          <w:numId w:val="4"/>
        </w:numPr>
        <w:spacing w:after="120"/>
        <w:ind w:left="714" w:right="-153" w:hanging="357"/>
        <w:jc w:val="both"/>
        <w:rPr>
          <w:rFonts w:ascii="Times New Roman" w:eastAsia="Times New Roman" w:hAnsi="Times New Roman" w:cs="Times New Roman"/>
          <w:i/>
          <w:sz w:val="24"/>
          <w:szCs w:val="24"/>
          <w:lang w:val="bg-BG" w:eastAsia="bg-BG"/>
        </w:rPr>
      </w:pPr>
      <w:r w:rsidRPr="00610B1B">
        <w:rPr>
          <w:rFonts w:ascii="Times New Roman" w:eastAsia="Times New Roman" w:hAnsi="Times New Roman" w:cs="Times New Roman"/>
          <w:i/>
          <w:sz w:val="24"/>
          <w:szCs w:val="24"/>
          <w:lang w:val="bg-BG" w:eastAsia="bg-BG"/>
        </w:rPr>
        <w:t xml:space="preserve">Второкласен път ІІ-27 </w:t>
      </w:r>
      <w:r w:rsidRPr="00610B1B">
        <w:rPr>
          <w:rFonts w:ascii="Times New Roman" w:eastAsia="Times New Roman" w:hAnsi="Times New Roman" w:cs="Times New Roman"/>
          <w:i/>
          <w:iCs/>
          <w:sz w:val="24"/>
          <w:szCs w:val="24"/>
          <w:lang w:val="bg-BG" w:eastAsia="bg-BG"/>
        </w:rPr>
        <w:t>(</w:t>
      </w:r>
      <w:r w:rsidRPr="00610B1B">
        <w:rPr>
          <w:rFonts w:ascii="Times New Roman" w:eastAsia="Times New Roman" w:hAnsi="Times New Roman" w:cs="Times New Roman"/>
          <w:iCs/>
          <w:sz w:val="24"/>
          <w:szCs w:val="24"/>
          <w:lang w:val="bg-BG" w:eastAsia="bg-BG"/>
        </w:rPr>
        <w:t>о.п. Шумен-Девня) Нови Пазар-Владимирово- о.п. Добрич-Балчик</w:t>
      </w:r>
      <w:r w:rsidR="00375B2C" w:rsidRPr="00610B1B">
        <w:rPr>
          <w:rFonts w:ascii="Times New Roman" w:eastAsia="Times New Roman" w:hAnsi="Times New Roman" w:cs="Times New Roman"/>
          <w:iCs/>
          <w:sz w:val="24"/>
          <w:szCs w:val="24"/>
          <w:lang w:val="bg-BG" w:eastAsia="bg-BG"/>
        </w:rPr>
        <w:t xml:space="preserve"> </w:t>
      </w:r>
      <w:r w:rsidR="00A102FE" w:rsidRPr="00610B1B">
        <w:rPr>
          <w:rFonts w:ascii="Times New Roman" w:eastAsia="Times New Roman" w:hAnsi="Times New Roman" w:cs="Times New Roman"/>
          <w:iCs/>
          <w:sz w:val="24"/>
          <w:szCs w:val="24"/>
          <w:lang w:val="bg-BG" w:eastAsia="bg-BG"/>
        </w:rPr>
        <w:t>–</w:t>
      </w:r>
      <w:r w:rsidR="00375B2C" w:rsidRPr="00610B1B">
        <w:rPr>
          <w:rFonts w:ascii="Times New Roman" w:eastAsia="Times New Roman" w:hAnsi="Times New Roman" w:cs="Times New Roman"/>
          <w:iCs/>
          <w:sz w:val="24"/>
          <w:szCs w:val="24"/>
          <w:lang w:val="bg-BG" w:eastAsia="bg-BG"/>
        </w:rPr>
        <w:t xml:space="preserve"> </w:t>
      </w:r>
      <w:r w:rsidRPr="00610B1B">
        <w:rPr>
          <w:rFonts w:ascii="Times New Roman" w:eastAsia="Times New Roman" w:hAnsi="Times New Roman" w:cs="Times New Roman"/>
          <w:bCs/>
          <w:iCs/>
          <w:sz w:val="24"/>
          <w:szCs w:val="24"/>
          <w:lang w:val="bg-BG" w:eastAsia="bg-BG"/>
        </w:rPr>
        <w:t>пристанище</w:t>
      </w:r>
      <w:r w:rsidR="00A102FE" w:rsidRPr="00610B1B">
        <w:rPr>
          <w:rFonts w:ascii="Times New Roman" w:eastAsia="Times New Roman" w:hAnsi="Times New Roman" w:cs="Times New Roman"/>
          <w:bCs/>
          <w:iCs/>
          <w:sz w:val="24"/>
          <w:szCs w:val="24"/>
          <w:lang w:val="bg-BG" w:eastAsia="bg-BG"/>
        </w:rPr>
        <w:t>н терминал</w:t>
      </w:r>
      <w:r w:rsidRPr="00610B1B">
        <w:rPr>
          <w:rFonts w:ascii="Times New Roman" w:eastAsia="Times New Roman" w:hAnsi="Times New Roman" w:cs="Times New Roman"/>
          <w:bCs/>
          <w:iCs/>
          <w:sz w:val="24"/>
          <w:szCs w:val="24"/>
          <w:lang w:val="bg-BG" w:eastAsia="bg-BG"/>
        </w:rPr>
        <w:t xml:space="preserve"> Балчик,</w:t>
      </w:r>
      <w:r w:rsidRPr="00610B1B">
        <w:rPr>
          <w:rFonts w:ascii="Times New Roman" w:eastAsia="Times New Roman" w:hAnsi="Times New Roman" w:cs="Times New Roman"/>
          <w:b/>
          <w:i/>
          <w:sz w:val="24"/>
          <w:szCs w:val="24"/>
          <w:lang w:val="bg-BG" w:eastAsia="bg-BG"/>
        </w:rPr>
        <w:t xml:space="preserve"> </w:t>
      </w:r>
      <w:r w:rsidRPr="00610B1B">
        <w:rPr>
          <w:rFonts w:ascii="Times New Roman" w:eastAsia="Times New Roman" w:hAnsi="Times New Roman" w:cs="Times New Roman"/>
          <w:sz w:val="24"/>
          <w:szCs w:val="24"/>
          <w:lang w:val="bg-BG" w:eastAsia="bg-BG"/>
        </w:rPr>
        <w:t>свързвайки го с</w:t>
      </w:r>
      <w:r w:rsidRPr="00610B1B">
        <w:rPr>
          <w:rFonts w:ascii="Times New Roman" w:eastAsia="Times New Roman" w:hAnsi="Times New Roman" w:cs="Times New Roman"/>
          <w:b/>
          <w:i/>
          <w:sz w:val="24"/>
          <w:szCs w:val="24"/>
          <w:lang w:val="bg-BG" w:eastAsia="bg-BG"/>
        </w:rPr>
        <w:t xml:space="preserve"> </w:t>
      </w:r>
      <w:r w:rsidRPr="00610B1B">
        <w:rPr>
          <w:rFonts w:ascii="Times New Roman" w:eastAsia="Times New Roman" w:hAnsi="Times New Roman" w:cs="Times New Roman"/>
          <w:sz w:val="24"/>
          <w:szCs w:val="24"/>
          <w:lang w:val="bg-BG" w:eastAsia="bg-BG"/>
        </w:rPr>
        <w:t>вътрешността на Североизточна България (Добруджа), предвид специализацията му за обработка и износ на зърнени храни.</w:t>
      </w:r>
    </w:p>
    <w:p w14:paraId="0C645E86" w14:textId="3ACC3D46" w:rsidR="00410372" w:rsidRPr="00610B1B" w:rsidRDefault="00410372" w:rsidP="00B46189">
      <w:pPr>
        <w:numPr>
          <w:ilvl w:val="0"/>
          <w:numId w:val="4"/>
        </w:numPr>
        <w:spacing w:after="120"/>
        <w:ind w:left="714" w:right="-153" w:hanging="357"/>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i/>
          <w:sz w:val="24"/>
          <w:szCs w:val="24"/>
          <w:lang w:val="bg-BG" w:eastAsia="bg-BG"/>
        </w:rPr>
        <w:t>Второкласен път ІІ-29</w:t>
      </w:r>
      <w:r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iCs/>
          <w:sz w:val="24"/>
          <w:szCs w:val="24"/>
          <w:lang w:val="bg-BG" w:eastAsia="bg-BG"/>
        </w:rPr>
        <w:t>Варна-Аксаково-окп Добрич-Генерал Тошево-граница Румъния</w:t>
      </w:r>
      <w:r w:rsidRPr="00610B1B">
        <w:rPr>
          <w:rFonts w:ascii="Times New Roman" w:eastAsia="Times New Roman" w:hAnsi="Times New Roman" w:cs="Times New Roman"/>
          <w:i/>
          <w:sz w:val="24"/>
          <w:szCs w:val="24"/>
          <w:lang w:val="bg-BG" w:eastAsia="bg-BG"/>
        </w:rPr>
        <w:t xml:space="preserve"> </w:t>
      </w:r>
      <w:r w:rsidRPr="00610B1B">
        <w:rPr>
          <w:rFonts w:ascii="Times New Roman" w:eastAsia="Times New Roman" w:hAnsi="Times New Roman" w:cs="Times New Roman"/>
          <w:sz w:val="24"/>
          <w:szCs w:val="24"/>
          <w:lang w:val="bg-BG" w:eastAsia="bg-BG"/>
        </w:rPr>
        <w:t>е</w:t>
      </w:r>
      <w:r w:rsidRPr="00610B1B">
        <w:rPr>
          <w:rFonts w:ascii="Times New Roman" w:eastAsia="Times New Roman" w:hAnsi="Times New Roman" w:cs="Times New Roman"/>
          <w:i/>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друга възможна транспортна връзка на Пристанище Варна с района на Добруджа и с </w:t>
      </w:r>
      <w:r w:rsidR="001A48C4">
        <w:rPr>
          <w:rFonts w:ascii="Times New Roman" w:eastAsia="Times New Roman" w:hAnsi="Times New Roman" w:cs="Times New Roman"/>
          <w:sz w:val="24"/>
          <w:szCs w:val="24"/>
          <w:lang w:val="bg-BG" w:eastAsia="bg-BG"/>
        </w:rPr>
        <w:t>Румъния</w:t>
      </w:r>
      <w:r w:rsidRPr="00610B1B">
        <w:rPr>
          <w:rFonts w:ascii="Times New Roman" w:eastAsia="Times New Roman" w:hAnsi="Times New Roman" w:cs="Times New Roman"/>
          <w:sz w:val="24"/>
          <w:szCs w:val="24"/>
          <w:lang w:val="bg-BG" w:eastAsia="bg-BG"/>
        </w:rPr>
        <w:t xml:space="preserve"> през ГКПП „Йовково”.</w:t>
      </w:r>
    </w:p>
    <w:p w14:paraId="018B023E" w14:textId="4B0E3AE4" w:rsidR="00410372" w:rsidRPr="00610B1B" w:rsidRDefault="00410372" w:rsidP="00B46189">
      <w:pPr>
        <w:numPr>
          <w:ilvl w:val="0"/>
          <w:numId w:val="4"/>
        </w:numPr>
        <w:autoSpaceDE w:val="0"/>
        <w:autoSpaceDN w:val="0"/>
        <w:adjustRightInd w:val="0"/>
        <w:spacing w:after="120"/>
        <w:ind w:left="714" w:right="-153" w:hanging="357"/>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i/>
          <w:sz w:val="24"/>
          <w:szCs w:val="24"/>
          <w:lang w:val="bg-BG" w:eastAsia="bg-BG"/>
        </w:rPr>
        <w:t>Третокласният път ІІІ-2008</w:t>
      </w:r>
      <w:r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iCs/>
          <w:sz w:val="24"/>
          <w:szCs w:val="24"/>
          <w:lang w:val="bg-BG" w:eastAsia="bg-BG"/>
        </w:rPr>
        <w:t>(Девня – Варна) – кв. Повеляново</w:t>
      </w:r>
      <w:r w:rsidR="00375B2C" w:rsidRPr="00610B1B">
        <w:rPr>
          <w:rFonts w:ascii="Times New Roman" w:eastAsia="Times New Roman" w:hAnsi="Times New Roman" w:cs="Times New Roman"/>
          <w:iCs/>
          <w:sz w:val="24"/>
          <w:szCs w:val="24"/>
          <w:lang w:val="bg-BG" w:eastAsia="bg-BG"/>
        </w:rPr>
        <w:t>-</w:t>
      </w:r>
      <w:r w:rsidRPr="00610B1B">
        <w:rPr>
          <w:rFonts w:ascii="Times New Roman" w:eastAsia="Times New Roman" w:hAnsi="Times New Roman" w:cs="Times New Roman"/>
          <w:iCs/>
          <w:sz w:val="24"/>
          <w:szCs w:val="24"/>
          <w:lang w:val="bg-BG" w:eastAsia="bg-BG"/>
        </w:rPr>
        <w:t>Езерово</w:t>
      </w:r>
      <w:r w:rsidR="00375B2C" w:rsidRPr="00610B1B">
        <w:rPr>
          <w:rFonts w:ascii="Times New Roman" w:eastAsia="Times New Roman" w:hAnsi="Times New Roman" w:cs="Times New Roman"/>
          <w:iCs/>
          <w:sz w:val="24"/>
          <w:szCs w:val="24"/>
          <w:lang w:val="bg-BG" w:eastAsia="bg-BG"/>
        </w:rPr>
        <w:t>-</w:t>
      </w:r>
      <w:r w:rsidRPr="00610B1B">
        <w:rPr>
          <w:rFonts w:ascii="Times New Roman" w:eastAsia="Times New Roman" w:hAnsi="Times New Roman" w:cs="Times New Roman"/>
          <w:iCs/>
          <w:sz w:val="24"/>
          <w:szCs w:val="24"/>
          <w:lang w:val="bg-BG" w:eastAsia="bg-BG"/>
        </w:rPr>
        <w:t>Варна</w:t>
      </w:r>
      <w:r w:rsidRPr="00610B1B">
        <w:rPr>
          <w:rFonts w:ascii="Times New Roman" w:eastAsia="Times New Roman" w:hAnsi="Times New Roman" w:cs="Times New Roman"/>
          <w:sz w:val="24"/>
          <w:szCs w:val="24"/>
          <w:lang w:val="bg-BG" w:eastAsia="bg-BG"/>
        </w:rPr>
        <w:t xml:space="preserve"> обслужва северния бряг на Варненското и Белославско езеро</w:t>
      </w:r>
      <w:r w:rsidR="00375B2C" w:rsidRPr="00610B1B">
        <w:rPr>
          <w:rFonts w:ascii="Times New Roman" w:eastAsia="Times New Roman" w:hAnsi="Times New Roman" w:cs="Times New Roman"/>
          <w:sz w:val="24"/>
          <w:szCs w:val="24"/>
          <w:lang w:val="bg-BG" w:eastAsia="bg-BG"/>
        </w:rPr>
        <w:t>.</w:t>
      </w:r>
    </w:p>
    <w:p w14:paraId="4CE1A38B" w14:textId="4D05D505" w:rsidR="00410372" w:rsidRPr="00610B1B" w:rsidRDefault="00410372" w:rsidP="00B46189">
      <w:pPr>
        <w:numPr>
          <w:ilvl w:val="0"/>
          <w:numId w:val="4"/>
        </w:numPr>
        <w:tabs>
          <w:tab w:val="left" w:pos="1095"/>
        </w:tabs>
        <w:spacing w:after="120"/>
        <w:ind w:left="714" w:right="-153" w:hanging="357"/>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i/>
          <w:sz w:val="24"/>
          <w:szCs w:val="24"/>
          <w:lang w:val="bg-BG" w:eastAsia="bg-BG"/>
        </w:rPr>
        <w:t xml:space="preserve">Третокласният път </w:t>
      </w:r>
      <w:r w:rsidRPr="00610B1B">
        <w:rPr>
          <w:rFonts w:ascii="Times New Roman" w:eastAsia="Times New Roman" w:hAnsi="Times New Roman" w:cs="Times New Roman"/>
          <w:bCs/>
          <w:i/>
          <w:color w:val="222222"/>
          <w:sz w:val="24"/>
          <w:szCs w:val="24"/>
          <w:shd w:val="clear" w:color="auto" w:fill="FFFFFF"/>
          <w:lang w:val="bg-BG" w:eastAsia="bg-BG"/>
        </w:rPr>
        <w:t>IIІ-9004</w:t>
      </w:r>
      <w:r w:rsidRPr="00610B1B">
        <w:rPr>
          <w:rFonts w:ascii="Times New Roman" w:eastAsia="Arial Unicode MS" w:hAnsi="Times New Roman" w:cs="Times New Roman"/>
          <w:color w:val="222222"/>
          <w:sz w:val="21"/>
          <w:szCs w:val="21"/>
          <w:lang w:val="bg-BG" w:eastAsia="bg-BG"/>
        </w:rPr>
        <w:t> </w:t>
      </w:r>
      <w:r w:rsidRPr="00610B1B">
        <w:rPr>
          <w:rFonts w:ascii="Times New Roman" w:eastAsia="Times New Roman" w:hAnsi="Times New Roman" w:cs="Times New Roman"/>
          <w:iCs/>
          <w:sz w:val="24"/>
          <w:szCs w:val="24"/>
          <w:lang w:val="bg-BG" w:eastAsia="bg-BG"/>
        </w:rPr>
        <w:t>Варна - Белослав-Разделна-Падина-Житница- (Провадия - Дългопол)</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w:t>
      </w:r>
      <w:r w:rsidR="000C67F0" w:rsidRPr="00610B1B">
        <w:rPr>
          <w:rFonts w:ascii="Times New Roman" w:eastAsia="Times New Roman" w:hAnsi="Times New Roman" w:cs="Times New Roman"/>
          <w:sz w:val="24"/>
          <w:szCs w:val="24"/>
          <w:lang w:val="bg-BG" w:eastAsia="bg-BG"/>
        </w:rPr>
        <w:t xml:space="preserve"> </w:t>
      </w:r>
      <w:r w:rsidR="00375B2C" w:rsidRPr="00610B1B">
        <w:rPr>
          <w:rFonts w:ascii="Times New Roman" w:eastAsia="Times New Roman" w:hAnsi="Times New Roman" w:cs="Times New Roman"/>
          <w:sz w:val="24"/>
          <w:szCs w:val="24"/>
          <w:lang w:val="bg-BG" w:eastAsia="bg-BG"/>
        </w:rPr>
        <w:t xml:space="preserve">обслужва </w:t>
      </w:r>
      <w:r w:rsidRPr="00610B1B">
        <w:rPr>
          <w:rFonts w:ascii="Times New Roman" w:eastAsia="Times New Roman" w:hAnsi="Times New Roman" w:cs="Times New Roman"/>
          <w:sz w:val="24"/>
          <w:szCs w:val="24"/>
          <w:lang w:val="bg-BG" w:eastAsia="bg-BG"/>
        </w:rPr>
        <w:t>южния бряг на двете езера.</w:t>
      </w:r>
    </w:p>
    <w:p w14:paraId="1EFF2A3A" w14:textId="43CE7F1F" w:rsidR="00115C8D" w:rsidRPr="00610B1B" w:rsidRDefault="00410372" w:rsidP="00D32D6A">
      <w:pPr>
        <w:tabs>
          <w:tab w:val="left" w:pos="1095"/>
        </w:tabs>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Населените места по крайбрежие</w:t>
      </w:r>
      <w:r w:rsidR="00115C8D" w:rsidRPr="00610B1B">
        <w:rPr>
          <w:rFonts w:ascii="Times New Roman" w:eastAsia="Times New Roman" w:hAnsi="Times New Roman" w:cs="Times New Roman"/>
          <w:sz w:val="24"/>
          <w:szCs w:val="24"/>
          <w:lang w:val="bg-BG" w:eastAsia="bg-BG"/>
        </w:rPr>
        <w:t>то</w:t>
      </w:r>
      <w:r w:rsidRPr="00610B1B">
        <w:rPr>
          <w:rFonts w:ascii="Times New Roman" w:eastAsia="Times New Roman" w:hAnsi="Times New Roman" w:cs="Times New Roman"/>
          <w:sz w:val="24"/>
          <w:szCs w:val="24"/>
          <w:lang w:val="bg-BG" w:eastAsia="bg-BG"/>
        </w:rPr>
        <w:t xml:space="preserve"> се обслужват от участъци на общинската пътна</w:t>
      </w:r>
      <w:r w:rsidR="00115C8D"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мрежа.</w:t>
      </w:r>
    </w:p>
    <w:p w14:paraId="63EF9E6D" w14:textId="77777777" w:rsidR="008E37F5" w:rsidRPr="00610B1B" w:rsidRDefault="008E37F5" w:rsidP="00D32D6A">
      <w:pPr>
        <w:tabs>
          <w:tab w:val="left" w:pos="1095"/>
        </w:tabs>
        <w:spacing w:after="120"/>
        <w:ind w:right="-153"/>
        <w:jc w:val="both"/>
        <w:rPr>
          <w:rFonts w:ascii="Times New Roman" w:eastAsia="Times New Roman" w:hAnsi="Times New Roman" w:cs="Times New Roman"/>
          <w:sz w:val="24"/>
          <w:szCs w:val="24"/>
          <w:lang w:val="bg-BG" w:eastAsia="bg-BG"/>
        </w:rPr>
      </w:pPr>
    </w:p>
    <w:p w14:paraId="5D4253B9" w14:textId="64647B2F" w:rsidR="00AE1E21" w:rsidRPr="00610B1B" w:rsidRDefault="00115C8D" w:rsidP="00D32D6A">
      <w:pPr>
        <w:pStyle w:val="Heading2"/>
        <w:spacing w:before="0" w:line="276" w:lineRule="auto"/>
        <w:ind w:right="-153"/>
        <w:rPr>
          <w:rFonts w:cs="Times New Roman"/>
          <w:i/>
          <w:sz w:val="24"/>
          <w:szCs w:val="24"/>
        </w:rPr>
      </w:pPr>
      <w:bookmarkStart w:id="351" w:name="_Toc83391376"/>
      <w:r w:rsidRPr="00610B1B">
        <w:rPr>
          <w:rFonts w:cs="Times New Roman"/>
        </w:rPr>
        <w:t>3</w:t>
      </w:r>
      <w:r w:rsidR="00966356" w:rsidRPr="00610B1B">
        <w:rPr>
          <w:rFonts w:cs="Times New Roman"/>
        </w:rPr>
        <w:t>.</w:t>
      </w:r>
      <w:r w:rsidR="00BF0D18" w:rsidRPr="00610B1B">
        <w:rPr>
          <w:rFonts w:cs="Times New Roman"/>
        </w:rPr>
        <w:t>2</w:t>
      </w:r>
      <w:r w:rsidR="00966356" w:rsidRPr="00610B1B">
        <w:rPr>
          <w:rFonts w:cs="Times New Roman"/>
        </w:rPr>
        <w:t xml:space="preserve">. </w:t>
      </w:r>
      <w:r w:rsidR="00AE1E21" w:rsidRPr="00610B1B">
        <w:rPr>
          <w:rFonts w:cs="Times New Roman"/>
        </w:rPr>
        <w:t>Рибарство и аквакултури</w:t>
      </w:r>
      <w:bookmarkEnd w:id="351"/>
      <w:r w:rsidR="007815F4" w:rsidRPr="00610B1B">
        <w:rPr>
          <w:rFonts w:cs="Times New Roman"/>
        </w:rPr>
        <w:t xml:space="preserve"> </w:t>
      </w:r>
    </w:p>
    <w:p w14:paraId="7A55EFF2" w14:textId="7AF3F51E" w:rsidR="00115C8D" w:rsidRPr="00610B1B" w:rsidRDefault="000A6746" w:rsidP="00D32D6A">
      <w:pPr>
        <w:spacing w:after="120"/>
        <w:ind w:right="-153"/>
        <w:jc w:val="both"/>
        <w:rPr>
          <w:rFonts w:ascii="Times New Roman" w:hAnsi="Times New Roman" w:cs="Times New Roman"/>
          <w:color w:val="000000"/>
          <w:shd w:val="clear" w:color="auto" w:fill="FFFFFF"/>
          <w:lang w:val="bg-BG"/>
        </w:rPr>
      </w:pPr>
      <w:r>
        <w:rPr>
          <w:rFonts w:ascii="Times New Roman" w:eastAsia="Calibri" w:hAnsi="Times New Roman" w:cs="Times New Roman"/>
          <w:sz w:val="24"/>
          <w:szCs w:val="24"/>
          <w:lang w:val="bg-BG"/>
        </w:rPr>
        <w:t>Министерство на земеделието</w:t>
      </w:r>
      <w:r w:rsidR="002F1337" w:rsidRPr="00610B1B">
        <w:rPr>
          <w:rFonts w:ascii="Times New Roman" w:eastAsia="Calibri" w:hAnsi="Times New Roman" w:cs="Times New Roman"/>
          <w:sz w:val="24"/>
          <w:szCs w:val="24"/>
          <w:lang w:val="bg-BG"/>
        </w:rPr>
        <w:t xml:space="preserve">осъществява провеждането на държавна политика в областта на рибарството и аквакултурите и прилагането на Общата политика в областта на рибарството и Общата организация на пазарите на </w:t>
      </w:r>
      <w:r w:rsidR="00E04172" w:rsidRPr="00610B1B">
        <w:rPr>
          <w:rFonts w:ascii="Times New Roman" w:eastAsia="Calibri" w:hAnsi="Times New Roman" w:cs="Times New Roman"/>
          <w:sz w:val="24"/>
          <w:szCs w:val="24"/>
          <w:lang w:val="bg-BG"/>
        </w:rPr>
        <w:t>продукти</w:t>
      </w:r>
      <w:r w:rsidR="002F1337" w:rsidRPr="00610B1B">
        <w:rPr>
          <w:rFonts w:ascii="Times New Roman" w:eastAsia="Calibri" w:hAnsi="Times New Roman" w:cs="Times New Roman"/>
          <w:sz w:val="24"/>
          <w:szCs w:val="24"/>
          <w:lang w:val="bg-BG"/>
        </w:rPr>
        <w:t xml:space="preserve"> от риболов и аквакултури. </w:t>
      </w:r>
      <w:r w:rsidR="00115C8D" w:rsidRPr="00610B1B">
        <w:rPr>
          <w:rFonts w:ascii="Times New Roman" w:eastAsia="Calibri" w:hAnsi="Times New Roman" w:cs="Times New Roman"/>
          <w:sz w:val="24"/>
          <w:szCs w:val="24"/>
          <w:lang w:val="bg-BG"/>
        </w:rPr>
        <w:t xml:space="preserve">Изпълнителна агенция по рибарство и аквакултури </w:t>
      </w:r>
      <w:r w:rsidR="00115C8D" w:rsidRPr="00610B1B">
        <w:rPr>
          <w:rFonts w:ascii="Times New Roman" w:hAnsi="Times New Roman" w:cs="Times New Roman"/>
          <w:sz w:val="24"/>
          <w:szCs w:val="24"/>
          <w:shd w:val="clear" w:color="auto" w:fill="FFFFFF"/>
          <w:lang w:val="bg-BG"/>
        </w:rPr>
        <w:t>(ИАРА), със седалище в град Бургас, упражнява контрол по прилагането на Закона за рибарството и аквакултурите и</w:t>
      </w:r>
      <w:r w:rsidR="00D66FE0" w:rsidRPr="00610B1B">
        <w:rPr>
          <w:rFonts w:ascii="Times New Roman" w:hAnsi="Times New Roman" w:cs="Times New Roman"/>
          <w:sz w:val="24"/>
          <w:szCs w:val="24"/>
          <w:shd w:val="clear" w:color="auto" w:fill="FFFFFF"/>
          <w:lang w:val="bg-BG"/>
        </w:rPr>
        <w:t xml:space="preserve"> </w:t>
      </w:r>
      <w:r w:rsidR="00115C8D" w:rsidRPr="00610B1B">
        <w:rPr>
          <w:rFonts w:ascii="Times New Roman" w:hAnsi="Times New Roman" w:cs="Times New Roman"/>
          <w:sz w:val="24"/>
          <w:szCs w:val="24"/>
          <w:shd w:val="clear" w:color="auto" w:fill="FFFFFF"/>
          <w:lang w:val="bg-BG"/>
        </w:rPr>
        <w:t>осъществява дейностите, свързани с прилагането на Общата политика в областта на рибарството</w:t>
      </w:r>
      <w:r w:rsidR="00D66FE0" w:rsidRPr="00610B1B">
        <w:rPr>
          <w:rFonts w:ascii="Times New Roman" w:hAnsi="Times New Roman" w:cs="Times New Roman"/>
          <w:sz w:val="24"/>
          <w:szCs w:val="24"/>
          <w:shd w:val="clear" w:color="auto" w:fill="FFFFFF"/>
          <w:lang w:val="bg-BG"/>
        </w:rPr>
        <w:t xml:space="preserve"> </w:t>
      </w:r>
      <w:r w:rsidR="00115C8D" w:rsidRPr="00610B1B">
        <w:rPr>
          <w:rFonts w:ascii="Times New Roman" w:hAnsi="Times New Roman" w:cs="Times New Roman"/>
          <w:sz w:val="24"/>
          <w:szCs w:val="24"/>
          <w:shd w:val="clear" w:color="auto" w:fill="FFFFFF"/>
          <w:lang w:val="bg-BG"/>
        </w:rPr>
        <w:t xml:space="preserve">на Европейския </w:t>
      </w:r>
      <w:r w:rsidR="00115C8D" w:rsidRPr="00610B1B">
        <w:rPr>
          <w:rFonts w:ascii="Times New Roman" w:hAnsi="Times New Roman" w:cs="Times New Roman"/>
          <w:color w:val="000000"/>
          <w:sz w:val="24"/>
          <w:szCs w:val="24"/>
          <w:shd w:val="clear" w:color="auto" w:fill="FFFFFF"/>
          <w:lang w:val="bg-BG"/>
        </w:rPr>
        <w:t xml:space="preserve">съюз (ЕС). </w:t>
      </w:r>
      <w:r w:rsidR="00115C8D" w:rsidRPr="00610B1B">
        <w:rPr>
          <w:rFonts w:ascii="Times New Roman" w:hAnsi="Times New Roman" w:cs="Times New Roman"/>
          <w:sz w:val="24"/>
          <w:szCs w:val="24"/>
          <w:lang w:val="bg-BG"/>
        </w:rPr>
        <w:t xml:space="preserve">Общата политика в </w:t>
      </w:r>
      <w:r w:rsidR="006011C0" w:rsidRPr="00610B1B">
        <w:rPr>
          <w:rFonts w:ascii="Times New Roman" w:hAnsi="Times New Roman" w:cs="Times New Roman"/>
          <w:sz w:val="24"/>
          <w:szCs w:val="24"/>
          <w:lang w:val="bg-BG"/>
        </w:rPr>
        <w:t>областта</w:t>
      </w:r>
      <w:r w:rsidR="00115C8D" w:rsidRPr="00610B1B">
        <w:rPr>
          <w:rFonts w:ascii="Times New Roman" w:hAnsi="Times New Roman" w:cs="Times New Roman"/>
          <w:sz w:val="24"/>
          <w:szCs w:val="24"/>
          <w:lang w:val="bg-BG"/>
        </w:rPr>
        <w:t xml:space="preserve"> на рибарството</w:t>
      </w:r>
      <w:r w:rsidR="00D66FE0"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е набор от правила за управление на европейските риболовни флотове и опазване на рибните запаси. Чрез нея се управлява общ ресурс, като се осигурява равен достъп на европейските риболовни флотове до водите и риболовните зони на ЕС и се дава възможност на рибарите да се конкурират лоялно. Макар, че рибните запаси са възобновяеми, част от тях</w:t>
      </w:r>
      <w:r w:rsidR="00D66FE0"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могат да бъдат изчерпани. Поради това страните от ЕС предприе</w:t>
      </w:r>
      <w:r w:rsidR="00D039AE" w:rsidRPr="00610B1B">
        <w:rPr>
          <w:rFonts w:ascii="Times New Roman" w:hAnsi="Times New Roman" w:cs="Times New Roman"/>
          <w:sz w:val="24"/>
          <w:szCs w:val="24"/>
          <w:lang w:val="bg-BG"/>
        </w:rPr>
        <w:t>мат</w:t>
      </w:r>
      <w:r w:rsidR="00115C8D" w:rsidRPr="00610B1B">
        <w:rPr>
          <w:rFonts w:ascii="Times New Roman" w:hAnsi="Times New Roman" w:cs="Times New Roman"/>
          <w:sz w:val="24"/>
          <w:szCs w:val="24"/>
          <w:lang w:val="bg-BG"/>
        </w:rPr>
        <w:t xml:space="preserve"> мерки, с които да гарантират, че европейската риболовна промишленост е устойчива и не застрашава размера и възпроизводството на рибните популации в дългосрочен план</w:t>
      </w:r>
      <w:r w:rsidR="00D039AE" w:rsidRPr="00610B1B">
        <w:rPr>
          <w:rFonts w:ascii="Times New Roman" w:hAnsi="Times New Roman" w:cs="Times New Roman"/>
          <w:sz w:val="24"/>
          <w:szCs w:val="24"/>
          <w:lang w:val="bg-BG"/>
        </w:rPr>
        <w:t>. П</w:t>
      </w:r>
      <w:r w:rsidR="00115C8D" w:rsidRPr="00610B1B">
        <w:rPr>
          <w:rFonts w:ascii="Times New Roman" w:hAnsi="Times New Roman" w:cs="Times New Roman"/>
          <w:sz w:val="24"/>
          <w:szCs w:val="24"/>
          <w:lang w:val="bg-BG"/>
        </w:rPr>
        <w:t xml:space="preserve">оследните актуални промени в Общата политика в областта на рибарството </w:t>
      </w:r>
      <w:r w:rsidR="00D039AE" w:rsidRPr="00610B1B">
        <w:rPr>
          <w:rFonts w:ascii="Times New Roman" w:hAnsi="Times New Roman" w:cs="Times New Roman"/>
          <w:sz w:val="24"/>
          <w:szCs w:val="24"/>
          <w:lang w:val="bg-BG"/>
        </w:rPr>
        <w:t>са</w:t>
      </w:r>
      <w:r w:rsidR="00115C8D" w:rsidRPr="00610B1B">
        <w:rPr>
          <w:rFonts w:ascii="Times New Roman" w:hAnsi="Times New Roman" w:cs="Times New Roman"/>
          <w:sz w:val="24"/>
          <w:szCs w:val="24"/>
          <w:lang w:val="bg-BG"/>
        </w:rPr>
        <w:t xml:space="preserve"> в сила </w:t>
      </w:r>
      <w:r w:rsidR="00D039AE" w:rsidRPr="00610B1B">
        <w:rPr>
          <w:rFonts w:ascii="Times New Roman" w:hAnsi="Times New Roman" w:cs="Times New Roman"/>
          <w:sz w:val="24"/>
          <w:szCs w:val="24"/>
          <w:lang w:val="bg-BG"/>
        </w:rPr>
        <w:t>от</w:t>
      </w:r>
      <w:r w:rsidR="00D66FE0"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 xml:space="preserve">2014 г. </w:t>
      </w:r>
      <w:r w:rsidR="00D039AE" w:rsidRPr="00610B1B">
        <w:rPr>
          <w:rFonts w:ascii="Times New Roman" w:hAnsi="Times New Roman" w:cs="Times New Roman"/>
          <w:sz w:val="24"/>
          <w:szCs w:val="24"/>
          <w:lang w:val="bg-BG"/>
        </w:rPr>
        <w:t xml:space="preserve">(Регламент </w:t>
      </w:r>
      <w:r w:rsidR="00115C8D" w:rsidRPr="00610B1B">
        <w:rPr>
          <w:rFonts w:ascii="Times New Roman" w:hAnsi="Times New Roman" w:cs="Times New Roman"/>
          <w:sz w:val="24"/>
          <w:szCs w:val="24"/>
          <w:lang w:val="bg-BG"/>
        </w:rPr>
        <w:t xml:space="preserve">(ЕС) № 1380/2013 на </w:t>
      </w:r>
      <w:r w:rsidR="00D039AE" w:rsidRPr="00610B1B">
        <w:rPr>
          <w:rFonts w:ascii="Times New Roman" w:hAnsi="Times New Roman" w:cs="Times New Roman"/>
          <w:sz w:val="24"/>
          <w:szCs w:val="24"/>
          <w:lang w:val="bg-BG"/>
        </w:rPr>
        <w:t xml:space="preserve">Европейския парламент и на Съвета </w:t>
      </w:r>
      <w:r w:rsidR="00115C8D" w:rsidRPr="00610B1B">
        <w:rPr>
          <w:rFonts w:ascii="Times New Roman" w:hAnsi="Times New Roman" w:cs="Times New Roman"/>
          <w:sz w:val="24"/>
          <w:szCs w:val="24"/>
          <w:lang w:val="bg-BG"/>
        </w:rPr>
        <w:t>от 11 декември 2013 г.</w:t>
      </w:r>
      <w:r w:rsidR="00D039AE" w:rsidRPr="00610B1B">
        <w:rPr>
          <w:rFonts w:ascii="Times New Roman" w:hAnsi="Times New Roman" w:cs="Times New Roman"/>
          <w:sz w:val="24"/>
          <w:szCs w:val="24"/>
          <w:lang w:val="bg-BG"/>
        </w:rPr>
        <w:t>)</w:t>
      </w:r>
      <w:r w:rsidR="009907CE" w:rsidRPr="00D72982">
        <w:rPr>
          <w:rFonts w:ascii="Times New Roman" w:hAnsi="Times New Roman" w:cs="Times New Roman"/>
          <w:sz w:val="24"/>
          <w:szCs w:val="24"/>
          <w:lang w:val="bg-BG"/>
        </w:rPr>
        <w:t>.</w:t>
      </w:r>
      <w:r w:rsidR="00115C8D" w:rsidRPr="00610B1B">
        <w:rPr>
          <w:rFonts w:ascii="Times New Roman" w:hAnsi="Times New Roman" w:cs="Times New Roman"/>
          <w:color w:val="000000"/>
          <w:shd w:val="clear" w:color="auto" w:fill="FFFFFF"/>
          <w:lang w:val="bg-BG"/>
        </w:rPr>
        <w:t xml:space="preserve"> </w:t>
      </w:r>
    </w:p>
    <w:p w14:paraId="68921D02" w14:textId="77777777" w:rsidR="009907CE" w:rsidRPr="00610B1B" w:rsidRDefault="009907CE" w:rsidP="00D32D6A">
      <w:pPr>
        <w:spacing w:after="120"/>
        <w:ind w:right="-153"/>
        <w:jc w:val="both"/>
        <w:rPr>
          <w:rFonts w:ascii="Times New Roman" w:hAnsi="Times New Roman" w:cs="Times New Roman"/>
          <w:color w:val="000000"/>
          <w:shd w:val="clear" w:color="auto" w:fill="FFFFFF"/>
          <w:lang w:val="bg-BG"/>
        </w:rPr>
      </w:pPr>
    </w:p>
    <w:p w14:paraId="422F55D5" w14:textId="6009307E" w:rsidR="00D039AE" w:rsidRPr="00610B1B" w:rsidRDefault="00D039AE" w:rsidP="00D32D6A">
      <w:pPr>
        <w:pStyle w:val="Heading3"/>
        <w:spacing w:before="0" w:line="276" w:lineRule="auto"/>
        <w:ind w:right="-153"/>
        <w:rPr>
          <w:rFonts w:cs="Times New Roman"/>
        </w:rPr>
      </w:pPr>
      <w:bookmarkStart w:id="352" w:name="_Toc83391377"/>
      <w:r w:rsidRPr="00610B1B">
        <w:rPr>
          <w:rFonts w:cs="Times New Roman"/>
        </w:rPr>
        <w:t>3.2.</w:t>
      </w:r>
      <w:r w:rsidR="00FA2174" w:rsidRPr="00610B1B">
        <w:rPr>
          <w:rFonts w:cs="Times New Roman"/>
        </w:rPr>
        <w:t>1</w:t>
      </w:r>
      <w:r w:rsidRPr="00610B1B">
        <w:rPr>
          <w:rFonts w:cs="Times New Roman"/>
        </w:rPr>
        <w:t>. Сектор Рибарство</w:t>
      </w:r>
      <w:bookmarkEnd w:id="352"/>
    </w:p>
    <w:p w14:paraId="1D0BBF70" w14:textId="495950A9"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Сектор рибарство е съставен от 4 направления разделени на любителски риболов, стопански риболов, аквакултурни стопанства и рибопреработка. За да се направи оценка на значимостта на всяко едно направление се използва скала от три нива (високо, средно и ниско)* на база експертна оценка, отчитаща индикатори на дейностите</w:t>
      </w:r>
      <w:r w:rsidR="00511CA6"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свързани със сектора като социален (високи нива на заетост), икономически (стабилни икономически показатели), екологичен (ниско въздействие върху околна среда), биологичен (натиск върху ресурса) и технически (прекомерна експлоатация). Всеки един от тези индикатори е пряко зависим от начина на експлоатация на биологичния и природен ресурс.</w:t>
      </w:r>
    </w:p>
    <w:p w14:paraId="4BE02826" w14:textId="6490B861" w:rsidR="00115C8D" w:rsidRPr="00610B1B" w:rsidRDefault="00FA2174" w:rsidP="00D32D6A">
      <w:pPr>
        <w:pStyle w:val="Heading4"/>
        <w:spacing w:before="0" w:line="276" w:lineRule="auto"/>
        <w:ind w:right="-153"/>
        <w:rPr>
          <w:rFonts w:cs="Times New Roman"/>
        </w:rPr>
      </w:pPr>
      <w:r w:rsidRPr="00610B1B">
        <w:rPr>
          <w:rFonts w:cs="Times New Roman"/>
        </w:rPr>
        <w:t>3.2.1</w:t>
      </w:r>
      <w:r w:rsidR="00D039AE" w:rsidRPr="00610B1B">
        <w:rPr>
          <w:rFonts w:cs="Times New Roman"/>
        </w:rPr>
        <w:t xml:space="preserve">.1. </w:t>
      </w:r>
      <w:r w:rsidR="00115C8D" w:rsidRPr="00610B1B">
        <w:rPr>
          <w:rFonts w:cs="Times New Roman"/>
        </w:rPr>
        <w:t>Л</w:t>
      </w:r>
      <w:r w:rsidR="00D039AE" w:rsidRPr="00610B1B">
        <w:rPr>
          <w:rFonts w:cs="Times New Roman"/>
        </w:rPr>
        <w:t>юбителски риболов</w:t>
      </w:r>
    </w:p>
    <w:p w14:paraId="654DE338" w14:textId="09FC71F4"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Любителският риболов се дефинира като риболов на водни животни (главно риба), който </w:t>
      </w:r>
      <w:r w:rsidR="002F1337" w:rsidRPr="00610B1B">
        <w:rPr>
          <w:rFonts w:ascii="Times New Roman" w:hAnsi="Times New Roman" w:cs="Times New Roman"/>
          <w:sz w:val="24"/>
          <w:szCs w:val="24"/>
          <w:lang w:val="bg-BG"/>
        </w:rPr>
        <w:t xml:space="preserve">Любителският риболов </w:t>
      </w:r>
      <w:r w:rsidR="002F1337" w:rsidRPr="00610B1B">
        <w:rPr>
          <w:rFonts w:ascii="Times New Roman" w:eastAsia="Calibri" w:hAnsi="Times New Roman" w:cs="Times New Roman"/>
          <w:sz w:val="24"/>
          <w:szCs w:val="24"/>
          <w:lang w:val="bg-BG"/>
        </w:rPr>
        <w:t>е дейност, при която се извършва улов на риба и други водни организми от физически лица за развлечение или със спортно- състезателен характер, организиран по определени за това правила</w:t>
      </w:r>
      <w:r w:rsidR="002F1337" w:rsidRPr="00610B1B">
        <w:rPr>
          <w:rFonts w:ascii="Times New Roman" w:hAnsi="Times New Roman" w:cs="Times New Roman"/>
          <w:sz w:val="24"/>
          <w:szCs w:val="24"/>
          <w:lang w:val="bg-BG"/>
        </w:rPr>
        <w:t xml:space="preserve"> с. Любителски риболов се извършва в</w:t>
      </w:r>
      <w:r w:rsidR="008753B6" w:rsidRPr="00610B1B">
        <w:rPr>
          <w:rFonts w:ascii="Times New Roman" w:hAnsi="Times New Roman" w:cs="Times New Roman"/>
          <w:sz w:val="24"/>
          <w:szCs w:val="24"/>
          <w:lang w:val="bg-BG"/>
        </w:rPr>
        <w:t xml:space="preserve"> </w:t>
      </w:r>
      <w:r w:rsidR="002F1337" w:rsidRPr="00610B1B">
        <w:rPr>
          <w:rFonts w:ascii="Times New Roman" w:hAnsi="Times New Roman" w:cs="Times New Roman"/>
          <w:sz w:val="24"/>
          <w:szCs w:val="24"/>
          <w:lang w:val="bg-BG"/>
        </w:rPr>
        <w:t xml:space="preserve">Черно море са вътрешните морски води, териториалното море и изключителната икономическа зона, а също и крайморските езера и блата, вливащите се в Черно море реки. </w:t>
      </w:r>
      <w:r w:rsidRPr="00610B1B">
        <w:rPr>
          <w:rFonts w:ascii="Times New Roman" w:hAnsi="Times New Roman" w:cs="Times New Roman"/>
          <w:sz w:val="24"/>
          <w:szCs w:val="24"/>
          <w:lang w:val="bg-BG"/>
        </w:rPr>
        <w:t>Лицата, упражняващи любителски риболов, са ограничени да използват не повече от 3 броя въдици (пръчки) за риболов, с монтирани на тях до две куки (единични или двойни) в Черно море</w:t>
      </w:r>
      <w:r w:rsidR="009F21A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като може да се постави чепаре на една от въдиците. Това ограничение определя нивото на техническия индикатор като ниско. От видовото разнообразие в Черно море, разрешени за любителски риболов са всички</w:t>
      </w:r>
      <w:r w:rsidR="00D039AE" w:rsidRPr="00610B1B">
        <w:rPr>
          <w:rFonts w:ascii="Times New Roman" w:hAnsi="Times New Roman" w:cs="Times New Roman"/>
          <w:sz w:val="24"/>
          <w:szCs w:val="24"/>
          <w:lang w:val="bg-BG"/>
        </w:rPr>
        <w:t xml:space="preserve"> видове риби</w:t>
      </w:r>
      <w:r w:rsidRPr="00610B1B">
        <w:rPr>
          <w:rFonts w:ascii="Times New Roman" w:hAnsi="Times New Roman" w:cs="Times New Roman"/>
          <w:sz w:val="24"/>
          <w:szCs w:val="24"/>
          <w:lang w:val="bg-BG"/>
        </w:rPr>
        <w:t xml:space="preserve">, с изключение на тези, </w:t>
      </w:r>
      <w:r w:rsidRPr="00610B1B">
        <w:rPr>
          <w:rFonts w:ascii="Times New Roman" w:hAnsi="Times New Roman" w:cs="Times New Roman"/>
          <w:sz w:val="24"/>
          <w:szCs w:val="24"/>
          <w:lang w:val="bg-BG"/>
        </w:rPr>
        <w:lastRenderedPageBreak/>
        <w:t>които са обект на квота цаца European sprat (</w:t>
      </w:r>
      <w:r w:rsidRPr="00610B1B">
        <w:rPr>
          <w:rFonts w:ascii="Times New Roman" w:hAnsi="Times New Roman" w:cs="Times New Roman"/>
          <w:i/>
          <w:sz w:val="24"/>
          <w:szCs w:val="24"/>
          <w:lang w:val="bg-BG"/>
        </w:rPr>
        <w:t>Sprattus sulinus</w:t>
      </w:r>
      <w:r w:rsidRPr="00610B1B">
        <w:rPr>
          <w:rFonts w:ascii="Times New Roman" w:hAnsi="Times New Roman" w:cs="Times New Roman"/>
          <w:sz w:val="24"/>
          <w:szCs w:val="24"/>
          <w:lang w:val="bg-BG"/>
        </w:rPr>
        <w:t>) и калкан (</w:t>
      </w:r>
      <w:r w:rsidRPr="00610B1B">
        <w:rPr>
          <w:rFonts w:ascii="Times New Roman" w:hAnsi="Times New Roman" w:cs="Times New Roman"/>
          <w:bCs/>
          <w:i/>
          <w:iCs/>
          <w:sz w:val="24"/>
          <w:szCs w:val="24"/>
          <w:lang w:val="bg-BG"/>
        </w:rPr>
        <w:t>Scophthalums</w:t>
      </w:r>
      <w:r w:rsidRPr="00610B1B">
        <w:rPr>
          <w:rFonts w:ascii="Times New Roman" w:eastAsia="Times New Roman" w:hAnsi="Times New Roman" w:cs="Times New Roman"/>
          <w:sz w:val="24"/>
          <w:szCs w:val="24"/>
          <w:lang w:val="bg-BG" w:eastAsia="bg-BG"/>
        </w:rPr>
        <w:t xml:space="preserve"> </w:t>
      </w:r>
      <w:r w:rsidRPr="00610B1B">
        <w:rPr>
          <w:rFonts w:ascii="Times New Roman" w:hAnsi="Times New Roman" w:cs="Times New Roman"/>
          <w:bCs/>
          <w:i/>
          <w:iCs/>
          <w:sz w:val="24"/>
          <w:szCs w:val="24"/>
          <w:lang w:val="bg-BG"/>
        </w:rPr>
        <w:t>maximus</w:t>
      </w:r>
      <w:r w:rsidRPr="00610B1B">
        <w:rPr>
          <w:rFonts w:ascii="Times New Roman" w:hAnsi="Times New Roman" w:cs="Times New Roman"/>
          <w:b/>
          <w:bCs/>
          <w:i/>
          <w:iCs/>
          <w:sz w:val="24"/>
          <w:szCs w:val="24"/>
          <w:lang w:val="bg-BG"/>
        </w:rPr>
        <w:t>)</w:t>
      </w:r>
      <w:r w:rsidRPr="00610B1B">
        <w:rPr>
          <w:rFonts w:ascii="Times New Roman" w:hAnsi="Times New Roman" w:cs="Times New Roman"/>
          <w:sz w:val="24"/>
          <w:szCs w:val="24"/>
          <w:lang w:val="bg-BG"/>
        </w:rPr>
        <w:t>). По данни на ИАРА съотношение на издадените билети за любителски риболов във вътрешността на Република България с този на черноморския регион за период</w:t>
      </w:r>
      <w:r w:rsidR="009F21A7"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2016-201</w:t>
      </w:r>
      <w:r w:rsidR="00DC4656" w:rsidRPr="00610B1B">
        <w:rPr>
          <w:rFonts w:ascii="Times New Roman" w:hAnsi="Times New Roman" w:cs="Times New Roman"/>
          <w:sz w:val="24"/>
          <w:szCs w:val="24"/>
          <w:lang w:val="bg-BG"/>
        </w:rPr>
        <w:t>9</w:t>
      </w:r>
      <w:r w:rsidRPr="00610B1B">
        <w:rPr>
          <w:rFonts w:ascii="Times New Roman" w:hAnsi="Times New Roman" w:cs="Times New Roman"/>
          <w:sz w:val="24"/>
          <w:szCs w:val="24"/>
          <w:lang w:val="bg-BG"/>
        </w:rPr>
        <w:t xml:space="preserve"> г.</w:t>
      </w:r>
      <w:r w:rsidR="009F21A7" w:rsidRPr="00610B1B">
        <w:rPr>
          <w:rFonts w:ascii="Times New Roman" w:hAnsi="Times New Roman" w:cs="Times New Roman"/>
          <w:sz w:val="24"/>
          <w:szCs w:val="24"/>
          <w:lang w:val="bg-BG"/>
        </w:rPr>
        <w:t xml:space="preserve"> се запазва</w:t>
      </w:r>
      <w:r w:rsidRPr="00610B1B">
        <w:rPr>
          <w:rFonts w:ascii="Times New Roman" w:hAnsi="Times New Roman" w:cs="Times New Roman"/>
          <w:sz w:val="24"/>
          <w:szCs w:val="24"/>
          <w:lang w:val="bg-BG"/>
        </w:rPr>
        <w:t xml:space="preserve"> и през трите години</w:t>
      </w:r>
      <w:r w:rsidR="009F21A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като в Черноморския регион издадените разрешения са едва 6% от общия брой за страната. </w:t>
      </w:r>
      <w:r w:rsidR="009F21A7" w:rsidRPr="00610B1B">
        <w:rPr>
          <w:rFonts w:ascii="Times New Roman" w:hAnsi="Times New Roman" w:cs="Times New Roman"/>
          <w:sz w:val="24"/>
          <w:szCs w:val="24"/>
          <w:lang w:val="bg-BG"/>
        </w:rPr>
        <w:t xml:space="preserve">Те нарастват леко от 13 436 бр. през 2016 г. на </w:t>
      </w:r>
      <w:r w:rsidR="00DC4656" w:rsidRPr="00610B1B">
        <w:rPr>
          <w:rFonts w:ascii="Times New Roman" w:hAnsi="Times New Roman" w:cs="Times New Roman"/>
          <w:sz w:val="24"/>
          <w:szCs w:val="24"/>
          <w:lang w:val="bg-BG"/>
        </w:rPr>
        <w:t>19 397 бр. през 2019 г</w:t>
      </w:r>
      <w:r w:rsidR="009F21A7"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Това се дължи главно на изключението в чл. 23, ал. 1 от Закона за рибарството и </w:t>
      </w:r>
      <w:r w:rsidR="006011C0" w:rsidRPr="00610B1B">
        <w:rPr>
          <w:rFonts w:ascii="Times New Roman" w:hAnsi="Times New Roman" w:cs="Times New Roman"/>
          <w:sz w:val="24"/>
          <w:szCs w:val="24"/>
          <w:lang w:val="bg-BG"/>
        </w:rPr>
        <w:t>аквакултурите</w:t>
      </w:r>
      <w:r w:rsidRPr="00610B1B">
        <w:rPr>
          <w:rStyle w:val="FootnoteReference"/>
          <w:rFonts w:ascii="Times New Roman" w:hAnsi="Times New Roman" w:cs="Times New Roman"/>
          <w:szCs w:val="24"/>
          <w:lang w:val="bg-BG"/>
        </w:rPr>
        <w:footnoteReference w:id="115"/>
      </w:r>
      <w:r w:rsidRPr="00610B1B">
        <w:rPr>
          <w:rFonts w:ascii="Times New Roman" w:hAnsi="Times New Roman" w:cs="Times New Roman"/>
          <w:sz w:val="24"/>
          <w:szCs w:val="24"/>
          <w:lang w:val="bg-BG"/>
        </w:rPr>
        <w:t xml:space="preserve">, където се посочва, че във водите на Черно море не се изисква риболовен билет. Отчитайки тази особеност може да се направи заключение, че броят на лицата, упражняващи любителски риболов, е значително по-голям, което поставя социалния индикатор на високо равнище. Това от своя страна представлява висок риск за биологичното разнообразие на рибния ресурс. Широкоразпространената практика уловената риба да се връща обратно във водата би могло да доведе до увеличаване на заболеваемостта и смъртността сред някои видове. Също така възможността за задържане на трофейни екземпляри (с тегло и размери по-големи от минимално допустимите) води до изместване в структурата на популацията както и до унищожаване на местообитанията и следователно нивата на риск при екологичния и биологичен индикатори е високо. Прилагането на практики за съвместно управление </w:t>
      </w:r>
      <w:r w:rsidR="00D039AE" w:rsidRPr="00610B1B">
        <w:rPr>
          <w:rFonts w:ascii="Times New Roman" w:hAnsi="Times New Roman" w:cs="Times New Roman"/>
          <w:sz w:val="24"/>
          <w:szCs w:val="24"/>
          <w:lang w:val="bg-BG"/>
        </w:rPr>
        <w:t xml:space="preserve">от </w:t>
      </w:r>
      <w:r w:rsidRPr="00610B1B">
        <w:rPr>
          <w:rFonts w:ascii="Times New Roman" w:hAnsi="Times New Roman" w:cs="Times New Roman"/>
          <w:sz w:val="24"/>
          <w:szCs w:val="24"/>
          <w:lang w:val="bg-BG"/>
        </w:rPr>
        <w:t xml:space="preserve">правителствени и неправителствени организации може да балансира социалните и икономическите ползи и целите за опазване. Технологичният и методологическият напредък подобряват способността за мониторинг на биологичната, социалната и икономическата динамика на любителския риболов, които са в основата на способността за максимизиране на ползите за любителския риболов чрез действия на ефективно управление. </w:t>
      </w:r>
    </w:p>
    <w:p w14:paraId="7812B841" w14:textId="4C49333A" w:rsidR="00115C8D" w:rsidRPr="00610B1B" w:rsidRDefault="00B62269" w:rsidP="00D32D6A">
      <w:pPr>
        <w:tabs>
          <w:tab w:val="left" w:pos="1035"/>
        </w:tabs>
        <w:spacing w:after="120"/>
        <w:ind w:right="-153"/>
        <w:rPr>
          <w:rFonts w:ascii="Times New Roman" w:hAnsi="Times New Roman" w:cs="Times New Roman"/>
          <w:sz w:val="24"/>
          <w:szCs w:val="24"/>
          <w:lang w:val="bg-BG"/>
        </w:rPr>
      </w:pPr>
      <w:bookmarkStart w:id="353" w:name="_Toc83391477"/>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14</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Оценка на любителския риболов в българската акватория на Черно море по предложените индикатори</w:t>
      </w:r>
      <w:bookmarkEnd w:id="353"/>
    </w:p>
    <w:tbl>
      <w:tblPr>
        <w:tblW w:w="792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764"/>
        <w:gridCol w:w="1286"/>
        <w:gridCol w:w="1846"/>
        <w:gridCol w:w="1517"/>
        <w:gridCol w:w="1516"/>
        <w:gridCol w:w="1505"/>
      </w:tblGrid>
      <w:tr w:rsidR="00115C8D" w:rsidRPr="00610B1B" w14:paraId="45229F1B" w14:textId="77777777" w:rsidTr="001E3FED">
        <w:trPr>
          <w:trHeight w:val="315"/>
          <w:jc w:val="center"/>
        </w:trPr>
        <w:tc>
          <w:tcPr>
            <w:tcW w:w="250" w:type="dxa"/>
            <w:shd w:val="clear" w:color="auto" w:fill="auto"/>
            <w:noWrap/>
            <w:vAlign w:val="bottom"/>
            <w:hideMark/>
          </w:tcPr>
          <w:p w14:paraId="013383E9" w14:textId="77777777" w:rsidR="00115C8D" w:rsidRPr="00610B1B" w:rsidRDefault="00115C8D" w:rsidP="00D32D6A">
            <w:pPr>
              <w:spacing w:after="0" w:line="240" w:lineRule="auto"/>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rPr>
              <w:t> </w:t>
            </w:r>
          </w:p>
        </w:tc>
        <w:tc>
          <w:tcPr>
            <w:tcW w:w="7670" w:type="dxa"/>
            <w:gridSpan w:val="5"/>
            <w:shd w:val="clear" w:color="auto" w:fill="auto"/>
            <w:noWrap/>
            <w:vAlign w:val="center"/>
            <w:hideMark/>
          </w:tcPr>
          <w:p w14:paraId="30584382" w14:textId="77777777" w:rsidR="00115C8D" w:rsidRPr="00610B1B" w:rsidRDefault="00115C8D" w:rsidP="00D32D6A">
            <w:pPr>
              <w:spacing w:after="0" w:line="240" w:lineRule="auto"/>
              <w:jc w:val="center"/>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Индикатори</w:t>
            </w:r>
          </w:p>
        </w:tc>
      </w:tr>
      <w:tr w:rsidR="00115C8D" w:rsidRPr="00610B1B" w14:paraId="31EE0744" w14:textId="77777777" w:rsidTr="001E3FED">
        <w:trPr>
          <w:trHeight w:val="330"/>
          <w:jc w:val="center"/>
        </w:trPr>
        <w:tc>
          <w:tcPr>
            <w:tcW w:w="250" w:type="dxa"/>
            <w:vMerge w:val="restart"/>
            <w:shd w:val="clear" w:color="auto" w:fill="auto"/>
            <w:noWrap/>
            <w:vAlign w:val="center"/>
            <w:hideMark/>
          </w:tcPr>
          <w:p w14:paraId="5C3E9BB9" w14:textId="77777777" w:rsidR="00115C8D" w:rsidRPr="00610B1B" w:rsidRDefault="00115C8D" w:rsidP="00D32D6A">
            <w:pPr>
              <w:spacing w:after="0" w:line="240" w:lineRule="auto"/>
              <w:jc w:val="both"/>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Ниво</w:t>
            </w:r>
          </w:p>
        </w:tc>
        <w:tc>
          <w:tcPr>
            <w:tcW w:w="1286" w:type="dxa"/>
            <w:shd w:val="clear" w:color="auto" w:fill="auto"/>
            <w:noWrap/>
            <w:vAlign w:val="center"/>
            <w:hideMark/>
          </w:tcPr>
          <w:p w14:paraId="68E8E052"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Социален</w:t>
            </w:r>
          </w:p>
        </w:tc>
        <w:tc>
          <w:tcPr>
            <w:tcW w:w="1846" w:type="dxa"/>
            <w:shd w:val="clear" w:color="auto" w:fill="auto"/>
            <w:noWrap/>
            <w:vAlign w:val="center"/>
            <w:hideMark/>
          </w:tcPr>
          <w:p w14:paraId="48F29B01"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Икономически</w:t>
            </w:r>
          </w:p>
        </w:tc>
        <w:tc>
          <w:tcPr>
            <w:tcW w:w="1517" w:type="dxa"/>
            <w:shd w:val="clear" w:color="auto" w:fill="auto"/>
            <w:noWrap/>
            <w:vAlign w:val="center"/>
            <w:hideMark/>
          </w:tcPr>
          <w:p w14:paraId="1E3160D0"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 xml:space="preserve">Екологичен </w:t>
            </w:r>
          </w:p>
        </w:tc>
        <w:tc>
          <w:tcPr>
            <w:tcW w:w="1516" w:type="dxa"/>
            <w:shd w:val="clear" w:color="auto" w:fill="auto"/>
            <w:noWrap/>
            <w:vAlign w:val="center"/>
            <w:hideMark/>
          </w:tcPr>
          <w:p w14:paraId="675BD12B"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Биологичен</w:t>
            </w:r>
          </w:p>
        </w:tc>
        <w:tc>
          <w:tcPr>
            <w:tcW w:w="1505" w:type="dxa"/>
            <w:shd w:val="clear" w:color="auto" w:fill="auto"/>
            <w:noWrap/>
            <w:vAlign w:val="center"/>
            <w:hideMark/>
          </w:tcPr>
          <w:p w14:paraId="48745502"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Технически</w:t>
            </w:r>
          </w:p>
        </w:tc>
      </w:tr>
      <w:tr w:rsidR="00115C8D" w:rsidRPr="00610B1B" w14:paraId="3C0DD79C" w14:textId="77777777" w:rsidTr="001E3FED">
        <w:trPr>
          <w:trHeight w:val="330"/>
          <w:jc w:val="center"/>
        </w:trPr>
        <w:tc>
          <w:tcPr>
            <w:tcW w:w="250" w:type="dxa"/>
            <w:vMerge/>
            <w:vAlign w:val="center"/>
            <w:hideMark/>
          </w:tcPr>
          <w:p w14:paraId="139997DE" w14:textId="77777777" w:rsidR="00115C8D" w:rsidRPr="00610B1B" w:rsidRDefault="00115C8D" w:rsidP="00D32D6A">
            <w:pPr>
              <w:spacing w:after="0" w:line="240" w:lineRule="auto"/>
              <w:jc w:val="both"/>
              <w:rPr>
                <w:rFonts w:ascii="Times New Roman" w:eastAsia="Times New Roman" w:hAnsi="Times New Roman" w:cs="Times New Roman"/>
                <w:b/>
                <w:bCs/>
                <w:i/>
                <w:iCs/>
                <w:color w:val="000000"/>
                <w:sz w:val="24"/>
                <w:szCs w:val="24"/>
                <w:lang w:val="bg-BG"/>
              </w:rPr>
            </w:pPr>
          </w:p>
        </w:tc>
        <w:tc>
          <w:tcPr>
            <w:tcW w:w="1286" w:type="dxa"/>
            <w:shd w:val="clear" w:color="000000" w:fill="92D050"/>
            <w:noWrap/>
            <w:vAlign w:val="center"/>
            <w:hideMark/>
          </w:tcPr>
          <w:p w14:paraId="0663E32A"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846" w:type="dxa"/>
            <w:shd w:val="clear" w:color="000000" w:fill="FFFFFF"/>
            <w:noWrap/>
            <w:vAlign w:val="center"/>
            <w:hideMark/>
          </w:tcPr>
          <w:p w14:paraId="410E689F"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w:t>
            </w:r>
          </w:p>
        </w:tc>
        <w:tc>
          <w:tcPr>
            <w:tcW w:w="1517" w:type="dxa"/>
            <w:shd w:val="clear" w:color="000000" w:fill="FF0000"/>
            <w:noWrap/>
            <w:vAlign w:val="center"/>
            <w:hideMark/>
          </w:tcPr>
          <w:p w14:paraId="60D07599"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516" w:type="dxa"/>
            <w:shd w:val="clear" w:color="000000" w:fill="FF0000"/>
            <w:noWrap/>
            <w:vAlign w:val="center"/>
            <w:hideMark/>
          </w:tcPr>
          <w:p w14:paraId="383C669E"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505" w:type="dxa"/>
            <w:shd w:val="clear" w:color="000000" w:fill="92D050"/>
            <w:noWrap/>
            <w:vAlign w:val="center"/>
            <w:hideMark/>
          </w:tcPr>
          <w:p w14:paraId="003994CB"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Ниско</w:t>
            </w:r>
          </w:p>
        </w:tc>
      </w:tr>
    </w:tbl>
    <w:p w14:paraId="7A15476C" w14:textId="505E65B0" w:rsidR="00115C8D" w:rsidRPr="00610B1B" w:rsidRDefault="00115C8D" w:rsidP="00BC44C1">
      <w:pPr>
        <w:tabs>
          <w:tab w:val="left" w:pos="1035"/>
        </w:tabs>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 ИАРА</w:t>
      </w:r>
    </w:p>
    <w:p w14:paraId="1D61FAF7" w14:textId="5CF526F0" w:rsidR="00115C8D" w:rsidRPr="00610B1B" w:rsidRDefault="00FA2174" w:rsidP="00EC097D">
      <w:pPr>
        <w:pStyle w:val="Heading4"/>
        <w:spacing w:before="0" w:line="276" w:lineRule="auto"/>
        <w:ind w:right="-153"/>
        <w:rPr>
          <w:rFonts w:cs="Times New Roman"/>
        </w:rPr>
      </w:pPr>
      <w:r w:rsidRPr="00610B1B">
        <w:rPr>
          <w:rFonts w:cs="Times New Roman"/>
        </w:rPr>
        <w:t>3.2.1</w:t>
      </w:r>
      <w:r w:rsidR="004444FD" w:rsidRPr="00610B1B">
        <w:rPr>
          <w:rFonts w:cs="Times New Roman"/>
        </w:rPr>
        <w:t xml:space="preserve">.2. </w:t>
      </w:r>
      <w:r w:rsidR="00115C8D" w:rsidRPr="00610B1B">
        <w:rPr>
          <w:rFonts w:cs="Times New Roman"/>
        </w:rPr>
        <w:t>Стопански риболов</w:t>
      </w:r>
    </w:p>
    <w:p w14:paraId="52E58B9A" w14:textId="0A93FAE8" w:rsidR="00115C8D" w:rsidRPr="00610B1B" w:rsidRDefault="00115C8D" w:rsidP="00D32D6A">
      <w:pPr>
        <w:tabs>
          <w:tab w:val="left" w:pos="1035"/>
        </w:tabs>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Стопанският риболов е дейност за улов на риба и други морски организми (естествен природен ресурс) с цел осъществяване на търговска печалба. По-голямата част от хората, работещи в направление стопански риболов, са самонаети, като част или цялото им възнаграждение зависи от постъпленията след продажбата на уловената риба.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Риболовният флот (съвкупност от всички плавателни съдове</w:t>
      </w:r>
      <w:r w:rsidR="009F21A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извършващи риболовна дейност след издаване на риболовен лиценз) на Република България оперира само в Черно Море и по-точно в териториални води (до 12 морски мили). </w:t>
      </w:r>
    </w:p>
    <w:p w14:paraId="042B2E5A" w14:textId="72043421" w:rsidR="00DC4656" w:rsidRPr="00610B1B" w:rsidRDefault="00DC4656" w:rsidP="00D32D6A">
      <w:pPr>
        <w:tabs>
          <w:tab w:val="left" w:pos="1035"/>
        </w:tabs>
        <w:spacing w:after="12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Към 31.12.2019 г. българският риболовен флот се състои от 1 841 кораба, опериращи само в Черно Море, с общ капацитет 6 027,43 GT и 53 590,17 kW. </w:t>
      </w:r>
    </w:p>
    <w:p w14:paraId="66376028" w14:textId="13CA62D5" w:rsidR="00115C8D" w:rsidRPr="00610B1B" w:rsidRDefault="00B62269" w:rsidP="00D32D6A">
      <w:pPr>
        <w:tabs>
          <w:tab w:val="left" w:pos="1035"/>
        </w:tabs>
        <w:spacing w:after="120"/>
        <w:ind w:right="-153"/>
        <w:jc w:val="both"/>
        <w:rPr>
          <w:rFonts w:ascii="Times New Roman" w:hAnsi="Times New Roman" w:cs="Times New Roman"/>
          <w:sz w:val="24"/>
          <w:szCs w:val="24"/>
          <w:lang w:val="bg-BG"/>
        </w:rPr>
      </w:pPr>
      <w:bookmarkStart w:id="354" w:name="_Toc83391478"/>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15</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Численост на риболовния флот за периода 2012-201</w:t>
      </w:r>
      <w:r w:rsidR="00DC4656" w:rsidRPr="00610B1B">
        <w:rPr>
          <w:rFonts w:ascii="Times New Roman" w:hAnsi="Times New Roman" w:cs="Times New Roman"/>
          <w:sz w:val="24"/>
          <w:szCs w:val="24"/>
          <w:lang w:val="bg-BG"/>
        </w:rPr>
        <w:t>9</w:t>
      </w:r>
      <w:r w:rsidR="00115C8D" w:rsidRPr="00610B1B">
        <w:rPr>
          <w:rFonts w:ascii="Times New Roman" w:hAnsi="Times New Roman" w:cs="Times New Roman"/>
          <w:sz w:val="24"/>
          <w:szCs w:val="24"/>
          <w:lang w:val="bg-BG"/>
        </w:rPr>
        <w:t xml:space="preserve"> г.</w:t>
      </w:r>
      <w:bookmarkEnd w:id="354"/>
    </w:p>
    <w:p w14:paraId="5BC9F8A8" w14:textId="32984217" w:rsidR="00773225" w:rsidRPr="00610B1B" w:rsidRDefault="0004160B" w:rsidP="00D32D6A">
      <w:pPr>
        <w:tabs>
          <w:tab w:val="left" w:pos="1035"/>
        </w:tabs>
        <w:spacing w:after="120"/>
        <w:ind w:right="-153"/>
        <w:jc w:val="both"/>
        <w:rPr>
          <w:rFonts w:ascii="Times New Roman" w:hAnsi="Times New Roman" w:cs="Times New Roman"/>
          <w:sz w:val="24"/>
          <w:szCs w:val="24"/>
          <w:lang w:val="bg-BG"/>
        </w:rPr>
      </w:pPr>
      <w:r w:rsidRPr="00610B1B">
        <w:rPr>
          <w:rFonts w:ascii="Times New Roman" w:hAnsi="Times New Roman" w:cs="Times New Roman"/>
          <w:noProof/>
          <w:szCs w:val="24"/>
          <w:lang w:val="bg-BG" w:eastAsia="bg-BG"/>
        </w:rPr>
        <w:lastRenderedPageBreak/>
        <w:drawing>
          <wp:inline distT="0" distB="0" distL="0" distR="0" wp14:anchorId="162C484C" wp14:editId="3BDE3A37">
            <wp:extent cx="3633537" cy="217982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43132" cy="2185576"/>
                    </a:xfrm>
                    <a:prstGeom prst="rect">
                      <a:avLst/>
                    </a:prstGeom>
                    <a:noFill/>
                  </pic:spPr>
                </pic:pic>
              </a:graphicData>
            </a:graphic>
          </wp:inline>
        </w:drawing>
      </w:r>
    </w:p>
    <w:p w14:paraId="023550FA" w14:textId="02A6C562" w:rsidR="00115C8D" w:rsidRPr="00610B1B" w:rsidRDefault="00115C8D" w:rsidP="00D32D6A">
      <w:pPr>
        <w:spacing w:after="120"/>
        <w:ind w:right="-153"/>
        <w:rPr>
          <w:rFonts w:ascii="Times New Roman" w:hAnsi="Times New Roman" w:cs="Times New Roman"/>
          <w:lang w:val="bg-BG"/>
        </w:rPr>
      </w:pPr>
      <w:r w:rsidRPr="00610B1B">
        <w:rPr>
          <w:rFonts w:ascii="Times New Roman" w:hAnsi="Times New Roman" w:cs="Times New Roman"/>
          <w:bCs/>
          <w:lang w:val="bg-BG"/>
        </w:rPr>
        <w:t xml:space="preserve">Източник: ИАРА </w:t>
      </w:r>
    </w:p>
    <w:p w14:paraId="5FA6428E" w14:textId="77777777" w:rsidR="00744F8C" w:rsidRPr="00610B1B" w:rsidRDefault="00744F8C" w:rsidP="00D32D6A">
      <w:pPr>
        <w:tabs>
          <w:tab w:val="left" w:pos="1035"/>
        </w:tabs>
        <w:spacing w:after="12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През годините числеността на риболовния флот намалява, като това се дължи на редица фактори:</w:t>
      </w:r>
    </w:p>
    <w:p w14:paraId="08541CED" w14:textId="77777777" w:rsidR="00744F8C" w:rsidRPr="00610B1B" w:rsidRDefault="00744F8C" w:rsidP="00B46189">
      <w:pPr>
        <w:pStyle w:val="ListParagraph"/>
        <w:numPr>
          <w:ilvl w:val="0"/>
          <w:numId w:val="2"/>
        </w:numPr>
        <w:tabs>
          <w:tab w:val="left" w:pos="1035"/>
        </w:tabs>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високата средна възраст (над 23 години) на плавателните съдове;</w:t>
      </w:r>
    </w:p>
    <w:p w14:paraId="1DE673AF" w14:textId="77777777" w:rsidR="00744F8C" w:rsidRPr="00610B1B" w:rsidRDefault="00744F8C" w:rsidP="00B46189">
      <w:pPr>
        <w:pStyle w:val="ListParagraph"/>
        <w:numPr>
          <w:ilvl w:val="0"/>
          <w:numId w:val="2"/>
        </w:numPr>
        <w:tabs>
          <w:tab w:val="left" w:pos="1035"/>
        </w:tabs>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бързата амортизация на риболовните кораби, дължащо се на излагането им на агресивното влияние на околна среда; </w:t>
      </w:r>
    </w:p>
    <w:p w14:paraId="2CF0D445" w14:textId="77777777" w:rsidR="00744F8C" w:rsidRPr="00610B1B" w:rsidRDefault="00744F8C" w:rsidP="00B46189">
      <w:pPr>
        <w:pStyle w:val="ListParagraph"/>
        <w:numPr>
          <w:ilvl w:val="0"/>
          <w:numId w:val="2"/>
        </w:numPr>
        <w:tabs>
          <w:tab w:val="left" w:pos="1035"/>
        </w:tabs>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висока средна възраст на заетите в направление стопански риболов като същевременно липсва приемственост на поколенията;</w:t>
      </w:r>
    </w:p>
    <w:p w14:paraId="2E0C30C9" w14:textId="77777777" w:rsidR="00744F8C" w:rsidRPr="00610B1B" w:rsidRDefault="00744F8C" w:rsidP="00B46189">
      <w:pPr>
        <w:pStyle w:val="ListParagraph"/>
        <w:numPr>
          <w:ilvl w:val="0"/>
          <w:numId w:val="2"/>
        </w:numPr>
        <w:tabs>
          <w:tab w:val="left" w:pos="1035"/>
        </w:tabs>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недостатъчна възвращаемост на инвестициите за покриване на текущите разходи;</w:t>
      </w:r>
    </w:p>
    <w:p w14:paraId="24B86111" w14:textId="77777777" w:rsidR="00744F8C" w:rsidRPr="00610B1B" w:rsidRDefault="00744F8C" w:rsidP="00B46189">
      <w:pPr>
        <w:pStyle w:val="ListParagraph"/>
        <w:numPr>
          <w:ilvl w:val="0"/>
          <w:numId w:val="2"/>
        </w:numPr>
        <w:tabs>
          <w:tab w:val="left" w:pos="1035"/>
        </w:tabs>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мерките за постоянно прекратяване на риболовната дейност. </w:t>
      </w:r>
    </w:p>
    <w:p w14:paraId="50709F0B" w14:textId="3C2FCD09" w:rsidR="00744F8C" w:rsidRPr="00610B1B" w:rsidRDefault="00744F8C" w:rsidP="00D32D6A">
      <w:pPr>
        <w:tabs>
          <w:tab w:val="left" w:pos="1035"/>
        </w:tabs>
        <w:spacing w:after="12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 прилагането на мерките за постоянно прекратяване на риболовните дейности, по Програмата за морско дело и рибарство се цели да се намали натиска, оказан върху рибния ресурс и адаптиране на риболовния флот чрез редуциране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технически свръхкапацитет. По данни на ИАРА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декември 2019 г. скрапираните риболовни кораби по програмата са 103 бр. с общ риболовен капацитет изразен в GT 1 594,77 (- 20,71 %) и 7 550,82 kW (-12,51%.).</w:t>
      </w:r>
      <w:r w:rsidR="00D66FE0" w:rsidRPr="00610B1B">
        <w:rPr>
          <w:rFonts w:ascii="Times New Roman" w:hAnsi="Times New Roman" w:cs="Times New Roman"/>
          <w:sz w:val="24"/>
          <w:szCs w:val="24"/>
          <w:lang w:val="bg-BG"/>
        </w:rPr>
        <w:t xml:space="preserve"> </w:t>
      </w:r>
    </w:p>
    <w:p w14:paraId="42F0FF65" w14:textId="33556BD0" w:rsidR="00DC4656" w:rsidRPr="00610B1B" w:rsidRDefault="00115C8D" w:rsidP="00D32D6A">
      <w:pPr>
        <w:shd w:val="clear" w:color="auto" w:fill="FEFEFE"/>
        <w:spacing w:after="120"/>
        <w:ind w:right="-153"/>
        <w:jc w:val="both"/>
        <w:rPr>
          <w:rFonts w:ascii="Times New Roman" w:eastAsia="Times New Roman" w:hAnsi="Times New Roman" w:cs="Times New Roman"/>
          <w:color w:val="000000"/>
          <w:sz w:val="24"/>
          <w:szCs w:val="24"/>
          <w:lang w:val="bg-BG" w:eastAsia="bg-BG"/>
        </w:rPr>
      </w:pPr>
      <w:r w:rsidRPr="00610B1B">
        <w:rPr>
          <w:rFonts w:ascii="Times New Roman" w:hAnsi="Times New Roman" w:cs="Times New Roman"/>
          <w:sz w:val="24"/>
          <w:szCs w:val="24"/>
          <w:lang w:val="bg-BG"/>
        </w:rPr>
        <w:t>Риболовната техника, използвана в стопанския риболов</w:t>
      </w:r>
      <w:r w:rsidR="004444FD" w:rsidRPr="00610B1B">
        <w:rPr>
          <w:rFonts w:ascii="Times New Roman" w:hAnsi="Times New Roman" w:cs="Times New Roman"/>
          <w:sz w:val="24"/>
          <w:szCs w:val="24"/>
          <w:lang w:val="bg-BG"/>
        </w:rPr>
        <w:t xml:space="preserve"> е</w:t>
      </w:r>
      <w:r w:rsidRPr="00610B1B">
        <w:rPr>
          <w:rFonts w:ascii="Times New Roman" w:hAnsi="Times New Roman" w:cs="Times New Roman"/>
          <w:sz w:val="24"/>
          <w:szCs w:val="24"/>
          <w:lang w:val="bg-BG"/>
        </w:rPr>
        <w:t xml:space="preserve"> пасивна и активна. Това разделение се базира на относителното поведение на целевите видове и принципа на действие на риболовните уреди. При пасивни съоръжения, улавянето на рибния ресурс се основава на движението на целевите видове към уредите (напр. капани, даляни), докато при активната техника е целенасоченото им преследване (дънни и пелагични тралове, драги). Пасивните риболовни уреди са най-разпространени сред дребномащабния - крайбрежен риболов. Те се разделят на мрежи, капани, куки и въдици. </w:t>
      </w:r>
      <w:r w:rsidR="00DC4656" w:rsidRPr="00610B1B">
        <w:rPr>
          <w:rFonts w:ascii="Times New Roman" w:eastAsia="Times New Roman" w:hAnsi="Times New Roman" w:cs="Times New Roman"/>
          <w:color w:val="000000"/>
          <w:sz w:val="24"/>
          <w:szCs w:val="24"/>
          <w:lang w:val="bg-BG" w:eastAsia="bg-BG"/>
        </w:rPr>
        <w:t xml:space="preserve">По данни на ИАРА към 2019 г. броят на изградените стационарни риболовни уреди – даляни е 62 броя. </w:t>
      </w:r>
    </w:p>
    <w:p w14:paraId="38A12E74" w14:textId="2BDA765E" w:rsidR="00115C8D" w:rsidRPr="00610B1B" w:rsidRDefault="00B62269" w:rsidP="00D32D6A">
      <w:pPr>
        <w:shd w:val="clear" w:color="auto" w:fill="FEFEFE"/>
        <w:spacing w:after="120"/>
        <w:ind w:right="-153"/>
        <w:jc w:val="both"/>
        <w:rPr>
          <w:rFonts w:ascii="Times New Roman" w:hAnsi="Times New Roman" w:cs="Times New Roman"/>
          <w:sz w:val="24"/>
          <w:szCs w:val="24"/>
          <w:lang w:val="bg-BG"/>
        </w:rPr>
      </w:pPr>
      <w:bookmarkStart w:id="355" w:name="_Toc83391479"/>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16</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Разтоварен улов в кг. от даляни в периода 2015-201</w:t>
      </w:r>
      <w:r w:rsidR="00DC4656" w:rsidRPr="00610B1B">
        <w:rPr>
          <w:rFonts w:ascii="Times New Roman" w:hAnsi="Times New Roman" w:cs="Times New Roman"/>
          <w:sz w:val="24"/>
          <w:szCs w:val="24"/>
          <w:lang w:val="bg-BG"/>
        </w:rPr>
        <w:t>9</w:t>
      </w:r>
      <w:r w:rsidR="00115C8D" w:rsidRPr="00610B1B">
        <w:rPr>
          <w:rFonts w:ascii="Times New Roman" w:hAnsi="Times New Roman" w:cs="Times New Roman"/>
          <w:sz w:val="24"/>
          <w:szCs w:val="24"/>
          <w:lang w:val="bg-BG"/>
        </w:rPr>
        <w:t xml:space="preserve"> г.</w:t>
      </w:r>
      <w:bookmarkEnd w:id="355"/>
    </w:p>
    <w:p w14:paraId="1A7FF08F" w14:textId="24E7416F" w:rsidR="00115C8D" w:rsidRPr="00610B1B" w:rsidRDefault="0004160B" w:rsidP="00D32D6A">
      <w:pPr>
        <w:shd w:val="clear" w:color="auto" w:fill="FEFEFE"/>
        <w:spacing w:after="120"/>
        <w:ind w:right="-153"/>
        <w:jc w:val="both"/>
        <w:rPr>
          <w:rFonts w:ascii="Times New Roman" w:eastAsia="Times New Roman" w:hAnsi="Times New Roman" w:cs="Times New Roman"/>
          <w:b/>
          <w:color w:val="000000"/>
          <w:sz w:val="24"/>
          <w:szCs w:val="24"/>
          <w:lang w:val="bg-BG" w:eastAsia="bg-BG"/>
        </w:rPr>
      </w:pPr>
      <w:r w:rsidRPr="00610B1B">
        <w:rPr>
          <w:rFonts w:ascii="Times New Roman" w:eastAsia="Times New Roman" w:hAnsi="Times New Roman" w:cs="Times New Roman"/>
          <w:b/>
          <w:noProof/>
          <w:color w:val="000000"/>
          <w:szCs w:val="24"/>
          <w:lang w:val="bg-BG" w:eastAsia="bg-BG"/>
        </w:rPr>
        <w:lastRenderedPageBreak/>
        <w:drawing>
          <wp:inline distT="0" distB="0" distL="0" distR="0" wp14:anchorId="56C60801" wp14:editId="66A42021">
            <wp:extent cx="3925614" cy="2081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66500" cy="2102851"/>
                    </a:xfrm>
                    <a:prstGeom prst="rect">
                      <a:avLst/>
                    </a:prstGeom>
                    <a:noFill/>
                  </pic:spPr>
                </pic:pic>
              </a:graphicData>
            </a:graphic>
          </wp:inline>
        </w:drawing>
      </w:r>
    </w:p>
    <w:p w14:paraId="393C5E50" w14:textId="5B5E6742" w:rsidR="00115C8D" w:rsidRPr="00610B1B" w:rsidRDefault="00115C8D" w:rsidP="00D32D6A">
      <w:pPr>
        <w:shd w:val="clear" w:color="auto" w:fill="FEFEFE"/>
        <w:spacing w:after="120"/>
        <w:ind w:right="-153"/>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Източник: ИАРА</w:t>
      </w:r>
    </w:p>
    <w:p w14:paraId="5BFAFE06" w14:textId="0B300A89"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Активните риболовни уреди са траловете. Те се делят на пелагични и дънни (</w:t>
      </w:r>
      <w:r w:rsidR="00173C7E" w:rsidRPr="00610B1B">
        <w:rPr>
          <w:rFonts w:ascii="Times New Roman" w:hAnsi="Times New Roman" w:cs="Times New Roman"/>
          <w:sz w:val="24"/>
          <w:szCs w:val="24"/>
          <w:lang w:val="bg-BG"/>
        </w:rPr>
        <w:t>бийм трал</w:t>
      </w:r>
      <w:r w:rsidRPr="00610B1B">
        <w:rPr>
          <w:rFonts w:ascii="Times New Roman" w:hAnsi="Times New Roman" w:cs="Times New Roman"/>
          <w:sz w:val="24"/>
          <w:szCs w:val="24"/>
          <w:lang w:val="bg-BG"/>
        </w:rPr>
        <w:t>ове). Риболовът с тралираща техника дава над 65% от общия улов.</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Пелагичните тралове обикновено имат висока селективност на видовете, тъй като се използват за улов на пелагични видове в сходна зрялост, които обикновено се срещат в едновидови агрегации. </w:t>
      </w:r>
      <w:r w:rsidR="00173C7E" w:rsidRPr="00610B1B">
        <w:rPr>
          <w:rFonts w:ascii="Times New Roman" w:hAnsi="Times New Roman" w:cs="Times New Roman"/>
          <w:sz w:val="24"/>
          <w:szCs w:val="24"/>
          <w:lang w:val="bg-BG"/>
        </w:rPr>
        <w:t>Бийм трал</w:t>
      </w:r>
      <w:r w:rsidRPr="00610B1B">
        <w:rPr>
          <w:rFonts w:ascii="Times New Roman" w:hAnsi="Times New Roman" w:cs="Times New Roman"/>
          <w:sz w:val="24"/>
          <w:szCs w:val="24"/>
          <w:lang w:val="bg-BG"/>
        </w:rPr>
        <w:t xml:space="preserve">овете са широко използвани за улавяне на различни видове дънни риби. В идеалния случай определен размер на окото </w:t>
      </w:r>
      <w:r w:rsidR="004444FD" w:rsidRPr="00610B1B">
        <w:rPr>
          <w:rFonts w:ascii="Times New Roman" w:hAnsi="Times New Roman" w:cs="Times New Roman"/>
          <w:sz w:val="24"/>
          <w:szCs w:val="24"/>
          <w:lang w:val="bg-BG"/>
        </w:rPr>
        <w:t xml:space="preserve">на мрежата </w:t>
      </w:r>
      <w:r w:rsidRPr="00610B1B">
        <w:rPr>
          <w:rFonts w:ascii="Times New Roman" w:hAnsi="Times New Roman" w:cs="Times New Roman"/>
          <w:sz w:val="24"/>
          <w:szCs w:val="24"/>
          <w:lang w:val="bg-BG"/>
        </w:rPr>
        <w:t>трябва да позволява освобождаването на всички риби под минимално допустимия размер.</w:t>
      </w:r>
    </w:p>
    <w:p w14:paraId="46F019A6" w14:textId="3EAD78C3"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Биологичният, екологичният и техническият индикатор при стопанския риболов се определят от риболовното усилие, необходимо на един, няколко или група риболовни кораби, изразходвано при улова на целевия вид. От друга страна, използваната риболовна техника оказва допълнително въздействие върху експлоатацията на ресурса. За постигане на пълна и точна картина риболовното усилие се изчислява и за съответната техника, като се умножава използваният риболовен капацитет в бруто тонаж или мощност в kW по брой куки, брой кошове, дължина на мрежите, площ на тралиране. Отчитайки резултатите за последните три години, индикаторите биологичен и технически са на средно равнище. Главна роля за това</w:t>
      </w:r>
      <w:r w:rsidR="00DB120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дейността на стопанския риболов да се счита за балансирана, изиграват в голяма степен рестриктивните мерки, заложени в европейското и национално законодателство, засиленият мониторинг и интензивният контрол над целия сектор.</w:t>
      </w:r>
    </w:p>
    <w:p w14:paraId="0414DD9C" w14:textId="5EA6FB45"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Местата за разтоварване на продукти от стопански риболов на територията на Република България са общо 75 на брой (Приложение 1), като десетте от тях с най-голяма използваемост и значимост са Созопол, Несебър, Варна, Каварна, Балчик, Поморие, Север Експорт (Варна), Крапец, Родопа 1 (Варна) и Дуранкулак. Разтоварванията в тези пристанища</w:t>
      </w:r>
      <w:r w:rsidR="00A102FE" w:rsidRPr="00610B1B">
        <w:rPr>
          <w:rFonts w:ascii="Times New Roman" w:hAnsi="Times New Roman" w:cs="Times New Roman"/>
          <w:sz w:val="24"/>
          <w:szCs w:val="24"/>
          <w:lang w:val="bg-BG"/>
        </w:rPr>
        <w:t xml:space="preserve"> и пристанищните терминали</w:t>
      </w:r>
      <w:r w:rsidRPr="00610B1B">
        <w:rPr>
          <w:rFonts w:ascii="Times New Roman" w:hAnsi="Times New Roman" w:cs="Times New Roman"/>
          <w:sz w:val="24"/>
          <w:szCs w:val="24"/>
          <w:lang w:val="bg-BG"/>
        </w:rPr>
        <w:t xml:space="preserve"> съставляват 84% от общия брой. </w:t>
      </w:r>
    </w:p>
    <w:p w14:paraId="60DC7A6B" w14:textId="3D7B417F" w:rsidR="009D32BB" w:rsidRPr="00610B1B" w:rsidRDefault="009D32BB" w:rsidP="00D32D6A">
      <w:pPr>
        <w:spacing w:after="120"/>
        <w:ind w:right="-153"/>
        <w:jc w:val="both"/>
        <w:rPr>
          <w:rFonts w:ascii="Times New Roman" w:hAnsi="Times New Roman" w:cs="Times New Roman"/>
          <w:sz w:val="24"/>
          <w:szCs w:val="24"/>
          <w:lang w:val="bg-BG"/>
        </w:rPr>
      </w:pPr>
    </w:p>
    <w:p w14:paraId="605D3E16" w14:textId="7423CD2C" w:rsidR="00BC44C1" w:rsidRPr="00610B1B" w:rsidRDefault="00BC44C1" w:rsidP="00D32D6A">
      <w:pPr>
        <w:spacing w:after="120"/>
        <w:ind w:right="-153"/>
        <w:jc w:val="both"/>
        <w:rPr>
          <w:rFonts w:ascii="Times New Roman" w:hAnsi="Times New Roman" w:cs="Times New Roman"/>
          <w:sz w:val="24"/>
          <w:szCs w:val="24"/>
          <w:lang w:val="bg-BG"/>
        </w:rPr>
      </w:pPr>
    </w:p>
    <w:p w14:paraId="1C830281" w14:textId="1C9313B0" w:rsidR="00BC44C1" w:rsidRPr="00610B1B" w:rsidRDefault="00BC44C1" w:rsidP="00D32D6A">
      <w:pPr>
        <w:spacing w:after="120"/>
        <w:ind w:right="-153"/>
        <w:jc w:val="both"/>
        <w:rPr>
          <w:rFonts w:ascii="Times New Roman" w:hAnsi="Times New Roman" w:cs="Times New Roman"/>
          <w:sz w:val="24"/>
          <w:szCs w:val="24"/>
          <w:lang w:val="bg-BG"/>
        </w:rPr>
      </w:pPr>
    </w:p>
    <w:p w14:paraId="2F865728" w14:textId="0311C9A8" w:rsidR="00115C8D" w:rsidRPr="00610B1B" w:rsidRDefault="00B62269" w:rsidP="00D32D6A">
      <w:pPr>
        <w:spacing w:after="120"/>
        <w:ind w:right="-153"/>
        <w:rPr>
          <w:rFonts w:ascii="Times New Roman" w:hAnsi="Times New Roman" w:cs="Times New Roman"/>
          <w:sz w:val="24"/>
          <w:szCs w:val="24"/>
          <w:lang w:val="bg-BG"/>
        </w:rPr>
      </w:pPr>
      <w:bookmarkStart w:id="356" w:name="_Toc83391480"/>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17</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Разтоварване стопански риболов (2015-201</w:t>
      </w:r>
      <w:r w:rsidR="00DC4656" w:rsidRPr="00610B1B">
        <w:rPr>
          <w:rFonts w:ascii="Times New Roman" w:hAnsi="Times New Roman" w:cs="Times New Roman"/>
          <w:sz w:val="24"/>
          <w:szCs w:val="24"/>
          <w:lang w:val="bg-BG"/>
        </w:rPr>
        <w:t>9</w:t>
      </w:r>
      <w:r w:rsidR="00115C8D" w:rsidRPr="00610B1B">
        <w:rPr>
          <w:rFonts w:ascii="Times New Roman" w:hAnsi="Times New Roman" w:cs="Times New Roman"/>
          <w:sz w:val="24"/>
          <w:szCs w:val="24"/>
          <w:lang w:val="bg-BG"/>
        </w:rPr>
        <w:t xml:space="preserve"> г.)</w:t>
      </w:r>
      <w:bookmarkEnd w:id="356"/>
    </w:p>
    <w:p w14:paraId="2008C2BE" w14:textId="5A79F80E" w:rsidR="00773225" w:rsidRPr="00610B1B" w:rsidRDefault="0004160B" w:rsidP="00D32D6A">
      <w:pPr>
        <w:spacing w:after="120"/>
        <w:ind w:right="-153"/>
        <w:jc w:val="both"/>
        <w:rPr>
          <w:rFonts w:ascii="Times New Roman" w:eastAsia="Times New Roman" w:hAnsi="Times New Roman" w:cs="Times New Roman"/>
          <w:bCs/>
          <w:color w:val="000000"/>
          <w:lang w:val="bg-BG" w:eastAsia="bg-BG"/>
        </w:rPr>
      </w:pPr>
      <w:r w:rsidRPr="00610B1B">
        <w:rPr>
          <w:rFonts w:ascii="Times New Roman" w:hAnsi="Times New Roman" w:cs="Times New Roman"/>
          <w:noProof/>
          <w:lang w:val="bg-BG" w:eastAsia="bg-BG"/>
        </w:rPr>
        <w:lastRenderedPageBreak/>
        <w:drawing>
          <wp:inline distT="0" distB="0" distL="0" distR="0" wp14:anchorId="142E0AB4" wp14:editId="455D5828">
            <wp:extent cx="3487950" cy="1894637"/>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6">
                      <a:extLst>
                        <a:ext uri="{28A0092B-C50C-407E-A947-70E740481C1C}">
                          <a14:useLocalDpi xmlns:a14="http://schemas.microsoft.com/office/drawing/2010/main" val="0"/>
                        </a:ext>
                      </a:extLst>
                    </a:blip>
                    <a:srcRect t="4893" b="4562"/>
                    <a:stretch/>
                  </pic:blipFill>
                  <pic:spPr bwMode="auto">
                    <a:xfrm>
                      <a:off x="0" y="0"/>
                      <a:ext cx="3501896" cy="1902212"/>
                    </a:xfrm>
                    <a:prstGeom prst="rect">
                      <a:avLst/>
                    </a:prstGeom>
                    <a:noFill/>
                    <a:ln>
                      <a:noFill/>
                    </a:ln>
                    <a:extLst>
                      <a:ext uri="{53640926-AAD7-44D8-BBD7-CCE9431645EC}">
                        <a14:shadowObscured xmlns:a14="http://schemas.microsoft.com/office/drawing/2010/main"/>
                      </a:ext>
                    </a:extLst>
                  </pic:spPr>
                </pic:pic>
              </a:graphicData>
            </a:graphic>
          </wp:inline>
        </w:drawing>
      </w:r>
    </w:p>
    <w:p w14:paraId="4FCA56D2" w14:textId="45CE8D1F" w:rsidR="00115C8D" w:rsidRPr="00610B1B" w:rsidRDefault="00115C8D" w:rsidP="00D32D6A">
      <w:pPr>
        <w:spacing w:after="120"/>
        <w:ind w:right="-153"/>
        <w:jc w:val="both"/>
        <w:rPr>
          <w:rFonts w:ascii="Times New Roman" w:hAnsi="Times New Roman" w:cs="Times New Roman"/>
          <w:lang w:val="bg-BG"/>
        </w:rPr>
      </w:pPr>
      <w:r w:rsidRPr="00610B1B">
        <w:rPr>
          <w:rFonts w:ascii="Times New Roman" w:eastAsia="Times New Roman" w:hAnsi="Times New Roman" w:cs="Times New Roman"/>
          <w:bCs/>
          <w:color w:val="000000"/>
          <w:lang w:val="bg-BG" w:eastAsia="bg-BG"/>
        </w:rPr>
        <w:t>Източник: ИАРА</w:t>
      </w:r>
    </w:p>
    <w:p w14:paraId="2071A675" w14:textId="3F1F9DF3"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Поради тясната взаимовръзка между стопанския риболов и директното предлагане на продукцията в пресен вид на пазара, без допълнителна обработка, целяща да се добави допълнителна стойност, социалният индикатор се разглежда като съвкупност на заетите с риболова (рибари) и регистрираните купувачи. Общият брой на заетите е 3 540 души, от които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1 738 рибари. Въпреки че броя на </w:t>
      </w:r>
      <w:r w:rsidR="006011C0" w:rsidRPr="00610B1B">
        <w:rPr>
          <w:rFonts w:ascii="Times New Roman" w:hAnsi="Times New Roman" w:cs="Times New Roman"/>
          <w:sz w:val="24"/>
          <w:szCs w:val="24"/>
          <w:lang w:val="bg-BG"/>
        </w:rPr>
        <w:t>заетите</w:t>
      </w:r>
      <w:r w:rsidRPr="00610B1B">
        <w:rPr>
          <w:rFonts w:ascii="Times New Roman" w:hAnsi="Times New Roman" w:cs="Times New Roman"/>
          <w:sz w:val="24"/>
          <w:szCs w:val="24"/>
          <w:lang w:val="bg-BG"/>
        </w:rPr>
        <w:t xml:space="preserve"> в направление стопански риболов не е толкова голям, социалният индикатор е поставен на средно ниво поради значимостта на стопанския риболов като основен снабдител на черноморски риби и организми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за осигуряване на хранително разнообразие в България.</w:t>
      </w:r>
    </w:p>
    <w:p w14:paraId="430BAD1F" w14:textId="2B5AC444" w:rsidR="00115C8D" w:rsidRPr="00610B1B" w:rsidRDefault="00B62269" w:rsidP="00D32D6A">
      <w:pPr>
        <w:spacing w:after="120"/>
        <w:ind w:right="-153"/>
        <w:jc w:val="both"/>
        <w:rPr>
          <w:rFonts w:ascii="Times New Roman" w:hAnsi="Times New Roman" w:cs="Times New Roman"/>
          <w:sz w:val="24"/>
          <w:szCs w:val="24"/>
          <w:lang w:val="bg-BG"/>
        </w:rPr>
      </w:pPr>
      <w:bookmarkStart w:id="357" w:name="_Toc83391481"/>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18</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 xml:space="preserve">Нива на улов в </w:t>
      </w:r>
      <w:r w:rsidR="00DB1201" w:rsidRPr="00610B1B">
        <w:rPr>
          <w:rFonts w:ascii="Times New Roman" w:hAnsi="Times New Roman" w:cs="Times New Roman"/>
          <w:sz w:val="24"/>
          <w:szCs w:val="24"/>
          <w:lang w:val="bg-BG"/>
        </w:rPr>
        <w:t>kg</w:t>
      </w:r>
      <w:r w:rsidR="00115C8D" w:rsidRPr="00610B1B">
        <w:rPr>
          <w:rFonts w:ascii="Times New Roman" w:hAnsi="Times New Roman" w:cs="Times New Roman"/>
          <w:sz w:val="24"/>
          <w:szCs w:val="24"/>
          <w:lang w:val="bg-BG"/>
        </w:rPr>
        <w:t xml:space="preserve"> за периода 2015 – 201</w:t>
      </w:r>
      <w:r w:rsidR="00013745" w:rsidRPr="00610B1B">
        <w:rPr>
          <w:rFonts w:ascii="Times New Roman" w:hAnsi="Times New Roman" w:cs="Times New Roman"/>
          <w:sz w:val="24"/>
          <w:szCs w:val="24"/>
          <w:lang w:val="bg-BG"/>
        </w:rPr>
        <w:t>9</w:t>
      </w:r>
      <w:r w:rsidR="00115C8D" w:rsidRPr="00610B1B">
        <w:rPr>
          <w:rFonts w:ascii="Times New Roman" w:hAnsi="Times New Roman" w:cs="Times New Roman"/>
          <w:sz w:val="24"/>
          <w:szCs w:val="24"/>
          <w:lang w:val="bg-BG"/>
        </w:rPr>
        <w:t xml:space="preserve"> г.</w:t>
      </w:r>
      <w:bookmarkEnd w:id="357"/>
    </w:p>
    <w:p w14:paraId="31FD5734" w14:textId="3A79E8F5" w:rsidR="00115C8D" w:rsidRPr="00610B1B" w:rsidRDefault="0004160B"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Cs/>
          <w:noProof/>
          <w:szCs w:val="24"/>
          <w:lang w:val="bg-BG" w:eastAsia="bg-BG"/>
        </w:rPr>
        <w:drawing>
          <wp:inline distT="0" distB="0" distL="0" distR="0" wp14:anchorId="71EABFF7" wp14:editId="55D35313">
            <wp:extent cx="4476997" cy="218989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7">
                      <a:extLst>
                        <a:ext uri="{28A0092B-C50C-407E-A947-70E740481C1C}">
                          <a14:useLocalDpi xmlns:a14="http://schemas.microsoft.com/office/drawing/2010/main" val="0"/>
                        </a:ext>
                      </a:extLst>
                    </a:blip>
                    <a:srcRect t="5393" b="4704"/>
                    <a:stretch/>
                  </pic:blipFill>
                  <pic:spPr bwMode="auto">
                    <a:xfrm>
                      <a:off x="0" y="0"/>
                      <a:ext cx="4536036" cy="2218768"/>
                    </a:xfrm>
                    <a:prstGeom prst="rect">
                      <a:avLst/>
                    </a:prstGeom>
                    <a:noFill/>
                    <a:ln>
                      <a:noFill/>
                    </a:ln>
                    <a:extLst>
                      <a:ext uri="{53640926-AAD7-44D8-BBD7-CCE9431645EC}">
                        <a14:shadowObscured xmlns:a14="http://schemas.microsoft.com/office/drawing/2010/main"/>
                      </a:ext>
                    </a:extLst>
                  </pic:spPr>
                </pic:pic>
              </a:graphicData>
            </a:graphic>
          </wp:inline>
        </w:drawing>
      </w:r>
    </w:p>
    <w:p w14:paraId="5F0730AB" w14:textId="3880FF30" w:rsidR="00115C8D" w:rsidRPr="00610B1B" w:rsidRDefault="00115C8D" w:rsidP="00D32D6A">
      <w:pPr>
        <w:spacing w:after="120"/>
        <w:ind w:right="-153"/>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Източник:</w:t>
      </w:r>
      <w:r w:rsidR="00DB1201" w:rsidRPr="00610B1B">
        <w:rPr>
          <w:rFonts w:ascii="Times New Roman" w:eastAsia="Times New Roman" w:hAnsi="Times New Roman" w:cs="Times New Roman"/>
          <w:bCs/>
          <w:color w:val="000000"/>
          <w:lang w:val="bg-BG" w:eastAsia="bg-BG"/>
        </w:rPr>
        <w:t xml:space="preserve"> </w:t>
      </w:r>
      <w:r w:rsidRPr="00610B1B">
        <w:rPr>
          <w:rFonts w:ascii="Times New Roman" w:eastAsia="Times New Roman" w:hAnsi="Times New Roman" w:cs="Times New Roman"/>
          <w:bCs/>
          <w:color w:val="000000"/>
          <w:lang w:val="bg-BG" w:eastAsia="bg-BG"/>
        </w:rPr>
        <w:t xml:space="preserve">ИАРА </w:t>
      </w:r>
    </w:p>
    <w:p w14:paraId="31E2F49A" w14:textId="7B98EDF1" w:rsidR="00115C8D"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Икономическият индикатор е поставен на средно ниво въпреки значителното покачване на стойността на показателя за възвращаемост на инвестициите, които през 2017 са 0,23%, а през 2018 г. е 12,34%. </w:t>
      </w:r>
      <w:r w:rsidR="00013745" w:rsidRPr="00610B1B">
        <w:rPr>
          <w:rFonts w:ascii="Times New Roman" w:hAnsi="Times New Roman" w:cs="Times New Roman"/>
          <w:sz w:val="24"/>
          <w:szCs w:val="24"/>
          <w:lang w:val="bg-BG"/>
        </w:rPr>
        <w:t xml:space="preserve">През 2019 г. се наблюдава отново повишаване на стойностите като те достигат до 19.88%. </w:t>
      </w:r>
      <w:r w:rsidRPr="00610B1B">
        <w:rPr>
          <w:rFonts w:ascii="Times New Roman" w:hAnsi="Times New Roman" w:cs="Times New Roman"/>
          <w:sz w:val="24"/>
          <w:szCs w:val="24"/>
          <w:lang w:val="bg-BG"/>
        </w:rPr>
        <w:t>През 2015 и 2016 г. възвращаемостта на инвестициите бележи сериозни колебания и дори достига отрицателна стойност през 2016 г. В заключение икономическият показател е стабилен в краткосрочен план, но не и в дългосрочен.</w:t>
      </w:r>
    </w:p>
    <w:p w14:paraId="34ED3900" w14:textId="3103D199" w:rsidR="00F00BE8" w:rsidRPr="00610B1B" w:rsidRDefault="00F00BE8" w:rsidP="00D32D6A">
      <w:pPr>
        <w:spacing w:after="120"/>
        <w:ind w:right="-153"/>
        <w:jc w:val="both"/>
        <w:rPr>
          <w:rFonts w:ascii="Times New Roman" w:hAnsi="Times New Roman" w:cs="Times New Roman"/>
          <w:sz w:val="24"/>
          <w:szCs w:val="24"/>
          <w:lang w:val="bg-BG"/>
        </w:rPr>
      </w:pPr>
    </w:p>
    <w:p w14:paraId="7A8C9F4A" w14:textId="77777777" w:rsidR="009D32BB" w:rsidRPr="00610B1B" w:rsidRDefault="009D32BB" w:rsidP="00D32D6A">
      <w:pPr>
        <w:spacing w:after="120"/>
        <w:ind w:right="-153"/>
        <w:jc w:val="both"/>
        <w:rPr>
          <w:rFonts w:ascii="Times New Roman" w:hAnsi="Times New Roman" w:cs="Times New Roman"/>
          <w:sz w:val="24"/>
          <w:szCs w:val="24"/>
          <w:lang w:val="bg-BG"/>
        </w:rPr>
      </w:pPr>
    </w:p>
    <w:p w14:paraId="0F519980" w14:textId="3088D7A7" w:rsidR="00115C8D" w:rsidRPr="00610B1B" w:rsidRDefault="002F6792" w:rsidP="00D32D6A">
      <w:pPr>
        <w:spacing w:after="120"/>
        <w:ind w:right="-153"/>
        <w:rPr>
          <w:rFonts w:ascii="Times New Roman" w:hAnsi="Times New Roman" w:cs="Times New Roman"/>
          <w:sz w:val="24"/>
          <w:szCs w:val="24"/>
          <w:lang w:val="bg-BG"/>
        </w:rPr>
      </w:pPr>
      <w:bookmarkStart w:id="358" w:name="_Toc83391482"/>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19</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Се</w:t>
      </w:r>
      <w:r w:rsidR="00115C8D" w:rsidRPr="00610B1B">
        <w:rPr>
          <w:rFonts w:ascii="Times New Roman" w:hAnsi="Times New Roman" w:cs="Times New Roman"/>
          <w:sz w:val="24"/>
          <w:szCs w:val="24"/>
          <w:lang w:val="bg-BG"/>
        </w:rPr>
        <w:t>зонно разпределение на улова по видове за периода 2015-2018 г.</w:t>
      </w:r>
      <w:bookmarkEnd w:id="358"/>
    </w:p>
    <w:p w14:paraId="487A7A46" w14:textId="77777777" w:rsidR="00115C8D" w:rsidRPr="00610B1B" w:rsidRDefault="00115C8D" w:rsidP="00D32D6A">
      <w:pPr>
        <w:spacing w:after="120"/>
        <w:ind w:right="-153"/>
        <w:jc w:val="center"/>
        <w:rPr>
          <w:rFonts w:ascii="Times New Roman" w:hAnsi="Times New Roman" w:cs="Times New Roman"/>
          <w:sz w:val="24"/>
          <w:szCs w:val="24"/>
          <w:lang w:val="bg-BG"/>
        </w:rPr>
      </w:pPr>
      <w:r w:rsidRPr="00610B1B">
        <w:rPr>
          <w:rFonts w:ascii="Times New Roman" w:hAnsi="Times New Roman" w:cs="Times New Roman"/>
          <w:noProof/>
          <w:sz w:val="24"/>
          <w:szCs w:val="24"/>
          <w:lang w:val="bg-BG" w:eastAsia="bg-BG"/>
        </w:rPr>
        <w:lastRenderedPageBreak/>
        <w:drawing>
          <wp:inline distT="0" distB="0" distL="0" distR="0" wp14:anchorId="5C760ED4" wp14:editId="0C9646D6">
            <wp:extent cx="3739487" cy="719605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a:extLst>
                        <a:ext uri="{28A0092B-C50C-407E-A947-70E740481C1C}">
                          <a14:useLocalDpi xmlns:a14="http://schemas.microsoft.com/office/drawing/2010/main" val="0"/>
                        </a:ext>
                      </a:extLst>
                    </a:blip>
                    <a:srcRect l="1086" t="4475" r="1642" b="8712"/>
                    <a:stretch/>
                  </pic:blipFill>
                  <pic:spPr bwMode="auto">
                    <a:xfrm>
                      <a:off x="0" y="0"/>
                      <a:ext cx="3811830" cy="7335262"/>
                    </a:xfrm>
                    <a:prstGeom prst="rect">
                      <a:avLst/>
                    </a:prstGeom>
                    <a:noFill/>
                    <a:ln>
                      <a:noFill/>
                    </a:ln>
                    <a:extLst>
                      <a:ext uri="{53640926-AAD7-44D8-BBD7-CCE9431645EC}">
                        <a14:shadowObscured xmlns:a14="http://schemas.microsoft.com/office/drawing/2010/main"/>
                      </a:ext>
                    </a:extLst>
                  </pic:spPr>
                </pic:pic>
              </a:graphicData>
            </a:graphic>
          </wp:inline>
        </w:drawing>
      </w:r>
    </w:p>
    <w:p w14:paraId="1DB1A0CE" w14:textId="77777777" w:rsidR="00115C8D" w:rsidRPr="00610B1B" w:rsidRDefault="00115C8D" w:rsidP="00D32D6A">
      <w:pPr>
        <w:spacing w:after="120"/>
        <w:ind w:right="-153"/>
        <w:rPr>
          <w:rFonts w:ascii="Times New Roman" w:hAnsi="Times New Roman" w:cs="Times New Roman"/>
          <w:lang w:val="bg-BG"/>
        </w:rPr>
      </w:pPr>
      <w:r w:rsidRPr="00610B1B">
        <w:rPr>
          <w:rFonts w:ascii="Times New Roman" w:hAnsi="Times New Roman" w:cs="Times New Roman"/>
          <w:lang w:val="bg-BG"/>
        </w:rPr>
        <w:t>Източник: ИАРА</w:t>
      </w:r>
    </w:p>
    <w:p w14:paraId="060692D0" w14:textId="77777777" w:rsidR="00744F8C" w:rsidRPr="00610B1B" w:rsidRDefault="00744F8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Основните целеви видове са цаца (</w:t>
      </w:r>
      <w:r w:rsidRPr="00610B1B">
        <w:rPr>
          <w:rFonts w:ascii="Times New Roman" w:hAnsi="Times New Roman" w:cs="Times New Roman"/>
          <w:i/>
          <w:iCs/>
          <w:sz w:val="24"/>
          <w:szCs w:val="24"/>
          <w:lang w:val="bg-BG"/>
        </w:rPr>
        <w:t>Sprattus sprattus</w:t>
      </w:r>
      <w:r w:rsidRPr="00610B1B">
        <w:rPr>
          <w:rFonts w:ascii="Times New Roman" w:hAnsi="Times New Roman" w:cs="Times New Roman"/>
          <w:sz w:val="24"/>
          <w:szCs w:val="24"/>
          <w:lang w:val="bg-BG"/>
        </w:rPr>
        <w:t>), калкан (</w:t>
      </w:r>
      <w:r w:rsidRPr="00610B1B">
        <w:rPr>
          <w:rFonts w:ascii="Times New Roman" w:hAnsi="Times New Roman" w:cs="Times New Roman"/>
          <w:bCs/>
          <w:i/>
          <w:iCs/>
          <w:sz w:val="24"/>
          <w:szCs w:val="24"/>
          <w:lang w:val="bg-BG"/>
        </w:rPr>
        <w:t>Scophthalums</w:t>
      </w:r>
      <w:r w:rsidRPr="00610B1B">
        <w:rPr>
          <w:rFonts w:ascii="Times New Roman" w:eastAsia="Times New Roman" w:hAnsi="Times New Roman" w:cs="Times New Roman"/>
          <w:sz w:val="24"/>
          <w:szCs w:val="24"/>
          <w:lang w:val="bg-BG" w:eastAsia="bg-BG"/>
        </w:rPr>
        <w:t xml:space="preserve"> </w:t>
      </w:r>
      <w:r w:rsidRPr="00610B1B">
        <w:rPr>
          <w:rFonts w:ascii="Times New Roman" w:hAnsi="Times New Roman" w:cs="Times New Roman"/>
          <w:bCs/>
          <w:i/>
          <w:iCs/>
          <w:sz w:val="24"/>
          <w:szCs w:val="24"/>
          <w:lang w:val="bg-BG"/>
        </w:rPr>
        <w:t>maximus</w:t>
      </w:r>
      <w:r w:rsidRPr="00610B1B">
        <w:rPr>
          <w:rFonts w:ascii="Times New Roman" w:hAnsi="Times New Roman" w:cs="Times New Roman"/>
          <w:b/>
          <w:bCs/>
          <w:i/>
          <w:iCs/>
          <w:sz w:val="24"/>
          <w:szCs w:val="24"/>
          <w:lang w:val="bg-BG"/>
        </w:rPr>
        <w:t>)</w:t>
      </w:r>
      <w:r w:rsidRPr="00610B1B">
        <w:rPr>
          <w:rFonts w:ascii="Times New Roman" w:hAnsi="Times New Roman" w:cs="Times New Roman"/>
          <w:sz w:val="24"/>
          <w:szCs w:val="24"/>
          <w:lang w:val="bg-BG"/>
        </w:rPr>
        <w:t>, барбун (</w:t>
      </w:r>
      <w:r w:rsidRPr="00610B1B">
        <w:rPr>
          <w:rFonts w:ascii="Times New Roman" w:hAnsi="Times New Roman" w:cs="Times New Roman"/>
          <w:i/>
          <w:iCs/>
          <w:sz w:val="24"/>
          <w:szCs w:val="24"/>
          <w:lang w:val="bg-BG"/>
        </w:rPr>
        <w:t>Mullus barbatus</w:t>
      </w:r>
      <w:r w:rsidRPr="00610B1B">
        <w:rPr>
          <w:rFonts w:ascii="Times New Roman" w:hAnsi="Times New Roman" w:cs="Times New Roman"/>
          <w:sz w:val="24"/>
          <w:szCs w:val="24"/>
          <w:lang w:val="bg-BG"/>
        </w:rPr>
        <w:t>), хамсия (</w:t>
      </w:r>
      <w:r w:rsidRPr="00610B1B">
        <w:rPr>
          <w:rFonts w:ascii="Times New Roman" w:hAnsi="Times New Roman" w:cs="Times New Roman"/>
          <w:i/>
          <w:iCs/>
          <w:sz w:val="24"/>
          <w:szCs w:val="24"/>
          <w:lang w:val="bg-BG"/>
        </w:rPr>
        <w:t>Engraulis encrasicolus ponticus</w:t>
      </w:r>
      <w:r w:rsidRPr="00610B1B">
        <w:rPr>
          <w:rFonts w:ascii="Times New Roman" w:hAnsi="Times New Roman" w:cs="Times New Roman"/>
          <w:sz w:val="24"/>
          <w:szCs w:val="24"/>
          <w:lang w:val="bg-BG"/>
        </w:rPr>
        <w:t>), черноморска бодлива акула (</w:t>
      </w:r>
      <w:r w:rsidRPr="00610B1B">
        <w:rPr>
          <w:rFonts w:ascii="Times New Roman" w:hAnsi="Times New Roman" w:cs="Times New Roman"/>
          <w:i/>
          <w:iCs/>
          <w:sz w:val="24"/>
          <w:szCs w:val="24"/>
          <w:lang w:val="bg-BG"/>
        </w:rPr>
        <w:t>Squalus acanthias</w:t>
      </w:r>
      <w:r w:rsidRPr="00610B1B">
        <w:rPr>
          <w:rFonts w:ascii="Times New Roman" w:hAnsi="Times New Roman" w:cs="Times New Roman"/>
          <w:sz w:val="24"/>
          <w:szCs w:val="24"/>
          <w:lang w:val="bg-BG"/>
        </w:rPr>
        <w:t>), сафрид (</w:t>
      </w:r>
      <w:r w:rsidRPr="00610B1B">
        <w:rPr>
          <w:rFonts w:ascii="Times New Roman" w:hAnsi="Times New Roman" w:cs="Times New Roman"/>
          <w:i/>
          <w:iCs/>
          <w:sz w:val="24"/>
          <w:szCs w:val="24"/>
          <w:lang w:val="bg-BG"/>
        </w:rPr>
        <w:t>Trachurus mediterraneus ponticus</w:t>
      </w:r>
      <w:r w:rsidRPr="00610B1B">
        <w:rPr>
          <w:rFonts w:ascii="Times New Roman" w:hAnsi="Times New Roman" w:cs="Times New Roman"/>
          <w:sz w:val="24"/>
          <w:szCs w:val="24"/>
          <w:lang w:val="bg-BG"/>
        </w:rPr>
        <w:t>), рапан (</w:t>
      </w:r>
      <w:r w:rsidRPr="00610B1B">
        <w:rPr>
          <w:rFonts w:ascii="Times New Roman" w:hAnsi="Times New Roman" w:cs="Times New Roman"/>
          <w:i/>
          <w:iCs/>
          <w:sz w:val="24"/>
          <w:szCs w:val="24"/>
          <w:lang w:val="bg-BG"/>
        </w:rPr>
        <w:t>Rapana venosa</w:t>
      </w:r>
      <w:r w:rsidRPr="00610B1B">
        <w:rPr>
          <w:rFonts w:ascii="Times New Roman" w:hAnsi="Times New Roman" w:cs="Times New Roman"/>
          <w:sz w:val="24"/>
          <w:szCs w:val="24"/>
          <w:lang w:val="bg-BG"/>
        </w:rPr>
        <w:t>), паламуд (</w:t>
      </w:r>
      <w:r w:rsidRPr="00610B1B">
        <w:rPr>
          <w:rFonts w:ascii="Times New Roman" w:hAnsi="Times New Roman" w:cs="Times New Roman"/>
          <w:i/>
          <w:iCs/>
          <w:sz w:val="24"/>
          <w:szCs w:val="24"/>
          <w:lang w:val="bg-BG"/>
        </w:rPr>
        <w:t>Sarda sarda</w:t>
      </w:r>
      <w:r w:rsidRPr="00610B1B">
        <w:rPr>
          <w:rFonts w:ascii="Times New Roman" w:hAnsi="Times New Roman" w:cs="Times New Roman"/>
          <w:sz w:val="24"/>
          <w:szCs w:val="24"/>
          <w:lang w:val="bg-BG"/>
        </w:rPr>
        <w:t>), лефер (</w:t>
      </w:r>
      <w:r w:rsidRPr="00610B1B">
        <w:rPr>
          <w:rFonts w:ascii="Times New Roman" w:hAnsi="Times New Roman" w:cs="Times New Roman"/>
          <w:i/>
          <w:iCs/>
          <w:sz w:val="24"/>
          <w:szCs w:val="24"/>
          <w:lang w:val="bg-BG"/>
        </w:rPr>
        <w:t>Pomatomus saltatrix</w:t>
      </w:r>
      <w:r w:rsidRPr="00610B1B">
        <w:rPr>
          <w:rFonts w:ascii="Times New Roman" w:hAnsi="Times New Roman" w:cs="Times New Roman"/>
          <w:sz w:val="24"/>
          <w:szCs w:val="24"/>
          <w:lang w:val="bg-BG"/>
        </w:rPr>
        <w:t>). През последните години уловът на бели пясъчни миди (</w:t>
      </w:r>
      <w:r w:rsidRPr="00610B1B">
        <w:rPr>
          <w:rFonts w:ascii="Times New Roman" w:hAnsi="Times New Roman" w:cs="Times New Roman"/>
          <w:i/>
          <w:iCs/>
          <w:sz w:val="24"/>
          <w:szCs w:val="24"/>
          <w:lang w:val="bg-BG"/>
        </w:rPr>
        <w:t xml:space="preserve">Mya arenaria, Chamelea gallina, Donax trunculus, Anadara </w:t>
      </w:r>
      <w:r w:rsidRPr="00610B1B">
        <w:rPr>
          <w:rFonts w:ascii="Times New Roman" w:hAnsi="Times New Roman" w:cs="Times New Roman"/>
          <w:i/>
          <w:iCs/>
          <w:sz w:val="24"/>
          <w:szCs w:val="24"/>
          <w:lang w:val="bg-BG"/>
        </w:rPr>
        <w:lastRenderedPageBreak/>
        <w:t>inaequivalvis</w:t>
      </w:r>
      <w:r w:rsidRPr="00610B1B">
        <w:rPr>
          <w:rFonts w:ascii="Times New Roman" w:hAnsi="Times New Roman" w:cs="Times New Roman"/>
          <w:sz w:val="24"/>
          <w:szCs w:val="24"/>
          <w:lang w:val="bg-BG"/>
        </w:rPr>
        <w:t>) се увеличи поради силно търсене на пазарите в други европейски държави. Сезонното разпределение на уловите за 2015 – 2018 г.</w:t>
      </w:r>
    </w:p>
    <w:p w14:paraId="46B0A768" w14:textId="76A1AA93" w:rsidR="00115C8D" w:rsidRPr="00610B1B" w:rsidRDefault="00B62269" w:rsidP="00D32D6A">
      <w:pPr>
        <w:tabs>
          <w:tab w:val="left" w:pos="1035"/>
        </w:tabs>
        <w:spacing w:after="120"/>
        <w:ind w:right="-153"/>
        <w:rPr>
          <w:rFonts w:ascii="Times New Roman" w:hAnsi="Times New Roman" w:cs="Times New Roman"/>
          <w:sz w:val="24"/>
          <w:szCs w:val="24"/>
          <w:lang w:val="bg-BG"/>
        </w:rPr>
      </w:pPr>
      <w:bookmarkStart w:id="359" w:name="_Toc83391483"/>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20</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Оценка на стопанския риболов в българската акватория на Черно море по предложените индикатори</w:t>
      </w:r>
      <w:bookmarkEnd w:id="359"/>
    </w:p>
    <w:tbl>
      <w:tblPr>
        <w:tblW w:w="863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960"/>
        <w:gridCol w:w="1286"/>
        <w:gridCol w:w="1846"/>
        <w:gridCol w:w="1517"/>
        <w:gridCol w:w="1516"/>
        <w:gridCol w:w="1505"/>
      </w:tblGrid>
      <w:tr w:rsidR="00115C8D" w:rsidRPr="00610B1B" w14:paraId="0464E58A" w14:textId="77777777" w:rsidTr="001E3FED">
        <w:trPr>
          <w:trHeight w:val="315"/>
          <w:jc w:val="center"/>
        </w:trPr>
        <w:tc>
          <w:tcPr>
            <w:tcW w:w="960" w:type="dxa"/>
            <w:shd w:val="clear" w:color="auto" w:fill="auto"/>
            <w:noWrap/>
            <w:vAlign w:val="bottom"/>
            <w:hideMark/>
          </w:tcPr>
          <w:p w14:paraId="2F9B3256" w14:textId="77777777" w:rsidR="00115C8D" w:rsidRPr="00610B1B" w:rsidRDefault="00115C8D" w:rsidP="00D32D6A">
            <w:pPr>
              <w:spacing w:after="0" w:line="240" w:lineRule="auto"/>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rPr>
              <w:t> </w:t>
            </w:r>
          </w:p>
        </w:tc>
        <w:tc>
          <w:tcPr>
            <w:tcW w:w="7670" w:type="dxa"/>
            <w:gridSpan w:val="5"/>
            <w:shd w:val="clear" w:color="auto" w:fill="auto"/>
            <w:noWrap/>
            <w:vAlign w:val="center"/>
            <w:hideMark/>
          </w:tcPr>
          <w:p w14:paraId="6FE6CD75" w14:textId="77777777" w:rsidR="00115C8D" w:rsidRPr="00610B1B" w:rsidRDefault="00115C8D" w:rsidP="00901BE7">
            <w:pPr>
              <w:spacing w:after="0" w:line="240" w:lineRule="auto"/>
              <w:jc w:val="center"/>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Индикатори</w:t>
            </w:r>
          </w:p>
        </w:tc>
      </w:tr>
      <w:tr w:rsidR="00115C8D" w:rsidRPr="00610B1B" w14:paraId="754EF151" w14:textId="77777777" w:rsidTr="001E3FED">
        <w:trPr>
          <w:trHeight w:val="315"/>
          <w:jc w:val="center"/>
        </w:trPr>
        <w:tc>
          <w:tcPr>
            <w:tcW w:w="960" w:type="dxa"/>
            <w:vMerge w:val="restart"/>
            <w:shd w:val="clear" w:color="auto" w:fill="auto"/>
            <w:noWrap/>
            <w:vAlign w:val="center"/>
            <w:hideMark/>
          </w:tcPr>
          <w:p w14:paraId="2DC67F21" w14:textId="77777777" w:rsidR="00115C8D" w:rsidRPr="00610B1B" w:rsidRDefault="00115C8D" w:rsidP="00D32D6A">
            <w:pPr>
              <w:spacing w:after="0" w:line="240" w:lineRule="auto"/>
              <w:jc w:val="both"/>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Ниво</w:t>
            </w:r>
          </w:p>
        </w:tc>
        <w:tc>
          <w:tcPr>
            <w:tcW w:w="1286" w:type="dxa"/>
            <w:shd w:val="clear" w:color="auto" w:fill="auto"/>
            <w:noWrap/>
            <w:vAlign w:val="center"/>
            <w:hideMark/>
          </w:tcPr>
          <w:p w14:paraId="3307DDF8"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Социален</w:t>
            </w:r>
          </w:p>
        </w:tc>
        <w:tc>
          <w:tcPr>
            <w:tcW w:w="1846" w:type="dxa"/>
            <w:shd w:val="clear" w:color="auto" w:fill="auto"/>
            <w:noWrap/>
            <w:vAlign w:val="center"/>
            <w:hideMark/>
          </w:tcPr>
          <w:p w14:paraId="4FDB49C9"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Икономически</w:t>
            </w:r>
          </w:p>
        </w:tc>
        <w:tc>
          <w:tcPr>
            <w:tcW w:w="1517" w:type="dxa"/>
            <w:shd w:val="clear" w:color="auto" w:fill="auto"/>
            <w:noWrap/>
            <w:vAlign w:val="center"/>
            <w:hideMark/>
          </w:tcPr>
          <w:p w14:paraId="2AAA83EE"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 xml:space="preserve">Екологичен </w:t>
            </w:r>
          </w:p>
        </w:tc>
        <w:tc>
          <w:tcPr>
            <w:tcW w:w="1516" w:type="dxa"/>
            <w:shd w:val="clear" w:color="auto" w:fill="auto"/>
            <w:noWrap/>
            <w:vAlign w:val="center"/>
            <w:hideMark/>
          </w:tcPr>
          <w:p w14:paraId="6A94081E"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Биологичен</w:t>
            </w:r>
          </w:p>
        </w:tc>
        <w:tc>
          <w:tcPr>
            <w:tcW w:w="1505" w:type="dxa"/>
            <w:shd w:val="clear" w:color="auto" w:fill="auto"/>
            <w:noWrap/>
            <w:vAlign w:val="center"/>
            <w:hideMark/>
          </w:tcPr>
          <w:p w14:paraId="4C084BC0"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Технически</w:t>
            </w:r>
          </w:p>
        </w:tc>
      </w:tr>
      <w:tr w:rsidR="00115C8D" w:rsidRPr="00610B1B" w14:paraId="20408B27" w14:textId="77777777" w:rsidTr="001E3FED">
        <w:trPr>
          <w:trHeight w:val="315"/>
          <w:jc w:val="center"/>
        </w:trPr>
        <w:tc>
          <w:tcPr>
            <w:tcW w:w="960" w:type="dxa"/>
            <w:vMerge/>
            <w:vAlign w:val="center"/>
            <w:hideMark/>
          </w:tcPr>
          <w:p w14:paraId="708CB831" w14:textId="77777777" w:rsidR="00115C8D" w:rsidRPr="00610B1B" w:rsidRDefault="00115C8D" w:rsidP="00D32D6A">
            <w:pPr>
              <w:spacing w:after="0" w:line="240" w:lineRule="auto"/>
              <w:jc w:val="both"/>
              <w:rPr>
                <w:rFonts w:ascii="Times New Roman" w:eastAsia="Times New Roman" w:hAnsi="Times New Roman" w:cs="Times New Roman"/>
                <w:b/>
                <w:bCs/>
                <w:i/>
                <w:iCs/>
                <w:color w:val="000000"/>
                <w:sz w:val="24"/>
                <w:szCs w:val="24"/>
                <w:lang w:val="bg-BG"/>
              </w:rPr>
            </w:pPr>
          </w:p>
        </w:tc>
        <w:tc>
          <w:tcPr>
            <w:tcW w:w="1286" w:type="dxa"/>
            <w:shd w:val="clear" w:color="000000" w:fill="FFFF00"/>
            <w:noWrap/>
            <w:vAlign w:val="center"/>
            <w:hideMark/>
          </w:tcPr>
          <w:p w14:paraId="61833519"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Средно</w:t>
            </w:r>
          </w:p>
        </w:tc>
        <w:tc>
          <w:tcPr>
            <w:tcW w:w="1846" w:type="dxa"/>
            <w:shd w:val="clear" w:color="000000" w:fill="FFFF00"/>
            <w:noWrap/>
            <w:vAlign w:val="center"/>
            <w:hideMark/>
          </w:tcPr>
          <w:p w14:paraId="0198DF52"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Средно</w:t>
            </w:r>
          </w:p>
        </w:tc>
        <w:tc>
          <w:tcPr>
            <w:tcW w:w="1517" w:type="dxa"/>
            <w:shd w:val="clear" w:color="000000" w:fill="FFFF00"/>
            <w:noWrap/>
            <w:vAlign w:val="center"/>
            <w:hideMark/>
          </w:tcPr>
          <w:p w14:paraId="60BBFB18"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Средно</w:t>
            </w:r>
          </w:p>
        </w:tc>
        <w:tc>
          <w:tcPr>
            <w:tcW w:w="1516" w:type="dxa"/>
            <w:shd w:val="clear" w:color="000000" w:fill="FFFF00"/>
            <w:noWrap/>
            <w:vAlign w:val="center"/>
            <w:hideMark/>
          </w:tcPr>
          <w:p w14:paraId="269CAB4D"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Средно</w:t>
            </w:r>
          </w:p>
        </w:tc>
        <w:tc>
          <w:tcPr>
            <w:tcW w:w="1505" w:type="dxa"/>
            <w:shd w:val="clear" w:color="000000" w:fill="FFFF00"/>
            <w:noWrap/>
            <w:vAlign w:val="center"/>
            <w:hideMark/>
          </w:tcPr>
          <w:p w14:paraId="63647745" w14:textId="77777777" w:rsidR="00115C8D" w:rsidRPr="00610B1B" w:rsidRDefault="00115C8D" w:rsidP="00D32D6A">
            <w:pPr>
              <w:spacing w:after="0" w:line="240" w:lineRule="auto"/>
              <w:jc w:val="both"/>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Средно</w:t>
            </w:r>
          </w:p>
        </w:tc>
      </w:tr>
    </w:tbl>
    <w:p w14:paraId="67271F06" w14:textId="22251EB1" w:rsidR="00115C8D" w:rsidRPr="00610B1B" w:rsidRDefault="00115C8D" w:rsidP="00BC44C1">
      <w:pPr>
        <w:spacing w:before="60" w:after="120"/>
        <w:ind w:right="-153"/>
        <w:rPr>
          <w:rFonts w:ascii="Times New Roman" w:hAnsi="Times New Roman" w:cs="Times New Roman"/>
          <w:lang w:val="bg-BG"/>
        </w:rPr>
      </w:pPr>
      <w:r w:rsidRPr="00610B1B">
        <w:rPr>
          <w:rFonts w:ascii="Times New Roman" w:hAnsi="Times New Roman" w:cs="Times New Roman"/>
          <w:lang w:val="bg-BG"/>
        </w:rPr>
        <w:t>Източник: ИАРА</w:t>
      </w:r>
    </w:p>
    <w:p w14:paraId="05173775" w14:textId="77777777" w:rsidR="009907CE" w:rsidRPr="00610B1B" w:rsidRDefault="009907CE" w:rsidP="00BC44C1">
      <w:pPr>
        <w:spacing w:before="60" w:after="120"/>
        <w:ind w:right="-153"/>
        <w:rPr>
          <w:rFonts w:ascii="Times New Roman" w:hAnsi="Times New Roman" w:cs="Times New Roman"/>
          <w:lang w:val="bg-BG"/>
        </w:rPr>
      </w:pPr>
    </w:p>
    <w:p w14:paraId="7B433BAF" w14:textId="584D4453" w:rsidR="00115C8D" w:rsidRPr="00610B1B" w:rsidRDefault="004A7472" w:rsidP="00D32D6A">
      <w:pPr>
        <w:pStyle w:val="Heading3"/>
        <w:spacing w:before="0" w:line="276" w:lineRule="auto"/>
        <w:rPr>
          <w:rFonts w:cs="Times New Roman"/>
        </w:rPr>
      </w:pPr>
      <w:bookmarkStart w:id="360" w:name="_Toc83391378"/>
      <w:r w:rsidRPr="00610B1B">
        <w:rPr>
          <w:rFonts w:cs="Times New Roman"/>
        </w:rPr>
        <w:t>3.2.</w:t>
      </w:r>
      <w:r w:rsidR="00FA2174" w:rsidRPr="00610B1B">
        <w:rPr>
          <w:rFonts w:cs="Times New Roman"/>
        </w:rPr>
        <w:t>2</w:t>
      </w:r>
      <w:r w:rsidR="00ED428F" w:rsidRPr="00610B1B">
        <w:rPr>
          <w:rFonts w:cs="Times New Roman"/>
        </w:rPr>
        <w:t>.</w:t>
      </w:r>
      <w:r w:rsidRPr="00610B1B">
        <w:rPr>
          <w:rFonts w:cs="Times New Roman"/>
        </w:rPr>
        <w:t xml:space="preserve"> </w:t>
      </w:r>
      <w:r w:rsidR="00115C8D" w:rsidRPr="00610B1B">
        <w:rPr>
          <w:rFonts w:cs="Times New Roman"/>
        </w:rPr>
        <w:t>Аквакултури</w:t>
      </w:r>
      <w:bookmarkEnd w:id="360"/>
    </w:p>
    <w:p w14:paraId="52F1C380" w14:textId="5645E402" w:rsidR="004A7472" w:rsidRPr="00610B1B" w:rsidRDefault="00115C8D" w:rsidP="00D32D6A">
      <w:pPr>
        <w:autoSpaceDE w:val="0"/>
        <w:autoSpaceDN w:val="0"/>
        <w:adjustRightInd w:val="0"/>
        <w:spacing w:after="120"/>
        <w:ind w:right="-153"/>
        <w:jc w:val="both"/>
        <w:rPr>
          <w:rFonts w:ascii="Times New Roman" w:hAnsi="Times New Roman" w:cs="Times New Roman"/>
          <w:color w:val="000000"/>
          <w:sz w:val="24"/>
          <w:szCs w:val="24"/>
          <w:lang w:val="bg-BG"/>
        </w:rPr>
      </w:pPr>
      <w:r w:rsidRPr="00610B1B">
        <w:rPr>
          <w:rFonts w:ascii="Times New Roman" w:hAnsi="Times New Roman" w:cs="Times New Roman"/>
          <w:color w:val="000000"/>
          <w:sz w:val="24"/>
          <w:szCs w:val="24"/>
          <w:lang w:val="bg-BG"/>
        </w:rPr>
        <w:t xml:space="preserve">През последното десетилетие производството на </w:t>
      </w:r>
      <w:r w:rsidRPr="00610B1B">
        <w:rPr>
          <w:rFonts w:ascii="Times New Roman" w:hAnsi="Times New Roman" w:cs="Times New Roman"/>
          <w:bCs/>
          <w:color w:val="000000"/>
          <w:sz w:val="24"/>
          <w:szCs w:val="24"/>
          <w:lang w:val="bg-BG"/>
        </w:rPr>
        <w:t>аквакултури в България</w:t>
      </w:r>
      <w:r w:rsidR="00D66FE0" w:rsidRPr="00610B1B">
        <w:rPr>
          <w:rFonts w:ascii="Times New Roman" w:hAnsi="Times New Roman" w:cs="Times New Roman"/>
          <w:b/>
          <w:bCs/>
          <w:color w:val="000000"/>
          <w:sz w:val="24"/>
          <w:szCs w:val="24"/>
          <w:lang w:val="bg-BG"/>
        </w:rPr>
        <w:t xml:space="preserve"> </w:t>
      </w:r>
      <w:r w:rsidRPr="00610B1B">
        <w:rPr>
          <w:rFonts w:ascii="Times New Roman" w:hAnsi="Times New Roman" w:cs="Times New Roman"/>
          <w:color w:val="000000"/>
          <w:sz w:val="24"/>
          <w:szCs w:val="24"/>
          <w:lang w:val="bg-BG"/>
        </w:rPr>
        <w:t xml:space="preserve">се </w:t>
      </w:r>
      <w:r w:rsidR="006011C0" w:rsidRPr="00610B1B">
        <w:rPr>
          <w:rFonts w:ascii="Times New Roman" w:hAnsi="Times New Roman" w:cs="Times New Roman"/>
          <w:color w:val="000000"/>
          <w:sz w:val="24"/>
          <w:szCs w:val="24"/>
          <w:lang w:val="bg-BG"/>
        </w:rPr>
        <w:t>увеличава</w:t>
      </w:r>
      <w:r w:rsidRPr="00610B1B">
        <w:rPr>
          <w:rFonts w:ascii="Times New Roman" w:hAnsi="Times New Roman" w:cs="Times New Roman"/>
          <w:color w:val="000000"/>
          <w:sz w:val="24"/>
          <w:szCs w:val="24"/>
          <w:lang w:val="bg-BG"/>
        </w:rPr>
        <w:t xml:space="preserve"> и видовете се обогатяват. Политиката на ЕС за намаляване на стопански риболов в морски води, </w:t>
      </w:r>
      <w:r w:rsidR="00ED428F" w:rsidRPr="00610B1B">
        <w:rPr>
          <w:rFonts w:ascii="Times New Roman" w:hAnsi="Times New Roman" w:cs="Times New Roman"/>
          <w:color w:val="000000"/>
          <w:sz w:val="24"/>
          <w:szCs w:val="24"/>
          <w:lang w:val="bg-BG"/>
        </w:rPr>
        <w:t>поради</w:t>
      </w:r>
      <w:r w:rsidRPr="00610B1B">
        <w:rPr>
          <w:rFonts w:ascii="Times New Roman" w:hAnsi="Times New Roman" w:cs="Times New Roman"/>
          <w:color w:val="000000"/>
          <w:sz w:val="24"/>
          <w:szCs w:val="24"/>
          <w:lang w:val="bg-BG"/>
        </w:rPr>
        <w:t xml:space="preserve"> намаляване на местните популации и увеличаващото се търсене на риба и рибни продукти на национално ниво, доказва необходимостта от преструктуриране на отрасъла. </w:t>
      </w:r>
    </w:p>
    <w:p w14:paraId="66F20892" w14:textId="36359EC2" w:rsidR="004A7472" w:rsidRPr="00610B1B" w:rsidRDefault="00115C8D" w:rsidP="00D32D6A">
      <w:pPr>
        <w:autoSpaceDE w:val="0"/>
        <w:autoSpaceDN w:val="0"/>
        <w:adjustRightInd w:val="0"/>
        <w:spacing w:after="120"/>
        <w:ind w:right="-153"/>
        <w:jc w:val="both"/>
        <w:rPr>
          <w:rFonts w:ascii="Times New Roman" w:hAnsi="Times New Roman" w:cs="Times New Roman"/>
          <w:color w:val="000000"/>
          <w:sz w:val="24"/>
          <w:szCs w:val="24"/>
          <w:lang w:val="bg-BG"/>
        </w:rPr>
      </w:pPr>
      <w:r w:rsidRPr="00610B1B">
        <w:rPr>
          <w:rFonts w:ascii="Times New Roman" w:hAnsi="Times New Roman" w:cs="Times New Roman"/>
          <w:color w:val="000000"/>
          <w:sz w:val="24"/>
          <w:szCs w:val="24"/>
          <w:lang w:val="bg-BG"/>
        </w:rPr>
        <w:t>В България са развити два подсектора на аквакултурите: отглеждане на сладководна риба (в топла или студена вода) и отглеждане на морски аквакултури.</w:t>
      </w:r>
      <w:r w:rsidRPr="00610B1B">
        <w:rPr>
          <w:rFonts w:ascii="Times New Roman" w:hAnsi="Times New Roman" w:cs="Times New Roman"/>
          <w:sz w:val="24"/>
          <w:szCs w:val="24"/>
          <w:lang w:val="bg-BG"/>
        </w:rPr>
        <w:t xml:space="preserve"> Във връзка със забраната за извършване на стопански риболов във вътрешните водоеми на страната, влязла в сила от м. август 2012 г., и свързаната с това пререгистрация, се увеличава броят на активните регистрирани производители на аквакултури. Наблюдава се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тенденция към нарастване на броя на регистрираните сладководни аквакултурни стопанства през годините</w:t>
      </w:r>
      <w:r w:rsidR="00ED428F" w:rsidRPr="00610B1B">
        <w:rPr>
          <w:rFonts w:ascii="Times New Roman" w:hAnsi="Times New Roman" w:cs="Times New Roman"/>
          <w:sz w:val="24"/>
          <w:szCs w:val="24"/>
          <w:lang w:val="bg-BG"/>
        </w:rPr>
        <w:t>, които</w:t>
      </w:r>
      <w:r w:rsidRPr="00610B1B">
        <w:rPr>
          <w:rFonts w:ascii="Times New Roman" w:hAnsi="Times New Roman" w:cs="Times New Roman"/>
          <w:sz w:val="24"/>
          <w:szCs w:val="24"/>
          <w:lang w:val="bg-BG"/>
        </w:rPr>
        <w:t xml:space="preserve"> достига</w:t>
      </w:r>
      <w:r w:rsidR="00ED428F"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w:t>
      </w:r>
      <w:r w:rsidRPr="00610B1B">
        <w:rPr>
          <w:rFonts w:ascii="Times New Roman" w:hAnsi="Times New Roman" w:cs="Times New Roman"/>
          <w:color w:val="000000" w:themeColor="text1"/>
          <w:sz w:val="24"/>
          <w:szCs w:val="24"/>
          <w:lang w:val="bg-BG"/>
        </w:rPr>
        <w:t>84%</w:t>
      </w:r>
      <w:r w:rsidR="00D66FE0"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през 2018 г</w:t>
      </w:r>
      <w:r w:rsidRPr="00610B1B">
        <w:rPr>
          <w:rFonts w:ascii="Times New Roman" w:hAnsi="Times New Roman" w:cs="Times New Roman"/>
          <w:sz w:val="24"/>
          <w:szCs w:val="24"/>
          <w:lang w:val="bg-BG"/>
        </w:rPr>
        <w:t>.</w:t>
      </w:r>
      <w:r w:rsidRPr="00610B1B">
        <w:rPr>
          <w:rFonts w:ascii="Times New Roman" w:hAnsi="Times New Roman" w:cs="Times New Roman"/>
          <w:color w:val="FF0000"/>
          <w:sz w:val="24"/>
          <w:szCs w:val="24"/>
          <w:lang w:val="bg-BG"/>
        </w:rPr>
        <w:t xml:space="preserve"> </w:t>
      </w:r>
      <w:r w:rsidRPr="00610B1B">
        <w:rPr>
          <w:rFonts w:ascii="Times New Roman" w:hAnsi="Times New Roman" w:cs="Times New Roman"/>
          <w:color w:val="000000"/>
          <w:sz w:val="24"/>
          <w:szCs w:val="24"/>
          <w:lang w:val="bg-BG"/>
        </w:rPr>
        <w:t>от общото производство на аквакултури в България и 16</w:t>
      </w:r>
      <w:r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sz w:val="24"/>
          <w:szCs w:val="24"/>
          <w:lang w:val="bg-BG"/>
        </w:rPr>
        <w:t xml:space="preserve">за черноморските аквакултури. </w:t>
      </w:r>
    </w:p>
    <w:p w14:paraId="368136C6" w14:textId="3F32A498" w:rsidR="00115C8D" w:rsidRPr="00610B1B" w:rsidRDefault="00115C8D" w:rsidP="00D32D6A">
      <w:pPr>
        <w:autoSpaceDE w:val="0"/>
        <w:autoSpaceDN w:val="0"/>
        <w:adjustRightInd w:val="0"/>
        <w:spacing w:after="120"/>
        <w:ind w:right="-153"/>
        <w:jc w:val="both"/>
        <w:rPr>
          <w:rFonts w:ascii="Times New Roman" w:eastAsia="Calibri" w:hAnsi="Times New Roman" w:cs="Times New Roman"/>
          <w:sz w:val="24"/>
          <w:szCs w:val="24"/>
          <w:lang w:val="bg-BG"/>
        </w:rPr>
      </w:pPr>
      <w:r w:rsidRPr="00610B1B">
        <w:rPr>
          <w:rFonts w:ascii="Times New Roman" w:hAnsi="Times New Roman" w:cs="Times New Roman"/>
          <w:color w:val="000000"/>
          <w:sz w:val="24"/>
          <w:szCs w:val="24"/>
          <w:lang w:val="bg-BG"/>
        </w:rPr>
        <w:t xml:space="preserve">Производствените съоръжения за </w:t>
      </w:r>
      <w:r w:rsidRPr="00610B1B">
        <w:rPr>
          <w:rFonts w:ascii="Times New Roman" w:hAnsi="Times New Roman" w:cs="Times New Roman"/>
          <w:bCs/>
          <w:color w:val="000000"/>
          <w:sz w:val="24"/>
          <w:szCs w:val="24"/>
          <w:lang w:val="bg-BG"/>
        </w:rPr>
        <w:t xml:space="preserve">морски аквакултури </w:t>
      </w:r>
      <w:r w:rsidRPr="00610B1B">
        <w:rPr>
          <w:rFonts w:ascii="Times New Roman" w:hAnsi="Times New Roman" w:cs="Times New Roman"/>
          <w:color w:val="000000"/>
          <w:sz w:val="24"/>
          <w:szCs w:val="24"/>
          <w:lang w:val="bg-BG"/>
        </w:rPr>
        <w:t xml:space="preserve">включват </w:t>
      </w:r>
      <w:r w:rsidR="004A7472" w:rsidRPr="00610B1B">
        <w:rPr>
          <w:rFonts w:ascii="Times New Roman" w:hAnsi="Times New Roman" w:cs="Times New Roman"/>
          <w:color w:val="000000"/>
          <w:sz w:val="24"/>
          <w:szCs w:val="24"/>
          <w:lang w:val="bg-BG"/>
        </w:rPr>
        <w:t xml:space="preserve">основно съоръжения </w:t>
      </w:r>
      <w:r w:rsidRPr="00610B1B">
        <w:rPr>
          <w:rFonts w:ascii="Times New Roman" w:hAnsi="Times New Roman" w:cs="Times New Roman"/>
          <w:color w:val="000000"/>
          <w:sz w:val="24"/>
          <w:szCs w:val="24"/>
          <w:lang w:val="bg-BG"/>
        </w:rPr>
        <w:t xml:space="preserve">за производство </w:t>
      </w:r>
      <w:r w:rsidR="004A7472" w:rsidRPr="00610B1B">
        <w:rPr>
          <w:rFonts w:ascii="Times New Roman" w:hAnsi="Times New Roman" w:cs="Times New Roman"/>
          <w:color w:val="000000"/>
          <w:sz w:val="24"/>
          <w:szCs w:val="24"/>
          <w:lang w:val="bg-BG"/>
        </w:rPr>
        <w:t>на</w:t>
      </w:r>
      <w:r w:rsidRPr="00610B1B">
        <w:rPr>
          <w:rFonts w:ascii="Times New Roman" w:hAnsi="Times New Roman" w:cs="Times New Roman"/>
          <w:color w:val="000000"/>
          <w:sz w:val="24"/>
          <w:szCs w:val="24"/>
          <w:lang w:val="bg-BG"/>
        </w:rPr>
        <w:t xml:space="preserve"> черна морска мида. </w:t>
      </w:r>
      <w:r w:rsidRPr="00610B1B">
        <w:rPr>
          <w:rFonts w:ascii="Times New Roman" w:hAnsi="Times New Roman" w:cs="Times New Roman"/>
          <w:sz w:val="24"/>
          <w:szCs w:val="24"/>
          <w:lang w:val="bg-BG"/>
        </w:rPr>
        <w:t>Пазарен интерес представляват и други видове молюски, интродуцирани в Черно море като пясъчната мида (</w:t>
      </w:r>
      <w:r w:rsidRPr="00610B1B">
        <w:rPr>
          <w:rFonts w:ascii="Times New Roman" w:hAnsi="Times New Roman" w:cs="Times New Roman"/>
          <w:i/>
          <w:iCs/>
          <w:sz w:val="24"/>
          <w:szCs w:val="24"/>
          <w:lang w:val="bg-BG"/>
        </w:rPr>
        <w:t>Mya arenaria</w:t>
      </w:r>
      <w:r w:rsidRPr="00610B1B">
        <w:rPr>
          <w:rFonts w:ascii="Times New Roman" w:hAnsi="Times New Roman" w:cs="Times New Roman"/>
          <w:sz w:val="24"/>
          <w:szCs w:val="24"/>
          <w:lang w:val="bg-BG"/>
        </w:rPr>
        <w:t>) и рапана (</w:t>
      </w:r>
      <w:r w:rsidRPr="00610B1B">
        <w:rPr>
          <w:rFonts w:ascii="Times New Roman" w:hAnsi="Times New Roman" w:cs="Times New Roman"/>
          <w:i/>
          <w:iCs/>
          <w:sz w:val="24"/>
          <w:szCs w:val="24"/>
          <w:lang w:val="bg-BG"/>
        </w:rPr>
        <w:t>Rapana venosa</w:t>
      </w:r>
      <w:r w:rsidRPr="00610B1B">
        <w:rPr>
          <w:rFonts w:ascii="Times New Roman" w:hAnsi="Times New Roman" w:cs="Times New Roman"/>
          <w:sz w:val="24"/>
          <w:szCs w:val="24"/>
          <w:lang w:val="bg-BG"/>
        </w:rPr>
        <w:t xml:space="preserve">), които към момента са единствено обект на улов, без да се разработват методи за развъждането и отглеждането им. </w:t>
      </w:r>
      <w:r w:rsidRPr="00610B1B">
        <w:rPr>
          <w:rFonts w:ascii="Times New Roman" w:hAnsi="Times New Roman" w:cs="Times New Roman"/>
          <w:color w:val="000000"/>
          <w:sz w:val="24"/>
          <w:szCs w:val="24"/>
          <w:lang w:val="bg-BG"/>
        </w:rPr>
        <w:t xml:space="preserve">По данни на </w:t>
      </w:r>
      <w:r w:rsidR="00ED428F" w:rsidRPr="00610B1B">
        <w:rPr>
          <w:rFonts w:ascii="Times New Roman" w:hAnsi="Times New Roman" w:cs="Times New Roman"/>
          <w:color w:val="000000"/>
          <w:sz w:val="24"/>
          <w:szCs w:val="24"/>
          <w:lang w:val="bg-BG"/>
        </w:rPr>
        <w:t>ИАРА</w:t>
      </w:r>
      <w:r w:rsidRPr="00610B1B">
        <w:rPr>
          <w:rFonts w:ascii="Times New Roman" w:hAnsi="Times New Roman" w:cs="Times New Roman"/>
          <w:color w:val="000000"/>
          <w:sz w:val="24"/>
          <w:szCs w:val="24"/>
          <w:lang w:val="bg-BG"/>
        </w:rPr>
        <w:t xml:space="preserve"> през последните години сред морските аквакултури се наблюдава разнообразие и на други видове, като калкан, дънен морски червей и др. </w:t>
      </w:r>
      <w:r w:rsidR="00013745" w:rsidRPr="00610B1B">
        <w:rPr>
          <w:rFonts w:ascii="Times New Roman" w:hAnsi="Times New Roman" w:cs="Times New Roman"/>
          <w:sz w:val="24"/>
          <w:szCs w:val="24"/>
          <w:lang w:val="bg-BG"/>
        </w:rPr>
        <w:t xml:space="preserve">Общият брой производствени </w:t>
      </w:r>
      <w:r w:rsidR="009E47BC" w:rsidRPr="00610B1B">
        <w:rPr>
          <w:rFonts w:ascii="Times New Roman" w:hAnsi="Times New Roman" w:cs="Times New Roman"/>
          <w:sz w:val="24"/>
          <w:szCs w:val="24"/>
          <w:lang w:val="bg-BG"/>
        </w:rPr>
        <w:t xml:space="preserve">обекти </w:t>
      </w:r>
      <w:r w:rsidR="00013745" w:rsidRPr="00610B1B">
        <w:rPr>
          <w:rFonts w:ascii="Times New Roman" w:hAnsi="Times New Roman" w:cs="Times New Roman"/>
          <w:sz w:val="24"/>
          <w:szCs w:val="24"/>
          <w:lang w:val="bg-BG"/>
        </w:rPr>
        <w:t>към 2019 г. е 700, от които 25 са черноморските аквакултури. При анализ на производствените обеми в сектора в периода 2015-2019 г. се наблюдава ясно очертаваща се тенденция на нарастване на</w:t>
      </w:r>
      <w:r w:rsidR="00D66FE0" w:rsidRPr="00610B1B">
        <w:rPr>
          <w:rFonts w:ascii="Times New Roman" w:hAnsi="Times New Roman" w:cs="Times New Roman"/>
          <w:sz w:val="24"/>
          <w:szCs w:val="24"/>
          <w:lang w:val="bg-BG"/>
        </w:rPr>
        <w:t xml:space="preserve"> </w:t>
      </w:r>
      <w:r w:rsidR="00013745" w:rsidRPr="00610B1B">
        <w:rPr>
          <w:rFonts w:ascii="Times New Roman" w:hAnsi="Times New Roman" w:cs="Times New Roman"/>
          <w:sz w:val="24"/>
          <w:szCs w:val="24"/>
          <w:lang w:val="bg-BG"/>
        </w:rPr>
        <w:t>продукцията и достигането на 16 513,78 тона за 2019 г.</w:t>
      </w:r>
      <w:r w:rsidRPr="00610B1B">
        <w:rPr>
          <w:rFonts w:ascii="Times New Roman" w:hAnsi="Times New Roman" w:cs="Times New Roman"/>
          <w:sz w:val="24"/>
          <w:szCs w:val="24"/>
          <w:lang w:val="bg-BG"/>
        </w:rPr>
        <w:t xml:space="preserve">, но повишаването на националната продукция е резултат основно от повишени количества във вътрешните водоеми. </w:t>
      </w:r>
      <w:r w:rsidRPr="00610B1B">
        <w:rPr>
          <w:rFonts w:ascii="Times New Roman" w:hAnsi="Times New Roman" w:cs="Times New Roman"/>
          <w:color w:val="000000"/>
          <w:sz w:val="24"/>
          <w:szCs w:val="24"/>
          <w:lang w:val="bg-BG"/>
        </w:rPr>
        <w:t xml:space="preserve">Запазващата се </w:t>
      </w:r>
      <w:r w:rsidRPr="00610B1B">
        <w:rPr>
          <w:rFonts w:ascii="Times New Roman" w:eastAsia="Calibri" w:hAnsi="Times New Roman" w:cs="Times New Roman"/>
          <w:color w:val="000000"/>
          <w:sz w:val="24"/>
          <w:szCs w:val="24"/>
          <w:lang w:val="bg-BG"/>
        </w:rPr>
        <w:t>тенденция към</w:t>
      </w:r>
      <w:r w:rsidRPr="00610B1B">
        <w:rPr>
          <w:rFonts w:ascii="Times New Roman" w:eastAsia="Calibri" w:hAnsi="Times New Roman" w:cs="Times New Roman"/>
          <w:sz w:val="24"/>
          <w:szCs w:val="24"/>
          <w:lang w:val="bg-BG"/>
        </w:rPr>
        <w:t xml:space="preserve"> нарастване на производството на черноморските аквакултури спрямо общото количество продължава, като </w:t>
      </w:r>
      <w:r w:rsidRPr="00610B1B">
        <w:rPr>
          <w:rFonts w:ascii="Times New Roman" w:hAnsi="Times New Roman" w:cs="Times New Roman"/>
          <w:sz w:val="24"/>
          <w:szCs w:val="24"/>
          <w:lang w:val="bg-BG"/>
        </w:rPr>
        <w:t>през периода 2017-201</w:t>
      </w:r>
      <w:r w:rsidR="00013745" w:rsidRPr="00610B1B">
        <w:rPr>
          <w:rFonts w:ascii="Times New Roman" w:hAnsi="Times New Roman" w:cs="Times New Roman"/>
          <w:sz w:val="24"/>
          <w:szCs w:val="24"/>
          <w:lang w:val="bg-BG"/>
        </w:rPr>
        <w:t>9</w:t>
      </w:r>
      <w:r w:rsidRPr="00610B1B">
        <w:rPr>
          <w:rFonts w:ascii="Times New Roman" w:hAnsi="Times New Roman" w:cs="Times New Roman"/>
          <w:sz w:val="24"/>
          <w:szCs w:val="24"/>
          <w:lang w:val="bg-BG"/>
        </w:rPr>
        <w:t xml:space="preserve"> г. </w:t>
      </w:r>
      <w:r w:rsidRPr="00610B1B">
        <w:rPr>
          <w:rFonts w:ascii="Times New Roman" w:eastAsia="Calibri" w:hAnsi="Times New Roman" w:cs="Times New Roman"/>
          <w:sz w:val="24"/>
          <w:szCs w:val="24"/>
          <w:lang w:val="bg-BG"/>
        </w:rPr>
        <w:t>показва незначително понижаване</w:t>
      </w:r>
      <w:r w:rsidR="004A7472"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поради прекратяване на дейността на част от мидените плантации. Динамиката на производствените обеми на вътрешните водоеми и морските аквакултури за периода 2015–201</w:t>
      </w:r>
      <w:r w:rsidR="00173C7E" w:rsidRPr="00610B1B">
        <w:rPr>
          <w:rFonts w:ascii="Times New Roman" w:eastAsia="Calibri" w:hAnsi="Times New Roman" w:cs="Times New Roman"/>
          <w:sz w:val="24"/>
          <w:szCs w:val="24"/>
          <w:lang w:val="bg-BG"/>
        </w:rPr>
        <w:t>9</w:t>
      </w:r>
      <w:r w:rsidRPr="00610B1B">
        <w:rPr>
          <w:rFonts w:ascii="Times New Roman" w:eastAsia="Calibri" w:hAnsi="Times New Roman" w:cs="Times New Roman"/>
          <w:sz w:val="24"/>
          <w:szCs w:val="24"/>
          <w:lang w:val="bg-BG"/>
        </w:rPr>
        <w:t xml:space="preserve"> г. на </w:t>
      </w:r>
      <w:r w:rsidR="000C428F" w:rsidRPr="00610B1B">
        <w:rPr>
          <w:rFonts w:ascii="Times New Roman" w:eastAsia="Calibri" w:hAnsi="Times New Roman" w:cs="Times New Roman"/>
          <w:sz w:val="24"/>
          <w:szCs w:val="24"/>
          <w:lang w:val="bg-BG"/>
        </w:rPr>
        <w:t>Ф</w:t>
      </w:r>
      <w:r w:rsidR="004A7472" w:rsidRPr="00610B1B">
        <w:rPr>
          <w:rFonts w:ascii="Times New Roman" w:eastAsia="Calibri" w:hAnsi="Times New Roman" w:cs="Times New Roman"/>
          <w:sz w:val="24"/>
          <w:szCs w:val="24"/>
          <w:lang w:val="bg-BG"/>
        </w:rPr>
        <w:t xml:space="preserve">игура </w:t>
      </w:r>
      <w:r w:rsidR="00422374" w:rsidRPr="00610B1B">
        <w:rPr>
          <w:rFonts w:ascii="Times New Roman" w:eastAsia="Calibri" w:hAnsi="Times New Roman" w:cs="Times New Roman"/>
          <w:sz w:val="24"/>
          <w:szCs w:val="24"/>
          <w:lang w:val="bg-BG"/>
        </w:rPr>
        <w:t>2</w:t>
      </w:r>
      <w:r w:rsidR="00173C7E" w:rsidRPr="00610B1B">
        <w:rPr>
          <w:rFonts w:ascii="Times New Roman" w:eastAsia="Calibri" w:hAnsi="Times New Roman" w:cs="Times New Roman"/>
          <w:sz w:val="24"/>
          <w:szCs w:val="24"/>
          <w:lang w:val="bg-BG"/>
        </w:rPr>
        <w:t>1</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показва успеха на производството на сладководните басейни, вследствие на различ</w:t>
      </w:r>
      <w:r w:rsidR="00ED428F" w:rsidRPr="00610B1B">
        <w:rPr>
          <w:rFonts w:ascii="Times New Roman" w:eastAsia="Calibri" w:hAnsi="Times New Roman" w:cs="Times New Roman"/>
          <w:sz w:val="24"/>
          <w:szCs w:val="24"/>
          <w:lang w:val="bg-BG"/>
        </w:rPr>
        <w:t>ните</w:t>
      </w:r>
      <w:r w:rsidRPr="00610B1B">
        <w:rPr>
          <w:rFonts w:ascii="Times New Roman" w:eastAsia="Calibri" w:hAnsi="Times New Roman" w:cs="Times New Roman"/>
          <w:sz w:val="24"/>
          <w:szCs w:val="24"/>
          <w:lang w:val="bg-BG"/>
        </w:rPr>
        <w:t xml:space="preserve"> природните условия от </w:t>
      </w:r>
      <w:r w:rsidR="00ED428F" w:rsidRPr="00610B1B">
        <w:rPr>
          <w:rFonts w:ascii="Times New Roman" w:eastAsia="Calibri" w:hAnsi="Times New Roman" w:cs="Times New Roman"/>
          <w:sz w:val="24"/>
          <w:szCs w:val="24"/>
          <w:lang w:val="bg-BG"/>
        </w:rPr>
        <w:t xml:space="preserve">Черноморското </w:t>
      </w:r>
      <w:r w:rsidRPr="00610B1B">
        <w:rPr>
          <w:rFonts w:ascii="Times New Roman" w:eastAsia="Calibri" w:hAnsi="Times New Roman" w:cs="Times New Roman"/>
          <w:sz w:val="24"/>
          <w:szCs w:val="24"/>
          <w:lang w:val="bg-BG"/>
        </w:rPr>
        <w:t xml:space="preserve">ни крайбрежие. </w:t>
      </w:r>
    </w:p>
    <w:p w14:paraId="161F1250" w14:textId="28C5704C" w:rsidR="00115C8D" w:rsidRPr="00610B1B" w:rsidRDefault="00B62269" w:rsidP="00D32D6A">
      <w:pPr>
        <w:autoSpaceDE w:val="0"/>
        <w:autoSpaceDN w:val="0"/>
        <w:adjustRightInd w:val="0"/>
        <w:spacing w:after="120"/>
        <w:ind w:right="-153"/>
        <w:rPr>
          <w:rFonts w:ascii="Times New Roman" w:hAnsi="Times New Roman" w:cs="Times New Roman"/>
          <w:sz w:val="24"/>
          <w:szCs w:val="24"/>
          <w:lang w:val="bg-BG"/>
        </w:rPr>
      </w:pPr>
      <w:bookmarkStart w:id="361" w:name="_Toc83391484"/>
      <w:r w:rsidRPr="00610B1B">
        <w:rPr>
          <w:rFonts w:ascii="Times New Roman" w:hAnsi="Times New Roman" w:cs="Times New Roman"/>
          <w:sz w:val="24"/>
          <w:szCs w:val="24"/>
          <w:lang w:val="bg-BG"/>
        </w:rPr>
        <w:lastRenderedPageBreak/>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21</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Годишно производство на аквакултури в Р. България (в тона) за периода 2015-201</w:t>
      </w:r>
      <w:r w:rsidR="00013745" w:rsidRPr="00610B1B">
        <w:rPr>
          <w:rFonts w:ascii="Times New Roman" w:hAnsi="Times New Roman" w:cs="Times New Roman"/>
          <w:sz w:val="24"/>
          <w:szCs w:val="24"/>
          <w:lang w:val="bg-BG"/>
        </w:rPr>
        <w:t>9</w:t>
      </w:r>
      <w:r w:rsidR="00115C8D" w:rsidRPr="00610B1B">
        <w:rPr>
          <w:rFonts w:ascii="Times New Roman" w:hAnsi="Times New Roman" w:cs="Times New Roman"/>
          <w:sz w:val="24"/>
          <w:szCs w:val="24"/>
          <w:lang w:val="bg-BG"/>
        </w:rPr>
        <w:t xml:space="preserve"> г.</w:t>
      </w:r>
      <w:bookmarkEnd w:id="361"/>
    </w:p>
    <w:p w14:paraId="410E4C5F" w14:textId="2C066A0A" w:rsidR="00115C8D" w:rsidRPr="00610B1B" w:rsidRDefault="0004160B" w:rsidP="00BC44C1">
      <w:pPr>
        <w:autoSpaceDE w:val="0"/>
        <w:autoSpaceDN w:val="0"/>
        <w:adjustRightInd w:val="0"/>
        <w:spacing w:after="120"/>
        <w:ind w:right="-153"/>
        <w:rPr>
          <w:rFonts w:ascii="Times New Roman" w:eastAsia="Calibri" w:hAnsi="Times New Roman" w:cs="Times New Roman"/>
          <w:sz w:val="24"/>
          <w:szCs w:val="24"/>
          <w:lang w:val="bg-BG"/>
        </w:rPr>
      </w:pPr>
      <w:r w:rsidRPr="00610B1B">
        <w:rPr>
          <w:rFonts w:ascii="Times New Roman" w:eastAsia="Calibri" w:hAnsi="Times New Roman" w:cs="Times New Roman"/>
          <w:noProof/>
          <w:szCs w:val="24"/>
          <w:lang w:val="bg-BG" w:eastAsia="bg-BG"/>
        </w:rPr>
        <w:drawing>
          <wp:inline distT="0" distB="0" distL="0" distR="0" wp14:anchorId="0D1ED914" wp14:editId="17F59A5C">
            <wp:extent cx="4197040" cy="2037029"/>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9">
                      <a:extLst>
                        <a:ext uri="{28A0092B-C50C-407E-A947-70E740481C1C}">
                          <a14:useLocalDpi xmlns:a14="http://schemas.microsoft.com/office/drawing/2010/main" val="0"/>
                        </a:ext>
                      </a:extLst>
                    </a:blip>
                    <a:srcRect t="2201" r="10462" b="4698"/>
                    <a:stretch/>
                  </pic:blipFill>
                  <pic:spPr bwMode="auto">
                    <a:xfrm>
                      <a:off x="0" y="0"/>
                      <a:ext cx="4201366" cy="2039129"/>
                    </a:xfrm>
                    <a:prstGeom prst="rect">
                      <a:avLst/>
                    </a:prstGeom>
                    <a:noFill/>
                    <a:ln>
                      <a:noFill/>
                    </a:ln>
                    <a:extLst>
                      <a:ext uri="{53640926-AAD7-44D8-BBD7-CCE9431645EC}">
                        <a14:shadowObscured xmlns:a14="http://schemas.microsoft.com/office/drawing/2010/main"/>
                      </a:ext>
                    </a:extLst>
                  </pic:spPr>
                </pic:pic>
              </a:graphicData>
            </a:graphic>
          </wp:inline>
        </w:drawing>
      </w:r>
    </w:p>
    <w:p w14:paraId="5C94B306" w14:textId="058F8EE6" w:rsidR="00115C8D" w:rsidRPr="00610B1B" w:rsidRDefault="00115C8D" w:rsidP="00D32D6A">
      <w:pPr>
        <w:shd w:val="clear" w:color="auto" w:fill="FEFEFE"/>
        <w:spacing w:after="120"/>
        <w:ind w:right="-153"/>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Източник:</w:t>
      </w:r>
      <w:r w:rsidR="006C67DA" w:rsidRPr="00610B1B">
        <w:rPr>
          <w:rFonts w:ascii="Times New Roman" w:eastAsia="Times New Roman" w:hAnsi="Times New Roman" w:cs="Times New Roman"/>
          <w:bCs/>
          <w:color w:val="000000"/>
          <w:lang w:val="bg-BG" w:eastAsia="bg-BG"/>
        </w:rPr>
        <w:t xml:space="preserve"> </w:t>
      </w:r>
      <w:r w:rsidRPr="00610B1B">
        <w:rPr>
          <w:rFonts w:ascii="Times New Roman" w:eastAsia="Times New Roman" w:hAnsi="Times New Roman" w:cs="Times New Roman"/>
          <w:bCs/>
          <w:color w:val="000000"/>
          <w:lang w:val="bg-BG" w:eastAsia="bg-BG"/>
        </w:rPr>
        <w:t>ИАРА</w:t>
      </w:r>
    </w:p>
    <w:p w14:paraId="4FA4D734" w14:textId="16AA019D" w:rsidR="00115C8D" w:rsidRPr="00610B1B" w:rsidRDefault="00ED428F"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Лимитиращи </w:t>
      </w:r>
      <w:r w:rsidR="00115C8D" w:rsidRPr="00610B1B">
        <w:rPr>
          <w:rFonts w:ascii="Times New Roman" w:hAnsi="Times New Roman" w:cs="Times New Roman"/>
          <w:sz w:val="24"/>
          <w:szCs w:val="24"/>
          <w:lang w:val="bg-BG"/>
        </w:rPr>
        <w:t xml:space="preserve">фактори за развитието на аквакултура по </w:t>
      </w:r>
      <w:r w:rsidRPr="00610B1B">
        <w:rPr>
          <w:rFonts w:ascii="Times New Roman" w:hAnsi="Times New Roman" w:cs="Times New Roman"/>
          <w:sz w:val="24"/>
          <w:szCs w:val="24"/>
          <w:lang w:val="bg-BG"/>
        </w:rPr>
        <w:t xml:space="preserve">българското Черноморско </w:t>
      </w:r>
      <w:r w:rsidR="00115C8D" w:rsidRPr="00610B1B">
        <w:rPr>
          <w:rFonts w:ascii="Times New Roman" w:hAnsi="Times New Roman" w:cs="Times New Roman"/>
          <w:sz w:val="24"/>
          <w:szCs w:val="24"/>
          <w:lang w:val="bg-BG"/>
        </w:rPr>
        <w:t xml:space="preserve">крайбрежие </w:t>
      </w:r>
      <w:r w:rsidR="00AC5BD2" w:rsidRPr="00610B1B">
        <w:rPr>
          <w:rFonts w:ascii="Times New Roman" w:hAnsi="Times New Roman" w:cs="Times New Roman"/>
          <w:sz w:val="24"/>
          <w:szCs w:val="24"/>
          <w:lang w:val="bg-BG"/>
        </w:rPr>
        <w:t>са</w:t>
      </w:r>
      <w:r w:rsidR="00D66FE0"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 xml:space="preserve">липсата на добре защитени от вълнение райони, като лимани, силно врязани в сушата заливи, температурният режим на черноморските води в годишен аспект. Тези фактори влияят негативно върху стойността на производството на морските организми. В същото време, благоприятни условия за създаването на мидени ферми по нашето крайбрежие съществуват, като отглежданите миди се отличават с добро качество и висок рандеман. Особено перспективно е създаване на затворен цикъл на производството чрез изграждане на преработвателни предприятия към мидените плантации. </w:t>
      </w:r>
    </w:p>
    <w:p w14:paraId="5A440EE5" w14:textId="667313F5" w:rsidR="006C67DA" w:rsidRPr="00610B1B" w:rsidRDefault="00115C8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Производството на аквакултури играе все по-важна роля за задоволяване на потребностите от риба и представлява алтернатива на стопанския риболов, което влияе силно върху постоянно намаляващите и силно застрашени рибни ресурси в естествените водоеми. Биологичният и екологичният индикатор са с ниски стойности поради липсата на натиск върху естествените популации и ниското въздействие върху околната среда. Икономическият (стойност на </w:t>
      </w:r>
      <w:r w:rsidR="006011C0" w:rsidRPr="00610B1B">
        <w:rPr>
          <w:rFonts w:ascii="Times New Roman" w:hAnsi="Times New Roman" w:cs="Times New Roman"/>
          <w:sz w:val="24"/>
          <w:szCs w:val="24"/>
          <w:lang w:val="bg-BG"/>
        </w:rPr>
        <w:t>производството</w:t>
      </w:r>
      <w:r w:rsidRPr="00610B1B">
        <w:rPr>
          <w:rFonts w:ascii="Times New Roman" w:hAnsi="Times New Roman" w:cs="Times New Roman"/>
          <w:sz w:val="24"/>
          <w:szCs w:val="24"/>
          <w:lang w:val="bg-BG"/>
        </w:rPr>
        <w:t xml:space="preserve">) и социалният индикатор (брой заети и сектора, обща значимост) са с високи стойности, докато техническият индикатор е с ниска стойност (недостатъчно </w:t>
      </w:r>
      <w:r w:rsidR="006011C0" w:rsidRPr="00610B1B">
        <w:rPr>
          <w:rFonts w:ascii="Times New Roman" w:hAnsi="Times New Roman" w:cs="Times New Roman"/>
          <w:sz w:val="24"/>
          <w:szCs w:val="24"/>
          <w:lang w:val="bg-BG"/>
        </w:rPr>
        <w:t>разнообразие</w:t>
      </w:r>
      <w:r w:rsidRPr="00610B1B">
        <w:rPr>
          <w:rFonts w:ascii="Times New Roman" w:hAnsi="Times New Roman" w:cs="Times New Roman"/>
          <w:sz w:val="24"/>
          <w:szCs w:val="24"/>
          <w:lang w:val="bg-BG"/>
        </w:rPr>
        <w:t xml:space="preserve"> на производството от морска аквакултура).</w:t>
      </w:r>
    </w:p>
    <w:p w14:paraId="2647D92F" w14:textId="5E4F0550" w:rsidR="00115C8D" w:rsidRPr="00610B1B" w:rsidRDefault="00B62269" w:rsidP="00E37053">
      <w:pPr>
        <w:autoSpaceDE w:val="0"/>
        <w:autoSpaceDN w:val="0"/>
        <w:adjustRightInd w:val="0"/>
        <w:spacing w:after="70" w:line="240" w:lineRule="auto"/>
        <w:ind w:right="-153"/>
        <w:jc w:val="both"/>
        <w:rPr>
          <w:rFonts w:ascii="Times New Roman" w:hAnsi="Times New Roman" w:cs="Times New Roman"/>
          <w:sz w:val="24"/>
          <w:szCs w:val="24"/>
          <w:lang w:val="bg-BG"/>
        </w:rPr>
      </w:pPr>
      <w:bookmarkStart w:id="362" w:name="_Toc83391485"/>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22</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Оценка на сектор аквакултури в българската акватория на Черно море по предложените индикатори</w:t>
      </w:r>
      <w:bookmarkEnd w:id="362"/>
    </w:p>
    <w:tbl>
      <w:tblPr>
        <w:tblW w:w="863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960"/>
        <w:gridCol w:w="1286"/>
        <w:gridCol w:w="1846"/>
        <w:gridCol w:w="1517"/>
        <w:gridCol w:w="1516"/>
        <w:gridCol w:w="1505"/>
      </w:tblGrid>
      <w:tr w:rsidR="00115C8D" w:rsidRPr="00610B1B" w14:paraId="4E2AA588" w14:textId="77777777" w:rsidTr="001E3FED">
        <w:trPr>
          <w:trHeight w:val="315"/>
          <w:jc w:val="center"/>
        </w:trPr>
        <w:tc>
          <w:tcPr>
            <w:tcW w:w="960" w:type="dxa"/>
            <w:shd w:val="clear" w:color="auto" w:fill="auto"/>
            <w:noWrap/>
            <w:vAlign w:val="bottom"/>
            <w:hideMark/>
          </w:tcPr>
          <w:p w14:paraId="64C39B7C" w14:textId="77777777" w:rsidR="00115C8D" w:rsidRPr="00610B1B" w:rsidRDefault="00115C8D" w:rsidP="00D32D6A">
            <w:pPr>
              <w:spacing w:after="0" w:line="240" w:lineRule="auto"/>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rPr>
              <w:t> </w:t>
            </w:r>
          </w:p>
        </w:tc>
        <w:tc>
          <w:tcPr>
            <w:tcW w:w="7670" w:type="dxa"/>
            <w:gridSpan w:val="5"/>
            <w:shd w:val="clear" w:color="auto" w:fill="auto"/>
            <w:noWrap/>
            <w:vAlign w:val="center"/>
            <w:hideMark/>
          </w:tcPr>
          <w:p w14:paraId="3F30CCB9" w14:textId="77777777" w:rsidR="00115C8D" w:rsidRPr="00610B1B" w:rsidRDefault="00115C8D" w:rsidP="00D32D6A">
            <w:pPr>
              <w:spacing w:after="0" w:line="240" w:lineRule="auto"/>
              <w:jc w:val="center"/>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Индикатори</w:t>
            </w:r>
          </w:p>
        </w:tc>
      </w:tr>
      <w:tr w:rsidR="00115C8D" w:rsidRPr="00610B1B" w14:paraId="24AE7428" w14:textId="77777777" w:rsidTr="001E3FED">
        <w:trPr>
          <w:trHeight w:val="315"/>
          <w:jc w:val="center"/>
        </w:trPr>
        <w:tc>
          <w:tcPr>
            <w:tcW w:w="960" w:type="dxa"/>
            <w:vMerge w:val="restart"/>
            <w:shd w:val="clear" w:color="auto" w:fill="auto"/>
            <w:noWrap/>
            <w:vAlign w:val="center"/>
            <w:hideMark/>
          </w:tcPr>
          <w:p w14:paraId="551D2174" w14:textId="77777777" w:rsidR="00115C8D" w:rsidRPr="00610B1B" w:rsidRDefault="00115C8D" w:rsidP="00D32D6A">
            <w:pPr>
              <w:spacing w:after="0" w:line="240" w:lineRule="auto"/>
              <w:jc w:val="center"/>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Ниво</w:t>
            </w:r>
          </w:p>
        </w:tc>
        <w:tc>
          <w:tcPr>
            <w:tcW w:w="1286" w:type="dxa"/>
            <w:shd w:val="clear" w:color="auto" w:fill="auto"/>
            <w:noWrap/>
            <w:vAlign w:val="center"/>
            <w:hideMark/>
          </w:tcPr>
          <w:p w14:paraId="5999512E"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Социален</w:t>
            </w:r>
          </w:p>
        </w:tc>
        <w:tc>
          <w:tcPr>
            <w:tcW w:w="1846" w:type="dxa"/>
            <w:shd w:val="clear" w:color="auto" w:fill="auto"/>
            <w:noWrap/>
            <w:vAlign w:val="center"/>
            <w:hideMark/>
          </w:tcPr>
          <w:p w14:paraId="69CC3D15"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Икономически</w:t>
            </w:r>
          </w:p>
        </w:tc>
        <w:tc>
          <w:tcPr>
            <w:tcW w:w="1517" w:type="dxa"/>
            <w:shd w:val="clear" w:color="auto" w:fill="auto"/>
            <w:noWrap/>
            <w:vAlign w:val="center"/>
            <w:hideMark/>
          </w:tcPr>
          <w:p w14:paraId="5B5033A2"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 xml:space="preserve">Екологичен </w:t>
            </w:r>
          </w:p>
        </w:tc>
        <w:tc>
          <w:tcPr>
            <w:tcW w:w="1516" w:type="dxa"/>
            <w:shd w:val="clear" w:color="auto" w:fill="auto"/>
            <w:noWrap/>
            <w:vAlign w:val="center"/>
            <w:hideMark/>
          </w:tcPr>
          <w:p w14:paraId="2ED9A1FF"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Биологичен</w:t>
            </w:r>
          </w:p>
        </w:tc>
        <w:tc>
          <w:tcPr>
            <w:tcW w:w="1505" w:type="dxa"/>
            <w:shd w:val="clear" w:color="auto" w:fill="auto"/>
            <w:noWrap/>
            <w:vAlign w:val="center"/>
            <w:hideMark/>
          </w:tcPr>
          <w:p w14:paraId="6E288CCD"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Технически</w:t>
            </w:r>
          </w:p>
        </w:tc>
      </w:tr>
      <w:tr w:rsidR="00115C8D" w:rsidRPr="00610B1B" w14:paraId="5EB22DE8" w14:textId="77777777" w:rsidTr="001E3FED">
        <w:trPr>
          <w:trHeight w:val="315"/>
          <w:jc w:val="center"/>
        </w:trPr>
        <w:tc>
          <w:tcPr>
            <w:tcW w:w="960" w:type="dxa"/>
            <w:vMerge/>
            <w:vAlign w:val="center"/>
            <w:hideMark/>
          </w:tcPr>
          <w:p w14:paraId="53AAFAB9" w14:textId="77777777" w:rsidR="00115C8D" w:rsidRPr="00610B1B" w:rsidRDefault="00115C8D" w:rsidP="00D32D6A">
            <w:pPr>
              <w:spacing w:after="0" w:line="240" w:lineRule="auto"/>
              <w:rPr>
                <w:rFonts w:ascii="Times New Roman" w:eastAsia="Times New Roman" w:hAnsi="Times New Roman" w:cs="Times New Roman"/>
                <w:b/>
                <w:bCs/>
                <w:i/>
                <w:iCs/>
                <w:color w:val="000000"/>
                <w:sz w:val="24"/>
                <w:szCs w:val="24"/>
                <w:lang w:val="bg-BG"/>
              </w:rPr>
            </w:pPr>
          </w:p>
        </w:tc>
        <w:tc>
          <w:tcPr>
            <w:tcW w:w="1286" w:type="dxa"/>
            <w:shd w:val="clear" w:color="000000" w:fill="92D050"/>
            <w:noWrap/>
            <w:vAlign w:val="center"/>
            <w:hideMark/>
          </w:tcPr>
          <w:p w14:paraId="61615D07"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846" w:type="dxa"/>
            <w:shd w:val="clear" w:color="000000" w:fill="92D050"/>
            <w:noWrap/>
            <w:vAlign w:val="center"/>
            <w:hideMark/>
          </w:tcPr>
          <w:p w14:paraId="6F3ABCDE"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517" w:type="dxa"/>
            <w:shd w:val="clear" w:color="000000" w:fill="92D050"/>
            <w:noWrap/>
            <w:vAlign w:val="center"/>
            <w:hideMark/>
          </w:tcPr>
          <w:p w14:paraId="3B6C7CFF"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Ниско</w:t>
            </w:r>
          </w:p>
        </w:tc>
        <w:tc>
          <w:tcPr>
            <w:tcW w:w="1516" w:type="dxa"/>
            <w:shd w:val="clear" w:color="000000" w:fill="92D050"/>
            <w:noWrap/>
            <w:vAlign w:val="center"/>
            <w:hideMark/>
          </w:tcPr>
          <w:p w14:paraId="4C040F4A"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Ниско</w:t>
            </w:r>
          </w:p>
        </w:tc>
        <w:tc>
          <w:tcPr>
            <w:tcW w:w="1505" w:type="dxa"/>
            <w:shd w:val="clear" w:color="000000" w:fill="FFFF00"/>
            <w:noWrap/>
            <w:vAlign w:val="center"/>
            <w:hideMark/>
          </w:tcPr>
          <w:p w14:paraId="52CB5CC1"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Средно</w:t>
            </w:r>
          </w:p>
        </w:tc>
      </w:tr>
    </w:tbl>
    <w:p w14:paraId="7497F64B" w14:textId="0D971AAC" w:rsidR="00115C8D" w:rsidRPr="00610B1B" w:rsidRDefault="00115C8D" w:rsidP="00BC44C1">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w:t>
      </w:r>
      <w:r w:rsidR="006C67DA" w:rsidRPr="00610B1B">
        <w:rPr>
          <w:rFonts w:ascii="Times New Roman" w:hAnsi="Times New Roman" w:cs="Times New Roman"/>
          <w:lang w:val="bg-BG"/>
        </w:rPr>
        <w:t xml:space="preserve"> </w:t>
      </w:r>
      <w:r w:rsidRPr="00610B1B">
        <w:rPr>
          <w:rFonts w:ascii="Times New Roman" w:hAnsi="Times New Roman" w:cs="Times New Roman"/>
          <w:lang w:val="bg-BG"/>
        </w:rPr>
        <w:t>ИАРА</w:t>
      </w:r>
    </w:p>
    <w:p w14:paraId="78E7037C" w14:textId="77777777" w:rsidR="009907CE" w:rsidRPr="00610B1B" w:rsidRDefault="009907CE" w:rsidP="00BC44C1">
      <w:pPr>
        <w:spacing w:before="60" w:after="120"/>
        <w:ind w:right="-153"/>
        <w:jc w:val="both"/>
        <w:rPr>
          <w:rFonts w:ascii="Times New Roman" w:hAnsi="Times New Roman" w:cs="Times New Roman"/>
          <w:lang w:val="bg-BG"/>
        </w:rPr>
      </w:pPr>
    </w:p>
    <w:p w14:paraId="50B1EA7E" w14:textId="21BBF011" w:rsidR="00115C8D" w:rsidRPr="00610B1B" w:rsidRDefault="00FA2174" w:rsidP="00D32D6A">
      <w:pPr>
        <w:pStyle w:val="Heading3"/>
        <w:spacing w:before="0" w:line="276" w:lineRule="auto"/>
        <w:ind w:right="-153"/>
        <w:rPr>
          <w:rFonts w:cs="Times New Roman"/>
        </w:rPr>
      </w:pPr>
      <w:bookmarkStart w:id="363" w:name="_Toc83391379"/>
      <w:r w:rsidRPr="00610B1B">
        <w:rPr>
          <w:rFonts w:cs="Times New Roman"/>
        </w:rPr>
        <w:t>3.2.3</w:t>
      </w:r>
      <w:r w:rsidR="006C67DA" w:rsidRPr="00610B1B">
        <w:rPr>
          <w:rFonts w:cs="Times New Roman"/>
        </w:rPr>
        <w:t xml:space="preserve">. </w:t>
      </w:r>
      <w:r w:rsidR="00AC5BD2" w:rsidRPr="00610B1B">
        <w:rPr>
          <w:rFonts w:cs="Times New Roman"/>
        </w:rPr>
        <w:t>Преработка на риба и рибни продукти</w:t>
      </w:r>
      <w:bookmarkEnd w:id="363"/>
    </w:p>
    <w:p w14:paraId="547DB4D8" w14:textId="2B6C535A" w:rsidR="00115C8D" w:rsidRPr="00610B1B" w:rsidRDefault="00115C8D" w:rsidP="00D32D6A">
      <w:pPr>
        <w:tabs>
          <w:tab w:val="left" w:pos="1320"/>
        </w:tabs>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Рибопреработката обхваща процесите от момента на улова на рибата и/или други водни организми или от отглеждането им до доставката на крайния продукт на клиента. Въпреки </w:t>
      </w:r>
      <w:r w:rsidRPr="00610B1B">
        <w:rPr>
          <w:rFonts w:ascii="Times New Roman" w:hAnsi="Times New Roman" w:cs="Times New Roman"/>
          <w:sz w:val="24"/>
          <w:szCs w:val="24"/>
          <w:lang w:val="bg-BG"/>
        </w:rPr>
        <w:lastRenderedPageBreak/>
        <w:t xml:space="preserve">че </w:t>
      </w:r>
      <w:r w:rsidR="00B33136" w:rsidRPr="00610B1B">
        <w:rPr>
          <w:rFonts w:ascii="Times New Roman" w:hAnsi="Times New Roman" w:cs="Times New Roman"/>
          <w:sz w:val="24"/>
          <w:szCs w:val="24"/>
          <w:lang w:val="bg-BG"/>
        </w:rPr>
        <w:t>Рибопреработката</w:t>
      </w:r>
      <w:r w:rsidRPr="00610B1B">
        <w:rPr>
          <w:rFonts w:ascii="Times New Roman" w:hAnsi="Times New Roman" w:cs="Times New Roman"/>
          <w:sz w:val="24"/>
          <w:szCs w:val="24"/>
          <w:lang w:val="bg-BG"/>
        </w:rPr>
        <w:t xml:space="preserve"> се отнася конкретно до рибата, на практика обхваща всички водни организми, добивани за търговски цели, независимо дали са улове</w:t>
      </w:r>
      <w:r w:rsidR="006C67DA" w:rsidRPr="00610B1B">
        <w:rPr>
          <w:rFonts w:ascii="Times New Roman" w:hAnsi="Times New Roman" w:cs="Times New Roman"/>
          <w:sz w:val="24"/>
          <w:szCs w:val="24"/>
          <w:lang w:val="bg-BG"/>
        </w:rPr>
        <w:t>ни или са продукт от аквакултура</w:t>
      </w:r>
      <w:r w:rsidRPr="00610B1B">
        <w:rPr>
          <w:rFonts w:ascii="Times New Roman" w:hAnsi="Times New Roman" w:cs="Times New Roman"/>
          <w:sz w:val="24"/>
          <w:szCs w:val="24"/>
          <w:lang w:val="bg-BG"/>
        </w:rPr>
        <w:t xml:space="preserve">. </w:t>
      </w:r>
    </w:p>
    <w:p w14:paraId="758FB0D6" w14:textId="673F75B0" w:rsidR="00115C8D" w:rsidRPr="00610B1B" w:rsidRDefault="00115C8D" w:rsidP="00D32D6A">
      <w:pPr>
        <w:tabs>
          <w:tab w:val="left" w:pos="1320"/>
        </w:tabs>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Потребителските навици са се променили значително в последно време поради динамичния начин на живот, вследствие на което се забелязва по-малко търсене на цяла (прясна) риба. Това оказва изключително негативно влияние както в социален, така и в икономически аспект върху стопанския риболов и аквакултурните стопанства. Тази тенденция налага адаптиране на сектора, като един от начините е да се добави допълнителна стойност на уловената или произведена продукция чрез преработка. По този начин предлаганият продукт съдържа различни характеристики (филитиран, изч</w:t>
      </w:r>
      <w:r w:rsidR="006011C0"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стван, допълнително овкусен, опушен и т.н.), които позволяват да се извлече максимална стойност от рибата. На територията на България функционират 49 </w:t>
      </w:r>
      <w:r w:rsidR="006011C0" w:rsidRPr="00610B1B">
        <w:rPr>
          <w:rFonts w:ascii="Times New Roman" w:hAnsi="Times New Roman" w:cs="Times New Roman"/>
          <w:sz w:val="24"/>
          <w:szCs w:val="24"/>
          <w:lang w:val="bg-BG"/>
        </w:rPr>
        <w:t>предприятия</w:t>
      </w:r>
      <w:r w:rsidRPr="00610B1B">
        <w:rPr>
          <w:rFonts w:ascii="Times New Roman" w:hAnsi="Times New Roman" w:cs="Times New Roman"/>
          <w:sz w:val="24"/>
          <w:szCs w:val="24"/>
          <w:lang w:val="bg-BG"/>
        </w:rPr>
        <w:t xml:space="preserve"> за рибопреработка, а броят на заетите е 1 715 човека.</w:t>
      </w:r>
      <w:r w:rsidR="00D66FE0" w:rsidRPr="00610B1B">
        <w:rPr>
          <w:rFonts w:ascii="Times New Roman" w:hAnsi="Times New Roman" w:cs="Times New Roman"/>
          <w:sz w:val="24"/>
          <w:szCs w:val="24"/>
          <w:lang w:val="bg-BG"/>
        </w:rPr>
        <w:t xml:space="preserve"> </w:t>
      </w:r>
    </w:p>
    <w:p w14:paraId="247FF0F0" w14:textId="549B3CD3" w:rsidR="00115C8D" w:rsidRPr="00610B1B" w:rsidRDefault="00B62269" w:rsidP="00E37053">
      <w:pPr>
        <w:autoSpaceDE w:val="0"/>
        <w:autoSpaceDN w:val="0"/>
        <w:adjustRightInd w:val="0"/>
        <w:spacing w:after="70" w:line="240" w:lineRule="auto"/>
        <w:ind w:right="-153"/>
        <w:jc w:val="both"/>
        <w:rPr>
          <w:rFonts w:ascii="Times New Roman" w:hAnsi="Times New Roman" w:cs="Times New Roman"/>
          <w:sz w:val="24"/>
          <w:szCs w:val="24"/>
          <w:lang w:val="bg-BG"/>
        </w:rPr>
      </w:pPr>
      <w:bookmarkStart w:id="364" w:name="_Toc83391486"/>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23</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15C8D" w:rsidRPr="00610B1B">
        <w:rPr>
          <w:rFonts w:ascii="Times New Roman" w:hAnsi="Times New Roman" w:cs="Times New Roman"/>
          <w:sz w:val="24"/>
          <w:szCs w:val="24"/>
          <w:lang w:val="bg-BG"/>
        </w:rPr>
        <w:t xml:space="preserve">Оценка на рибопреработка в </w:t>
      </w:r>
      <w:r w:rsidR="00115C8D" w:rsidRPr="00610B1B">
        <w:rPr>
          <w:rFonts w:ascii="Times New Roman" w:eastAsia="Lohit Devanagari" w:hAnsi="Times New Roman" w:cs="Times New Roman"/>
          <w:color w:val="00000A"/>
          <w:sz w:val="24"/>
          <w:szCs w:val="24"/>
          <w:lang w:val="bg-BG" w:eastAsia="ar-SA" w:bidi="hi-IN"/>
        </w:rPr>
        <w:t>българската</w:t>
      </w:r>
      <w:r w:rsidR="00115C8D" w:rsidRPr="00610B1B">
        <w:rPr>
          <w:rFonts w:ascii="Times New Roman" w:hAnsi="Times New Roman" w:cs="Times New Roman"/>
          <w:sz w:val="24"/>
          <w:szCs w:val="24"/>
          <w:lang w:val="bg-BG"/>
        </w:rPr>
        <w:t xml:space="preserve"> акватория на Черно море по предложените индикатори</w:t>
      </w:r>
      <w:bookmarkEnd w:id="364"/>
    </w:p>
    <w:tbl>
      <w:tblPr>
        <w:tblW w:w="863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960"/>
        <w:gridCol w:w="1286"/>
        <w:gridCol w:w="1846"/>
        <w:gridCol w:w="1517"/>
        <w:gridCol w:w="1516"/>
        <w:gridCol w:w="1505"/>
      </w:tblGrid>
      <w:tr w:rsidR="00115C8D" w:rsidRPr="00610B1B" w14:paraId="13FD374D" w14:textId="77777777" w:rsidTr="001E3FED">
        <w:trPr>
          <w:trHeight w:val="315"/>
          <w:jc w:val="center"/>
        </w:trPr>
        <w:tc>
          <w:tcPr>
            <w:tcW w:w="960" w:type="dxa"/>
            <w:shd w:val="clear" w:color="auto" w:fill="auto"/>
            <w:noWrap/>
            <w:vAlign w:val="bottom"/>
            <w:hideMark/>
          </w:tcPr>
          <w:p w14:paraId="5B4AEFF1" w14:textId="4041F63B" w:rsidR="00115C8D" w:rsidRPr="00610B1B" w:rsidRDefault="00C415D1" w:rsidP="00D32D6A">
            <w:pPr>
              <w:spacing w:after="0" w:line="240" w:lineRule="auto"/>
              <w:rPr>
                <w:rFonts w:ascii="Times New Roman" w:eastAsia="Times New Roman" w:hAnsi="Times New Roman" w:cs="Times New Roman"/>
                <w:color w:val="000000"/>
                <w:sz w:val="24"/>
                <w:szCs w:val="24"/>
                <w:lang w:val="bg-BG"/>
              </w:rPr>
            </w:pPr>
            <w:r w:rsidRPr="00610B1B">
              <w:rPr>
                <w:rFonts w:ascii="Times New Roman" w:hAnsi="Times New Roman" w:cs="Times New Roman"/>
                <w:sz w:val="24"/>
                <w:szCs w:val="24"/>
                <w:lang w:val="bg-BG"/>
              </w:rPr>
              <w:t xml:space="preserve"> </w:t>
            </w:r>
          </w:p>
        </w:tc>
        <w:tc>
          <w:tcPr>
            <w:tcW w:w="7670" w:type="dxa"/>
            <w:gridSpan w:val="5"/>
            <w:shd w:val="clear" w:color="auto" w:fill="auto"/>
            <w:noWrap/>
            <w:vAlign w:val="center"/>
            <w:hideMark/>
          </w:tcPr>
          <w:p w14:paraId="64E3D8B3" w14:textId="77777777" w:rsidR="00115C8D" w:rsidRPr="00610B1B" w:rsidRDefault="00115C8D" w:rsidP="00D32D6A">
            <w:pPr>
              <w:spacing w:after="0" w:line="240" w:lineRule="auto"/>
              <w:jc w:val="center"/>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Индикатори</w:t>
            </w:r>
          </w:p>
        </w:tc>
      </w:tr>
      <w:tr w:rsidR="00115C8D" w:rsidRPr="00610B1B" w14:paraId="1D528BDA" w14:textId="77777777" w:rsidTr="001E3FED">
        <w:trPr>
          <w:trHeight w:val="315"/>
          <w:jc w:val="center"/>
        </w:trPr>
        <w:tc>
          <w:tcPr>
            <w:tcW w:w="960" w:type="dxa"/>
            <w:vMerge w:val="restart"/>
            <w:shd w:val="clear" w:color="auto" w:fill="auto"/>
            <w:noWrap/>
            <w:vAlign w:val="center"/>
            <w:hideMark/>
          </w:tcPr>
          <w:p w14:paraId="743F4A81" w14:textId="77777777" w:rsidR="00115C8D" w:rsidRPr="00610B1B" w:rsidRDefault="00115C8D" w:rsidP="00D32D6A">
            <w:pPr>
              <w:spacing w:after="0" w:line="240" w:lineRule="auto"/>
              <w:jc w:val="center"/>
              <w:rPr>
                <w:rFonts w:ascii="Times New Roman" w:eastAsia="Times New Roman" w:hAnsi="Times New Roman" w:cs="Times New Roman"/>
                <w:b/>
                <w:bCs/>
                <w:i/>
                <w:iCs/>
                <w:color w:val="000000"/>
                <w:sz w:val="24"/>
                <w:szCs w:val="24"/>
                <w:lang w:val="bg-BG"/>
              </w:rPr>
            </w:pPr>
            <w:r w:rsidRPr="00610B1B">
              <w:rPr>
                <w:rFonts w:ascii="Times New Roman" w:eastAsia="Times New Roman" w:hAnsi="Times New Roman" w:cs="Times New Roman"/>
                <w:b/>
                <w:bCs/>
                <w:i/>
                <w:iCs/>
                <w:color w:val="000000"/>
                <w:sz w:val="24"/>
                <w:szCs w:val="24"/>
                <w:lang w:val="bg-BG"/>
              </w:rPr>
              <w:t>Ниво</w:t>
            </w:r>
          </w:p>
        </w:tc>
        <w:tc>
          <w:tcPr>
            <w:tcW w:w="1286" w:type="dxa"/>
            <w:shd w:val="clear" w:color="auto" w:fill="auto"/>
            <w:noWrap/>
            <w:vAlign w:val="center"/>
            <w:hideMark/>
          </w:tcPr>
          <w:p w14:paraId="3B1A2648"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Социален</w:t>
            </w:r>
          </w:p>
        </w:tc>
        <w:tc>
          <w:tcPr>
            <w:tcW w:w="1846" w:type="dxa"/>
            <w:shd w:val="clear" w:color="auto" w:fill="auto"/>
            <w:noWrap/>
            <w:vAlign w:val="center"/>
            <w:hideMark/>
          </w:tcPr>
          <w:p w14:paraId="753B75E3"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Икономически</w:t>
            </w:r>
          </w:p>
        </w:tc>
        <w:tc>
          <w:tcPr>
            <w:tcW w:w="1517" w:type="dxa"/>
            <w:shd w:val="clear" w:color="auto" w:fill="auto"/>
            <w:noWrap/>
            <w:vAlign w:val="center"/>
            <w:hideMark/>
          </w:tcPr>
          <w:p w14:paraId="05268E96"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 xml:space="preserve">Екологичен </w:t>
            </w:r>
          </w:p>
        </w:tc>
        <w:tc>
          <w:tcPr>
            <w:tcW w:w="1516" w:type="dxa"/>
            <w:shd w:val="clear" w:color="auto" w:fill="auto"/>
            <w:noWrap/>
            <w:vAlign w:val="center"/>
            <w:hideMark/>
          </w:tcPr>
          <w:p w14:paraId="3338D38E"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Биологичен</w:t>
            </w:r>
          </w:p>
        </w:tc>
        <w:tc>
          <w:tcPr>
            <w:tcW w:w="1505" w:type="dxa"/>
            <w:shd w:val="clear" w:color="auto" w:fill="auto"/>
            <w:noWrap/>
            <w:vAlign w:val="center"/>
            <w:hideMark/>
          </w:tcPr>
          <w:p w14:paraId="2618B7DE" w14:textId="77777777" w:rsidR="00115C8D" w:rsidRPr="00610B1B" w:rsidRDefault="00115C8D" w:rsidP="00D32D6A">
            <w:pPr>
              <w:spacing w:after="0" w:line="240" w:lineRule="auto"/>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Технически</w:t>
            </w:r>
          </w:p>
        </w:tc>
      </w:tr>
      <w:tr w:rsidR="00115C8D" w:rsidRPr="00610B1B" w14:paraId="19F395E8" w14:textId="77777777" w:rsidTr="001E3FED">
        <w:trPr>
          <w:trHeight w:val="315"/>
          <w:jc w:val="center"/>
        </w:trPr>
        <w:tc>
          <w:tcPr>
            <w:tcW w:w="960" w:type="dxa"/>
            <w:vMerge/>
            <w:vAlign w:val="center"/>
            <w:hideMark/>
          </w:tcPr>
          <w:p w14:paraId="02CBF9A0" w14:textId="77777777" w:rsidR="00115C8D" w:rsidRPr="00610B1B" w:rsidRDefault="00115C8D" w:rsidP="00D32D6A">
            <w:pPr>
              <w:spacing w:after="0" w:line="240" w:lineRule="auto"/>
              <w:rPr>
                <w:rFonts w:ascii="Times New Roman" w:eastAsia="Times New Roman" w:hAnsi="Times New Roman" w:cs="Times New Roman"/>
                <w:b/>
                <w:bCs/>
                <w:i/>
                <w:iCs/>
                <w:color w:val="000000"/>
                <w:sz w:val="24"/>
                <w:szCs w:val="24"/>
                <w:lang w:val="bg-BG"/>
              </w:rPr>
            </w:pPr>
          </w:p>
        </w:tc>
        <w:tc>
          <w:tcPr>
            <w:tcW w:w="1286" w:type="dxa"/>
            <w:shd w:val="clear" w:color="000000" w:fill="92D050"/>
            <w:noWrap/>
            <w:vAlign w:val="center"/>
            <w:hideMark/>
          </w:tcPr>
          <w:p w14:paraId="663410EA"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846" w:type="dxa"/>
            <w:shd w:val="clear" w:color="000000" w:fill="92D050"/>
            <w:noWrap/>
            <w:vAlign w:val="center"/>
            <w:hideMark/>
          </w:tcPr>
          <w:p w14:paraId="7679DE23"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Високо</w:t>
            </w:r>
          </w:p>
        </w:tc>
        <w:tc>
          <w:tcPr>
            <w:tcW w:w="1517" w:type="dxa"/>
            <w:shd w:val="clear" w:color="000000" w:fill="FFFFFF"/>
            <w:noWrap/>
            <w:vAlign w:val="center"/>
            <w:hideMark/>
          </w:tcPr>
          <w:p w14:paraId="3C4BE298"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w:t>
            </w:r>
          </w:p>
        </w:tc>
        <w:tc>
          <w:tcPr>
            <w:tcW w:w="1516" w:type="dxa"/>
            <w:shd w:val="clear" w:color="000000" w:fill="FFFFFF"/>
            <w:noWrap/>
            <w:vAlign w:val="center"/>
            <w:hideMark/>
          </w:tcPr>
          <w:p w14:paraId="4640C10D"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w:t>
            </w:r>
          </w:p>
        </w:tc>
        <w:tc>
          <w:tcPr>
            <w:tcW w:w="1505" w:type="dxa"/>
            <w:shd w:val="clear" w:color="000000" w:fill="FFFFFF"/>
            <w:noWrap/>
            <w:vAlign w:val="center"/>
            <w:hideMark/>
          </w:tcPr>
          <w:p w14:paraId="3D3AF5C7" w14:textId="77777777" w:rsidR="00115C8D" w:rsidRPr="00610B1B" w:rsidRDefault="00115C8D" w:rsidP="00D32D6A">
            <w:pPr>
              <w:spacing w:after="0" w:line="240" w:lineRule="auto"/>
              <w:jc w:val="center"/>
              <w:rPr>
                <w:rFonts w:ascii="Times New Roman" w:eastAsia="Times New Roman" w:hAnsi="Times New Roman" w:cs="Times New Roman"/>
                <w:b/>
                <w:bCs/>
                <w:color w:val="000000"/>
                <w:sz w:val="24"/>
                <w:szCs w:val="24"/>
                <w:lang w:val="bg-BG"/>
              </w:rPr>
            </w:pPr>
            <w:r w:rsidRPr="00610B1B">
              <w:rPr>
                <w:rFonts w:ascii="Times New Roman" w:eastAsia="Times New Roman" w:hAnsi="Times New Roman" w:cs="Times New Roman"/>
                <w:b/>
                <w:bCs/>
                <w:color w:val="000000"/>
                <w:sz w:val="24"/>
                <w:szCs w:val="24"/>
                <w:lang w:val="bg-BG"/>
              </w:rPr>
              <w:t>-</w:t>
            </w:r>
          </w:p>
        </w:tc>
      </w:tr>
    </w:tbl>
    <w:p w14:paraId="28B5F15A" w14:textId="77777777" w:rsidR="00115C8D" w:rsidRPr="00610B1B" w:rsidRDefault="00115C8D" w:rsidP="00BC44C1">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 ИАРА</w:t>
      </w:r>
    </w:p>
    <w:p w14:paraId="743B1C14" w14:textId="5D9B1C90" w:rsidR="00115C8D" w:rsidRPr="00610B1B" w:rsidRDefault="006C67DA" w:rsidP="00D32D6A">
      <w:pPr>
        <w:tabs>
          <w:tab w:val="left" w:pos="1320"/>
        </w:tabs>
        <w:spacing w:after="120"/>
        <w:ind w:right="-153"/>
        <w:jc w:val="both"/>
        <w:rPr>
          <w:rFonts w:ascii="Times New Roman" w:hAnsi="Times New Roman" w:cs="Times New Roman"/>
          <w:i/>
          <w:iCs/>
          <w:sz w:val="24"/>
          <w:szCs w:val="24"/>
          <w:lang w:val="bg-BG"/>
        </w:rPr>
      </w:pPr>
      <w:r w:rsidRPr="00610B1B">
        <w:rPr>
          <w:rFonts w:ascii="Times New Roman" w:hAnsi="Times New Roman" w:cs="Times New Roman"/>
          <w:iCs/>
          <w:sz w:val="24"/>
          <w:szCs w:val="24"/>
          <w:lang w:val="bg-BG"/>
        </w:rPr>
        <w:t xml:space="preserve">От анализа на сектор Рибарство и аквакултури се открояват някои основни </w:t>
      </w:r>
      <w:r w:rsidRPr="00610B1B">
        <w:rPr>
          <w:rFonts w:ascii="Times New Roman" w:hAnsi="Times New Roman" w:cs="Times New Roman"/>
          <w:b/>
          <w:iCs/>
          <w:sz w:val="24"/>
          <w:szCs w:val="24"/>
          <w:lang w:val="bg-BG"/>
        </w:rPr>
        <w:t>изводи</w:t>
      </w:r>
      <w:r w:rsidRPr="00610B1B">
        <w:rPr>
          <w:rFonts w:ascii="Times New Roman" w:hAnsi="Times New Roman" w:cs="Times New Roman"/>
          <w:iCs/>
          <w:sz w:val="24"/>
          <w:szCs w:val="24"/>
          <w:lang w:val="bg-BG"/>
        </w:rPr>
        <w:t xml:space="preserve"> за състоянието и тенденциите в сектора, за най-важните проблеми и пътища за преодоляването им.</w:t>
      </w:r>
      <w:r w:rsidR="00D66FE0" w:rsidRPr="00610B1B">
        <w:rPr>
          <w:rFonts w:ascii="Times New Roman" w:hAnsi="Times New Roman" w:cs="Times New Roman"/>
          <w:iCs/>
          <w:sz w:val="24"/>
          <w:szCs w:val="24"/>
          <w:lang w:val="bg-BG"/>
        </w:rPr>
        <w:t xml:space="preserve"> </w:t>
      </w:r>
    </w:p>
    <w:p w14:paraId="1AB11E48" w14:textId="0EB8F2A4" w:rsidR="00115C8D" w:rsidRPr="00610B1B" w:rsidRDefault="00115C8D"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color w:val="000000"/>
          <w:sz w:val="24"/>
          <w:szCs w:val="24"/>
          <w:shd w:val="clear" w:color="auto" w:fill="FFFFFF"/>
          <w:lang w:val="bg-BG"/>
        </w:rPr>
        <w:t xml:space="preserve">След 2007 година сектор </w:t>
      </w:r>
      <w:r w:rsidR="006C67DA" w:rsidRPr="00610B1B">
        <w:rPr>
          <w:rFonts w:ascii="Times New Roman" w:eastAsia="Calibri" w:hAnsi="Times New Roman" w:cs="Times New Roman"/>
          <w:color w:val="000000"/>
          <w:sz w:val="24"/>
          <w:szCs w:val="24"/>
          <w:shd w:val="clear" w:color="auto" w:fill="FFFFFF"/>
          <w:lang w:val="bg-BG"/>
        </w:rPr>
        <w:t xml:space="preserve">„Рибарство </w:t>
      </w:r>
      <w:r w:rsidRPr="00610B1B">
        <w:rPr>
          <w:rFonts w:ascii="Times New Roman" w:eastAsia="Calibri" w:hAnsi="Times New Roman" w:cs="Times New Roman"/>
          <w:color w:val="000000"/>
          <w:sz w:val="24"/>
          <w:szCs w:val="24"/>
          <w:shd w:val="clear" w:color="auto" w:fill="FFFFFF"/>
          <w:lang w:val="bg-BG"/>
        </w:rPr>
        <w:t>и аквакултури</w:t>
      </w:r>
      <w:r w:rsidR="006C67DA" w:rsidRPr="00610B1B">
        <w:rPr>
          <w:rFonts w:ascii="Times New Roman" w:eastAsia="Calibri" w:hAnsi="Times New Roman" w:cs="Times New Roman"/>
          <w:color w:val="000000"/>
          <w:sz w:val="24"/>
          <w:szCs w:val="24"/>
          <w:shd w:val="clear" w:color="auto" w:fill="FFFFFF"/>
          <w:lang w:val="bg-BG"/>
        </w:rPr>
        <w:t>“</w:t>
      </w:r>
      <w:r w:rsidRPr="00610B1B">
        <w:rPr>
          <w:rFonts w:ascii="Times New Roman" w:eastAsia="Calibri" w:hAnsi="Times New Roman" w:cs="Times New Roman"/>
          <w:color w:val="000000"/>
          <w:sz w:val="24"/>
          <w:szCs w:val="24"/>
          <w:shd w:val="clear" w:color="auto" w:fill="FFFFFF"/>
          <w:lang w:val="bg-BG"/>
        </w:rPr>
        <w:t xml:space="preserve"> бележи развитие, </w:t>
      </w:r>
      <w:r w:rsidR="006C67DA" w:rsidRPr="00610B1B">
        <w:rPr>
          <w:rFonts w:ascii="Times New Roman" w:eastAsia="Calibri" w:hAnsi="Times New Roman" w:cs="Times New Roman"/>
          <w:color w:val="000000"/>
          <w:sz w:val="24"/>
          <w:szCs w:val="24"/>
          <w:shd w:val="clear" w:color="auto" w:fill="FFFFFF"/>
          <w:lang w:val="bg-BG"/>
        </w:rPr>
        <w:t>преследвайки</w:t>
      </w:r>
      <w:r w:rsidRPr="00610B1B">
        <w:rPr>
          <w:rFonts w:ascii="Times New Roman" w:eastAsia="Calibri" w:hAnsi="Times New Roman" w:cs="Times New Roman"/>
          <w:color w:val="000000"/>
          <w:sz w:val="24"/>
          <w:szCs w:val="24"/>
          <w:shd w:val="clear" w:color="auto" w:fill="FFFFFF"/>
          <w:lang w:val="bg-BG"/>
        </w:rPr>
        <w:t xml:space="preserve"> основната стратегическа цел на </w:t>
      </w:r>
      <w:r w:rsidRPr="00610B1B">
        <w:rPr>
          <w:rFonts w:ascii="Times New Roman" w:eastAsia="Calibri" w:hAnsi="Times New Roman" w:cs="Times New Roman"/>
          <w:sz w:val="24"/>
          <w:szCs w:val="24"/>
          <w:lang w:val="bg-BG"/>
        </w:rPr>
        <w:t xml:space="preserve">Оперативна програма за развитие на сектор „Рибарство” 2007-2013 г., а именно превръщането на рибарството в конкурентоспособен, модерен и динамичен сектор, базиран на устойчиво развитие на рибарството и аквакултурата и подобряване качеството на живот в рибарските области. </w:t>
      </w:r>
      <w:r w:rsidRPr="00610B1B">
        <w:rPr>
          <w:rFonts w:ascii="Times New Roman" w:eastAsia="Calibri" w:hAnsi="Times New Roman" w:cs="Times New Roman"/>
          <w:sz w:val="24"/>
          <w:szCs w:val="24"/>
          <w:lang w:val="bg-BG" w:eastAsia="bg-BG"/>
        </w:rPr>
        <w:t>През програмен период 2007–2013</w:t>
      </w:r>
      <w:r w:rsidR="002F6792" w:rsidRPr="00610B1B">
        <w:rPr>
          <w:rFonts w:ascii="Times New Roman" w:eastAsia="Calibri" w:hAnsi="Times New Roman" w:cs="Times New Roman"/>
          <w:sz w:val="24"/>
          <w:szCs w:val="24"/>
          <w:lang w:val="bg-BG" w:eastAsia="bg-BG"/>
        </w:rPr>
        <w:t> </w:t>
      </w:r>
      <w:r w:rsidRPr="00610B1B">
        <w:rPr>
          <w:rFonts w:ascii="Times New Roman" w:eastAsia="Calibri" w:hAnsi="Times New Roman" w:cs="Times New Roman"/>
          <w:sz w:val="24"/>
          <w:szCs w:val="24"/>
          <w:lang w:val="bg-BG" w:eastAsia="bg-BG"/>
        </w:rPr>
        <w:t>г. България за първи път прилага подкрепа за местно развитие от Европейския фонд за рибарство. Създадени са и оперират шест местни инициативни рибарски групи</w:t>
      </w:r>
      <w:r w:rsidR="00D66FE0" w:rsidRPr="00610B1B">
        <w:rPr>
          <w:rFonts w:ascii="Times New Roman" w:eastAsia="Calibri" w:hAnsi="Times New Roman" w:cs="Times New Roman"/>
          <w:sz w:val="24"/>
          <w:szCs w:val="24"/>
          <w:lang w:val="bg-BG" w:eastAsia="bg-BG"/>
        </w:rPr>
        <w:t xml:space="preserve"> </w:t>
      </w:r>
      <w:r w:rsidRPr="00610B1B">
        <w:rPr>
          <w:rFonts w:ascii="Times New Roman" w:eastAsia="Calibri" w:hAnsi="Times New Roman" w:cs="Times New Roman"/>
          <w:sz w:val="24"/>
          <w:szCs w:val="24"/>
          <w:lang w:val="bg-BG" w:eastAsia="bg-BG"/>
        </w:rPr>
        <w:t xml:space="preserve">(МИРГ), които обхващат териториите на 17 общини. В обхвата </w:t>
      </w:r>
      <w:r w:rsidR="00A55C29" w:rsidRPr="00610B1B">
        <w:rPr>
          <w:rFonts w:ascii="Times New Roman" w:eastAsia="Calibri" w:hAnsi="Times New Roman" w:cs="Times New Roman"/>
          <w:sz w:val="24"/>
          <w:szCs w:val="24"/>
          <w:lang w:val="bg-BG" w:eastAsia="bg-BG"/>
        </w:rPr>
        <w:t>им</w:t>
      </w:r>
      <w:r w:rsidRPr="00610B1B">
        <w:rPr>
          <w:rFonts w:ascii="Times New Roman" w:eastAsia="Calibri" w:hAnsi="Times New Roman" w:cs="Times New Roman"/>
          <w:sz w:val="24"/>
          <w:szCs w:val="24"/>
          <w:lang w:val="bg-BG" w:eastAsia="bg-BG"/>
        </w:rPr>
        <w:t xml:space="preserve"> попадат над 4 053 km</w:t>
      </w:r>
      <w:r w:rsidRPr="00610B1B">
        <w:rPr>
          <w:rFonts w:ascii="Times New Roman" w:eastAsia="Calibri" w:hAnsi="Times New Roman" w:cs="Times New Roman"/>
          <w:sz w:val="24"/>
          <w:szCs w:val="24"/>
          <w:vertAlign w:val="superscript"/>
          <w:lang w:val="bg-BG" w:eastAsia="bg-BG"/>
        </w:rPr>
        <w:t>2</w:t>
      </w:r>
      <w:r w:rsidRPr="00610B1B">
        <w:rPr>
          <w:rFonts w:ascii="Times New Roman" w:eastAsia="Calibri" w:hAnsi="Times New Roman" w:cs="Times New Roman"/>
          <w:sz w:val="24"/>
          <w:szCs w:val="24"/>
          <w:lang w:val="bg-BG" w:eastAsia="bg-BG"/>
        </w:rPr>
        <w:t xml:space="preserve"> и население от над 104 467 души</w:t>
      </w:r>
      <w:r w:rsidRPr="00610B1B">
        <w:rPr>
          <w:rFonts w:ascii="Times New Roman" w:eastAsia="Calibri" w:hAnsi="Times New Roman" w:cs="Times New Roman"/>
          <w:color w:val="000000"/>
          <w:sz w:val="24"/>
          <w:szCs w:val="24"/>
          <w:lang w:val="bg-BG"/>
        </w:rPr>
        <w:t>,</w:t>
      </w:r>
      <w:r w:rsidR="00D66FE0" w:rsidRPr="00610B1B">
        <w:rPr>
          <w:rFonts w:ascii="Times New Roman" w:eastAsia="Calibri" w:hAnsi="Times New Roman" w:cs="Times New Roman"/>
          <w:color w:val="000000"/>
          <w:sz w:val="24"/>
          <w:szCs w:val="24"/>
          <w:lang w:val="bg-BG"/>
        </w:rPr>
        <w:t xml:space="preserve"> </w:t>
      </w:r>
      <w:r w:rsidRPr="00610B1B">
        <w:rPr>
          <w:rFonts w:ascii="Times New Roman" w:eastAsia="Calibri" w:hAnsi="Times New Roman" w:cs="Times New Roman"/>
          <w:sz w:val="24"/>
          <w:szCs w:val="24"/>
          <w:lang w:val="bg-BG"/>
        </w:rPr>
        <w:t>създадени са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нови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работни места. Подобряване на пристанищните съоръжения и по-доброто използване на пространствата</w:t>
      </w:r>
      <w:r w:rsidR="00AC5BD2"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eastAsia="bg-BG"/>
        </w:rPr>
        <w:t xml:space="preserve">също бележи напредък в крайбрежните малки населени места. Развитието на общото производство в </w:t>
      </w:r>
      <w:r w:rsidRPr="00610B1B">
        <w:rPr>
          <w:rFonts w:ascii="Times New Roman" w:eastAsia="Calibri" w:hAnsi="Times New Roman" w:cs="Times New Roman"/>
          <w:sz w:val="24"/>
          <w:szCs w:val="24"/>
          <w:lang w:val="bg-BG"/>
        </w:rPr>
        <w:t xml:space="preserve">аквакултурите е подкрепа на естествените популации и косвено </w:t>
      </w:r>
      <w:r w:rsidR="006011C0" w:rsidRPr="00610B1B">
        <w:rPr>
          <w:rFonts w:ascii="Times New Roman" w:eastAsia="Calibri" w:hAnsi="Times New Roman" w:cs="Times New Roman"/>
          <w:sz w:val="24"/>
          <w:szCs w:val="24"/>
          <w:lang w:val="bg-BG"/>
        </w:rPr>
        <w:t>допринася</w:t>
      </w:r>
      <w:r w:rsidRPr="00610B1B">
        <w:rPr>
          <w:rFonts w:ascii="Times New Roman" w:eastAsia="Calibri" w:hAnsi="Times New Roman" w:cs="Times New Roman"/>
          <w:sz w:val="24"/>
          <w:szCs w:val="24"/>
          <w:lang w:val="bg-BG"/>
        </w:rPr>
        <w:t xml:space="preserve"> за устойчивото състояние</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на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риболовните дейности и увеличаване на работните места в различни райони на страната.</w:t>
      </w:r>
    </w:p>
    <w:p w14:paraId="0A4708A4" w14:textId="27853D73" w:rsidR="001E24FF" w:rsidRPr="00610B1B" w:rsidRDefault="00115C8D"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Calibri" w:hAnsi="Times New Roman" w:cs="Times New Roman"/>
          <w:sz w:val="24"/>
          <w:szCs w:val="24"/>
          <w:lang w:val="bg-BG"/>
        </w:rPr>
        <w:t>Р</w:t>
      </w:r>
      <w:r w:rsidRPr="00610B1B">
        <w:rPr>
          <w:rFonts w:ascii="Times New Roman" w:eastAsia="Times New Roman" w:hAnsi="Times New Roman" w:cs="Times New Roman"/>
          <w:sz w:val="24"/>
          <w:szCs w:val="24"/>
          <w:lang w:val="bg-BG"/>
        </w:rPr>
        <w:t xml:space="preserve">еформата на общата политика на ЕС в областта на рибарството, която влезе в сила през януари 2014 г., има за цел да подсигури препитанието на занимаващите се с рибарство, като в същото време спре свръхулова и изчерпването на запасите, което е последица от него. </w:t>
      </w:r>
      <w:r w:rsidR="001E24FF" w:rsidRPr="00610B1B">
        <w:rPr>
          <w:rFonts w:ascii="Times New Roman" w:eastAsia="Times New Roman" w:hAnsi="Times New Roman" w:cs="Times New Roman"/>
          <w:sz w:val="24"/>
          <w:szCs w:val="24"/>
          <w:lang w:val="bg-BG"/>
        </w:rPr>
        <w:t xml:space="preserve">Програмата за морско дело и рибарство 2014-2020 обвързва инвестиционните си приоритети с опазването на биоразнообразието и ресурсите, обновяването на пристанищата и с приоритетите на ЕС за повишаване на заетостта и териториалното </w:t>
      </w:r>
      <w:r w:rsidR="001E24FF" w:rsidRPr="00610B1B">
        <w:rPr>
          <w:rFonts w:ascii="Times New Roman" w:eastAsia="Times New Roman" w:hAnsi="Times New Roman" w:cs="Times New Roman"/>
          <w:sz w:val="24"/>
          <w:szCs w:val="24"/>
          <w:lang w:val="bg-BG"/>
        </w:rPr>
        <w:lastRenderedPageBreak/>
        <w:t>сближаване, за изпълнението на които ще се следи посредством</w:t>
      </w:r>
      <w:r w:rsidR="00D66FE0" w:rsidRPr="00610B1B">
        <w:rPr>
          <w:rFonts w:ascii="Times New Roman" w:eastAsia="Times New Roman" w:hAnsi="Times New Roman" w:cs="Times New Roman"/>
          <w:sz w:val="24"/>
          <w:szCs w:val="24"/>
          <w:lang w:val="bg-BG"/>
        </w:rPr>
        <w:t xml:space="preserve"> </w:t>
      </w:r>
      <w:r w:rsidR="001E24FF" w:rsidRPr="00610B1B">
        <w:rPr>
          <w:rFonts w:ascii="Times New Roman" w:eastAsia="Times New Roman" w:hAnsi="Times New Roman" w:cs="Times New Roman"/>
          <w:sz w:val="24"/>
          <w:szCs w:val="24"/>
          <w:lang w:val="bg-BG"/>
        </w:rPr>
        <w:t>подготвените и одобрени стратегии за местно развитие. Очаква се през настоящия програмен период да бъдат изпълнени най-малко 8 стратегии на МИРГ, за които е предвиден общ бюджет 15</w:t>
      </w:r>
      <w:r w:rsidR="00AC5BD2" w:rsidRPr="00610B1B">
        <w:rPr>
          <w:rFonts w:ascii="Times New Roman" w:eastAsia="Times New Roman" w:hAnsi="Times New Roman" w:cs="Times New Roman"/>
          <w:sz w:val="24"/>
          <w:szCs w:val="24"/>
          <w:lang w:val="bg-BG"/>
        </w:rPr>
        <w:t> </w:t>
      </w:r>
      <w:r w:rsidR="001E24FF" w:rsidRPr="00610B1B">
        <w:rPr>
          <w:rFonts w:ascii="Times New Roman" w:eastAsia="Times New Roman" w:hAnsi="Times New Roman" w:cs="Times New Roman"/>
          <w:sz w:val="24"/>
          <w:szCs w:val="24"/>
          <w:lang w:val="bg-BG"/>
        </w:rPr>
        <w:t>180</w:t>
      </w:r>
      <w:r w:rsidR="00AC5BD2" w:rsidRPr="00610B1B">
        <w:rPr>
          <w:rFonts w:ascii="Times New Roman" w:eastAsia="Times New Roman" w:hAnsi="Times New Roman" w:cs="Times New Roman"/>
          <w:sz w:val="24"/>
          <w:szCs w:val="24"/>
          <w:lang w:val="bg-BG"/>
        </w:rPr>
        <w:t> </w:t>
      </w:r>
      <w:r w:rsidR="001E24FF" w:rsidRPr="00610B1B">
        <w:rPr>
          <w:rFonts w:ascii="Times New Roman" w:eastAsia="Times New Roman" w:hAnsi="Times New Roman" w:cs="Times New Roman"/>
          <w:sz w:val="24"/>
          <w:szCs w:val="24"/>
          <w:lang w:val="bg-BG"/>
        </w:rPr>
        <w:t>000 евро, заедно със средствата за подготовка на нови стратегии.</w:t>
      </w:r>
    </w:p>
    <w:p w14:paraId="17E3831B" w14:textId="533257F3" w:rsidR="00115C8D" w:rsidRPr="00610B1B" w:rsidRDefault="00115C8D"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Превръщането </w:t>
      </w:r>
      <w:r w:rsidR="006C67DA" w:rsidRPr="00610B1B">
        <w:rPr>
          <w:rFonts w:ascii="Times New Roman" w:eastAsia="Calibri" w:hAnsi="Times New Roman" w:cs="Times New Roman"/>
          <w:sz w:val="24"/>
          <w:szCs w:val="24"/>
          <w:lang w:val="bg-BG"/>
        </w:rPr>
        <w:t xml:space="preserve">на </w:t>
      </w:r>
      <w:r w:rsidRPr="00610B1B">
        <w:rPr>
          <w:rFonts w:ascii="Times New Roman" w:eastAsia="Calibri" w:hAnsi="Times New Roman" w:cs="Times New Roman"/>
          <w:sz w:val="24"/>
          <w:szCs w:val="24"/>
          <w:lang w:val="bg-BG"/>
        </w:rPr>
        <w:t>сектор „Рибарство и аквакултури” в</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саморегулиращ се икономически сектор посредством повишаване на асортимента, качеството и количеството на произведената продукция от риба, носеща значителни приходи на лицата, ангажирани с риболова и аквакултурите</w:t>
      </w:r>
      <w:r w:rsidR="006C67DA"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w:t>
      </w:r>
      <w:r w:rsidRPr="00610B1B">
        <w:rPr>
          <w:rFonts w:ascii="Times New Roman" w:hAnsi="Times New Roman" w:cs="Times New Roman"/>
          <w:sz w:val="24"/>
          <w:szCs w:val="24"/>
          <w:shd w:val="clear" w:color="auto" w:fill="FFFFFF"/>
          <w:lang w:val="bg-BG"/>
        </w:rPr>
        <w:t>придобива все по</w:t>
      </w:r>
      <w:r w:rsidR="006C67DA" w:rsidRPr="00610B1B">
        <w:rPr>
          <w:rFonts w:ascii="Times New Roman" w:hAnsi="Times New Roman" w:cs="Times New Roman"/>
          <w:sz w:val="24"/>
          <w:szCs w:val="24"/>
          <w:shd w:val="clear" w:color="auto" w:fill="FFFFFF"/>
          <w:lang w:val="bg-BG"/>
        </w:rPr>
        <w:t>-</w:t>
      </w:r>
      <w:r w:rsidRPr="00610B1B">
        <w:rPr>
          <w:rFonts w:ascii="Times New Roman" w:hAnsi="Times New Roman" w:cs="Times New Roman"/>
          <w:sz w:val="24"/>
          <w:szCs w:val="24"/>
          <w:shd w:val="clear" w:color="auto" w:fill="FFFFFF"/>
          <w:lang w:val="bg-BG"/>
        </w:rPr>
        <w:t>голямо значение поради стремежа на съвременните потребители към здравословно хранене</w:t>
      </w:r>
      <w:r w:rsidRPr="00610B1B">
        <w:rPr>
          <w:rFonts w:ascii="Times New Roman" w:hAnsi="Times New Roman" w:cs="Times New Roman"/>
          <w:shd w:val="clear" w:color="auto" w:fill="FFFFFF"/>
          <w:lang w:val="bg-BG"/>
        </w:rPr>
        <w:t>.</w:t>
      </w:r>
      <w:r w:rsidRPr="00610B1B">
        <w:rPr>
          <w:rFonts w:ascii="Times New Roman" w:eastAsia="Calibri" w:hAnsi="Times New Roman" w:cs="Times New Roman"/>
          <w:sz w:val="24"/>
          <w:szCs w:val="24"/>
          <w:lang w:val="bg-BG"/>
        </w:rPr>
        <w:t xml:space="preserve"> Чрез прилагане на екосистемен подход към управлението на риба</w:t>
      </w:r>
      <w:r w:rsidR="006C67DA" w:rsidRPr="00610B1B">
        <w:rPr>
          <w:rFonts w:ascii="Times New Roman" w:eastAsia="Calibri" w:hAnsi="Times New Roman" w:cs="Times New Roman"/>
          <w:sz w:val="24"/>
          <w:szCs w:val="24"/>
          <w:lang w:val="bg-BG"/>
        </w:rPr>
        <w:t>рството, отрасъл</w:t>
      </w:r>
      <w:r w:rsidR="00AC5BD2" w:rsidRPr="00610B1B">
        <w:rPr>
          <w:rFonts w:ascii="Times New Roman" w:eastAsia="Calibri" w:hAnsi="Times New Roman" w:cs="Times New Roman"/>
          <w:sz w:val="24"/>
          <w:szCs w:val="24"/>
          <w:lang w:val="bg-BG"/>
        </w:rPr>
        <w:t>ът</w:t>
      </w:r>
      <w:r w:rsidR="006C67DA" w:rsidRPr="00610B1B">
        <w:rPr>
          <w:rFonts w:ascii="Times New Roman" w:eastAsia="Calibri" w:hAnsi="Times New Roman" w:cs="Times New Roman"/>
          <w:sz w:val="24"/>
          <w:szCs w:val="24"/>
          <w:lang w:val="bg-BG"/>
        </w:rPr>
        <w:t xml:space="preserve"> ще допри</w:t>
      </w:r>
      <w:r w:rsidRPr="00610B1B">
        <w:rPr>
          <w:rFonts w:ascii="Times New Roman" w:eastAsia="Calibri" w:hAnsi="Times New Roman" w:cs="Times New Roman"/>
          <w:sz w:val="24"/>
          <w:szCs w:val="24"/>
          <w:lang w:val="bg-BG"/>
        </w:rPr>
        <w:t xml:space="preserve">несе за поддържане и възстановяване на </w:t>
      </w:r>
      <w:r w:rsidR="006011C0" w:rsidRPr="00610B1B">
        <w:rPr>
          <w:rFonts w:ascii="Times New Roman" w:eastAsia="Calibri" w:hAnsi="Times New Roman" w:cs="Times New Roman"/>
          <w:sz w:val="24"/>
          <w:szCs w:val="24"/>
          <w:lang w:val="bg-BG"/>
        </w:rPr>
        <w:t>биоразнообразието</w:t>
      </w:r>
      <w:r w:rsidRPr="00610B1B">
        <w:rPr>
          <w:rFonts w:ascii="Times New Roman" w:eastAsia="Calibri" w:hAnsi="Times New Roman" w:cs="Times New Roman"/>
          <w:sz w:val="24"/>
          <w:szCs w:val="24"/>
          <w:lang w:val="bg-BG"/>
        </w:rPr>
        <w:t xml:space="preserve"> и устойчива експлоатация на морските биологични ресурси.</w:t>
      </w:r>
    </w:p>
    <w:p w14:paraId="593A3628" w14:textId="77777777" w:rsidR="002918AA" w:rsidRPr="00610B1B" w:rsidRDefault="002918AA" w:rsidP="00566CC3">
      <w:pPr>
        <w:autoSpaceDE w:val="0"/>
        <w:autoSpaceDN w:val="0"/>
        <w:adjustRightInd w:val="0"/>
        <w:spacing w:after="0" w:line="240" w:lineRule="auto"/>
        <w:ind w:left="720" w:right="-153"/>
        <w:jc w:val="both"/>
        <w:rPr>
          <w:rFonts w:ascii="Times New Roman" w:hAnsi="Times New Roman" w:cs="Times New Roman"/>
          <w:sz w:val="24"/>
          <w:szCs w:val="24"/>
          <w:lang w:val="bg-BG"/>
        </w:rPr>
      </w:pPr>
    </w:p>
    <w:p w14:paraId="5492CB81" w14:textId="680D1B6D" w:rsidR="00AE1E21" w:rsidRPr="00610B1B" w:rsidRDefault="001E24FF" w:rsidP="00D32D6A">
      <w:pPr>
        <w:pStyle w:val="Heading2"/>
        <w:spacing w:before="0" w:line="276" w:lineRule="auto"/>
        <w:ind w:right="-153"/>
        <w:rPr>
          <w:rFonts w:cs="Times New Roman"/>
          <w:b w:val="0"/>
          <w:bCs w:val="0"/>
          <w:color w:val="FF0000"/>
          <w:sz w:val="24"/>
          <w:szCs w:val="24"/>
        </w:rPr>
      </w:pPr>
      <w:bookmarkStart w:id="365" w:name="_Toc83391380"/>
      <w:r w:rsidRPr="00610B1B">
        <w:rPr>
          <w:rStyle w:val="Heading2Char"/>
          <w:rFonts w:cs="Times New Roman"/>
          <w:b/>
          <w:bCs/>
        </w:rPr>
        <w:t>3</w:t>
      </w:r>
      <w:r w:rsidR="00F8735E" w:rsidRPr="00610B1B">
        <w:rPr>
          <w:rStyle w:val="Heading2Char"/>
          <w:rFonts w:cs="Times New Roman"/>
          <w:b/>
          <w:bCs/>
        </w:rPr>
        <w:t>.</w:t>
      </w:r>
      <w:r w:rsidR="00BF0D18" w:rsidRPr="00610B1B">
        <w:rPr>
          <w:rStyle w:val="Heading2Char"/>
          <w:rFonts w:cs="Times New Roman"/>
          <w:b/>
          <w:bCs/>
        </w:rPr>
        <w:t>3</w:t>
      </w:r>
      <w:r w:rsidR="00F8735E" w:rsidRPr="00610B1B">
        <w:rPr>
          <w:rStyle w:val="Heading2Char"/>
          <w:rFonts w:cs="Times New Roman"/>
          <w:b/>
          <w:bCs/>
        </w:rPr>
        <w:t xml:space="preserve">. </w:t>
      </w:r>
      <w:r w:rsidR="00AE1E21" w:rsidRPr="00610B1B">
        <w:rPr>
          <w:rStyle w:val="Heading2Char"/>
          <w:rFonts w:cs="Times New Roman"/>
          <w:b/>
          <w:bCs/>
        </w:rPr>
        <w:t>Туризъм</w:t>
      </w:r>
      <w:bookmarkEnd w:id="365"/>
      <w:r w:rsidR="00AE1E21" w:rsidRPr="00610B1B">
        <w:rPr>
          <w:rFonts w:cs="Times New Roman"/>
        </w:rPr>
        <w:t xml:space="preserve"> </w:t>
      </w:r>
    </w:p>
    <w:p w14:paraId="7B8C2468" w14:textId="25667398" w:rsidR="00E17CC6" w:rsidRPr="00610B1B" w:rsidRDefault="00E17CC6" w:rsidP="00D32D6A">
      <w:pPr>
        <w:spacing w:after="120"/>
        <w:ind w:right="-153"/>
        <w:jc w:val="both"/>
        <w:rPr>
          <w:rFonts w:ascii="Times New Roman" w:hAnsi="Times New Roman" w:cs="Times New Roman"/>
          <w:iCs/>
          <w:sz w:val="24"/>
          <w:szCs w:val="24"/>
          <w:lang w:val="bg-BG"/>
        </w:rPr>
      </w:pPr>
      <w:r w:rsidRPr="00610B1B">
        <w:rPr>
          <w:rFonts w:ascii="Times New Roman" w:hAnsi="Times New Roman" w:cs="Times New Roman"/>
          <w:iCs/>
          <w:sz w:val="24"/>
          <w:szCs w:val="24"/>
          <w:lang w:val="bg-BG"/>
        </w:rPr>
        <w:t xml:space="preserve">За целите на морското пространствено планиране развитието на туризма по Черноморското крайбрежие и в морските пространства на Р. България се разглежда като преобладаваща функция в Черноморските общини, </w:t>
      </w:r>
      <w:r w:rsidR="004C5FB0" w:rsidRPr="00610B1B">
        <w:rPr>
          <w:rFonts w:ascii="Times New Roman" w:hAnsi="Times New Roman" w:cs="Times New Roman"/>
          <w:iCs/>
          <w:sz w:val="24"/>
          <w:szCs w:val="24"/>
          <w:lang w:val="bg-BG"/>
        </w:rPr>
        <w:t xml:space="preserve">с трайни традиции, </w:t>
      </w:r>
      <w:r w:rsidRPr="00610B1B">
        <w:rPr>
          <w:rFonts w:ascii="Times New Roman" w:hAnsi="Times New Roman" w:cs="Times New Roman"/>
          <w:iCs/>
          <w:sz w:val="24"/>
          <w:szCs w:val="24"/>
          <w:lang w:val="bg-BG"/>
        </w:rPr>
        <w:t xml:space="preserve">разнообразни форми, влияещи върху психическото и физическото здраве на хората и с нарастваща експанзия след 1960-те години. </w:t>
      </w:r>
      <w:r w:rsidR="00923BBB" w:rsidRPr="00610B1B">
        <w:rPr>
          <w:rFonts w:ascii="Times New Roman" w:hAnsi="Times New Roman" w:cs="Times New Roman"/>
          <w:iCs/>
          <w:sz w:val="24"/>
          <w:szCs w:val="24"/>
          <w:lang w:val="bg-BG"/>
        </w:rPr>
        <w:t xml:space="preserve">Мястото на морското казино </w:t>
      </w:r>
      <w:r w:rsidR="004C5FB0" w:rsidRPr="00610B1B">
        <w:rPr>
          <w:rFonts w:ascii="Times New Roman" w:hAnsi="Times New Roman" w:cs="Times New Roman"/>
          <w:iCs/>
          <w:sz w:val="24"/>
          <w:szCs w:val="24"/>
          <w:lang w:val="bg-BG"/>
        </w:rPr>
        <w:t>в</w:t>
      </w:r>
      <w:r w:rsidR="00D66FE0" w:rsidRPr="00610B1B">
        <w:rPr>
          <w:rFonts w:ascii="Times New Roman" w:hAnsi="Times New Roman" w:cs="Times New Roman"/>
          <w:iCs/>
          <w:sz w:val="24"/>
          <w:szCs w:val="24"/>
          <w:lang w:val="bg-BG"/>
        </w:rPr>
        <w:t xml:space="preserve"> </w:t>
      </w:r>
      <w:r w:rsidR="004C5FB0" w:rsidRPr="00610B1B">
        <w:rPr>
          <w:rFonts w:ascii="Times New Roman" w:hAnsi="Times New Roman" w:cs="Times New Roman"/>
          <w:iCs/>
          <w:sz w:val="24"/>
          <w:szCs w:val="24"/>
          <w:lang w:val="bg-BG"/>
        </w:rPr>
        <w:t>курортния комплекс „Златни пясъци“</w:t>
      </w:r>
      <w:r w:rsidR="00923BBB" w:rsidRPr="00610B1B">
        <w:rPr>
          <w:rFonts w:ascii="Times New Roman" w:hAnsi="Times New Roman" w:cs="Times New Roman"/>
          <w:iCs/>
          <w:sz w:val="24"/>
          <w:szCs w:val="24"/>
          <w:lang w:val="bg-BG"/>
        </w:rPr>
        <w:t xml:space="preserve"> е било известно като морски кантон </w:t>
      </w:r>
      <w:r w:rsidR="004C5FB0" w:rsidRPr="00610B1B">
        <w:rPr>
          <w:rFonts w:ascii="Times New Roman" w:hAnsi="Times New Roman" w:cs="Times New Roman"/>
          <w:iCs/>
          <w:sz w:val="24"/>
          <w:szCs w:val="24"/>
          <w:lang w:val="bg-BG"/>
        </w:rPr>
        <w:t>по</w:t>
      </w:r>
      <w:r w:rsidR="00923BBB" w:rsidRPr="00610B1B">
        <w:rPr>
          <w:rFonts w:ascii="Times New Roman" w:hAnsi="Times New Roman" w:cs="Times New Roman"/>
          <w:iCs/>
          <w:sz w:val="24"/>
          <w:szCs w:val="24"/>
          <w:lang w:val="bg-BG"/>
        </w:rPr>
        <w:t xml:space="preserve"> времето на цар Асен ІІ, </w:t>
      </w:r>
      <w:r w:rsidR="004C5FB0" w:rsidRPr="00610B1B">
        <w:rPr>
          <w:rFonts w:ascii="Times New Roman" w:hAnsi="Times New Roman" w:cs="Times New Roman"/>
          <w:iCs/>
          <w:sz w:val="24"/>
          <w:szCs w:val="24"/>
          <w:lang w:val="bg-BG"/>
        </w:rPr>
        <w:t xml:space="preserve">още в началото на 20 век се обмисля развитието на морския туризъм, през </w:t>
      </w:r>
      <w:r w:rsidR="00923BBB" w:rsidRPr="00610B1B">
        <w:rPr>
          <w:rFonts w:ascii="Times New Roman" w:hAnsi="Times New Roman" w:cs="Times New Roman"/>
          <w:iCs/>
          <w:sz w:val="24"/>
          <w:szCs w:val="24"/>
          <w:lang w:val="bg-BG"/>
        </w:rPr>
        <w:t>190</w:t>
      </w:r>
      <w:r w:rsidR="004C5FB0" w:rsidRPr="00610B1B">
        <w:rPr>
          <w:rFonts w:ascii="Times New Roman" w:hAnsi="Times New Roman" w:cs="Times New Roman"/>
          <w:iCs/>
          <w:sz w:val="24"/>
          <w:szCs w:val="24"/>
          <w:lang w:val="bg-BG"/>
        </w:rPr>
        <w:t>9</w:t>
      </w:r>
      <w:r w:rsidR="00923BBB" w:rsidRPr="00610B1B">
        <w:rPr>
          <w:rFonts w:ascii="Times New Roman" w:hAnsi="Times New Roman" w:cs="Times New Roman"/>
          <w:iCs/>
          <w:sz w:val="24"/>
          <w:szCs w:val="24"/>
          <w:lang w:val="bg-BG"/>
        </w:rPr>
        <w:t xml:space="preserve"> г. се </w:t>
      </w:r>
      <w:r w:rsidR="004C5FB0" w:rsidRPr="00610B1B">
        <w:rPr>
          <w:rFonts w:ascii="Times New Roman" w:hAnsi="Times New Roman" w:cs="Times New Roman"/>
          <w:iCs/>
          <w:sz w:val="24"/>
          <w:szCs w:val="24"/>
          <w:lang w:val="bg-BG"/>
        </w:rPr>
        <w:t>изгражда първия детски морски санаториум</w:t>
      </w:r>
      <w:r w:rsidR="00205252" w:rsidRPr="00610B1B">
        <w:rPr>
          <w:rFonts w:ascii="Times New Roman" w:hAnsi="Times New Roman" w:cs="Times New Roman"/>
          <w:iCs/>
          <w:sz w:val="24"/>
          <w:szCs w:val="24"/>
          <w:lang w:val="bg-BG"/>
        </w:rPr>
        <w:t xml:space="preserve"> за лечение на заболявания на горните дихателни пътища.</w:t>
      </w:r>
      <w:r w:rsidR="00205252" w:rsidRPr="00610B1B">
        <w:rPr>
          <w:rStyle w:val="FootnoteReference"/>
          <w:rFonts w:ascii="Times New Roman" w:hAnsi="Times New Roman" w:cs="Times New Roman"/>
          <w:iCs/>
          <w:sz w:val="24"/>
          <w:szCs w:val="24"/>
          <w:lang w:val="bg-BG"/>
        </w:rPr>
        <w:footnoteReference w:id="116"/>
      </w:r>
      <w:r w:rsidR="00D66FE0" w:rsidRPr="00610B1B">
        <w:rPr>
          <w:rFonts w:ascii="Times New Roman" w:hAnsi="Times New Roman" w:cs="Times New Roman"/>
          <w:iCs/>
          <w:sz w:val="24"/>
          <w:szCs w:val="24"/>
          <w:lang w:val="bg-BG"/>
        </w:rPr>
        <w:t xml:space="preserve"> </w:t>
      </w:r>
      <w:r w:rsidR="00077396" w:rsidRPr="00610B1B">
        <w:rPr>
          <w:rFonts w:ascii="Times New Roman" w:hAnsi="Times New Roman" w:cs="Times New Roman"/>
          <w:iCs/>
          <w:sz w:val="24"/>
          <w:szCs w:val="24"/>
          <w:lang w:val="bg-BG"/>
        </w:rPr>
        <w:t xml:space="preserve">През 1921 г. град Варна официално е обявен за първия български морски курорт. </w:t>
      </w:r>
      <w:r w:rsidR="00205252" w:rsidRPr="00610B1B">
        <w:rPr>
          <w:rFonts w:ascii="Times New Roman" w:hAnsi="Times New Roman" w:cs="Times New Roman"/>
          <w:iCs/>
          <w:sz w:val="24"/>
          <w:szCs w:val="24"/>
          <w:lang w:val="bg-BG"/>
        </w:rPr>
        <w:t>Масовото курортно строителство се свързва с изграждането на големите курортни комплекси „Златни пясъци“, „Слънчев бряг“, „Албена“, „Св. Константин и Елена“ и</w:t>
      </w:r>
      <w:r w:rsidR="00D66FE0" w:rsidRPr="00610B1B">
        <w:rPr>
          <w:rFonts w:ascii="Times New Roman" w:hAnsi="Times New Roman" w:cs="Times New Roman"/>
          <w:iCs/>
          <w:sz w:val="24"/>
          <w:szCs w:val="24"/>
          <w:lang w:val="bg-BG"/>
        </w:rPr>
        <w:t xml:space="preserve"> </w:t>
      </w:r>
      <w:r w:rsidR="00205252" w:rsidRPr="00610B1B">
        <w:rPr>
          <w:rFonts w:ascii="Times New Roman" w:hAnsi="Times New Roman" w:cs="Times New Roman"/>
          <w:iCs/>
          <w:sz w:val="24"/>
          <w:szCs w:val="24"/>
          <w:lang w:val="bg-BG"/>
        </w:rPr>
        <w:t>на по-мащабни ваканционни селища „Елените“, „Русалка“ и „Дюни“, чието строителство започва в средата на 1950</w:t>
      </w:r>
      <w:r w:rsidR="001E24FF" w:rsidRPr="00610B1B">
        <w:rPr>
          <w:rFonts w:ascii="Times New Roman" w:hAnsi="Times New Roman" w:cs="Times New Roman"/>
          <w:iCs/>
          <w:sz w:val="24"/>
          <w:szCs w:val="24"/>
          <w:lang w:val="bg-BG"/>
        </w:rPr>
        <w:t>-те</w:t>
      </w:r>
      <w:r w:rsidR="00205252" w:rsidRPr="00610B1B">
        <w:rPr>
          <w:rFonts w:ascii="Times New Roman" w:hAnsi="Times New Roman" w:cs="Times New Roman"/>
          <w:iCs/>
          <w:sz w:val="24"/>
          <w:szCs w:val="24"/>
          <w:lang w:val="bg-BG"/>
        </w:rPr>
        <w:t xml:space="preserve"> години. </w:t>
      </w:r>
    </w:p>
    <w:p w14:paraId="06CE9ED1" w14:textId="3C865282" w:rsidR="00043308" w:rsidRPr="00610B1B" w:rsidRDefault="004F34D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iCs/>
          <w:sz w:val="24"/>
          <w:szCs w:val="24"/>
          <w:lang w:val="bg-BG"/>
        </w:rPr>
        <w:t xml:space="preserve">С цел по-пълноценно оползотворяване на туристическите ресурси чрез създаване на регионални туристически продукти и </w:t>
      </w:r>
      <w:r w:rsidR="0045463D" w:rsidRPr="00610B1B">
        <w:rPr>
          <w:rFonts w:ascii="Times New Roman" w:hAnsi="Times New Roman" w:cs="Times New Roman"/>
          <w:iCs/>
          <w:sz w:val="24"/>
          <w:szCs w:val="24"/>
          <w:lang w:val="bg-BG"/>
        </w:rPr>
        <w:t xml:space="preserve">правилно ориентиране на туристическия маркетинг през 2015 г. се създава Концепцията за туристическо райониране на Р. България, в която два от новосформираните девет </w:t>
      </w:r>
      <w:r w:rsidR="00294F59" w:rsidRPr="00D03DA8">
        <w:rPr>
          <w:rFonts w:ascii="Times New Roman" w:hAnsi="Times New Roman" w:cs="Times New Roman"/>
          <w:iCs/>
          <w:sz w:val="24"/>
          <w:szCs w:val="24"/>
          <w:lang w:val="bg-BG"/>
        </w:rPr>
        <w:t>Туристически райони с излаз на море</w:t>
      </w:r>
      <w:r w:rsidR="00043308" w:rsidRPr="00610B1B">
        <w:rPr>
          <w:rFonts w:ascii="Times New Roman" w:hAnsi="Times New Roman" w:cs="Times New Roman"/>
          <w:sz w:val="24"/>
          <w:szCs w:val="24"/>
          <w:lang w:val="bg-BG"/>
        </w:rPr>
        <w:t xml:space="preserve"> – Варненско Черноморие и Бургаско Черноморие. </w:t>
      </w:r>
    </w:p>
    <w:p w14:paraId="518C6F1E" w14:textId="0E211A6B" w:rsidR="00AC5BD2" w:rsidRPr="00610B1B" w:rsidRDefault="00AC5BD2"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Освен тясната им специализация в морски рекреативен туризъм, тези райони разширяват туристическото си предлагане и чрез други форми – културно-исторически, фестивален, делови, здравен, селски, поклоннически туризъм, екотуризъм. Това предлагане означава, че освен бреговата ивица, функционалната зона на туризма в тези райони обхваща пространства в дълбочина до 80-100 km.</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За целите на настоящото проучване, функцията „туризъм” се ограничава само до зоната на прекия контакт „суша-море”.</w:t>
      </w:r>
    </w:p>
    <w:p w14:paraId="738C3788" w14:textId="66B73E19" w:rsidR="00694DF5" w:rsidRPr="00610B1B" w:rsidRDefault="0029238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В конкретни измерения, това са регламентираните в ЗУЧК зона „А” (100 m), зона „Б” (2 km от зона „А”), 200 метровата прилежаща зона от акваторията и селищните среди с контакт до брега.</w:t>
      </w:r>
    </w:p>
    <w:p w14:paraId="1ED62092"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0899BA7E" w14:textId="40CCE92C" w:rsidR="0029238A" w:rsidRPr="00610B1B" w:rsidRDefault="0029238A" w:rsidP="00D32D6A">
      <w:pPr>
        <w:pStyle w:val="Heading3"/>
        <w:numPr>
          <w:ilvl w:val="0"/>
          <w:numId w:val="0"/>
        </w:numPr>
        <w:spacing w:before="0" w:line="276" w:lineRule="auto"/>
        <w:ind w:right="-153"/>
        <w:rPr>
          <w:rFonts w:cs="Times New Roman"/>
        </w:rPr>
      </w:pPr>
      <w:bookmarkStart w:id="366" w:name="_Toc83391381"/>
      <w:r w:rsidRPr="00610B1B">
        <w:rPr>
          <w:rFonts w:cs="Times New Roman"/>
        </w:rPr>
        <w:t>3.3.1. Туристич</w:t>
      </w:r>
      <w:r w:rsidR="004B7C18" w:rsidRPr="00610B1B">
        <w:rPr>
          <w:rFonts w:cs="Times New Roman"/>
        </w:rPr>
        <w:t>е</w:t>
      </w:r>
      <w:r w:rsidRPr="00610B1B">
        <w:rPr>
          <w:rFonts w:cs="Times New Roman"/>
        </w:rPr>
        <w:t>ски ресурси</w:t>
      </w:r>
      <w:bookmarkEnd w:id="366"/>
    </w:p>
    <w:p w14:paraId="0C941EDC" w14:textId="77777777" w:rsidR="0029238A" w:rsidRPr="00610B1B" w:rsidRDefault="0029238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Най-значимото водно-туристическо богатство на страната е </w:t>
      </w:r>
      <w:r w:rsidRPr="00610B1B">
        <w:rPr>
          <w:rFonts w:ascii="Times New Roman" w:hAnsi="Times New Roman" w:cs="Times New Roman"/>
          <w:i/>
          <w:iCs/>
          <w:sz w:val="24"/>
          <w:szCs w:val="24"/>
          <w:lang w:val="bg-BG"/>
        </w:rPr>
        <w:t>Черно море</w:t>
      </w:r>
      <w:r w:rsidRPr="00610B1B">
        <w:rPr>
          <w:rFonts w:ascii="Times New Roman" w:hAnsi="Times New Roman" w:cs="Times New Roman"/>
          <w:sz w:val="24"/>
          <w:szCs w:val="24"/>
          <w:lang w:val="bg-BG"/>
        </w:rPr>
        <w:t>, с подходящата температура и соленост на морската вода, благоприятен климат, ветрови и вълнови режим, които предполагат относително продължителен туристически сезон. Затоплената морска вода в недалечното минало се е използвала за лечение на различни заболявания.</w:t>
      </w:r>
    </w:p>
    <w:p w14:paraId="4A5901B0" w14:textId="15FF1496" w:rsidR="0029238A" w:rsidRPr="00610B1B" w:rsidRDefault="0029238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Подходящи за развитието на морския туризъм са морските </w:t>
      </w:r>
      <w:r w:rsidRPr="00610B1B">
        <w:rPr>
          <w:rFonts w:ascii="Times New Roman" w:hAnsi="Times New Roman" w:cs="Times New Roman"/>
          <w:i/>
          <w:iCs/>
          <w:sz w:val="24"/>
          <w:szCs w:val="24"/>
          <w:lang w:val="bg-BG"/>
        </w:rPr>
        <w:t>пясъчни плажове</w:t>
      </w:r>
      <w:r w:rsidRPr="00610B1B">
        <w:rPr>
          <w:rFonts w:ascii="Times New Roman" w:hAnsi="Times New Roman" w:cs="Times New Roman"/>
          <w:sz w:val="24"/>
          <w:szCs w:val="24"/>
          <w:lang w:val="bg-BG"/>
        </w:rPr>
        <w:t xml:space="preserve">, които са повече от 230 броя, плавно увеличаващо дълбочината си пясъчно дъно на морето, липсата на морски хищници. Доказателство за атрактивността на българските плажове е сертификатът “Син флаг”, който се присъжда след оценка на качеството на морската вода, чистотата на плажните ивици, екологичността, безопасността, услугите и удобствата, които се предоставят на туристите. През 2019 г., с този сертификат са удостоени 14 български плажа, при 12 бр. през 2018 г. и 11 бр. през 2016 г. </w:t>
      </w:r>
    </w:p>
    <w:p w14:paraId="75C57676" w14:textId="6A824381" w:rsidR="0029238A" w:rsidRPr="00610B1B" w:rsidRDefault="0029238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За повишаване на атрактивността на морските курорти допринасят и възможностите за кало и луголечение, като за целта се използват ресурсите от </w:t>
      </w:r>
      <w:r w:rsidRPr="00610B1B">
        <w:rPr>
          <w:rFonts w:ascii="Times New Roman" w:hAnsi="Times New Roman" w:cs="Times New Roman"/>
          <w:i/>
          <w:iCs/>
          <w:sz w:val="24"/>
          <w:szCs w:val="24"/>
          <w:lang w:val="bg-BG"/>
        </w:rPr>
        <w:t>лечебна кал</w:t>
      </w:r>
      <w:r w:rsidRPr="00610B1B">
        <w:rPr>
          <w:rFonts w:ascii="Times New Roman" w:hAnsi="Times New Roman" w:cs="Times New Roman"/>
          <w:sz w:val="24"/>
          <w:szCs w:val="24"/>
          <w:lang w:val="bg-BG"/>
        </w:rPr>
        <w:t xml:space="preserve"> от Дуранкулашкото, Шабленското, Поморийското и Атанасовското езеро, както и </w:t>
      </w:r>
      <w:r w:rsidRPr="00610B1B">
        <w:rPr>
          <w:rFonts w:ascii="Times New Roman" w:hAnsi="Times New Roman" w:cs="Times New Roman"/>
          <w:i/>
          <w:iCs/>
          <w:sz w:val="24"/>
          <w:szCs w:val="24"/>
          <w:lang w:val="bg-BG"/>
        </w:rPr>
        <w:t>луга</w:t>
      </w:r>
      <w:r w:rsidRPr="00610B1B">
        <w:rPr>
          <w:rFonts w:ascii="Times New Roman" w:hAnsi="Times New Roman" w:cs="Times New Roman"/>
          <w:sz w:val="24"/>
          <w:szCs w:val="24"/>
          <w:lang w:val="bg-BG"/>
        </w:rPr>
        <w:t xml:space="preserve"> от изпарителните басейни на Поморийските и Бургаските солници.</w:t>
      </w:r>
    </w:p>
    <w:p w14:paraId="344FEE0A" w14:textId="26FDD9DE" w:rsidR="00517C9F" w:rsidRPr="00610B1B" w:rsidRDefault="00903513"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Възможностите за лечебен туризъм се увеличават и поради наличието на </w:t>
      </w:r>
      <w:r w:rsidRPr="00610B1B">
        <w:rPr>
          <w:rFonts w:ascii="Times New Roman" w:hAnsi="Times New Roman" w:cs="Times New Roman"/>
          <w:i/>
          <w:iCs/>
          <w:sz w:val="24"/>
          <w:szCs w:val="24"/>
          <w:lang w:val="bg-BG"/>
        </w:rPr>
        <w:t>термоминерални води</w:t>
      </w:r>
      <w:r w:rsidRPr="00610B1B">
        <w:rPr>
          <w:rFonts w:ascii="Times New Roman" w:hAnsi="Times New Roman" w:cs="Times New Roman"/>
          <w:sz w:val="24"/>
          <w:szCs w:val="24"/>
          <w:lang w:val="bg-BG"/>
        </w:rPr>
        <w:t xml:space="preserve"> по крайбрежието</w:t>
      </w:r>
      <w:r w:rsidR="00EB7679" w:rsidRPr="00610B1B">
        <w:rPr>
          <w:rFonts w:ascii="Times New Roman" w:hAnsi="Times New Roman" w:cs="Times New Roman"/>
          <w:sz w:val="24"/>
          <w:szCs w:val="24"/>
          <w:lang w:val="bg-BG"/>
        </w:rPr>
        <w:t xml:space="preserve"> с различни физични и химични характеристики</w:t>
      </w:r>
      <w:r w:rsidR="009C3D6C" w:rsidRPr="00610B1B">
        <w:rPr>
          <w:rFonts w:ascii="Times New Roman" w:hAnsi="Times New Roman" w:cs="Times New Roman"/>
          <w:sz w:val="24"/>
          <w:szCs w:val="24"/>
          <w:lang w:val="bg-BG"/>
        </w:rPr>
        <w:t>, с температура от &gt;32°С до над 40°С</w:t>
      </w:r>
      <w:r w:rsidR="00D66FE0" w:rsidRPr="00610B1B">
        <w:rPr>
          <w:rFonts w:ascii="Times New Roman" w:hAnsi="Times New Roman" w:cs="Times New Roman"/>
          <w:sz w:val="24"/>
          <w:szCs w:val="24"/>
          <w:lang w:val="bg-BG"/>
        </w:rPr>
        <w:t xml:space="preserve"> </w:t>
      </w:r>
      <w:r w:rsidR="00EB7679" w:rsidRPr="00610B1B">
        <w:rPr>
          <w:rFonts w:ascii="Times New Roman" w:hAnsi="Times New Roman" w:cs="Times New Roman"/>
          <w:sz w:val="24"/>
          <w:szCs w:val="24"/>
          <w:lang w:val="bg-BG"/>
        </w:rPr>
        <w:t>и най-често с ниска минерализация.</w:t>
      </w:r>
      <w:r w:rsidR="00EB7679" w:rsidRPr="00610B1B">
        <w:rPr>
          <w:rFonts w:ascii="Times New Roman" w:hAnsi="Times New Roman" w:cs="Times New Roman"/>
          <w:lang w:val="bg-BG"/>
        </w:rPr>
        <w:t xml:space="preserve"> </w:t>
      </w:r>
      <w:r w:rsidR="00EB7679" w:rsidRPr="00610B1B">
        <w:rPr>
          <w:rFonts w:ascii="Times New Roman" w:hAnsi="Times New Roman" w:cs="Times New Roman"/>
          <w:sz w:val="24"/>
          <w:szCs w:val="24"/>
          <w:lang w:val="bg-BG"/>
        </w:rPr>
        <w:t xml:space="preserve">Като най-ценни се приемат солените силно минерализирани води, съдържащи йод и бромид в района на Камчия и Тюленово, както и тези при </w:t>
      </w:r>
      <w:r w:rsidR="00EB7679" w:rsidRPr="00610B1B">
        <w:rPr>
          <w:rFonts w:ascii="Times New Roman" w:hAnsi="Times New Roman" w:cs="Times New Roman"/>
          <w:i/>
          <w:iCs/>
          <w:sz w:val="24"/>
          <w:szCs w:val="24"/>
          <w:lang w:val="bg-BG"/>
        </w:rPr>
        <w:t>Aquae Calidae</w:t>
      </w:r>
      <w:r w:rsidR="00BB14E8" w:rsidRPr="00610B1B">
        <w:rPr>
          <w:rFonts w:ascii="Times New Roman" w:hAnsi="Times New Roman" w:cs="Times New Roman"/>
          <w:sz w:val="24"/>
          <w:szCs w:val="24"/>
          <w:lang w:val="bg-BG"/>
        </w:rPr>
        <w:t>.</w:t>
      </w:r>
      <w:r w:rsidR="00EB7679" w:rsidRPr="00610B1B">
        <w:rPr>
          <w:rFonts w:ascii="Times New Roman" w:hAnsi="Times New Roman" w:cs="Times New Roman"/>
          <w:sz w:val="24"/>
          <w:szCs w:val="24"/>
          <w:lang w:val="bg-BG"/>
        </w:rPr>
        <w:t xml:space="preserve"> По-</w:t>
      </w:r>
      <w:r w:rsidRPr="00610B1B">
        <w:rPr>
          <w:rFonts w:ascii="Times New Roman" w:hAnsi="Times New Roman" w:cs="Times New Roman"/>
          <w:sz w:val="24"/>
          <w:szCs w:val="24"/>
          <w:lang w:val="bg-BG"/>
        </w:rPr>
        <w:t xml:space="preserve">добре </w:t>
      </w:r>
      <w:r w:rsidR="00EB7679" w:rsidRPr="00610B1B">
        <w:rPr>
          <w:rFonts w:ascii="Times New Roman" w:hAnsi="Times New Roman" w:cs="Times New Roman"/>
          <w:sz w:val="24"/>
          <w:szCs w:val="24"/>
          <w:lang w:val="bg-BG"/>
        </w:rPr>
        <w:t xml:space="preserve">са </w:t>
      </w:r>
      <w:r w:rsidRPr="00610B1B">
        <w:rPr>
          <w:rFonts w:ascii="Times New Roman" w:hAnsi="Times New Roman" w:cs="Times New Roman"/>
          <w:sz w:val="24"/>
          <w:szCs w:val="24"/>
          <w:lang w:val="bg-BG"/>
        </w:rPr>
        <w:t xml:space="preserve">проучени и оползотворени </w:t>
      </w:r>
      <w:r w:rsidR="00EB7679" w:rsidRPr="00610B1B">
        <w:rPr>
          <w:rFonts w:ascii="Times New Roman" w:hAnsi="Times New Roman" w:cs="Times New Roman"/>
          <w:sz w:val="24"/>
          <w:szCs w:val="24"/>
          <w:lang w:val="bg-BG"/>
        </w:rPr>
        <w:t xml:space="preserve">минералните води по Северното Черноморско крайбрежие - Дуранкулак, Шабленска Тузла, Балчик, Златни пясъци, Св. </w:t>
      </w:r>
      <w:r w:rsidR="009C3D6C" w:rsidRPr="00610B1B">
        <w:rPr>
          <w:rFonts w:ascii="Times New Roman" w:hAnsi="Times New Roman" w:cs="Times New Roman"/>
          <w:sz w:val="24"/>
          <w:szCs w:val="24"/>
          <w:lang w:val="bg-BG"/>
        </w:rPr>
        <w:t xml:space="preserve">Св. </w:t>
      </w:r>
      <w:r w:rsidR="00EB7679" w:rsidRPr="00610B1B">
        <w:rPr>
          <w:rFonts w:ascii="Times New Roman" w:hAnsi="Times New Roman" w:cs="Times New Roman"/>
          <w:sz w:val="24"/>
          <w:szCs w:val="24"/>
          <w:lang w:val="bg-BG"/>
        </w:rPr>
        <w:t xml:space="preserve">Константин и Елена, Варна и Камчия. </w:t>
      </w:r>
      <w:r w:rsidR="00517C9F" w:rsidRPr="00610B1B">
        <w:rPr>
          <w:rFonts w:ascii="Times New Roman" w:hAnsi="Times New Roman" w:cs="Times New Roman"/>
          <w:sz w:val="24"/>
          <w:szCs w:val="24"/>
          <w:lang w:val="bg-BG"/>
        </w:rPr>
        <w:t>Най-известните балнеолечебни комплекси п</w:t>
      </w:r>
      <w:r w:rsidR="00EB7679" w:rsidRPr="00610B1B">
        <w:rPr>
          <w:rFonts w:ascii="Times New Roman" w:hAnsi="Times New Roman" w:cs="Times New Roman"/>
          <w:sz w:val="24"/>
          <w:szCs w:val="24"/>
          <w:lang w:val="bg-BG"/>
        </w:rPr>
        <w:t xml:space="preserve">о южното Черноморско крайбрежие </w:t>
      </w:r>
      <w:r w:rsidR="00517C9F" w:rsidRPr="00610B1B">
        <w:rPr>
          <w:rFonts w:ascii="Times New Roman" w:hAnsi="Times New Roman" w:cs="Times New Roman"/>
          <w:sz w:val="24"/>
          <w:szCs w:val="24"/>
          <w:lang w:val="bg-BG"/>
        </w:rPr>
        <w:t>са в Поморие и в кв. Ветрен</w:t>
      </w:r>
      <w:r w:rsidR="00881CF9" w:rsidRPr="00610B1B">
        <w:rPr>
          <w:rFonts w:ascii="Times New Roman" w:hAnsi="Times New Roman" w:cs="Times New Roman"/>
          <w:sz w:val="24"/>
          <w:szCs w:val="24"/>
          <w:lang w:val="bg-BG"/>
        </w:rPr>
        <w:t xml:space="preserve">, </w:t>
      </w:r>
      <w:r w:rsidR="00517C9F" w:rsidRPr="00610B1B">
        <w:rPr>
          <w:rFonts w:ascii="Times New Roman" w:hAnsi="Times New Roman" w:cs="Times New Roman"/>
          <w:sz w:val="24"/>
          <w:szCs w:val="24"/>
          <w:lang w:val="bg-BG"/>
        </w:rPr>
        <w:t>гр. Бургас.</w:t>
      </w:r>
      <w:r w:rsidR="00EB7679" w:rsidRPr="00610B1B">
        <w:rPr>
          <w:rFonts w:ascii="Times New Roman" w:hAnsi="Times New Roman" w:cs="Times New Roman"/>
          <w:sz w:val="24"/>
          <w:szCs w:val="24"/>
          <w:lang w:val="bg-BG"/>
        </w:rPr>
        <w:t xml:space="preserve"> </w:t>
      </w:r>
      <w:r w:rsidR="009C3D6C" w:rsidRPr="00610B1B">
        <w:rPr>
          <w:rFonts w:ascii="Times New Roman" w:hAnsi="Times New Roman" w:cs="Times New Roman"/>
          <w:sz w:val="24"/>
          <w:szCs w:val="24"/>
          <w:lang w:val="bg-BG"/>
        </w:rPr>
        <w:t xml:space="preserve">И този природен ресурс не е достатъчно усвоен и подлежи на развитие. В регистъра на ресурсите на минералните води - изключителна държавна собственост по находища и водовземни съоръжения, по българското </w:t>
      </w:r>
      <w:r w:rsidR="006011C0" w:rsidRPr="00610B1B">
        <w:rPr>
          <w:rFonts w:ascii="Times New Roman" w:hAnsi="Times New Roman" w:cs="Times New Roman"/>
          <w:sz w:val="24"/>
          <w:szCs w:val="24"/>
          <w:lang w:val="bg-BG"/>
        </w:rPr>
        <w:t>крайбрежие</w:t>
      </w:r>
      <w:r w:rsidR="009C3D6C" w:rsidRPr="00610B1B">
        <w:rPr>
          <w:rFonts w:ascii="Times New Roman" w:hAnsi="Times New Roman" w:cs="Times New Roman"/>
          <w:sz w:val="24"/>
          <w:szCs w:val="24"/>
          <w:lang w:val="bg-BG"/>
        </w:rPr>
        <w:t xml:space="preserve"> са регистрирани 56 източника, докато те са повече от 100.</w:t>
      </w:r>
    </w:p>
    <w:p w14:paraId="1E13EB2F" w14:textId="652331D5" w:rsidR="00EB7679" w:rsidRPr="00610B1B" w:rsidRDefault="00517C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Към природните туристически ресурси, освен климата, морето, морските плажове, морската луга и кал, минералните води, следва да се споменат още планините, достигащи до морето – </w:t>
      </w:r>
      <w:r w:rsidRPr="00610B1B">
        <w:rPr>
          <w:rFonts w:ascii="Times New Roman" w:hAnsi="Times New Roman" w:cs="Times New Roman"/>
          <w:i/>
          <w:iCs/>
          <w:sz w:val="24"/>
          <w:szCs w:val="24"/>
          <w:lang w:val="bg-BG"/>
        </w:rPr>
        <w:t>Стара планина</w:t>
      </w:r>
      <w:r w:rsidRPr="00610B1B">
        <w:rPr>
          <w:rFonts w:ascii="Times New Roman" w:hAnsi="Times New Roman" w:cs="Times New Roman"/>
          <w:sz w:val="24"/>
          <w:szCs w:val="24"/>
          <w:lang w:val="bg-BG"/>
        </w:rPr>
        <w:t xml:space="preserve"> в централната част на българското Черноморско крайбрежие и </w:t>
      </w:r>
      <w:r w:rsidRPr="00610B1B">
        <w:rPr>
          <w:rFonts w:ascii="Times New Roman" w:hAnsi="Times New Roman" w:cs="Times New Roman"/>
          <w:i/>
          <w:iCs/>
          <w:sz w:val="24"/>
          <w:szCs w:val="24"/>
          <w:lang w:val="bg-BG"/>
        </w:rPr>
        <w:t>Странджа</w:t>
      </w:r>
      <w:r w:rsidRPr="00610B1B">
        <w:rPr>
          <w:rFonts w:ascii="Times New Roman" w:hAnsi="Times New Roman" w:cs="Times New Roman"/>
          <w:sz w:val="24"/>
          <w:szCs w:val="24"/>
          <w:lang w:val="bg-BG"/>
        </w:rPr>
        <w:t>.</w:t>
      </w:r>
      <w:r w:rsidR="00EB767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Те предлагат възможности за разнообразяване на курортно-туристическите и спортни дейности и за уникално съчетаване на море и планина. И двете планини притежават изключително флористично богатство и съхранени ендемитни растителни видове, значими за биоразнообразие на България</w:t>
      </w:r>
      <w:r w:rsidR="00881CF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 на Европ</w:t>
      </w:r>
      <w:r w:rsidR="00881CF9"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w:t>
      </w:r>
    </w:p>
    <w:p w14:paraId="04D68097" w14:textId="03E99669" w:rsidR="00517C9F" w:rsidRPr="00610B1B" w:rsidRDefault="00517C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i/>
          <w:iCs/>
          <w:sz w:val="24"/>
          <w:szCs w:val="24"/>
          <w:lang w:val="bg-BG"/>
        </w:rPr>
        <w:t>Крайбрежните езера</w:t>
      </w:r>
      <w:r w:rsidRPr="00610B1B">
        <w:rPr>
          <w:rFonts w:ascii="Times New Roman" w:hAnsi="Times New Roman" w:cs="Times New Roman"/>
          <w:sz w:val="24"/>
          <w:szCs w:val="24"/>
          <w:lang w:val="bg-BG"/>
        </w:rPr>
        <w:t>, освен с високата си естетическа стойност, с богата си хранителна среда привлича</w:t>
      </w:r>
      <w:r w:rsidR="00BB14E8"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огромно разнообразие от животински видове, </w:t>
      </w:r>
      <w:r w:rsidR="00BB14E8"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 са важни орнитологични </w:t>
      </w:r>
      <w:r w:rsidRPr="00610B1B">
        <w:rPr>
          <w:rFonts w:ascii="Times New Roman" w:hAnsi="Times New Roman" w:cs="Times New Roman"/>
          <w:sz w:val="24"/>
          <w:szCs w:val="24"/>
          <w:lang w:val="bg-BG"/>
        </w:rPr>
        <w:lastRenderedPageBreak/>
        <w:t>места</w:t>
      </w:r>
      <w:r w:rsidR="00077396" w:rsidRPr="00610B1B">
        <w:rPr>
          <w:rFonts w:ascii="Times New Roman" w:hAnsi="Times New Roman" w:cs="Times New Roman"/>
          <w:sz w:val="24"/>
          <w:szCs w:val="24"/>
          <w:lang w:val="bg-BG"/>
        </w:rPr>
        <w:t xml:space="preserve"> за зимуване, изхранване, за гнездене на птици. </w:t>
      </w:r>
      <w:r w:rsidR="0090049C" w:rsidRPr="00610B1B">
        <w:rPr>
          <w:rFonts w:ascii="Times New Roman" w:hAnsi="Times New Roman" w:cs="Times New Roman"/>
          <w:sz w:val="24"/>
          <w:szCs w:val="24"/>
          <w:lang w:val="bg-BG"/>
        </w:rPr>
        <w:t>В Черно море</w:t>
      </w:r>
      <w:r w:rsidR="00832ADC" w:rsidRPr="00610B1B">
        <w:rPr>
          <w:rFonts w:ascii="Times New Roman" w:hAnsi="Times New Roman" w:cs="Times New Roman"/>
          <w:sz w:val="24"/>
          <w:szCs w:val="24"/>
          <w:lang w:val="bg-BG"/>
        </w:rPr>
        <w:t xml:space="preserve"> директно вливат водите си </w:t>
      </w:r>
      <w:r w:rsidR="00832ADC" w:rsidRPr="00610B1B">
        <w:rPr>
          <w:rFonts w:ascii="Times New Roman" w:hAnsi="Times New Roman" w:cs="Times New Roman"/>
          <w:i/>
          <w:iCs/>
          <w:sz w:val="24"/>
          <w:szCs w:val="24"/>
          <w:lang w:val="bg-BG"/>
        </w:rPr>
        <w:t>реките</w:t>
      </w:r>
      <w:r w:rsidR="00832ADC" w:rsidRPr="00610B1B">
        <w:rPr>
          <w:rFonts w:ascii="Times New Roman" w:hAnsi="Times New Roman" w:cs="Times New Roman"/>
          <w:sz w:val="24"/>
          <w:szCs w:val="24"/>
          <w:lang w:val="bg-BG"/>
        </w:rPr>
        <w:t xml:space="preserve"> </w:t>
      </w:r>
      <w:r w:rsidR="0090049C" w:rsidRPr="00610B1B">
        <w:rPr>
          <w:rFonts w:ascii="Times New Roman" w:hAnsi="Times New Roman" w:cs="Times New Roman"/>
          <w:sz w:val="24"/>
          <w:szCs w:val="24"/>
          <w:lang w:val="bg-BG"/>
        </w:rPr>
        <w:t>Бат</w:t>
      </w:r>
      <w:r w:rsidR="00832ADC" w:rsidRPr="00610B1B">
        <w:rPr>
          <w:rFonts w:ascii="Times New Roman" w:hAnsi="Times New Roman" w:cs="Times New Roman"/>
          <w:sz w:val="24"/>
          <w:szCs w:val="24"/>
          <w:lang w:val="bg-BG"/>
        </w:rPr>
        <w:t>о</w:t>
      </w:r>
      <w:r w:rsidR="0090049C" w:rsidRPr="00610B1B">
        <w:rPr>
          <w:rFonts w:ascii="Times New Roman" w:hAnsi="Times New Roman" w:cs="Times New Roman"/>
          <w:sz w:val="24"/>
          <w:szCs w:val="24"/>
          <w:lang w:val="bg-BG"/>
        </w:rPr>
        <w:t xml:space="preserve">ва, </w:t>
      </w:r>
      <w:r w:rsidR="00832ADC" w:rsidRPr="00610B1B">
        <w:rPr>
          <w:rFonts w:ascii="Times New Roman" w:hAnsi="Times New Roman" w:cs="Times New Roman"/>
          <w:sz w:val="24"/>
          <w:szCs w:val="24"/>
          <w:lang w:val="bg-BG"/>
        </w:rPr>
        <w:t xml:space="preserve">Провадийска, </w:t>
      </w:r>
      <w:r w:rsidR="0090049C" w:rsidRPr="00610B1B">
        <w:rPr>
          <w:rFonts w:ascii="Times New Roman" w:hAnsi="Times New Roman" w:cs="Times New Roman"/>
          <w:sz w:val="24"/>
          <w:szCs w:val="24"/>
          <w:lang w:val="bg-BG"/>
        </w:rPr>
        <w:t xml:space="preserve">Девня, </w:t>
      </w:r>
      <w:r w:rsidR="00832ADC" w:rsidRPr="00610B1B">
        <w:rPr>
          <w:rFonts w:ascii="Times New Roman" w:hAnsi="Times New Roman" w:cs="Times New Roman"/>
          <w:sz w:val="24"/>
          <w:szCs w:val="24"/>
          <w:lang w:val="bg-BG"/>
        </w:rPr>
        <w:t xml:space="preserve">Камчия, </w:t>
      </w:r>
      <w:r w:rsidR="0090049C" w:rsidRPr="00610B1B">
        <w:rPr>
          <w:rFonts w:ascii="Times New Roman" w:hAnsi="Times New Roman" w:cs="Times New Roman"/>
          <w:sz w:val="24"/>
          <w:szCs w:val="24"/>
          <w:lang w:val="bg-BG"/>
        </w:rPr>
        <w:t>Двойница, Изворска</w:t>
      </w:r>
      <w:r w:rsidR="00832ADC" w:rsidRPr="00610B1B">
        <w:rPr>
          <w:rFonts w:ascii="Times New Roman" w:hAnsi="Times New Roman" w:cs="Times New Roman"/>
          <w:sz w:val="24"/>
          <w:szCs w:val="24"/>
          <w:lang w:val="bg-BG"/>
        </w:rPr>
        <w:t xml:space="preserve">, Факийска, Дяволска, Карагач, </w:t>
      </w:r>
      <w:r w:rsidR="0090049C" w:rsidRPr="00610B1B">
        <w:rPr>
          <w:rFonts w:ascii="Times New Roman" w:hAnsi="Times New Roman" w:cs="Times New Roman"/>
          <w:sz w:val="24"/>
          <w:szCs w:val="24"/>
          <w:lang w:val="bg-BG"/>
        </w:rPr>
        <w:t>Ропотамо</w:t>
      </w:r>
      <w:r w:rsidR="00832ADC" w:rsidRPr="00610B1B">
        <w:rPr>
          <w:rFonts w:ascii="Times New Roman" w:hAnsi="Times New Roman" w:cs="Times New Roman"/>
          <w:sz w:val="24"/>
          <w:szCs w:val="24"/>
          <w:lang w:val="bg-BG"/>
        </w:rPr>
        <w:t>, Велека, Резовска</w:t>
      </w:r>
      <w:r w:rsidR="0090049C" w:rsidRPr="00610B1B">
        <w:rPr>
          <w:rFonts w:ascii="Times New Roman" w:hAnsi="Times New Roman" w:cs="Times New Roman"/>
          <w:sz w:val="24"/>
          <w:szCs w:val="24"/>
          <w:lang w:val="bg-BG"/>
        </w:rPr>
        <w:t>.</w:t>
      </w:r>
      <w:r w:rsidR="00832ADC" w:rsidRPr="00610B1B">
        <w:rPr>
          <w:rFonts w:ascii="Times New Roman" w:hAnsi="Times New Roman" w:cs="Times New Roman"/>
          <w:sz w:val="24"/>
          <w:szCs w:val="24"/>
          <w:lang w:val="bg-BG"/>
        </w:rPr>
        <w:t xml:space="preserve"> </w:t>
      </w:r>
      <w:r w:rsidR="00E975CC" w:rsidRPr="00610B1B">
        <w:rPr>
          <w:rFonts w:ascii="Times New Roman" w:hAnsi="Times New Roman" w:cs="Times New Roman"/>
          <w:i/>
          <w:iCs/>
          <w:sz w:val="24"/>
          <w:szCs w:val="24"/>
          <w:lang w:val="bg-BG"/>
        </w:rPr>
        <w:t>Р</w:t>
      </w:r>
      <w:r w:rsidR="00832ADC" w:rsidRPr="00610B1B">
        <w:rPr>
          <w:rFonts w:ascii="Times New Roman" w:hAnsi="Times New Roman" w:cs="Times New Roman"/>
          <w:i/>
          <w:iCs/>
          <w:sz w:val="24"/>
          <w:szCs w:val="24"/>
          <w:lang w:val="bg-BG"/>
        </w:rPr>
        <w:t>ечните</w:t>
      </w:r>
      <w:r w:rsidR="00D66FE0" w:rsidRPr="00610B1B">
        <w:rPr>
          <w:rFonts w:ascii="Times New Roman" w:hAnsi="Times New Roman" w:cs="Times New Roman"/>
          <w:i/>
          <w:iCs/>
          <w:sz w:val="24"/>
          <w:szCs w:val="24"/>
          <w:lang w:val="bg-BG"/>
        </w:rPr>
        <w:t xml:space="preserve"> </w:t>
      </w:r>
      <w:r w:rsidR="00832ADC" w:rsidRPr="00610B1B">
        <w:rPr>
          <w:rFonts w:ascii="Times New Roman" w:hAnsi="Times New Roman" w:cs="Times New Roman"/>
          <w:i/>
          <w:iCs/>
          <w:sz w:val="24"/>
          <w:szCs w:val="24"/>
          <w:lang w:val="bg-BG"/>
        </w:rPr>
        <w:t>устия</w:t>
      </w:r>
      <w:r w:rsidR="00832ADC" w:rsidRPr="00610B1B">
        <w:rPr>
          <w:rFonts w:ascii="Times New Roman" w:hAnsi="Times New Roman" w:cs="Times New Roman"/>
          <w:sz w:val="24"/>
          <w:szCs w:val="24"/>
          <w:lang w:val="bg-BG"/>
        </w:rPr>
        <w:t xml:space="preserve"> </w:t>
      </w:r>
      <w:r w:rsidR="00E975CC" w:rsidRPr="00610B1B">
        <w:rPr>
          <w:rFonts w:ascii="Times New Roman" w:hAnsi="Times New Roman" w:cs="Times New Roman"/>
          <w:sz w:val="24"/>
          <w:szCs w:val="24"/>
          <w:lang w:val="bg-BG"/>
        </w:rPr>
        <w:t xml:space="preserve">на повечето от тях са </w:t>
      </w:r>
      <w:r w:rsidR="00832ADC" w:rsidRPr="00610B1B">
        <w:rPr>
          <w:rFonts w:ascii="Times New Roman" w:hAnsi="Times New Roman" w:cs="Times New Roman"/>
          <w:sz w:val="24"/>
          <w:szCs w:val="24"/>
          <w:lang w:val="bg-BG"/>
        </w:rPr>
        <w:t>живописни</w:t>
      </w:r>
      <w:r w:rsidR="00E975CC" w:rsidRPr="00610B1B">
        <w:rPr>
          <w:rFonts w:ascii="Times New Roman" w:hAnsi="Times New Roman" w:cs="Times New Roman"/>
          <w:sz w:val="24"/>
          <w:szCs w:val="24"/>
          <w:lang w:val="bg-BG"/>
        </w:rPr>
        <w:t>, в някои случаи отделени от морето с пясъчна коса, по бреговете им преобладават лонгозните гори.</w:t>
      </w:r>
      <w:r w:rsidR="00D66FE0" w:rsidRPr="00610B1B">
        <w:rPr>
          <w:rFonts w:ascii="Times New Roman" w:hAnsi="Times New Roman" w:cs="Times New Roman"/>
          <w:sz w:val="24"/>
          <w:szCs w:val="24"/>
          <w:lang w:val="bg-BG"/>
        </w:rPr>
        <w:t xml:space="preserve"> </w:t>
      </w:r>
    </w:p>
    <w:p w14:paraId="3B159E06" w14:textId="4918028C" w:rsidR="00E975CC" w:rsidRPr="00610B1B" w:rsidRDefault="00E975C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Присъствието на природни ценности, на </w:t>
      </w:r>
      <w:r w:rsidRPr="00610B1B">
        <w:rPr>
          <w:rFonts w:ascii="Times New Roman" w:hAnsi="Times New Roman" w:cs="Times New Roman"/>
          <w:i/>
          <w:iCs/>
          <w:sz w:val="24"/>
          <w:szCs w:val="24"/>
          <w:lang w:val="bg-BG"/>
        </w:rPr>
        <w:t>защитени територии и защитени зони</w:t>
      </w:r>
      <w:r w:rsidRPr="00610B1B">
        <w:rPr>
          <w:rFonts w:ascii="Times New Roman" w:hAnsi="Times New Roman" w:cs="Times New Roman"/>
          <w:sz w:val="24"/>
          <w:szCs w:val="24"/>
          <w:lang w:val="bg-BG"/>
        </w:rPr>
        <w:t xml:space="preserve"> по Черноморското крайбрежие и в акваторията е предпоставка за развитие на познавателен туризъм</w:t>
      </w:r>
      <w:r w:rsidR="00BB14E8" w:rsidRPr="00610B1B">
        <w:rPr>
          <w:rFonts w:ascii="Times New Roman" w:hAnsi="Times New Roman" w:cs="Times New Roman"/>
          <w:sz w:val="24"/>
          <w:szCs w:val="24"/>
          <w:lang w:val="bg-BG"/>
        </w:rPr>
        <w:t>. Г</w:t>
      </w:r>
      <w:r w:rsidRPr="00610B1B">
        <w:rPr>
          <w:rFonts w:ascii="Times New Roman" w:hAnsi="Times New Roman" w:cs="Times New Roman"/>
          <w:sz w:val="24"/>
          <w:szCs w:val="24"/>
          <w:lang w:val="bg-BG"/>
        </w:rPr>
        <w:t>олямото фаунистично и флористично богатство е предпоставка за посещаемост с цел фотолов.</w:t>
      </w:r>
      <w:r w:rsidR="00A06087" w:rsidRPr="00610B1B">
        <w:rPr>
          <w:rFonts w:ascii="Times New Roman" w:hAnsi="Times New Roman" w:cs="Times New Roman"/>
          <w:sz w:val="24"/>
          <w:szCs w:val="24"/>
          <w:lang w:val="bg-BG"/>
        </w:rPr>
        <w:t xml:space="preserve"> </w:t>
      </w:r>
      <w:r w:rsidR="000D7A35" w:rsidRPr="00610B1B">
        <w:rPr>
          <w:rFonts w:ascii="Times New Roman" w:hAnsi="Times New Roman" w:cs="Times New Roman"/>
          <w:sz w:val="24"/>
          <w:szCs w:val="24"/>
          <w:lang w:val="bg-BG"/>
        </w:rPr>
        <w:t xml:space="preserve">Проучването </w:t>
      </w:r>
      <w:r w:rsidR="00A06087" w:rsidRPr="00610B1B">
        <w:rPr>
          <w:rFonts w:ascii="Times New Roman" w:hAnsi="Times New Roman" w:cs="Times New Roman"/>
          <w:sz w:val="24"/>
          <w:szCs w:val="24"/>
          <w:lang w:val="bg-BG"/>
        </w:rPr>
        <w:t xml:space="preserve">на взаимодействието между туристическите комплекси, обекти и маршрути в крайбрежната зона и тези в акваторията на Черно море </w:t>
      </w:r>
      <w:r w:rsidR="00E17264" w:rsidRPr="00610B1B">
        <w:rPr>
          <w:rFonts w:ascii="Times New Roman" w:hAnsi="Times New Roman" w:cs="Times New Roman"/>
          <w:sz w:val="24"/>
          <w:szCs w:val="24"/>
          <w:lang w:val="bg-BG"/>
        </w:rPr>
        <w:t xml:space="preserve">обхваща </w:t>
      </w:r>
      <w:r w:rsidR="00A06087" w:rsidRPr="00610B1B">
        <w:rPr>
          <w:rFonts w:ascii="Times New Roman" w:hAnsi="Times New Roman" w:cs="Times New Roman"/>
          <w:sz w:val="24"/>
          <w:szCs w:val="24"/>
          <w:lang w:val="bg-BG"/>
        </w:rPr>
        <w:t>3 резервата, 4 поддържани резервата, 2 природни парка, 3</w:t>
      </w:r>
      <w:r w:rsidR="00EC097D" w:rsidRPr="00610B1B">
        <w:rPr>
          <w:rFonts w:ascii="Times New Roman" w:hAnsi="Times New Roman" w:cs="Times New Roman"/>
          <w:sz w:val="24"/>
          <w:szCs w:val="24"/>
          <w:lang w:val="bg-BG"/>
        </w:rPr>
        <w:t>1</w:t>
      </w:r>
      <w:r w:rsidR="00A24087" w:rsidRPr="00610B1B">
        <w:rPr>
          <w:rFonts w:ascii="Times New Roman" w:hAnsi="Times New Roman" w:cs="Times New Roman"/>
          <w:sz w:val="24"/>
          <w:szCs w:val="24"/>
          <w:lang w:val="bg-BG"/>
        </w:rPr>
        <w:t xml:space="preserve"> защитени местности и 1</w:t>
      </w:r>
      <w:r w:rsidR="00EC097D" w:rsidRPr="00610B1B">
        <w:rPr>
          <w:rFonts w:ascii="Times New Roman" w:hAnsi="Times New Roman" w:cs="Times New Roman"/>
          <w:sz w:val="24"/>
          <w:szCs w:val="24"/>
          <w:lang w:val="bg-BG"/>
        </w:rPr>
        <w:t>4</w:t>
      </w:r>
      <w:r w:rsidR="00A24087" w:rsidRPr="00610B1B">
        <w:rPr>
          <w:rFonts w:ascii="Times New Roman" w:hAnsi="Times New Roman" w:cs="Times New Roman"/>
          <w:sz w:val="24"/>
          <w:szCs w:val="24"/>
          <w:lang w:val="bg-BG"/>
        </w:rPr>
        <w:t xml:space="preserve"> природни забележителности, 7 Рамсарски места и 16 Орнитологично важни места. Последните съвпадат със защитените зони от екологичната мрежа “Натура 2000”.</w:t>
      </w:r>
    </w:p>
    <w:p w14:paraId="0817DBED" w14:textId="263440CC" w:rsidR="00E975CC" w:rsidRPr="00610B1B" w:rsidRDefault="00E975C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Атрактивността на морските курорти се повишава и поради наличието на множество </w:t>
      </w:r>
      <w:r w:rsidRPr="00610B1B">
        <w:rPr>
          <w:rFonts w:ascii="Times New Roman" w:hAnsi="Times New Roman" w:cs="Times New Roman"/>
          <w:i/>
          <w:iCs/>
          <w:sz w:val="24"/>
          <w:szCs w:val="24"/>
          <w:lang w:val="bg-BG"/>
        </w:rPr>
        <w:t>културни ценности</w:t>
      </w:r>
      <w:r w:rsidRPr="00610B1B">
        <w:rPr>
          <w:rFonts w:ascii="Times New Roman" w:hAnsi="Times New Roman" w:cs="Times New Roman"/>
          <w:sz w:val="24"/>
          <w:szCs w:val="24"/>
          <w:lang w:val="bg-BG"/>
        </w:rPr>
        <w:t>, на богато материално и нематериално културно наследство</w:t>
      </w:r>
      <w:r w:rsidR="00E17264" w:rsidRPr="00610B1B">
        <w:rPr>
          <w:rFonts w:ascii="Times New Roman" w:hAnsi="Times New Roman" w:cs="Times New Roman"/>
          <w:sz w:val="24"/>
          <w:szCs w:val="24"/>
          <w:lang w:val="bg-BG"/>
        </w:rPr>
        <w:t xml:space="preserve"> със световно, регионално и национално значение</w:t>
      </w:r>
      <w:r w:rsidRPr="00610B1B">
        <w:rPr>
          <w:rFonts w:ascii="Times New Roman" w:hAnsi="Times New Roman" w:cs="Times New Roman"/>
          <w:sz w:val="24"/>
          <w:szCs w:val="24"/>
          <w:lang w:val="bg-BG"/>
        </w:rPr>
        <w:t>.</w:t>
      </w:r>
      <w:r w:rsidR="00E17264"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Покрай българското Черноморско крайбрежие преминава древният римски път</w:t>
      </w:r>
      <w:r w:rsidR="00CD3E68" w:rsidRPr="00610B1B">
        <w:rPr>
          <w:rFonts w:ascii="Times New Roman" w:hAnsi="Times New Roman" w:cs="Times New Roman"/>
          <w:sz w:val="24"/>
          <w:szCs w:val="24"/>
          <w:lang w:val="bg-BG"/>
        </w:rPr>
        <w:t xml:space="preserve"> и път на мигриращите птици</w:t>
      </w:r>
      <w:r w:rsidRPr="00610B1B">
        <w:rPr>
          <w:rFonts w:ascii="Times New Roman" w:hAnsi="Times New Roman" w:cs="Times New Roman"/>
          <w:sz w:val="24"/>
          <w:szCs w:val="24"/>
          <w:lang w:val="bg-BG"/>
        </w:rPr>
        <w:t xml:space="preserve"> </w:t>
      </w:r>
      <w:r w:rsidR="00CD3E68" w:rsidRPr="00610B1B">
        <w:rPr>
          <w:rFonts w:ascii="Times New Roman" w:hAnsi="Times New Roman" w:cs="Times New Roman"/>
          <w:i/>
          <w:iCs/>
          <w:sz w:val="24"/>
          <w:szCs w:val="24"/>
          <w:lang w:val="bg-BG"/>
        </w:rPr>
        <w:t>Via Pontica</w:t>
      </w:r>
      <w:r w:rsidR="00342409" w:rsidRPr="00610B1B">
        <w:rPr>
          <w:rFonts w:ascii="Times New Roman" w:hAnsi="Times New Roman" w:cs="Times New Roman"/>
          <w:i/>
          <w:iCs/>
          <w:sz w:val="24"/>
          <w:szCs w:val="24"/>
          <w:lang w:val="bg-BG"/>
        </w:rPr>
        <w:t xml:space="preserve">. </w:t>
      </w:r>
      <w:r w:rsidR="00A06087" w:rsidRPr="00610B1B">
        <w:rPr>
          <w:rFonts w:ascii="Times New Roman" w:hAnsi="Times New Roman" w:cs="Times New Roman"/>
          <w:sz w:val="24"/>
          <w:szCs w:val="24"/>
          <w:lang w:val="bg-BG"/>
        </w:rPr>
        <w:t xml:space="preserve">Градовете са наследници на </w:t>
      </w:r>
      <w:r w:rsidR="00A24087" w:rsidRPr="00610B1B">
        <w:rPr>
          <w:rFonts w:ascii="Times New Roman" w:hAnsi="Times New Roman" w:cs="Times New Roman"/>
          <w:sz w:val="24"/>
          <w:szCs w:val="24"/>
          <w:lang w:val="bg-BG"/>
        </w:rPr>
        <w:t xml:space="preserve">тракийски, древногръцки, римски и византийски поселения в които са открити значителни недвижими културни ценности. В обхвата попада и Старинен град Несебър от Световната листа на културното наследство на ЮНЕСКО. </w:t>
      </w:r>
    </w:p>
    <w:p w14:paraId="07ABD38B" w14:textId="1BA20F40" w:rsidR="00A24087" w:rsidRPr="00610B1B" w:rsidRDefault="00A2408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Всички тези курортно-туристически ресурси са предпоставка за развитието на туризма, което допълнително се подпомага от създадената през годините и новоизградена материална база и туристическа инфраструктура.</w:t>
      </w:r>
      <w:r w:rsidR="00D66FE0" w:rsidRPr="00610B1B">
        <w:rPr>
          <w:rFonts w:ascii="Times New Roman" w:hAnsi="Times New Roman" w:cs="Times New Roman"/>
          <w:sz w:val="24"/>
          <w:szCs w:val="24"/>
          <w:lang w:val="bg-BG"/>
        </w:rPr>
        <w:t xml:space="preserve"> </w:t>
      </w:r>
    </w:p>
    <w:p w14:paraId="0F611EAF" w14:textId="2A646713" w:rsidR="00A24087" w:rsidRPr="00610B1B" w:rsidRDefault="00A2408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Сред ограничителите за развитието на туризма попадат високата степен на урбанизиране на средата в изградените комплекси и презастрояването им, които силно влошават комфорта на пребиваване, недоизградената техническа инфраструктура, замърсяването на околната среда и всички произтичащи от това последици за ефективното използване на туристическите ресурси и повишаване качеството на предлагания продукт.</w:t>
      </w:r>
    </w:p>
    <w:p w14:paraId="68D31665"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73C2F5A2" w14:textId="1E20E7E1" w:rsidR="00043308" w:rsidRPr="00610B1B" w:rsidRDefault="00BB14E8" w:rsidP="00D32D6A">
      <w:pPr>
        <w:pStyle w:val="Heading3"/>
        <w:spacing w:before="0" w:line="276" w:lineRule="auto"/>
        <w:ind w:right="-153"/>
        <w:rPr>
          <w:rFonts w:cs="Times New Roman"/>
        </w:rPr>
      </w:pPr>
      <w:bookmarkStart w:id="367" w:name="_Toc83391382"/>
      <w:r w:rsidRPr="00610B1B">
        <w:rPr>
          <w:rFonts w:cs="Times New Roman"/>
        </w:rPr>
        <w:t>3</w:t>
      </w:r>
      <w:r w:rsidR="00A24087" w:rsidRPr="00610B1B">
        <w:rPr>
          <w:rFonts w:cs="Times New Roman"/>
        </w:rPr>
        <w:t>.</w:t>
      </w:r>
      <w:r w:rsidR="00BF0D18" w:rsidRPr="00610B1B">
        <w:rPr>
          <w:rFonts w:cs="Times New Roman"/>
        </w:rPr>
        <w:t>3</w:t>
      </w:r>
      <w:r w:rsidR="00043308" w:rsidRPr="00610B1B">
        <w:rPr>
          <w:rFonts w:cs="Times New Roman"/>
        </w:rPr>
        <w:t>.</w:t>
      </w:r>
      <w:r w:rsidR="00A24087" w:rsidRPr="00610B1B">
        <w:rPr>
          <w:rFonts w:cs="Times New Roman"/>
        </w:rPr>
        <w:t>2</w:t>
      </w:r>
      <w:r w:rsidR="00043308" w:rsidRPr="00610B1B">
        <w:rPr>
          <w:rFonts w:cs="Times New Roman"/>
        </w:rPr>
        <w:t>. Курортни комплекси и образувания</w:t>
      </w:r>
      <w:bookmarkEnd w:id="367"/>
    </w:p>
    <w:p w14:paraId="1B4E32E8" w14:textId="49495D59" w:rsidR="00043308" w:rsidRPr="00610B1B" w:rsidRDefault="00BB14E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Интензивно </w:t>
      </w:r>
      <w:r w:rsidR="00043308" w:rsidRPr="00610B1B">
        <w:rPr>
          <w:rFonts w:ascii="Times New Roman" w:hAnsi="Times New Roman" w:cs="Times New Roman"/>
          <w:sz w:val="24"/>
          <w:szCs w:val="24"/>
          <w:lang w:val="bg-BG"/>
        </w:rPr>
        <w:t>развитите морски туристически локализации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на българското Черноморско крайбрежие </w:t>
      </w:r>
      <w:r w:rsidR="00043308" w:rsidRPr="00610B1B">
        <w:rPr>
          <w:rFonts w:ascii="Times New Roman" w:hAnsi="Times New Roman" w:cs="Times New Roman"/>
          <w:sz w:val="24"/>
          <w:szCs w:val="24"/>
          <w:lang w:val="bg-BG"/>
        </w:rPr>
        <w:t>са: Каварна - Тополи; Балчик – Албена – Кранево; Варна – Златни пясъци; Несебър – Равда – Слънчев бряг – Свети Влас; Бургас – Поморие; Созопол – Каваците</w:t>
      </w:r>
      <w:r w:rsidR="00A231F8" w:rsidRPr="00610B1B">
        <w:rPr>
          <w:rFonts w:ascii="Times New Roman" w:hAnsi="Times New Roman" w:cs="Times New Roman"/>
          <w:sz w:val="24"/>
          <w:szCs w:val="24"/>
          <w:lang w:val="bg-BG"/>
        </w:rPr>
        <w:t xml:space="preserve"> - Дюни</w:t>
      </w:r>
      <w:r w:rsidR="00043308" w:rsidRPr="00610B1B">
        <w:rPr>
          <w:rFonts w:ascii="Times New Roman" w:hAnsi="Times New Roman" w:cs="Times New Roman"/>
          <w:sz w:val="24"/>
          <w:szCs w:val="24"/>
          <w:lang w:val="bg-BG"/>
        </w:rPr>
        <w:t xml:space="preserve">; Приморско – ММЦ – Китен; </w:t>
      </w:r>
      <w:r w:rsidR="00A231F8" w:rsidRPr="00610B1B">
        <w:rPr>
          <w:rFonts w:ascii="Times New Roman" w:hAnsi="Times New Roman" w:cs="Times New Roman"/>
          <w:sz w:val="24"/>
          <w:szCs w:val="24"/>
          <w:lang w:val="bg-BG"/>
        </w:rPr>
        <w:t xml:space="preserve">Лозен – </w:t>
      </w:r>
      <w:r w:rsidR="00043308" w:rsidRPr="00610B1B">
        <w:rPr>
          <w:rFonts w:ascii="Times New Roman" w:hAnsi="Times New Roman" w:cs="Times New Roman"/>
          <w:sz w:val="24"/>
          <w:szCs w:val="24"/>
          <w:lang w:val="bg-BG"/>
        </w:rPr>
        <w:t>Царево</w:t>
      </w:r>
      <w:r w:rsidR="00A231F8" w:rsidRPr="00610B1B">
        <w:rPr>
          <w:rFonts w:ascii="Times New Roman" w:hAnsi="Times New Roman" w:cs="Times New Roman"/>
          <w:sz w:val="24"/>
          <w:szCs w:val="24"/>
          <w:lang w:val="bg-BG"/>
        </w:rPr>
        <w:t xml:space="preserve"> - Ахтопол</w:t>
      </w:r>
      <w:r w:rsidR="00043308" w:rsidRPr="00610B1B">
        <w:rPr>
          <w:rFonts w:ascii="Times New Roman" w:hAnsi="Times New Roman" w:cs="Times New Roman"/>
          <w:sz w:val="24"/>
          <w:szCs w:val="24"/>
          <w:lang w:val="bg-BG"/>
        </w:rPr>
        <w:t>.</w:t>
      </w:r>
      <w:r w:rsidR="00E17264" w:rsidRPr="00610B1B">
        <w:rPr>
          <w:rFonts w:ascii="Times New Roman" w:hAnsi="Times New Roman" w:cs="Times New Roman"/>
          <w:sz w:val="24"/>
          <w:szCs w:val="24"/>
          <w:lang w:val="bg-BG"/>
        </w:rPr>
        <w:t xml:space="preserve"> </w:t>
      </w:r>
      <w:r w:rsidR="00043308" w:rsidRPr="00610B1B">
        <w:rPr>
          <w:rFonts w:ascii="Times New Roman" w:hAnsi="Times New Roman" w:cs="Times New Roman"/>
          <w:sz w:val="24"/>
          <w:szCs w:val="24"/>
          <w:lang w:val="bg-BG"/>
        </w:rPr>
        <w:t xml:space="preserve">Материалната база на туризма е локализирана в крайбрежните населени места, в курортните зони към тях и в самостоятелни селищни образувания (туристически комплекси), в множество вилни ваканционни селища. С Решение № 45 на МС от 25.01.2005 г. е обявен списък с курорти с национално значение. </w:t>
      </w:r>
      <w:r w:rsidR="00A231F8" w:rsidRPr="00610B1B">
        <w:rPr>
          <w:rFonts w:ascii="Times New Roman" w:hAnsi="Times New Roman" w:cs="Times New Roman"/>
          <w:sz w:val="24"/>
          <w:szCs w:val="24"/>
          <w:lang w:val="bg-BG"/>
        </w:rPr>
        <w:t>По последни данни на НСИ с</w:t>
      </w:r>
      <w:r w:rsidR="00043308" w:rsidRPr="00610B1B">
        <w:rPr>
          <w:rFonts w:ascii="Times New Roman" w:hAnsi="Times New Roman" w:cs="Times New Roman"/>
          <w:sz w:val="24"/>
          <w:szCs w:val="24"/>
          <w:lang w:val="bg-BG"/>
        </w:rPr>
        <w:t xml:space="preserve">ред тях са </w:t>
      </w:r>
      <w:r w:rsidR="00A231F8" w:rsidRPr="00610B1B">
        <w:rPr>
          <w:rFonts w:ascii="Times New Roman" w:hAnsi="Times New Roman" w:cs="Times New Roman"/>
          <w:sz w:val="24"/>
          <w:szCs w:val="24"/>
          <w:lang w:val="bg-BG"/>
        </w:rPr>
        <w:t>6</w:t>
      </w:r>
      <w:r w:rsidR="00043308" w:rsidRPr="00610B1B">
        <w:rPr>
          <w:rFonts w:ascii="Times New Roman" w:hAnsi="Times New Roman" w:cs="Times New Roman"/>
          <w:sz w:val="24"/>
          <w:szCs w:val="24"/>
          <w:lang w:val="bg-BG"/>
        </w:rPr>
        <w:t xml:space="preserve"> черноморски курортни комплекса</w:t>
      </w:r>
      <w:r w:rsidR="00A231F8" w:rsidRPr="00610B1B">
        <w:rPr>
          <w:rFonts w:ascii="Times New Roman" w:hAnsi="Times New Roman" w:cs="Times New Roman"/>
          <w:sz w:val="24"/>
          <w:szCs w:val="24"/>
          <w:lang w:val="bg-BG"/>
        </w:rPr>
        <w:t xml:space="preserve">. </w:t>
      </w:r>
    </w:p>
    <w:p w14:paraId="77D798C9" w14:textId="6D58ED05" w:rsidR="00043308" w:rsidRPr="00610B1B" w:rsidRDefault="00A231F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Големите </w:t>
      </w:r>
      <w:r w:rsidR="00043308" w:rsidRPr="00610B1B">
        <w:rPr>
          <w:rFonts w:ascii="Times New Roman" w:hAnsi="Times New Roman" w:cs="Times New Roman"/>
          <w:sz w:val="24"/>
          <w:szCs w:val="24"/>
          <w:lang w:val="bg-BG"/>
        </w:rPr>
        <w:t xml:space="preserve">курортни комплекси по българското </w:t>
      </w:r>
      <w:r w:rsidRPr="00610B1B">
        <w:rPr>
          <w:rFonts w:ascii="Times New Roman" w:hAnsi="Times New Roman" w:cs="Times New Roman"/>
          <w:sz w:val="24"/>
          <w:szCs w:val="24"/>
          <w:lang w:val="bg-BG"/>
        </w:rPr>
        <w:t xml:space="preserve">Черноморско </w:t>
      </w:r>
      <w:r w:rsidR="00043308" w:rsidRPr="00610B1B">
        <w:rPr>
          <w:rFonts w:ascii="Times New Roman" w:hAnsi="Times New Roman" w:cs="Times New Roman"/>
          <w:sz w:val="24"/>
          <w:szCs w:val="24"/>
          <w:lang w:val="bg-BG"/>
        </w:rPr>
        <w:t xml:space="preserve">крайбрежие </w:t>
      </w:r>
      <w:r w:rsidRPr="00610B1B">
        <w:rPr>
          <w:rFonts w:ascii="Times New Roman" w:hAnsi="Times New Roman" w:cs="Times New Roman"/>
          <w:sz w:val="24"/>
          <w:szCs w:val="24"/>
          <w:lang w:val="bg-BG"/>
        </w:rPr>
        <w:t>обхващат</w:t>
      </w:r>
      <w:r w:rsidR="00043308" w:rsidRPr="00610B1B">
        <w:rPr>
          <w:rFonts w:ascii="Times New Roman" w:hAnsi="Times New Roman" w:cs="Times New Roman"/>
          <w:sz w:val="24"/>
          <w:szCs w:val="24"/>
          <w:lang w:val="bg-BG"/>
        </w:rPr>
        <w:t xml:space="preserve"> само 10,8% от всички места за настаняване в страната (към 2018 г.), но делът на леглата в тях е </w:t>
      </w:r>
      <w:r w:rsidR="00043308" w:rsidRPr="00610B1B">
        <w:rPr>
          <w:rFonts w:ascii="Times New Roman" w:hAnsi="Times New Roman" w:cs="Times New Roman"/>
          <w:sz w:val="24"/>
          <w:szCs w:val="24"/>
          <w:lang w:val="bg-BG"/>
        </w:rPr>
        <w:lastRenderedPageBreak/>
        <w:t xml:space="preserve">много по-голям – 42,2%. </w:t>
      </w:r>
      <w:r w:rsidRPr="00610B1B">
        <w:rPr>
          <w:rFonts w:ascii="Times New Roman" w:hAnsi="Times New Roman" w:cs="Times New Roman"/>
          <w:sz w:val="24"/>
          <w:szCs w:val="24"/>
          <w:lang w:val="bg-BG"/>
        </w:rPr>
        <w:t xml:space="preserve">В </w:t>
      </w:r>
      <w:r w:rsidR="00043308" w:rsidRPr="00610B1B">
        <w:rPr>
          <w:rFonts w:ascii="Times New Roman" w:hAnsi="Times New Roman" w:cs="Times New Roman"/>
          <w:sz w:val="24"/>
          <w:szCs w:val="24"/>
          <w:lang w:val="bg-BG"/>
        </w:rPr>
        <w:t>тези локализации се реализират над 44% от нощувките и близо 48% от приходите от нощувки в национален мащаб.</w:t>
      </w:r>
      <w:r w:rsidRPr="00610B1B">
        <w:rPr>
          <w:rFonts w:ascii="Times New Roman" w:hAnsi="Times New Roman" w:cs="Times New Roman"/>
          <w:sz w:val="24"/>
          <w:szCs w:val="24"/>
          <w:lang w:val="bg-BG"/>
        </w:rPr>
        <w:t xml:space="preserve"> </w:t>
      </w:r>
      <w:r w:rsidR="00043308" w:rsidRPr="00610B1B">
        <w:rPr>
          <w:rFonts w:ascii="Times New Roman" w:hAnsi="Times New Roman" w:cs="Times New Roman"/>
          <w:sz w:val="24"/>
          <w:szCs w:val="24"/>
          <w:lang w:val="bg-BG"/>
        </w:rPr>
        <w:t xml:space="preserve">Останалите 56% от нощувките се реализират в селищните среди, вилните зони, ваканционните селища и други по-малки структури. </w:t>
      </w:r>
      <w:r w:rsidRPr="00610B1B">
        <w:rPr>
          <w:rFonts w:ascii="Times New Roman" w:hAnsi="Times New Roman" w:cs="Times New Roman"/>
          <w:sz w:val="24"/>
          <w:szCs w:val="24"/>
          <w:lang w:val="bg-BG"/>
        </w:rPr>
        <w:t>Националната статистика отчита местата за настаняване над 10 бр. легла, но съществуват още много други с по-малък капацитет</w:t>
      </w:r>
      <w:r w:rsidR="00BB14E8" w:rsidRPr="00610B1B">
        <w:rPr>
          <w:rFonts w:ascii="Times New Roman" w:hAnsi="Times New Roman" w:cs="Times New Roman"/>
          <w:sz w:val="24"/>
          <w:szCs w:val="24"/>
          <w:lang w:val="bg-BG"/>
        </w:rPr>
        <w:t xml:space="preserve">, както и такива с голям капацитет под формата на апартаменти за временно пребиваване. </w:t>
      </w:r>
      <w:r w:rsidR="00043308" w:rsidRPr="00610B1B">
        <w:rPr>
          <w:rFonts w:ascii="Times New Roman" w:hAnsi="Times New Roman" w:cs="Times New Roman"/>
          <w:sz w:val="24"/>
          <w:szCs w:val="24"/>
          <w:lang w:val="bg-BG"/>
        </w:rPr>
        <w:t>Антропогенното натоварване на средите с концентрация на туристическа инфраструктура е много по-високо от посоченото в статистиката.</w:t>
      </w:r>
      <w:r w:rsidRPr="00610B1B">
        <w:rPr>
          <w:rFonts w:ascii="Times New Roman" w:hAnsi="Times New Roman" w:cs="Times New Roman"/>
          <w:sz w:val="24"/>
          <w:szCs w:val="24"/>
          <w:lang w:val="bg-BG"/>
        </w:rPr>
        <w:t xml:space="preserve"> </w:t>
      </w:r>
    </w:p>
    <w:p w14:paraId="250D4491" w14:textId="0D998A3D" w:rsidR="00043308" w:rsidRPr="00610B1B" w:rsidRDefault="00BB14E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общините</w:t>
      </w:r>
      <w:r w:rsidR="00043308" w:rsidRPr="00610B1B">
        <w:rPr>
          <w:rFonts w:ascii="Times New Roman" w:hAnsi="Times New Roman" w:cs="Times New Roman"/>
          <w:sz w:val="24"/>
          <w:szCs w:val="24"/>
          <w:lang w:val="bg-BG"/>
        </w:rPr>
        <w:t xml:space="preserve"> Варна, Несебър, Созопол и отчасти Царево, антропогенното претоварване е факт, </w:t>
      </w:r>
      <w:r w:rsidRPr="00610B1B">
        <w:rPr>
          <w:rFonts w:ascii="Times New Roman" w:hAnsi="Times New Roman" w:cs="Times New Roman"/>
          <w:sz w:val="24"/>
          <w:szCs w:val="24"/>
          <w:lang w:val="bg-BG"/>
        </w:rPr>
        <w:t xml:space="preserve">причиняващо в </w:t>
      </w:r>
      <w:r w:rsidR="00043308" w:rsidRPr="00610B1B">
        <w:rPr>
          <w:rFonts w:ascii="Times New Roman" w:hAnsi="Times New Roman" w:cs="Times New Roman"/>
          <w:sz w:val="24"/>
          <w:szCs w:val="24"/>
          <w:lang w:val="bg-BG"/>
        </w:rPr>
        <w:t xml:space="preserve">активния сезон </w:t>
      </w:r>
      <w:r w:rsidRPr="00610B1B">
        <w:rPr>
          <w:rFonts w:ascii="Times New Roman" w:hAnsi="Times New Roman" w:cs="Times New Roman"/>
          <w:sz w:val="24"/>
          <w:szCs w:val="24"/>
          <w:lang w:val="bg-BG"/>
        </w:rPr>
        <w:t>затруднения в трафика</w:t>
      </w:r>
      <w:r w:rsidR="00965D79" w:rsidRPr="00610B1B">
        <w:rPr>
          <w:rFonts w:ascii="Times New Roman" w:hAnsi="Times New Roman" w:cs="Times New Roman"/>
          <w:sz w:val="24"/>
          <w:szCs w:val="24"/>
          <w:lang w:val="bg-BG"/>
        </w:rPr>
        <w:t xml:space="preserve"> и</w:t>
      </w:r>
      <w:r w:rsidR="00043308" w:rsidRPr="00610B1B">
        <w:rPr>
          <w:rFonts w:ascii="Times New Roman" w:hAnsi="Times New Roman" w:cs="Times New Roman"/>
          <w:sz w:val="24"/>
          <w:szCs w:val="24"/>
          <w:lang w:val="bg-BG"/>
        </w:rPr>
        <w:t xml:space="preserve"> паркиране</w:t>
      </w:r>
      <w:r w:rsidR="00965D79" w:rsidRPr="00610B1B">
        <w:rPr>
          <w:rFonts w:ascii="Times New Roman" w:hAnsi="Times New Roman" w:cs="Times New Roman"/>
          <w:sz w:val="24"/>
          <w:szCs w:val="24"/>
          <w:lang w:val="bg-BG"/>
        </w:rPr>
        <w:t>то</w:t>
      </w:r>
      <w:r w:rsidR="00043308" w:rsidRPr="00610B1B">
        <w:rPr>
          <w:rFonts w:ascii="Times New Roman" w:hAnsi="Times New Roman" w:cs="Times New Roman"/>
          <w:sz w:val="24"/>
          <w:szCs w:val="24"/>
          <w:lang w:val="bg-BG"/>
        </w:rPr>
        <w:t>, срив</w:t>
      </w:r>
      <w:r w:rsidR="00965D79" w:rsidRPr="00610B1B">
        <w:rPr>
          <w:rFonts w:ascii="Times New Roman" w:hAnsi="Times New Roman" w:cs="Times New Roman"/>
          <w:sz w:val="24"/>
          <w:szCs w:val="24"/>
          <w:lang w:val="bg-BG"/>
        </w:rPr>
        <w:t>ове</w:t>
      </w:r>
      <w:r w:rsidR="00043308" w:rsidRPr="00610B1B">
        <w:rPr>
          <w:rFonts w:ascii="Times New Roman" w:hAnsi="Times New Roman" w:cs="Times New Roman"/>
          <w:sz w:val="24"/>
          <w:szCs w:val="24"/>
          <w:lang w:val="bg-BG"/>
        </w:rPr>
        <w:t xml:space="preserve"> в нормалното електрозахранване, водоснабдяване и пречистване на отпадните води. </w:t>
      </w:r>
      <w:r w:rsidR="00965D79" w:rsidRPr="00610B1B">
        <w:rPr>
          <w:rFonts w:ascii="Times New Roman" w:hAnsi="Times New Roman" w:cs="Times New Roman"/>
          <w:sz w:val="24"/>
          <w:szCs w:val="24"/>
          <w:lang w:val="bg-BG"/>
        </w:rPr>
        <w:t xml:space="preserve">В </w:t>
      </w:r>
      <w:r w:rsidR="00043308" w:rsidRPr="00610B1B">
        <w:rPr>
          <w:rFonts w:ascii="Times New Roman" w:hAnsi="Times New Roman" w:cs="Times New Roman"/>
          <w:sz w:val="24"/>
          <w:szCs w:val="24"/>
          <w:lang w:val="bg-BG"/>
        </w:rPr>
        <w:t xml:space="preserve">пренаселените среди за отдих се </w:t>
      </w:r>
      <w:r w:rsidR="00965D79" w:rsidRPr="00610B1B">
        <w:rPr>
          <w:rFonts w:ascii="Times New Roman" w:hAnsi="Times New Roman" w:cs="Times New Roman"/>
          <w:sz w:val="24"/>
          <w:szCs w:val="24"/>
          <w:lang w:val="bg-BG"/>
        </w:rPr>
        <w:t>влошава</w:t>
      </w:r>
      <w:r w:rsidR="00043308" w:rsidRPr="00610B1B">
        <w:rPr>
          <w:rFonts w:ascii="Times New Roman" w:hAnsi="Times New Roman" w:cs="Times New Roman"/>
          <w:sz w:val="24"/>
          <w:szCs w:val="24"/>
          <w:lang w:val="bg-BG"/>
        </w:rPr>
        <w:t xml:space="preserve"> качеството на туристическите услуги и възприятията на туристи</w:t>
      </w:r>
      <w:r w:rsidR="00A231F8" w:rsidRPr="00610B1B">
        <w:rPr>
          <w:rFonts w:ascii="Times New Roman" w:hAnsi="Times New Roman" w:cs="Times New Roman"/>
          <w:sz w:val="24"/>
          <w:szCs w:val="24"/>
          <w:lang w:val="bg-BG"/>
        </w:rPr>
        <w:t>те</w:t>
      </w:r>
      <w:r w:rsidR="00043308" w:rsidRPr="00610B1B">
        <w:rPr>
          <w:rFonts w:ascii="Times New Roman" w:hAnsi="Times New Roman" w:cs="Times New Roman"/>
          <w:sz w:val="24"/>
          <w:szCs w:val="24"/>
          <w:lang w:val="bg-BG"/>
        </w:rPr>
        <w:t>.</w:t>
      </w:r>
    </w:p>
    <w:p w14:paraId="090C37BC" w14:textId="204EE2CD" w:rsidR="00043308"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 да се подобрят условията за развитие на устойчив туризъм по българското Черноморие, актуалната туристическа стратегия</w:t>
      </w:r>
      <w:r w:rsidRPr="00610B1B">
        <w:rPr>
          <w:rStyle w:val="FootnoteReference"/>
          <w:rFonts w:ascii="Times New Roman" w:hAnsi="Times New Roman" w:cs="Times New Roman"/>
          <w:sz w:val="24"/>
          <w:szCs w:val="24"/>
          <w:lang w:val="bg-BG"/>
        </w:rPr>
        <w:footnoteReference w:id="117"/>
      </w:r>
      <w:r w:rsidRPr="00610B1B">
        <w:rPr>
          <w:rFonts w:ascii="Times New Roman" w:hAnsi="Times New Roman" w:cs="Times New Roman"/>
          <w:sz w:val="24"/>
          <w:szCs w:val="24"/>
          <w:lang w:val="bg-BG"/>
        </w:rPr>
        <w:t xml:space="preserve"> предвижда въвеждането на Европейска система от туристически показатели (European Tourism Indicator System - ETIS)</w:t>
      </w:r>
      <w:r w:rsidRPr="00610B1B">
        <w:rPr>
          <w:rStyle w:val="FootnoteReference"/>
          <w:rFonts w:ascii="Times New Roman" w:hAnsi="Times New Roman" w:cs="Times New Roman"/>
          <w:sz w:val="24"/>
          <w:szCs w:val="24"/>
          <w:lang w:val="bg-BG"/>
        </w:rPr>
        <w:footnoteReference w:id="118"/>
      </w:r>
      <w:r w:rsidRPr="00610B1B">
        <w:rPr>
          <w:rFonts w:ascii="Times New Roman" w:hAnsi="Times New Roman" w:cs="Times New Roman"/>
          <w:sz w:val="24"/>
          <w:szCs w:val="24"/>
          <w:lang w:val="bg-BG"/>
        </w:rPr>
        <w:t xml:space="preserve">. </w:t>
      </w:r>
      <w:r w:rsidR="004F39A8" w:rsidRPr="00610B1B">
        <w:rPr>
          <w:rFonts w:ascii="Times New Roman" w:hAnsi="Times New Roman" w:cs="Times New Roman"/>
          <w:sz w:val="24"/>
          <w:szCs w:val="24"/>
          <w:lang w:val="bg-BG"/>
        </w:rPr>
        <w:t>Тя</w:t>
      </w:r>
      <w:r w:rsidRPr="00610B1B">
        <w:rPr>
          <w:rFonts w:ascii="Times New Roman" w:hAnsi="Times New Roman" w:cs="Times New Roman"/>
          <w:sz w:val="24"/>
          <w:szCs w:val="24"/>
          <w:lang w:val="bg-BG"/>
        </w:rPr>
        <w:t xml:space="preserve"> се базира на 27 основни и 40 спомагателни индикатора, структурирани в 4 теми: а) управление на дестинацията; б) социокултурни въздействия; в) икономическа стойност; г) въздействия върху околната среда. По същество, системата ETIS е методология за устойчиво управление на дестинациите.</w:t>
      </w:r>
    </w:p>
    <w:p w14:paraId="05C967EB" w14:textId="08182045" w:rsidR="00742EF7" w:rsidRPr="00610B1B" w:rsidRDefault="00742EF7"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 настоящия секторен анализ се представя само хотелската суперструктура – нейните параметри, капацитет, категория и </w:t>
      </w:r>
      <w:r w:rsidR="009240AB">
        <w:rPr>
          <w:rFonts w:ascii="Times New Roman" w:hAnsi="Times New Roman" w:cs="Times New Roman"/>
          <w:sz w:val="24"/>
          <w:szCs w:val="24"/>
          <w:lang w:val="bg-BG"/>
        </w:rPr>
        <w:t>заетост на леглата</w:t>
      </w:r>
      <w:r w:rsidRPr="00610B1B">
        <w:rPr>
          <w:rFonts w:ascii="Times New Roman" w:hAnsi="Times New Roman" w:cs="Times New Roman"/>
          <w:sz w:val="24"/>
          <w:szCs w:val="24"/>
          <w:lang w:val="bg-BG"/>
        </w:rPr>
        <w:t>. Териториалното разпределение на легловата база е почти равномерно – около 45% в северното и 55% в южното Черноморие. И в двата крайбрежни сегмента се редуват природни паузи, урбанизирани среди с умерена концентрация и туристически локализации със свръх-концентрация. Към последните принадлежат к.к. Златни пясъци (Северно Черноморие) и к.к. Слънчев бряг (Южно Черноморие).</w:t>
      </w:r>
    </w:p>
    <w:p w14:paraId="43A3E7BC" w14:textId="209A9EC8" w:rsidR="00832FA5" w:rsidRPr="00610B1B" w:rsidRDefault="00742EF7" w:rsidP="00D32D6A">
      <w:pPr>
        <w:pStyle w:val="BodyText"/>
        <w:spacing w:before="0" w:after="120" w:line="276" w:lineRule="auto"/>
        <w:ind w:right="-153"/>
        <w:rPr>
          <w:rFonts w:cs="Times New Roman"/>
        </w:rPr>
      </w:pPr>
      <w:r w:rsidRPr="00610B1B">
        <w:rPr>
          <w:rFonts w:cs="Times New Roman"/>
        </w:rPr>
        <w:t>Към края на 2018 г., българското Черноморско крайбрежие предлага над 230 хил. легла в 1 421 места за настаняване с над 10 легла</w:t>
      </w:r>
      <w:r w:rsidRPr="00610B1B">
        <w:rPr>
          <w:rStyle w:val="FootnoteReference"/>
          <w:rFonts w:cs="Times New Roman"/>
        </w:rPr>
        <w:footnoteReference w:id="119"/>
      </w:r>
      <w:r w:rsidRPr="00610B1B">
        <w:rPr>
          <w:rFonts w:cs="Times New Roman"/>
        </w:rPr>
        <w:t xml:space="preserve">. При капацитет от 35,3 млн. нощувки са реализирани 17,7 млн. Това означава над 50% средна </w:t>
      </w:r>
      <w:r w:rsidR="009240AB">
        <w:rPr>
          <w:rFonts w:cs="Times New Roman"/>
        </w:rPr>
        <w:t>заетост на леглата</w:t>
      </w:r>
      <w:r w:rsidR="009240AB" w:rsidRPr="00610B1B">
        <w:rPr>
          <w:rFonts w:cs="Times New Roman"/>
        </w:rPr>
        <w:t xml:space="preserve"> </w:t>
      </w:r>
      <w:r w:rsidRPr="00610B1B">
        <w:rPr>
          <w:rFonts w:cs="Times New Roman"/>
        </w:rPr>
        <w:t xml:space="preserve">на настанителната база, независимо от подчертано сезонния характер на основното предлагане – морски рекреативен туризъм. Подобна ефективност е постигната за първи път. Над 81% от посетителите на морските курорти са чужденци по статистически данни. Това се дължи донякъде и на наличието на огромен ненаблюдаван сектор, зает предимно от българи. </w:t>
      </w:r>
      <w:r w:rsidR="00832FA5" w:rsidRPr="00610B1B">
        <w:rPr>
          <w:rFonts w:cs="Times New Roman"/>
        </w:rPr>
        <w:t>За референтния тригодишен период, капацитетът на настанителната база е нараснал с 19,5%, а броят на нощувките – с близо 30%. Най-голямо е нарастването на приходите от нощувки</w:t>
      </w:r>
      <w:r w:rsidR="001757A5" w:rsidRPr="00610B1B">
        <w:rPr>
          <w:rFonts w:cs="Times New Roman"/>
        </w:rPr>
        <w:t> </w:t>
      </w:r>
      <w:r w:rsidR="00832FA5" w:rsidRPr="00610B1B">
        <w:rPr>
          <w:rFonts w:cs="Times New Roman"/>
        </w:rPr>
        <w:t xml:space="preserve">– почти 45%. Това се дължи както на нарасналия брой на нощувките, така и на средната им цена от 49,3 лв. през 2015 г. на 55,1 лв. през 2018 г. На този фон, макар и с </w:t>
      </w:r>
      <w:r w:rsidR="00832FA5" w:rsidRPr="00610B1B">
        <w:rPr>
          <w:rFonts w:cs="Times New Roman"/>
        </w:rPr>
        <w:lastRenderedPageBreak/>
        <w:t>малко, средната продължителност на престоя е намаляла от 5,39 дни, на 5,29 дни.</w:t>
      </w:r>
    </w:p>
    <w:p w14:paraId="07B68AC4" w14:textId="1262745E" w:rsidR="00832FA5" w:rsidRPr="00610B1B" w:rsidRDefault="00B62269" w:rsidP="00D32D6A">
      <w:pPr>
        <w:pStyle w:val="Caption"/>
        <w:spacing w:before="0" w:line="276" w:lineRule="auto"/>
        <w:rPr>
          <w:rFonts w:cs="Times New Roman"/>
        </w:rPr>
      </w:pPr>
      <w:bookmarkStart w:id="368" w:name="_Toc83391487"/>
      <w:r w:rsidRPr="00610B1B">
        <w:rPr>
          <w:rFonts w:cs="Times New Roman"/>
        </w:rPr>
        <w:t xml:space="preserve">Фигура </w:t>
      </w:r>
      <w:r w:rsidRPr="00610B1B">
        <w:rPr>
          <w:rFonts w:cs="Times New Roman"/>
        </w:rPr>
        <w:fldChar w:fldCharType="begin"/>
      </w:r>
      <w:r w:rsidRPr="00610B1B">
        <w:rPr>
          <w:rFonts w:cs="Times New Roman"/>
        </w:rPr>
        <w:instrText xml:space="preserve"> SEQ Фигура \* ARABIC </w:instrText>
      </w:r>
      <w:r w:rsidRPr="00610B1B">
        <w:rPr>
          <w:rFonts w:cs="Times New Roman"/>
        </w:rPr>
        <w:fldChar w:fldCharType="separate"/>
      </w:r>
      <w:r w:rsidR="00260629" w:rsidRPr="00610B1B">
        <w:rPr>
          <w:rFonts w:cs="Times New Roman"/>
          <w:noProof/>
        </w:rPr>
        <w:t>24</w:t>
      </w:r>
      <w:r w:rsidRPr="00610B1B">
        <w:rPr>
          <w:rFonts w:cs="Times New Roman"/>
        </w:rPr>
        <w:fldChar w:fldCharType="end"/>
      </w:r>
      <w:r w:rsidRPr="00610B1B">
        <w:rPr>
          <w:rFonts w:cs="Times New Roman"/>
        </w:rPr>
        <w:t xml:space="preserve">: </w:t>
      </w:r>
      <w:r w:rsidR="00832FA5" w:rsidRPr="00610B1B">
        <w:rPr>
          <w:rFonts w:cs="Times New Roman"/>
        </w:rPr>
        <w:t>Реализирани нощувки по общини, 2018 г.</w:t>
      </w:r>
      <w:bookmarkEnd w:id="368"/>
    </w:p>
    <w:p w14:paraId="00F6489E" w14:textId="05477340" w:rsidR="00832FA5" w:rsidRPr="00610B1B" w:rsidRDefault="009D32BB"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noProof/>
          <w:sz w:val="24"/>
          <w:szCs w:val="24"/>
          <w:lang w:val="bg-BG" w:eastAsia="bg-BG"/>
        </w:rPr>
        <w:drawing>
          <wp:inline distT="0" distB="0" distL="0" distR="0" wp14:anchorId="618DC954" wp14:editId="381C5490">
            <wp:extent cx="4844955" cy="320882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a:extLst>
                        <a:ext uri="{28A0092B-C50C-407E-A947-70E740481C1C}">
                          <a14:useLocalDpi xmlns:a14="http://schemas.microsoft.com/office/drawing/2010/main" val="0"/>
                        </a:ext>
                      </a:extLst>
                    </a:blip>
                    <a:srcRect t="3584" b="3868"/>
                    <a:stretch/>
                  </pic:blipFill>
                  <pic:spPr bwMode="auto">
                    <a:xfrm>
                      <a:off x="0" y="0"/>
                      <a:ext cx="4861510" cy="3219788"/>
                    </a:xfrm>
                    <a:prstGeom prst="rect">
                      <a:avLst/>
                    </a:prstGeom>
                    <a:noFill/>
                    <a:ln>
                      <a:noFill/>
                    </a:ln>
                    <a:extLst>
                      <a:ext uri="{53640926-AAD7-44D8-BBD7-CCE9431645EC}">
                        <a14:shadowObscured xmlns:a14="http://schemas.microsoft.com/office/drawing/2010/main"/>
                      </a:ext>
                    </a:extLst>
                  </pic:spPr>
                </pic:pic>
              </a:graphicData>
            </a:graphic>
          </wp:inline>
        </w:drawing>
      </w:r>
    </w:p>
    <w:p w14:paraId="034C7D7B" w14:textId="77777777" w:rsidR="00832FA5" w:rsidRPr="00610B1B" w:rsidRDefault="00832FA5" w:rsidP="00BC44C1">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 НСИ, обработка НЦТР</w:t>
      </w:r>
    </w:p>
    <w:p w14:paraId="76386911" w14:textId="77777777" w:rsidR="000C428F" w:rsidRPr="00610B1B" w:rsidRDefault="000C428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Статистическите данни по общини разкриват неравномерно пространствено развитие на туризма по крайбрежието. Проследени по показателя „реализирани нощувки” за 2018 г., общините с големите курортни комплекси (Балчик/Албена 12,1%, Варна/Златни пясъци 29,3% и Несебър/Слънчев бряг 40,2%) покриват дял от 81,6%. </w:t>
      </w:r>
    </w:p>
    <w:p w14:paraId="287682B9" w14:textId="74EFBF7C" w:rsidR="00832FA5" w:rsidRPr="00610B1B" w:rsidRDefault="00832FA5"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Пространственият модел на морския туризъм в България наподобява този на селищната мрежа в страната. В него ясно са изразени два центъра от най-високо ниво – „Златни пясъци“ и „Слънчев бряг“, чието развитие следва да се регулира с подходящи законови и устройствени инструменти, тъй като стихийното застрояване на свободните пространства от началото на века има ясно изявени негативни последици. </w:t>
      </w:r>
    </w:p>
    <w:p w14:paraId="7EC9274A" w14:textId="72B3222C" w:rsidR="00832FA5" w:rsidRPr="00610B1B" w:rsidRDefault="00832FA5" w:rsidP="00D32D6A">
      <w:pPr>
        <w:pStyle w:val="BodyText"/>
        <w:spacing w:before="0" w:after="120" w:line="276" w:lineRule="auto"/>
        <w:ind w:right="-153"/>
        <w:rPr>
          <w:rFonts w:cs="Times New Roman"/>
        </w:rPr>
      </w:pPr>
      <w:r w:rsidRPr="00610B1B">
        <w:rPr>
          <w:rFonts w:cs="Times New Roman"/>
        </w:rPr>
        <w:t xml:space="preserve">Статистическата картина по общини разкрива почти повсеместна положителна динамика по наблюдаваните показатели между 2015 и 2018 г. Изключение прави община Шабла, която отстъпва по всички показатели за места за настаняване с над 10 легла. Община Каварна има отрицателно развитие по отношение на леглата (-25,5%), община Балчик – на </w:t>
      </w:r>
      <w:r w:rsidR="009240AB">
        <w:rPr>
          <w:rFonts w:cs="Times New Roman"/>
        </w:rPr>
        <w:t xml:space="preserve">заетост на леглата </w:t>
      </w:r>
      <w:r w:rsidRPr="00610B1B">
        <w:rPr>
          <w:rFonts w:cs="Times New Roman"/>
        </w:rPr>
        <w:t xml:space="preserve">(-11,5%), община Поморие - легла (-2,3%) и </w:t>
      </w:r>
      <w:r w:rsidR="009240AB">
        <w:rPr>
          <w:rFonts w:cs="Times New Roman"/>
        </w:rPr>
        <w:t>легладенонощия</w:t>
      </w:r>
      <w:r w:rsidR="009240AB" w:rsidRPr="00610B1B">
        <w:rPr>
          <w:rFonts w:cs="Times New Roman"/>
        </w:rPr>
        <w:t xml:space="preserve"> </w:t>
      </w:r>
      <w:r w:rsidRPr="00610B1B">
        <w:rPr>
          <w:rFonts w:cs="Times New Roman"/>
        </w:rPr>
        <w:t>(-14,9%).</w:t>
      </w:r>
      <w:r w:rsidR="00D66FE0" w:rsidRPr="00610B1B">
        <w:rPr>
          <w:rFonts w:cs="Times New Roman"/>
        </w:rPr>
        <w:t xml:space="preserve"> </w:t>
      </w:r>
    </w:p>
    <w:p w14:paraId="37A62E48" w14:textId="77777777" w:rsidR="009907CE" w:rsidRPr="00610B1B" w:rsidRDefault="009907CE" w:rsidP="00D32D6A">
      <w:pPr>
        <w:pStyle w:val="BodyText"/>
        <w:spacing w:before="0" w:after="120" w:line="276" w:lineRule="auto"/>
        <w:ind w:right="-153"/>
        <w:rPr>
          <w:rFonts w:cs="Times New Roman"/>
        </w:rPr>
      </w:pPr>
    </w:p>
    <w:p w14:paraId="1146A039" w14:textId="1F166E1D" w:rsidR="00043308" w:rsidRPr="00610B1B" w:rsidRDefault="00742EF7" w:rsidP="00D32D6A">
      <w:pPr>
        <w:pStyle w:val="Heading3"/>
        <w:spacing w:before="0" w:line="276" w:lineRule="auto"/>
        <w:ind w:right="-153"/>
        <w:rPr>
          <w:rFonts w:cs="Times New Roman"/>
        </w:rPr>
      </w:pPr>
      <w:bookmarkStart w:id="369" w:name="_Toc83391383"/>
      <w:r w:rsidRPr="00610B1B">
        <w:rPr>
          <w:rFonts w:cs="Times New Roman"/>
        </w:rPr>
        <w:t xml:space="preserve">3.3.3. </w:t>
      </w:r>
      <w:r w:rsidR="00976746" w:rsidRPr="00610B1B">
        <w:rPr>
          <w:rFonts w:cs="Times New Roman"/>
        </w:rPr>
        <w:t xml:space="preserve">Яхтени </w:t>
      </w:r>
      <w:r w:rsidR="00043308" w:rsidRPr="00610B1B">
        <w:rPr>
          <w:rFonts w:cs="Times New Roman"/>
        </w:rPr>
        <w:t>пристанища</w:t>
      </w:r>
      <w:bookmarkEnd w:id="369"/>
    </w:p>
    <w:p w14:paraId="67A56D5A" w14:textId="64374053" w:rsidR="00677160" w:rsidRPr="00610B1B" w:rsidRDefault="00677160" w:rsidP="00677160">
      <w:pPr>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color w:val="000000" w:themeColor="text1"/>
          <w:sz w:val="24"/>
          <w:szCs w:val="24"/>
          <w:lang w:val="bg-BG"/>
        </w:rPr>
        <w:t>Официалните регистри на българските пристанища</w:t>
      </w:r>
      <w:r w:rsidRPr="00610B1B">
        <w:rPr>
          <w:rStyle w:val="FootnoteReference"/>
          <w:rFonts w:ascii="Times New Roman" w:hAnsi="Times New Roman" w:cs="Times New Roman"/>
          <w:color w:val="000000" w:themeColor="text1"/>
          <w:sz w:val="24"/>
          <w:szCs w:val="24"/>
          <w:lang w:val="bg-BG"/>
        </w:rPr>
        <w:footnoteReference w:id="120"/>
      </w:r>
      <w:r w:rsidRPr="00610B1B">
        <w:rPr>
          <w:rFonts w:ascii="Times New Roman" w:hAnsi="Times New Roman" w:cs="Times New Roman"/>
          <w:color w:val="000000" w:themeColor="text1"/>
          <w:sz w:val="24"/>
          <w:szCs w:val="24"/>
          <w:lang w:val="bg-BG"/>
        </w:rPr>
        <w:t xml:space="preserve"> съдържат 15 яхтени пристанища, които по реда на регистрацията са както следва:</w:t>
      </w:r>
    </w:p>
    <w:p w14:paraId="50610A22" w14:textId="23F0F533" w:rsidR="00677160" w:rsidRPr="00610B1B" w:rsidRDefault="00677160" w:rsidP="00677160">
      <w:pPr>
        <w:pStyle w:val="ListParagraph"/>
        <w:numPr>
          <w:ilvl w:val="0"/>
          <w:numId w:val="108"/>
        </w:numPr>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b/>
          <w:bCs/>
          <w:i/>
          <w:iCs/>
          <w:color w:val="000000" w:themeColor="text1"/>
          <w:sz w:val="24"/>
          <w:szCs w:val="24"/>
          <w:lang w:val="bg-BG"/>
        </w:rPr>
        <w:lastRenderedPageBreak/>
        <w:t>Яхтен терминал „Св. Атанас“</w:t>
      </w:r>
      <w:r w:rsidRPr="00610B1B">
        <w:rPr>
          <w:rFonts w:ascii="Times New Roman" w:hAnsi="Times New Roman" w:cs="Times New Roman"/>
          <w:color w:val="000000" w:themeColor="text1"/>
          <w:sz w:val="24"/>
          <w:szCs w:val="24"/>
          <w:lang w:val="bg-BG"/>
        </w:rPr>
        <w:t>,</w:t>
      </w:r>
      <w:r w:rsidRPr="00610B1B">
        <w:rPr>
          <w:rFonts w:ascii="Times New Roman" w:hAnsi="Times New Roman" w:cs="Times New Roman"/>
          <w:b/>
          <w:bCs/>
          <w:i/>
          <w:iCs/>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Бяла (регистриран под № 1/12.04.2005 г.) – единственото защитено пристанище между нос Галата и нос Емине, подходящо за целогодишно домуване. Капацитетът му е 80 плавателни съда.</w:t>
      </w:r>
      <w:r w:rsidRPr="00610B1B">
        <w:rPr>
          <w:rFonts w:ascii="Times New Roman" w:hAnsi="Times New Roman" w:cs="Times New Roman"/>
          <w:color w:val="000000" w:themeColor="text1"/>
          <w:lang w:val="bg-BG"/>
        </w:rPr>
        <w:t xml:space="preserve"> </w:t>
      </w:r>
    </w:p>
    <w:p w14:paraId="35CE9E88" w14:textId="5EDDF460" w:rsidR="00677160" w:rsidRPr="00610B1B" w:rsidRDefault="00677160" w:rsidP="00677160">
      <w:pPr>
        <w:pStyle w:val="ListParagraph"/>
        <w:numPr>
          <w:ilvl w:val="0"/>
          <w:numId w:val="108"/>
        </w:numPr>
        <w:spacing w:after="120"/>
        <w:ind w:right="-153"/>
        <w:contextualSpacing w:val="0"/>
        <w:jc w:val="both"/>
        <w:rPr>
          <w:rFonts w:ascii="Times New Roman" w:hAnsi="Times New Roman" w:cs="Times New Roman"/>
          <w:iCs/>
          <w:color w:val="000000" w:themeColor="text1"/>
          <w:sz w:val="24"/>
          <w:szCs w:val="24"/>
          <w:lang w:val="bg-BG"/>
        </w:rPr>
      </w:pPr>
      <w:r w:rsidRPr="00610B1B">
        <w:rPr>
          <w:rFonts w:ascii="Times New Roman" w:hAnsi="Times New Roman" w:cs="Times New Roman"/>
          <w:b/>
          <w:i/>
          <w:color w:val="000000" w:themeColor="text1"/>
          <w:sz w:val="24"/>
          <w:szCs w:val="24"/>
          <w:lang w:val="bg-BG"/>
        </w:rPr>
        <w:t>Яхтено пристанище „Балчик“</w:t>
      </w:r>
      <w:r w:rsidR="008753B6" w:rsidRPr="00610B1B">
        <w:rPr>
          <w:rFonts w:ascii="Times New Roman" w:hAnsi="Times New Roman" w:cs="Times New Roman"/>
          <w:iCs/>
          <w:color w:val="000000" w:themeColor="text1"/>
          <w:sz w:val="24"/>
          <w:szCs w:val="24"/>
          <w:lang w:val="bg-BG"/>
        </w:rPr>
        <w:t xml:space="preserve"> </w:t>
      </w:r>
      <w:r w:rsidRPr="00610B1B">
        <w:rPr>
          <w:rFonts w:ascii="Times New Roman" w:hAnsi="Times New Roman" w:cs="Times New Roman"/>
          <w:iCs/>
          <w:color w:val="000000" w:themeColor="text1"/>
          <w:sz w:val="24"/>
          <w:szCs w:val="24"/>
          <w:lang w:val="bg-BG"/>
        </w:rPr>
        <w:t>(регистрирано под № 2/</w:t>
      </w:r>
      <w:r w:rsidR="00677D3C">
        <w:rPr>
          <w:rFonts w:ascii="Times New Roman" w:hAnsi="Times New Roman" w:cs="Times New Roman"/>
          <w:iCs/>
          <w:color w:val="000000" w:themeColor="text1"/>
          <w:sz w:val="24"/>
          <w:szCs w:val="24"/>
          <w:lang w:val="bg-BG"/>
        </w:rPr>
        <w:t>26</w:t>
      </w:r>
      <w:r w:rsidRPr="00610B1B">
        <w:rPr>
          <w:rFonts w:ascii="Times New Roman" w:hAnsi="Times New Roman" w:cs="Times New Roman"/>
          <w:iCs/>
          <w:color w:val="000000" w:themeColor="text1"/>
          <w:sz w:val="24"/>
          <w:szCs w:val="24"/>
          <w:lang w:val="bg-BG"/>
        </w:rPr>
        <w:t>.0</w:t>
      </w:r>
      <w:r w:rsidR="00677D3C">
        <w:rPr>
          <w:rFonts w:ascii="Times New Roman" w:hAnsi="Times New Roman" w:cs="Times New Roman"/>
          <w:iCs/>
          <w:color w:val="000000" w:themeColor="text1"/>
          <w:sz w:val="24"/>
          <w:szCs w:val="24"/>
          <w:lang w:val="bg-BG"/>
        </w:rPr>
        <w:t>9</w:t>
      </w:r>
      <w:r w:rsidRPr="00610B1B">
        <w:rPr>
          <w:rFonts w:ascii="Times New Roman" w:hAnsi="Times New Roman" w:cs="Times New Roman"/>
          <w:iCs/>
          <w:color w:val="000000" w:themeColor="text1"/>
          <w:sz w:val="24"/>
          <w:szCs w:val="24"/>
          <w:lang w:val="bg-BG"/>
        </w:rPr>
        <w:t>.20</w:t>
      </w:r>
      <w:r w:rsidR="00677D3C">
        <w:rPr>
          <w:rFonts w:ascii="Times New Roman" w:hAnsi="Times New Roman" w:cs="Times New Roman"/>
          <w:iCs/>
          <w:color w:val="000000" w:themeColor="text1"/>
          <w:sz w:val="24"/>
          <w:szCs w:val="24"/>
          <w:lang w:val="bg-BG"/>
        </w:rPr>
        <w:t>22</w:t>
      </w:r>
      <w:r w:rsidRPr="00610B1B">
        <w:rPr>
          <w:rFonts w:ascii="Times New Roman" w:hAnsi="Times New Roman" w:cs="Times New Roman"/>
          <w:iCs/>
          <w:color w:val="000000" w:themeColor="text1"/>
          <w:sz w:val="24"/>
          <w:szCs w:val="24"/>
          <w:lang w:val="bg-BG"/>
        </w:rPr>
        <w:t xml:space="preserve"> г.) </w:t>
      </w:r>
      <w:r w:rsidRPr="00610B1B">
        <w:rPr>
          <w:rFonts w:ascii="Times New Roman" w:hAnsi="Times New Roman" w:cs="Times New Roman"/>
          <w:color w:val="000000" w:themeColor="text1"/>
          <w:sz w:val="24"/>
          <w:szCs w:val="24"/>
          <w:lang w:val="bg-BG"/>
        </w:rPr>
        <w:t>– непосредствено до центъра на гр. Балчик, добре защитено от неблагоприятни условия, подходящо не само за лятна, но и за целогодишна стоянка</w:t>
      </w:r>
      <w:r w:rsidRPr="00610B1B">
        <w:rPr>
          <w:rFonts w:ascii="Times New Roman" w:hAnsi="Times New Roman" w:cs="Times New Roman"/>
          <w:color w:val="000000" w:themeColor="text1"/>
          <w:lang w:val="bg-BG"/>
        </w:rPr>
        <w:t xml:space="preserve"> </w:t>
      </w:r>
      <w:r w:rsidRPr="00610B1B">
        <w:rPr>
          <w:rFonts w:ascii="Times New Roman" w:hAnsi="Times New Roman" w:cs="Times New Roman"/>
          <w:color w:val="000000" w:themeColor="text1"/>
          <w:sz w:val="24"/>
          <w:szCs w:val="24"/>
          <w:lang w:val="bg-BG"/>
        </w:rPr>
        <w:t>на яхти и лодки за крайбрежни и международни плавания, водни спортове, туризъм и развлекателни програми. Освен сервизни услуги</w:t>
      </w:r>
      <w:r w:rsidRPr="00610B1B">
        <w:rPr>
          <w:rFonts w:ascii="Times New Roman" w:hAnsi="Times New Roman" w:cs="Times New Roman"/>
          <w:color w:val="000000" w:themeColor="text1"/>
          <w:lang w:val="bg-BG"/>
        </w:rPr>
        <w:t xml:space="preserve"> </w:t>
      </w:r>
      <w:r w:rsidRPr="00610B1B">
        <w:rPr>
          <w:rFonts w:ascii="Times New Roman" w:hAnsi="Times New Roman" w:cs="Times New Roman"/>
          <w:color w:val="000000" w:themeColor="text1"/>
          <w:sz w:val="24"/>
          <w:szCs w:val="24"/>
          <w:lang w:val="bg-BG"/>
        </w:rPr>
        <w:t>по чл. 116, ал. 3, т. 2 ЗМПВВППРБ</w:t>
      </w:r>
      <w:r w:rsidR="00BD0893">
        <w:rPr>
          <w:rFonts w:ascii="Times New Roman" w:hAnsi="Times New Roman" w:cs="Times New Roman"/>
          <w:color w:val="000000" w:themeColor="text1"/>
          <w:sz w:val="24"/>
          <w:szCs w:val="24"/>
          <w:lang w:val="bg-BG"/>
        </w:rPr>
        <w:t xml:space="preserve"> </w:t>
      </w:r>
      <w:r w:rsidR="00BD0893" w:rsidRPr="00BD0893">
        <w:rPr>
          <w:rFonts w:ascii="Times New Roman" w:hAnsi="Times New Roman" w:cs="Times New Roman"/>
          <w:color w:val="000000" w:themeColor="text1"/>
          <w:sz w:val="24"/>
          <w:szCs w:val="24"/>
          <w:lang w:val="bg-BG"/>
        </w:rPr>
        <w:t>(понастоящем по чл. 116, ал.2 т.1 от ЗМПВВППРБ)</w:t>
      </w:r>
      <w:r w:rsidRPr="00610B1B">
        <w:rPr>
          <w:rFonts w:ascii="Times New Roman" w:hAnsi="Times New Roman" w:cs="Times New Roman"/>
          <w:color w:val="000000" w:themeColor="text1"/>
          <w:sz w:val="24"/>
          <w:szCs w:val="24"/>
          <w:lang w:val="bg-BG"/>
        </w:rPr>
        <w:t xml:space="preserve">, в пристанището има граничен и митнически пункт. </w:t>
      </w:r>
    </w:p>
    <w:p w14:paraId="52A49BA0" w14:textId="56423176" w:rsidR="00677160" w:rsidRPr="00610B1B" w:rsidRDefault="00677160" w:rsidP="00677160">
      <w:pPr>
        <w:pStyle w:val="ListParagraph"/>
        <w:numPr>
          <w:ilvl w:val="0"/>
          <w:numId w:val="108"/>
        </w:numPr>
        <w:spacing w:after="120"/>
        <w:ind w:right="-153"/>
        <w:contextualSpacing w:val="0"/>
        <w:jc w:val="both"/>
        <w:rPr>
          <w:rFonts w:ascii="Times New Roman" w:hAnsi="Times New Roman" w:cs="Times New Roman"/>
          <w:iCs/>
          <w:color w:val="000000" w:themeColor="text1"/>
          <w:sz w:val="24"/>
          <w:szCs w:val="24"/>
          <w:lang w:val="bg-BG"/>
        </w:rPr>
      </w:pPr>
      <w:r w:rsidRPr="00610B1B">
        <w:rPr>
          <w:rFonts w:ascii="Times New Roman" w:hAnsi="Times New Roman" w:cs="Times New Roman"/>
          <w:b/>
          <w:i/>
          <w:color w:val="000000" w:themeColor="text1"/>
          <w:sz w:val="24"/>
          <w:szCs w:val="24"/>
          <w:lang w:val="bg-BG"/>
        </w:rPr>
        <w:t>Яхтено пристанище „Златни пясъци“</w:t>
      </w:r>
      <w:r w:rsidRPr="00610B1B">
        <w:rPr>
          <w:rFonts w:ascii="Times New Roman" w:hAnsi="Times New Roman" w:cs="Times New Roman"/>
          <w:color w:val="000000" w:themeColor="text1"/>
          <w:sz w:val="24"/>
          <w:szCs w:val="24"/>
          <w:lang w:val="bg-BG"/>
        </w:rPr>
        <w:t xml:space="preserve"> (регистрирано под № 3/</w:t>
      </w:r>
      <w:r w:rsidR="00677D3C">
        <w:rPr>
          <w:rFonts w:ascii="Times New Roman" w:hAnsi="Times New Roman" w:cs="Times New Roman"/>
          <w:iCs/>
          <w:color w:val="000000" w:themeColor="text1"/>
          <w:sz w:val="24"/>
          <w:szCs w:val="24"/>
          <w:lang w:val="bg-BG"/>
        </w:rPr>
        <w:t>26</w:t>
      </w:r>
      <w:r w:rsidR="00677D3C" w:rsidRPr="00610B1B">
        <w:rPr>
          <w:rFonts w:ascii="Times New Roman" w:hAnsi="Times New Roman" w:cs="Times New Roman"/>
          <w:iCs/>
          <w:color w:val="000000" w:themeColor="text1"/>
          <w:sz w:val="24"/>
          <w:szCs w:val="24"/>
          <w:lang w:val="bg-BG"/>
        </w:rPr>
        <w:t>.0</w:t>
      </w:r>
      <w:r w:rsidR="00677D3C">
        <w:rPr>
          <w:rFonts w:ascii="Times New Roman" w:hAnsi="Times New Roman" w:cs="Times New Roman"/>
          <w:iCs/>
          <w:color w:val="000000" w:themeColor="text1"/>
          <w:sz w:val="24"/>
          <w:szCs w:val="24"/>
          <w:lang w:val="bg-BG"/>
        </w:rPr>
        <w:t>9</w:t>
      </w:r>
      <w:r w:rsidR="00677D3C" w:rsidRPr="00610B1B">
        <w:rPr>
          <w:rFonts w:ascii="Times New Roman" w:hAnsi="Times New Roman" w:cs="Times New Roman"/>
          <w:iCs/>
          <w:color w:val="000000" w:themeColor="text1"/>
          <w:sz w:val="24"/>
          <w:szCs w:val="24"/>
          <w:lang w:val="bg-BG"/>
        </w:rPr>
        <w:t>.20</w:t>
      </w:r>
      <w:r w:rsidR="00677D3C">
        <w:rPr>
          <w:rFonts w:ascii="Times New Roman" w:hAnsi="Times New Roman" w:cs="Times New Roman"/>
          <w:iCs/>
          <w:color w:val="000000" w:themeColor="text1"/>
          <w:sz w:val="24"/>
          <w:szCs w:val="24"/>
          <w:lang w:val="bg-BG"/>
        </w:rPr>
        <w:t xml:space="preserve">22 </w:t>
      </w:r>
      <w:r w:rsidRPr="00610B1B">
        <w:rPr>
          <w:rFonts w:ascii="Times New Roman" w:hAnsi="Times New Roman" w:cs="Times New Roman"/>
          <w:color w:val="000000" w:themeColor="text1"/>
          <w:sz w:val="24"/>
          <w:szCs w:val="24"/>
          <w:lang w:val="bg-BG"/>
        </w:rPr>
        <w:t xml:space="preserve">г.) – в най-северния край на комплекса, капацитет около 100 съда. Освен първични услуги (вода, ток, гориво), пристанището предлага туристически забавления, допълващи основния продукт на морски рекреативен туризъм – разходки по вода с пиратски корабчета, риболовни излети, екскурзии до различни атрактивни точки по българското Черноморие. </w:t>
      </w:r>
    </w:p>
    <w:p w14:paraId="0FF32943" w14:textId="682372B2" w:rsidR="00677160" w:rsidRPr="00610B1B" w:rsidRDefault="00677160" w:rsidP="00677160">
      <w:pPr>
        <w:numPr>
          <w:ilvl w:val="0"/>
          <w:numId w:val="108"/>
        </w:numPr>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b/>
          <w:i/>
          <w:color w:val="000000" w:themeColor="text1"/>
          <w:sz w:val="24"/>
          <w:szCs w:val="24"/>
          <w:lang w:val="bg-BG"/>
        </w:rPr>
        <w:t>Яхтено пристанище</w:t>
      </w:r>
      <w:r w:rsidRPr="00610B1B">
        <w:rPr>
          <w:rFonts w:ascii="Times New Roman" w:hAnsi="Times New Roman" w:cs="Times New Roman"/>
          <w:b/>
          <w:color w:val="000000" w:themeColor="text1"/>
          <w:sz w:val="24"/>
          <w:szCs w:val="24"/>
          <w:lang w:val="bg-BG"/>
        </w:rPr>
        <w:t xml:space="preserve"> „</w:t>
      </w:r>
      <w:r w:rsidRPr="00610B1B">
        <w:rPr>
          <w:rFonts w:ascii="Times New Roman" w:hAnsi="Times New Roman" w:cs="Times New Roman"/>
          <w:b/>
          <w:i/>
          <w:iCs/>
          <w:color w:val="000000" w:themeColor="text1"/>
          <w:sz w:val="24"/>
          <w:szCs w:val="24"/>
          <w:lang w:val="bg-BG"/>
        </w:rPr>
        <w:t>Хидродинамик</w:t>
      </w:r>
      <w:r w:rsidRPr="00610B1B">
        <w:rPr>
          <w:rFonts w:ascii="Times New Roman" w:hAnsi="Times New Roman" w:cs="Times New Roman"/>
          <w:b/>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(регистрирано под № 4/30.</w:t>
      </w:r>
      <w:r w:rsidR="00677D3C">
        <w:rPr>
          <w:rFonts w:ascii="Times New Roman" w:hAnsi="Times New Roman" w:cs="Times New Roman"/>
          <w:color w:val="000000" w:themeColor="text1"/>
          <w:sz w:val="24"/>
          <w:szCs w:val="24"/>
          <w:lang w:val="bg-BG"/>
        </w:rPr>
        <w:t>11</w:t>
      </w:r>
      <w:r w:rsidRPr="00610B1B">
        <w:rPr>
          <w:rFonts w:ascii="Times New Roman" w:hAnsi="Times New Roman" w:cs="Times New Roman"/>
          <w:color w:val="000000" w:themeColor="text1"/>
          <w:sz w:val="24"/>
          <w:szCs w:val="24"/>
          <w:lang w:val="bg-BG"/>
        </w:rPr>
        <w:t>.</w:t>
      </w:r>
      <w:r w:rsidR="00677D3C" w:rsidRPr="00610B1B">
        <w:rPr>
          <w:rFonts w:ascii="Times New Roman" w:hAnsi="Times New Roman" w:cs="Times New Roman"/>
          <w:color w:val="000000" w:themeColor="text1"/>
          <w:sz w:val="24"/>
          <w:szCs w:val="24"/>
          <w:lang w:val="bg-BG"/>
        </w:rPr>
        <w:t>20</w:t>
      </w:r>
      <w:r w:rsidR="00677D3C">
        <w:rPr>
          <w:rFonts w:ascii="Times New Roman" w:hAnsi="Times New Roman" w:cs="Times New Roman"/>
          <w:color w:val="000000" w:themeColor="text1"/>
          <w:sz w:val="24"/>
          <w:szCs w:val="24"/>
          <w:lang w:val="bg-BG"/>
        </w:rPr>
        <w:t>21</w:t>
      </w:r>
      <w:r w:rsidR="00677D3C"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г.) – на южния бряг на Варненското езеро, до кв. „Аспарухово“. То предлага домуване и/или приставане на яхти и лодки за крайбрежни и международни плавания по вода, водни спортове, туризъм и развлекателни програми. Осъществяват се морско технически пристанищни дейности и услуги по чл. 116, ал. 3, т. 2 ЗМПВВППРБ</w:t>
      </w:r>
      <w:r w:rsidR="00BD0893">
        <w:rPr>
          <w:rFonts w:ascii="Times New Roman" w:hAnsi="Times New Roman" w:cs="Times New Roman"/>
          <w:color w:val="000000" w:themeColor="text1"/>
          <w:sz w:val="24"/>
          <w:szCs w:val="24"/>
          <w:lang w:val="bg-BG"/>
        </w:rPr>
        <w:t xml:space="preserve"> </w:t>
      </w:r>
      <w:r w:rsidR="00BD0893" w:rsidRPr="00BD0893">
        <w:rPr>
          <w:rFonts w:ascii="Times New Roman" w:hAnsi="Times New Roman" w:cs="Times New Roman"/>
          <w:color w:val="000000" w:themeColor="text1"/>
          <w:sz w:val="24"/>
          <w:szCs w:val="24"/>
          <w:lang w:val="bg-BG"/>
        </w:rPr>
        <w:t>(понастоящем по чл. 116, ал.2 т.1 от ЗМПВВППРБ)</w:t>
      </w:r>
      <w:r w:rsidRPr="00610B1B">
        <w:rPr>
          <w:rFonts w:ascii="Times New Roman" w:hAnsi="Times New Roman" w:cs="Times New Roman"/>
          <w:color w:val="000000" w:themeColor="text1"/>
          <w:sz w:val="24"/>
          <w:szCs w:val="24"/>
          <w:lang w:val="bg-BG"/>
        </w:rPr>
        <w:t>, снабдяване с ел. енергия, комуникации, гориво, смазочни материали и вода и обработка на отпадъци от корабоплавателна дейност.</w:t>
      </w:r>
    </w:p>
    <w:p w14:paraId="7E82A489" w14:textId="0AB5F1AC" w:rsidR="00677160" w:rsidRPr="00610B1B" w:rsidRDefault="00677160" w:rsidP="00677160">
      <w:pPr>
        <w:pStyle w:val="ListParagraph"/>
        <w:numPr>
          <w:ilvl w:val="0"/>
          <w:numId w:val="108"/>
        </w:numPr>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b/>
          <w:i/>
          <w:color w:val="000000" w:themeColor="text1"/>
          <w:sz w:val="24"/>
          <w:szCs w:val="24"/>
          <w:lang w:val="bg-BG"/>
        </w:rPr>
        <w:t>Яхтен терминал „Лотос“</w:t>
      </w:r>
      <w:r w:rsidRPr="00610B1B">
        <w:rPr>
          <w:rFonts w:ascii="Times New Roman" w:hAnsi="Times New Roman" w:cs="Times New Roman"/>
          <w:i/>
          <w:color w:val="000000" w:themeColor="text1"/>
          <w:sz w:val="24"/>
          <w:szCs w:val="24"/>
          <w:lang w:val="bg-BG"/>
        </w:rPr>
        <w:t xml:space="preserve"> </w:t>
      </w:r>
      <w:r w:rsidRPr="00610B1B">
        <w:rPr>
          <w:rFonts w:ascii="Times New Roman" w:hAnsi="Times New Roman" w:cs="Times New Roman"/>
          <w:iCs/>
          <w:color w:val="000000" w:themeColor="text1"/>
          <w:sz w:val="24"/>
          <w:szCs w:val="24"/>
          <w:lang w:val="bg-BG"/>
        </w:rPr>
        <w:t>(</w:t>
      </w:r>
      <w:r w:rsidRPr="00610B1B">
        <w:rPr>
          <w:rFonts w:ascii="Times New Roman" w:hAnsi="Times New Roman" w:cs="Times New Roman"/>
          <w:color w:val="000000" w:themeColor="text1"/>
          <w:sz w:val="24"/>
          <w:szCs w:val="24"/>
          <w:lang w:val="bg-BG"/>
        </w:rPr>
        <w:t>регистриран под №</w:t>
      </w:r>
      <w:r w:rsidRPr="00610B1B">
        <w:rPr>
          <w:rFonts w:ascii="Times New Roman" w:hAnsi="Times New Roman" w:cs="Times New Roman"/>
          <w:color w:val="000000" w:themeColor="text1"/>
          <w:lang w:val="bg-BG"/>
        </w:rPr>
        <w:t xml:space="preserve"> </w:t>
      </w:r>
      <w:r w:rsidRPr="00610B1B">
        <w:rPr>
          <w:rFonts w:ascii="Times New Roman" w:hAnsi="Times New Roman" w:cs="Times New Roman"/>
          <w:color w:val="000000" w:themeColor="text1"/>
          <w:sz w:val="24"/>
          <w:szCs w:val="24"/>
          <w:lang w:val="bg-BG"/>
        </w:rPr>
        <w:t>5/1</w:t>
      </w:r>
      <w:r w:rsidR="00256B95">
        <w:rPr>
          <w:rFonts w:ascii="Times New Roman" w:hAnsi="Times New Roman" w:cs="Times New Roman"/>
          <w:color w:val="000000" w:themeColor="text1"/>
          <w:sz w:val="24"/>
          <w:szCs w:val="24"/>
          <w:lang w:val="bg-BG"/>
        </w:rPr>
        <w:t>7</w:t>
      </w:r>
      <w:r w:rsidRPr="00610B1B">
        <w:rPr>
          <w:rFonts w:ascii="Times New Roman" w:hAnsi="Times New Roman" w:cs="Times New Roman"/>
          <w:color w:val="000000" w:themeColor="text1"/>
          <w:sz w:val="24"/>
          <w:szCs w:val="24"/>
          <w:lang w:val="bg-BG"/>
        </w:rPr>
        <w:t>.</w:t>
      </w:r>
      <w:r w:rsidR="00256B95">
        <w:rPr>
          <w:rFonts w:ascii="Times New Roman" w:hAnsi="Times New Roman" w:cs="Times New Roman"/>
          <w:color w:val="000000" w:themeColor="text1"/>
          <w:sz w:val="24"/>
          <w:szCs w:val="24"/>
          <w:lang w:val="bg-BG"/>
        </w:rPr>
        <w:t>1</w:t>
      </w:r>
      <w:r w:rsidRPr="00610B1B">
        <w:rPr>
          <w:rFonts w:ascii="Times New Roman" w:hAnsi="Times New Roman" w:cs="Times New Roman"/>
          <w:color w:val="000000" w:themeColor="text1"/>
          <w:sz w:val="24"/>
          <w:szCs w:val="24"/>
          <w:lang w:val="bg-BG"/>
        </w:rPr>
        <w:t>1.20</w:t>
      </w:r>
      <w:r w:rsidR="00256B95">
        <w:rPr>
          <w:rFonts w:ascii="Times New Roman" w:hAnsi="Times New Roman" w:cs="Times New Roman"/>
          <w:color w:val="000000" w:themeColor="text1"/>
          <w:sz w:val="24"/>
          <w:szCs w:val="24"/>
          <w:lang w:val="bg-BG"/>
        </w:rPr>
        <w:t>2</w:t>
      </w:r>
      <w:r w:rsidRPr="00610B1B">
        <w:rPr>
          <w:rFonts w:ascii="Times New Roman" w:hAnsi="Times New Roman" w:cs="Times New Roman"/>
          <w:color w:val="000000" w:themeColor="text1"/>
          <w:sz w:val="24"/>
          <w:szCs w:val="24"/>
          <w:lang w:val="bg-BG"/>
        </w:rPr>
        <w:t>1 г.) – Балчик. Подходящ и за по-продължителен престой на малки плавателни съдове, за домуване на яхти и лодки за крайбрежни и международни плавания по вода, водни</w:t>
      </w:r>
    </w:p>
    <w:p w14:paraId="74EF1A9F" w14:textId="77777777" w:rsidR="00677160" w:rsidRPr="00610B1B" w:rsidRDefault="00677160" w:rsidP="00677160">
      <w:pPr>
        <w:pStyle w:val="ListParagraph"/>
        <w:numPr>
          <w:ilvl w:val="0"/>
          <w:numId w:val="108"/>
        </w:numPr>
        <w:spacing w:after="120"/>
        <w:ind w:right="-153"/>
        <w:contextualSpacing w:val="0"/>
        <w:jc w:val="both"/>
        <w:rPr>
          <w:rFonts w:ascii="Times New Roman" w:hAnsi="Times New Roman" w:cs="Times New Roman"/>
          <w:iCs/>
          <w:color w:val="000000" w:themeColor="text1"/>
          <w:sz w:val="24"/>
          <w:szCs w:val="24"/>
          <w:lang w:val="bg-BG"/>
        </w:rPr>
      </w:pPr>
      <w:r w:rsidRPr="00610B1B">
        <w:rPr>
          <w:rFonts w:ascii="Times New Roman" w:hAnsi="Times New Roman" w:cs="Times New Roman"/>
          <w:color w:val="000000" w:themeColor="text1"/>
          <w:sz w:val="24"/>
          <w:szCs w:val="24"/>
          <w:lang w:val="bg-BG"/>
        </w:rPr>
        <w:t>спортове, туризъм и развлекателни програми.</w:t>
      </w:r>
    </w:p>
    <w:p w14:paraId="13DD3389" w14:textId="5882DB4D" w:rsidR="00677160" w:rsidRPr="00610B1B" w:rsidRDefault="00677160" w:rsidP="00677160">
      <w:pPr>
        <w:numPr>
          <w:ilvl w:val="0"/>
          <w:numId w:val="108"/>
        </w:numPr>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b/>
          <w:i/>
          <w:iCs/>
          <w:color w:val="000000" w:themeColor="text1"/>
          <w:sz w:val="24"/>
          <w:szCs w:val="24"/>
          <w:lang w:val="bg-BG"/>
        </w:rPr>
        <w:t>Яхтено пристанище „Корабостроител</w:t>
      </w:r>
      <w:r w:rsidRPr="00610B1B">
        <w:rPr>
          <w:rFonts w:ascii="Times New Roman" w:hAnsi="Times New Roman" w:cs="Times New Roman"/>
          <w:b/>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(регистрирано под № 6/</w:t>
      </w:r>
      <w:r w:rsidR="00256B95">
        <w:rPr>
          <w:rFonts w:ascii="Times New Roman" w:hAnsi="Times New Roman" w:cs="Times New Roman"/>
          <w:color w:val="000000" w:themeColor="text1"/>
          <w:sz w:val="24"/>
          <w:szCs w:val="24"/>
          <w:lang w:val="bg-BG"/>
        </w:rPr>
        <w:t>17</w:t>
      </w:r>
      <w:r w:rsidRPr="00610B1B">
        <w:rPr>
          <w:rFonts w:ascii="Times New Roman" w:hAnsi="Times New Roman" w:cs="Times New Roman"/>
          <w:color w:val="000000" w:themeColor="text1"/>
          <w:sz w:val="24"/>
          <w:szCs w:val="24"/>
          <w:lang w:val="bg-BG"/>
        </w:rPr>
        <w:t>.</w:t>
      </w:r>
      <w:r w:rsidR="00256B95">
        <w:rPr>
          <w:rFonts w:ascii="Times New Roman" w:hAnsi="Times New Roman" w:cs="Times New Roman"/>
          <w:color w:val="000000" w:themeColor="text1"/>
          <w:sz w:val="24"/>
          <w:szCs w:val="24"/>
          <w:lang w:val="bg-BG"/>
        </w:rPr>
        <w:t>11</w:t>
      </w:r>
      <w:r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2</w:t>
      </w:r>
      <w:r w:rsidRPr="00610B1B">
        <w:rPr>
          <w:rFonts w:ascii="Times New Roman" w:hAnsi="Times New Roman" w:cs="Times New Roman"/>
          <w:color w:val="000000" w:themeColor="text1"/>
          <w:sz w:val="24"/>
          <w:szCs w:val="24"/>
          <w:lang w:val="bg-BG"/>
        </w:rPr>
        <w:t>1 г.)</w:t>
      </w:r>
      <w:r w:rsidRPr="00610B1B">
        <w:rPr>
          <w:rFonts w:ascii="Times New Roman" w:hAnsi="Times New Roman" w:cs="Times New Roman"/>
          <w:color w:val="000000" w:themeColor="text1"/>
          <w:sz w:val="24"/>
          <w:szCs w:val="24"/>
          <w:lang w:val="bg-BG"/>
        </w:rPr>
        <w:cr/>
        <w:t>- разположено във Варненското езеро с капацитет за домуване и/или приставане на около 20 лодки.</w:t>
      </w:r>
      <w:r w:rsidR="008753B6" w:rsidRPr="00610B1B">
        <w:rPr>
          <w:rFonts w:ascii="Times New Roman" w:hAnsi="Times New Roman" w:cs="Times New Roman"/>
          <w:color w:val="000000" w:themeColor="text1"/>
          <w:lang w:val="bg-BG"/>
        </w:rPr>
        <w:t xml:space="preserve"> </w:t>
      </w:r>
      <w:r w:rsidRPr="00610B1B">
        <w:rPr>
          <w:rFonts w:ascii="Times New Roman" w:hAnsi="Times New Roman" w:cs="Times New Roman"/>
          <w:color w:val="000000" w:themeColor="text1"/>
          <w:lang w:val="bg-BG"/>
        </w:rPr>
        <w:t>Предлага м</w:t>
      </w:r>
      <w:r w:rsidRPr="00610B1B">
        <w:rPr>
          <w:rFonts w:ascii="Times New Roman" w:hAnsi="Times New Roman" w:cs="Times New Roman"/>
          <w:color w:val="000000" w:themeColor="text1"/>
          <w:sz w:val="24"/>
          <w:szCs w:val="24"/>
          <w:lang w:val="bg-BG"/>
        </w:rPr>
        <w:t>орско технически пристанищни дейности и услуги по чл. 116, ал. 3, т. 2 от ЗМПВВППРБ</w:t>
      </w:r>
      <w:r w:rsidR="00BD0893">
        <w:rPr>
          <w:rFonts w:ascii="Times New Roman" w:hAnsi="Times New Roman" w:cs="Times New Roman"/>
          <w:color w:val="000000" w:themeColor="text1"/>
          <w:sz w:val="24"/>
          <w:szCs w:val="24"/>
          <w:lang w:val="bg-BG"/>
        </w:rPr>
        <w:t xml:space="preserve"> </w:t>
      </w:r>
      <w:r w:rsidR="00BD0893" w:rsidRPr="00BD0893">
        <w:rPr>
          <w:rFonts w:ascii="Times New Roman" w:hAnsi="Times New Roman" w:cs="Times New Roman"/>
          <w:color w:val="000000" w:themeColor="text1"/>
          <w:sz w:val="24"/>
          <w:szCs w:val="24"/>
          <w:lang w:val="bg-BG"/>
        </w:rPr>
        <w:t>(понастоящем по чл. 116, ал.2 т.1 от ЗМПВВППРБ)</w:t>
      </w:r>
      <w:r w:rsidRPr="00610B1B">
        <w:rPr>
          <w:rFonts w:ascii="Times New Roman" w:hAnsi="Times New Roman" w:cs="Times New Roman"/>
          <w:color w:val="000000" w:themeColor="text1"/>
          <w:sz w:val="24"/>
          <w:szCs w:val="24"/>
          <w:lang w:val="bg-BG"/>
        </w:rPr>
        <w:t>: швартоване, снабдяване на корабите с вода и електрическа енергия; приемане и обработване на отпадъци от корабоплавателна дейност (съгласно Анекс V от МАРПОЛ 73/78).</w:t>
      </w:r>
    </w:p>
    <w:p w14:paraId="280EC64B" w14:textId="30E1CEA9" w:rsidR="00677160" w:rsidRPr="00610B1B" w:rsidRDefault="00677160" w:rsidP="00677160">
      <w:pPr>
        <w:numPr>
          <w:ilvl w:val="0"/>
          <w:numId w:val="108"/>
        </w:numPr>
        <w:spacing w:after="120"/>
        <w:ind w:right="-153"/>
        <w:jc w:val="both"/>
        <w:rPr>
          <w:rFonts w:ascii="Times New Roman" w:hAnsi="Times New Roman" w:cs="Times New Roman"/>
          <w:color w:val="000000" w:themeColor="text1"/>
          <w:sz w:val="24"/>
          <w:szCs w:val="24"/>
          <w:lang w:val="bg-BG"/>
        </w:rPr>
      </w:pPr>
      <w:r w:rsidRPr="00610B1B">
        <w:rPr>
          <w:rFonts w:ascii="Times New Roman" w:hAnsi="Times New Roman" w:cs="Times New Roman"/>
          <w:b/>
          <w:i/>
          <w:iCs/>
          <w:color w:val="000000" w:themeColor="text1"/>
          <w:sz w:val="24"/>
          <w:szCs w:val="24"/>
          <w:lang w:val="bg-BG"/>
        </w:rPr>
        <w:t>Яхтено пристанище „Тортуга Марина</w:t>
      </w:r>
      <w:r w:rsidRPr="00610B1B">
        <w:rPr>
          <w:rFonts w:ascii="Times New Roman" w:hAnsi="Times New Roman" w:cs="Times New Roman"/>
          <w:b/>
          <w:color w:val="000000" w:themeColor="text1"/>
          <w:sz w:val="24"/>
          <w:szCs w:val="24"/>
          <w:lang w:val="bg-BG"/>
        </w:rPr>
        <w:t>“</w:t>
      </w:r>
      <w:r w:rsidRPr="00610B1B">
        <w:rPr>
          <w:rFonts w:ascii="Times New Roman" w:hAnsi="Times New Roman" w:cs="Times New Roman"/>
          <w:color w:val="000000" w:themeColor="text1"/>
          <w:sz w:val="24"/>
          <w:szCs w:val="24"/>
          <w:lang w:val="bg-BG"/>
        </w:rPr>
        <w:t xml:space="preserve"> (регистрирано под № 7/</w:t>
      </w:r>
      <w:r w:rsidR="00256B95">
        <w:rPr>
          <w:rFonts w:ascii="Times New Roman" w:hAnsi="Times New Roman" w:cs="Times New Roman"/>
          <w:color w:val="000000" w:themeColor="text1"/>
          <w:sz w:val="24"/>
          <w:szCs w:val="24"/>
          <w:lang w:val="bg-BG"/>
        </w:rPr>
        <w:t>3</w:t>
      </w:r>
      <w:r w:rsidRPr="00610B1B">
        <w:rPr>
          <w:rFonts w:ascii="Times New Roman" w:hAnsi="Times New Roman" w:cs="Times New Roman"/>
          <w:color w:val="000000" w:themeColor="text1"/>
          <w:sz w:val="24"/>
          <w:szCs w:val="24"/>
          <w:lang w:val="bg-BG"/>
        </w:rPr>
        <w:t>1.0</w:t>
      </w:r>
      <w:r w:rsidR="00256B95">
        <w:rPr>
          <w:rFonts w:ascii="Times New Roman" w:hAnsi="Times New Roman" w:cs="Times New Roman"/>
          <w:color w:val="000000" w:themeColor="text1"/>
          <w:sz w:val="24"/>
          <w:szCs w:val="24"/>
          <w:lang w:val="bg-BG"/>
        </w:rPr>
        <w:t>5</w:t>
      </w:r>
      <w:r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22</w:t>
      </w:r>
      <w:r w:rsidRPr="00610B1B">
        <w:rPr>
          <w:rFonts w:ascii="Times New Roman" w:hAnsi="Times New Roman" w:cs="Times New Roman"/>
          <w:color w:val="000000" w:themeColor="text1"/>
          <w:sz w:val="24"/>
          <w:szCs w:val="24"/>
          <w:lang w:val="bg-BG"/>
        </w:rPr>
        <w:t xml:space="preserve"> г.) - в Западната промишлена зона в района на „Максуда“, с капацитет за домуване или приставане на около 30 яхти и лодки за крайбрежни и международни плавания по вода, водни спортове, туризъм и развлекателни програми. </w:t>
      </w:r>
    </w:p>
    <w:p w14:paraId="59D9F593" w14:textId="77777777" w:rsidR="00677160" w:rsidRPr="00610B1B" w:rsidRDefault="00677160" w:rsidP="00677160">
      <w:pPr>
        <w:spacing w:after="120"/>
        <w:ind w:right="-153"/>
        <w:jc w:val="both"/>
        <w:rPr>
          <w:rFonts w:ascii="Times New Roman" w:hAnsi="Times New Roman" w:cs="Times New Roman"/>
          <w:bCs/>
          <w:color w:val="000000" w:themeColor="text1"/>
          <w:sz w:val="24"/>
          <w:szCs w:val="24"/>
          <w:lang w:val="bg-BG"/>
        </w:rPr>
      </w:pPr>
      <w:r w:rsidRPr="00610B1B">
        <w:rPr>
          <w:rFonts w:ascii="Times New Roman" w:hAnsi="Times New Roman" w:cs="Times New Roman"/>
          <w:bCs/>
          <w:color w:val="000000" w:themeColor="text1"/>
          <w:sz w:val="24"/>
          <w:szCs w:val="24"/>
          <w:lang w:val="bg-BG"/>
        </w:rPr>
        <w:t>На южното Черноморско крайбрежие са регистрирани 8 яхтени пристанища:</w:t>
      </w:r>
    </w:p>
    <w:p w14:paraId="19AEE970" w14:textId="09723B81" w:rsidR="00677160" w:rsidRPr="00610B1B" w:rsidRDefault="00677160" w:rsidP="00677160">
      <w:pPr>
        <w:pStyle w:val="ListParagraph"/>
        <w:numPr>
          <w:ilvl w:val="0"/>
          <w:numId w:val="109"/>
        </w:numPr>
        <w:spacing w:after="120"/>
        <w:ind w:right="-153"/>
        <w:jc w:val="both"/>
        <w:rPr>
          <w:rFonts w:ascii="Times New Roman" w:hAnsi="Times New Roman" w:cs="Times New Roman"/>
          <w:bCs/>
          <w:color w:val="000000" w:themeColor="text1"/>
          <w:sz w:val="24"/>
          <w:szCs w:val="24"/>
          <w:lang w:val="bg-BG"/>
        </w:rPr>
      </w:pPr>
      <w:r w:rsidRPr="00610B1B">
        <w:rPr>
          <w:rFonts w:ascii="Times New Roman" w:hAnsi="Times New Roman" w:cs="Times New Roman"/>
          <w:b/>
          <w:i/>
          <w:iCs/>
          <w:color w:val="000000" w:themeColor="text1"/>
          <w:sz w:val="24"/>
          <w:szCs w:val="24"/>
          <w:lang w:val="bg-BG"/>
        </w:rPr>
        <w:lastRenderedPageBreak/>
        <w:t>Яхтено пристанище „Марина Порт Созопол</w:t>
      </w:r>
      <w:r w:rsidRPr="00610B1B">
        <w:rPr>
          <w:rFonts w:ascii="Times New Roman" w:hAnsi="Times New Roman" w:cs="Times New Roman"/>
          <w:bCs/>
          <w:color w:val="000000" w:themeColor="text1"/>
          <w:sz w:val="24"/>
          <w:szCs w:val="24"/>
          <w:lang w:val="bg-BG"/>
        </w:rPr>
        <w:t>“</w:t>
      </w:r>
      <w:r w:rsidR="008753B6" w:rsidRPr="00610B1B">
        <w:rPr>
          <w:rFonts w:ascii="Times New Roman" w:hAnsi="Times New Roman" w:cs="Times New Roman"/>
          <w:bCs/>
          <w:color w:val="000000" w:themeColor="text1"/>
          <w:sz w:val="24"/>
          <w:szCs w:val="24"/>
          <w:lang w:val="bg-BG"/>
        </w:rPr>
        <w:t xml:space="preserve"> </w:t>
      </w:r>
      <w:r w:rsidRPr="00610B1B">
        <w:rPr>
          <w:rFonts w:ascii="Times New Roman" w:hAnsi="Times New Roman" w:cs="Times New Roman"/>
          <w:bCs/>
          <w:color w:val="000000" w:themeColor="text1"/>
          <w:sz w:val="24"/>
          <w:szCs w:val="24"/>
          <w:lang w:val="bg-BG"/>
        </w:rPr>
        <w:t>(регистрирано под №</w:t>
      </w:r>
      <w:r w:rsidR="009907CE" w:rsidRPr="00610B1B">
        <w:rPr>
          <w:rFonts w:ascii="Times New Roman" w:hAnsi="Times New Roman" w:cs="Times New Roman"/>
          <w:bCs/>
          <w:color w:val="000000" w:themeColor="text1"/>
          <w:sz w:val="24"/>
          <w:szCs w:val="24"/>
          <w:lang w:val="en-US"/>
        </w:rPr>
        <w:t> </w:t>
      </w:r>
      <w:r w:rsidRPr="00610B1B">
        <w:rPr>
          <w:rFonts w:ascii="Times New Roman" w:hAnsi="Times New Roman" w:cs="Times New Roman"/>
          <w:bCs/>
          <w:color w:val="000000" w:themeColor="text1"/>
          <w:sz w:val="24"/>
          <w:szCs w:val="24"/>
          <w:lang w:val="bg-BG"/>
        </w:rPr>
        <w:t>1/</w:t>
      </w:r>
      <w:r w:rsidR="00256B95">
        <w:rPr>
          <w:rFonts w:ascii="Times New Roman" w:hAnsi="Times New Roman" w:cs="Times New Roman"/>
          <w:bCs/>
          <w:color w:val="000000" w:themeColor="text1"/>
          <w:sz w:val="24"/>
          <w:szCs w:val="24"/>
          <w:lang w:val="bg-BG"/>
        </w:rPr>
        <w:t>0</w:t>
      </w:r>
      <w:r w:rsidRPr="00610B1B">
        <w:rPr>
          <w:rFonts w:ascii="Times New Roman" w:hAnsi="Times New Roman" w:cs="Times New Roman"/>
          <w:bCs/>
          <w:color w:val="000000" w:themeColor="text1"/>
          <w:sz w:val="24"/>
          <w:szCs w:val="24"/>
          <w:lang w:val="bg-BG"/>
        </w:rPr>
        <w:t>3.0</w:t>
      </w:r>
      <w:r w:rsidR="00256B95">
        <w:rPr>
          <w:rFonts w:ascii="Times New Roman" w:hAnsi="Times New Roman" w:cs="Times New Roman"/>
          <w:bCs/>
          <w:color w:val="000000" w:themeColor="text1"/>
          <w:sz w:val="24"/>
          <w:szCs w:val="24"/>
          <w:lang w:val="bg-BG"/>
        </w:rPr>
        <w:t>6</w:t>
      </w:r>
      <w:r w:rsidRPr="00610B1B">
        <w:rPr>
          <w:rFonts w:ascii="Times New Roman" w:hAnsi="Times New Roman" w:cs="Times New Roman"/>
          <w:bCs/>
          <w:color w:val="000000" w:themeColor="text1"/>
          <w:sz w:val="24"/>
          <w:szCs w:val="24"/>
          <w:lang w:val="bg-BG"/>
        </w:rPr>
        <w:t>.20</w:t>
      </w:r>
      <w:r w:rsidR="00256B95">
        <w:rPr>
          <w:rFonts w:ascii="Times New Roman" w:hAnsi="Times New Roman" w:cs="Times New Roman"/>
          <w:bCs/>
          <w:color w:val="000000" w:themeColor="text1"/>
          <w:sz w:val="24"/>
          <w:szCs w:val="24"/>
          <w:lang w:val="bg-BG"/>
        </w:rPr>
        <w:t>13</w:t>
      </w:r>
      <w:r w:rsidR="009907CE" w:rsidRPr="00610B1B">
        <w:rPr>
          <w:rFonts w:ascii="Times New Roman" w:hAnsi="Times New Roman" w:cs="Times New Roman"/>
          <w:bCs/>
          <w:color w:val="000000" w:themeColor="text1"/>
          <w:sz w:val="24"/>
          <w:szCs w:val="24"/>
          <w:lang w:val="en-US"/>
        </w:rPr>
        <w:t> </w:t>
      </w:r>
      <w:r w:rsidRPr="00610B1B">
        <w:rPr>
          <w:rFonts w:ascii="Times New Roman" w:hAnsi="Times New Roman" w:cs="Times New Roman"/>
          <w:bCs/>
          <w:color w:val="000000" w:themeColor="text1"/>
          <w:sz w:val="24"/>
          <w:szCs w:val="24"/>
          <w:lang w:val="bg-BG"/>
        </w:rPr>
        <w:t>г.) – за приставане, домуване и престой на яхти и лодки с цел извършване на развлекателна и туристически дейности.</w:t>
      </w:r>
    </w:p>
    <w:p w14:paraId="663E29C7" w14:textId="51B5B8E0" w:rsidR="00677160" w:rsidRPr="00610B1B" w:rsidRDefault="00677160" w:rsidP="00677160">
      <w:pPr>
        <w:pStyle w:val="ListParagraph"/>
        <w:numPr>
          <w:ilvl w:val="0"/>
          <w:numId w:val="109"/>
        </w:numPr>
        <w:spacing w:after="120"/>
        <w:ind w:right="-153"/>
        <w:jc w:val="both"/>
        <w:rPr>
          <w:rFonts w:ascii="Times New Roman" w:hAnsi="Times New Roman" w:cs="Times New Roman"/>
          <w:bCs/>
          <w:color w:val="000000" w:themeColor="text1"/>
          <w:sz w:val="24"/>
          <w:szCs w:val="24"/>
          <w:lang w:val="bg-BG"/>
        </w:rPr>
      </w:pPr>
      <w:r w:rsidRPr="00610B1B">
        <w:rPr>
          <w:rFonts w:ascii="Times New Roman" w:hAnsi="Times New Roman" w:cs="Times New Roman"/>
          <w:b/>
          <w:bCs/>
          <w:i/>
          <w:iCs/>
          <w:color w:val="000000" w:themeColor="text1"/>
          <w:sz w:val="24"/>
          <w:szCs w:val="24"/>
          <w:lang w:val="bg-BG"/>
        </w:rPr>
        <w:t xml:space="preserve">Яхтено пристанище към Национална ветроходна база Несебър </w:t>
      </w:r>
      <w:r w:rsidRPr="00610B1B">
        <w:rPr>
          <w:rFonts w:ascii="Times New Roman" w:hAnsi="Times New Roman" w:cs="Times New Roman"/>
          <w:color w:val="000000" w:themeColor="text1"/>
          <w:sz w:val="24"/>
          <w:szCs w:val="24"/>
          <w:lang w:val="bg-BG"/>
        </w:rPr>
        <w:t>(регистрирано под № 2/</w:t>
      </w:r>
      <w:r w:rsidR="00256B95" w:rsidRPr="00610B1B">
        <w:rPr>
          <w:rFonts w:ascii="Times New Roman" w:hAnsi="Times New Roman" w:cs="Times New Roman"/>
          <w:color w:val="000000" w:themeColor="text1"/>
          <w:sz w:val="24"/>
          <w:szCs w:val="24"/>
          <w:lang w:val="bg-BG"/>
        </w:rPr>
        <w:t>2</w:t>
      </w:r>
      <w:r w:rsidR="00256B95">
        <w:rPr>
          <w:rFonts w:ascii="Times New Roman" w:hAnsi="Times New Roman" w:cs="Times New Roman"/>
          <w:color w:val="000000" w:themeColor="text1"/>
          <w:sz w:val="24"/>
          <w:szCs w:val="24"/>
          <w:lang w:val="bg-BG"/>
        </w:rPr>
        <w:t>3</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0</w:t>
      </w:r>
      <w:r w:rsidR="00256B95">
        <w:rPr>
          <w:rFonts w:ascii="Times New Roman" w:hAnsi="Times New Roman" w:cs="Times New Roman"/>
          <w:color w:val="000000" w:themeColor="text1"/>
          <w:sz w:val="24"/>
          <w:szCs w:val="24"/>
          <w:lang w:val="bg-BG"/>
        </w:rPr>
        <w:t>4</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18</w:t>
      </w:r>
      <w:r w:rsidR="00256B95"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г.)</w:t>
      </w:r>
      <w:r w:rsidR="008753B6"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 С капацитет за приставане, домуване и престой на около 40 лодки или яхти за упражняване на водни спортове и развлекателни програми.</w:t>
      </w:r>
    </w:p>
    <w:p w14:paraId="79D5AB0E" w14:textId="280456C7" w:rsidR="00677160" w:rsidRPr="00610B1B" w:rsidRDefault="00677160" w:rsidP="00677160">
      <w:pPr>
        <w:pStyle w:val="ListParagraph"/>
        <w:numPr>
          <w:ilvl w:val="0"/>
          <w:numId w:val="109"/>
        </w:numPr>
        <w:spacing w:after="120"/>
        <w:ind w:right="-153"/>
        <w:contextualSpacing w:val="0"/>
        <w:jc w:val="both"/>
        <w:rPr>
          <w:rFonts w:ascii="Times New Roman" w:hAnsi="Times New Roman" w:cs="Times New Roman"/>
          <w:color w:val="000000" w:themeColor="text1"/>
          <w:sz w:val="24"/>
          <w:szCs w:val="24"/>
          <w:lang w:val="bg-BG"/>
        </w:rPr>
      </w:pPr>
      <w:r w:rsidRPr="00610B1B">
        <w:rPr>
          <w:rFonts w:ascii="Times New Roman" w:hAnsi="Times New Roman" w:cs="Times New Roman"/>
          <w:b/>
          <w:bCs/>
          <w:i/>
          <w:iCs/>
          <w:color w:val="000000" w:themeColor="text1"/>
          <w:sz w:val="24"/>
          <w:szCs w:val="24"/>
          <w:lang w:val="bg-BG"/>
        </w:rPr>
        <w:t>Яхтено пристанище „Дюни“</w:t>
      </w:r>
      <w:r w:rsidRPr="00610B1B">
        <w:rPr>
          <w:rFonts w:ascii="Times New Roman" w:hAnsi="Times New Roman" w:cs="Times New Roman"/>
          <w:color w:val="000000" w:themeColor="text1"/>
          <w:sz w:val="24"/>
          <w:szCs w:val="24"/>
          <w:lang w:val="bg-BG"/>
        </w:rPr>
        <w:t xml:space="preserve"> (регистрирано под № 3/</w:t>
      </w:r>
      <w:r w:rsidR="00256B95" w:rsidRPr="00610B1B">
        <w:rPr>
          <w:rFonts w:ascii="Times New Roman" w:hAnsi="Times New Roman" w:cs="Times New Roman"/>
          <w:color w:val="000000" w:themeColor="text1"/>
          <w:sz w:val="24"/>
          <w:szCs w:val="24"/>
          <w:lang w:val="bg-BG"/>
        </w:rPr>
        <w:t>2</w:t>
      </w:r>
      <w:r w:rsidR="00256B95">
        <w:rPr>
          <w:rFonts w:ascii="Times New Roman" w:hAnsi="Times New Roman" w:cs="Times New Roman"/>
          <w:color w:val="000000" w:themeColor="text1"/>
          <w:sz w:val="24"/>
          <w:szCs w:val="24"/>
          <w:lang w:val="bg-BG"/>
        </w:rPr>
        <w:t>4</w:t>
      </w:r>
      <w:r w:rsidRPr="00610B1B">
        <w:rPr>
          <w:rFonts w:ascii="Times New Roman" w:hAnsi="Times New Roman" w:cs="Times New Roman"/>
          <w:color w:val="000000" w:themeColor="text1"/>
          <w:sz w:val="24"/>
          <w:szCs w:val="24"/>
          <w:lang w:val="bg-BG"/>
        </w:rPr>
        <w:t>.0</w:t>
      </w:r>
      <w:r w:rsidR="00256B95">
        <w:rPr>
          <w:rFonts w:ascii="Times New Roman" w:hAnsi="Times New Roman" w:cs="Times New Roman"/>
          <w:color w:val="000000" w:themeColor="text1"/>
          <w:sz w:val="24"/>
          <w:szCs w:val="24"/>
          <w:lang w:val="bg-BG"/>
        </w:rPr>
        <w:t>7</w:t>
      </w:r>
      <w:r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14</w:t>
      </w:r>
      <w:r w:rsidRPr="00610B1B">
        <w:rPr>
          <w:rFonts w:ascii="Times New Roman" w:hAnsi="Times New Roman" w:cs="Times New Roman"/>
          <w:color w:val="000000" w:themeColor="text1"/>
          <w:sz w:val="24"/>
          <w:szCs w:val="24"/>
          <w:lang w:val="bg-BG"/>
        </w:rPr>
        <w:t xml:space="preserve"> г.) – за целогодишно приставане, домуване и престой на яхти за упражняване на водни спортове и развлекателни програми с капацитет до 37 съда.</w:t>
      </w:r>
    </w:p>
    <w:p w14:paraId="15102A48" w14:textId="16F4D402" w:rsidR="00677160" w:rsidRPr="00610B1B" w:rsidRDefault="00677160" w:rsidP="00677160">
      <w:pPr>
        <w:pStyle w:val="ListParagraph"/>
        <w:numPr>
          <w:ilvl w:val="0"/>
          <w:numId w:val="109"/>
        </w:numPr>
        <w:spacing w:after="120"/>
        <w:ind w:right="-153"/>
        <w:contextualSpacing w:val="0"/>
        <w:jc w:val="both"/>
        <w:rPr>
          <w:rFonts w:ascii="Times New Roman" w:hAnsi="Times New Roman" w:cs="Times New Roman"/>
          <w:color w:val="000000" w:themeColor="text1"/>
          <w:sz w:val="24"/>
          <w:szCs w:val="24"/>
          <w:lang w:val="bg-BG"/>
        </w:rPr>
      </w:pPr>
      <w:r w:rsidRPr="00610B1B">
        <w:rPr>
          <w:rFonts w:ascii="Times New Roman" w:hAnsi="Times New Roman" w:cs="Times New Roman"/>
          <w:b/>
          <w:i/>
          <w:color w:val="000000" w:themeColor="text1"/>
          <w:sz w:val="24"/>
          <w:szCs w:val="24"/>
          <w:lang w:val="bg-BG"/>
        </w:rPr>
        <w:t>Яхтено пристанище „Марина Диневи“</w:t>
      </w:r>
      <w:r w:rsidRPr="00610B1B">
        <w:rPr>
          <w:rFonts w:ascii="Times New Roman" w:hAnsi="Times New Roman" w:cs="Times New Roman"/>
          <w:b/>
          <w:color w:val="000000" w:themeColor="text1"/>
          <w:sz w:val="24"/>
          <w:szCs w:val="24"/>
          <w:lang w:val="bg-BG"/>
        </w:rPr>
        <w:t xml:space="preserve"> </w:t>
      </w:r>
      <w:bookmarkStart w:id="370" w:name="_Hlk67838842"/>
      <w:r w:rsidRPr="00610B1B">
        <w:rPr>
          <w:rFonts w:ascii="Times New Roman" w:hAnsi="Times New Roman" w:cs="Times New Roman"/>
          <w:bCs/>
          <w:color w:val="000000" w:themeColor="text1"/>
          <w:sz w:val="24"/>
          <w:szCs w:val="24"/>
          <w:lang w:val="bg-BG"/>
        </w:rPr>
        <w:t>(регистрирано под №</w:t>
      </w:r>
      <w:r w:rsidRPr="00610B1B">
        <w:rPr>
          <w:rFonts w:ascii="Times New Roman" w:hAnsi="Times New Roman" w:cs="Times New Roman"/>
          <w:b/>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4/</w:t>
      </w:r>
      <w:r w:rsidR="00256B95">
        <w:rPr>
          <w:rFonts w:ascii="Times New Roman" w:hAnsi="Times New Roman" w:cs="Times New Roman"/>
          <w:color w:val="000000" w:themeColor="text1"/>
          <w:sz w:val="24"/>
          <w:szCs w:val="24"/>
          <w:lang w:val="bg-BG"/>
        </w:rPr>
        <w:t>17</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0</w:t>
      </w:r>
      <w:r w:rsidR="00256B95">
        <w:rPr>
          <w:rFonts w:ascii="Times New Roman" w:hAnsi="Times New Roman" w:cs="Times New Roman"/>
          <w:color w:val="000000" w:themeColor="text1"/>
          <w:sz w:val="24"/>
          <w:szCs w:val="24"/>
          <w:lang w:val="bg-BG"/>
        </w:rPr>
        <w:t>1</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13</w:t>
      </w:r>
      <w:r w:rsidR="00256B95"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 xml:space="preserve">г.) </w:t>
      </w:r>
      <w:bookmarkEnd w:id="370"/>
      <w:r w:rsidRPr="00610B1B">
        <w:rPr>
          <w:rFonts w:ascii="Times New Roman" w:hAnsi="Times New Roman" w:cs="Times New Roman"/>
          <w:color w:val="000000" w:themeColor="text1"/>
          <w:sz w:val="24"/>
          <w:szCs w:val="24"/>
          <w:lang w:val="bg-BG"/>
        </w:rPr>
        <w:t xml:space="preserve">– частно яхтено пристанище в гр. Свети Влас, пригодено за около 300 плавателни съда, с разнообразни услуги за посетителите. Условията са подходящи за домуване и за временен престой. От няколко години пристанището се удостоява със световния сертификат „Син флаг“ - единственото българско пристанище с всепризнатия атестат за високо качество на средата и предлаганите услуги. </w:t>
      </w:r>
    </w:p>
    <w:p w14:paraId="2832B8BE" w14:textId="36B15B59" w:rsidR="00677160" w:rsidRPr="00610B1B" w:rsidRDefault="00677160" w:rsidP="00677160">
      <w:pPr>
        <w:pStyle w:val="ListParagraph"/>
        <w:numPr>
          <w:ilvl w:val="0"/>
          <w:numId w:val="109"/>
        </w:numPr>
        <w:spacing w:after="120"/>
        <w:ind w:right="-153"/>
        <w:contextualSpacing w:val="0"/>
        <w:jc w:val="both"/>
        <w:rPr>
          <w:rFonts w:ascii="Times New Roman" w:hAnsi="Times New Roman" w:cs="Times New Roman"/>
          <w:color w:val="000000" w:themeColor="text1"/>
          <w:sz w:val="24"/>
          <w:szCs w:val="24"/>
          <w:lang w:val="bg-BG"/>
        </w:rPr>
      </w:pPr>
      <w:r w:rsidRPr="00610B1B">
        <w:rPr>
          <w:rFonts w:ascii="Times New Roman" w:hAnsi="Times New Roman" w:cs="Times New Roman"/>
          <w:b/>
          <w:i/>
          <w:color w:val="000000" w:themeColor="text1"/>
          <w:sz w:val="24"/>
          <w:szCs w:val="24"/>
          <w:lang w:val="bg-BG"/>
        </w:rPr>
        <w:t>Яхтено пристанище „Марина Несебър“</w:t>
      </w:r>
      <w:r w:rsidRPr="00610B1B">
        <w:rPr>
          <w:rFonts w:ascii="Times New Roman" w:hAnsi="Times New Roman" w:cs="Times New Roman"/>
          <w:color w:val="000000" w:themeColor="text1"/>
          <w:sz w:val="24"/>
          <w:szCs w:val="24"/>
          <w:lang w:val="bg-BG"/>
        </w:rPr>
        <w:t xml:space="preserve"> (регистрирано под № 5/</w:t>
      </w:r>
      <w:r w:rsidR="00256B95">
        <w:rPr>
          <w:rFonts w:ascii="Times New Roman" w:hAnsi="Times New Roman" w:cs="Times New Roman"/>
          <w:color w:val="000000" w:themeColor="text1"/>
          <w:sz w:val="24"/>
          <w:szCs w:val="24"/>
          <w:lang w:val="bg-BG"/>
        </w:rPr>
        <w:t>19</w:t>
      </w:r>
      <w:r w:rsidRPr="00610B1B">
        <w:rPr>
          <w:rFonts w:ascii="Times New Roman" w:hAnsi="Times New Roman" w:cs="Times New Roman"/>
          <w:color w:val="000000" w:themeColor="text1"/>
          <w:sz w:val="24"/>
          <w:szCs w:val="24"/>
          <w:lang w:val="bg-BG"/>
        </w:rPr>
        <w:t>.</w:t>
      </w:r>
      <w:r w:rsidR="00256B95">
        <w:rPr>
          <w:rFonts w:ascii="Times New Roman" w:hAnsi="Times New Roman" w:cs="Times New Roman"/>
          <w:color w:val="000000" w:themeColor="text1"/>
          <w:sz w:val="24"/>
          <w:szCs w:val="24"/>
          <w:lang w:val="bg-BG"/>
        </w:rPr>
        <w:t>04</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12</w:t>
      </w:r>
      <w:r w:rsidR="00256B95"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г.)</w:t>
      </w:r>
      <w:r w:rsidR="008753B6"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 xml:space="preserve">-луксозно яхтено пристанище с разнообразни услуги за плавателните съдове и за екипажите и пътниците им. </w:t>
      </w:r>
    </w:p>
    <w:p w14:paraId="3CE6076C" w14:textId="2C0BC2FD" w:rsidR="00677160" w:rsidRPr="00610B1B" w:rsidRDefault="00677160" w:rsidP="00677160">
      <w:pPr>
        <w:pStyle w:val="ListParagraph"/>
        <w:numPr>
          <w:ilvl w:val="0"/>
          <w:numId w:val="109"/>
        </w:numPr>
        <w:spacing w:after="120"/>
        <w:ind w:right="-153"/>
        <w:contextualSpacing w:val="0"/>
        <w:jc w:val="both"/>
        <w:rPr>
          <w:rFonts w:ascii="Times New Roman" w:hAnsi="Times New Roman" w:cs="Times New Roman"/>
          <w:color w:val="000000" w:themeColor="text1"/>
          <w:sz w:val="24"/>
          <w:szCs w:val="24"/>
          <w:lang w:val="bg-BG"/>
        </w:rPr>
      </w:pPr>
      <w:r w:rsidRPr="00610B1B">
        <w:rPr>
          <w:rFonts w:ascii="Times New Roman" w:hAnsi="Times New Roman" w:cs="Times New Roman"/>
          <w:b/>
          <w:bCs/>
          <w:i/>
          <w:iCs/>
          <w:color w:val="000000" w:themeColor="text1"/>
          <w:sz w:val="24"/>
          <w:szCs w:val="24"/>
          <w:lang w:val="bg-BG"/>
        </w:rPr>
        <w:t>Яхтено пристанище „Марина Созопол”</w:t>
      </w:r>
      <w:r w:rsidR="008753B6"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(регистрирано под № 6/</w:t>
      </w:r>
      <w:r w:rsidR="00256B95" w:rsidRPr="00610B1B">
        <w:rPr>
          <w:rFonts w:ascii="Times New Roman" w:hAnsi="Times New Roman" w:cs="Times New Roman"/>
          <w:color w:val="000000" w:themeColor="text1"/>
          <w:sz w:val="24"/>
          <w:szCs w:val="24"/>
          <w:lang w:val="bg-BG"/>
        </w:rPr>
        <w:t>0</w:t>
      </w:r>
      <w:r w:rsidR="00256B95">
        <w:rPr>
          <w:rFonts w:ascii="Times New Roman" w:hAnsi="Times New Roman" w:cs="Times New Roman"/>
          <w:color w:val="000000" w:themeColor="text1"/>
          <w:sz w:val="24"/>
          <w:szCs w:val="24"/>
          <w:lang w:val="bg-BG"/>
        </w:rPr>
        <w:t>3</w:t>
      </w:r>
      <w:r w:rsidRPr="00610B1B">
        <w:rPr>
          <w:rFonts w:ascii="Times New Roman" w:hAnsi="Times New Roman" w:cs="Times New Roman"/>
          <w:color w:val="000000" w:themeColor="text1"/>
          <w:sz w:val="24"/>
          <w:szCs w:val="24"/>
          <w:lang w:val="bg-BG"/>
        </w:rPr>
        <w:t>.0</w:t>
      </w:r>
      <w:r w:rsidR="00256B95">
        <w:rPr>
          <w:rFonts w:ascii="Times New Roman" w:hAnsi="Times New Roman" w:cs="Times New Roman"/>
          <w:color w:val="000000" w:themeColor="text1"/>
          <w:sz w:val="24"/>
          <w:szCs w:val="24"/>
          <w:lang w:val="bg-BG"/>
        </w:rPr>
        <w:t>6</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20</w:t>
      </w:r>
      <w:r w:rsidR="00256B95">
        <w:rPr>
          <w:rFonts w:ascii="Times New Roman" w:hAnsi="Times New Roman" w:cs="Times New Roman"/>
          <w:color w:val="000000" w:themeColor="text1"/>
          <w:sz w:val="24"/>
          <w:szCs w:val="24"/>
          <w:lang w:val="bg-BG"/>
        </w:rPr>
        <w:t>13</w:t>
      </w:r>
      <w:r w:rsidR="00256B95"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г.) -</w:t>
      </w:r>
      <w:r w:rsidR="008753B6"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Приставане, домуване и престой на яхти за упражняване на крайбрежни и международни плавания, водни спортове и развлекателни програми.</w:t>
      </w:r>
    </w:p>
    <w:p w14:paraId="5FB78F20" w14:textId="0D4E8661" w:rsidR="00677160" w:rsidRPr="00610B1B" w:rsidRDefault="00677160" w:rsidP="00677160">
      <w:pPr>
        <w:pStyle w:val="ListParagraph"/>
        <w:numPr>
          <w:ilvl w:val="0"/>
          <w:numId w:val="109"/>
        </w:numPr>
        <w:jc w:val="both"/>
        <w:rPr>
          <w:rFonts w:ascii="Times New Roman" w:hAnsi="Times New Roman" w:cs="Times New Roman"/>
          <w:color w:val="000000" w:themeColor="text1"/>
          <w:sz w:val="24"/>
          <w:szCs w:val="24"/>
          <w:lang w:val="bg-BG"/>
        </w:rPr>
      </w:pPr>
      <w:r w:rsidRPr="00610B1B">
        <w:rPr>
          <w:rFonts w:ascii="Times New Roman" w:hAnsi="Times New Roman" w:cs="Times New Roman"/>
          <w:b/>
          <w:bCs/>
          <w:i/>
          <w:iCs/>
          <w:color w:val="000000" w:themeColor="text1"/>
          <w:sz w:val="24"/>
          <w:szCs w:val="24"/>
          <w:lang w:val="bg-BG"/>
        </w:rPr>
        <w:t>Яхтено пристанище „Северно пристанище Несебър“</w:t>
      </w:r>
      <w:r w:rsidRPr="00610B1B">
        <w:rPr>
          <w:rFonts w:ascii="Times New Roman" w:hAnsi="Times New Roman" w:cs="Times New Roman"/>
          <w:color w:val="000000" w:themeColor="text1"/>
          <w:sz w:val="24"/>
          <w:szCs w:val="24"/>
          <w:lang w:val="bg-BG"/>
        </w:rPr>
        <w:t xml:space="preserve"> (регистрирано под № 7/</w:t>
      </w:r>
      <w:r w:rsidR="00256B95">
        <w:rPr>
          <w:rFonts w:ascii="Times New Roman" w:hAnsi="Times New Roman" w:cs="Times New Roman"/>
          <w:color w:val="000000" w:themeColor="text1"/>
          <w:sz w:val="24"/>
          <w:szCs w:val="24"/>
          <w:lang w:val="bg-BG"/>
        </w:rPr>
        <w:t>21</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0</w:t>
      </w:r>
      <w:r w:rsidR="00256B95">
        <w:rPr>
          <w:rFonts w:ascii="Times New Roman" w:hAnsi="Times New Roman" w:cs="Times New Roman"/>
          <w:color w:val="000000" w:themeColor="text1"/>
          <w:sz w:val="24"/>
          <w:szCs w:val="24"/>
          <w:lang w:val="bg-BG"/>
        </w:rPr>
        <w:t>3</w:t>
      </w:r>
      <w:r w:rsidRPr="00610B1B">
        <w:rPr>
          <w:rFonts w:ascii="Times New Roman" w:hAnsi="Times New Roman" w:cs="Times New Roman"/>
          <w:color w:val="000000" w:themeColor="text1"/>
          <w:sz w:val="24"/>
          <w:szCs w:val="24"/>
          <w:lang w:val="bg-BG"/>
        </w:rPr>
        <w:t>.</w:t>
      </w:r>
      <w:r w:rsidR="00256B95" w:rsidRPr="00610B1B">
        <w:rPr>
          <w:rFonts w:ascii="Times New Roman" w:hAnsi="Times New Roman" w:cs="Times New Roman"/>
          <w:color w:val="000000" w:themeColor="text1"/>
          <w:sz w:val="24"/>
          <w:szCs w:val="24"/>
          <w:lang w:val="bg-BG"/>
        </w:rPr>
        <w:t>201</w:t>
      </w:r>
      <w:r w:rsidR="00256B95">
        <w:rPr>
          <w:rFonts w:ascii="Times New Roman" w:hAnsi="Times New Roman" w:cs="Times New Roman"/>
          <w:color w:val="000000" w:themeColor="text1"/>
          <w:sz w:val="24"/>
          <w:szCs w:val="24"/>
          <w:lang w:val="bg-BG"/>
        </w:rPr>
        <w:t>8</w:t>
      </w:r>
      <w:r w:rsidR="00256B95"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г.) - ползва се предимно от рибари, но може да се използва за приставане, домуване и престой на яхти или други плавателни съдове до 30-40 бруто-регистър тона.</w:t>
      </w:r>
      <w:r w:rsidRPr="00610B1B">
        <w:rPr>
          <w:rFonts w:ascii="Times New Roman" w:hAnsi="Times New Roman" w:cs="Times New Roman"/>
          <w:color w:val="000000" w:themeColor="text1"/>
          <w:lang w:val="bg-BG"/>
        </w:rPr>
        <w:t xml:space="preserve"> </w:t>
      </w:r>
    </w:p>
    <w:p w14:paraId="1FFAB71D" w14:textId="77777777" w:rsidR="00677160" w:rsidRPr="00610B1B" w:rsidRDefault="00677160" w:rsidP="00677160">
      <w:pPr>
        <w:pStyle w:val="ListParagraph"/>
        <w:numPr>
          <w:ilvl w:val="0"/>
          <w:numId w:val="109"/>
        </w:numPr>
        <w:spacing w:after="120"/>
        <w:ind w:right="-153"/>
        <w:contextualSpacing w:val="0"/>
        <w:jc w:val="both"/>
        <w:rPr>
          <w:rFonts w:ascii="Times New Roman" w:hAnsi="Times New Roman" w:cs="Times New Roman"/>
          <w:color w:val="000000" w:themeColor="text1"/>
          <w:sz w:val="24"/>
          <w:szCs w:val="24"/>
          <w:lang w:val="bg-BG"/>
        </w:rPr>
      </w:pPr>
      <w:r w:rsidRPr="00610B1B">
        <w:rPr>
          <w:rFonts w:ascii="Times New Roman" w:hAnsi="Times New Roman" w:cs="Times New Roman"/>
          <w:b/>
          <w:i/>
          <w:color w:val="000000" w:themeColor="text1"/>
          <w:sz w:val="24"/>
          <w:szCs w:val="24"/>
          <w:lang w:val="bg-BG"/>
        </w:rPr>
        <w:t>Яхтено пристанище „Китен“</w:t>
      </w:r>
      <w:r w:rsidRPr="00610B1B">
        <w:rPr>
          <w:rFonts w:ascii="Times New Roman" w:hAnsi="Times New Roman" w:cs="Times New Roman"/>
          <w:b/>
          <w:color w:val="000000" w:themeColor="text1"/>
          <w:sz w:val="24"/>
          <w:szCs w:val="24"/>
          <w:lang w:val="bg-BG"/>
        </w:rPr>
        <w:t xml:space="preserve"> </w:t>
      </w:r>
      <w:r w:rsidRPr="00610B1B">
        <w:rPr>
          <w:rFonts w:ascii="Times New Roman" w:hAnsi="Times New Roman" w:cs="Times New Roman"/>
          <w:bCs/>
          <w:color w:val="000000" w:themeColor="text1"/>
          <w:sz w:val="24"/>
          <w:szCs w:val="24"/>
          <w:lang w:val="bg-BG"/>
        </w:rPr>
        <w:t>(регистрирано под № 8/14.11.2018 г.)</w:t>
      </w:r>
      <w:r w:rsidRPr="00610B1B">
        <w:rPr>
          <w:rFonts w:ascii="Times New Roman" w:hAnsi="Times New Roman" w:cs="Times New Roman"/>
          <w:color w:val="000000" w:themeColor="text1"/>
          <w:sz w:val="24"/>
          <w:szCs w:val="24"/>
          <w:lang w:val="bg-BG"/>
        </w:rPr>
        <w:t xml:space="preserve"> – голямо и добре оборудвано, което предлага условия за домуване или приставане на яхти и други плавателни средства за спорт, туризъм и развлечение. Разполага с големи хангари, към него има хотел и възможност за зареждане с гориво.</w:t>
      </w:r>
    </w:p>
    <w:p w14:paraId="01F64046" w14:textId="7C6F692A" w:rsidR="00043308" w:rsidRPr="00610B1B" w:rsidRDefault="000B71B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Мно</w:t>
      </w:r>
      <w:bookmarkStart w:id="371" w:name="_Hlk28529257"/>
      <w:r w:rsidRPr="00610B1B">
        <w:rPr>
          <w:rFonts w:ascii="Times New Roman" w:hAnsi="Times New Roman" w:cs="Times New Roman"/>
          <w:sz w:val="24"/>
          <w:szCs w:val="24"/>
          <w:lang w:val="bg-BG"/>
        </w:rPr>
        <w:t>же</w:t>
      </w:r>
      <w:bookmarkEnd w:id="371"/>
      <w:r w:rsidRPr="00610B1B">
        <w:rPr>
          <w:rFonts w:ascii="Times New Roman" w:hAnsi="Times New Roman" w:cs="Times New Roman"/>
          <w:sz w:val="24"/>
          <w:szCs w:val="24"/>
          <w:lang w:val="bg-BG"/>
        </w:rPr>
        <w:t xml:space="preserve">ството </w:t>
      </w:r>
      <w:r w:rsidR="00043308" w:rsidRPr="00610B1B">
        <w:rPr>
          <w:rFonts w:ascii="Times New Roman" w:hAnsi="Times New Roman" w:cs="Times New Roman"/>
          <w:sz w:val="24"/>
          <w:szCs w:val="24"/>
          <w:lang w:val="bg-BG"/>
        </w:rPr>
        <w:t>яхтени стоянки, разположени почти равномерно по цялото ни крайбрежие, предоставят добри условия за цялостни турове по море с посещение на всички забележителни части на българския черноморски бряг. През последните години яхтеният туризъм в България става все по-популярен</w:t>
      </w:r>
      <w:r w:rsidR="00965D79" w:rsidRPr="00610B1B">
        <w:rPr>
          <w:rFonts w:ascii="Times New Roman" w:hAnsi="Times New Roman" w:cs="Times New Roman"/>
          <w:sz w:val="24"/>
          <w:szCs w:val="24"/>
          <w:lang w:val="bg-BG"/>
        </w:rPr>
        <w:t xml:space="preserve">, но все още е във фаза на начално развитие. Потенциалът </w:t>
      </w:r>
      <w:r w:rsidR="00043308" w:rsidRPr="00610B1B">
        <w:rPr>
          <w:rFonts w:ascii="Times New Roman" w:hAnsi="Times New Roman" w:cs="Times New Roman"/>
          <w:sz w:val="24"/>
          <w:szCs w:val="24"/>
          <w:lang w:val="bg-BG"/>
        </w:rPr>
        <w:t>е безспорен и обнадеждаващ. Българското Черноморие предлага силни съчетания от атрактивни ландшафти, културно-исторически ценности, отлични условия за плажуване, много атракции, прилична яхтена инфраструктура и услуги. Всичко това е предпоставка за осезателното му развитие в близко бъдеще.</w:t>
      </w:r>
      <w:r w:rsidR="00133370" w:rsidRPr="00610B1B">
        <w:rPr>
          <w:rFonts w:ascii="Times New Roman" w:hAnsi="Times New Roman" w:cs="Times New Roman"/>
          <w:sz w:val="24"/>
          <w:szCs w:val="24"/>
          <w:lang w:val="bg-BG"/>
        </w:rPr>
        <w:t xml:space="preserve"> </w:t>
      </w:r>
    </w:p>
    <w:p w14:paraId="4A68222C" w14:textId="298CAF6D" w:rsidR="00D91351" w:rsidRPr="00610B1B" w:rsidRDefault="00D91351" w:rsidP="00D91351">
      <w:pPr>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инвестиционната програма на Д</w:t>
      </w:r>
      <w:r w:rsidR="000A31CC" w:rsidRPr="00610B1B">
        <w:rPr>
          <w:rFonts w:ascii="Times New Roman" w:hAnsi="Times New Roman" w:cs="Times New Roman"/>
          <w:sz w:val="24"/>
          <w:szCs w:val="24"/>
          <w:lang w:val="bg-BG"/>
        </w:rPr>
        <w:t>П</w:t>
      </w:r>
      <w:r w:rsidRPr="00610B1B">
        <w:rPr>
          <w:rFonts w:ascii="Times New Roman" w:hAnsi="Times New Roman" w:cs="Times New Roman"/>
          <w:sz w:val="24"/>
          <w:szCs w:val="24"/>
          <w:lang w:val="bg-BG"/>
        </w:rPr>
        <w:t xml:space="preserve"> </w:t>
      </w:r>
      <w:r w:rsidR="0074232E"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Пристанищна инфраструктура</w:t>
      </w:r>
      <w:r w:rsidR="0074232E"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е заложен обект за проектиране и изграждане на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яхтени зони в градовете Варна и Бургас. За град Варна е предвидено изграждането на две яхтени зони – едната на територията на пристанищен терминал Варна-изток, на 1-во, 2-ро и 3-то корабни места, в тила на които вече е </w:t>
      </w:r>
      <w:r w:rsidRPr="00610B1B">
        <w:rPr>
          <w:rFonts w:ascii="Times New Roman" w:hAnsi="Times New Roman" w:cs="Times New Roman"/>
          <w:sz w:val="24"/>
          <w:szCs w:val="24"/>
          <w:lang w:val="bg-BG"/>
        </w:rPr>
        <w:lastRenderedPageBreak/>
        <w:t>обособена Зона за обществен достъп.</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Втората яхтена зона се предвижда да бъде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изградена в съществуващата база СНО на ДППИ, разположена на плавателния Канал 1, източно от Аспаруховия мост. За Бургас се предвижда изграждането на една яхтена зона на терминал Бургас-изток 1 в обхвата на 3–то до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9-то корабни места. Проектът за нейното изграждане ще предвиди необходимите съоръжения за приставане и домуване на различни типове яхти, съобразени и с бреговата инфраструктура.</w:t>
      </w:r>
    </w:p>
    <w:p w14:paraId="7324B0E5" w14:textId="52946B52" w:rsidR="00043308"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Независимо от отчетените добри показатели и тенденции, Черноморското крайбрежие разполага с нереализиран потенциал </w:t>
      </w:r>
      <w:r w:rsidR="00BF7836"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настаняване, особено във висококатегорийни места за настаняване. Незапълненият капацитет се дължи на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непреодоляната сезонност на черноморския</w:t>
      </w:r>
      <w:r w:rsidR="00E2145D"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в частност на българския туризъм. Усилията за диверсифициране на туристическия продукт и удължаване на активния сезон са актуална цел на националната туристическа политика. Очакваните резултати са по-висока заетост на местата за настаняване, повече приходи и повишени възможности за конкурентоспособност и устойчиво развитие на дестинациите.</w:t>
      </w:r>
    </w:p>
    <w:p w14:paraId="61A330D5" w14:textId="3BD7DCB6" w:rsidR="00043308" w:rsidRPr="00610B1B" w:rsidRDefault="00832FA5"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Морският </w:t>
      </w:r>
      <w:r w:rsidR="00043308" w:rsidRPr="00610B1B">
        <w:rPr>
          <w:rFonts w:ascii="Times New Roman" w:hAnsi="Times New Roman" w:cs="Times New Roman"/>
          <w:sz w:val="24"/>
          <w:szCs w:val="24"/>
          <w:lang w:val="bg-BG"/>
        </w:rPr>
        <w:t>рекреативен туристически продукт е ориентиран към сегмента на нискобюджетните потребители</w:t>
      </w:r>
      <w:r w:rsidRPr="00610B1B">
        <w:rPr>
          <w:rFonts w:ascii="Times New Roman" w:hAnsi="Times New Roman" w:cs="Times New Roman"/>
          <w:sz w:val="24"/>
          <w:szCs w:val="24"/>
          <w:lang w:val="bg-BG"/>
        </w:rPr>
        <w:t xml:space="preserve"> на външните пазари</w:t>
      </w:r>
      <w:r w:rsidR="00043308" w:rsidRPr="00610B1B">
        <w:rPr>
          <w:rFonts w:ascii="Times New Roman" w:hAnsi="Times New Roman" w:cs="Times New Roman"/>
          <w:sz w:val="24"/>
          <w:szCs w:val="24"/>
          <w:lang w:val="bg-BG"/>
        </w:rPr>
        <w:t>, обвързани с нискобюджетните продуктови марки на туроператорите. Предлагането се осъществява основно по модела „всичко включено в цената” (all inclusive) и е ориентирано най-вече към Германия, Великобритания, Скандинавските страни, Полша, Украйна, Молдова и Румъния. Това води до ниски приходи на легло и туристоден. На пазари като Русия, Израел и Иран, предлагането привлича туристи със сравнително по-висока платежоспособност.</w:t>
      </w:r>
    </w:p>
    <w:p w14:paraId="4C954E18" w14:textId="0EA241AC" w:rsidR="00043308"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През последните години се наблюдава тенденция към обвързване на туристическите оферти в повечето морски курорти с младежки целеви групи, привлечени от възможностите за забавления. Съпътстващото шумово замърсяване води до отлив на други потенциални клиенти - туристи от третата възраст и семейства с деца.</w:t>
      </w:r>
    </w:p>
    <w:p w14:paraId="1F421ECA" w14:textId="22A596C2" w:rsidR="00043308"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Обобщено, </w:t>
      </w:r>
      <w:r w:rsidRPr="00610B1B">
        <w:rPr>
          <w:rFonts w:ascii="Times New Roman" w:hAnsi="Times New Roman" w:cs="Times New Roman"/>
          <w:bCs/>
          <w:sz w:val="24"/>
          <w:szCs w:val="24"/>
          <w:lang w:val="bg-BG"/>
        </w:rPr>
        <w:t>силните страни</w:t>
      </w:r>
      <w:r w:rsidRPr="00610B1B">
        <w:rPr>
          <w:rFonts w:ascii="Times New Roman" w:hAnsi="Times New Roman" w:cs="Times New Roman"/>
          <w:sz w:val="24"/>
          <w:szCs w:val="24"/>
          <w:lang w:val="bg-BG"/>
        </w:rPr>
        <w:t xml:space="preserve"> на българския морски туризъм се свеждат до</w:t>
      </w:r>
      <w:r w:rsidR="00832FA5" w:rsidRPr="00610B1B">
        <w:rPr>
          <w:rFonts w:ascii="Times New Roman" w:hAnsi="Times New Roman" w:cs="Times New Roman"/>
          <w:sz w:val="24"/>
          <w:szCs w:val="24"/>
          <w:lang w:val="bg-BG"/>
        </w:rPr>
        <w:t xml:space="preserve"> р</w:t>
      </w:r>
      <w:r w:rsidRPr="00610B1B">
        <w:rPr>
          <w:rFonts w:ascii="Times New Roman" w:hAnsi="Times New Roman" w:cs="Times New Roman"/>
          <w:sz w:val="24"/>
          <w:szCs w:val="24"/>
          <w:lang w:val="bg-BG"/>
        </w:rPr>
        <w:t>азнообразие, атрактивност и достъпност на Черноморското крайбрежие;</w:t>
      </w:r>
      <w:r w:rsidR="00832FA5" w:rsidRPr="00610B1B">
        <w:rPr>
          <w:rFonts w:ascii="Times New Roman" w:hAnsi="Times New Roman" w:cs="Times New Roman"/>
          <w:sz w:val="24"/>
          <w:szCs w:val="24"/>
          <w:lang w:val="bg-BG"/>
        </w:rPr>
        <w:t xml:space="preserve"> д</w:t>
      </w:r>
      <w:r w:rsidRPr="00610B1B">
        <w:rPr>
          <w:rFonts w:ascii="Times New Roman" w:hAnsi="Times New Roman" w:cs="Times New Roman"/>
          <w:sz w:val="24"/>
          <w:szCs w:val="24"/>
          <w:lang w:val="bg-BG"/>
        </w:rPr>
        <w:t>огонващо развитие на техническата инфраструктура;</w:t>
      </w:r>
      <w:r w:rsidR="00832FA5" w:rsidRPr="00610B1B">
        <w:rPr>
          <w:rFonts w:ascii="Times New Roman" w:hAnsi="Times New Roman" w:cs="Times New Roman"/>
          <w:sz w:val="24"/>
          <w:szCs w:val="24"/>
          <w:lang w:val="bg-BG"/>
        </w:rPr>
        <w:t xml:space="preserve"> д</w:t>
      </w:r>
      <w:r w:rsidRPr="00610B1B">
        <w:rPr>
          <w:rFonts w:ascii="Times New Roman" w:hAnsi="Times New Roman" w:cs="Times New Roman"/>
          <w:sz w:val="24"/>
          <w:szCs w:val="24"/>
          <w:lang w:val="bg-BG"/>
        </w:rPr>
        <w:t>обре контролирано стопанисване на плажовете;</w:t>
      </w:r>
      <w:r w:rsidR="00832FA5" w:rsidRPr="00610B1B">
        <w:rPr>
          <w:rFonts w:ascii="Times New Roman" w:hAnsi="Times New Roman" w:cs="Times New Roman"/>
          <w:sz w:val="24"/>
          <w:szCs w:val="24"/>
          <w:lang w:val="bg-BG"/>
        </w:rPr>
        <w:t xml:space="preserve"> и р</w:t>
      </w:r>
      <w:r w:rsidRPr="00610B1B">
        <w:rPr>
          <w:rFonts w:ascii="Times New Roman" w:hAnsi="Times New Roman" w:cs="Times New Roman"/>
          <w:sz w:val="24"/>
          <w:szCs w:val="24"/>
          <w:lang w:val="bg-BG"/>
        </w:rPr>
        <w:t>азнообразяване на предлаганите услуги.</w:t>
      </w:r>
    </w:p>
    <w:p w14:paraId="46A3EDFE" w14:textId="734803A6" w:rsidR="00043308"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Сред основните </w:t>
      </w:r>
      <w:r w:rsidRPr="00610B1B">
        <w:rPr>
          <w:rFonts w:ascii="Times New Roman" w:hAnsi="Times New Roman" w:cs="Times New Roman"/>
          <w:bCs/>
          <w:sz w:val="24"/>
          <w:szCs w:val="24"/>
          <w:lang w:val="bg-BG"/>
        </w:rPr>
        <w:t>слаби страни</w:t>
      </w:r>
      <w:r w:rsidRPr="00610B1B">
        <w:rPr>
          <w:rFonts w:ascii="Times New Roman" w:hAnsi="Times New Roman" w:cs="Times New Roman"/>
          <w:sz w:val="24"/>
          <w:szCs w:val="24"/>
          <w:lang w:val="bg-BG"/>
        </w:rPr>
        <w:t xml:space="preserve"> на коментирания продукт са прекомерното застрояване (вкл. незаконно строителство), претоварването на туристическите ресурси, свлачищните процеси, проблемната организация на ползването и туристическото обслужване на плажовете, замърсяването на околната среда и водите, недостатъчно развитата инфраструктура между и в туристическите места, високото ниво на шум, ниското качество на питейната вода на някои места, безопасността и сигурността на туристите.</w:t>
      </w:r>
    </w:p>
    <w:p w14:paraId="19EE1579" w14:textId="70B1619C" w:rsidR="00043308" w:rsidRPr="00610B1B" w:rsidRDefault="00832FA5"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Остават недокрай изследвани възможностите за съпътстващи</w:t>
      </w:r>
      <w:r w:rsidR="00DD35B2"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рекреационни и спортни дейности, осъществява</w:t>
      </w:r>
      <w:r w:rsidR="00DD35B2" w:rsidRPr="00610B1B">
        <w:rPr>
          <w:rFonts w:ascii="Times New Roman" w:hAnsi="Times New Roman" w:cs="Times New Roman"/>
          <w:sz w:val="24"/>
          <w:szCs w:val="24"/>
          <w:lang w:val="bg-BG"/>
        </w:rPr>
        <w:t>ни</w:t>
      </w:r>
      <w:r w:rsidRPr="00610B1B">
        <w:rPr>
          <w:rFonts w:ascii="Times New Roman" w:hAnsi="Times New Roman" w:cs="Times New Roman"/>
          <w:sz w:val="24"/>
          <w:szCs w:val="24"/>
          <w:lang w:val="bg-BG"/>
        </w:rPr>
        <w:t xml:space="preserve"> в морските пространства, за които все още няма традиции и информация. Това обхваща плуване, гмуркане, подводен риболов, водолазни спортове, изследване на подводното културно наследство, разходки с </w:t>
      </w:r>
      <w:r w:rsidR="006011C0" w:rsidRPr="00610B1B">
        <w:rPr>
          <w:rFonts w:ascii="Times New Roman" w:hAnsi="Times New Roman" w:cs="Times New Roman"/>
          <w:sz w:val="24"/>
          <w:szCs w:val="24"/>
          <w:lang w:val="bg-BG"/>
        </w:rPr>
        <w:t>яхти</w:t>
      </w:r>
      <w:r w:rsidRPr="00610B1B">
        <w:rPr>
          <w:rFonts w:ascii="Times New Roman" w:hAnsi="Times New Roman" w:cs="Times New Roman"/>
          <w:sz w:val="24"/>
          <w:szCs w:val="24"/>
          <w:lang w:val="bg-BG"/>
        </w:rPr>
        <w:t>, скутери и лодки, водни атракции в морето.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Именно за тях в </w:t>
      </w:r>
      <w:r w:rsidR="00DD35B2" w:rsidRPr="00610B1B">
        <w:rPr>
          <w:rFonts w:ascii="Times New Roman" w:hAnsi="Times New Roman" w:cs="Times New Roman"/>
          <w:sz w:val="24"/>
          <w:szCs w:val="24"/>
          <w:lang w:val="bg-BG"/>
        </w:rPr>
        <w:t>МППРБ</w:t>
      </w:r>
      <w:r w:rsidRPr="00610B1B">
        <w:rPr>
          <w:rFonts w:ascii="Times New Roman" w:hAnsi="Times New Roman" w:cs="Times New Roman"/>
          <w:sz w:val="24"/>
          <w:szCs w:val="24"/>
          <w:lang w:val="bg-BG"/>
        </w:rPr>
        <w:t xml:space="preserve"> трябва да се предвиди пространство. </w:t>
      </w:r>
    </w:p>
    <w:p w14:paraId="38B471E0" w14:textId="77777777" w:rsidR="002F6792" w:rsidRPr="00610B1B" w:rsidRDefault="002F6792" w:rsidP="00D32D6A">
      <w:pPr>
        <w:spacing w:after="120"/>
        <w:ind w:right="-153"/>
        <w:jc w:val="both"/>
        <w:rPr>
          <w:rFonts w:ascii="Times New Roman" w:hAnsi="Times New Roman" w:cs="Times New Roman"/>
          <w:sz w:val="24"/>
          <w:szCs w:val="24"/>
          <w:lang w:val="bg-BG"/>
        </w:rPr>
      </w:pPr>
    </w:p>
    <w:p w14:paraId="5DBA8185" w14:textId="4FB0BE98" w:rsidR="00043308" w:rsidRPr="00610B1B" w:rsidRDefault="00832FA5" w:rsidP="00D32D6A">
      <w:pPr>
        <w:pStyle w:val="Heading3"/>
        <w:spacing w:before="0" w:line="276" w:lineRule="auto"/>
        <w:ind w:right="-153"/>
        <w:rPr>
          <w:rFonts w:cs="Times New Roman"/>
        </w:rPr>
      </w:pPr>
      <w:bookmarkStart w:id="372" w:name="_Toc83391384"/>
      <w:r w:rsidRPr="00610B1B">
        <w:rPr>
          <w:rFonts w:cs="Times New Roman"/>
        </w:rPr>
        <w:lastRenderedPageBreak/>
        <w:t>3</w:t>
      </w:r>
      <w:r w:rsidR="00BF7836" w:rsidRPr="00610B1B">
        <w:rPr>
          <w:rFonts w:cs="Times New Roman"/>
        </w:rPr>
        <w:t>.</w:t>
      </w:r>
      <w:r w:rsidR="00BF0D18" w:rsidRPr="00610B1B">
        <w:rPr>
          <w:rFonts w:cs="Times New Roman"/>
        </w:rPr>
        <w:t>3</w:t>
      </w:r>
      <w:r w:rsidR="00043308" w:rsidRPr="00610B1B">
        <w:rPr>
          <w:rFonts w:cs="Times New Roman"/>
        </w:rPr>
        <w:t>.</w:t>
      </w:r>
      <w:r w:rsidRPr="00610B1B">
        <w:rPr>
          <w:rFonts w:cs="Times New Roman"/>
        </w:rPr>
        <w:t>4</w:t>
      </w:r>
      <w:r w:rsidR="00043308" w:rsidRPr="00610B1B">
        <w:rPr>
          <w:rFonts w:cs="Times New Roman"/>
        </w:rPr>
        <w:t>. Икономически измерения на туризма</w:t>
      </w:r>
      <w:bookmarkEnd w:id="372"/>
    </w:p>
    <w:p w14:paraId="4B463946" w14:textId="5C0D00BF" w:rsidR="00D82FF2"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Съгласно последния доклад на Световния съвет за пътувания и туризъм (WTTC</w:t>
      </w:r>
      <w:r w:rsidRPr="00610B1B">
        <w:rPr>
          <w:rStyle w:val="FootnoteReference"/>
          <w:rFonts w:ascii="Times New Roman" w:hAnsi="Times New Roman" w:cs="Times New Roman"/>
          <w:sz w:val="24"/>
          <w:szCs w:val="24"/>
          <w:lang w:val="bg-BG"/>
        </w:rPr>
        <w:footnoteReference w:id="121"/>
      </w:r>
      <w:r w:rsidRPr="00610B1B">
        <w:rPr>
          <w:rFonts w:ascii="Times New Roman" w:hAnsi="Times New Roman" w:cs="Times New Roman"/>
          <w:sz w:val="24"/>
          <w:szCs w:val="24"/>
          <w:lang w:val="bg-BG"/>
        </w:rPr>
        <w:t xml:space="preserve">) от 2018 г. туризмът, който „ангажира едно на всеки десет работни места в света, е динамичен двигател на възможности за заетост“. Заедно с останалите икономически показатели това утвърждава значимата икономическа тежест на туристическия сектор и важността на туристическите политики в </w:t>
      </w:r>
      <w:r w:rsidRPr="00610B1B">
        <w:rPr>
          <w:rFonts w:ascii="Times New Roman" w:hAnsi="Times New Roman" w:cs="Times New Roman"/>
          <w:i/>
          <w:sz w:val="24"/>
          <w:szCs w:val="24"/>
          <w:lang w:val="bg-BG"/>
        </w:rPr>
        <w:t>глобален аспект</w:t>
      </w:r>
      <w:r w:rsidRPr="00610B1B">
        <w:rPr>
          <w:rFonts w:ascii="Times New Roman" w:hAnsi="Times New Roman" w:cs="Times New Roman"/>
          <w:sz w:val="24"/>
          <w:szCs w:val="24"/>
          <w:lang w:val="bg-BG"/>
        </w:rPr>
        <w:t xml:space="preserve">. </w:t>
      </w:r>
      <w:r w:rsidR="00220EA9" w:rsidRPr="00610B1B">
        <w:rPr>
          <w:rFonts w:ascii="Times New Roman" w:hAnsi="Times New Roman" w:cs="Times New Roman"/>
          <w:sz w:val="24"/>
          <w:szCs w:val="24"/>
          <w:lang w:val="bg-BG"/>
        </w:rPr>
        <w:t>Кризата с Covid 19, която затвори границите, спря полетите и затвори обекти и институции се отрази най-тежко върху туризма. Само през първото тримесечие на 2020 г. Световната туристическа организация изчислява спад с около 22% на пристигащите до различни дестинации в света туристи. Един от възможните сценарии е за годишен спад с около 60-80% в туризма в сравнение с 2019 г.</w:t>
      </w:r>
      <w:r w:rsidR="00220EA9" w:rsidRPr="00610B1B">
        <w:rPr>
          <w:rStyle w:val="FootnoteReference"/>
          <w:rFonts w:ascii="Times New Roman" w:hAnsi="Times New Roman" w:cs="Times New Roman"/>
          <w:sz w:val="24"/>
          <w:szCs w:val="24"/>
          <w:lang w:val="bg-BG"/>
        </w:rPr>
        <w:footnoteReference w:id="122"/>
      </w:r>
      <w:r w:rsidR="00C415D1" w:rsidRPr="00610B1B">
        <w:rPr>
          <w:rFonts w:ascii="Times New Roman" w:hAnsi="Times New Roman" w:cs="Times New Roman"/>
          <w:sz w:val="24"/>
          <w:szCs w:val="24"/>
          <w:lang w:val="bg-BG"/>
        </w:rPr>
        <w:t xml:space="preserve"> </w:t>
      </w:r>
      <w:r w:rsidR="00220EA9" w:rsidRPr="00610B1B">
        <w:rPr>
          <w:rFonts w:ascii="Times New Roman" w:hAnsi="Times New Roman" w:cs="Times New Roman"/>
          <w:sz w:val="24"/>
          <w:szCs w:val="24"/>
          <w:lang w:val="bg-BG"/>
        </w:rPr>
        <w:t>Паралелно с това данните за излизането от предходната криза показват, че в периода 2011-2018 г.</w:t>
      </w:r>
      <w:r w:rsidR="00D66FE0" w:rsidRPr="00610B1B">
        <w:rPr>
          <w:rFonts w:ascii="Times New Roman" w:hAnsi="Times New Roman" w:cs="Times New Roman"/>
          <w:sz w:val="24"/>
          <w:szCs w:val="24"/>
          <w:lang w:val="bg-BG"/>
        </w:rPr>
        <w:t xml:space="preserve"> </w:t>
      </w:r>
      <w:r w:rsidR="00220EA9" w:rsidRPr="00610B1B">
        <w:rPr>
          <w:rFonts w:ascii="Times New Roman" w:hAnsi="Times New Roman" w:cs="Times New Roman"/>
          <w:sz w:val="24"/>
          <w:szCs w:val="24"/>
          <w:lang w:val="bg-BG"/>
        </w:rPr>
        <w:t>докато останалите сектори бележат 11% ръст, в туризма той е 35%</w:t>
      </w:r>
      <w:r w:rsidR="00F12B1F" w:rsidRPr="00610B1B">
        <w:rPr>
          <w:rFonts w:ascii="Times New Roman" w:hAnsi="Times New Roman" w:cs="Times New Roman"/>
          <w:sz w:val="24"/>
          <w:szCs w:val="24"/>
          <w:lang w:val="bg-BG"/>
        </w:rPr>
        <w:t xml:space="preserve">, което доказва потенциала на сектора да подпомогне икономиките в излизането от кризата. </w:t>
      </w:r>
    </w:p>
    <w:p w14:paraId="109500F3" w14:textId="10A04447" w:rsidR="00F12B1F"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i/>
          <w:sz w:val="24"/>
          <w:szCs w:val="24"/>
          <w:lang w:val="bg-BG"/>
        </w:rPr>
        <w:t>В европейски измерения</w:t>
      </w:r>
      <w:r w:rsidRPr="00610B1B">
        <w:rPr>
          <w:rFonts w:ascii="Times New Roman" w:hAnsi="Times New Roman" w:cs="Times New Roman"/>
          <w:sz w:val="24"/>
          <w:szCs w:val="24"/>
          <w:lang w:val="bg-BG"/>
        </w:rPr>
        <w:t>, туристическият сектор е трети по големина след търговията и строителството</w:t>
      </w:r>
      <w:r w:rsidRPr="00610B1B">
        <w:rPr>
          <w:rStyle w:val="FootnoteReference"/>
          <w:rFonts w:ascii="Times New Roman" w:hAnsi="Times New Roman" w:cs="Times New Roman"/>
          <w:sz w:val="24"/>
          <w:szCs w:val="24"/>
          <w:lang w:val="bg-BG"/>
        </w:rPr>
        <w:footnoteReference w:id="123"/>
      </w:r>
      <w:r w:rsidRPr="00610B1B">
        <w:rPr>
          <w:rFonts w:ascii="Times New Roman" w:hAnsi="Times New Roman" w:cs="Times New Roman"/>
          <w:sz w:val="24"/>
          <w:szCs w:val="24"/>
          <w:lang w:val="bg-BG"/>
        </w:rPr>
        <w:t>. Туризмът ангажира голямо разнообразие от услуги и професии, организирани предимно в малки и средни предприятия (3,4 млн. бр.). Директните приходи от туризъм са около 5% от БВП на ЕС, а заетите трудови ресурси – 5,2% (9,7 млн. работни места). Европа отстоява първото си място в Света като туристическа дестинация. Атрактивността на европейския туризъм се формира от културно-историческо наследство, природни ценности, разнообразни пейзажи, качествени услуги и добра свързаност/достъпност.</w:t>
      </w:r>
      <w:r w:rsidR="00CB7DFA" w:rsidRPr="00610B1B">
        <w:rPr>
          <w:rFonts w:ascii="Times New Roman" w:hAnsi="Times New Roman" w:cs="Times New Roman"/>
          <w:sz w:val="24"/>
          <w:szCs w:val="24"/>
          <w:lang w:val="bg-BG"/>
        </w:rPr>
        <w:t xml:space="preserve"> </w:t>
      </w:r>
      <w:r w:rsidR="00F12B1F" w:rsidRPr="00610B1B">
        <w:rPr>
          <w:rFonts w:ascii="Times New Roman" w:hAnsi="Times New Roman" w:cs="Times New Roman"/>
          <w:sz w:val="24"/>
          <w:szCs w:val="24"/>
          <w:lang w:val="bg-BG"/>
        </w:rPr>
        <w:t xml:space="preserve">Все още не са ясни напълно </w:t>
      </w:r>
      <w:r w:rsidR="00CB7DFA" w:rsidRPr="00610B1B">
        <w:rPr>
          <w:rFonts w:ascii="Times New Roman" w:hAnsi="Times New Roman" w:cs="Times New Roman"/>
          <w:sz w:val="24"/>
          <w:szCs w:val="24"/>
          <w:lang w:val="bg-BG"/>
        </w:rPr>
        <w:t>перспективи</w:t>
      </w:r>
      <w:r w:rsidR="00F12B1F" w:rsidRPr="00610B1B">
        <w:rPr>
          <w:rFonts w:ascii="Times New Roman" w:hAnsi="Times New Roman" w:cs="Times New Roman"/>
          <w:sz w:val="24"/>
          <w:szCs w:val="24"/>
          <w:lang w:val="bg-BG"/>
        </w:rPr>
        <w:t xml:space="preserve">те </w:t>
      </w:r>
      <w:r w:rsidR="00CB7DFA" w:rsidRPr="00610B1B">
        <w:rPr>
          <w:rFonts w:ascii="Times New Roman" w:hAnsi="Times New Roman" w:cs="Times New Roman"/>
          <w:sz w:val="24"/>
          <w:szCs w:val="24"/>
          <w:lang w:val="bg-BG"/>
        </w:rPr>
        <w:t>за отпадане на ограниченията за пътуване в</w:t>
      </w:r>
      <w:r w:rsidR="00F12B1F" w:rsidRPr="00610B1B">
        <w:rPr>
          <w:rFonts w:ascii="Times New Roman" w:hAnsi="Times New Roman" w:cs="Times New Roman"/>
          <w:sz w:val="24"/>
          <w:szCs w:val="24"/>
          <w:lang w:val="bg-BG"/>
        </w:rPr>
        <w:t xml:space="preserve"> и от</w:t>
      </w:r>
      <w:r w:rsidR="00CB7DFA" w:rsidRPr="00610B1B">
        <w:rPr>
          <w:rFonts w:ascii="Times New Roman" w:hAnsi="Times New Roman" w:cs="Times New Roman"/>
          <w:sz w:val="24"/>
          <w:szCs w:val="24"/>
          <w:lang w:val="bg-BG"/>
        </w:rPr>
        <w:t xml:space="preserve"> различни части на света</w:t>
      </w:r>
      <w:r w:rsidR="00F12B1F" w:rsidRPr="00610B1B">
        <w:rPr>
          <w:rFonts w:ascii="Times New Roman" w:hAnsi="Times New Roman" w:cs="Times New Roman"/>
          <w:sz w:val="24"/>
          <w:szCs w:val="24"/>
          <w:lang w:val="bg-BG"/>
        </w:rPr>
        <w:t xml:space="preserve"> и Европа, изводите ще са известни след края на летния сезон, но е известно че това е най-популярният сезон за Европейската туристическа индустрия с около 32% дял от всички нощувки </w:t>
      </w:r>
      <w:r w:rsidR="000064CC" w:rsidRPr="00610B1B">
        <w:rPr>
          <w:rFonts w:ascii="Times New Roman" w:hAnsi="Times New Roman" w:cs="Times New Roman"/>
          <w:sz w:val="24"/>
          <w:szCs w:val="24"/>
          <w:lang w:val="bg-BG"/>
        </w:rPr>
        <w:t>за</w:t>
      </w:r>
      <w:r w:rsidR="00F12B1F" w:rsidRPr="00610B1B">
        <w:rPr>
          <w:rFonts w:ascii="Times New Roman" w:hAnsi="Times New Roman" w:cs="Times New Roman"/>
          <w:sz w:val="24"/>
          <w:szCs w:val="24"/>
          <w:lang w:val="bg-BG"/>
        </w:rPr>
        <w:t xml:space="preserve"> 2019 г. </w:t>
      </w:r>
      <w:r w:rsidR="000064CC" w:rsidRPr="00610B1B">
        <w:rPr>
          <w:rFonts w:ascii="Times New Roman" w:hAnsi="Times New Roman" w:cs="Times New Roman"/>
          <w:sz w:val="24"/>
          <w:szCs w:val="24"/>
          <w:lang w:val="bg-BG"/>
        </w:rPr>
        <w:t>в европейски туристически обекти.</w:t>
      </w:r>
      <w:r w:rsidR="000064CC" w:rsidRPr="00610B1B">
        <w:rPr>
          <w:rStyle w:val="FootnoteReference"/>
          <w:rFonts w:ascii="Times New Roman" w:hAnsi="Times New Roman" w:cs="Times New Roman"/>
          <w:sz w:val="24"/>
          <w:szCs w:val="24"/>
          <w:lang w:val="bg-BG"/>
        </w:rPr>
        <w:footnoteReference w:id="124"/>
      </w:r>
      <w:r w:rsidR="000064CC" w:rsidRPr="00610B1B">
        <w:rPr>
          <w:rFonts w:ascii="Times New Roman" w:hAnsi="Times New Roman" w:cs="Times New Roman"/>
          <w:sz w:val="24"/>
          <w:szCs w:val="24"/>
          <w:lang w:val="bg-BG"/>
        </w:rPr>
        <w:t xml:space="preserve"> </w:t>
      </w:r>
    </w:p>
    <w:p w14:paraId="10F3A1C8" w14:textId="4F84FE0D" w:rsidR="00043308"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i/>
          <w:sz w:val="24"/>
          <w:szCs w:val="24"/>
          <w:lang w:val="bg-BG"/>
        </w:rPr>
        <w:t>В национални измерения</w:t>
      </w:r>
      <w:r w:rsidRPr="00610B1B">
        <w:rPr>
          <w:rFonts w:ascii="Times New Roman" w:hAnsi="Times New Roman" w:cs="Times New Roman"/>
          <w:sz w:val="24"/>
          <w:szCs w:val="24"/>
          <w:lang w:val="bg-BG"/>
        </w:rPr>
        <w:t>, за 2018 г., общият принос на туризма</w:t>
      </w:r>
      <w:r w:rsidRPr="00610B1B">
        <w:rPr>
          <w:rStyle w:val="FootnoteReference"/>
          <w:rFonts w:ascii="Times New Roman" w:hAnsi="Times New Roman" w:cs="Times New Roman"/>
          <w:sz w:val="24"/>
          <w:szCs w:val="24"/>
          <w:lang w:val="bg-BG"/>
        </w:rPr>
        <w:footnoteReference w:id="125"/>
      </w:r>
      <w:r w:rsidRPr="00610B1B">
        <w:rPr>
          <w:rFonts w:ascii="Times New Roman" w:hAnsi="Times New Roman" w:cs="Times New Roman"/>
          <w:sz w:val="24"/>
          <w:szCs w:val="24"/>
          <w:lang w:val="bg-BG"/>
        </w:rPr>
        <w:t xml:space="preserve"> покрива 11,7% от БВП (11,6 млрд. лв.) и 11% от заетостта – над 336 хил. работни места. Възходящото развитие на националния туризъм е радващ факт, но паралелно съществуват сериозни негативни фактори – заплахи за устойчивото развитие както на утвърдените, така и на новите дестинации. Това са застаряването на населението, високата безработица в перифериите, бедността, престъпността, климатичните промени, засиленият натиск върху природните ресурси, политическата нестабилност в региона. Този контекст е политически осъзнат и институционализиран във водещия стратегически документ на сектора – Националната стратегия за устойчиво развитие на туризма в Република България, 2014-2030 (актуализирана версия 2017 г.). През 2018 г., страните от ЕС продължават да са най-важният генериращ пазар за международен туризъм на България.</w:t>
      </w:r>
      <w:r w:rsidR="00CB7DFA" w:rsidRPr="00610B1B">
        <w:rPr>
          <w:rFonts w:ascii="Times New Roman" w:hAnsi="Times New Roman" w:cs="Times New Roman"/>
          <w:sz w:val="24"/>
          <w:szCs w:val="24"/>
          <w:lang w:val="bg-BG"/>
        </w:rPr>
        <w:t xml:space="preserve"> </w:t>
      </w:r>
      <w:r w:rsidR="000064CC" w:rsidRPr="00610B1B">
        <w:rPr>
          <w:rFonts w:ascii="Times New Roman" w:hAnsi="Times New Roman" w:cs="Times New Roman"/>
          <w:sz w:val="24"/>
          <w:szCs w:val="24"/>
          <w:lang w:val="bg-BG"/>
        </w:rPr>
        <w:t>Нощувките в пролетния</w:t>
      </w:r>
      <w:r w:rsidR="00D66FE0" w:rsidRPr="00610B1B">
        <w:rPr>
          <w:rFonts w:ascii="Times New Roman" w:hAnsi="Times New Roman" w:cs="Times New Roman"/>
          <w:sz w:val="24"/>
          <w:szCs w:val="24"/>
          <w:lang w:val="bg-BG"/>
        </w:rPr>
        <w:t xml:space="preserve"> </w:t>
      </w:r>
      <w:r w:rsidR="000064CC" w:rsidRPr="00610B1B">
        <w:rPr>
          <w:rFonts w:ascii="Times New Roman" w:hAnsi="Times New Roman" w:cs="Times New Roman"/>
          <w:sz w:val="24"/>
          <w:szCs w:val="24"/>
          <w:lang w:val="bg-BG"/>
        </w:rPr>
        <w:t xml:space="preserve">и летния сезон на 2019 г. по данни на Евростат представляват около 27% от всички </w:t>
      </w:r>
      <w:r w:rsidR="000064CC" w:rsidRPr="00610B1B">
        <w:rPr>
          <w:rFonts w:ascii="Times New Roman" w:hAnsi="Times New Roman" w:cs="Times New Roman"/>
          <w:sz w:val="24"/>
          <w:szCs w:val="24"/>
          <w:lang w:val="bg-BG"/>
        </w:rPr>
        <w:lastRenderedPageBreak/>
        <w:t xml:space="preserve">нощувки за същата година. </w:t>
      </w:r>
      <w:r w:rsidR="00CB7DFA" w:rsidRPr="00610B1B">
        <w:rPr>
          <w:rFonts w:ascii="Times New Roman" w:hAnsi="Times New Roman" w:cs="Times New Roman"/>
          <w:sz w:val="24"/>
          <w:szCs w:val="24"/>
          <w:lang w:val="bg-BG"/>
        </w:rPr>
        <w:t>През 2020 г. обаче перспективите за развитие на туризма се променят коренно, поради извънредните мерки за ограничаване на разпространението на вирусната инфекция COVID19.</w:t>
      </w:r>
      <w:r w:rsidR="000064CC" w:rsidRPr="00610B1B">
        <w:rPr>
          <w:rFonts w:ascii="Times New Roman" w:hAnsi="Times New Roman" w:cs="Times New Roman"/>
          <w:sz w:val="24"/>
          <w:szCs w:val="24"/>
          <w:lang w:val="bg-BG"/>
        </w:rPr>
        <w:t xml:space="preserve"> Заедно с очакванията за потенциала на сектора да подпомогне българската икономика в излизането от кризата, новите изисквания за по-голяма хигиена, за социална и физическа дистанция се очаква да повиши качеството на услугите и да намали натиска върху околната среда.</w:t>
      </w:r>
    </w:p>
    <w:p w14:paraId="2F4DC4F7" w14:textId="77777777" w:rsidR="004F72E6"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 отношение на черноморските общини, туризмът има структуроопределящо значение, но само за някои от тях той е доминиращ водещ отрасъл. Това са Несебър, Балчик, Приморско, Созопол, Царево и донякъде Варна, където туризмът се конкурира (по принос) с развита морска индустрия и производство на електроуреди.</w:t>
      </w:r>
      <w:r w:rsidR="004F72E6" w:rsidRPr="00610B1B">
        <w:rPr>
          <w:rFonts w:ascii="Times New Roman" w:hAnsi="Times New Roman" w:cs="Times New Roman"/>
          <w:sz w:val="24"/>
          <w:szCs w:val="24"/>
          <w:lang w:val="bg-BG"/>
        </w:rPr>
        <w:t xml:space="preserve"> Важността </w:t>
      </w:r>
      <w:r w:rsidRPr="00610B1B">
        <w:rPr>
          <w:rFonts w:ascii="Times New Roman" w:hAnsi="Times New Roman" w:cs="Times New Roman"/>
          <w:sz w:val="24"/>
          <w:szCs w:val="24"/>
          <w:lang w:val="bg-BG"/>
        </w:rPr>
        <w:t>на туризма за икономиките на черноморските общини налага приоритетност на мерките за устойчивото му развитие в пространствата „море-бряг”.</w:t>
      </w:r>
      <w:r w:rsidR="004F72E6" w:rsidRPr="00610B1B">
        <w:rPr>
          <w:rFonts w:ascii="Times New Roman" w:hAnsi="Times New Roman" w:cs="Times New Roman"/>
          <w:sz w:val="24"/>
          <w:szCs w:val="24"/>
          <w:lang w:val="bg-BG"/>
        </w:rPr>
        <w:t xml:space="preserve"> </w:t>
      </w:r>
    </w:p>
    <w:p w14:paraId="07C68EBC" w14:textId="77777777" w:rsidR="00DD35B2"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За да осигури устойчиво развитие на туристическия сектор, България трябва да се справи с предизвикателствата на съвременната среда и конкуренцията</w:t>
      </w:r>
      <w:r w:rsidR="008107B9" w:rsidRPr="00610B1B">
        <w:rPr>
          <w:rFonts w:ascii="Times New Roman" w:hAnsi="Times New Roman" w:cs="Times New Roman"/>
          <w:sz w:val="24"/>
          <w:szCs w:val="24"/>
          <w:lang w:val="bg-BG"/>
        </w:rPr>
        <w:t xml:space="preserve"> и да оползотвори интелигентно и разумно </w:t>
      </w:r>
      <w:r w:rsidRPr="00610B1B">
        <w:rPr>
          <w:rFonts w:ascii="Times New Roman" w:hAnsi="Times New Roman" w:cs="Times New Roman"/>
          <w:sz w:val="24"/>
          <w:szCs w:val="24"/>
          <w:lang w:val="bg-BG"/>
        </w:rPr>
        <w:t>туристическия си потенциал. Промените в поведението на потребителите, икономическото развитие в световен мащаб, глобалната геополитическа обстановка и дори промените в климата, могат да бъдат предпоставка за развитието на туризма в желаната посока. Развитието на международното сътрудничество, участията в международни борси и изложения също допринасят за повишаване на потенциала.</w:t>
      </w:r>
      <w:r w:rsidR="00A55C29" w:rsidRPr="00610B1B">
        <w:rPr>
          <w:rFonts w:ascii="Times New Roman" w:hAnsi="Times New Roman" w:cs="Times New Roman"/>
          <w:sz w:val="24"/>
          <w:szCs w:val="24"/>
          <w:lang w:val="bg-BG"/>
        </w:rPr>
        <w:t xml:space="preserve"> </w:t>
      </w:r>
    </w:p>
    <w:p w14:paraId="36C6D437" w14:textId="019986D0" w:rsidR="00A55C29" w:rsidRPr="00610B1B" w:rsidRDefault="0004330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iCs/>
          <w:sz w:val="24"/>
          <w:szCs w:val="24"/>
          <w:lang w:val="bg-BG"/>
        </w:rPr>
        <w:t>Основна насока</w:t>
      </w:r>
      <w:r w:rsidRPr="00610B1B">
        <w:rPr>
          <w:rFonts w:ascii="Times New Roman" w:hAnsi="Times New Roman" w:cs="Times New Roman"/>
          <w:sz w:val="24"/>
          <w:szCs w:val="24"/>
          <w:lang w:val="bg-BG"/>
        </w:rPr>
        <w:t xml:space="preserve"> на туристическата политика за Черноморското крайбрежие следва да бъде преодоляването на сезонността на морския рекреативен туризъм и осигуряване на целогодишна натовареност на туристическата база чрез разнообразни продукти на алтернативен туризъм (спортен, културно-исторически, фестивален, делови, здравен).</w:t>
      </w:r>
      <w:r w:rsidR="00DD35B2" w:rsidRPr="00610B1B">
        <w:rPr>
          <w:rFonts w:ascii="Times New Roman" w:hAnsi="Times New Roman" w:cs="Times New Roman"/>
          <w:sz w:val="24"/>
          <w:szCs w:val="24"/>
          <w:lang w:val="bg-BG"/>
        </w:rPr>
        <w:t xml:space="preserve"> Т</w:t>
      </w:r>
      <w:r w:rsidRPr="00610B1B">
        <w:rPr>
          <w:rFonts w:ascii="Times New Roman" w:hAnsi="Times New Roman" w:cs="Times New Roman"/>
          <w:sz w:val="24"/>
          <w:szCs w:val="24"/>
          <w:lang w:val="bg-BG"/>
        </w:rPr>
        <w:t>ова означава разнообразяване на регионалния туристически продукт и активно включване на природното и културно богатство на хинтерланда.</w:t>
      </w:r>
      <w:r w:rsidR="00BC44C1" w:rsidRPr="00610B1B">
        <w:rPr>
          <w:rFonts w:ascii="Times New Roman" w:hAnsi="Times New Roman" w:cs="Times New Roman"/>
          <w:sz w:val="24"/>
          <w:szCs w:val="24"/>
          <w:lang w:val="bg-BG"/>
        </w:rPr>
        <w:t xml:space="preserve"> </w:t>
      </w:r>
    </w:p>
    <w:p w14:paraId="79D57B5A" w14:textId="77777777" w:rsidR="00BC44C1" w:rsidRPr="00610B1B" w:rsidRDefault="00BC44C1" w:rsidP="00D32D6A">
      <w:pPr>
        <w:spacing w:after="120"/>
        <w:ind w:right="-153"/>
        <w:jc w:val="both"/>
        <w:rPr>
          <w:rFonts w:ascii="Times New Roman" w:eastAsia="Lohit Devanagari" w:hAnsi="Times New Roman" w:cs="Times New Roman"/>
          <w:color w:val="00000A"/>
          <w:sz w:val="24"/>
          <w:szCs w:val="24"/>
          <w:lang w:val="bg-BG" w:eastAsia="ar-SA" w:bidi="hi-IN"/>
        </w:rPr>
      </w:pPr>
    </w:p>
    <w:p w14:paraId="57F3D7AD" w14:textId="56F4584A" w:rsidR="009A010A" w:rsidRPr="00610B1B" w:rsidRDefault="00832FA5" w:rsidP="00D32D6A">
      <w:pPr>
        <w:pStyle w:val="Heading2"/>
        <w:spacing w:before="0" w:line="276" w:lineRule="auto"/>
        <w:ind w:right="-153"/>
        <w:rPr>
          <w:rFonts w:cs="Times New Roman"/>
        </w:rPr>
      </w:pPr>
      <w:bookmarkStart w:id="373" w:name="_Toc83391385"/>
      <w:r w:rsidRPr="00610B1B">
        <w:rPr>
          <w:rFonts w:cs="Times New Roman"/>
        </w:rPr>
        <w:t>3</w:t>
      </w:r>
      <w:r w:rsidR="00CB7DFA" w:rsidRPr="00610B1B">
        <w:rPr>
          <w:rFonts w:cs="Times New Roman"/>
        </w:rPr>
        <w:t>.</w:t>
      </w:r>
      <w:r w:rsidR="00BF0D18" w:rsidRPr="00610B1B">
        <w:rPr>
          <w:rFonts w:cs="Times New Roman"/>
        </w:rPr>
        <w:t>4</w:t>
      </w:r>
      <w:r w:rsidR="00CB7DFA" w:rsidRPr="00610B1B">
        <w:rPr>
          <w:rFonts w:cs="Times New Roman"/>
        </w:rPr>
        <w:t xml:space="preserve">. </w:t>
      </w:r>
      <w:r w:rsidR="009A010A" w:rsidRPr="00610B1B">
        <w:rPr>
          <w:rFonts w:cs="Times New Roman"/>
        </w:rPr>
        <w:t>Морски информационни и комуникационни технологии и инфраструктура</w:t>
      </w:r>
      <w:bookmarkEnd w:id="373"/>
      <w:r w:rsidR="007815F4" w:rsidRPr="00610B1B">
        <w:rPr>
          <w:rFonts w:cs="Times New Roman"/>
        </w:rPr>
        <w:t xml:space="preserve"> </w:t>
      </w:r>
    </w:p>
    <w:p w14:paraId="3DE0487C" w14:textId="64E5BAE6" w:rsidR="00E013DD" w:rsidRPr="00610B1B" w:rsidRDefault="00080DB1" w:rsidP="00D32D6A">
      <w:pPr>
        <w:pStyle w:val="Heading3"/>
        <w:spacing w:before="0" w:line="276" w:lineRule="auto"/>
        <w:ind w:right="-153"/>
        <w:rPr>
          <w:rFonts w:cs="Times New Roman"/>
        </w:rPr>
      </w:pPr>
      <w:bookmarkStart w:id="374" w:name="_Toc83391386"/>
      <w:r w:rsidRPr="00610B1B">
        <w:rPr>
          <w:rFonts w:cs="Times New Roman"/>
        </w:rPr>
        <w:t>3</w:t>
      </w:r>
      <w:r w:rsidR="00BF0D18" w:rsidRPr="00610B1B">
        <w:rPr>
          <w:rFonts w:cs="Times New Roman"/>
        </w:rPr>
        <w:t xml:space="preserve">.4.1. </w:t>
      </w:r>
      <w:r w:rsidR="00E013DD" w:rsidRPr="00610B1B">
        <w:rPr>
          <w:rFonts w:cs="Times New Roman"/>
        </w:rPr>
        <w:t>ИКТ и ТИ</w:t>
      </w:r>
      <w:bookmarkEnd w:id="374"/>
    </w:p>
    <w:p w14:paraId="7F17D7B3" w14:textId="1FE45128" w:rsidR="00E013DD" w:rsidRPr="00610B1B" w:rsidRDefault="00E013DD" w:rsidP="00D32D6A">
      <w:pPr>
        <w:tabs>
          <w:tab w:val="left" w:pos="1134"/>
          <w:tab w:val="left" w:pos="1701"/>
          <w:tab w:val="left" w:pos="2268"/>
        </w:tabs>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Глобалната интернет връзка на България се осигурява чрез положените по дъното на Черно море подводни оптични кабелни системи.</w:t>
      </w:r>
      <w:r w:rsidR="00080DB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Град </w:t>
      </w:r>
      <w:r w:rsidRPr="00610B1B">
        <w:rPr>
          <w:rFonts w:ascii="Times New Roman" w:eastAsia="Times New Roman" w:hAnsi="Times New Roman" w:cs="Times New Roman"/>
          <w:bCs/>
          <w:sz w:val="24"/>
          <w:szCs w:val="24"/>
          <w:lang w:val="bg-BG"/>
        </w:rPr>
        <w:t>Варна е основният телекомуникационен възел в страната,</w:t>
      </w:r>
      <w:r w:rsidRPr="00610B1B">
        <w:rPr>
          <w:rFonts w:ascii="Times New Roman" w:eastAsia="Times New Roman" w:hAnsi="Times New Roman" w:cs="Times New Roman"/>
          <w:sz w:val="24"/>
          <w:szCs w:val="24"/>
          <w:lang w:val="bg-BG"/>
        </w:rPr>
        <w:t xml:space="preserve"> осъществяващ връзките на Трансевропейската телекомуникационна мрежа с подводните оптически кабелни системи в Черно море</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KAFOS и BSFOCS,</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което позволява транзитиране на големи съобщителни потоци от Русия, Украйна, Грузия и Задкавказието през територията на България към Гърция и Кипър, а чрез тях – към Средиземноморието и Северна Африка.</w:t>
      </w:r>
    </w:p>
    <w:p w14:paraId="150A2049" w14:textId="0DEA28D5" w:rsidR="00D32D6A" w:rsidRPr="00610B1B" w:rsidRDefault="00D32D6A" w:rsidP="00D32D6A">
      <w:pPr>
        <w:tabs>
          <w:tab w:val="left" w:pos="1134"/>
          <w:tab w:val="left" w:pos="1701"/>
          <w:tab w:val="left" w:pos="2268"/>
        </w:tabs>
        <w:spacing w:after="120"/>
        <w:ind w:right="-153"/>
        <w:jc w:val="both"/>
        <w:rPr>
          <w:rFonts w:ascii="Times New Roman" w:eastAsia="Times New Roman" w:hAnsi="Times New Roman" w:cs="Times New Roman"/>
          <w:sz w:val="24"/>
          <w:szCs w:val="24"/>
          <w:lang w:val="bg-BG"/>
        </w:rPr>
      </w:pPr>
    </w:p>
    <w:p w14:paraId="6B2D1911" w14:textId="20173050" w:rsidR="00BC44C1" w:rsidRPr="00610B1B" w:rsidRDefault="00BC44C1" w:rsidP="00D32D6A">
      <w:pPr>
        <w:tabs>
          <w:tab w:val="left" w:pos="1134"/>
          <w:tab w:val="left" w:pos="1701"/>
          <w:tab w:val="left" w:pos="2268"/>
        </w:tabs>
        <w:spacing w:after="120"/>
        <w:ind w:right="-153"/>
        <w:jc w:val="both"/>
        <w:rPr>
          <w:rFonts w:ascii="Times New Roman" w:eastAsia="Times New Roman" w:hAnsi="Times New Roman" w:cs="Times New Roman"/>
          <w:sz w:val="24"/>
          <w:szCs w:val="24"/>
          <w:lang w:val="bg-BG"/>
        </w:rPr>
      </w:pPr>
    </w:p>
    <w:p w14:paraId="34A52C61" w14:textId="77777777" w:rsidR="00BC44C1" w:rsidRPr="00610B1B" w:rsidRDefault="00BC44C1" w:rsidP="00D32D6A">
      <w:pPr>
        <w:tabs>
          <w:tab w:val="left" w:pos="1134"/>
          <w:tab w:val="left" w:pos="1701"/>
          <w:tab w:val="left" w:pos="2268"/>
        </w:tabs>
        <w:spacing w:after="120"/>
        <w:ind w:right="-153"/>
        <w:jc w:val="both"/>
        <w:rPr>
          <w:rFonts w:ascii="Times New Roman" w:eastAsia="Times New Roman" w:hAnsi="Times New Roman" w:cs="Times New Roman"/>
          <w:sz w:val="24"/>
          <w:szCs w:val="24"/>
          <w:lang w:val="bg-BG"/>
        </w:rPr>
      </w:pPr>
    </w:p>
    <w:p w14:paraId="02ADDAEA" w14:textId="280B8F99" w:rsidR="008107B9" w:rsidRPr="00610B1B" w:rsidRDefault="00B62269" w:rsidP="00D32D6A">
      <w:pPr>
        <w:spacing w:after="120"/>
        <w:ind w:right="-153"/>
        <w:rPr>
          <w:rFonts w:ascii="Times New Roman" w:hAnsi="Times New Roman" w:cs="Times New Roman"/>
          <w:sz w:val="24"/>
          <w:szCs w:val="24"/>
          <w:lang w:val="bg-BG"/>
        </w:rPr>
      </w:pPr>
      <w:bookmarkStart w:id="375" w:name="_Toc83391488"/>
      <w:r w:rsidRPr="00610B1B">
        <w:rPr>
          <w:rFonts w:ascii="Times New Roman" w:hAnsi="Times New Roman" w:cs="Times New Roman"/>
          <w:sz w:val="24"/>
          <w:szCs w:val="24"/>
          <w:lang w:val="bg-BG"/>
        </w:rPr>
        <w:lastRenderedPageBreak/>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25</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8107B9" w:rsidRPr="00610B1B">
        <w:rPr>
          <w:rFonts w:ascii="Times New Roman" w:hAnsi="Times New Roman" w:cs="Times New Roman"/>
          <w:sz w:val="24"/>
          <w:szCs w:val="24"/>
          <w:lang w:val="bg-BG"/>
        </w:rPr>
        <w:t>Трасета на основните оптични кабелни системи в Черно море</w:t>
      </w:r>
      <w:bookmarkEnd w:id="375"/>
    </w:p>
    <w:p w14:paraId="2B9D5E6D" w14:textId="23E69FF8" w:rsidR="00E013DD" w:rsidRPr="00610B1B" w:rsidRDefault="00E013DD" w:rsidP="00BC44C1">
      <w:pPr>
        <w:spacing w:after="0"/>
        <w:ind w:right="-153"/>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noProof/>
          <w:sz w:val="24"/>
          <w:szCs w:val="24"/>
          <w:lang w:val="bg-BG" w:eastAsia="bg-BG"/>
        </w:rPr>
        <w:drawing>
          <wp:inline distT="0" distB="0" distL="0" distR="0" wp14:anchorId="51B32C09" wp14:editId="03DA96C1">
            <wp:extent cx="4784140" cy="2570203"/>
            <wp:effectExtent l="0" t="0" r="0"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95960" cy="2576553"/>
                    </a:xfrm>
                    <a:prstGeom prst="rect">
                      <a:avLst/>
                    </a:prstGeom>
                    <a:noFill/>
                    <a:ln>
                      <a:noFill/>
                    </a:ln>
                  </pic:spPr>
                </pic:pic>
              </a:graphicData>
            </a:graphic>
          </wp:inline>
        </w:drawing>
      </w:r>
    </w:p>
    <w:p w14:paraId="4029D52F" w14:textId="540D11A6" w:rsidR="00D32D6A" w:rsidRPr="00610B1B" w:rsidRDefault="007B64A7" w:rsidP="00BC44C1">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Източник:</w:t>
      </w:r>
      <w:r w:rsidR="00DD35B2" w:rsidRPr="00610B1B">
        <w:rPr>
          <w:rFonts w:ascii="Times New Roman" w:hAnsi="Times New Roman" w:cs="Times New Roman"/>
          <w:lang w:val="bg-BG"/>
        </w:rPr>
        <w:t xml:space="preserve"> </w:t>
      </w:r>
      <w:r w:rsidR="004E6C8D">
        <w:rPr>
          <w:rFonts w:ascii="Times New Roman" w:hAnsi="Times New Roman" w:cs="Times New Roman"/>
          <w:lang w:val="bg-BG"/>
        </w:rPr>
        <w:t>МТС</w:t>
      </w:r>
    </w:p>
    <w:p w14:paraId="6C3F04F0" w14:textId="5736BE82" w:rsidR="0029238A" w:rsidRPr="00610B1B" w:rsidRDefault="0029238A"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sz w:val="24"/>
          <w:szCs w:val="24"/>
          <w:lang w:val="bg-BG" w:eastAsia="bg-BG"/>
        </w:rPr>
        <w:t xml:space="preserve">KAFOS </w:t>
      </w:r>
      <w:r w:rsidRPr="00610B1B">
        <w:rPr>
          <w:rFonts w:ascii="Times New Roman" w:eastAsia="Times New Roman" w:hAnsi="Times New Roman" w:cs="Times New Roman"/>
          <w:sz w:val="24"/>
          <w:szCs w:val="24"/>
          <w:lang w:val="bg-BG" w:eastAsia="bg-BG"/>
        </w:rPr>
        <w:t>свързва под вода Румъния, България и Турция с изходни точки в градовете Мангалия (Румъния), Варна (България) и Истанбул (Турция). Оптичната система е в експлоатация от 1997 г., с обща дължина 504 km и възможност за пренос на 622 Mbit в секунда.</w:t>
      </w:r>
    </w:p>
    <w:p w14:paraId="48AD6E50" w14:textId="43BE0788" w:rsidR="0029238A" w:rsidRPr="00610B1B" w:rsidRDefault="0029238A"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sz w:val="24"/>
          <w:szCs w:val="24"/>
          <w:lang w:val="bg-BG" w:eastAsia="bg-BG"/>
        </w:rPr>
        <w:t>BSFOCS</w:t>
      </w:r>
      <w:r w:rsidRPr="00610B1B">
        <w:rPr>
          <w:rFonts w:ascii="Times New Roman" w:eastAsia="Times New Roman" w:hAnsi="Times New Roman" w:cs="Times New Roman"/>
          <w:sz w:val="24"/>
          <w:szCs w:val="24"/>
          <w:lang w:val="bg-BG" w:eastAsia="bg-BG"/>
        </w:rPr>
        <w:t xml:space="preserve"> е Черноморска оптична кабелна система, свързваща градовете Варна (България), Одеса (Украйна) и Новоросийск (Русия). Оптичната система е в експлоатация от</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2001 г., с обща дължина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1 300 km и осигурява връзки и с други кабелни системи като “</w:t>
      </w:r>
      <w:r w:rsidRPr="00610B1B">
        <w:rPr>
          <w:rFonts w:ascii="Times New Roman" w:eastAsia="Times New Roman" w:hAnsi="Times New Roman" w:cs="Times New Roman"/>
          <w:i/>
          <w:sz w:val="24"/>
          <w:szCs w:val="24"/>
          <w:lang w:val="bg-BG" w:eastAsia="bg-BG"/>
        </w:rPr>
        <w:t xml:space="preserve">Грузия-Русия”, KAFOS </w:t>
      </w:r>
      <w:r w:rsidRPr="00610B1B">
        <w:rPr>
          <w:rFonts w:ascii="Times New Roman" w:eastAsia="Times New Roman" w:hAnsi="Times New Roman" w:cs="Times New Roman"/>
          <w:sz w:val="24"/>
          <w:szCs w:val="24"/>
          <w:lang w:val="bg-BG" w:eastAsia="bg-BG"/>
        </w:rPr>
        <w:t>и</w:t>
      </w:r>
      <w:r w:rsidRPr="00610B1B">
        <w:rPr>
          <w:rFonts w:ascii="Times New Roman" w:eastAsia="Times New Roman" w:hAnsi="Times New Roman" w:cs="Times New Roman"/>
          <w:i/>
          <w:sz w:val="24"/>
          <w:szCs w:val="24"/>
          <w:lang w:val="bg-BG" w:eastAsia="bg-BG"/>
        </w:rPr>
        <w:t xml:space="preserve"> ITUR</w:t>
      </w:r>
      <w:r w:rsidRPr="00610B1B">
        <w:rPr>
          <w:rFonts w:ascii="Times New Roman" w:eastAsia="Times New Roman" w:hAnsi="Times New Roman" w:cs="Times New Roman"/>
          <w:sz w:val="24"/>
          <w:szCs w:val="24"/>
          <w:lang w:val="bg-BG" w:eastAsia="bg-BG"/>
        </w:rPr>
        <w:t xml:space="preserve"> (Италия-Турция-Украйна-Русия). Изходните точки на </w:t>
      </w:r>
      <w:r w:rsidRPr="00610B1B">
        <w:rPr>
          <w:rFonts w:ascii="Times New Roman" w:eastAsia="Times New Roman" w:hAnsi="Times New Roman" w:cs="Times New Roman"/>
          <w:i/>
          <w:sz w:val="24"/>
          <w:szCs w:val="24"/>
          <w:lang w:val="bg-BG" w:eastAsia="bg-BG"/>
        </w:rPr>
        <w:t>ITUR</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в Черно море са Истанбул, Одеса и Новоросийск и чрез наземни връзки от оптични влакна до Гърция и отвъд Кипър, системата BSFOCS осигурява допълнителен достъп до дестинации в Европа,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Близкия Изток, Югоизточна Азия и САЩ.</w:t>
      </w:r>
    </w:p>
    <w:p w14:paraId="45AD0808" w14:textId="196FD250" w:rsidR="008107B9" w:rsidRPr="00610B1B" w:rsidRDefault="00B62269" w:rsidP="00D32D6A">
      <w:pPr>
        <w:spacing w:after="120"/>
        <w:ind w:right="-153"/>
        <w:rPr>
          <w:rFonts w:ascii="Times New Roman" w:hAnsi="Times New Roman" w:cs="Times New Roman"/>
          <w:sz w:val="24"/>
          <w:szCs w:val="24"/>
          <w:lang w:val="bg-BG"/>
        </w:rPr>
      </w:pPr>
      <w:bookmarkStart w:id="376" w:name="_Toc83391489"/>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26</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8107B9" w:rsidRPr="00610B1B">
        <w:rPr>
          <w:rFonts w:ascii="Times New Roman" w:hAnsi="Times New Roman" w:cs="Times New Roman"/>
          <w:sz w:val="24"/>
          <w:szCs w:val="24"/>
          <w:lang w:val="bg-BG"/>
        </w:rPr>
        <w:t>Трасе на CAUCASUS Cable System - Балчик – Поти (Грузия)</w:t>
      </w:r>
      <w:bookmarkEnd w:id="376"/>
    </w:p>
    <w:p w14:paraId="74D86A57" w14:textId="18F73122" w:rsidR="00E013DD" w:rsidRPr="00610B1B" w:rsidRDefault="00E013DD" w:rsidP="00BC44C1">
      <w:pPr>
        <w:spacing w:after="0"/>
        <w:ind w:right="-153"/>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noProof/>
          <w:sz w:val="24"/>
          <w:szCs w:val="24"/>
          <w:lang w:val="bg-BG" w:eastAsia="bg-BG"/>
        </w:rPr>
        <w:drawing>
          <wp:inline distT="0" distB="0" distL="0" distR="0" wp14:anchorId="61AD2D4F" wp14:editId="559F4430">
            <wp:extent cx="4564876" cy="2860895"/>
            <wp:effectExtent l="0" t="0" r="762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4292" cy="2866796"/>
                    </a:xfrm>
                    <a:prstGeom prst="rect">
                      <a:avLst/>
                    </a:prstGeom>
                    <a:noFill/>
                    <a:ln>
                      <a:noFill/>
                    </a:ln>
                  </pic:spPr>
                </pic:pic>
              </a:graphicData>
            </a:graphic>
          </wp:inline>
        </w:drawing>
      </w:r>
    </w:p>
    <w:p w14:paraId="5E24B24D" w14:textId="71E3F85D" w:rsidR="007B64A7" w:rsidRPr="00610B1B" w:rsidRDefault="007B64A7" w:rsidP="00BC44C1">
      <w:pPr>
        <w:spacing w:after="0" w:line="240" w:lineRule="auto"/>
        <w:ind w:right="-153"/>
        <w:rPr>
          <w:rFonts w:ascii="Times New Roman" w:eastAsia="Times New Roman" w:hAnsi="Times New Roman" w:cs="Times New Roman"/>
          <w:lang w:val="bg-BG" w:eastAsia="bg-BG"/>
        </w:rPr>
      </w:pPr>
      <w:r w:rsidRPr="00610B1B">
        <w:rPr>
          <w:rFonts w:ascii="Times New Roman" w:eastAsia="Times New Roman" w:hAnsi="Times New Roman" w:cs="Times New Roman"/>
          <w:lang w:val="bg-BG" w:eastAsia="bg-BG"/>
        </w:rPr>
        <w:t>Източник</w:t>
      </w:r>
      <w:r w:rsidR="00DD35B2" w:rsidRPr="00610B1B">
        <w:rPr>
          <w:rFonts w:ascii="Times New Roman" w:eastAsia="Times New Roman" w:hAnsi="Times New Roman" w:cs="Times New Roman"/>
          <w:lang w:val="bg-BG" w:eastAsia="bg-BG"/>
        </w:rPr>
        <w:t xml:space="preserve">: </w:t>
      </w:r>
      <w:hyperlink r:id="rId43" w:history="1">
        <w:r w:rsidR="00B328CF" w:rsidRPr="00610B1B">
          <w:rPr>
            <w:rStyle w:val="Hyperlink"/>
            <w:rFonts w:ascii="Times New Roman" w:eastAsia="Times New Roman" w:hAnsi="Times New Roman" w:cs="Times New Roman"/>
            <w:lang w:val="bg-BG" w:eastAsia="bg-BG"/>
          </w:rPr>
          <w:t>https://en.wikipedia.org/wiki/Caucasus_Cable_System</w:t>
        </w:r>
      </w:hyperlink>
      <w:r w:rsidR="00B328CF" w:rsidRPr="00610B1B">
        <w:rPr>
          <w:rFonts w:ascii="Times New Roman" w:eastAsia="Times New Roman" w:hAnsi="Times New Roman" w:cs="Times New Roman"/>
          <w:lang w:val="bg-BG" w:eastAsia="bg-BG"/>
        </w:rPr>
        <w:t xml:space="preserve"> </w:t>
      </w:r>
    </w:p>
    <w:p w14:paraId="76DEBF2C" w14:textId="1BE4F923" w:rsidR="0029238A" w:rsidRPr="00610B1B" w:rsidRDefault="0029238A"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b/>
          <w:sz w:val="24"/>
          <w:szCs w:val="24"/>
          <w:lang w:val="bg-BG" w:eastAsia="bg-BG"/>
        </w:rPr>
        <w:lastRenderedPageBreak/>
        <w:t xml:space="preserve">CAUCASUS Cable System </w:t>
      </w:r>
      <w:r w:rsidRPr="00610B1B">
        <w:rPr>
          <w:rFonts w:ascii="Times New Roman" w:eastAsia="Times New Roman" w:hAnsi="Times New Roman" w:cs="Times New Roman"/>
          <w:sz w:val="24"/>
          <w:szCs w:val="24"/>
          <w:lang w:val="bg-BG" w:eastAsia="bg-BG"/>
        </w:rPr>
        <w:t>свързва градовете Балчик и Поти (Грузия). Кавказката кабелна система</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е грузински подводен комуникационен кабел в Черно море, в експлоатация от 2008 г.</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Тази подводна система е с дължина над 1 200 km и </w:t>
      </w:r>
      <w:r w:rsidRPr="00610B1B">
        <w:rPr>
          <w:rFonts w:ascii="Times New Roman" w:eastAsia="Times New Roman" w:hAnsi="Times New Roman" w:cs="Times New Roman"/>
          <w:sz w:val="24"/>
          <w:szCs w:val="24"/>
          <w:shd w:val="clear" w:color="auto" w:fill="FFFFFF"/>
          <w:lang w:val="bg-BG" w:eastAsia="bg-BG"/>
        </w:rPr>
        <w:t>капацитет 12,6 Tbit в секунда.</w:t>
      </w:r>
      <w:r w:rsidRPr="00610B1B">
        <w:rPr>
          <w:rFonts w:ascii="Times New Roman" w:eastAsia="Times New Roman" w:hAnsi="Times New Roman" w:cs="Times New Roman"/>
          <w:b/>
          <w:sz w:val="24"/>
          <w:szCs w:val="24"/>
          <w:lang w:val="bg-BG" w:eastAsia="bg-BG"/>
        </w:rPr>
        <w:t xml:space="preserve"> </w:t>
      </w:r>
      <w:r w:rsidRPr="00610B1B">
        <w:rPr>
          <w:rFonts w:ascii="Times New Roman" w:eastAsia="Times New Roman" w:hAnsi="Times New Roman" w:cs="Times New Roman"/>
          <w:sz w:val="24"/>
          <w:szCs w:val="24"/>
          <w:lang w:val="bg-BG" w:eastAsia="bg-BG"/>
        </w:rPr>
        <w:t>От българска страна е изградена оптична връзка към Варна, а от грузинския край е положена оптична връзка към Азербайджан. Наземната станция в Балчик е свързана с Франкфурт, Германия и други европейски интернет центрове чрез наземна връзка.</w:t>
      </w:r>
    </w:p>
    <w:p w14:paraId="6A8EDCAB" w14:textId="561B7DB6" w:rsidR="00E013DD" w:rsidRPr="00610B1B" w:rsidRDefault="00E013DD" w:rsidP="00D32D6A">
      <w:pPr>
        <w:spacing w:after="120"/>
        <w:ind w:right="-153"/>
        <w:jc w:val="both"/>
        <w:rPr>
          <w:rFonts w:ascii="Times New Roman" w:eastAsia="Times New Roman" w:hAnsi="Times New Roman" w:cs="Times New Roman"/>
          <w:sz w:val="24"/>
          <w:szCs w:val="24"/>
          <w:shd w:val="clear" w:color="auto" w:fill="FFFFFF"/>
          <w:lang w:val="bg-BG" w:eastAsia="bg-BG"/>
        </w:rPr>
      </w:pPr>
      <w:r w:rsidRPr="00610B1B">
        <w:rPr>
          <w:rFonts w:ascii="Times New Roman" w:eastAsia="Times New Roman" w:hAnsi="Times New Roman" w:cs="Times New Roman"/>
          <w:b/>
          <w:sz w:val="24"/>
          <w:szCs w:val="24"/>
          <w:lang w:val="bg-BG" w:eastAsia="bg-BG"/>
        </w:rPr>
        <w:t>Информационните и комуникационни технологии</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са един от водещите фактори за иновативно и приобщаващо информационно общество, осигуряващо високо качество на живот на гражданите. </w:t>
      </w:r>
      <w:r w:rsidRPr="00610B1B">
        <w:rPr>
          <w:rFonts w:ascii="Times New Roman" w:eastAsia="Times New Roman" w:hAnsi="Times New Roman" w:cs="Times New Roman"/>
          <w:sz w:val="24"/>
          <w:szCs w:val="24"/>
          <w:shd w:val="clear" w:color="auto" w:fill="FFFFFF"/>
          <w:lang w:val="bg-BG" w:eastAsia="bg-BG"/>
        </w:rPr>
        <w:t xml:space="preserve">Напредъкът в развитието на </w:t>
      </w:r>
      <w:r w:rsidRPr="00610B1B">
        <w:rPr>
          <w:rFonts w:ascii="Times New Roman" w:eastAsia="Times New Roman" w:hAnsi="Times New Roman" w:cs="Times New Roman"/>
          <w:bCs/>
          <w:sz w:val="24"/>
          <w:szCs w:val="24"/>
          <w:shd w:val="clear" w:color="auto" w:fill="FFFFFF"/>
          <w:lang w:val="bg-BG" w:eastAsia="bg-BG"/>
        </w:rPr>
        <w:t>информационното общество</w:t>
      </w:r>
      <w:r w:rsidRPr="00610B1B">
        <w:rPr>
          <w:rFonts w:ascii="Times New Roman" w:eastAsia="Times New Roman" w:hAnsi="Times New Roman" w:cs="Times New Roman"/>
          <w:sz w:val="24"/>
          <w:szCs w:val="24"/>
          <w:shd w:val="clear" w:color="auto" w:fill="FFFFFF"/>
          <w:lang w:val="bg-BG" w:eastAsia="bg-BG"/>
        </w:rPr>
        <w:t xml:space="preserve"> се счита за изключително важен за удовлетворяване на потребностите на обществото и на икономиката.</w:t>
      </w:r>
      <w:r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shd w:val="clear" w:color="auto" w:fill="FFFFFF"/>
          <w:lang w:val="bg-BG" w:eastAsia="bg-BG"/>
        </w:rPr>
        <w:t>Постепенно ИКТ стават широкодостъпни за населението както по отношение на възможностите за достъп, така и по отношение на тяхната цена, като темповете на достъпност нарастват по-отчетливо в периода 2007-2013 г. и малко по-плавно в периода 2013-2018</w:t>
      </w:r>
      <w:r w:rsidR="008107B9" w:rsidRPr="00610B1B">
        <w:rPr>
          <w:rFonts w:ascii="Times New Roman" w:eastAsia="Times New Roman" w:hAnsi="Times New Roman" w:cs="Times New Roman"/>
          <w:sz w:val="24"/>
          <w:szCs w:val="24"/>
          <w:shd w:val="clear" w:color="auto" w:fill="FFFFFF"/>
          <w:lang w:val="bg-BG" w:eastAsia="bg-BG"/>
        </w:rPr>
        <w:t xml:space="preserve"> </w:t>
      </w:r>
      <w:r w:rsidRPr="00610B1B">
        <w:rPr>
          <w:rFonts w:ascii="Times New Roman" w:eastAsia="Times New Roman" w:hAnsi="Times New Roman" w:cs="Times New Roman"/>
          <w:sz w:val="24"/>
          <w:szCs w:val="24"/>
          <w:shd w:val="clear" w:color="auto" w:fill="FFFFFF"/>
          <w:lang w:val="bg-BG" w:eastAsia="bg-BG"/>
        </w:rPr>
        <w:t xml:space="preserve">г. За десет години делът на домакинствата в ЕС-28 с достъп до интернет е достигнал 85%, </w:t>
      </w:r>
      <w:r w:rsidR="00080DB1" w:rsidRPr="00610B1B">
        <w:rPr>
          <w:rFonts w:ascii="Times New Roman" w:eastAsia="Times New Roman" w:hAnsi="Times New Roman" w:cs="Times New Roman"/>
          <w:sz w:val="24"/>
          <w:szCs w:val="24"/>
          <w:shd w:val="clear" w:color="auto" w:fill="FFFFFF"/>
          <w:lang w:val="bg-BG" w:eastAsia="bg-BG"/>
        </w:rPr>
        <w:t xml:space="preserve">или </w:t>
      </w:r>
      <w:r w:rsidRPr="00610B1B">
        <w:rPr>
          <w:rFonts w:ascii="Times New Roman" w:eastAsia="Times New Roman" w:hAnsi="Times New Roman" w:cs="Times New Roman"/>
          <w:sz w:val="24"/>
          <w:szCs w:val="24"/>
          <w:shd w:val="clear" w:color="auto" w:fill="FFFFFF"/>
          <w:lang w:val="bg-BG" w:eastAsia="bg-BG"/>
        </w:rPr>
        <w:t>с 30 процентни пункта повече в сравнение с 2007</w:t>
      </w:r>
      <w:r w:rsidR="00080DB1" w:rsidRPr="00610B1B">
        <w:rPr>
          <w:rFonts w:ascii="Times New Roman" w:eastAsia="Times New Roman" w:hAnsi="Times New Roman" w:cs="Times New Roman"/>
          <w:sz w:val="24"/>
          <w:szCs w:val="24"/>
          <w:shd w:val="clear" w:color="auto" w:fill="FFFFFF"/>
          <w:lang w:val="bg-BG" w:eastAsia="bg-BG"/>
        </w:rPr>
        <w:t xml:space="preserve"> </w:t>
      </w:r>
      <w:r w:rsidRPr="00610B1B">
        <w:rPr>
          <w:rFonts w:ascii="Times New Roman" w:eastAsia="Times New Roman" w:hAnsi="Times New Roman" w:cs="Times New Roman"/>
          <w:sz w:val="24"/>
          <w:szCs w:val="24"/>
          <w:shd w:val="clear" w:color="auto" w:fill="FFFFFF"/>
          <w:lang w:val="bg-BG" w:eastAsia="bg-BG"/>
        </w:rPr>
        <w:t>г.</w:t>
      </w:r>
    </w:p>
    <w:p w14:paraId="4C95C319" w14:textId="2E157556" w:rsidR="004F72E6" w:rsidRPr="00610B1B" w:rsidRDefault="00E013DD"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България следва тези темпове с по-ниски абсолютни стойности, като за периода 2007-2013</w:t>
      </w:r>
      <w:r w:rsidR="001757A5" w:rsidRPr="00610B1B">
        <w:rPr>
          <w:rFonts w:ascii="Times New Roman" w:eastAsia="Times New Roman" w:hAnsi="Times New Roman" w:cs="Times New Roman"/>
          <w:sz w:val="24"/>
          <w:szCs w:val="24"/>
          <w:lang w:val="bg-BG" w:eastAsia="bg-BG"/>
        </w:rPr>
        <w:t> </w:t>
      </w:r>
      <w:r w:rsidRPr="00610B1B">
        <w:rPr>
          <w:rFonts w:ascii="Times New Roman" w:eastAsia="Times New Roman" w:hAnsi="Times New Roman" w:cs="Times New Roman"/>
          <w:sz w:val="24"/>
          <w:szCs w:val="24"/>
          <w:lang w:val="bg-BG" w:eastAsia="bg-BG"/>
        </w:rPr>
        <w:t>г. достъпът до Интернет рязко нараства с 35</w:t>
      </w:r>
      <w:r w:rsidRPr="00610B1B">
        <w:rPr>
          <w:rFonts w:ascii="Times New Roman" w:eastAsia="Times New Roman" w:hAnsi="Times New Roman" w:cs="Times New Roman"/>
          <w:sz w:val="24"/>
          <w:szCs w:val="24"/>
          <w:shd w:val="clear" w:color="auto" w:fill="FFFFFF"/>
          <w:lang w:val="bg-BG" w:eastAsia="bg-BG"/>
        </w:rPr>
        <w:t xml:space="preserve"> процентни пункта</w:t>
      </w:r>
      <w:r w:rsidRPr="00610B1B">
        <w:rPr>
          <w:rFonts w:ascii="Times New Roman" w:eastAsia="Times New Roman" w:hAnsi="Times New Roman" w:cs="Times New Roman"/>
          <w:sz w:val="24"/>
          <w:szCs w:val="24"/>
          <w:lang w:val="bg-BG" w:eastAsia="bg-BG"/>
        </w:rPr>
        <w:t>, а през периода 2013-2018 г. - с два пъти по-малко, достигайки стойност 72,1%, което е най-ниският дял на достъп от страните в ЕС.</w:t>
      </w:r>
      <w:r w:rsidR="004F72E6" w:rsidRPr="00610B1B">
        <w:rPr>
          <w:rFonts w:ascii="Times New Roman" w:eastAsia="Times New Roman" w:hAnsi="Times New Roman" w:cs="Times New Roman"/>
          <w:sz w:val="24"/>
          <w:szCs w:val="24"/>
          <w:lang w:val="bg-BG" w:eastAsia="bg-BG"/>
        </w:rPr>
        <w:t xml:space="preserve"> Анализът на информацията от НСИ показва, че изоставането по свързаност и ползваемост постепенно се преодолява, с което се подпомага развитието на модерна цифрова инфраструктура в страната.</w:t>
      </w:r>
    </w:p>
    <w:p w14:paraId="72A4DA67" w14:textId="22CACA62" w:rsidR="004F72E6" w:rsidRPr="00610B1B" w:rsidRDefault="004F72E6"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Най-голям напредък в достъпа на домакинствата до интернет за последните години се регистрира именно в регионите, граничещи с Черно море – Североизточен и Югоизточен. Забележително по-висок е и напредъкът в използваемостта на интернет, най-отчетлив в северната част на крайбрежната зона.</w:t>
      </w:r>
    </w:p>
    <w:p w14:paraId="69BCAC4B" w14:textId="098F638E" w:rsidR="00DE74DB" w:rsidRPr="00610B1B" w:rsidRDefault="00B62269" w:rsidP="00D32D6A">
      <w:pPr>
        <w:spacing w:after="120"/>
        <w:ind w:right="-153"/>
        <w:rPr>
          <w:rFonts w:ascii="Times New Roman" w:hAnsi="Times New Roman" w:cs="Times New Roman"/>
          <w:sz w:val="24"/>
          <w:szCs w:val="24"/>
          <w:lang w:val="bg-BG"/>
        </w:rPr>
      </w:pPr>
      <w:bookmarkStart w:id="377" w:name="_Toc83391490"/>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27</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DE74DB" w:rsidRPr="00610B1B">
        <w:rPr>
          <w:rFonts w:ascii="Times New Roman" w:hAnsi="Times New Roman" w:cs="Times New Roman"/>
          <w:sz w:val="24"/>
          <w:szCs w:val="24"/>
          <w:lang w:val="bg-BG"/>
        </w:rPr>
        <w:t>Относителен дял на домакинствата с достъп до интернет и широколентов достъп до интернет</w:t>
      </w:r>
      <w:bookmarkEnd w:id="377"/>
    </w:p>
    <w:p w14:paraId="1161E181" w14:textId="5CB3B8A4" w:rsidR="009D32BB" w:rsidRPr="00610B1B" w:rsidRDefault="00BC44C1" w:rsidP="00D32D6A">
      <w:pPr>
        <w:spacing w:after="120"/>
        <w:ind w:right="-153"/>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noProof/>
          <w:sz w:val="24"/>
          <w:szCs w:val="24"/>
          <w:lang w:val="bg-BG" w:eastAsia="bg-BG"/>
        </w:rPr>
        <w:drawing>
          <wp:inline distT="0" distB="0" distL="0" distR="0" wp14:anchorId="3E27D393" wp14:editId="4558048F">
            <wp:extent cx="485902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59020" cy="2743200"/>
                    </a:xfrm>
                    <a:prstGeom prst="rect">
                      <a:avLst/>
                    </a:prstGeom>
                    <a:noFill/>
                  </pic:spPr>
                </pic:pic>
              </a:graphicData>
            </a:graphic>
          </wp:inline>
        </w:drawing>
      </w:r>
      <w:r w:rsidR="00C415D1" w:rsidRPr="00610B1B">
        <w:rPr>
          <w:rFonts w:ascii="Times New Roman" w:eastAsia="Times New Roman" w:hAnsi="Times New Roman" w:cs="Times New Roman"/>
          <w:sz w:val="24"/>
          <w:szCs w:val="24"/>
          <w:lang w:val="bg-BG" w:eastAsia="bg-BG"/>
        </w:rPr>
        <w:t xml:space="preserve"> </w:t>
      </w:r>
    </w:p>
    <w:p w14:paraId="1C2EFE87" w14:textId="664ADF60" w:rsidR="009D32BB" w:rsidRPr="00610B1B" w:rsidRDefault="009D32BB" w:rsidP="009D32BB">
      <w:pPr>
        <w:spacing w:after="120"/>
        <w:ind w:right="-153"/>
        <w:rPr>
          <w:rFonts w:ascii="Times New Roman" w:eastAsia="Times New Roman" w:hAnsi="Times New Roman" w:cs="Times New Roman"/>
          <w:b/>
          <w:lang w:val="bg-BG" w:eastAsia="bg-BG"/>
        </w:rPr>
      </w:pPr>
      <w:r w:rsidRPr="00610B1B">
        <w:rPr>
          <w:rFonts w:ascii="Times New Roman" w:eastAsia="Times New Roman" w:hAnsi="Times New Roman" w:cs="Times New Roman"/>
          <w:lang w:val="bg-BG" w:eastAsia="bg-BG"/>
        </w:rPr>
        <w:t>Източник: НСИ</w:t>
      </w:r>
    </w:p>
    <w:p w14:paraId="51C1D272" w14:textId="5F388A59" w:rsidR="00E013DD" w:rsidRPr="00610B1B" w:rsidRDefault="00E013DD"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lastRenderedPageBreak/>
        <w:t>По-бавните темпове на развитие на достъпа до интернет в България дават предимството да бъде реализиран по-качествено и в момента предоставяният достъп в страната е почти 100% широколентов. Така българските потребители получават услуги с качество над средното за ЕС, тъй като в голяма част от държавите-членки на ЕС, делът на тези високоскоростни връзки е по-малък или подобни скорости не се предлагат.</w:t>
      </w:r>
    </w:p>
    <w:p w14:paraId="17205F10" w14:textId="77777777" w:rsidR="0061567A" w:rsidRPr="00610B1B" w:rsidRDefault="0061567A"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4B3DEF17" w14:textId="40946B6A" w:rsidR="00BF0D18" w:rsidRPr="00610B1B" w:rsidRDefault="00080DB1" w:rsidP="00D32D6A">
      <w:pPr>
        <w:pStyle w:val="Heading3"/>
        <w:spacing w:before="0" w:line="276" w:lineRule="auto"/>
        <w:ind w:right="-153"/>
        <w:rPr>
          <w:rFonts w:cs="Times New Roman"/>
        </w:rPr>
      </w:pPr>
      <w:bookmarkStart w:id="378" w:name="_Toc83391387"/>
      <w:r w:rsidRPr="00610B1B">
        <w:rPr>
          <w:rFonts w:cs="Times New Roman"/>
        </w:rPr>
        <w:t>3</w:t>
      </w:r>
      <w:r w:rsidR="00BF0D18" w:rsidRPr="00610B1B">
        <w:rPr>
          <w:rFonts w:cs="Times New Roman"/>
        </w:rPr>
        <w:t>.4.2. Широколентово покритие и достъп до високоскоростен Интернет</w:t>
      </w:r>
      <w:bookmarkEnd w:id="378"/>
    </w:p>
    <w:p w14:paraId="2ED1DAFA" w14:textId="355F33DC" w:rsidR="00E013DD" w:rsidRPr="00610B1B" w:rsidRDefault="00E013DD" w:rsidP="00D32D6A">
      <w:pPr>
        <w:widowControl w:val="0"/>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Arial Unicode MS" w:hAnsi="Times New Roman" w:cs="Times New Roman"/>
          <w:bCs/>
          <w:sz w:val="24"/>
          <w:szCs w:val="24"/>
          <w:lang w:val="bg-BG" w:eastAsia="bg-BG"/>
        </w:rPr>
        <w:t>Широколентовото покритие</w:t>
      </w:r>
      <w:r w:rsidRPr="00610B1B">
        <w:rPr>
          <w:rFonts w:ascii="Times New Roman" w:eastAsia="Arial Unicode MS" w:hAnsi="Times New Roman" w:cs="Times New Roman"/>
          <w:sz w:val="24"/>
          <w:szCs w:val="24"/>
          <w:lang w:val="bg-BG" w:eastAsia="bg-BG"/>
        </w:rPr>
        <w:t xml:space="preserve"> в България е над средните стойности за ЕС, но се наблюдава дисбаланс между гъсто населените и слабо населените места. </w:t>
      </w:r>
      <w:r w:rsidRPr="00610B1B">
        <w:rPr>
          <w:rFonts w:ascii="Times New Roman" w:eastAsia="Arial Unicode MS" w:hAnsi="Times New Roman" w:cs="Times New Roman"/>
          <w:color w:val="000000"/>
          <w:sz w:val="24"/>
          <w:szCs w:val="24"/>
          <w:lang w:val="bg-BG" w:eastAsia="bg-BG"/>
        </w:rPr>
        <w:t xml:space="preserve">По отношение скоростта на интернет в по-големите градове, България е на едно от челните места в Европа. Въпреки това в средните и малките градове, както и в отдалечените и слабо населени селски зони, големи области нямат достъп до интернет. </w:t>
      </w:r>
      <w:r w:rsidRPr="00610B1B">
        <w:rPr>
          <w:rFonts w:ascii="Times New Roman" w:eastAsia="Times New Roman" w:hAnsi="Times New Roman" w:cs="Times New Roman"/>
          <w:sz w:val="24"/>
          <w:szCs w:val="24"/>
          <w:lang w:val="bg-BG" w:eastAsia="bg-BG"/>
        </w:rPr>
        <w:t>По данни на НСИ, през 2018 г. 71,5% от домакинствата в страната имат широколентов достъп до Интернет, като за градовете тази стойност е 75,7%, а за селата - 58%. През 2013 г. само 30,9% от домакинствата в селата са имали широколентов достъп до Интернет при 61,1% за градовете с разлика от 30%, докато към 2018 г. разликата е намаляла почти двойно.</w:t>
      </w:r>
      <w:r w:rsidR="004F72E6"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color w:val="000000"/>
          <w:sz w:val="24"/>
          <w:szCs w:val="24"/>
          <w:lang w:val="bg-BG"/>
        </w:rPr>
        <w:t xml:space="preserve">Междурегионалните различия в осигуряването на широколентов достъп до Интернет затрудняват използването на </w:t>
      </w:r>
      <w:r w:rsidRPr="00610B1B">
        <w:rPr>
          <w:rFonts w:ascii="Times New Roman" w:eastAsia="Times New Roman" w:hAnsi="Times New Roman" w:cs="Times New Roman"/>
          <w:sz w:val="24"/>
          <w:szCs w:val="24"/>
          <w:lang w:val="bg-BG"/>
        </w:rPr>
        <w:t xml:space="preserve">информационно комуникационните технологии </w:t>
      </w:r>
      <w:r w:rsidRPr="00610B1B">
        <w:rPr>
          <w:rFonts w:ascii="Times New Roman" w:eastAsia="Times New Roman" w:hAnsi="Times New Roman" w:cs="Times New Roman"/>
          <w:color w:val="000000"/>
          <w:sz w:val="24"/>
          <w:szCs w:val="24"/>
          <w:lang w:val="bg-BG"/>
        </w:rPr>
        <w:t>и забавят приложението им, тъй като</w:t>
      </w:r>
      <w:r w:rsidRPr="00610B1B">
        <w:rPr>
          <w:rFonts w:ascii="Times New Roman" w:eastAsia="Times New Roman" w:hAnsi="Times New Roman" w:cs="Times New Roman"/>
          <w:sz w:val="24"/>
          <w:szCs w:val="24"/>
          <w:lang w:val="bg-BG"/>
        </w:rPr>
        <w:t xml:space="preserve"> достъпът до </w:t>
      </w:r>
      <w:r w:rsidRPr="00610B1B">
        <w:rPr>
          <w:rFonts w:ascii="Times New Roman" w:eastAsia="Times New Roman" w:hAnsi="Times New Roman" w:cs="Times New Roman"/>
          <w:color w:val="000000"/>
          <w:sz w:val="24"/>
          <w:szCs w:val="24"/>
          <w:lang w:val="bg-BG"/>
        </w:rPr>
        <w:t>ИКТ</w:t>
      </w:r>
      <w:r w:rsidRPr="00610B1B">
        <w:rPr>
          <w:rFonts w:ascii="Times New Roman" w:eastAsia="Times New Roman" w:hAnsi="Times New Roman" w:cs="Times New Roman"/>
          <w:sz w:val="24"/>
          <w:szCs w:val="24"/>
          <w:lang w:val="bg-BG"/>
        </w:rPr>
        <w:t xml:space="preserve"> в голяма степен се определя от степента на развитие на телекомуникационните системи.</w:t>
      </w:r>
    </w:p>
    <w:p w14:paraId="43CA7625" w14:textId="72587D3A" w:rsidR="00E013DD" w:rsidRPr="00610B1B" w:rsidRDefault="00543303" w:rsidP="00E37053">
      <w:pPr>
        <w:pStyle w:val="Caption"/>
        <w:keepNext/>
        <w:spacing w:before="0" w:after="60" w:line="276" w:lineRule="auto"/>
        <w:ind w:right="-153"/>
        <w:rPr>
          <w:rFonts w:eastAsia="Times New Roman" w:cs="Times New Roman"/>
          <w:bCs/>
          <w:iCs/>
        </w:rPr>
      </w:pPr>
      <w:bookmarkStart w:id="379" w:name="_Toc83391605"/>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9</w:t>
      </w:r>
      <w:r w:rsidRPr="00610B1B">
        <w:rPr>
          <w:rFonts w:cs="Times New Roman"/>
        </w:rPr>
        <w:fldChar w:fldCharType="end"/>
      </w:r>
      <w:r w:rsidRPr="00610B1B">
        <w:rPr>
          <w:rFonts w:cs="Times New Roman"/>
        </w:rPr>
        <w:t xml:space="preserve">: </w:t>
      </w:r>
      <w:r w:rsidR="00E013DD" w:rsidRPr="00610B1B">
        <w:rPr>
          <w:rFonts w:eastAsia="Times New Roman" w:cs="Times New Roman"/>
          <w:bCs/>
          <w:iCs/>
        </w:rPr>
        <w:t>Относителен дял на населението с достъп до високоскоростен Интернет в областите Варна, Добрич и Бургас</w:t>
      </w:r>
      <w:bookmarkEnd w:id="379"/>
    </w:p>
    <w:tbl>
      <w:tblPr>
        <w:tblW w:w="0" w:type="auto"/>
        <w:tblInd w:w="108" w:type="dxa"/>
        <w:tblBorders>
          <w:top w:val="single" w:sz="4" w:space="0" w:color="auto"/>
          <w:bottom w:val="single" w:sz="4" w:space="0" w:color="auto"/>
          <w:insideH w:val="single" w:sz="4" w:space="0" w:color="auto"/>
        </w:tblBorders>
        <w:tblLook w:val="00A0" w:firstRow="1" w:lastRow="0" w:firstColumn="1" w:lastColumn="0" w:noHBand="0" w:noVBand="0"/>
      </w:tblPr>
      <w:tblGrid>
        <w:gridCol w:w="2160"/>
        <w:gridCol w:w="1954"/>
        <w:gridCol w:w="1779"/>
        <w:gridCol w:w="1601"/>
        <w:gridCol w:w="1425"/>
      </w:tblGrid>
      <w:tr w:rsidR="00E013DD" w:rsidRPr="00610B1B" w14:paraId="064D2ADA" w14:textId="77777777" w:rsidTr="00D03DA8">
        <w:trPr>
          <w:tblHeader/>
        </w:trPr>
        <w:tc>
          <w:tcPr>
            <w:tcW w:w="2160" w:type="dxa"/>
            <w:shd w:val="clear" w:color="auto" w:fill="C6D9F1" w:themeFill="text2" w:themeFillTint="33"/>
            <w:vAlign w:val="center"/>
          </w:tcPr>
          <w:p w14:paraId="492354AA" w14:textId="77777777" w:rsidR="00E013DD" w:rsidRPr="00610B1B" w:rsidRDefault="00E013DD" w:rsidP="00D32D6A">
            <w:pPr>
              <w:spacing w:after="0" w:line="240" w:lineRule="auto"/>
              <w:jc w:val="center"/>
              <w:rPr>
                <w:rFonts w:ascii="Times New Roman" w:eastAsia="Times New Roman" w:hAnsi="Times New Roman" w:cs="Times New Roman"/>
                <w:b/>
                <w:bCs/>
                <w:color w:val="000000"/>
                <w:lang w:val="bg-BG" w:eastAsia="bg-BG"/>
              </w:rPr>
            </w:pPr>
          </w:p>
        </w:tc>
        <w:tc>
          <w:tcPr>
            <w:tcW w:w="1980" w:type="dxa"/>
            <w:shd w:val="clear" w:color="auto" w:fill="C6D9F1" w:themeFill="text2" w:themeFillTint="33"/>
            <w:vAlign w:val="center"/>
          </w:tcPr>
          <w:p w14:paraId="6B73D4D2" w14:textId="77777777" w:rsidR="00E013DD" w:rsidRPr="00610B1B" w:rsidRDefault="00E013DD" w:rsidP="00BC44C1">
            <w:pPr>
              <w:spacing w:after="0" w:line="240" w:lineRule="auto"/>
              <w:jc w:val="center"/>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ШЛИ 30+ mbps</w:t>
            </w:r>
          </w:p>
        </w:tc>
        <w:tc>
          <w:tcPr>
            <w:tcW w:w="1800" w:type="dxa"/>
            <w:shd w:val="clear" w:color="auto" w:fill="C6D9F1" w:themeFill="text2" w:themeFillTint="33"/>
            <w:vAlign w:val="center"/>
          </w:tcPr>
          <w:p w14:paraId="55B87F0A" w14:textId="77777777" w:rsidR="00E013DD" w:rsidRPr="00610B1B" w:rsidRDefault="00E013DD" w:rsidP="00BC44C1">
            <w:pPr>
              <w:spacing w:after="0" w:line="240" w:lineRule="auto"/>
              <w:jc w:val="center"/>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ШЛИ 100+ mbps</w:t>
            </w:r>
          </w:p>
        </w:tc>
        <w:tc>
          <w:tcPr>
            <w:tcW w:w="1620" w:type="dxa"/>
            <w:shd w:val="clear" w:color="auto" w:fill="C6D9F1" w:themeFill="text2" w:themeFillTint="33"/>
            <w:vAlign w:val="center"/>
          </w:tcPr>
          <w:p w14:paraId="21EE7B20" w14:textId="101D78E8" w:rsidR="00E013DD" w:rsidRPr="00610B1B" w:rsidRDefault="00E013DD" w:rsidP="00BC44C1">
            <w:pPr>
              <w:spacing w:after="0" w:line="240" w:lineRule="auto"/>
              <w:jc w:val="center"/>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Бяла*</w:t>
            </w:r>
            <w:r w:rsidR="00D66FE0" w:rsidRPr="00610B1B">
              <w:rPr>
                <w:rFonts w:ascii="Times New Roman" w:eastAsia="Times New Roman" w:hAnsi="Times New Roman" w:cs="Times New Roman"/>
                <w:b/>
                <w:bCs/>
                <w:color w:val="000000"/>
                <w:lang w:val="bg-BG" w:eastAsia="bg-BG"/>
              </w:rPr>
              <w:t xml:space="preserve"> </w:t>
            </w:r>
            <w:r w:rsidRPr="00610B1B">
              <w:rPr>
                <w:rFonts w:ascii="Times New Roman" w:eastAsia="Times New Roman" w:hAnsi="Times New Roman" w:cs="Times New Roman"/>
                <w:b/>
                <w:bCs/>
                <w:color w:val="000000"/>
                <w:lang w:val="bg-BG" w:eastAsia="bg-BG"/>
              </w:rPr>
              <w:t>зона</w:t>
            </w:r>
          </w:p>
        </w:tc>
        <w:tc>
          <w:tcPr>
            <w:tcW w:w="1440" w:type="dxa"/>
            <w:shd w:val="clear" w:color="auto" w:fill="C6D9F1" w:themeFill="text2" w:themeFillTint="33"/>
            <w:vAlign w:val="center"/>
          </w:tcPr>
          <w:p w14:paraId="54F641F5" w14:textId="7685A5E3" w:rsidR="00E013DD" w:rsidRPr="00610B1B" w:rsidRDefault="00E013DD" w:rsidP="00BC44C1">
            <w:pPr>
              <w:spacing w:after="0" w:line="240" w:lineRule="auto"/>
              <w:jc w:val="center"/>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Сива*</w:t>
            </w:r>
            <w:r w:rsidR="00D66FE0" w:rsidRPr="00610B1B">
              <w:rPr>
                <w:rFonts w:ascii="Times New Roman" w:eastAsia="Times New Roman" w:hAnsi="Times New Roman" w:cs="Times New Roman"/>
                <w:b/>
                <w:bCs/>
                <w:color w:val="000000"/>
                <w:lang w:val="bg-BG" w:eastAsia="bg-BG"/>
              </w:rPr>
              <w:t xml:space="preserve"> </w:t>
            </w:r>
            <w:r w:rsidRPr="00610B1B">
              <w:rPr>
                <w:rFonts w:ascii="Times New Roman" w:eastAsia="Times New Roman" w:hAnsi="Times New Roman" w:cs="Times New Roman"/>
                <w:b/>
                <w:bCs/>
                <w:color w:val="000000"/>
                <w:lang w:val="bg-BG" w:eastAsia="bg-BG"/>
              </w:rPr>
              <w:t>зона</w:t>
            </w:r>
          </w:p>
        </w:tc>
      </w:tr>
      <w:tr w:rsidR="00E013DD" w:rsidRPr="00610B1B" w14:paraId="3495FC29" w14:textId="77777777" w:rsidTr="00BC44C1">
        <w:tc>
          <w:tcPr>
            <w:tcW w:w="2160" w:type="dxa"/>
          </w:tcPr>
          <w:p w14:paraId="59718E50" w14:textId="77777777" w:rsidR="00E013DD" w:rsidRPr="00610B1B" w:rsidRDefault="00E013DD" w:rsidP="00BC44C1">
            <w:pPr>
              <w:spacing w:before="20" w:after="20" w:line="240" w:lineRule="auto"/>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България</w:t>
            </w:r>
          </w:p>
        </w:tc>
        <w:tc>
          <w:tcPr>
            <w:tcW w:w="1980" w:type="dxa"/>
          </w:tcPr>
          <w:p w14:paraId="746D77D7" w14:textId="20C9A660" w:rsidR="00E013DD" w:rsidRPr="00610B1B" w:rsidRDefault="00E013DD" w:rsidP="00BC44C1">
            <w:pPr>
              <w:spacing w:before="20" w:after="20" w:line="240" w:lineRule="auto"/>
              <w:jc w:val="right"/>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97</w:t>
            </w:r>
            <w:r w:rsidR="00F37354" w:rsidRPr="00610B1B">
              <w:rPr>
                <w:rFonts w:ascii="Times New Roman" w:eastAsia="Times New Roman" w:hAnsi="Times New Roman" w:cs="Times New Roman"/>
                <w:b/>
                <w:bCs/>
                <w:color w:val="000000"/>
                <w:lang w:val="bg-BG" w:eastAsia="bg-BG"/>
              </w:rPr>
              <w:t>,</w:t>
            </w:r>
            <w:r w:rsidRPr="00610B1B">
              <w:rPr>
                <w:rFonts w:ascii="Times New Roman" w:eastAsia="Times New Roman" w:hAnsi="Times New Roman" w:cs="Times New Roman"/>
                <w:b/>
                <w:bCs/>
                <w:color w:val="000000"/>
                <w:lang w:val="bg-BG" w:eastAsia="bg-BG"/>
              </w:rPr>
              <w:t>42%</w:t>
            </w:r>
          </w:p>
        </w:tc>
        <w:tc>
          <w:tcPr>
            <w:tcW w:w="1800" w:type="dxa"/>
          </w:tcPr>
          <w:p w14:paraId="269B58B6" w14:textId="70CEC599" w:rsidR="00E013DD" w:rsidRPr="00610B1B" w:rsidRDefault="00E013DD" w:rsidP="00BC44C1">
            <w:pPr>
              <w:spacing w:before="20" w:after="20" w:line="240" w:lineRule="auto"/>
              <w:jc w:val="right"/>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97</w:t>
            </w:r>
            <w:r w:rsidR="00F37354" w:rsidRPr="00610B1B">
              <w:rPr>
                <w:rFonts w:ascii="Times New Roman" w:eastAsia="Times New Roman" w:hAnsi="Times New Roman" w:cs="Times New Roman"/>
                <w:b/>
                <w:bCs/>
                <w:color w:val="000000"/>
                <w:lang w:val="bg-BG" w:eastAsia="bg-BG"/>
              </w:rPr>
              <w:t>,</w:t>
            </w:r>
            <w:r w:rsidRPr="00610B1B">
              <w:rPr>
                <w:rFonts w:ascii="Times New Roman" w:eastAsia="Times New Roman" w:hAnsi="Times New Roman" w:cs="Times New Roman"/>
                <w:b/>
                <w:bCs/>
                <w:color w:val="000000"/>
                <w:lang w:val="bg-BG" w:eastAsia="bg-BG"/>
              </w:rPr>
              <w:t>97%</w:t>
            </w:r>
          </w:p>
        </w:tc>
        <w:tc>
          <w:tcPr>
            <w:tcW w:w="1620" w:type="dxa"/>
          </w:tcPr>
          <w:p w14:paraId="30A6FD48" w14:textId="7F528C3B" w:rsidR="00E013DD" w:rsidRPr="00610B1B" w:rsidRDefault="00E013DD" w:rsidP="00BC44C1">
            <w:pPr>
              <w:spacing w:before="20" w:after="20" w:line="240" w:lineRule="auto"/>
              <w:jc w:val="right"/>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1</w:t>
            </w:r>
            <w:r w:rsidR="00F37354" w:rsidRPr="00610B1B">
              <w:rPr>
                <w:rFonts w:ascii="Times New Roman" w:eastAsia="Times New Roman" w:hAnsi="Times New Roman" w:cs="Times New Roman"/>
                <w:b/>
                <w:bCs/>
                <w:color w:val="000000"/>
                <w:lang w:val="bg-BG" w:eastAsia="bg-BG"/>
              </w:rPr>
              <w:t>,</w:t>
            </w:r>
            <w:r w:rsidRPr="00610B1B">
              <w:rPr>
                <w:rFonts w:ascii="Times New Roman" w:eastAsia="Times New Roman" w:hAnsi="Times New Roman" w:cs="Times New Roman"/>
                <w:b/>
                <w:bCs/>
                <w:color w:val="000000"/>
                <w:lang w:val="bg-BG" w:eastAsia="bg-BG"/>
              </w:rPr>
              <w:t>59%</w:t>
            </w:r>
          </w:p>
        </w:tc>
        <w:tc>
          <w:tcPr>
            <w:tcW w:w="1440" w:type="dxa"/>
          </w:tcPr>
          <w:p w14:paraId="114F91B8" w14:textId="0D2D25C3" w:rsidR="00E013DD" w:rsidRPr="00610B1B" w:rsidRDefault="00E013DD" w:rsidP="00BC44C1">
            <w:pPr>
              <w:spacing w:before="20" w:after="20" w:line="240" w:lineRule="auto"/>
              <w:jc w:val="right"/>
              <w:rPr>
                <w:rFonts w:ascii="Times New Roman" w:eastAsia="Times New Roman" w:hAnsi="Times New Roman" w:cs="Times New Roman"/>
                <w:b/>
                <w:bCs/>
                <w:color w:val="000000"/>
                <w:lang w:val="bg-BG" w:eastAsia="bg-BG"/>
              </w:rPr>
            </w:pPr>
            <w:r w:rsidRPr="00610B1B">
              <w:rPr>
                <w:rFonts w:ascii="Times New Roman" w:eastAsia="Times New Roman" w:hAnsi="Times New Roman" w:cs="Times New Roman"/>
                <w:b/>
                <w:bCs/>
                <w:color w:val="000000"/>
                <w:lang w:val="bg-BG" w:eastAsia="bg-BG"/>
              </w:rPr>
              <w:t>2</w:t>
            </w:r>
            <w:r w:rsidR="00F37354" w:rsidRPr="00610B1B">
              <w:rPr>
                <w:rFonts w:ascii="Times New Roman" w:eastAsia="Times New Roman" w:hAnsi="Times New Roman" w:cs="Times New Roman"/>
                <w:b/>
                <w:bCs/>
                <w:color w:val="000000"/>
                <w:lang w:val="bg-BG" w:eastAsia="bg-BG"/>
              </w:rPr>
              <w:t>,</w:t>
            </w:r>
            <w:r w:rsidRPr="00610B1B">
              <w:rPr>
                <w:rFonts w:ascii="Times New Roman" w:eastAsia="Times New Roman" w:hAnsi="Times New Roman" w:cs="Times New Roman"/>
                <w:b/>
                <w:bCs/>
                <w:color w:val="000000"/>
                <w:lang w:val="bg-BG" w:eastAsia="bg-BG"/>
              </w:rPr>
              <w:t>30%</w:t>
            </w:r>
          </w:p>
        </w:tc>
      </w:tr>
      <w:tr w:rsidR="00E013DD" w:rsidRPr="00610B1B" w14:paraId="24A70D6D" w14:textId="77777777" w:rsidTr="00BC44C1">
        <w:tc>
          <w:tcPr>
            <w:tcW w:w="2160" w:type="dxa"/>
            <w:vAlign w:val="bottom"/>
          </w:tcPr>
          <w:p w14:paraId="78F79333" w14:textId="77777777" w:rsidR="00E013DD" w:rsidRPr="00610B1B" w:rsidRDefault="00E013DD" w:rsidP="00BC44C1">
            <w:pPr>
              <w:spacing w:before="20" w:after="20" w:line="240" w:lineRule="auto"/>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Варна</w:t>
            </w:r>
          </w:p>
        </w:tc>
        <w:tc>
          <w:tcPr>
            <w:tcW w:w="1980" w:type="dxa"/>
            <w:vAlign w:val="center"/>
          </w:tcPr>
          <w:p w14:paraId="4CD6F15B" w14:textId="796F65FC"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99</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01%</w:t>
            </w:r>
          </w:p>
        </w:tc>
        <w:tc>
          <w:tcPr>
            <w:tcW w:w="1800" w:type="dxa"/>
            <w:vAlign w:val="center"/>
          </w:tcPr>
          <w:p w14:paraId="6CF60433" w14:textId="73F039D0"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98</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05%</w:t>
            </w:r>
          </w:p>
        </w:tc>
        <w:tc>
          <w:tcPr>
            <w:tcW w:w="1620" w:type="dxa"/>
            <w:vAlign w:val="center"/>
          </w:tcPr>
          <w:p w14:paraId="350C180E" w14:textId="6CDFE3D9"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1</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03%</w:t>
            </w:r>
          </w:p>
        </w:tc>
        <w:tc>
          <w:tcPr>
            <w:tcW w:w="1440" w:type="dxa"/>
            <w:vAlign w:val="center"/>
          </w:tcPr>
          <w:p w14:paraId="2C03B0EC" w14:textId="5D3A73AC"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0</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92%</w:t>
            </w:r>
          </w:p>
        </w:tc>
      </w:tr>
      <w:tr w:rsidR="00E013DD" w:rsidRPr="00610B1B" w14:paraId="78625FB1" w14:textId="77777777" w:rsidTr="00BC44C1">
        <w:tc>
          <w:tcPr>
            <w:tcW w:w="2160" w:type="dxa"/>
            <w:vAlign w:val="bottom"/>
          </w:tcPr>
          <w:p w14:paraId="37BAD136" w14:textId="77777777" w:rsidR="00E013DD" w:rsidRPr="00610B1B" w:rsidRDefault="00E013DD" w:rsidP="00BC44C1">
            <w:pPr>
              <w:spacing w:before="20" w:after="20" w:line="240" w:lineRule="auto"/>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Добрич</w:t>
            </w:r>
          </w:p>
        </w:tc>
        <w:tc>
          <w:tcPr>
            <w:tcW w:w="1980" w:type="dxa"/>
            <w:vAlign w:val="center"/>
          </w:tcPr>
          <w:p w14:paraId="14F8CA74" w14:textId="5B33C6BF"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96</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70%</w:t>
            </w:r>
          </w:p>
        </w:tc>
        <w:tc>
          <w:tcPr>
            <w:tcW w:w="1800" w:type="dxa"/>
            <w:vAlign w:val="center"/>
          </w:tcPr>
          <w:p w14:paraId="277B82B5" w14:textId="0B33B952"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95</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97%</w:t>
            </w:r>
          </w:p>
        </w:tc>
        <w:tc>
          <w:tcPr>
            <w:tcW w:w="1620" w:type="dxa"/>
            <w:vAlign w:val="center"/>
          </w:tcPr>
          <w:p w14:paraId="485226EE" w14:textId="60787DDC"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3</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40%</w:t>
            </w:r>
          </w:p>
        </w:tc>
        <w:tc>
          <w:tcPr>
            <w:tcW w:w="1440" w:type="dxa"/>
            <w:vAlign w:val="center"/>
          </w:tcPr>
          <w:p w14:paraId="12AC55C0" w14:textId="1B85FA39"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1</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16%</w:t>
            </w:r>
          </w:p>
        </w:tc>
      </w:tr>
      <w:tr w:rsidR="00E013DD" w:rsidRPr="00610B1B" w14:paraId="11B6EAC3" w14:textId="77777777" w:rsidTr="00BC44C1">
        <w:tc>
          <w:tcPr>
            <w:tcW w:w="2160" w:type="dxa"/>
            <w:noWrap/>
            <w:vAlign w:val="bottom"/>
          </w:tcPr>
          <w:p w14:paraId="70FE0B4C" w14:textId="77777777" w:rsidR="00E013DD" w:rsidRPr="00610B1B" w:rsidRDefault="00E013DD" w:rsidP="00BC44C1">
            <w:pPr>
              <w:spacing w:before="20" w:after="20" w:line="240" w:lineRule="auto"/>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Бургас</w:t>
            </w:r>
          </w:p>
        </w:tc>
        <w:tc>
          <w:tcPr>
            <w:tcW w:w="1980" w:type="dxa"/>
            <w:vAlign w:val="center"/>
          </w:tcPr>
          <w:p w14:paraId="5D046881" w14:textId="2F97D1C1"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96</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59%</w:t>
            </w:r>
          </w:p>
        </w:tc>
        <w:tc>
          <w:tcPr>
            <w:tcW w:w="1800" w:type="dxa"/>
            <w:vAlign w:val="center"/>
          </w:tcPr>
          <w:p w14:paraId="0D2A0D7C" w14:textId="2D12138C"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98</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64%</w:t>
            </w:r>
          </w:p>
        </w:tc>
        <w:tc>
          <w:tcPr>
            <w:tcW w:w="1620" w:type="dxa"/>
            <w:vAlign w:val="center"/>
          </w:tcPr>
          <w:p w14:paraId="215401C0" w14:textId="3DC39BFF"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0</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46%</w:t>
            </w:r>
          </w:p>
        </w:tc>
        <w:tc>
          <w:tcPr>
            <w:tcW w:w="1440" w:type="dxa"/>
            <w:vAlign w:val="center"/>
          </w:tcPr>
          <w:p w14:paraId="2ED3E2F7" w14:textId="26499B29" w:rsidR="00E013DD" w:rsidRPr="00610B1B" w:rsidRDefault="00E013DD" w:rsidP="00BC44C1">
            <w:pPr>
              <w:spacing w:before="20" w:after="20" w:line="240" w:lineRule="auto"/>
              <w:jc w:val="right"/>
              <w:rPr>
                <w:rFonts w:ascii="Times New Roman" w:eastAsia="Times New Roman" w:hAnsi="Times New Roman" w:cs="Times New Roman"/>
                <w:bCs/>
                <w:color w:val="000000"/>
                <w:lang w:val="bg-BG" w:eastAsia="bg-BG"/>
              </w:rPr>
            </w:pPr>
            <w:r w:rsidRPr="00610B1B">
              <w:rPr>
                <w:rFonts w:ascii="Times New Roman" w:eastAsia="Times New Roman" w:hAnsi="Times New Roman" w:cs="Times New Roman"/>
                <w:bCs/>
                <w:color w:val="000000"/>
                <w:lang w:val="bg-BG" w:eastAsia="bg-BG"/>
              </w:rPr>
              <w:t>2</w:t>
            </w:r>
            <w:r w:rsidR="00F37354" w:rsidRPr="00610B1B">
              <w:rPr>
                <w:rFonts w:ascii="Times New Roman" w:eastAsia="Times New Roman" w:hAnsi="Times New Roman" w:cs="Times New Roman"/>
                <w:bCs/>
                <w:color w:val="000000"/>
                <w:lang w:val="bg-BG" w:eastAsia="bg-BG"/>
              </w:rPr>
              <w:t>,</w:t>
            </w:r>
            <w:r w:rsidRPr="00610B1B">
              <w:rPr>
                <w:rFonts w:ascii="Times New Roman" w:eastAsia="Times New Roman" w:hAnsi="Times New Roman" w:cs="Times New Roman"/>
                <w:bCs/>
                <w:color w:val="000000"/>
                <w:lang w:val="bg-BG" w:eastAsia="bg-BG"/>
              </w:rPr>
              <w:t>13%</w:t>
            </w:r>
          </w:p>
        </w:tc>
      </w:tr>
    </w:tbl>
    <w:p w14:paraId="3158E3D4" w14:textId="146AFE39" w:rsidR="00E013DD" w:rsidRPr="00610B1B" w:rsidRDefault="00E013DD" w:rsidP="00BC44C1">
      <w:pPr>
        <w:spacing w:before="60" w:after="120"/>
        <w:ind w:right="-153"/>
        <w:jc w:val="both"/>
        <w:rPr>
          <w:rFonts w:ascii="Times New Roman" w:hAnsi="Times New Roman" w:cs="Times New Roman"/>
          <w:lang w:val="bg-BG"/>
        </w:rPr>
      </w:pPr>
      <w:r w:rsidRPr="00610B1B">
        <w:rPr>
          <w:rFonts w:ascii="Times New Roman" w:hAnsi="Times New Roman" w:cs="Times New Roman"/>
          <w:lang w:val="bg-BG"/>
        </w:rPr>
        <w:t xml:space="preserve">Източник </w:t>
      </w:r>
      <w:r w:rsidR="004E6C8D">
        <w:rPr>
          <w:rFonts w:ascii="Times New Roman" w:hAnsi="Times New Roman" w:cs="Times New Roman"/>
          <w:lang w:val="bg-BG"/>
        </w:rPr>
        <w:t>МТС</w:t>
      </w:r>
      <w:r w:rsidRPr="00610B1B">
        <w:rPr>
          <w:rFonts w:ascii="Times New Roman" w:hAnsi="Times New Roman" w:cs="Times New Roman"/>
          <w:lang w:val="bg-BG"/>
        </w:rPr>
        <w:t>, обработка НЦТР</w:t>
      </w:r>
    </w:p>
    <w:p w14:paraId="3A28FD34" w14:textId="61AAD111" w:rsidR="00E013DD" w:rsidRPr="00610B1B" w:rsidRDefault="00E013DD" w:rsidP="00D32D6A">
      <w:pPr>
        <w:spacing w:after="120"/>
        <w:ind w:right="-153"/>
        <w:jc w:val="both"/>
        <w:rPr>
          <w:rFonts w:ascii="Times New Roman" w:eastAsia="Times New Roman" w:hAnsi="Times New Roman" w:cs="Times New Roman"/>
          <w:i/>
          <w:sz w:val="24"/>
          <w:szCs w:val="24"/>
          <w:lang w:val="bg-BG" w:eastAsia="bg-BG"/>
        </w:rPr>
      </w:pPr>
      <w:r w:rsidRPr="00610B1B">
        <w:rPr>
          <w:rFonts w:ascii="Times New Roman" w:eastAsia="Times New Roman" w:hAnsi="Times New Roman" w:cs="Times New Roman"/>
          <w:b/>
          <w:bCs/>
          <w:i/>
          <w:color w:val="000000"/>
          <w:sz w:val="24"/>
          <w:szCs w:val="24"/>
          <w:lang w:val="bg-BG" w:eastAsia="bg-BG"/>
        </w:rPr>
        <w:t>Бяла* зона</w:t>
      </w:r>
      <w:r w:rsidRPr="00610B1B">
        <w:rPr>
          <w:rFonts w:ascii="Times New Roman" w:eastAsia="Times New Roman" w:hAnsi="Times New Roman" w:cs="Times New Roman"/>
          <w:bCs/>
          <w:i/>
          <w:color w:val="000000"/>
          <w:sz w:val="24"/>
          <w:szCs w:val="24"/>
          <w:lang w:val="bg-BG" w:eastAsia="bg-BG"/>
        </w:rPr>
        <w:t xml:space="preserve"> -</w:t>
      </w:r>
      <w:r w:rsidR="00DE74DB" w:rsidRPr="00610B1B">
        <w:rPr>
          <w:rFonts w:ascii="Times New Roman" w:eastAsia="Times New Roman" w:hAnsi="Times New Roman" w:cs="Times New Roman"/>
          <w:bCs/>
          <w:i/>
          <w:color w:val="000000"/>
          <w:sz w:val="24"/>
          <w:szCs w:val="24"/>
          <w:lang w:val="bg-BG" w:eastAsia="bg-BG"/>
        </w:rPr>
        <w:t xml:space="preserve"> </w:t>
      </w:r>
      <w:r w:rsidRPr="00610B1B">
        <w:rPr>
          <w:rFonts w:ascii="Times New Roman" w:eastAsia="Times New Roman" w:hAnsi="Times New Roman" w:cs="Times New Roman"/>
          <w:i/>
          <w:sz w:val="24"/>
          <w:szCs w:val="24"/>
          <w:lang w:val="bg-BG" w:eastAsia="bg-BG"/>
        </w:rPr>
        <w:t>в т.н</w:t>
      </w:r>
      <w:r w:rsidR="00DE74DB" w:rsidRPr="00610B1B">
        <w:rPr>
          <w:rFonts w:ascii="Times New Roman" w:eastAsia="Times New Roman" w:hAnsi="Times New Roman" w:cs="Times New Roman"/>
          <w:i/>
          <w:sz w:val="24"/>
          <w:szCs w:val="24"/>
          <w:lang w:val="bg-BG" w:eastAsia="bg-BG"/>
        </w:rPr>
        <w:t>ар</w:t>
      </w:r>
      <w:r w:rsidRPr="00610B1B">
        <w:rPr>
          <w:rFonts w:ascii="Times New Roman" w:eastAsia="Times New Roman" w:hAnsi="Times New Roman" w:cs="Times New Roman"/>
          <w:i/>
          <w:sz w:val="24"/>
          <w:szCs w:val="24"/>
          <w:lang w:val="bg-BG" w:eastAsia="bg-BG"/>
        </w:rPr>
        <w:t xml:space="preserve">. „бели райони” не съществува инфраструктура за широколентов достъп или няма вероятност такава да бъде развита в близко бъдеще (в период от три години). </w:t>
      </w:r>
    </w:p>
    <w:p w14:paraId="51868EC7" w14:textId="712367C4" w:rsidR="00E013DD" w:rsidRPr="00610B1B" w:rsidRDefault="00E013DD" w:rsidP="00D32D6A">
      <w:pPr>
        <w:spacing w:after="120"/>
        <w:ind w:right="-153"/>
        <w:jc w:val="both"/>
        <w:rPr>
          <w:rFonts w:ascii="Times New Roman" w:eastAsia="Times New Roman" w:hAnsi="Times New Roman" w:cs="Times New Roman"/>
          <w:bCs/>
          <w:color w:val="000000"/>
          <w:sz w:val="24"/>
          <w:szCs w:val="24"/>
          <w:lang w:val="bg-BG" w:eastAsia="bg-BG"/>
        </w:rPr>
      </w:pPr>
      <w:r w:rsidRPr="00610B1B">
        <w:rPr>
          <w:rFonts w:ascii="Times New Roman" w:eastAsia="Times New Roman" w:hAnsi="Times New Roman" w:cs="Times New Roman"/>
          <w:b/>
          <w:bCs/>
          <w:i/>
          <w:color w:val="000000"/>
          <w:sz w:val="24"/>
          <w:szCs w:val="24"/>
          <w:lang w:val="bg-BG" w:eastAsia="bg-BG"/>
        </w:rPr>
        <w:t>Сива* зона</w:t>
      </w:r>
      <w:r w:rsidRPr="00610B1B">
        <w:rPr>
          <w:rFonts w:ascii="Times New Roman" w:eastAsia="Times New Roman" w:hAnsi="Times New Roman" w:cs="Times New Roman"/>
          <w:bCs/>
          <w:i/>
          <w:color w:val="000000"/>
          <w:sz w:val="24"/>
          <w:szCs w:val="24"/>
          <w:lang w:val="bg-BG" w:eastAsia="bg-BG"/>
        </w:rPr>
        <w:t xml:space="preserve"> -</w:t>
      </w:r>
      <w:r w:rsidR="00DE74DB" w:rsidRPr="00610B1B">
        <w:rPr>
          <w:rFonts w:ascii="Times New Roman" w:eastAsia="Times New Roman" w:hAnsi="Times New Roman" w:cs="Times New Roman"/>
          <w:bCs/>
          <w:i/>
          <w:color w:val="000000"/>
          <w:sz w:val="24"/>
          <w:szCs w:val="24"/>
          <w:lang w:val="bg-BG" w:eastAsia="bg-BG"/>
        </w:rPr>
        <w:t xml:space="preserve"> </w:t>
      </w:r>
      <w:r w:rsidRPr="00610B1B">
        <w:rPr>
          <w:rFonts w:ascii="Times New Roman" w:eastAsia="Times New Roman" w:hAnsi="Times New Roman" w:cs="Times New Roman"/>
          <w:bCs/>
          <w:i/>
          <w:color w:val="000000"/>
          <w:sz w:val="24"/>
          <w:szCs w:val="24"/>
          <w:lang w:val="bg-BG" w:eastAsia="bg-BG"/>
        </w:rPr>
        <w:t>в</w:t>
      </w:r>
      <w:r w:rsidRPr="00610B1B">
        <w:rPr>
          <w:rFonts w:ascii="Times New Roman" w:eastAsia="Times New Roman" w:hAnsi="Times New Roman" w:cs="Times New Roman"/>
          <w:i/>
          <w:sz w:val="24"/>
          <w:szCs w:val="24"/>
          <w:lang w:val="bg-BG" w:eastAsia="bg-BG"/>
        </w:rPr>
        <w:t xml:space="preserve"> „сивите райони” съществува само един доставчик на широколентов достъп</w:t>
      </w:r>
      <w:r w:rsidRPr="00610B1B">
        <w:rPr>
          <w:rFonts w:ascii="Times New Roman" w:eastAsia="Times New Roman" w:hAnsi="Times New Roman" w:cs="Times New Roman"/>
          <w:bCs/>
          <w:i/>
          <w:color w:val="000000"/>
          <w:sz w:val="24"/>
          <w:szCs w:val="24"/>
          <w:lang w:val="bg-BG" w:eastAsia="bg-BG"/>
        </w:rPr>
        <w:t xml:space="preserve"> </w:t>
      </w:r>
    </w:p>
    <w:p w14:paraId="1C7BAE2B" w14:textId="78AF2477" w:rsidR="00E013DD" w:rsidRPr="00610B1B" w:rsidRDefault="00E013DD" w:rsidP="00D32D6A">
      <w:pPr>
        <w:spacing w:after="120"/>
        <w:ind w:right="-153"/>
        <w:jc w:val="both"/>
        <w:rPr>
          <w:rFonts w:ascii="Times New Roman" w:eastAsia="Times New Roman" w:hAnsi="Times New Roman" w:cs="Times New Roman"/>
          <w:bCs/>
          <w:color w:val="000000"/>
          <w:sz w:val="24"/>
          <w:szCs w:val="24"/>
          <w:lang w:val="bg-BG" w:eastAsia="bg-BG"/>
        </w:rPr>
      </w:pPr>
      <w:r w:rsidRPr="00610B1B">
        <w:rPr>
          <w:rFonts w:ascii="Times New Roman" w:eastAsia="Times New Roman" w:hAnsi="Times New Roman" w:cs="Times New Roman"/>
          <w:bCs/>
          <w:color w:val="000000"/>
          <w:sz w:val="24"/>
          <w:szCs w:val="24"/>
          <w:lang w:val="bg-BG" w:eastAsia="bg-BG"/>
        </w:rPr>
        <w:t>В областите Варна и Бургас достъпът на населението до високоскоростен интернет е над средните стойности за страната, докато в област Добрич разпространението изостава</w:t>
      </w:r>
      <w:r w:rsidR="00D5649F" w:rsidRPr="00610B1B">
        <w:rPr>
          <w:rFonts w:ascii="Times New Roman" w:eastAsia="Times New Roman" w:hAnsi="Times New Roman" w:cs="Times New Roman"/>
          <w:bCs/>
          <w:color w:val="000000"/>
          <w:sz w:val="24"/>
          <w:szCs w:val="24"/>
          <w:lang w:val="bg-BG" w:eastAsia="bg-BG"/>
        </w:rPr>
        <w:t xml:space="preserve"> с два пъти по-висок относителен дял на населението </w:t>
      </w:r>
      <w:r w:rsidRPr="00610B1B">
        <w:rPr>
          <w:rFonts w:ascii="Times New Roman" w:eastAsia="Times New Roman" w:hAnsi="Times New Roman" w:cs="Times New Roman"/>
          <w:bCs/>
          <w:color w:val="000000"/>
          <w:sz w:val="24"/>
          <w:szCs w:val="24"/>
          <w:lang w:val="bg-BG" w:eastAsia="bg-BG"/>
        </w:rPr>
        <w:t>от област</w:t>
      </w:r>
      <w:r w:rsidR="00D5649F" w:rsidRPr="00610B1B">
        <w:rPr>
          <w:rFonts w:ascii="Times New Roman" w:eastAsia="Times New Roman" w:hAnsi="Times New Roman" w:cs="Times New Roman"/>
          <w:bCs/>
          <w:color w:val="000000"/>
          <w:sz w:val="24"/>
          <w:szCs w:val="24"/>
          <w:lang w:val="bg-BG" w:eastAsia="bg-BG"/>
        </w:rPr>
        <w:t>та</w:t>
      </w:r>
      <w:r w:rsidRPr="00610B1B">
        <w:rPr>
          <w:rFonts w:ascii="Times New Roman" w:eastAsia="Times New Roman" w:hAnsi="Times New Roman" w:cs="Times New Roman"/>
          <w:bCs/>
          <w:color w:val="000000"/>
          <w:sz w:val="24"/>
          <w:szCs w:val="24"/>
          <w:lang w:val="bg-BG" w:eastAsia="bg-BG"/>
        </w:rPr>
        <w:t>, попадащо в “бяла” зона. В област Бургас е по-висок относителният дял на населението, попадащо в “сива” зона.</w:t>
      </w:r>
    </w:p>
    <w:p w14:paraId="1EE2D9FC" w14:textId="5190E673" w:rsidR="00E013DD" w:rsidRPr="00610B1B" w:rsidRDefault="00E013DD" w:rsidP="00D32D6A">
      <w:pPr>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 xml:space="preserve">Най-северните общини по крайбрежието (област Добрич) имат сравнително по-ограничен достъп до високоскоростен интернет. В общините Балчик и Шабла под 95% от населението има такъв достъп, при това с висок процент, попадащ в “бяла” и/или “сива” </w:t>
      </w:r>
      <w:r w:rsidRPr="00610B1B">
        <w:rPr>
          <w:rFonts w:ascii="Times New Roman" w:eastAsia="Times New Roman" w:hAnsi="Times New Roman" w:cs="Times New Roman"/>
          <w:sz w:val="24"/>
          <w:szCs w:val="24"/>
          <w:lang w:val="bg-BG" w:eastAsia="bg-BG"/>
        </w:rPr>
        <w:lastRenderedPageBreak/>
        <w:t xml:space="preserve">зона. Най-южната община по крайбрежието </w:t>
      </w:r>
      <w:r w:rsidR="00D5649F" w:rsidRPr="00610B1B">
        <w:rPr>
          <w:rFonts w:ascii="Times New Roman" w:eastAsia="Times New Roman" w:hAnsi="Times New Roman" w:cs="Times New Roman"/>
          <w:sz w:val="24"/>
          <w:szCs w:val="24"/>
          <w:lang w:val="bg-BG" w:eastAsia="bg-BG"/>
        </w:rPr>
        <w:t>–</w:t>
      </w:r>
      <w:r w:rsidR="00641B2C"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Царево</w:t>
      </w:r>
      <w:r w:rsidR="00D5649F"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z w:val="24"/>
          <w:szCs w:val="24"/>
          <w:lang w:val="bg-BG" w:eastAsia="bg-BG"/>
        </w:rPr>
        <w:t xml:space="preserve"> също има по-ограничен достъп до високоскоростен интернет.</w:t>
      </w:r>
      <w:r w:rsidR="003339A8" w:rsidRPr="00610B1B">
        <w:rPr>
          <w:rFonts w:ascii="Times New Roman" w:hAnsi="Times New Roman" w:cs="Times New Roman"/>
          <w:lang w:val="bg-BG"/>
        </w:rPr>
        <w:t xml:space="preserve"> </w:t>
      </w:r>
      <w:r w:rsidR="003339A8" w:rsidRPr="00610B1B">
        <w:rPr>
          <w:rFonts w:ascii="Times New Roman" w:eastAsia="Times New Roman" w:hAnsi="Times New Roman" w:cs="Times New Roman"/>
          <w:sz w:val="24"/>
          <w:szCs w:val="24"/>
          <w:lang w:val="bg-BG" w:eastAsia="bg-BG"/>
        </w:rPr>
        <w:t xml:space="preserve">Община Бяла (област Варна) се откроява с </w:t>
      </w:r>
      <w:r w:rsidR="00D5649F" w:rsidRPr="00610B1B">
        <w:rPr>
          <w:rFonts w:ascii="Times New Roman" w:eastAsia="Times New Roman" w:hAnsi="Times New Roman" w:cs="Times New Roman"/>
          <w:sz w:val="24"/>
          <w:szCs w:val="24"/>
          <w:lang w:val="bg-BG" w:eastAsia="bg-BG"/>
        </w:rPr>
        <w:t>голямо</w:t>
      </w:r>
      <w:r w:rsidR="003339A8" w:rsidRPr="00610B1B">
        <w:rPr>
          <w:rFonts w:ascii="Times New Roman" w:eastAsia="Times New Roman" w:hAnsi="Times New Roman" w:cs="Times New Roman"/>
          <w:sz w:val="24"/>
          <w:szCs w:val="24"/>
          <w:lang w:val="bg-BG" w:eastAsia="bg-BG"/>
        </w:rPr>
        <w:t xml:space="preserve"> изоставане в достъпа до високоскоростен интернет - едва около две трети от населението, а над една трета попада в “бяла” зона.</w:t>
      </w:r>
    </w:p>
    <w:p w14:paraId="7FD16199" w14:textId="77777777" w:rsidR="00E013DD" w:rsidRPr="00610B1B" w:rsidRDefault="00E013DD"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 xml:space="preserve">По-отдалечените и слабо населени места в споменатите общини са затруднени в своите комуникации и в социален, и в икономически аспект, изолирани от обществения и културен живот в страната. Осигуряването на достъп до он-лайн услуги на хората, живеещи в слабо населените и отдалечени райони цели преодоляването на тези тенденции и стимулиране на социалното сближаване. </w:t>
      </w:r>
    </w:p>
    <w:p w14:paraId="1BFACC40" w14:textId="4BEB6359" w:rsidR="00E013DD" w:rsidRPr="00610B1B" w:rsidRDefault="00D5649F" w:rsidP="00D32D6A">
      <w:pPr>
        <w:autoSpaceDE w:val="0"/>
        <w:autoSpaceDN w:val="0"/>
        <w:adjustRightInd w:val="0"/>
        <w:spacing w:after="120"/>
        <w:ind w:right="-153"/>
        <w:jc w:val="both"/>
        <w:rPr>
          <w:rFonts w:ascii="Times New Roman" w:eastAsia="Times New Roman" w:hAnsi="Times New Roman" w:cs="Times New Roman"/>
          <w:color w:val="000000"/>
          <w:sz w:val="24"/>
          <w:szCs w:val="24"/>
          <w:shd w:val="clear" w:color="auto" w:fill="FFFFFF"/>
          <w:lang w:val="bg-BG" w:eastAsia="bg-BG"/>
        </w:rPr>
      </w:pPr>
      <w:r w:rsidRPr="00610B1B">
        <w:rPr>
          <w:rFonts w:ascii="Times New Roman" w:eastAsia="Times New Roman" w:hAnsi="Times New Roman" w:cs="Times New Roman"/>
          <w:sz w:val="24"/>
          <w:szCs w:val="24"/>
          <w:lang w:val="bg-BG" w:eastAsia="bg-BG"/>
        </w:rPr>
        <w:t>В</w:t>
      </w:r>
      <w:r w:rsidR="00E013DD" w:rsidRPr="00610B1B">
        <w:rPr>
          <w:rFonts w:ascii="Times New Roman" w:eastAsia="Times New Roman" w:hAnsi="Times New Roman" w:cs="Times New Roman"/>
          <w:sz w:val="24"/>
          <w:szCs w:val="24"/>
          <w:lang w:val="bg-BG" w:eastAsia="bg-BG"/>
        </w:rPr>
        <w:t xml:space="preserve"> инициатива</w:t>
      </w:r>
      <w:r w:rsidRPr="00610B1B">
        <w:rPr>
          <w:rFonts w:ascii="Times New Roman" w:eastAsia="Times New Roman" w:hAnsi="Times New Roman" w:cs="Times New Roman"/>
          <w:sz w:val="24"/>
          <w:szCs w:val="24"/>
          <w:lang w:val="bg-BG" w:eastAsia="bg-BG"/>
        </w:rPr>
        <w:t>та</w:t>
      </w:r>
      <w:r w:rsidR="00E013DD" w:rsidRPr="00610B1B">
        <w:rPr>
          <w:rFonts w:ascii="Times New Roman" w:eastAsia="Times New Roman" w:hAnsi="Times New Roman" w:cs="Times New Roman"/>
          <w:sz w:val="24"/>
          <w:szCs w:val="24"/>
          <w:lang w:val="bg-BG" w:eastAsia="bg-BG"/>
        </w:rPr>
        <w:t xml:space="preserve"> на Европейската комисия за изграждане на безплатен високоскоростен безжичен Интернет </w:t>
      </w:r>
      <w:r w:rsidRPr="00610B1B">
        <w:rPr>
          <w:rFonts w:ascii="Times New Roman" w:eastAsia="Times New Roman" w:hAnsi="Times New Roman" w:cs="Times New Roman"/>
          <w:sz w:val="24"/>
          <w:szCs w:val="24"/>
          <w:lang w:val="bg-BG" w:eastAsia="bg-BG"/>
        </w:rPr>
        <w:t xml:space="preserve">и </w:t>
      </w:r>
      <w:r w:rsidR="00E013DD" w:rsidRPr="00610B1B">
        <w:rPr>
          <w:rFonts w:ascii="Times New Roman" w:eastAsia="Times New Roman" w:hAnsi="Times New Roman" w:cs="Times New Roman"/>
          <w:sz w:val="24"/>
          <w:szCs w:val="24"/>
          <w:lang w:val="bg-BG" w:eastAsia="bg-BG"/>
        </w:rPr>
        <w:t>достъп на обществени места WiFi4EU</w:t>
      </w:r>
      <w:r w:rsidRPr="00610B1B">
        <w:rPr>
          <w:rFonts w:ascii="Times New Roman" w:eastAsia="Times New Roman" w:hAnsi="Times New Roman" w:cs="Times New Roman"/>
          <w:sz w:val="24"/>
          <w:szCs w:val="24"/>
          <w:lang w:val="bg-BG" w:eastAsia="bg-BG"/>
        </w:rPr>
        <w:t xml:space="preserve"> и проведените </w:t>
      </w:r>
      <w:r w:rsidR="00E013DD" w:rsidRPr="00610B1B">
        <w:rPr>
          <w:rFonts w:ascii="Times New Roman" w:eastAsia="Times New Roman" w:hAnsi="Times New Roman" w:cs="Times New Roman"/>
          <w:sz w:val="24"/>
          <w:szCs w:val="24"/>
          <w:lang w:val="bg-BG" w:eastAsia="bg-BG"/>
        </w:rPr>
        <w:t>поетапно през 2018 и 2019</w:t>
      </w:r>
      <w:r w:rsidR="00641B2C" w:rsidRPr="00610B1B">
        <w:rPr>
          <w:rFonts w:ascii="Times New Roman" w:eastAsia="Times New Roman" w:hAnsi="Times New Roman" w:cs="Times New Roman"/>
          <w:sz w:val="24"/>
          <w:szCs w:val="24"/>
          <w:lang w:val="bg-BG" w:eastAsia="bg-BG"/>
        </w:rPr>
        <w:t xml:space="preserve"> </w:t>
      </w:r>
      <w:r w:rsidR="00E013DD" w:rsidRPr="00610B1B">
        <w:rPr>
          <w:rFonts w:ascii="Times New Roman" w:eastAsia="Times New Roman" w:hAnsi="Times New Roman" w:cs="Times New Roman"/>
          <w:sz w:val="24"/>
          <w:szCs w:val="24"/>
          <w:lang w:val="bg-BG" w:eastAsia="bg-BG"/>
        </w:rPr>
        <w:t>г. три конкурса,</w:t>
      </w:r>
      <w:r w:rsidR="00E013DD" w:rsidRPr="00610B1B">
        <w:rPr>
          <w:rFonts w:ascii="Times New Roman" w:eastAsia="Times New Roman" w:hAnsi="Times New Roman" w:cs="Times New Roman"/>
          <w:color w:val="000000"/>
          <w:sz w:val="24"/>
          <w:szCs w:val="24"/>
          <w:lang w:val="bg-BG" w:eastAsia="bg-BG"/>
        </w:rPr>
        <w:t xml:space="preserve"> 86% от </w:t>
      </w:r>
      <w:r w:rsidRPr="00610B1B">
        <w:rPr>
          <w:rFonts w:ascii="Times New Roman" w:eastAsia="Times New Roman" w:hAnsi="Times New Roman" w:cs="Times New Roman"/>
          <w:color w:val="000000"/>
          <w:sz w:val="24"/>
          <w:szCs w:val="24"/>
          <w:lang w:val="bg-BG" w:eastAsia="bg-BG"/>
        </w:rPr>
        <w:t xml:space="preserve">българските </w:t>
      </w:r>
      <w:r w:rsidR="00E013DD" w:rsidRPr="00610B1B">
        <w:rPr>
          <w:rFonts w:ascii="Times New Roman" w:eastAsia="Times New Roman" w:hAnsi="Times New Roman" w:cs="Times New Roman"/>
          <w:color w:val="000000"/>
          <w:sz w:val="24"/>
          <w:szCs w:val="24"/>
          <w:lang w:val="bg-BG" w:eastAsia="bg-BG"/>
        </w:rPr>
        <w:t>общини са спечелили ваучери за изграждане на високоскоростен безжичен интернет на обществени места</w:t>
      </w:r>
      <w:r w:rsidRPr="00610B1B">
        <w:rPr>
          <w:rFonts w:ascii="Times New Roman" w:eastAsia="Times New Roman" w:hAnsi="Times New Roman" w:cs="Times New Roman"/>
          <w:color w:val="000000"/>
          <w:sz w:val="24"/>
          <w:szCs w:val="24"/>
          <w:lang w:val="bg-BG" w:eastAsia="bg-BG"/>
        </w:rPr>
        <w:t>. Повечето от</w:t>
      </w:r>
      <w:r w:rsidR="00D66FE0" w:rsidRPr="00610B1B">
        <w:rPr>
          <w:rFonts w:ascii="Times New Roman" w:eastAsia="Times New Roman" w:hAnsi="Times New Roman" w:cs="Times New Roman"/>
          <w:color w:val="000000"/>
          <w:sz w:val="24"/>
          <w:szCs w:val="24"/>
          <w:lang w:val="bg-BG" w:eastAsia="bg-BG"/>
        </w:rPr>
        <w:t xml:space="preserve"> </w:t>
      </w:r>
      <w:r w:rsidR="00E013DD" w:rsidRPr="00610B1B">
        <w:rPr>
          <w:rFonts w:ascii="Times New Roman" w:eastAsia="Times New Roman" w:hAnsi="Times New Roman" w:cs="Times New Roman"/>
          <w:color w:val="000000"/>
          <w:sz w:val="24"/>
          <w:szCs w:val="24"/>
          <w:lang w:val="bg-BG" w:eastAsia="bg-BG"/>
        </w:rPr>
        <w:t xml:space="preserve">черноморските общини </w:t>
      </w:r>
      <w:r w:rsidRPr="00610B1B">
        <w:rPr>
          <w:rFonts w:ascii="Times New Roman" w:eastAsia="Times New Roman" w:hAnsi="Times New Roman" w:cs="Times New Roman"/>
          <w:color w:val="000000"/>
          <w:sz w:val="24"/>
          <w:szCs w:val="24"/>
          <w:lang w:val="bg-BG" w:eastAsia="bg-BG"/>
        </w:rPr>
        <w:t xml:space="preserve">са </w:t>
      </w:r>
      <w:r w:rsidR="00E013DD" w:rsidRPr="00610B1B">
        <w:rPr>
          <w:rFonts w:ascii="Times New Roman" w:eastAsia="Times New Roman" w:hAnsi="Times New Roman" w:cs="Times New Roman"/>
          <w:color w:val="000000"/>
          <w:sz w:val="24"/>
          <w:szCs w:val="24"/>
          <w:lang w:val="bg-BG" w:eastAsia="bg-BG"/>
        </w:rPr>
        <w:t>се възползва</w:t>
      </w:r>
      <w:r w:rsidRPr="00610B1B">
        <w:rPr>
          <w:rFonts w:ascii="Times New Roman" w:eastAsia="Times New Roman" w:hAnsi="Times New Roman" w:cs="Times New Roman"/>
          <w:color w:val="000000"/>
          <w:sz w:val="24"/>
          <w:szCs w:val="24"/>
          <w:lang w:val="bg-BG" w:eastAsia="bg-BG"/>
        </w:rPr>
        <w:t>ли</w:t>
      </w:r>
      <w:r w:rsidR="00E013DD" w:rsidRPr="00610B1B">
        <w:rPr>
          <w:rFonts w:ascii="Times New Roman" w:eastAsia="Times New Roman" w:hAnsi="Times New Roman" w:cs="Times New Roman"/>
          <w:color w:val="000000"/>
          <w:sz w:val="24"/>
          <w:szCs w:val="24"/>
          <w:lang w:val="bg-BG" w:eastAsia="bg-BG"/>
        </w:rPr>
        <w:t xml:space="preserve"> от тази възможност</w:t>
      </w:r>
      <w:r w:rsidRPr="00610B1B">
        <w:rPr>
          <w:rFonts w:ascii="Times New Roman" w:eastAsia="Times New Roman" w:hAnsi="Times New Roman" w:cs="Times New Roman"/>
          <w:color w:val="000000"/>
          <w:sz w:val="24"/>
          <w:szCs w:val="24"/>
          <w:lang w:val="bg-BG" w:eastAsia="bg-BG"/>
        </w:rPr>
        <w:t xml:space="preserve">, с изключение на </w:t>
      </w:r>
      <w:r w:rsidR="00E013DD" w:rsidRPr="00610B1B">
        <w:rPr>
          <w:rFonts w:ascii="Times New Roman" w:eastAsia="Times New Roman" w:hAnsi="Times New Roman" w:cs="Times New Roman"/>
          <w:color w:val="000000"/>
          <w:sz w:val="24"/>
          <w:szCs w:val="24"/>
          <w:shd w:val="clear" w:color="auto" w:fill="FFFFFF"/>
          <w:lang w:val="bg-BG" w:eastAsia="bg-BG"/>
        </w:rPr>
        <w:t>общините Аврен, Поморие и Царево.</w:t>
      </w:r>
    </w:p>
    <w:p w14:paraId="1508E7A7" w14:textId="34079777" w:rsidR="00E013DD" w:rsidRPr="00610B1B" w:rsidRDefault="00E013DD"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Необходимо е</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да се разшири достъпът</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z w:val="24"/>
          <w:szCs w:val="24"/>
          <w:lang w:val="bg-BG" w:eastAsia="bg-BG"/>
        </w:rPr>
        <w:t xml:space="preserve">и използването на мрежите и услугите на ИКТ, предвид нарастващата роля на информацията, </w:t>
      </w:r>
      <w:r w:rsidRPr="00610B1B">
        <w:rPr>
          <w:rFonts w:ascii="Times New Roman" w:eastAsia="Times New Roman" w:hAnsi="Times New Roman" w:cs="Times New Roman"/>
          <w:iCs/>
          <w:sz w:val="24"/>
          <w:szCs w:val="24"/>
          <w:lang w:val="bg-BG" w:eastAsia="bg-BG"/>
        </w:rPr>
        <w:t>особено в по-малките градове и селата</w:t>
      </w:r>
      <w:r w:rsidRPr="00610B1B">
        <w:rPr>
          <w:rFonts w:ascii="Times New Roman" w:eastAsia="Times New Roman" w:hAnsi="Times New Roman" w:cs="Times New Roman"/>
          <w:sz w:val="24"/>
          <w:szCs w:val="24"/>
          <w:lang w:val="bg-BG" w:eastAsia="bg-BG"/>
        </w:rPr>
        <w:t xml:space="preserve">, където обществените места за достъп до информация са единствената възможност за много потребители. Изграждането на обществени информационни системи и гарантираното предлагане на Интернет услуги за целия обществен сектор и улеснен достъп за хората с увреждания, е задължителна стъпка към информационното общество. Модернизацията на преносните телекомуникационни мрежи и ускоряването на цифровизацията на местните мрежи, паралелно с разширяването им в икономически слаборазвитите и отдалечени територии, е от решаващо значение за подобряването на достъпа до ИКТ и за цялостната социално-икономическа среда в Черноморското крайбрежие. </w:t>
      </w:r>
    </w:p>
    <w:p w14:paraId="314707E6" w14:textId="77777777" w:rsidR="00563C85" w:rsidRPr="00610B1B" w:rsidRDefault="00563C85" w:rsidP="00D32D6A">
      <w:pPr>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5845F83A" w14:textId="22FA74A4" w:rsidR="00AF057D" w:rsidRPr="00610B1B" w:rsidRDefault="003339A8" w:rsidP="00D32D6A">
      <w:pPr>
        <w:pStyle w:val="Heading2"/>
        <w:spacing w:before="0" w:line="276" w:lineRule="auto"/>
        <w:ind w:right="-153"/>
        <w:rPr>
          <w:rFonts w:cs="Times New Roman"/>
        </w:rPr>
      </w:pPr>
      <w:bookmarkStart w:id="380" w:name="_Toc83391388"/>
      <w:r w:rsidRPr="00610B1B">
        <w:rPr>
          <w:rFonts w:cs="Times New Roman"/>
        </w:rPr>
        <w:t>3</w:t>
      </w:r>
      <w:r w:rsidR="00641B2C" w:rsidRPr="00610B1B">
        <w:rPr>
          <w:rFonts w:cs="Times New Roman"/>
        </w:rPr>
        <w:t>.</w:t>
      </w:r>
      <w:r w:rsidR="00BF0D18" w:rsidRPr="00610B1B">
        <w:rPr>
          <w:rFonts w:cs="Times New Roman"/>
        </w:rPr>
        <w:t>5</w:t>
      </w:r>
      <w:r w:rsidR="00641B2C" w:rsidRPr="00610B1B">
        <w:rPr>
          <w:rFonts w:cs="Times New Roman"/>
        </w:rPr>
        <w:t xml:space="preserve">. </w:t>
      </w:r>
      <w:r w:rsidR="009A010A" w:rsidRPr="00610B1B">
        <w:rPr>
          <w:rFonts w:cs="Times New Roman"/>
        </w:rPr>
        <w:t>Военни зони, маршрути и пристанища</w:t>
      </w:r>
      <w:bookmarkEnd w:id="380"/>
      <w:r w:rsidR="00F22106" w:rsidRPr="00610B1B">
        <w:rPr>
          <w:rFonts w:cs="Times New Roman"/>
        </w:rPr>
        <w:t xml:space="preserve"> </w:t>
      </w:r>
    </w:p>
    <w:p w14:paraId="553ED00B" w14:textId="31CE7241" w:rsidR="007360D9" w:rsidRPr="00610B1B" w:rsidRDefault="007360D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Средата, в която действат институциите, осигуряващи морския суверенитет на държавата и реализирането на другите суверенни права, свързани с морето, са морските пространства на региона (МПР) на Черно море. </w:t>
      </w:r>
      <w:r w:rsidR="00EF7660" w:rsidRPr="00610B1B">
        <w:rPr>
          <w:rFonts w:ascii="Times New Roman" w:hAnsi="Times New Roman" w:cs="Times New Roman"/>
          <w:sz w:val="24"/>
          <w:szCs w:val="24"/>
          <w:lang w:val="bg-BG"/>
        </w:rPr>
        <w:t xml:space="preserve">Те </w:t>
      </w:r>
      <w:r w:rsidRPr="00610B1B">
        <w:rPr>
          <w:rFonts w:ascii="Times New Roman" w:hAnsi="Times New Roman" w:cs="Times New Roman"/>
          <w:sz w:val="24"/>
          <w:szCs w:val="24"/>
          <w:lang w:val="bg-BG"/>
        </w:rPr>
        <w:t xml:space="preserve">включват </w:t>
      </w:r>
      <w:r w:rsidR="00905535" w:rsidRPr="00610B1B">
        <w:rPr>
          <w:rFonts w:ascii="Times New Roman" w:hAnsi="Times New Roman" w:cs="Times New Roman"/>
          <w:sz w:val="24"/>
          <w:szCs w:val="24"/>
          <w:lang w:val="bg-BG"/>
        </w:rPr>
        <w:t xml:space="preserve">националните </w:t>
      </w:r>
      <w:r w:rsidR="006011C0" w:rsidRPr="00610B1B">
        <w:rPr>
          <w:rFonts w:ascii="Times New Roman" w:hAnsi="Times New Roman" w:cs="Times New Roman"/>
          <w:sz w:val="24"/>
          <w:szCs w:val="24"/>
          <w:lang w:val="bg-BG"/>
        </w:rPr>
        <w:t>морски</w:t>
      </w:r>
      <w:r w:rsidR="00905535" w:rsidRPr="00610B1B">
        <w:rPr>
          <w:rFonts w:ascii="Times New Roman" w:hAnsi="Times New Roman" w:cs="Times New Roman"/>
          <w:sz w:val="24"/>
          <w:szCs w:val="24"/>
          <w:lang w:val="bg-BG"/>
        </w:rPr>
        <w:t xml:space="preserve"> пространства (</w:t>
      </w:r>
      <w:r w:rsidRPr="00610B1B">
        <w:rPr>
          <w:rFonts w:ascii="Times New Roman" w:hAnsi="Times New Roman" w:cs="Times New Roman"/>
          <w:sz w:val="24"/>
          <w:szCs w:val="24"/>
          <w:lang w:val="bg-BG"/>
        </w:rPr>
        <w:t>НМП</w:t>
      </w:r>
      <w:r w:rsidR="00905535"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на Р. България, но също така и морски пространства на другите черноморски страни. Необходимостта НМП на останалите черноморски държави също да се разглежда като част от средата, касаеща морския суверенитет на страната, се обуславя от затворения характер на морето и възможността отделни процеси, възникнали в НМП на съседни държави да застрашат суверенитета и интересите на Р. България.</w:t>
      </w:r>
      <w:r w:rsidR="00905535" w:rsidRPr="00610B1B">
        <w:rPr>
          <w:rFonts w:ascii="Times New Roman" w:hAnsi="Times New Roman" w:cs="Times New Roman"/>
          <w:sz w:val="24"/>
          <w:szCs w:val="24"/>
          <w:lang w:val="bg-BG"/>
        </w:rPr>
        <w:t xml:space="preserve"> </w:t>
      </w:r>
    </w:p>
    <w:p w14:paraId="01D42390" w14:textId="23A0DE04" w:rsidR="007360D9" w:rsidRPr="00610B1B" w:rsidRDefault="007360D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Високата степен на интензивност в Черноморския регион, породена от силно дефрагментираното развитие и разнопосочност на интересите на държавите, правят анализа на средата многообразен с трудна предсказуемост. Предвид глобалните предизвикателства с регионални измерения и разсъждавайки за задачите на ВМС и останалите институции с морска компетентност, се затвърждава разбирането, че те трябва </w:t>
      </w:r>
      <w:r w:rsidRPr="00610B1B">
        <w:rPr>
          <w:rFonts w:ascii="Times New Roman" w:hAnsi="Times New Roman" w:cs="Times New Roman"/>
          <w:sz w:val="24"/>
          <w:szCs w:val="24"/>
          <w:lang w:val="bg-BG"/>
        </w:rPr>
        <w:lastRenderedPageBreak/>
        <w:t xml:space="preserve">да осигурят защитата на националния суверенитет в един по-широк контекст. Насоките и </w:t>
      </w:r>
      <w:r w:rsidR="006011C0" w:rsidRPr="00610B1B">
        <w:rPr>
          <w:rFonts w:ascii="Times New Roman" w:hAnsi="Times New Roman" w:cs="Times New Roman"/>
          <w:sz w:val="24"/>
          <w:szCs w:val="24"/>
          <w:lang w:val="bg-BG"/>
        </w:rPr>
        <w:t>приоритетите</w:t>
      </w:r>
      <w:r w:rsidRPr="00610B1B">
        <w:rPr>
          <w:rFonts w:ascii="Times New Roman" w:hAnsi="Times New Roman" w:cs="Times New Roman"/>
          <w:sz w:val="24"/>
          <w:szCs w:val="24"/>
          <w:lang w:val="bg-BG"/>
        </w:rPr>
        <w:t xml:space="preserve"> на политиките са неизменно обвързани с променящата се среда за сигурност в глобален и регионален план, чиито особености оказват пряко влияние върху динамиката на политическите, икономически и обществено-социални процеси. Планирането на национално отговорни отбранителни приоритети и тяхното изпълнение от една страна ще осигури максимално усвояване на всички икономически възможности, и от друга страна е необходим инструмент за осигуряване на сигурна и безопасна среда в динамично </w:t>
      </w:r>
      <w:r w:rsidR="00461059" w:rsidRPr="00610B1B">
        <w:rPr>
          <w:rFonts w:ascii="Times New Roman" w:hAnsi="Times New Roman" w:cs="Times New Roman"/>
          <w:sz w:val="24"/>
          <w:szCs w:val="24"/>
          <w:lang w:val="bg-BG"/>
        </w:rPr>
        <w:t>променящия</w:t>
      </w:r>
      <w:r w:rsidRPr="00610B1B">
        <w:rPr>
          <w:rFonts w:ascii="Times New Roman" w:hAnsi="Times New Roman" w:cs="Times New Roman"/>
          <w:sz w:val="24"/>
          <w:szCs w:val="24"/>
          <w:lang w:val="bg-BG"/>
        </w:rPr>
        <w:t xml:space="preserve"> се Черноморски регион. Предизвикателствата са многообразни и включват липсващата обща „идентичност” на черноморските страни, разли</w:t>
      </w:r>
      <w:r w:rsidR="0021340C" w:rsidRPr="00610B1B">
        <w:rPr>
          <w:rFonts w:ascii="Times New Roman" w:hAnsi="Times New Roman" w:cs="Times New Roman"/>
          <w:sz w:val="24"/>
          <w:szCs w:val="24"/>
          <w:lang w:val="bg-BG"/>
        </w:rPr>
        <w:t xml:space="preserve">чията </w:t>
      </w:r>
      <w:r w:rsidRPr="00610B1B">
        <w:rPr>
          <w:rFonts w:ascii="Times New Roman" w:hAnsi="Times New Roman" w:cs="Times New Roman"/>
          <w:sz w:val="24"/>
          <w:szCs w:val="24"/>
          <w:lang w:val="bg-BG"/>
        </w:rPr>
        <w:t>в политическата легитимация и икономическо състояние, „замразени</w:t>
      </w:r>
      <w:r w:rsidR="0021340C"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конфликти” и периодичното им </w:t>
      </w:r>
      <w:r w:rsidR="0021340C" w:rsidRPr="00610B1B">
        <w:rPr>
          <w:rFonts w:ascii="Times New Roman" w:hAnsi="Times New Roman" w:cs="Times New Roman"/>
          <w:sz w:val="24"/>
          <w:szCs w:val="24"/>
          <w:lang w:val="bg-BG"/>
        </w:rPr>
        <w:t>проявление</w:t>
      </w:r>
      <w:r w:rsidRPr="00610B1B">
        <w:rPr>
          <w:rFonts w:ascii="Times New Roman" w:hAnsi="Times New Roman" w:cs="Times New Roman"/>
          <w:sz w:val="24"/>
          <w:szCs w:val="24"/>
          <w:lang w:val="bg-BG"/>
        </w:rPr>
        <w:t xml:space="preserve">, опитите за налагане на </w:t>
      </w:r>
      <w:r w:rsidR="006011C0" w:rsidRPr="00610B1B">
        <w:rPr>
          <w:rFonts w:ascii="Times New Roman" w:hAnsi="Times New Roman" w:cs="Times New Roman"/>
          <w:sz w:val="24"/>
          <w:szCs w:val="24"/>
          <w:lang w:val="bg-BG"/>
        </w:rPr>
        <w:t>доминантната</w:t>
      </w:r>
      <w:r w:rsidRPr="00610B1B">
        <w:rPr>
          <w:rFonts w:ascii="Times New Roman" w:hAnsi="Times New Roman" w:cs="Times New Roman"/>
          <w:sz w:val="24"/>
          <w:szCs w:val="24"/>
          <w:lang w:val="bg-BG"/>
        </w:rPr>
        <w:t xml:space="preserve"> роля на Русия,  рискове</w:t>
      </w:r>
      <w:r w:rsidR="0021340C"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и заплахи</w:t>
      </w:r>
      <w:r w:rsidR="0021340C"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w:t>
      </w:r>
      <w:r w:rsidR="00C03BB3" w:rsidRPr="00610B1B">
        <w:rPr>
          <w:rFonts w:ascii="Times New Roman" w:hAnsi="Times New Roman" w:cs="Times New Roman"/>
          <w:sz w:val="24"/>
          <w:szCs w:val="24"/>
          <w:lang w:val="bg-BG"/>
        </w:rPr>
        <w:t>включително</w:t>
      </w:r>
      <w:r w:rsidRPr="00610B1B">
        <w:rPr>
          <w:rFonts w:ascii="Times New Roman" w:hAnsi="Times New Roman" w:cs="Times New Roman"/>
          <w:sz w:val="24"/>
          <w:szCs w:val="24"/>
          <w:lang w:val="bg-BG"/>
        </w:rPr>
        <w:t xml:space="preserve"> „хибридни</w:t>
      </w:r>
      <w:r w:rsidR="0021340C"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w:t>
      </w:r>
      <w:r w:rsidR="00C03BB3"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с</w:t>
      </w:r>
      <w:r w:rsidR="00C03BB3" w:rsidRPr="00610B1B">
        <w:rPr>
          <w:rFonts w:ascii="Times New Roman" w:hAnsi="Times New Roman" w:cs="Times New Roman"/>
          <w:sz w:val="24"/>
          <w:szCs w:val="24"/>
          <w:lang w:val="bg-BG"/>
        </w:rPr>
        <w:t>ъс</w:t>
      </w:r>
      <w:r w:rsidRPr="00610B1B">
        <w:rPr>
          <w:rFonts w:ascii="Times New Roman" w:hAnsi="Times New Roman" w:cs="Times New Roman"/>
          <w:sz w:val="24"/>
          <w:szCs w:val="24"/>
          <w:lang w:val="bg-BG"/>
        </w:rPr>
        <w:t xml:space="preserve"> силно проявление в морето и засягащи морските интереси на държавите. </w:t>
      </w:r>
    </w:p>
    <w:p w14:paraId="51EDC56B" w14:textId="1D106F36" w:rsidR="00616F33" w:rsidRPr="00610B1B" w:rsidRDefault="007360D9" w:rsidP="00D32D6A">
      <w:pPr>
        <w:tabs>
          <w:tab w:val="left" w:pos="5670"/>
        </w:tabs>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Множество фактори формират средата за сигурност в Черноморския регион. Моментното състояние позволява разглеждане и оценка на развиващите се процеси, като биха могли да се очертаят няколко вероятни сценарии за развитие на базата на декларирани и следвани дългосрочни цели на най-важните </w:t>
      </w:r>
      <w:r w:rsidR="00616F33" w:rsidRPr="00610B1B">
        <w:rPr>
          <w:rFonts w:ascii="Times New Roman" w:hAnsi="Times New Roman" w:cs="Times New Roman"/>
          <w:sz w:val="24"/>
          <w:szCs w:val="24"/>
          <w:lang w:val="bg-BG"/>
        </w:rPr>
        <w:t>участници</w:t>
      </w:r>
      <w:r w:rsidRPr="00610B1B">
        <w:rPr>
          <w:rFonts w:ascii="Times New Roman" w:hAnsi="Times New Roman" w:cs="Times New Roman"/>
          <w:sz w:val="24"/>
          <w:szCs w:val="24"/>
          <w:lang w:val="bg-BG"/>
        </w:rPr>
        <w:t xml:space="preserve"> в тях. Без да бъде напълно изчерпателен, анализът има за цел да дефинира областите, в които морските институции, в частност ВМС, имат ключова роля за защитата на националната сигурност и интереси на страната. </w:t>
      </w:r>
      <w:r w:rsidR="00616F33" w:rsidRPr="00610B1B">
        <w:rPr>
          <w:rFonts w:ascii="Times New Roman" w:hAnsi="Times New Roman" w:cs="Times New Roman"/>
          <w:sz w:val="24"/>
          <w:szCs w:val="24"/>
          <w:lang w:val="bg-BG"/>
        </w:rPr>
        <w:t>Рамката на този анализ се определя от</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членството </w:t>
      </w:r>
      <w:r w:rsidR="00616F33" w:rsidRPr="00610B1B">
        <w:rPr>
          <w:rFonts w:ascii="Times New Roman" w:hAnsi="Times New Roman" w:cs="Times New Roman"/>
          <w:sz w:val="24"/>
          <w:szCs w:val="24"/>
          <w:lang w:val="bg-BG"/>
        </w:rPr>
        <w:t>на България</w:t>
      </w:r>
      <w:r w:rsidRPr="00610B1B">
        <w:rPr>
          <w:rFonts w:ascii="Times New Roman" w:hAnsi="Times New Roman" w:cs="Times New Roman"/>
          <w:sz w:val="24"/>
          <w:szCs w:val="24"/>
          <w:lang w:val="bg-BG"/>
        </w:rPr>
        <w:t xml:space="preserve"> в евроатлантическите структури</w:t>
      </w:r>
      <w:r w:rsidR="00616F33"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 нашата отбрана се осъществява в контекста на съюзническата, т.н. колективна отбрана. Пълноправното ни членство в ЕС предполага и допълващи ангажименти в контекста на Общата политика за сигурност и отбрана (ОПСО) на ЕС, част от общата външна политика на ЕС, също </w:t>
      </w:r>
      <w:r w:rsidR="00616F33"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 xml:space="preserve"> много сериозен фактор в средата за сигурност на континента и в региона. </w:t>
      </w:r>
    </w:p>
    <w:p w14:paraId="508AD957" w14:textId="432421B4" w:rsidR="007360D9" w:rsidRPr="00610B1B" w:rsidRDefault="00E53F44" w:rsidP="00D32D6A">
      <w:pPr>
        <w:spacing w:after="120"/>
        <w:ind w:right="-153"/>
        <w:jc w:val="both"/>
        <w:rPr>
          <w:rFonts w:ascii="Times New Roman" w:hAnsi="Times New Roman" w:cs="Times New Roman"/>
          <w:sz w:val="24"/>
          <w:szCs w:val="24"/>
          <w:lang w:val="bg-BG"/>
        </w:rPr>
      </w:pPr>
      <w:r w:rsidRPr="00D03DA8">
        <w:rPr>
          <w:rFonts w:ascii="Times New Roman" w:hAnsi="Times New Roman" w:cs="Times New Roman"/>
          <w:bCs/>
          <w:sz w:val="24"/>
          <w:szCs w:val="24"/>
          <w:lang w:val="bg-BG"/>
        </w:rPr>
        <w:t>Освен охраната и отбраната на националните морски пространства и съответстващото и военноморско присъствие стои и проблемът за безпрепятствено гарантиране на готовност за оказване на всички видове критични услуги в морето - на компании, хора, екипажи и летателни апарати, които са ангажирани с обслужването на тези платформи. С провеждането на превантивните и аварийно-спасителни дейности в морските пространства на страната са ангажирани няколко институции от публичния сектор и търговските дружества с права и интереси в националните морски пространства. Всичко това налага в съответствие с политическото ниво на амбиция да се осигурят, своевременно модернизират и поддържат в готовност определените сили и средства (кораби, катери, летателни апарати и т.н.).</w:t>
      </w:r>
      <w:r w:rsidR="007360D9" w:rsidRPr="00610B1B">
        <w:rPr>
          <w:rFonts w:ascii="Times New Roman" w:hAnsi="Times New Roman" w:cs="Times New Roman"/>
          <w:sz w:val="24"/>
          <w:szCs w:val="24"/>
          <w:lang w:val="bg-BG"/>
        </w:rPr>
        <w:t xml:space="preserve">Друг аспект в този контекст е проектът за изграждане на газовия хъб „Балкан”. Създаването му ще доведе до формирането на нов тип пристанище. То ще промени значително направлението на морския трафик. Всичко това поставя необходимостта от решаване на широк кръг </w:t>
      </w:r>
      <w:r w:rsidR="00F947F1" w:rsidRPr="00610B1B">
        <w:rPr>
          <w:rFonts w:ascii="Times New Roman" w:hAnsi="Times New Roman" w:cs="Times New Roman"/>
          <w:sz w:val="24"/>
          <w:szCs w:val="24"/>
          <w:lang w:val="bg-BG"/>
        </w:rPr>
        <w:t>въпроси</w:t>
      </w:r>
      <w:r w:rsidR="007360D9" w:rsidRPr="00610B1B">
        <w:rPr>
          <w:rFonts w:ascii="Times New Roman" w:hAnsi="Times New Roman" w:cs="Times New Roman"/>
          <w:sz w:val="24"/>
          <w:szCs w:val="24"/>
          <w:lang w:val="bg-BG"/>
        </w:rPr>
        <w:t xml:space="preserve">, от охраната на тези комуникации, гарантирането на сигурността на корабите в далечната, средната морска зона и непосредствено до бреговете на страната, осигуряване на безопасността на корабоплаването, готовността за оказване на критични услуги в контекста на търсене и спасяване, в контекста на борба с нефтени разливи и др. Необходимо е стимулиране на </w:t>
      </w:r>
      <w:r w:rsidR="007360D9" w:rsidRPr="00610B1B">
        <w:rPr>
          <w:rFonts w:ascii="Times New Roman" w:hAnsi="Times New Roman" w:cs="Times New Roman"/>
          <w:sz w:val="24"/>
          <w:szCs w:val="24"/>
          <w:lang w:val="bg-BG"/>
        </w:rPr>
        <w:lastRenderedPageBreak/>
        <w:t xml:space="preserve">научно-изследователската и образователна работа в тази актуална сфера, </w:t>
      </w:r>
      <w:r w:rsidR="00F947F1" w:rsidRPr="00610B1B">
        <w:rPr>
          <w:rFonts w:ascii="Times New Roman" w:hAnsi="Times New Roman" w:cs="Times New Roman"/>
          <w:sz w:val="24"/>
          <w:szCs w:val="24"/>
          <w:lang w:val="bg-BG"/>
        </w:rPr>
        <w:t>за</w:t>
      </w:r>
      <w:r w:rsidR="007360D9" w:rsidRPr="00610B1B">
        <w:rPr>
          <w:rFonts w:ascii="Times New Roman" w:hAnsi="Times New Roman" w:cs="Times New Roman"/>
          <w:sz w:val="24"/>
          <w:szCs w:val="24"/>
          <w:lang w:val="bg-BG"/>
        </w:rPr>
        <w:t xml:space="preserve"> да </w:t>
      </w:r>
      <w:r w:rsidR="00F947F1" w:rsidRPr="00610B1B">
        <w:rPr>
          <w:rFonts w:ascii="Times New Roman" w:hAnsi="Times New Roman" w:cs="Times New Roman"/>
          <w:sz w:val="24"/>
          <w:szCs w:val="24"/>
          <w:lang w:val="bg-BG"/>
        </w:rPr>
        <w:t xml:space="preserve">се </w:t>
      </w:r>
      <w:r w:rsidR="007360D9" w:rsidRPr="00610B1B">
        <w:rPr>
          <w:rFonts w:ascii="Times New Roman" w:hAnsi="Times New Roman" w:cs="Times New Roman"/>
          <w:sz w:val="24"/>
          <w:szCs w:val="24"/>
          <w:lang w:val="bg-BG"/>
        </w:rPr>
        <w:t xml:space="preserve">изгради и поддържа капацитет. </w:t>
      </w:r>
    </w:p>
    <w:p w14:paraId="6619F3F2" w14:textId="77777777" w:rsidR="00E53F44" w:rsidRPr="00E53F44" w:rsidRDefault="00E53F44" w:rsidP="00E53F44">
      <w:pPr>
        <w:spacing w:after="120"/>
        <w:ind w:right="-153"/>
        <w:jc w:val="both"/>
        <w:rPr>
          <w:rFonts w:ascii="Times New Roman" w:hAnsi="Times New Roman" w:cs="Times New Roman"/>
          <w:sz w:val="24"/>
          <w:szCs w:val="24"/>
          <w:lang w:val="bg-BG"/>
        </w:rPr>
      </w:pPr>
      <w:r w:rsidRPr="00E53F44">
        <w:rPr>
          <w:rFonts w:ascii="Times New Roman" w:hAnsi="Times New Roman" w:cs="Times New Roman"/>
          <w:sz w:val="24"/>
          <w:szCs w:val="24"/>
          <w:lang w:val="bg-BG"/>
        </w:rPr>
        <w:t>Военноморските сили (ВМС) са основен компонент на Националната система за морски суверенитет, която е създадена за гарантиране на суверенните права на държавата. Съгласно регламентиращите документи и националните публикации, ВМС са основното силово средство за отбрана на националните морски пространства и гарантиране на националните интереси в морския домейн, чрез провеждане или участие в морски операции.</w:t>
      </w:r>
    </w:p>
    <w:p w14:paraId="5A8D5EA0" w14:textId="4E6DAFB0" w:rsidR="00E53F44" w:rsidRDefault="00E53F44" w:rsidP="00E53F44">
      <w:pPr>
        <w:spacing w:after="120"/>
        <w:ind w:right="-153"/>
        <w:jc w:val="both"/>
        <w:rPr>
          <w:rFonts w:ascii="Times New Roman" w:hAnsi="Times New Roman" w:cs="Times New Roman"/>
          <w:sz w:val="24"/>
          <w:szCs w:val="24"/>
          <w:lang w:val="bg-BG"/>
        </w:rPr>
      </w:pPr>
      <w:r w:rsidRPr="00E53F44">
        <w:rPr>
          <w:rFonts w:ascii="Times New Roman" w:hAnsi="Times New Roman" w:cs="Times New Roman"/>
          <w:sz w:val="24"/>
          <w:szCs w:val="24"/>
          <w:lang w:val="bg-BG"/>
        </w:rPr>
        <w:t>Съвместно въоръжените сили гарантират суверенитета и териториалната цялост на страната, участват в мисии по спасяване, в научни изследвания, опазване на околната среда и в гарантиране на функционирането на държавната икономика. ВМС във взаимодействие с Главна дирекция „Гранична полиция“ (ГДГП), Изпълнителна агенция „Морска администрация“ и териториалните дирекции във Варна и Бургас, Морския спасително-координационен център (МСКЦ) на Р. България, Държавно предприятие „Пристанищна инфраструктура“ (ДППИ) със структурите си в Бургас и Варна, Дирекция „Ръководство на корабния трафик</w:t>
      </w:r>
      <w:r>
        <w:rPr>
          <w:rFonts w:ascii="Times New Roman" w:hAnsi="Times New Roman" w:cs="Times New Roman"/>
          <w:sz w:val="24"/>
          <w:szCs w:val="24"/>
          <w:lang w:val="bg-BG"/>
        </w:rPr>
        <w:t xml:space="preserve"> – </w:t>
      </w:r>
      <w:r w:rsidRPr="00E53F44">
        <w:rPr>
          <w:rFonts w:ascii="Times New Roman" w:hAnsi="Times New Roman" w:cs="Times New Roman"/>
          <w:sz w:val="24"/>
          <w:szCs w:val="24"/>
          <w:lang w:val="bg-BG"/>
        </w:rPr>
        <w:t xml:space="preserve">Черно море“ и пристанищните оператори, БД „Черноморски район“, „Поддържане чистотата на морските води” АД, Главна дирекция „Национална полиция“ (ГДНП), Държавна агенция „Национална сигурност”, Агенция „Митници” и други национални и регионални институции, участват в контрола на националните морски пространства и гарантират безопасността и сигурността на гражданите. </w:t>
      </w:r>
    </w:p>
    <w:p w14:paraId="7CEE5511"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22573745" w14:textId="61442E76" w:rsidR="007360D9" w:rsidRPr="00610B1B" w:rsidRDefault="00C055CB" w:rsidP="00D32D6A">
      <w:pPr>
        <w:pStyle w:val="Heading3"/>
        <w:spacing w:before="0" w:line="276" w:lineRule="auto"/>
        <w:ind w:right="-153"/>
        <w:rPr>
          <w:rFonts w:cs="Times New Roman"/>
        </w:rPr>
      </w:pPr>
      <w:bookmarkStart w:id="381" w:name="_Toc83391389"/>
      <w:r w:rsidRPr="00610B1B">
        <w:rPr>
          <w:rFonts w:cs="Times New Roman"/>
        </w:rPr>
        <w:t xml:space="preserve">3.5.1. </w:t>
      </w:r>
      <w:r w:rsidR="007360D9" w:rsidRPr="00610B1B">
        <w:rPr>
          <w:rFonts w:cs="Times New Roman"/>
        </w:rPr>
        <w:t>Райони, свързани със сигурността</w:t>
      </w:r>
      <w:bookmarkEnd w:id="381"/>
    </w:p>
    <w:p w14:paraId="06F0058C" w14:textId="587C52AB" w:rsidR="007360D9" w:rsidRPr="00610B1B" w:rsidRDefault="007360D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Към тези райони се отнасят всички райони, към които се прилага по-специфичен режим</w:t>
      </w:r>
      <w:r w:rsidR="00BB4AD6" w:rsidRPr="00610B1B">
        <w:rPr>
          <w:rFonts w:ascii="Times New Roman" w:hAnsi="Times New Roman" w:cs="Times New Roman"/>
          <w:sz w:val="24"/>
          <w:szCs w:val="24"/>
          <w:lang w:val="bg-BG"/>
        </w:rPr>
        <w:t xml:space="preserve"> за сигурност</w:t>
      </w:r>
      <w:r w:rsidRPr="00610B1B">
        <w:rPr>
          <w:rFonts w:ascii="Times New Roman" w:hAnsi="Times New Roman" w:cs="Times New Roman"/>
          <w:sz w:val="24"/>
          <w:szCs w:val="24"/>
          <w:lang w:val="bg-BG"/>
        </w:rPr>
        <w:t>.</w:t>
      </w:r>
    </w:p>
    <w:p w14:paraId="4111772B" w14:textId="12D1FF00" w:rsidR="007360D9" w:rsidRPr="00610B1B" w:rsidRDefault="00C055CB" w:rsidP="00D32D6A">
      <w:pPr>
        <w:pStyle w:val="Heading4"/>
        <w:spacing w:before="0" w:line="276" w:lineRule="auto"/>
        <w:ind w:right="-153"/>
        <w:rPr>
          <w:rFonts w:cs="Times New Roman"/>
        </w:rPr>
      </w:pPr>
      <w:r w:rsidRPr="00610B1B">
        <w:rPr>
          <w:rFonts w:cs="Times New Roman"/>
        </w:rPr>
        <w:t xml:space="preserve">3.5.1.1. </w:t>
      </w:r>
      <w:r w:rsidR="007360D9" w:rsidRPr="00610B1B">
        <w:rPr>
          <w:rFonts w:cs="Times New Roman"/>
        </w:rPr>
        <w:t>Военни полигони</w:t>
      </w:r>
    </w:p>
    <w:p w14:paraId="56158602" w14:textId="75315F58" w:rsidR="007360D9" w:rsidRPr="00610B1B" w:rsidRDefault="00BB4AD6"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Из</w:t>
      </w:r>
      <w:r w:rsidR="007360D9" w:rsidRPr="00610B1B">
        <w:rPr>
          <w:rFonts w:ascii="Times New Roman" w:hAnsi="Times New Roman" w:cs="Times New Roman"/>
          <w:sz w:val="24"/>
          <w:szCs w:val="24"/>
          <w:lang w:val="bg-BG"/>
        </w:rPr>
        <w:t xml:space="preserve">ползване на военните полигони се определя </w:t>
      </w:r>
      <w:r w:rsidRPr="00610B1B">
        <w:rPr>
          <w:rFonts w:ascii="Times New Roman" w:hAnsi="Times New Roman" w:cs="Times New Roman"/>
          <w:sz w:val="24"/>
          <w:szCs w:val="24"/>
          <w:lang w:val="bg-BG"/>
        </w:rPr>
        <w:t xml:space="preserve">в зависимост от </w:t>
      </w:r>
      <w:r w:rsidR="007360D9" w:rsidRPr="00610B1B">
        <w:rPr>
          <w:rFonts w:ascii="Times New Roman" w:hAnsi="Times New Roman" w:cs="Times New Roman"/>
          <w:sz w:val="24"/>
          <w:szCs w:val="24"/>
          <w:lang w:val="bg-BG"/>
        </w:rPr>
        <w:t>разположение</w:t>
      </w:r>
      <w:r w:rsidRPr="00610B1B">
        <w:rPr>
          <w:rFonts w:ascii="Times New Roman" w:hAnsi="Times New Roman" w:cs="Times New Roman"/>
          <w:sz w:val="24"/>
          <w:szCs w:val="24"/>
          <w:lang w:val="bg-BG"/>
        </w:rPr>
        <w:t xml:space="preserve">то, </w:t>
      </w:r>
      <w:r w:rsidR="007360D9" w:rsidRPr="00610B1B">
        <w:rPr>
          <w:rFonts w:ascii="Times New Roman" w:hAnsi="Times New Roman" w:cs="Times New Roman"/>
          <w:sz w:val="24"/>
          <w:szCs w:val="24"/>
          <w:lang w:val="bg-BG"/>
        </w:rPr>
        <w:t>период</w:t>
      </w:r>
      <w:r w:rsidRPr="00610B1B">
        <w:rPr>
          <w:rFonts w:ascii="Times New Roman" w:hAnsi="Times New Roman" w:cs="Times New Roman"/>
          <w:sz w:val="24"/>
          <w:szCs w:val="24"/>
          <w:lang w:val="bg-BG"/>
        </w:rPr>
        <w:t xml:space="preserve">а на използване, </w:t>
      </w:r>
      <w:r w:rsidR="007360D9" w:rsidRPr="00610B1B">
        <w:rPr>
          <w:rFonts w:ascii="Times New Roman" w:hAnsi="Times New Roman" w:cs="Times New Roman"/>
          <w:sz w:val="24"/>
          <w:szCs w:val="24"/>
          <w:lang w:val="bg-BG"/>
        </w:rPr>
        <w:t>хидрометеорологични</w:t>
      </w:r>
      <w:r w:rsidRPr="00610B1B">
        <w:rPr>
          <w:rFonts w:ascii="Times New Roman" w:hAnsi="Times New Roman" w:cs="Times New Roman"/>
          <w:sz w:val="24"/>
          <w:szCs w:val="24"/>
          <w:lang w:val="bg-BG"/>
        </w:rPr>
        <w:t>те</w:t>
      </w:r>
      <w:r w:rsidR="007360D9" w:rsidRPr="00610B1B">
        <w:rPr>
          <w:rFonts w:ascii="Times New Roman" w:hAnsi="Times New Roman" w:cs="Times New Roman"/>
          <w:sz w:val="24"/>
          <w:szCs w:val="24"/>
          <w:lang w:val="bg-BG"/>
        </w:rPr>
        <w:t xml:space="preserve"> условия</w:t>
      </w:r>
      <w:r w:rsidRPr="00610B1B">
        <w:rPr>
          <w:rFonts w:ascii="Times New Roman" w:hAnsi="Times New Roman" w:cs="Times New Roman"/>
          <w:sz w:val="24"/>
          <w:szCs w:val="24"/>
          <w:lang w:val="bg-BG"/>
        </w:rPr>
        <w:t xml:space="preserve">, </w:t>
      </w:r>
      <w:r w:rsidR="007360D9" w:rsidRPr="00610B1B">
        <w:rPr>
          <w:rFonts w:ascii="Times New Roman" w:hAnsi="Times New Roman" w:cs="Times New Roman"/>
          <w:sz w:val="24"/>
          <w:szCs w:val="24"/>
          <w:lang w:val="bg-BG"/>
        </w:rPr>
        <w:t>налични</w:t>
      </w:r>
      <w:r w:rsidRPr="00610B1B">
        <w:rPr>
          <w:rFonts w:ascii="Times New Roman" w:hAnsi="Times New Roman" w:cs="Times New Roman"/>
          <w:sz w:val="24"/>
          <w:szCs w:val="24"/>
          <w:lang w:val="bg-BG"/>
        </w:rPr>
        <w:t>те</w:t>
      </w:r>
      <w:r w:rsidR="007360D9" w:rsidRPr="00610B1B">
        <w:rPr>
          <w:rFonts w:ascii="Times New Roman" w:hAnsi="Times New Roman" w:cs="Times New Roman"/>
          <w:sz w:val="24"/>
          <w:szCs w:val="24"/>
          <w:lang w:val="bg-BG"/>
        </w:rPr>
        <w:t xml:space="preserve"> ресурси</w:t>
      </w:r>
      <w:r w:rsidRPr="00610B1B">
        <w:rPr>
          <w:rFonts w:ascii="Times New Roman" w:hAnsi="Times New Roman" w:cs="Times New Roman"/>
          <w:sz w:val="24"/>
          <w:szCs w:val="24"/>
          <w:lang w:val="bg-BG"/>
        </w:rPr>
        <w:t>,</w:t>
      </w:r>
      <w:r w:rsidR="007360D9" w:rsidRPr="00610B1B">
        <w:rPr>
          <w:rFonts w:ascii="Times New Roman" w:hAnsi="Times New Roman" w:cs="Times New Roman"/>
          <w:sz w:val="24"/>
          <w:szCs w:val="24"/>
          <w:lang w:val="bg-BG"/>
        </w:rPr>
        <w:t xml:space="preserve"> цел</w:t>
      </w:r>
      <w:r w:rsidRPr="00610B1B">
        <w:rPr>
          <w:rFonts w:ascii="Times New Roman" w:hAnsi="Times New Roman" w:cs="Times New Roman"/>
          <w:sz w:val="24"/>
          <w:szCs w:val="24"/>
          <w:lang w:val="bg-BG"/>
        </w:rPr>
        <w:t>та</w:t>
      </w:r>
      <w:r w:rsidR="007360D9" w:rsidRPr="00610B1B">
        <w:rPr>
          <w:rFonts w:ascii="Times New Roman" w:hAnsi="Times New Roman" w:cs="Times New Roman"/>
          <w:sz w:val="24"/>
          <w:szCs w:val="24"/>
          <w:lang w:val="bg-BG"/>
        </w:rPr>
        <w:t xml:space="preserve"> и характер</w:t>
      </w:r>
      <w:r w:rsidRPr="00610B1B">
        <w:rPr>
          <w:rFonts w:ascii="Times New Roman" w:hAnsi="Times New Roman" w:cs="Times New Roman"/>
          <w:sz w:val="24"/>
          <w:szCs w:val="24"/>
          <w:lang w:val="bg-BG"/>
        </w:rPr>
        <w:t>а</w:t>
      </w:r>
      <w:r w:rsidR="007360D9" w:rsidRPr="00610B1B">
        <w:rPr>
          <w:rFonts w:ascii="Times New Roman" w:hAnsi="Times New Roman" w:cs="Times New Roman"/>
          <w:sz w:val="24"/>
          <w:szCs w:val="24"/>
          <w:lang w:val="bg-BG"/>
        </w:rPr>
        <w:t xml:space="preserve"> на провежданата дейност</w:t>
      </w:r>
      <w:r w:rsidRPr="00610B1B">
        <w:rPr>
          <w:rFonts w:ascii="Times New Roman" w:hAnsi="Times New Roman" w:cs="Times New Roman"/>
          <w:sz w:val="24"/>
          <w:szCs w:val="24"/>
          <w:lang w:val="bg-BG"/>
        </w:rPr>
        <w:t>,</w:t>
      </w:r>
      <w:r w:rsidR="007360D9" w:rsidRPr="00610B1B">
        <w:rPr>
          <w:rFonts w:ascii="Times New Roman" w:hAnsi="Times New Roman" w:cs="Times New Roman"/>
          <w:sz w:val="24"/>
          <w:szCs w:val="24"/>
          <w:lang w:val="bg-BG"/>
        </w:rPr>
        <w:t xml:space="preserve"> корабн</w:t>
      </w:r>
      <w:r w:rsidRPr="00610B1B">
        <w:rPr>
          <w:rFonts w:ascii="Times New Roman" w:hAnsi="Times New Roman" w:cs="Times New Roman"/>
          <w:sz w:val="24"/>
          <w:szCs w:val="24"/>
          <w:lang w:val="bg-BG"/>
        </w:rPr>
        <w:t>ия</w:t>
      </w:r>
      <w:r w:rsidR="007360D9" w:rsidRPr="00610B1B">
        <w:rPr>
          <w:rFonts w:ascii="Times New Roman" w:hAnsi="Times New Roman" w:cs="Times New Roman"/>
          <w:sz w:val="24"/>
          <w:szCs w:val="24"/>
          <w:lang w:val="bg-BG"/>
        </w:rPr>
        <w:t xml:space="preserve"> трафик в конкретния момент и др. Основните варианти за предназначение на военните полигони са </w:t>
      </w:r>
      <w:r w:rsidR="00BF79BE" w:rsidRPr="00610B1B">
        <w:rPr>
          <w:rFonts w:ascii="Times New Roman" w:hAnsi="Times New Roman" w:cs="Times New Roman"/>
          <w:sz w:val="24"/>
          <w:szCs w:val="24"/>
          <w:lang w:val="bg-BG"/>
        </w:rPr>
        <w:t>свързани с</w:t>
      </w:r>
      <w:r w:rsidR="007360D9" w:rsidRPr="00610B1B">
        <w:rPr>
          <w:rFonts w:ascii="Times New Roman" w:hAnsi="Times New Roman" w:cs="Times New Roman"/>
          <w:sz w:val="24"/>
          <w:szCs w:val="24"/>
          <w:lang w:val="bg-BG"/>
        </w:rPr>
        <w:t>:</w:t>
      </w:r>
    </w:p>
    <w:p w14:paraId="12C2EF51" w14:textId="3A93EA44" w:rsidR="007360D9" w:rsidRPr="00610B1B" w:rsidRDefault="007360D9" w:rsidP="00B46189">
      <w:pPr>
        <w:pStyle w:val="ListParagraph"/>
        <w:numPr>
          <w:ilvl w:val="0"/>
          <w:numId w:val="7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провеждане на артилерийски и ракетни стрелби по </w:t>
      </w:r>
      <w:r w:rsidR="00BF79BE" w:rsidRPr="00610B1B">
        <w:rPr>
          <w:rFonts w:ascii="Times New Roman" w:hAnsi="Times New Roman" w:cs="Times New Roman"/>
          <w:sz w:val="24"/>
          <w:szCs w:val="24"/>
          <w:lang w:val="bg-BG"/>
        </w:rPr>
        <w:t>различни цели, от различни позиции и с различно оръжие;</w:t>
      </w:r>
    </w:p>
    <w:p w14:paraId="01DC1FA3" w14:textId="77777777" w:rsidR="00CA0E47" w:rsidRPr="00610B1B" w:rsidRDefault="007360D9" w:rsidP="00B46189">
      <w:pPr>
        <w:pStyle w:val="ListParagraph"/>
        <w:numPr>
          <w:ilvl w:val="0"/>
          <w:numId w:val="7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провеждане на бойни упражнения</w:t>
      </w:r>
      <w:r w:rsidR="00BF79BE" w:rsidRPr="00610B1B">
        <w:rPr>
          <w:rFonts w:ascii="Times New Roman" w:hAnsi="Times New Roman" w:cs="Times New Roman"/>
          <w:sz w:val="24"/>
          <w:szCs w:val="24"/>
          <w:lang w:val="bg-BG"/>
        </w:rPr>
        <w:t>, минни операции и взривни дейности</w:t>
      </w:r>
      <w:r w:rsidR="00CA0E47" w:rsidRPr="00610B1B">
        <w:rPr>
          <w:rFonts w:ascii="Times New Roman" w:hAnsi="Times New Roman" w:cs="Times New Roman"/>
          <w:sz w:val="24"/>
          <w:szCs w:val="24"/>
          <w:lang w:val="bg-BG"/>
        </w:rPr>
        <w:t>;</w:t>
      </w:r>
    </w:p>
    <w:p w14:paraId="0DA05FB3" w14:textId="77777777" w:rsidR="00CA0E47" w:rsidRPr="00610B1B" w:rsidRDefault="007360D9" w:rsidP="00B46189">
      <w:pPr>
        <w:pStyle w:val="ListParagraph"/>
        <w:numPr>
          <w:ilvl w:val="0"/>
          <w:numId w:val="7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провеждане на учения по водене на бойни действия на кораби, на разнородни противоподводни сили с участие на подводници</w:t>
      </w:r>
      <w:r w:rsidR="00CA0E47"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 амфибийни сили</w:t>
      </w:r>
      <w:r w:rsidR="00CA0E47" w:rsidRPr="00610B1B">
        <w:rPr>
          <w:rFonts w:ascii="Times New Roman" w:hAnsi="Times New Roman" w:cs="Times New Roman"/>
          <w:sz w:val="24"/>
          <w:szCs w:val="24"/>
          <w:lang w:val="bg-BG"/>
        </w:rPr>
        <w:t xml:space="preserve"> и с различно базиран противник;</w:t>
      </w:r>
    </w:p>
    <w:p w14:paraId="6E966E57" w14:textId="77777777" w:rsidR="00CA0E47" w:rsidRPr="00610B1B" w:rsidRDefault="00CA0E47" w:rsidP="00B46189">
      <w:pPr>
        <w:pStyle w:val="ListParagraph"/>
        <w:numPr>
          <w:ilvl w:val="0"/>
          <w:numId w:val="7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тренировки по контрол на корабоплаването, комуникационен обмен, по борба за живучест, по потапяне, изплаване</w:t>
      </w:r>
      <w:r w:rsidR="007360D9" w:rsidRPr="00610B1B">
        <w:rPr>
          <w:rFonts w:ascii="Times New Roman" w:hAnsi="Times New Roman" w:cs="Times New Roman"/>
          <w:sz w:val="24"/>
          <w:szCs w:val="24"/>
          <w:lang w:val="bg-BG"/>
        </w:rPr>
        <w:t>, управление и маневриране под вода</w:t>
      </w:r>
      <w:r w:rsidRPr="00610B1B">
        <w:rPr>
          <w:rFonts w:ascii="Times New Roman" w:hAnsi="Times New Roman" w:cs="Times New Roman"/>
          <w:sz w:val="24"/>
          <w:szCs w:val="24"/>
          <w:lang w:val="bg-BG"/>
        </w:rPr>
        <w:t xml:space="preserve"> и др</w:t>
      </w:r>
      <w:r w:rsidR="007360D9"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w:t>
      </w:r>
    </w:p>
    <w:p w14:paraId="742473E6" w14:textId="77777777" w:rsidR="00CA0E47" w:rsidRPr="00610B1B" w:rsidRDefault="007360D9" w:rsidP="00B46189">
      <w:pPr>
        <w:pStyle w:val="ListParagraph"/>
        <w:numPr>
          <w:ilvl w:val="0"/>
          <w:numId w:val="7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 xml:space="preserve">обучение и тренировки на водолази и леководолази </w:t>
      </w:r>
      <w:r w:rsidR="00CA0E47" w:rsidRPr="00610B1B">
        <w:rPr>
          <w:rFonts w:ascii="Times New Roman" w:hAnsi="Times New Roman" w:cs="Times New Roman"/>
          <w:sz w:val="24"/>
          <w:szCs w:val="24"/>
          <w:lang w:val="bg-BG"/>
        </w:rPr>
        <w:t xml:space="preserve">за </w:t>
      </w:r>
      <w:r w:rsidRPr="00610B1B">
        <w:rPr>
          <w:rFonts w:ascii="Times New Roman" w:hAnsi="Times New Roman" w:cs="Times New Roman"/>
          <w:sz w:val="24"/>
          <w:szCs w:val="24"/>
          <w:lang w:val="bg-BG"/>
        </w:rPr>
        <w:t>подводна работа</w:t>
      </w:r>
      <w:r w:rsidR="00CA0E47" w:rsidRPr="00610B1B">
        <w:rPr>
          <w:rFonts w:ascii="Times New Roman" w:hAnsi="Times New Roman" w:cs="Times New Roman"/>
          <w:sz w:val="24"/>
          <w:szCs w:val="24"/>
          <w:lang w:val="bg-BG"/>
        </w:rPr>
        <w:t xml:space="preserve"> и </w:t>
      </w:r>
      <w:r w:rsidRPr="00610B1B">
        <w:rPr>
          <w:rFonts w:ascii="Times New Roman" w:hAnsi="Times New Roman" w:cs="Times New Roman"/>
          <w:sz w:val="24"/>
          <w:szCs w:val="24"/>
          <w:lang w:val="bg-BG"/>
        </w:rPr>
        <w:t>аварийно-спасителна дейност</w:t>
      </w:r>
      <w:r w:rsidR="00CA0E47" w:rsidRPr="00610B1B">
        <w:rPr>
          <w:rFonts w:ascii="Times New Roman" w:hAnsi="Times New Roman" w:cs="Times New Roman"/>
          <w:sz w:val="24"/>
          <w:szCs w:val="24"/>
          <w:lang w:val="bg-BG"/>
        </w:rPr>
        <w:t>;</w:t>
      </w:r>
    </w:p>
    <w:p w14:paraId="6EC45ADC" w14:textId="26DC8392" w:rsidR="007360D9" w:rsidRPr="00610B1B" w:rsidRDefault="007360D9" w:rsidP="00B46189">
      <w:pPr>
        <w:pStyle w:val="ListParagraph"/>
        <w:numPr>
          <w:ilvl w:val="0"/>
          <w:numId w:val="79"/>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учения по търсене и спасяване</w:t>
      </w:r>
      <w:r w:rsidR="00CA0E47" w:rsidRPr="00610B1B">
        <w:rPr>
          <w:rFonts w:ascii="Times New Roman" w:hAnsi="Times New Roman" w:cs="Times New Roman"/>
          <w:sz w:val="24"/>
          <w:szCs w:val="24"/>
          <w:lang w:val="bg-BG"/>
        </w:rPr>
        <w:t xml:space="preserve"> и по </w:t>
      </w:r>
      <w:r w:rsidRPr="00610B1B">
        <w:rPr>
          <w:rFonts w:ascii="Times New Roman" w:hAnsi="Times New Roman" w:cs="Times New Roman"/>
          <w:sz w:val="24"/>
          <w:szCs w:val="24"/>
          <w:lang w:val="bg-BG"/>
        </w:rPr>
        <w:t>мащабни спасителни операции на екипажи и пътници на кораби и самолети, аварирали в/над района</w:t>
      </w:r>
      <w:r w:rsidR="00CA0E47"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за който Република България отговаря.</w:t>
      </w:r>
    </w:p>
    <w:p w14:paraId="7DDEA89F" w14:textId="3931FBD3" w:rsidR="007360D9" w:rsidRPr="00610B1B" w:rsidRDefault="00AD7E50" w:rsidP="00D32D6A">
      <w:pPr>
        <w:pStyle w:val="ListParagraph"/>
        <w:spacing w:after="120"/>
        <w:ind w:left="0" w:right="-158"/>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Тези повече от 20 дейности</w:t>
      </w:r>
      <w:r w:rsidR="000B48B7" w:rsidRPr="00610B1B">
        <w:rPr>
          <w:rFonts w:ascii="Times New Roman" w:hAnsi="Times New Roman" w:cs="Times New Roman"/>
          <w:sz w:val="24"/>
          <w:szCs w:val="24"/>
          <w:lang w:val="bg-BG"/>
        </w:rPr>
        <w:t xml:space="preserve">, свързани с учения и обучения, с провеждане на различни военни операции и на операции по търсене и спасяване, за работа под вода, за целите на Морския пространствен план </w:t>
      </w:r>
      <w:r w:rsidRPr="00610B1B">
        <w:rPr>
          <w:rFonts w:ascii="Times New Roman" w:hAnsi="Times New Roman" w:cs="Times New Roman"/>
          <w:sz w:val="24"/>
          <w:szCs w:val="24"/>
          <w:lang w:val="bg-BG"/>
        </w:rPr>
        <w:t>се групират в зависимост от сходството в ограниченията им и едва тогава да се обявят за</w:t>
      </w:r>
      <w:r w:rsidR="00D66FE0" w:rsidRPr="00610B1B">
        <w:rPr>
          <w:rFonts w:ascii="Times New Roman" w:hAnsi="Times New Roman" w:cs="Times New Roman"/>
          <w:sz w:val="24"/>
          <w:szCs w:val="24"/>
          <w:lang w:val="bg-BG"/>
        </w:rPr>
        <w:t xml:space="preserve"> </w:t>
      </w:r>
      <w:r w:rsidR="007360D9" w:rsidRPr="00610B1B">
        <w:rPr>
          <w:rFonts w:ascii="Times New Roman" w:hAnsi="Times New Roman" w:cs="Times New Roman"/>
          <w:sz w:val="24"/>
          <w:szCs w:val="24"/>
          <w:lang w:val="bg-BG"/>
        </w:rPr>
        <w:t>„забранени за корабоплаване“</w:t>
      </w:r>
      <w:r w:rsidRPr="00610B1B">
        <w:rPr>
          <w:rFonts w:ascii="Times New Roman" w:hAnsi="Times New Roman" w:cs="Times New Roman"/>
          <w:sz w:val="24"/>
          <w:szCs w:val="24"/>
          <w:lang w:val="bg-BG"/>
        </w:rPr>
        <w:t xml:space="preserve">, при ясен времеви диапазон на действие на забраните. </w:t>
      </w:r>
    </w:p>
    <w:p w14:paraId="6879C795" w14:textId="4199C826" w:rsidR="007360D9" w:rsidRPr="00610B1B" w:rsidRDefault="00E94973" w:rsidP="00D32D6A">
      <w:pPr>
        <w:pStyle w:val="Heading4"/>
        <w:spacing w:before="0" w:line="276" w:lineRule="auto"/>
        <w:ind w:right="-153"/>
        <w:rPr>
          <w:rFonts w:cs="Times New Roman"/>
        </w:rPr>
      </w:pPr>
      <w:r w:rsidRPr="00610B1B">
        <w:rPr>
          <w:rFonts w:cs="Times New Roman"/>
        </w:rPr>
        <w:t>3.5.1.</w:t>
      </w:r>
      <w:r w:rsidR="00492F69" w:rsidRPr="00610B1B">
        <w:rPr>
          <w:rFonts w:cs="Times New Roman"/>
        </w:rPr>
        <w:t>1</w:t>
      </w:r>
      <w:r w:rsidRPr="00610B1B">
        <w:rPr>
          <w:rFonts w:cs="Times New Roman"/>
        </w:rPr>
        <w:t xml:space="preserve">. </w:t>
      </w:r>
      <w:r w:rsidR="007360D9" w:rsidRPr="00610B1B">
        <w:rPr>
          <w:rFonts w:cs="Times New Roman"/>
        </w:rPr>
        <w:t>Военни пристанища</w:t>
      </w:r>
      <w:r w:rsidR="00D06882" w:rsidRPr="00610B1B">
        <w:rPr>
          <w:rFonts w:cs="Times New Roman"/>
        </w:rPr>
        <w:t xml:space="preserve"> и обекти, свързани със сигурността</w:t>
      </w:r>
    </w:p>
    <w:p w14:paraId="7AACD0D9" w14:textId="1902E25D" w:rsidR="004F554A" w:rsidRPr="00610B1B" w:rsidRDefault="004F554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bCs/>
          <w:sz w:val="24"/>
          <w:szCs w:val="24"/>
          <w:lang w:val="bg-BG"/>
        </w:rPr>
        <w:t>Военните пристанища</w:t>
      </w:r>
      <w:r w:rsidRPr="00610B1B">
        <w:rPr>
          <w:rFonts w:ascii="Times New Roman" w:hAnsi="Times New Roman" w:cs="Times New Roman"/>
          <w:sz w:val="24"/>
          <w:szCs w:val="24"/>
          <w:lang w:val="bg-BG"/>
        </w:rPr>
        <w:t xml:space="preserve"> са разположени край град Варна и град Бургас. Информацията за военните пристанища е чувствителна по отношение на сигурността и отбраната, поради което същата е защитена от Закона за защита на класифицираната информация (ЗЗКИ)</w:t>
      </w:r>
      <w:r w:rsidRPr="00610B1B">
        <w:rPr>
          <w:rStyle w:val="FootnoteReference"/>
          <w:rFonts w:ascii="Times New Roman" w:hAnsi="Times New Roman" w:cs="Times New Roman"/>
          <w:sz w:val="24"/>
          <w:szCs w:val="24"/>
          <w:lang w:val="bg-BG"/>
        </w:rPr>
        <w:footnoteReference w:id="126"/>
      </w:r>
      <w:r w:rsidRPr="00610B1B">
        <w:rPr>
          <w:rFonts w:ascii="Times New Roman" w:hAnsi="Times New Roman" w:cs="Times New Roman"/>
          <w:sz w:val="24"/>
          <w:szCs w:val="24"/>
          <w:lang w:val="bg-BG"/>
        </w:rPr>
        <w:t xml:space="preserve">. </w:t>
      </w:r>
    </w:p>
    <w:p w14:paraId="6262D5DC" w14:textId="32921FD4" w:rsidR="004F554A" w:rsidRPr="00610B1B" w:rsidRDefault="004F554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Други обекти, свързани със сигурността и безопасността в морските пространства попадат са местата за заставане на корабите на котва. В обхвата на зоните “</w:t>
      </w:r>
      <w:r w:rsidRPr="00610B1B">
        <w:rPr>
          <w:rFonts w:ascii="Times New Roman" w:hAnsi="Times New Roman" w:cs="Times New Roman"/>
          <w:b/>
          <w:bCs/>
          <w:sz w:val="24"/>
          <w:szCs w:val="24"/>
          <w:lang w:val="bg-BG"/>
        </w:rPr>
        <w:t>Котвени стоянки</w:t>
      </w:r>
      <w:r w:rsidRPr="00610B1B">
        <w:rPr>
          <w:rFonts w:ascii="Times New Roman" w:hAnsi="Times New Roman" w:cs="Times New Roman"/>
          <w:sz w:val="24"/>
          <w:szCs w:val="24"/>
          <w:lang w:val="bg-BG"/>
        </w:rPr>
        <w:t>” попадат защитени от опасни направления на вятъра котвени места. Всяко котвено място притежава специфични характеристики - безопасни дълбочини, безопасни разстояния, защитени от силни ветрове направления. Тези зони са във функционална зависимост от Системата за разделно движение (СРД) и препоръчаните пътища. Във Варненския залив са определени седем района за котвени стоянки, повечето от които във Варненското езеро, един южно от нос Галата (предимно за зимния период), един североизточно от устието на р. Камчия за кораби под карантина или пренасящи опасни товари и един район южно от пристанище</w:t>
      </w:r>
      <w:r w:rsidR="0018150C" w:rsidRPr="00610B1B">
        <w:rPr>
          <w:rFonts w:ascii="Times New Roman" w:hAnsi="Times New Roman" w:cs="Times New Roman"/>
          <w:sz w:val="24"/>
          <w:szCs w:val="24"/>
          <w:lang w:val="bg-BG"/>
        </w:rPr>
        <w:t>н терминал</w:t>
      </w:r>
      <w:r w:rsidRPr="00610B1B">
        <w:rPr>
          <w:rFonts w:ascii="Times New Roman" w:hAnsi="Times New Roman" w:cs="Times New Roman"/>
          <w:sz w:val="24"/>
          <w:szCs w:val="24"/>
          <w:lang w:val="bg-BG"/>
        </w:rPr>
        <w:t xml:space="preserve"> Балчик. Корабните стоянки на корабите от Бургаските пристанища между порт Бургас и нос Фарос са 5 броя с различен капацитет. Единият от районите е разположен югоизточно от пристанище</w:t>
      </w:r>
      <w:r w:rsidR="0018150C" w:rsidRPr="00610B1B">
        <w:rPr>
          <w:rFonts w:ascii="Times New Roman" w:hAnsi="Times New Roman" w:cs="Times New Roman"/>
          <w:sz w:val="24"/>
          <w:szCs w:val="24"/>
          <w:lang w:val="bg-BG"/>
        </w:rPr>
        <w:t xml:space="preserve"> за обществен транспорт</w:t>
      </w:r>
      <w:r w:rsidRPr="00610B1B">
        <w:rPr>
          <w:rFonts w:ascii="Times New Roman" w:hAnsi="Times New Roman" w:cs="Times New Roman"/>
          <w:sz w:val="24"/>
          <w:szCs w:val="24"/>
          <w:lang w:val="bg-BG"/>
        </w:rPr>
        <w:t xml:space="preserve"> Бургас, другият западно от остров Св. Анастасия. И двата района са предназначени за танкери с водоизместване до 5 000 t. Северно от </w:t>
      </w:r>
      <w:r w:rsidR="00A37102" w:rsidRPr="00BC6EFF">
        <w:rPr>
          <w:rFonts w:ascii="Times New Roman" w:hAnsi="Times New Roman" w:cs="Times New Roman"/>
          <w:sz w:val="24"/>
          <w:szCs w:val="24"/>
          <w:lang w:val="bg-BG"/>
        </w:rPr>
        <w:t xml:space="preserve">пристанищен терминал </w:t>
      </w:r>
      <w:r w:rsidRPr="00610B1B">
        <w:rPr>
          <w:rFonts w:ascii="Times New Roman" w:hAnsi="Times New Roman" w:cs="Times New Roman"/>
          <w:sz w:val="24"/>
          <w:szCs w:val="24"/>
          <w:lang w:val="bg-BG"/>
        </w:rPr>
        <w:t>„Росенец“ е разположен район за заставане на котва на кораби с максимална дължина над 150 m. Котвената стоянка за корабите, посещаващи пристанище</w:t>
      </w:r>
      <w:r w:rsidR="0018150C" w:rsidRPr="00610B1B">
        <w:rPr>
          <w:rFonts w:ascii="Times New Roman" w:hAnsi="Times New Roman" w:cs="Times New Roman"/>
          <w:sz w:val="24"/>
          <w:szCs w:val="24"/>
          <w:lang w:val="bg-BG"/>
        </w:rPr>
        <w:t>н терминал</w:t>
      </w:r>
      <w:r w:rsidRPr="00610B1B">
        <w:rPr>
          <w:rFonts w:ascii="Times New Roman" w:hAnsi="Times New Roman" w:cs="Times New Roman"/>
          <w:sz w:val="24"/>
          <w:szCs w:val="24"/>
          <w:lang w:val="bg-BG"/>
        </w:rPr>
        <w:t xml:space="preserve"> Несебър, е на дистанция 0,7 морски мили югоизточно от входен фар – Несебър.</w:t>
      </w:r>
    </w:p>
    <w:p w14:paraId="6F13E8BC" w14:textId="249681A0" w:rsidR="004F554A" w:rsidRPr="00610B1B" w:rsidRDefault="004F554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bCs/>
          <w:sz w:val="24"/>
          <w:szCs w:val="24"/>
          <w:lang w:val="bg-BG"/>
        </w:rPr>
        <w:t xml:space="preserve">Забранените за </w:t>
      </w:r>
      <w:r w:rsidR="00F55BCD" w:rsidRPr="00610B1B">
        <w:rPr>
          <w:rFonts w:ascii="Times New Roman" w:hAnsi="Times New Roman" w:cs="Times New Roman"/>
          <w:b/>
          <w:bCs/>
          <w:sz w:val="24"/>
          <w:szCs w:val="24"/>
          <w:lang w:val="bg-BG"/>
        </w:rPr>
        <w:t>корабо</w:t>
      </w:r>
      <w:r w:rsidRPr="00610B1B">
        <w:rPr>
          <w:rFonts w:ascii="Times New Roman" w:hAnsi="Times New Roman" w:cs="Times New Roman"/>
          <w:b/>
          <w:bCs/>
          <w:sz w:val="24"/>
          <w:szCs w:val="24"/>
          <w:lang w:val="bg-BG"/>
        </w:rPr>
        <w:t>плаване райони</w:t>
      </w:r>
      <w:r w:rsidRPr="00610B1B">
        <w:rPr>
          <w:rFonts w:ascii="Times New Roman" w:hAnsi="Times New Roman" w:cs="Times New Roman"/>
          <w:sz w:val="24"/>
          <w:szCs w:val="24"/>
          <w:lang w:val="bg-BG"/>
        </w:rPr>
        <w:t xml:space="preserve"> се обявяват от компетентните органи в териториалното море и вътрешните морски води съответно с постоянни или временни забрани. Контролът на плаването във вътрешните морски води, в териториалното море и във вътрешните водни пътища на Република България на български и чуждестранни яхти, лодки и други плавателни средства за спорт, туризъм и развлечение се осъществява самостоятелно и съвместно от Изпълнителна агенция „Морска администрация“, Главна дирекция „Гранична полиция“ на Министерството на вътрешните работи и от Военноморските сили. Плаването се осъществява извън забранените райони. Полигоните за подготовка на ВМС (зоните и отделни райони) се обявяват „временно забранени за </w:t>
      </w:r>
      <w:r w:rsidRPr="00610B1B">
        <w:rPr>
          <w:rFonts w:ascii="Times New Roman" w:hAnsi="Times New Roman" w:cs="Times New Roman"/>
          <w:sz w:val="24"/>
          <w:szCs w:val="24"/>
          <w:lang w:val="bg-BG"/>
        </w:rPr>
        <w:lastRenderedPageBreak/>
        <w:t>плаване”, когато са в териториалните и вътрешните води на Република България. Когато тези действия са извън териториалн</w:t>
      </w:r>
      <w:r w:rsidR="00BE6DD4" w:rsidRPr="00610B1B">
        <w:rPr>
          <w:rFonts w:ascii="Times New Roman" w:hAnsi="Times New Roman" w:cs="Times New Roman"/>
          <w:sz w:val="24"/>
          <w:szCs w:val="24"/>
          <w:lang w:val="bg-BG"/>
        </w:rPr>
        <w:t>ото море</w:t>
      </w:r>
      <w:r w:rsidRPr="00610B1B">
        <w:rPr>
          <w:rFonts w:ascii="Times New Roman" w:hAnsi="Times New Roman" w:cs="Times New Roman"/>
          <w:sz w:val="24"/>
          <w:szCs w:val="24"/>
          <w:lang w:val="bg-BG"/>
        </w:rPr>
        <w:t>, се обявяват зони за „временно опасни за плаване”. Такива райони са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разположени източно от нос Шабла, източно от Черни нос и западно от нос Атия.</w:t>
      </w:r>
    </w:p>
    <w:p w14:paraId="6B86669A" w14:textId="77777777" w:rsidR="004F554A" w:rsidRPr="00610B1B" w:rsidRDefault="004F554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Районите,</w:t>
      </w:r>
      <w:r w:rsidRPr="00610B1B">
        <w:rPr>
          <w:rFonts w:ascii="Times New Roman" w:hAnsi="Times New Roman" w:cs="Times New Roman"/>
          <w:b/>
          <w:color w:val="000000" w:themeColor="text1"/>
          <w:sz w:val="24"/>
          <w:szCs w:val="24"/>
          <w:lang w:val="bg-BG"/>
        </w:rPr>
        <w:t xml:space="preserve"> забранени за заставане на котва, риболов с придънни средства, за подводни и драгажни работи, за придънно тралене и взривове </w:t>
      </w:r>
      <w:r w:rsidRPr="00610B1B">
        <w:rPr>
          <w:rFonts w:ascii="Times New Roman" w:hAnsi="Times New Roman" w:cs="Times New Roman"/>
          <w:color w:val="000000" w:themeColor="text1"/>
          <w:sz w:val="24"/>
          <w:szCs w:val="24"/>
          <w:lang w:val="bg-BG"/>
        </w:rPr>
        <w:t xml:space="preserve">се определят с цел </w:t>
      </w:r>
      <w:bookmarkStart w:id="382" w:name="_Hlk47175997"/>
      <w:r w:rsidRPr="00610B1B">
        <w:rPr>
          <w:rFonts w:ascii="Times New Roman" w:hAnsi="Times New Roman" w:cs="Times New Roman"/>
          <w:color w:val="000000" w:themeColor="text1"/>
          <w:sz w:val="24"/>
          <w:szCs w:val="24"/>
          <w:lang w:val="bg-BG"/>
        </w:rPr>
        <w:t xml:space="preserve">опазване на инфраструктурата, съоръженията и оборудването от увреждане, на потъналите военни кораби, </w:t>
      </w:r>
      <w:r w:rsidRPr="00610B1B">
        <w:rPr>
          <w:rFonts w:ascii="Times New Roman" w:hAnsi="Times New Roman" w:cs="Times New Roman"/>
          <w:sz w:val="24"/>
          <w:szCs w:val="24"/>
          <w:lang w:val="bg-BG"/>
        </w:rPr>
        <w:t xml:space="preserve">историческите и археологическите обекти или природните ценности. </w:t>
      </w:r>
    </w:p>
    <w:bookmarkEnd w:id="382"/>
    <w:p w14:paraId="1E1B1ACF" w14:textId="5397E076" w:rsidR="004F554A" w:rsidRPr="00610B1B" w:rsidRDefault="004F554A" w:rsidP="00D32D6A">
      <w:pPr>
        <w:spacing w:after="120"/>
        <w:ind w:right="-153"/>
        <w:jc w:val="both"/>
        <w:rPr>
          <w:rFonts w:ascii="Times New Roman" w:eastAsia="Calibri" w:hAnsi="Times New Roman" w:cs="Times New Roman"/>
          <w:bCs/>
          <w:sz w:val="24"/>
          <w:szCs w:val="24"/>
          <w:lang w:val="bg-BG"/>
        </w:rPr>
      </w:pPr>
      <w:r w:rsidRPr="00610B1B">
        <w:rPr>
          <w:rFonts w:ascii="Times New Roman" w:hAnsi="Times New Roman" w:cs="Times New Roman"/>
          <w:sz w:val="24"/>
          <w:szCs w:val="24"/>
          <w:lang w:val="bg-BG"/>
        </w:rPr>
        <w:t>Синтезната карта с приложени координати за определяне на полигоните с различни забрани показва п</w:t>
      </w:r>
      <w:r w:rsidRPr="00610B1B">
        <w:rPr>
          <w:rFonts w:ascii="Times New Roman" w:eastAsia="Calibri" w:hAnsi="Times New Roman" w:cs="Times New Roman"/>
          <w:bCs/>
          <w:sz w:val="24"/>
          <w:szCs w:val="24"/>
          <w:lang w:val="bg-BG"/>
        </w:rPr>
        <w:t xml:space="preserve">рипокриването на много от районите, което може да предизвика конфликти, както и да доведе до неефективно използване на морските пространства. Припокриването със схеми за разделно движение, фарватери и препоръчителни пътища не е възможно винаги да се избягва, но трябва да се отчита вероятността от аварии. </w:t>
      </w:r>
    </w:p>
    <w:p w14:paraId="10E02A3B" w14:textId="00BDB9EA" w:rsidR="004F554A" w:rsidRPr="00610B1B" w:rsidRDefault="004F554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color w:val="000000" w:themeColor="text1"/>
          <w:sz w:val="24"/>
          <w:szCs w:val="24"/>
          <w:lang w:val="bg-BG"/>
        </w:rPr>
        <w:t xml:space="preserve">Данните за </w:t>
      </w:r>
      <w:r w:rsidRPr="00610B1B">
        <w:rPr>
          <w:rFonts w:ascii="Times New Roman" w:hAnsi="Times New Roman" w:cs="Times New Roman"/>
          <w:b/>
          <w:bCs/>
          <w:color w:val="000000" w:themeColor="text1"/>
          <w:sz w:val="24"/>
          <w:szCs w:val="24"/>
          <w:lang w:val="bg-BG"/>
        </w:rPr>
        <w:t>районите за изхвърляне на земни маси</w:t>
      </w:r>
      <w:r w:rsidRPr="00610B1B">
        <w:rPr>
          <w:rFonts w:ascii="Times New Roman" w:hAnsi="Times New Roman" w:cs="Times New Roman"/>
          <w:color w:val="000000" w:themeColor="text1"/>
          <w:sz w:val="24"/>
          <w:szCs w:val="24"/>
          <w:lang w:val="bg-BG"/>
        </w:rPr>
        <w:t xml:space="preserve"> са използвани за идентифициране на потенциалните конфликти, които биха възникнали</w:t>
      </w:r>
      <w:r w:rsidR="00D66FE0" w:rsidRPr="00610B1B">
        <w:rPr>
          <w:rFonts w:ascii="Times New Roman" w:hAnsi="Times New Roman" w:cs="Times New Roman"/>
          <w:color w:val="000000" w:themeColor="text1"/>
          <w:sz w:val="24"/>
          <w:szCs w:val="24"/>
          <w:lang w:val="bg-BG"/>
        </w:rPr>
        <w:t xml:space="preserve"> </w:t>
      </w:r>
      <w:r w:rsidRPr="00610B1B">
        <w:rPr>
          <w:rFonts w:ascii="Times New Roman" w:hAnsi="Times New Roman" w:cs="Times New Roman"/>
          <w:color w:val="000000" w:themeColor="text1"/>
          <w:sz w:val="24"/>
          <w:szCs w:val="24"/>
          <w:lang w:val="bg-BG"/>
        </w:rPr>
        <w:t>в резултат на навигационна авария, засядане при грешно определена дълбочина на изхвърляне, или поради друг инцидент, възникнал от детонация, подводен взрив, придъден трал и други.</w:t>
      </w:r>
    </w:p>
    <w:p w14:paraId="02C0C14D" w14:textId="77777777" w:rsidR="004F554A" w:rsidRPr="00610B1B" w:rsidRDefault="004F554A"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Капацитетът на пределното използване на тези райони е изчислен на база отредената площ, релефа на дъното, дълбочините в началото на използването му, изхвърлените количества, максималната дълбочина, до която могат да бъдат натрупвани и влиянието на натрупването върху съседни зони. Към настоящия момент сигурността и безопасността в райони за изхвърляне на земни маси е организирана нормативно и организационно въз основа на водещите световни практики, натрупания опит и законовите изисквания. </w:t>
      </w:r>
    </w:p>
    <w:p w14:paraId="37C44C5D" w14:textId="5E425541" w:rsidR="004F554A" w:rsidRPr="00610B1B" w:rsidRDefault="004F554A"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sz w:val="24"/>
          <w:szCs w:val="24"/>
          <w:lang w:val="bg-BG"/>
        </w:rPr>
        <w:t>Районите за подводна дейност с учебни интереси и подводен туризъм</w:t>
      </w:r>
      <w:r w:rsidRPr="00610B1B">
        <w:rPr>
          <w:rFonts w:ascii="Times New Roman" w:eastAsia="Calibri" w:hAnsi="Times New Roman" w:cs="Times New Roman"/>
          <w:bCs/>
          <w:sz w:val="24"/>
          <w:szCs w:val="24"/>
          <w:lang w:val="bg-BG"/>
        </w:rPr>
        <w:t xml:space="preserve"> заемат площи във вътрешните води и териториалното море на Република България. В тях се извършват водолазни дейности за работа, спорт, туризъм и развлечения. Постоянни са само границите на полигоните за подготовка на водолази от Военноморските сили, а границите на другите райони се определят за времето на използването им, като се ограничава режима на корабоплаване в тях по реда на Наредба № Н-7 от 12 юни 2008 г. за извършване на водолазна и друга подводна дейност</w:t>
      </w:r>
      <w:r w:rsidRPr="00610B1B">
        <w:rPr>
          <w:rStyle w:val="FootnoteReference"/>
          <w:rFonts w:ascii="Times New Roman" w:eastAsia="Calibri" w:hAnsi="Times New Roman" w:cs="Times New Roman"/>
          <w:bCs/>
          <w:sz w:val="24"/>
          <w:szCs w:val="24"/>
          <w:lang w:val="bg-BG"/>
        </w:rPr>
        <w:footnoteReference w:id="127"/>
      </w:r>
      <w:r w:rsidRPr="00610B1B">
        <w:rPr>
          <w:rFonts w:ascii="Times New Roman" w:eastAsia="Calibri" w:hAnsi="Times New Roman" w:cs="Times New Roman"/>
          <w:bCs/>
          <w:sz w:val="24"/>
          <w:szCs w:val="24"/>
          <w:lang w:val="bg-BG"/>
        </w:rPr>
        <w:t>. Наредбата определя видовете водолазни работи, и забранява водолазна или друга подводна дейност в районите, обхванати от системата за движение. Другите райони за водолазна и подводна работа или дейност се обявяват в „Известие до мореплавателите“ от Хидрографска служба на Военноморските сили по определен ред. Границите на тези полигони варират. Указанията по използване на райони за подводна дейност с учебни интереси и подводен туризъм, осигуряват необходимата безопасност, посредством изискванията на цитираната по-горе наредба.</w:t>
      </w:r>
      <w:r w:rsidRPr="00610B1B">
        <w:rPr>
          <w:rFonts w:ascii="Times New Roman" w:eastAsia="Calibri" w:hAnsi="Times New Roman" w:cs="Times New Roman"/>
          <w:bCs/>
          <w:sz w:val="24"/>
          <w:szCs w:val="24"/>
          <w:vertAlign w:val="superscript"/>
          <w:lang w:val="bg-BG"/>
        </w:rPr>
        <w:footnoteReference w:id="128"/>
      </w:r>
    </w:p>
    <w:p w14:paraId="31CD748F" w14:textId="77777777" w:rsidR="009907CE" w:rsidRPr="00610B1B" w:rsidRDefault="009907CE" w:rsidP="00D32D6A">
      <w:pPr>
        <w:spacing w:after="120"/>
        <w:ind w:right="-153"/>
        <w:jc w:val="both"/>
        <w:rPr>
          <w:rFonts w:ascii="Times New Roman" w:eastAsia="Calibri" w:hAnsi="Times New Roman" w:cs="Times New Roman"/>
          <w:bCs/>
          <w:sz w:val="24"/>
          <w:szCs w:val="24"/>
          <w:lang w:val="bg-BG"/>
        </w:rPr>
      </w:pPr>
    </w:p>
    <w:p w14:paraId="4074189F" w14:textId="072546EE" w:rsidR="00AF2803" w:rsidRPr="00610B1B" w:rsidRDefault="000E7851" w:rsidP="000E7851">
      <w:pPr>
        <w:pStyle w:val="Heading3"/>
        <w:rPr>
          <w:rFonts w:cs="Times New Roman"/>
        </w:rPr>
      </w:pPr>
      <w:bookmarkStart w:id="383" w:name="_Toc83391390"/>
      <w:r w:rsidRPr="00610B1B">
        <w:rPr>
          <w:rFonts w:cs="Times New Roman"/>
        </w:rPr>
        <w:t>3.5</w:t>
      </w:r>
      <w:r w:rsidR="00492F69" w:rsidRPr="00610B1B">
        <w:rPr>
          <w:rFonts w:cs="Times New Roman"/>
        </w:rPr>
        <w:t>.2</w:t>
      </w:r>
      <w:r w:rsidR="00AF2803" w:rsidRPr="00610B1B">
        <w:rPr>
          <w:rFonts w:cs="Times New Roman"/>
        </w:rPr>
        <w:t>. Организация на движението в морските пространства</w:t>
      </w:r>
      <w:bookmarkEnd w:id="383"/>
    </w:p>
    <w:p w14:paraId="6AD0A748" w14:textId="77777777" w:rsidR="00E53F44" w:rsidRPr="00E53F44" w:rsidRDefault="00E53F44" w:rsidP="00D03DA8">
      <w:pPr>
        <w:spacing w:after="120"/>
        <w:ind w:right="-153"/>
        <w:jc w:val="both"/>
        <w:rPr>
          <w:rFonts w:ascii="Times New Roman" w:hAnsi="Times New Roman" w:cs="Times New Roman"/>
          <w:iCs/>
          <w:sz w:val="24"/>
          <w:szCs w:val="24"/>
          <w:lang w:val="bg-BG"/>
        </w:rPr>
      </w:pPr>
      <w:r w:rsidRPr="00E53F44">
        <w:rPr>
          <w:rFonts w:ascii="Times New Roman" w:hAnsi="Times New Roman" w:cs="Times New Roman"/>
          <w:iCs/>
          <w:sz w:val="24"/>
          <w:szCs w:val="24"/>
          <w:lang w:val="bg-BG"/>
        </w:rPr>
        <w:t>В националните морски пространства на Р. България се пресичат голям брой маршрути на морския трафик. Това е резултат от постоянното увеличаване на трафика през последните десетилетия, което създава и предпоставки за възникване на повече инциденти и морски катастрофи. Броят на търговските кораби, снабдени с автоматизирана информационна система (АИС), съгласно правило 19 на гл. 5 на конвенция СОЛАС’74, пътуващи ежедневно в районите на Босфора, Бургас, Варна, Констанца, Одеса и Азовско море надвишава 2 500 кораба едновременно. Ако се добавят необорудваните с АИС рибарски кораби (под 15 m), яхтите и другите плавателни средства за развлечение, броят им значително ще се увеличи.</w:t>
      </w:r>
    </w:p>
    <w:p w14:paraId="61AE5A29" w14:textId="77777777" w:rsidR="00E53F44" w:rsidRPr="00E53F44" w:rsidRDefault="00E53F44" w:rsidP="00D03DA8">
      <w:pPr>
        <w:spacing w:after="120"/>
        <w:ind w:right="-153"/>
        <w:jc w:val="both"/>
        <w:rPr>
          <w:rFonts w:ascii="Times New Roman" w:hAnsi="Times New Roman" w:cs="Times New Roman"/>
          <w:iCs/>
          <w:sz w:val="24"/>
          <w:szCs w:val="24"/>
          <w:lang w:val="bg-BG"/>
        </w:rPr>
      </w:pPr>
      <w:r w:rsidRPr="00E53F44">
        <w:rPr>
          <w:rFonts w:ascii="Times New Roman" w:hAnsi="Times New Roman" w:cs="Times New Roman"/>
          <w:iCs/>
          <w:sz w:val="24"/>
          <w:szCs w:val="24"/>
          <w:lang w:val="bg-BG"/>
        </w:rPr>
        <w:t>Географските граници на районите, със специфични забранителни режими са определени в оптимални граници за намаляване на нивото на риска, но без излишно увеличаване, което би затруднило други дейности в териториалното море и вътрешните води на Р.България. Създадена е необходимата организация по обявяване на забраната в нови райони, за промяна на параметрите на съществуващи райони или за прекратяване на забраната в райони, където е отпаднала необходимостта от ограничаване на корабоплаването. Нормативно са уредени отговорностите на институциите, ведомствата и организациите по определяне на забрани и контрола за спазването им.</w:t>
      </w:r>
    </w:p>
    <w:p w14:paraId="0036A9FB" w14:textId="78C5C21D" w:rsidR="00E17EF6" w:rsidRPr="00D03DA8" w:rsidRDefault="00E53F44" w:rsidP="00D03DA8">
      <w:pPr>
        <w:spacing w:after="120"/>
        <w:ind w:right="-153"/>
        <w:jc w:val="both"/>
        <w:rPr>
          <w:rFonts w:ascii="Times New Roman" w:hAnsi="Times New Roman" w:cs="Times New Roman"/>
          <w:iCs/>
          <w:sz w:val="24"/>
          <w:szCs w:val="24"/>
          <w:lang w:val="bg-BG"/>
        </w:rPr>
      </w:pPr>
      <w:r w:rsidRPr="00D03DA8">
        <w:rPr>
          <w:rFonts w:ascii="Times New Roman" w:hAnsi="Times New Roman" w:cs="Times New Roman"/>
          <w:b/>
          <w:bCs/>
          <w:iCs/>
          <w:sz w:val="24"/>
          <w:szCs w:val="24"/>
          <w:lang w:val="bg-BG"/>
        </w:rPr>
        <w:t>Обобщеният извод</w:t>
      </w:r>
      <w:r w:rsidRPr="00E53F44">
        <w:rPr>
          <w:rFonts w:ascii="Times New Roman" w:hAnsi="Times New Roman" w:cs="Times New Roman"/>
          <w:iCs/>
          <w:sz w:val="24"/>
          <w:szCs w:val="24"/>
          <w:lang w:val="bg-BG"/>
        </w:rPr>
        <w:t xml:space="preserve"> за съвместимостта на разнотипните зони е, че съществуващата организация на движението в националните морски пространства осигурява високо ниво на съвместимост между различните дейности и зониране. Съществуващата организация на движението в НМП отговаря на изискванията на икономиката, отбраната, националната сигурност, безопасността и сигурността  на корабоплаването и екологията. Системата за разделно движение, котвените стоянки и всички зони, свързани с организацията на движението в националните морски пространства са изготвени съгласно изискванията на международните и националните нормативни и регламентиращи документи, в резултат на задълбочени анализи на икономиката на страната, изискванията за отбрана, сигурност и безопасност, характера на морския трафик и физико-географските и хидрометеорологичните характеристики. Тяхната съвместимост се потвърждава от тяхното дългогодишно съществуване, безпроблемно съвместяване на дейностите и липсата на конфликт на интереси в националните морски пространства.</w:t>
      </w:r>
    </w:p>
    <w:p w14:paraId="738FC1E1" w14:textId="3E26F4C6" w:rsidR="00FA208D" w:rsidRPr="00610B1B" w:rsidRDefault="007B78A7" w:rsidP="00D32D6A">
      <w:pPr>
        <w:pStyle w:val="Heading2"/>
        <w:spacing w:before="0" w:line="276" w:lineRule="auto"/>
        <w:ind w:right="-153"/>
        <w:rPr>
          <w:rFonts w:cs="Times New Roman"/>
          <w:b w:val="0"/>
          <w:bCs w:val="0"/>
          <w:sz w:val="24"/>
          <w:szCs w:val="24"/>
        </w:rPr>
      </w:pPr>
      <w:bookmarkStart w:id="384" w:name="_Toc83391391"/>
      <w:r w:rsidRPr="00610B1B">
        <w:rPr>
          <w:rFonts w:cs="Times New Roman"/>
        </w:rPr>
        <w:t>3</w:t>
      </w:r>
      <w:r w:rsidR="00641B2C" w:rsidRPr="00610B1B">
        <w:rPr>
          <w:rFonts w:cs="Times New Roman"/>
        </w:rPr>
        <w:t>.</w:t>
      </w:r>
      <w:r w:rsidR="00BF0D18" w:rsidRPr="00610B1B">
        <w:rPr>
          <w:rFonts w:cs="Times New Roman"/>
        </w:rPr>
        <w:t>6</w:t>
      </w:r>
      <w:r w:rsidR="00641B2C" w:rsidRPr="00610B1B">
        <w:rPr>
          <w:rFonts w:cs="Times New Roman"/>
        </w:rPr>
        <w:t xml:space="preserve">. </w:t>
      </w:r>
      <w:r w:rsidR="00A747CE" w:rsidRPr="00610B1B">
        <w:rPr>
          <w:rFonts w:cs="Times New Roman"/>
        </w:rPr>
        <w:t>Обобщен анализ на</w:t>
      </w:r>
      <w:r w:rsidR="00FA208D" w:rsidRPr="00610B1B">
        <w:rPr>
          <w:rFonts w:cs="Times New Roman"/>
        </w:rPr>
        <w:t xml:space="preserve"> морски</w:t>
      </w:r>
      <w:r w:rsidR="00BB6D9A" w:rsidRPr="00610B1B">
        <w:rPr>
          <w:rFonts w:cs="Times New Roman"/>
        </w:rPr>
        <w:t>те</w:t>
      </w:r>
      <w:r w:rsidR="00FA208D" w:rsidRPr="00610B1B">
        <w:rPr>
          <w:rFonts w:cs="Times New Roman"/>
        </w:rPr>
        <w:t xml:space="preserve"> икономически</w:t>
      </w:r>
      <w:r w:rsidRPr="00610B1B">
        <w:rPr>
          <w:rFonts w:cs="Times New Roman"/>
        </w:rPr>
        <w:t xml:space="preserve"> дейности</w:t>
      </w:r>
      <w:bookmarkEnd w:id="384"/>
    </w:p>
    <w:p w14:paraId="53478630" w14:textId="650AA616" w:rsidR="00527038" w:rsidRPr="00610B1B" w:rsidRDefault="00527038" w:rsidP="00D32D6A">
      <w:pPr>
        <w:pStyle w:val="Heading3"/>
        <w:spacing w:before="0" w:line="276" w:lineRule="auto"/>
        <w:ind w:right="-153"/>
        <w:rPr>
          <w:rFonts w:cs="Times New Roman"/>
        </w:rPr>
      </w:pPr>
      <w:bookmarkStart w:id="385" w:name="_Toc83391392"/>
      <w:r w:rsidRPr="00610B1B">
        <w:rPr>
          <w:rFonts w:cs="Times New Roman"/>
        </w:rPr>
        <w:t>3.6.1. Обща характеристика на морската икономика</w:t>
      </w:r>
      <w:bookmarkEnd w:id="385"/>
      <w:r w:rsidR="00D66FE0" w:rsidRPr="00610B1B">
        <w:rPr>
          <w:rFonts w:cs="Times New Roman"/>
        </w:rPr>
        <w:t xml:space="preserve"> </w:t>
      </w:r>
    </w:p>
    <w:p w14:paraId="79F3CB08" w14:textId="7777777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Морската или „синята” икономика включва широк комплекс от дейности, свързани с морето. Включените в синята икономика дейности се разделят на:</w:t>
      </w:r>
      <w:r w:rsidRPr="00610B1B">
        <w:rPr>
          <w:rStyle w:val="FootnoteReference"/>
          <w:rFonts w:ascii="Times New Roman" w:hAnsi="Times New Roman" w:cs="Times New Roman"/>
          <w:sz w:val="24"/>
          <w:szCs w:val="24"/>
          <w:lang w:val="bg-BG"/>
        </w:rPr>
        <w:footnoteReference w:id="129"/>
      </w:r>
    </w:p>
    <w:p w14:paraId="3DDF2A0E" w14:textId="77777777" w:rsidR="00857F73" w:rsidRPr="00610B1B" w:rsidRDefault="00527038" w:rsidP="00B46189">
      <w:pPr>
        <w:pStyle w:val="ListParagraph"/>
        <w:numPr>
          <w:ilvl w:val="0"/>
          <w:numId w:val="38"/>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i/>
          <w:sz w:val="24"/>
          <w:szCs w:val="24"/>
          <w:lang w:val="bg-BG"/>
        </w:rPr>
        <w:t>Морско базирани дейности</w:t>
      </w:r>
      <w:r w:rsidRPr="00610B1B">
        <w:rPr>
          <w:rFonts w:ascii="Times New Roman" w:hAnsi="Times New Roman" w:cs="Times New Roman"/>
          <w:sz w:val="24"/>
          <w:szCs w:val="24"/>
          <w:lang w:val="bg-BG"/>
        </w:rPr>
        <w:t xml:space="preserve">, включително тези, предприети в океанските, морските и крайбрежните райони, като риболов и аквакултура, морски нефт и газ, офшорна </w:t>
      </w:r>
      <w:r w:rsidRPr="00610B1B">
        <w:rPr>
          <w:rFonts w:ascii="Times New Roman" w:hAnsi="Times New Roman" w:cs="Times New Roman"/>
          <w:sz w:val="24"/>
          <w:szCs w:val="24"/>
          <w:lang w:val="bg-BG"/>
        </w:rPr>
        <w:lastRenderedPageBreak/>
        <w:t>вятърна енергия, океанска енергия, обезсоляване, корабоплаване и морски транспорт и морски и крайбрежен туризъм.</w:t>
      </w:r>
    </w:p>
    <w:p w14:paraId="3C2378C8" w14:textId="376EF10D" w:rsidR="00527038" w:rsidRPr="00610B1B" w:rsidRDefault="00527038" w:rsidP="00B46189">
      <w:pPr>
        <w:pStyle w:val="ListParagraph"/>
        <w:numPr>
          <w:ilvl w:val="0"/>
          <w:numId w:val="38"/>
        </w:numPr>
        <w:spacing w:after="120"/>
        <w:ind w:right="-153"/>
        <w:contextualSpacing w:val="0"/>
        <w:jc w:val="both"/>
        <w:rPr>
          <w:rFonts w:ascii="Times New Roman" w:hAnsi="Times New Roman" w:cs="Times New Roman"/>
          <w:sz w:val="24"/>
          <w:szCs w:val="24"/>
          <w:lang w:val="bg-BG"/>
        </w:rPr>
      </w:pPr>
      <w:r w:rsidRPr="00610B1B">
        <w:rPr>
          <w:rFonts w:ascii="Times New Roman" w:hAnsi="Times New Roman" w:cs="Times New Roman"/>
          <w:i/>
          <w:sz w:val="24"/>
          <w:szCs w:val="24"/>
          <w:lang w:val="bg-BG"/>
        </w:rPr>
        <w:t>Морски дейности, които използват продукти и/или произвеждат продукти и услуги от океански и морски дейности</w:t>
      </w:r>
      <w:r w:rsidRPr="00610B1B">
        <w:rPr>
          <w:rFonts w:ascii="Times New Roman" w:hAnsi="Times New Roman" w:cs="Times New Roman"/>
          <w:sz w:val="24"/>
          <w:szCs w:val="24"/>
          <w:lang w:val="bg-BG"/>
        </w:rPr>
        <w:t>, например преработка на морски дарове, морска биотехнология, корабостроене и кораборемонт, пристанищни дейности, оборудване.</w:t>
      </w:r>
    </w:p>
    <w:p w14:paraId="30255FF2" w14:textId="1E2EE328" w:rsidR="00D703D4" w:rsidRPr="00610B1B" w:rsidRDefault="00527038" w:rsidP="00342BD5">
      <w:pPr>
        <w:spacing w:after="8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Морският бизнес в България през 2017 г. създава заетост на 73 хил. души и реализира брутна добавена стойност (БДС) за 732 млн. евро. В посочените цифри не са включени всички повлияни като развитие икономически дейности, тъй като е отчетен прекият ефект на посочените морски сектори върху БВП, и не се отчита косвеният и индуциран ефект, както и цялостното въздействие върху икономиката, демографията и живота на крайбрежните райони.</w:t>
      </w:r>
      <w:r w:rsidR="00D66FE0" w:rsidRPr="00610B1B">
        <w:rPr>
          <w:rFonts w:ascii="Times New Roman" w:hAnsi="Times New Roman" w:cs="Times New Roman"/>
          <w:sz w:val="24"/>
          <w:szCs w:val="24"/>
          <w:lang w:val="bg-BG"/>
        </w:rPr>
        <w:t xml:space="preserve"> </w:t>
      </w:r>
    </w:p>
    <w:p w14:paraId="4567EF01" w14:textId="26807AA9" w:rsidR="00527038" w:rsidRPr="00610B1B" w:rsidRDefault="00543303" w:rsidP="00342BD5">
      <w:pPr>
        <w:spacing w:after="60"/>
        <w:ind w:right="-153"/>
        <w:rPr>
          <w:rFonts w:ascii="Times New Roman" w:eastAsia="Calibri" w:hAnsi="Times New Roman" w:cs="Times New Roman"/>
          <w:bCs/>
          <w:sz w:val="24"/>
          <w:szCs w:val="24"/>
          <w:lang w:val="bg-BG"/>
        </w:rPr>
      </w:pPr>
      <w:bookmarkStart w:id="386" w:name="_Toc83391606"/>
      <w:r w:rsidRPr="00610B1B">
        <w:rPr>
          <w:rFonts w:ascii="Times New Roman" w:eastAsia="Calibri" w:hAnsi="Times New Roman" w:cs="Times New Roman"/>
          <w:bCs/>
          <w:sz w:val="24"/>
          <w:szCs w:val="24"/>
          <w:lang w:val="bg-BG"/>
        </w:rPr>
        <w:t xml:space="preserve">Таблица </w:t>
      </w:r>
      <w:r w:rsidRPr="00610B1B">
        <w:rPr>
          <w:rFonts w:ascii="Times New Roman" w:eastAsia="Calibri" w:hAnsi="Times New Roman" w:cs="Times New Roman"/>
          <w:bCs/>
          <w:sz w:val="24"/>
          <w:szCs w:val="24"/>
          <w:lang w:val="bg-BG"/>
        </w:rPr>
        <w:fldChar w:fldCharType="begin"/>
      </w:r>
      <w:r w:rsidRPr="00610B1B">
        <w:rPr>
          <w:rFonts w:ascii="Times New Roman" w:eastAsia="Calibri" w:hAnsi="Times New Roman" w:cs="Times New Roman"/>
          <w:bCs/>
          <w:sz w:val="24"/>
          <w:szCs w:val="24"/>
          <w:lang w:val="bg-BG"/>
        </w:rPr>
        <w:instrText xml:space="preserve"> SEQ Таблица \* ARABIC </w:instrText>
      </w:r>
      <w:r w:rsidRPr="00610B1B">
        <w:rPr>
          <w:rFonts w:ascii="Times New Roman" w:eastAsia="Calibri" w:hAnsi="Times New Roman" w:cs="Times New Roman"/>
          <w:bCs/>
          <w:sz w:val="24"/>
          <w:szCs w:val="24"/>
          <w:lang w:val="bg-BG"/>
        </w:rPr>
        <w:fldChar w:fldCharType="separate"/>
      </w:r>
      <w:r w:rsidR="00260629" w:rsidRPr="00610B1B">
        <w:rPr>
          <w:rFonts w:ascii="Times New Roman" w:eastAsia="Calibri" w:hAnsi="Times New Roman" w:cs="Times New Roman"/>
          <w:bCs/>
          <w:noProof/>
          <w:sz w:val="24"/>
          <w:szCs w:val="24"/>
          <w:lang w:val="bg-BG"/>
        </w:rPr>
        <w:t>10</w:t>
      </w:r>
      <w:r w:rsidRPr="00610B1B">
        <w:rPr>
          <w:rFonts w:ascii="Times New Roman" w:eastAsia="Calibri" w:hAnsi="Times New Roman" w:cs="Times New Roman"/>
          <w:bCs/>
          <w:sz w:val="24"/>
          <w:szCs w:val="24"/>
          <w:lang w:val="bg-BG"/>
        </w:rPr>
        <w:fldChar w:fldCharType="end"/>
      </w:r>
      <w:r w:rsidRPr="00610B1B">
        <w:rPr>
          <w:rFonts w:ascii="Times New Roman" w:eastAsia="Calibri" w:hAnsi="Times New Roman" w:cs="Times New Roman"/>
          <w:bCs/>
          <w:sz w:val="24"/>
          <w:szCs w:val="24"/>
          <w:lang w:val="bg-BG"/>
        </w:rPr>
        <w:t>:</w:t>
      </w:r>
      <w:r w:rsidR="00D66FE0" w:rsidRPr="00610B1B">
        <w:rPr>
          <w:rFonts w:ascii="Times New Roman" w:eastAsia="Calibri" w:hAnsi="Times New Roman" w:cs="Times New Roman"/>
          <w:bCs/>
          <w:sz w:val="24"/>
          <w:szCs w:val="24"/>
          <w:lang w:val="bg-BG"/>
        </w:rPr>
        <w:t xml:space="preserve"> </w:t>
      </w:r>
      <w:r w:rsidR="00527038" w:rsidRPr="00610B1B">
        <w:rPr>
          <w:rFonts w:ascii="Times New Roman" w:eastAsia="Calibri" w:hAnsi="Times New Roman" w:cs="Times New Roman"/>
          <w:bCs/>
          <w:sz w:val="24"/>
          <w:szCs w:val="24"/>
          <w:lang w:val="bg-BG"/>
        </w:rPr>
        <w:t>Индикатори за синята икономика на ЕС и България за 2017 г.</w:t>
      </w:r>
      <w:bookmarkEnd w:id="386"/>
    </w:p>
    <w:tbl>
      <w:tblPr>
        <w:tblW w:w="0" w:type="auto"/>
        <w:tblBorders>
          <w:top w:val="single" w:sz="4" w:space="0" w:color="auto"/>
          <w:bottom w:val="single" w:sz="4" w:space="0" w:color="auto"/>
          <w:insideH w:val="single" w:sz="4" w:space="0" w:color="auto"/>
        </w:tblBorders>
        <w:tblLayout w:type="fixed"/>
        <w:tblLook w:val="01E0" w:firstRow="1" w:lastRow="1" w:firstColumn="1" w:lastColumn="1" w:noHBand="0" w:noVBand="0"/>
      </w:tblPr>
      <w:tblGrid>
        <w:gridCol w:w="3683"/>
        <w:gridCol w:w="2129"/>
        <w:gridCol w:w="1890"/>
      </w:tblGrid>
      <w:tr w:rsidR="00527038" w:rsidRPr="00610B1B" w14:paraId="506AB051" w14:textId="77777777" w:rsidTr="00AD3365">
        <w:trPr>
          <w:cantSplit/>
          <w:tblHeader/>
        </w:trPr>
        <w:tc>
          <w:tcPr>
            <w:tcW w:w="3683" w:type="dxa"/>
            <w:shd w:val="clear" w:color="auto" w:fill="C6D9F1" w:themeFill="text2" w:themeFillTint="33"/>
            <w:vAlign w:val="center"/>
          </w:tcPr>
          <w:p w14:paraId="3F48E0C4" w14:textId="77777777" w:rsidR="00527038" w:rsidRPr="00610B1B" w:rsidRDefault="00527038" w:rsidP="00AD3365">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Индикатори</w:t>
            </w:r>
          </w:p>
        </w:tc>
        <w:tc>
          <w:tcPr>
            <w:tcW w:w="2129" w:type="dxa"/>
            <w:shd w:val="clear" w:color="auto" w:fill="C6D9F1" w:themeFill="text2" w:themeFillTint="33"/>
            <w:vAlign w:val="center"/>
          </w:tcPr>
          <w:p w14:paraId="69E38C27" w14:textId="1BCB48B1" w:rsidR="00527038" w:rsidRPr="00610B1B" w:rsidRDefault="00527038" w:rsidP="00AD3365">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Европейски Съюз</w:t>
            </w:r>
          </w:p>
        </w:tc>
        <w:tc>
          <w:tcPr>
            <w:tcW w:w="1890" w:type="dxa"/>
            <w:shd w:val="clear" w:color="auto" w:fill="C6D9F1" w:themeFill="text2" w:themeFillTint="33"/>
            <w:vAlign w:val="center"/>
          </w:tcPr>
          <w:p w14:paraId="5984A2E9" w14:textId="77777777" w:rsidR="00527038" w:rsidRPr="00610B1B" w:rsidRDefault="00527038" w:rsidP="00AD3365">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България</w:t>
            </w:r>
          </w:p>
        </w:tc>
      </w:tr>
      <w:tr w:rsidR="00527038" w:rsidRPr="00610B1B" w14:paraId="042BCFC2" w14:textId="77777777" w:rsidTr="00AD3365">
        <w:trPr>
          <w:cantSplit/>
        </w:trPr>
        <w:tc>
          <w:tcPr>
            <w:tcW w:w="3683" w:type="dxa"/>
            <w:shd w:val="clear" w:color="auto" w:fill="auto"/>
          </w:tcPr>
          <w:p w14:paraId="27FAEDF1" w14:textId="77777777" w:rsidR="00527038" w:rsidRPr="00610B1B" w:rsidRDefault="00527038" w:rsidP="00AD3365">
            <w:pPr>
              <w:spacing w:before="20" w:after="20" w:line="240" w:lineRule="auto"/>
              <w:jc w:val="both"/>
              <w:rPr>
                <w:rFonts w:ascii="Times New Roman" w:hAnsi="Times New Roman" w:cs="Times New Roman"/>
                <w:b/>
                <w:bCs/>
                <w:lang w:val="bg-BG"/>
              </w:rPr>
            </w:pPr>
            <w:r w:rsidRPr="00610B1B">
              <w:rPr>
                <w:rFonts w:ascii="Times New Roman" w:hAnsi="Times New Roman" w:cs="Times New Roman"/>
                <w:b/>
                <w:bCs/>
                <w:lang w:val="bg-BG"/>
              </w:rPr>
              <w:t xml:space="preserve">Оборот </w:t>
            </w:r>
          </w:p>
        </w:tc>
        <w:tc>
          <w:tcPr>
            <w:tcW w:w="2129" w:type="dxa"/>
            <w:shd w:val="clear" w:color="auto" w:fill="auto"/>
          </w:tcPr>
          <w:p w14:paraId="6086FA36" w14:textId="77777777" w:rsidR="00527038" w:rsidRPr="00610B1B" w:rsidRDefault="00527038" w:rsidP="00AD3365">
            <w:pPr>
              <w:spacing w:before="20" w:after="20" w:line="240" w:lineRule="auto"/>
              <w:jc w:val="both"/>
              <w:rPr>
                <w:rFonts w:ascii="Times New Roman" w:hAnsi="Times New Roman" w:cs="Times New Roman"/>
                <w:b/>
                <w:bCs/>
                <w:lang w:val="bg-BG"/>
              </w:rPr>
            </w:pPr>
            <w:r w:rsidRPr="00610B1B">
              <w:rPr>
                <w:rFonts w:ascii="Times New Roman" w:hAnsi="Times New Roman" w:cs="Times New Roman"/>
                <w:b/>
                <w:bCs/>
                <w:lang w:val="bg-BG"/>
              </w:rPr>
              <w:t>658 млрд. евро</w:t>
            </w:r>
          </w:p>
        </w:tc>
        <w:tc>
          <w:tcPr>
            <w:tcW w:w="1890" w:type="dxa"/>
            <w:shd w:val="clear" w:color="auto" w:fill="auto"/>
          </w:tcPr>
          <w:p w14:paraId="3539C448" w14:textId="77777777" w:rsidR="00527038" w:rsidRPr="00610B1B" w:rsidRDefault="00527038" w:rsidP="00AD3365">
            <w:pPr>
              <w:spacing w:before="20" w:after="20" w:line="240" w:lineRule="auto"/>
              <w:jc w:val="both"/>
              <w:rPr>
                <w:rFonts w:ascii="Times New Roman" w:hAnsi="Times New Roman" w:cs="Times New Roman"/>
                <w:b/>
                <w:bCs/>
                <w:lang w:val="bg-BG"/>
              </w:rPr>
            </w:pPr>
            <w:r w:rsidRPr="00610B1B">
              <w:rPr>
                <w:rFonts w:ascii="Times New Roman" w:hAnsi="Times New Roman" w:cs="Times New Roman"/>
                <w:b/>
                <w:bCs/>
                <w:lang w:val="bg-BG"/>
              </w:rPr>
              <w:t>732 млн. евро</w:t>
            </w:r>
          </w:p>
        </w:tc>
      </w:tr>
      <w:tr w:rsidR="00527038" w:rsidRPr="00610B1B" w14:paraId="3A4AB44B" w14:textId="77777777" w:rsidTr="00AD3365">
        <w:trPr>
          <w:cantSplit/>
        </w:trPr>
        <w:tc>
          <w:tcPr>
            <w:tcW w:w="3683" w:type="dxa"/>
            <w:shd w:val="clear" w:color="auto" w:fill="FFFFFF"/>
          </w:tcPr>
          <w:p w14:paraId="1FCDF189" w14:textId="77777777" w:rsidR="00527038" w:rsidRPr="00610B1B" w:rsidRDefault="00527038" w:rsidP="00AD3365">
            <w:pPr>
              <w:spacing w:before="20" w:after="20" w:line="240" w:lineRule="auto"/>
              <w:jc w:val="both"/>
              <w:rPr>
                <w:rFonts w:ascii="Times New Roman" w:hAnsi="Times New Roman" w:cs="Times New Roman"/>
                <w:lang w:val="bg-BG"/>
              </w:rPr>
            </w:pPr>
            <w:r w:rsidRPr="00610B1B">
              <w:rPr>
                <w:rFonts w:ascii="Times New Roman" w:hAnsi="Times New Roman" w:cs="Times New Roman"/>
                <w:lang w:val="bg-BG"/>
              </w:rPr>
              <w:t xml:space="preserve">Брутна добавена стойност </w:t>
            </w:r>
          </w:p>
        </w:tc>
        <w:tc>
          <w:tcPr>
            <w:tcW w:w="2129" w:type="dxa"/>
            <w:shd w:val="clear" w:color="auto" w:fill="FFFFFF"/>
          </w:tcPr>
          <w:p w14:paraId="3AB7E71E" w14:textId="77777777" w:rsidR="00527038" w:rsidRPr="00610B1B" w:rsidRDefault="00527038" w:rsidP="00AD3365">
            <w:pPr>
              <w:spacing w:before="20" w:after="20" w:line="240" w:lineRule="auto"/>
              <w:jc w:val="both"/>
              <w:rPr>
                <w:rFonts w:ascii="Times New Roman" w:hAnsi="Times New Roman" w:cs="Times New Roman"/>
                <w:lang w:val="bg-BG"/>
              </w:rPr>
            </w:pPr>
            <w:r w:rsidRPr="00610B1B">
              <w:rPr>
                <w:rFonts w:ascii="Times New Roman" w:hAnsi="Times New Roman" w:cs="Times New Roman"/>
                <w:lang w:val="bg-BG"/>
              </w:rPr>
              <w:t>180 млрд. евро</w:t>
            </w:r>
          </w:p>
        </w:tc>
        <w:tc>
          <w:tcPr>
            <w:tcW w:w="1890" w:type="dxa"/>
            <w:shd w:val="clear" w:color="auto" w:fill="FFFFFF"/>
          </w:tcPr>
          <w:p w14:paraId="3C2A3547" w14:textId="77777777" w:rsidR="00527038" w:rsidRPr="00610B1B" w:rsidRDefault="00527038" w:rsidP="00AD3365">
            <w:pPr>
              <w:spacing w:before="20" w:after="20" w:line="240" w:lineRule="auto"/>
              <w:jc w:val="both"/>
              <w:rPr>
                <w:rFonts w:ascii="Times New Roman" w:hAnsi="Times New Roman" w:cs="Times New Roman"/>
                <w:lang w:val="bg-BG"/>
              </w:rPr>
            </w:pPr>
            <w:r w:rsidRPr="00610B1B">
              <w:rPr>
                <w:rFonts w:ascii="Times New Roman" w:hAnsi="Times New Roman" w:cs="Times New Roman"/>
                <w:lang w:val="bg-BG"/>
              </w:rPr>
              <w:t>2,954 млн. евро</w:t>
            </w:r>
          </w:p>
        </w:tc>
      </w:tr>
      <w:tr w:rsidR="00527038" w:rsidRPr="00610B1B" w14:paraId="0C99060A" w14:textId="77777777" w:rsidTr="00AD3365">
        <w:trPr>
          <w:cantSplit/>
        </w:trPr>
        <w:tc>
          <w:tcPr>
            <w:tcW w:w="3683" w:type="dxa"/>
            <w:shd w:val="clear" w:color="auto" w:fill="FFFFFF"/>
          </w:tcPr>
          <w:p w14:paraId="5EF3705E" w14:textId="77777777" w:rsidR="00527038" w:rsidRPr="00610B1B" w:rsidRDefault="00527038" w:rsidP="00AD3365">
            <w:pPr>
              <w:spacing w:before="20" w:after="20" w:line="240" w:lineRule="auto"/>
              <w:jc w:val="both"/>
              <w:rPr>
                <w:rFonts w:ascii="Times New Roman" w:hAnsi="Times New Roman" w:cs="Times New Roman"/>
                <w:lang w:val="bg-BG"/>
              </w:rPr>
            </w:pPr>
            <w:r w:rsidRPr="00610B1B">
              <w:rPr>
                <w:rFonts w:ascii="Times New Roman" w:hAnsi="Times New Roman" w:cs="Times New Roman"/>
                <w:lang w:val="bg-BG"/>
              </w:rPr>
              <w:t xml:space="preserve">Заетост </w:t>
            </w:r>
          </w:p>
        </w:tc>
        <w:tc>
          <w:tcPr>
            <w:tcW w:w="2129" w:type="dxa"/>
            <w:shd w:val="clear" w:color="auto" w:fill="FFFFFF"/>
          </w:tcPr>
          <w:p w14:paraId="3C2ABF28" w14:textId="77777777" w:rsidR="00527038" w:rsidRPr="00610B1B" w:rsidRDefault="00527038" w:rsidP="00AD3365">
            <w:pPr>
              <w:spacing w:before="20" w:after="20" w:line="240" w:lineRule="auto"/>
              <w:jc w:val="both"/>
              <w:rPr>
                <w:rFonts w:ascii="Times New Roman" w:hAnsi="Times New Roman" w:cs="Times New Roman"/>
                <w:lang w:val="bg-BG"/>
              </w:rPr>
            </w:pPr>
            <w:r w:rsidRPr="00610B1B">
              <w:rPr>
                <w:rFonts w:ascii="Times New Roman" w:hAnsi="Times New Roman" w:cs="Times New Roman"/>
                <w:lang w:val="bg-BG"/>
              </w:rPr>
              <w:t>4 милиона души</w:t>
            </w:r>
          </w:p>
        </w:tc>
        <w:tc>
          <w:tcPr>
            <w:tcW w:w="1890" w:type="dxa"/>
            <w:shd w:val="clear" w:color="auto" w:fill="FFFFFF"/>
          </w:tcPr>
          <w:p w14:paraId="4EF448C8" w14:textId="77777777" w:rsidR="00527038" w:rsidRPr="00610B1B" w:rsidRDefault="00527038" w:rsidP="00AD3365">
            <w:pPr>
              <w:spacing w:before="20" w:after="20" w:line="240" w:lineRule="auto"/>
              <w:jc w:val="both"/>
              <w:rPr>
                <w:rFonts w:ascii="Times New Roman" w:hAnsi="Times New Roman" w:cs="Times New Roman"/>
                <w:lang w:val="bg-BG"/>
              </w:rPr>
            </w:pPr>
            <w:r w:rsidRPr="00610B1B">
              <w:rPr>
                <w:rFonts w:ascii="Times New Roman" w:hAnsi="Times New Roman" w:cs="Times New Roman"/>
                <w:lang w:val="bg-BG"/>
              </w:rPr>
              <w:t>73 хиляди души</w:t>
            </w:r>
          </w:p>
        </w:tc>
      </w:tr>
    </w:tbl>
    <w:p w14:paraId="658957E4" w14:textId="77777777" w:rsidR="00527038" w:rsidRPr="00610B1B" w:rsidRDefault="00527038" w:rsidP="00342BD5">
      <w:pPr>
        <w:spacing w:before="60" w:after="120"/>
        <w:ind w:right="-153"/>
        <w:jc w:val="both"/>
        <w:rPr>
          <w:rFonts w:ascii="Times New Roman" w:hAnsi="Times New Roman" w:cs="Times New Roman"/>
          <w:iCs/>
          <w:lang w:val="bg-BG"/>
        </w:rPr>
      </w:pPr>
      <w:r w:rsidRPr="00610B1B">
        <w:rPr>
          <w:rFonts w:ascii="Times New Roman" w:hAnsi="Times New Roman" w:cs="Times New Roman"/>
          <w:iCs/>
          <w:lang w:val="bg-BG"/>
        </w:rPr>
        <w:t>Източник: Доклад „Синята икономика на ЕС” 2019 г. (The EU Blue Economy Report, 2019)</w:t>
      </w:r>
    </w:p>
    <w:p w14:paraId="7F72974E" w14:textId="6166EB52"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 периода 2009-2017 г. заетите лица в синята икономика на България са намалели с 5%, оборотът е нараснал с 18%, брутната добавена стойност (БДС) в номинално изражение е увеличена с 32%, производителността (БДС на зает в еквивалент на пълно работно време FTE) с 49%, разходите за заплата с 39%. Брутната добавена стойност показва увеличаване на растежа във всички сектори на синята икономика в България, с изключение на пристанищните дейности и морския транспорт след 2011 г. </w:t>
      </w:r>
    </w:p>
    <w:p w14:paraId="445E9237" w14:textId="66C7BAFE" w:rsidR="009907CE" w:rsidRPr="00610B1B" w:rsidRDefault="009907CE" w:rsidP="00D32D6A">
      <w:pPr>
        <w:spacing w:after="120"/>
        <w:ind w:right="-153"/>
        <w:jc w:val="both"/>
        <w:rPr>
          <w:rFonts w:ascii="Times New Roman" w:hAnsi="Times New Roman" w:cs="Times New Roman"/>
          <w:sz w:val="24"/>
          <w:szCs w:val="24"/>
          <w:lang w:val="bg-BG"/>
        </w:rPr>
      </w:pPr>
    </w:p>
    <w:p w14:paraId="175D97D7" w14:textId="402A3B44" w:rsidR="009907CE" w:rsidRPr="00610B1B" w:rsidRDefault="009907CE" w:rsidP="00D32D6A">
      <w:pPr>
        <w:spacing w:after="120"/>
        <w:ind w:right="-153"/>
        <w:jc w:val="both"/>
        <w:rPr>
          <w:rFonts w:ascii="Times New Roman" w:hAnsi="Times New Roman" w:cs="Times New Roman"/>
          <w:sz w:val="24"/>
          <w:szCs w:val="24"/>
          <w:lang w:val="bg-BG"/>
        </w:rPr>
      </w:pPr>
    </w:p>
    <w:p w14:paraId="2F3073C6" w14:textId="54B113B3" w:rsidR="009907CE" w:rsidRPr="00610B1B" w:rsidRDefault="009907CE" w:rsidP="00D32D6A">
      <w:pPr>
        <w:spacing w:after="120"/>
        <w:ind w:right="-153"/>
        <w:jc w:val="both"/>
        <w:rPr>
          <w:rFonts w:ascii="Times New Roman" w:hAnsi="Times New Roman" w:cs="Times New Roman"/>
          <w:sz w:val="24"/>
          <w:szCs w:val="24"/>
          <w:lang w:val="bg-BG"/>
        </w:rPr>
      </w:pPr>
    </w:p>
    <w:p w14:paraId="284DAEC4" w14:textId="233507BB" w:rsidR="009907CE" w:rsidRPr="00610B1B" w:rsidRDefault="009907CE" w:rsidP="00D32D6A">
      <w:pPr>
        <w:spacing w:after="120"/>
        <w:ind w:right="-153"/>
        <w:jc w:val="both"/>
        <w:rPr>
          <w:rFonts w:ascii="Times New Roman" w:hAnsi="Times New Roman" w:cs="Times New Roman"/>
          <w:sz w:val="24"/>
          <w:szCs w:val="24"/>
          <w:lang w:val="bg-BG"/>
        </w:rPr>
      </w:pPr>
    </w:p>
    <w:p w14:paraId="44765E69" w14:textId="58EA5002" w:rsidR="009907CE" w:rsidRPr="00610B1B" w:rsidRDefault="009907CE" w:rsidP="00D32D6A">
      <w:pPr>
        <w:spacing w:after="120"/>
        <w:ind w:right="-153"/>
        <w:jc w:val="both"/>
        <w:rPr>
          <w:rFonts w:ascii="Times New Roman" w:hAnsi="Times New Roman" w:cs="Times New Roman"/>
          <w:sz w:val="24"/>
          <w:szCs w:val="24"/>
          <w:lang w:val="bg-BG"/>
        </w:rPr>
      </w:pPr>
    </w:p>
    <w:p w14:paraId="300C548A" w14:textId="77777777" w:rsidR="009907CE" w:rsidRPr="00610B1B" w:rsidRDefault="009907CE" w:rsidP="00D32D6A">
      <w:pPr>
        <w:spacing w:after="120"/>
        <w:ind w:right="-153"/>
        <w:jc w:val="both"/>
        <w:rPr>
          <w:rFonts w:ascii="Times New Roman" w:hAnsi="Times New Roman" w:cs="Times New Roman"/>
          <w:lang w:val="bg-BG"/>
        </w:rPr>
      </w:pPr>
    </w:p>
    <w:tbl>
      <w:tblPr>
        <w:tblStyle w:val="TableGrid"/>
        <w:tblW w:w="935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4677"/>
      </w:tblGrid>
      <w:tr w:rsidR="002F6792" w:rsidRPr="00C717D0" w14:paraId="41D0021B" w14:textId="77777777" w:rsidTr="001757A5">
        <w:tc>
          <w:tcPr>
            <w:tcW w:w="4679" w:type="dxa"/>
          </w:tcPr>
          <w:p w14:paraId="69151577" w14:textId="0E6417AA" w:rsidR="002F6792" w:rsidRPr="00610B1B" w:rsidRDefault="00B62269" w:rsidP="00D32D6A">
            <w:pPr>
              <w:jc w:val="both"/>
              <w:rPr>
                <w:rFonts w:ascii="Times New Roman" w:hAnsi="Times New Roman" w:cs="Times New Roman"/>
                <w:sz w:val="24"/>
                <w:szCs w:val="24"/>
                <w:lang w:val="bg-BG"/>
              </w:rPr>
            </w:pPr>
            <w:bookmarkStart w:id="387" w:name="_Toc83391491"/>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28</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2F6792" w:rsidRPr="00610B1B">
              <w:rPr>
                <w:rFonts w:ascii="Times New Roman" w:hAnsi="Times New Roman" w:cs="Times New Roman"/>
                <w:sz w:val="24"/>
                <w:szCs w:val="24"/>
                <w:lang w:val="bg-BG"/>
              </w:rPr>
              <w:t>Заети лица в секторите на синята икономика в България, брой, 2017 г.</w:t>
            </w:r>
            <w:bookmarkEnd w:id="387"/>
          </w:p>
        </w:tc>
        <w:tc>
          <w:tcPr>
            <w:tcW w:w="4677" w:type="dxa"/>
          </w:tcPr>
          <w:p w14:paraId="68E55A8F" w14:textId="22BDF3DB" w:rsidR="002F6792" w:rsidRPr="00610B1B" w:rsidRDefault="00B62269" w:rsidP="00D32D6A">
            <w:pPr>
              <w:jc w:val="both"/>
              <w:rPr>
                <w:rFonts w:ascii="Times New Roman" w:hAnsi="Times New Roman" w:cs="Times New Roman"/>
                <w:sz w:val="24"/>
                <w:szCs w:val="24"/>
                <w:lang w:val="bg-BG"/>
              </w:rPr>
            </w:pPr>
            <w:bookmarkStart w:id="388" w:name="_Toc83391492"/>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29</w:t>
            </w:r>
            <w:r w:rsidRPr="00610B1B">
              <w:rPr>
                <w:rFonts w:ascii="Times New Roman" w:hAnsi="Times New Roman" w:cs="Times New Roman"/>
                <w:sz w:val="24"/>
                <w:szCs w:val="24"/>
                <w:lang w:val="bg-BG"/>
              </w:rPr>
              <w:fldChar w:fldCharType="end"/>
            </w:r>
            <w:r w:rsidR="002F6792" w:rsidRPr="00610B1B">
              <w:rPr>
                <w:rFonts w:ascii="Times New Roman" w:hAnsi="Times New Roman" w:cs="Times New Roman"/>
                <w:sz w:val="24"/>
                <w:szCs w:val="24"/>
                <w:lang w:val="bg-BG"/>
              </w:rPr>
              <w:t>: БДС на секторите на синята икономика в България, млн.евро, 2017 г.</w:t>
            </w:r>
            <w:bookmarkEnd w:id="388"/>
          </w:p>
        </w:tc>
      </w:tr>
      <w:tr w:rsidR="002F6792" w:rsidRPr="00610B1B" w14:paraId="61F7B30D" w14:textId="77777777" w:rsidTr="001757A5">
        <w:tc>
          <w:tcPr>
            <w:tcW w:w="4679" w:type="dxa"/>
          </w:tcPr>
          <w:p w14:paraId="63ED9DB3" w14:textId="13182045" w:rsidR="002F6792" w:rsidRPr="00610B1B" w:rsidRDefault="002F6792" w:rsidP="001757A5">
            <w:pPr>
              <w:jc w:val="center"/>
              <w:rPr>
                <w:rFonts w:ascii="Times New Roman" w:hAnsi="Times New Roman" w:cs="Times New Roman"/>
                <w:sz w:val="24"/>
                <w:szCs w:val="24"/>
                <w:lang w:val="bg-BG"/>
              </w:rPr>
            </w:pPr>
            <w:r w:rsidRPr="00610B1B">
              <w:rPr>
                <w:rFonts w:ascii="Times New Roman" w:hAnsi="Times New Roman" w:cs="Times New Roman"/>
                <w:noProof/>
                <w:lang w:val="bg-BG" w:eastAsia="bg-BG"/>
              </w:rPr>
              <w:lastRenderedPageBreak/>
              <w:drawing>
                <wp:inline distT="0" distB="0" distL="0" distR="0" wp14:anchorId="1F9AAA8B" wp14:editId="2ECB7746">
                  <wp:extent cx="2596347" cy="22514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5">
                            <a:extLst>
                              <a:ext uri="{28A0092B-C50C-407E-A947-70E740481C1C}">
                                <a14:useLocalDpi xmlns:a14="http://schemas.microsoft.com/office/drawing/2010/main" val="0"/>
                              </a:ext>
                            </a:extLst>
                          </a:blip>
                          <a:srcRect l="2806" t="2904" r="3388" b="2385"/>
                          <a:stretch/>
                        </pic:blipFill>
                        <pic:spPr bwMode="auto">
                          <a:xfrm>
                            <a:off x="0" y="0"/>
                            <a:ext cx="2620792" cy="22726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tcPr>
          <w:p w14:paraId="2DC7B857" w14:textId="34C10FCF" w:rsidR="002F6792" w:rsidRPr="00610B1B" w:rsidRDefault="002F6792" w:rsidP="001757A5">
            <w:pPr>
              <w:jc w:val="center"/>
              <w:rPr>
                <w:rFonts w:ascii="Times New Roman" w:hAnsi="Times New Roman" w:cs="Times New Roman"/>
                <w:sz w:val="24"/>
                <w:szCs w:val="24"/>
                <w:lang w:val="bg-BG"/>
              </w:rPr>
            </w:pPr>
            <w:r w:rsidRPr="00610B1B">
              <w:rPr>
                <w:rFonts w:ascii="Times New Roman" w:hAnsi="Times New Roman" w:cs="Times New Roman"/>
                <w:noProof/>
                <w:lang w:val="bg-BG" w:eastAsia="bg-BG"/>
              </w:rPr>
              <w:drawing>
                <wp:inline distT="0" distB="0" distL="0" distR="0" wp14:anchorId="6D884DD7" wp14:editId="258733B1">
                  <wp:extent cx="2674189" cy="2207883"/>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6">
                            <a:extLst>
                              <a:ext uri="{28A0092B-C50C-407E-A947-70E740481C1C}">
                                <a14:useLocalDpi xmlns:a14="http://schemas.microsoft.com/office/drawing/2010/main" val="0"/>
                              </a:ext>
                            </a:extLst>
                          </a:blip>
                          <a:srcRect l="2742" t="4355" r="2750" b="2748"/>
                          <a:stretch/>
                        </pic:blipFill>
                        <pic:spPr bwMode="auto">
                          <a:xfrm>
                            <a:off x="0" y="0"/>
                            <a:ext cx="2690459" cy="22213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F6792" w:rsidRPr="00610B1B" w14:paraId="3007DE31" w14:textId="77777777" w:rsidTr="001757A5">
        <w:tc>
          <w:tcPr>
            <w:tcW w:w="9356" w:type="dxa"/>
            <w:gridSpan w:val="2"/>
          </w:tcPr>
          <w:p w14:paraId="7BF98FA0" w14:textId="1A82520F" w:rsidR="002F6792" w:rsidRPr="00610B1B" w:rsidRDefault="002F6792" w:rsidP="00AD3365">
            <w:pPr>
              <w:spacing w:before="60"/>
              <w:jc w:val="both"/>
              <w:rPr>
                <w:rFonts w:ascii="Times New Roman" w:hAnsi="Times New Roman" w:cs="Times New Roman"/>
                <w:iCs/>
                <w:lang w:val="bg-BG"/>
              </w:rPr>
            </w:pPr>
            <w:r w:rsidRPr="00610B1B">
              <w:rPr>
                <w:rFonts w:ascii="Times New Roman" w:hAnsi="Times New Roman" w:cs="Times New Roman"/>
                <w:iCs/>
                <w:lang w:val="bg-BG"/>
              </w:rPr>
              <w:t>Източник: Изчислено по „Синята икономика на ЕС” 2019 г. „The EU Blue Economy Report, 2019”</w:t>
            </w:r>
          </w:p>
        </w:tc>
      </w:tr>
    </w:tbl>
    <w:p w14:paraId="27FC6DE4" w14:textId="77920092" w:rsidR="00BB6D9A" w:rsidRPr="00610B1B" w:rsidRDefault="00BB6D9A" w:rsidP="00FE53D2">
      <w:pPr>
        <w:spacing w:before="120"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Най-високи темпове на растеж се наблюдават в крайбрежния туризъм, който за периода 2009-2017 г. е увеличил БДС със 74.2%. Високо нарастване на БДС се отбелязва и в дейностите, свързани с добива на морски живи ресурси, където увеличението на БДС е с 60%. Дейностите, базирани на морски неживи ресурси, са с прираст на БДС от 38%. Корабостроенето и кораборемонтът се представят с нарастване от 19%. В този период пристанищните дейности отчитат спад на БДС от 43%, а морският транспорт – 6%. </w:t>
      </w:r>
      <w:r w:rsidR="00527038" w:rsidRPr="00610B1B">
        <w:rPr>
          <w:rFonts w:ascii="Times New Roman" w:hAnsi="Times New Roman" w:cs="Times New Roman"/>
          <w:sz w:val="24"/>
          <w:szCs w:val="24"/>
          <w:lang w:val="bg-BG"/>
        </w:rPr>
        <w:t>Развитието на морската икономика в крайбрежния район на страната се характеризира с определени различия в структурата и териториалната концентрация на дейностите. С най-висок брой активни предприятия се отличават общините Варна (</w:t>
      </w:r>
      <w:r w:rsidR="00527038" w:rsidRPr="00610B1B">
        <w:rPr>
          <w:rFonts w:ascii="Times New Roman" w:hAnsi="Times New Roman" w:cs="Times New Roman"/>
          <w:bCs/>
          <w:color w:val="000000"/>
          <w:sz w:val="24"/>
          <w:szCs w:val="24"/>
          <w:lang w:val="bg-BG"/>
        </w:rPr>
        <w:t>1413</w:t>
      </w:r>
      <w:r w:rsidR="00527038" w:rsidRPr="00610B1B">
        <w:rPr>
          <w:rFonts w:ascii="Times New Roman" w:hAnsi="Times New Roman" w:cs="Times New Roman"/>
          <w:sz w:val="24"/>
          <w:szCs w:val="24"/>
          <w:lang w:val="bg-BG"/>
        </w:rPr>
        <w:t>), Бургас (943) и Несебър (333) от общо 3</w:t>
      </w:r>
      <w:r w:rsidR="00857F73" w:rsidRPr="00610B1B">
        <w:rPr>
          <w:rFonts w:ascii="Times New Roman" w:hAnsi="Times New Roman" w:cs="Times New Roman"/>
          <w:sz w:val="24"/>
          <w:szCs w:val="24"/>
          <w:lang w:val="bg-BG"/>
        </w:rPr>
        <w:t> </w:t>
      </w:r>
      <w:r w:rsidR="00527038" w:rsidRPr="00610B1B">
        <w:rPr>
          <w:rFonts w:ascii="Times New Roman" w:hAnsi="Times New Roman" w:cs="Times New Roman"/>
          <w:sz w:val="24"/>
          <w:szCs w:val="24"/>
          <w:lang w:val="bg-BG"/>
        </w:rPr>
        <w:t>246 фирми в крайбрежния район, включващ 14 общини: Бургас, Несебър, Поморие, Приморско, Созопол, Царево, Аврен, Аксаково, Бяла, Варна, Долни чифлик, Балчик, Каварна, Шабла</w:t>
      </w:r>
      <w:r w:rsidR="00527038" w:rsidRPr="00610B1B">
        <w:rPr>
          <w:rStyle w:val="FootnoteReference"/>
          <w:rFonts w:ascii="Times New Roman" w:hAnsi="Times New Roman" w:cs="Times New Roman"/>
          <w:sz w:val="24"/>
          <w:szCs w:val="24"/>
          <w:lang w:val="bg-BG"/>
        </w:rPr>
        <w:footnoteReference w:id="130"/>
      </w:r>
      <w:r w:rsidR="00527038" w:rsidRPr="00610B1B">
        <w:rPr>
          <w:rFonts w:ascii="Times New Roman" w:hAnsi="Times New Roman" w:cs="Times New Roman"/>
          <w:sz w:val="24"/>
          <w:szCs w:val="24"/>
          <w:lang w:val="bg-BG"/>
        </w:rPr>
        <w:t>.</w:t>
      </w:r>
    </w:p>
    <w:p w14:paraId="1CD46776" w14:textId="77777777" w:rsidR="00BB6D9A"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Разпределението на предприятията според броя на заетите в тях показва, че абсолютно доминират микро- и малките предприятия (</w:t>
      </w:r>
      <w:r w:rsidRPr="00610B1B">
        <w:rPr>
          <w:rFonts w:ascii="Times New Roman" w:hAnsi="Times New Roman" w:cs="Times New Roman"/>
          <w:color w:val="000000"/>
          <w:sz w:val="24"/>
          <w:szCs w:val="24"/>
          <w:lang w:val="bg-BG"/>
        </w:rPr>
        <w:t>99.65%</w:t>
      </w:r>
      <w:r w:rsidRPr="00610B1B">
        <w:rPr>
          <w:rFonts w:ascii="Times New Roman" w:hAnsi="Times New Roman" w:cs="Times New Roman"/>
          <w:sz w:val="24"/>
          <w:szCs w:val="24"/>
          <w:lang w:val="bg-BG"/>
        </w:rPr>
        <w:t xml:space="preserve">). Преобладаващата част от дейностите на морската икономика са със силно изявен сезонен характер, като през летния сезон броят на заетите е с около 70% по-висок от този в края на годината, което е значителен проблем на пазара на труда в Черноморския район. </w:t>
      </w:r>
    </w:p>
    <w:p w14:paraId="6D6F6481" w14:textId="1F521125" w:rsidR="00BB6D9A"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Най-голям принос към развитието на морската икономика имат общините Варна (с 58% от приходите, 52% от общите активи и 48% от заетите лица) и Бургас (с 22% от приходите и заетите лица и 21% от активите на района)</w:t>
      </w:r>
      <w:r w:rsidRPr="00610B1B">
        <w:rPr>
          <w:rStyle w:val="FootnoteReference"/>
          <w:rFonts w:ascii="Times New Roman" w:hAnsi="Times New Roman" w:cs="Times New Roman"/>
          <w:sz w:val="24"/>
          <w:szCs w:val="24"/>
          <w:lang w:val="bg-BG"/>
        </w:rPr>
        <w:footnoteReference w:id="131"/>
      </w:r>
      <w:r w:rsidRPr="00610B1B">
        <w:rPr>
          <w:rFonts w:ascii="Times New Roman" w:hAnsi="Times New Roman" w:cs="Times New Roman"/>
          <w:sz w:val="24"/>
          <w:szCs w:val="24"/>
          <w:lang w:val="bg-BG"/>
        </w:rPr>
        <w:t>. Секторната структура на двете общини е сходна и в нея присъстват всички морски сектори.</w:t>
      </w:r>
      <w:r w:rsidR="00BB6D9A"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 относително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висок дял на морски сектори са общините Несебър (с 8% от приходите и 12% от заетостта) и Балчик (с 6% от приходите и 8% от заетите). Отрасловата структура в тях е по-ограничена и включва риболов, преработка и консервиране на риба, пътнически морски транспорт, производство на спортни стоки, търговия на дребно с риба и морски храни, при доминиращо участие на туристическия сектор.</w:t>
      </w:r>
      <w:r w:rsidR="00D66FE0" w:rsidRPr="00610B1B">
        <w:rPr>
          <w:rFonts w:ascii="Times New Roman" w:hAnsi="Times New Roman" w:cs="Times New Roman"/>
          <w:sz w:val="24"/>
          <w:szCs w:val="24"/>
          <w:lang w:val="bg-BG"/>
        </w:rPr>
        <w:t xml:space="preserve"> </w:t>
      </w:r>
    </w:p>
    <w:p w14:paraId="1E5EBB2C" w14:textId="77777777" w:rsidR="00BB6D9A"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Общините Поморие, Созопол и Приморско формират групата на общините с дял 1-2% в реализираните приходи от морска икономика (2% за Поморие и 1% за Созопол и </w:t>
      </w:r>
      <w:r w:rsidRPr="00610B1B">
        <w:rPr>
          <w:rFonts w:ascii="Times New Roman" w:hAnsi="Times New Roman" w:cs="Times New Roman"/>
          <w:sz w:val="24"/>
          <w:szCs w:val="24"/>
          <w:lang w:val="bg-BG"/>
        </w:rPr>
        <w:lastRenderedPageBreak/>
        <w:t>Приморско). Заетостта в първата община е 3%, в останалите две – 2%. Дейностите, свързани с туризма, формират основния дял от морската икономика на общините. Синята икономика се представя и от дейности като риболов и аквакултура, търговия на дребно с риба и други морски храни, производство на уреди и апарати за измерване, изпитване и навигация (Поморие), производство на спортни стоки (Поморие</w:t>
      </w:r>
      <w:r w:rsidR="007A72D9"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w:t>
      </w:r>
    </w:p>
    <w:p w14:paraId="2A87733F" w14:textId="77777777" w:rsidR="00BB6D9A"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Общините Каварна и Царево се включват в приходите, реализирани от морския бизнес, с участие от </w:t>
      </w:r>
      <w:r w:rsidRPr="00610B1B">
        <w:rPr>
          <w:rFonts w:ascii="Times New Roman" w:hAnsi="Times New Roman" w:cs="Times New Roman"/>
          <w:color w:val="000000"/>
          <w:sz w:val="24"/>
          <w:szCs w:val="24"/>
          <w:lang w:val="bg-BG"/>
        </w:rPr>
        <w:t xml:space="preserve">0.8% и 0.5%, и с принос към заетостта от 1.6% и 1.2%. Той се определя от </w:t>
      </w:r>
      <w:r w:rsidRPr="00610B1B">
        <w:rPr>
          <w:rFonts w:ascii="Times New Roman" w:hAnsi="Times New Roman" w:cs="Times New Roman"/>
          <w:sz w:val="24"/>
          <w:szCs w:val="24"/>
          <w:lang w:val="bg-BG"/>
        </w:rPr>
        <w:t>туризъм, риболов и аквакултура, търговия, преработка и консервиране на риба, строителство и ремонт на плавателни съдове (Царево), пътнически морски и крайбрежен транспорт (Царево).</w:t>
      </w:r>
    </w:p>
    <w:p w14:paraId="3698B084" w14:textId="114479A2" w:rsidR="00527038" w:rsidRPr="00610B1B" w:rsidRDefault="00BB6D9A"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Общините </w:t>
      </w:r>
      <w:r w:rsidR="00527038" w:rsidRPr="00610B1B">
        <w:rPr>
          <w:rFonts w:ascii="Times New Roman" w:hAnsi="Times New Roman" w:cs="Times New Roman"/>
          <w:sz w:val="24"/>
          <w:szCs w:val="24"/>
          <w:lang w:val="bg-BG"/>
        </w:rPr>
        <w:t xml:space="preserve">Шабла, Аксаково, Долни чифлик, Бяла и Аврен отбелязват скромен принос в морската икономика. Освен туризъм в тях се отчитат дейности, свързани с риболов (Бяла и Шабла), строителство и ремонт на плавателни съдове (Аксаково), преработка и консервиране на риба (Аксаково и Бяла), търговия на дребно с риба и други морски храни. </w:t>
      </w:r>
    </w:p>
    <w:p w14:paraId="1AB88847" w14:textId="4E8D91E0" w:rsidR="00527038" w:rsidRPr="00610B1B" w:rsidRDefault="00543303" w:rsidP="001757A5">
      <w:pPr>
        <w:pStyle w:val="Caption"/>
        <w:spacing w:before="0" w:after="60" w:line="240" w:lineRule="auto"/>
        <w:ind w:right="-153"/>
        <w:rPr>
          <w:rFonts w:eastAsiaTheme="minorHAnsi" w:cs="Times New Roman"/>
          <w:color w:val="auto"/>
          <w:lang w:eastAsia="en-US" w:bidi="ar-SA"/>
        </w:rPr>
      </w:pPr>
      <w:bookmarkStart w:id="389" w:name="_Hlk128051337"/>
      <w:bookmarkStart w:id="390" w:name="_Toc83391607"/>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11</w:t>
      </w:r>
      <w:r w:rsidRPr="00610B1B">
        <w:rPr>
          <w:rFonts w:cs="Times New Roman"/>
        </w:rPr>
        <w:fldChar w:fldCharType="end"/>
      </w:r>
      <w:r w:rsidRPr="00610B1B">
        <w:rPr>
          <w:rFonts w:cs="Times New Roman"/>
        </w:rPr>
        <w:t xml:space="preserve">: </w:t>
      </w:r>
      <w:bookmarkEnd w:id="389"/>
      <w:r w:rsidR="00527038" w:rsidRPr="00610B1B">
        <w:rPr>
          <w:rFonts w:eastAsiaTheme="minorHAnsi" w:cs="Times New Roman"/>
          <w:color w:val="auto"/>
          <w:lang w:eastAsia="en-US" w:bidi="ar-SA"/>
        </w:rPr>
        <w:t>Относителен дял на показателите, характеризиращи морската икономика по общини, 2018 г.</w:t>
      </w:r>
      <w:bookmarkEnd w:id="390"/>
    </w:p>
    <w:tbl>
      <w:tblPr>
        <w:tblW w:w="8226" w:type="dxa"/>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909"/>
        <w:gridCol w:w="1786"/>
        <w:gridCol w:w="1841"/>
        <w:gridCol w:w="1620"/>
        <w:gridCol w:w="2070"/>
      </w:tblGrid>
      <w:tr w:rsidR="00527038" w:rsidRPr="00610B1B" w14:paraId="3179E174" w14:textId="77777777" w:rsidTr="00AD3365">
        <w:trPr>
          <w:tblHeader/>
        </w:trPr>
        <w:tc>
          <w:tcPr>
            <w:tcW w:w="909" w:type="dxa"/>
            <w:shd w:val="clear" w:color="auto" w:fill="C6D9F1" w:themeFill="text2" w:themeFillTint="33"/>
            <w:vAlign w:val="center"/>
          </w:tcPr>
          <w:p w14:paraId="3450DAD8" w14:textId="77777777" w:rsidR="00527038" w:rsidRPr="00610B1B" w:rsidRDefault="00527038" w:rsidP="00097B37">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Област</w:t>
            </w:r>
          </w:p>
        </w:tc>
        <w:tc>
          <w:tcPr>
            <w:tcW w:w="1786" w:type="dxa"/>
            <w:shd w:val="clear" w:color="auto" w:fill="C6D9F1" w:themeFill="text2" w:themeFillTint="33"/>
            <w:vAlign w:val="center"/>
          </w:tcPr>
          <w:p w14:paraId="1CE85C26" w14:textId="77777777" w:rsidR="00527038" w:rsidRPr="00610B1B" w:rsidRDefault="00527038" w:rsidP="00097B37">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Община</w:t>
            </w:r>
          </w:p>
        </w:tc>
        <w:tc>
          <w:tcPr>
            <w:tcW w:w="1841" w:type="dxa"/>
            <w:shd w:val="clear" w:color="auto" w:fill="C6D9F1" w:themeFill="text2" w:themeFillTint="33"/>
            <w:vAlign w:val="center"/>
          </w:tcPr>
          <w:p w14:paraId="1923E2D1" w14:textId="77777777" w:rsidR="00527038" w:rsidRPr="00610B1B" w:rsidRDefault="00527038" w:rsidP="00097B37">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 xml:space="preserve">Общо приходи (оборот) </w:t>
            </w:r>
          </w:p>
        </w:tc>
        <w:tc>
          <w:tcPr>
            <w:tcW w:w="1620" w:type="dxa"/>
            <w:shd w:val="clear" w:color="auto" w:fill="C6D9F1" w:themeFill="text2" w:themeFillTint="33"/>
            <w:vAlign w:val="center"/>
          </w:tcPr>
          <w:p w14:paraId="10C12A92" w14:textId="77777777" w:rsidR="00527038" w:rsidRPr="00610B1B" w:rsidRDefault="00527038" w:rsidP="00097B37">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 xml:space="preserve">Общо активи </w:t>
            </w:r>
          </w:p>
        </w:tc>
        <w:tc>
          <w:tcPr>
            <w:tcW w:w="2070" w:type="dxa"/>
            <w:shd w:val="clear" w:color="auto" w:fill="C6D9F1" w:themeFill="text2" w:themeFillTint="33"/>
            <w:vAlign w:val="center"/>
          </w:tcPr>
          <w:p w14:paraId="5D8AD0D2" w14:textId="77777777" w:rsidR="00527038" w:rsidRPr="00610B1B" w:rsidRDefault="00527038" w:rsidP="00097B37">
            <w:pPr>
              <w:spacing w:before="20" w:after="20" w:line="240" w:lineRule="auto"/>
              <w:jc w:val="center"/>
              <w:rPr>
                <w:rFonts w:ascii="Times New Roman" w:hAnsi="Times New Roman" w:cs="Times New Roman"/>
                <w:b/>
                <w:lang w:val="bg-BG"/>
              </w:rPr>
            </w:pPr>
            <w:r w:rsidRPr="00610B1B">
              <w:rPr>
                <w:rFonts w:ascii="Times New Roman" w:hAnsi="Times New Roman" w:cs="Times New Roman"/>
                <w:b/>
                <w:lang w:val="bg-BG"/>
              </w:rPr>
              <w:t>Социално-осигурени лица</w:t>
            </w:r>
          </w:p>
        </w:tc>
      </w:tr>
      <w:tr w:rsidR="00527038" w:rsidRPr="00610B1B" w14:paraId="7BDF2C13" w14:textId="77777777" w:rsidTr="00AD3365">
        <w:tc>
          <w:tcPr>
            <w:tcW w:w="909" w:type="dxa"/>
            <w:shd w:val="clear" w:color="auto" w:fill="auto"/>
            <w:noWrap/>
            <w:vAlign w:val="bottom"/>
          </w:tcPr>
          <w:p w14:paraId="2BCAFED3"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786" w:type="dxa"/>
            <w:shd w:val="clear" w:color="auto" w:fill="auto"/>
            <w:noWrap/>
            <w:vAlign w:val="bottom"/>
          </w:tcPr>
          <w:p w14:paraId="259EBCC5"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841" w:type="dxa"/>
            <w:shd w:val="clear" w:color="auto" w:fill="auto"/>
            <w:noWrap/>
            <w:vAlign w:val="bottom"/>
          </w:tcPr>
          <w:p w14:paraId="55BC9C6B"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58.08%</w:t>
            </w:r>
          </w:p>
        </w:tc>
        <w:tc>
          <w:tcPr>
            <w:tcW w:w="1620" w:type="dxa"/>
            <w:shd w:val="clear" w:color="auto" w:fill="auto"/>
            <w:noWrap/>
            <w:vAlign w:val="bottom"/>
          </w:tcPr>
          <w:p w14:paraId="3FC9A052"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51.57%</w:t>
            </w:r>
          </w:p>
        </w:tc>
        <w:tc>
          <w:tcPr>
            <w:tcW w:w="2070" w:type="dxa"/>
            <w:shd w:val="clear" w:color="auto" w:fill="auto"/>
            <w:noWrap/>
            <w:vAlign w:val="bottom"/>
          </w:tcPr>
          <w:p w14:paraId="35182F66"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47.69%</w:t>
            </w:r>
          </w:p>
        </w:tc>
      </w:tr>
      <w:tr w:rsidR="00527038" w:rsidRPr="00610B1B" w14:paraId="2764DEBF" w14:textId="77777777" w:rsidTr="00AD3365">
        <w:tc>
          <w:tcPr>
            <w:tcW w:w="909" w:type="dxa"/>
            <w:shd w:val="clear" w:color="auto" w:fill="auto"/>
            <w:noWrap/>
            <w:vAlign w:val="bottom"/>
          </w:tcPr>
          <w:p w14:paraId="3BAAD4CE" w14:textId="16858A3C"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786" w:type="dxa"/>
            <w:shd w:val="clear" w:color="auto" w:fill="auto"/>
            <w:noWrap/>
            <w:vAlign w:val="bottom"/>
          </w:tcPr>
          <w:p w14:paraId="23B2BF13"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841" w:type="dxa"/>
            <w:shd w:val="clear" w:color="auto" w:fill="auto"/>
            <w:noWrap/>
            <w:vAlign w:val="bottom"/>
          </w:tcPr>
          <w:p w14:paraId="1B590662"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21.69%</w:t>
            </w:r>
          </w:p>
        </w:tc>
        <w:tc>
          <w:tcPr>
            <w:tcW w:w="1620" w:type="dxa"/>
            <w:shd w:val="clear" w:color="auto" w:fill="auto"/>
            <w:noWrap/>
            <w:vAlign w:val="bottom"/>
          </w:tcPr>
          <w:p w14:paraId="4156A635"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20.67%</w:t>
            </w:r>
          </w:p>
        </w:tc>
        <w:tc>
          <w:tcPr>
            <w:tcW w:w="2070" w:type="dxa"/>
            <w:shd w:val="clear" w:color="auto" w:fill="auto"/>
            <w:noWrap/>
            <w:vAlign w:val="bottom"/>
          </w:tcPr>
          <w:p w14:paraId="3433197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21.06%</w:t>
            </w:r>
          </w:p>
        </w:tc>
      </w:tr>
      <w:tr w:rsidR="00527038" w:rsidRPr="00610B1B" w14:paraId="422E04FE" w14:textId="77777777" w:rsidTr="00AD3365">
        <w:tc>
          <w:tcPr>
            <w:tcW w:w="909" w:type="dxa"/>
            <w:shd w:val="clear" w:color="auto" w:fill="auto"/>
            <w:noWrap/>
            <w:vAlign w:val="bottom"/>
          </w:tcPr>
          <w:p w14:paraId="63C20A2B" w14:textId="512BAF0C"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786" w:type="dxa"/>
            <w:shd w:val="clear" w:color="auto" w:fill="auto"/>
            <w:noWrap/>
            <w:vAlign w:val="bottom"/>
          </w:tcPr>
          <w:p w14:paraId="260D0A16"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Несебър</w:t>
            </w:r>
          </w:p>
        </w:tc>
        <w:tc>
          <w:tcPr>
            <w:tcW w:w="1841" w:type="dxa"/>
            <w:shd w:val="clear" w:color="auto" w:fill="auto"/>
            <w:noWrap/>
            <w:vAlign w:val="bottom"/>
          </w:tcPr>
          <w:p w14:paraId="5D48A823"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8.03%</w:t>
            </w:r>
          </w:p>
        </w:tc>
        <w:tc>
          <w:tcPr>
            <w:tcW w:w="1620" w:type="dxa"/>
            <w:shd w:val="clear" w:color="auto" w:fill="auto"/>
            <w:noWrap/>
            <w:vAlign w:val="bottom"/>
          </w:tcPr>
          <w:p w14:paraId="47671EC1"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7.26%</w:t>
            </w:r>
          </w:p>
        </w:tc>
        <w:tc>
          <w:tcPr>
            <w:tcW w:w="2070" w:type="dxa"/>
            <w:shd w:val="clear" w:color="auto" w:fill="auto"/>
            <w:noWrap/>
            <w:vAlign w:val="bottom"/>
          </w:tcPr>
          <w:p w14:paraId="5A13BC5C"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12.19%</w:t>
            </w:r>
          </w:p>
        </w:tc>
      </w:tr>
      <w:tr w:rsidR="00527038" w:rsidRPr="00610B1B" w14:paraId="05993CD4" w14:textId="77777777" w:rsidTr="00AD3365">
        <w:tc>
          <w:tcPr>
            <w:tcW w:w="909" w:type="dxa"/>
            <w:shd w:val="clear" w:color="auto" w:fill="auto"/>
            <w:noWrap/>
            <w:vAlign w:val="bottom"/>
          </w:tcPr>
          <w:p w14:paraId="7A824981" w14:textId="31101EE5"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Добрич</w:t>
            </w:r>
          </w:p>
        </w:tc>
        <w:tc>
          <w:tcPr>
            <w:tcW w:w="1786" w:type="dxa"/>
            <w:shd w:val="clear" w:color="auto" w:fill="auto"/>
            <w:noWrap/>
            <w:vAlign w:val="bottom"/>
          </w:tcPr>
          <w:p w14:paraId="734AD3C5"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Балчик</w:t>
            </w:r>
          </w:p>
        </w:tc>
        <w:tc>
          <w:tcPr>
            <w:tcW w:w="1841" w:type="dxa"/>
            <w:shd w:val="clear" w:color="auto" w:fill="auto"/>
            <w:noWrap/>
            <w:vAlign w:val="bottom"/>
          </w:tcPr>
          <w:p w14:paraId="18AB1ACA"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6.24%</w:t>
            </w:r>
          </w:p>
        </w:tc>
        <w:tc>
          <w:tcPr>
            <w:tcW w:w="1620" w:type="dxa"/>
            <w:shd w:val="clear" w:color="auto" w:fill="auto"/>
            <w:noWrap/>
            <w:vAlign w:val="bottom"/>
          </w:tcPr>
          <w:p w14:paraId="772F7259"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13.68%</w:t>
            </w:r>
          </w:p>
        </w:tc>
        <w:tc>
          <w:tcPr>
            <w:tcW w:w="2070" w:type="dxa"/>
            <w:shd w:val="clear" w:color="auto" w:fill="auto"/>
            <w:noWrap/>
            <w:vAlign w:val="bottom"/>
          </w:tcPr>
          <w:p w14:paraId="7242BEA9"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8.40%</w:t>
            </w:r>
          </w:p>
        </w:tc>
      </w:tr>
      <w:tr w:rsidR="00527038" w:rsidRPr="00610B1B" w14:paraId="725C1FC7" w14:textId="77777777" w:rsidTr="00AD3365">
        <w:tc>
          <w:tcPr>
            <w:tcW w:w="909" w:type="dxa"/>
            <w:shd w:val="clear" w:color="auto" w:fill="auto"/>
            <w:noWrap/>
            <w:vAlign w:val="bottom"/>
          </w:tcPr>
          <w:p w14:paraId="62BF45FD" w14:textId="197F6E52"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 xml:space="preserve">Бургас </w:t>
            </w:r>
          </w:p>
        </w:tc>
        <w:tc>
          <w:tcPr>
            <w:tcW w:w="1786" w:type="dxa"/>
            <w:shd w:val="clear" w:color="auto" w:fill="auto"/>
            <w:noWrap/>
            <w:vAlign w:val="bottom"/>
          </w:tcPr>
          <w:p w14:paraId="5EECE4DB"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Поморие</w:t>
            </w:r>
          </w:p>
        </w:tc>
        <w:tc>
          <w:tcPr>
            <w:tcW w:w="1841" w:type="dxa"/>
            <w:shd w:val="clear" w:color="auto" w:fill="auto"/>
            <w:noWrap/>
            <w:vAlign w:val="bottom"/>
          </w:tcPr>
          <w:p w14:paraId="41149F9E"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2.23%</w:t>
            </w:r>
          </w:p>
        </w:tc>
        <w:tc>
          <w:tcPr>
            <w:tcW w:w="1620" w:type="dxa"/>
            <w:shd w:val="clear" w:color="auto" w:fill="auto"/>
            <w:noWrap/>
            <w:vAlign w:val="bottom"/>
          </w:tcPr>
          <w:p w14:paraId="4F3C461E"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1.38%</w:t>
            </w:r>
          </w:p>
        </w:tc>
        <w:tc>
          <w:tcPr>
            <w:tcW w:w="2070" w:type="dxa"/>
            <w:shd w:val="clear" w:color="auto" w:fill="auto"/>
            <w:noWrap/>
            <w:vAlign w:val="bottom"/>
          </w:tcPr>
          <w:p w14:paraId="565ABEF2"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2.99%</w:t>
            </w:r>
          </w:p>
        </w:tc>
      </w:tr>
      <w:tr w:rsidR="00527038" w:rsidRPr="00610B1B" w14:paraId="1E796547" w14:textId="77777777" w:rsidTr="00AD3365">
        <w:tc>
          <w:tcPr>
            <w:tcW w:w="909" w:type="dxa"/>
            <w:shd w:val="clear" w:color="auto" w:fill="auto"/>
            <w:noWrap/>
            <w:vAlign w:val="bottom"/>
          </w:tcPr>
          <w:p w14:paraId="533C1BA3"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786" w:type="dxa"/>
            <w:shd w:val="clear" w:color="auto" w:fill="auto"/>
            <w:noWrap/>
            <w:vAlign w:val="bottom"/>
          </w:tcPr>
          <w:p w14:paraId="43FD3047"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Созопол</w:t>
            </w:r>
          </w:p>
        </w:tc>
        <w:tc>
          <w:tcPr>
            <w:tcW w:w="1841" w:type="dxa"/>
            <w:shd w:val="clear" w:color="auto" w:fill="auto"/>
            <w:noWrap/>
            <w:vAlign w:val="bottom"/>
          </w:tcPr>
          <w:p w14:paraId="6331FB7E"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1.14%</w:t>
            </w:r>
          </w:p>
        </w:tc>
        <w:tc>
          <w:tcPr>
            <w:tcW w:w="1620" w:type="dxa"/>
            <w:shd w:val="clear" w:color="auto" w:fill="auto"/>
            <w:noWrap/>
            <w:vAlign w:val="bottom"/>
          </w:tcPr>
          <w:p w14:paraId="0F89F99A"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1.13%</w:t>
            </w:r>
          </w:p>
        </w:tc>
        <w:tc>
          <w:tcPr>
            <w:tcW w:w="2070" w:type="dxa"/>
            <w:shd w:val="clear" w:color="auto" w:fill="auto"/>
            <w:noWrap/>
            <w:vAlign w:val="bottom"/>
          </w:tcPr>
          <w:p w14:paraId="3B3940D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1.84%</w:t>
            </w:r>
          </w:p>
        </w:tc>
      </w:tr>
      <w:tr w:rsidR="00527038" w:rsidRPr="00610B1B" w14:paraId="2DE7309A" w14:textId="77777777" w:rsidTr="00AD3365">
        <w:tc>
          <w:tcPr>
            <w:tcW w:w="909" w:type="dxa"/>
            <w:shd w:val="clear" w:color="auto" w:fill="auto"/>
            <w:noWrap/>
            <w:vAlign w:val="bottom"/>
          </w:tcPr>
          <w:p w14:paraId="322F2139" w14:textId="574CB507"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786" w:type="dxa"/>
            <w:shd w:val="clear" w:color="auto" w:fill="auto"/>
            <w:noWrap/>
            <w:vAlign w:val="bottom"/>
          </w:tcPr>
          <w:p w14:paraId="551A45AC"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Приморско</w:t>
            </w:r>
          </w:p>
        </w:tc>
        <w:tc>
          <w:tcPr>
            <w:tcW w:w="1841" w:type="dxa"/>
            <w:shd w:val="clear" w:color="auto" w:fill="auto"/>
            <w:noWrap/>
            <w:vAlign w:val="bottom"/>
          </w:tcPr>
          <w:p w14:paraId="6BEFB9A3"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0.97%</w:t>
            </w:r>
          </w:p>
        </w:tc>
        <w:tc>
          <w:tcPr>
            <w:tcW w:w="1620" w:type="dxa"/>
            <w:shd w:val="clear" w:color="auto" w:fill="auto"/>
            <w:noWrap/>
            <w:vAlign w:val="bottom"/>
          </w:tcPr>
          <w:p w14:paraId="66B1A07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1.59%</w:t>
            </w:r>
          </w:p>
        </w:tc>
        <w:tc>
          <w:tcPr>
            <w:tcW w:w="2070" w:type="dxa"/>
            <w:shd w:val="clear" w:color="auto" w:fill="auto"/>
            <w:noWrap/>
            <w:vAlign w:val="bottom"/>
          </w:tcPr>
          <w:p w14:paraId="4765F7FB"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2.13%</w:t>
            </w:r>
          </w:p>
        </w:tc>
      </w:tr>
      <w:tr w:rsidR="00527038" w:rsidRPr="00610B1B" w14:paraId="229F87F9" w14:textId="77777777" w:rsidTr="00AD3365">
        <w:tc>
          <w:tcPr>
            <w:tcW w:w="909" w:type="dxa"/>
            <w:shd w:val="clear" w:color="auto" w:fill="auto"/>
            <w:noWrap/>
            <w:vAlign w:val="bottom"/>
          </w:tcPr>
          <w:p w14:paraId="19404450" w14:textId="596588DA"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Добрич</w:t>
            </w:r>
          </w:p>
        </w:tc>
        <w:tc>
          <w:tcPr>
            <w:tcW w:w="1786" w:type="dxa"/>
            <w:shd w:val="clear" w:color="auto" w:fill="auto"/>
            <w:noWrap/>
            <w:vAlign w:val="bottom"/>
          </w:tcPr>
          <w:p w14:paraId="518965A9"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Каварна</w:t>
            </w:r>
          </w:p>
        </w:tc>
        <w:tc>
          <w:tcPr>
            <w:tcW w:w="1841" w:type="dxa"/>
            <w:shd w:val="clear" w:color="auto" w:fill="auto"/>
            <w:noWrap/>
            <w:vAlign w:val="bottom"/>
          </w:tcPr>
          <w:p w14:paraId="1F0DF1DE"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0.76%</w:t>
            </w:r>
          </w:p>
        </w:tc>
        <w:tc>
          <w:tcPr>
            <w:tcW w:w="1620" w:type="dxa"/>
            <w:shd w:val="clear" w:color="auto" w:fill="auto"/>
            <w:noWrap/>
            <w:vAlign w:val="bottom"/>
          </w:tcPr>
          <w:p w14:paraId="75049395"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1.85%</w:t>
            </w:r>
          </w:p>
        </w:tc>
        <w:tc>
          <w:tcPr>
            <w:tcW w:w="2070" w:type="dxa"/>
            <w:shd w:val="clear" w:color="auto" w:fill="auto"/>
            <w:noWrap/>
            <w:vAlign w:val="bottom"/>
          </w:tcPr>
          <w:p w14:paraId="4B9EB556"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1.56%</w:t>
            </w:r>
          </w:p>
        </w:tc>
      </w:tr>
      <w:tr w:rsidR="00527038" w:rsidRPr="00610B1B" w14:paraId="57737CAF" w14:textId="77777777" w:rsidTr="00AD3365">
        <w:tc>
          <w:tcPr>
            <w:tcW w:w="909" w:type="dxa"/>
            <w:shd w:val="clear" w:color="auto" w:fill="auto"/>
            <w:noWrap/>
            <w:vAlign w:val="bottom"/>
          </w:tcPr>
          <w:p w14:paraId="5D302C3A"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Бургас</w:t>
            </w:r>
          </w:p>
        </w:tc>
        <w:tc>
          <w:tcPr>
            <w:tcW w:w="1786" w:type="dxa"/>
            <w:shd w:val="clear" w:color="auto" w:fill="auto"/>
            <w:noWrap/>
            <w:vAlign w:val="bottom"/>
          </w:tcPr>
          <w:p w14:paraId="1C1DA5EF"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Царево</w:t>
            </w:r>
          </w:p>
        </w:tc>
        <w:tc>
          <w:tcPr>
            <w:tcW w:w="1841" w:type="dxa"/>
            <w:shd w:val="clear" w:color="auto" w:fill="auto"/>
            <w:noWrap/>
            <w:vAlign w:val="bottom"/>
          </w:tcPr>
          <w:p w14:paraId="387374C7"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0.51%</w:t>
            </w:r>
          </w:p>
        </w:tc>
        <w:tc>
          <w:tcPr>
            <w:tcW w:w="1620" w:type="dxa"/>
            <w:shd w:val="clear" w:color="auto" w:fill="auto"/>
            <w:noWrap/>
            <w:vAlign w:val="bottom"/>
          </w:tcPr>
          <w:p w14:paraId="4053BD8D"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0.64%</w:t>
            </w:r>
          </w:p>
        </w:tc>
        <w:tc>
          <w:tcPr>
            <w:tcW w:w="2070" w:type="dxa"/>
            <w:shd w:val="clear" w:color="auto" w:fill="auto"/>
            <w:noWrap/>
            <w:vAlign w:val="bottom"/>
          </w:tcPr>
          <w:p w14:paraId="679B9A1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1.16%</w:t>
            </w:r>
          </w:p>
        </w:tc>
      </w:tr>
      <w:tr w:rsidR="00527038" w:rsidRPr="00610B1B" w14:paraId="7A339BD0" w14:textId="77777777" w:rsidTr="00AD3365">
        <w:tc>
          <w:tcPr>
            <w:tcW w:w="909" w:type="dxa"/>
            <w:shd w:val="clear" w:color="auto" w:fill="auto"/>
            <w:noWrap/>
            <w:vAlign w:val="bottom"/>
          </w:tcPr>
          <w:p w14:paraId="048329FB" w14:textId="774C5B58"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Добрич</w:t>
            </w:r>
          </w:p>
        </w:tc>
        <w:tc>
          <w:tcPr>
            <w:tcW w:w="1786" w:type="dxa"/>
            <w:shd w:val="clear" w:color="auto" w:fill="auto"/>
            <w:noWrap/>
            <w:vAlign w:val="bottom"/>
          </w:tcPr>
          <w:p w14:paraId="36EE44F2"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Шабла</w:t>
            </w:r>
          </w:p>
        </w:tc>
        <w:tc>
          <w:tcPr>
            <w:tcW w:w="1841" w:type="dxa"/>
            <w:shd w:val="clear" w:color="auto" w:fill="auto"/>
            <w:noWrap/>
            <w:vAlign w:val="bottom"/>
          </w:tcPr>
          <w:p w14:paraId="6DD7CBAE"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0.10%</w:t>
            </w:r>
          </w:p>
        </w:tc>
        <w:tc>
          <w:tcPr>
            <w:tcW w:w="1620" w:type="dxa"/>
            <w:shd w:val="clear" w:color="auto" w:fill="auto"/>
            <w:noWrap/>
            <w:vAlign w:val="bottom"/>
          </w:tcPr>
          <w:p w14:paraId="0AADD544"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0.05%</w:t>
            </w:r>
          </w:p>
        </w:tc>
        <w:tc>
          <w:tcPr>
            <w:tcW w:w="2070" w:type="dxa"/>
            <w:shd w:val="clear" w:color="auto" w:fill="auto"/>
            <w:noWrap/>
            <w:vAlign w:val="bottom"/>
          </w:tcPr>
          <w:p w14:paraId="49DB3957"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0.28%</w:t>
            </w:r>
          </w:p>
        </w:tc>
      </w:tr>
      <w:tr w:rsidR="00527038" w:rsidRPr="00610B1B" w14:paraId="3B3A29B3" w14:textId="77777777" w:rsidTr="00AD3365">
        <w:tc>
          <w:tcPr>
            <w:tcW w:w="909" w:type="dxa"/>
            <w:shd w:val="clear" w:color="auto" w:fill="auto"/>
            <w:noWrap/>
            <w:vAlign w:val="bottom"/>
          </w:tcPr>
          <w:p w14:paraId="28ED7945" w14:textId="7CBDB816"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786" w:type="dxa"/>
            <w:shd w:val="clear" w:color="auto" w:fill="auto"/>
            <w:noWrap/>
            <w:vAlign w:val="bottom"/>
          </w:tcPr>
          <w:p w14:paraId="3952058A"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Аксаково</w:t>
            </w:r>
          </w:p>
        </w:tc>
        <w:tc>
          <w:tcPr>
            <w:tcW w:w="1841" w:type="dxa"/>
            <w:shd w:val="clear" w:color="auto" w:fill="auto"/>
            <w:noWrap/>
            <w:vAlign w:val="bottom"/>
          </w:tcPr>
          <w:p w14:paraId="1AAB3ED3"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0.09%</w:t>
            </w:r>
          </w:p>
        </w:tc>
        <w:tc>
          <w:tcPr>
            <w:tcW w:w="1620" w:type="dxa"/>
            <w:shd w:val="clear" w:color="auto" w:fill="auto"/>
            <w:noWrap/>
            <w:vAlign w:val="bottom"/>
          </w:tcPr>
          <w:p w14:paraId="3695E744"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0.04%</w:t>
            </w:r>
          </w:p>
        </w:tc>
        <w:tc>
          <w:tcPr>
            <w:tcW w:w="2070" w:type="dxa"/>
            <w:shd w:val="clear" w:color="auto" w:fill="auto"/>
            <w:noWrap/>
            <w:vAlign w:val="bottom"/>
          </w:tcPr>
          <w:p w14:paraId="2FD5E18A"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0.21%</w:t>
            </w:r>
          </w:p>
        </w:tc>
      </w:tr>
      <w:tr w:rsidR="00527038" w:rsidRPr="00610B1B" w14:paraId="0C69DC7E" w14:textId="77777777" w:rsidTr="00AD3365">
        <w:tc>
          <w:tcPr>
            <w:tcW w:w="909" w:type="dxa"/>
            <w:shd w:val="clear" w:color="auto" w:fill="auto"/>
            <w:noWrap/>
            <w:vAlign w:val="bottom"/>
          </w:tcPr>
          <w:p w14:paraId="415E8534" w14:textId="27CF4CC1"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786" w:type="dxa"/>
            <w:shd w:val="clear" w:color="auto" w:fill="auto"/>
            <w:noWrap/>
            <w:vAlign w:val="bottom"/>
          </w:tcPr>
          <w:p w14:paraId="6228F92D"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Долни чифлик</w:t>
            </w:r>
          </w:p>
        </w:tc>
        <w:tc>
          <w:tcPr>
            <w:tcW w:w="1841" w:type="dxa"/>
            <w:shd w:val="clear" w:color="auto" w:fill="auto"/>
            <w:noWrap/>
            <w:vAlign w:val="bottom"/>
          </w:tcPr>
          <w:p w14:paraId="58EC12A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0.08%</w:t>
            </w:r>
          </w:p>
        </w:tc>
        <w:tc>
          <w:tcPr>
            <w:tcW w:w="1620" w:type="dxa"/>
            <w:shd w:val="clear" w:color="auto" w:fill="auto"/>
            <w:noWrap/>
            <w:vAlign w:val="bottom"/>
          </w:tcPr>
          <w:p w14:paraId="739492AA"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0.06%</w:t>
            </w:r>
          </w:p>
        </w:tc>
        <w:tc>
          <w:tcPr>
            <w:tcW w:w="2070" w:type="dxa"/>
            <w:shd w:val="clear" w:color="auto" w:fill="auto"/>
            <w:noWrap/>
            <w:vAlign w:val="bottom"/>
          </w:tcPr>
          <w:p w14:paraId="25CB8995"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0.25%</w:t>
            </w:r>
          </w:p>
        </w:tc>
      </w:tr>
      <w:tr w:rsidR="00527038" w:rsidRPr="00610B1B" w14:paraId="161C1421" w14:textId="77777777" w:rsidTr="00AD3365">
        <w:tc>
          <w:tcPr>
            <w:tcW w:w="909" w:type="dxa"/>
            <w:shd w:val="clear" w:color="auto" w:fill="auto"/>
            <w:noWrap/>
            <w:vAlign w:val="bottom"/>
          </w:tcPr>
          <w:p w14:paraId="543C8C90" w14:textId="7AC82B5F" w:rsidR="00527038" w:rsidRPr="00610B1B" w:rsidRDefault="00492F69"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786" w:type="dxa"/>
            <w:shd w:val="clear" w:color="auto" w:fill="auto"/>
            <w:noWrap/>
            <w:vAlign w:val="bottom"/>
          </w:tcPr>
          <w:p w14:paraId="31E95265"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Бяла</w:t>
            </w:r>
          </w:p>
        </w:tc>
        <w:tc>
          <w:tcPr>
            <w:tcW w:w="1841" w:type="dxa"/>
            <w:shd w:val="clear" w:color="auto" w:fill="auto"/>
            <w:noWrap/>
            <w:vAlign w:val="bottom"/>
          </w:tcPr>
          <w:p w14:paraId="5F0ABD9D"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0.05%</w:t>
            </w:r>
          </w:p>
        </w:tc>
        <w:tc>
          <w:tcPr>
            <w:tcW w:w="1620" w:type="dxa"/>
            <w:shd w:val="clear" w:color="auto" w:fill="auto"/>
            <w:noWrap/>
            <w:vAlign w:val="bottom"/>
          </w:tcPr>
          <w:p w14:paraId="3A19107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0.07%</w:t>
            </w:r>
          </w:p>
        </w:tc>
        <w:tc>
          <w:tcPr>
            <w:tcW w:w="2070" w:type="dxa"/>
            <w:shd w:val="clear" w:color="auto" w:fill="auto"/>
            <w:noWrap/>
            <w:vAlign w:val="bottom"/>
          </w:tcPr>
          <w:p w14:paraId="6E999CAA"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0.15%</w:t>
            </w:r>
          </w:p>
        </w:tc>
      </w:tr>
      <w:tr w:rsidR="00527038" w:rsidRPr="00610B1B" w14:paraId="4F59FB28" w14:textId="77777777" w:rsidTr="00AD3365">
        <w:tc>
          <w:tcPr>
            <w:tcW w:w="909" w:type="dxa"/>
            <w:shd w:val="clear" w:color="auto" w:fill="auto"/>
            <w:noWrap/>
            <w:vAlign w:val="bottom"/>
          </w:tcPr>
          <w:p w14:paraId="4E3CFEE5"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Варна</w:t>
            </w:r>
          </w:p>
        </w:tc>
        <w:tc>
          <w:tcPr>
            <w:tcW w:w="1786" w:type="dxa"/>
            <w:shd w:val="clear" w:color="auto" w:fill="auto"/>
            <w:noWrap/>
            <w:vAlign w:val="bottom"/>
          </w:tcPr>
          <w:p w14:paraId="150B66EB" w14:textId="77777777" w:rsidR="00527038" w:rsidRPr="00610B1B" w:rsidRDefault="00527038" w:rsidP="00097B37">
            <w:pPr>
              <w:spacing w:before="20" w:after="20" w:line="240" w:lineRule="auto"/>
              <w:rPr>
                <w:rFonts w:ascii="Times New Roman" w:hAnsi="Times New Roman" w:cs="Times New Roman"/>
                <w:lang w:val="bg-BG"/>
              </w:rPr>
            </w:pPr>
            <w:r w:rsidRPr="00610B1B">
              <w:rPr>
                <w:rFonts w:ascii="Times New Roman" w:hAnsi="Times New Roman" w:cs="Times New Roman"/>
                <w:lang w:val="bg-BG"/>
              </w:rPr>
              <w:t>Аврен</w:t>
            </w:r>
          </w:p>
        </w:tc>
        <w:tc>
          <w:tcPr>
            <w:tcW w:w="1841" w:type="dxa"/>
            <w:shd w:val="clear" w:color="auto" w:fill="auto"/>
            <w:noWrap/>
            <w:vAlign w:val="bottom"/>
          </w:tcPr>
          <w:p w14:paraId="71780309"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0.03%</w:t>
            </w:r>
          </w:p>
        </w:tc>
        <w:tc>
          <w:tcPr>
            <w:tcW w:w="1620" w:type="dxa"/>
            <w:shd w:val="clear" w:color="auto" w:fill="auto"/>
            <w:noWrap/>
            <w:vAlign w:val="bottom"/>
          </w:tcPr>
          <w:p w14:paraId="24195CEB"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0.01%</w:t>
            </w:r>
          </w:p>
        </w:tc>
        <w:tc>
          <w:tcPr>
            <w:tcW w:w="2070" w:type="dxa"/>
            <w:shd w:val="clear" w:color="auto" w:fill="auto"/>
            <w:noWrap/>
            <w:vAlign w:val="bottom"/>
          </w:tcPr>
          <w:p w14:paraId="7C0E6588" w14:textId="77777777" w:rsidR="00527038" w:rsidRPr="00610B1B" w:rsidRDefault="00527038" w:rsidP="00097B37">
            <w:pPr>
              <w:spacing w:before="20" w:after="20" w:line="240" w:lineRule="auto"/>
              <w:jc w:val="right"/>
              <w:rPr>
                <w:rFonts w:ascii="Times New Roman" w:hAnsi="Times New Roman" w:cs="Times New Roman"/>
                <w:lang w:val="bg-BG"/>
              </w:rPr>
            </w:pPr>
            <w:r w:rsidRPr="00610B1B">
              <w:rPr>
                <w:rFonts w:ascii="Times New Roman" w:hAnsi="Times New Roman" w:cs="Times New Roman"/>
                <w:lang w:val="bg-BG"/>
              </w:rPr>
              <w:t>0.09%</w:t>
            </w:r>
          </w:p>
        </w:tc>
      </w:tr>
      <w:tr w:rsidR="00527038" w:rsidRPr="00610B1B" w14:paraId="2A372EF3" w14:textId="77777777" w:rsidTr="00AD3365">
        <w:tc>
          <w:tcPr>
            <w:tcW w:w="909" w:type="dxa"/>
            <w:shd w:val="clear" w:color="auto" w:fill="auto"/>
            <w:noWrap/>
            <w:vAlign w:val="bottom"/>
          </w:tcPr>
          <w:p w14:paraId="4A0504F9" w14:textId="77777777" w:rsidR="00527038" w:rsidRPr="00610B1B" w:rsidRDefault="00527038" w:rsidP="00097B37">
            <w:pPr>
              <w:spacing w:before="20" w:after="20" w:line="240" w:lineRule="auto"/>
              <w:rPr>
                <w:rFonts w:ascii="Times New Roman" w:hAnsi="Times New Roman" w:cs="Times New Roman"/>
                <w:b/>
                <w:lang w:val="bg-BG"/>
              </w:rPr>
            </w:pPr>
            <w:r w:rsidRPr="00610B1B">
              <w:rPr>
                <w:rFonts w:ascii="Times New Roman" w:hAnsi="Times New Roman" w:cs="Times New Roman"/>
                <w:b/>
                <w:lang w:val="bg-BG"/>
              </w:rPr>
              <w:t>Общо</w:t>
            </w:r>
          </w:p>
        </w:tc>
        <w:tc>
          <w:tcPr>
            <w:tcW w:w="1786" w:type="dxa"/>
            <w:shd w:val="clear" w:color="auto" w:fill="auto"/>
            <w:noWrap/>
            <w:vAlign w:val="bottom"/>
          </w:tcPr>
          <w:p w14:paraId="3D9C9D53" w14:textId="77777777" w:rsidR="00527038" w:rsidRPr="00610B1B" w:rsidRDefault="00527038" w:rsidP="00097B37">
            <w:pPr>
              <w:spacing w:before="20" w:after="20" w:line="240" w:lineRule="auto"/>
              <w:rPr>
                <w:rFonts w:ascii="Times New Roman" w:hAnsi="Times New Roman" w:cs="Times New Roman"/>
                <w:b/>
                <w:lang w:val="bg-BG"/>
              </w:rPr>
            </w:pPr>
          </w:p>
        </w:tc>
        <w:tc>
          <w:tcPr>
            <w:tcW w:w="1841" w:type="dxa"/>
            <w:shd w:val="clear" w:color="auto" w:fill="auto"/>
            <w:noWrap/>
            <w:vAlign w:val="bottom"/>
          </w:tcPr>
          <w:p w14:paraId="3C4C3CF7" w14:textId="19EEA31D" w:rsidR="00527038" w:rsidRPr="00610B1B" w:rsidRDefault="00527038" w:rsidP="00097B37">
            <w:pPr>
              <w:spacing w:before="20" w:after="20" w:line="240" w:lineRule="auto"/>
              <w:jc w:val="right"/>
              <w:rPr>
                <w:rFonts w:ascii="Times New Roman" w:hAnsi="Times New Roman" w:cs="Times New Roman"/>
                <w:b/>
                <w:lang w:val="bg-BG"/>
              </w:rPr>
            </w:pPr>
            <w:r w:rsidRPr="00610B1B">
              <w:rPr>
                <w:rFonts w:ascii="Times New Roman" w:hAnsi="Times New Roman" w:cs="Times New Roman"/>
                <w:b/>
                <w:lang w:val="bg-BG"/>
              </w:rPr>
              <w:t>100%</w:t>
            </w:r>
          </w:p>
        </w:tc>
        <w:tc>
          <w:tcPr>
            <w:tcW w:w="1620" w:type="dxa"/>
            <w:shd w:val="clear" w:color="auto" w:fill="auto"/>
            <w:noWrap/>
            <w:vAlign w:val="bottom"/>
          </w:tcPr>
          <w:p w14:paraId="53CB91F7" w14:textId="2D8B4F45" w:rsidR="00527038" w:rsidRPr="00610B1B" w:rsidRDefault="001757A5" w:rsidP="00097B37">
            <w:pPr>
              <w:spacing w:before="20" w:after="20" w:line="240" w:lineRule="auto"/>
              <w:jc w:val="right"/>
              <w:rPr>
                <w:rFonts w:ascii="Times New Roman" w:hAnsi="Times New Roman" w:cs="Times New Roman"/>
                <w:b/>
                <w:lang w:val="bg-BG"/>
              </w:rPr>
            </w:pPr>
            <w:r w:rsidRPr="00610B1B">
              <w:rPr>
                <w:rFonts w:ascii="Times New Roman" w:hAnsi="Times New Roman" w:cs="Times New Roman"/>
                <w:b/>
                <w:lang w:val="bg-BG"/>
              </w:rPr>
              <w:t>100%</w:t>
            </w:r>
          </w:p>
        </w:tc>
        <w:tc>
          <w:tcPr>
            <w:tcW w:w="2070" w:type="dxa"/>
            <w:shd w:val="clear" w:color="auto" w:fill="auto"/>
            <w:noWrap/>
            <w:vAlign w:val="bottom"/>
          </w:tcPr>
          <w:p w14:paraId="43ABA073" w14:textId="6CAA3867" w:rsidR="00527038" w:rsidRPr="00610B1B" w:rsidRDefault="001757A5" w:rsidP="00097B37">
            <w:pPr>
              <w:spacing w:before="20" w:after="20" w:line="240" w:lineRule="auto"/>
              <w:jc w:val="right"/>
              <w:rPr>
                <w:rFonts w:ascii="Times New Roman" w:hAnsi="Times New Roman" w:cs="Times New Roman"/>
                <w:b/>
                <w:lang w:val="bg-BG"/>
              </w:rPr>
            </w:pPr>
            <w:r w:rsidRPr="00610B1B">
              <w:rPr>
                <w:rFonts w:ascii="Times New Roman" w:hAnsi="Times New Roman" w:cs="Times New Roman"/>
                <w:b/>
                <w:lang w:val="bg-BG"/>
              </w:rPr>
              <w:t>100%</w:t>
            </w:r>
          </w:p>
        </w:tc>
      </w:tr>
    </w:tbl>
    <w:p w14:paraId="2210EB95" w14:textId="03F53D0E" w:rsidR="00527038" w:rsidRPr="00610B1B" w:rsidRDefault="00527038" w:rsidP="00D32D6A">
      <w:pPr>
        <w:spacing w:after="120"/>
        <w:ind w:right="-153"/>
        <w:rPr>
          <w:rFonts w:ascii="Times New Roman" w:hAnsi="Times New Roman" w:cs="Times New Roman"/>
          <w:iCs/>
          <w:lang w:val="bg-BG"/>
        </w:rPr>
      </w:pPr>
      <w:r w:rsidRPr="00610B1B">
        <w:rPr>
          <w:rFonts w:ascii="Times New Roman" w:hAnsi="Times New Roman" w:cs="Times New Roman"/>
          <w:iCs/>
          <w:lang w:val="bg-BG"/>
        </w:rPr>
        <w:t>Източник:</w:t>
      </w:r>
      <w:r w:rsidR="00D66FE0" w:rsidRPr="00610B1B">
        <w:rPr>
          <w:rFonts w:ascii="Times New Roman" w:hAnsi="Times New Roman" w:cs="Times New Roman"/>
          <w:iCs/>
          <w:lang w:val="bg-BG"/>
        </w:rPr>
        <w:t xml:space="preserve"> </w:t>
      </w:r>
      <w:r w:rsidRPr="00610B1B">
        <w:rPr>
          <w:rFonts w:ascii="Times New Roman" w:hAnsi="Times New Roman" w:cs="Times New Roman"/>
          <w:iCs/>
          <w:lang w:val="bg-BG"/>
        </w:rPr>
        <w:t>Търговски регистър, собствени изчисления</w:t>
      </w:r>
    </w:p>
    <w:p w14:paraId="7E2A7BA8" w14:textId="60728003" w:rsidR="00527038" w:rsidRPr="00610B1B" w:rsidRDefault="007A72D9"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Представеният по-долу </w:t>
      </w:r>
      <w:r w:rsidR="00527038" w:rsidRPr="00610B1B">
        <w:rPr>
          <w:rFonts w:ascii="Times New Roman" w:hAnsi="Times New Roman" w:cs="Times New Roman"/>
          <w:sz w:val="24"/>
          <w:szCs w:val="24"/>
          <w:lang w:val="bg-BG"/>
        </w:rPr>
        <w:t>преглед на секторите на морската икономика в страната</w:t>
      </w:r>
      <w:r w:rsidRPr="00610B1B">
        <w:rPr>
          <w:rFonts w:ascii="Times New Roman" w:hAnsi="Times New Roman" w:cs="Times New Roman"/>
          <w:sz w:val="24"/>
          <w:szCs w:val="24"/>
          <w:lang w:val="bg-BG"/>
        </w:rPr>
        <w:t xml:space="preserve"> </w:t>
      </w:r>
      <w:r w:rsidR="00DD507D" w:rsidRPr="00610B1B">
        <w:rPr>
          <w:rFonts w:ascii="Times New Roman" w:hAnsi="Times New Roman" w:cs="Times New Roman"/>
          <w:sz w:val="24"/>
          <w:szCs w:val="24"/>
          <w:lang w:val="bg-BG"/>
        </w:rPr>
        <w:t xml:space="preserve">следва класификацията, използвана в ЕС и </w:t>
      </w:r>
      <w:r w:rsidRPr="00610B1B">
        <w:rPr>
          <w:rFonts w:ascii="Times New Roman" w:hAnsi="Times New Roman" w:cs="Times New Roman"/>
          <w:sz w:val="24"/>
          <w:szCs w:val="24"/>
          <w:lang w:val="bg-BG"/>
        </w:rPr>
        <w:t>допълва секторните анализи, предимствата и недостатъците на съществуващата инфраструктура и дейност.</w:t>
      </w:r>
    </w:p>
    <w:p w14:paraId="3ED6D5A4" w14:textId="40E16AC8" w:rsidR="00527038" w:rsidRPr="00610B1B" w:rsidRDefault="00527038" w:rsidP="00D32D6A">
      <w:pPr>
        <w:pStyle w:val="Heading3"/>
        <w:spacing w:before="0" w:line="276" w:lineRule="auto"/>
        <w:ind w:right="-153"/>
        <w:rPr>
          <w:rFonts w:cs="Times New Roman"/>
          <w:caps/>
        </w:rPr>
      </w:pPr>
      <w:bookmarkStart w:id="391" w:name="_Toc83391393"/>
      <w:r w:rsidRPr="00610B1B">
        <w:rPr>
          <w:rFonts w:cs="Times New Roman"/>
          <w:caps/>
        </w:rPr>
        <w:t xml:space="preserve">3.6.2. </w:t>
      </w:r>
      <w:r w:rsidRPr="00610B1B">
        <w:rPr>
          <w:rFonts w:cs="Times New Roman"/>
        </w:rPr>
        <w:t>Крайбрежен туризъм</w:t>
      </w:r>
      <w:bookmarkEnd w:id="391"/>
    </w:p>
    <w:p w14:paraId="52CEC6EC" w14:textId="7777777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Крайбрежният туризъм представлява 66% от работните места, 52% от оборота и 55% от БДС в морската икономика на България през 2017 г. Всички дейности на сектора нарастват значително през анализирания период като оборот. </w:t>
      </w:r>
    </w:p>
    <w:p w14:paraId="61B23D79" w14:textId="24D836D6"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Най-бързо развиващ сектор е „Настаняване”, в който през 2017 г. БДС е с прираст от 88% спрямо 2009 г. и достига 273 млн.евро Този резултат е постигнат с 26 хил.</w:t>
      </w:r>
      <w:r w:rsidR="00D80B15"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заети лица (нарастване от 10% спрямо 2009 г.). Реализираните нощувки в крайбрежния туризъм през целия период са в рамките на 65% (2009 г.) - 66% (2018 г.) от общите за страната.</w:t>
      </w:r>
      <w:r w:rsidR="00D66FE0" w:rsidRPr="00610B1B">
        <w:rPr>
          <w:rFonts w:ascii="Times New Roman" w:hAnsi="Times New Roman" w:cs="Times New Roman"/>
          <w:sz w:val="24"/>
          <w:szCs w:val="24"/>
          <w:lang w:val="bg-BG"/>
        </w:rPr>
        <w:t xml:space="preserve"> </w:t>
      </w:r>
    </w:p>
    <w:p w14:paraId="6443C027" w14:textId="31CA6235" w:rsidR="00527038" w:rsidRPr="00610B1B" w:rsidRDefault="00B62269" w:rsidP="00D32D6A">
      <w:pPr>
        <w:spacing w:after="120"/>
        <w:ind w:right="-153"/>
        <w:rPr>
          <w:rFonts w:ascii="Times New Roman" w:hAnsi="Times New Roman" w:cs="Times New Roman"/>
          <w:bCs/>
          <w:sz w:val="24"/>
          <w:szCs w:val="24"/>
          <w:lang w:val="bg-BG"/>
        </w:rPr>
      </w:pPr>
      <w:bookmarkStart w:id="392" w:name="_Toc83391493"/>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30</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527038" w:rsidRPr="00610B1B">
        <w:rPr>
          <w:rFonts w:ascii="Times New Roman" w:hAnsi="Times New Roman" w:cs="Times New Roman"/>
          <w:bCs/>
          <w:sz w:val="24"/>
          <w:szCs w:val="24"/>
          <w:lang w:val="bg-BG"/>
        </w:rPr>
        <w:t>Брой средства за подслон и места за настаняване –по общини</w:t>
      </w:r>
      <w:bookmarkEnd w:id="392"/>
    </w:p>
    <w:p w14:paraId="162F7F6C" w14:textId="33779AA2" w:rsidR="00527038" w:rsidRPr="00610B1B" w:rsidRDefault="0004160B" w:rsidP="00D32D6A">
      <w:pPr>
        <w:spacing w:after="120"/>
        <w:ind w:right="-153"/>
        <w:jc w:val="both"/>
        <w:rPr>
          <w:rFonts w:ascii="Times New Roman" w:hAnsi="Times New Roman" w:cs="Times New Roman"/>
          <w:lang w:val="bg-BG"/>
        </w:rPr>
      </w:pPr>
      <w:r w:rsidRPr="00610B1B">
        <w:rPr>
          <w:rFonts w:ascii="Times New Roman" w:hAnsi="Times New Roman" w:cs="Times New Roman"/>
          <w:noProof/>
          <w:lang w:val="bg-BG" w:eastAsia="bg-BG"/>
        </w:rPr>
        <w:drawing>
          <wp:inline distT="0" distB="0" distL="0" distR="0" wp14:anchorId="0E740D26" wp14:editId="3FD08A79">
            <wp:extent cx="5186149" cy="3340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5204366" cy="3352626"/>
                    </a:xfrm>
                    <a:prstGeom prst="rect">
                      <a:avLst/>
                    </a:prstGeom>
                    <a:noFill/>
                    <a:ln>
                      <a:noFill/>
                    </a:ln>
                    <a:extLst>
                      <a:ext uri="{53640926-AAD7-44D8-BBD7-CCE9431645EC}">
                        <a14:shadowObscured xmlns:a14="http://schemas.microsoft.com/office/drawing/2010/main"/>
                      </a:ext>
                    </a:extLst>
                  </pic:spPr>
                </pic:pic>
              </a:graphicData>
            </a:graphic>
          </wp:inline>
        </w:drawing>
      </w:r>
    </w:p>
    <w:p w14:paraId="37381140" w14:textId="77777777" w:rsidR="00527038" w:rsidRPr="00610B1B" w:rsidRDefault="00527038" w:rsidP="00D32D6A">
      <w:pPr>
        <w:spacing w:after="120"/>
        <w:ind w:right="-153"/>
        <w:rPr>
          <w:rFonts w:ascii="Times New Roman" w:hAnsi="Times New Roman" w:cs="Times New Roman"/>
          <w:iCs/>
          <w:lang w:val="bg-BG"/>
        </w:rPr>
      </w:pPr>
      <w:r w:rsidRPr="00610B1B">
        <w:rPr>
          <w:rFonts w:ascii="Times New Roman" w:hAnsi="Times New Roman" w:cs="Times New Roman"/>
          <w:iCs/>
          <w:lang w:val="bg-BG"/>
        </w:rPr>
        <w:t>Източник: НСИ</w:t>
      </w:r>
    </w:p>
    <w:p w14:paraId="0AEAEE75" w14:textId="77777777" w:rsidR="00B328CF" w:rsidRPr="00610B1B" w:rsidRDefault="00B328CF" w:rsidP="00B328CF">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Най-голямо нарастване на броя на реализираните нощувки за периода се отбелязва в общините Бяла (564%), Царево (268%), Балчик (160%), Приморско (90%), Несебър (87%). Големите общини Варна и Бургас увеличават броя на нощувките с около 40%, Поморие и Созопол – около 60%. Намаление се отчита само в община Шабла.</w:t>
      </w:r>
    </w:p>
    <w:p w14:paraId="342E19EF" w14:textId="3DCBE58A"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 най-висок принос към приходите от крайбрежен туризъм през 2018 г. се оценяват общин</w:t>
      </w:r>
      <w:r w:rsidR="00DD507D" w:rsidRPr="00610B1B">
        <w:rPr>
          <w:rFonts w:ascii="Times New Roman" w:hAnsi="Times New Roman" w:cs="Times New Roman"/>
          <w:sz w:val="24"/>
          <w:szCs w:val="24"/>
          <w:lang w:val="bg-BG"/>
        </w:rPr>
        <w:t>ите</w:t>
      </w:r>
      <w:r w:rsidRPr="00610B1B">
        <w:rPr>
          <w:rFonts w:ascii="Times New Roman" w:hAnsi="Times New Roman" w:cs="Times New Roman"/>
          <w:sz w:val="24"/>
          <w:szCs w:val="24"/>
          <w:lang w:val="bg-BG"/>
        </w:rPr>
        <w:t xml:space="preserve"> Несебър (39%), Варна (29%), Балчик (10%), Приморско (4.5%)</w:t>
      </w:r>
      <w:r w:rsidR="00DD507D" w:rsidRPr="00610B1B">
        <w:rPr>
          <w:rFonts w:ascii="Times New Roman" w:hAnsi="Times New Roman" w:cs="Times New Roman"/>
          <w:sz w:val="24"/>
          <w:szCs w:val="24"/>
          <w:lang w:val="bg-BG"/>
        </w:rPr>
        <w:t xml:space="preserve"> и</w:t>
      </w:r>
      <w:r w:rsidRPr="00610B1B">
        <w:rPr>
          <w:rFonts w:ascii="Times New Roman" w:hAnsi="Times New Roman" w:cs="Times New Roman"/>
          <w:sz w:val="24"/>
          <w:szCs w:val="24"/>
          <w:lang w:val="bg-BG"/>
        </w:rPr>
        <w:t xml:space="preserve"> Созопол (4.2%). Община Бургас се включва с 2.3%.</w:t>
      </w:r>
    </w:p>
    <w:p w14:paraId="5231B5AD" w14:textId="59C5978A" w:rsidR="009907CE" w:rsidRPr="00610B1B" w:rsidRDefault="009907CE" w:rsidP="00D32D6A">
      <w:pPr>
        <w:spacing w:after="120"/>
        <w:ind w:right="-153"/>
        <w:jc w:val="both"/>
        <w:rPr>
          <w:rFonts w:ascii="Times New Roman" w:hAnsi="Times New Roman" w:cs="Times New Roman"/>
          <w:sz w:val="24"/>
          <w:szCs w:val="24"/>
          <w:lang w:val="bg-BG"/>
        </w:rPr>
      </w:pPr>
    </w:p>
    <w:p w14:paraId="0C537CC0" w14:textId="66E7784A" w:rsidR="009907CE" w:rsidRPr="00610B1B" w:rsidRDefault="009907CE" w:rsidP="00D32D6A">
      <w:pPr>
        <w:spacing w:after="120"/>
        <w:ind w:right="-153"/>
        <w:jc w:val="both"/>
        <w:rPr>
          <w:rFonts w:ascii="Times New Roman" w:hAnsi="Times New Roman" w:cs="Times New Roman"/>
          <w:sz w:val="24"/>
          <w:szCs w:val="24"/>
          <w:lang w:val="bg-BG"/>
        </w:rPr>
      </w:pPr>
    </w:p>
    <w:p w14:paraId="58FE91DD" w14:textId="5CCFA7F3" w:rsidR="009907CE" w:rsidRPr="00610B1B" w:rsidRDefault="009907CE" w:rsidP="00D32D6A">
      <w:pPr>
        <w:spacing w:after="120"/>
        <w:ind w:right="-153"/>
        <w:jc w:val="both"/>
        <w:rPr>
          <w:rFonts w:ascii="Times New Roman" w:hAnsi="Times New Roman" w:cs="Times New Roman"/>
          <w:sz w:val="24"/>
          <w:szCs w:val="24"/>
          <w:lang w:val="bg-BG"/>
        </w:rPr>
      </w:pPr>
    </w:p>
    <w:p w14:paraId="35115C1C" w14:textId="4E5E6BB0" w:rsidR="009907CE" w:rsidRPr="00610B1B" w:rsidRDefault="009907CE" w:rsidP="00D32D6A">
      <w:pPr>
        <w:spacing w:after="120"/>
        <w:ind w:right="-153"/>
        <w:jc w:val="both"/>
        <w:rPr>
          <w:rFonts w:ascii="Times New Roman" w:hAnsi="Times New Roman" w:cs="Times New Roman"/>
          <w:sz w:val="24"/>
          <w:szCs w:val="24"/>
          <w:lang w:val="bg-BG"/>
        </w:rPr>
      </w:pPr>
    </w:p>
    <w:p w14:paraId="17560D9D"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67A5C774" w14:textId="7CDF769D" w:rsidR="00527038" w:rsidRPr="00610B1B" w:rsidRDefault="00B62269" w:rsidP="00D32D6A">
      <w:pPr>
        <w:spacing w:after="120"/>
        <w:ind w:right="-153"/>
        <w:rPr>
          <w:rFonts w:ascii="Times New Roman" w:hAnsi="Times New Roman" w:cs="Times New Roman"/>
          <w:bCs/>
          <w:sz w:val="24"/>
          <w:szCs w:val="24"/>
          <w:lang w:val="bg-BG"/>
        </w:rPr>
      </w:pPr>
      <w:bookmarkStart w:id="393" w:name="_Toc83391494"/>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31</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527038" w:rsidRPr="00610B1B">
        <w:rPr>
          <w:rFonts w:ascii="Times New Roman" w:hAnsi="Times New Roman" w:cs="Times New Roman"/>
          <w:bCs/>
          <w:sz w:val="24"/>
          <w:szCs w:val="24"/>
          <w:lang w:val="bg-BG"/>
        </w:rPr>
        <w:t>Приходи от нощувки – 2018 г. (%)</w:t>
      </w:r>
      <w:bookmarkEnd w:id="393"/>
    </w:p>
    <w:p w14:paraId="5DE1A0FA" w14:textId="4D3CB93B" w:rsidR="00527038" w:rsidRPr="00610B1B" w:rsidRDefault="0004160B" w:rsidP="00D32D6A">
      <w:pPr>
        <w:spacing w:after="120"/>
        <w:ind w:right="-153"/>
        <w:jc w:val="both"/>
        <w:rPr>
          <w:rFonts w:ascii="Times New Roman" w:hAnsi="Times New Roman" w:cs="Times New Roman"/>
          <w:bCs/>
          <w:lang w:val="bg-BG"/>
        </w:rPr>
      </w:pPr>
      <w:r w:rsidRPr="00610B1B">
        <w:rPr>
          <w:rFonts w:ascii="Times New Roman" w:hAnsi="Times New Roman" w:cs="Times New Roman"/>
          <w:iCs/>
          <w:noProof/>
          <w:szCs w:val="18"/>
          <w:lang w:val="bg-BG" w:eastAsia="bg-BG"/>
        </w:rPr>
        <w:lastRenderedPageBreak/>
        <w:drawing>
          <wp:inline distT="0" distB="0" distL="0" distR="0" wp14:anchorId="2D9AEEAB" wp14:editId="2BC2CE9E">
            <wp:extent cx="4320221" cy="2732568"/>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81330" cy="2771220"/>
                    </a:xfrm>
                    <a:prstGeom prst="rect">
                      <a:avLst/>
                    </a:prstGeom>
                    <a:noFill/>
                  </pic:spPr>
                </pic:pic>
              </a:graphicData>
            </a:graphic>
          </wp:inline>
        </w:drawing>
      </w:r>
    </w:p>
    <w:p w14:paraId="33E98FFB" w14:textId="23A5DB8B" w:rsidR="00527038" w:rsidRPr="00610B1B" w:rsidRDefault="00527038" w:rsidP="00D32D6A">
      <w:pPr>
        <w:spacing w:after="120"/>
        <w:ind w:right="-153"/>
        <w:rPr>
          <w:rFonts w:ascii="Times New Roman" w:hAnsi="Times New Roman" w:cs="Times New Roman"/>
          <w:iCs/>
          <w:lang w:val="bg-BG"/>
        </w:rPr>
      </w:pPr>
      <w:r w:rsidRPr="00610B1B">
        <w:rPr>
          <w:rFonts w:ascii="Times New Roman" w:hAnsi="Times New Roman" w:cs="Times New Roman"/>
          <w:iCs/>
          <w:lang w:val="bg-BG"/>
        </w:rPr>
        <w:t>Източник: НСИ</w:t>
      </w:r>
    </w:p>
    <w:p w14:paraId="7E026C18" w14:textId="77777777" w:rsidR="00DD507D" w:rsidRPr="00610B1B" w:rsidRDefault="00DD507D" w:rsidP="00D32D6A">
      <w:pPr>
        <w:spacing w:after="120"/>
        <w:ind w:right="-153"/>
        <w:rPr>
          <w:rFonts w:ascii="Times New Roman" w:hAnsi="Times New Roman" w:cs="Times New Roman"/>
          <w:iCs/>
          <w:lang w:val="bg-BG"/>
        </w:rPr>
      </w:pPr>
    </w:p>
    <w:p w14:paraId="22455F03" w14:textId="0DBE44A2" w:rsidR="00527038" w:rsidRPr="00610B1B" w:rsidRDefault="00527038" w:rsidP="00D32D6A">
      <w:pPr>
        <w:pStyle w:val="Heading3"/>
        <w:spacing w:before="0" w:line="276" w:lineRule="auto"/>
        <w:ind w:right="-153"/>
        <w:rPr>
          <w:rFonts w:cs="Times New Roman"/>
        </w:rPr>
      </w:pPr>
      <w:bookmarkStart w:id="394" w:name="_Toc83391394"/>
      <w:r w:rsidRPr="00610B1B">
        <w:rPr>
          <w:rFonts w:cs="Times New Roman"/>
        </w:rPr>
        <w:t>3.6.3. Добив и комерсиализация на морски живи ресурси</w:t>
      </w:r>
      <w:bookmarkEnd w:id="394"/>
    </w:p>
    <w:p w14:paraId="5A5AACDC" w14:textId="3370A6F8" w:rsidR="00527038" w:rsidRPr="00610B1B" w:rsidRDefault="00D80B15" w:rsidP="00D32D6A">
      <w:pPr>
        <w:pStyle w:val="Heading4"/>
        <w:spacing w:before="0" w:line="276" w:lineRule="auto"/>
        <w:ind w:right="-153"/>
        <w:rPr>
          <w:rFonts w:cs="Times New Roman"/>
          <w:caps/>
        </w:rPr>
      </w:pPr>
      <w:bookmarkStart w:id="395" w:name="_Hlk43647130"/>
      <w:r w:rsidRPr="00610B1B">
        <w:rPr>
          <w:rFonts w:cs="Times New Roman"/>
        </w:rPr>
        <w:t xml:space="preserve">3.6.3.1. </w:t>
      </w:r>
      <w:r w:rsidR="00527038" w:rsidRPr="00610B1B">
        <w:rPr>
          <w:rFonts w:cs="Times New Roman"/>
        </w:rPr>
        <w:t>Риболов</w:t>
      </w:r>
    </w:p>
    <w:bookmarkEnd w:id="395"/>
    <w:p w14:paraId="14D71951" w14:textId="5DF9887B"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Според Годишния икономически доклад от 2019 г. </w:t>
      </w:r>
      <w:r w:rsidR="00D80B15"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риболовния флот на ЕС, основните характеристики на флота и икономическите резултати в сектор „Риболов” за България през 2017 г. </w:t>
      </w:r>
      <w:r w:rsidR="00D80B15" w:rsidRPr="00610B1B">
        <w:rPr>
          <w:rFonts w:ascii="Times New Roman" w:hAnsi="Times New Roman" w:cs="Times New Roman"/>
          <w:sz w:val="24"/>
          <w:szCs w:val="24"/>
          <w:lang w:val="bg-BG"/>
        </w:rPr>
        <w:t xml:space="preserve">данните показват, че </w:t>
      </w:r>
      <w:r w:rsidRPr="00610B1B">
        <w:rPr>
          <w:rFonts w:ascii="Times New Roman" w:hAnsi="Times New Roman" w:cs="Times New Roman"/>
          <w:sz w:val="24"/>
          <w:szCs w:val="24"/>
          <w:lang w:val="bg-BG"/>
        </w:rPr>
        <w:t>Българският риболовен флот се състои от 1</w:t>
      </w:r>
      <w:r w:rsidR="00DD507D"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864 регистрирани кораба, от които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са действали 1</w:t>
      </w:r>
      <w:r w:rsidR="00DD507D"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205. Активният флот има комбиниран брутен тонаж (GT) от 4,78 хиляди тона и средна възраст от 23 години (най-младият по възраст в ЕС).</w:t>
      </w:r>
      <w:r w:rsidR="00D80B15"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Средно българските плавателни съдове са прекарали само 19 дни в морето, следвани от малтийските (33 дни), румънските (36 дни) и хърватските (39 дни).</w:t>
      </w:r>
      <w:r w:rsidRPr="00610B1B">
        <w:rPr>
          <w:rStyle w:val="FootnoteReference"/>
          <w:rFonts w:ascii="Times New Roman" w:hAnsi="Times New Roman" w:cs="Times New Roman"/>
          <w:sz w:val="24"/>
          <w:szCs w:val="24"/>
          <w:lang w:val="bg-BG"/>
        </w:rPr>
        <w:footnoteReference w:id="132"/>
      </w:r>
      <w:r w:rsidR="00ED611F"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Общата заетост на ангажирания екипаж през 2017 г. е оценена на 1</w:t>
      </w:r>
      <w:r w:rsidR="00DD507D"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947 работни места, което отговаря на 716 FTE (пълно работно време) със средно 0,55 FTE на активен кораб. </w:t>
      </w:r>
    </w:p>
    <w:p w14:paraId="1AF30322" w14:textId="7777777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Брутната добавена стойност, брутната печалба и нетната печалба на риболова са оценени съответно на 3 млн. евро, 1.4 млн. евро и 1.1 млн. евро. До 2014 г. икономическите резултати са постоянно отрицателни, икономическата ситуация за 2015 г. се подобрява и през 2016 г. отново се влошава, но през 2017 г. ситуацията е по-добра по отношение на нетната печалба.</w:t>
      </w:r>
    </w:p>
    <w:p w14:paraId="77CBE67F" w14:textId="45514B45"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Българският флот има приблизителна стойност на физическия капитал в размер на 13 милиона евро, а инвестициите възлизат на 0,07 млн. евро. Много ниската стойност на инвестициите през 2017 г. </w:t>
      </w:r>
      <w:r w:rsidR="00DD507D" w:rsidRPr="00610B1B">
        <w:rPr>
          <w:rFonts w:ascii="Times New Roman" w:hAnsi="Times New Roman" w:cs="Times New Roman"/>
          <w:sz w:val="24"/>
          <w:szCs w:val="24"/>
          <w:lang w:val="bg-BG"/>
        </w:rPr>
        <w:t>се обяснява</w:t>
      </w:r>
      <w:r w:rsidRPr="00610B1B">
        <w:rPr>
          <w:rFonts w:ascii="Times New Roman" w:hAnsi="Times New Roman" w:cs="Times New Roman"/>
          <w:sz w:val="24"/>
          <w:szCs w:val="24"/>
          <w:lang w:val="bg-BG"/>
        </w:rPr>
        <w:t xml:space="preserve"> с ниския интерес предимно от риболовците на </w:t>
      </w:r>
      <w:r w:rsidRPr="00610B1B">
        <w:rPr>
          <w:rFonts w:ascii="Times New Roman" w:hAnsi="Times New Roman" w:cs="Times New Roman"/>
          <w:sz w:val="24"/>
          <w:szCs w:val="24"/>
          <w:lang w:val="bg-BG"/>
        </w:rPr>
        <w:lastRenderedPageBreak/>
        <w:t>малкия крайбрежен флот и трудния достъп до финансиране от Програмата за морско дело и рибарство 2014-2020 г. Те изразходват собствени средства или използват допълнително финансиране и генерират дългове в размер на близо 0,1 милиона евро. Това може да е и причината за лошите икономически резултати в малкия риболовен флот.</w:t>
      </w:r>
    </w:p>
    <w:p w14:paraId="67066E0B" w14:textId="1C51854F"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Пазарът и търговията като ключов фактор влияят върху дейността, особено за нивото на цените. Вътрешният пазар не е увеличил търсенето на местния риболов, така че уловът е сходен (сравнително ниски нива за малки пелагични, както и за дънни видове). Местните продукти са изправени пред конкуренцията на вносна риба, особено от веригите супермаркети.</w:t>
      </w:r>
      <w:r w:rsidR="0095427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Младите хора нямат мотивация да работят в сектора или да инвестират пари, поради ниското ниво на интерес от страна на местните власти за осигуряване на минимални условия за развитие на дейности за риболова. </w:t>
      </w:r>
    </w:p>
    <w:p w14:paraId="4D9B6CBF" w14:textId="25B33E1A" w:rsidR="00527038" w:rsidRPr="00610B1B" w:rsidRDefault="00B62269" w:rsidP="00FD59A8">
      <w:pPr>
        <w:spacing w:after="120" w:line="240" w:lineRule="auto"/>
        <w:ind w:right="-153"/>
        <w:rPr>
          <w:rFonts w:ascii="Times New Roman" w:hAnsi="Times New Roman" w:cs="Times New Roman"/>
          <w:bCs/>
          <w:sz w:val="24"/>
          <w:szCs w:val="24"/>
          <w:lang w:val="bg-BG"/>
        </w:rPr>
      </w:pPr>
      <w:bookmarkStart w:id="396" w:name="_Toc83391495"/>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32</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00527038" w:rsidRPr="00610B1B">
        <w:rPr>
          <w:rFonts w:ascii="Times New Roman" w:hAnsi="Times New Roman" w:cs="Times New Roman"/>
          <w:bCs/>
          <w:sz w:val="24"/>
          <w:szCs w:val="24"/>
          <w:lang w:val="bg-BG"/>
        </w:rPr>
        <w:t xml:space="preserve">Улови по общини за 2018 г., </w:t>
      </w:r>
      <w:r w:rsidR="00DD507D" w:rsidRPr="00610B1B">
        <w:rPr>
          <w:rFonts w:ascii="Times New Roman" w:hAnsi="Times New Roman" w:cs="Times New Roman"/>
          <w:bCs/>
          <w:sz w:val="24"/>
          <w:szCs w:val="24"/>
          <w:lang w:val="bg-BG"/>
        </w:rPr>
        <w:t>kg</w:t>
      </w:r>
      <w:bookmarkEnd w:id="396"/>
    </w:p>
    <w:p w14:paraId="5EA7C1F6" w14:textId="67DD0807" w:rsidR="00527038" w:rsidRPr="00610B1B" w:rsidRDefault="00CD6DB2" w:rsidP="00FD59A8">
      <w:pPr>
        <w:spacing w:after="0"/>
        <w:ind w:right="-153"/>
        <w:rPr>
          <w:rFonts w:ascii="Times New Roman" w:hAnsi="Times New Roman" w:cs="Times New Roman"/>
          <w:lang w:val="bg-BG"/>
        </w:rPr>
      </w:pPr>
      <w:r w:rsidRPr="00610B1B">
        <w:rPr>
          <w:rFonts w:ascii="Times New Roman" w:hAnsi="Times New Roman" w:cs="Times New Roman"/>
          <w:bCs/>
          <w:noProof/>
          <w:sz w:val="24"/>
          <w:szCs w:val="24"/>
          <w:lang w:val="bg-BG" w:eastAsia="bg-BG"/>
        </w:rPr>
        <w:drawing>
          <wp:inline distT="0" distB="0" distL="0" distR="0" wp14:anchorId="4576AC86" wp14:editId="325F2050">
            <wp:extent cx="3752193" cy="2976991"/>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49">
                      <a:extLst>
                        <a:ext uri="{28A0092B-C50C-407E-A947-70E740481C1C}">
                          <a14:useLocalDpi xmlns:a14="http://schemas.microsoft.com/office/drawing/2010/main" val="0"/>
                        </a:ext>
                      </a:extLst>
                    </a:blip>
                    <a:srcRect l="1674" t="3675" r="1951" b="3035"/>
                    <a:stretch/>
                  </pic:blipFill>
                  <pic:spPr bwMode="auto">
                    <a:xfrm>
                      <a:off x="0" y="0"/>
                      <a:ext cx="3813013" cy="3025246"/>
                    </a:xfrm>
                    <a:prstGeom prst="rect">
                      <a:avLst/>
                    </a:prstGeom>
                    <a:ln>
                      <a:noFill/>
                    </a:ln>
                    <a:extLst>
                      <a:ext uri="{53640926-AAD7-44D8-BBD7-CCE9431645EC}">
                        <a14:shadowObscured xmlns:a14="http://schemas.microsoft.com/office/drawing/2010/main"/>
                      </a:ext>
                    </a:extLst>
                  </pic:spPr>
                </pic:pic>
              </a:graphicData>
            </a:graphic>
          </wp:inline>
        </w:drawing>
      </w:r>
    </w:p>
    <w:p w14:paraId="64C8EDC1" w14:textId="2AF2BAD4" w:rsidR="00527038" w:rsidRPr="00610B1B" w:rsidRDefault="00527038" w:rsidP="00D32D6A">
      <w:pPr>
        <w:spacing w:after="120"/>
        <w:ind w:right="-153"/>
        <w:jc w:val="both"/>
        <w:rPr>
          <w:rFonts w:ascii="Times New Roman" w:hAnsi="Times New Roman" w:cs="Times New Roman"/>
          <w:iCs/>
          <w:lang w:val="bg-BG"/>
        </w:rPr>
      </w:pPr>
      <w:r w:rsidRPr="00610B1B">
        <w:rPr>
          <w:rFonts w:ascii="Times New Roman" w:hAnsi="Times New Roman" w:cs="Times New Roman"/>
          <w:iCs/>
          <w:lang w:val="bg-BG"/>
        </w:rPr>
        <w:t>Източник: Информационна система на ИАРА</w:t>
      </w:r>
    </w:p>
    <w:p w14:paraId="139C7872" w14:textId="77777777" w:rsidR="00954279" w:rsidRPr="00610B1B" w:rsidRDefault="00954279" w:rsidP="00954279">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Уловите на риба по общини варират от 9 322 хил. kg (2013 г.) до 7584 хил. kg (2018 г.). Определена тенденция на силен спад в общия размер на улова се отбелязва в общините Варна, Каварна и Бургас. Спадът на улова на риба през последните години се дължи на намаляването на рибните популации в Черно море. </w:t>
      </w:r>
    </w:p>
    <w:p w14:paraId="0B55FAD4" w14:textId="0B1B8095" w:rsidR="00527038" w:rsidRPr="00610B1B" w:rsidRDefault="00ED611F" w:rsidP="00D32D6A">
      <w:pPr>
        <w:pStyle w:val="Heading4"/>
        <w:spacing w:before="0" w:line="276" w:lineRule="auto"/>
        <w:ind w:right="-153"/>
        <w:rPr>
          <w:rFonts w:cs="Times New Roman"/>
        </w:rPr>
      </w:pPr>
      <w:r w:rsidRPr="00610B1B">
        <w:rPr>
          <w:rFonts w:cs="Times New Roman"/>
        </w:rPr>
        <w:t xml:space="preserve">3.6.3.2. </w:t>
      </w:r>
      <w:r w:rsidR="00527038" w:rsidRPr="00610B1B">
        <w:rPr>
          <w:rFonts w:cs="Times New Roman"/>
        </w:rPr>
        <w:t>Аквакултура</w:t>
      </w:r>
    </w:p>
    <w:p w14:paraId="26D94AF6" w14:textId="77777777" w:rsidR="00ED611F"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Общата тенденция е към увеличаване на производството на миди, както и </w:t>
      </w:r>
      <w:r w:rsidR="00DD507D" w:rsidRPr="00610B1B">
        <w:rPr>
          <w:rFonts w:ascii="Times New Roman" w:hAnsi="Times New Roman" w:cs="Times New Roman"/>
          <w:sz w:val="24"/>
          <w:szCs w:val="24"/>
          <w:lang w:val="bg-BG"/>
        </w:rPr>
        <w:t xml:space="preserve">на </w:t>
      </w:r>
      <w:r w:rsidRPr="00610B1B">
        <w:rPr>
          <w:rFonts w:ascii="Times New Roman" w:hAnsi="Times New Roman" w:cs="Times New Roman"/>
          <w:sz w:val="24"/>
          <w:szCs w:val="24"/>
          <w:lang w:val="bg-BG"/>
        </w:rPr>
        <w:t xml:space="preserve">равнището на заетост в периода 2009–2017 г. В края на 2017 г. функционират 32 стопанства за морски аквакултури (миди), разположени в общините Бургас, Царево, Несебър, Поморие, Созопол, Приморско, Каварна, Варна. </w:t>
      </w:r>
    </w:p>
    <w:p w14:paraId="7C845833" w14:textId="59F854C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Според данни от Търговския регистър през 2018 г. в тях са ангажирани около 80 човека (постоянно заети) и около 150 човека през летния сезон. Приходите в края на 2018 г. надхвърлят 5 млн. лв., общата сума на активите – 13 млн.лв.</w:t>
      </w:r>
    </w:p>
    <w:p w14:paraId="7C389DC6" w14:textId="5612958C" w:rsidR="00527038" w:rsidRPr="00610B1B" w:rsidRDefault="00ED611F" w:rsidP="00D32D6A">
      <w:pPr>
        <w:pStyle w:val="Heading4"/>
        <w:spacing w:before="0" w:line="276" w:lineRule="auto"/>
        <w:ind w:right="-153"/>
        <w:rPr>
          <w:rFonts w:cs="Times New Roman"/>
          <w:caps/>
        </w:rPr>
      </w:pPr>
      <w:r w:rsidRPr="00610B1B">
        <w:rPr>
          <w:rFonts w:cs="Times New Roman"/>
        </w:rPr>
        <w:lastRenderedPageBreak/>
        <w:t xml:space="preserve">3.6.3.3. </w:t>
      </w:r>
      <w:r w:rsidR="00527038" w:rsidRPr="00610B1B">
        <w:rPr>
          <w:rFonts w:cs="Times New Roman"/>
        </w:rPr>
        <w:t xml:space="preserve">Преработка на риба и дистрибуция </w:t>
      </w:r>
    </w:p>
    <w:p w14:paraId="2309C1DF" w14:textId="6BF2F17F" w:rsidR="00527038" w:rsidRPr="00610B1B" w:rsidRDefault="00527038"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Cs/>
          <w:sz w:val="24"/>
          <w:szCs w:val="24"/>
          <w:lang w:val="bg-BG"/>
        </w:rPr>
        <w:t xml:space="preserve">Дейността за преработка и дистрибуция на риба включва преработка и консервиране на риба, търговия на едро с други храни, вкл. риба, продажба на дребно на риба, приготвени храни и ястия. </w:t>
      </w:r>
      <w:r w:rsidR="00ED611F" w:rsidRPr="00610B1B">
        <w:rPr>
          <w:rFonts w:ascii="Times New Roman" w:hAnsi="Times New Roman" w:cs="Times New Roman"/>
          <w:bCs/>
          <w:sz w:val="24"/>
          <w:szCs w:val="24"/>
          <w:lang w:val="bg-BG"/>
        </w:rPr>
        <w:t xml:space="preserve">Въпреки че има потенциал за развитие та аквакултура, </w:t>
      </w:r>
      <w:r w:rsidRPr="00610B1B">
        <w:rPr>
          <w:rFonts w:ascii="Times New Roman" w:hAnsi="Times New Roman" w:cs="Times New Roman"/>
          <w:sz w:val="24"/>
          <w:szCs w:val="24"/>
          <w:lang w:val="bg-BG"/>
        </w:rPr>
        <w:t>България задоволява едва 45% от консумираните количества риба и рибни продукти</w:t>
      </w:r>
      <w:r w:rsidR="00ED611F" w:rsidRPr="00610B1B">
        <w:rPr>
          <w:rFonts w:ascii="Times New Roman" w:hAnsi="Times New Roman" w:cs="Times New Roman"/>
          <w:sz w:val="24"/>
          <w:szCs w:val="24"/>
          <w:lang w:val="bg-BG"/>
        </w:rPr>
        <w:t xml:space="preserve"> на вътрешния пазар</w:t>
      </w:r>
      <w:r w:rsidRPr="00610B1B">
        <w:rPr>
          <w:rFonts w:ascii="Times New Roman" w:hAnsi="Times New Roman" w:cs="Times New Roman"/>
          <w:sz w:val="24"/>
          <w:szCs w:val="24"/>
          <w:lang w:val="bg-BG"/>
        </w:rPr>
        <w:t xml:space="preserve">, като нивото на потребление е в пъти по-ниско от средноевропейските нива на консумация. </w:t>
      </w:r>
    </w:p>
    <w:p w14:paraId="485F551D" w14:textId="3E5D0F2F"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Като производители на риба и рибни продукти в България са регистрирани 36 компании</w:t>
      </w:r>
      <w:r w:rsidRPr="00610B1B">
        <w:rPr>
          <w:rStyle w:val="FootnoteReference"/>
          <w:rFonts w:ascii="Times New Roman" w:hAnsi="Times New Roman" w:cs="Times New Roman"/>
          <w:sz w:val="24"/>
          <w:szCs w:val="24"/>
          <w:lang w:val="bg-BG"/>
        </w:rPr>
        <w:footnoteReference w:id="133"/>
      </w:r>
      <w:r w:rsidRPr="00610B1B">
        <w:rPr>
          <w:rFonts w:ascii="Times New Roman" w:hAnsi="Times New Roman" w:cs="Times New Roman"/>
          <w:sz w:val="24"/>
          <w:szCs w:val="24"/>
          <w:lang w:val="bg-BG"/>
        </w:rPr>
        <w:t>. Териториалното им разположение е основно в общините Бургас, Варна, Несебър, Каварна, Поморие, Созопол, Аксаково, като те са локализирани не само в крайбрежните общини, но и съседни на тях (напр. Айтос). Дейността на тези фирми в много случаи се комбинира с търговия с риба на едро и дребно. Преработката и консервирането на риба е концентрирано във Варна и Бургас, с близо 50% от общия оборот на тази дейност в страната. При нея се наблюдава умерен ръст на приходите от 5% в последните години, които достигат 43.8 млн. лв. през 2017 г.</w:t>
      </w:r>
    </w:p>
    <w:p w14:paraId="131C6601"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0C510FDB" w14:textId="3D9A6732" w:rsidR="00527038" w:rsidRPr="00610B1B" w:rsidRDefault="00527038" w:rsidP="00D32D6A">
      <w:pPr>
        <w:pStyle w:val="Heading3"/>
        <w:spacing w:before="0" w:line="276" w:lineRule="auto"/>
        <w:ind w:right="-153"/>
        <w:rPr>
          <w:rFonts w:cs="Times New Roman"/>
        </w:rPr>
      </w:pPr>
      <w:bookmarkStart w:id="397" w:name="_Toc83391395"/>
      <w:r w:rsidRPr="00610B1B">
        <w:rPr>
          <w:rFonts w:cs="Times New Roman"/>
        </w:rPr>
        <w:t>3.6.4. Морски добив от минерали, нефт и газ (Добив на морски неживи ресурси)</w:t>
      </w:r>
      <w:bookmarkEnd w:id="397"/>
    </w:p>
    <w:p w14:paraId="1CDA01A1" w14:textId="6BABF0F2"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 територията на шелфа и изключителната икономическа зона на Р. България в Черно море, към настоящия момент има две действащи площи с действащи разре</w:t>
      </w:r>
      <w:r w:rsidR="008D3D80" w:rsidRPr="00610B1B">
        <w:rPr>
          <w:rFonts w:ascii="Times New Roman" w:hAnsi="Times New Roman" w:cs="Times New Roman"/>
          <w:sz w:val="24"/>
          <w:szCs w:val="24"/>
          <w:lang w:val="bg-BG"/>
        </w:rPr>
        <w:t>ше</w:t>
      </w:r>
      <w:r w:rsidRPr="00610B1B">
        <w:rPr>
          <w:rFonts w:ascii="Times New Roman" w:hAnsi="Times New Roman" w:cs="Times New Roman"/>
          <w:sz w:val="24"/>
          <w:szCs w:val="24"/>
          <w:lang w:val="bg-BG"/>
        </w:rPr>
        <w:t>ния за търсене и проучване на нефт и природен газ:</w:t>
      </w:r>
    </w:p>
    <w:p w14:paraId="727D3263" w14:textId="62D55D47" w:rsidR="00527038" w:rsidRPr="00610B1B" w:rsidRDefault="00527038" w:rsidP="00B46189">
      <w:pPr>
        <w:numPr>
          <w:ilvl w:val="0"/>
          <w:numId w:val="39"/>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Блок 1-14 Силистар/Хан Кубрат (решение № 94/22.02.2019</w:t>
      </w:r>
      <w:r w:rsidR="008D3D80" w:rsidRPr="00610B1B">
        <w:rPr>
          <w:rFonts w:ascii="Times New Roman" w:hAnsi="Times New Roman" w:cs="Times New Roman"/>
          <w:sz w:val="24"/>
          <w:szCs w:val="24"/>
          <w:lang w:val="bg-BG"/>
        </w:rPr>
        <w:t>г.)</w:t>
      </w:r>
      <w:r w:rsidRPr="00610B1B">
        <w:rPr>
          <w:rFonts w:ascii="Times New Roman" w:hAnsi="Times New Roman" w:cs="Times New Roman"/>
          <w:sz w:val="24"/>
          <w:szCs w:val="24"/>
          <w:lang w:val="bg-BG"/>
        </w:rPr>
        <w:t>, с обща площ от 6</w:t>
      </w:r>
      <w:r w:rsidR="008D3D8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893 </w:t>
      </w:r>
      <w:r w:rsidR="008D3D80" w:rsidRPr="00610B1B">
        <w:rPr>
          <w:rFonts w:ascii="Times New Roman" w:hAnsi="Times New Roman" w:cs="Times New Roman"/>
          <w:sz w:val="24"/>
          <w:szCs w:val="24"/>
          <w:lang w:val="bg-BG"/>
        </w:rPr>
        <w:t>km</w:t>
      </w:r>
      <w:r w:rsidR="008D3D80"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за срок за 5 години с титуляр </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Шел интернешънъл експлорейшън енд дивелъпмънт Италия с.п.а.</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(50%), </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Уудсайд енерджи (България) лимитид</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(30%) и </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Репсол България Хан Кубрат с.а.</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(20%).</w:t>
      </w:r>
    </w:p>
    <w:p w14:paraId="4802E2F2" w14:textId="3452A94B" w:rsidR="00527038" w:rsidRPr="00610B1B" w:rsidRDefault="00527038" w:rsidP="00B46189">
      <w:pPr>
        <w:numPr>
          <w:ilvl w:val="0"/>
          <w:numId w:val="39"/>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Блок 1-21 Хан Аспарух (решение № 146/15.03.2019</w:t>
      </w:r>
      <w:r w:rsidR="008D3D80" w:rsidRPr="00610B1B">
        <w:rPr>
          <w:rFonts w:ascii="Times New Roman" w:hAnsi="Times New Roman" w:cs="Times New Roman"/>
          <w:sz w:val="24"/>
          <w:szCs w:val="24"/>
          <w:lang w:val="bg-BG"/>
        </w:rPr>
        <w:t xml:space="preserve"> г.)</w:t>
      </w:r>
      <w:r w:rsidRPr="00610B1B">
        <w:rPr>
          <w:rFonts w:ascii="Times New Roman" w:hAnsi="Times New Roman" w:cs="Times New Roman"/>
          <w:sz w:val="24"/>
          <w:szCs w:val="24"/>
          <w:lang w:val="bg-BG"/>
        </w:rPr>
        <w:t xml:space="preserve"> с обща площ от 14</w:t>
      </w:r>
      <w:r w:rsidR="008D3D80" w:rsidRPr="00610B1B">
        <w:rPr>
          <w:rFonts w:ascii="Times New Roman" w:hAnsi="Times New Roman" w:cs="Times New Roman"/>
          <w:sz w:val="24"/>
          <w:szCs w:val="24"/>
          <w:lang w:val="bg-BG"/>
        </w:rPr>
        <w:t> </w:t>
      </w:r>
      <w:r w:rsidRPr="00610B1B">
        <w:rPr>
          <w:rFonts w:ascii="Times New Roman" w:hAnsi="Times New Roman" w:cs="Times New Roman"/>
          <w:sz w:val="24"/>
          <w:szCs w:val="24"/>
          <w:lang w:val="bg-BG"/>
        </w:rPr>
        <w:t xml:space="preserve">019 </w:t>
      </w:r>
      <w:r w:rsidR="008D3D80" w:rsidRPr="00610B1B">
        <w:rPr>
          <w:rFonts w:ascii="Times New Roman" w:hAnsi="Times New Roman" w:cs="Times New Roman"/>
          <w:sz w:val="24"/>
          <w:szCs w:val="24"/>
          <w:lang w:val="bg-BG"/>
        </w:rPr>
        <w:t>km</w:t>
      </w:r>
      <w:r w:rsidR="008D3D80" w:rsidRPr="00610B1B">
        <w:rPr>
          <w:rFonts w:ascii="Times New Roman" w:hAnsi="Times New Roman" w:cs="Times New Roman"/>
          <w:sz w:val="24"/>
          <w:szCs w:val="24"/>
          <w:vertAlign w:val="superscript"/>
          <w:lang w:val="bg-BG"/>
        </w:rPr>
        <w:t>2</w:t>
      </w:r>
      <w:r w:rsidR="008D3D8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за срок 5 години+135 дни+2 години+109 дни с титуляр </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Тотал </w:t>
      </w:r>
      <w:r w:rsidR="008D3D80" w:rsidRPr="00610B1B">
        <w:rPr>
          <w:rFonts w:ascii="Times New Roman" w:hAnsi="Times New Roman" w:cs="Times New Roman"/>
          <w:sz w:val="24"/>
          <w:szCs w:val="24"/>
          <w:lang w:val="bg-BG"/>
        </w:rPr>
        <w:t>Е</w:t>
      </w:r>
      <w:r w:rsidRPr="00610B1B">
        <w:rPr>
          <w:rFonts w:ascii="Times New Roman" w:hAnsi="Times New Roman" w:cs="Times New Roman"/>
          <w:sz w:val="24"/>
          <w:szCs w:val="24"/>
          <w:lang w:val="bg-BG"/>
        </w:rPr>
        <w:t>&amp;</w:t>
      </w:r>
      <w:r w:rsidR="008D3D80" w:rsidRPr="00610B1B">
        <w:rPr>
          <w:rFonts w:ascii="Times New Roman" w:hAnsi="Times New Roman" w:cs="Times New Roman"/>
          <w:sz w:val="24"/>
          <w:szCs w:val="24"/>
          <w:lang w:val="bg-BG"/>
        </w:rPr>
        <w:t>П</w:t>
      </w:r>
      <w:r w:rsidRPr="00610B1B">
        <w:rPr>
          <w:rFonts w:ascii="Times New Roman" w:hAnsi="Times New Roman" w:cs="Times New Roman"/>
          <w:sz w:val="24"/>
          <w:szCs w:val="24"/>
          <w:lang w:val="bg-BG"/>
        </w:rPr>
        <w:t xml:space="preserve"> България</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б.в. (40%), </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ОМВ офшор България</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r w:rsidR="008D3D80" w:rsidRPr="00610B1B">
        <w:rPr>
          <w:rFonts w:ascii="Times New Roman" w:hAnsi="Times New Roman" w:cs="Times New Roman"/>
          <w:sz w:val="24"/>
          <w:szCs w:val="24"/>
          <w:lang w:val="bg-BG"/>
        </w:rPr>
        <w:t xml:space="preserve">Гмбх </w:t>
      </w:r>
      <w:r w:rsidRPr="00610B1B">
        <w:rPr>
          <w:rFonts w:ascii="Times New Roman" w:hAnsi="Times New Roman" w:cs="Times New Roman"/>
          <w:sz w:val="24"/>
          <w:szCs w:val="24"/>
          <w:lang w:val="bg-BG"/>
        </w:rPr>
        <w:t xml:space="preserve">(30%) и </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Репсол България</w:t>
      </w:r>
      <w:r w:rsidR="008D3D8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б.в. (30%).</w:t>
      </w:r>
    </w:p>
    <w:p w14:paraId="6235641B" w14:textId="38E79725" w:rsidR="009907CE" w:rsidRPr="00610B1B" w:rsidRDefault="009907CE" w:rsidP="009907CE">
      <w:pPr>
        <w:spacing w:after="120"/>
        <w:ind w:right="-153"/>
        <w:jc w:val="both"/>
        <w:rPr>
          <w:rFonts w:ascii="Times New Roman" w:hAnsi="Times New Roman" w:cs="Times New Roman"/>
          <w:sz w:val="24"/>
          <w:szCs w:val="24"/>
          <w:lang w:val="bg-BG"/>
        </w:rPr>
      </w:pPr>
    </w:p>
    <w:p w14:paraId="279E4095" w14:textId="2705FDE5" w:rsidR="009907CE" w:rsidRPr="00610B1B" w:rsidRDefault="009907CE" w:rsidP="009907CE">
      <w:pPr>
        <w:spacing w:after="120"/>
        <w:ind w:right="-153"/>
        <w:jc w:val="both"/>
        <w:rPr>
          <w:rFonts w:ascii="Times New Roman" w:hAnsi="Times New Roman" w:cs="Times New Roman"/>
          <w:sz w:val="24"/>
          <w:szCs w:val="24"/>
          <w:lang w:val="bg-BG"/>
        </w:rPr>
      </w:pPr>
    </w:p>
    <w:p w14:paraId="19AFCBCE" w14:textId="01FE20D4" w:rsidR="009907CE" w:rsidRPr="00610B1B" w:rsidRDefault="009907CE" w:rsidP="009907CE">
      <w:pPr>
        <w:spacing w:after="120"/>
        <w:ind w:right="-153"/>
        <w:jc w:val="both"/>
        <w:rPr>
          <w:rFonts w:ascii="Times New Roman" w:hAnsi="Times New Roman" w:cs="Times New Roman"/>
          <w:sz w:val="24"/>
          <w:szCs w:val="24"/>
          <w:lang w:val="bg-BG"/>
        </w:rPr>
      </w:pPr>
    </w:p>
    <w:p w14:paraId="0D3E14AC" w14:textId="0E9E480C" w:rsidR="009907CE" w:rsidRPr="00610B1B" w:rsidRDefault="009907CE" w:rsidP="009907CE">
      <w:pPr>
        <w:spacing w:after="120"/>
        <w:ind w:right="-153"/>
        <w:jc w:val="both"/>
        <w:rPr>
          <w:rFonts w:ascii="Times New Roman" w:hAnsi="Times New Roman" w:cs="Times New Roman"/>
          <w:sz w:val="24"/>
          <w:szCs w:val="24"/>
          <w:lang w:val="bg-BG"/>
        </w:rPr>
      </w:pPr>
    </w:p>
    <w:p w14:paraId="693EA2F6" w14:textId="77777777" w:rsidR="009907CE" w:rsidRPr="00610B1B" w:rsidRDefault="009907CE" w:rsidP="009907CE">
      <w:pPr>
        <w:spacing w:after="240"/>
        <w:ind w:right="-153"/>
        <w:jc w:val="both"/>
        <w:rPr>
          <w:rFonts w:ascii="Times New Roman" w:hAnsi="Times New Roman" w:cs="Times New Roman"/>
          <w:sz w:val="24"/>
          <w:szCs w:val="24"/>
          <w:lang w:val="bg-BG"/>
        </w:rPr>
      </w:pPr>
    </w:p>
    <w:p w14:paraId="0F21FC27" w14:textId="4CAA50FE" w:rsidR="00527038" w:rsidRPr="00610B1B" w:rsidRDefault="00B62269" w:rsidP="00CD6DB2">
      <w:pPr>
        <w:widowControl w:val="0"/>
        <w:tabs>
          <w:tab w:val="left" w:pos="0"/>
          <w:tab w:val="left" w:pos="9746"/>
        </w:tabs>
        <w:autoSpaceDE w:val="0"/>
        <w:autoSpaceDN w:val="0"/>
        <w:adjustRightInd w:val="0"/>
        <w:spacing w:after="80" w:line="240" w:lineRule="auto"/>
        <w:ind w:right="-153"/>
        <w:rPr>
          <w:rFonts w:ascii="Times New Roman" w:hAnsi="Times New Roman" w:cs="Times New Roman"/>
          <w:bCs/>
          <w:sz w:val="24"/>
          <w:szCs w:val="24"/>
          <w:lang w:val="bg-BG"/>
        </w:rPr>
      </w:pPr>
      <w:bookmarkStart w:id="398" w:name="_Toc83391496"/>
      <w:r w:rsidRPr="00610B1B">
        <w:rPr>
          <w:rFonts w:ascii="Times New Roman" w:hAnsi="Times New Roman" w:cs="Times New Roman"/>
          <w:sz w:val="24"/>
          <w:szCs w:val="24"/>
          <w:lang w:val="bg-BG"/>
        </w:rPr>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33</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640C4F" w:rsidRPr="00610B1B">
        <w:rPr>
          <w:rFonts w:ascii="Times New Roman" w:hAnsi="Times New Roman" w:cs="Times New Roman"/>
          <w:bCs/>
          <w:sz w:val="24"/>
          <w:szCs w:val="24"/>
          <w:lang w:val="bg-BG"/>
        </w:rPr>
        <w:t xml:space="preserve">Блоковете </w:t>
      </w:r>
      <w:r w:rsidR="00527038" w:rsidRPr="00610B1B">
        <w:rPr>
          <w:rFonts w:ascii="Times New Roman" w:hAnsi="Times New Roman" w:cs="Times New Roman"/>
          <w:bCs/>
          <w:sz w:val="24"/>
          <w:szCs w:val="24"/>
          <w:lang w:val="bg-BG"/>
        </w:rPr>
        <w:t xml:space="preserve">за търсене и проучване на нефт и природен газ на територията на Република България, континенталния шелф и </w:t>
      </w:r>
      <w:r w:rsidR="00640C4F" w:rsidRPr="00610B1B">
        <w:rPr>
          <w:rFonts w:ascii="Times New Roman" w:hAnsi="Times New Roman" w:cs="Times New Roman"/>
          <w:bCs/>
          <w:sz w:val="24"/>
          <w:szCs w:val="24"/>
          <w:lang w:val="bg-BG"/>
        </w:rPr>
        <w:t>ИИЗ</w:t>
      </w:r>
      <w:r w:rsidR="00527038" w:rsidRPr="00610B1B">
        <w:rPr>
          <w:rFonts w:ascii="Times New Roman" w:hAnsi="Times New Roman" w:cs="Times New Roman"/>
          <w:bCs/>
          <w:sz w:val="24"/>
          <w:szCs w:val="24"/>
          <w:lang w:val="bg-BG"/>
        </w:rPr>
        <w:t xml:space="preserve"> на Черно море</w:t>
      </w:r>
      <w:bookmarkEnd w:id="398"/>
    </w:p>
    <w:p w14:paraId="25D30F41" w14:textId="60C73FF5" w:rsidR="00527038" w:rsidRPr="00610B1B" w:rsidRDefault="00527038" w:rsidP="00CD6DB2">
      <w:pPr>
        <w:widowControl w:val="0"/>
        <w:tabs>
          <w:tab w:val="left" w:pos="0"/>
          <w:tab w:val="left" w:pos="9746"/>
        </w:tabs>
        <w:autoSpaceDE w:val="0"/>
        <w:autoSpaceDN w:val="0"/>
        <w:adjustRightInd w:val="0"/>
        <w:spacing w:after="60" w:line="240" w:lineRule="auto"/>
        <w:ind w:right="-153"/>
        <w:rPr>
          <w:rFonts w:ascii="Times New Roman" w:hAnsi="Times New Roman" w:cs="Times New Roman"/>
          <w:bCs/>
          <w:lang w:val="bg-BG"/>
        </w:rPr>
      </w:pPr>
      <w:r w:rsidRPr="00610B1B">
        <w:rPr>
          <w:rFonts w:ascii="Times New Roman" w:hAnsi="Times New Roman" w:cs="Times New Roman"/>
          <w:bCs/>
          <w:noProof/>
          <w:lang w:val="bg-BG" w:eastAsia="bg-BG"/>
        </w:rPr>
        <w:lastRenderedPageBreak/>
        <w:drawing>
          <wp:inline distT="0" distB="0" distL="0" distR="0" wp14:anchorId="379329FA" wp14:editId="28500EDB">
            <wp:extent cx="4908550" cy="3101340"/>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08550" cy="3101340"/>
                    </a:xfrm>
                    <a:prstGeom prst="rect">
                      <a:avLst/>
                    </a:prstGeom>
                    <a:noFill/>
                    <a:ln w="6350" cmpd="sng">
                      <a:noFill/>
                      <a:miter lim="800000"/>
                      <a:headEnd/>
                      <a:tailEnd/>
                    </a:ln>
                    <a:effectLst/>
                  </pic:spPr>
                </pic:pic>
              </a:graphicData>
            </a:graphic>
          </wp:inline>
        </w:drawing>
      </w:r>
    </w:p>
    <w:p w14:paraId="2CFCF519" w14:textId="3CF2043A" w:rsidR="00527038" w:rsidRPr="00610B1B" w:rsidRDefault="00527038"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bCs/>
          <w:iCs/>
          <w:lang w:val="bg-BG"/>
        </w:rPr>
      </w:pPr>
      <w:r w:rsidRPr="00610B1B">
        <w:rPr>
          <w:rFonts w:ascii="Times New Roman" w:hAnsi="Times New Roman" w:cs="Times New Roman"/>
          <w:bCs/>
          <w:iCs/>
          <w:lang w:val="bg-BG"/>
        </w:rPr>
        <w:t xml:space="preserve">Източник: </w:t>
      </w:r>
      <w:hyperlink r:id="rId51" w:history="1">
        <w:r w:rsidRPr="00610B1B">
          <w:rPr>
            <w:rStyle w:val="Hyperlink"/>
            <w:rFonts w:ascii="Times New Roman" w:hAnsi="Times New Roman" w:cs="Times New Roman"/>
            <w:bCs/>
            <w:iCs/>
            <w:lang w:val="bg-BG"/>
          </w:rPr>
          <w:t>https://www.me.government.bg/files/useruploads/files/karti/eve_wgs35_nefi&amp;gaz.pdf</w:t>
        </w:r>
      </w:hyperlink>
    </w:p>
    <w:p w14:paraId="28F15D02" w14:textId="037228D6" w:rsidR="0029238A" w:rsidRPr="00610B1B" w:rsidRDefault="0029238A"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 територията на крайморските общини Шабла и Каварна попада “</w:t>
      </w:r>
      <w:r w:rsidR="008D3D80" w:rsidRPr="00610B1B">
        <w:rPr>
          <w:rFonts w:ascii="Times New Roman" w:hAnsi="Times New Roman" w:cs="Times New Roman"/>
          <w:sz w:val="24"/>
          <w:szCs w:val="24"/>
          <w:lang w:val="bg-BG"/>
        </w:rPr>
        <w:t xml:space="preserve">Блок </w:t>
      </w:r>
      <w:r w:rsidRPr="00610B1B">
        <w:rPr>
          <w:rFonts w:ascii="Times New Roman" w:hAnsi="Times New Roman" w:cs="Times New Roman"/>
          <w:sz w:val="24"/>
          <w:szCs w:val="24"/>
          <w:lang w:val="bg-BG"/>
        </w:rPr>
        <w:t>1-11 Вранино”, за който е издадено разрешение за търсене и проучване на нефт и природен газ с титуляр “Парк плейс енерджи корп”</w:t>
      </w:r>
      <w:r w:rsidR="0046105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 обща площ от 397.42 km</w:t>
      </w:r>
      <w:r w:rsidRPr="00610B1B">
        <w:rPr>
          <w:rFonts w:ascii="Times New Roman" w:hAnsi="Times New Roman" w:cs="Times New Roman"/>
          <w:sz w:val="24"/>
          <w:szCs w:val="24"/>
          <w:vertAlign w:val="superscript"/>
          <w:lang w:val="bg-BG"/>
        </w:rPr>
        <w:t>2</w:t>
      </w:r>
      <w:r w:rsidRPr="00610B1B">
        <w:rPr>
          <w:rFonts w:ascii="Times New Roman" w:hAnsi="Times New Roman" w:cs="Times New Roman"/>
          <w:sz w:val="24"/>
          <w:szCs w:val="24"/>
          <w:lang w:val="bg-BG"/>
        </w:rPr>
        <w:t xml:space="preserve"> за срок от 5 години. Поради проведени съдебни процедури договорът </w:t>
      </w:r>
      <w:r w:rsidR="008D3D80"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почва да тече от 01.04.2014 г.</w:t>
      </w:r>
    </w:p>
    <w:p w14:paraId="7F539AAB" w14:textId="4674BE30" w:rsidR="00527038" w:rsidRPr="00610B1B" w:rsidRDefault="00543303" w:rsidP="00CD6DB2">
      <w:pPr>
        <w:widowControl w:val="0"/>
        <w:tabs>
          <w:tab w:val="left" w:pos="0"/>
          <w:tab w:val="left" w:pos="9746"/>
        </w:tabs>
        <w:autoSpaceDE w:val="0"/>
        <w:autoSpaceDN w:val="0"/>
        <w:adjustRightInd w:val="0"/>
        <w:spacing w:after="60" w:line="240" w:lineRule="auto"/>
        <w:ind w:right="-153"/>
        <w:rPr>
          <w:rFonts w:ascii="Times New Roman" w:hAnsi="Times New Roman" w:cs="Times New Roman"/>
          <w:sz w:val="24"/>
          <w:szCs w:val="24"/>
          <w:lang w:val="bg-BG"/>
        </w:rPr>
      </w:pPr>
      <w:bookmarkStart w:id="399" w:name="_Toc83391608"/>
      <w:r w:rsidRPr="00610B1B">
        <w:rPr>
          <w:rFonts w:ascii="Times New Roman" w:hAnsi="Times New Roman" w:cs="Times New Roman"/>
          <w:sz w:val="24"/>
          <w:szCs w:val="24"/>
          <w:lang w:val="bg-BG"/>
        </w:rPr>
        <w:t xml:space="preserve">Таблица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Таблица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12</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527038" w:rsidRPr="00610B1B">
        <w:rPr>
          <w:rFonts w:ascii="Times New Roman" w:hAnsi="Times New Roman" w:cs="Times New Roman"/>
          <w:sz w:val="24"/>
          <w:szCs w:val="24"/>
          <w:lang w:val="bg-BG"/>
        </w:rPr>
        <w:t>Концесии за добив и проучване на природен газ и нефт</w:t>
      </w:r>
      <w:bookmarkEnd w:id="399"/>
      <w:r w:rsidR="00527038" w:rsidRPr="00610B1B">
        <w:rPr>
          <w:rFonts w:ascii="Times New Roman" w:hAnsi="Times New Roman" w:cs="Times New Roman"/>
          <w:sz w:val="24"/>
          <w:szCs w:val="24"/>
          <w:lang w:val="bg-BG"/>
        </w:rPr>
        <w:t xml:space="preserve"> </w:t>
      </w:r>
    </w:p>
    <w:tbl>
      <w:tblPr>
        <w:tblW w:w="9368" w:type="dxa"/>
        <w:tblBorders>
          <w:top w:val="single" w:sz="4" w:space="0" w:color="auto"/>
          <w:bottom w:val="single" w:sz="4" w:space="0" w:color="auto"/>
          <w:insideH w:val="single" w:sz="4" w:space="0" w:color="auto"/>
        </w:tblBorders>
        <w:tblCellMar>
          <w:left w:w="28" w:type="dxa"/>
          <w:right w:w="28" w:type="dxa"/>
        </w:tblCellMar>
        <w:tblLook w:val="00A0" w:firstRow="1" w:lastRow="0" w:firstColumn="1" w:lastColumn="0" w:noHBand="0" w:noVBand="0"/>
      </w:tblPr>
      <w:tblGrid>
        <w:gridCol w:w="852"/>
        <w:gridCol w:w="1984"/>
        <w:gridCol w:w="1145"/>
        <w:gridCol w:w="736"/>
        <w:gridCol w:w="1300"/>
        <w:gridCol w:w="1225"/>
        <w:gridCol w:w="682"/>
        <w:gridCol w:w="1444"/>
      </w:tblGrid>
      <w:tr w:rsidR="00527038" w:rsidRPr="00C717D0" w14:paraId="7FC665E0" w14:textId="77777777" w:rsidTr="001E3FED">
        <w:trPr>
          <w:trHeight w:val="900"/>
          <w:tblHeader/>
        </w:trPr>
        <w:tc>
          <w:tcPr>
            <w:tcW w:w="852" w:type="dxa"/>
            <w:shd w:val="clear" w:color="auto" w:fill="C6D9F1" w:themeFill="text2" w:themeFillTint="33"/>
            <w:vAlign w:val="center"/>
          </w:tcPr>
          <w:p w14:paraId="4561831D"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Партида</w:t>
            </w:r>
            <w:r w:rsidRPr="00610B1B">
              <w:rPr>
                <w:rFonts w:ascii="Times New Roman" w:hAnsi="Times New Roman" w:cs="Times New Roman"/>
                <w:b/>
                <w:bCs/>
                <w:sz w:val="18"/>
                <w:szCs w:val="18"/>
                <w:lang w:val="bg-BG"/>
              </w:rPr>
              <w:br/>
              <w:t>НКР №</w:t>
            </w:r>
          </w:p>
        </w:tc>
        <w:tc>
          <w:tcPr>
            <w:tcW w:w="1984" w:type="dxa"/>
            <w:shd w:val="clear" w:color="auto" w:fill="C6D9F1" w:themeFill="text2" w:themeFillTint="33"/>
            <w:vAlign w:val="center"/>
          </w:tcPr>
          <w:p w14:paraId="48EFC614"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Концесионер</w:t>
            </w:r>
          </w:p>
        </w:tc>
        <w:tc>
          <w:tcPr>
            <w:tcW w:w="1145" w:type="dxa"/>
            <w:shd w:val="clear" w:color="auto" w:fill="C6D9F1" w:themeFill="text2" w:themeFillTint="33"/>
            <w:vAlign w:val="center"/>
          </w:tcPr>
          <w:p w14:paraId="318EBF3D"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Находище</w:t>
            </w:r>
          </w:p>
        </w:tc>
        <w:tc>
          <w:tcPr>
            <w:tcW w:w="736" w:type="dxa"/>
            <w:shd w:val="clear" w:color="auto" w:fill="C6D9F1" w:themeFill="text2" w:themeFillTint="33"/>
            <w:vAlign w:val="center"/>
          </w:tcPr>
          <w:p w14:paraId="4C4B560F"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Община</w:t>
            </w:r>
          </w:p>
        </w:tc>
        <w:tc>
          <w:tcPr>
            <w:tcW w:w="1300" w:type="dxa"/>
            <w:shd w:val="clear" w:color="auto" w:fill="C6D9F1" w:themeFill="text2" w:themeFillTint="33"/>
            <w:vAlign w:val="center"/>
          </w:tcPr>
          <w:p w14:paraId="0131618F"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Област</w:t>
            </w:r>
          </w:p>
        </w:tc>
        <w:tc>
          <w:tcPr>
            <w:tcW w:w="1225" w:type="dxa"/>
            <w:shd w:val="clear" w:color="auto" w:fill="C6D9F1" w:themeFill="text2" w:themeFillTint="33"/>
            <w:vAlign w:val="center"/>
          </w:tcPr>
          <w:p w14:paraId="5E7851D6" w14:textId="4762B43B"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 xml:space="preserve">Вид на подземното </w:t>
            </w:r>
            <w:r w:rsidR="006011C0" w:rsidRPr="00610B1B">
              <w:rPr>
                <w:rFonts w:ascii="Times New Roman" w:hAnsi="Times New Roman" w:cs="Times New Roman"/>
                <w:b/>
                <w:bCs/>
                <w:sz w:val="18"/>
                <w:szCs w:val="18"/>
                <w:lang w:val="bg-BG"/>
              </w:rPr>
              <w:t>богатство</w:t>
            </w:r>
          </w:p>
        </w:tc>
        <w:tc>
          <w:tcPr>
            <w:tcW w:w="682" w:type="dxa"/>
            <w:shd w:val="clear" w:color="auto" w:fill="C6D9F1" w:themeFill="text2" w:themeFillTint="33"/>
            <w:vAlign w:val="center"/>
          </w:tcPr>
          <w:p w14:paraId="48E862FF"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 xml:space="preserve">Срок </w:t>
            </w:r>
          </w:p>
        </w:tc>
        <w:tc>
          <w:tcPr>
            <w:tcW w:w="1444" w:type="dxa"/>
            <w:shd w:val="clear" w:color="auto" w:fill="C6D9F1" w:themeFill="text2" w:themeFillTint="33"/>
            <w:vAlign w:val="center"/>
          </w:tcPr>
          <w:p w14:paraId="162AB74B" w14:textId="77777777" w:rsidR="00527038" w:rsidRPr="00610B1B" w:rsidRDefault="00527038" w:rsidP="00D32D6A">
            <w:pPr>
              <w:spacing w:after="0" w:line="240" w:lineRule="auto"/>
              <w:jc w:val="center"/>
              <w:rPr>
                <w:rFonts w:ascii="Times New Roman" w:hAnsi="Times New Roman" w:cs="Times New Roman"/>
                <w:b/>
                <w:bCs/>
                <w:sz w:val="18"/>
                <w:szCs w:val="18"/>
                <w:lang w:val="bg-BG"/>
              </w:rPr>
            </w:pPr>
            <w:r w:rsidRPr="00610B1B">
              <w:rPr>
                <w:rFonts w:ascii="Times New Roman" w:hAnsi="Times New Roman" w:cs="Times New Roman"/>
                <w:b/>
                <w:bCs/>
                <w:sz w:val="18"/>
                <w:szCs w:val="18"/>
                <w:lang w:val="bg-BG"/>
              </w:rPr>
              <w:t>Дата на влизане в сила на концесионния договор</w:t>
            </w:r>
          </w:p>
        </w:tc>
      </w:tr>
      <w:tr w:rsidR="00527038" w:rsidRPr="00610B1B" w14:paraId="7E58F32C" w14:textId="77777777" w:rsidTr="001E3FED">
        <w:trPr>
          <w:trHeight w:val="433"/>
        </w:trPr>
        <w:tc>
          <w:tcPr>
            <w:tcW w:w="852" w:type="dxa"/>
            <w:shd w:val="clear" w:color="auto" w:fill="FFFFFF"/>
            <w:vAlign w:val="center"/>
          </w:tcPr>
          <w:p w14:paraId="793F33F7"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- 00106</w:t>
            </w:r>
          </w:p>
        </w:tc>
        <w:tc>
          <w:tcPr>
            <w:tcW w:w="1984" w:type="dxa"/>
            <w:shd w:val="clear" w:color="auto" w:fill="FFFFFF"/>
            <w:vAlign w:val="center"/>
          </w:tcPr>
          <w:p w14:paraId="08B972A9"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"Петрокелтик България" ЕООД, гр. Варна</w:t>
            </w:r>
          </w:p>
        </w:tc>
        <w:tc>
          <w:tcPr>
            <w:tcW w:w="1145" w:type="dxa"/>
            <w:shd w:val="clear" w:color="auto" w:fill="FFFFFF"/>
            <w:vAlign w:val="center"/>
          </w:tcPr>
          <w:p w14:paraId="4D706E79"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Галата</w:t>
            </w:r>
          </w:p>
        </w:tc>
        <w:tc>
          <w:tcPr>
            <w:tcW w:w="736" w:type="dxa"/>
            <w:shd w:val="clear" w:color="auto" w:fill="FFFFFF"/>
            <w:vAlign w:val="center"/>
          </w:tcPr>
          <w:p w14:paraId="6D4AF0D2"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 </w:t>
            </w:r>
          </w:p>
        </w:tc>
        <w:tc>
          <w:tcPr>
            <w:tcW w:w="1300" w:type="dxa"/>
            <w:shd w:val="clear" w:color="auto" w:fill="FFFFFF"/>
            <w:vAlign w:val="center"/>
          </w:tcPr>
          <w:p w14:paraId="6F059276"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Черно море</w:t>
            </w:r>
          </w:p>
        </w:tc>
        <w:tc>
          <w:tcPr>
            <w:tcW w:w="1225" w:type="dxa"/>
            <w:shd w:val="clear" w:color="auto" w:fill="FFFFFF"/>
            <w:vAlign w:val="center"/>
          </w:tcPr>
          <w:p w14:paraId="43D0A18B"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Природен газ</w:t>
            </w:r>
          </w:p>
        </w:tc>
        <w:tc>
          <w:tcPr>
            <w:tcW w:w="682" w:type="dxa"/>
            <w:shd w:val="clear" w:color="auto" w:fill="FFFFFF"/>
            <w:vAlign w:val="center"/>
          </w:tcPr>
          <w:p w14:paraId="35D221E5"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25 г.</w:t>
            </w:r>
          </w:p>
        </w:tc>
        <w:tc>
          <w:tcPr>
            <w:tcW w:w="1444" w:type="dxa"/>
            <w:shd w:val="clear" w:color="auto" w:fill="FFFFFF"/>
            <w:vAlign w:val="center"/>
          </w:tcPr>
          <w:p w14:paraId="596B2435"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16.5.2001 г.</w:t>
            </w:r>
          </w:p>
        </w:tc>
      </w:tr>
      <w:tr w:rsidR="00527038" w:rsidRPr="00610B1B" w14:paraId="771D32EE" w14:textId="77777777" w:rsidTr="001E3FED">
        <w:trPr>
          <w:trHeight w:val="469"/>
        </w:trPr>
        <w:tc>
          <w:tcPr>
            <w:tcW w:w="852" w:type="dxa"/>
            <w:shd w:val="clear" w:color="auto" w:fill="FFFFFF"/>
            <w:vAlign w:val="center"/>
          </w:tcPr>
          <w:p w14:paraId="3575CABB"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- 00544</w:t>
            </w:r>
          </w:p>
        </w:tc>
        <w:tc>
          <w:tcPr>
            <w:tcW w:w="1984" w:type="dxa"/>
            <w:shd w:val="clear" w:color="auto" w:fill="FFFFFF"/>
            <w:vAlign w:val="center"/>
          </w:tcPr>
          <w:p w14:paraId="02EF4992"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"Петрокелтик България" ЕООД, гр. Варна</w:t>
            </w:r>
          </w:p>
        </w:tc>
        <w:tc>
          <w:tcPr>
            <w:tcW w:w="1145" w:type="dxa"/>
            <w:shd w:val="clear" w:color="auto" w:fill="FFFFFF"/>
            <w:vAlign w:val="center"/>
          </w:tcPr>
          <w:p w14:paraId="30E60D27"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Калиакра</w:t>
            </w:r>
          </w:p>
        </w:tc>
        <w:tc>
          <w:tcPr>
            <w:tcW w:w="736" w:type="dxa"/>
            <w:shd w:val="clear" w:color="auto" w:fill="FFFFFF"/>
            <w:vAlign w:val="center"/>
          </w:tcPr>
          <w:p w14:paraId="049363F8"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 </w:t>
            </w:r>
          </w:p>
        </w:tc>
        <w:tc>
          <w:tcPr>
            <w:tcW w:w="1300" w:type="dxa"/>
            <w:shd w:val="clear" w:color="auto" w:fill="FFFFFF"/>
            <w:vAlign w:val="center"/>
          </w:tcPr>
          <w:p w14:paraId="256EE08F"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Черно море</w:t>
            </w:r>
          </w:p>
        </w:tc>
        <w:tc>
          <w:tcPr>
            <w:tcW w:w="1225" w:type="dxa"/>
            <w:shd w:val="clear" w:color="auto" w:fill="FFFFFF"/>
            <w:vAlign w:val="center"/>
          </w:tcPr>
          <w:p w14:paraId="29A9A205"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Природен газ</w:t>
            </w:r>
          </w:p>
        </w:tc>
        <w:tc>
          <w:tcPr>
            <w:tcW w:w="682" w:type="dxa"/>
            <w:shd w:val="clear" w:color="auto" w:fill="FFFFFF"/>
            <w:vAlign w:val="center"/>
          </w:tcPr>
          <w:p w14:paraId="6BB96C03"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7 г.</w:t>
            </w:r>
          </w:p>
        </w:tc>
        <w:tc>
          <w:tcPr>
            <w:tcW w:w="1444" w:type="dxa"/>
            <w:shd w:val="clear" w:color="auto" w:fill="FFFFFF"/>
            <w:vAlign w:val="center"/>
          </w:tcPr>
          <w:p w14:paraId="437192E5"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1.11.2010 г.</w:t>
            </w:r>
          </w:p>
        </w:tc>
      </w:tr>
      <w:tr w:rsidR="00527038" w:rsidRPr="00610B1B" w14:paraId="2E4AF61E" w14:textId="77777777" w:rsidTr="001E3FED">
        <w:trPr>
          <w:trHeight w:val="363"/>
        </w:trPr>
        <w:tc>
          <w:tcPr>
            <w:tcW w:w="852" w:type="dxa"/>
            <w:shd w:val="clear" w:color="auto" w:fill="FFFFFF"/>
            <w:vAlign w:val="center"/>
          </w:tcPr>
          <w:p w14:paraId="3637C933"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- 00543</w:t>
            </w:r>
          </w:p>
        </w:tc>
        <w:tc>
          <w:tcPr>
            <w:tcW w:w="1984" w:type="dxa"/>
            <w:shd w:val="clear" w:color="auto" w:fill="FFFFFF"/>
            <w:vAlign w:val="center"/>
          </w:tcPr>
          <w:p w14:paraId="152E835F"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"Петрокелтик България" ЕООД, гр. Варна</w:t>
            </w:r>
          </w:p>
        </w:tc>
        <w:tc>
          <w:tcPr>
            <w:tcW w:w="1145" w:type="dxa"/>
            <w:shd w:val="clear" w:color="auto" w:fill="FFFFFF"/>
            <w:vAlign w:val="center"/>
          </w:tcPr>
          <w:p w14:paraId="34727ED2"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Каварна</w:t>
            </w:r>
          </w:p>
        </w:tc>
        <w:tc>
          <w:tcPr>
            <w:tcW w:w="736" w:type="dxa"/>
            <w:shd w:val="clear" w:color="auto" w:fill="FFFFFF"/>
            <w:vAlign w:val="center"/>
          </w:tcPr>
          <w:p w14:paraId="277817AE"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 </w:t>
            </w:r>
          </w:p>
        </w:tc>
        <w:tc>
          <w:tcPr>
            <w:tcW w:w="1300" w:type="dxa"/>
            <w:shd w:val="clear" w:color="auto" w:fill="FFFFFF"/>
            <w:vAlign w:val="center"/>
          </w:tcPr>
          <w:p w14:paraId="45313C70"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Черно море</w:t>
            </w:r>
          </w:p>
        </w:tc>
        <w:tc>
          <w:tcPr>
            <w:tcW w:w="1225" w:type="dxa"/>
            <w:shd w:val="clear" w:color="auto" w:fill="FFFFFF"/>
            <w:vAlign w:val="center"/>
          </w:tcPr>
          <w:p w14:paraId="0CE86072"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Природен газ</w:t>
            </w:r>
          </w:p>
        </w:tc>
        <w:tc>
          <w:tcPr>
            <w:tcW w:w="682" w:type="dxa"/>
            <w:shd w:val="clear" w:color="auto" w:fill="FFFFFF"/>
            <w:vAlign w:val="center"/>
          </w:tcPr>
          <w:p w14:paraId="49C89B07"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10 г.</w:t>
            </w:r>
          </w:p>
        </w:tc>
        <w:tc>
          <w:tcPr>
            <w:tcW w:w="1444" w:type="dxa"/>
            <w:shd w:val="clear" w:color="auto" w:fill="FFFFFF"/>
            <w:vAlign w:val="center"/>
          </w:tcPr>
          <w:p w14:paraId="2FF03C6D"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1.11.2010 г.</w:t>
            </w:r>
          </w:p>
        </w:tc>
      </w:tr>
      <w:tr w:rsidR="00527038" w:rsidRPr="00610B1B" w14:paraId="2DDFE49C" w14:textId="77777777" w:rsidTr="001E3FED">
        <w:trPr>
          <w:trHeight w:val="413"/>
        </w:trPr>
        <w:tc>
          <w:tcPr>
            <w:tcW w:w="852" w:type="dxa"/>
            <w:shd w:val="clear" w:color="auto" w:fill="FFFFFF"/>
            <w:vAlign w:val="center"/>
          </w:tcPr>
          <w:p w14:paraId="0CD0B28C"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- 00651</w:t>
            </w:r>
          </w:p>
        </w:tc>
        <w:tc>
          <w:tcPr>
            <w:tcW w:w="1984" w:type="dxa"/>
            <w:shd w:val="clear" w:color="auto" w:fill="FFFFFF"/>
            <w:vAlign w:val="center"/>
          </w:tcPr>
          <w:p w14:paraId="3D5E4993"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"Петрокелтик България" ЕООД, гр. Варна</w:t>
            </w:r>
          </w:p>
        </w:tc>
        <w:tc>
          <w:tcPr>
            <w:tcW w:w="1145" w:type="dxa"/>
            <w:shd w:val="clear" w:color="auto" w:fill="FFFFFF"/>
            <w:vAlign w:val="center"/>
          </w:tcPr>
          <w:p w14:paraId="65396664"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Каварна Изток</w:t>
            </w:r>
          </w:p>
        </w:tc>
        <w:tc>
          <w:tcPr>
            <w:tcW w:w="736" w:type="dxa"/>
            <w:shd w:val="clear" w:color="auto" w:fill="FFFFFF"/>
            <w:vAlign w:val="center"/>
          </w:tcPr>
          <w:p w14:paraId="6619E9EF"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 </w:t>
            </w:r>
          </w:p>
        </w:tc>
        <w:tc>
          <w:tcPr>
            <w:tcW w:w="1300" w:type="dxa"/>
            <w:shd w:val="clear" w:color="auto" w:fill="FFFFFF"/>
            <w:vAlign w:val="center"/>
          </w:tcPr>
          <w:p w14:paraId="0B306D57"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Черно море</w:t>
            </w:r>
          </w:p>
        </w:tc>
        <w:tc>
          <w:tcPr>
            <w:tcW w:w="1225" w:type="dxa"/>
            <w:shd w:val="clear" w:color="auto" w:fill="FFFFFF"/>
            <w:vAlign w:val="center"/>
          </w:tcPr>
          <w:p w14:paraId="5BDF4B37"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Природен газ</w:t>
            </w:r>
          </w:p>
        </w:tc>
        <w:tc>
          <w:tcPr>
            <w:tcW w:w="682" w:type="dxa"/>
            <w:shd w:val="clear" w:color="auto" w:fill="FFFFFF"/>
            <w:vAlign w:val="center"/>
          </w:tcPr>
          <w:p w14:paraId="2055680E"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6 г.</w:t>
            </w:r>
          </w:p>
        </w:tc>
        <w:tc>
          <w:tcPr>
            <w:tcW w:w="1444" w:type="dxa"/>
            <w:shd w:val="clear" w:color="auto" w:fill="FFFFFF"/>
            <w:vAlign w:val="center"/>
          </w:tcPr>
          <w:p w14:paraId="0785AA38"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04.03.2013 г.</w:t>
            </w:r>
          </w:p>
        </w:tc>
      </w:tr>
      <w:tr w:rsidR="00527038" w:rsidRPr="00610B1B" w14:paraId="6A07615B" w14:textId="77777777" w:rsidTr="001E3FED">
        <w:trPr>
          <w:trHeight w:val="139"/>
        </w:trPr>
        <w:tc>
          <w:tcPr>
            <w:tcW w:w="852" w:type="dxa"/>
            <w:shd w:val="clear" w:color="auto" w:fill="FFFFFF"/>
            <w:vAlign w:val="center"/>
          </w:tcPr>
          <w:p w14:paraId="01520C58"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- 00461</w:t>
            </w:r>
          </w:p>
        </w:tc>
        <w:tc>
          <w:tcPr>
            <w:tcW w:w="1984" w:type="dxa"/>
            <w:shd w:val="clear" w:color="auto" w:fill="FFFFFF"/>
            <w:vAlign w:val="center"/>
          </w:tcPr>
          <w:p w14:paraId="43B02D03"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”Проучване и добив на нефт и газ” АД, гр. София</w:t>
            </w:r>
          </w:p>
        </w:tc>
        <w:tc>
          <w:tcPr>
            <w:tcW w:w="1145" w:type="dxa"/>
            <w:shd w:val="clear" w:color="auto" w:fill="FFFFFF"/>
            <w:vAlign w:val="center"/>
          </w:tcPr>
          <w:p w14:paraId="58BBA9E6"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Тюленово</w:t>
            </w:r>
          </w:p>
        </w:tc>
        <w:tc>
          <w:tcPr>
            <w:tcW w:w="736" w:type="dxa"/>
            <w:shd w:val="clear" w:color="auto" w:fill="FFFFFF"/>
            <w:vAlign w:val="center"/>
          </w:tcPr>
          <w:p w14:paraId="3271D1BE"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Каварна, Шабла</w:t>
            </w:r>
          </w:p>
        </w:tc>
        <w:tc>
          <w:tcPr>
            <w:tcW w:w="1300" w:type="dxa"/>
            <w:shd w:val="clear" w:color="auto" w:fill="FFFFFF"/>
            <w:vAlign w:val="center"/>
          </w:tcPr>
          <w:p w14:paraId="53884329"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Добрич</w:t>
            </w:r>
          </w:p>
        </w:tc>
        <w:tc>
          <w:tcPr>
            <w:tcW w:w="1225" w:type="dxa"/>
            <w:shd w:val="clear" w:color="auto" w:fill="FFFFFF"/>
            <w:vAlign w:val="center"/>
          </w:tcPr>
          <w:p w14:paraId="2D854D45"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Суров нефт</w:t>
            </w:r>
          </w:p>
        </w:tc>
        <w:tc>
          <w:tcPr>
            <w:tcW w:w="682" w:type="dxa"/>
            <w:shd w:val="clear" w:color="auto" w:fill="FFFFFF"/>
            <w:vAlign w:val="center"/>
          </w:tcPr>
          <w:p w14:paraId="6DF20D94"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35 г.</w:t>
            </w:r>
          </w:p>
        </w:tc>
        <w:tc>
          <w:tcPr>
            <w:tcW w:w="1444" w:type="dxa"/>
            <w:shd w:val="clear" w:color="auto" w:fill="FFFFFF"/>
            <w:vAlign w:val="center"/>
          </w:tcPr>
          <w:p w14:paraId="79FFEBD6"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12.9.2003 г.</w:t>
            </w:r>
          </w:p>
        </w:tc>
      </w:tr>
      <w:tr w:rsidR="00527038" w:rsidRPr="00610B1B" w14:paraId="0EE330A9" w14:textId="77777777" w:rsidTr="001E3FED">
        <w:trPr>
          <w:trHeight w:val="53"/>
        </w:trPr>
        <w:tc>
          <w:tcPr>
            <w:tcW w:w="852" w:type="dxa"/>
            <w:shd w:val="clear" w:color="auto" w:fill="FFFFFF"/>
            <w:vAlign w:val="center"/>
          </w:tcPr>
          <w:p w14:paraId="382EE090"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- 00313</w:t>
            </w:r>
          </w:p>
        </w:tc>
        <w:tc>
          <w:tcPr>
            <w:tcW w:w="1984" w:type="dxa"/>
            <w:shd w:val="clear" w:color="auto" w:fill="FFFFFF"/>
            <w:vAlign w:val="center"/>
          </w:tcPr>
          <w:p w14:paraId="7969BB7E"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"Проучване и добив на нефт и газ" АД, гр. София</w:t>
            </w:r>
          </w:p>
        </w:tc>
        <w:tc>
          <w:tcPr>
            <w:tcW w:w="1145" w:type="dxa"/>
            <w:shd w:val="clear" w:color="auto" w:fill="FFFFFF"/>
            <w:vAlign w:val="center"/>
          </w:tcPr>
          <w:p w14:paraId="684AC00A"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Българево</w:t>
            </w:r>
          </w:p>
        </w:tc>
        <w:tc>
          <w:tcPr>
            <w:tcW w:w="736" w:type="dxa"/>
            <w:shd w:val="clear" w:color="auto" w:fill="FFFFFF"/>
            <w:vAlign w:val="center"/>
          </w:tcPr>
          <w:p w14:paraId="16B635CC"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Каварна</w:t>
            </w:r>
          </w:p>
        </w:tc>
        <w:tc>
          <w:tcPr>
            <w:tcW w:w="1300" w:type="dxa"/>
            <w:shd w:val="clear" w:color="auto" w:fill="FFFFFF"/>
            <w:vAlign w:val="center"/>
          </w:tcPr>
          <w:p w14:paraId="673A97BE"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Добрич</w:t>
            </w:r>
          </w:p>
        </w:tc>
        <w:tc>
          <w:tcPr>
            <w:tcW w:w="1225" w:type="dxa"/>
            <w:shd w:val="clear" w:color="auto" w:fill="FFFFFF"/>
            <w:vAlign w:val="center"/>
          </w:tcPr>
          <w:p w14:paraId="4DDC3C8C"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Природен газ</w:t>
            </w:r>
          </w:p>
        </w:tc>
        <w:tc>
          <w:tcPr>
            <w:tcW w:w="682" w:type="dxa"/>
            <w:shd w:val="clear" w:color="auto" w:fill="FFFFFF"/>
            <w:vAlign w:val="center"/>
          </w:tcPr>
          <w:p w14:paraId="150BAF9D"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35 г.</w:t>
            </w:r>
          </w:p>
        </w:tc>
        <w:tc>
          <w:tcPr>
            <w:tcW w:w="1444" w:type="dxa"/>
            <w:shd w:val="clear" w:color="auto" w:fill="FFFFFF"/>
            <w:vAlign w:val="center"/>
          </w:tcPr>
          <w:p w14:paraId="7C5CCAF6"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12.9.2003 г.</w:t>
            </w:r>
          </w:p>
        </w:tc>
      </w:tr>
      <w:tr w:rsidR="00527038" w:rsidRPr="00610B1B" w14:paraId="6F0F2C4D" w14:textId="77777777" w:rsidTr="001E3FED">
        <w:trPr>
          <w:trHeight w:val="53"/>
        </w:trPr>
        <w:tc>
          <w:tcPr>
            <w:tcW w:w="852" w:type="dxa"/>
            <w:shd w:val="clear" w:color="auto" w:fill="FFFFFF"/>
            <w:vAlign w:val="center"/>
          </w:tcPr>
          <w:p w14:paraId="3CCE8F73"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D - 00314</w:t>
            </w:r>
          </w:p>
        </w:tc>
        <w:tc>
          <w:tcPr>
            <w:tcW w:w="1984" w:type="dxa"/>
            <w:shd w:val="clear" w:color="auto" w:fill="FFFFFF"/>
            <w:vAlign w:val="center"/>
          </w:tcPr>
          <w:p w14:paraId="5B61F043"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”Проучване и добив на нефт и газ” АД, гр. София</w:t>
            </w:r>
          </w:p>
        </w:tc>
        <w:tc>
          <w:tcPr>
            <w:tcW w:w="1145" w:type="dxa"/>
            <w:shd w:val="clear" w:color="auto" w:fill="FFFFFF"/>
            <w:vAlign w:val="center"/>
          </w:tcPr>
          <w:p w14:paraId="574B311A"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Дуранкулак</w:t>
            </w:r>
          </w:p>
        </w:tc>
        <w:tc>
          <w:tcPr>
            <w:tcW w:w="736" w:type="dxa"/>
            <w:shd w:val="clear" w:color="auto" w:fill="FFFFFF"/>
            <w:vAlign w:val="center"/>
          </w:tcPr>
          <w:p w14:paraId="7AA78876" w14:textId="77777777" w:rsidR="00527038" w:rsidRPr="00610B1B" w:rsidRDefault="00527038" w:rsidP="00D32D6A">
            <w:pPr>
              <w:spacing w:after="0" w:line="240" w:lineRule="auto"/>
              <w:rPr>
                <w:rFonts w:ascii="Times New Roman" w:hAnsi="Times New Roman" w:cs="Times New Roman"/>
                <w:sz w:val="18"/>
                <w:szCs w:val="18"/>
                <w:lang w:val="bg-BG"/>
              </w:rPr>
            </w:pPr>
            <w:r w:rsidRPr="00610B1B">
              <w:rPr>
                <w:rFonts w:ascii="Times New Roman" w:hAnsi="Times New Roman" w:cs="Times New Roman"/>
                <w:sz w:val="18"/>
                <w:szCs w:val="18"/>
                <w:lang w:val="bg-BG"/>
              </w:rPr>
              <w:t>Шабла</w:t>
            </w:r>
          </w:p>
        </w:tc>
        <w:tc>
          <w:tcPr>
            <w:tcW w:w="1300" w:type="dxa"/>
            <w:shd w:val="clear" w:color="auto" w:fill="FFFFFF"/>
            <w:vAlign w:val="center"/>
          </w:tcPr>
          <w:p w14:paraId="082B04CA"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Добрич</w:t>
            </w:r>
          </w:p>
        </w:tc>
        <w:tc>
          <w:tcPr>
            <w:tcW w:w="1225" w:type="dxa"/>
            <w:shd w:val="clear" w:color="auto" w:fill="FFFFFF"/>
            <w:vAlign w:val="center"/>
          </w:tcPr>
          <w:p w14:paraId="75637ED7"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Природен газ</w:t>
            </w:r>
          </w:p>
        </w:tc>
        <w:tc>
          <w:tcPr>
            <w:tcW w:w="682" w:type="dxa"/>
            <w:shd w:val="clear" w:color="auto" w:fill="FFFFFF"/>
            <w:vAlign w:val="center"/>
          </w:tcPr>
          <w:p w14:paraId="0505E68F"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7 г. +15 г.</w:t>
            </w:r>
          </w:p>
        </w:tc>
        <w:tc>
          <w:tcPr>
            <w:tcW w:w="1444" w:type="dxa"/>
            <w:shd w:val="clear" w:color="auto" w:fill="FFFFFF"/>
            <w:vAlign w:val="center"/>
          </w:tcPr>
          <w:p w14:paraId="4E6AB784" w14:textId="77777777" w:rsidR="00527038" w:rsidRPr="00610B1B" w:rsidRDefault="00527038" w:rsidP="00D32D6A">
            <w:pPr>
              <w:spacing w:after="0" w:line="240" w:lineRule="auto"/>
              <w:jc w:val="center"/>
              <w:rPr>
                <w:rFonts w:ascii="Times New Roman" w:hAnsi="Times New Roman" w:cs="Times New Roman"/>
                <w:sz w:val="18"/>
                <w:szCs w:val="18"/>
                <w:lang w:val="bg-BG"/>
              </w:rPr>
            </w:pPr>
            <w:r w:rsidRPr="00610B1B">
              <w:rPr>
                <w:rFonts w:ascii="Times New Roman" w:hAnsi="Times New Roman" w:cs="Times New Roman"/>
                <w:sz w:val="18"/>
                <w:szCs w:val="18"/>
                <w:lang w:val="bg-BG"/>
              </w:rPr>
              <w:t>29.7.2004 г.</w:t>
            </w:r>
          </w:p>
        </w:tc>
      </w:tr>
    </w:tbl>
    <w:p w14:paraId="34236EA6" w14:textId="07B1163A" w:rsidR="00527038" w:rsidRPr="00610B1B" w:rsidRDefault="00527038" w:rsidP="00342BD5">
      <w:pPr>
        <w:widowControl w:val="0"/>
        <w:tabs>
          <w:tab w:val="left" w:pos="0"/>
          <w:tab w:val="left" w:pos="9746"/>
        </w:tabs>
        <w:autoSpaceDE w:val="0"/>
        <w:autoSpaceDN w:val="0"/>
        <w:adjustRightInd w:val="0"/>
        <w:spacing w:before="60" w:after="120"/>
        <w:ind w:right="-153"/>
        <w:jc w:val="both"/>
        <w:rPr>
          <w:rFonts w:ascii="Times New Roman" w:hAnsi="Times New Roman" w:cs="Times New Roman"/>
          <w:bCs/>
          <w:iCs/>
          <w:lang w:val="bg-BG"/>
        </w:rPr>
      </w:pPr>
      <w:r w:rsidRPr="00610B1B">
        <w:rPr>
          <w:rFonts w:ascii="Times New Roman" w:hAnsi="Times New Roman" w:cs="Times New Roman"/>
          <w:bCs/>
          <w:iCs/>
          <w:lang w:val="bg-BG"/>
        </w:rPr>
        <w:t xml:space="preserve">Източник: </w:t>
      </w:r>
      <w:hyperlink r:id="rId52" w:tgtFrame="_blank" w:history="1">
        <w:r w:rsidRPr="00610B1B">
          <w:rPr>
            <w:rStyle w:val="Hyperlink"/>
            <w:rFonts w:ascii="Times New Roman" w:hAnsi="Times New Roman" w:cs="Times New Roman"/>
            <w:iCs/>
            <w:lang w:val="bg-BG"/>
          </w:rPr>
          <w:t>https://www.me.government.bg/bg/themes/koncesii-za-dobiv-735-406.html</w:t>
        </w:r>
      </w:hyperlink>
    </w:p>
    <w:p w14:paraId="4E58A6B4" w14:textId="12CECCB7" w:rsidR="00527038" w:rsidRPr="00610B1B" w:rsidRDefault="00527038"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b/>
          <w:bCs/>
          <w:sz w:val="24"/>
          <w:szCs w:val="24"/>
          <w:lang w:val="bg-BG"/>
        </w:rPr>
        <w:t>Добивът на морски минерали</w:t>
      </w:r>
      <w:r w:rsidRPr="00610B1B">
        <w:rPr>
          <w:rFonts w:ascii="Times New Roman" w:hAnsi="Times New Roman" w:cs="Times New Roman"/>
          <w:bCs/>
          <w:sz w:val="24"/>
          <w:szCs w:val="24"/>
          <w:lang w:val="bg-BG"/>
        </w:rPr>
        <w:t xml:space="preserve"> на територията на крайбрежния район се представя от добива на морска сол, луга и използване на лечебна кал. </w:t>
      </w:r>
      <w:r w:rsidRPr="00610B1B">
        <w:rPr>
          <w:rFonts w:ascii="Times New Roman" w:hAnsi="Times New Roman" w:cs="Times New Roman"/>
          <w:sz w:val="24"/>
          <w:szCs w:val="24"/>
          <w:lang w:val="bg-BG"/>
        </w:rPr>
        <w:t>Няма данни за извличане на пясък и чакъл и подводен минодобив в акваторията на Черно море, с изключение на концесията за добив на пясък от Варненското езеро</w:t>
      </w:r>
      <w:r w:rsidR="00640C4F" w:rsidRPr="00610B1B">
        <w:rPr>
          <w:rFonts w:ascii="Times New Roman" w:hAnsi="Times New Roman" w:cs="Times New Roman"/>
          <w:sz w:val="24"/>
          <w:szCs w:val="24"/>
          <w:lang w:val="bg-BG"/>
        </w:rPr>
        <w:t xml:space="preserve"> от </w:t>
      </w:r>
      <w:r w:rsidRPr="00610B1B">
        <w:rPr>
          <w:rFonts w:ascii="Times New Roman" w:hAnsi="Times New Roman" w:cs="Times New Roman"/>
          <w:sz w:val="24"/>
          <w:szCs w:val="24"/>
          <w:lang w:val="bg-BG"/>
        </w:rPr>
        <w:t>“Ескана” АД, гр. Варна.</w:t>
      </w:r>
    </w:p>
    <w:p w14:paraId="2290355D" w14:textId="55E85AB2" w:rsidR="00665AEC" w:rsidRPr="00610B1B" w:rsidRDefault="00665AEC"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Самата морска вода представлява необятен ресурс. Освен за солодобив, тя конкурентно </w:t>
      </w:r>
      <w:r w:rsidRPr="00610B1B">
        <w:rPr>
          <w:rFonts w:ascii="Times New Roman" w:hAnsi="Times New Roman" w:cs="Times New Roman"/>
          <w:sz w:val="24"/>
          <w:szCs w:val="24"/>
          <w:lang w:val="bg-BG"/>
        </w:rPr>
        <w:lastRenderedPageBreak/>
        <w:t xml:space="preserve">може да бъде използвана за рибовъдство и отглеждане на аквакултури, </w:t>
      </w:r>
      <w:r w:rsidR="00B33136" w:rsidRPr="00610B1B">
        <w:rPr>
          <w:rFonts w:ascii="Times New Roman" w:hAnsi="Times New Roman" w:cs="Times New Roman"/>
          <w:sz w:val="24"/>
          <w:szCs w:val="24"/>
          <w:lang w:val="bg-BG"/>
        </w:rPr>
        <w:t>промишлени</w:t>
      </w:r>
      <w:r w:rsidRPr="00610B1B">
        <w:rPr>
          <w:rFonts w:ascii="Times New Roman" w:hAnsi="Times New Roman" w:cs="Times New Roman"/>
          <w:sz w:val="24"/>
          <w:szCs w:val="24"/>
          <w:lang w:val="bg-BG"/>
        </w:rPr>
        <w:t xml:space="preserve"> и противопожарни нужди, включително и за питейно-битови нужди. Този ресурс има огромен потенциал за развитие, особено с оглед климатичните промени и все по-големите летни засушавания.</w:t>
      </w:r>
    </w:p>
    <w:p w14:paraId="0021BD11" w14:textId="66E3705A" w:rsidR="00527038" w:rsidRPr="00610B1B" w:rsidRDefault="003079FF" w:rsidP="00097B37">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За извличане на сол от морската вода се използва древен анхиалски способ, свързан със старото име на Поморие, където сол се е добивала от около пети век преди Христа. „Черноморски солници“ АД е единствената фирма, която добива сол в България.</w:t>
      </w:r>
      <w:r w:rsidR="00D66FE0" w:rsidRPr="00610B1B">
        <w:rPr>
          <w:rFonts w:ascii="Times New Roman" w:eastAsia="Calibri" w:hAnsi="Times New Roman" w:cs="Times New Roman"/>
          <w:iCs/>
          <w:sz w:val="24"/>
          <w:szCs w:val="24"/>
          <w:lang w:val="bg-BG"/>
        </w:rPr>
        <w:t xml:space="preserve"> </w:t>
      </w:r>
      <w:r w:rsidRPr="00610B1B">
        <w:rPr>
          <w:rFonts w:ascii="Times New Roman" w:eastAsia="Calibri" w:hAnsi="Times New Roman" w:cs="Times New Roman"/>
          <w:iCs/>
          <w:sz w:val="24"/>
          <w:szCs w:val="24"/>
          <w:lang w:val="bg-BG"/>
        </w:rPr>
        <w:t>Приходите от дейността на дружеството за 2017 г. са 7.1 млн. лв., което е с 2 млн. над предходната година, но печалбата е малка - 134 хил. лв. Дружеството произвежда средно около 40 000 тона сол годишно. Най-голямото количество, добито през 2003 г. е 75 000 тона. Само 10% от добитата сол е готварска, която се добива в община Бургас и се пласира единствено на националния пазар с пазарен дял от около 30%. Известни количества от добитата сол се използват в транспорта, машиностроенето и др. Съпътстващо производство е т.нар. “цвете на солта”, която е най-скъпата в света сол за консумация.</w:t>
      </w:r>
    </w:p>
    <w:p w14:paraId="3E5A25EE" w14:textId="77777777" w:rsidR="009907CE" w:rsidRPr="00610B1B" w:rsidRDefault="009907CE" w:rsidP="00097B37">
      <w:pPr>
        <w:spacing w:after="120"/>
        <w:ind w:right="-153"/>
        <w:jc w:val="both"/>
        <w:rPr>
          <w:rFonts w:ascii="Times New Roman" w:hAnsi="Times New Roman" w:cs="Times New Roman"/>
          <w:b/>
          <w:bCs/>
          <w:caps/>
          <w:lang w:val="bg-BG"/>
        </w:rPr>
      </w:pPr>
    </w:p>
    <w:p w14:paraId="3A001D69" w14:textId="57ADDD52" w:rsidR="00527038" w:rsidRPr="00610B1B" w:rsidRDefault="00527038" w:rsidP="00D32D6A">
      <w:pPr>
        <w:pStyle w:val="Heading3"/>
        <w:spacing w:before="0" w:line="276" w:lineRule="auto"/>
        <w:ind w:right="-153"/>
        <w:rPr>
          <w:rFonts w:cs="Times New Roman"/>
        </w:rPr>
      </w:pPr>
      <w:bookmarkStart w:id="400" w:name="_Toc83391396"/>
      <w:r w:rsidRPr="00610B1B">
        <w:rPr>
          <w:rFonts w:cs="Times New Roman"/>
        </w:rPr>
        <w:t>3.6.5. Морски транспорт</w:t>
      </w:r>
      <w:bookmarkEnd w:id="400"/>
    </w:p>
    <w:p w14:paraId="31750CB4" w14:textId="0B8A389D" w:rsidR="00527038" w:rsidRPr="00610B1B" w:rsidRDefault="00527038"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Тенденциите в развитието на морския транспорт в България са неблагоприятни. Той беше повлиян </w:t>
      </w:r>
      <w:r w:rsidR="00640C4F" w:rsidRPr="00610B1B">
        <w:rPr>
          <w:rFonts w:ascii="Times New Roman" w:hAnsi="Times New Roman" w:cs="Times New Roman"/>
          <w:bCs/>
          <w:sz w:val="24"/>
          <w:szCs w:val="24"/>
          <w:lang w:val="bg-BG"/>
        </w:rPr>
        <w:t xml:space="preserve">силно </w:t>
      </w:r>
      <w:r w:rsidRPr="00610B1B">
        <w:rPr>
          <w:rFonts w:ascii="Times New Roman" w:hAnsi="Times New Roman" w:cs="Times New Roman"/>
          <w:bCs/>
          <w:sz w:val="24"/>
          <w:szCs w:val="24"/>
          <w:lang w:val="bg-BG"/>
        </w:rPr>
        <w:t>от финансовата криза от 2008 г., която оказа въздействие върху развитието на сектора в глобален мащаб. По-голямата част от добавената стойност на морския транспорт в страната се генерира от товарния морски транспорт (92,5%). Увеличението на БДС в периода 2009-2017 г. се наблюдава в превоза на пътници, като през 2017</w:t>
      </w:r>
      <w:r w:rsidR="00342BD5"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г. достига 2 млн. евро (двойно увеличение спрямо 2009 г.). За същия период товарният морски транспорт отбелязва намаление на БДС от 30%. През 2018 г. превозените товари от водния транспорт намаляват с 2,7% на годишна база. Извършената работа също намалява до 231,2 млн. ткм поради по-кратките разстояния. Превозените пътници през летния сезон от водния пътнически транспорт се увеличават с 11,9%. Извършената работа също нараства с 4,6% спрямо предходната година</w:t>
      </w:r>
      <w:r w:rsidRPr="00610B1B">
        <w:rPr>
          <w:rStyle w:val="FootnoteReference"/>
          <w:rFonts w:ascii="Times New Roman" w:hAnsi="Times New Roman" w:cs="Times New Roman"/>
          <w:bCs/>
          <w:sz w:val="24"/>
          <w:szCs w:val="24"/>
          <w:lang w:val="bg-BG"/>
        </w:rPr>
        <w:footnoteReference w:id="134"/>
      </w:r>
      <w:r w:rsidRPr="00610B1B">
        <w:rPr>
          <w:rFonts w:ascii="Times New Roman" w:hAnsi="Times New Roman" w:cs="Times New Roman"/>
          <w:bCs/>
          <w:sz w:val="24"/>
          <w:szCs w:val="24"/>
          <w:lang w:val="bg-BG"/>
        </w:rPr>
        <w:t xml:space="preserve">. </w:t>
      </w:r>
    </w:p>
    <w:p w14:paraId="72751AC5" w14:textId="6BDE6441" w:rsidR="00527038" w:rsidRPr="00610B1B" w:rsidRDefault="00527038" w:rsidP="00D32D6A">
      <w:pPr>
        <w:widowControl w:val="0"/>
        <w:tabs>
          <w:tab w:val="left" w:pos="0"/>
          <w:tab w:val="left" w:pos="9746"/>
        </w:tabs>
        <w:autoSpaceDE w:val="0"/>
        <w:autoSpaceDN w:val="0"/>
        <w:adjustRightInd w:val="0"/>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 преобладаващата част от крайбрежните общини (Бургас, Царево, Несебър, Поморие, Созопол, Приморско, Балчик, Бяла, Варна) има необходимата морска инфраструктура (яхтени пристанища) за посрещане на туристи и практикуване на водни спортове</w:t>
      </w:r>
      <w:r w:rsidR="00213DBF" w:rsidRPr="00610B1B">
        <w:rPr>
          <w:rFonts w:ascii="Times New Roman" w:hAnsi="Times New Roman" w:cs="Times New Roman"/>
          <w:bCs/>
          <w:sz w:val="24"/>
          <w:szCs w:val="24"/>
          <w:lang w:val="bg-BG"/>
        </w:rPr>
        <w:t>, за</w:t>
      </w:r>
      <w:r w:rsidRPr="00610B1B">
        <w:rPr>
          <w:rFonts w:ascii="Times New Roman" w:hAnsi="Times New Roman" w:cs="Times New Roman"/>
          <w:bCs/>
          <w:sz w:val="24"/>
          <w:szCs w:val="24"/>
          <w:lang w:val="bg-BG"/>
        </w:rPr>
        <w:t xml:space="preserve"> дейност</w:t>
      </w:r>
      <w:r w:rsidR="00213DBF" w:rsidRPr="00610B1B">
        <w:rPr>
          <w:rFonts w:ascii="Times New Roman" w:hAnsi="Times New Roman" w:cs="Times New Roman"/>
          <w:bCs/>
          <w:sz w:val="24"/>
          <w:szCs w:val="24"/>
          <w:lang w:val="bg-BG"/>
        </w:rPr>
        <w:t>и</w:t>
      </w:r>
      <w:r w:rsidRPr="00610B1B">
        <w:rPr>
          <w:rFonts w:ascii="Times New Roman" w:hAnsi="Times New Roman" w:cs="Times New Roman"/>
          <w:bCs/>
          <w:sz w:val="24"/>
          <w:szCs w:val="24"/>
          <w:lang w:val="bg-BG"/>
        </w:rPr>
        <w:t xml:space="preserve"> на пътническия морски и крайбрежен транспорт. С най-високи приходи от пътнически морски и крайбрежен транспорт е община Несебър (1</w:t>
      </w:r>
      <w:r w:rsidR="00213DBF"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514 хил.лв. за 2017 г., НСИ), която </w:t>
      </w:r>
      <w:r w:rsidR="00ED74EC" w:rsidRPr="00610B1B">
        <w:rPr>
          <w:rFonts w:ascii="Times New Roman" w:hAnsi="Times New Roman" w:cs="Times New Roman"/>
          <w:bCs/>
          <w:sz w:val="24"/>
          <w:szCs w:val="24"/>
          <w:lang w:val="bg-BG"/>
        </w:rPr>
        <w:t>увеличава</w:t>
      </w:r>
      <w:r w:rsidRPr="00610B1B">
        <w:rPr>
          <w:rFonts w:ascii="Times New Roman" w:hAnsi="Times New Roman" w:cs="Times New Roman"/>
          <w:bCs/>
          <w:sz w:val="24"/>
          <w:szCs w:val="24"/>
          <w:lang w:val="bg-BG"/>
        </w:rPr>
        <w:t xml:space="preserve"> близо 2,5 пъти приходите си спрямо 2016 г. и 5 пъти спрямо 2015</w:t>
      </w:r>
      <w:r w:rsidR="00D703D4" w:rsidRPr="00610B1B">
        <w:rPr>
          <w:rFonts w:ascii="Times New Roman" w:hAnsi="Times New Roman" w:cs="Times New Roman"/>
          <w:bCs/>
          <w:sz w:val="24"/>
          <w:szCs w:val="24"/>
          <w:lang w:val="bg-BG"/>
        </w:rPr>
        <w:t> </w:t>
      </w:r>
      <w:r w:rsidRPr="00610B1B">
        <w:rPr>
          <w:rFonts w:ascii="Times New Roman" w:hAnsi="Times New Roman" w:cs="Times New Roman"/>
          <w:bCs/>
          <w:sz w:val="24"/>
          <w:szCs w:val="24"/>
          <w:lang w:val="bg-BG"/>
        </w:rPr>
        <w:t xml:space="preserve">г. </w:t>
      </w:r>
    </w:p>
    <w:p w14:paraId="1190FF6A" w14:textId="77777777" w:rsidR="00527038" w:rsidRPr="00610B1B" w:rsidRDefault="00527038"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sz w:val="24"/>
          <w:szCs w:val="24"/>
          <w:lang w:val="bg-BG"/>
        </w:rPr>
        <w:t xml:space="preserve">Развитието на морския транспорт в голяма степен e зависимо от изградеността и състоянието на пристанищната инфраструктура. </w:t>
      </w:r>
      <w:r w:rsidRPr="00610B1B">
        <w:rPr>
          <w:rFonts w:ascii="Times New Roman" w:hAnsi="Times New Roman" w:cs="Times New Roman"/>
          <w:bCs/>
          <w:sz w:val="24"/>
          <w:szCs w:val="24"/>
          <w:lang w:val="bg-BG"/>
        </w:rPr>
        <w:t xml:space="preserve">Черно море и морските пристанища на страната все още са относително малък пазар за сектора на круизните пътувания. </w:t>
      </w:r>
    </w:p>
    <w:p w14:paraId="4C9F9844" w14:textId="158007F8" w:rsidR="00527038" w:rsidRPr="00610B1B" w:rsidRDefault="00527038" w:rsidP="00D32D6A">
      <w:pPr>
        <w:pStyle w:val="Heading3"/>
        <w:spacing w:before="0" w:line="276" w:lineRule="auto"/>
        <w:ind w:right="-153"/>
        <w:rPr>
          <w:rFonts w:cs="Times New Roman"/>
        </w:rPr>
      </w:pPr>
      <w:bookmarkStart w:id="401" w:name="_Toc83391397"/>
      <w:r w:rsidRPr="00610B1B">
        <w:rPr>
          <w:rFonts w:cs="Times New Roman"/>
        </w:rPr>
        <w:t>3.6.6. Пристанищни дейности</w:t>
      </w:r>
      <w:bookmarkEnd w:id="401"/>
      <w:r w:rsidRPr="00610B1B">
        <w:rPr>
          <w:rFonts w:cs="Times New Roman"/>
        </w:rPr>
        <w:t xml:space="preserve"> </w:t>
      </w:r>
    </w:p>
    <w:p w14:paraId="21A15906" w14:textId="5AF95F8F"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След секторите на туризма и добив</w:t>
      </w:r>
      <w:r w:rsidR="00213DBF" w:rsidRPr="00610B1B">
        <w:rPr>
          <w:rFonts w:ascii="Times New Roman" w:hAnsi="Times New Roman" w:cs="Times New Roman"/>
          <w:sz w:val="24"/>
          <w:szCs w:val="24"/>
          <w:lang w:val="bg-BG"/>
        </w:rPr>
        <w:t>ът</w:t>
      </w:r>
      <w:r w:rsidRPr="00610B1B">
        <w:rPr>
          <w:rFonts w:ascii="Times New Roman" w:hAnsi="Times New Roman" w:cs="Times New Roman"/>
          <w:sz w:val="24"/>
          <w:szCs w:val="24"/>
          <w:lang w:val="bg-BG"/>
        </w:rPr>
        <w:t xml:space="preserve"> и комерсиализацията на морските живи ресурси най-голям дял в морската икономика на страната имат пристанищата. Добавената </w:t>
      </w:r>
      <w:r w:rsidRPr="00610B1B">
        <w:rPr>
          <w:rFonts w:ascii="Times New Roman" w:hAnsi="Times New Roman" w:cs="Times New Roman"/>
          <w:sz w:val="24"/>
          <w:szCs w:val="24"/>
          <w:lang w:val="bg-BG"/>
        </w:rPr>
        <w:lastRenderedPageBreak/>
        <w:t xml:space="preserve">стойност за икономиката на този сектор да се оценява на 68 млн.евро (9.3% от синята икономика) в България през 2017 г. Растежът му върви в комплект със съживяването на икономиката и увеличения внос и износ на стоки. </w:t>
      </w:r>
    </w:p>
    <w:p w14:paraId="4238579E" w14:textId="17DCA93D" w:rsidR="00D106CF"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Динамиката на развитието на сектора в черноморските пристанища на страната е с изявен спад в периода 2009-2017 г. по отношение на заетостта и отчетената БДС. Работните места през 2017 г. са оценени на над 4 хил.</w:t>
      </w:r>
      <w:r w:rsidR="00461059"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души (6% от синята икономика), реализираният оборот – 200 млн.евро (18% от синята икономика). Заетостта е намаляла през последните години, като съотношението между работните места и БДС е довело до повишаване на производителността на труда през 2017 г. с 21 % спрямо 2009 г.</w:t>
      </w:r>
      <w:r w:rsidRPr="00610B1B">
        <w:rPr>
          <w:rStyle w:val="FootnoteReference"/>
          <w:rFonts w:ascii="Times New Roman" w:hAnsi="Times New Roman" w:cs="Times New Roman"/>
          <w:sz w:val="24"/>
          <w:szCs w:val="24"/>
          <w:lang w:val="bg-BG"/>
        </w:rPr>
        <w:footnoteReference w:id="135"/>
      </w:r>
      <w:r w:rsidRPr="00610B1B">
        <w:rPr>
          <w:rFonts w:ascii="Times New Roman" w:hAnsi="Times New Roman" w:cs="Times New Roman"/>
          <w:sz w:val="24"/>
          <w:szCs w:val="24"/>
          <w:lang w:val="bg-BG"/>
        </w:rPr>
        <w:t xml:space="preserve"> </w:t>
      </w:r>
    </w:p>
    <w:p w14:paraId="07554329"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72C01993" w14:textId="65933980" w:rsidR="00527038" w:rsidRPr="00610B1B" w:rsidRDefault="00527038" w:rsidP="00D32D6A">
      <w:pPr>
        <w:pStyle w:val="Heading3"/>
        <w:spacing w:before="0" w:line="276" w:lineRule="auto"/>
        <w:ind w:right="-153"/>
        <w:rPr>
          <w:rFonts w:cs="Times New Roman"/>
        </w:rPr>
      </w:pPr>
      <w:bookmarkStart w:id="402" w:name="_Toc83391398"/>
      <w:r w:rsidRPr="00610B1B">
        <w:rPr>
          <w:rFonts w:cs="Times New Roman"/>
        </w:rPr>
        <w:t>3.6.7. Корабостроене и кораборемонт</w:t>
      </w:r>
      <w:bookmarkEnd w:id="402"/>
      <w:r w:rsidRPr="00610B1B">
        <w:rPr>
          <w:rFonts w:cs="Times New Roman"/>
        </w:rPr>
        <w:t xml:space="preserve"> </w:t>
      </w:r>
    </w:p>
    <w:p w14:paraId="4EA22020" w14:textId="7777777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Корабостроенето e един от секторите по-силно засегнати от световната икономическа криза. Секторът се разширява бавно от последните ниски нива през 2009 и 2013 г., когато глобалните поръчки за корабостроене в ЕС спаднаха до 30-годишно дъно. </w:t>
      </w:r>
    </w:p>
    <w:p w14:paraId="3CB7520D" w14:textId="126C89D1"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Корабостроенето и кораборемонтът генерират 10.2% от брутната добавена стойност на синята икономика и 7.4 % от синята заетост през 2017 г.</w:t>
      </w:r>
      <w:r w:rsidRPr="00610B1B">
        <w:rPr>
          <w:rStyle w:val="FootnoteReference"/>
          <w:rFonts w:ascii="Times New Roman" w:hAnsi="Times New Roman" w:cs="Times New Roman"/>
          <w:sz w:val="24"/>
          <w:szCs w:val="24"/>
          <w:lang w:val="bg-BG"/>
        </w:rPr>
        <w:footnoteReference w:id="136"/>
      </w:r>
      <w:r w:rsidRPr="00610B1B">
        <w:rPr>
          <w:rFonts w:ascii="Times New Roman" w:hAnsi="Times New Roman" w:cs="Times New Roman"/>
          <w:sz w:val="24"/>
          <w:szCs w:val="24"/>
          <w:lang w:val="bg-BG"/>
        </w:rPr>
        <w:t xml:space="preserve"> Независимо че допринася само 0.2% за добавената стойност от националната икономика и заетостта в нея</w:t>
      </w:r>
      <w:r w:rsidR="00213DBF"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поради високото ниво на знание, което секторът привлича и задържа, и въздействието, което осъществява по веригата на стойността, той прехвърля изисквания за технологичност и иновативност към останалите фирми - участници в тази верига. </w:t>
      </w:r>
    </w:p>
    <w:p w14:paraId="5FD3A22D" w14:textId="4FAE8104" w:rsidR="00527038" w:rsidRPr="00610B1B" w:rsidRDefault="00543303" w:rsidP="00BC088E">
      <w:pPr>
        <w:spacing w:after="60" w:line="240" w:lineRule="auto"/>
        <w:ind w:right="-153"/>
        <w:rPr>
          <w:rFonts w:ascii="Times New Roman" w:hAnsi="Times New Roman" w:cs="Times New Roman"/>
          <w:sz w:val="24"/>
          <w:szCs w:val="24"/>
          <w:lang w:val="bg-BG"/>
        </w:rPr>
      </w:pPr>
      <w:bookmarkStart w:id="403" w:name="_Toc83391609"/>
      <w:r w:rsidRPr="00610B1B">
        <w:rPr>
          <w:rFonts w:ascii="Times New Roman" w:hAnsi="Times New Roman" w:cs="Times New Roman"/>
          <w:sz w:val="24"/>
          <w:szCs w:val="24"/>
          <w:lang w:val="bg-BG"/>
        </w:rPr>
        <w:t xml:space="preserve">Таблица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Таблица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13</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527038" w:rsidRPr="00610B1B">
        <w:rPr>
          <w:rFonts w:ascii="Times New Roman" w:hAnsi="Times New Roman" w:cs="Times New Roman"/>
          <w:sz w:val="24"/>
          <w:szCs w:val="24"/>
          <w:lang w:val="bg-BG"/>
        </w:rPr>
        <w:t>Дял на сектора на корабостроенето и кораборемонта в синята и националната икономика на България през периода 2008-2017 г., %</w:t>
      </w:r>
      <w:bookmarkEnd w:id="403"/>
    </w:p>
    <w:tbl>
      <w:tblPr>
        <w:tblW w:w="9791" w:type="dxa"/>
        <w:tblInd w:w="-284" w:type="dxa"/>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3621"/>
        <w:gridCol w:w="690"/>
        <w:gridCol w:w="680"/>
        <w:gridCol w:w="680"/>
        <w:gridCol w:w="680"/>
        <w:gridCol w:w="690"/>
        <w:gridCol w:w="690"/>
        <w:gridCol w:w="680"/>
        <w:gridCol w:w="690"/>
        <w:gridCol w:w="690"/>
      </w:tblGrid>
      <w:tr w:rsidR="00527038" w:rsidRPr="00610B1B" w14:paraId="2166928B" w14:textId="77777777" w:rsidTr="00FD59A8">
        <w:trPr>
          <w:trHeight w:val="270"/>
          <w:tblHeader/>
        </w:trPr>
        <w:tc>
          <w:tcPr>
            <w:tcW w:w="3621" w:type="dxa"/>
            <w:shd w:val="clear" w:color="auto" w:fill="C6D9F1" w:themeFill="text2" w:themeFillTint="33"/>
            <w:noWrap/>
            <w:vAlign w:val="bottom"/>
          </w:tcPr>
          <w:p w14:paraId="55016FF0" w14:textId="77777777" w:rsidR="00527038" w:rsidRPr="00610B1B" w:rsidRDefault="00527038" w:rsidP="00D32D6A">
            <w:pPr>
              <w:spacing w:after="0" w:line="240" w:lineRule="auto"/>
              <w:rPr>
                <w:rFonts w:ascii="Times New Roman" w:hAnsi="Times New Roman" w:cs="Times New Roman"/>
                <w:sz w:val="20"/>
                <w:szCs w:val="20"/>
                <w:lang w:val="bg-BG"/>
              </w:rPr>
            </w:pPr>
            <w:r w:rsidRPr="00610B1B">
              <w:rPr>
                <w:rFonts w:ascii="Times New Roman" w:hAnsi="Times New Roman" w:cs="Times New Roman"/>
                <w:sz w:val="20"/>
                <w:szCs w:val="20"/>
                <w:lang w:val="bg-BG"/>
              </w:rPr>
              <w:t> </w:t>
            </w:r>
          </w:p>
        </w:tc>
        <w:tc>
          <w:tcPr>
            <w:tcW w:w="690" w:type="dxa"/>
            <w:shd w:val="clear" w:color="auto" w:fill="C6D9F1" w:themeFill="text2" w:themeFillTint="33"/>
            <w:vAlign w:val="center"/>
          </w:tcPr>
          <w:p w14:paraId="333030FD"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2009</w:t>
            </w:r>
          </w:p>
        </w:tc>
        <w:tc>
          <w:tcPr>
            <w:tcW w:w="680" w:type="dxa"/>
            <w:shd w:val="clear" w:color="auto" w:fill="C6D9F1" w:themeFill="text2" w:themeFillTint="33"/>
            <w:vAlign w:val="center"/>
          </w:tcPr>
          <w:p w14:paraId="5AD43BD7"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2010</w:t>
            </w:r>
          </w:p>
        </w:tc>
        <w:tc>
          <w:tcPr>
            <w:tcW w:w="680" w:type="dxa"/>
            <w:shd w:val="clear" w:color="auto" w:fill="C6D9F1" w:themeFill="text2" w:themeFillTint="33"/>
            <w:vAlign w:val="center"/>
          </w:tcPr>
          <w:p w14:paraId="1B089075"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2011</w:t>
            </w:r>
          </w:p>
        </w:tc>
        <w:tc>
          <w:tcPr>
            <w:tcW w:w="680" w:type="dxa"/>
            <w:shd w:val="clear" w:color="auto" w:fill="C6D9F1" w:themeFill="text2" w:themeFillTint="33"/>
            <w:vAlign w:val="center"/>
          </w:tcPr>
          <w:p w14:paraId="329A9AD1"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2012</w:t>
            </w:r>
          </w:p>
        </w:tc>
        <w:tc>
          <w:tcPr>
            <w:tcW w:w="690" w:type="dxa"/>
            <w:shd w:val="clear" w:color="auto" w:fill="C6D9F1" w:themeFill="text2" w:themeFillTint="33"/>
            <w:vAlign w:val="center"/>
          </w:tcPr>
          <w:p w14:paraId="7032143F"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2013</w:t>
            </w:r>
          </w:p>
        </w:tc>
        <w:tc>
          <w:tcPr>
            <w:tcW w:w="690" w:type="dxa"/>
            <w:shd w:val="clear" w:color="auto" w:fill="C6D9F1" w:themeFill="text2" w:themeFillTint="33"/>
            <w:vAlign w:val="center"/>
          </w:tcPr>
          <w:p w14:paraId="4C3FAA4D"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2014</w:t>
            </w:r>
          </w:p>
        </w:tc>
        <w:tc>
          <w:tcPr>
            <w:tcW w:w="680" w:type="dxa"/>
            <w:shd w:val="clear" w:color="auto" w:fill="C6D9F1" w:themeFill="text2" w:themeFillTint="33"/>
            <w:vAlign w:val="center"/>
          </w:tcPr>
          <w:p w14:paraId="417517BA"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2015</w:t>
            </w:r>
          </w:p>
        </w:tc>
        <w:tc>
          <w:tcPr>
            <w:tcW w:w="690" w:type="dxa"/>
            <w:shd w:val="clear" w:color="auto" w:fill="C6D9F1" w:themeFill="text2" w:themeFillTint="33"/>
            <w:vAlign w:val="center"/>
          </w:tcPr>
          <w:p w14:paraId="441C068C"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2016</w:t>
            </w:r>
          </w:p>
        </w:tc>
        <w:tc>
          <w:tcPr>
            <w:tcW w:w="690" w:type="dxa"/>
            <w:shd w:val="clear" w:color="auto" w:fill="C6D9F1" w:themeFill="text2" w:themeFillTint="33"/>
            <w:vAlign w:val="center"/>
          </w:tcPr>
          <w:p w14:paraId="023409BF" w14:textId="77777777" w:rsidR="00527038" w:rsidRPr="00610B1B" w:rsidRDefault="00527038" w:rsidP="00D32D6A">
            <w:pPr>
              <w:spacing w:after="0" w:line="240" w:lineRule="auto"/>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2017</w:t>
            </w:r>
          </w:p>
        </w:tc>
      </w:tr>
      <w:tr w:rsidR="00527038" w:rsidRPr="00610B1B" w14:paraId="04402B85" w14:textId="77777777" w:rsidTr="00FD59A8">
        <w:trPr>
          <w:trHeight w:val="270"/>
        </w:trPr>
        <w:tc>
          <w:tcPr>
            <w:tcW w:w="3621" w:type="dxa"/>
            <w:shd w:val="clear" w:color="auto" w:fill="auto"/>
            <w:noWrap/>
            <w:vAlign w:val="bottom"/>
          </w:tcPr>
          <w:p w14:paraId="7710B423" w14:textId="77777777" w:rsidR="00527038" w:rsidRPr="00610B1B" w:rsidRDefault="00527038" w:rsidP="00D32D6A">
            <w:pPr>
              <w:spacing w:after="0" w:line="240" w:lineRule="auto"/>
              <w:rPr>
                <w:rFonts w:ascii="Times New Roman" w:hAnsi="Times New Roman" w:cs="Times New Roman"/>
                <w:b/>
                <w:sz w:val="20"/>
                <w:szCs w:val="20"/>
                <w:lang w:val="bg-BG"/>
              </w:rPr>
            </w:pPr>
            <w:r w:rsidRPr="00610B1B">
              <w:rPr>
                <w:rFonts w:ascii="Times New Roman" w:hAnsi="Times New Roman" w:cs="Times New Roman"/>
                <w:b/>
                <w:sz w:val="20"/>
                <w:szCs w:val="20"/>
                <w:lang w:val="bg-BG"/>
              </w:rPr>
              <w:t>Заети лица - % от синята икономика</w:t>
            </w:r>
          </w:p>
        </w:tc>
        <w:tc>
          <w:tcPr>
            <w:tcW w:w="690" w:type="dxa"/>
            <w:shd w:val="clear" w:color="auto" w:fill="auto"/>
            <w:noWrap/>
            <w:vAlign w:val="center"/>
          </w:tcPr>
          <w:p w14:paraId="56DBAB28"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9.0%</w:t>
            </w:r>
          </w:p>
        </w:tc>
        <w:tc>
          <w:tcPr>
            <w:tcW w:w="680" w:type="dxa"/>
            <w:shd w:val="clear" w:color="auto" w:fill="auto"/>
            <w:noWrap/>
            <w:vAlign w:val="center"/>
          </w:tcPr>
          <w:p w14:paraId="444214E4"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8.4%</w:t>
            </w:r>
          </w:p>
        </w:tc>
        <w:tc>
          <w:tcPr>
            <w:tcW w:w="680" w:type="dxa"/>
            <w:shd w:val="clear" w:color="auto" w:fill="auto"/>
            <w:noWrap/>
            <w:vAlign w:val="center"/>
          </w:tcPr>
          <w:p w14:paraId="3628563B"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8.4%</w:t>
            </w:r>
          </w:p>
        </w:tc>
        <w:tc>
          <w:tcPr>
            <w:tcW w:w="680" w:type="dxa"/>
            <w:shd w:val="clear" w:color="auto" w:fill="auto"/>
            <w:noWrap/>
            <w:vAlign w:val="center"/>
          </w:tcPr>
          <w:p w14:paraId="4480E263"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8.1%</w:t>
            </w:r>
          </w:p>
        </w:tc>
        <w:tc>
          <w:tcPr>
            <w:tcW w:w="690" w:type="dxa"/>
            <w:shd w:val="clear" w:color="auto" w:fill="auto"/>
            <w:noWrap/>
            <w:vAlign w:val="center"/>
          </w:tcPr>
          <w:p w14:paraId="1F79B859"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8.3%</w:t>
            </w:r>
          </w:p>
        </w:tc>
        <w:tc>
          <w:tcPr>
            <w:tcW w:w="690" w:type="dxa"/>
            <w:shd w:val="clear" w:color="auto" w:fill="auto"/>
            <w:noWrap/>
            <w:vAlign w:val="center"/>
          </w:tcPr>
          <w:p w14:paraId="1BA1F3A5"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8.3%</w:t>
            </w:r>
          </w:p>
        </w:tc>
        <w:tc>
          <w:tcPr>
            <w:tcW w:w="680" w:type="dxa"/>
            <w:shd w:val="clear" w:color="auto" w:fill="auto"/>
            <w:noWrap/>
            <w:vAlign w:val="center"/>
          </w:tcPr>
          <w:p w14:paraId="2F0CB518"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8.9%</w:t>
            </w:r>
          </w:p>
        </w:tc>
        <w:tc>
          <w:tcPr>
            <w:tcW w:w="690" w:type="dxa"/>
            <w:shd w:val="clear" w:color="auto" w:fill="auto"/>
            <w:noWrap/>
            <w:vAlign w:val="center"/>
          </w:tcPr>
          <w:p w14:paraId="158C1D62"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8.1%</w:t>
            </w:r>
          </w:p>
        </w:tc>
        <w:tc>
          <w:tcPr>
            <w:tcW w:w="690" w:type="dxa"/>
            <w:shd w:val="clear" w:color="auto" w:fill="auto"/>
            <w:noWrap/>
            <w:vAlign w:val="center"/>
          </w:tcPr>
          <w:p w14:paraId="3B4FECE7"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7.4%</w:t>
            </w:r>
          </w:p>
        </w:tc>
      </w:tr>
      <w:tr w:rsidR="00527038" w:rsidRPr="00610B1B" w14:paraId="3F0D237E" w14:textId="77777777" w:rsidTr="00FD59A8">
        <w:trPr>
          <w:trHeight w:val="270"/>
        </w:trPr>
        <w:tc>
          <w:tcPr>
            <w:tcW w:w="3621" w:type="dxa"/>
            <w:shd w:val="clear" w:color="auto" w:fill="auto"/>
            <w:noWrap/>
            <w:vAlign w:val="bottom"/>
          </w:tcPr>
          <w:p w14:paraId="2CD23960" w14:textId="77777777" w:rsidR="00527038" w:rsidRPr="00610B1B" w:rsidRDefault="00527038" w:rsidP="00D32D6A">
            <w:pPr>
              <w:spacing w:after="0" w:line="240" w:lineRule="auto"/>
              <w:rPr>
                <w:rFonts w:ascii="Times New Roman" w:hAnsi="Times New Roman" w:cs="Times New Roman"/>
                <w:i/>
                <w:sz w:val="20"/>
                <w:szCs w:val="20"/>
                <w:lang w:val="bg-BG"/>
              </w:rPr>
            </w:pPr>
            <w:r w:rsidRPr="00610B1B">
              <w:rPr>
                <w:rFonts w:ascii="Times New Roman" w:hAnsi="Times New Roman" w:cs="Times New Roman"/>
                <w:i/>
                <w:sz w:val="20"/>
                <w:szCs w:val="20"/>
                <w:lang w:val="bg-BG"/>
              </w:rPr>
              <w:t>Заети лица - % от националната. икономика</w:t>
            </w:r>
          </w:p>
        </w:tc>
        <w:tc>
          <w:tcPr>
            <w:tcW w:w="690" w:type="dxa"/>
            <w:shd w:val="clear" w:color="auto" w:fill="auto"/>
            <w:noWrap/>
            <w:vAlign w:val="center"/>
          </w:tcPr>
          <w:p w14:paraId="17EFEA39"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80" w:type="dxa"/>
            <w:shd w:val="clear" w:color="auto" w:fill="auto"/>
            <w:noWrap/>
            <w:vAlign w:val="center"/>
          </w:tcPr>
          <w:p w14:paraId="69F95815"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80" w:type="dxa"/>
            <w:shd w:val="clear" w:color="auto" w:fill="auto"/>
            <w:noWrap/>
            <w:vAlign w:val="center"/>
          </w:tcPr>
          <w:p w14:paraId="1DB5137E"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80" w:type="dxa"/>
            <w:shd w:val="clear" w:color="auto" w:fill="auto"/>
            <w:noWrap/>
            <w:vAlign w:val="center"/>
          </w:tcPr>
          <w:p w14:paraId="46B997E6"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90" w:type="dxa"/>
            <w:shd w:val="clear" w:color="auto" w:fill="auto"/>
            <w:noWrap/>
            <w:vAlign w:val="center"/>
          </w:tcPr>
          <w:p w14:paraId="59052533"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90" w:type="dxa"/>
            <w:shd w:val="clear" w:color="auto" w:fill="auto"/>
            <w:noWrap/>
            <w:vAlign w:val="center"/>
          </w:tcPr>
          <w:p w14:paraId="3570FCC8"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80" w:type="dxa"/>
            <w:shd w:val="clear" w:color="auto" w:fill="auto"/>
            <w:noWrap/>
            <w:vAlign w:val="center"/>
          </w:tcPr>
          <w:p w14:paraId="4A9E43AC"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90" w:type="dxa"/>
            <w:shd w:val="clear" w:color="auto" w:fill="auto"/>
            <w:noWrap/>
            <w:vAlign w:val="center"/>
          </w:tcPr>
          <w:p w14:paraId="3496EE1C"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90" w:type="dxa"/>
            <w:shd w:val="clear" w:color="auto" w:fill="auto"/>
            <w:noWrap/>
            <w:vAlign w:val="center"/>
          </w:tcPr>
          <w:p w14:paraId="1D396CBC"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r>
      <w:tr w:rsidR="00527038" w:rsidRPr="00610B1B" w14:paraId="3060D362" w14:textId="77777777" w:rsidTr="00FD59A8">
        <w:trPr>
          <w:trHeight w:val="270"/>
        </w:trPr>
        <w:tc>
          <w:tcPr>
            <w:tcW w:w="3621" w:type="dxa"/>
            <w:shd w:val="clear" w:color="auto" w:fill="auto"/>
            <w:noWrap/>
            <w:vAlign w:val="bottom"/>
          </w:tcPr>
          <w:p w14:paraId="76175F47" w14:textId="77777777" w:rsidR="00527038" w:rsidRPr="00610B1B" w:rsidRDefault="00527038" w:rsidP="00D32D6A">
            <w:pPr>
              <w:spacing w:after="0" w:line="240" w:lineRule="auto"/>
              <w:rPr>
                <w:rFonts w:ascii="Times New Roman" w:hAnsi="Times New Roman" w:cs="Times New Roman"/>
                <w:b/>
                <w:sz w:val="20"/>
                <w:szCs w:val="20"/>
                <w:lang w:val="bg-BG"/>
              </w:rPr>
            </w:pPr>
            <w:r w:rsidRPr="00610B1B">
              <w:rPr>
                <w:rFonts w:ascii="Times New Roman" w:hAnsi="Times New Roman" w:cs="Times New Roman"/>
                <w:b/>
                <w:sz w:val="20"/>
                <w:szCs w:val="20"/>
                <w:lang w:val="bg-BG"/>
              </w:rPr>
              <w:t>БДС - % от синята икономика</w:t>
            </w:r>
          </w:p>
        </w:tc>
        <w:tc>
          <w:tcPr>
            <w:tcW w:w="690" w:type="dxa"/>
            <w:shd w:val="clear" w:color="auto" w:fill="auto"/>
            <w:noWrap/>
            <w:vAlign w:val="center"/>
          </w:tcPr>
          <w:p w14:paraId="79AF2412"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11.4%</w:t>
            </w:r>
          </w:p>
        </w:tc>
        <w:tc>
          <w:tcPr>
            <w:tcW w:w="680" w:type="dxa"/>
            <w:shd w:val="clear" w:color="auto" w:fill="auto"/>
            <w:noWrap/>
            <w:vAlign w:val="center"/>
          </w:tcPr>
          <w:p w14:paraId="4F07BB5A"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9.0%</w:t>
            </w:r>
          </w:p>
        </w:tc>
        <w:tc>
          <w:tcPr>
            <w:tcW w:w="680" w:type="dxa"/>
            <w:shd w:val="clear" w:color="auto" w:fill="auto"/>
            <w:noWrap/>
            <w:vAlign w:val="center"/>
          </w:tcPr>
          <w:p w14:paraId="76AB4C6D"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7.4%</w:t>
            </w:r>
          </w:p>
        </w:tc>
        <w:tc>
          <w:tcPr>
            <w:tcW w:w="680" w:type="dxa"/>
            <w:shd w:val="clear" w:color="auto" w:fill="auto"/>
            <w:noWrap/>
            <w:vAlign w:val="center"/>
          </w:tcPr>
          <w:p w14:paraId="249FDE8C"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8.8%</w:t>
            </w:r>
          </w:p>
        </w:tc>
        <w:tc>
          <w:tcPr>
            <w:tcW w:w="690" w:type="dxa"/>
            <w:shd w:val="clear" w:color="auto" w:fill="auto"/>
            <w:noWrap/>
            <w:vAlign w:val="center"/>
          </w:tcPr>
          <w:p w14:paraId="24295888"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11.6%</w:t>
            </w:r>
          </w:p>
        </w:tc>
        <w:tc>
          <w:tcPr>
            <w:tcW w:w="690" w:type="dxa"/>
            <w:shd w:val="clear" w:color="auto" w:fill="auto"/>
            <w:noWrap/>
            <w:vAlign w:val="center"/>
          </w:tcPr>
          <w:p w14:paraId="613631AC"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12.6%</w:t>
            </w:r>
          </w:p>
        </w:tc>
        <w:tc>
          <w:tcPr>
            <w:tcW w:w="680" w:type="dxa"/>
            <w:shd w:val="clear" w:color="auto" w:fill="auto"/>
            <w:noWrap/>
            <w:vAlign w:val="center"/>
          </w:tcPr>
          <w:p w14:paraId="771C6C45"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9.2%</w:t>
            </w:r>
          </w:p>
        </w:tc>
        <w:tc>
          <w:tcPr>
            <w:tcW w:w="690" w:type="dxa"/>
            <w:shd w:val="clear" w:color="auto" w:fill="auto"/>
            <w:noWrap/>
            <w:vAlign w:val="center"/>
          </w:tcPr>
          <w:p w14:paraId="18729CA3"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10.9%</w:t>
            </w:r>
          </w:p>
        </w:tc>
        <w:tc>
          <w:tcPr>
            <w:tcW w:w="690" w:type="dxa"/>
            <w:shd w:val="clear" w:color="auto" w:fill="auto"/>
            <w:noWrap/>
            <w:vAlign w:val="center"/>
          </w:tcPr>
          <w:p w14:paraId="7FEFDF92" w14:textId="77777777" w:rsidR="00527038" w:rsidRPr="00610B1B" w:rsidRDefault="00527038" w:rsidP="00D32D6A">
            <w:pPr>
              <w:spacing w:after="0" w:line="240" w:lineRule="auto"/>
              <w:jc w:val="right"/>
              <w:rPr>
                <w:rFonts w:ascii="Times New Roman" w:hAnsi="Times New Roman" w:cs="Times New Roman"/>
                <w:b/>
                <w:sz w:val="20"/>
                <w:szCs w:val="20"/>
                <w:lang w:val="bg-BG"/>
              </w:rPr>
            </w:pPr>
            <w:r w:rsidRPr="00610B1B">
              <w:rPr>
                <w:rFonts w:ascii="Times New Roman" w:hAnsi="Times New Roman" w:cs="Times New Roman"/>
                <w:b/>
                <w:sz w:val="20"/>
                <w:szCs w:val="20"/>
                <w:lang w:val="bg-BG"/>
              </w:rPr>
              <w:t>10.2%</w:t>
            </w:r>
          </w:p>
        </w:tc>
      </w:tr>
      <w:tr w:rsidR="00527038" w:rsidRPr="00610B1B" w14:paraId="005F4139" w14:textId="77777777" w:rsidTr="00FD59A8">
        <w:trPr>
          <w:trHeight w:val="270"/>
        </w:trPr>
        <w:tc>
          <w:tcPr>
            <w:tcW w:w="3621" w:type="dxa"/>
            <w:shd w:val="clear" w:color="auto" w:fill="auto"/>
            <w:noWrap/>
            <w:vAlign w:val="bottom"/>
          </w:tcPr>
          <w:p w14:paraId="0D9A2D72" w14:textId="77777777" w:rsidR="00527038" w:rsidRPr="00610B1B" w:rsidRDefault="00527038" w:rsidP="00D32D6A">
            <w:pPr>
              <w:spacing w:after="0" w:line="240" w:lineRule="auto"/>
              <w:rPr>
                <w:rFonts w:ascii="Times New Roman" w:hAnsi="Times New Roman" w:cs="Times New Roman"/>
                <w:i/>
                <w:sz w:val="20"/>
                <w:szCs w:val="20"/>
                <w:lang w:val="bg-BG"/>
              </w:rPr>
            </w:pPr>
            <w:r w:rsidRPr="00610B1B">
              <w:rPr>
                <w:rFonts w:ascii="Times New Roman" w:hAnsi="Times New Roman" w:cs="Times New Roman"/>
                <w:i/>
                <w:sz w:val="20"/>
                <w:szCs w:val="20"/>
                <w:lang w:val="bg-BG"/>
              </w:rPr>
              <w:t>БДС - % от националната икономика</w:t>
            </w:r>
          </w:p>
        </w:tc>
        <w:tc>
          <w:tcPr>
            <w:tcW w:w="690" w:type="dxa"/>
            <w:shd w:val="clear" w:color="auto" w:fill="auto"/>
            <w:noWrap/>
            <w:vAlign w:val="center"/>
          </w:tcPr>
          <w:p w14:paraId="6ECE35E5"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80" w:type="dxa"/>
            <w:shd w:val="clear" w:color="auto" w:fill="auto"/>
            <w:noWrap/>
            <w:vAlign w:val="center"/>
          </w:tcPr>
          <w:p w14:paraId="77F676F8"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0.1%</w:t>
            </w:r>
          </w:p>
        </w:tc>
        <w:tc>
          <w:tcPr>
            <w:tcW w:w="680" w:type="dxa"/>
            <w:shd w:val="clear" w:color="auto" w:fill="auto"/>
            <w:noWrap/>
            <w:vAlign w:val="center"/>
          </w:tcPr>
          <w:p w14:paraId="453EEDC5"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0.1%</w:t>
            </w:r>
          </w:p>
        </w:tc>
        <w:tc>
          <w:tcPr>
            <w:tcW w:w="680" w:type="dxa"/>
            <w:shd w:val="clear" w:color="auto" w:fill="auto"/>
            <w:noWrap/>
            <w:vAlign w:val="center"/>
          </w:tcPr>
          <w:p w14:paraId="1A348B24"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0.1%</w:t>
            </w:r>
          </w:p>
        </w:tc>
        <w:tc>
          <w:tcPr>
            <w:tcW w:w="690" w:type="dxa"/>
            <w:shd w:val="clear" w:color="auto" w:fill="auto"/>
            <w:noWrap/>
            <w:vAlign w:val="center"/>
          </w:tcPr>
          <w:p w14:paraId="6CCA9F1F"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90" w:type="dxa"/>
            <w:shd w:val="clear" w:color="auto" w:fill="auto"/>
            <w:noWrap/>
            <w:vAlign w:val="center"/>
          </w:tcPr>
          <w:p w14:paraId="34474732"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80" w:type="dxa"/>
            <w:shd w:val="clear" w:color="auto" w:fill="auto"/>
            <w:noWrap/>
            <w:vAlign w:val="center"/>
          </w:tcPr>
          <w:p w14:paraId="2D832866"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0.1%</w:t>
            </w:r>
          </w:p>
        </w:tc>
        <w:tc>
          <w:tcPr>
            <w:tcW w:w="690" w:type="dxa"/>
            <w:shd w:val="clear" w:color="auto" w:fill="auto"/>
            <w:noWrap/>
            <w:vAlign w:val="center"/>
          </w:tcPr>
          <w:p w14:paraId="1BB1A5BA"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c>
          <w:tcPr>
            <w:tcW w:w="690" w:type="dxa"/>
            <w:shd w:val="clear" w:color="auto" w:fill="auto"/>
            <w:noWrap/>
            <w:vAlign w:val="center"/>
          </w:tcPr>
          <w:p w14:paraId="092F8DCA" w14:textId="77777777" w:rsidR="00527038" w:rsidRPr="00610B1B" w:rsidRDefault="00527038" w:rsidP="00D32D6A">
            <w:pPr>
              <w:spacing w:after="0" w:line="240" w:lineRule="auto"/>
              <w:jc w:val="right"/>
              <w:rPr>
                <w:rFonts w:ascii="Times New Roman" w:hAnsi="Times New Roman" w:cs="Times New Roman"/>
                <w:i/>
                <w:sz w:val="20"/>
                <w:szCs w:val="20"/>
                <w:lang w:val="bg-BG"/>
              </w:rPr>
            </w:pPr>
            <w:r w:rsidRPr="00610B1B">
              <w:rPr>
                <w:rFonts w:ascii="Times New Roman" w:hAnsi="Times New Roman" w:cs="Times New Roman"/>
                <w:i/>
                <w:sz w:val="20"/>
                <w:szCs w:val="20"/>
                <w:lang w:val="bg-BG"/>
              </w:rPr>
              <w:t>0.2%</w:t>
            </w:r>
          </w:p>
        </w:tc>
      </w:tr>
    </w:tbl>
    <w:p w14:paraId="6155DC15" w14:textId="77777777" w:rsidR="00527038" w:rsidRPr="00610B1B" w:rsidRDefault="00527038" w:rsidP="00FD59A8">
      <w:pPr>
        <w:pStyle w:val="FootnoteText"/>
        <w:spacing w:before="40" w:after="120"/>
        <w:ind w:right="-153"/>
        <w:rPr>
          <w:rFonts w:cs="Times New Roman"/>
          <w:iCs/>
          <w:sz w:val="22"/>
          <w:szCs w:val="22"/>
          <w:lang w:val="bg-BG"/>
        </w:rPr>
      </w:pPr>
      <w:r w:rsidRPr="00610B1B">
        <w:rPr>
          <w:rFonts w:cs="Times New Roman"/>
          <w:iCs/>
          <w:sz w:val="22"/>
          <w:szCs w:val="22"/>
          <w:lang w:val="bg-BG"/>
        </w:rPr>
        <w:t xml:space="preserve">Източник: По данни за България от Доклад за синята икономика на ЕС, 2019 </w:t>
      </w:r>
    </w:p>
    <w:p w14:paraId="35E8EA32" w14:textId="77777777" w:rsidR="00527038" w:rsidRPr="00610B1B" w:rsidRDefault="00527038" w:rsidP="00D32D6A">
      <w:pPr>
        <w:spacing w:after="120"/>
        <w:ind w:right="-153"/>
        <w:jc w:val="both"/>
        <w:rPr>
          <w:rFonts w:ascii="Times New Roman" w:hAnsi="Times New Roman" w:cs="Times New Roman"/>
          <w:sz w:val="24"/>
          <w:szCs w:val="24"/>
          <w:shd w:val="clear" w:color="auto" w:fill="FFFFFF"/>
          <w:lang w:val="bg-BG"/>
        </w:rPr>
      </w:pPr>
      <w:r w:rsidRPr="00610B1B">
        <w:rPr>
          <w:rFonts w:ascii="Times New Roman" w:hAnsi="Times New Roman" w:cs="Times New Roman"/>
          <w:sz w:val="24"/>
          <w:szCs w:val="24"/>
          <w:shd w:val="clear" w:color="auto" w:fill="FFFFFF"/>
          <w:lang w:val="bg-BG"/>
        </w:rPr>
        <w:t xml:space="preserve">Секторът мина през различни трансформации, преструктуриране и раздробяване, свързани както с протичащите процеси в националната икономика, така и поради силната конкуренция на страни като Китай и Корея. </w:t>
      </w:r>
    </w:p>
    <w:p w14:paraId="436D5CDA" w14:textId="6E2138E9"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shd w:val="clear" w:color="auto" w:fill="FFFFFF"/>
          <w:lang w:val="bg-BG"/>
        </w:rPr>
        <w:t xml:space="preserve">През 2017 г. секторът в България </w:t>
      </w:r>
      <w:r w:rsidRPr="00610B1B">
        <w:rPr>
          <w:rFonts w:ascii="Times New Roman" w:hAnsi="Times New Roman" w:cs="Times New Roman"/>
          <w:sz w:val="24"/>
          <w:szCs w:val="24"/>
          <w:lang w:val="bg-BG"/>
        </w:rPr>
        <w:t>генерира брутна добавена стойност 67 млн. евро. Броят на работните места се определя на 4.7 хиляди души през 2017 г., голяма част от които са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висококвалифицирани специалисти. Отчетеният растеж на производителността на труда за периода 2009-2017 г. е близо 50%. </w:t>
      </w:r>
    </w:p>
    <w:p w14:paraId="558FE51F" w14:textId="7777777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Наблюдава се ясно изразена тенденция на преструктуриране на сектора. Строителството на кораби и плаващи конструкции, както и строителството на плавателни съдове за отдих, намалиха оборота си със 70% през 2017 г. в сравнение с 2009 г. Тези загуби бяха </w:t>
      </w:r>
      <w:r w:rsidRPr="00610B1B">
        <w:rPr>
          <w:rFonts w:ascii="Times New Roman" w:hAnsi="Times New Roman" w:cs="Times New Roman"/>
          <w:sz w:val="24"/>
          <w:szCs w:val="24"/>
          <w:lang w:val="bg-BG"/>
        </w:rPr>
        <w:lastRenderedPageBreak/>
        <w:t>уравновесени от значително увеличение на дейностите по ремонт и поддържане на плавателни съдове (+ 65%) и морското оборудване (+ 57%).</w:t>
      </w:r>
    </w:p>
    <w:p w14:paraId="0C55AC82" w14:textId="5DC9FBA5"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Основното териториално разположение на фирмите на корабостроенето и кораборемонта са в Черноморския район на страната, като най-големите от тях са разположени във Варна, Белослав 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Бургас.</w:t>
      </w:r>
    </w:p>
    <w:p w14:paraId="4DC7AD53" w14:textId="154E4463" w:rsidR="00527038" w:rsidRPr="00610B1B" w:rsidRDefault="00527038" w:rsidP="00D32D6A">
      <w:pPr>
        <w:spacing w:after="120"/>
        <w:ind w:right="-153"/>
        <w:jc w:val="both"/>
        <w:rPr>
          <w:rFonts w:ascii="Times New Roman" w:hAnsi="Times New Roman" w:cs="Times New Roman"/>
          <w:sz w:val="24"/>
          <w:szCs w:val="24"/>
          <w:shd w:val="clear" w:color="auto" w:fill="FFFFFF"/>
          <w:lang w:val="bg-BG"/>
        </w:rPr>
      </w:pPr>
      <w:r w:rsidRPr="00610B1B">
        <w:rPr>
          <w:rFonts w:ascii="Times New Roman" w:hAnsi="Times New Roman" w:cs="Times New Roman"/>
          <w:b/>
          <w:sz w:val="24"/>
          <w:szCs w:val="24"/>
          <w:shd w:val="clear" w:color="auto" w:fill="FFFFFF"/>
          <w:lang w:val="bg-BG"/>
        </w:rPr>
        <w:t>Строителството на плавателни съдове, без тези за отдих</w:t>
      </w:r>
      <w:r w:rsidRPr="00610B1B">
        <w:rPr>
          <w:rStyle w:val="FootnoteReference"/>
          <w:rFonts w:ascii="Times New Roman" w:hAnsi="Times New Roman" w:cs="Times New Roman"/>
          <w:bCs/>
          <w:sz w:val="24"/>
          <w:szCs w:val="24"/>
          <w:shd w:val="clear" w:color="auto" w:fill="FFFFFF"/>
          <w:lang w:val="bg-BG"/>
        </w:rPr>
        <w:footnoteReference w:id="137"/>
      </w:r>
      <w:r w:rsidRPr="00610B1B">
        <w:rPr>
          <w:rFonts w:ascii="Times New Roman" w:hAnsi="Times New Roman" w:cs="Times New Roman"/>
          <w:sz w:val="24"/>
          <w:szCs w:val="24"/>
          <w:shd w:val="clear" w:color="auto" w:fill="FFFFFF"/>
          <w:lang w:val="bg-BG"/>
        </w:rPr>
        <w:t>, е локализирано в общините</w:t>
      </w:r>
      <w:r w:rsidR="00D66FE0" w:rsidRPr="00610B1B">
        <w:rPr>
          <w:rFonts w:ascii="Times New Roman" w:hAnsi="Times New Roman" w:cs="Times New Roman"/>
          <w:sz w:val="24"/>
          <w:szCs w:val="24"/>
          <w:shd w:val="clear" w:color="auto" w:fill="FFFFFF"/>
          <w:lang w:val="bg-BG"/>
        </w:rPr>
        <w:t xml:space="preserve"> </w:t>
      </w:r>
      <w:r w:rsidRPr="00610B1B">
        <w:rPr>
          <w:rFonts w:ascii="Times New Roman" w:hAnsi="Times New Roman" w:cs="Times New Roman"/>
          <w:sz w:val="24"/>
          <w:szCs w:val="24"/>
          <w:shd w:val="clear" w:color="auto" w:fill="FFFFFF"/>
          <w:lang w:val="bg-BG"/>
        </w:rPr>
        <w:t>Варна (</w:t>
      </w:r>
      <w:r w:rsidR="00434B1E" w:rsidRPr="00610B1B">
        <w:rPr>
          <w:rFonts w:ascii="Times New Roman" w:hAnsi="Times New Roman" w:cs="Times New Roman"/>
          <w:color w:val="000000"/>
          <w:sz w:val="24"/>
          <w:szCs w:val="24"/>
          <w:lang w:val="bg-BG"/>
        </w:rPr>
        <w:t>„</w:t>
      </w:r>
      <w:r w:rsidRPr="00610B1B">
        <w:rPr>
          <w:rFonts w:ascii="Times New Roman" w:hAnsi="Times New Roman" w:cs="Times New Roman"/>
          <w:color w:val="000000"/>
          <w:sz w:val="24"/>
          <w:szCs w:val="24"/>
          <w:lang w:val="bg-BG"/>
        </w:rPr>
        <w:t>Булярд корабостроителна индустрия</w:t>
      </w:r>
      <w:r w:rsidR="00434B1E" w:rsidRPr="00610B1B">
        <w:rPr>
          <w:rFonts w:ascii="Times New Roman" w:hAnsi="Times New Roman" w:cs="Times New Roman"/>
          <w:color w:val="000000"/>
          <w:sz w:val="24"/>
          <w:szCs w:val="24"/>
          <w:lang w:val="bg-BG"/>
        </w:rPr>
        <w:t>“</w:t>
      </w:r>
      <w:r w:rsidRPr="00610B1B">
        <w:rPr>
          <w:rFonts w:ascii="Times New Roman" w:hAnsi="Times New Roman" w:cs="Times New Roman"/>
          <w:color w:val="000000"/>
          <w:sz w:val="24"/>
          <w:szCs w:val="24"/>
          <w:lang w:val="bg-BG"/>
        </w:rPr>
        <w:t xml:space="preserve"> АД,</w:t>
      </w:r>
      <w:r w:rsidRPr="00610B1B">
        <w:rPr>
          <w:rFonts w:ascii="Times New Roman" w:hAnsi="Times New Roman" w:cs="Times New Roman"/>
          <w:b/>
          <w:color w:val="000000"/>
          <w:sz w:val="24"/>
          <w:szCs w:val="24"/>
          <w:lang w:val="bg-BG"/>
        </w:rPr>
        <w:t xml:space="preserve"> </w:t>
      </w:r>
      <w:r w:rsidRPr="00610B1B">
        <w:rPr>
          <w:rFonts w:ascii="Times New Roman" w:hAnsi="Times New Roman" w:cs="Times New Roman"/>
          <w:color w:val="000000"/>
          <w:sz w:val="24"/>
          <w:szCs w:val="24"/>
          <w:lang w:val="bg-BG"/>
        </w:rPr>
        <w:t>„Ула” ООД и др.</w:t>
      </w:r>
      <w:r w:rsidRPr="00610B1B">
        <w:rPr>
          <w:rFonts w:ascii="Times New Roman" w:hAnsi="Times New Roman" w:cs="Times New Roman"/>
          <w:sz w:val="24"/>
          <w:szCs w:val="24"/>
          <w:shd w:val="clear" w:color="auto" w:fill="FFFFFF"/>
          <w:lang w:val="bg-BG"/>
        </w:rPr>
        <w:t>), Бургас (</w:t>
      </w:r>
      <w:r w:rsidR="00434B1E" w:rsidRPr="00610B1B">
        <w:rPr>
          <w:rFonts w:ascii="Times New Roman" w:hAnsi="Times New Roman" w:cs="Times New Roman"/>
          <w:sz w:val="24"/>
          <w:szCs w:val="24"/>
          <w:shd w:val="clear" w:color="auto" w:fill="FFFFFF"/>
          <w:lang w:val="bg-BG"/>
        </w:rPr>
        <w:t>„</w:t>
      </w:r>
      <w:r w:rsidRPr="00610B1B">
        <w:rPr>
          <w:rFonts w:ascii="Times New Roman" w:hAnsi="Times New Roman" w:cs="Times New Roman"/>
          <w:sz w:val="24"/>
          <w:szCs w:val="24"/>
          <w:shd w:val="clear" w:color="auto" w:fill="FFFFFF"/>
          <w:lang w:val="bg-BG"/>
        </w:rPr>
        <w:t>Корабостроителница Бургас</w:t>
      </w:r>
      <w:r w:rsidR="00434B1E" w:rsidRPr="00610B1B">
        <w:rPr>
          <w:rFonts w:ascii="Times New Roman" w:hAnsi="Times New Roman" w:cs="Times New Roman"/>
          <w:sz w:val="24"/>
          <w:szCs w:val="24"/>
          <w:shd w:val="clear" w:color="auto" w:fill="FFFFFF"/>
          <w:lang w:val="bg-BG"/>
        </w:rPr>
        <w:t>“</w:t>
      </w:r>
      <w:r w:rsidRPr="00610B1B">
        <w:rPr>
          <w:rFonts w:ascii="Times New Roman" w:hAnsi="Times New Roman" w:cs="Times New Roman"/>
          <w:sz w:val="24"/>
          <w:szCs w:val="24"/>
          <w:shd w:val="clear" w:color="auto" w:fill="FFFFFF"/>
          <w:lang w:val="bg-BG"/>
        </w:rPr>
        <w:t xml:space="preserve"> ЕООД) и Белослав („МТГ-Делфин” АД). </w:t>
      </w:r>
      <w:r w:rsidRPr="00610B1B">
        <w:rPr>
          <w:rFonts w:ascii="Times New Roman" w:hAnsi="Times New Roman" w:cs="Times New Roman"/>
          <w:bCs/>
          <w:sz w:val="24"/>
          <w:szCs w:val="24"/>
          <w:lang w:val="bg-BG"/>
        </w:rPr>
        <w:t>Броят на заетите лица е около 2 хил. души</w:t>
      </w:r>
      <w:r w:rsidRPr="00610B1B">
        <w:rPr>
          <w:rStyle w:val="FootnoteReference"/>
          <w:rFonts w:ascii="Times New Roman" w:hAnsi="Times New Roman" w:cs="Times New Roman"/>
          <w:bCs/>
          <w:sz w:val="24"/>
          <w:szCs w:val="24"/>
          <w:lang w:val="bg-BG"/>
        </w:rPr>
        <w:footnoteReference w:id="138"/>
      </w:r>
      <w:r w:rsidRPr="00610B1B">
        <w:rPr>
          <w:rFonts w:ascii="Times New Roman" w:hAnsi="Times New Roman" w:cs="Times New Roman"/>
          <w:bCs/>
          <w:sz w:val="24"/>
          <w:szCs w:val="24"/>
          <w:lang w:val="bg-BG"/>
        </w:rPr>
        <w:t>.</w:t>
      </w:r>
    </w:p>
    <w:p w14:paraId="0051288A" w14:textId="4D961A0A" w:rsidR="00527038" w:rsidRPr="00610B1B" w:rsidRDefault="00527038" w:rsidP="00D32D6A">
      <w:pPr>
        <w:spacing w:after="120"/>
        <w:ind w:right="-153"/>
        <w:jc w:val="both"/>
        <w:rPr>
          <w:rFonts w:ascii="Times New Roman" w:hAnsi="Times New Roman" w:cs="Times New Roman"/>
          <w:bCs/>
          <w:sz w:val="24"/>
          <w:szCs w:val="24"/>
          <w:shd w:val="clear" w:color="auto" w:fill="FFFFFF"/>
          <w:lang w:val="bg-BG"/>
        </w:rPr>
      </w:pPr>
      <w:r w:rsidRPr="00610B1B">
        <w:rPr>
          <w:rFonts w:ascii="Times New Roman" w:hAnsi="Times New Roman" w:cs="Times New Roman"/>
          <w:b/>
          <w:bCs/>
          <w:sz w:val="24"/>
          <w:szCs w:val="24"/>
          <w:lang w:val="bg-BG"/>
        </w:rPr>
        <w:t xml:space="preserve">Строителство на плавателни съдове за отдих (спорт и развлечение) </w:t>
      </w:r>
      <w:r w:rsidRPr="00610B1B">
        <w:rPr>
          <w:rFonts w:ascii="Times New Roman" w:hAnsi="Times New Roman" w:cs="Times New Roman"/>
          <w:bCs/>
          <w:sz w:val="24"/>
          <w:szCs w:val="24"/>
          <w:lang w:val="bg-BG"/>
        </w:rPr>
        <w:t>е локализирано основно в община Царево. Броят на заетите лица е 15 човека</w:t>
      </w:r>
      <w:r w:rsidRPr="00610B1B">
        <w:rPr>
          <w:rStyle w:val="FootnoteReference"/>
          <w:rFonts w:ascii="Times New Roman" w:hAnsi="Times New Roman" w:cs="Times New Roman"/>
          <w:bCs/>
          <w:sz w:val="24"/>
          <w:szCs w:val="24"/>
          <w:lang w:val="bg-BG"/>
        </w:rPr>
        <w:footnoteReference w:id="139"/>
      </w:r>
      <w:r w:rsidR="004F541A">
        <w:rPr>
          <w:rFonts w:ascii="Times New Roman" w:hAnsi="Times New Roman" w:cs="Times New Roman"/>
          <w:bCs/>
          <w:sz w:val="24"/>
          <w:szCs w:val="24"/>
          <w:lang w:val="bg-BG"/>
        </w:rPr>
        <w:t>, както и Варна със строеж на малки лодки и заетост около десетина човека</w:t>
      </w:r>
      <w:r w:rsidRPr="00610B1B">
        <w:rPr>
          <w:rFonts w:ascii="Times New Roman" w:hAnsi="Times New Roman" w:cs="Times New Roman"/>
          <w:bCs/>
          <w:sz w:val="24"/>
          <w:szCs w:val="24"/>
          <w:lang w:val="bg-BG"/>
        </w:rPr>
        <w:t xml:space="preserve">. </w:t>
      </w:r>
    </w:p>
    <w:p w14:paraId="448CF260" w14:textId="77777777" w:rsidR="00527038" w:rsidRPr="00610B1B" w:rsidRDefault="00527038" w:rsidP="00D32D6A">
      <w:pPr>
        <w:spacing w:after="120"/>
        <w:ind w:right="-153"/>
        <w:jc w:val="both"/>
        <w:rPr>
          <w:rFonts w:ascii="Times New Roman" w:hAnsi="Times New Roman" w:cs="Times New Roman"/>
          <w:sz w:val="24"/>
          <w:szCs w:val="24"/>
          <w:shd w:val="clear" w:color="auto" w:fill="FFFFFF"/>
          <w:lang w:val="bg-BG"/>
        </w:rPr>
      </w:pPr>
      <w:r w:rsidRPr="00610B1B">
        <w:rPr>
          <w:rFonts w:ascii="Times New Roman" w:hAnsi="Times New Roman" w:cs="Times New Roman"/>
          <w:b/>
          <w:sz w:val="24"/>
          <w:szCs w:val="24"/>
          <w:shd w:val="clear" w:color="auto" w:fill="FFFFFF"/>
          <w:lang w:val="bg-BG"/>
        </w:rPr>
        <w:t>Кораборемонтът</w:t>
      </w:r>
      <w:r w:rsidRPr="00610B1B">
        <w:rPr>
          <w:rStyle w:val="FootnoteReference"/>
          <w:rFonts w:ascii="Times New Roman" w:hAnsi="Times New Roman" w:cs="Times New Roman"/>
          <w:bCs/>
          <w:sz w:val="24"/>
          <w:szCs w:val="24"/>
          <w:shd w:val="clear" w:color="auto" w:fill="FFFFFF"/>
          <w:lang w:val="bg-BG"/>
        </w:rPr>
        <w:footnoteReference w:id="140"/>
      </w:r>
      <w:r w:rsidRPr="00610B1B">
        <w:rPr>
          <w:rFonts w:ascii="Times New Roman" w:hAnsi="Times New Roman" w:cs="Times New Roman"/>
          <w:sz w:val="24"/>
          <w:szCs w:val="24"/>
          <w:shd w:val="clear" w:color="auto" w:fill="FFFFFF"/>
          <w:lang w:val="bg-BG"/>
        </w:rPr>
        <w:t xml:space="preserve"> е най-силно представената дейност в сектора и крайбрежния район. Общата заетост надхвърля 2.5 хил.души през 2018 г. Териториалното разположение на предприятията е в общините Варна, Бургас, Белослав, Созопол. В общините Несебър, Царево, Аксаково също има регистрирани микрофирми с тази дейност.</w:t>
      </w:r>
    </w:p>
    <w:p w14:paraId="6E3B2836" w14:textId="77777777" w:rsidR="00527038" w:rsidRPr="00610B1B" w:rsidRDefault="00527038" w:rsidP="00D32D6A">
      <w:pPr>
        <w:spacing w:after="120"/>
        <w:ind w:right="-153"/>
        <w:jc w:val="both"/>
        <w:rPr>
          <w:rFonts w:ascii="Times New Roman" w:hAnsi="Times New Roman" w:cs="Times New Roman"/>
          <w:sz w:val="24"/>
          <w:szCs w:val="24"/>
          <w:shd w:val="clear" w:color="auto" w:fill="FFFFFF"/>
          <w:lang w:val="bg-BG"/>
        </w:rPr>
      </w:pPr>
      <w:r w:rsidRPr="00610B1B">
        <w:rPr>
          <w:rFonts w:ascii="Times New Roman" w:hAnsi="Times New Roman" w:cs="Times New Roman"/>
          <w:b/>
          <w:sz w:val="24"/>
          <w:szCs w:val="24"/>
          <w:shd w:val="clear" w:color="auto" w:fill="FFFFFF"/>
          <w:lang w:val="bg-BG"/>
        </w:rPr>
        <w:t>Производството на уреди и апарати за измерване, изпитване и навигация</w:t>
      </w:r>
      <w:r w:rsidRPr="00610B1B">
        <w:rPr>
          <w:rFonts w:ascii="Times New Roman" w:hAnsi="Times New Roman" w:cs="Times New Roman"/>
          <w:sz w:val="24"/>
          <w:szCs w:val="24"/>
          <w:shd w:val="clear" w:color="auto" w:fill="FFFFFF"/>
          <w:lang w:val="bg-BG"/>
        </w:rPr>
        <w:t xml:space="preserve">, както и </w:t>
      </w:r>
      <w:r w:rsidRPr="00610B1B">
        <w:rPr>
          <w:rFonts w:ascii="Times New Roman" w:hAnsi="Times New Roman" w:cs="Times New Roman"/>
          <w:b/>
          <w:sz w:val="24"/>
          <w:szCs w:val="24"/>
          <w:shd w:val="clear" w:color="auto" w:fill="FFFFFF"/>
          <w:lang w:val="bg-BG"/>
        </w:rPr>
        <w:t>производството на спортни стоки</w:t>
      </w:r>
      <w:r w:rsidRPr="00610B1B">
        <w:rPr>
          <w:rFonts w:ascii="Times New Roman" w:hAnsi="Times New Roman" w:cs="Times New Roman"/>
          <w:sz w:val="24"/>
          <w:szCs w:val="24"/>
          <w:shd w:val="clear" w:color="auto" w:fill="FFFFFF"/>
          <w:lang w:val="bg-BG"/>
        </w:rPr>
        <w:t>, са локализирани в общините Варна, Бургас и Поморие. Общата заетост през 2018 г. надхвърля 200 д.</w:t>
      </w:r>
      <w:r w:rsidRPr="00610B1B">
        <w:rPr>
          <w:rStyle w:val="FootnoteReference"/>
          <w:rFonts w:ascii="Times New Roman" w:hAnsi="Times New Roman" w:cs="Times New Roman"/>
          <w:sz w:val="24"/>
          <w:szCs w:val="24"/>
          <w:shd w:val="clear" w:color="auto" w:fill="FFFFFF"/>
          <w:lang w:val="bg-BG"/>
        </w:rPr>
        <w:footnoteReference w:id="141"/>
      </w:r>
    </w:p>
    <w:p w14:paraId="6E8297F3" w14:textId="17C1B77A" w:rsidR="00527038" w:rsidRPr="00610B1B" w:rsidRDefault="00527038" w:rsidP="00D32D6A">
      <w:pPr>
        <w:spacing w:after="120"/>
        <w:ind w:right="-153"/>
        <w:jc w:val="both"/>
        <w:rPr>
          <w:rFonts w:ascii="Times New Roman" w:hAnsi="Times New Roman" w:cs="Times New Roman"/>
          <w:sz w:val="24"/>
          <w:szCs w:val="24"/>
          <w:shd w:val="clear" w:color="auto" w:fill="FFFFFF"/>
          <w:lang w:val="bg-BG"/>
        </w:rPr>
      </w:pPr>
      <w:r w:rsidRPr="00610B1B">
        <w:rPr>
          <w:rFonts w:ascii="Times New Roman" w:hAnsi="Times New Roman" w:cs="Times New Roman"/>
          <w:sz w:val="24"/>
          <w:szCs w:val="24"/>
          <w:shd w:val="clear" w:color="auto" w:fill="FFFFFF"/>
          <w:lang w:val="bg-BG"/>
        </w:rPr>
        <w:t>Важна роля в сектора имат класификационните и проектантски организации и научни институти: Асоциация „Малки кораби и оборудване”; „Български корабен регистър” АД; „Германише лойд България” ЕООД; Институт по хидро- и аеродинамика – БАН; „Вартсила ИХБ корабно проектиране България” АД; „Корабен инженеринг, проектиране и изследвания” ООД; „Лавразия” ЕООД – Варна; „Морско проектиране” ЕООД; Териториална организация на научно-техническите съюзи – Варна.</w:t>
      </w:r>
    </w:p>
    <w:p w14:paraId="230C3AB1" w14:textId="7DA88986"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Според търговския регистър понастоящем в Черноморския район в дейности на сектора оперират над 100 фирми. Голяма част от тях са обединени в асоциации (Българска национална асоциация по корабостроене и кораборемонт – БНАКК, учредена на 28 Април 2009 г.) и клъстери (Морски клъстер България). </w:t>
      </w:r>
    </w:p>
    <w:p w14:paraId="2734640E" w14:textId="33A27621" w:rsidR="00527038" w:rsidRPr="00610B1B" w:rsidRDefault="00527038" w:rsidP="00D32D6A">
      <w:pPr>
        <w:pStyle w:val="Heading3"/>
        <w:spacing w:before="0" w:line="276" w:lineRule="auto"/>
        <w:ind w:right="-153"/>
        <w:rPr>
          <w:rFonts w:cs="Times New Roman"/>
        </w:rPr>
      </w:pPr>
      <w:bookmarkStart w:id="404" w:name="_Toc83391399"/>
      <w:r w:rsidRPr="00610B1B">
        <w:rPr>
          <w:rFonts w:cs="Times New Roman"/>
        </w:rPr>
        <w:t>3.6.8. Биотехнологии</w:t>
      </w:r>
      <w:bookmarkEnd w:id="404"/>
      <w:r w:rsidRPr="00610B1B">
        <w:rPr>
          <w:rFonts w:cs="Times New Roman"/>
        </w:rPr>
        <w:t xml:space="preserve"> </w:t>
      </w:r>
    </w:p>
    <w:p w14:paraId="376CFBB2" w14:textId="2DC5D7B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Биотехнологиите се определят като една от най-важните области за бъдещето на синята икономика. Основните приложения на биотехнологията в икономиката на ЕС попадат в четири широки групи: </w:t>
      </w:r>
    </w:p>
    <w:p w14:paraId="6B00B02E" w14:textId="595ACD63" w:rsidR="00527038" w:rsidRPr="00610B1B" w:rsidRDefault="00527038" w:rsidP="00B46189">
      <w:pPr>
        <w:numPr>
          <w:ilvl w:val="0"/>
          <w:numId w:val="45"/>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в здравеопазването и фармацевтичните приложения</w:t>
      </w:r>
      <w:r w:rsidR="00213DBF" w:rsidRPr="00610B1B">
        <w:rPr>
          <w:rFonts w:ascii="Times New Roman" w:hAnsi="Times New Roman" w:cs="Times New Roman"/>
          <w:sz w:val="24"/>
          <w:szCs w:val="24"/>
          <w:lang w:val="bg-BG"/>
        </w:rPr>
        <w:t xml:space="preserve"> у</w:t>
      </w:r>
      <w:r w:rsidRPr="00610B1B">
        <w:rPr>
          <w:rFonts w:ascii="Times New Roman" w:hAnsi="Times New Roman" w:cs="Times New Roman"/>
          <w:sz w:val="24"/>
          <w:szCs w:val="24"/>
          <w:lang w:val="bg-BG"/>
        </w:rPr>
        <w:t xml:space="preserve">силията </w:t>
      </w:r>
      <w:r w:rsidR="00213DBF" w:rsidRPr="00610B1B">
        <w:rPr>
          <w:rFonts w:ascii="Times New Roman" w:hAnsi="Times New Roman" w:cs="Times New Roman"/>
          <w:sz w:val="24"/>
          <w:szCs w:val="24"/>
          <w:lang w:val="bg-BG"/>
        </w:rPr>
        <w:t xml:space="preserve">са </w:t>
      </w:r>
      <w:r w:rsidRPr="00610B1B">
        <w:rPr>
          <w:rFonts w:ascii="Times New Roman" w:hAnsi="Times New Roman" w:cs="Times New Roman"/>
          <w:sz w:val="24"/>
          <w:szCs w:val="24"/>
          <w:lang w:val="bg-BG"/>
        </w:rPr>
        <w:t xml:space="preserve">насочени към откриването и разработването на усъвършенствани лекарства, терапии, диагностика и ваксини; </w:t>
      </w:r>
    </w:p>
    <w:p w14:paraId="1473D0B8" w14:textId="7E4440DF" w:rsidR="00527038" w:rsidRPr="00610B1B" w:rsidRDefault="00527038" w:rsidP="00B46189">
      <w:pPr>
        <w:numPr>
          <w:ilvl w:val="0"/>
          <w:numId w:val="45"/>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селското стопанство, животновъдството, ветеринарните продукти и аквакултурите, където дейностите са свързани с производство на фуражи за животни, ваксини за добитък и подобр</w:t>
      </w:r>
      <w:r w:rsidR="00434B1E" w:rsidRPr="00610B1B">
        <w:rPr>
          <w:rFonts w:ascii="Times New Roman" w:hAnsi="Times New Roman" w:cs="Times New Roman"/>
          <w:sz w:val="24"/>
          <w:szCs w:val="24"/>
          <w:lang w:val="bg-BG"/>
        </w:rPr>
        <w:t xml:space="preserve">яване на </w:t>
      </w:r>
      <w:r w:rsidRPr="00610B1B">
        <w:rPr>
          <w:rFonts w:ascii="Times New Roman" w:hAnsi="Times New Roman" w:cs="Times New Roman"/>
          <w:sz w:val="24"/>
          <w:szCs w:val="24"/>
          <w:lang w:val="bg-BG"/>
        </w:rPr>
        <w:t xml:space="preserve">диагностиката за откриване на болести като СЕГ, шап и салмонела; </w:t>
      </w:r>
    </w:p>
    <w:p w14:paraId="3A1AEDFF" w14:textId="56458A2F" w:rsidR="00527038" w:rsidRPr="00610B1B" w:rsidRDefault="00527038" w:rsidP="00B46189">
      <w:pPr>
        <w:numPr>
          <w:ilvl w:val="0"/>
          <w:numId w:val="45"/>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 промишлените процеси и производството, биотехнологията е насочена </w:t>
      </w:r>
      <w:r w:rsidR="00434B1E" w:rsidRPr="00610B1B">
        <w:rPr>
          <w:rFonts w:ascii="Times New Roman" w:hAnsi="Times New Roman" w:cs="Times New Roman"/>
          <w:sz w:val="24"/>
          <w:szCs w:val="24"/>
          <w:lang w:val="bg-BG"/>
        </w:rPr>
        <w:t>към</w:t>
      </w:r>
      <w:r w:rsidRPr="00610B1B">
        <w:rPr>
          <w:rFonts w:ascii="Times New Roman" w:hAnsi="Times New Roman" w:cs="Times New Roman"/>
          <w:sz w:val="24"/>
          <w:szCs w:val="24"/>
          <w:lang w:val="bg-BG"/>
        </w:rPr>
        <w:t xml:space="preserve"> употреба на ензими в производството на детергенти, пулп и хартия, текстил и биомаса; </w:t>
      </w:r>
    </w:p>
    <w:p w14:paraId="36293098" w14:textId="7001E210" w:rsidR="00527038" w:rsidRPr="00610B1B" w:rsidRDefault="00527038" w:rsidP="00B46189">
      <w:pPr>
        <w:numPr>
          <w:ilvl w:val="0"/>
          <w:numId w:val="45"/>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производството на енергия, чрез употребата на технологи</w:t>
      </w:r>
      <w:r w:rsidR="00434B1E" w:rsidRPr="00610B1B">
        <w:rPr>
          <w:rFonts w:ascii="Times New Roman" w:hAnsi="Times New Roman" w:cs="Times New Roman"/>
          <w:sz w:val="24"/>
          <w:szCs w:val="24"/>
          <w:lang w:val="bg-BG"/>
        </w:rPr>
        <w:t>и</w:t>
      </w:r>
      <w:r w:rsidRPr="00610B1B">
        <w:rPr>
          <w:rFonts w:ascii="Times New Roman" w:hAnsi="Times New Roman" w:cs="Times New Roman"/>
          <w:sz w:val="24"/>
          <w:szCs w:val="24"/>
          <w:lang w:val="bg-BG"/>
        </w:rPr>
        <w:t xml:space="preserve"> с микроводорасли или биомаса от водорасли за биогориво.</w:t>
      </w:r>
    </w:p>
    <w:p w14:paraId="7FEC7B46" w14:textId="742F78D6"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Подсекторът на морската биотехнология е </w:t>
      </w:r>
      <w:r w:rsidR="00434B1E" w:rsidRPr="00610B1B">
        <w:rPr>
          <w:rFonts w:ascii="Times New Roman" w:hAnsi="Times New Roman" w:cs="Times New Roman"/>
          <w:sz w:val="24"/>
          <w:szCs w:val="24"/>
          <w:lang w:val="bg-BG"/>
        </w:rPr>
        <w:t>относително</w:t>
      </w:r>
      <w:r w:rsidRPr="00610B1B">
        <w:rPr>
          <w:rFonts w:ascii="Times New Roman" w:hAnsi="Times New Roman" w:cs="Times New Roman"/>
          <w:sz w:val="24"/>
          <w:szCs w:val="24"/>
          <w:lang w:val="bg-BG"/>
        </w:rPr>
        <w:t xml:space="preserve"> нов и в момента се ръководи и развива чрез национални и европейски проекти, които подкрепят и насърчават тази област. Български</w:t>
      </w:r>
      <w:r w:rsidR="00434B1E"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научни организации също участват в подобни проекти.</w:t>
      </w:r>
      <w:r w:rsidR="00434B1E"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Все още липсват систематизирани данни за развитието на сектора в България (както и в ЕС), но могат да се отбележат някои насоки в предприетите изследвания и приложението на биотехнологиите в района: </w:t>
      </w:r>
    </w:p>
    <w:p w14:paraId="2E421E3F" w14:textId="320124D8" w:rsidR="00527038" w:rsidRPr="00610B1B" w:rsidRDefault="00527038" w:rsidP="00B46189">
      <w:pPr>
        <w:numPr>
          <w:ilvl w:val="0"/>
          <w:numId w:val="3"/>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Лечебно</w:t>
      </w:r>
      <w:r w:rsidR="00434B1E" w:rsidRPr="00610B1B">
        <w:rPr>
          <w:rFonts w:ascii="Times New Roman" w:hAnsi="Times New Roman" w:cs="Times New Roman"/>
          <w:sz w:val="24"/>
          <w:szCs w:val="24"/>
          <w:lang w:val="bg-BG"/>
        </w:rPr>
        <w:t xml:space="preserve"> и козметично </w:t>
      </w:r>
      <w:r w:rsidRPr="00610B1B">
        <w:rPr>
          <w:rFonts w:ascii="Times New Roman" w:hAnsi="Times New Roman" w:cs="Times New Roman"/>
          <w:sz w:val="24"/>
          <w:szCs w:val="24"/>
          <w:lang w:val="bg-BG"/>
        </w:rPr>
        <w:t xml:space="preserve">приложение на лугата, която се добива в крайморските езера от морската вода, богата на редица соли. </w:t>
      </w:r>
    </w:p>
    <w:p w14:paraId="398F2D6E" w14:textId="2527C8FF" w:rsidR="00527038" w:rsidRPr="00610B1B" w:rsidRDefault="00527038" w:rsidP="00B46189">
      <w:pPr>
        <w:numPr>
          <w:ilvl w:val="0"/>
          <w:numId w:val="3"/>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Провеждане на терапии с лечебна кал, която се добива от крайморските езера и разширява лечебните възможности на българското крайбрежие. Практикува се в Поморие, с. </w:t>
      </w:r>
      <w:r w:rsidR="00213DBF" w:rsidRPr="00610B1B">
        <w:rPr>
          <w:rFonts w:ascii="Times New Roman" w:hAnsi="Times New Roman" w:cs="Times New Roman"/>
          <w:sz w:val="24"/>
          <w:szCs w:val="24"/>
          <w:lang w:val="bg-BG"/>
        </w:rPr>
        <w:t>Ветрен</w:t>
      </w:r>
      <w:r w:rsidRPr="00610B1B">
        <w:rPr>
          <w:rFonts w:ascii="Times New Roman" w:hAnsi="Times New Roman" w:cs="Times New Roman"/>
          <w:sz w:val="24"/>
          <w:szCs w:val="24"/>
          <w:lang w:val="bg-BG"/>
        </w:rPr>
        <w:t xml:space="preserve"> (Бургас), Тузлата край Балчик, с. Шабла и във Варненското езеро. </w:t>
      </w:r>
    </w:p>
    <w:p w14:paraId="44CEA6EF" w14:textId="57F395EC" w:rsidR="00527038" w:rsidRPr="00610B1B" w:rsidRDefault="00527038" w:rsidP="00B46189">
      <w:pPr>
        <w:numPr>
          <w:ilvl w:val="0"/>
          <w:numId w:val="3"/>
        </w:numPr>
        <w:tabs>
          <w:tab w:val="left" w:pos="4770"/>
        </w:tabs>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Изграждане на капацитет и обединяване на ресурси и знания във водещи направления на морските биотехнологии за практическото прилагане на политиките чрез национални научни програми. </w:t>
      </w:r>
      <w:r w:rsidR="00213DBF" w:rsidRPr="00610B1B">
        <w:rPr>
          <w:rFonts w:ascii="Times New Roman" w:hAnsi="Times New Roman" w:cs="Times New Roman"/>
          <w:sz w:val="24"/>
          <w:szCs w:val="24"/>
          <w:lang w:val="bg-BG"/>
        </w:rPr>
        <w:t xml:space="preserve">Подобни </w:t>
      </w:r>
      <w:r w:rsidRPr="00610B1B">
        <w:rPr>
          <w:rFonts w:ascii="Times New Roman" w:hAnsi="Times New Roman" w:cs="Times New Roman"/>
          <w:sz w:val="24"/>
          <w:szCs w:val="24"/>
          <w:lang w:val="bg-BG"/>
        </w:rPr>
        <w:t>дейности се предвиждат в</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Националната научна програма за здравословни храни за силна биоикономика и качество на живот</w:t>
      </w:r>
      <w:r w:rsidRPr="00610B1B">
        <w:rPr>
          <w:rStyle w:val="FootnoteReference"/>
          <w:rFonts w:ascii="Times New Roman" w:hAnsi="Times New Roman" w:cs="Times New Roman"/>
          <w:sz w:val="24"/>
          <w:szCs w:val="24"/>
          <w:lang w:val="bg-BG"/>
        </w:rPr>
        <w:footnoteReference w:id="142"/>
      </w:r>
      <w:r w:rsidRPr="00610B1B">
        <w:rPr>
          <w:rFonts w:ascii="Times New Roman" w:hAnsi="Times New Roman" w:cs="Times New Roman"/>
          <w:sz w:val="24"/>
          <w:szCs w:val="24"/>
          <w:lang w:val="bg-BG"/>
        </w:rPr>
        <w:t>, която се очаква да бъде финансирана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по приоритет „Продоволствена сигурност, устойчиво селско и горско стопанство, морски и вътрешноводни изследвания и биоикономика“ </w:t>
      </w:r>
      <w:r w:rsidR="00250A42" w:rsidRPr="00610B1B">
        <w:rPr>
          <w:rFonts w:ascii="Times New Roman" w:hAnsi="Times New Roman" w:cs="Times New Roman"/>
          <w:sz w:val="24"/>
          <w:szCs w:val="24"/>
          <w:lang w:val="bg-BG"/>
        </w:rPr>
        <w:t>на</w:t>
      </w:r>
      <w:r w:rsidRPr="00610B1B">
        <w:rPr>
          <w:rFonts w:ascii="Times New Roman" w:hAnsi="Times New Roman" w:cs="Times New Roman"/>
          <w:sz w:val="24"/>
          <w:szCs w:val="24"/>
          <w:lang w:val="bg-BG"/>
        </w:rPr>
        <w:t xml:space="preserve"> Рамковата програма на Европейския съюз за научни изследвания и иновации Хоризонт 2020 и бъдещата Рамкова програма Хоризонт Европа.</w:t>
      </w:r>
    </w:p>
    <w:p w14:paraId="46E6EDB9" w14:textId="3C94A8E6" w:rsidR="00527038" w:rsidRPr="00610B1B" w:rsidRDefault="00527038" w:rsidP="00B46189">
      <w:pPr>
        <w:numPr>
          <w:ilvl w:val="0"/>
          <w:numId w:val="3"/>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Провеждане на мащабно изследване от учени от Медицинския университет във Варна, което ще провери полезните съставки на черноморските водорасли, по-специално на пет вида водорасли (един вид червени водорасли, два вида зелени, и два </w:t>
      </w:r>
      <w:r w:rsidR="00434B1E" w:rsidRPr="00610B1B">
        <w:rPr>
          <w:rFonts w:ascii="Times New Roman" w:hAnsi="Times New Roman" w:cs="Times New Roman"/>
          <w:sz w:val="24"/>
          <w:szCs w:val="24"/>
          <w:lang w:val="bg-BG"/>
        </w:rPr>
        <w:t xml:space="preserve">вида </w:t>
      </w:r>
      <w:r w:rsidRPr="00610B1B">
        <w:rPr>
          <w:rFonts w:ascii="Times New Roman" w:hAnsi="Times New Roman" w:cs="Times New Roman"/>
          <w:sz w:val="24"/>
          <w:szCs w:val="24"/>
          <w:lang w:val="bg-BG"/>
        </w:rPr>
        <w:t>кафяви);</w:t>
      </w:r>
    </w:p>
    <w:p w14:paraId="243AB650" w14:textId="32DB0806" w:rsidR="00527038" w:rsidRPr="00610B1B" w:rsidRDefault="00527038" w:rsidP="00B46189">
      <w:pPr>
        <w:numPr>
          <w:ilvl w:val="0"/>
          <w:numId w:val="3"/>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Подкрепа на идеи за развитие на ферми за водорасли, което е свързано с редица изследвания относно качествата и приложенията на водораслите в Черно море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 тяхното аквакултурно производство.</w:t>
      </w:r>
    </w:p>
    <w:p w14:paraId="7B70E84F" w14:textId="77777777" w:rsidR="00527038" w:rsidRPr="00610B1B" w:rsidRDefault="00527038"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Финансирането е основен проблем за малките и средните предприятия, участващи в синята биотехнология. При липса на лесен достъп до инвестиции, публичните фондове могат да работят в сътрудничество с изследователи в университети или по-големи индустриални компании. </w:t>
      </w:r>
    </w:p>
    <w:p w14:paraId="358D2951" w14:textId="77777777" w:rsidR="00527038" w:rsidRPr="00610B1B" w:rsidRDefault="00527038" w:rsidP="00D32D6A">
      <w:pPr>
        <w:spacing w:after="120"/>
        <w:ind w:right="-153"/>
        <w:jc w:val="both"/>
        <w:rPr>
          <w:rFonts w:ascii="Times New Roman" w:hAnsi="Times New Roman" w:cs="Times New Roman"/>
          <w:sz w:val="24"/>
          <w:szCs w:val="24"/>
          <w:lang w:val="bg-BG"/>
        </w:rPr>
      </w:pPr>
    </w:p>
    <w:p w14:paraId="45A8F1A0" w14:textId="355BC4E5" w:rsidR="009C0D93" w:rsidRPr="00610B1B" w:rsidRDefault="007B78A7" w:rsidP="00D32D6A">
      <w:pPr>
        <w:pStyle w:val="Heading2"/>
        <w:spacing w:before="0" w:line="276" w:lineRule="auto"/>
        <w:ind w:right="-153"/>
        <w:rPr>
          <w:rFonts w:eastAsia="Times New Roman" w:cs="Times New Roman"/>
          <w:b w:val="0"/>
          <w:sz w:val="24"/>
          <w:szCs w:val="24"/>
          <w:u w:val="single"/>
        </w:rPr>
      </w:pPr>
      <w:bookmarkStart w:id="405" w:name="_Toc83391400"/>
      <w:r w:rsidRPr="00610B1B">
        <w:rPr>
          <w:rFonts w:cs="Times New Roman"/>
        </w:rPr>
        <w:t>3</w:t>
      </w:r>
      <w:r w:rsidR="00BF417A" w:rsidRPr="00610B1B">
        <w:rPr>
          <w:rFonts w:cs="Times New Roman"/>
        </w:rPr>
        <w:t xml:space="preserve">.7. </w:t>
      </w:r>
      <w:r w:rsidR="00A22DF2" w:rsidRPr="00610B1B">
        <w:rPr>
          <w:rFonts w:cs="Times New Roman"/>
        </w:rPr>
        <w:t>Опазване на културното наследство</w:t>
      </w:r>
      <w:bookmarkEnd w:id="405"/>
    </w:p>
    <w:p w14:paraId="02D332D3" w14:textId="115FBCAB" w:rsidR="00250A42" w:rsidRPr="00610B1B" w:rsidRDefault="00442579" w:rsidP="00D32D6A">
      <w:pPr>
        <w:shd w:val="clear" w:color="auto" w:fill="FFFFFF"/>
        <w:adjustRightInd w:val="0"/>
        <w:spacing w:after="120"/>
        <w:ind w:right="-153"/>
        <w:jc w:val="both"/>
        <w:textAlignment w:val="baseline"/>
        <w:rPr>
          <w:rFonts w:ascii="Times New Roman" w:eastAsia="Times New Roman" w:hAnsi="Times New Roman" w:cs="Times New Roman"/>
          <w:sz w:val="24"/>
          <w:szCs w:val="24"/>
          <w:lang w:val="bg-BG"/>
        </w:rPr>
      </w:pPr>
      <w:r w:rsidRPr="00610B1B">
        <w:rPr>
          <w:rFonts w:ascii="Times New Roman" w:eastAsia="Times New Roman" w:hAnsi="Times New Roman" w:cs="Times New Roman"/>
          <w:bCs/>
          <w:iCs/>
          <w:sz w:val="24"/>
          <w:szCs w:val="24"/>
          <w:lang w:val="bg-BG" w:eastAsia="bg-BG"/>
        </w:rPr>
        <w:t xml:space="preserve">Дейностите, свързани с анализ, оценка и прогнози, отнасящи се до обектите на културното наследство </w:t>
      </w:r>
      <w:r w:rsidR="00014204" w:rsidRPr="00610B1B">
        <w:rPr>
          <w:rFonts w:ascii="Times New Roman" w:eastAsia="Times New Roman" w:hAnsi="Times New Roman" w:cs="Times New Roman"/>
          <w:bCs/>
          <w:iCs/>
          <w:sz w:val="24"/>
          <w:szCs w:val="24"/>
          <w:lang w:val="bg-BG" w:eastAsia="bg-BG"/>
        </w:rPr>
        <w:t xml:space="preserve">в </w:t>
      </w:r>
      <w:r w:rsidRPr="00610B1B">
        <w:rPr>
          <w:rFonts w:ascii="Times New Roman" w:eastAsia="Times New Roman" w:hAnsi="Times New Roman" w:cs="Times New Roman"/>
          <w:bCs/>
          <w:iCs/>
          <w:sz w:val="24"/>
          <w:szCs w:val="24"/>
          <w:lang w:val="bg-BG" w:eastAsia="bg-BG"/>
        </w:rPr>
        <w:t xml:space="preserve">българските морски пространства и крайбрежна зона (под вода и на суша) на Черно море, са неделима част от Морския пространствен план на Република България (МППРБ). </w:t>
      </w:r>
      <w:r w:rsidR="00014204" w:rsidRPr="00610B1B">
        <w:rPr>
          <w:rFonts w:ascii="Times New Roman" w:eastAsia="Times New Roman" w:hAnsi="Times New Roman" w:cs="Times New Roman"/>
          <w:bCs/>
          <w:iCs/>
          <w:sz w:val="24"/>
          <w:szCs w:val="24"/>
          <w:lang w:val="bg-BG" w:eastAsia="bg-BG"/>
        </w:rPr>
        <w:t>Той</w:t>
      </w:r>
      <w:r w:rsidRPr="00610B1B">
        <w:rPr>
          <w:rFonts w:ascii="Times New Roman" w:eastAsia="Times New Roman" w:hAnsi="Times New Roman" w:cs="Times New Roman"/>
          <w:sz w:val="24"/>
          <w:szCs w:val="24"/>
          <w:lang w:val="bg-BG"/>
        </w:rPr>
        <w:t xml:space="preserve"> е съобразен и със съществуващия европейски опит за </w:t>
      </w:r>
      <w:r w:rsidR="00014204" w:rsidRPr="00610B1B">
        <w:rPr>
          <w:rFonts w:ascii="Times New Roman" w:eastAsia="Times New Roman" w:hAnsi="Times New Roman" w:cs="Times New Roman"/>
          <w:sz w:val="24"/>
          <w:szCs w:val="24"/>
          <w:lang w:val="bg-BG"/>
        </w:rPr>
        <w:t xml:space="preserve">изготвяне </w:t>
      </w:r>
      <w:r w:rsidRPr="00610B1B">
        <w:rPr>
          <w:rFonts w:ascii="Times New Roman" w:eastAsia="Times New Roman" w:hAnsi="Times New Roman" w:cs="Times New Roman"/>
          <w:sz w:val="24"/>
          <w:szCs w:val="24"/>
          <w:lang w:val="bg-BG"/>
        </w:rPr>
        <w:t>на такива планове, особено в случаите,</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когато в техния териториален обхват попадат обекти на Световното културно наследство.</w:t>
      </w:r>
    </w:p>
    <w:p w14:paraId="44272F40" w14:textId="502136B8" w:rsidR="00442579" w:rsidRPr="00610B1B" w:rsidRDefault="00250A42" w:rsidP="00D32D6A">
      <w:pPr>
        <w:shd w:val="clear" w:color="auto" w:fill="FFFFFF"/>
        <w:adjustRightInd w:val="0"/>
        <w:spacing w:after="120"/>
        <w:ind w:right="-153"/>
        <w:jc w:val="both"/>
        <w:textAlignment w:val="baseline"/>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За целите на плана се приема </w:t>
      </w:r>
      <w:r w:rsidR="00442579" w:rsidRPr="00610B1B">
        <w:rPr>
          <w:rFonts w:ascii="Times New Roman" w:eastAsia="Times New Roman" w:hAnsi="Times New Roman" w:cs="Times New Roman"/>
          <w:sz w:val="24"/>
          <w:szCs w:val="24"/>
          <w:lang w:val="bg-BG"/>
        </w:rPr>
        <w:t xml:space="preserve">дефиницията на Конвенцията на ЮНЕСКО за опазване на подводното културно наследство (чл. 1, а), а именно </w:t>
      </w:r>
      <w:r w:rsidRPr="00610B1B">
        <w:rPr>
          <w:rFonts w:ascii="Times New Roman" w:eastAsia="Times New Roman" w:hAnsi="Times New Roman" w:cs="Times New Roman"/>
          <w:sz w:val="24"/>
          <w:szCs w:val="24"/>
          <w:lang w:val="bg-BG"/>
        </w:rPr>
        <w:t>„</w:t>
      </w:r>
      <w:r w:rsidR="00442579" w:rsidRPr="00610B1B">
        <w:rPr>
          <w:rFonts w:ascii="Times New Roman" w:eastAsia="Times New Roman" w:hAnsi="Times New Roman" w:cs="Times New Roman"/>
          <w:sz w:val="24"/>
          <w:szCs w:val="24"/>
          <w:lang w:val="bg-BG"/>
        </w:rPr>
        <w:t>подводно културно наследство са всички следи от човешко съществувание от културно, историческо или археологическо естество, които са частично или изцяло, периодично или постоянно под вода, от най-малко 100 години, а именно:</w:t>
      </w:r>
      <w:r w:rsidRPr="00610B1B">
        <w:rPr>
          <w:rFonts w:ascii="Times New Roman" w:eastAsia="Times New Roman" w:hAnsi="Times New Roman" w:cs="Times New Roman"/>
          <w:sz w:val="24"/>
          <w:szCs w:val="24"/>
          <w:lang w:val="bg-BG"/>
        </w:rPr>
        <w:t xml:space="preserve"> </w:t>
      </w:r>
      <w:r w:rsidR="00442579" w:rsidRPr="00610B1B">
        <w:rPr>
          <w:rFonts w:ascii="Times New Roman" w:eastAsia="Times New Roman" w:hAnsi="Times New Roman" w:cs="Times New Roman"/>
          <w:sz w:val="24"/>
          <w:szCs w:val="24"/>
          <w:lang w:val="bg-BG"/>
        </w:rPr>
        <w:t>селища, структурни, сгради, предмети и човешки останки, заедно с техния археологически и природен контекст;</w:t>
      </w:r>
      <w:r w:rsidRPr="00610B1B">
        <w:rPr>
          <w:rFonts w:ascii="Times New Roman" w:eastAsia="Times New Roman" w:hAnsi="Times New Roman" w:cs="Times New Roman"/>
          <w:sz w:val="24"/>
          <w:szCs w:val="24"/>
          <w:lang w:val="bg-BG"/>
        </w:rPr>
        <w:t xml:space="preserve"> п</w:t>
      </w:r>
      <w:r w:rsidR="00442579" w:rsidRPr="00610B1B">
        <w:rPr>
          <w:rFonts w:ascii="Times New Roman" w:eastAsia="Times New Roman" w:hAnsi="Times New Roman" w:cs="Times New Roman"/>
          <w:sz w:val="24"/>
          <w:szCs w:val="24"/>
          <w:lang w:val="bg-BG"/>
        </w:rPr>
        <w:t>лавателни съдове, въздухоплавателни средства, други превозни средства или части от тях, с техния товар или друго съдържание, заедно с техния археологически и природен контекст;</w:t>
      </w:r>
      <w:r w:rsidRPr="00610B1B">
        <w:rPr>
          <w:rFonts w:ascii="Times New Roman" w:eastAsia="Times New Roman" w:hAnsi="Times New Roman" w:cs="Times New Roman"/>
          <w:sz w:val="24"/>
          <w:szCs w:val="24"/>
          <w:lang w:val="bg-BG"/>
        </w:rPr>
        <w:t xml:space="preserve"> </w:t>
      </w:r>
      <w:r w:rsidR="00442579" w:rsidRPr="00610B1B">
        <w:rPr>
          <w:rFonts w:ascii="Times New Roman" w:eastAsia="Times New Roman" w:hAnsi="Times New Roman" w:cs="Times New Roman"/>
          <w:sz w:val="24"/>
          <w:szCs w:val="24"/>
          <w:lang w:val="bg-BG"/>
        </w:rPr>
        <w:t>праисторически предмети</w:t>
      </w:r>
      <w:r w:rsidRPr="00610B1B">
        <w:rPr>
          <w:rFonts w:ascii="Times New Roman" w:eastAsia="Times New Roman" w:hAnsi="Times New Roman" w:cs="Times New Roman"/>
          <w:sz w:val="24"/>
          <w:szCs w:val="24"/>
          <w:lang w:val="bg-BG"/>
        </w:rPr>
        <w:t>“</w:t>
      </w:r>
      <w:r w:rsidR="00442579" w:rsidRPr="00610B1B">
        <w:rPr>
          <w:rFonts w:ascii="Times New Roman" w:eastAsia="Times New Roman" w:hAnsi="Times New Roman" w:cs="Times New Roman"/>
          <w:sz w:val="24"/>
          <w:szCs w:val="24"/>
          <w:lang w:val="bg-BG"/>
        </w:rPr>
        <w:t xml:space="preserve">. </w:t>
      </w:r>
    </w:p>
    <w:p w14:paraId="685CD75A" w14:textId="73BD1714"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Cs/>
          <w:sz w:val="24"/>
          <w:szCs w:val="24"/>
          <w:lang w:val="bg-BG" w:eastAsia="bg-BG"/>
        </w:rPr>
        <w:t xml:space="preserve">Заедно с културно наследство, което днес е под вода, </w:t>
      </w:r>
      <w:r w:rsidR="00250A42" w:rsidRPr="00610B1B">
        <w:rPr>
          <w:rFonts w:ascii="Times New Roman" w:eastAsia="Times New Roman" w:hAnsi="Times New Roman" w:cs="Times New Roman"/>
          <w:bCs/>
          <w:iCs/>
          <w:sz w:val="24"/>
          <w:szCs w:val="24"/>
          <w:lang w:val="bg-BG" w:eastAsia="bg-BG"/>
        </w:rPr>
        <w:t>са</w:t>
      </w:r>
      <w:r w:rsidRPr="00610B1B">
        <w:rPr>
          <w:rFonts w:ascii="Times New Roman" w:eastAsia="Times New Roman" w:hAnsi="Times New Roman" w:cs="Times New Roman"/>
          <w:bCs/>
          <w:iCs/>
          <w:sz w:val="24"/>
          <w:szCs w:val="24"/>
          <w:lang w:val="bg-BG" w:eastAsia="bg-BG"/>
        </w:rPr>
        <w:t xml:space="preserve"> анализирани и намиращите се по бреговата ивица</w:t>
      </w:r>
      <w:r w:rsidR="00D66FE0" w:rsidRPr="00610B1B">
        <w:rPr>
          <w:rFonts w:ascii="Times New Roman" w:eastAsia="Times New Roman" w:hAnsi="Times New Roman" w:cs="Times New Roman"/>
          <w:bCs/>
          <w:iCs/>
          <w:sz w:val="24"/>
          <w:szCs w:val="24"/>
          <w:lang w:val="bg-BG" w:eastAsia="bg-BG"/>
        </w:rPr>
        <w:t xml:space="preserve"> </w:t>
      </w:r>
      <w:r w:rsidRPr="00610B1B">
        <w:rPr>
          <w:rFonts w:ascii="Times New Roman" w:eastAsia="Times New Roman" w:hAnsi="Times New Roman" w:cs="Times New Roman"/>
          <w:bCs/>
          <w:iCs/>
          <w:sz w:val="24"/>
          <w:szCs w:val="24"/>
          <w:lang w:val="bg-BG" w:eastAsia="bg-BG"/>
        </w:rPr>
        <w:t>недвижими културни ценности (НКЦ), които са</w:t>
      </w:r>
      <w:r w:rsidR="00D66FE0" w:rsidRPr="00610B1B">
        <w:rPr>
          <w:rFonts w:ascii="Times New Roman" w:eastAsia="Times New Roman" w:hAnsi="Times New Roman" w:cs="Times New Roman"/>
          <w:bCs/>
          <w:iCs/>
          <w:sz w:val="24"/>
          <w:szCs w:val="24"/>
          <w:lang w:val="bg-BG" w:eastAsia="bg-BG"/>
        </w:rPr>
        <w:t xml:space="preserve"> </w:t>
      </w:r>
      <w:r w:rsidRPr="00610B1B">
        <w:rPr>
          <w:rFonts w:ascii="Times New Roman" w:eastAsia="Times New Roman" w:hAnsi="Times New Roman" w:cs="Times New Roman"/>
          <w:bCs/>
          <w:iCs/>
          <w:sz w:val="24"/>
          <w:szCs w:val="24"/>
          <w:lang w:val="bg-BG" w:eastAsia="bg-BG"/>
        </w:rPr>
        <w:t>в непосредствена, смислова и физическа връзка с подводните такива</w:t>
      </w:r>
      <w:r w:rsidR="00250A42" w:rsidRPr="00610B1B">
        <w:rPr>
          <w:rFonts w:ascii="Times New Roman" w:eastAsia="Times New Roman" w:hAnsi="Times New Roman" w:cs="Times New Roman"/>
          <w:bCs/>
          <w:iCs/>
          <w:sz w:val="24"/>
          <w:szCs w:val="24"/>
          <w:lang w:val="bg-BG" w:eastAsia="bg-BG"/>
        </w:rPr>
        <w:t xml:space="preserve">. </w:t>
      </w:r>
      <w:r w:rsidR="00014204" w:rsidRPr="00610B1B">
        <w:rPr>
          <w:rFonts w:ascii="Times New Roman" w:eastAsia="Times New Roman" w:hAnsi="Times New Roman" w:cs="Times New Roman"/>
          <w:bCs/>
          <w:iCs/>
          <w:sz w:val="24"/>
          <w:szCs w:val="24"/>
          <w:lang w:val="bg-BG" w:eastAsia="bg-BG"/>
        </w:rPr>
        <w:t xml:space="preserve">Подходът на работа е съобразен с насоките на развитие на културното наследство </w:t>
      </w:r>
      <w:r w:rsidRPr="00610B1B">
        <w:rPr>
          <w:rFonts w:ascii="Times New Roman" w:eastAsia="Times New Roman" w:hAnsi="Times New Roman" w:cs="Times New Roman"/>
          <w:sz w:val="24"/>
          <w:szCs w:val="24"/>
          <w:lang w:val="bg-BG"/>
        </w:rPr>
        <w:t>и неговото опазване</w:t>
      </w:r>
      <w:r w:rsidR="008E4331" w:rsidRPr="00610B1B">
        <w:rPr>
          <w:rFonts w:ascii="Times New Roman" w:eastAsia="Times New Roman" w:hAnsi="Times New Roman" w:cs="Times New Roman"/>
          <w:sz w:val="24"/>
          <w:szCs w:val="24"/>
          <w:lang w:val="bg-BG"/>
        </w:rPr>
        <w:t xml:space="preserve"> и тенденциите за нарастване на неговото значение като </w:t>
      </w:r>
      <w:r w:rsidRPr="00610B1B">
        <w:rPr>
          <w:rFonts w:ascii="Times New Roman" w:eastAsia="Times New Roman" w:hAnsi="Times New Roman" w:cs="Times New Roman"/>
          <w:sz w:val="24"/>
          <w:szCs w:val="24"/>
          <w:lang w:val="bg-BG"/>
        </w:rPr>
        <w:t>ресурс</w:t>
      </w:r>
      <w:r w:rsidR="008E4331" w:rsidRPr="00610B1B">
        <w:rPr>
          <w:rFonts w:ascii="Times New Roman" w:eastAsia="Times New Roman" w:hAnsi="Times New Roman" w:cs="Times New Roman"/>
          <w:sz w:val="24"/>
          <w:szCs w:val="24"/>
          <w:lang w:val="bg-BG"/>
        </w:rPr>
        <w:t xml:space="preserve">, носител на традиции, памет, </w:t>
      </w:r>
      <w:r w:rsidRPr="00610B1B">
        <w:rPr>
          <w:rFonts w:ascii="Times New Roman" w:eastAsia="Times New Roman" w:hAnsi="Times New Roman" w:cs="Times New Roman"/>
          <w:sz w:val="24"/>
          <w:szCs w:val="24"/>
          <w:lang w:val="bg-BG"/>
        </w:rPr>
        <w:t>идентичност</w:t>
      </w:r>
      <w:r w:rsidR="008E4331" w:rsidRPr="00610B1B">
        <w:rPr>
          <w:rFonts w:ascii="Times New Roman" w:eastAsia="Times New Roman" w:hAnsi="Times New Roman" w:cs="Times New Roman"/>
          <w:sz w:val="24"/>
          <w:szCs w:val="24"/>
          <w:lang w:val="bg-BG"/>
        </w:rPr>
        <w:t>, уникалност и неповторимост. Отчетени са неговите разширяващи се социални функции и съдържание, което достига до и</w:t>
      </w:r>
      <w:r w:rsidRPr="00610B1B">
        <w:rPr>
          <w:rFonts w:ascii="Times New Roman" w:eastAsia="Times New Roman" w:hAnsi="Times New Roman" w:cs="Times New Roman"/>
          <w:sz w:val="24"/>
          <w:szCs w:val="24"/>
          <w:lang w:val="bg-BG"/>
        </w:rPr>
        <w:t>нтегрална</w:t>
      </w:r>
      <w:r w:rsidR="00CE3A92" w:rsidRPr="00610B1B">
        <w:rPr>
          <w:rFonts w:ascii="Times New Roman" w:eastAsia="Times New Roman" w:hAnsi="Times New Roman" w:cs="Times New Roman"/>
          <w:sz w:val="24"/>
          <w:szCs w:val="24"/>
          <w:lang w:val="bg-BG"/>
        </w:rPr>
        <w:t>та</w:t>
      </w:r>
      <w:r w:rsidRPr="00610B1B">
        <w:rPr>
          <w:rFonts w:ascii="Times New Roman" w:eastAsia="Times New Roman" w:hAnsi="Times New Roman" w:cs="Times New Roman"/>
          <w:sz w:val="24"/>
          <w:szCs w:val="24"/>
          <w:lang w:val="bg-BG"/>
        </w:rPr>
        <w:t xml:space="preserve"> културна среда, резултат от взаимодействие</w:t>
      </w:r>
      <w:r w:rsidR="008E4331" w:rsidRPr="00610B1B">
        <w:rPr>
          <w:rFonts w:ascii="Times New Roman" w:eastAsia="Times New Roman" w:hAnsi="Times New Roman" w:cs="Times New Roman"/>
          <w:sz w:val="24"/>
          <w:szCs w:val="24"/>
          <w:lang w:val="bg-BG"/>
        </w:rPr>
        <w:t>то</w:t>
      </w:r>
      <w:r w:rsidRPr="00610B1B">
        <w:rPr>
          <w:rFonts w:ascii="Times New Roman" w:eastAsia="Times New Roman" w:hAnsi="Times New Roman" w:cs="Times New Roman"/>
          <w:sz w:val="24"/>
          <w:szCs w:val="24"/>
          <w:lang w:val="bg-BG"/>
        </w:rPr>
        <w:t xml:space="preserve"> между човека и територията с всички наследени материални и нематериални</w:t>
      </w:r>
      <w:r w:rsidR="00CE3A92" w:rsidRPr="00610B1B">
        <w:rPr>
          <w:rFonts w:ascii="Times New Roman" w:eastAsia="Times New Roman" w:hAnsi="Times New Roman" w:cs="Times New Roman"/>
          <w:sz w:val="24"/>
          <w:szCs w:val="24"/>
          <w:lang w:val="bg-BG"/>
        </w:rPr>
        <w:t xml:space="preserve"> ценности</w:t>
      </w:r>
      <w:r w:rsidRPr="00610B1B">
        <w:rPr>
          <w:rFonts w:ascii="Times New Roman" w:eastAsia="Times New Roman" w:hAnsi="Times New Roman" w:cs="Times New Roman"/>
          <w:sz w:val="24"/>
          <w:szCs w:val="24"/>
          <w:lang w:val="bg-BG"/>
        </w:rPr>
        <w:t xml:space="preserve">. Териториалният обхват на културното наследство се разраства </w:t>
      </w:r>
      <w:r w:rsidR="00CE3A92" w:rsidRPr="00610B1B">
        <w:rPr>
          <w:rFonts w:ascii="Times New Roman" w:eastAsia="Times New Roman" w:hAnsi="Times New Roman" w:cs="Times New Roman"/>
          <w:sz w:val="24"/>
          <w:szCs w:val="24"/>
          <w:lang w:val="bg-BG"/>
        </w:rPr>
        <w:t>и о</w:t>
      </w:r>
      <w:r w:rsidRPr="00610B1B">
        <w:rPr>
          <w:rFonts w:ascii="Times New Roman" w:eastAsia="Times New Roman" w:hAnsi="Times New Roman" w:cs="Times New Roman"/>
          <w:sz w:val="24"/>
          <w:szCs w:val="24"/>
          <w:lang w:val="bg-BG"/>
        </w:rPr>
        <w:t xml:space="preserve">свен единичната културна ценност </w:t>
      </w:r>
      <w:r w:rsidR="008E4331" w:rsidRPr="00610B1B">
        <w:rPr>
          <w:rFonts w:ascii="Times New Roman" w:eastAsia="Times New Roman" w:hAnsi="Times New Roman" w:cs="Times New Roman"/>
          <w:sz w:val="24"/>
          <w:szCs w:val="24"/>
          <w:lang w:val="bg-BG"/>
        </w:rPr>
        <w:t>са разгледани</w:t>
      </w:r>
      <w:r w:rsidR="00CE3A92"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културн</w:t>
      </w:r>
      <w:r w:rsidR="008E4331" w:rsidRPr="00610B1B">
        <w:rPr>
          <w:rFonts w:ascii="Times New Roman" w:eastAsia="Times New Roman" w:hAnsi="Times New Roman" w:cs="Times New Roman"/>
          <w:sz w:val="24"/>
          <w:szCs w:val="24"/>
          <w:lang w:val="bg-BG"/>
        </w:rPr>
        <w:t>ия</w:t>
      </w:r>
      <w:r w:rsidRPr="00610B1B">
        <w:rPr>
          <w:rFonts w:ascii="Times New Roman" w:eastAsia="Times New Roman" w:hAnsi="Times New Roman" w:cs="Times New Roman"/>
          <w:sz w:val="24"/>
          <w:szCs w:val="24"/>
          <w:lang w:val="bg-BG"/>
        </w:rPr>
        <w:t xml:space="preserve"> ландшафт, културн</w:t>
      </w:r>
      <w:r w:rsidR="008E4331" w:rsidRPr="00610B1B">
        <w:rPr>
          <w:rFonts w:ascii="Times New Roman" w:eastAsia="Times New Roman" w:hAnsi="Times New Roman" w:cs="Times New Roman"/>
          <w:sz w:val="24"/>
          <w:szCs w:val="24"/>
          <w:lang w:val="bg-BG"/>
        </w:rPr>
        <w:t>ия</w:t>
      </w:r>
      <w:r w:rsidRPr="00610B1B">
        <w:rPr>
          <w:rFonts w:ascii="Times New Roman" w:eastAsia="Times New Roman" w:hAnsi="Times New Roman" w:cs="Times New Roman"/>
          <w:sz w:val="24"/>
          <w:szCs w:val="24"/>
          <w:lang w:val="bg-BG"/>
        </w:rPr>
        <w:t xml:space="preserve"> маршрут, исторически</w:t>
      </w:r>
      <w:r w:rsidR="008E4331" w:rsidRPr="00610B1B">
        <w:rPr>
          <w:rFonts w:ascii="Times New Roman" w:eastAsia="Times New Roman" w:hAnsi="Times New Roman" w:cs="Times New Roman"/>
          <w:sz w:val="24"/>
          <w:szCs w:val="24"/>
          <w:lang w:val="bg-BG"/>
        </w:rPr>
        <w:t>я</w:t>
      </w:r>
      <w:r w:rsidRPr="00610B1B">
        <w:rPr>
          <w:rFonts w:ascii="Times New Roman" w:eastAsia="Times New Roman" w:hAnsi="Times New Roman" w:cs="Times New Roman"/>
          <w:sz w:val="24"/>
          <w:szCs w:val="24"/>
          <w:lang w:val="bg-BG"/>
        </w:rPr>
        <w:t xml:space="preserve"> град и градски</w:t>
      </w:r>
      <w:r w:rsidR="008E4331" w:rsidRPr="00610B1B">
        <w:rPr>
          <w:rFonts w:ascii="Times New Roman" w:eastAsia="Times New Roman" w:hAnsi="Times New Roman" w:cs="Times New Roman"/>
          <w:sz w:val="24"/>
          <w:szCs w:val="24"/>
          <w:lang w:val="bg-BG"/>
        </w:rPr>
        <w:t>я</w:t>
      </w:r>
      <w:r w:rsidRPr="00610B1B">
        <w:rPr>
          <w:rFonts w:ascii="Times New Roman" w:eastAsia="Times New Roman" w:hAnsi="Times New Roman" w:cs="Times New Roman"/>
          <w:sz w:val="24"/>
          <w:szCs w:val="24"/>
          <w:lang w:val="bg-BG"/>
        </w:rPr>
        <w:t xml:space="preserve"> исторически пейзаж</w:t>
      </w:r>
      <w:r w:rsidR="00CE3A92" w:rsidRPr="00610B1B">
        <w:rPr>
          <w:rFonts w:ascii="Times New Roman" w:eastAsia="Times New Roman" w:hAnsi="Times New Roman" w:cs="Times New Roman"/>
          <w:sz w:val="24"/>
          <w:szCs w:val="24"/>
          <w:lang w:val="bg-BG"/>
        </w:rPr>
        <w:t>, подводно</w:t>
      </w:r>
      <w:r w:rsidR="008E4331" w:rsidRPr="00610B1B">
        <w:rPr>
          <w:rFonts w:ascii="Times New Roman" w:eastAsia="Times New Roman" w:hAnsi="Times New Roman" w:cs="Times New Roman"/>
          <w:sz w:val="24"/>
          <w:szCs w:val="24"/>
          <w:lang w:val="bg-BG"/>
        </w:rPr>
        <w:t>то</w:t>
      </w:r>
      <w:r w:rsidR="00CE3A92" w:rsidRPr="00610B1B">
        <w:rPr>
          <w:rFonts w:ascii="Times New Roman" w:eastAsia="Times New Roman" w:hAnsi="Times New Roman" w:cs="Times New Roman"/>
          <w:sz w:val="24"/>
          <w:szCs w:val="24"/>
          <w:lang w:val="bg-BG"/>
        </w:rPr>
        <w:t xml:space="preserve"> наследство</w:t>
      </w:r>
      <w:r w:rsidRPr="00610B1B">
        <w:rPr>
          <w:rFonts w:ascii="Times New Roman" w:eastAsia="Times New Roman" w:hAnsi="Times New Roman" w:cs="Times New Roman"/>
          <w:sz w:val="24"/>
          <w:szCs w:val="24"/>
          <w:lang w:val="bg-BG"/>
        </w:rPr>
        <w:t xml:space="preserve">. </w:t>
      </w:r>
      <w:r w:rsidR="008E4331" w:rsidRPr="00610B1B">
        <w:rPr>
          <w:rFonts w:ascii="Times New Roman" w:eastAsia="Times New Roman" w:hAnsi="Times New Roman" w:cs="Times New Roman"/>
          <w:sz w:val="24"/>
          <w:szCs w:val="24"/>
          <w:lang w:val="bg-BG"/>
        </w:rPr>
        <w:t xml:space="preserve">Времевият </w:t>
      </w:r>
      <w:r w:rsidRPr="00610B1B">
        <w:rPr>
          <w:rFonts w:ascii="Times New Roman" w:eastAsia="Times New Roman" w:hAnsi="Times New Roman" w:cs="Times New Roman"/>
          <w:sz w:val="24"/>
          <w:szCs w:val="24"/>
          <w:lang w:val="bg-BG"/>
        </w:rPr>
        <w:t>обхват на наследството</w:t>
      </w:r>
      <w:r w:rsidR="00CE3A92" w:rsidRPr="00610B1B">
        <w:rPr>
          <w:rFonts w:ascii="Times New Roman" w:eastAsia="Times New Roman" w:hAnsi="Times New Roman" w:cs="Times New Roman"/>
          <w:sz w:val="24"/>
          <w:szCs w:val="24"/>
          <w:lang w:val="bg-BG"/>
        </w:rPr>
        <w:t xml:space="preserve"> </w:t>
      </w:r>
      <w:r w:rsidR="008E4331" w:rsidRPr="00610B1B">
        <w:rPr>
          <w:rFonts w:ascii="Times New Roman" w:eastAsia="Times New Roman" w:hAnsi="Times New Roman" w:cs="Times New Roman"/>
          <w:sz w:val="24"/>
          <w:szCs w:val="24"/>
          <w:lang w:val="bg-BG"/>
        </w:rPr>
        <w:t xml:space="preserve">също се разширява, </w:t>
      </w:r>
      <w:r w:rsidR="00CE3A92" w:rsidRPr="00610B1B">
        <w:rPr>
          <w:rFonts w:ascii="Times New Roman" w:eastAsia="Times New Roman" w:hAnsi="Times New Roman" w:cs="Times New Roman"/>
          <w:sz w:val="24"/>
          <w:szCs w:val="24"/>
          <w:lang w:val="bg-BG"/>
        </w:rPr>
        <w:t xml:space="preserve">за да се включат културните ценности от </w:t>
      </w:r>
      <w:r w:rsidR="00F46876" w:rsidRPr="00610B1B">
        <w:rPr>
          <w:rFonts w:ascii="Times New Roman" w:eastAsia="Times New Roman" w:hAnsi="Times New Roman" w:cs="Times New Roman"/>
          <w:sz w:val="24"/>
          <w:szCs w:val="24"/>
          <w:lang w:val="bg-BG"/>
        </w:rPr>
        <w:t>20</w:t>
      </w:r>
      <w:r w:rsidRPr="00610B1B">
        <w:rPr>
          <w:rFonts w:ascii="Times New Roman" w:eastAsia="Times New Roman" w:hAnsi="Times New Roman" w:cs="Times New Roman"/>
          <w:sz w:val="24"/>
          <w:szCs w:val="24"/>
          <w:lang w:val="bg-BG"/>
        </w:rPr>
        <w:t xml:space="preserve"> век</w:t>
      </w:r>
      <w:r w:rsidR="00CE3A92" w:rsidRPr="00610B1B">
        <w:rPr>
          <w:rFonts w:ascii="Times New Roman" w:eastAsia="Times New Roman" w:hAnsi="Times New Roman" w:cs="Times New Roman"/>
          <w:sz w:val="24"/>
          <w:szCs w:val="24"/>
          <w:lang w:val="bg-BG"/>
        </w:rPr>
        <w:t>.</w:t>
      </w:r>
      <w:r w:rsidR="008E433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Освен представите за наследството се променят и методите, чрез които се извършва неговото опазване. В последните години е приложим методът на интегрирана консервация, чрез който се постига синтез между наследство и социално-икономическо развитие на съответната среда, както и на населението което я обитава.</w:t>
      </w:r>
    </w:p>
    <w:p w14:paraId="14E0F6A7" w14:textId="71AAC5CE" w:rsidR="00442579" w:rsidRPr="00610B1B" w:rsidRDefault="00442579" w:rsidP="00D32D6A">
      <w:pPr>
        <w:shd w:val="clear" w:color="auto" w:fill="FFFFFF"/>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sz w:val="24"/>
          <w:szCs w:val="24"/>
          <w:lang w:val="bg-BG"/>
        </w:rPr>
        <w:lastRenderedPageBreak/>
        <w:t>Предвид целите и териториалния обхват на настоящия план</w:t>
      </w:r>
      <w:r w:rsidR="008E4331" w:rsidRPr="00610B1B">
        <w:rPr>
          <w:rFonts w:ascii="Times New Roman" w:eastAsia="Times New Roman" w:hAnsi="Times New Roman" w:cs="Times New Roman"/>
          <w:sz w:val="24"/>
          <w:szCs w:val="24"/>
          <w:lang w:val="bg-BG"/>
        </w:rPr>
        <w:t xml:space="preserve">, </w:t>
      </w:r>
      <w:r w:rsidR="00CE3A92" w:rsidRPr="00610B1B">
        <w:rPr>
          <w:rFonts w:ascii="Times New Roman" w:eastAsia="Times New Roman" w:hAnsi="Times New Roman" w:cs="Times New Roman"/>
          <w:sz w:val="24"/>
          <w:szCs w:val="24"/>
          <w:lang w:val="bg-BG"/>
        </w:rPr>
        <w:t>спецификата и тенденциите в опазването на културното наследство, са обхванати онези културни ценности, които са разположени под в</w:t>
      </w:r>
      <w:r w:rsidR="00805776" w:rsidRPr="00610B1B">
        <w:rPr>
          <w:rFonts w:ascii="Times New Roman" w:eastAsia="Times New Roman" w:hAnsi="Times New Roman" w:cs="Times New Roman"/>
          <w:sz w:val="24"/>
          <w:szCs w:val="24"/>
          <w:lang w:val="bg-BG"/>
        </w:rPr>
        <w:t>ода в националните морски пространства</w:t>
      </w:r>
      <w:r w:rsidR="00CE3A92" w:rsidRPr="00610B1B">
        <w:rPr>
          <w:rFonts w:ascii="Times New Roman" w:eastAsia="Times New Roman" w:hAnsi="Times New Roman" w:cs="Times New Roman"/>
          <w:sz w:val="24"/>
          <w:szCs w:val="24"/>
          <w:lang w:val="bg-BG"/>
        </w:rPr>
        <w:t xml:space="preserve">, както и тези в </w:t>
      </w:r>
      <w:r w:rsidRPr="00610B1B">
        <w:rPr>
          <w:rFonts w:ascii="Times New Roman" w:eastAsia="Times New Roman" w:hAnsi="Times New Roman" w:cs="Times New Roman"/>
          <w:bCs/>
          <w:iCs/>
          <w:sz w:val="24"/>
          <w:szCs w:val="24"/>
          <w:lang w:val="bg-BG" w:eastAsia="bg-BG"/>
        </w:rPr>
        <w:t>крайбрежната ивица (</w:t>
      </w:r>
      <w:r w:rsidR="00CE3A92" w:rsidRPr="00610B1B">
        <w:rPr>
          <w:rFonts w:ascii="Times New Roman" w:eastAsia="Times New Roman" w:hAnsi="Times New Roman" w:cs="Times New Roman"/>
          <w:bCs/>
          <w:iCs/>
          <w:sz w:val="24"/>
          <w:szCs w:val="24"/>
          <w:lang w:val="bg-BG" w:eastAsia="bg-BG"/>
        </w:rPr>
        <w:t>зони „А“ и „Б“ на ЗУЧК</w:t>
      </w:r>
      <w:r w:rsidR="008E4331" w:rsidRPr="00610B1B">
        <w:rPr>
          <w:rFonts w:ascii="Times New Roman" w:eastAsia="Times New Roman" w:hAnsi="Times New Roman" w:cs="Times New Roman"/>
          <w:bCs/>
          <w:iCs/>
          <w:sz w:val="24"/>
          <w:szCs w:val="24"/>
          <w:lang w:val="bg-BG" w:eastAsia="bg-BG"/>
        </w:rPr>
        <w:t>)</w:t>
      </w:r>
      <w:r w:rsidR="00805776" w:rsidRPr="00610B1B">
        <w:rPr>
          <w:rFonts w:ascii="Times New Roman" w:eastAsia="Times New Roman" w:hAnsi="Times New Roman" w:cs="Times New Roman"/>
          <w:bCs/>
          <w:iCs/>
          <w:sz w:val="24"/>
          <w:szCs w:val="24"/>
          <w:lang w:val="bg-BG" w:eastAsia="bg-BG"/>
        </w:rPr>
        <w:t>.</w:t>
      </w:r>
      <w:r w:rsidRPr="00610B1B">
        <w:rPr>
          <w:rFonts w:ascii="Times New Roman" w:eastAsia="Times New Roman" w:hAnsi="Times New Roman" w:cs="Times New Roman"/>
          <w:bCs/>
          <w:iCs/>
          <w:sz w:val="24"/>
          <w:szCs w:val="24"/>
          <w:lang w:val="bg-BG" w:eastAsia="bg-BG"/>
        </w:rPr>
        <w:t xml:space="preserve"> В този обхват </w:t>
      </w:r>
      <w:r w:rsidR="001B44D8" w:rsidRPr="00610B1B">
        <w:rPr>
          <w:rFonts w:ascii="Times New Roman" w:eastAsia="Times New Roman" w:hAnsi="Times New Roman" w:cs="Times New Roman"/>
          <w:sz w:val="24"/>
          <w:szCs w:val="24"/>
          <w:lang w:val="bg-BG"/>
        </w:rPr>
        <w:t>са</w:t>
      </w:r>
      <w:r w:rsidRPr="00610B1B">
        <w:rPr>
          <w:rFonts w:ascii="Times New Roman" w:eastAsia="Times New Roman" w:hAnsi="Times New Roman" w:cs="Times New Roman"/>
          <w:sz w:val="24"/>
          <w:szCs w:val="24"/>
          <w:lang w:val="bg-BG"/>
        </w:rPr>
        <w:t xml:space="preserve"> разгледани НКЦ, които имат реална субстанция, разположени </w:t>
      </w:r>
      <w:r w:rsidR="008E4331" w:rsidRPr="00610B1B">
        <w:rPr>
          <w:rFonts w:ascii="Times New Roman" w:eastAsia="Times New Roman" w:hAnsi="Times New Roman" w:cs="Times New Roman"/>
          <w:sz w:val="24"/>
          <w:szCs w:val="24"/>
          <w:lang w:val="bg-BG"/>
        </w:rPr>
        <w:t xml:space="preserve">са </w:t>
      </w:r>
      <w:r w:rsidRPr="00610B1B">
        <w:rPr>
          <w:rFonts w:ascii="Times New Roman" w:eastAsia="Times New Roman" w:hAnsi="Times New Roman" w:cs="Times New Roman"/>
          <w:sz w:val="24"/>
          <w:szCs w:val="24"/>
          <w:lang w:val="bg-BG"/>
        </w:rPr>
        <w:t xml:space="preserve">в крайбрежната зона, под вода, както и такива в </w:t>
      </w:r>
      <w:r w:rsidRPr="00610B1B">
        <w:rPr>
          <w:rFonts w:ascii="Times New Roman" w:eastAsia="Times New Roman" w:hAnsi="Times New Roman" w:cs="Times New Roman"/>
          <w:color w:val="000000" w:themeColor="text1"/>
          <w:sz w:val="24"/>
          <w:szCs w:val="24"/>
          <w:lang w:val="bg-BG"/>
        </w:rPr>
        <w:t>крайбрежните езера</w:t>
      </w:r>
      <w:r w:rsidR="008E4331" w:rsidRPr="00610B1B">
        <w:rPr>
          <w:rFonts w:ascii="Times New Roman" w:eastAsia="Times New Roman" w:hAnsi="Times New Roman" w:cs="Times New Roman"/>
          <w:color w:val="000000" w:themeColor="text1"/>
          <w:sz w:val="24"/>
          <w:szCs w:val="24"/>
          <w:lang w:val="bg-BG"/>
        </w:rPr>
        <w:t>, които имат пряка естествена или изкуствена връзка с морето</w:t>
      </w:r>
      <w:r w:rsidRPr="00610B1B">
        <w:rPr>
          <w:rFonts w:ascii="Times New Roman" w:eastAsia="Times New Roman" w:hAnsi="Times New Roman" w:cs="Times New Roman"/>
          <w:color w:val="000000" w:themeColor="text1"/>
          <w:sz w:val="24"/>
          <w:szCs w:val="24"/>
          <w:lang w:val="bg-BG"/>
        </w:rPr>
        <w:t xml:space="preserve">. </w:t>
      </w:r>
      <w:r w:rsidR="006F0B40" w:rsidRPr="00610B1B">
        <w:rPr>
          <w:rFonts w:ascii="Times New Roman" w:hAnsi="Times New Roman" w:cs="Times New Roman"/>
          <w:color w:val="000000" w:themeColor="text1"/>
          <w:sz w:val="24"/>
          <w:szCs w:val="24"/>
          <w:lang w:val="bg-BG"/>
        </w:rPr>
        <w:t>Това са предимно археологически обекти, опазването на които е в прерогативите на държавата (по смисъла на чл.</w:t>
      </w:r>
      <w:r w:rsidR="009373EC" w:rsidRPr="00610B1B">
        <w:rPr>
          <w:rFonts w:ascii="Times New Roman" w:hAnsi="Times New Roman" w:cs="Times New Roman"/>
          <w:color w:val="000000" w:themeColor="text1"/>
          <w:sz w:val="24"/>
          <w:szCs w:val="24"/>
          <w:lang w:val="bg-BG"/>
        </w:rPr>
        <w:t xml:space="preserve"> </w:t>
      </w:r>
      <w:r w:rsidR="006F0B40" w:rsidRPr="00610B1B">
        <w:rPr>
          <w:rFonts w:ascii="Times New Roman" w:hAnsi="Times New Roman" w:cs="Times New Roman"/>
          <w:color w:val="000000" w:themeColor="text1"/>
          <w:sz w:val="24"/>
          <w:szCs w:val="24"/>
          <w:lang w:val="bg-BG"/>
        </w:rPr>
        <w:t xml:space="preserve">2а, ал.1 от ЗКН). </w:t>
      </w:r>
      <w:r w:rsidR="001B44D8" w:rsidRPr="00610B1B">
        <w:rPr>
          <w:rFonts w:ascii="Times New Roman" w:eastAsia="Times New Roman" w:hAnsi="Times New Roman" w:cs="Times New Roman"/>
          <w:color w:val="000000" w:themeColor="text1"/>
          <w:sz w:val="24"/>
          <w:szCs w:val="24"/>
          <w:lang w:val="bg-BG"/>
        </w:rPr>
        <w:t>Приоритетно са анализирани обектите със статут „световно“ или „национално“ значение.</w:t>
      </w:r>
      <w:r w:rsidR="007B00D8" w:rsidRPr="00610B1B">
        <w:rPr>
          <w:rFonts w:ascii="Times New Roman" w:eastAsia="Times New Roman" w:hAnsi="Times New Roman" w:cs="Times New Roman"/>
          <w:color w:val="000000" w:themeColor="text1"/>
          <w:sz w:val="24"/>
          <w:szCs w:val="24"/>
          <w:lang w:val="bg-BG"/>
        </w:rPr>
        <w:t xml:space="preserve"> </w:t>
      </w:r>
      <w:r w:rsidR="001B44D8" w:rsidRPr="00610B1B">
        <w:rPr>
          <w:rFonts w:ascii="Times New Roman" w:eastAsia="Times New Roman" w:hAnsi="Times New Roman" w:cs="Times New Roman"/>
          <w:color w:val="000000" w:themeColor="text1"/>
          <w:sz w:val="24"/>
          <w:szCs w:val="24"/>
          <w:lang w:val="bg-BG"/>
        </w:rPr>
        <w:t>Формулирани са</w:t>
      </w:r>
      <w:r w:rsidRPr="00610B1B">
        <w:rPr>
          <w:rFonts w:ascii="Times New Roman" w:eastAsia="Times New Roman" w:hAnsi="Times New Roman" w:cs="Times New Roman"/>
          <w:color w:val="000000" w:themeColor="text1"/>
          <w:sz w:val="24"/>
          <w:szCs w:val="24"/>
          <w:lang w:val="bg-BG"/>
        </w:rPr>
        <w:t xml:space="preserve"> допълнителни ограничители</w:t>
      </w:r>
      <w:r w:rsidR="001B44D8" w:rsidRPr="00610B1B">
        <w:rPr>
          <w:rFonts w:ascii="Times New Roman" w:eastAsia="Times New Roman" w:hAnsi="Times New Roman" w:cs="Times New Roman"/>
          <w:color w:val="000000" w:themeColor="text1"/>
          <w:sz w:val="24"/>
          <w:szCs w:val="24"/>
          <w:lang w:val="bg-BG"/>
        </w:rPr>
        <w:t xml:space="preserve"> на изследването, свързани с обществената им значимост, с културната и научна област, към която се отнасят, пряката им </w:t>
      </w:r>
      <w:r w:rsidRPr="00610B1B">
        <w:rPr>
          <w:rFonts w:ascii="Times New Roman" w:eastAsia="Times New Roman" w:hAnsi="Times New Roman" w:cs="Times New Roman"/>
          <w:color w:val="000000" w:themeColor="text1"/>
          <w:sz w:val="24"/>
          <w:szCs w:val="24"/>
          <w:lang w:val="bg-BG"/>
        </w:rPr>
        <w:t xml:space="preserve">смислова и физическа връзка с НКЦ под </w:t>
      </w:r>
      <w:r w:rsidRPr="00610B1B">
        <w:rPr>
          <w:rFonts w:ascii="Times New Roman" w:eastAsia="Times New Roman" w:hAnsi="Times New Roman" w:cs="Times New Roman"/>
          <w:sz w:val="24"/>
          <w:szCs w:val="24"/>
          <w:lang w:val="bg-BG"/>
        </w:rPr>
        <w:t>вода</w:t>
      </w:r>
      <w:r w:rsidR="001B44D8" w:rsidRPr="00610B1B">
        <w:rPr>
          <w:rFonts w:ascii="Times New Roman" w:eastAsia="Times New Roman" w:hAnsi="Times New Roman" w:cs="Times New Roman"/>
          <w:sz w:val="24"/>
          <w:szCs w:val="24"/>
          <w:lang w:val="bg-BG"/>
        </w:rPr>
        <w:t>, пр</w:t>
      </w:r>
      <w:r w:rsidR="00EB7874" w:rsidRPr="00610B1B">
        <w:rPr>
          <w:rFonts w:ascii="Times New Roman" w:eastAsia="Times New Roman" w:hAnsi="Times New Roman" w:cs="Times New Roman"/>
          <w:sz w:val="24"/>
          <w:szCs w:val="24"/>
          <w:lang w:val="bg-BG"/>
        </w:rPr>
        <w:t>и</w:t>
      </w:r>
      <w:r w:rsidR="001B44D8" w:rsidRPr="00610B1B">
        <w:rPr>
          <w:rFonts w:ascii="Times New Roman" w:eastAsia="Times New Roman" w:hAnsi="Times New Roman" w:cs="Times New Roman"/>
          <w:sz w:val="24"/>
          <w:szCs w:val="24"/>
          <w:lang w:val="bg-BG"/>
        </w:rPr>
        <w:t>надлежността към определен исторически период</w:t>
      </w:r>
      <w:r w:rsidR="00D66FE0" w:rsidRPr="00610B1B">
        <w:rPr>
          <w:rFonts w:ascii="Times New Roman" w:eastAsia="Times New Roman" w:hAnsi="Times New Roman" w:cs="Times New Roman"/>
          <w:sz w:val="24"/>
          <w:szCs w:val="24"/>
          <w:lang w:val="bg-BG"/>
        </w:rPr>
        <w:t xml:space="preserve"> </w:t>
      </w:r>
      <w:r w:rsidR="00EB7874" w:rsidRPr="00610B1B">
        <w:rPr>
          <w:rFonts w:ascii="Times New Roman" w:eastAsia="Times New Roman" w:hAnsi="Times New Roman" w:cs="Times New Roman"/>
          <w:sz w:val="24"/>
          <w:szCs w:val="24"/>
          <w:lang w:val="bg-BG"/>
        </w:rPr>
        <w:t xml:space="preserve">с предимство на </w:t>
      </w:r>
      <w:r w:rsidRPr="00610B1B">
        <w:rPr>
          <w:rFonts w:ascii="Times New Roman" w:eastAsia="Times New Roman" w:hAnsi="Times New Roman" w:cs="Times New Roman"/>
          <w:sz w:val="24"/>
          <w:szCs w:val="24"/>
          <w:lang w:val="bg-BG"/>
        </w:rPr>
        <w:t>праисторическия, античния и средновековен периоди</w:t>
      </w:r>
      <w:r w:rsidR="00EB7874" w:rsidRPr="00610B1B">
        <w:rPr>
          <w:rFonts w:ascii="Times New Roman" w:eastAsia="Times New Roman" w:hAnsi="Times New Roman" w:cs="Times New Roman"/>
          <w:sz w:val="24"/>
          <w:szCs w:val="24"/>
          <w:lang w:val="bg-BG"/>
        </w:rPr>
        <w:t>, обемно-пространствената им структура</w:t>
      </w:r>
      <w:r w:rsidRPr="00610B1B">
        <w:rPr>
          <w:rFonts w:ascii="Times New Roman" w:eastAsia="Times New Roman" w:hAnsi="Times New Roman" w:cs="Times New Roman"/>
          <w:sz w:val="24"/>
          <w:szCs w:val="24"/>
          <w:lang w:val="bg-BG"/>
        </w:rPr>
        <w:t xml:space="preserve">. </w:t>
      </w:r>
    </w:p>
    <w:p w14:paraId="6BD29739" w14:textId="4E61051B"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Изброените по-горе ограничители, както и наличните артефакти налагат специфичен обхват на анализираната територия. Наличните археологически обекти, открити в Дуранкулашкото, Белославското, Варненското, Поморийското, Атанасовското и Бургаските езера, налагат навлизане в дълбочина към сушата</w:t>
      </w:r>
      <w:r w:rsidR="00EB7874"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Това линеарно развитие към континенталн</w:t>
      </w:r>
      <w:r w:rsidR="001B44D8"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та част е особено видимо в областта на Варненското и Белославското езера. То е необходимо, както предвид физическата връзка между езерата и Черно море, така и поради наличните културни пластове в ареала.</w:t>
      </w:r>
    </w:p>
    <w:p w14:paraId="7B0DCB66" w14:textId="77777777" w:rsidR="002F6792" w:rsidRPr="00610B1B" w:rsidRDefault="002F6792" w:rsidP="00D32D6A">
      <w:pPr>
        <w:shd w:val="clear" w:color="auto" w:fill="FFFFFF"/>
        <w:spacing w:after="120"/>
        <w:ind w:right="-153"/>
        <w:jc w:val="both"/>
        <w:rPr>
          <w:rFonts w:ascii="Times New Roman" w:eastAsia="Times New Roman" w:hAnsi="Times New Roman" w:cs="Times New Roman"/>
          <w:sz w:val="24"/>
          <w:szCs w:val="24"/>
          <w:lang w:val="bg-BG"/>
        </w:rPr>
      </w:pPr>
    </w:p>
    <w:p w14:paraId="4E8E9348" w14:textId="1A42F4A8" w:rsidR="00442579" w:rsidRPr="00610B1B" w:rsidRDefault="00EB7874" w:rsidP="00D32D6A">
      <w:pPr>
        <w:pStyle w:val="Heading3"/>
        <w:spacing w:before="0" w:line="276" w:lineRule="auto"/>
        <w:ind w:right="-153"/>
        <w:rPr>
          <w:rFonts w:cs="Times New Roman"/>
        </w:rPr>
      </w:pPr>
      <w:bookmarkStart w:id="406" w:name="_Toc83391401"/>
      <w:r w:rsidRPr="00610B1B">
        <w:rPr>
          <w:rFonts w:cs="Times New Roman"/>
        </w:rPr>
        <w:t>3.7.</w:t>
      </w:r>
      <w:r w:rsidR="00F46876" w:rsidRPr="00610B1B">
        <w:rPr>
          <w:rFonts w:cs="Times New Roman"/>
        </w:rPr>
        <w:t>1</w:t>
      </w:r>
      <w:r w:rsidRPr="00610B1B">
        <w:rPr>
          <w:rFonts w:cs="Times New Roman"/>
        </w:rPr>
        <w:t>. Недвижими културни ценности (НКЦ) и музейна инфраструктура</w:t>
      </w:r>
      <w:bookmarkEnd w:id="406"/>
      <w:r w:rsidRPr="00610B1B">
        <w:rPr>
          <w:rFonts w:cs="Times New Roman"/>
        </w:rPr>
        <w:t xml:space="preserve"> </w:t>
      </w:r>
    </w:p>
    <w:p w14:paraId="15B08B07" w14:textId="5572AE14" w:rsidR="00F46876" w:rsidRPr="00610B1B" w:rsidRDefault="00F46876" w:rsidP="00D32D6A">
      <w:pPr>
        <w:pStyle w:val="Heading4"/>
        <w:spacing w:before="0" w:line="276" w:lineRule="auto"/>
        <w:ind w:right="-153"/>
        <w:rPr>
          <w:rFonts w:cs="Times New Roman"/>
        </w:rPr>
      </w:pPr>
      <w:r w:rsidRPr="00610B1B">
        <w:rPr>
          <w:rFonts w:cs="Times New Roman"/>
        </w:rPr>
        <w:t>3.7.1</w:t>
      </w:r>
      <w:r w:rsidR="00365A8D" w:rsidRPr="00610B1B">
        <w:rPr>
          <w:rFonts w:cs="Times New Roman"/>
        </w:rPr>
        <w:t>.1.</w:t>
      </w:r>
      <w:r w:rsidRPr="00610B1B">
        <w:rPr>
          <w:rFonts w:cs="Times New Roman"/>
        </w:rPr>
        <w:t xml:space="preserve"> </w:t>
      </w:r>
      <w:r w:rsidR="007E11E8" w:rsidRPr="00610B1B">
        <w:rPr>
          <w:rFonts w:cs="Times New Roman"/>
        </w:rPr>
        <w:t>НКЦ</w:t>
      </w:r>
      <w:r w:rsidRPr="00610B1B">
        <w:rPr>
          <w:rFonts w:cs="Times New Roman"/>
        </w:rPr>
        <w:t xml:space="preserve"> с категория „световно значение“</w:t>
      </w:r>
    </w:p>
    <w:p w14:paraId="1275897E" w14:textId="0C269C26" w:rsidR="00442579" w:rsidRPr="00610B1B" w:rsidRDefault="00442579" w:rsidP="00D32D6A">
      <w:pPr>
        <w:spacing w:after="120"/>
        <w:ind w:right="-153"/>
        <w:jc w:val="both"/>
        <w:rPr>
          <w:rFonts w:ascii="Times New Roman" w:eastAsia="Times New Roman" w:hAnsi="Times New Roman" w:cs="Times New Roman"/>
          <w:b/>
          <w:sz w:val="24"/>
          <w:szCs w:val="24"/>
          <w:u w:val="single"/>
          <w:lang w:val="bg-BG"/>
        </w:rPr>
      </w:pPr>
      <w:r w:rsidRPr="00610B1B">
        <w:rPr>
          <w:rFonts w:ascii="Times New Roman" w:eastAsia="Times New Roman" w:hAnsi="Times New Roman" w:cs="Times New Roman"/>
          <w:bCs/>
          <w:sz w:val="24"/>
          <w:szCs w:val="24"/>
          <w:lang w:val="bg-BG"/>
        </w:rPr>
        <w:t>Археологически</w:t>
      </w:r>
      <w:r w:rsidR="00C6211B" w:rsidRPr="00610B1B">
        <w:rPr>
          <w:rFonts w:ascii="Times New Roman" w:eastAsia="Times New Roman" w:hAnsi="Times New Roman" w:cs="Times New Roman"/>
          <w:bCs/>
          <w:sz w:val="24"/>
          <w:szCs w:val="24"/>
          <w:lang w:val="bg-BG"/>
        </w:rPr>
        <w:t>ят</w:t>
      </w:r>
      <w:r w:rsidRPr="00610B1B">
        <w:rPr>
          <w:rFonts w:ascii="Times New Roman" w:eastAsia="Times New Roman" w:hAnsi="Times New Roman" w:cs="Times New Roman"/>
          <w:bCs/>
          <w:sz w:val="24"/>
          <w:szCs w:val="24"/>
          <w:lang w:val="bg-BG"/>
        </w:rPr>
        <w:t xml:space="preserve"> и архитектурно-градоустройствен резерват „Старинен град Несебър”</w:t>
      </w:r>
      <w:r w:rsidR="00EB7874" w:rsidRPr="00610B1B">
        <w:rPr>
          <w:rFonts w:ascii="Times New Roman" w:eastAsia="Times New Roman" w:hAnsi="Times New Roman" w:cs="Times New Roman"/>
          <w:bCs/>
          <w:sz w:val="24"/>
          <w:szCs w:val="24"/>
          <w:lang w:val="bg-BG"/>
        </w:rPr>
        <w:t xml:space="preserve"> </w:t>
      </w:r>
      <w:r w:rsidR="00EB7874" w:rsidRPr="00610B1B">
        <w:rPr>
          <w:rFonts w:ascii="Times New Roman" w:eastAsia="Times New Roman" w:hAnsi="Times New Roman" w:cs="Times New Roman"/>
          <w:sz w:val="24"/>
          <w:szCs w:val="24"/>
          <w:lang w:val="bg-BG"/>
        </w:rPr>
        <w:t xml:space="preserve">е </w:t>
      </w:r>
      <w:r w:rsidRPr="00610B1B">
        <w:rPr>
          <w:rFonts w:ascii="Times New Roman" w:eastAsia="Times New Roman" w:hAnsi="Times New Roman" w:cs="Times New Roman"/>
          <w:sz w:val="24"/>
          <w:szCs w:val="24"/>
          <w:lang w:val="bg-BG"/>
        </w:rPr>
        <w:t xml:space="preserve">един от малкото „живи” исторически градове </w:t>
      </w:r>
      <w:r w:rsidR="00F91091" w:rsidRPr="00610B1B">
        <w:rPr>
          <w:rFonts w:ascii="Times New Roman" w:eastAsia="Times New Roman" w:hAnsi="Times New Roman" w:cs="Times New Roman"/>
          <w:sz w:val="24"/>
          <w:szCs w:val="24"/>
          <w:lang w:val="bg-BG"/>
        </w:rPr>
        <w:t>в</w:t>
      </w:r>
      <w:r w:rsidRPr="00610B1B">
        <w:rPr>
          <w:rFonts w:ascii="Times New Roman" w:eastAsia="Times New Roman" w:hAnsi="Times New Roman" w:cs="Times New Roman"/>
          <w:sz w:val="24"/>
          <w:szCs w:val="24"/>
          <w:lang w:val="bg-BG"/>
        </w:rPr>
        <w:t xml:space="preserve"> Европа, признати от ЮНЕСКО като обекти на световното културно наследство. С Постановление на МС № 174/03.09.1991 г. (Обн., ДВ бр.75 от 13.03.1991 г.) се определят границите на Националния археологически и архитектурно-градоустройствен резерват “Старинен Несебър” – световна културна ценност, актуализирани със Заповед на МК</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w:t>
      </w:r>
      <w:r w:rsidR="00F9109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РД9Р-14</w:t>
      </w:r>
      <w:r w:rsidR="00F91091"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05.06.2015</w:t>
      </w:r>
      <w:r w:rsidR="00EB787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r w:rsidR="007E11E8"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обн</w:t>
      </w:r>
      <w:r w:rsidR="007E11E8"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ДВ</w:t>
      </w:r>
      <w:r w:rsidR="00EB787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бр.</w:t>
      </w:r>
      <w:r w:rsidR="00F9109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51/2015</w:t>
      </w:r>
      <w:r w:rsidR="00EB787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С този последен документ наименованието на обекта се променя на „Археологически резерват и историческ</w:t>
      </w:r>
      <w:r w:rsidR="00EB7874" w:rsidRPr="00610B1B">
        <w:rPr>
          <w:rFonts w:ascii="Times New Roman" w:eastAsia="Times New Roman" w:hAnsi="Times New Roman" w:cs="Times New Roman"/>
          <w:sz w:val="24"/>
          <w:szCs w:val="24"/>
          <w:lang w:val="bg-BG"/>
        </w:rPr>
        <w:t>о</w:t>
      </w:r>
      <w:r w:rsidRPr="00610B1B">
        <w:rPr>
          <w:rFonts w:ascii="Times New Roman" w:eastAsia="Times New Roman" w:hAnsi="Times New Roman" w:cs="Times New Roman"/>
          <w:sz w:val="24"/>
          <w:szCs w:val="24"/>
          <w:lang w:val="bg-BG"/>
        </w:rPr>
        <w:t xml:space="preserve"> селище</w:t>
      </w:r>
      <w:r w:rsidR="00EB787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w:t>
      </w:r>
      <w:r w:rsidR="00EB787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архитектурно-строителна и урбанистична недвижима културна ценност „Старинен град Несебър”</w:t>
      </w:r>
      <w:r w:rsidR="00F91091"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w:t>
      </w:r>
      <w:r w:rsidR="00F91091" w:rsidRPr="00610B1B">
        <w:rPr>
          <w:rFonts w:ascii="Times New Roman" w:eastAsia="Times New Roman" w:hAnsi="Times New Roman" w:cs="Times New Roman"/>
          <w:sz w:val="24"/>
          <w:szCs w:val="24"/>
          <w:lang w:val="bg-BG"/>
        </w:rPr>
        <w:t>с</w:t>
      </w:r>
      <w:r w:rsidRPr="00610B1B">
        <w:rPr>
          <w:rFonts w:ascii="Times New Roman" w:eastAsia="Times New Roman" w:hAnsi="Times New Roman" w:cs="Times New Roman"/>
          <w:sz w:val="24"/>
          <w:szCs w:val="24"/>
          <w:lang w:val="bg-BG"/>
        </w:rPr>
        <w:t xml:space="preserve"> определени граници 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режими за опазване.</w:t>
      </w:r>
    </w:p>
    <w:p w14:paraId="18723795" w14:textId="2E89B202" w:rsidR="00442579" w:rsidRPr="00610B1B" w:rsidRDefault="00A339EF"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Уникалните </w:t>
      </w:r>
      <w:r w:rsidR="00442579" w:rsidRPr="00610B1B">
        <w:rPr>
          <w:rFonts w:ascii="Times New Roman" w:eastAsia="Times New Roman" w:hAnsi="Times New Roman" w:cs="Times New Roman"/>
          <w:sz w:val="24"/>
          <w:szCs w:val="24"/>
          <w:lang w:val="bg-BG"/>
        </w:rPr>
        <w:t>ценности на Несебър, запазени и до днес са традиционните направления в градската структура - основните улици с посока запад-изток и тези с ориентация юг-север от пристанището. По протежение</w:t>
      </w:r>
      <w:r w:rsidR="00EB7874" w:rsidRPr="00610B1B">
        <w:rPr>
          <w:rFonts w:ascii="Times New Roman" w:eastAsia="Times New Roman" w:hAnsi="Times New Roman" w:cs="Times New Roman"/>
          <w:sz w:val="24"/>
          <w:szCs w:val="24"/>
          <w:lang w:val="bg-BG"/>
        </w:rPr>
        <w:t>то им</w:t>
      </w:r>
      <w:r w:rsidR="00442579" w:rsidRPr="00610B1B">
        <w:rPr>
          <w:rFonts w:ascii="Times New Roman" w:eastAsia="Times New Roman" w:hAnsi="Times New Roman" w:cs="Times New Roman"/>
          <w:sz w:val="24"/>
          <w:szCs w:val="24"/>
          <w:lang w:val="bg-BG"/>
        </w:rPr>
        <w:t xml:space="preserve"> са запазили своето значение традиционни градски пространства</w:t>
      </w:r>
      <w:r w:rsidR="00EB7874" w:rsidRPr="00610B1B">
        <w:rPr>
          <w:rFonts w:ascii="Times New Roman" w:eastAsia="Times New Roman" w:hAnsi="Times New Roman" w:cs="Times New Roman"/>
          <w:sz w:val="24"/>
          <w:szCs w:val="24"/>
          <w:lang w:val="bg-BG"/>
        </w:rPr>
        <w:t xml:space="preserve">, които съхраняват </w:t>
      </w:r>
      <w:r w:rsidR="00442579" w:rsidRPr="00610B1B">
        <w:rPr>
          <w:rFonts w:ascii="Times New Roman" w:eastAsia="Times New Roman" w:hAnsi="Times New Roman" w:cs="Times New Roman"/>
          <w:sz w:val="24"/>
          <w:szCs w:val="24"/>
          <w:lang w:val="bg-BG"/>
        </w:rPr>
        <w:t>визуални</w:t>
      </w:r>
      <w:r w:rsidR="00C6211B" w:rsidRPr="00610B1B">
        <w:rPr>
          <w:rFonts w:ascii="Times New Roman" w:eastAsia="Times New Roman" w:hAnsi="Times New Roman" w:cs="Times New Roman"/>
          <w:sz w:val="24"/>
          <w:szCs w:val="24"/>
          <w:lang w:val="bg-BG"/>
        </w:rPr>
        <w:t>те</w:t>
      </w:r>
      <w:r w:rsidR="00442579" w:rsidRPr="00610B1B">
        <w:rPr>
          <w:rFonts w:ascii="Times New Roman" w:eastAsia="Times New Roman" w:hAnsi="Times New Roman" w:cs="Times New Roman"/>
          <w:sz w:val="24"/>
          <w:szCs w:val="24"/>
          <w:lang w:val="bg-BG"/>
        </w:rPr>
        <w:t xml:space="preserve"> връзки с морето. </w:t>
      </w:r>
      <w:r w:rsidR="00EB7874" w:rsidRPr="00610B1B">
        <w:rPr>
          <w:rFonts w:ascii="Times New Roman" w:eastAsia="Times New Roman" w:hAnsi="Times New Roman" w:cs="Times New Roman"/>
          <w:sz w:val="24"/>
          <w:szCs w:val="24"/>
          <w:lang w:val="bg-BG"/>
        </w:rPr>
        <w:t>В групата от материални ценности п</w:t>
      </w:r>
      <w:r w:rsidR="007E11E8" w:rsidRPr="00610B1B">
        <w:rPr>
          <w:rFonts w:ascii="Times New Roman" w:eastAsia="Times New Roman" w:hAnsi="Times New Roman" w:cs="Times New Roman"/>
          <w:sz w:val="24"/>
          <w:szCs w:val="24"/>
          <w:lang w:val="bg-BG"/>
        </w:rPr>
        <w:t>о</w:t>
      </w:r>
      <w:r w:rsidR="00EB7874" w:rsidRPr="00610B1B">
        <w:rPr>
          <w:rFonts w:ascii="Times New Roman" w:eastAsia="Times New Roman" w:hAnsi="Times New Roman" w:cs="Times New Roman"/>
          <w:sz w:val="24"/>
          <w:szCs w:val="24"/>
          <w:lang w:val="bg-BG"/>
        </w:rPr>
        <w:t xml:space="preserve">падат </w:t>
      </w:r>
      <w:r w:rsidR="00442579" w:rsidRPr="00610B1B">
        <w:rPr>
          <w:rFonts w:ascii="Times New Roman" w:eastAsia="Times New Roman" w:hAnsi="Times New Roman" w:cs="Times New Roman"/>
          <w:sz w:val="24"/>
          <w:szCs w:val="24"/>
          <w:lang w:val="bg-BG"/>
        </w:rPr>
        <w:t>укрепителна</w:t>
      </w:r>
      <w:r w:rsidR="00EB7874" w:rsidRPr="00610B1B">
        <w:rPr>
          <w:rFonts w:ascii="Times New Roman" w:eastAsia="Times New Roman" w:hAnsi="Times New Roman" w:cs="Times New Roman"/>
          <w:sz w:val="24"/>
          <w:szCs w:val="24"/>
          <w:lang w:val="bg-BG"/>
        </w:rPr>
        <w:t>та</w:t>
      </w:r>
      <w:r w:rsidR="00442579" w:rsidRPr="00610B1B">
        <w:rPr>
          <w:rFonts w:ascii="Times New Roman" w:eastAsia="Times New Roman" w:hAnsi="Times New Roman" w:cs="Times New Roman"/>
          <w:sz w:val="24"/>
          <w:szCs w:val="24"/>
          <w:lang w:val="bg-BG"/>
        </w:rPr>
        <w:t xml:space="preserve"> система и археологически</w:t>
      </w:r>
      <w:r w:rsidR="00EB7874" w:rsidRPr="00610B1B">
        <w:rPr>
          <w:rFonts w:ascii="Times New Roman" w:eastAsia="Times New Roman" w:hAnsi="Times New Roman" w:cs="Times New Roman"/>
          <w:sz w:val="24"/>
          <w:szCs w:val="24"/>
          <w:lang w:val="bg-BG"/>
        </w:rPr>
        <w:t>те</w:t>
      </w:r>
      <w:r w:rsidR="00442579" w:rsidRPr="00610B1B">
        <w:rPr>
          <w:rFonts w:ascii="Times New Roman" w:eastAsia="Times New Roman" w:hAnsi="Times New Roman" w:cs="Times New Roman"/>
          <w:sz w:val="24"/>
          <w:szCs w:val="24"/>
          <w:lang w:val="bg-BG"/>
        </w:rPr>
        <w:t xml:space="preserve"> структури - артефакти от най-древния тракийски период до последните укрепвания на крепостните стени по време на османското владичество</w:t>
      </w:r>
      <w:r w:rsidR="00EB7874" w:rsidRPr="00610B1B">
        <w:rPr>
          <w:rFonts w:ascii="Times New Roman" w:eastAsia="Times New Roman" w:hAnsi="Times New Roman" w:cs="Times New Roman"/>
          <w:sz w:val="24"/>
          <w:szCs w:val="24"/>
          <w:lang w:val="bg-BG"/>
        </w:rPr>
        <w:t xml:space="preserve">. </w:t>
      </w:r>
      <w:r w:rsidR="001748FA" w:rsidRPr="00610B1B">
        <w:rPr>
          <w:rFonts w:ascii="Times New Roman" w:eastAsia="Times New Roman" w:hAnsi="Times New Roman" w:cs="Times New Roman"/>
          <w:sz w:val="24"/>
          <w:szCs w:val="24"/>
          <w:lang w:val="bg-BG"/>
        </w:rPr>
        <w:t xml:space="preserve">Ранновизантийските </w:t>
      </w:r>
      <w:r w:rsidR="00442579" w:rsidRPr="00610B1B">
        <w:rPr>
          <w:rFonts w:ascii="Times New Roman" w:eastAsia="Times New Roman" w:hAnsi="Times New Roman" w:cs="Times New Roman"/>
          <w:sz w:val="24"/>
          <w:szCs w:val="24"/>
          <w:lang w:val="bg-BG"/>
        </w:rPr>
        <w:t>базилики, средновековни</w:t>
      </w:r>
      <w:r w:rsidR="001748FA" w:rsidRPr="00610B1B">
        <w:rPr>
          <w:rFonts w:ascii="Times New Roman" w:eastAsia="Times New Roman" w:hAnsi="Times New Roman" w:cs="Times New Roman"/>
          <w:sz w:val="24"/>
          <w:szCs w:val="24"/>
          <w:lang w:val="bg-BG"/>
        </w:rPr>
        <w:t>те</w:t>
      </w:r>
      <w:r w:rsidR="00442579" w:rsidRPr="00610B1B">
        <w:rPr>
          <w:rFonts w:ascii="Times New Roman" w:eastAsia="Times New Roman" w:hAnsi="Times New Roman" w:cs="Times New Roman"/>
          <w:sz w:val="24"/>
          <w:szCs w:val="24"/>
          <w:lang w:val="bg-BG"/>
        </w:rPr>
        <w:t xml:space="preserve"> български църкви, възрожденски</w:t>
      </w:r>
      <w:r w:rsidR="001748FA" w:rsidRPr="00610B1B">
        <w:rPr>
          <w:rFonts w:ascii="Times New Roman" w:eastAsia="Times New Roman" w:hAnsi="Times New Roman" w:cs="Times New Roman"/>
          <w:sz w:val="24"/>
          <w:szCs w:val="24"/>
          <w:lang w:val="bg-BG"/>
        </w:rPr>
        <w:t>те</w:t>
      </w:r>
      <w:r w:rsidR="00442579" w:rsidRPr="00610B1B">
        <w:rPr>
          <w:rFonts w:ascii="Times New Roman" w:eastAsia="Times New Roman" w:hAnsi="Times New Roman" w:cs="Times New Roman"/>
          <w:sz w:val="24"/>
          <w:szCs w:val="24"/>
          <w:lang w:val="bg-BG"/>
        </w:rPr>
        <w:t xml:space="preserve"> и </w:t>
      </w:r>
      <w:r w:rsidR="006011C0" w:rsidRPr="00610B1B">
        <w:rPr>
          <w:rFonts w:ascii="Times New Roman" w:eastAsia="Times New Roman" w:hAnsi="Times New Roman" w:cs="Times New Roman"/>
          <w:sz w:val="24"/>
          <w:szCs w:val="24"/>
          <w:lang w:val="bg-BG"/>
        </w:rPr>
        <w:t>следосвобожденските</w:t>
      </w:r>
      <w:r w:rsidR="00442579" w:rsidRPr="00610B1B">
        <w:rPr>
          <w:rFonts w:ascii="Times New Roman" w:eastAsia="Times New Roman" w:hAnsi="Times New Roman" w:cs="Times New Roman"/>
          <w:sz w:val="24"/>
          <w:szCs w:val="24"/>
          <w:lang w:val="bg-BG"/>
        </w:rPr>
        <w:t xml:space="preserve"> църкви представя</w:t>
      </w:r>
      <w:r w:rsidR="001748FA" w:rsidRPr="00610B1B">
        <w:rPr>
          <w:rFonts w:ascii="Times New Roman" w:eastAsia="Times New Roman" w:hAnsi="Times New Roman" w:cs="Times New Roman"/>
          <w:sz w:val="24"/>
          <w:szCs w:val="24"/>
          <w:lang w:val="bg-BG"/>
        </w:rPr>
        <w:t xml:space="preserve">т </w:t>
      </w:r>
      <w:r w:rsidR="00442579" w:rsidRPr="00610B1B">
        <w:rPr>
          <w:rFonts w:ascii="Times New Roman" w:eastAsia="Times New Roman" w:hAnsi="Times New Roman" w:cs="Times New Roman"/>
          <w:sz w:val="24"/>
          <w:szCs w:val="24"/>
          <w:lang w:val="bg-BG"/>
        </w:rPr>
        <w:t xml:space="preserve">християнското храмово строителство, напластявано в Несебър от </w:t>
      </w:r>
      <w:r w:rsidR="00C57F93" w:rsidRPr="00610B1B">
        <w:rPr>
          <w:rFonts w:ascii="Times New Roman" w:eastAsia="Times New Roman" w:hAnsi="Times New Roman" w:cs="Times New Roman"/>
          <w:sz w:val="24"/>
          <w:szCs w:val="24"/>
          <w:lang w:val="bg-BG"/>
        </w:rPr>
        <w:t>V</w:t>
      </w:r>
      <w:r w:rsidR="00442579" w:rsidRPr="00610B1B">
        <w:rPr>
          <w:rFonts w:ascii="Times New Roman" w:eastAsia="Times New Roman" w:hAnsi="Times New Roman" w:cs="Times New Roman"/>
          <w:sz w:val="24"/>
          <w:szCs w:val="24"/>
          <w:lang w:val="bg-BG"/>
        </w:rPr>
        <w:t xml:space="preserve"> до края на </w:t>
      </w:r>
      <w:r w:rsidR="00C57F93" w:rsidRPr="00610B1B">
        <w:rPr>
          <w:rFonts w:ascii="Times New Roman" w:eastAsia="Times New Roman" w:hAnsi="Times New Roman" w:cs="Times New Roman"/>
          <w:sz w:val="24"/>
          <w:szCs w:val="24"/>
          <w:lang w:val="bg-BG"/>
        </w:rPr>
        <w:t>ХІХ</w:t>
      </w:r>
      <w:r w:rsidR="00442579" w:rsidRPr="00610B1B">
        <w:rPr>
          <w:rFonts w:ascii="Times New Roman" w:eastAsia="Times New Roman" w:hAnsi="Times New Roman" w:cs="Times New Roman"/>
          <w:sz w:val="24"/>
          <w:szCs w:val="24"/>
          <w:lang w:val="bg-BG"/>
        </w:rPr>
        <w:t xml:space="preserve"> в.</w:t>
      </w:r>
      <w:r w:rsidR="001748FA" w:rsidRPr="00610B1B">
        <w:rPr>
          <w:rFonts w:ascii="Times New Roman" w:eastAsia="Times New Roman" w:hAnsi="Times New Roman" w:cs="Times New Roman"/>
          <w:sz w:val="24"/>
          <w:szCs w:val="24"/>
          <w:lang w:val="bg-BG"/>
        </w:rPr>
        <w:t xml:space="preserve"> </w:t>
      </w:r>
    </w:p>
    <w:p w14:paraId="70CB1EED" w14:textId="3012B6A1"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sz w:val="24"/>
          <w:szCs w:val="24"/>
          <w:lang w:val="bg-BG"/>
        </w:rPr>
        <w:lastRenderedPageBreak/>
        <w:t>Недвижимите единични културни ценности са разпределят почти равномерно на територията на полуострова. Значителна част от културните ценности са в руинен вид, а в акваторията на югоизток и северозапад, в радиус от над 400 метра са локализирани елементи от укрепителната система на античния и средновековен</w:t>
      </w:r>
      <w:r w:rsidRPr="00610B1B">
        <w:rPr>
          <w:rFonts w:ascii="Times New Roman" w:eastAsia="Times New Roman" w:hAnsi="Times New Roman" w:cs="Times New Roman"/>
          <w:color w:val="00B0F0"/>
          <w:sz w:val="24"/>
          <w:szCs w:val="24"/>
          <w:lang w:val="bg-BG"/>
        </w:rPr>
        <w:t xml:space="preserve"> </w:t>
      </w:r>
      <w:r w:rsidRPr="00610B1B">
        <w:rPr>
          <w:rFonts w:ascii="Times New Roman" w:eastAsia="Times New Roman" w:hAnsi="Times New Roman" w:cs="Times New Roman"/>
          <w:sz w:val="24"/>
          <w:szCs w:val="24"/>
          <w:lang w:val="bg-BG"/>
        </w:rPr>
        <w:t>Несебър. По-голямата част от археологическите структури са все още не</w:t>
      </w:r>
      <w:r w:rsidR="00F91091" w:rsidRPr="00610B1B">
        <w:rPr>
          <w:rFonts w:ascii="Times New Roman" w:eastAsia="Times New Roman" w:hAnsi="Times New Roman" w:cs="Times New Roman"/>
          <w:sz w:val="24"/>
          <w:szCs w:val="24"/>
          <w:lang w:val="bg-BG"/>
        </w:rPr>
        <w:t xml:space="preserve"> са</w:t>
      </w:r>
      <w:r w:rsidRPr="00610B1B">
        <w:rPr>
          <w:rFonts w:ascii="Times New Roman" w:eastAsia="Times New Roman" w:hAnsi="Times New Roman" w:cs="Times New Roman"/>
          <w:sz w:val="24"/>
          <w:szCs w:val="24"/>
          <w:lang w:val="bg-BG"/>
        </w:rPr>
        <w:t xml:space="preserve"> проучени </w:t>
      </w:r>
      <w:r w:rsidR="00F91091" w:rsidRPr="00610B1B">
        <w:rPr>
          <w:rFonts w:ascii="Times New Roman" w:eastAsia="Times New Roman" w:hAnsi="Times New Roman" w:cs="Times New Roman"/>
          <w:sz w:val="24"/>
          <w:szCs w:val="24"/>
          <w:lang w:val="bg-BG"/>
        </w:rPr>
        <w:t>цялостно</w:t>
      </w:r>
      <w:r w:rsidRPr="00610B1B">
        <w:rPr>
          <w:rFonts w:ascii="Times New Roman" w:eastAsia="Times New Roman" w:hAnsi="Times New Roman" w:cs="Times New Roman"/>
          <w:sz w:val="24"/>
          <w:szCs w:val="24"/>
          <w:lang w:val="bg-BG"/>
        </w:rPr>
        <w:t xml:space="preserve">. </w:t>
      </w:r>
    </w:p>
    <w:p w14:paraId="12C3623F" w14:textId="1C717B1F"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На територията на полуострова преобладават</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жилищните сгради, като обществените (предимно от втората половина на </w:t>
      </w:r>
      <w:r w:rsidR="00C57F93" w:rsidRPr="00610B1B">
        <w:rPr>
          <w:rFonts w:ascii="Times New Roman" w:eastAsia="Times New Roman" w:hAnsi="Times New Roman" w:cs="Times New Roman"/>
          <w:sz w:val="24"/>
          <w:szCs w:val="24"/>
          <w:lang w:val="bg-BG"/>
        </w:rPr>
        <w:t>ХХ</w:t>
      </w:r>
      <w:r w:rsidRPr="00610B1B">
        <w:rPr>
          <w:rFonts w:ascii="Times New Roman" w:eastAsia="Times New Roman" w:hAnsi="Times New Roman" w:cs="Times New Roman"/>
          <w:sz w:val="24"/>
          <w:szCs w:val="24"/>
          <w:lang w:val="bg-BG"/>
        </w:rPr>
        <w:t xml:space="preserve"> в.) са съсредоточени в централната и западната части. Връзката на града с морето в най-източния край е възпрепятствана от сравнително обширна територия заета от Гранична полиция. Нови територии “отвоювани” от морето се простират в югозападната част край пристанището и по протежение на северно</w:t>
      </w:r>
      <w:r w:rsidR="00F91091" w:rsidRPr="00610B1B">
        <w:rPr>
          <w:rFonts w:ascii="Times New Roman" w:eastAsia="Times New Roman" w:hAnsi="Times New Roman" w:cs="Times New Roman"/>
          <w:sz w:val="24"/>
          <w:szCs w:val="24"/>
          <w:lang w:val="bg-BG"/>
        </w:rPr>
        <w:t>то</w:t>
      </w:r>
      <w:r w:rsidRPr="00610B1B">
        <w:rPr>
          <w:rFonts w:ascii="Times New Roman" w:eastAsia="Times New Roman" w:hAnsi="Times New Roman" w:cs="Times New Roman"/>
          <w:sz w:val="24"/>
          <w:szCs w:val="24"/>
          <w:lang w:val="bg-BG"/>
        </w:rPr>
        <w:t xml:space="preserve"> крайбрежие. Част от тези нови територии са свързани и с проведеното укрепване на бреговата ивица (80-те години на </w:t>
      </w:r>
      <w:r w:rsidR="00C57F93" w:rsidRPr="00610B1B">
        <w:rPr>
          <w:rFonts w:ascii="Times New Roman" w:eastAsia="Times New Roman" w:hAnsi="Times New Roman" w:cs="Times New Roman"/>
          <w:sz w:val="24"/>
          <w:szCs w:val="24"/>
          <w:lang w:val="bg-BG"/>
        </w:rPr>
        <w:t>ХХ</w:t>
      </w:r>
      <w:r w:rsidRPr="00610B1B">
        <w:rPr>
          <w:rFonts w:ascii="Times New Roman" w:eastAsia="Times New Roman" w:hAnsi="Times New Roman" w:cs="Times New Roman"/>
          <w:sz w:val="24"/>
          <w:szCs w:val="24"/>
          <w:lang w:val="bg-BG"/>
        </w:rPr>
        <w:t xml:space="preserve"> в.). Днес част от тях се използват за паркиране, големи територии в северната част остават пустеещи, докато тези в южната</w:t>
      </w:r>
      <w:r w:rsidR="00F91091" w:rsidRPr="00610B1B">
        <w:rPr>
          <w:rFonts w:ascii="Times New Roman" w:eastAsia="Times New Roman" w:hAnsi="Times New Roman" w:cs="Times New Roman"/>
          <w:sz w:val="24"/>
          <w:szCs w:val="24"/>
          <w:lang w:val="bg-BG"/>
        </w:rPr>
        <w:t xml:space="preserve"> част</w:t>
      </w:r>
      <w:r w:rsidRPr="00610B1B">
        <w:rPr>
          <w:rFonts w:ascii="Times New Roman" w:eastAsia="Times New Roman" w:hAnsi="Times New Roman" w:cs="Times New Roman"/>
          <w:sz w:val="24"/>
          <w:szCs w:val="24"/>
          <w:lang w:val="bg-BG"/>
        </w:rPr>
        <w:t xml:space="preserve">, покрай пристанището, се развиват за обществено обслужване. </w:t>
      </w:r>
    </w:p>
    <w:p w14:paraId="567BCDB8" w14:textId="623C860C"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sz w:val="24"/>
          <w:szCs w:val="24"/>
          <w:lang w:val="bg-BG"/>
        </w:rPr>
        <w:t xml:space="preserve">Запазена е неправилната улично-квартална структура на града, развивала се от средновековието до днес. </w:t>
      </w:r>
      <w:r w:rsidR="00F91091" w:rsidRPr="00610B1B">
        <w:rPr>
          <w:rFonts w:ascii="Times New Roman" w:eastAsia="Times New Roman" w:hAnsi="Times New Roman" w:cs="Times New Roman"/>
          <w:sz w:val="24"/>
          <w:szCs w:val="24"/>
          <w:lang w:val="bg-BG"/>
        </w:rPr>
        <w:t>По крайбрежието на</w:t>
      </w:r>
      <w:r w:rsidR="00C6211B" w:rsidRPr="00610B1B">
        <w:rPr>
          <w:rFonts w:ascii="Times New Roman" w:eastAsia="Times New Roman" w:hAnsi="Times New Roman" w:cs="Times New Roman"/>
          <w:sz w:val="24"/>
          <w:szCs w:val="24"/>
          <w:lang w:val="bg-BG"/>
        </w:rPr>
        <w:t xml:space="preserve"> </w:t>
      </w:r>
      <w:r w:rsidR="00F91091" w:rsidRPr="00610B1B">
        <w:rPr>
          <w:rFonts w:ascii="Times New Roman" w:eastAsia="Times New Roman" w:hAnsi="Times New Roman" w:cs="Times New Roman"/>
          <w:sz w:val="24"/>
          <w:szCs w:val="24"/>
          <w:lang w:val="bg-BG"/>
        </w:rPr>
        <w:t>„</w:t>
      </w:r>
      <w:r w:rsidR="00C6211B" w:rsidRPr="00610B1B">
        <w:rPr>
          <w:rFonts w:ascii="Times New Roman" w:eastAsia="Times New Roman" w:hAnsi="Times New Roman" w:cs="Times New Roman"/>
          <w:sz w:val="24"/>
          <w:szCs w:val="24"/>
          <w:lang w:val="bg-BG"/>
        </w:rPr>
        <w:t xml:space="preserve">Старинен </w:t>
      </w:r>
      <w:r w:rsidR="00F91091" w:rsidRPr="00610B1B">
        <w:rPr>
          <w:rFonts w:ascii="Times New Roman" w:eastAsia="Times New Roman" w:hAnsi="Times New Roman" w:cs="Times New Roman"/>
          <w:sz w:val="24"/>
          <w:szCs w:val="24"/>
          <w:lang w:val="bg-BG"/>
        </w:rPr>
        <w:t xml:space="preserve">Несебър“ </w:t>
      </w:r>
      <w:r w:rsidR="00C6211B" w:rsidRPr="00610B1B">
        <w:rPr>
          <w:rFonts w:ascii="Times New Roman" w:eastAsia="Times New Roman" w:hAnsi="Times New Roman" w:cs="Times New Roman"/>
          <w:sz w:val="24"/>
          <w:szCs w:val="24"/>
          <w:lang w:val="bg-BG"/>
        </w:rPr>
        <w:t>се съсредоточават заведения за обществено хранене, в централната част на полуострова - улична търговия. Сравнително тиха остава територията в източната част с предимно жилищни функции. Множество</w:t>
      </w:r>
      <w:r w:rsidRPr="00610B1B">
        <w:rPr>
          <w:rFonts w:ascii="Times New Roman" w:eastAsia="Times New Roman" w:hAnsi="Times New Roman" w:cs="Times New Roman"/>
          <w:sz w:val="24"/>
          <w:szCs w:val="24"/>
          <w:lang w:val="bg-BG"/>
        </w:rPr>
        <w:t xml:space="preserve"> обекти на общественото хранене са разположени плътно по протежение на южното крайбрежие</w:t>
      </w:r>
      <w:r w:rsidR="00C6211B"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включително в зоната на южното пристанище и по-разпокъсано, на групи, по северното крайбрежие. Това линеарно развитие по крайбрежието е нетипично за Несебър, чийто силует откъм морето е доминирал от крепостната стена, а след нейното постепенно рухване, от линията на застрояване на къщите, високо на платото на полуострова.</w:t>
      </w:r>
      <w:r w:rsidRPr="00610B1B">
        <w:rPr>
          <w:rFonts w:ascii="Times New Roman" w:eastAsia="Times New Roman" w:hAnsi="Times New Roman" w:cs="Times New Roman"/>
          <w:b/>
          <w:sz w:val="24"/>
          <w:szCs w:val="24"/>
          <w:lang w:val="bg-BG"/>
        </w:rPr>
        <w:t xml:space="preserve"> </w:t>
      </w:r>
      <w:r w:rsidR="00F91091" w:rsidRPr="00610B1B">
        <w:rPr>
          <w:rFonts w:ascii="Times New Roman" w:eastAsia="Times New Roman" w:hAnsi="Times New Roman" w:cs="Times New Roman"/>
          <w:sz w:val="24"/>
          <w:szCs w:val="24"/>
          <w:lang w:val="bg-BG"/>
        </w:rPr>
        <w:t xml:space="preserve">Търговската </w:t>
      </w:r>
      <w:r w:rsidRPr="00610B1B">
        <w:rPr>
          <w:rFonts w:ascii="Times New Roman" w:eastAsia="Times New Roman" w:hAnsi="Times New Roman" w:cs="Times New Roman"/>
          <w:sz w:val="24"/>
          <w:szCs w:val="24"/>
          <w:lang w:val="bg-BG"/>
        </w:rPr>
        <w:t xml:space="preserve">и занаятчийската дейност е традиционно развита </w:t>
      </w:r>
      <w:r w:rsidR="00F91091" w:rsidRPr="00610B1B">
        <w:rPr>
          <w:rFonts w:ascii="Times New Roman" w:eastAsia="Times New Roman" w:hAnsi="Times New Roman" w:cs="Times New Roman"/>
          <w:sz w:val="24"/>
          <w:szCs w:val="24"/>
          <w:lang w:val="bg-BG"/>
        </w:rPr>
        <w:t>в централната част</w:t>
      </w:r>
      <w:r w:rsidRPr="00610B1B">
        <w:rPr>
          <w:rFonts w:ascii="Times New Roman" w:eastAsia="Times New Roman" w:hAnsi="Times New Roman" w:cs="Times New Roman"/>
          <w:sz w:val="24"/>
          <w:szCs w:val="24"/>
          <w:lang w:val="bg-BG"/>
        </w:rPr>
        <w:t xml:space="preserve"> на града, но дюкяните са се разполагали</w:t>
      </w:r>
      <w:r w:rsidR="00C6211B"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приземията</w:t>
      </w:r>
      <w:r w:rsidR="00F91091" w:rsidRPr="00610B1B">
        <w:rPr>
          <w:rFonts w:ascii="Times New Roman" w:eastAsia="Times New Roman" w:hAnsi="Times New Roman" w:cs="Times New Roman"/>
          <w:sz w:val="24"/>
          <w:szCs w:val="24"/>
          <w:lang w:val="bg-BG"/>
        </w:rPr>
        <w:t>, а не в уличното пространство</w:t>
      </w:r>
      <w:r w:rsidR="00CA7213" w:rsidRPr="00610B1B">
        <w:rPr>
          <w:rFonts w:ascii="Times New Roman" w:eastAsia="Times New Roman" w:hAnsi="Times New Roman" w:cs="Times New Roman"/>
          <w:sz w:val="24"/>
          <w:szCs w:val="24"/>
          <w:lang w:val="bg-BG"/>
        </w:rPr>
        <w:t>. Сегашната улична търговия</w:t>
      </w:r>
      <w:r w:rsidR="00F91091" w:rsidRPr="00610B1B">
        <w:rPr>
          <w:rFonts w:ascii="Times New Roman" w:eastAsia="Times New Roman" w:hAnsi="Times New Roman" w:cs="Times New Roman"/>
          <w:sz w:val="24"/>
          <w:szCs w:val="24"/>
          <w:lang w:val="bg-BG"/>
        </w:rPr>
        <w:t xml:space="preserve"> н</w:t>
      </w:r>
      <w:r w:rsidRPr="00610B1B">
        <w:rPr>
          <w:rFonts w:ascii="Times New Roman" w:eastAsia="Times New Roman" w:hAnsi="Times New Roman" w:cs="Times New Roman"/>
          <w:sz w:val="24"/>
          <w:szCs w:val="24"/>
          <w:lang w:val="bg-BG"/>
        </w:rPr>
        <w:t>арушава ценностни характеристики</w:t>
      </w:r>
      <w:r w:rsidR="00F91091" w:rsidRPr="00610B1B">
        <w:rPr>
          <w:rFonts w:ascii="Times New Roman" w:eastAsia="Times New Roman" w:hAnsi="Times New Roman" w:cs="Times New Roman"/>
          <w:sz w:val="24"/>
          <w:szCs w:val="24"/>
          <w:lang w:val="bg-BG"/>
        </w:rPr>
        <w:t xml:space="preserve">, </w:t>
      </w:r>
      <w:r w:rsidR="00CA7213" w:rsidRPr="00610B1B">
        <w:rPr>
          <w:rFonts w:ascii="Times New Roman" w:eastAsia="Times New Roman" w:hAnsi="Times New Roman" w:cs="Times New Roman"/>
          <w:sz w:val="24"/>
          <w:szCs w:val="24"/>
          <w:lang w:val="bg-BG"/>
        </w:rPr>
        <w:t>закрива</w:t>
      </w:r>
      <w:r w:rsidR="00F9109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визуални връзки, неглижира</w:t>
      </w:r>
      <w:r w:rsidR="00F9109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уличн</w:t>
      </w:r>
      <w:r w:rsidR="00CA7213" w:rsidRPr="00610B1B">
        <w:rPr>
          <w:rFonts w:ascii="Times New Roman" w:eastAsia="Times New Roman" w:hAnsi="Times New Roman" w:cs="Times New Roman"/>
          <w:sz w:val="24"/>
          <w:szCs w:val="24"/>
          <w:lang w:val="bg-BG"/>
        </w:rPr>
        <w:t>ия</w:t>
      </w:r>
      <w:r w:rsidRPr="00610B1B">
        <w:rPr>
          <w:rFonts w:ascii="Times New Roman" w:eastAsia="Times New Roman" w:hAnsi="Times New Roman" w:cs="Times New Roman"/>
          <w:sz w:val="24"/>
          <w:szCs w:val="24"/>
          <w:lang w:val="bg-BG"/>
        </w:rPr>
        <w:t xml:space="preserve"> силует </w:t>
      </w:r>
      <w:r w:rsidR="00CA7213" w:rsidRPr="00610B1B">
        <w:rPr>
          <w:rFonts w:ascii="Times New Roman" w:eastAsia="Times New Roman" w:hAnsi="Times New Roman" w:cs="Times New Roman"/>
          <w:sz w:val="24"/>
          <w:szCs w:val="24"/>
          <w:lang w:val="bg-BG"/>
        </w:rPr>
        <w:t>от</w:t>
      </w:r>
      <w:r w:rsidRPr="00610B1B">
        <w:rPr>
          <w:rFonts w:ascii="Times New Roman" w:eastAsia="Times New Roman" w:hAnsi="Times New Roman" w:cs="Times New Roman"/>
          <w:sz w:val="24"/>
          <w:szCs w:val="24"/>
          <w:lang w:val="bg-BG"/>
        </w:rPr>
        <w:t xml:space="preserve"> каменни приземия и дървени надстройки на етажа. </w:t>
      </w:r>
    </w:p>
    <w:p w14:paraId="668FFD35" w14:textId="2073A026" w:rsidR="00442579" w:rsidRPr="00610B1B" w:rsidRDefault="00442579" w:rsidP="00D32D6A">
      <w:pPr>
        <w:spacing w:after="120"/>
        <w:ind w:right="-153"/>
        <w:jc w:val="both"/>
        <w:rPr>
          <w:rFonts w:ascii="Times New Roman" w:hAnsi="Times New Roman" w:cs="Times New Roman"/>
          <w:color w:val="000000" w:themeColor="text1"/>
          <w:sz w:val="24"/>
          <w:szCs w:val="24"/>
          <w:lang w:val="bg-BG"/>
        </w:rPr>
      </w:pPr>
      <w:r w:rsidRPr="00610B1B">
        <w:rPr>
          <w:rFonts w:ascii="Times New Roman" w:eastAsia="Times New Roman" w:hAnsi="Times New Roman" w:cs="Times New Roman"/>
          <w:sz w:val="24"/>
          <w:szCs w:val="24"/>
          <w:lang w:val="bg-BG"/>
        </w:rPr>
        <w:t>Културният туризъм е свързан с няколко обекта към музе</w:t>
      </w:r>
      <w:r w:rsidR="0023542D" w:rsidRPr="00610B1B">
        <w:rPr>
          <w:rFonts w:ascii="Times New Roman" w:eastAsia="Times New Roman" w:hAnsi="Times New Roman" w:cs="Times New Roman"/>
          <w:sz w:val="24"/>
          <w:szCs w:val="24"/>
          <w:lang w:val="bg-BG"/>
        </w:rPr>
        <w:t>я</w:t>
      </w:r>
      <w:r w:rsidRPr="00610B1B">
        <w:rPr>
          <w:rFonts w:ascii="Times New Roman" w:eastAsia="Times New Roman" w:hAnsi="Times New Roman" w:cs="Times New Roman"/>
          <w:sz w:val="24"/>
          <w:szCs w:val="24"/>
          <w:lang w:val="bg-BG"/>
        </w:rPr>
        <w:t xml:space="preserve"> </w:t>
      </w:r>
      <w:r w:rsidR="00CA721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Старинен Несебър</w:t>
      </w:r>
      <w:r w:rsidR="00CA721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Проведените консервационн</w:t>
      </w:r>
      <w:r w:rsidR="00CA7213" w:rsidRPr="00610B1B">
        <w:rPr>
          <w:rFonts w:ascii="Times New Roman" w:eastAsia="Times New Roman" w:hAnsi="Times New Roman" w:cs="Times New Roman"/>
          <w:sz w:val="24"/>
          <w:szCs w:val="24"/>
          <w:lang w:val="bg-BG"/>
        </w:rPr>
        <w:t>о</w:t>
      </w:r>
      <w:r w:rsidRPr="00610B1B">
        <w:rPr>
          <w:rFonts w:ascii="Times New Roman" w:eastAsia="Times New Roman" w:hAnsi="Times New Roman" w:cs="Times New Roman"/>
          <w:sz w:val="24"/>
          <w:szCs w:val="24"/>
          <w:lang w:val="bg-BG"/>
        </w:rPr>
        <w:t>-реставрационни работи върху четири от църквите в Несебър и непосредствено прилежащи</w:t>
      </w:r>
      <w:r w:rsidR="0023542D" w:rsidRPr="00610B1B">
        <w:rPr>
          <w:rFonts w:ascii="Times New Roman" w:eastAsia="Times New Roman" w:hAnsi="Times New Roman" w:cs="Times New Roman"/>
          <w:sz w:val="24"/>
          <w:szCs w:val="24"/>
          <w:lang w:val="bg-BG"/>
        </w:rPr>
        <w:t>те</w:t>
      </w:r>
      <w:r w:rsidRPr="00610B1B">
        <w:rPr>
          <w:rFonts w:ascii="Times New Roman" w:eastAsia="Times New Roman" w:hAnsi="Times New Roman" w:cs="Times New Roman"/>
          <w:sz w:val="24"/>
          <w:szCs w:val="24"/>
          <w:lang w:val="bg-BG"/>
        </w:rPr>
        <w:t xml:space="preserve"> пространства ги включват в системата от обекти за туристическа обиколка </w:t>
      </w:r>
      <w:r w:rsidR="0023542D" w:rsidRPr="00610B1B">
        <w:rPr>
          <w:rFonts w:ascii="Times New Roman" w:eastAsia="Times New Roman" w:hAnsi="Times New Roman" w:cs="Times New Roman"/>
          <w:sz w:val="24"/>
          <w:szCs w:val="24"/>
          <w:lang w:val="bg-BG"/>
        </w:rPr>
        <w:t>на</w:t>
      </w:r>
      <w:r w:rsidRPr="00610B1B">
        <w:rPr>
          <w:rFonts w:ascii="Times New Roman" w:eastAsia="Times New Roman" w:hAnsi="Times New Roman" w:cs="Times New Roman"/>
          <w:sz w:val="24"/>
          <w:szCs w:val="24"/>
          <w:lang w:val="bg-BG"/>
        </w:rPr>
        <w:t xml:space="preserve"> града. Основните зони за градски прояви остават исторически</w:t>
      </w:r>
      <w:r w:rsidR="0023542D" w:rsidRPr="00610B1B">
        <w:rPr>
          <w:rFonts w:ascii="Times New Roman" w:eastAsia="Times New Roman" w:hAnsi="Times New Roman" w:cs="Times New Roman"/>
          <w:sz w:val="24"/>
          <w:szCs w:val="24"/>
          <w:lang w:val="bg-BG"/>
        </w:rPr>
        <w:t>те</w:t>
      </w:r>
      <w:r w:rsidRPr="00610B1B">
        <w:rPr>
          <w:rFonts w:ascii="Times New Roman" w:eastAsia="Times New Roman" w:hAnsi="Times New Roman" w:cs="Times New Roman"/>
          <w:sz w:val="24"/>
          <w:szCs w:val="24"/>
          <w:lang w:val="bg-BG"/>
        </w:rPr>
        <w:t xml:space="preserve"> пространства при С</w:t>
      </w:r>
      <w:r w:rsidR="004530E1" w:rsidRPr="00610B1B">
        <w:rPr>
          <w:rFonts w:ascii="Times New Roman" w:eastAsia="Times New Roman" w:hAnsi="Times New Roman" w:cs="Times New Roman"/>
          <w:sz w:val="24"/>
          <w:szCs w:val="24"/>
          <w:lang w:val="bg-BG"/>
        </w:rPr>
        <w:t xml:space="preserve">тарата митрополия и площад </w:t>
      </w:r>
      <w:r w:rsidR="00CA7213" w:rsidRPr="00610B1B">
        <w:rPr>
          <w:rFonts w:ascii="Times New Roman" w:eastAsia="Times New Roman" w:hAnsi="Times New Roman" w:cs="Times New Roman"/>
          <w:sz w:val="24"/>
          <w:szCs w:val="24"/>
          <w:lang w:val="bg-BG"/>
        </w:rPr>
        <w:t>„</w:t>
      </w:r>
      <w:r w:rsidR="004530E1" w:rsidRPr="00610B1B">
        <w:rPr>
          <w:rFonts w:ascii="Times New Roman" w:eastAsia="Times New Roman" w:hAnsi="Times New Roman" w:cs="Times New Roman"/>
          <w:sz w:val="24"/>
          <w:szCs w:val="24"/>
          <w:lang w:val="bg-BG"/>
        </w:rPr>
        <w:t>Месе</w:t>
      </w:r>
      <w:r w:rsidRPr="00610B1B">
        <w:rPr>
          <w:rFonts w:ascii="Times New Roman" w:eastAsia="Times New Roman" w:hAnsi="Times New Roman" w:cs="Times New Roman"/>
          <w:sz w:val="24"/>
          <w:szCs w:val="24"/>
          <w:lang w:val="bg-BG"/>
        </w:rPr>
        <w:t>мбрия</w:t>
      </w:r>
      <w:r w:rsidR="00A220E8"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и формиралите се зони до читалището, откритият театър при южното пристанище, и в по-редки случаи, градинката пре</w:t>
      </w:r>
      <w:r w:rsidR="00A220E8" w:rsidRPr="00610B1B">
        <w:rPr>
          <w:rFonts w:ascii="Times New Roman" w:eastAsia="Times New Roman" w:hAnsi="Times New Roman" w:cs="Times New Roman"/>
          <w:sz w:val="24"/>
          <w:szCs w:val="24"/>
          <w:lang w:val="bg-BG"/>
        </w:rPr>
        <w:t>д</w:t>
      </w:r>
      <w:r w:rsidRPr="00610B1B">
        <w:rPr>
          <w:rFonts w:ascii="Times New Roman" w:eastAsia="Times New Roman" w:hAnsi="Times New Roman" w:cs="Times New Roman"/>
          <w:sz w:val="24"/>
          <w:szCs w:val="24"/>
          <w:lang w:val="bg-BG"/>
        </w:rPr>
        <w:t xml:space="preserve"> западната крепостна стена. Неусвоени </w:t>
      </w:r>
      <w:r w:rsidR="0023542D" w:rsidRPr="00610B1B">
        <w:rPr>
          <w:rFonts w:ascii="Times New Roman" w:eastAsia="Times New Roman" w:hAnsi="Times New Roman" w:cs="Times New Roman"/>
          <w:sz w:val="24"/>
          <w:szCs w:val="24"/>
          <w:lang w:val="bg-BG"/>
        </w:rPr>
        <w:t>са</w:t>
      </w:r>
      <w:r w:rsidRPr="00610B1B">
        <w:rPr>
          <w:rFonts w:ascii="Times New Roman" w:eastAsia="Times New Roman" w:hAnsi="Times New Roman" w:cs="Times New Roman"/>
          <w:sz w:val="24"/>
          <w:szCs w:val="24"/>
          <w:lang w:val="bg-BG"/>
        </w:rPr>
        <w:t xml:space="preserve"> </w:t>
      </w:r>
      <w:r w:rsidR="007E11E8" w:rsidRPr="00610B1B">
        <w:rPr>
          <w:rFonts w:ascii="Times New Roman" w:eastAsia="Times New Roman" w:hAnsi="Times New Roman" w:cs="Times New Roman"/>
          <w:sz w:val="24"/>
          <w:szCs w:val="24"/>
          <w:lang w:val="bg-BG"/>
        </w:rPr>
        <w:t xml:space="preserve">някои </w:t>
      </w:r>
      <w:r w:rsidRPr="00610B1B">
        <w:rPr>
          <w:rFonts w:ascii="Times New Roman" w:eastAsia="Times New Roman" w:hAnsi="Times New Roman" w:cs="Times New Roman"/>
          <w:sz w:val="24"/>
          <w:szCs w:val="24"/>
          <w:lang w:val="bg-BG"/>
        </w:rPr>
        <w:t xml:space="preserve">територии с потенциал за </w:t>
      </w:r>
      <w:r w:rsidR="007E11E8" w:rsidRPr="00610B1B">
        <w:rPr>
          <w:rFonts w:ascii="Times New Roman" w:eastAsia="Times New Roman" w:hAnsi="Times New Roman" w:cs="Times New Roman"/>
          <w:sz w:val="24"/>
          <w:szCs w:val="24"/>
          <w:lang w:val="bg-BG"/>
        </w:rPr>
        <w:t xml:space="preserve">културни и образователни </w:t>
      </w:r>
      <w:r w:rsidRPr="00610B1B">
        <w:rPr>
          <w:rFonts w:ascii="Times New Roman" w:eastAsia="Times New Roman" w:hAnsi="Times New Roman" w:cs="Times New Roman"/>
          <w:sz w:val="24"/>
          <w:szCs w:val="24"/>
          <w:lang w:val="bg-BG"/>
        </w:rPr>
        <w:t>прояви - археологическият комплекс</w:t>
      </w:r>
      <w:r w:rsidR="007E11E8"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зад </w:t>
      </w:r>
      <w:r w:rsidRPr="00610B1B">
        <w:rPr>
          <w:rFonts w:ascii="Times New Roman" w:eastAsia="Times New Roman" w:hAnsi="Times New Roman" w:cs="Times New Roman"/>
          <w:color w:val="000000" w:themeColor="text1"/>
          <w:sz w:val="24"/>
          <w:szCs w:val="24"/>
          <w:lang w:val="bg-BG"/>
        </w:rPr>
        <w:t xml:space="preserve">западната крепостна стена, пространствата около църквата </w:t>
      </w:r>
      <w:r w:rsidR="00A220E8" w:rsidRPr="00610B1B">
        <w:rPr>
          <w:rFonts w:ascii="Times New Roman" w:eastAsia="Times New Roman" w:hAnsi="Times New Roman" w:cs="Times New Roman"/>
          <w:color w:val="000000" w:themeColor="text1"/>
          <w:sz w:val="24"/>
          <w:szCs w:val="24"/>
          <w:lang w:val="bg-BG"/>
        </w:rPr>
        <w:t>„</w:t>
      </w:r>
      <w:r w:rsidRPr="00610B1B">
        <w:rPr>
          <w:rFonts w:ascii="Times New Roman" w:eastAsia="Times New Roman" w:hAnsi="Times New Roman" w:cs="Times New Roman"/>
          <w:color w:val="000000" w:themeColor="text1"/>
          <w:sz w:val="24"/>
          <w:szCs w:val="24"/>
          <w:lang w:val="bg-BG"/>
        </w:rPr>
        <w:t>Св. Богородица Елеуса</w:t>
      </w:r>
      <w:r w:rsidR="00A220E8" w:rsidRPr="00610B1B">
        <w:rPr>
          <w:rFonts w:ascii="Times New Roman" w:eastAsia="Times New Roman" w:hAnsi="Times New Roman" w:cs="Times New Roman"/>
          <w:color w:val="000000" w:themeColor="text1"/>
          <w:sz w:val="24"/>
          <w:szCs w:val="24"/>
          <w:lang w:val="bg-BG"/>
        </w:rPr>
        <w:t>“</w:t>
      </w:r>
      <w:r w:rsidRPr="00610B1B">
        <w:rPr>
          <w:rFonts w:ascii="Times New Roman" w:eastAsia="Times New Roman" w:hAnsi="Times New Roman" w:cs="Times New Roman"/>
          <w:color w:val="000000" w:themeColor="text1"/>
          <w:sz w:val="24"/>
          <w:szCs w:val="24"/>
          <w:lang w:val="bg-BG"/>
        </w:rPr>
        <w:t>, територията на ранновизантийските терми</w:t>
      </w:r>
      <w:r w:rsidR="00C6211B" w:rsidRPr="00610B1B">
        <w:rPr>
          <w:rFonts w:ascii="Times New Roman" w:eastAsia="Times New Roman" w:hAnsi="Times New Roman" w:cs="Times New Roman"/>
          <w:color w:val="000000" w:themeColor="text1"/>
          <w:sz w:val="24"/>
          <w:szCs w:val="24"/>
          <w:lang w:val="bg-BG"/>
        </w:rPr>
        <w:t>, про</w:t>
      </w:r>
      <w:r w:rsidRPr="00610B1B">
        <w:rPr>
          <w:rFonts w:ascii="Times New Roman" w:eastAsia="Times New Roman" w:hAnsi="Times New Roman" w:cs="Times New Roman"/>
          <w:color w:val="000000" w:themeColor="text1"/>
          <w:sz w:val="24"/>
          <w:szCs w:val="24"/>
          <w:lang w:val="bg-BG"/>
        </w:rPr>
        <w:t>странството, собственост на Главна дирекция „Гранична полиция</w:t>
      </w:r>
      <w:bookmarkStart w:id="407" w:name="_Hlk46584559"/>
      <w:r w:rsidR="009373EC" w:rsidRPr="00610B1B">
        <w:rPr>
          <w:rFonts w:ascii="Times New Roman" w:eastAsia="Times New Roman" w:hAnsi="Times New Roman" w:cs="Times New Roman"/>
          <w:color w:val="000000" w:themeColor="text1"/>
          <w:sz w:val="24"/>
          <w:szCs w:val="24"/>
          <w:lang w:val="bg-BG"/>
        </w:rPr>
        <w:t>“</w:t>
      </w:r>
      <w:r w:rsidR="009373EC" w:rsidRPr="00610B1B">
        <w:rPr>
          <w:rFonts w:ascii="Times New Roman" w:hAnsi="Times New Roman" w:cs="Times New Roman"/>
          <w:color w:val="000000" w:themeColor="text1"/>
          <w:sz w:val="24"/>
          <w:szCs w:val="24"/>
          <w:lang w:val="bg-BG"/>
        </w:rPr>
        <w:t xml:space="preserve"> в източната част на полуострова, където не са проведени археологически </w:t>
      </w:r>
      <w:r w:rsidR="00461059" w:rsidRPr="00610B1B">
        <w:rPr>
          <w:rFonts w:ascii="Times New Roman" w:hAnsi="Times New Roman" w:cs="Times New Roman"/>
          <w:color w:val="000000" w:themeColor="text1"/>
          <w:sz w:val="24"/>
          <w:szCs w:val="24"/>
          <w:lang w:val="bg-BG"/>
        </w:rPr>
        <w:t>проучвания</w:t>
      </w:r>
      <w:r w:rsidR="009373EC" w:rsidRPr="00610B1B">
        <w:rPr>
          <w:rFonts w:ascii="Times New Roman" w:hAnsi="Times New Roman" w:cs="Times New Roman"/>
          <w:color w:val="000000" w:themeColor="text1"/>
          <w:sz w:val="24"/>
          <w:szCs w:val="24"/>
          <w:lang w:val="bg-BG"/>
        </w:rPr>
        <w:t xml:space="preserve">. Част от тази зона е свлечена в морето и е с потенциал за експониране и развитие на подводен туризъм. </w:t>
      </w:r>
      <w:bookmarkEnd w:id="407"/>
    </w:p>
    <w:p w14:paraId="60638A47" w14:textId="2AC3C1E7" w:rsidR="00A220E8"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
          <w:bCs/>
          <w:sz w:val="24"/>
          <w:szCs w:val="24"/>
          <w:lang w:val="bg-BG"/>
        </w:rPr>
        <w:t>Откритите под вода структури</w:t>
      </w:r>
      <w:r w:rsidRPr="00610B1B">
        <w:rPr>
          <w:rFonts w:ascii="Times New Roman" w:eastAsia="Times New Roman" w:hAnsi="Times New Roman" w:cs="Times New Roman"/>
          <w:sz w:val="24"/>
          <w:szCs w:val="24"/>
          <w:lang w:val="bg-BG"/>
        </w:rPr>
        <w:t xml:space="preserve">, в повечето случаи са </w:t>
      </w:r>
      <w:r w:rsidR="00461059" w:rsidRPr="00610B1B">
        <w:rPr>
          <w:rFonts w:ascii="Times New Roman" w:eastAsia="Times New Roman" w:hAnsi="Times New Roman" w:cs="Times New Roman"/>
          <w:sz w:val="24"/>
          <w:szCs w:val="24"/>
          <w:lang w:val="bg-BG"/>
        </w:rPr>
        <w:t>интерпретирани</w:t>
      </w:r>
      <w:r w:rsidRPr="00610B1B">
        <w:rPr>
          <w:rFonts w:ascii="Times New Roman" w:eastAsia="Times New Roman" w:hAnsi="Times New Roman" w:cs="Times New Roman"/>
          <w:sz w:val="24"/>
          <w:szCs w:val="24"/>
          <w:lang w:val="bg-BG"/>
        </w:rPr>
        <w:t xml:space="preserve"> като градежи, които първоначално са били на сушата, а след това</w:t>
      </w:r>
      <w:r w:rsidR="00C6211B"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под въздействието на различни </w:t>
      </w:r>
      <w:r w:rsidRPr="00610B1B">
        <w:rPr>
          <w:rFonts w:ascii="Times New Roman" w:eastAsia="Times New Roman" w:hAnsi="Times New Roman" w:cs="Times New Roman"/>
          <w:sz w:val="24"/>
          <w:szCs w:val="24"/>
          <w:lang w:val="bg-BG"/>
        </w:rPr>
        <w:lastRenderedPageBreak/>
        <w:t>фактори</w:t>
      </w:r>
      <w:r w:rsidR="00C6211B"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въздействащи върху околната среда</w:t>
      </w:r>
      <w:r w:rsidR="00C6211B"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са се оказали под днешното морско ниво.</w:t>
      </w:r>
      <w:r w:rsidR="00A220E8"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Подводните проучвания в района на Несебър започват през 1960 г</w:t>
      </w:r>
      <w:r w:rsidR="00C57F9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като до края на </w:t>
      </w:r>
      <w:r w:rsidR="00C57F93" w:rsidRPr="00610B1B">
        <w:rPr>
          <w:rFonts w:ascii="Times New Roman" w:eastAsia="Times New Roman" w:hAnsi="Times New Roman" w:cs="Times New Roman"/>
          <w:sz w:val="24"/>
          <w:szCs w:val="24"/>
          <w:lang w:val="bg-BG"/>
        </w:rPr>
        <w:t>ХХ</w:t>
      </w:r>
      <w:r w:rsidRPr="00610B1B">
        <w:rPr>
          <w:rFonts w:ascii="Times New Roman" w:eastAsia="Times New Roman" w:hAnsi="Times New Roman" w:cs="Times New Roman"/>
          <w:sz w:val="24"/>
          <w:szCs w:val="24"/>
          <w:lang w:val="bg-BG"/>
        </w:rPr>
        <w:t xml:space="preserve"> век се провеждат 15 подводни</w:t>
      </w:r>
      <w:r w:rsidR="004530E1" w:rsidRPr="00610B1B">
        <w:rPr>
          <w:rFonts w:ascii="Times New Roman" w:eastAsia="Times New Roman" w:hAnsi="Times New Roman" w:cs="Times New Roman"/>
          <w:sz w:val="24"/>
          <w:szCs w:val="24"/>
          <w:lang w:val="bg-BG"/>
        </w:rPr>
        <w:t xml:space="preserve"> археологически експедиции. </w:t>
      </w:r>
    </w:p>
    <w:p w14:paraId="2450F7F2" w14:textId="65BCAD91" w:rsidR="00442579" w:rsidRPr="00610B1B" w:rsidRDefault="004530E1"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sz w:val="24"/>
          <w:szCs w:val="24"/>
          <w:lang w:val="bg-BG"/>
        </w:rPr>
        <w:t>Месе</w:t>
      </w:r>
      <w:r w:rsidR="00442579" w:rsidRPr="00610B1B">
        <w:rPr>
          <w:rFonts w:ascii="Times New Roman" w:eastAsia="Times New Roman" w:hAnsi="Times New Roman" w:cs="Times New Roman"/>
          <w:sz w:val="24"/>
          <w:szCs w:val="24"/>
          <w:lang w:val="bg-BG"/>
        </w:rPr>
        <w:t>мбрия е загубила около 1/3 от укрепената си територия вследствие на покачването на морско</w:t>
      </w:r>
      <w:r w:rsidR="00C6211B" w:rsidRPr="00610B1B">
        <w:rPr>
          <w:rFonts w:ascii="Times New Roman" w:eastAsia="Times New Roman" w:hAnsi="Times New Roman" w:cs="Times New Roman"/>
          <w:sz w:val="24"/>
          <w:szCs w:val="24"/>
          <w:lang w:val="bg-BG"/>
        </w:rPr>
        <w:t>то</w:t>
      </w:r>
      <w:r w:rsidR="00442579" w:rsidRPr="00610B1B">
        <w:rPr>
          <w:rFonts w:ascii="Times New Roman" w:eastAsia="Times New Roman" w:hAnsi="Times New Roman" w:cs="Times New Roman"/>
          <w:sz w:val="24"/>
          <w:szCs w:val="24"/>
          <w:lang w:val="bg-BG"/>
        </w:rPr>
        <w:t xml:space="preserve"> ниво, потъването на сушата, ерозията и абразията. </w:t>
      </w:r>
      <w:r w:rsidR="00C6211B" w:rsidRPr="00610B1B">
        <w:rPr>
          <w:rFonts w:ascii="Times New Roman" w:eastAsia="Times New Roman" w:hAnsi="Times New Roman" w:cs="Times New Roman"/>
          <w:sz w:val="24"/>
          <w:szCs w:val="24"/>
          <w:lang w:val="bg-BG"/>
        </w:rPr>
        <w:t xml:space="preserve">В </w:t>
      </w:r>
      <w:r w:rsidR="00442579" w:rsidRPr="00610B1B">
        <w:rPr>
          <w:rFonts w:ascii="Times New Roman" w:eastAsia="Times New Roman" w:hAnsi="Times New Roman" w:cs="Times New Roman"/>
          <w:sz w:val="24"/>
          <w:szCs w:val="24"/>
          <w:lang w:val="bg-BG"/>
        </w:rPr>
        <w:t>различни сектори от акваторията на полуострова са открити руини от крепостни стени, кули, стълбища и артефакти от предримската епоха до Възраждането. Структурите са открити на бр</w:t>
      </w:r>
      <w:r w:rsidR="007E11E8" w:rsidRPr="00610B1B">
        <w:rPr>
          <w:rFonts w:ascii="Times New Roman" w:eastAsia="Times New Roman" w:hAnsi="Times New Roman" w:cs="Times New Roman"/>
          <w:sz w:val="24"/>
          <w:szCs w:val="24"/>
          <w:lang w:val="bg-BG"/>
        </w:rPr>
        <w:t>е</w:t>
      </w:r>
      <w:r w:rsidR="00442579" w:rsidRPr="00610B1B">
        <w:rPr>
          <w:rFonts w:ascii="Times New Roman" w:eastAsia="Times New Roman" w:hAnsi="Times New Roman" w:cs="Times New Roman"/>
          <w:sz w:val="24"/>
          <w:szCs w:val="24"/>
          <w:lang w:val="bg-BG"/>
        </w:rPr>
        <w:t>г</w:t>
      </w:r>
      <w:r w:rsidR="007E11E8" w:rsidRPr="00610B1B">
        <w:rPr>
          <w:rFonts w:ascii="Times New Roman" w:eastAsia="Times New Roman" w:hAnsi="Times New Roman" w:cs="Times New Roman"/>
          <w:sz w:val="24"/>
          <w:szCs w:val="24"/>
          <w:lang w:val="bg-BG"/>
        </w:rPr>
        <w:t>а</w:t>
      </w:r>
      <w:r w:rsidR="00442579" w:rsidRPr="00610B1B">
        <w:rPr>
          <w:rFonts w:ascii="Times New Roman" w:eastAsia="Times New Roman" w:hAnsi="Times New Roman" w:cs="Times New Roman"/>
          <w:sz w:val="24"/>
          <w:szCs w:val="24"/>
          <w:lang w:val="bg-BG"/>
        </w:rPr>
        <w:t xml:space="preserve"> (в прибойната зона) и на дълбочини до 2–3 и 5–6 метра. По цялото северно протежение на Несебърския полуостров съществуват участъци от крепостни стени, които следват бреговата линия на дълбочина до 1,5 </w:t>
      </w:r>
      <w:r w:rsidR="00F46876" w:rsidRPr="00610B1B">
        <w:rPr>
          <w:rFonts w:ascii="Times New Roman" w:eastAsia="Times New Roman" w:hAnsi="Times New Roman" w:cs="Times New Roman"/>
          <w:sz w:val="24"/>
          <w:szCs w:val="24"/>
          <w:lang w:val="bg-BG"/>
        </w:rPr>
        <w:t>m</w:t>
      </w:r>
      <w:r w:rsidR="00442579" w:rsidRPr="00610B1B">
        <w:rPr>
          <w:rFonts w:ascii="Times New Roman" w:eastAsia="Times New Roman" w:hAnsi="Times New Roman" w:cs="Times New Roman"/>
          <w:sz w:val="24"/>
          <w:szCs w:val="24"/>
          <w:lang w:val="bg-BG"/>
        </w:rPr>
        <w:t xml:space="preserve">. Северната крепостна стена започва северно от западната порта на града. На изток е открита под водата, на разстояние до около 40 </w:t>
      </w:r>
      <w:r w:rsidR="00F46876" w:rsidRPr="00610B1B">
        <w:rPr>
          <w:rFonts w:ascii="Times New Roman" w:eastAsia="Times New Roman" w:hAnsi="Times New Roman" w:cs="Times New Roman"/>
          <w:sz w:val="24"/>
          <w:szCs w:val="24"/>
          <w:lang w:val="bg-BG"/>
        </w:rPr>
        <w:t>m</w:t>
      </w:r>
      <w:r w:rsidR="00442579" w:rsidRPr="00610B1B">
        <w:rPr>
          <w:rFonts w:ascii="Times New Roman" w:eastAsia="Times New Roman" w:hAnsi="Times New Roman" w:cs="Times New Roman"/>
          <w:sz w:val="24"/>
          <w:szCs w:val="24"/>
          <w:lang w:val="bg-BG"/>
        </w:rPr>
        <w:t xml:space="preserve"> от брега. В западния край на северната стена е регистрирана стена с направление север-юг, проследена до 80 </w:t>
      </w:r>
      <w:r w:rsidR="00F46876" w:rsidRPr="00610B1B">
        <w:rPr>
          <w:rFonts w:ascii="Times New Roman" w:eastAsia="Times New Roman" w:hAnsi="Times New Roman" w:cs="Times New Roman"/>
          <w:sz w:val="24"/>
          <w:szCs w:val="24"/>
          <w:lang w:val="bg-BG"/>
        </w:rPr>
        <w:t>m</w:t>
      </w:r>
      <w:r w:rsidR="00442579" w:rsidRPr="00610B1B">
        <w:rPr>
          <w:rFonts w:ascii="Times New Roman" w:eastAsia="Times New Roman" w:hAnsi="Times New Roman" w:cs="Times New Roman"/>
          <w:sz w:val="24"/>
          <w:szCs w:val="24"/>
          <w:lang w:val="bg-BG"/>
        </w:rPr>
        <w:t xml:space="preserve"> в северния залив и на дълбочина до 5 </w:t>
      </w:r>
      <w:r w:rsidR="00F46876" w:rsidRPr="00610B1B">
        <w:rPr>
          <w:rFonts w:ascii="Times New Roman" w:eastAsia="Times New Roman" w:hAnsi="Times New Roman" w:cs="Times New Roman"/>
          <w:sz w:val="24"/>
          <w:szCs w:val="24"/>
          <w:lang w:val="bg-BG"/>
        </w:rPr>
        <w:t>m</w:t>
      </w:r>
      <w:r w:rsidR="00442579" w:rsidRPr="00610B1B">
        <w:rPr>
          <w:rFonts w:ascii="Times New Roman" w:eastAsia="Times New Roman" w:hAnsi="Times New Roman" w:cs="Times New Roman"/>
          <w:sz w:val="24"/>
          <w:szCs w:val="24"/>
          <w:lang w:val="bg-BG"/>
        </w:rPr>
        <w:t xml:space="preserve">. Източно и югоизточно от Несебърския полуостров са установени участъци от крепостни стени, кули и бастиони. </w:t>
      </w:r>
    </w:p>
    <w:p w14:paraId="5144CFB0" w14:textId="2B9B988E" w:rsidR="00442579" w:rsidRPr="00610B1B" w:rsidRDefault="00A220E8" w:rsidP="00D32D6A">
      <w:pPr>
        <w:shd w:val="clear" w:color="auto" w:fill="FFFFFF"/>
        <w:spacing w:after="120"/>
        <w:ind w:right="-153"/>
        <w:jc w:val="both"/>
        <w:rPr>
          <w:rFonts w:ascii="Times New Roman" w:eastAsia="Times New Roman" w:hAnsi="Times New Roman" w:cs="Times New Roman"/>
          <w:i/>
          <w:sz w:val="24"/>
          <w:szCs w:val="24"/>
          <w:lang w:val="bg-BG"/>
        </w:rPr>
      </w:pPr>
      <w:r w:rsidRPr="00610B1B">
        <w:rPr>
          <w:rFonts w:ascii="Times New Roman" w:eastAsia="Times New Roman" w:hAnsi="Times New Roman" w:cs="Times New Roman"/>
          <w:sz w:val="24"/>
          <w:szCs w:val="24"/>
          <w:lang w:val="bg-BG"/>
        </w:rPr>
        <w:t xml:space="preserve">Бреговата </w:t>
      </w:r>
      <w:r w:rsidR="00442579" w:rsidRPr="00610B1B">
        <w:rPr>
          <w:rFonts w:ascii="Times New Roman" w:eastAsia="Times New Roman" w:hAnsi="Times New Roman" w:cs="Times New Roman"/>
          <w:sz w:val="24"/>
          <w:szCs w:val="24"/>
          <w:lang w:val="bg-BG"/>
        </w:rPr>
        <w:t xml:space="preserve">линия на </w:t>
      </w:r>
      <w:r w:rsidR="007E11E8" w:rsidRPr="00610B1B">
        <w:rPr>
          <w:rFonts w:ascii="Times New Roman" w:eastAsia="Times New Roman" w:hAnsi="Times New Roman" w:cs="Times New Roman"/>
          <w:sz w:val="24"/>
          <w:szCs w:val="24"/>
          <w:lang w:val="bg-BG"/>
        </w:rPr>
        <w:t xml:space="preserve">Несебърския </w:t>
      </w:r>
      <w:r w:rsidR="00442579" w:rsidRPr="00610B1B">
        <w:rPr>
          <w:rFonts w:ascii="Times New Roman" w:eastAsia="Times New Roman" w:hAnsi="Times New Roman" w:cs="Times New Roman"/>
          <w:sz w:val="24"/>
          <w:szCs w:val="24"/>
          <w:lang w:val="bg-BG"/>
        </w:rPr>
        <w:t xml:space="preserve">полуостров е променена значително </w:t>
      </w:r>
      <w:r w:rsidRPr="00610B1B">
        <w:rPr>
          <w:rFonts w:ascii="Times New Roman" w:eastAsia="Times New Roman" w:hAnsi="Times New Roman" w:cs="Times New Roman"/>
          <w:sz w:val="24"/>
          <w:szCs w:val="24"/>
          <w:lang w:val="bg-BG"/>
        </w:rPr>
        <w:t>при</w:t>
      </w:r>
      <w:r w:rsidR="00442579" w:rsidRPr="00610B1B">
        <w:rPr>
          <w:rFonts w:ascii="Times New Roman" w:eastAsia="Times New Roman" w:hAnsi="Times New Roman" w:cs="Times New Roman"/>
          <w:sz w:val="24"/>
          <w:szCs w:val="24"/>
          <w:lang w:val="bg-BG"/>
        </w:rPr>
        <w:t xml:space="preserve"> изграждането на брегоукрепителни съоръжения във втората половина на </w:t>
      </w:r>
      <w:r w:rsidR="0023542D" w:rsidRPr="00610B1B">
        <w:rPr>
          <w:rFonts w:ascii="Times New Roman" w:eastAsia="Times New Roman" w:hAnsi="Times New Roman" w:cs="Times New Roman"/>
          <w:sz w:val="24"/>
          <w:szCs w:val="24"/>
          <w:lang w:val="bg-BG"/>
        </w:rPr>
        <w:t>19</w:t>
      </w:r>
      <w:r w:rsidR="00442579" w:rsidRPr="00610B1B">
        <w:rPr>
          <w:rFonts w:ascii="Times New Roman" w:eastAsia="Times New Roman" w:hAnsi="Times New Roman" w:cs="Times New Roman"/>
          <w:sz w:val="24"/>
          <w:szCs w:val="24"/>
          <w:lang w:val="bg-BG"/>
        </w:rPr>
        <w:t>80-те години. При тези мероприятия по-голямата част от крепостните стени, които са били изследвани под вода до 1984 от северната и от източната страна на полуострова, са засипани и в момента са под насипи</w:t>
      </w:r>
      <w:r w:rsidRPr="00610B1B">
        <w:rPr>
          <w:rFonts w:ascii="Times New Roman" w:eastAsia="Times New Roman" w:hAnsi="Times New Roman" w:cs="Times New Roman"/>
          <w:sz w:val="24"/>
          <w:szCs w:val="24"/>
          <w:lang w:val="bg-BG"/>
        </w:rPr>
        <w:t>те</w:t>
      </w:r>
      <w:r w:rsidR="00442579" w:rsidRPr="00610B1B">
        <w:rPr>
          <w:rFonts w:ascii="Times New Roman" w:eastAsia="Times New Roman" w:hAnsi="Times New Roman" w:cs="Times New Roman"/>
          <w:sz w:val="24"/>
          <w:szCs w:val="24"/>
          <w:lang w:val="bg-BG"/>
        </w:rPr>
        <w:t>, крайбрежната алея и северния паркинг</w:t>
      </w:r>
      <w:r w:rsidR="00442579" w:rsidRPr="00610B1B">
        <w:rPr>
          <w:rFonts w:ascii="Times New Roman" w:eastAsia="Times New Roman" w:hAnsi="Times New Roman" w:cs="Times New Roman"/>
          <w:i/>
          <w:sz w:val="24"/>
          <w:szCs w:val="24"/>
          <w:lang w:val="bg-BG"/>
        </w:rPr>
        <w:t xml:space="preserve">. </w:t>
      </w:r>
    </w:p>
    <w:p w14:paraId="57E0656F" w14:textId="68E4077F"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През 2015 г., във връзка с проект на </w:t>
      </w:r>
      <w:r w:rsidR="007E11E8" w:rsidRPr="00610B1B">
        <w:rPr>
          <w:rFonts w:ascii="Times New Roman" w:eastAsia="Times New Roman" w:hAnsi="Times New Roman" w:cs="Times New Roman"/>
          <w:sz w:val="24"/>
          <w:szCs w:val="24"/>
          <w:lang w:val="bg-BG"/>
        </w:rPr>
        <w:t>общината</w:t>
      </w:r>
      <w:r w:rsidRPr="00610B1B">
        <w:rPr>
          <w:rFonts w:ascii="Times New Roman" w:eastAsia="Times New Roman" w:hAnsi="Times New Roman" w:cs="Times New Roman"/>
          <w:sz w:val="24"/>
          <w:szCs w:val="24"/>
          <w:lang w:val="bg-BG"/>
        </w:rPr>
        <w:t xml:space="preserve"> за преустройство на Северното пристанище, са възобновени </w:t>
      </w:r>
      <w:r w:rsidR="00A220E8" w:rsidRPr="00610B1B">
        <w:rPr>
          <w:rFonts w:ascii="Times New Roman" w:eastAsia="Times New Roman" w:hAnsi="Times New Roman" w:cs="Times New Roman"/>
          <w:sz w:val="24"/>
          <w:szCs w:val="24"/>
          <w:lang w:val="bg-BG"/>
        </w:rPr>
        <w:t xml:space="preserve">подводните </w:t>
      </w:r>
      <w:r w:rsidRPr="00610B1B">
        <w:rPr>
          <w:rFonts w:ascii="Times New Roman" w:eastAsia="Times New Roman" w:hAnsi="Times New Roman" w:cs="Times New Roman"/>
          <w:sz w:val="24"/>
          <w:szCs w:val="24"/>
          <w:lang w:val="bg-BG"/>
        </w:rPr>
        <w:t xml:space="preserve">археологически проучвания. Проведено е спасително геофизично проучване и археологически разкопки в акваторията на пристанище </w:t>
      </w:r>
      <w:r w:rsidR="00A220E8"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Северна буна</w:t>
      </w:r>
      <w:r w:rsidR="00F46876"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w:t>
      </w:r>
      <w:r w:rsidR="007E11E8" w:rsidRPr="00610B1B">
        <w:rPr>
          <w:rFonts w:ascii="Times New Roman" w:eastAsia="Times New Roman" w:hAnsi="Times New Roman" w:cs="Times New Roman"/>
          <w:sz w:val="24"/>
          <w:szCs w:val="24"/>
          <w:lang w:val="bg-BG"/>
        </w:rPr>
        <w:t>и</w:t>
      </w:r>
      <w:r w:rsidRPr="00610B1B">
        <w:rPr>
          <w:rFonts w:ascii="Times New Roman" w:eastAsia="Times New Roman" w:hAnsi="Times New Roman" w:cs="Times New Roman"/>
          <w:sz w:val="24"/>
          <w:szCs w:val="24"/>
          <w:lang w:val="bg-BG"/>
        </w:rPr>
        <w:t xml:space="preserve"> е проследена линейна структура от големи, натрупани един върху друг каменни блокове. Дължината на съоръжението е около 40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като достига около 3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дълбочина. Каменното съоръжение навярно е вълнолом или морска преграда от най-ранните етапи на строителство в Несебър. През 2017 г</w:t>
      </w:r>
      <w:r w:rsidR="00A220E8"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успоредно на описаната структура, на около 5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западно от нея, са </w:t>
      </w:r>
      <w:r w:rsidR="00A220E8" w:rsidRPr="00610B1B">
        <w:rPr>
          <w:rFonts w:ascii="Times New Roman" w:eastAsia="Times New Roman" w:hAnsi="Times New Roman" w:cs="Times New Roman"/>
          <w:sz w:val="24"/>
          <w:szCs w:val="24"/>
          <w:lang w:val="bg-BG"/>
        </w:rPr>
        <w:t>открити</w:t>
      </w:r>
      <w:r w:rsidRPr="00610B1B">
        <w:rPr>
          <w:rFonts w:ascii="Times New Roman" w:eastAsia="Times New Roman" w:hAnsi="Times New Roman" w:cs="Times New Roman"/>
          <w:sz w:val="24"/>
          <w:szCs w:val="24"/>
          <w:lang w:val="bg-BG"/>
        </w:rPr>
        <w:t xml:space="preserve"> няколко сегмента от крепостна стена, която е успоредна на линията на вълнолома </w:t>
      </w:r>
      <w:r w:rsidR="006011C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проследима е в дължина около 20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и се свързва със з</w:t>
      </w:r>
      <w:r w:rsidR="004530E1" w:rsidRPr="00610B1B">
        <w:rPr>
          <w:rFonts w:ascii="Times New Roman" w:eastAsia="Times New Roman" w:hAnsi="Times New Roman" w:cs="Times New Roman"/>
          <w:sz w:val="24"/>
          <w:szCs w:val="24"/>
          <w:lang w:val="bg-BG"/>
        </w:rPr>
        <w:t>ападната крепостна стена на Месе</w:t>
      </w:r>
      <w:r w:rsidRPr="00610B1B">
        <w:rPr>
          <w:rFonts w:ascii="Times New Roman" w:eastAsia="Times New Roman" w:hAnsi="Times New Roman" w:cs="Times New Roman"/>
          <w:sz w:val="24"/>
          <w:szCs w:val="24"/>
          <w:lang w:val="bg-BG"/>
        </w:rPr>
        <w:t>мбрия.</w:t>
      </w:r>
      <w:r w:rsidR="00D66FE0" w:rsidRPr="00610B1B">
        <w:rPr>
          <w:rFonts w:ascii="Times New Roman" w:eastAsia="Times New Roman" w:hAnsi="Times New Roman" w:cs="Times New Roman"/>
          <w:sz w:val="24"/>
          <w:szCs w:val="24"/>
          <w:lang w:val="bg-BG"/>
        </w:rPr>
        <w:t xml:space="preserve"> </w:t>
      </w:r>
    </w:p>
    <w:p w14:paraId="579BAAA8" w14:textId="4F7F046C" w:rsidR="007E11E8"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Редовните подводни археологически проучвания в акваторията на Несебър от 2017 г. досега, освен към зоната на Северното пристанище, са насочени и към източния край на полуострова и южния му бряг, където са регистрирани и документирани археологически структури: кула и крепостен зид на дълбочина до 2.5</w:t>
      </w:r>
      <w:r w:rsidR="00F46876" w:rsidRPr="00610B1B">
        <w:rPr>
          <w:rFonts w:ascii="Times New Roman" w:eastAsia="Times New Roman" w:hAnsi="Times New Roman" w:cs="Times New Roman"/>
          <w:sz w:val="24"/>
          <w:szCs w:val="24"/>
          <w:lang w:val="bg-BG"/>
        </w:rPr>
        <w:t xml:space="preserve"> m</w:t>
      </w:r>
      <w:r w:rsidR="007E11E8" w:rsidRPr="00610B1B">
        <w:rPr>
          <w:rFonts w:ascii="Times New Roman" w:eastAsia="Times New Roman" w:hAnsi="Times New Roman" w:cs="Times New Roman"/>
          <w:sz w:val="24"/>
          <w:szCs w:val="24"/>
          <w:lang w:val="bg-BG"/>
        </w:rPr>
        <w:t xml:space="preserve"> и</w:t>
      </w:r>
      <w:r w:rsidRPr="00610B1B">
        <w:rPr>
          <w:rFonts w:ascii="Times New Roman" w:eastAsia="Times New Roman" w:hAnsi="Times New Roman" w:cs="Times New Roman"/>
          <w:sz w:val="24"/>
          <w:szCs w:val="24"/>
          <w:lang w:val="bg-BG"/>
        </w:rPr>
        <w:t xml:space="preserve"> </w:t>
      </w:r>
      <w:r w:rsidR="007E11E8" w:rsidRPr="00610B1B">
        <w:rPr>
          <w:rFonts w:ascii="Times New Roman" w:eastAsia="Times New Roman" w:hAnsi="Times New Roman" w:cs="Times New Roman"/>
          <w:sz w:val="24"/>
          <w:szCs w:val="24"/>
          <w:lang w:val="bg-BG"/>
        </w:rPr>
        <w:t xml:space="preserve">крепостен </w:t>
      </w:r>
      <w:r w:rsidRPr="00610B1B">
        <w:rPr>
          <w:rFonts w:ascii="Times New Roman" w:eastAsia="Times New Roman" w:hAnsi="Times New Roman" w:cs="Times New Roman"/>
          <w:sz w:val="24"/>
          <w:szCs w:val="24"/>
          <w:lang w:val="bg-BG"/>
        </w:rPr>
        <w:t>зид от квадри, дълъг 35</w:t>
      </w:r>
      <w:r w:rsidR="00F46876" w:rsidRPr="00610B1B">
        <w:rPr>
          <w:rFonts w:ascii="Times New Roman" w:eastAsia="Times New Roman" w:hAnsi="Times New Roman" w:cs="Times New Roman"/>
          <w:sz w:val="24"/>
          <w:szCs w:val="24"/>
          <w:lang w:val="bg-BG"/>
        </w:rPr>
        <w:t xml:space="preserve"> m</w:t>
      </w:r>
      <w:r w:rsidRPr="00610B1B">
        <w:rPr>
          <w:rFonts w:ascii="Times New Roman" w:eastAsia="Times New Roman" w:hAnsi="Times New Roman" w:cs="Times New Roman"/>
          <w:sz w:val="24"/>
          <w:szCs w:val="24"/>
          <w:lang w:val="bg-BG"/>
        </w:rPr>
        <w:t xml:space="preserve"> и на дълбочина до 4,7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Отстоянието от</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брега е 130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а посоката му е югоизток-северозапад.</w:t>
      </w:r>
      <w:r w:rsidR="007E11E8"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През 2017–2019 г. зидът е документиран фотографски, графично и фотограметрично. През 2019 </w:t>
      </w:r>
      <w:r w:rsidR="007E11E8" w:rsidRPr="00610B1B">
        <w:rPr>
          <w:rFonts w:ascii="Times New Roman" w:eastAsia="Times New Roman" w:hAnsi="Times New Roman" w:cs="Times New Roman"/>
          <w:sz w:val="24"/>
          <w:szCs w:val="24"/>
          <w:lang w:val="bg-BG"/>
        </w:rPr>
        <w:t xml:space="preserve">г. </w:t>
      </w:r>
      <w:r w:rsidRPr="00610B1B">
        <w:rPr>
          <w:rFonts w:ascii="Times New Roman" w:eastAsia="Times New Roman" w:hAnsi="Times New Roman" w:cs="Times New Roman"/>
          <w:sz w:val="24"/>
          <w:szCs w:val="24"/>
          <w:lang w:val="bg-BG"/>
        </w:rPr>
        <w:t>е извършен и археологически сондаж в основата му, където е констатирана скара от масивни дървени греди</w:t>
      </w:r>
      <w:r w:rsidR="00F46876" w:rsidRPr="00610B1B">
        <w:rPr>
          <w:rFonts w:ascii="Times New Roman" w:eastAsia="Times New Roman" w:hAnsi="Times New Roman" w:cs="Times New Roman"/>
          <w:sz w:val="24"/>
          <w:szCs w:val="24"/>
          <w:lang w:val="bg-BG"/>
        </w:rPr>
        <w:t>, п</w:t>
      </w:r>
      <w:r w:rsidRPr="00610B1B">
        <w:rPr>
          <w:rFonts w:ascii="Times New Roman" w:eastAsia="Times New Roman" w:hAnsi="Times New Roman" w:cs="Times New Roman"/>
          <w:sz w:val="24"/>
          <w:szCs w:val="24"/>
          <w:lang w:val="bg-BG"/>
        </w:rPr>
        <w:t>равоъгълна кула и части от стена</w:t>
      </w:r>
      <w:r w:rsidR="00A220E8"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източно и западно от нея на дълбочина ок</w:t>
      </w:r>
      <w:r w:rsidR="00F46876" w:rsidRPr="00610B1B">
        <w:rPr>
          <w:rFonts w:ascii="Times New Roman" w:eastAsia="Times New Roman" w:hAnsi="Times New Roman" w:cs="Times New Roman"/>
          <w:sz w:val="24"/>
          <w:szCs w:val="24"/>
          <w:lang w:val="bg-BG"/>
        </w:rPr>
        <w:t>оло</w:t>
      </w:r>
      <w:r w:rsidRPr="00610B1B">
        <w:rPr>
          <w:rFonts w:ascii="Times New Roman" w:eastAsia="Times New Roman" w:hAnsi="Times New Roman" w:cs="Times New Roman"/>
          <w:sz w:val="24"/>
          <w:szCs w:val="24"/>
          <w:lang w:val="bg-BG"/>
        </w:rPr>
        <w:t xml:space="preserve"> 3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Кулата е с размери 8х8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изградена от масивни блокове, с дълбочина при основата на блоковете около 3 </w:t>
      </w:r>
      <w:r w:rsidR="00F46876" w:rsidRPr="00610B1B">
        <w:rPr>
          <w:rFonts w:ascii="Times New Roman" w:eastAsia="Times New Roman" w:hAnsi="Times New Roman" w:cs="Times New Roman"/>
          <w:sz w:val="24"/>
          <w:szCs w:val="24"/>
          <w:lang w:val="bg-BG"/>
        </w:rPr>
        <w:t>m.</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Ранновизантийски или средновековни фрагменти от зидове </w:t>
      </w:r>
      <w:r w:rsidR="00F46876" w:rsidRPr="00610B1B">
        <w:rPr>
          <w:rFonts w:ascii="Times New Roman" w:eastAsia="Times New Roman" w:hAnsi="Times New Roman" w:cs="Times New Roman"/>
          <w:sz w:val="24"/>
          <w:szCs w:val="24"/>
          <w:lang w:val="bg-BG"/>
        </w:rPr>
        <w:t xml:space="preserve">са открити </w:t>
      </w:r>
      <w:r w:rsidRPr="00610B1B">
        <w:rPr>
          <w:rFonts w:ascii="Times New Roman" w:eastAsia="Times New Roman" w:hAnsi="Times New Roman" w:cs="Times New Roman"/>
          <w:sz w:val="24"/>
          <w:szCs w:val="24"/>
          <w:lang w:val="bg-BG"/>
        </w:rPr>
        <w:t xml:space="preserve">в залива западно от „Южна буна“. На дълбочина </w:t>
      </w:r>
      <w:r w:rsidR="00F46876" w:rsidRPr="00610B1B">
        <w:rPr>
          <w:rFonts w:ascii="Times New Roman" w:eastAsia="Times New Roman" w:hAnsi="Times New Roman" w:cs="Times New Roman"/>
          <w:sz w:val="24"/>
          <w:szCs w:val="24"/>
          <w:lang w:val="bg-BG"/>
        </w:rPr>
        <w:t>около</w:t>
      </w:r>
      <w:r w:rsidRPr="00610B1B">
        <w:rPr>
          <w:rFonts w:ascii="Times New Roman" w:eastAsia="Times New Roman" w:hAnsi="Times New Roman" w:cs="Times New Roman"/>
          <w:sz w:val="24"/>
          <w:szCs w:val="24"/>
          <w:lang w:val="bg-BG"/>
        </w:rPr>
        <w:t xml:space="preserve"> 2 </w:t>
      </w:r>
      <w:r w:rsidR="00F46876"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са документирани масивни фрагменти от крепостна стена, проследени по дължината на целия залив. Южно от стената, на около </w:t>
      </w:r>
      <w:r w:rsidR="007E11E8" w:rsidRPr="00610B1B">
        <w:rPr>
          <w:rFonts w:ascii="Times New Roman" w:eastAsia="Times New Roman" w:hAnsi="Times New Roman" w:cs="Times New Roman"/>
          <w:sz w:val="24"/>
          <w:szCs w:val="24"/>
          <w:lang w:val="bg-BG"/>
        </w:rPr>
        <w:t>2</w:t>
      </w:r>
      <w:r w:rsidRPr="00610B1B">
        <w:rPr>
          <w:rFonts w:ascii="Times New Roman" w:eastAsia="Times New Roman" w:hAnsi="Times New Roman" w:cs="Times New Roman"/>
          <w:sz w:val="24"/>
          <w:szCs w:val="24"/>
          <w:lang w:val="bg-BG"/>
        </w:rPr>
        <w:t xml:space="preserve"> метра е запазен </w:t>
      </w:r>
      <w:r w:rsidRPr="00610B1B">
        <w:rPr>
          <w:rFonts w:ascii="Times New Roman" w:eastAsia="Times New Roman" w:hAnsi="Times New Roman" w:cs="Times New Roman"/>
          <w:sz w:val="24"/>
          <w:szCs w:val="24"/>
          <w:lang w:val="bg-BG"/>
        </w:rPr>
        <w:lastRenderedPageBreak/>
        <w:t>фрагмент от хоросанова „стена“ с отпечатъци на хоризонтални и вертикални греди, с правоъгълно и кръгло сечение. След провеждане на археологически сондаж през 2019 г. под най-големия фрагмент от стена са констатирани дървени пилоти. Положението им сочи, че структурата е свлечена от брега</w:t>
      </w:r>
      <w:r w:rsidR="00F46876"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Отделни фрагменти от колони и добре обработени квадри</w:t>
      </w:r>
      <w:r w:rsidR="00F46876" w:rsidRPr="00610B1B">
        <w:rPr>
          <w:rFonts w:ascii="Times New Roman" w:eastAsia="Times New Roman" w:hAnsi="Times New Roman" w:cs="Times New Roman"/>
          <w:sz w:val="24"/>
          <w:szCs w:val="24"/>
          <w:lang w:val="bg-BG"/>
        </w:rPr>
        <w:t xml:space="preserve"> са</w:t>
      </w:r>
      <w:r w:rsidRPr="00610B1B">
        <w:rPr>
          <w:rFonts w:ascii="Times New Roman" w:eastAsia="Times New Roman" w:hAnsi="Times New Roman" w:cs="Times New Roman"/>
          <w:sz w:val="24"/>
          <w:szCs w:val="24"/>
          <w:lang w:val="bg-BG"/>
        </w:rPr>
        <w:t xml:space="preserve"> открити в южната акватория на Несебър.</w:t>
      </w:r>
    </w:p>
    <w:p w14:paraId="56D995F3" w14:textId="77777777" w:rsidR="009907CE" w:rsidRPr="00610B1B" w:rsidRDefault="009907CE" w:rsidP="00D32D6A">
      <w:pPr>
        <w:shd w:val="clear" w:color="auto" w:fill="FFFFFF"/>
        <w:spacing w:after="120"/>
        <w:ind w:right="-153"/>
        <w:jc w:val="both"/>
        <w:rPr>
          <w:rFonts w:ascii="Times New Roman" w:eastAsia="Times New Roman" w:hAnsi="Times New Roman" w:cs="Times New Roman"/>
          <w:sz w:val="24"/>
          <w:szCs w:val="24"/>
          <w:lang w:val="bg-BG"/>
        </w:rPr>
      </w:pPr>
    </w:p>
    <w:p w14:paraId="1B591F9E" w14:textId="2F318224" w:rsidR="00442579" w:rsidRPr="00610B1B" w:rsidRDefault="007E11E8" w:rsidP="00D32D6A">
      <w:pPr>
        <w:pStyle w:val="Heading3"/>
        <w:spacing w:before="0" w:line="276" w:lineRule="auto"/>
        <w:ind w:right="-153"/>
        <w:rPr>
          <w:rFonts w:cs="Times New Roman"/>
          <w:color w:val="00B0F0"/>
        </w:rPr>
      </w:pPr>
      <w:bookmarkStart w:id="408" w:name="_Toc83391402"/>
      <w:r w:rsidRPr="00610B1B">
        <w:rPr>
          <w:rFonts w:cs="Times New Roman"/>
        </w:rPr>
        <w:t xml:space="preserve">3.7.2. </w:t>
      </w:r>
      <w:r w:rsidR="00442579" w:rsidRPr="00610B1B">
        <w:rPr>
          <w:rFonts w:cs="Times New Roman"/>
        </w:rPr>
        <w:t xml:space="preserve">НКЦ </w:t>
      </w:r>
      <w:r w:rsidR="00285B77" w:rsidRPr="00610B1B">
        <w:rPr>
          <w:rFonts w:cs="Times New Roman"/>
        </w:rPr>
        <w:t>с категория „национално значение”</w:t>
      </w:r>
      <w:bookmarkEnd w:id="408"/>
    </w:p>
    <w:p w14:paraId="3102AFBF" w14:textId="45412F4D" w:rsidR="00285B77" w:rsidRPr="00610B1B" w:rsidRDefault="00285B77" w:rsidP="00D32D6A">
      <w:pPr>
        <w:pStyle w:val="Heading4"/>
        <w:spacing w:before="0" w:line="276" w:lineRule="auto"/>
        <w:ind w:right="-153"/>
        <w:rPr>
          <w:rFonts w:cs="Times New Roman"/>
        </w:rPr>
      </w:pPr>
      <w:r w:rsidRPr="00610B1B">
        <w:rPr>
          <w:rFonts w:cs="Times New Roman"/>
        </w:rPr>
        <w:t>3.7.2.1. Археологически</w:t>
      </w:r>
      <w:r w:rsidR="00D66FE0" w:rsidRPr="00610B1B">
        <w:rPr>
          <w:rFonts w:cs="Times New Roman"/>
        </w:rPr>
        <w:t xml:space="preserve"> </w:t>
      </w:r>
      <w:r w:rsidRPr="00610B1B">
        <w:rPr>
          <w:rFonts w:cs="Times New Roman"/>
        </w:rPr>
        <w:t xml:space="preserve">обекти </w:t>
      </w:r>
    </w:p>
    <w:p w14:paraId="24961D64" w14:textId="078FCD07"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Шестте групови обекта (резервати и комплекс) - Големият остров в Дуранкулашкото езеро, Яйлата, крепостта Калиакра, Античния</w:t>
      </w:r>
      <w:r w:rsidR="00984D79" w:rsidRPr="00610B1B">
        <w:rPr>
          <w:rFonts w:ascii="Times New Roman" w:eastAsia="Times New Roman" w:hAnsi="Times New Roman" w:cs="Times New Roman"/>
          <w:sz w:val="24"/>
          <w:szCs w:val="24"/>
          <w:lang w:val="bg-BG"/>
        </w:rPr>
        <w:t>т</w:t>
      </w:r>
      <w:r w:rsidRPr="00610B1B">
        <w:rPr>
          <w:rFonts w:ascii="Times New Roman" w:eastAsia="Times New Roman" w:hAnsi="Times New Roman" w:cs="Times New Roman"/>
          <w:sz w:val="24"/>
          <w:szCs w:val="24"/>
          <w:lang w:val="bg-BG"/>
        </w:rPr>
        <w:t xml:space="preserve"> град Одесос, островите </w:t>
      </w:r>
      <w:r w:rsidR="00984D7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Св. Иван</w:t>
      </w:r>
      <w:r w:rsidR="00984D7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и </w:t>
      </w:r>
      <w:r w:rsidR="00984D7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Св. Петър” край Созопол и Античен град Аполония</w:t>
      </w:r>
      <w:r w:rsidR="00285B77"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са разположени на границата между морето и сушата. Това са и част от обектите, които имат свлечени участъци в морето. </w:t>
      </w:r>
    </w:p>
    <w:p w14:paraId="7D052C9C" w14:textId="09FE2E36" w:rsidR="00442579" w:rsidRPr="00610B1B" w:rsidRDefault="00442579" w:rsidP="00D32D6A">
      <w:pPr>
        <w:tabs>
          <w:tab w:val="left" w:pos="180"/>
        </w:tabs>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Археологически резерват „Праисторически, антични и средновековни структури в м. Яйлата</w:t>
      </w:r>
      <w:r w:rsidRPr="00610B1B">
        <w:rPr>
          <w:rFonts w:ascii="Times New Roman" w:eastAsia="Times New Roman" w:hAnsi="Times New Roman" w:cs="Times New Roman"/>
          <w:bCs/>
          <w:sz w:val="24"/>
          <w:szCs w:val="24"/>
          <w:lang w:val="bg-BG"/>
        </w:rPr>
        <w:t>”, общ</w:t>
      </w:r>
      <w:r w:rsidR="00285B77" w:rsidRPr="00610B1B">
        <w:rPr>
          <w:rFonts w:ascii="Times New Roman" w:eastAsia="Times New Roman" w:hAnsi="Times New Roman" w:cs="Times New Roman"/>
          <w:bCs/>
          <w:sz w:val="24"/>
          <w:szCs w:val="24"/>
          <w:lang w:val="bg-BG"/>
        </w:rPr>
        <w:t xml:space="preserve">ина </w:t>
      </w:r>
      <w:r w:rsidRPr="00610B1B">
        <w:rPr>
          <w:rFonts w:ascii="Times New Roman" w:eastAsia="Times New Roman" w:hAnsi="Times New Roman" w:cs="Times New Roman"/>
          <w:bCs/>
          <w:sz w:val="24"/>
          <w:szCs w:val="24"/>
          <w:lang w:val="bg-BG"/>
        </w:rPr>
        <w:t>Каварна</w:t>
      </w:r>
      <w:r w:rsidR="00285B77" w:rsidRPr="00610B1B">
        <w:rPr>
          <w:rFonts w:ascii="Times New Roman" w:eastAsia="Times New Roman" w:hAnsi="Times New Roman" w:cs="Times New Roman"/>
          <w:bCs/>
          <w:sz w:val="24"/>
          <w:szCs w:val="24"/>
          <w:lang w:val="bg-BG"/>
        </w:rPr>
        <w:t xml:space="preserve"> е НКЦ,</w:t>
      </w:r>
      <w:r w:rsidRPr="00610B1B">
        <w:rPr>
          <w:rFonts w:ascii="Times New Roman" w:eastAsia="Times New Roman" w:hAnsi="Times New Roman" w:cs="Times New Roman"/>
          <w:sz w:val="24"/>
          <w:szCs w:val="24"/>
          <w:lang w:val="bg-BG"/>
        </w:rPr>
        <w:t xml:space="preserve"> обявена за археологически резерват </w:t>
      </w:r>
      <w:r w:rsidR="00285B77"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ДВ бр. 14</w:t>
      </w:r>
      <w:r w:rsidR="00984D7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1989</w:t>
      </w:r>
      <w:r w:rsidR="00285B7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r w:rsidR="00285B77"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с определени граници и действащ ОУП на резервата от 2003</w:t>
      </w:r>
      <w:r w:rsidR="00285B7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r w:rsidR="00285B7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Местността Яйлата представлява обширна тераса с размери 1,5 </w:t>
      </w:r>
      <w:r w:rsidR="00285B77" w:rsidRPr="00610B1B">
        <w:rPr>
          <w:rFonts w:ascii="Times New Roman" w:eastAsia="Times New Roman" w:hAnsi="Times New Roman" w:cs="Times New Roman"/>
          <w:sz w:val="24"/>
          <w:szCs w:val="24"/>
          <w:lang w:val="bg-BG"/>
        </w:rPr>
        <w:t>km</w:t>
      </w:r>
      <w:r w:rsidRPr="00610B1B">
        <w:rPr>
          <w:rFonts w:ascii="Times New Roman" w:eastAsia="Times New Roman" w:hAnsi="Times New Roman" w:cs="Times New Roman"/>
          <w:sz w:val="24"/>
          <w:szCs w:val="24"/>
          <w:lang w:val="bg-BG"/>
        </w:rPr>
        <w:t xml:space="preserve"> на 200</w:t>
      </w:r>
      <w:r w:rsidR="00285B77" w:rsidRPr="00610B1B">
        <w:rPr>
          <w:rFonts w:ascii="Times New Roman" w:eastAsia="Times New Roman" w:hAnsi="Times New Roman" w:cs="Times New Roman"/>
          <w:sz w:val="24"/>
          <w:szCs w:val="24"/>
          <w:lang w:val="bg-BG"/>
        </w:rPr>
        <w:t xml:space="preserve"> m</w:t>
      </w:r>
      <w:r w:rsidRPr="00610B1B">
        <w:rPr>
          <w:rFonts w:ascii="Times New Roman" w:eastAsia="Times New Roman" w:hAnsi="Times New Roman" w:cs="Times New Roman"/>
          <w:sz w:val="24"/>
          <w:szCs w:val="24"/>
          <w:lang w:val="bg-BG"/>
        </w:rPr>
        <w:t xml:space="preserve">, разположена на 15 </w:t>
      </w:r>
      <w:r w:rsidR="00285B77"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над морето и отделена с високи 30</w:t>
      </w:r>
      <w:r w:rsidR="00285B77" w:rsidRPr="00610B1B">
        <w:rPr>
          <w:rFonts w:ascii="Times New Roman" w:eastAsia="Times New Roman" w:hAnsi="Times New Roman" w:cs="Times New Roman"/>
          <w:sz w:val="24"/>
          <w:szCs w:val="24"/>
          <w:lang w:val="bg-BG"/>
        </w:rPr>
        <w:t xml:space="preserve"> m</w:t>
      </w:r>
      <w:r w:rsidRPr="00610B1B">
        <w:rPr>
          <w:rFonts w:ascii="Times New Roman" w:eastAsia="Times New Roman" w:hAnsi="Times New Roman" w:cs="Times New Roman"/>
          <w:sz w:val="24"/>
          <w:szCs w:val="24"/>
          <w:lang w:val="bg-BG"/>
        </w:rPr>
        <w:t xml:space="preserve"> скали от Добруджанското плато.</w:t>
      </w:r>
      <w:r w:rsidR="00285B7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През 1980 г. започват системни археологически проучвания, които водят до обявяването на местността за археологически резерват с решение на МС от 1998</w:t>
      </w:r>
      <w:r w:rsidR="0015185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Към момента са проучени крепостната стена на античната крепост и около 1/5 от южната част на територията й; некропола и светилището над Малката Яйла; всички скални жилища, църква, килии, светилища и антични винарни на територията на Голямата Яйла, по и над скалния венец западно от нея</w:t>
      </w:r>
      <w:r w:rsidR="00C57F9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w:t>
      </w:r>
      <w:r w:rsidR="00A67814" w:rsidRPr="00610B1B">
        <w:rPr>
          <w:rFonts w:ascii="Times New Roman" w:eastAsia="Times New Roman" w:hAnsi="Times New Roman" w:cs="Times New Roman"/>
          <w:sz w:val="24"/>
          <w:szCs w:val="24"/>
          <w:lang w:val="bg-BG"/>
        </w:rPr>
        <w:t xml:space="preserve">Проучени са части от </w:t>
      </w:r>
      <w:r w:rsidRPr="00610B1B">
        <w:rPr>
          <w:rFonts w:ascii="Times New Roman" w:eastAsia="Times New Roman" w:hAnsi="Times New Roman" w:cs="Times New Roman"/>
          <w:sz w:val="24"/>
          <w:szCs w:val="24"/>
          <w:lang w:val="bg-BG"/>
        </w:rPr>
        <w:t>южния и северния некропол</w:t>
      </w:r>
      <w:r w:rsidR="00A67814" w:rsidRPr="00610B1B">
        <w:rPr>
          <w:rFonts w:ascii="Times New Roman" w:eastAsia="Times New Roman" w:hAnsi="Times New Roman" w:cs="Times New Roman"/>
          <w:sz w:val="24"/>
          <w:szCs w:val="24"/>
          <w:lang w:val="bg-BG"/>
        </w:rPr>
        <w:t>,</w:t>
      </w:r>
      <w:r w:rsidR="00C57F93" w:rsidRPr="00610B1B">
        <w:rPr>
          <w:rFonts w:ascii="Times New Roman" w:eastAsia="Times New Roman" w:hAnsi="Times New Roman" w:cs="Times New Roman"/>
          <w:sz w:val="24"/>
          <w:szCs w:val="24"/>
          <w:lang w:val="bg-BG"/>
        </w:rPr>
        <w:t xml:space="preserve"> извършени </w:t>
      </w:r>
      <w:r w:rsidR="00A67814" w:rsidRPr="00610B1B">
        <w:rPr>
          <w:rFonts w:ascii="Times New Roman" w:eastAsia="Times New Roman" w:hAnsi="Times New Roman" w:cs="Times New Roman"/>
          <w:sz w:val="24"/>
          <w:szCs w:val="24"/>
          <w:lang w:val="bg-BG"/>
        </w:rPr>
        <w:t xml:space="preserve">са </w:t>
      </w:r>
      <w:r w:rsidR="00C57F93" w:rsidRPr="00610B1B">
        <w:rPr>
          <w:rFonts w:ascii="Times New Roman" w:eastAsia="Times New Roman" w:hAnsi="Times New Roman" w:cs="Times New Roman"/>
          <w:sz w:val="24"/>
          <w:szCs w:val="24"/>
          <w:lang w:val="bg-BG"/>
        </w:rPr>
        <w:t xml:space="preserve">реставрационни дейности за </w:t>
      </w:r>
      <w:r w:rsidRPr="00610B1B">
        <w:rPr>
          <w:rFonts w:ascii="Times New Roman" w:eastAsia="Times New Roman" w:hAnsi="Times New Roman" w:cs="Times New Roman"/>
          <w:sz w:val="24"/>
          <w:szCs w:val="24"/>
          <w:lang w:val="bg-BG"/>
        </w:rPr>
        <w:t>частична реинтеграция и запечатка на крепостната стена</w:t>
      </w:r>
      <w:r w:rsidR="00A67814" w:rsidRPr="00610B1B">
        <w:rPr>
          <w:rFonts w:ascii="Times New Roman" w:eastAsia="Times New Roman" w:hAnsi="Times New Roman" w:cs="Times New Roman"/>
          <w:sz w:val="24"/>
          <w:szCs w:val="24"/>
          <w:lang w:val="bg-BG"/>
        </w:rPr>
        <w:t xml:space="preserve">. Укрепена е и </w:t>
      </w:r>
      <w:r w:rsidRPr="00610B1B">
        <w:rPr>
          <w:rFonts w:ascii="Times New Roman" w:eastAsia="Times New Roman" w:hAnsi="Times New Roman" w:cs="Times New Roman"/>
          <w:sz w:val="24"/>
          <w:szCs w:val="24"/>
          <w:lang w:val="bg-BG"/>
        </w:rPr>
        <w:t>затв</w:t>
      </w:r>
      <w:r w:rsidR="00A67814" w:rsidRPr="00610B1B">
        <w:rPr>
          <w:rFonts w:ascii="Times New Roman" w:eastAsia="Times New Roman" w:hAnsi="Times New Roman" w:cs="Times New Roman"/>
          <w:sz w:val="24"/>
          <w:szCs w:val="24"/>
          <w:lang w:val="bg-BG"/>
        </w:rPr>
        <w:t>о</w:t>
      </w:r>
      <w:r w:rsidRPr="00610B1B">
        <w:rPr>
          <w:rFonts w:ascii="Times New Roman" w:eastAsia="Times New Roman" w:hAnsi="Times New Roman" w:cs="Times New Roman"/>
          <w:sz w:val="24"/>
          <w:szCs w:val="24"/>
          <w:lang w:val="bg-BG"/>
        </w:rPr>
        <w:t>р</w:t>
      </w:r>
      <w:r w:rsidR="00A67814" w:rsidRPr="00610B1B">
        <w:rPr>
          <w:rFonts w:ascii="Times New Roman" w:eastAsia="Times New Roman" w:hAnsi="Times New Roman" w:cs="Times New Roman"/>
          <w:sz w:val="24"/>
          <w:szCs w:val="24"/>
          <w:lang w:val="bg-BG"/>
        </w:rPr>
        <w:t>ена</w:t>
      </w:r>
      <w:r w:rsidRPr="00610B1B">
        <w:rPr>
          <w:rFonts w:ascii="Times New Roman" w:eastAsia="Times New Roman" w:hAnsi="Times New Roman" w:cs="Times New Roman"/>
          <w:sz w:val="24"/>
          <w:szCs w:val="24"/>
          <w:lang w:val="bg-BG"/>
        </w:rPr>
        <w:t xml:space="preserve"> с решетка скалната църква</w:t>
      </w:r>
      <w:r w:rsidR="00A67814"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частично </w:t>
      </w:r>
      <w:r w:rsidR="00A67814" w:rsidRPr="00610B1B">
        <w:rPr>
          <w:rFonts w:ascii="Times New Roman" w:eastAsia="Times New Roman" w:hAnsi="Times New Roman" w:cs="Times New Roman"/>
          <w:sz w:val="24"/>
          <w:szCs w:val="24"/>
          <w:lang w:val="bg-BG"/>
        </w:rPr>
        <w:t xml:space="preserve">са </w:t>
      </w:r>
      <w:r w:rsidRPr="00610B1B">
        <w:rPr>
          <w:rFonts w:ascii="Times New Roman" w:eastAsia="Times New Roman" w:hAnsi="Times New Roman" w:cs="Times New Roman"/>
          <w:sz w:val="24"/>
          <w:szCs w:val="24"/>
          <w:lang w:val="bg-BG"/>
        </w:rPr>
        <w:t>експониран</w:t>
      </w:r>
      <w:r w:rsidR="00A67814" w:rsidRPr="00610B1B">
        <w:rPr>
          <w:rFonts w:ascii="Times New Roman" w:eastAsia="Times New Roman" w:hAnsi="Times New Roman" w:cs="Times New Roman"/>
          <w:sz w:val="24"/>
          <w:szCs w:val="24"/>
          <w:lang w:val="bg-BG"/>
        </w:rPr>
        <w:t>и</w:t>
      </w:r>
      <w:r w:rsidRPr="00610B1B">
        <w:rPr>
          <w:rFonts w:ascii="Times New Roman" w:eastAsia="Times New Roman" w:hAnsi="Times New Roman" w:cs="Times New Roman"/>
          <w:sz w:val="24"/>
          <w:szCs w:val="24"/>
          <w:lang w:val="bg-BG"/>
        </w:rPr>
        <w:t xml:space="preserve"> и засип</w:t>
      </w:r>
      <w:r w:rsidR="00A67814" w:rsidRPr="00610B1B">
        <w:rPr>
          <w:rFonts w:ascii="Times New Roman" w:eastAsia="Times New Roman" w:hAnsi="Times New Roman" w:cs="Times New Roman"/>
          <w:sz w:val="24"/>
          <w:szCs w:val="24"/>
          <w:lang w:val="bg-BG"/>
        </w:rPr>
        <w:t>ани</w:t>
      </w:r>
      <w:r w:rsidRPr="00610B1B">
        <w:rPr>
          <w:rFonts w:ascii="Times New Roman" w:eastAsia="Times New Roman" w:hAnsi="Times New Roman" w:cs="Times New Roman"/>
          <w:sz w:val="24"/>
          <w:szCs w:val="24"/>
          <w:lang w:val="bg-BG"/>
        </w:rPr>
        <w:t xml:space="preserve"> някои от скалните гробници на некропола над Малката Яйла.</w:t>
      </w:r>
    </w:p>
    <w:p w14:paraId="4A8D5515" w14:textId="075B6FC4"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i/>
          <w:iCs/>
          <w:sz w:val="24"/>
          <w:szCs w:val="24"/>
          <w:lang w:val="bg-BG"/>
        </w:rPr>
        <w:t>В акваторията</w:t>
      </w:r>
      <w:r w:rsidRPr="00610B1B">
        <w:rPr>
          <w:rFonts w:ascii="Times New Roman" w:eastAsia="Times New Roman" w:hAnsi="Times New Roman" w:cs="Times New Roman"/>
          <w:sz w:val="24"/>
          <w:szCs w:val="24"/>
          <w:lang w:val="bg-BG"/>
        </w:rPr>
        <w:t xml:space="preserve"> източно и югоизточно от резервата "Яйлата" са извършвани археологически издирвания под вода през 80-те години на </w:t>
      </w:r>
      <w:r w:rsidR="00C57F93" w:rsidRPr="00610B1B">
        <w:rPr>
          <w:rFonts w:ascii="Times New Roman" w:eastAsia="Times New Roman" w:hAnsi="Times New Roman" w:cs="Times New Roman"/>
          <w:sz w:val="24"/>
          <w:szCs w:val="24"/>
          <w:lang w:val="bg-BG"/>
        </w:rPr>
        <w:t>ХХ</w:t>
      </w:r>
      <w:r w:rsidRPr="00610B1B">
        <w:rPr>
          <w:rFonts w:ascii="Times New Roman" w:eastAsia="Times New Roman" w:hAnsi="Times New Roman" w:cs="Times New Roman"/>
          <w:sz w:val="24"/>
          <w:szCs w:val="24"/>
          <w:lang w:val="bg-BG"/>
        </w:rPr>
        <w:t xml:space="preserve"> век. Констатирано е, че значителни части от стръмния скален бряг са пропаднали в морето. Открити са каменни блокове от части от стената на крепостта, фрагменти </w:t>
      </w:r>
      <w:r w:rsidR="00A67814" w:rsidRPr="00610B1B">
        <w:rPr>
          <w:rFonts w:ascii="Times New Roman" w:eastAsia="Times New Roman" w:hAnsi="Times New Roman" w:cs="Times New Roman"/>
          <w:sz w:val="24"/>
          <w:szCs w:val="24"/>
          <w:lang w:val="bg-BG"/>
        </w:rPr>
        <w:t xml:space="preserve">от </w:t>
      </w:r>
      <w:r w:rsidRPr="00610B1B">
        <w:rPr>
          <w:rFonts w:ascii="Times New Roman" w:eastAsia="Times New Roman" w:hAnsi="Times New Roman" w:cs="Times New Roman"/>
          <w:sz w:val="24"/>
          <w:szCs w:val="24"/>
          <w:lang w:val="bg-BG"/>
        </w:rPr>
        <w:t>строителна к</w:t>
      </w:r>
      <w:r w:rsidR="00C57F93" w:rsidRPr="00610B1B">
        <w:rPr>
          <w:rFonts w:ascii="Times New Roman" w:eastAsia="Times New Roman" w:hAnsi="Times New Roman" w:cs="Times New Roman"/>
          <w:sz w:val="24"/>
          <w:szCs w:val="24"/>
          <w:lang w:val="bg-BG"/>
        </w:rPr>
        <w:t>е</w:t>
      </w:r>
      <w:r w:rsidRPr="00610B1B">
        <w:rPr>
          <w:rFonts w:ascii="Times New Roman" w:eastAsia="Times New Roman" w:hAnsi="Times New Roman" w:cs="Times New Roman"/>
          <w:sz w:val="24"/>
          <w:szCs w:val="24"/>
          <w:lang w:val="bg-BG"/>
        </w:rPr>
        <w:t>р</w:t>
      </w:r>
      <w:r w:rsidR="00C57F93"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 xml:space="preserve">мика, от амфори и каменни котви. Находките се отнасят към късния елинистически период и късната античност. Вероятно в малкия залив пред крепостта и в залива на днешния курорт Русалка, са функционирали малки пристани от късната античност. </w:t>
      </w:r>
    </w:p>
    <w:p w14:paraId="5F64E0C7" w14:textId="1A6C1927"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i/>
          <w:iCs/>
          <w:sz w:val="24"/>
          <w:szCs w:val="24"/>
          <w:lang w:val="bg-BG"/>
        </w:rPr>
        <w:t>Археологически резерват „Антична и средновековната крепост „Калиакра</w:t>
      </w:r>
      <w:r w:rsidRPr="00610B1B">
        <w:rPr>
          <w:rFonts w:ascii="Times New Roman" w:eastAsia="Times New Roman" w:hAnsi="Times New Roman" w:cs="Times New Roman"/>
          <w:bCs/>
          <w:sz w:val="24"/>
          <w:szCs w:val="24"/>
          <w:lang w:val="bg-BG"/>
        </w:rPr>
        <w:t>”, общ</w:t>
      </w:r>
      <w:r w:rsidR="00C57F93" w:rsidRPr="00610B1B">
        <w:rPr>
          <w:rFonts w:ascii="Times New Roman" w:eastAsia="Times New Roman" w:hAnsi="Times New Roman" w:cs="Times New Roman"/>
          <w:bCs/>
          <w:sz w:val="24"/>
          <w:szCs w:val="24"/>
          <w:lang w:val="bg-BG"/>
        </w:rPr>
        <w:t xml:space="preserve">ина </w:t>
      </w:r>
      <w:r w:rsidRPr="00610B1B">
        <w:rPr>
          <w:rFonts w:ascii="Times New Roman" w:eastAsia="Times New Roman" w:hAnsi="Times New Roman" w:cs="Times New Roman"/>
          <w:bCs/>
          <w:sz w:val="24"/>
          <w:szCs w:val="24"/>
          <w:lang w:val="bg-BG"/>
        </w:rPr>
        <w:t>Каварна</w:t>
      </w:r>
      <w:r w:rsidR="00C57F93" w:rsidRPr="00610B1B">
        <w:rPr>
          <w:rFonts w:ascii="Times New Roman" w:eastAsia="Times New Roman" w:hAnsi="Times New Roman" w:cs="Times New Roman"/>
          <w:bCs/>
          <w:sz w:val="24"/>
          <w:szCs w:val="24"/>
          <w:lang w:val="bg-BG"/>
        </w:rPr>
        <w:t xml:space="preserve"> е НКЦ, </w:t>
      </w:r>
      <w:r w:rsidRPr="00610B1B">
        <w:rPr>
          <w:rFonts w:ascii="Times New Roman" w:eastAsia="Times New Roman" w:hAnsi="Times New Roman" w:cs="Times New Roman"/>
          <w:sz w:val="24"/>
          <w:szCs w:val="24"/>
          <w:lang w:val="bg-BG"/>
        </w:rPr>
        <w:t xml:space="preserve">обявена за археологически резерват </w:t>
      </w:r>
      <w:r w:rsidR="00C57F9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ДВ бр.</w:t>
      </w:r>
      <w:r w:rsidR="00A6781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4</w:t>
      </w:r>
      <w:r w:rsidR="00A67814"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2003</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r w:rsidR="00C57F9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с определени режими на опазване, включително в акваторията.</w:t>
      </w:r>
      <w:r w:rsidR="00A67814" w:rsidRPr="00610B1B">
        <w:rPr>
          <w:rFonts w:ascii="Times New Roman" w:eastAsia="Times New Roman" w:hAnsi="Times New Roman" w:cs="Times New Roman"/>
          <w:sz w:val="24"/>
          <w:szCs w:val="24"/>
          <w:lang w:val="bg-BG"/>
        </w:rPr>
        <w:t xml:space="preserve"> </w:t>
      </w:r>
      <w:r w:rsidR="00C57F93" w:rsidRPr="00610B1B">
        <w:rPr>
          <w:rFonts w:ascii="Times New Roman" w:eastAsia="Times New Roman" w:hAnsi="Times New Roman" w:cs="Times New Roman"/>
          <w:sz w:val="24"/>
          <w:szCs w:val="24"/>
          <w:lang w:val="bg-BG"/>
        </w:rPr>
        <w:t>Още от древността н</w:t>
      </w:r>
      <w:r w:rsidRPr="00610B1B">
        <w:rPr>
          <w:rFonts w:ascii="Times New Roman" w:eastAsia="Times New Roman" w:hAnsi="Times New Roman" w:cs="Times New Roman"/>
          <w:sz w:val="24"/>
          <w:szCs w:val="24"/>
          <w:lang w:val="bg-BG"/>
        </w:rPr>
        <w:t>ос Калиакра е бил благоприятно за заселване място</w:t>
      </w:r>
      <w:r w:rsidR="00C57F93" w:rsidRPr="00610B1B">
        <w:rPr>
          <w:rFonts w:ascii="Times New Roman" w:eastAsia="Times New Roman" w:hAnsi="Times New Roman" w:cs="Times New Roman"/>
          <w:sz w:val="24"/>
          <w:szCs w:val="24"/>
          <w:lang w:val="bg-BG"/>
        </w:rPr>
        <w:t>, естествено защитено от о</w:t>
      </w:r>
      <w:r w:rsidRPr="00610B1B">
        <w:rPr>
          <w:rFonts w:ascii="Times New Roman" w:eastAsia="Times New Roman" w:hAnsi="Times New Roman" w:cs="Times New Roman"/>
          <w:sz w:val="24"/>
          <w:szCs w:val="24"/>
          <w:lang w:val="bg-BG"/>
        </w:rPr>
        <w:t>твесно спускащите се към морето скалисти брегове</w:t>
      </w:r>
      <w:r w:rsidR="00C57F93" w:rsidRPr="00610B1B">
        <w:rPr>
          <w:rFonts w:ascii="Times New Roman" w:eastAsia="Times New Roman" w:hAnsi="Times New Roman" w:cs="Times New Roman"/>
          <w:sz w:val="24"/>
          <w:szCs w:val="24"/>
          <w:lang w:val="bg-BG"/>
        </w:rPr>
        <w:t xml:space="preserve"> и в</w:t>
      </w:r>
      <w:r w:rsidRPr="00610B1B">
        <w:rPr>
          <w:rFonts w:ascii="Times New Roman" w:eastAsia="Times New Roman" w:hAnsi="Times New Roman" w:cs="Times New Roman"/>
          <w:sz w:val="24"/>
          <w:szCs w:val="24"/>
          <w:lang w:val="bg-BG"/>
        </w:rPr>
        <w:t xml:space="preserve"> близост до важни морски и сухоземни пътища. През V век пр. Хр. тракийското племе </w:t>
      </w:r>
      <w:r w:rsidRPr="00610B1B">
        <w:rPr>
          <w:rFonts w:ascii="Times New Roman" w:eastAsia="Times New Roman" w:hAnsi="Times New Roman" w:cs="Times New Roman"/>
          <w:i/>
          <w:iCs/>
          <w:sz w:val="24"/>
          <w:szCs w:val="24"/>
          <w:lang w:val="bg-BG"/>
        </w:rPr>
        <w:t>“теризи”</w:t>
      </w:r>
      <w:r w:rsidRPr="00610B1B">
        <w:rPr>
          <w:rFonts w:ascii="Times New Roman" w:eastAsia="Times New Roman" w:hAnsi="Times New Roman" w:cs="Times New Roman"/>
          <w:sz w:val="24"/>
          <w:szCs w:val="24"/>
          <w:lang w:val="bg-BG"/>
        </w:rPr>
        <w:t xml:space="preserve"> основава укрепено селище в южната част на носа, откъдето е и първото име на поселението. В края на V век пр. Хр. земите на теризите са включени в границите на Одриската държава. По време на Римската империя и нейните </w:t>
      </w:r>
      <w:r w:rsidRPr="00610B1B">
        <w:rPr>
          <w:rFonts w:ascii="Times New Roman" w:eastAsia="Times New Roman" w:hAnsi="Times New Roman" w:cs="Times New Roman"/>
          <w:sz w:val="24"/>
          <w:szCs w:val="24"/>
          <w:lang w:val="bg-BG"/>
        </w:rPr>
        <w:lastRenderedPageBreak/>
        <w:t>провинции на Балканите градът продължава да съществува. През този период, античното селище е част от веригата крепости, образуващи по-късно черноморския отбранителен пояс на Византийската империя срещу нашествията от север. Възходът на Калиакра от края на ХІІІ век е свързан с обявяването</w:t>
      </w:r>
      <w:r w:rsidR="00DE3A13" w:rsidRPr="00610B1B">
        <w:rPr>
          <w:rFonts w:ascii="Times New Roman" w:eastAsia="Times New Roman" w:hAnsi="Times New Roman" w:cs="Times New Roman"/>
          <w:sz w:val="24"/>
          <w:szCs w:val="24"/>
          <w:lang w:val="bg-BG"/>
        </w:rPr>
        <w:t xml:space="preserve"> ѝ </w:t>
      </w:r>
      <w:r w:rsidRPr="00610B1B">
        <w:rPr>
          <w:rFonts w:ascii="Times New Roman" w:eastAsia="Times New Roman" w:hAnsi="Times New Roman" w:cs="Times New Roman"/>
          <w:sz w:val="24"/>
          <w:szCs w:val="24"/>
          <w:lang w:val="bg-BG"/>
        </w:rPr>
        <w:t>за столица на Добруджанското деспотство, обхващащо североизточните български земи. Калиакра от това време има площ от около 550 дка. През XIV</w:t>
      </w:r>
      <w:r w:rsidR="00C57F93" w:rsidRPr="00610B1B">
        <w:rPr>
          <w:rFonts w:ascii="Times New Roman" w:eastAsia="Times New Roman" w:hAnsi="Times New Roman" w:cs="Times New Roman"/>
          <w:sz w:val="24"/>
          <w:szCs w:val="24"/>
          <w:lang w:val="bg-BG"/>
        </w:rPr>
        <w:t xml:space="preserve"> в</w:t>
      </w:r>
      <w:r w:rsidRPr="00610B1B">
        <w:rPr>
          <w:rFonts w:ascii="Times New Roman" w:eastAsia="Times New Roman" w:hAnsi="Times New Roman" w:cs="Times New Roman"/>
          <w:sz w:val="24"/>
          <w:szCs w:val="24"/>
          <w:lang w:val="bg-BG"/>
        </w:rPr>
        <w:t xml:space="preserve">. Калиакра е завладяна от османските турци. Писмените </w:t>
      </w:r>
      <w:r w:rsidR="00C57F93" w:rsidRPr="00610B1B">
        <w:rPr>
          <w:rFonts w:ascii="Times New Roman" w:eastAsia="Times New Roman" w:hAnsi="Times New Roman" w:cs="Times New Roman"/>
          <w:sz w:val="24"/>
          <w:szCs w:val="24"/>
          <w:lang w:val="bg-BG"/>
        </w:rPr>
        <w:t xml:space="preserve">източници </w:t>
      </w:r>
      <w:r w:rsidRPr="00610B1B">
        <w:rPr>
          <w:rFonts w:ascii="Times New Roman" w:eastAsia="Times New Roman" w:hAnsi="Times New Roman" w:cs="Times New Roman"/>
          <w:sz w:val="24"/>
          <w:szCs w:val="24"/>
          <w:lang w:val="bg-BG"/>
        </w:rPr>
        <w:t>от късното Средновековие споменават, че тук е съществувал дервишки манастир, както и едно от двете добруджански мюс</w:t>
      </w:r>
      <w:r w:rsidR="004A3547" w:rsidRPr="00610B1B">
        <w:rPr>
          <w:rFonts w:ascii="Times New Roman" w:eastAsia="Times New Roman" w:hAnsi="Times New Roman" w:cs="Times New Roman"/>
          <w:sz w:val="24"/>
          <w:szCs w:val="24"/>
          <w:lang w:val="bg-BG"/>
        </w:rPr>
        <w:t>ю</w:t>
      </w:r>
      <w:r w:rsidRPr="00610B1B">
        <w:rPr>
          <w:rFonts w:ascii="Times New Roman" w:eastAsia="Times New Roman" w:hAnsi="Times New Roman" w:cs="Times New Roman"/>
          <w:sz w:val="24"/>
          <w:szCs w:val="24"/>
          <w:lang w:val="bg-BG"/>
        </w:rPr>
        <w:t>лмански двуобредни текета, посветено на ислямския светец Саръ Салтък. Двухилядолетният живот на тази крепост замира в края на ХVІІ - началото на ХVІІІ век. Последното значително събитие, свързано с Калиакра е морската битка, проведена на 31.</w:t>
      </w:r>
      <w:r w:rsidR="00A67814" w:rsidRPr="00610B1B">
        <w:rPr>
          <w:rFonts w:ascii="Times New Roman" w:eastAsia="Times New Roman" w:hAnsi="Times New Roman" w:cs="Times New Roman"/>
          <w:sz w:val="24"/>
          <w:szCs w:val="24"/>
          <w:lang w:val="bg-BG"/>
        </w:rPr>
        <w:t>07</w:t>
      </w:r>
      <w:r w:rsidRPr="00610B1B">
        <w:rPr>
          <w:rFonts w:ascii="Times New Roman" w:eastAsia="Times New Roman" w:hAnsi="Times New Roman" w:cs="Times New Roman"/>
          <w:sz w:val="24"/>
          <w:szCs w:val="24"/>
          <w:lang w:val="bg-BG"/>
        </w:rPr>
        <w:t>.1791</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край бреговете</w:t>
      </w:r>
      <w:r w:rsidR="00DE3A13" w:rsidRPr="00610B1B">
        <w:rPr>
          <w:rFonts w:ascii="Times New Roman" w:eastAsia="Times New Roman" w:hAnsi="Times New Roman" w:cs="Times New Roman"/>
          <w:sz w:val="24"/>
          <w:szCs w:val="24"/>
          <w:lang w:val="bg-BG"/>
        </w:rPr>
        <w:t xml:space="preserve"> ѝ,</w:t>
      </w:r>
      <w:r w:rsidRPr="00610B1B">
        <w:rPr>
          <w:rFonts w:ascii="Times New Roman" w:eastAsia="Times New Roman" w:hAnsi="Times New Roman" w:cs="Times New Roman"/>
          <w:sz w:val="24"/>
          <w:szCs w:val="24"/>
          <w:lang w:val="bg-BG"/>
        </w:rPr>
        <w:t xml:space="preserve"> с която се слага край на Руско-турската война от 1787-1791</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 </w:t>
      </w:r>
    </w:p>
    <w:p w14:paraId="4FC5197A" w14:textId="0C31245F"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Редовните археологически разкопки на античната и средновековна крепост “Калиакра” започват през 60-те години на миналия век. За първи път местност Калиакра получава статут на паметник на културата като “Антично и средновековно укрепление”, обявено в ДВ. бр. 77/1959</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В рамките на цитаделата е изпълнена реконструкция на античната крепостна стена и портата, консервация на верижни сгради, крепостна стена и кули от елинистическия период</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рамките на Външния град е извършена реставрация на римските терми и средновековната църква, крепостната порта и крепостни стени</w:t>
      </w:r>
      <w:r w:rsidR="004A3547"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В рамките на подградието са изпълнени консервационни работи по отделни верижни сгради и крепостната стена, портата, потерните и кулите към нея. Извън укрепената територия са експонирани гробници от некропола. Консервация</w:t>
      </w:r>
      <w:r w:rsidR="0023542D" w:rsidRPr="00610B1B">
        <w:rPr>
          <w:rFonts w:ascii="Times New Roman" w:eastAsia="Times New Roman" w:hAnsi="Times New Roman" w:cs="Times New Roman"/>
          <w:sz w:val="24"/>
          <w:szCs w:val="24"/>
          <w:lang w:val="bg-BG"/>
        </w:rPr>
        <w:t>та</w:t>
      </w:r>
      <w:r w:rsidRPr="00610B1B">
        <w:rPr>
          <w:rFonts w:ascii="Times New Roman" w:eastAsia="Times New Roman" w:hAnsi="Times New Roman" w:cs="Times New Roman"/>
          <w:sz w:val="24"/>
          <w:szCs w:val="24"/>
          <w:lang w:val="bg-BG"/>
        </w:rPr>
        <w:t xml:space="preserve"> и реставрация</w:t>
      </w:r>
      <w:r w:rsidR="0023542D" w:rsidRPr="00610B1B">
        <w:rPr>
          <w:rFonts w:ascii="Times New Roman" w:eastAsia="Times New Roman" w:hAnsi="Times New Roman" w:cs="Times New Roman"/>
          <w:sz w:val="24"/>
          <w:szCs w:val="24"/>
          <w:lang w:val="bg-BG"/>
        </w:rPr>
        <w:t>та</w:t>
      </w:r>
      <w:r w:rsidRPr="00610B1B">
        <w:rPr>
          <w:rFonts w:ascii="Times New Roman" w:eastAsia="Times New Roman" w:hAnsi="Times New Roman" w:cs="Times New Roman"/>
          <w:sz w:val="24"/>
          <w:szCs w:val="24"/>
          <w:lang w:val="bg-BG"/>
        </w:rPr>
        <w:t xml:space="preserve"> на разкритите нови обекти продължава почти без прекъсване до 1993</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p>
    <w:p w14:paraId="576F4CF6" w14:textId="507B0891"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i/>
          <w:iCs/>
          <w:sz w:val="24"/>
          <w:szCs w:val="24"/>
          <w:lang w:val="bg-BG"/>
        </w:rPr>
        <w:t>В акваторията на нос Калиакра</w:t>
      </w:r>
      <w:r w:rsidRPr="00610B1B">
        <w:rPr>
          <w:rFonts w:ascii="Times New Roman" w:eastAsia="Times New Roman" w:hAnsi="Times New Roman" w:cs="Times New Roman"/>
          <w:sz w:val="24"/>
          <w:szCs w:val="24"/>
          <w:lang w:val="bg-BG"/>
        </w:rPr>
        <w:t xml:space="preserve"> през 1959</w:t>
      </w:r>
      <w:r w:rsidR="00A67814" w:rsidRPr="00610B1B">
        <w:rPr>
          <w:rFonts w:ascii="Times New Roman" w:eastAsia="Times New Roman" w:hAnsi="Times New Roman" w:cs="Times New Roman"/>
          <w:sz w:val="24"/>
          <w:szCs w:val="24"/>
          <w:lang w:val="bg-BG"/>
        </w:rPr>
        <w:t xml:space="preserve"> г.</w:t>
      </w:r>
      <w:r w:rsidRPr="00610B1B">
        <w:rPr>
          <w:rFonts w:ascii="Times New Roman" w:eastAsia="Times New Roman" w:hAnsi="Times New Roman" w:cs="Times New Roman"/>
          <w:sz w:val="24"/>
          <w:szCs w:val="24"/>
          <w:lang w:val="bg-BG"/>
        </w:rPr>
        <w:t xml:space="preserve"> се провежда първата подводна експедиция за търсене на останки от корабокрушения, свързани с битката от 11 август 1791 </w:t>
      </w:r>
      <w:r w:rsidR="004A3547" w:rsidRPr="00610B1B">
        <w:rPr>
          <w:rFonts w:ascii="Times New Roman" w:eastAsia="Times New Roman" w:hAnsi="Times New Roman" w:cs="Times New Roman"/>
          <w:sz w:val="24"/>
          <w:szCs w:val="24"/>
          <w:lang w:val="bg-BG"/>
        </w:rPr>
        <w:t xml:space="preserve">г. </w:t>
      </w:r>
      <w:r w:rsidRPr="00610B1B">
        <w:rPr>
          <w:rFonts w:ascii="Times New Roman" w:eastAsia="Times New Roman" w:hAnsi="Times New Roman" w:cs="Times New Roman"/>
          <w:sz w:val="24"/>
          <w:szCs w:val="24"/>
          <w:lang w:val="bg-BG"/>
        </w:rPr>
        <w:t xml:space="preserve">между османския и руския флот. Подводни проучвания се провеждат и през 70-те и 80-те години на </w:t>
      </w:r>
      <w:r w:rsidR="00C57F93" w:rsidRPr="00610B1B">
        <w:rPr>
          <w:rFonts w:ascii="Times New Roman" w:eastAsia="Times New Roman" w:hAnsi="Times New Roman" w:cs="Times New Roman"/>
          <w:sz w:val="24"/>
          <w:szCs w:val="24"/>
          <w:lang w:val="bg-BG"/>
        </w:rPr>
        <w:t>ХХ</w:t>
      </w:r>
      <w:r w:rsidRPr="00610B1B">
        <w:rPr>
          <w:rFonts w:ascii="Times New Roman" w:eastAsia="Times New Roman" w:hAnsi="Times New Roman" w:cs="Times New Roman"/>
          <w:sz w:val="24"/>
          <w:szCs w:val="24"/>
          <w:lang w:val="bg-BG"/>
        </w:rPr>
        <w:t xml:space="preserve"> век. Отделни находки на амфори, подсказват, че средновековното пристанище се е намирало от западната страна на носа, под крепостта</w:t>
      </w:r>
      <w:r w:rsidRPr="00610B1B">
        <w:rPr>
          <w:rFonts w:ascii="Times New Roman" w:eastAsia="Times New Roman" w:hAnsi="Times New Roman" w:cs="Times New Roman"/>
          <w:color w:val="0000FF"/>
          <w:sz w:val="24"/>
          <w:szCs w:val="24"/>
          <w:lang w:val="bg-BG"/>
        </w:rPr>
        <w:t xml:space="preserve">. </w:t>
      </w:r>
    </w:p>
    <w:p w14:paraId="10FB8269" w14:textId="1394B5A1"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 xml:space="preserve">Археологически резерват „Античен град Одесос” </w:t>
      </w:r>
      <w:r w:rsidRPr="00610B1B">
        <w:rPr>
          <w:rFonts w:ascii="Times New Roman" w:eastAsia="Times New Roman" w:hAnsi="Times New Roman" w:cs="Times New Roman"/>
          <w:bCs/>
          <w:sz w:val="24"/>
          <w:szCs w:val="24"/>
          <w:lang w:val="bg-BG"/>
        </w:rPr>
        <w:t>гр. Варна</w:t>
      </w:r>
      <w:r w:rsidR="00D66FE0" w:rsidRPr="00610B1B">
        <w:rPr>
          <w:rFonts w:ascii="Times New Roman" w:eastAsia="Times New Roman" w:hAnsi="Times New Roman" w:cs="Times New Roman"/>
          <w:bCs/>
          <w:sz w:val="24"/>
          <w:szCs w:val="24"/>
          <w:lang w:val="bg-BG"/>
        </w:rPr>
        <w:t xml:space="preserve"> </w:t>
      </w:r>
      <w:r w:rsidR="004A3547" w:rsidRPr="00610B1B">
        <w:rPr>
          <w:rFonts w:ascii="Times New Roman" w:eastAsia="Times New Roman" w:hAnsi="Times New Roman" w:cs="Times New Roman"/>
          <w:bCs/>
          <w:sz w:val="24"/>
          <w:szCs w:val="24"/>
          <w:lang w:val="bg-BG"/>
        </w:rPr>
        <w:t xml:space="preserve">е НКЦ, </w:t>
      </w:r>
      <w:r w:rsidRPr="00610B1B">
        <w:rPr>
          <w:rFonts w:ascii="Times New Roman" w:eastAsia="Times New Roman" w:hAnsi="Times New Roman" w:cs="Times New Roman"/>
          <w:sz w:val="24"/>
          <w:szCs w:val="24"/>
          <w:lang w:val="bg-BG"/>
        </w:rPr>
        <w:t>обявена за археологически резерват с определени граници съгласно Инструкция №</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1 на Комитета за изкуство и култура и Министерството на строежите и архитектурата, за опазване на архитектурния 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археологически резерват „Античен град Одесос” във Варна, публикувана в ДВ №</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83</w:t>
      </w:r>
      <w:r w:rsidR="00A67814"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28.10.1975</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r w:rsidR="00A6781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От 1975</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до днес няма информация за актуализиране на горепосочените граници на резервата и охранителната му зона, както и на определените правила за застрояване.</w:t>
      </w:r>
    </w:p>
    <w:p w14:paraId="4F642832" w14:textId="54C26F63"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 xml:space="preserve">Природен и археологически резерват </w:t>
      </w:r>
      <w:r w:rsidR="0075654A"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 xml:space="preserve">Острови </w:t>
      </w:r>
      <w:r w:rsidR="0075654A"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Св. Иван</w:t>
      </w:r>
      <w:r w:rsidR="0075654A"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 xml:space="preserve"> и </w:t>
      </w:r>
      <w:r w:rsidR="0075654A"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Св. Петър</w:t>
      </w:r>
      <w:r w:rsidR="0075654A"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 общ</w:t>
      </w:r>
      <w:r w:rsidR="004A3547" w:rsidRPr="00610B1B">
        <w:rPr>
          <w:rFonts w:ascii="Times New Roman" w:eastAsia="Times New Roman" w:hAnsi="Times New Roman" w:cs="Times New Roman"/>
          <w:bCs/>
          <w:i/>
          <w:iCs/>
          <w:sz w:val="24"/>
          <w:szCs w:val="24"/>
          <w:lang w:val="bg-BG"/>
        </w:rPr>
        <w:t xml:space="preserve">ина </w:t>
      </w:r>
      <w:r w:rsidRPr="00610B1B">
        <w:rPr>
          <w:rFonts w:ascii="Times New Roman" w:eastAsia="Times New Roman" w:hAnsi="Times New Roman" w:cs="Times New Roman"/>
          <w:bCs/>
          <w:i/>
          <w:iCs/>
          <w:sz w:val="24"/>
          <w:szCs w:val="24"/>
          <w:lang w:val="bg-BG"/>
        </w:rPr>
        <w:t xml:space="preserve">Созопол, </w:t>
      </w:r>
      <w:r w:rsidR="004A3547" w:rsidRPr="00610B1B">
        <w:rPr>
          <w:rFonts w:ascii="Times New Roman" w:eastAsia="Times New Roman" w:hAnsi="Times New Roman" w:cs="Times New Roman"/>
          <w:bCs/>
          <w:sz w:val="24"/>
          <w:szCs w:val="24"/>
          <w:lang w:val="bg-BG"/>
        </w:rPr>
        <w:t xml:space="preserve">е НКЦ, </w:t>
      </w:r>
      <w:r w:rsidRPr="00610B1B">
        <w:rPr>
          <w:rFonts w:ascii="Times New Roman" w:eastAsia="Times New Roman" w:hAnsi="Times New Roman" w:cs="Times New Roman"/>
          <w:sz w:val="24"/>
          <w:szCs w:val="24"/>
          <w:lang w:val="bg-BG"/>
        </w:rPr>
        <w:t>обявена за археологически резерват с определени режими на опазване.</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Границите на мидените полета и даляни, които са в акваторията на обекта, са с точно фиксирани граници в </w:t>
      </w:r>
      <w:r w:rsidR="004A3547" w:rsidRPr="00610B1B">
        <w:rPr>
          <w:rFonts w:ascii="Times New Roman" w:eastAsia="Times New Roman" w:hAnsi="Times New Roman" w:cs="Times New Roman"/>
          <w:sz w:val="24"/>
          <w:szCs w:val="24"/>
          <w:lang w:val="bg-BG"/>
        </w:rPr>
        <w:t>Центъра за подводна археология към МК</w:t>
      </w:r>
      <w:r w:rsidRPr="00610B1B">
        <w:rPr>
          <w:rFonts w:ascii="Times New Roman" w:eastAsia="Times New Roman" w:hAnsi="Times New Roman" w:cs="Times New Roman"/>
          <w:sz w:val="24"/>
          <w:szCs w:val="24"/>
          <w:lang w:val="bg-BG"/>
        </w:rPr>
        <w:t>.</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Границите на археологическия резерват и охранителната му зона </w:t>
      </w:r>
      <w:r w:rsidR="00B2598A">
        <w:rPr>
          <w:rFonts w:ascii="Times New Roman" w:eastAsia="Times New Roman" w:hAnsi="Times New Roman" w:cs="Times New Roman"/>
          <w:sz w:val="24"/>
          <w:szCs w:val="24"/>
          <w:lang w:val="bg-BG"/>
        </w:rPr>
        <w:t xml:space="preserve"> предстои да бъдат отразени в кадастралната карта и кадастралните регистри.</w:t>
      </w:r>
    </w:p>
    <w:p w14:paraId="5066EB64" w14:textId="0F670761"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i/>
          <w:iCs/>
          <w:sz w:val="24"/>
          <w:szCs w:val="24"/>
          <w:lang w:val="bg-BG"/>
        </w:rPr>
        <w:lastRenderedPageBreak/>
        <w:t>Остров „Св. Иван</w:t>
      </w:r>
      <w:r w:rsidRPr="00610B1B">
        <w:rPr>
          <w:rFonts w:ascii="Times New Roman" w:eastAsia="Times New Roman" w:hAnsi="Times New Roman" w:cs="Times New Roman"/>
          <w:sz w:val="24"/>
          <w:szCs w:val="24"/>
          <w:lang w:val="bg-BG"/>
        </w:rPr>
        <w:t>” е най-големият от петте острова</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локализирани по крайбрежната черноморска зона на България 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един от трите острова в залива на Созопол. Намира са на една морска миля от Стария град на Созопол. Най-ранните следи от човешка дейност на о-</w:t>
      </w:r>
      <w:r w:rsidR="004A3547" w:rsidRPr="00610B1B">
        <w:rPr>
          <w:rFonts w:ascii="Times New Roman" w:eastAsia="Times New Roman" w:hAnsi="Times New Roman" w:cs="Times New Roman"/>
          <w:sz w:val="24"/>
          <w:szCs w:val="24"/>
          <w:lang w:val="bg-BG"/>
        </w:rPr>
        <w:t xml:space="preserve">в </w:t>
      </w:r>
      <w:r w:rsidRPr="00610B1B">
        <w:rPr>
          <w:rFonts w:ascii="Times New Roman" w:eastAsia="Times New Roman" w:hAnsi="Times New Roman" w:cs="Times New Roman"/>
          <w:sz w:val="24"/>
          <w:szCs w:val="24"/>
          <w:lang w:val="bg-BG"/>
        </w:rPr>
        <w:t>„Св.</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Иван” се отнасят към VII-IV</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пр.</w:t>
      </w:r>
      <w:r w:rsidR="0075654A"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Хр. и вероятно следва да се свържат със светилище на Аполон Лечител. На същото място, в периода от края на IV</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и началото на V</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е издигната раннохристиянска базилика посветена на Света Богородица</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Калеоса, около която в следващите векове се развива манастирът „Св. Йоан Продром”. През този период това са земи на Българската държава. В средата на ХІІ в. е издигната кръстокуполна църква с богата декоративна украса и с покровител Св. Йоан Кръстител. През следващите векове манастирът става важен фактор в източната част на Балканския полуостров. Активната му книжовна дейност продължава и в първите векове след османското владичество. Краят на манастира настъпва през 1623 г., когато след нападение на пирати, е опожарен. </w:t>
      </w:r>
    </w:p>
    <w:p w14:paraId="09890A0B" w14:textId="3B81EA5B"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Първите археологически проучвания на острова са проведени в периода</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1985-1994</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когато се разкриват и руините на първите структури отпреди новата ера. Проучванията се подновяват през 2008</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и заедно с тях се провеждат и някои консервационно-реставрационни работи. През 2010</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 </w:t>
      </w:r>
      <w:r w:rsidR="0075654A" w:rsidRPr="00610B1B">
        <w:rPr>
          <w:rFonts w:ascii="Times New Roman" w:eastAsia="Times New Roman" w:hAnsi="Times New Roman" w:cs="Times New Roman"/>
          <w:sz w:val="24"/>
          <w:szCs w:val="24"/>
          <w:lang w:val="bg-BG"/>
        </w:rPr>
        <w:t>по</w:t>
      </w:r>
      <w:r w:rsidRPr="00610B1B">
        <w:rPr>
          <w:rFonts w:ascii="Times New Roman" w:eastAsia="Times New Roman" w:hAnsi="Times New Roman" w:cs="Times New Roman"/>
          <w:sz w:val="24"/>
          <w:szCs w:val="24"/>
          <w:lang w:val="bg-BG"/>
        </w:rPr>
        <w:t xml:space="preserve"> европейски проект „Старинен Созопол-манастир </w:t>
      </w:r>
      <w:r w:rsidR="00E73424" w:rsidRPr="00610B1B">
        <w:rPr>
          <w:rFonts w:ascii="Times New Roman" w:eastAsia="Times New Roman" w:hAnsi="Times New Roman" w:cs="Times New Roman"/>
          <w:sz w:val="24"/>
          <w:szCs w:val="24"/>
          <w:lang w:val="bg-BG"/>
        </w:rPr>
        <w:t>Св. Иван</w:t>
      </w:r>
      <w:r w:rsidRPr="00610B1B">
        <w:rPr>
          <w:rFonts w:ascii="Times New Roman" w:eastAsia="Times New Roman" w:hAnsi="Times New Roman" w:cs="Times New Roman"/>
          <w:sz w:val="24"/>
          <w:szCs w:val="24"/>
          <w:lang w:val="bg-BG"/>
        </w:rPr>
        <w:t xml:space="preserve"> Предтеча - култура през вековете” археологическите разкопки </w:t>
      </w:r>
      <w:r w:rsidR="0023542D" w:rsidRPr="00610B1B">
        <w:rPr>
          <w:rFonts w:ascii="Times New Roman" w:eastAsia="Times New Roman" w:hAnsi="Times New Roman" w:cs="Times New Roman"/>
          <w:sz w:val="24"/>
          <w:szCs w:val="24"/>
          <w:lang w:val="bg-BG"/>
        </w:rPr>
        <w:t xml:space="preserve">в манастира </w:t>
      </w:r>
      <w:r w:rsidRPr="00610B1B">
        <w:rPr>
          <w:rFonts w:ascii="Times New Roman" w:eastAsia="Times New Roman" w:hAnsi="Times New Roman" w:cs="Times New Roman"/>
          <w:sz w:val="24"/>
          <w:szCs w:val="24"/>
          <w:lang w:val="bg-BG"/>
        </w:rPr>
        <w:t>продължават. По проект</w:t>
      </w:r>
      <w:r w:rsidR="0023542D"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 xml:space="preserve"> са изпълнени и ремонтни работи до двата съществуващи морски пристана, два заслона. Извършени са дейности по социализацията на пространството </w:t>
      </w:r>
      <w:r w:rsidR="00CF62C0" w:rsidRPr="00610B1B">
        <w:rPr>
          <w:rFonts w:ascii="Times New Roman" w:eastAsia="Times New Roman" w:hAnsi="Times New Roman" w:cs="Times New Roman"/>
          <w:sz w:val="24"/>
          <w:szCs w:val="24"/>
          <w:lang w:val="bg-BG"/>
        </w:rPr>
        <w:t>с</w:t>
      </w:r>
      <w:r w:rsidRPr="00610B1B">
        <w:rPr>
          <w:rFonts w:ascii="Times New Roman" w:eastAsia="Times New Roman" w:hAnsi="Times New Roman" w:cs="Times New Roman"/>
          <w:sz w:val="24"/>
          <w:szCs w:val="24"/>
          <w:lang w:val="bg-BG"/>
        </w:rPr>
        <w:t xml:space="preserve"> пътеки и информационна</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указателна система.</w:t>
      </w:r>
      <w:r w:rsidR="004A3547" w:rsidRPr="00610B1B">
        <w:rPr>
          <w:rFonts w:ascii="Times New Roman" w:eastAsia="Times New Roman" w:hAnsi="Times New Roman" w:cs="Times New Roman"/>
          <w:sz w:val="24"/>
          <w:szCs w:val="24"/>
          <w:lang w:val="bg-BG"/>
        </w:rPr>
        <w:t xml:space="preserve"> </w:t>
      </w:r>
      <w:r w:rsidR="0075654A" w:rsidRPr="00610B1B">
        <w:rPr>
          <w:rFonts w:ascii="Times New Roman" w:eastAsia="Times New Roman" w:hAnsi="Times New Roman" w:cs="Times New Roman"/>
          <w:sz w:val="24"/>
          <w:szCs w:val="24"/>
          <w:lang w:val="bg-BG"/>
        </w:rPr>
        <w:t xml:space="preserve">На </w:t>
      </w:r>
      <w:r w:rsidRPr="00610B1B">
        <w:rPr>
          <w:rFonts w:ascii="Times New Roman" w:eastAsia="Times New Roman" w:hAnsi="Times New Roman" w:cs="Times New Roman"/>
          <w:sz w:val="24"/>
          <w:szCs w:val="24"/>
          <w:lang w:val="bg-BG"/>
        </w:rPr>
        <w:t>острова съществува имот, собственост на МО, отразен на кадастралната карта</w:t>
      </w:r>
      <w:r w:rsidR="00B2598A" w:rsidRPr="00D03DA8">
        <w:rPr>
          <w:rFonts w:ascii="Times New Roman" w:eastAsia="Times New Roman" w:hAnsi="Times New Roman" w:cs="Times New Roman"/>
          <w:sz w:val="24"/>
          <w:szCs w:val="24"/>
          <w:lang w:val="bg-BG"/>
        </w:rPr>
        <w:t xml:space="preserve"> </w:t>
      </w:r>
      <w:r w:rsidR="00B2598A">
        <w:rPr>
          <w:rFonts w:ascii="Times New Roman" w:eastAsia="Times New Roman" w:hAnsi="Times New Roman" w:cs="Times New Roman"/>
          <w:sz w:val="24"/>
          <w:szCs w:val="24"/>
          <w:lang w:val="bg-BG"/>
        </w:rPr>
        <w:t>и кадастралните регистри (КККР)</w:t>
      </w:r>
      <w:r w:rsidRPr="00610B1B">
        <w:rPr>
          <w:rFonts w:ascii="Times New Roman" w:eastAsia="Times New Roman" w:hAnsi="Times New Roman" w:cs="Times New Roman"/>
          <w:sz w:val="24"/>
          <w:szCs w:val="24"/>
          <w:lang w:val="bg-BG"/>
        </w:rPr>
        <w:t xml:space="preserve"> на </w:t>
      </w:r>
      <w:r w:rsidR="00B2598A">
        <w:rPr>
          <w:rFonts w:ascii="Times New Roman" w:eastAsia="Times New Roman" w:hAnsi="Times New Roman" w:cs="Times New Roman"/>
          <w:sz w:val="24"/>
          <w:szCs w:val="24"/>
          <w:lang w:val="bg-BG"/>
        </w:rPr>
        <w:t xml:space="preserve">гр. </w:t>
      </w:r>
      <w:r w:rsidRPr="00610B1B">
        <w:rPr>
          <w:rFonts w:ascii="Times New Roman" w:eastAsia="Times New Roman" w:hAnsi="Times New Roman" w:cs="Times New Roman"/>
          <w:sz w:val="24"/>
          <w:szCs w:val="24"/>
          <w:lang w:val="bg-BG"/>
        </w:rPr>
        <w:t>Созопол.</w:t>
      </w:r>
      <w:r w:rsidR="0075654A" w:rsidRPr="00610B1B">
        <w:rPr>
          <w:rFonts w:ascii="Times New Roman" w:eastAsia="Times New Roman" w:hAnsi="Times New Roman" w:cs="Times New Roman"/>
          <w:sz w:val="24"/>
          <w:szCs w:val="24"/>
          <w:lang w:val="bg-BG"/>
        </w:rPr>
        <w:t xml:space="preserve"> </w:t>
      </w:r>
    </w:p>
    <w:p w14:paraId="3091769A" w14:textId="4F3A06A6"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До острова няма организирани туристически пътувания, независимо, че достъпът до него не е ограничен и се достига с лодка. На острова е запазен, поддържан и експлоатиран съществуващия сонарен фар.</w:t>
      </w:r>
      <w:r w:rsidR="0075654A"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Със Заповед № PД-53/26.05.2010</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на MOCB, островите Св.</w:t>
      </w:r>
      <w:r w:rsidR="004A3547"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Иван и Св. Петър попада</w:t>
      </w:r>
      <w:r w:rsidR="0075654A" w:rsidRPr="00610B1B">
        <w:rPr>
          <w:rFonts w:ascii="Times New Roman" w:eastAsia="Times New Roman" w:hAnsi="Times New Roman" w:cs="Times New Roman"/>
          <w:sz w:val="24"/>
          <w:szCs w:val="24"/>
          <w:lang w:val="bg-BG"/>
        </w:rPr>
        <w:t>т</w:t>
      </w:r>
      <w:r w:rsidRPr="00610B1B">
        <w:rPr>
          <w:rFonts w:ascii="Times New Roman" w:eastAsia="Times New Roman" w:hAnsi="Times New Roman" w:cs="Times New Roman"/>
          <w:sz w:val="24"/>
          <w:szCs w:val="24"/>
          <w:lang w:val="bg-BG"/>
        </w:rPr>
        <w:t xml:space="preserve"> в защитената зона „Бакърлъка” за опазване на дивите птици и за опазване на природните местообитания на дивите флора и фауна.</w:t>
      </w:r>
    </w:p>
    <w:p w14:paraId="577FCBB5" w14:textId="56A9DE82"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i/>
          <w:iCs/>
          <w:sz w:val="24"/>
          <w:szCs w:val="24"/>
          <w:lang w:val="bg-BG"/>
        </w:rPr>
        <w:t>В акваторията на островите Св. Иван и св. Петър</w:t>
      </w:r>
      <w:r w:rsidRPr="00610B1B">
        <w:rPr>
          <w:rFonts w:ascii="Times New Roman" w:eastAsia="Times New Roman" w:hAnsi="Times New Roman" w:cs="Times New Roman"/>
          <w:sz w:val="24"/>
          <w:szCs w:val="24"/>
          <w:lang w:val="bg-BG"/>
        </w:rPr>
        <w:t xml:space="preserve"> са открити десетки каменни и железни котви, каменни и оловни щокове. Общата хронология на находките следва тази на историческото развитие на Аполония Понтика – Созопол</w:t>
      </w:r>
      <w:r w:rsidR="00403E40" w:rsidRPr="00610B1B">
        <w:rPr>
          <w:rFonts w:ascii="Times New Roman" w:eastAsia="Times New Roman" w:hAnsi="Times New Roman" w:cs="Times New Roman"/>
          <w:sz w:val="24"/>
          <w:szCs w:val="24"/>
          <w:lang w:val="bg-BG"/>
        </w:rPr>
        <w:t>. Най</w:t>
      </w:r>
      <w:r w:rsidRPr="00610B1B">
        <w:rPr>
          <w:rFonts w:ascii="Times New Roman" w:eastAsia="Times New Roman" w:hAnsi="Times New Roman" w:cs="Times New Roman"/>
          <w:sz w:val="24"/>
          <w:szCs w:val="24"/>
          <w:lang w:val="bg-BG"/>
        </w:rPr>
        <w:t xml:space="preserve">-ранните находки се отнасят към VІІ в. пр. Хр. и свидетелстват за интензивно корабоплаване в района. Акваторията е включена в охранителната зона на резервата заради природния феномен </w:t>
      </w:r>
      <w:r w:rsidR="0075654A"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каменна гора</w:t>
      </w:r>
      <w:r w:rsidR="0075654A"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фосилизирани останки от гора (дънери, свалове, клони) от блатни кипариси. Феноменът се намира на дълбочина между 12 и 16 </w:t>
      </w:r>
      <w:r w:rsidR="00403E40"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между остров Св. Иван и </w:t>
      </w:r>
      <w:r w:rsidR="00E73424" w:rsidRPr="00610B1B">
        <w:rPr>
          <w:rFonts w:ascii="Times New Roman" w:eastAsia="Times New Roman" w:hAnsi="Times New Roman" w:cs="Times New Roman"/>
          <w:sz w:val="24"/>
          <w:szCs w:val="24"/>
          <w:lang w:val="bg-BG"/>
        </w:rPr>
        <w:t>полуостров</w:t>
      </w:r>
      <w:r w:rsidRPr="00610B1B">
        <w:rPr>
          <w:rFonts w:ascii="Times New Roman" w:eastAsia="Times New Roman" w:hAnsi="Times New Roman" w:cs="Times New Roman"/>
          <w:sz w:val="24"/>
          <w:szCs w:val="24"/>
          <w:lang w:val="bg-BG"/>
        </w:rPr>
        <w:t xml:space="preserve"> Скамни (стария град на Созопол). Смята се, че каменната гора се е образувала при заливане на крайбрежно блато от морските води преди десетки хиляди години или дори по-рано. </w:t>
      </w:r>
    </w:p>
    <w:p w14:paraId="6C4F88CC" w14:textId="346CD849" w:rsidR="00442579" w:rsidRPr="00610B1B" w:rsidRDefault="00403E40" w:rsidP="00D32D6A">
      <w:pPr>
        <w:pStyle w:val="Heading4"/>
        <w:spacing w:before="0" w:line="276" w:lineRule="auto"/>
        <w:ind w:right="-153"/>
        <w:rPr>
          <w:rFonts w:cs="Times New Roman"/>
        </w:rPr>
      </w:pPr>
      <w:r w:rsidRPr="00610B1B">
        <w:rPr>
          <w:rFonts w:cs="Times New Roman"/>
        </w:rPr>
        <w:t>3.7.2.2. Археологически комплекси</w:t>
      </w:r>
    </w:p>
    <w:p w14:paraId="214A3DF0" w14:textId="076B1885" w:rsidR="00403E40"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i/>
          <w:iCs/>
          <w:sz w:val="24"/>
          <w:szCs w:val="24"/>
          <w:lang w:val="bg-BG"/>
        </w:rPr>
        <w:t>Археологически комплекс „Големият Остров”, с. Дуранкулак, общ</w:t>
      </w:r>
      <w:r w:rsidR="00403E40" w:rsidRPr="00610B1B">
        <w:rPr>
          <w:rFonts w:ascii="Times New Roman" w:eastAsia="Times New Roman" w:hAnsi="Times New Roman" w:cs="Times New Roman"/>
          <w:bCs/>
          <w:i/>
          <w:iCs/>
          <w:sz w:val="24"/>
          <w:szCs w:val="24"/>
          <w:lang w:val="bg-BG"/>
        </w:rPr>
        <w:t>ина</w:t>
      </w:r>
      <w:r w:rsidRPr="00610B1B">
        <w:rPr>
          <w:rFonts w:ascii="Times New Roman" w:eastAsia="Times New Roman" w:hAnsi="Times New Roman" w:cs="Times New Roman"/>
          <w:bCs/>
          <w:i/>
          <w:iCs/>
          <w:sz w:val="24"/>
          <w:szCs w:val="24"/>
          <w:lang w:val="bg-BG"/>
        </w:rPr>
        <w:t xml:space="preserve"> Шабла,</w:t>
      </w:r>
      <w:r w:rsidR="00403E40" w:rsidRPr="00610B1B">
        <w:rPr>
          <w:rFonts w:ascii="Times New Roman" w:eastAsia="Times New Roman" w:hAnsi="Times New Roman" w:cs="Times New Roman"/>
          <w:bCs/>
          <w:sz w:val="24"/>
          <w:szCs w:val="24"/>
          <w:lang w:val="bg-BG"/>
        </w:rPr>
        <w:t xml:space="preserve"> </w:t>
      </w:r>
      <w:r w:rsidRPr="00610B1B">
        <w:rPr>
          <w:rFonts w:ascii="Times New Roman" w:eastAsia="Times New Roman" w:hAnsi="Times New Roman" w:cs="Times New Roman"/>
          <w:sz w:val="24"/>
          <w:szCs w:val="24"/>
          <w:lang w:val="bg-BG"/>
        </w:rPr>
        <w:t>е защитен като НКЦ по смисъла на чл.</w:t>
      </w:r>
      <w:r w:rsidR="00403E4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146 от ЗКН.</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Към момента на обекта не е предоставен статут и не е определена категория. За резервата са определени режими за опазване, определени </w:t>
      </w:r>
      <w:r w:rsidR="0075654A" w:rsidRPr="00610B1B">
        <w:rPr>
          <w:rFonts w:ascii="Times New Roman" w:eastAsia="Times New Roman" w:hAnsi="Times New Roman" w:cs="Times New Roman"/>
          <w:sz w:val="24"/>
          <w:szCs w:val="24"/>
          <w:lang w:val="bg-BG"/>
        </w:rPr>
        <w:t>с</w:t>
      </w:r>
      <w:r w:rsidRPr="00610B1B">
        <w:rPr>
          <w:rFonts w:ascii="Times New Roman" w:eastAsia="Times New Roman" w:hAnsi="Times New Roman" w:cs="Times New Roman"/>
          <w:sz w:val="24"/>
          <w:szCs w:val="24"/>
          <w:lang w:val="bg-BG"/>
        </w:rPr>
        <w:t xml:space="preserve"> Протокол от 27.07.2015 г. на комисията</w:t>
      </w:r>
      <w:r w:rsidR="0075654A" w:rsidRPr="00610B1B">
        <w:rPr>
          <w:rFonts w:ascii="Times New Roman" w:eastAsia="Times New Roman" w:hAnsi="Times New Roman" w:cs="Times New Roman"/>
          <w:sz w:val="24"/>
          <w:szCs w:val="24"/>
          <w:lang w:val="bg-BG"/>
        </w:rPr>
        <w:t>, им</w:t>
      </w:r>
      <w:r w:rsidRPr="00610B1B">
        <w:rPr>
          <w:rFonts w:ascii="Times New Roman" w:eastAsia="Times New Roman" w:hAnsi="Times New Roman" w:cs="Times New Roman"/>
          <w:sz w:val="24"/>
          <w:szCs w:val="24"/>
          <w:lang w:val="bg-BG"/>
        </w:rPr>
        <w:t>а и решение на СЕСОНКЦ.</w:t>
      </w:r>
      <w:r w:rsidR="00403E40" w:rsidRPr="00610B1B">
        <w:rPr>
          <w:rFonts w:ascii="Times New Roman" w:eastAsia="Times New Roman" w:hAnsi="Times New Roman" w:cs="Times New Roman"/>
          <w:b/>
          <w:sz w:val="24"/>
          <w:szCs w:val="24"/>
          <w:u w:val="single"/>
          <w:lang w:val="bg-BG"/>
        </w:rPr>
        <w:t xml:space="preserve"> </w:t>
      </w:r>
      <w:r w:rsidRPr="00610B1B">
        <w:rPr>
          <w:rFonts w:ascii="Times New Roman" w:eastAsia="Times New Roman" w:hAnsi="Times New Roman" w:cs="Times New Roman"/>
          <w:sz w:val="24"/>
          <w:szCs w:val="24"/>
          <w:lang w:val="bg-BG"/>
        </w:rPr>
        <w:lastRenderedPageBreak/>
        <w:t>Археологическият комплекс се състои от селищна могила на Големия остров, обитавана от халколита до ранното средновековие и от археологически комплекс на западния бряг на езерото.</w:t>
      </w:r>
      <w:bookmarkStart w:id="409" w:name="sdfootnote17anc"/>
      <w:r w:rsidRPr="00610B1B">
        <w:rPr>
          <w:rFonts w:ascii="Times New Roman" w:eastAsia="Times New Roman" w:hAnsi="Times New Roman" w:cs="Times New Roman"/>
          <w:sz w:val="24"/>
          <w:szCs w:val="24"/>
          <w:lang w:val="bg-BG"/>
        </w:rPr>
        <w:t xml:space="preserve"> Културният пласт на могилата илюстрира една от най-високо развитите култури в праисторическия свят, където е открита и най-старата каменна архитектура на Европейския континент.</w:t>
      </w:r>
      <w:bookmarkEnd w:id="409"/>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Дуранкулашкото езеро и неговия</w:t>
      </w:r>
      <w:r w:rsidR="00403E40" w:rsidRPr="00610B1B">
        <w:rPr>
          <w:rFonts w:ascii="Times New Roman" w:eastAsia="Times New Roman" w:hAnsi="Times New Roman" w:cs="Times New Roman"/>
          <w:sz w:val="24"/>
          <w:szCs w:val="24"/>
          <w:lang w:val="bg-BG"/>
        </w:rPr>
        <w:t>т</w:t>
      </w:r>
      <w:r w:rsidRPr="00610B1B">
        <w:rPr>
          <w:rFonts w:ascii="Times New Roman" w:eastAsia="Times New Roman" w:hAnsi="Times New Roman" w:cs="Times New Roman"/>
          <w:sz w:val="24"/>
          <w:szCs w:val="24"/>
          <w:lang w:val="bg-BG"/>
        </w:rPr>
        <w:t xml:space="preserve"> западен бряг са обитавани с прекъсвания повече от 6 000 години. По-голямата част от археологическите обекти на територията на целия комплекс са проучени. </w:t>
      </w:r>
    </w:p>
    <w:p w14:paraId="0B7FE89D" w14:textId="7DCBC51A" w:rsidR="00442579" w:rsidRPr="00610B1B" w:rsidRDefault="00442579" w:rsidP="00D32D6A">
      <w:pPr>
        <w:spacing w:after="120"/>
        <w:ind w:right="-153"/>
        <w:jc w:val="both"/>
        <w:rPr>
          <w:rFonts w:ascii="Times New Roman" w:eastAsia="Times New Roman" w:hAnsi="Times New Roman" w:cs="Times New Roman"/>
          <w:b/>
          <w:sz w:val="24"/>
          <w:szCs w:val="24"/>
          <w:u w:val="single"/>
          <w:lang w:val="bg-BG"/>
        </w:rPr>
      </w:pPr>
      <w:r w:rsidRPr="00610B1B">
        <w:rPr>
          <w:rFonts w:ascii="Times New Roman" w:eastAsia="Times New Roman" w:hAnsi="Times New Roman" w:cs="Times New Roman"/>
          <w:sz w:val="24"/>
          <w:szCs w:val="24"/>
          <w:lang w:val="bg-BG"/>
        </w:rPr>
        <w:t>През 2003</w:t>
      </w:r>
      <w:r w:rsidR="00403E4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 е приет План за опазване на защитена местност „Дуранкулашко езеро”. </w:t>
      </w:r>
      <w:r w:rsidR="0075654A" w:rsidRPr="00610B1B">
        <w:rPr>
          <w:rFonts w:ascii="Times New Roman" w:eastAsia="Times New Roman" w:hAnsi="Times New Roman" w:cs="Times New Roman"/>
          <w:sz w:val="24"/>
          <w:szCs w:val="24"/>
          <w:lang w:val="bg-BG"/>
        </w:rPr>
        <w:t xml:space="preserve">Местността </w:t>
      </w:r>
      <w:r w:rsidRPr="00610B1B">
        <w:rPr>
          <w:rFonts w:ascii="Times New Roman" w:eastAsia="Times New Roman" w:hAnsi="Times New Roman" w:cs="Times New Roman"/>
          <w:sz w:val="24"/>
          <w:szCs w:val="24"/>
          <w:lang w:val="bg-BG"/>
        </w:rPr>
        <w:t>попада в по-голямата „Защитена зона за биологично разнообразие -Дуранкулашко езеро” обявена със Заповед РД-258/16.03.2010</w:t>
      </w:r>
      <w:r w:rsidR="00403E4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на МОСВ.</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Археологическият</w:t>
      </w:r>
      <w:r w:rsidRPr="00610B1B">
        <w:rPr>
          <w:rFonts w:ascii="Times New Roman" w:eastAsia="Times New Roman" w:hAnsi="Times New Roman" w:cs="Times New Roman"/>
          <w:color w:val="00B0F0"/>
          <w:sz w:val="24"/>
          <w:szCs w:val="24"/>
          <w:lang w:val="bg-BG"/>
        </w:rPr>
        <w:t xml:space="preserve"> </w:t>
      </w:r>
      <w:r w:rsidRPr="00610B1B">
        <w:rPr>
          <w:rFonts w:ascii="Times New Roman" w:eastAsia="Times New Roman" w:hAnsi="Times New Roman" w:cs="Times New Roman"/>
          <w:sz w:val="24"/>
          <w:szCs w:val="24"/>
          <w:lang w:val="bg-BG"/>
        </w:rPr>
        <w:t>комплекс „Дуранкулак” е локализиран на т.н</w:t>
      </w:r>
      <w:r w:rsidR="00403E40" w:rsidRPr="00610B1B">
        <w:rPr>
          <w:rFonts w:ascii="Times New Roman" w:eastAsia="Times New Roman" w:hAnsi="Times New Roman" w:cs="Times New Roman"/>
          <w:sz w:val="24"/>
          <w:szCs w:val="24"/>
          <w:lang w:val="bg-BG"/>
        </w:rPr>
        <w:t>ар</w:t>
      </w:r>
      <w:r w:rsidRPr="00610B1B">
        <w:rPr>
          <w:rFonts w:ascii="Times New Roman" w:eastAsia="Times New Roman" w:hAnsi="Times New Roman" w:cs="Times New Roman"/>
          <w:sz w:val="24"/>
          <w:szCs w:val="24"/>
          <w:lang w:val="bg-BG"/>
        </w:rPr>
        <w:t>. „Голям остров” и западния бряг на езерото. Руините на оригиналната археологическа субстанция са проучени и разкрити с проведени частични аварийни мерки за консервационно-реставрационни работи. През 2004</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е реализиран проект за социализация на археологическия комплекс, а през 2014</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Община Шабла изпълнява и европейски проект</w:t>
      </w:r>
      <w:r w:rsidR="0075654A" w:rsidRPr="00610B1B">
        <w:rPr>
          <w:rFonts w:ascii="Times New Roman" w:eastAsia="Times New Roman" w:hAnsi="Times New Roman" w:cs="Times New Roman"/>
          <w:sz w:val="24"/>
          <w:szCs w:val="24"/>
          <w:lang w:val="bg-BG"/>
        </w:rPr>
        <w:t xml:space="preserve"> за</w:t>
      </w:r>
      <w:r w:rsidRPr="00610B1B">
        <w:rPr>
          <w:rFonts w:ascii="Times New Roman" w:eastAsia="Times New Roman" w:hAnsi="Times New Roman" w:cs="Times New Roman"/>
          <w:sz w:val="24"/>
          <w:szCs w:val="24"/>
          <w:lang w:val="bg-BG"/>
        </w:rPr>
        <w:t xml:space="preserve"> създаване на екологично и културно-исторически продукт</w:t>
      </w:r>
      <w:r w:rsidR="0075654A" w:rsidRPr="00610B1B">
        <w:rPr>
          <w:rFonts w:ascii="Times New Roman" w:eastAsia="Times New Roman" w:hAnsi="Times New Roman" w:cs="Times New Roman"/>
          <w:sz w:val="24"/>
          <w:szCs w:val="24"/>
          <w:lang w:val="bg-BG"/>
        </w:rPr>
        <w:t xml:space="preserve"> с посетителски център, информационна система и подобрена достъпност</w:t>
      </w:r>
      <w:r w:rsidRPr="00610B1B">
        <w:rPr>
          <w:rFonts w:ascii="Times New Roman" w:eastAsia="Times New Roman" w:hAnsi="Times New Roman" w:cs="Times New Roman"/>
          <w:sz w:val="24"/>
          <w:szCs w:val="24"/>
          <w:lang w:val="bg-BG"/>
        </w:rPr>
        <w:t xml:space="preserve">. </w:t>
      </w:r>
    </w:p>
    <w:p w14:paraId="450B8F40" w14:textId="508885AE"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i/>
          <w:iCs/>
          <w:sz w:val="24"/>
          <w:szCs w:val="24"/>
          <w:lang w:val="bg-BG"/>
        </w:rPr>
        <w:t xml:space="preserve">В акваторията на Дуранкулашкото езеро </w:t>
      </w:r>
      <w:r w:rsidRPr="00610B1B">
        <w:rPr>
          <w:rFonts w:ascii="Times New Roman" w:eastAsia="Times New Roman" w:hAnsi="Times New Roman" w:cs="Times New Roman"/>
          <w:sz w:val="24"/>
          <w:szCs w:val="24"/>
          <w:lang w:val="bg-BG"/>
        </w:rPr>
        <w:t>и в морето източно него са реализирани две морски археологически геофизични проучвания. Установена е палеогеографската ситуация на региона. При проучването в морето е регистрирана положителна форма на морското дъно, която има параметри</w:t>
      </w:r>
      <w:r w:rsidR="00403E40"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сходни на тези на селищна могила. През 2020 г. е планирано подводно археологическо проучване на мястото. </w:t>
      </w:r>
    </w:p>
    <w:p w14:paraId="01D51A70" w14:textId="18FBDAF5" w:rsidR="00403E40"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sz w:val="24"/>
          <w:szCs w:val="24"/>
          <w:lang w:val="bg-BG"/>
        </w:rPr>
        <w:t>Археологически комплекс „Късноантична крепост (Квадрибург), раннохристиянска базилика, раннохристиянска гробница и част от старобългарски вал”</w:t>
      </w:r>
      <w:r w:rsidR="00403E40" w:rsidRPr="00610B1B">
        <w:rPr>
          <w:rFonts w:ascii="Times New Roman" w:eastAsia="Times New Roman" w:hAnsi="Times New Roman" w:cs="Times New Roman"/>
          <w:bCs/>
          <w:sz w:val="24"/>
          <w:szCs w:val="24"/>
          <w:lang w:val="bg-BG"/>
        </w:rPr>
        <w:t xml:space="preserve"> в </w:t>
      </w:r>
      <w:r w:rsidRPr="00610B1B">
        <w:rPr>
          <w:rFonts w:ascii="Times New Roman" w:eastAsia="Times New Roman" w:hAnsi="Times New Roman" w:cs="Times New Roman"/>
          <w:bCs/>
          <w:sz w:val="24"/>
          <w:szCs w:val="24"/>
          <w:lang w:val="bg-BG"/>
        </w:rPr>
        <w:t>с. Шкорпиловци, общ</w:t>
      </w:r>
      <w:r w:rsidR="00403E40" w:rsidRPr="00610B1B">
        <w:rPr>
          <w:rFonts w:ascii="Times New Roman" w:eastAsia="Times New Roman" w:hAnsi="Times New Roman" w:cs="Times New Roman"/>
          <w:bCs/>
          <w:sz w:val="24"/>
          <w:szCs w:val="24"/>
          <w:lang w:val="bg-BG"/>
        </w:rPr>
        <w:t xml:space="preserve">ина </w:t>
      </w:r>
      <w:r w:rsidRPr="00610B1B">
        <w:rPr>
          <w:rFonts w:ascii="Times New Roman" w:eastAsia="Times New Roman" w:hAnsi="Times New Roman" w:cs="Times New Roman"/>
          <w:bCs/>
          <w:sz w:val="24"/>
          <w:szCs w:val="24"/>
          <w:lang w:val="bg-BG"/>
        </w:rPr>
        <w:t>Долни чифлик</w:t>
      </w:r>
      <w:r w:rsidR="00403E40" w:rsidRPr="00610B1B">
        <w:rPr>
          <w:rFonts w:ascii="Times New Roman" w:eastAsia="Times New Roman" w:hAnsi="Times New Roman" w:cs="Times New Roman"/>
          <w:bCs/>
          <w:sz w:val="24"/>
          <w:szCs w:val="24"/>
          <w:lang w:val="bg-BG"/>
        </w:rPr>
        <w:t xml:space="preserve"> </w:t>
      </w:r>
      <w:r w:rsidRPr="00610B1B">
        <w:rPr>
          <w:rFonts w:ascii="Times New Roman" w:eastAsia="Times New Roman" w:hAnsi="Times New Roman" w:cs="Times New Roman"/>
          <w:sz w:val="24"/>
          <w:szCs w:val="24"/>
          <w:lang w:val="bg-BG"/>
        </w:rPr>
        <w:t>са обявени за групова археологическа НКЦ, с категория „национално значение“.</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За НКЦ са определени режими за опазване. </w:t>
      </w:r>
    </w:p>
    <w:p w14:paraId="022F6804" w14:textId="7EF4EA1C" w:rsidR="00DD68AE" w:rsidRPr="00610B1B" w:rsidRDefault="00442579" w:rsidP="00D32D6A">
      <w:pPr>
        <w:spacing w:after="120"/>
        <w:ind w:right="-153"/>
        <w:jc w:val="both"/>
        <w:rPr>
          <w:rFonts w:ascii="Times New Roman" w:hAnsi="Times New Roman" w:cs="Times New Roman"/>
          <w:sz w:val="24"/>
          <w:szCs w:val="24"/>
          <w:lang w:val="bg-BG"/>
        </w:rPr>
      </w:pPr>
      <w:r w:rsidRPr="00610B1B">
        <w:rPr>
          <w:rFonts w:ascii="Times New Roman" w:eastAsia="Times New Roman" w:hAnsi="Times New Roman" w:cs="Times New Roman"/>
          <w:sz w:val="24"/>
          <w:szCs w:val="24"/>
          <w:lang w:val="bg-BG"/>
        </w:rPr>
        <w:t>Шкорпиловци е имал важно стратегическо значение през античността и средновековието.</w:t>
      </w:r>
      <w:r w:rsidRPr="00610B1B">
        <w:rPr>
          <w:rFonts w:ascii="Times New Roman" w:eastAsia="Times New Roman" w:hAnsi="Times New Roman" w:cs="Times New Roman"/>
          <w:color w:val="474747"/>
          <w:sz w:val="24"/>
          <w:szCs w:val="24"/>
          <w:shd w:val="clear" w:color="auto" w:fill="FFFFFF"/>
          <w:lang w:val="bg-BG"/>
        </w:rPr>
        <w:t xml:space="preserve"> </w:t>
      </w:r>
      <w:r w:rsidRPr="00610B1B">
        <w:rPr>
          <w:rFonts w:ascii="Times New Roman" w:eastAsia="Times New Roman" w:hAnsi="Times New Roman" w:cs="Times New Roman"/>
          <w:sz w:val="24"/>
          <w:szCs w:val="24"/>
          <w:shd w:val="clear" w:color="auto" w:fill="FFFFFF"/>
          <w:lang w:val="bg-BG"/>
        </w:rPr>
        <w:t>Крепостта е с четири кръгли кули в четирите си ъгъла</w:t>
      </w:r>
      <w:r w:rsidR="00403E40" w:rsidRPr="00610B1B">
        <w:rPr>
          <w:rFonts w:ascii="Times New Roman" w:eastAsia="Times New Roman" w:hAnsi="Times New Roman" w:cs="Times New Roman"/>
          <w:sz w:val="24"/>
          <w:szCs w:val="24"/>
          <w:shd w:val="clear" w:color="auto" w:fill="FFFFFF"/>
          <w:lang w:val="bg-BG"/>
        </w:rPr>
        <w:t xml:space="preserve"> </w:t>
      </w:r>
      <w:r w:rsidRPr="00610B1B">
        <w:rPr>
          <w:rFonts w:ascii="Times New Roman" w:eastAsia="Times New Roman" w:hAnsi="Times New Roman" w:cs="Times New Roman"/>
          <w:sz w:val="24"/>
          <w:szCs w:val="24"/>
          <w:shd w:val="clear" w:color="auto" w:fill="FFFFFF"/>
          <w:lang w:val="bg-BG"/>
        </w:rPr>
        <w:t>(IV- V в</w:t>
      </w:r>
      <w:r w:rsidR="00403E40" w:rsidRPr="00610B1B">
        <w:rPr>
          <w:rFonts w:ascii="Times New Roman" w:eastAsia="Times New Roman" w:hAnsi="Times New Roman" w:cs="Times New Roman"/>
          <w:sz w:val="24"/>
          <w:szCs w:val="24"/>
          <w:shd w:val="clear" w:color="auto" w:fill="FFFFFF"/>
          <w:lang w:val="bg-BG"/>
        </w:rPr>
        <w:t>.</w:t>
      </w:r>
      <w:r w:rsidRPr="00610B1B">
        <w:rPr>
          <w:rFonts w:ascii="Times New Roman" w:eastAsia="Times New Roman" w:hAnsi="Times New Roman" w:cs="Times New Roman"/>
          <w:sz w:val="24"/>
          <w:szCs w:val="24"/>
          <w:shd w:val="clear" w:color="auto" w:fill="FFFFFF"/>
          <w:lang w:val="bg-BG"/>
        </w:rPr>
        <w:t>) и е изградена на античния крайморски път от р. Дунав</w:t>
      </w:r>
      <w:r w:rsidR="00D66FE0" w:rsidRPr="00610B1B">
        <w:rPr>
          <w:rFonts w:ascii="Times New Roman" w:eastAsia="Times New Roman" w:hAnsi="Times New Roman" w:cs="Times New Roman"/>
          <w:sz w:val="24"/>
          <w:szCs w:val="24"/>
          <w:shd w:val="clear" w:color="auto" w:fill="FFFFFF"/>
          <w:lang w:val="bg-BG"/>
        </w:rPr>
        <w:t xml:space="preserve"> </w:t>
      </w:r>
      <w:r w:rsidRPr="00610B1B">
        <w:rPr>
          <w:rFonts w:ascii="Times New Roman" w:eastAsia="Times New Roman" w:hAnsi="Times New Roman" w:cs="Times New Roman"/>
          <w:sz w:val="24"/>
          <w:szCs w:val="24"/>
          <w:shd w:val="clear" w:color="auto" w:fill="FFFFFF"/>
          <w:lang w:val="bg-BG"/>
        </w:rPr>
        <w:t xml:space="preserve">до Константинопол. </w:t>
      </w:r>
      <w:r w:rsidR="00DD68AE" w:rsidRPr="00610B1B">
        <w:rPr>
          <w:rFonts w:ascii="Times New Roman" w:hAnsi="Times New Roman" w:cs="Times New Roman"/>
          <w:sz w:val="24"/>
          <w:szCs w:val="24"/>
          <w:shd w:val="clear" w:color="auto" w:fill="FFFFFF"/>
          <w:lang w:val="bg-BG"/>
        </w:rPr>
        <w:t>След като крепостта спира да функционира в нейните руини възниква късноантично селище, по-късно са изградени защитен земен вал и средновековна</w:t>
      </w:r>
      <w:r w:rsidR="00DD68AE" w:rsidRPr="00610B1B">
        <w:rPr>
          <w:rFonts w:ascii="Times New Roman" w:hAnsi="Times New Roman" w:cs="Times New Roman"/>
          <w:lang w:val="bg-BG"/>
        </w:rPr>
        <w:t xml:space="preserve"> </w:t>
      </w:r>
      <w:r w:rsidR="00DD68AE" w:rsidRPr="00610B1B">
        <w:rPr>
          <w:rFonts w:ascii="Times New Roman" w:hAnsi="Times New Roman" w:cs="Times New Roman"/>
          <w:sz w:val="24"/>
          <w:szCs w:val="24"/>
          <w:shd w:val="clear" w:color="auto" w:fill="FFFFFF"/>
          <w:lang w:val="bg-BG"/>
        </w:rPr>
        <w:t>трикорабна базилика.</w:t>
      </w:r>
      <w:r w:rsidR="00D66FE0" w:rsidRPr="00610B1B">
        <w:rPr>
          <w:rFonts w:ascii="Times New Roman" w:hAnsi="Times New Roman" w:cs="Times New Roman"/>
          <w:sz w:val="24"/>
          <w:szCs w:val="24"/>
          <w:shd w:val="clear" w:color="auto" w:fill="FFFFFF"/>
          <w:lang w:val="bg-BG"/>
        </w:rPr>
        <w:t xml:space="preserve"> </w:t>
      </w:r>
      <w:r w:rsidR="00DD68AE" w:rsidRPr="00610B1B">
        <w:rPr>
          <w:rFonts w:ascii="Times New Roman" w:hAnsi="Times New Roman" w:cs="Times New Roman"/>
          <w:sz w:val="24"/>
          <w:szCs w:val="24"/>
          <w:lang w:val="bg-BG"/>
        </w:rPr>
        <w:t>Археологическите проучвания на територията на обекта продължават до днес.</w:t>
      </w:r>
    </w:p>
    <w:p w14:paraId="7E0E9423" w14:textId="6FB61B38" w:rsidR="00403E40" w:rsidRPr="00610B1B" w:rsidRDefault="00403E40"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Други групови НКЦ, разположени в крайбрежната зона са следните: </w:t>
      </w:r>
    </w:p>
    <w:p w14:paraId="7AA1FA70" w14:textId="129A9B36"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Антично селище и късноантична крепост</w:t>
      </w:r>
      <w:r w:rsidRPr="00610B1B">
        <w:rPr>
          <w:rFonts w:ascii="Times New Roman" w:eastAsia="Times New Roman" w:hAnsi="Times New Roman" w:cs="Times New Roman"/>
          <w:bCs/>
          <w:sz w:val="24"/>
          <w:szCs w:val="24"/>
          <w:lang w:val="bg-BG"/>
        </w:rPr>
        <w:t>, разположена на нос „Св.</w:t>
      </w:r>
      <w:r w:rsidR="00403E40" w:rsidRPr="00610B1B">
        <w:rPr>
          <w:rFonts w:ascii="Times New Roman" w:eastAsia="Times New Roman" w:hAnsi="Times New Roman" w:cs="Times New Roman"/>
          <w:bCs/>
          <w:sz w:val="24"/>
          <w:szCs w:val="24"/>
          <w:lang w:val="bg-BG"/>
        </w:rPr>
        <w:t xml:space="preserve"> </w:t>
      </w:r>
      <w:r w:rsidRPr="00610B1B">
        <w:rPr>
          <w:rFonts w:ascii="Times New Roman" w:eastAsia="Times New Roman" w:hAnsi="Times New Roman" w:cs="Times New Roman"/>
          <w:bCs/>
          <w:sz w:val="24"/>
          <w:szCs w:val="24"/>
          <w:lang w:val="bg-BG"/>
        </w:rPr>
        <w:t>Атанас“ в гр. Бяла,</w:t>
      </w:r>
      <w:r w:rsidR="00D66FE0" w:rsidRPr="00610B1B">
        <w:rPr>
          <w:rFonts w:ascii="Times New Roman" w:eastAsia="Times New Roman" w:hAnsi="Times New Roman" w:cs="Times New Roman"/>
          <w:bCs/>
          <w:sz w:val="24"/>
          <w:szCs w:val="24"/>
          <w:lang w:val="bg-BG"/>
        </w:rPr>
        <w:t xml:space="preserve"> </w:t>
      </w:r>
      <w:r w:rsidRPr="00610B1B">
        <w:rPr>
          <w:rFonts w:ascii="Times New Roman" w:eastAsia="Times New Roman" w:hAnsi="Times New Roman" w:cs="Times New Roman"/>
          <w:bCs/>
          <w:sz w:val="24"/>
          <w:szCs w:val="24"/>
          <w:lang w:val="bg-BG"/>
        </w:rPr>
        <w:t>общ</w:t>
      </w:r>
      <w:r w:rsidR="00403E40" w:rsidRPr="00610B1B">
        <w:rPr>
          <w:rFonts w:ascii="Times New Roman" w:eastAsia="Times New Roman" w:hAnsi="Times New Roman" w:cs="Times New Roman"/>
          <w:bCs/>
          <w:sz w:val="24"/>
          <w:szCs w:val="24"/>
          <w:lang w:val="bg-BG"/>
        </w:rPr>
        <w:t xml:space="preserve">ина </w:t>
      </w:r>
      <w:r w:rsidRPr="00610B1B">
        <w:rPr>
          <w:rFonts w:ascii="Times New Roman" w:eastAsia="Times New Roman" w:hAnsi="Times New Roman" w:cs="Times New Roman"/>
          <w:bCs/>
          <w:sz w:val="24"/>
          <w:szCs w:val="24"/>
          <w:lang w:val="bg-BG"/>
        </w:rPr>
        <w:t>Бяла</w:t>
      </w:r>
      <w:r w:rsidR="00403E40" w:rsidRPr="00610B1B">
        <w:rPr>
          <w:rFonts w:ascii="Times New Roman" w:eastAsia="Times New Roman" w:hAnsi="Times New Roman" w:cs="Times New Roman"/>
          <w:bCs/>
          <w:sz w:val="24"/>
          <w:szCs w:val="24"/>
          <w:lang w:val="bg-BG"/>
        </w:rPr>
        <w:t xml:space="preserve"> - </w:t>
      </w:r>
      <w:r w:rsidRPr="00610B1B">
        <w:rPr>
          <w:rFonts w:ascii="Times New Roman" w:eastAsia="Times New Roman" w:hAnsi="Times New Roman" w:cs="Times New Roman"/>
          <w:sz w:val="24"/>
          <w:szCs w:val="24"/>
          <w:lang w:val="bg-BG"/>
        </w:rPr>
        <w:t>НКЦ с категория „национално значение“ с определени режими за опазване.</w:t>
      </w:r>
      <w:r w:rsidR="00403E4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Крепостта е спомената за пръв път от Шкорпил. Разположена е на около 3 </w:t>
      </w:r>
      <w:r w:rsidR="00403E40" w:rsidRPr="00610B1B">
        <w:rPr>
          <w:rFonts w:ascii="Times New Roman" w:eastAsia="Times New Roman" w:hAnsi="Times New Roman" w:cs="Times New Roman"/>
          <w:sz w:val="24"/>
          <w:szCs w:val="24"/>
          <w:lang w:val="bg-BG"/>
        </w:rPr>
        <w:t>km</w:t>
      </w:r>
      <w:r w:rsidRPr="00610B1B">
        <w:rPr>
          <w:rFonts w:ascii="Times New Roman" w:eastAsia="Times New Roman" w:hAnsi="Times New Roman" w:cs="Times New Roman"/>
          <w:sz w:val="24"/>
          <w:szCs w:val="24"/>
          <w:lang w:val="bg-BG"/>
        </w:rPr>
        <w:t xml:space="preserve"> южно от селището. В границите на укрепената площ са открити части от казармено помещение и базилика. Проведени подводни археологически проучвания показват наличието на антично селище и некропол западно от крепостта.</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 xml:space="preserve">Археологическите разкопки започват през 2009 г., тъй като значителна част от НКЦ е в границите на бивш военен имот. Теренът </w:t>
      </w:r>
      <w:r w:rsidRPr="00610B1B">
        <w:rPr>
          <w:rFonts w:ascii="Times New Roman" w:eastAsia="Times New Roman" w:hAnsi="Times New Roman" w:cs="Times New Roman"/>
          <w:sz w:val="24"/>
          <w:szCs w:val="24"/>
          <w:lang w:val="bg-BG"/>
        </w:rPr>
        <w:lastRenderedPageBreak/>
        <w:t>е продаден</w:t>
      </w:r>
      <w:r w:rsidR="00561A00"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извършен</w:t>
      </w:r>
      <w:r w:rsidR="00E100A6"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та предстроителна дейност разрушава част от съществуващите постройки и отнема културен пласт от около 1 метър.</w:t>
      </w:r>
    </w:p>
    <w:p w14:paraId="461F469C" w14:textId="0BF55774"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iCs/>
          <w:sz w:val="24"/>
          <w:szCs w:val="24"/>
          <w:lang w:val="bg-BG"/>
        </w:rPr>
        <w:t>Варненски халколитен некропол край Варненското езеро, г</w:t>
      </w:r>
      <w:r w:rsidR="00E100A6" w:rsidRPr="00610B1B">
        <w:rPr>
          <w:rFonts w:ascii="Times New Roman" w:eastAsia="Times New Roman" w:hAnsi="Times New Roman" w:cs="Times New Roman"/>
          <w:i/>
          <w:iCs/>
          <w:sz w:val="24"/>
          <w:szCs w:val="24"/>
          <w:lang w:val="bg-BG"/>
        </w:rPr>
        <w:t>р</w:t>
      </w:r>
      <w:r w:rsidRPr="00610B1B">
        <w:rPr>
          <w:rFonts w:ascii="Times New Roman" w:eastAsia="Times New Roman" w:hAnsi="Times New Roman" w:cs="Times New Roman"/>
          <w:i/>
          <w:iCs/>
          <w:sz w:val="24"/>
          <w:szCs w:val="24"/>
          <w:lang w:val="bg-BG"/>
        </w:rPr>
        <w:t>.</w:t>
      </w:r>
      <w:r w:rsidR="00E100A6" w:rsidRPr="00610B1B">
        <w:rPr>
          <w:rFonts w:ascii="Times New Roman" w:eastAsia="Times New Roman" w:hAnsi="Times New Roman" w:cs="Times New Roman"/>
          <w:i/>
          <w:iCs/>
          <w:sz w:val="24"/>
          <w:szCs w:val="24"/>
          <w:lang w:val="bg-BG"/>
        </w:rPr>
        <w:t xml:space="preserve"> </w:t>
      </w:r>
      <w:r w:rsidRPr="00610B1B">
        <w:rPr>
          <w:rFonts w:ascii="Times New Roman" w:eastAsia="Times New Roman" w:hAnsi="Times New Roman" w:cs="Times New Roman"/>
          <w:i/>
          <w:iCs/>
          <w:sz w:val="24"/>
          <w:szCs w:val="24"/>
          <w:lang w:val="bg-BG"/>
        </w:rPr>
        <w:t xml:space="preserve">Варна, </w:t>
      </w:r>
      <w:r w:rsidR="00E100A6" w:rsidRPr="00610B1B">
        <w:rPr>
          <w:rFonts w:ascii="Times New Roman" w:eastAsia="Times New Roman" w:hAnsi="Times New Roman" w:cs="Times New Roman"/>
          <w:sz w:val="24"/>
          <w:szCs w:val="24"/>
          <w:lang w:val="bg-BG"/>
        </w:rPr>
        <w:t xml:space="preserve">e </w:t>
      </w:r>
      <w:r w:rsidRPr="00610B1B">
        <w:rPr>
          <w:rFonts w:ascii="Times New Roman" w:eastAsia="Times New Roman" w:hAnsi="Times New Roman" w:cs="Times New Roman"/>
          <w:sz w:val="24"/>
          <w:szCs w:val="24"/>
          <w:lang w:val="bg-BG"/>
        </w:rPr>
        <w:t xml:space="preserve">НКЦ с категория „национално значение“ за която няма сведение да са определени режими на опазване. </w:t>
      </w:r>
      <w:r w:rsidR="00E100A6" w:rsidRPr="00610B1B">
        <w:rPr>
          <w:rFonts w:ascii="Times New Roman" w:eastAsia="Times New Roman" w:hAnsi="Times New Roman" w:cs="Times New Roman"/>
          <w:bCs/>
          <w:sz w:val="24"/>
          <w:szCs w:val="24"/>
          <w:lang w:val="bg-BG"/>
        </w:rPr>
        <w:t>Това е</w:t>
      </w:r>
      <w:r w:rsidRPr="00610B1B">
        <w:rPr>
          <w:rFonts w:ascii="Times New Roman" w:eastAsia="Times New Roman" w:hAnsi="Times New Roman" w:cs="Times New Roman"/>
          <w:sz w:val="24"/>
          <w:szCs w:val="24"/>
          <w:lang w:val="bg-BG"/>
        </w:rPr>
        <w:t xml:space="preserve"> един от най-значимите археологически праисторически обекти на територията на България датиран в края на V –</w:t>
      </w:r>
      <w:r w:rsidR="00E100A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IV хил. пр. Хр. Според учените, находките от златни предмети, са най-старото технологично обработено злато в Европа и света, причислявано към т. нар. Култура Варна (4400 – 4100 г. пр. Хр.).</w:t>
      </w:r>
      <w:r w:rsidR="00E100A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Открит е през 1972</w:t>
      </w:r>
      <w:r w:rsidR="00E100A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и след последните археологически проучвания през 1991</w:t>
      </w:r>
      <w:r w:rsidR="00E100A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обектът е занемарен. Не са провеждани КРР дейности, липсва адаптация и социализация.</w:t>
      </w:r>
    </w:p>
    <w:p w14:paraId="29D8D059" w14:textId="7F348F1E"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i/>
          <w:iCs/>
          <w:sz w:val="24"/>
          <w:szCs w:val="24"/>
          <w:lang w:val="bg-BG"/>
        </w:rPr>
        <w:t>Манастирски комплекс в местност „Караач теке”, общ</w:t>
      </w:r>
      <w:r w:rsidR="00E100A6" w:rsidRPr="00610B1B">
        <w:rPr>
          <w:rFonts w:ascii="Times New Roman" w:eastAsia="Times New Roman" w:hAnsi="Times New Roman" w:cs="Times New Roman"/>
          <w:bCs/>
          <w:i/>
          <w:iCs/>
          <w:sz w:val="24"/>
          <w:szCs w:val="24"/>
          <w:lang w:val="bg-BG"/>
        </w:rPr>
        <w:t>ина</w:t>
      </w:r>
      <w:r w:rsidRPr="00610B1B">
        <w:rPr>
          <w:rFonts w:ascii="Times New Roman" w:eastAsia="Times New Roman" w:hAnsi="Times New Roman" w:cs="Times New Roman"/>
          <w:bCs/>
          <w:i/>
          <w:iCs/>
          <w:sz w:val="24"/>
          <w:szCs w:val="24"/>
          <w:lang w:val="bg-BG"/>
        </w:rPr>
        <w:t xml:space="preserve"> Варна</w:t>
      </w:r>
      <w:r w:rsidR="00E100A6" w:rsidRPr="00610B1B">
        <w:rPr>
          <w:rFonts w:ascii="Times New Roman" w:eastAsia="Times New Roman" w:hAnsi="Times New Roman" w:cs="Times New Roman"/>
          <w:bCs/>
          <w:i/>
          <w:iCs/>
          <w:sz w:val="24"/>
          <w:szCs w:val="24"/>
          <w:lang w:val="bg-BG"/>
        </w:rPr>
        <w:t xml:space="preserve"> </w:t>
      </w:r>
      <w:r w:rsidR="00E100A6" w:rsidRPr="00610B1B">
        <w:rPr>
          <w:rFonts w:ascii="Times New Roman" w:eastAsia="Times New Roman" w:hAnsi="Times New Roman" w:cs="Times New Roman"/>
          <w:bCs/>
          <w:sz w:val="24"/>
          <w:szCs w:val="24"/>
          <w:lang w:val="bg-BG"/>
        </w:rPr>
        <w:t>е</w:t>
      </w:r>
      <w:r w:rsidRPr="00610B1B">
        <w:rPr>
          <w:rFonts w:ascii="Times New Roman" w:eastAsia="Times New Roman" w:hAnsi="Times New Roman" w:cs="Times New Roman"/>
          <w:sz w:val="24"/>
          <w:szCs w:val="24"/>
          <w:lang w:val="bg-BG"/>
        </w:rPr>
        <w:t xml:space="preserve"> НКЦ с категория „национално значение“ за която са определени режими на опазване. Обща площ на НКЦ </w:t>
      </w:r>
      <w:r w:rsidR="00873E4B" w:rsidRPr="00610B1B">
        <w:rPr>
          <w:rFonts w:ascii="Times New Roman" w:eastAsia="Times New Roman" w:hAnsi="Times New Roman" w:cs="Times New Roman"/>
          <w:sz w:val="24"/>
          <w:szCs w:val="24"/>
          <w:lang w:val="bg-BG"/>
        </w:rPr>
        <w:t>е</w:t>
      </w:r>
      <w:r w:rsidRPr="00610B1B">
        <w:rPr>
          <w:rFonts w:ascii="Times New Roman" w:eastAsia="Times New Roman" w:hAnsi="Times New Roman" w:cs="Times New Roman"/>
          <w:sz w:val="24"/>
          <w:szCs w:val="24"/>
          <w:lang w:val="bg-BG"/>
        </w:rPr>
        <w:t xml:space="preserve"> 10,20 дка. Манастирският комплекс е един от най-големите на Балканите.</w:t>
      </w:r>
      <w:r w:rsidR="00D66FE0" w:rsidRPr="00610B1B">
        <w:rPr>
          <w:rFonts w:ascii="Times New Roman" w:eastAsia="Times New Roman" w:hAnsi="Times New Roman" w:cs="Times New Roman"/>
          <w:sz w:val="24"/>
          <w:szCs w:val="24"/>
          <w:lang w:val="bg-BG"/>
        </w:rPr>
        <w:t xml:space="preserve"> </w:t>
      </w:r>
      <w:r w:rsidR="00E100A6" w:rsidRPr="00610B1B">
        <w:rPr>
          <w:rFonts w:ascii="Times New Roman" w:eastAsia="Times New Roman" w:hAnsi="Times New Roman" w:cs="Times New Roman"/>
          <w:sz w:val="24"/>
          <w:szCs w:val="24"/>
          <w:lang w:val="bg-BG"/>
        </w:rPr>
        <w:t>Той</w:t>
      </w:r>
      <w:r w:rsidRPr="00610B1B">
        <w:rPr>
          <w:rFonts w:ascii="Times New Roman" w:eastAsia="Times New Roman" w:hAnsi="Times New Roman" w:cs="Times New Roman"/>
          <w:sz w:val="24"/>
          <w:szCs w:val="24"/>
          <w:lang w:val="bg-BG"/>
        </w:rPr>
        <w:t xml:space="preserve"> е уникален по своята планова схема и размери</w:t>
      </w:r>
      <w:r w:rsidR="00E100A6" w:rsidRPr="00610B1B">
        <w:rPr>
          <w:rFonts w:ascii="Times New Roman" w:eastAsia="Times New Roman" w:hAnsi="Times New Roman" w:cs="Times New Roman"/>
          <w:sz w:val="24"/>
          <w:szCs w:val="24"/>
          <w:lang w:val="bg-BG"/>
        </w:rPr>
        <w:t xml:space="preserve"> и </w:t>
      </w:r>
      <w:r w:rsidRPr="00610B1B">
        <w:rPr>
          <w:rFonts w:ascii="Times New Roman" w:eastAsia="Times New Roman" w:hAnsi="Times New Roman" w:cs="Times New Roman"/>
          <w:sz w:val="24"/>
          <w:szCs w:val="24"/>
          <w:lang w:val="bg-BG"/>
        </w:rPr>
        <w:t>е без аналог за българската и за византийската строителна традиции.</w:t>
      </w:r>
      <w:r w:rsidR="00E100A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Въпреки високата си категория, обектът все още не е достатъчно проучен, </w:t>
      </w:r>
      <w:r w:rsidR="00E100A6" w:rsidRPr="00610B1B">
        <w:rPr>
          <w:rFonts w:ascii="Times New Roman" w:eastAsia="Times New Roman" w:hAnsi="Times New Roman" w:cs="Times New Roman"/>
          <w:sz w:val="24"/>
          <w:szCs w:val="24"/>
          <w:lang w:val="bg-BG"/>
        </w:rPr>
        <w:t>няма</w:t>
      </w:r>
      <w:r w:rsidRPr="00610B1B">
        <w:rPr>
          <w:rFonts w:ascii="Times New Roman" w:eastAsia="Times New Roman" w:hAnsi="Times New Roman" w:cs="Times New Roman"/>
          <w:sz w:val="24"/>
          <w:szCs w:val="24"/>
          <w:lang w:val="bg-BG"/>
        </w:rPr>
        <w:t xml:space="preserve"> проведени КРР дейности, както и такива, свързани със социализацията му.</w:t>
      </w:r>
      <w:r w:rsidR="00D66FE0" w:rsidRPr="00610B1B">
        <w:rPr>
          <w:rFonts w:ascii="Times New Roman" w:eastAsia="Times New Roman" w:hAnsi="Times New Roman" w:cs="Times New Roman"/>
          <w:b/>
          <w:sz w:val="24"/>
          <w:szCs w:val="24"/>
          <w:lang w:val="bg-BG"/>
        </w:rPr>
        <w:t xml:space="preserve"> </w:t>
      </w:r>
    </w:p>
    <w:p w14:paraId="72CA31EE" w14:textId="6637571F" w:rsidR="00442579" w:rsidRPr="00610B1B" w:rsidRDefault="00442579" w:rsidP="00D32D6A">
      <w:pPr>
        <w:spacing w:after="120"/>
        <w:ind w:right="-153"/>
        <w:jc w:val="both"/>
        <w:rPr>
          <w:rFonts w:ascii="Times New Roman" w:eastAsia="Times New Roman" w:hAnsi="Times New Roman" w:cs="Times New Roman"/>
          <w:bCs/>
          <w:i/>
          <w:iCs/>
          <w:sz w:val="24"/>
          <w:szCs w:val="24"/>
          <w:lang w:val="bg-BG"/>
        </w:rPr>
      </w:pPr>
      <w:r w:rsidRPr="00610B1B">
        <w:rPr>
          <w:rFonts w:ascii="Times New Roman" w:eastAsia="Times New Roman" w:hAnsi="Times New Roman" w:cs="Times New Roman"/>
          <w:bCs/>
          <w:i/>
          <w:iCs/>
          <w:sz w:val="24"/>
          <w:szCs w:val="24"/>
          <w:lang w:val="bg-BG"/>
        </w:rPr>
        <w:t xml:space="preserve">Раннохристиянски манастир в местност „Джанавара” край Варна </w:t>
      </w:r>
      <w:r w:rsidR="00E100A6" w:rsidRPr="00610B1B">
        <w:rPr>
          <w:rFonts w:ascii="Times New Roman" w:eastAsia="Times New Roman" w:hAnsi="Times New Roman" w:cs="Times New Roman"/>
          <w:sz w:val="24"/>
          <w:szCs w:val="24"/>
          <w:lang w:val="bg-BG"/>
        </w:rPr>
        <w:t>е г</w:t>
      </w:r>
      <w:r w:rsidRPr="00610B1B">
        <w:rPr>
          <w:rFonts w:ascii="Times New Roman" w:eastAsia="Times New Roman" w:hAnsi="Times New Roman" w:cs="Times New Roman"/>
          <w:sz w:val="24"/>
          <w:szCs w:val="24"/>
          <w:lang w:val="bg-BG"/>
        </w:rPr>
        <w:t>рупова археологическа НКЦ, с категория „национално значение“ и с определени режими на опазване.</w:t>
      </w:r>
      <w:r w:rsidR="00E100A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Териториалн</w:t>
      </w:r>
      <w:r w:rsidR="00873E4B" w:rsidRPr="00610B1B">
        <w:rPr>
          <w:rFonts w:ascii="Times New Roman" w:eastAsia="Times New Roman" w:hAnsi="Times New Roman" w:cs="Times New Roman"/>
          <w:sz w:val="24"/>
          <w:szCs w:val="24"/>
          <w:lang w:val="bg-BG"/>
        </w:rPr>
        <w:t>ият</w:t>
      </w:r>
      <w:r w:rsidRPr="00610B1B">
        <w:rPr>
          <w:rFonts w:ascii="Times New Roman" w:eastAsia="Times New Roman" w:hAnsi="Times New Roman" w:cs="Times New Roman"/>
          <w:sz w:val="24"/>
          <w:szCs w:val="24"/>
          <w:lang w:val="bg-BG"/>
        </w:rPr>
        <w:t xml:space="preserve"> обхват </w:t>
      </w:r>
      <w:r w:rsidR="00873E4B" w:rsidRPr="00610B1B">
        <w:rPr>
          <w:rFonts w:ascii="Times New Roman" w:eastAsia="Times New Roman" w:hAnsi="Times New Roman" w:cs="Times New Roman"/>
          <w:sz w:val="24"/>
          <w:szCs w:val="24"/>
          <w:lang w:val="bg-BG"/>
        </w:rPr>
        <w:t>е</w:t>
      </w:r>
      <w:r w:rsidRPr="00610B1B">
        <w:rPr>
          <w:rFonts w:ascii="Times New Roman" w:eastAsia="Times New Roman" w:hAnsi="Times New Roman" w:cs="Times New Roman"/>
          <w:sz w:val="24"/>
          <w:szCs w:val="24"/>
          <w:lang w:val="bg-BG"/>
        </w:rPr>
        <w:t xml:space="preserve"> част от имот с </w:t>
      </w:r>
      <w:r w:rsidR="00E73424" w:rsidRPr="00610B1B">
        <w:rPr>
          <w:rFonts w:ascii="Times New Roman" w:eastAsia="Times New Roman" w:hAnsi="Times New Roman" w:cs="Times New Roman"/>
          <w:sz w:val="24"/>
          <w:szCs w:val="24"/>
          <w:lang w:val="bg-BG"/>
        </w:rPr>
        <w:t>идентификатор</w:t>
      </w:r>
      <w:r w:rsidRPr="00610B1B">
        <w:rPr>
          <w:rFonts w:ascii="Times New Roman" w:eastAsia="Times New Roman" w:hAnsi="Times New Roman" w:cs="Times New Roman"/>
          <w:sz w:val="24"/>
          <w:szCs w:val="24"/>
          <w:lang w:val="bg-BG"/>
        </w:rPr>
        <w:t xml:space="preserve"> 10135.5203.7 по КК с обща площ 8,24 дка. </w:t>
      </w:r>
      <w:r w:rsidRPr="00610B1B">
        <w:rPr>
          <w:rFonts w:ascii="Times New Roman" w:eastAsia="Times New Roman" w:hAnsi="Times New Roman" w:cs="Times New Roman"/>
          <w:bCs/>
          <w:sz w:val="24"/>
          <w:szCs w:val="24"/>
          <w:lang w:val="bg-BG"/>
        </w:rPr>
        <w:t>Актуално</w:t>
      </w:r>
      <w:r w:rsidR="00E100A6" w:rsidRPr="00610B1B">
        <w:rPr>
          <w:rFonts w:ascii="Times New Roman" w:eastAsia="Times New Roman" w:hAnsi="Times New Roman" w:cs="Times New Roman"/>
          <w:bCs/>
          <w:sz w:val="24"/>
          <w:szCs w:val="24"/>
          <w:lang w:val="bg-BG"/>
        </w:rPr>
        <w:t>то му</w:t>
      </w:r>
      <w:r w:rsidRPr="00610B1B">
        <w:rPr>
          <w:rFonts w:ascii="Times New Roman" w:eastAsia="Times New Roman" w:hAnsi="Times New Roman" w:cs="Times New Roman"/>
          <w:bCs/>
          <w:sz w:val="24"/>
          <w:szCs w:val="24"/>
          <w:lang w:val="bg-BG"/>
        </w:rPr>
        <w:t xml:space="preserve"> състояние</w:t>
      </w:r>
      <w:r w:rsidRPr="00610B1B">
        <w:rPr>
          <w:rFonts w:ascii="Times New Roman" w:eastAsia="Times New Roman" w:hAnsi="Times New Roman" w:cs="Times New Roman"/>
          <w:b/>
          <w:sz w:val="24"/>
          <w:szCs w:val="24"/>
          <w:lang w:val="bg-BG"/>
        </w:rPr>
        <w:t xml:space="preserve"> </w:t>
      </w:r>
      <w:r w:rsidR="00E100A6" w:rsidRPr="00610B1B">
        <w:rPr>
          <w:rFonts w:ascii="Times New Roman" w:eastAsia="Times New Roman" w:hAnsi="Times New Roman" w:cs="Times New Roman"/>
          <w:bCs/>
          <w:sz w:val="24"/>
          <w:szCs w:val="24"/>
          <w:lang w:val="bg-BG"/>
        </w:rPr>
        <w:t>показва, че е необходимо</w:t>
      </w:r>
      <w:r w:rsidR="00D66FE0"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 xml:space="preserve">проучване. </w:t>
      </w:r>
      <w:r w:rsidR="00E100A6" w:rsidRPr="00610B1B">
        <w:rPr>
          <w:rFonts w:ascii="Times New Roman" w:eastAsia="Times New Roman" w:hAnsi="Times New Roman" w:cs="Times New Roman"/>
          <w:sz w:val="24"/>
          <w:szCs w:val="24"/>
          <w:lang w:val="bg-BG"/>
        </w:rPr>
        <w:t xml:space="preserve">Няма </w:t>
      </w:r>
      <w:r w:rsidRPr="00610B1B">
        <w:rPr>
          <w:rFonts w:ascii="Times New Roman" w:eastAsia="Times New Roman" w:hAnsi="Times New Roman" w:cs="Times New Roman"/>
          <w:sz w:val="24"/>
          <w:szCs w:val="24"/>
          <w:lang w:val="bg-BG"/>
        </w:rPr>
        <w:t xml:space="preserve">проведени КРР </w:t>
      </w:r>
      <w:r w:rsidR="00E100A6" w:rsidRPr="00610B1B">
        <w:rPr>
          <w:rFonts w:ascii="Times New Roman" w:eastAsia="Times New Roman" w:hAnsi="Times New Roman" w:cs="Times New Roman"/>
          <w:sz w:val="24"/>
          <w:szCs w:val="24"/>
          <w:lang w:val="bg-BG"/>
        </w:rPr>
        <w:t xml:space="preserve">и </w:t>
      </w:r>
      <w:r w:rsidRPr="00610B1B">
        <w:rPr>
          <w:rFonts w:ascii="Times New Roman" w:eastAsia="Times New Roman" w:hAnsi="Times New Roman" w:cs="Times New Roman"/>
          <w:sz w:val="24"/>
          <w:szCs w:val="24"/>
          <w:lang w:val="bg-BG"/>
        </w:rPr>
        <w:t>дейности по адаптация и социализация на обекта.</w:t>
      </w:r>
    </w:p>
    <w:p w14:paraId="5A179F78" w14:textId="56EDB736" w:rsidR="00DD68AE" w:rsidRPr="00610B1B" w:rsidRDefault="00442579" w:rsidP="00D32D6A">
      <w:pPr>
        <w:tabs>
          <w:tab w:val="left" w:pos="6930"/>
        </w:tabs>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 xml:space="preserve">Аладжа манастир "Света Троица" край Варна </w:t>
      </w:r>
      <w:r w:rsidR="00873E4B" w:rsidRPr="00610B1B">
        <w:rPr>
          <w:rFonts w:ascii="Times New Roman" w:eastAsia="Times New Roman" w:hAnsi="Times New Roman" w:cs="Times New Roman"/>
          <w:bCs/>
          <w:sz w:val="24"/>
          <w:szCs w:val="24"/>
          <w:lang w:val="bg-BG"/>
        </w:rPr>
        <w:t xml:space="preserve">е </w:t>
      </w:r>
      <w:r w:rsidRPr="00610B1B">
        <w:rPr>
          <w:rFonts w:ascii="Times New Roman" w:eastAsia="Times New Roman" w:hAnsi="Times New Roman" w:cs="Times New Roman"/>
          <w:sz w:val="24"/>
          <w:szCs w:val="24"/>
          <w:lang w:val="bg-BG"/>
        </w:rPr>
        <w:t>Н</w:t>
      </w:r>
      <w:r w:rsidR="00E100A6" w:rsidRPr="00610B1B">
        <w:rPr>
          <w:rFonts w:ascii="Times New Roman" w:eastAsia="Times New Roman" w:hAnsi="Times New Roman" w:cs="Times New Roman"/>
          <w:sz w:val="24"/>
          <w:szCs w:val="24"/>
          <w:lang w:val="bg-BG"/>
        </w:rPr>
        <w:t>КЦ</w:t>
      </w:r>
      <w:r w:rsidRPr="00610B1B">
        <w:rPr>
          <w:rFonts w:ascii="Times New Roman" w:eastAsia="Times New Roman" w:hAnsi="Times New Roman" w:cs="Times New Roman"/>
          <w:sz w:val="24"/>
          <w:szCs w:val="24"/>
          <w:lang w:val="bg-BG"/>
        </w:rPr>
        <w:t xml:space="preserve"> с категория „национално значение” и определени режими на опазване</w:t>
      </w:r>
      <w:r w:rsidR="00DD68AE" w:rsidRPr="00610B1B">
        <w:rPr>
          <w:rFonts w:ascii="Times New Roman" w:eastAsia="Times New Roman" w:hAnsi="Times New Roman" w:cs="Times New Roman"/>
          <w:sz w:val="24"/>
          <w:szCs w:val="24"/>
          <w:lang w:val="bg-BG"/>
        </w:rPr>
        <w:t xml:space="preserve">, които предстои да се актуализират. Обектът е експониран и социализиран и предстои процедиране на проект за КРР и ревитализация на фрагменти от комплекса. </w:t>
      </w:r>
      <w:r w:rsidR="00192031" w:rsidRPr="00610B1B">
        <w:rPr>
          <w:rFonts w:ascii="Times New Roman" w:eastAsia="Times New Roman" w:hAnsi="Times New Roman" w:cs="Times New Roman"/>
          <w:sz w:val="24"/>
          <w:szCs w:val="24"/>
          <w:lang w:val="bg-BG"/>
        </w:rPr>
        <w:t>Аладжа мана</w:t>
      </w:r>
      <w:r w:rsidR="00ED6DFB" w:rsidRPr="00610B1B">
        <w:rPr>
          <w:rFonts w:ascii="Times New Roman" w:eastAsia="Times New Roman" w:hAnsi="Times New Roman" w:cs="Times New Roman"/>
          <w:sz w:val="24"/>
          <w:szCs w:val="24"/>
          <w:lang w:val="bg-BG"/>
        </w:rPr>
        <w:t xml:space="preserve">стир се поставя под защита с Постановление № 2132/03.02.1943 г. на Министерството на земеделието и държавните имоти и е включен като защитена местност с площ от 17 ha в Регистъра на защитените територии и защитени зони с код 163 след прекатегоризацията през 2002 г. </w:t>
      </w:r>
    </w:p>
    <w:p w14:paraId="51B88199" w14:textId="11DCA7A0" w:rsidR="00442579" w:rsidRPr="00610B1B" w:rsidRDefault="00442579" w:rsidP="00D32D6A">
      <w:pPr>
        <w:tabs>
          <w:tab w:val="left" w:pos="6930"/>
        </w:tabs>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„Античен и средновековен град Улпия Анхиалейон Палеокастро”, гр.</w:t>
      </w:r>
      <w:r w:rsidR="00E100A6"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Поморие,</w:t>
      </w:r>
      <w:r w:rsidRPr="00610B1B">
        <w:rPr>
          <w:rFonts w:ascii="Times New Roman" w:eastAsia="Times New Roman" w:hAnsi="Times New Roman" w:cs="Times New Roman"/>
          <w:bCs/>
          <w:sz w:val="24"/>
          <w:szCs w:val="24"/>
          <w:lang w:val="bg-BG"/>
        </w:rPr>
        <w:t xml:space="preserve"> </w:t>
      </w:r>
      <w:r w:rsidR="00E100A6" w:rsidRPr="00610B1B">
        <w:rPr>
          <w:rFonts w:ascii="Times New Roman" w:eastAsia="Times New Roman" w:hAnsi="Times New Roman" w:cs="Times New Roman"/>
          <w:bCs/>
          <w:sz w:val="24"/>
          <w:szCs w:val="24"/>
          <w:lang w:val="bg-BG"/>
        </w:rPr>
        <w:t xml:space="preserve">е </w:t>
      </w:r>
      <w:r w:rsidRPr="00610B1B">
        <w:rPr>
          <w:rFonts w:ascii="Times New Roman" w:eastAsia="Times New Roman" w:hAnsi="Times New Roman" w:cs="Times New Roman"/>
          <w:sz w:val="24"/>
          <w:szCs w:val="24"/>
          <w:lang w:val="bg-BG"/>
        </w:rPr>
        <w:t>НКЦ от национално значение. Със Заповед № РД-19-334/12.04.1990 г. на Министерство на културата</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и Министерство на строителството, архитектурата и благоустройството са определени режими за опазване. Във връзка с процедирането на проект за изменение на ОУП на града, със заповед на Министъра на културата е свикана междуведомствена комисия за разглеждане и прецизиране на режимите. Комисията констатира нерегламентирано строителство в </w:t>
      </w:r>
      <w:r w:rsidR="00DD68AE" w:rsidRPr="00610B1B">
        <w:rPr>
          <w:rFonts w:ascii="Times New Roman" w:eastAsia="Times New Roman" w:hAnsi="Times New Roman" w:cs="Times New Roman"/>
          <w:sz w:val="24"/>
          <w:szCs w:val="24"/>
          <w:lang w:val="bg-BG"/>
        </w:rPr>
        <w:t>зона Б на НКЦ където съществуват частни имоти.</w:t>
      </w:r>
      <w:r w:rsidRPr="00610B1B">
        <w:rPr>
          <w:rFonts w:ascii="Times New Roman" w:eastAsia="Times New Roman" w:hAnsi="Times New Roman" w:cs="Times New Roman"/>
          <w:sz w:val="24"/>
          <w:szCs w:val="24"/>
          <w:lang w:val="bg-BG"/>
        </w:rPr>
        <w:t xml:space="preserve"> </w:t>
      </w:r>
      <w:r w:rsidR="00873E4B" w:rsidRPr="00610B1B">
        <w:rPr>
          <w:rFonts w:ascii="Times New Roman" w:eastAsia="Times New Roman" w:hAnsi="Times New Roman" w:cs="Times New Roman"/>
          <w:sz w:val="24"/>
          <w:szCs w:val="24"/>
          <w:lang w:val="bg-BG"/>
        </w:rPr>
        <w:t xml:space="preserve">Отменя се </w:t>
      </w:r>
      <w:r w:rsidRPr="00610B1B">
        <w:rPr>
          <w:rFonts w:ascii="Times New Roman" w:eastAsia="Times New Roman" w:hAnsi="Times New Roman" w:cs="Times New Roman"/>
          <w:sz w:val="24"/>
          <w:szCs w:val="24"/>
          <w:lang w:val="bg-BG"/>
        </w:rPr>
        <w:t>охранителната зона</w:t>
      </w:r>
      <w:r w:rsidR="00873E4B" w:rsidRPr="00610B1B">
        <w:rPr>
          <w:rFonts w:ascii="Times New Roman" w:eastAsia="Times New Roman" w:hAnsi="Times New Roman" w:cs="Times New Roman"/>
          <w:sz w:val="24"/>
          <w:szCs w:val="24"/>
          <w:lang w:val="bg-BG"/>
        </w:rPr>
        <w:t>, а г</w:t>
      </w:r>
      <w:r w:rsidRPr="00610B1B">
        <w:rPr>
          <w:rFonts w:ascii="Times New Roman" w:eastAsia="Times New Roman" w:hAnsi="Times New Roman" w:cs="Times New Roman"/>
          <w:sz w:val="24"/>
          <w:szCs w:val="24"/>
          <w:lang w:val="bg-BG"/>
        </w:rPr>
        <w:t xml:space="preserve">руби строителни намеси от последните години пречат за възприемането на </w:t>
      </w:r>
      <w:r w:rsidR="00873E4B" w:rsidRPr="00610B1B">
        <w:rPr>
          <w:rFonts w:ascii="Times New Roman" w:eastAsia="Times New Roman" w:hAnsi="Times New Roman" w:cs="Times New Roman"/>
          <w:sz w:val="24"/>
          <w:szCs w:val="24"/>
          <w:lang w:val="bg-BG"/>
        </w:rPr>
        <w:t>обекта</w:t>
      </w:r>
      <w:r w:rsidRPr="00610B1B">
        <w:rPr>
          <w:rFonts w:ascii="Times New Roman" w:eastAsia="Times New Roman" w:hAnsi="Times New Roman" w:cs="Times New Roman"/>
          <w:sz w:val="24"/>
          <w:szCs w:val="24"/>
          <w:lang w:val="bg-BG"/>
        </w:rPr>
        <w:t>. Не са проведени КРР, както и дейности по социализация на обекта.</w:t>
      </w:r>
    </w:p>
    <w:p w14:paraId="070445BD" w14:textId="17DBA4D9"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color w:val="000000"/>
          <w:sz w:val="24"/>
          <w:szCs w:val="24"/>
          <w:lang w:val="bg-BG"/>
        </w:rPr>
        <w:t>„Античен комплекс и средновековна църква” , гр. Бургас, кв. Сарафово</w:t>
      </w:r>
      <w:r w:rsidR="00E100A6" w:rsidRPr="00610B1B">
        <w:rPr>
          <w:rFonts w:ascii="Times New Roman" w:eastAsia="Times New Roman" w:hAnsi="Times New Roman" w:cs="Times New Roman"/>
          <w:bCs/>
          <w:i/>
          <w:iCs/>
          <w:color w:val="000000"/>
          <w:sz w:val="24"/>
          <w:szCs w:val="24"/>
          <w:lang w:val="bg-BG"/>
        </w:rPr>
        <w:t xml:space="preserve"> </w:t>
      </w:r>
      <w:r w:rsidR="00E100A6" w:rsidRPr="00610B1B">
        <w:rPr>
          <w:rFonts w:ascii="Times New Roman" w:eastAsia="Times New Roman" w:hAnsi="Times New Roman" w:cs="Times New Roman"/>
          <w:bCs/>
          <w:color w:val="000000"/>
          <w:sz w:val="24"/>
          <w:szCs w:val="24"/>
          <w:lang w:val="bg-BG"/>
        </w:rPr>
        <w:t>е г</w:t>
      </w:r>
      <w:r w:rsidRPr="00610B1B">
        <w:rPr>
          <w:rFonts w:ascii="Times New Roman" w:eastAsia="Times New Roman" w:hAnsi="Times New Roman" w:cs="Times New Roman"/>
          <w:color w:val="000000"/>
          <w:sz w:val="24"/>
          <w:szCs w:val="24"/>
          <w:lang w:val="bg-BG"/>
        </w:rPr>
        <w:t>рупова НКЦ с категория „национално значение“ и с</w:t>
      </w:r>
      <w:r w:rsidRPr="00610B1B">
        <w:rPr>
          <w:rFonts w:ascii="Times New Roman" w:eastAsia="Times New Roman" w:hAnsi="Times New Roman" w:cs="Times New Roman"/>
          <w:sz w:val="24"/>
          <w:szCs w:val="24"/>
          <w:lang w:val="bg-BG"/>
        </w:rPr>
        <w:t xml:space="preserve"> определени режими на опазване</w:t>
      </w:r>
      <w:r w:rsidR="00E100A6" w:rsidRPr="00610B1B">
        <w:rPr>
          <w:rFonts w:ascii="Times New Roman" w:eastAsia="Times New Roman" w:hAnsi="Times New Roman" w:cs="Times New Roman"/>
          <w:sz w:val="24"/>
          <w:szCs w:val="24"/>
          <w:lang w:val="bg-BG"/>
        </w:rPr>
        <w:t xml:space="preserve">, която се нуждае от </w:t>
      </w:r>
      <w:r w:rsidRPr="00610B1B">
        <w:rPr>
          <w:rFonts w:ascii="Times New Roman" w:eastAsia="Times New Roman" w:hAnsi="Times New Roman" w:cs="Times New Roman"/>
          <w:sz w:val="24"/>
          <w:szCs w:val="24"/>
          <w:lang w:val="bg-BG"/>
        </w:rPr>
        <w:lastRenderedPageBreak/>
        <w:t>допълнителни археологически проучвания. Липс</w:t>
      </w:r>
      <w:r w:rsidR="00E100A6" w:rsidRPr="00610B1B">
        <w:rPr>
          <w:rFonts w:ascii="Times New Roman" w:eastAsia="Times New Roman" w:hAnsi="Times New Roman" w:cs="Times New Roman"/>
          <w:sz w:val="24"/>
          <w:szCs w:val="24"/>
          <w:lang w:val="bg-BG"/>
        </w:rPr>
        <w:t>ват</w:t>
      </w:r>
      <w:r w:rsidRPr="00610B1B">
        <w:rPr>
          <w:rFonts w:ascii="Times New Roman" w:eastAsia="Times New Roman" w:hAnsi="Times New Roman" w:cs="Times New Roman"/>
          <w:sz w:val="24"/>
          <w:szCs w:val="24"/>
          <w:lang w:val="bg-BG"/>
        </w:rPr>
        <w:t xml:space="preserve"> проведени КРР, адаптация и социализация на НКЦ.</w:t>
      </w:r>
    </w:p>
    <w:p w14:paraId="34704828" w14:textId="55B0D295"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„Късноантична и средновековна крепост“ разположена в землището на гр. Ахтопол</w:t>
      </w:r>
      <w:r w:rsidR="00E100A6" w:rsidRPr="00610B1B">
        <w:rPr>
          <w:rFonts w:ascii="Times New Roman" w:eastAsia="Times New Roman" w:hAnsi="Times New Roman" w:cs="Times New Roman"/>
          <w:bCs/>
          <w:i/>
          <w:iCs/>
          <w:sz w:val="24"/>
          <w:szCs w:val="24"/>
          <w:lang w:val="bg-BG"/>
        </w:rPr>
        <w:t xml:space="preserve"> </w:t>
      </w:r>
      <w:r w:rsidR="00E100A6" w:rsidRPr="00610B1B">
        <w:rPr>
          <w:rFonts w:ascii="Times New Roman" w:eastAsia="Times New Roman" w:hAnsi="Times New Roman" w:cs="Times New Roman"/>
          <w:bCs/>
          <w:sz w:val="24"/>
          <w:szCs w:val="24"/>
          <w:lang w:val="bg-BG"/>
        </w:rPr>
        <w:t>е</w:t>
      </w:r>
      <w:r w:rsidR="00C415D1" w:rsidRPr="00610B1B">
        <w:rPr>
          <w:rFonts w:ascii="Times New Roman" w:eastAsia="Times New Roman" w:hAnsi="Times New Roman" w:cs="Times New Roman"/>
          <w:bCs/>
          <w:sz w:val="24"/>
          <w:szCs w:val="24"/>
          <w:lang w:val="bg-BG"/>
        </w:rPr>
        <w:t xml:space="preserve"> </w:t>
      </w:r>
      <w:r w:rsidR="00E100A6" w:rsidRPr="00610B1B">
        <w:rPr>
          <w:rFonts w:ascii="Times New Roman" w:eastAsia="Times New Roman" w:hAnsi="Times New Roman" w:cs="Times New Roman"/>
          <w:sz w:val="24"/>
          <w:szCs w:val="24"/>
          <w:lang w:val="bg-BG"/>
        </w:rPr>
        <w:t xml:space="preserve">групова </w:t>
      </w:r>
      <w:r w:rsidRPr="00610B1B">
        <w:rPr>
          <w:rFonts w:ascii="Times New Roman" w:eastAsia="Times New Roman" w:hAnsi="Times New Roman" w:cs="Times New Roman"/>
          <w:sz w:val="24"/>
          <w:szCs w:val="24"/>
          <w:lang w:val="bg-BG"/>
        </w:rPr>
        <w:t>археологическа НКЦ, с категория „национално значение“, с определени режими на опазване</w:t>
      </w:r>
      <w:r w:rsidR="00E100A6" w:rsidRPr="00610B1B">
        <w:rPr>
          <w:rFonts w:ascii="Times New Roman" w:eastAsia="Times New Roman" w:hAnsi="Times New Roman" w:cs="Times New Roman"/>
          <w:sz w:val="24"/>
          <w:szCs w:val="24"/>
          <w:lang w:val="bg-BG"/>
        </w:rPr>
        <w:t>, с о</w:t>
      </w:r>
      <w:r w:rsidRPr="00610B1B">
        <w:rPr>
          <w:rFonts w:ascii="Times New Roman" w:eastAsia="Times New Roman" w:hAnsi="Times New Roman" w:cs="Times New Roman"/>
          <w:sz w:val="24"/>
          <w:szCs w:val="24"/>
          <w:lang w:val="bg-BG"/>
        </w:rPr>
        <w:t>бща площ 127,0</w:t>
      </w:r>
      <w:r w:rsidR="00E100A6" w:rsidRPr="00610B1B">
        <w:rPr>
          <w:rFonts w:ascii="Times New Roman" w:eastAsia="Times New Roman" w:hAnsi="Times New Roman" w:cs="Times New Roman"/>
          <w:sz w:val="24"/>
          <w:szCs w:val="24"/>
          <w:lang w:val="bg-BG"/>
        </w:rPr>
        <w:t>6</w:t>
      </w:r>
      <w:r w:rsidRPr="00610B1B">
        <w:rPr>
          <w:rFonts w:ascii="Times New Roman" w:eastAsia="Times New Roman" w:hAnsi="Times New Roman" w:cs="Times New Roman"/>
          <w:sz w:val="24"/>
          <w:szCs w:val="24"/>
          <w:lang w:val="bg-BG"/>
        </w:rPr>
        <w:t xml:space="preserve"> дка, а на охранителната зона – 82,3</w:t>
      </w:r>
      <w:r w:rsidR="00E100A6" w:rsidRPr="00610B1B">
        <w:rPr>
          <w:rFonts w:ascii="Times New Roman" w:eastAsia="Times New Roman" w:hAnsi="Times New Roman" w:cs="Times New Roman"/>
          <w:sz w:val="24"/>
          <w:szCs w:val="24"/>
          <w:lang w:val="bg-BG"/>
        </w:rPr>
        <w:t>2</w:t>
      </w:r>
      <w:r w:rsidRPr="00610B1B">
        <w:rPr>
          <w:rFonts w:ascii="Times New Roman" w:eastAsia="Times New Roman" w:hAnsi="Times New Roman" w:cs="Times New Roman"/>
          <w:sz w:val="24"/>
          <w:szCs w:val="24"/>
          <w:lang w:val="bg-BG"/>
        </w:rPr>
        <w:t xml:space="preserve"> дка. </w:t>
      </w:r>
      <w:r w:rsidR="0049641D" w:rsidRPr="00610B1B">
        <w:rPr>
          <w:rFonts w:ascii="Times New Roman" w:eastAsia="Times New Roman" w:hAnsi="Times New Roman" w:cs="Times New Roman"/>
          <w:sz w:val="24"/>
          <w:szCs w:val="24"/>
          <w:lang w:val="bg-BG"/>
        </w:rPr>
        <w:t>Крепостта все</w:t>
      </w:r>
      <w:r w:rsidRPr="00610B1B">
        <w:rPr>
          <w:rFonts w:ascii="Times New Roman" w:eastAsia="Times New Roman" w:hAnsi="Times New Roman" w:cs="Times New Roman"/>
          <w:sz w:val="24"/>
          <w:szCs w:val="24"/>
          <w:lang w:val="bg-BG"/>
        </w:rPr>
        <w:t xml:space="preserve"> още </w:t>
      </w:r>
      <w:r w:rsidR="0049641D" w:rsidRPr="00610B1B">
        <w:rPr>
          <w:rFonts w:ascii="Times New Roman" w:eastAsia="Times New Roman" w:hAnsi="Times New Roman" w:cs="Times New Roman"/>
          <w:sz w:val="24"/>
          <w:szCs w:val="24"/>
          <w:lang w:val="bg-BG"/>
        </w:rPr>
        <w:t xml:space="preserve">не е </w:t>
      </w:r>
      <w:r w:rsidRPr="00610B1B">
        <w:rPr>
          <w:rFonts w:ascii="Times New Roman" w:eastAsia="Times New Roman" w:hAnsi="Times New Roman" w:cs="Times New Roman"/>
          <w:sz w:val="24"/>
          <w:szCs w:val="24"/>
          <w:lang w:val="bg-BG"/>
        </w:rPr>
        <w:t>достатъчно проучена. Липсват проведени КРР дейности, както и такива по адаптация и социализация на обекта. Налични са строителни намеси от последните години, които пречат за възприемането на НКЦ.</w:t>
      </w:r>
    </w:p>
    <w:p w14:paraId="0251DC5B" w14:textId="70489140" w:rsidR="00442579" w:rsidRPr="00610B1B" w:rsidRDefault="0049641D" w:rsidP="00D32D6A">
      <w:pPr>
        <w:pStyle w:val="Heading4"/>
        <w:spacing w:before="0" w:line="276" w:lineRule="auto"/>
        <w:ind w:right="-153"/>
        <w:rPr>
          <w:rFonts w:cs="Times New Roman"/>
        </w:rPr>
      </w:pPr>
      <w:r w:rsidRPr="00610B1B">
        <w:rPr>
          <w:rFonts w:cs="Times New Roman"/>
        </w:rPr>
        <w:t xml:space="preserve">3.7.2.3. Единични археологически </w:t>
      </w:r>
      <w:r w:rsidR="00442579" w:rsidRPr="00610B1B">
        <w:rPr>
          <w:rFonts w:cs="Times New Roman"/>
        </w:rPr>
        <w:t>НКЦ</w:t>
      </w:r>
    </w:p>
    <w:p w14:paraId="44199D12" w14:textId="1056F76C"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„Античен храм на богинята Кибела”, гр.</w:t>
      </w:r>
      <w:r w:rsidR="0049641D"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Балчик</w:t>
      </w:r>
      <w:r w:rsidR="0049641D" w:rsidRPr="00610B1B">
        <w:rPr>
          <w:rFonts w:ascii="Times New Roman" w:eastAsia="Times New Roman" w:hAnsi="Times New Roman" w:cs="Times New Roman"/>
          <w:bCs/>
          <w:sz w:val="24"/>
          <w:szCs w:val="24"/>
          <w:lang w:val="bg-BG"/>
        </w:rPr>
        <w:t xml:space="preserve"> е а</w:t>
      </w:r>
      <w:r w:rsidRPr="00610B1B">
        <w:rPr>
          <w:rFonts w:ascii="Times New Roman" w:eastAsia="Times New Roman" w:hAnsi="Times New Roman" w:cs="Times New Roman"/>
          <w:sz w:val="24"/>
          <w:szCs w:val="24"/>
          <w:lang w:val="bg-BG"/>
        </w:rPr>
        <w:t xml:space="preserve">рхеологическа НКЦ с категория „национално значение“. Определени са режими за опазване. Храмът е с типичната за античните гръцки храмове планова схема </w:t>
      </w:r>
      <w:r w:rsidR="00461059"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правоъгълен наос и предхождан от пронаос. Датиран в периода 280-260 г. пр.</w:t>
      </w:r>
      <w:r w:rsidR="0049641D" w:rsidRPr="00610B1B">
        <w:rPr>
          <w:rFonts w:ascii="Times New Roman" w:eastAsia="Times New Roman" w:hAnsi="Times New Roman" w:cs="Times New Roman"/>
          <w:sz w:val="24"/>
          <w:szCs w:val="24"/>
          <w:lang w:val="bg-BG"/>
        </w:rPr>
        <w:t xml:space="preserve"> Хр</w:t>
      </w:r>
      <w:r w:rsidRPr="00610B1B">
        <w:rPr>
          <w:rFonts w:ascii="Times New Roman" w:eastAsia="Times New Roman" w:hAnsi="Times New Roman" w:cs="Times New Roman"/>
          <w:sz w:val="24"/>
          <w:szCs w:val="24"/>
          <w:lang w:val="bg-BG"/>
        </w:rPr>
        <w:t>. това е еди</w:t>
      </w:r>
      <w:r w:rsidR="0049641D" w:rsidRPr="00610B1B">
        <w:rPr>
          <w:rFonts w:ascii="Times New Roman" w:eastAsia="Times New Roman" w:hAnsi="Times New Roman" w:cs="Times New Roman"/>
          <w:sz w:val="24"/>
          <w:szCs w:val="24"/>
          <w:lang w:val="bg-BG"/>
        </w:rPr>
        <w:t>н</w:t>
      </w:r>
      <w:r w:rsidRPr="00610B1B">
        <w:rPr>
          <w:rFonts w:ascii="Times New Roman" w:eastAsia="Times New Roman" w:hAnsi="Times New Roman" w:cs="Times New Roman"/>
          <w:sz w:val="24"/>
          <w:szCs w:val="24"/>
          <w:lang w:val="bg-BG"/>
        </w:rPr>
        <w:t xml:space="preserve">ственият </w:t>
      </w:r>
      <w:r w:rsidR="0049641D" w:rsidRPr="00610B1B">
        <w:rPr>
          <w:rFonts w:ascii="Times New Roman" w:eastAsia="Times New Roman" w:hAnsi="Times New Roman" w:cs="Times New Roman"/>
          <w:sz w:val="24"/>
          <w:szCs w:val="24"/>
          <w:lang w:val="bg-BG"/>
        </w:rPr>
        <w:t xml:space="preserve">такъв </w:t>
      </w:r>
      <w:r w:rsidRPr="00610B1B">
        <w:rPr>
          <w:rFonts w:ascii="Times New Roman" w:eastAsia="Times New Roman" w:hAnsi="Times New Roman" w:cs="Times New Roman"/>
          <w:sz w:val="24"/>
          <w:szCs w:val="24"/>
          <w:lang w:val="bg-BG"/>
        </w:rPr>
        <w:t>храм, открит в източната част на Балканския п</w:t>
      </w:r>
      <w:r w:rsidR="00340BF8" w:rsidRPr="00610B1B">
        <w:rPr>
          <w:rFonts w:ascii="Times New Roman" w:eastAsia="Times New Roman" w:hAnsi="Times New Roman" w:cs="Times New Roman"/>
          <w:sz w:val="24"/>
          <w:szCs w:val="24"/>
          <w:lang w:val="bg-BG"/>
        </w:rPr>
        <w:t>олуостров</w:t>
      </w:r>
      <w:r w:rsidRPr="00610B1B">
        <w:rPr>
          <w:rFonts w:ascii="Times New Roman" w:eastAsia="Times New Roman" w:hAnsi="Times New Roman" w:cs="Times New Roman"/>
          <w:sz w:val="24"/>
          <w:szCs w:val="24"/>
          <w:lang w:val="bg-BG"/>
        </w:rPr>
        <w:t xml:space="preserve"> и най-добре запазеният храм от епохата на Елинизма в България.</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Експониран е in situ, но новопостроените сгради пречат на неговата изява. </w:t>
      </w:r>
    </w:p>
    <w:p w14:paraId="42943BA7" w14:textId="12CFD454"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„Епископска базилика на Одесос, ул. „Хан Крум””, „Късноантична баня (IV-VI век)”и „Антична сграда на римските терми”, гр. Варна</w:t>
      </w:r>
      <w:r w:rsidR="0049641D" w:rsidRPr="00610B1B">
        <w:rPr>
          <w:rFonts w:ascii="Times New Roman" w:eastAsia="Times New Roman" w:hAnsi="Times New Roman" w:cs="Times New Roman"/>
          <w:bCs/>
          <w:i/>
          <w:iCs/>
          <w:sz w:val="24"/>
          <w:szCs w:val="24"/>
          <w:lang w:val="bg-BG"/>
        </w:rPr>
        <w:t xml:space="preserve"> </w:t>
      </w:r>
      <w:r w:rsidR="0049641D" w:rsidRPr="00610B1B">
        <w:rPr>
          <w:rFonts w:ascii="Times New Roman" w:eastAsia="Times New Roman" w:hAnsi="Times New Roman" w:cs="Times New Roman"/>
          <w:bCs/>
          <w:sz w:val="24"/>
          <w:szCs w:val="24"/>
          <w:lang w:val="bg-BG"/>
        </w:rPr>
        <w:t>са г</w:t>
      </w:r>
      <w:r w:rsidRPr="00610B1B">
        <w:rPr>
          <w:rFonts w:ascii="Times New Roman" w:eastAsia="Times New Roman" w:hAnsi="Times New Roman" w:cs="Times New Roman"/>
          <w:sz w:val="24"/>
          <w:szCs w:val="24"/>
          <w:lang w:val="bg-BG"/>
        </w:rPr>
        <w:t>рупов</w:t>
      </w:r>
      <w:r w:rsidR="0049641D"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 xml:space="preserve"> археологическа НКЦ, с категория „национално значение“ и определени режими на опазване.</w:t>
      </w:r>
      <w:r w:rsidR="0049641D"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Обектите попадат в границите на АР „Одесос-Варна“ и не е дефинирана охранителна зона.</w:t>
      </w:r>
      <w:r w:rsidR="0049641D" w:rsidRPr="00610B1B">
        <w:rPr>
          <w:rFonts w:ascii="Times New Roman" w:eastAsia="Times New Roman" w:hAnsi="Times New Roman" w:cs="Times New Roman"/>
          <w:sz w:val="24"/>
          <w:szCs w:val="24"/>
          <w:lang w:val="bg-BG"/>
        </w:rPr>
        <w:t xml:space="preserve"> </w:t>
      </w:r>
      <w:r w:rsidR="00DD68AE" w:rsidRPr="00610B1B">
        <w:rPr>
          <w:rFonts w:ascii="Times New Roman" w:eastAsia="Times New Roman" w:hAnsi="Times New Roman" w:cs="Times New Roman"/>
          <w:sz w:val="24"/>
          <w:szCs w:val="24"/>
          <w:lang w:val="bg-BG"/>
        </w:rPr>
        <w:t>Въпреки че Античната сграда на римските терми е с проведени КРР, части от обекта се рушат и са необходими дейности по реконсервация. Обектите не са социализирани.</w:t>
      </w:r>
    </w:p>
    <w:p w14:paraId="6C64F8A0" w14:textId="3D777175" w:rsidR="00442579" w:rsidRPr="00610B1B" w:rsidRDefault="00442579" w:rsidP="00D32D6A">
      <w:pPr>
        <w:spacing w:after="120"/>
        <w:ind w:right="-153"/>
        <w:jc w:val="both"/>
        <w:rPr>
          <w:rFonts w:ascii="Times New Roman" w:eastAsia="Times New Roman" w:hAnsi="Times New Roman" w:cs="Times New Roman"/>
          <w:b/>
          <w:sz w:val="24"/>
          <w:szCs w:val="24"/>
          <w:u w:val="single"/>
          <w:lang w:val="bg-BG"/>
        </w:rPr>
      </w:pPr>
      <w:r w:rsidRPr="00610B1B">
        <w:rPr>
          <w:rFonts w:ascii="Times New Roman" w:eastAsia="Times New Roman" w:hAnsi="Times New Roman" w:cs="Times New Roman"/>
          <w:bCs/>
          <w:i/>
          <w:iCs/>
          <w:sz w:val="24"/>
          <w:szCs w:val="24"/>
          <w:lang w:val="bg-BG"/>
        </w:rPr>
        <w:t xml:space="preserve">Каменна защитна преградна стена </w:t>
      </w:r>
      <w:r w:rsidR="0049641D"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с укрепление към нея</w:t>
      </w:r>
      <w:r w:rsidR="0049641D"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 xml:space="preserve"> от ранновизантийската епоха, гр. Обзор</w:t>
      </w:r>
      <w:r w:rsidR="0049641D" w:rsidRPr="00610B1B">
        <w:rPr>
          <w:rFonts w:ascii="Times New Roman" w:eastAsia="Times New Roman" w:hAnsi="Times New Roman" w:cs="Times New Roman"/>
          <w:bCs/>
          <w:i/>
          <w:iCs/>
          <w:sz w:val="24"/>
          <w:szCs w:val="24"/>
          <w:u w:val="single"/>
          <w:lang w:val="bg-BG"/>
        </w:rPr>
        <w:t xml:space="preserve"> </w:t>
      </w:r>
      <w:r w:rsidR="0049641D" w:rsidRPr="00610B1B">
        <w:rPr>
          <w:rFonts w:ascii="Times New Roman" w:eastAsia="Times New Roman" w:hAnsi="Times New Roman" w:cs="Times New Roman"/>
          <w:bCs/>
          <w:sz w:val="24"/>
          <w:szCs w:val="24"/>
          <w:lang w:val="bg-BG"/>
        </w:rPr>
        <w:t xml:space="preserve">е </w:t>
      </w:r>
      <w:r w:rsidR="0049641D" w:rsidRPr="00610B1B">
        <w:rPr>
          <w:rFonts w:ascii="Times New Roman" w:eastAsia="Times New Roman" w:hAnsi="Times New Roman" w:cs="Times New Roman"/>
          <w:color w:val="000000"/>
          <w:sz w:val="24"/>
          <w:szCs w:val="24"/>
          <w:lang w:val="bg-BG"/>
        </w:rPr>
        <w:t xml:space="preserve">единична </w:t>
      </w:r>
      <w:r w:rsidRPr="00610B1B">
        <w:rPr>
          <w:rFonts w:ascii="Times New Roman" w:eastAsia="Times New Roman" w:hAnsi="Times New Roman" w:cs="Times New Roman"/>
          <w:color w:val="000000"/>
          <w:sz w:val="24"/>
          <w:szCs w:val="24"/>
          <w:lang w:val="bg-BG"/>
        </w:rPr>
        <w:t xml:space="preserve">археологическа НКЦ с категория „национално значение“. Липсват </w:t>
      </w:r>
      <w:r w:rsidRPr="00610B1B">
        <w:rPr>
          <w:rFonts w:ascii="Times New Roman" w:eastAsia="Times New Roman" w:hAnsi="Times New Roman" w:cs="Times New Roman"/>
          <w:sz w:val="24"/>
          <w:szCs w:val="24"/>
          <w:lang w:val="bg-BG"/>
        </w:rPr>
        <w:t>режими на опазване</w:t>
      </w:r>
      <w:r w:rsidR="0049641D"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КРР </w:t>
      </w:r>
      <w:r w:rsidR="0049641D" w:rsidRPr="00610B1B">
        <w:rPr>
          <w:rFonts w:ascii="Times New Roman" w:eastAsia="Times New Roman" w:hAnsi="Times New Roman" w:cs="Times New Roman"/>
          <w:sz w:val="24"/>
          <w:szCs w:val="24"/>
          <w:lang w:val="bg-BG"/>
        </w:rPr>
        <w:t xml:space="preserve">и </w:t>
      </w:r>
      <w:r w:rsidRPr="00610B1B">
        <w:rPr>
          <w:rFonts w:ascii="Times New Roman" w:eastAsia="Times New Roman" w:hAnsi="Times New Roman" w:cs="Times New Roman"/>
          <w:sz w:val="24"/>
          <w:szCs w:val="24"/>
          <w:lang w:val="bg-BG"/>
        </w:rPr>
        <w:t xml:space="preserve">дейности по адаптация и социализация на обекта. </w:t>
      </w:r>
    </w:p>
    <w:p w14:paraId="2081EF08" w14:textId="1E2C58C9" w:rsidR="00442579" w:rsidRPr="00610B1B" w:rsidRDefault="00442579"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bCs/>
          <w:i/>
          <w:iCs/>
          <w:sz w:val="24"/>
          <w:szCs w:val="24"/>
          <w:lang w:val="bg-BG"/>
        </w:rPr>
        <w:t>Крепост от ранновизантийската епоха</w:t>
      </w:r>
      <w:r w:rsidR="00D66FE0"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 xml:space="preserve">и българското средновековие </w:t>
      </w:r>
      <w:r w:rsidR="0049641D"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Козяк</w:t>
      </w:r>
      <w:r w:rsidR="0049641D"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w:t>
      </w:r>
      <w:r w:rsidR="00D66FE0"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 xml:space="preserve">гр. Обзор, </w:t>
      </w:r>
      <w:r w:rsidR="0049641D" w:rsidRPr="00610B1B">
        <w:rPr>
          <w:rFonts w:ascii="Times New Roman" w:eastAsia="Times New Roman" w:hAnsi="Times New Roman" w:cs="Times New Roman"/>
          <w:bCs/>
          <w:sz w:val="24"/>
          <w:szCs w:val="24"/>
          <w:lang w:val="bg-BG"/>
        </w:rPr>
        <w:t xml:space="preserve">е </w:t>
      </w:r>
      <w:r w:rsidR="0049641D" w:rsidRPr="00610B1B">
        <w:rPr>
          <w:rFonts w:ascii="Times New Roman" w:eastAsia="Times New Roman" w:hAnsi="Times New Roman" w:cs="Times New Roman"/>
          <w:color w:val="000000"/>
          <w:sz w:val="24"/>
          <w:szCs w:val="24"/>
          <w:lang w:val="bg-BG"/>
        </w:rPr>
        <w:t xml:space="preserve">единична </w:t>
      </w:r>
      <w:r w:rsidRPr="00610B1B">
        <w:rPr>
          <w:rFonts w:ascii="Times New Roman" w:eastAsia="Times New Roman" w:hAnsi="Times New Roman" w:cs="Times New Roman"/>
          <w:color w:val="000000"/>
          <w:sz w:val="24"/>
          <w:szCs w:val="24"/>
          <w:lang w:val="bg-BG"/>
        </w:rPr>
        <w:t>археологическа НКЦ, с категория „национално значение“.</w:t>
      </w:r>
      <w:r w:rsidR="0049641D" w:rsidRPr="00610B1B">
        <w:rPr>
          <w:rFonts w:ascii="Times New Roman" w:eastAsia="Times New Roman" w:hAnsi="Times New Roman" w:cs="Times New Roman"/>
          <w:color w:val="000000"/>
          <w:sz w:val="24"/>
          <w:szCs w:val="24"/>
          <w:lang w:val="bg-BG"/>
        </w:rPr>
        <w:t xml:space="preserve"> </w:t>
      </w:r>
      <w:r w:rsidRPr="00610B1B">
        <w:rPr>
          <w:rFonts w:ascii="Times New Roman" w:eastAsia="Times New Roman" w:hAnsi="Times New Roman" w:cs="Times New Roman"/>
          <w:sz w:val="24"/>
          <w:szCs w:val="24"/>
          <w:lang w:val="bg-BG"/>
        </w:rPr>
        <w:t>Липсват проведени КРР дейности, както и такива по адаптация и социализация на обекта. Необходимо</w:t>
      </w:r>
      <w:r w:rsidR="0049641D" w:rsidRPr="00610B1B">
        <w:rPr>
          <w:rFonts w:ascii="Times New Roman" w:eastAsia="Times New Roman" w:hAnsi="Times New Roman" w:cs="Times New Roman"/>
          <w:sz w:val="24"/>
          <w:szCs w:val="24"/>
          <w:lang w:val="bg-BG"/>
        </w:rPr>
        <w:t xml:space="preserve"> е </w:t>
      </w:r>
      <w:r w:rsidRPr="00610B1B">
        <w:rPr>
          <w:rFonts w:ascii="Times New Roman" w:eastAsia="Times New Roman" w:hAnsi="Times New Roman" w:cs="Times New Roman"/>
          <w:sz w:val="24"/>
          <w:szCs w:val="24"/>
          <w:lang w:val="bg-BG"/>
        </w:rPr>
        <w:t>допълнително проучване.</w:t>
      </w:r>
    </w:p>
    <w:p w14:paraId="0919A4D7" w14:textId="2CFC709B"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iCs/>
          <w:sz w:val="24"/>
          <w:szCs w:val="24"/>
          <w:lang w:val="bg-BG"/>
        </w:rPr>
        <w:t>„Средновековни манастирски комплекси на нос „Емине“ и в м</w:t>
      </w:r>
      <w:r w:rsidR="00461059" w:rsidRPr="00610B1B">
        <w:rPr>
          <w:rFonts w:ascii="Times New Roman" w:eastAsia="Times New Roman" w:hAnsi="Times New Roman" w:cs="Times New Roman"/>
          <w:i/>
          <w:iCs/>
          <w:sz w:val="24"/>
          <w:szCs w:val="24"/>
          <w:lang w:val="bg-BG"/>
        </w:rPr>
        <w:t> </w:t>
      </w:r>
      <w:r w:rsidRPr="00610B1B">
        <w:rPr>
          <w:rFonts w:ascii="Times New Roman" w:eastAsia="Times New Roman" w:hAnsi="Times New Roman" w:cs="Times New Roman"/>
          <w:i/>
          <w:iCs/>
          <w:sz w:val="24"/>
          <w:szCs w:val="24"/>
          <w:lang w:val="bg-BG"/>
        </w:rPr>
        <w:t>.„Козлука“ край</w:t>
      </w:r>
      <w:r w:rsidR="0049641D" w:rsidRPr="00610B1B">
        <w:rPr>
          <w:rFonts w:ascii="Times New Roman" w:eastAsia="Times New Roman" w:hAnsi="Times New Roman" w:cs="Times New Roman"/>
          <w:i/>
          <w:iCs/>
          <w:sz w:val="24"/>
          <w:szCs w:val="24"/>
          <w:lang w:val="bg-BG"/>
        </w:rPr>
        <w:t xml:space="preserve"> </w:t>
      </w:r>
      <w:r w:rsidRPr="00610B1B">
        <w:rPr>
          <w:rFonts w:ascii="Times New Roman" w:eastAsia="Times New Roman" w:hAnsi="Times New Roman" w:cs="Times New Roman"/>
          <w:i/>
          <w:iCs/>
          <w:sz w:val="24"/>
          <w:szCs w:val="24"/>
          <w:lang w:val="bg-BG"/>
        </w:rPr>
        <w:t>с. „Св. Влас</w:t>
      </w:r>
      <w:r w:rsidR="0049641D" w:rsidRPr="00610B1B">
        <w:rPr>
          <w:rFonts w:ascii="Times New Roman" w:eastAsia="Times New Roman" w:hAnsi="Times New Roman" w:cs="Times New Roman"/>
          <w:i/>
          <w:iCs/>
          <w:sz w:val="24"/>
          <w:szCs w:val="24"/>
          <w:lang w:val="bg-BG"/>
        </w:rPr>
        <w:t xml:space="preserve">“ </w:t>
      </w:r>
      <w:r w:rsidR="0049641D" w:rsidRPr="00610B1B">
        <w:rPr>
          <w:rFonts w:ascii="Times New Roman" w:eastAsia="Times New Roman" w:hAnsi="Times New Roman" w:cs="Times New Roman"/>
          <w:sz w:val="24"/>
          <w:szCs w:val="24"/>
          <w:lang w:val="bg-BG"/>
        </w:rPr>
        <w:t xml:space="preserve">е </w:t>
      </w:r>
      <w:r w:rsidR="00DD68AE" w:rsidRPr="00610B1B">
        <w:rPr>
          <w:rFonts w:ascii="Times New Roman" w:eastAsia="Times New Roman" w:hAnsi="Times New Roman" w:cs="Times New Roman"/>
          <w:sz w:val="24"/>
          <w:szCs w:val="24"/>
          <w:lang w:val="bg-BG"/>
        </w:rPr>
        <w:t xml:space="preserve">НКЦ </w:t>
      </w:r>
      <w:r w:rsidR="0049641D" w:rsidRPr="00610B1B">
        <w:rPr>
          <w:rFonts w:ascii="Times New Roman" w:eastAsia="Times New Roman" w:hAnsi="Times New Roman" w:cs="Times New Roman"/>
          <w:sz w:val="24"/>
          <w:szCs w:val="24"/>
          <w:lang w:val="bg-BG"/>
        </w:rPr>
        <w:t xml:space="preserve">с определени граници и режими на опазване съгласно Протокол </w:t>
      </w:r>
      <w:r w:rsidRPr="00610B1B">
        <w:rPr>
          <w:rFonts w:ascii="Times New Roman" w:eastAsia="Times New Roman" w:hAnsi="Times New Roman" w:cs="Times New Roman"/>
          <w:sz w:val="24"/>
          <w:szCs w:val="24"/>
          <w:lang w:val="bg-BG"/>
        </w:rPr>
        <w:t>на комисия в изпълнение на Заповед № РД-19-729/17.09.1990</w:t>
      </w:r>
      <w:r w:rsidR="0049641D"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на зам.</w:t>
      </w:r>
      <w:r w:rsidR="0049641D"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министър</w:t>
      </w:r>
      <w:r w:rsidR="0049641D"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 xml:space="preserve"> на </w:t>
      </w:r>
      <w:r w:rsidR="0049641D" w:rsidRPr="00610B1B">
        <w:rPr>
          <w:rFonts w:ascii="Times New Roman" w:eastAsia="Times New Roman" w:hAnsi="Times New Roman" w:cs="Times New Roman"/>
          <w:sz w:val="24"/>
          <w:szCs w:val="24"/>
          <w:lang w:val="bg-BG"/>
        </w:rPr>
        <w:t xml:space="preserve">културата. </w:t>
      </w:r>
      <w:r w:rsidRPr="00610B1B">
        <w:rPr>
          <w:rFonts w:ascii="Times New Roman" w:eastAsia="Times New Roman" w:hAnsi="Times New Roman" w:cs="Times New Roman"/>
          <w:sz w:val="24"/>
          <w:szCs w:val="24"/>
          <w:lang w:val="bg-BG"/>
        </w:rPr>
        <w:t xml:space="preserve">Средновековният манастирски комплекс „Св. Никола“ е разположен в близост до нос „Емине“. Археологическият обект е на територията на бивш военен полигон и поради това не са правени редовни археологически проучвания. Територия е с обща площ 56,7 </w:t>
      </w:r>
      <w:r w:rsidR="0049641D" w:rsidRPr="00610B1B">
        <w:rPr>
          <w:rFonts w:ascii="Times New Roman" w:eastAsia="Times New Roman" w:hAnsi="Times New Roman" w:cs="Times New Roman"/>
          <w:sz w:val="24"/>
          <w:szCs w:val="24"/>
          <w:lang w:val="bg-BG"/>
        </w:rPr>
        <w:t>ha</w:t>
      </w:r>
      <w:r w:rsidRPr="00610B1B">
        <w:rPr>
          <w:rFonts w:ascii="Times New Roman" w:eastAsia="Times New Roman" w:hAnsi="Times New Roman" w:cs="Times New Roman"/>
          <w:sz w:val="24"/>
          <w:szCs w:val="24"/>
          <w:lang w:val="bg-BG"/>
        </w:rPr>
        <w:t>,</w:t>
      </w:r>
      <w:r w:rsidR="0049641D"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от които 15 </w:t>
      </w:r>
      <w:r w:rsidR="0049641D" w:rsidRPr="00610B1B">
        <w:rPr>
          <w:rFonts w:ascii="Times New Roman" w:eastAsia="Times New Roman" w:hAnsi="Times New Roman" w:cs="Times New Roman"/>
          <w:sz w:val="24"/>
          <w:szCs w:val="24"/>
          <w:lang w:val="bg-BG"/>
        </w:rPr>
        <w:t>ha</w:t>
      </w:r>
      <w:r w:rsidRPr="00610B1B">
        <w:rPr>
          <w:rFonts w:ascii="Times New Roman" w:eastAsia="Times New Roman" w:hAnsi="Times New Roman" w:cs="Times New Roman"/>
          <w:sz w:val="24"/>
          <w:szCs w:val="24"/>
          <w:lang w:val="bg-BG"/>
        </w:rPr>
        <w:t xml:space="preserve"> горска площ. Средновековният манастир край с. </w:t>
      </w:r>
      <w:r w:rsidR="00F71111" w:rsidRPr="00610B1B">
        <w:rPr>
          <w:rFonts w:ascii="Times New Roman" w:eastAsia="Times New Roman" w:hAnsi="Times New Roman" w:cs="Times New Roman"/>
          <w:sz w:val="24"/>
          <w:szCs w:val="24"/>
          <w:lang w:val="bg-BG"/>
        </w:rPr>
        <w:t>С</w:t>
      </w:r>
      <w:r w:rsidRPr="00610B1B">
        <w:rPr>
          <w:rFonts w:ascii="Times New Roman" w:eastAsia="Times New Roman" w:hAnsi="Times New Roman" w:cs="Times New Roman"/>
          <w:sz w:val="24"/>
          <w:szCs w:val="24"/>
          <w:lang w:val="bg-BG"/>
        </w:rPr>
        <w:t xml:space="preserve">в. Влас е с проведени спасителни археологически проучвания. Площта на НКЦ е 2 </w:t>
      </w:r>
      <w:r w:rsidR="00F71111" w:rsidRPr="00610B1B">
        <w:rPr>
          <w:rFonts w:ascii="Times New Roman" w:eastAsia="Times New Roman" w:hAnsi="Times New Roman" w:cs="Times New Roman"/>
          <w:sz w:val="24"/>
          <w:szCs w:val="24"/>
          <w:lang w:val="bg-BG"/>
        </w:rPr>
        <w:t>ha</w:t>
      </w:r>
      <w:r w:rsidRPr="00610B1B">
        <w:rPr>
          <w:rFonts w:ascii="Times New Roman" w:eastAsia="Times New Roman" w:hAnsi="Times New Roman" w:cs="Times New Roman"/>
          <w:sz w:val="24"/>
          <w:szCs w:val="24"/>
          <w:lang w:val="bg-BG"/>
        </w:rPr>
        <w:t>, охранителната зона е 7,5</w:t>
      </w:r>
      <w:r w:rsidR="00C3007B" w:rsidRPr="00610B1B">
        <w:rPr>
          <w:rFonts w:ascii="Times New Roman" w:eastAsia="Times New Roman" w:hAnsi="Times New Roman" w:cs="Times New Roman"/>
          <w:sz w:val="24"/>
          <w:szCs w:val="24"/>
          <w:lang w:val="bg-BG"/>
        </w:rPr>
        <w:t> </w:t>
      </w:r>
      <w:r w:rsidR="00F71111" w:rsidRPr="00610B1B">
        <w:rPr>
          <w:rFonts w:ascii="Times New Roman" w:eastAsia="Times New Roman" w:hAnsi="Times New Roman" w:cs="Times New Roman"/>
          <w:sz w:val="24"/>
          <w:szCs w:val="24"/>
          <w:lang w:val="bg-BG"/>
        </w:rPr>
        <w:t>ha</w:t>
      </w:r>
      <w:r w:rsidR="00340BF8"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предоставени за разширение на </w:t>
      </w:r>
      <w:r w:rsidR="00F71111" w:rsidRPr="00610B1B">
        <w:rPr>
          <w:rFonts w:ascii="Times New Roman" w:eastAsia="Times New Roman" w:hAnsi="Times New Roman" w:cs="Times New Roman"/>
          <w:sz w:val="24"/>
          <w:szCs w:val="24"/>
          <w:lang w:val="bg-BG"/>
        </w:rPr>
        <w:t xml:space="preserve">в.с. </w:t>
      </w:r>
      <w:r w:rsidRPr="00610B1B">
        <w:rPr>
          <w:rFonts w:ascii="Times New Roman" w:eastAsia="Times New Roman" w:hAnsi="Times New Roman" w:cs="Times New Roman"/>
          <w:sz w:val="24"/>
          <w:szCs w:val="24"/>
          <w:lang w:val="bg-BG"/>
        </w:rPr>
        <w:t>„Елените“ с решение на МС. Обектите все още нямат статут. Протоколът е от 1990 г. Археологическите разкопки продължават.</w:t>
      </w:r>
    </w:p>
    <w:p w14:paraId="316CBE7E" w14:textId="54524B8D"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Антична гробница, разположена в землището на гр. Поморие</w:t>
      </w:r>
      <w:r w:rsidR="00F71111" w:rsidRPr="00610B1B">
        <w:rPr>
          <w:rFonts w:ascii="Times New Roman" w:eastAsia="Times New Roman" w:hAnsi="Times New Roman" w:cs="Times New Roman"/>
          <w:bCs/>
          <w:sz w:val="24"/>
          <w:szCs w:val="24"/>
          <w:lang w:val="bg-BG"/>
        </w:rPr>
        <w:t xml:space="preserve"> e e</w:t>
      </w:r>
      <w:r w:rsidRPr="00610B1B">
        <w:rPr>
          <w:rFonts w:ascii="Times New Roman" w:eastAsia="Times New Roman" w:hAnsi="Times New Roman" w:cs="Times New Roman"/>
          <w:sz w:val="24"/>
          <w:szCs w:val="24"/>
          <w:lang w:val="bg-BG"/>
        </w:rPr>
        <w:t>динична археологическа НКЦ с категория „национално значение“ и определени режими за опазване.</w:t>
      </w:r>
      <w:r w:rsidR="00F7111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Гробницата е част от обектите на Историческия музей в гр.</w:t>
      </w:r>
      <w:r w:rsidR="00F7111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Поморие. Достъпът до нея е затруднен. </w:t>
      </w:r>
      <w:r w:rsidRPr="00610B1B">
        <w:rPr>
          <w:rFonts w:ascii="Times New Roman" w:eastAsia="Times New Roman" w:hAnsi="Times New Roman" w:cs="Times New Roman"/>
          <w:sz w:val="24"/>
          <w:szCs w:val="24"/>
          <w:lang w:val="bg-BG"/>
        </w:rPr>
        <w:lastRenderedPageBreak/>
        <w:t xml:space="preserve">Липсва адекватна информационна система. Има проведени КРР, но обектът е с необходимост </w:t>
      </w:r>
      <w:r w:rsidR="00340BF8" w:rsidRPr="00610B1B">
        <w:rPr>
          <w:rFonts w:ascii="Times New Roman" w:eastAsia="Times New Roman" w:hAnsi="Times New Roman" w:cs="Times New Roman"/>
          <w:sz w:val="24"/>
          <w:szCs w:val="24"/>
          <w:lang w:val="bg-BG"/>
        </w:rPr>
        <w:t xml:space="preserve">от </w:t>
      </w:r>
      <w:r w:rsidRPr="00610B1B">
        <w:rPr>
          <w:rFonts w:ascii="Times New Roman" w:eastAsia="Times New Roman" w:hAnsi="Times New Roman" w:cs="Times New Roman"/>
          <w:sz w:val="24"/>
          <w:szCs w:val="24"/>
          <w:lang w:val="bg-BG"/>
        </w:rPr>
        <w:t>реконсервация и социализация.</w:t>
      </w:r>
    </w:p>
    <w:p w14:paraId="7DF28C66" w14:textId="6492D222" w:rsidR="00442579" w:rsidRPr="00610B1B" w:rsidRDefault="00442579" w:rsidP="00D32D6A">
      <w:pPr>
        <w:autoSpaceDE w:val="0"/>
        <w:autoSpaceDN w:val="0"/>
        <w:adjustRightInd w:val="0"/>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iCs/>
          <w:color w:val="000000"/>
          <w:sz w:val="24"/>
          <w:szCs w:val="24"/>
          <w:lang w:val="bg-BG" w:eastAsia="bg-BG"/>
        </w:rPr>
        <w:t>„Средновековна крепост Порос на нос Форос и средновековно селище в м. Пода”,</w:t>
      </w:r>
      <w:r w:rsidR="00F71111" w:rsidRPr="00610B1B">
        <w:rPr>
          <w:rFonts w:ascii="Times New Roman" w:eastAsia="Times New Roman" w:hAnsi="Times New Roman" w:cs="Times New Roman"/>
          <w:i/>
          <w:iCs/>
          <w:color w:val="000000"/>
          <w:sz w:val="24"/>
          <w:szCs w:val="24"/>
          <w:lang w:val="bg-BG" w:eastAsia="bg-BG"/>
        </w:rPr>
        <w:t xml:space="preserve"> </w:t>
      </w:r>
      <w:r w:rsidRPr="00610B1B">
        <w:rPr>
          <w:rFonts w:ascii="Times New Roman" w:eastAsia="Times New Roman" w:hAnsi="Times New Roman" w:cs="Times New Roman"/>
          <w:i/>
          <w:iCs/>
          <w:color w:val="000000"/>
          <w:sz w:val="24"/>
          <w:szCs w:val="24"/>
          <w:lang w:val="bg-BG" w:eastAsia="bg-BG"/>
        </w:rPr>
        <w:t>кв. Крайморие”, гр.</w:t>
      </w:r>
      <w:r w:rsidR="00F71111" w:rsidRPr="00610B1B">
        <w:rPr>
          <w:rFonts w:ascii="Times New Roman" w:eastAsia="Times New Roman" w:hAnsi="Times New Roman" w:cs="Times New Roman"/>
          <w:i/>
          <w:iCs/>
          <w:color w:val="000000"/>
          <w:sz w:val="24"/>
          <w:szCs w:val="24"/>
          <w:lang w:val="bg-BG" w:eastAsia="bg-BG"/>
        </w:rPr>
        <w:t xml:space="preserve"> </w:t>
      </w:r>
      <w:r w:rsidRPr="00610B1B">
        <w:rPr>
          <w:rFonts w:ascii="Times New Roman" w:eastAsia="Times New Roman" w:hAnsi="Times New Roman" w:cs="Times New Roman"/>
          <w:i/>
          <w:iCs/>
          <w:color w:val="000000"/>
          <w:sz w:val="24"/>
          <w:szCs w:val="24"/>
          <w:lang w:val="bg-BG" w:eastAsia="bg-BG"/>
        </w:rPr>
        <w:t>Бургас</w:t>
      </w:r>
      <w:r w:rsidR="00F71111" w:rsidRPr="00610B1B">
        <w:rPr>
          <w:rFonts w:ascii="Times New Roman" w:eastAsia="Times New Roman" w:hAnsi="Times New Roman" w:cs="Times New Roman"/>
          <w:i/>
          <w:iCs/>
          <w:color w:val="000000"/>
          <w:sz w:val="24"/>
          <w:szCs w:val="24"/>
          <w:lang w:val="bg-BG" w:eastAsia="bg-BG"/>
        </w:rPr>
        <w:t xml:space="preserve"> </w:t>
      </w:r>
      <w:r w:rsidR="00F71111" w:rsidRPr="00610B1B">
        <w:rPr>
          <w:rFonts w:ascii="Times New Roman" w:eastAsia="Times New Roman" w:hAnsi="Times New Roman" w:cs="Times New Roman"/>
          <w:color w:val="000000"/>
          <w:sz w:val="24"/>
          <w:szCs w:val="24"/>
          <w:lang w:val="bg-BG" w:eastAsia="bg-BG"/>
        </w:rPr>
        <w:t xml:space="preserve">не са обявени за НКЦ, независимо от наличието на </w:t>
      </w:r>
      <w:r w:rsidRPr="00610B1B">
        <w:rPr>
          <w:rFonts w:ascii="Times New Roman" w:eastAsia="Times New Roman" w:hAnsi="Times New Roman" w:cs="Times New Roman"/>
          <w:sz w:val="24"/>
          <w:szCs w:val="24"/>
          <w:lang w:val="bg-BG"/>
        </w:rPr>
        <w:t>Заповед от 29.05.1989</w:t>
      </w:r>
      <w:r w:rsidR="00F7111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на Комитета по култура за определяне границите и режимите за опазване на археологическите обекти в м.</w:t>
      </w:r>
      <w:r w:rsidR="00461059"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Пода и на нос Форос</w:t>
      </w:r>
      <w:r w:rsidR="00F7111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Предстои придобиване на статут за НКЦ за обекта. Археологическите разкопки продължават до днес.</w:t>
      </w:r>
    </w:p>
    <w:p w14:paraId="2EE405D1" w14:textId="6B1076E4"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 xml:space="preserve">„Праисторическо селище от неолита и халколита в м. „Аклади чеири“, землище на с. Черноморец, </w:t>
      </w:r>
      <w:r w:rsidR="00F71111" w:rsidRPr="00610B1B">
        <w:rPr>
          <w:rFonts w:ascii="Times New Roman" w:eastAsia="Times New Roman" w:hAnsi="Times New Roman" w:cs="Times New Roman"/>
          <w:bCs/>
          <w:sz w:val="24"/>
          <w:szCs w:val="24"/>
          <w:lang w:val="bg-BG"/>
        </w:rPr>
        <w:t>е декларирана НКЦ с предварителна категория</w:t>
      </w:r>
      <w:r w:rsidR="00D66FE0" w:rsidRPr="00610B1B">
        <w:rPr>
          <w:rFonts w:ascii="Times New Roman" w:eastAsia="Times New Roman" w:hAnsi="Times New Roman" w:cs="Times New Roman"/>
          <w:bCs/>
          <w:i/>
          <w:iCs/>
          <w:sz w:val="24"/>
          <w:szCs w:val="24"/>
          <w:lang w:val="bg-BG"/>
        </w:rPr>
        <w:t xml:space="preserve"> </w:t>
      </w:r>
      <w:r w:rsidR="00F71111" w:rsidRPr="00610B1B">
        <w:rPr>
          <w:rFonts w:ascii="Times New Roman" w:eastAsia="Times New Roman" w:hAnsi="Times New Roman" w:cs="Times New Roman"/>
          <w:sz w:val="24"/>
          <w:szCs w:val="24"/>
          <w:lang w:val="bg-BG"/>
        </w:rPr>
        <w:t xml:space="preserve">„национално значение“ съгласно </w:t>
      </w:r>
      <w:r w:rsidRPr="00610B1B">
        <w:rPr>
          <w:rFonts w:ascii="Times New Roman" w:eastAsia="Times New Roman" w:hAnsi="Times New Roman" w:cs="Times New Roman"/>
          <w:sz w:val="24"/>
          <w:szCs w:val="24"/>
          <w:lang w:val="bg-BG"/>
        </w:rPr>
        <w:t>писмо от 30.01.2009 г. на НИПК. В писмото са определени и режими за опазване.</w:t>
      </w:r>
      <w:r w:rsidR="00F7111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Обектът не е проучен</w:t>
      </w:r>
      <w:r w:rsidR="00340BF8" w:rsidRPr="00610B1B">
        <w:rPr>
          <w:rFonts w:ascii="Times New Roman" w:eastAsia="Times New Roman" w:hAnsi="Times New Roman" w:cs="Times New Roman"/>
          <w:sz w:val="24"/>
          <w:szCs w:val="24"/>
          <w:lang w:val="bg-BG"/>
        </w:rPr>
        <w:t xml:space="preserve"> докрай</w:t>
      </w:r>
      <w:r w:rsidRPr="00610B1B">
        <w:rPr>
          <w:rFonts w:ascii="Times New Roman" w:eastAsia="Times New Roman" w:hAnsi="Times New Roman" w:cs="Times New Roman"/>
          <w:sz w:val="24"/>
          <w:szCs w:val="24"/>
          <w:lang w:val="bg-BG"/>
        </w:rPr>
        <w:t>, липсват КРР дейности и социализация.</w:t>
      </w:r>
    </w:p>
    <w:p w14:paraId="6ADB0DAF" w14:textId="4AC87186"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„Археологически обе</w:t>
      </w:r>
      <w:r w:rsidR="00352BBB" w:rsidRPr="00610B1B">
        <w:rPr>
          <w:rFonts w:ascii="Times New Roman" w:eastAsia="Times New Roman" w:hAnsi="Times New Roman" w:cs="Times New Roman"/>
          <w:bCs/>
          <w:i/>
          <w:iCs/>
          <w:sz w:val="24"/>
          <w:szCs w:val="24"/>
          <w:lang w:val="bg-BG"/>
        </w:rPr>
        <w:t>к</w:t>
      </w:r>
      <w:r w:rsidRPr="00610B1B">
        <w:rPr>
          <w:rFonts w:ascii="Times New Roman" w:eastAsia="Times New Roman" w:hAnsi="Times New Roman" w:cs="Times New Roman"/>
          <w:bCs/>
          <w:i/>
          <w:iCs/>
          <w:sz w:val="24"/>
          <w:szCs w:val="24"/>
          <w:lang w:val="bg-BG"/>
        </w:rPr>
        <w:t>т н</w:t>
      </w:r>
      <w:r w:rsidR="00340BF8" w:rsidRPr="00610B1B">
        <w:rPr>
          <w:rFonts w:ascii="Times New Roman" w:eastAsia="Times New Roman" w:hAnsi="Times New Roman" w:cs="Times New Roman"/>
          <w:bCs/>
          <w:i/>
          <w:iCs/>
          <w:sz w:val="24"/>
          <w:szCs w:val="24"/>
          <w:lang w:val="bg-BG"/>
        </w:rPr>
        <w:t>а</w:t>
      </w:r>
      <w:r w:rsidRPr="00610B1B">
        <w:rPr>
          <w:rFonts w:ascii="Times New Roman" w:eastAsia="Times New Roman" w:hAnsi="Times New Roman" w:cs="Times New Roman"/>
          <w:bCs/>
          <w:i/>
          <w:iCs/>
          <w:sz w:val="24"/>
          <w:szCs w:val="24"/>
          <w:lang w:val="bg-BG"/>
        </w:rPr>
        <w:t xml:space="preserve"> нос „Акин” (Акра), землище на с. Черноморец,</w:t>
      </w:r>
      <w:r w:rsidRPr="00610B1B">
        <w:rPr>
          <w:rFonts w:ascii="Times New Roman" w:eastAsia="Times New Roman" w:hAnsi="Times New Roman" w:cs="Times New Roman"/>
          <w:bCs/>
          <w:sz w:val="24"/>
          <w:szCs w:val="24"/>
          <w:lang w:val="bg-BG"/>
        </w:rPr>
        <w:t xml:space="preserve"> </w:t>
      </w:r>
      <w:r w:rsidR="00F71111" w:rsidRPr="00610B1B">
        <w:rPr>
          <w:rFonts w:ascii="Times New Roman" w:eastAsia="Times New Roman" w:hAnsi="Times New Roman" w:cs="Times New Roman"/>
          <w:bCs/>
          <w:sz w:val="24"/>
          <w:szCs w:val="24"/>
          <w:lang w:val="bg-BG"/>
        </w:rPr>
        <w:t>е а</w:t>
      </w:r>
      <w:r w:rsidRPr="00610B1B">
        <w:rPr>
          <w:rFonts w:ascii="Times New Roman" w:eastAsia="Times New Roman" w:hAnsi="Times New Roman" w:cs="Times New Roman"/>
          <w:sz w:val="24"/>
          <w:szCs w:val="24"/>
          <w:lang w:val="bg-BG"/>
        </w:rPr>
        <w:t>рхеологическа НКЦ по смисъла на</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color w:val="000000"/>
          <w:sz w:val="24"/>
          <w:szCs w:val="24"/>
          <w:lang w:val="bg-BG"/>
        </w:rPr>
        <w:t>чл. 146, ал. 3 от ЗКН, все още без статут и категория и с определени временни режими на опазване.</w:t>
      </w:r>
    </w:p>
    <w:p w14:paraId="1C319125" w14:textId="280F4FBA"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Долмен „Змейова къща” и Крепост „Лъвската глава”/</w:t>
      </w:r>
      <w:r w:rsidR="00342BD5"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Вълчаново кале</w:t>
      </w:r>
      <w:r w:rsidR="00342BD5"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w:t>
      </w:r>
      <w:r w:rsidR="00342BD5"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Ранули</w:t>
      </w:r>
      <w:r w:rsidR="00342BD5" w:rsidRPr="00610B1B">
        <w:rPr>
          <w:rFonts w:ascii="Times New Roman" w:eastAsia="Times New Roman" w:hAnsi="Times New Roman" w:cs="Times New Roman"/>
          <w:bCs/>
          <w:i/>
          <w:iCs/>
          <w:sz w:val="24"/>
          <w:szCs w:val="24"/>
          <w:lang w:val="bg-BG"/>
        </w:rPr>
        <w:t>”</w:t>
      </w:r>
      <w:r w:rsidRPr="00610B1B">
        <w:rPr>
          <w:rFonts w:ascii="Times New Roman" w:eastAsia="Times New Roman" w:hAnsi="Times New Roman" w:cs="Times New Roman"/>
          <w:bCs/>
          <w:i/>
          <w:iCs/>
          <w:sz w:val="24"/>
          <w:szCs w:val="24"/>
          <w:lang w:val="bg-BG"/>
        </w:rPr>
        <w:t>,</w:t>
      </w:r>
      <w:r w:rsidR="00D66FE0" w:rsidRPr="00610B1B">
        <w:rPr>
          <w:rFonts w:ascii="Times New Roman" w:eastAsia="Times New Roman" w:hAnsi="Times New Roman" w:cs="Times New Roman"/>
          <w:bCs/>
          <w:i/>
          <w:iCs/>
          <w:sz w:val="24"/>
          <w:szCs w:val="24"/>
          <w:lang w:val="bg-BG"/>
        </w:rPr>
        <w:t xml:space="preserve"> </w:t>
      </w:r>
      <w:r w:rsidR="00F71111" w:rsidRPr="00610B1B">
        <w:rPr>
          <w:rFonts w:ascii="Times New Roman" w:eastAsia="Times New Roman" w:hAnsi="Times New Roman" w:cs="Times New Roman"/>
          <w:bCs/>
          <w:sz w:val="24"/>
          <w:szCs w:val="24"/>
          <w:lang w:val="bg-BG"/>
        </w:rPr>
        <w:t xml:space="preserve">са </w:t>
      </w:r>
      <w:r w:rsidRPr="00610B1B">
        <w:rPr>
          <w:rFonts w:ascii="Times New Roman" w:eastAsia="Times New Roman" w:hAnsi="Times New Roman" w:cs="Times New Roman"/>
          <w:bCs/>
          <w:sz w:val="24"/>
          <w:szCs w:val="24"/>
          <w:lang w:val="bg-BG"/>
        </w:rPr>
        <w:t>два обекта северозападно от гр. Приморско</w:t>
      </w:r>
      <w:r w:rsidR="00F71111" w:rsidRPr="00610B1B">
        <w:rPr>
          <w:rFonts w:ascii="Times New Roman" w:eastAsia="Times New Roman" w:hAnsi="Times New Roman" w:cs="Times New Roman"/>
          <w:bCs/>
          <w:sz w:val="24"/>
          <w:szCs w:val="24"/>
          <w:lang w:val="bg-BG"/>
        </w:rPr>
        <w:t xml:space="preserve">, </w:t>
      </w:r>
      <w:r w:rsidRPr="00610B1B">
        <w:rPr>
          <w:rFonts w:ascii="Times New Roman" w:eastAsia="Times New Roman" w:hAnsi="Times New Roman" w:cs="Times New Roman"/>
          <w:sz w:val="24"/>
          <w:szCs w:val="24"/>
          <w:lang w:val="bg-BG"/>
        </w:rPr>
        <w:t>единични археологически НКЦ, с категория „национално значение“ и с определени режими на опазване. Обектите са археологически проучен</w:t>
      </w:r>
      <w:r w:rsidR="00F71111" w:rsidRPr="00610B1B">
        <w:rPr>
          <w:rFonts w:ascii="Times New Roman" w:eastAsia="Times New Roman" w:hAnsi="Times New Roman" w:cs="Times New Roman"/>
          <w:sz w:val="24"/>
          <w:szCs w:val="24"/>
          <w:lang w:val="bg-BG"/>
        </w:rPr>
        <w:t>и</w:t>
      </w:r>
      <w:r w:rsidRPr="00610B1B">
        <w:rPr>
          <w:rFonts w:ascii="Times New Roman" w:eastAsia="Times New Roman" w:hAnsi="Times New Roman" w:cs="Times New Roman"/>
          <w:sz w:val="24"/>
          <w:szCs w:val="24"/>
          <w:lang w:val="bg-BG"/>
        </w:rPr>
        <w:t xml:space="preserve">, но липсват КРР дейности и проведена социализация. </w:t>
      </w:r>
    </w:p>
    <w:p w14:paraId="4ACF1D66" w14:textId="556DCBA5"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Скално светилище „Бегликташ</w:t>
      </w:r>
      <w:r w:rsidRPr="00610B1B">
        <w:rPr>
          <w:rFonts w:ascii="Times New Roman" w:eastAsia="Times New Roman" w:hAnsi="Times New Roman" w:cs="Times New Roman"/>
          <w:bCs/>
          <w:sz w:val="24"/>
          <w:szCs w:val="24"/>
          <w:lang w:val="bg-BG"/>
        </w:rPr>
        <w:t>”, разположено североизточно от гр. Приморско</w:t>
      </w:r>
      <w:r w:rsidR="00F71111" w:rsidRPr="00610B1B">
        <w:rPr>
          <w:rFonts w:ascii="Times New Roman" w:eastAsia="Times New Roman" w:hAnsi="Times New Roman" w:cs="Times New Roman"/>
          <w:bCs/>
          <w:sz w:val="24"/>
          <w:szCs w:val="24"/>
          <w:lang w:val="bg-BG"/>
        </w:rPr>
        <w:t xml:space="preserve"> е е</w:t>
      </w:r>
      <w:r w:rsidRPr="00610B1B">
        <w:rPr>
          <w:rFonts w:ascii="Times New Roman" w:eastAsia="Times New Roman" w:hAnsi="Times New Roman" w:cs="Times New Roman"/>
          <w:sz w:val="24"/>
          <w:szCs w:val="24"/>
          <w:lang w:val="bg-BG"/>
        </w:rPr>
        <w:t>динична НКЦ с категория „национално значение“ и определени режими на опазване</w:t>
      </w:r>
      <w:r w:rsidR="00F71111" w:rsidRPr="00610B1B">
        <w:rPr>
          <w:rFonts w:ascii="Times New Roman" w:eastAsia="Times New Roman" w:hAnsi="Times New Roman" w:cs="Times New Roman"/>
          <w:sz w:val="24"/>
          <w:szCs w:val="24"/>
          <w:lang w:val="bg-BG"/>
        </w:rPr>
        <w:t xml:space="preserve"> </w:t>
      </w:r>
      <w:r w:rsidR="00340BF8" w:rsidRPr="00610B1B">
        <w:rPr>
          <w:rFonts w:ascii="Times New Roman" w:eastAsia="Times New Roman" w:hAnsi="Times New Roman" w:cs="Times New Roman"/>
          <w:sz w:val="24"/>
          <w:szCs w:val="24"/>
          <w:lang w:val="bg-BG"/>
        </w:rPr>
        <w:t xml:space="preserve">и </w:t>
      </w:r>
      <w:r w:rsidR="00F71111" w:rsidRPr="00610B1B">
        <w:rPr>
          <w:rFonts w:ascii="Times New Roman" w:eastAsia="Times New Roman" w:hAnsi="Times New Roman" w:cs="Times New Roman"/>
          <w:sz w:val="24"/>
          <w:szCs w:val="24"/>
          <w:lang w:val="bg-BG"/>
        </w:rPr>
        <w:t>е е</w:t>
      </w:r>
      <w:r w:rsidRPr="00610B1B">
        <w:rPr>
          <w:rFonts w:ascii="Times New Roman" w:eastAsia="Times New Roman" w:hAnsi="Times New Roman" w:cs="Times New Roman"/>
          <w:sz w:val="24"/>
          <w:szCs w:val="24"/>
          <w:lang w:val="bg-BG"/>
        </w:rPr>
        <w:t>дин от най-популярните обекти по крайбрежието на Черно море. Обектът е проучен, изпълнени са частични КРР дейности</w:t>
      </w:r>
      <w:r w:rsidR="00340BF8"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но липсва адаптация и </w:t>
      </w:r>
      <w:r w:rsidR="00F71111" w:rsidRPr="00610B1B">
        <w:rPr>
          <w:rFonts w:ascii="Times New Roman" w:eastAsia="Times New Roman" w:hAnsi="Times New Roman" w:cs="Times New Roman"/>
          <w:sz w:val="24"/>
          <w:szCs w:val="24"/>
          <w:lang w:val="bg-BG"/>
        </w:rPr>
        <w:t xml:space="preserve">подходяща </w:t>
      </w:r>
      <w:r w:rsidRPr="00610B1B">
        <w:rPr>
          <w:rFonts w:ascii="Times New Roman" w:eastAsia="Times New Roman" w:hAnsi="Times New Roman" w:cs="Times New Roman"/>
          <w:sz w:val="24"/>
          <w:szCs w:val="24"/>
          <w:lang w:val="bg-BG"/>
        </w:rPr>
        <w:t>социализация.</w:t>
      </w:r>
    </w:p>
    <w:p w14:paraId="6C0C843F" w14:textId="2D4EBE45"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Антично селище на възвишението “Кондрус“, „Антична и средновековна крепост на Маслен нос“ и „Могила на устието на река Ропотамо“, всичките - разположени североизточно от гр. Приморско</w:t>
      </w:r>
      <w:r w:rsidR="00B720E4" w:rsidRPr="00610B1B">
        <w:rPr>
          <w:rFonts w:ascii="Times New Roman" w:eastAsia="Times New Roman" w:hAnsi="Times New Roman" w:cs="Times New Roman"/>
          <w:bCs/>
          <w:i/>
          <w:iCs/>
          <w:sz w:val="24"/>
          <w:szCs w:val="24"/>
          <w:lang w:val="bg-BG"/>
        </w:rPr>
        <w:t xml:space="preserve"> </w:t>
      </w:r>
      <w:r w:rsidR="00B720E4" w:rsidRPr="00610B1B">
        <w:rPr>
          <w:rFonts w:ascii="Times New Roman" w:eastAsia="Times New Roman" w:hAnsi="Times New Roman" w:cs="Times New Roman"/>
          <w:bCs/>
          <w:sz w:val="24"/>
          <w:szCs w:val="24"/>
          <w:lang w:val="bg-BG"/>
        </w:rPr>
        <w:t>са е</w:t>
      </w:r>
      <w:r w:rsidRPr="00610B1B">
        <w:rPr>
          <w:rFonts w:ascii="Times New Roman" w:eastAsia="Times New Roman" w:hAnsi="Times New Roman" w:cs="Times New Roman"/>
          <w:sz w:val="24"/>
          <w:szCs w:val="24"/>
          <w:lang w:val="bg-BG"/>
        </w:rPr>
        <w:t>динични археологически НКЦ, с категория „национално значение“ за които са определени режими на опазване. Обектите са проучени, но липсват КРР дейности и социализация.</w:t>
      </w:r>
    </w:p>
    <w:p w14:paraId="52C13DA8" w14:textId="3D4172C1"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Късноантично и средновековно селище, находящо се южно от местността “Ченгер“, северно от гр. Приморско</w:t>
      </w:r>
      <w:r w:rsidR="00B720E4" w:rsidRPr="00610B1B">
        <w:rPr>
          <w:rFonts w:ascii="Times New Roman" w:eastAsia="Times New Roman" w:hAnsi="Times New Roman" w:cs="Times New Roman"/>
          <w:bCs/>
          <w:i/>
          <w:iCs/>
          <w:sz w:val="24"/>
          <w:szCs w:val="24"/>
          <w:lang w:val="bg-BG"/>
        </w:rPr>
        <w:t xml:space="preserve"> </w:t>
      </w:r>
      <w:r w:rsidR="00B720E4" w:rsidRPr="00610B1B">
        <w:rPr>
          <w:rFonts w:ascii="Times New Roman" w:eastAsia="Times New Roman" w:hAnsi="Times New Roman" w:cs="Times New Roman"/>
          <w:bCs/>
          <w:sz w:val="24"/>
          <w:szCs w:val="24"/>
          <w:lang w:val="bg-BG"/>
        </w:rPr>
        <w:t>е е</w:t>
      </w:r>
      <w:r w:rsidRPr="00610B1B">
        <w:rPr>
          <w:rFonts w:ascii="Times New Roman" w:eastAsia="Times New Roman" w:hAnsi="Times New Roman" w:cs="Times New Roman"/>
          <w:sz w:val="24"/>
          <w:szCs w:val="24"/>
          <w:lang w:val="bg-BG"/>
        </w:rPr>
        <w:t>динична археологическа НКЦ с категория „национално значение“, с определени режими за опазване.</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Обектът е археологически проучен, но липсват КРР дейности и социализация на НКЦ.</w:t>
      </w:r>
    </w:p>
    <w:p w14:paraId="437EF15D" w14:textId="0C4CCD7A"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i/>
          <w:iCs/>
          <w:sz w:val="24"/>
          <w:szCs w:val="24"/>
          <w:lang w:val="bg-BG"/>
        </w:rPr>
        <w:t>„Ранновизантийска и средновековна крепост на полуостров „Урдовиза”, гр.</w:t>
      </w:r>
      <w:r w:rsidR="00B720E4"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Китен</w:t>
      </w:r>
      <w:r w:rsidR="00B720E4" w:rsidRPr="00610B1B">
        <w:rPr>
          <w:rFonts w:ascii="Times New Roman" w:eastAsia="Times New Roman" w:hAnsi="Times New Roman" w:cs="Times New Roman"/>
          <w:bCs/>
          <w:sz w:val="24"/>
          <w:szCs w:val="24"/>
          <w:lang w:val="bg-BG"/>
        </w:rPr>
        <w:t xml:space="preserve"> е е</w:t>
      </w:r>
      <w:r w:rsidRPr="00610B1B">
        <w:rPr>
          <w:rFonts w:ascii="Times New Roman" w:eastAsia="Times New Roman" w:hAnsi="Times New Roman" w:cs="Times New Roman"/>
          <w:sz w:val="24"/>
          <w:szCs w:val="24"/>
          <w:lang w:val="bg-BG"/>
        </w:rPr>
        <w:t xml:space="preserve">динична археологическа НКЦ с категория „национално значение“, </w:t>
      </w:r>
      <w:r w:rsidR="00FA5B95" w:rsidRPr="00610B1B">
        <w:rPr>
          <w:rFonts w:ascii="Times New Roman" w:eastAsia="Times New Roman" w:hAnsi="Times New Roman" w:cs="Times New Roman"/>
          <w:sz w:val="24"/>
          <w:szCs w:val="24"/>
          <w:lang w:val="bg-BG"/>
        </w:rPr>
        <w:t>с определени режими за опазване, включващи и</w:t>
      </w:r>
      <w:r w:rsidR="00D66FE0" w:rsidRPr="00610B1B">
        <w:rPr>
          <w:rFonts w:ascii="Times New Roman" w:eastAsia="Times New Roman" w:hAnsi="Times New Roman" w:cs="Times New Roman"/>
          <w:sz w:val="24"/>
          <w:szCs w:val="24"/>
          <w:lang w:val="bg-BG"/>
        </w:rPr>
        <w:t xml:space="preserve"> </w:t>
      </w:r>
      <w:r w:rsidR="00FA5B95" w:rsidRPr="00610B1B">
        <w:rPr>
          <w:rFonts w:ascii="Times New Roman" w:eastAsia="Times New Roman" w:hAnsi="Times New Roman" w:cs="Times New Roman"/>
          <w:sz w:val="24"/>
          <w:szCs w:val="24"/>
          <w:lang w:val="bg-BG"/>
        </w:rPr>
        <w:t xml:space="preserve">акваторията. Обектът попада в имот на МО, с ограничен достъп. Актуализирани са режимите за опазване. Необходимо е извършване на КРР. </w:t>
      </w:r>
      <w:r w:rsidRPr="00610B1B">
        <w:rPr>
          <w:rFonts w:ascii="Times New Roman" w:eastAsia="Times New Roman" w:hAnsi="Times New Roman" w:cs="Times New Roman"/>
          <w:sz w:val="24"/>
          <w:szCs w:val="24"/>
          <w:lang w:val="bg-BG"/>
        </w:rPr>
        <w:t>Обектът не е експониран и социализиран.</w:t>
      </w:r>
    </w:p>
    <w:p w14:paraId="75845051" w14:textId="5E8AF9D0"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i/>
          <w:iCs/>
          <w:sz w:val="24"/>
          <w:szCs w:val="24"/>
          <w:lang w:val="bg-BG"/>
        </w:rPr>
        <w:t>„Тракийски владетелски дом“,</w:t>
      </w:r>
      <w:r w:rsidR="00D66FE0"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м. „Голата нива”, с. Синеморец, общ</w:t>
      </w:r>
      <w:r w:rsidR="00B720E4" w:rsidRPr="00610B1B">
        <w:rPr>
          <w:rFonts w:ascii="Times New Roman" w:eastAsia="Times New Roman" w:hAnsi="Times New Roman" w:cs="Times New Roman"/>
          <w:bCs/>
          <w:i/>
          <w:iCs/>
          <w:sz w:val="24"/>
          <w:szCs w:val="24"/>
          <w:lang w:val="bg-BG"/>
        </w:rPr>
        <w:t>ина</w:t>
      </w:r>
      <w:r w:rsidRPr="00610B1B">
        <w:rPr>
          <w:rFonts w:ascii="Times New Roman" w:eastAsia="Times New Roman" w:hAnsi="Times New Roman" w:cs="Times New Roman"/>
          <w:bCs/>
          <w:i/>
          <w:iCs/>
          <w:sz w:val="24"/>
          <w:szCs w:val="24"/>
          <w:lang w:val="bg-BG"/>
        </w:rPr>
        <w:t xml:space="preserve"> Царево</w:t>
      </w:r>
      <w:r w:rsidR="00B720E4" w:rsidRPr="00610B1B">
        <w:rPr>
          <w:rFonts w:ascii="Times New Roman" w:eastAsia="Times New Roman" w:hAnsi="Times New Roman" w:cs="Times New Roman"/>
          <w:bCs/>
          <w:i/>
          <w:iCs/>
          <w:sz w:val="24"/>
          <w:szCs w:val="24"/>
          <w:lang w:val="bg-BG"/>
        </w:rPr>
        <w:t xml:space="preserve"> </w:t>
      </w:r>
      <w:r w:rsidR="00B720E4" w:rsidRPr="00610B1B">
        <w:rPr>
          <w:rFonts w:ascii="Times New Roman" w:eastAsia="Times New Roman" w:hAnsi="Times New Roman" w:cs="Times New Roman"/>
          <w:bCs/>
          <w:sz w:val="24"/>
          <w:szCs w:val="24"/>
          <w:lang w:val="bg-BG"/>
        </w:rPr>
        <w:t>е е</w:t>
      </w:r>
      <w:r w:rsidRPr="00610B1B">
        <w:rPr>
          <w:rFonts w:ascii="Times New Roman" w:eastAsia="Times New Roman" w:hAnsi="Times New Roman" w:cs="Times New Roman"/>
          <w:sz w:val="24"/>
          <w:szCs w:val="24"/>
          <w:lang w:val="bg-BG"/>
        </w:rPr>
        <w:t>динична археологическа НКЦ с категория „национално значение“, с определени режими за опазване.</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Обектът е археологически проучен, но липсват КРР дейности и социализация на НКЦ.</w:t>
      </w:r>
    </w:p>
    <w:p w14:paraId="516E849D" w14:textId="56921695" w:rsidR="00442579" w:rsidRPr="00610B1B" w:rsidRDefault="00B720E4" w:rsidP="00D32D6A">
      <w:pPr>
        <w:pStyle w:val="Heading4"/>
        <w:spacing w:before="0" w:line="276" w:lineRule="auto"/>
        <w:ind w:right="-153"/>
        <w:rPr>
          <w:rFonts w:cs="Times New Roman"/>
        </w:rPr>
      </w:pPr>
      <w:r w:rsidRPr="00610B1B">
        <w:rPr>
          <w:rFonts w:cs="Times New Roman"/>
        </w:rPr>
        <w:lastRenderedPageBreak/>
        <w:t xml:space="preserve">3.7.2.4. Други обекти </w:t>
      </w:r>
      <w:r w:rsidR="00442579" w:rsidRPr="00610B1B">
        <w:rPr>
          <w:rFonts w:cs="Times New Roman"/>
        </w:rPr>
        <w:t>НКЦ</w:t>
      </w:r>
    </w:p>
    <w:p w14:paraId="404CAA71" w14:textId="2109793A"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„Античен град Аполония”, гр.</w:t>
      </w:r>
      <w:r w:rsidR="00B720E4"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Созопол</w:t>
      </w:r>
      <w:r w:rsidR="00D66FE0"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sz w:val="24"/>
          <w:szCs w:val="24"/>
          <w:lang w:val="bg-BG"/>
        </w:rPr>
        <w:t>притежава статут на археологически резерват с категория „национално значение”.</w:t>
      </w:r>
      <w:r w:rsidR="00B720E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Със Заповед №</w:t>
      </w:r>
      <w:r w:rsidR="00B720E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РД09-3</w:t>
      </w:r>
      <w:r w:rsidR="006E357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08.01.2014</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 на „Рибарското училище” е определен статут на единична архитектурно-строителна и историческа НКЦ с категория „национално” значение. Със същата заповед са регламентирани териториалния обхват и предписанията за опазване на ценността. </w:t>
      </w:r>
    </w:p>
    <w:p w14:paraId="3A665E2F" w14:textId="6F945FA1"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Batang" w:hAnsi="Times New Roman" w:cs="Times New Roman"/>
          <w:sz w:val="24"/>
          <w:szCs w:val="24"/>
          <w:lang w:val="bg-BG" w:eastAsia="ko-KR"/>
        </w:rPr>
        <w:t xml:space="preserve">Античен град Аполония обхваща обекти от Античността до началото на XIX век, част от които са обявени за недвижими културни ценности. В Стария Созопол днес могат да се видят реставрирани фрагменти на южната крепостна стена с правоъгълна кула. </w:t>
      </w:r>
      <w:r w:rsidR="00FA5B95" w:rsidRPr="00610B1B">
        <w:rPr>
          <w:rFonts w:ascii="Times New Roman" w:eastAsia="Times New Roman" w:hAnsi="Times New Roman" w:cs="Times New Roman"/>
          <w:sz w:val="24"/>
          <w:szCs w:val="24"/>
          <w:lang w:val="bg-BG"/>
        </w:rPr>
        <w:t>Поради м</w:t>
      </w:r>
      <w:r w:rsidRPr="00610B1B">
        <w:rPr>
          <w:rFonts w:ascii="Times New Roman" w:eastAsia="Times New Roman" w:hAnsi="Times New Roman" w:cs="Times New Roman"/>
          <w:sz w:val="24"/>
          <w:szCs w:val="24"/>
          <w:lang w:val="bg-BG"/>
        </w:rPr>
        <w:t>асовото застрояване, включително и в защитените зони</w:t>
      </w:r>
      <w:r w:rsidR="00FA5B95" w:rsidRPr="00610B1B">
        <w:rPr>
          <w:rFonts w:ascii="Times New Roman" w:eastAsia="Times New Roman" w:hAnsi="Times New Roman" w:cs="Times New Roman"/>
          <w:sz w:val="24"/>
          <w:szCs w:val="24"/>
          <w:lang w:val="bg-BG"/>
        </w:rPr>
        <w:t>, п</w:t>
      </w:r>
      <w:r w:rsidR="006E3575" w:rsidRPr="00610B1B">
        <w:rPr>
          <w:rFonts w:ascii="Times New Roman" w:eastAsia="Times New Roman" w:hAnsi="Times New Roman" w:cs="Times New Roman"/>
          <w:sz w:val="24"/>
          <w:szCs w:val="24"/>
          <w:lang w:val="bg-BG"/>
        </w:rPr>
        <w:t xml:space="preserve">рез </w:t>
      </w:r>
      <w:r w:rsidR="00B720E4" w:rsidRPr="00610B1B">
        <w:rPr>
          <w:rFonts w:ascii="Times New Roman" w:eastAsia="Times New Roman" w:hAnsi="Times New Roman" w:cs="Times New Roman"/>
          <w:sz w:val="24"/>
          <w:szCs w:val="24"/>
          <w:lang w:val="bg-BG"/>
        </w:rPr>
        <w:t xml:space="preserve">последните години </w:t>
      </w:r>
      <w:r w:rsidR="006E3575" w:rsidRPr="00610B1B">
        <w:rPr>
          <w:rFonts w:ascii="Times New Roman" w:eastAsia="Times New Roman" w:hAnsi="Times New Roman" w:cs="Times New Roman"/>
          <w:sz w:val="24"/>
          <w:szCs w:val="24"/>
          <w:lang w:val="bg-BG"/>
        </w:rPr>
        <w:t xml:space="preserve">се </w:t>
      </w:r>
      <w:r w:rsidRPr="00610B1B">
        <w:rPr>
          <w:rFonts w:ascii="Times New Roman" w:eastAsia="Times New Roman" w:hAnsi="Times New Roman" w:cs="Times New Roman"/>
          <w:sz w:val="24"/>
          <w:szCs w:val="24"/>
          <w:lang w:val="bg-BG"/>
        </w:rPr>
        <w:t>заличиха сгради, недвижими културни ценности</w:t>
      </w:r>
      <w:r w:rsidR="006E3575" w:rsidRPr="00610B1B">
        <w:rPr>
          <w:rFonts w:ascii="Times New Roman" w:eastAsia="Times New Roman" w:hAnsi="Times New Roman" w:cs="Times New Roman"/>
          <w:sz w:val="24"/>
          <w:szCs w:val="24"/>
          <w:lang w:val="bg-BG"/>
        </w:rPr>
        <w:t xml:space="preserve">, унищожени са </w:t>
      </w:r>
      <w:r w:rsidRPr="00610B1B">
        <w:rPr>
          <w:rFonts w:ascii="Times New Roman" w:eastAsia="Times New Roman" w:hAnsi="Times New Roman" w:cs="Times New Roman"/>
          <w:sz w:val="24"/>
          <w:szCs w:val="24"/>
          <w:lang w:val="bg-BG"/>
        </w:rPr>
        <w:t xml:space="preserve">градоустройствени характеристики, които са създавали облика и неповторимостта на града </w:t>
      </w:r>
      <w:r w:rsidR="006E357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например т.н. „римни”</w:t>
      </w:r>
      <w:r w:rsidR="006E357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особено в крайбрежната зона. Голяма част от сградите са нараснали във височина, за да задоволят инвестиционни интереси. Постановките на изработения от НИПК (днешен НИНКН) през 1984</w:t>
      </w:r>
      <w:r w:rsidR="00B720E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г. Директивен план-концепция отдавна са нарушени. </w:t>
      </w:r>
      <w:r w:rsidR="00FA5B95" w:rsidRPr="00610B1B">
        <w:rPr>
          <w:rFonts w:ascii="Times New Roman" w:eastAsia="Times New Roman" w:hAnsi="Times New Roman" w:cs="Times New Roman"/>
          <w:sz w:val="24"/>
          <w:szCs w:val="24"/>
          <w:lang w:val="bg-BG"/>
        </w:rPr>
        <w:t>Това налага спешно провеждане на актуализация на режимите на опазване.</w:t>
      </w:r>
    </w:p>
    <w:p w14:paraId="72E568B6" w14:textId="5B41FB1E"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Всички обекти от археологическото наследство </w:t>
      </w:r>
      <w:r w:rsidR="00B720E4" w:rsidRPr="00610B1B">
        <w:rPr>
          <w:rFonts w:ascii="Times New Roman" w:eastAsia="Times New Roman" w:hAnsi="Times New Roman" w:cs="Times New Roman"/>
          <w:sz w:val="24"/>
          <w:szCs w:val="24"/>
          <w:lang w:val="bg-BG"/>
        </w:rPr>
        <w:t>в</w:t>
      </w:r>
      <w:r w:rsidRPr="00610B1B">
        <w:rPr>
          <w:rFonts w:ascii="Times New Roman" w:eastAsia="Times New Roman" w:hAnsi="Times New Roman" w:cs="Times New Roman"/>
          <w:sz w:val="24"/>
          <w:szCs w:val="24"/>
          <w:lang w:val="bg-BG"/>
        </w:rPr>
        <w:t xml:space="preserve"> резервата са проучени и с проведени консерв</w:t>
      </w:r>
      <w:r w:rsidR="00B720E4"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ционно-реставрационни работи. Тези работи, както и експонирането на отделните недвижими културни ценности, са проведени „на парче” и не са адекватни на тенденциите в областта на опазване на архитектурното/археологическо</w:t>
      </w:r>
      <w:r w:rsidR="00B720E4" w:rsidRPr="00610B1B">
        <w:rPr>
          <w:rFonts w:ascii="Times New Roman" w:eastAsia="Times New Roman" w:hAnsi="Times New Roman" w:cs="Times New Roman"/>
          <w:sz w:val="24"/>
          <w:szCs w:val="24"/>
          <w:lang w:val="bg-BG"/>
        </w:rPr>
        <w:t>то</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наследство. </w:t>
      </w:r>
      <w:r w:rsidR="00B720E4" w:rsidRPr="00610B1B">
        <w:rPr>
          <w:rFonts w:ascii="Times New Roman" w:eastAsia="Times New Roman" w:hAnsi="Times New Roman" w:cs="Times New Roman"/>
          <w:sz w:val="24"/>
          <w:szCs w:val="24"/>
          <w:lang w:val="bg-BG"/>
        </w:rPr>
        <w:t>Добри</w:t>
      </w:r>
      <w:r w:rsidRPr="00610B1B">
        <w:rPr>
          <w:rFonts w:ascii="Times New Roman" w:eastAsia="Times New Roman" w:hAnsi="Times New Roman" w:cs="Times New Roman"/>
          <w:sz w:val="24"/>
          <w:szCs w:val="24"/>
          <w:lang w:val="bg-BG"/>
        </w:rPr>
        <w:t xml:space="preserve"> разработки, като „Концепция за опазване и устойчиво развитие на о</w:t>
      </w:r>
      <w:r w:rsidR="00B720E4" w:rsidRPr="00610B1B">
        <w:rPr>
          <w:rFonts w:ascii="Times New Roman" w:eastAsia="Times New Roman" w:hAnsi="Times New Roman" w:cs="Times New Roman"/>
          <w:sz w:val="24"/>
          <w:szCs w:val="24"/>
          <w:lang w:val="bg-BG"/>
        </w:rPr>
        <w:t>-в</w:t>
      </w:r>
      <w:r w:rsidRPr="00610B1B">
        <w:rPr>
          <w:rFonts w:ascii="Times New Roman" w:eastAsia="Times New Roman" w:hAnsi="Times New Roman" w:cs="Times New Roman"/>
          <w:sz w:val="24"/>
          <w:szCs w:val="24"/>
          <w:lang w:val="bg-BG"/>
        </w:rPr>
        <w:t xml:space="preserve"> „Св.</w:t>
      </w:r>
      <w:r w:rsidR="00B720E4" w:rsidRPr="00610B1B">
        <w:rPr>
          <w:rFonts w:ascii="Times New Roman" w:eastAsia="Times New Roman" w:hAnsi="Times New Roman" w:cs="Times New Roman"/>
          <w:sz w:val="24"/>
          <w:szCs w:val="24"/>
          <w:lang w:val="bg-BG"/>
        </w:rPr>
        <w:t xml:space="preserve"> Св</w:t>
      </w:r>
      <w:r w:rsidRPr="00610B1B">
        <w:rPr>
          <w:rFonts w:ascii="Times New Roman" w:eastAsia="Times New Roman" w:hAnsi="Times New Roman" w:cs="Times New Roman"/>
          <w:sz w:val="24"/>
          <w:szCs w:val="24"/>
          <w:lang w:val="bg-BG"/>
        </w:rPr>
        <w:t>.</w:t>
      </w:r>
      <w:r w:rsidR="00B720E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Кирик и Юлита”</w:t>
      </w:r>
      <w:r w:rsidR="006E3575"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2011</w:t>
      </w:r>
      <w:r w:rsidR="00C57F93"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w:t>
      </w:r>
      <w:r w:rsidR="006E357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не са реализирани.</w:t>
      </w:r>
      <w:r w:rsidR="00B720E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Положително намерение, което очаква своята реализация, е старото Воен</w:t>
      </w:r>
      <w:r w:rsidR="00B720E4" w:rsidRPr="00610B1B">
        <w:rPr>
          <w:rFonts w:ascii="Times New Roman" w:eastAsia="Times New Roman" w:hAnsi="Times New Roman" w:cs="Times New Roman"/>
          <w:sz w:val="24"/>
          <w:szCs w:val="24"/>
          <w:lang w:val="bg-BG"/>
        </w:rPr>
        <w:t>н</w:t>
      </w:r>
      <w:r w:rsidRPr="00610B1B">
        <w:rPr>
          <w:rFonts w:ascii="Times New Roman" w:eastAsia="Times New Roman" w:hAnsi="Times New Roman" w:cs="Times New Roman"/>
          <w:sz w:val="24"/>
          <w:szCs w:val="24"/>
          <w:lang w:val="bg-BG"/>
        </w:rPr>
        <w:t>о-морско училище да се превърне в музей</w:t>
      </w:r>
      <w:r w:rsidR="006E3575" w:rsidRPr="00610B1B">
        <w:rPr>
          <w:rFonts w:ascii="Times New Roman" w:eastAsia="Times New Roman" w:hAnsi="Times New Roman" w:cs="Times New Roman"/>
          <w:sz w:val="24"/>
          <w:szCs w:val="24"/>
          <w:lang w:val="bg-BG"/>
        </w:rPr>
        <w:t xml:space="preserve"> и</w:t>
      </w:r>
      <w:r w:rsidRPr="00610B1B">
        <w:rPr>
          <w:rFonts w:ascii="Times New Roman" w:eastAsia="Times New Roman" w:hAnsi="Times New Roman" w:cs="Times New Roman"/>
          <w:sz w:val="24"/>
          <w:szCs w:val="24"/>
          <w:lang w:val="bg-BG"/>
        </w:rPr>
        <w:t xml:space="preserve"> в него </w:t>
      </w:r>
      <w:r w:rsidR="006E3575" w:rsidRPr="00610B1B">
        <w:rPr>
          <w:rFonts w:ascii="Times New Roman" w:eastAsia="Times New Roman" w:hAnsi="Times New Roman" w:cs="Times New Roman"/>
          <w:sz w:val="24"/>
          <w:szCs w:val="24"/>
          <w:lang w:val="bg-BG"/>
        </w:rPr>
        <w:t xml:space="preserve">да </w:t>
      </w:r>
      <w:r w:rsidRPr="00610B1B">
        <w:rPr>
          <w:rFonts w:ascii="Times New Roman" w:eastAsia="Times New Roman" w:hAnsi="Times New Roman" w:cs="Times New Roman"/>
          <w:sz w:val="24"/>
          <w:szCs w:val="24"/>
          <w:lang w:val="bg-BG"/>
        </w:rPr>
        <w:t>бъде интегрирана археологическата субстанция</w:t>
      </w:r>
      <w:r w:rsidR="006E357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разкрита непосредствено пред сградата, а територията около него да се превърне в зона за култура и рекреация.</w:t>
      </w:r>
      <w:r w:rsidR="00C415D1" w:rsidRPr="00610B1B">
        <w:rPr>
          <w:rFonts w:ascii="Times New Roman" w:eastAsia="Times New Roman" w:hAnsi="Times New Roman" w:cs="Times New Roman"/>
          <w:sz w:val="24"/>
          <w:szCs w:val="24"/>
          <w:lang w:val="bg-BG"/>
        </w:rPr>
        <w:t xml:space="preserve"> </w:t>
      </w:r>
    </w:p>
    <w:p w14:paraId="358E26FF" w14:textId="1824DC71"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Cs/>
          <w:i/>
          <w:iCs/>
          <w:sz w:val="24"/>
          <w:szCs w:val="24"/>
          <w:lang w:val="bg-BG"/>
        </w:rPr>
        <w:t>Архитектурно-парков комплекс „ Двореца”, гр.</w:t>
      </w:r>
      <w:r w:rsidR="00FA5B95"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i/>
          <w:iCs/>
          <w:sz w:val="24"/>
          <w:szCs w:val="24"/>
          <w:lang w:val="bg-BG"/>
        </w:rPr>
        <w:t>Балчик</w:t>
      </w:r>
      <w:r w:rsidR="007A4FEC" w:rsidRPr="00610B1B">
        <w:rPr>
          <w:rFonts w:ascii="Times New Roman" w:eastAsia="Times New Roman" w:hAnsi="Times New Roman" w:cs="Times New Roman"/>
          <w:bCs/>
          <w:i/>
          <w:iCs/>
          <w:sz w:val="24"/>
          <w:szCs w:val="24"/>
          <w:lang w:val="bg-BG"/>
        </w:rPr>
        <w:t xml:space="preserve"> </w:t>
      </w:r>
      <w:r w:rsidR="007A4FEC" w:rsidRPr="00610B1B">
        <w:rPr>
          <w:rFonts w:ascii="Times New Roman" w:eastAsia="Times New Roman" w:hAnsi="Times New Roman" w:cs="Times New Roman"/>
          <w:bCs/>
          <w:sz w:val="24"/>
          <w:szCs w:val="24"/>
          <w:lang w:val="bg-BG"/>
        </w:rPr>
        <w:t xml:space="preserve">е </w:t>
      </w:r>
      <w:r w:rsidRPr="00610B1B">
        <w:rPr>
          <w:rFonts w:ascii="Times New Roman" w:eastAsia="Times New Roman" w:hAnsi="Times New Roman" w:cs="Times New Roman"/>
          <w:sz w:val="24"/>
          <w:szCs w:val="24"/>
          <w:lang w:val="bg-BG"/>
        </w:rPr>
        <w:t>НКЦ с категория „национално значение”</w:t>
      </w:r>
      <w:r w:rsidR="007A4FEC"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и с определени режими на опазване. Съставните елементи на комплекса са със статут на единични архитектурно-строителни и художествени НКЦ и са общо 15</w:t>
      </w:r>
      <w:r w:rsidR="007A4FEC" w:rsidRPr="00610B1B">
        <w:rPr>
          <w:rFonts w:ascii="Times New Roman" w:eastAsia="Times New Roman" w:hAnsi="Times New Roman" w:cs="Times New Roman"/>
          <w:sz w:val="24"/>
          <w:szCs w:val="24"/>
          <w:lang w:val="bg-BG"/>
        </w:rPr>
        <w:t xml:space="preserve"> броя</w:t>
      </w:r>
      <w:r w:rsidRPr="00610B1B">
        <w:rPr>
          <w:rFonts w:ascii="Times New Roman" w:eastAsia="Times New Roman" w:hAnsi="Times New Roman" w:cs="Times New Roman"/>
          <w:sz w:val="24"/>
          <w:szCs w:val="24"/>
          <w:lang w:val="bg-BG"/>
        </w:rPr>
        <w:t>.</w:t>
      </w:r>
      <w:r w:rsidR="00FA5B95"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Архитектурно-художественото оформление </w:t>
      </w:r>
      <w:r w:rsidR="00FA5B95" w:rsidRPr="00610B1B">
        <w:rPr>
          <w:rFonts w:ascii="Times New Roman" w:eastAsia="Times New Roman" w:hAnsi="Times New Roman" w:cs="Times New Roman"/>
          <w:sz w:val="24"/>
          <w:szCs w:val="24"/>
          <w:lang w:val="bg-BG"/>
        </w:rPr>
        <w:t xml:space="preserve">на вилата </w:t>
      </w:r>
      <w:r w:rsidRPr="00610B1B">
        <w:rPr>
          <w:rFonts w:ascii="Times New Roman" w:eastAsia="Times New Roman" w:hAnsi="Times New Roman" w:cs="Times New Roman"/>
          <w:sz w:val="24"/>
          <w:szCs w:val="24"/>
          <w:lang w:val="bg-BG"/>
        </w:rPr>
        <w:t>е изпълнено в маниера на националния и регионалния романтизъм. Парковата част е създадена от швейцарския ботаник Жани. През 60-те години на ХХ век комплексът е предоставен за почивна станция</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на Комитета за култура и в него са построени нови сгради. През </w:t>
      </w:r>
      <w:r w:rsidR="007A4FEC" w:rsidRPr="00610B1B">
        <w:rPr>
          <w:rFonts w:ascii="Times New Roman" w:eastAsia="Times New Roman" w:hAnsi="Times New Roman" w:cs="Times New Roman"/>
          <w:sz w:val="24"/>
          <w:szCs w:val="24"/>
          <w:lang w:val="bg-BG"/>
        </w:rPr>
        <w:t>19</w:t>
      </w:r>
      <w:r w:rsidRPr="00610B1B">
        <w:rPr>
          <w:rFonts w:ascii="Times New Roman" w:eastAsia="Times New Roman" w:hAnsi="Times New Roman" w:cs="Times New Roman"/>
          <w:sz w:val="24"/>
          <w:szCs w:val="24"/>
          <w:lang w:val="bg-BG"/>
        </w:rPr>
        <w:t>80-те го</w:t>
      </w:r>
      <w:r w:rsidR="007A4FEC" w:rsidRPr="00610B1B">
        <w:rPr>
          <w:rFonts w:ascii="Times New Roman" w:eastAsia="Times New Roman" w:hAnsi="Times New Roman" w:cs="Times New Roman"/>
          <w:sz w:val="24"/>
          <w:szCs w:val="24"/>
          <w:lang w:val="bg-BG"/>
        </w:rPr>
        <w:t>дини</w:t>
      </w:r>
      <w:r w:rsidRPr="00610B1B">
        <w:rPr>
          <w:rFonts w:ascii="Times New Roman" w:eastAsia="Times New Roman" w:hAnsi="Times New Roman" w:cs="Times New Roman"/>
          <w:sz w:val="24"/>
          <w:szCs w:val="24"/>
          <w:lang w:val="bg-BG"/>
        </w:rPr>
        <w:t xml:space="preserve"> е укреп</w:t>
      </w:r>
      <w:r w:rsidR="000E2DE5" w:rsidRPr="00610B1B">
        <w:rPr>
          <w:rFonts w:ascii="Times New Roman" w:eastAsia="Times New Roman" w:hAnsi="Times New Roman" w:cs="Times New Roman"/>
          <w:sz w:val="24"/>
          <w:szCs w:val="24"/>
          <w:lang w:val="bg-BG"/>
        </w:rPr>
        <w:t>ена</w:t>
      </w:r>
      <w:r w:rsidRPr="00610B1B">
        <w:rPr>
          <w:rFonts w:ascii="Times New Roman" w:eastAsia="Times New Roman" w:hAnsi="Times New Roman" w:cs="Times New Roman"/>
          <w:sz w:val="24"/>
          <w:szCs w:val="24"/>
          <w:lang w:val="bg-BG"/>
        </w:rPr>
        <w:t xml:space="preserve"> бреговата линия. Прокаран е панорамен път до </w:t>
      </w:r>
      <w:r w:rsidR="000E2DE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Албена</w:t>
      </w:r>
      <w:r w:rsidR="000E2DE5"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и е създадена изкуствена плажна ивица. Засиленото строителството в района през първото десетилетие на ХХI век води до свлачищна дейност и деструкция. Дворецът е превърнат в музей, </w:t>
      </w:r>
      <w:r w:rsidR="007A4FEC" w:rsidRPr="00610B1B">
        <w:rPr>
          <w:rFonts w:ascii="Times New Roman" w:eastAsia="Times New Roman" w:hAnsi="Times New Roman" w:cs="Times New Roman"/>
          <w:sz w:val="24"/>
          <w:szCs w:val="24"/>
          <w:lang w:val="bg-BG"/>
        </w:rPr>
        <w:t>посещаван от</w:t>
      </w:r>
      <w:r w:rsidRPr="00610B1B">
        <w:rPr>
          <w:rFonts w:ascii="Times New Roman" w:eastAsia="Times New Roman" w:hAnsi="Times New Roman" w:cs="Times New Roman"/>
          <w:sz w:val="24"/>
          <w:szCs w:val="24"/>
          <w:lang w:val="bg-BG"/>
        </w:rPr>
        <w:t xml:space="preserve"> български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и</w:t>
      </w:r>
      <w:r w:rsidR="007A4FEC" w:rsidRPr="00610B1B">
        <w:rPr>
          <w:rFonts w:ascii="Times New Roman" w:eastAsia="Times New Roman" w:hAnsi="Times New Roman" w:cs="Times New Roman"/>
          <w:sz w:val="24"/>
          <w:szCs w:val="24"/>
          <w:lang w:val="bg-BG"/>
        </w:rPr>
        <w:t xml:space="preserve"> ч</w:t>
      </w:r>
      <w:r w:rsidRPr="00610B1B">
        <w:rPr>
          <w:rFonts w:ascii="Times New Roman" w:eastAsia="Times New Roman" w:hAnsi="Times New Roman" w:cs="Times New Roman"/>
          <w:sz w:val="24"/>
          <w:szCs w:val="24"/>
          <w:lang w:val="bg-BG"/>
        </w:rPr>
        <w:t xml:space="preserve">уждестранни туристи. </w:t>
      </w:r>
    </w:p>
    <w:p w14:paraId="6B1A2FF4" w14:textId="1675B3BF" w:rsidR="00442579" w:rsidRPr="00610B1B" w:rsidRDefault="00442579" w:rsidP="00D32D6A">
      <w:pPr>
        <w:spacing w:after="120"/>
        <w:ind w:right="-153"/>
        <w:jc w:val="both"/>
        <w:rPr>
          <w:rFonts w:ascii="Times New Roman" w:eastAsia="Times New Roman" w:hAnsi="Times New Roman" w:cs="Times New Roman"/>
          <w:b/>
          <w:color w:val="E36C0A"/>
          <w:sz w:val="24"/>
          <w:szCs w:val="24"/>
          <w:lang w:val="bg-BG"/>
        </w:rPr>
      </w:pPr>
      <w:r w:rsidRPr="00610B1B">
        <w:rPr>
          <w:rFonts w:ascii="Times New Roman" w:eastAsia="Times New Roman" w:hAnsi="Times New Roman" w:cs="Times New Roman"/>
          <w:bCs/>
          <w:i/>
          <w:iCs/>
          <w:sz w:val="24"/>
          <w:szCs w:val="24"/>
          <w:lang w:val="bg-BG"/>
        </w:rPr>
        <w:t>Комплекс „ Дворец Евксиноград и прилежащия му парк”, гр. Варна</w:t>
      </w:r>
      <w:r w:rsidR="00D66FE0"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sz w:val="24"/>
          <w:szCs w:val="24"/>
          <w:lang w:val="bg-BG"/>
        </w:rPr>
        <w:t>е обявен за групова НКЦ с категория „национално значение“ с определени режими на опазване. Съставните елементи със статут на единични НКЦ са шест: „Парк Евксиноград“, „Дворец Евксиноград“, Сграда „АТЦ“,</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„Царска конюшна ЩАЛ“, „Оранжерии“ и „Късноантична и средновековна крепост „Кастрици““. От тях 4</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са с категория „национално значение“, 2 са с категория „местно значение“, а 4 с категория „за сведение“. </w:t>
      </w:r>
    </w:p>
    <w:p w14:paraId="7C514583" w14:textId="78AF7703"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lastRenderedPageBreak/>
        <w:t xml:space="preserve">Дворецът „Евксиноград“ е изграден в периода непосредствено след Съединението за лятна резиденция на българските монарси. Открит е през 1908 г. „Евксиноград“ представлява единствената запазена национална дворцова сграда, от която може да </w:t>
      </w:r>
      <w:r w:rsidR="007A4FEC" w:rsidRPr="00610B1B">
        <w:rPr>
          <w:rFonts w:ascii="Times New Roman" w:eastAsia="Times New Roman" w:hAnsi="Times New Roman" w:cs="Times New Roman"/>
          <w:sz w:val="24"/>
          <w:szCs w:val="24"/>
          <w:lang w:val="bg-BG"/>
        </w:rPr>
        <w:t xml:space="preserve">се </w:t>
      </w:r>
      <w:r w:rsidRPr="00610B1B">
        <w:rPr>
          <w:rFonts w:ascii="Times New Roman" w:eastAsia="Times New Roman" w:hAnsi="Times New Roman" w:cs="Times New Roman"/>
          <w:sz w:val="24"/>
          <w:szCs w:val="24"/>
          <w:lang w:val="bg-BG"/>
        </w:rPr>
        <w:t>съди за държавния и дворцовия протокол. Парк „Евксиноград“ е изграден в различни периоди. През 1886</w:t>
      </w:r>
      <w:r w:rsidR="007A4FEC"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е осъществен проекта на немския паркостроител Петцолд, а в периода 1893-1912 г. паркът се разширява. През 1903 г. е построено евксиноградското пристанище и са укрепени скалите на нос „Соганлък“. Очертават се паркова част на резиденцията по крайбрежието и стопанска – на север и запад. През 1921 г. паркът е част от Царските ботанически градини. През 1935 г. приключва композиционното изграждане на парка. След 1944</w:t>
      </w:r>
      <w:r w:rsidR="007A4FEC"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г. Евксиноград става правителствена резиденция. През второто десетилетие на ХХI</w:t>
      </w:r>
      <w:r w:rsidR="007A4FEC"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век е внесен проект за извършване на консервационно-реставрационни работи, който е съгласуван от МК</w:t>
      </w:r>
      <w:r w:rsidR="00FA5B95" w:rsidRPr="00610B1B">
        <w:rPr>
          <w:rFonts w:ascii="Times New Roman" w:eastAsia="Times New Roman" w:hAnsi="Times New Roman" w:cs="Times New Roman"/>
          <w:sz w:val="24"/>
          <w:szCs w:val="24"/>
          <w:lang w:val="bg-BG"/>
        </w:rPr>
        <w:t xml:space="preserve"> и е реализиран частично</w:t>
      </w:r>
      <w:r w:rsidRPr="00610B1B">
        <w:rPr>
          <w:rFonts w:ascii="Times New Roman" w:eastAsia="Times New Roman" w:hAnsi="Times New Roman" w:cs="Times New Roman"/>
          <w:sz w:val="24"/>
          <w:szCs w:val="24"/>
          <w:lang w:val="bg-BG"/>
        </w:rPr>
        <w:t>. Днес обектът се използва за правителствена почивна база. Има и организирани посещения на туристи.</w:t>
      </w:r>
    </w:p>
    <w:p w14:paraId="4682BDFA" w14:textId="1C8AAD64" w:rsidR="00442579" w:rsidRPr="00610B1B" w:rsidRDefault="007A4FEC"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В тази група НКЦ попадат и </w:t>
      </w:r>
      <w:r w:rsidR="00442579" w:rsidRPr="00610B1B">
        <w:rPr>
          <w:rFonts w:ascii="Times New Roman" w:eastAsia="Times New Roman" w:hAnsi="Times New Roman" w:cs="Times New Roman"/>
          <w:bCs/>
          <w:i/>
          <w:iCs/>
          <w:sz w:val="24"/>
          <w:szCs w:val="24"/>
          <w:lang w:val="bg-BG"/>
        </w:rPr>
        <w:t>Историческо</w:t>
      </w:r>
      <w:r w:rsidRPr="00610B1B">
        <w:rPr>
          <w:rFonts w:ascii="Times New Roman" w:eastAsia="Times New Roman" w:hAnsi="Times New Roman" w:cs="Times New Roman"/>
          <w:bCs/>
          <w:i/>
          <w:iCs/>
          <w:sz w:val="24"/>
          <w:szCs w:val="24"/>
          <w:lang w:val="bg-BG"/>
        </w:rPr>
        <w:t>то</w:t>
      </w:r>
      <w:r w:rsidR="00442579" w:rsidRPr="00610B1B">
        <w:rPr>
          <w:rFonts w:ascii="Times New Roman" w:eastAsia="Times New Roman" w:hAnsi="Times New Roman" w:cs="Times New Roman"/>
          <w:bCs/>
          <w:i/>
          <w:iCs/>
          <w:sz w:val="24"/>
          <w:szCs w:val="24"/>
          <w:lang w:val="bg-BG"/>
        </w:rPr>
        <w:t xml:space="preserve"> ядро на морската градина във Варна</w:t>
      </w:r>
      <w:r w:rsidRPr="00610B1B">
        <w:rPr>
          <w:rFonts w:ascii="Times New Roman" w:eastAsia="Times New Roman" w:hAnsi="Times New Roman" w:cs="Times New Roman"/>
          <w:bCs/>
          <w:i/>
          <w:iCs/>
          <w:sz w:val="24"/>
          <w:szCs w:val="24"/>
          <w:lang w:val="bg-BG"/>
        </w:rPr>
        <w:t xml:space="preserve">, </w:t>
      </w:r>
      <w:r w:rsidRPr="00610B1B">
        <w:rPr>
          <w:rFonts w:ascii="Times New Roman" w:eastAsia="Times New Roman" w:hAnsi="Times New Roman" w:cs="Times New Roman"/>
          <w:bCs/>
          <w:sz w:val="24"/>
          <w:szCs w:val="24"/>
          <w:lang w:val="bg-BG"/>
        </w:rPr>
        <w:t>която е Н</w:t>
      </w:r>
      <w:r w:rsidR="00442579" w:rsidRPr="00610B1B">
        <w:rPr>
          <w:rFonts w:ascii="Times New Roman" w:eastAsia="Times New Roman" w:hAnsi="Times New Roman" w:cs="Times New Roman"/>
          <w:bCs/>
          <w:sz w:val="24"/>
          <w:szCs w:val="24"/>
          <w:lang w:val="bg-BG"/>
        </w:rPr>
        <w:t>КЦ</w:t>
      </w:r>
      <w:r w:rsidR="00442579" w:rsidRPr="00610B1B">
        <w:rPr>
          <w:rFonts w:ascii="Times New Roman" w:eastAsia="Times New Roman" w:hAnsi="Times New Roman" w:cs="Times New Roman"/>
          <w:sz w:val="24"/>
          <w:szCs w:val="24"/>
          <w:lang w:val="bg-BG"/>
        </w:rPr>
        <w:t xml:space="preserve"> на градинското и парково изкуство, с категория „национално значение“ с определени режими за опазване</w:t>
      </w:r>
      <w:r w:rsidRPr="00610B1B">
        <w:rPr>
          <w:rFonts w:ascii="Times New Roman" w:eastAsia="Times New Roman" w:hAnsi="Times New Roman" w:cs="Times New Roman"/>
          <w:sz w:val="24"/>
          <w:szCs w:val="24"/>
          <w:lang w:val="bg-BG"/>
        </w:rPr>
        <w:t xml:space="preserve"> и </w:t>
      </w:r>
      <w:r w:rsidR="00442579" w:rsidRPr="00610B1B">
        <w:rPr>
          <w:rFonts w:ascii="Times New Roman" w:eastAsia="Times New Roman" w:hAnsi="Times New Roman" w:cs="Times New Roman"/>
          <w:bCs/>
          <w:i/>
          <w:iCs/>
          <w:sz w:val="24"/>
          <w:szCs w:val="24"/>
          <w:lang w:val="bg-BG"/>
        </w:rPr>
        <w:t xml:space="preserve">Историческо ядро на морската градина в Бургас, </w:t>
      </w:r>
      <w:r w:rsidRPr="00610B1B">
        <w:rPr>
          <w:rFonts w:ascii="Times New Roman" w:eastAsia="Times New Roman" w:hAnsi="Times New Roman" w:cs="Times New Roman"/>
          <w:bCs/>
          <w:sz w:val="24"/>
          <w:szCs w:val="24"/>
          <w:lang w:val="bg-BG"/>
        </w:rPr>
        <w:t xml:space="preserve">със същата категория и </w:t>
      </w:r>
      <w:r w:rsidR="00442579" w:rsidRPr="00610B1B">
        <w:rPr>
          <w:rFonts w:ascii="Times New Roman" w:eastAsia="Times New Roman" w:hAnsi="Times New Roman" w:cs="Times New Roman"/>
          <w:sz w:val="24"/>
          <w:szCs w:val="24"/>
          <w:lang w:val="bg-BG"/>
        </w:rPr>
        <w:t xml:space="preserve">определени режими за опазване. </w:t>
      </w:r>
    </w:p>
    <w:p w14:paraId="4CBB90F3" w14:textId="303DC156"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
          <w:iCs/>
          <w:sz w:val="24"/>
          <w:szCs w:val="24"/>
          <w:lang w:val="bg-BG"/>
        </w:rPr>
        <w:t>Поморийски солници, гр. Поморие</w:t>
      </w:r>
      <w:r w:rsidRPr="00610B1B">
        <w:rPr>
          <w:rFonts w:ascii="Times New Roman" w:eastAsia="Times New Roman" w:hAnsi="Times New Roman" w:cs="Times New Roman"/>
          <w:bCs/>
          <w:sz w:val="24"/>
          <w:szCs w:val="24"/>
          <w:lang w:val="bg-BG"/>
        </w:rPr>
        <w:t xml:space="preserve">, </w:t>
      </w:r>
      <w:r w:rsidR="00CC1F25" w:rsidRPr="00610B1B">
        <w:rPr>
          <w:rFonts w:ascii="Times New Roman" w:eastAsia="Times New Roman" w:hAnsi="Times New Roman" w:cs="Times New Roman"/>
          <w:bCs/>
          <w:sz w:val="24"/>
          <w:szCs w:val="24"/>
          <w:lang w:val="bg-BG"/>
        </w:rPr>
        <w:t>са е</w:t>
      </w:r>
      <w:r w:rsidRPr="00610B1B">
        <w:rPr>
          <w:rFonts w:ascii="Times New Roman" w:eastAsia="Times New Roman" w:hAnsi="Times New Roman" w:cs="Times New Roman"/>
          <w:sz w:val="24"/>
          <w:szCs w:val="24"/>
          <w:lang w:val="bg-BG"/>
        </w:rPr>
        <w:t>тнографска единична НКЦ, с предварителна категория „национално значение“, с определени режими за опазване.</w:t>
      </w:r>
      <w:r w:rsidR="00D66FE0" w:rsidRPr="00610B1B">
        <w:rPr>
          <w:rFonts w:ascii="Times New Roman" w:eastAsia="Times New Roman" w:hAnsi="Times New Roman" w:cs="Times New Roman"/>
          <w:sz w:val="24"/>
          <w:szCs w:val="24"/>
          <w:lang w:val="bg-BG"/>
        </w:rPr>
        <w:t xml:space="preserve"> </w:t>
      </w:r>
      <w:r w:rsidR="00CC1F25" w:rsidRPr="00610B1B">
        <w:rPr>
          <w:rFonts w:ascii="Times New Roman" w:eastAsia="Times New Roman" w:hAnsi="Times New Roman" w:cs="Times New Roman"/>
          <w:sz w:val="24"/>
          <w:szCs w:val="24"/>
          <w:lang w:val="bg-BG"/>
        </w:rPr>
        <w:t xml:space="preserve">Те </w:t>
      </w:r>
      <w:r w:rsidRPr="00610B1B">
        <w:rPr>
          <w:rFonts w:ascii="Times New Roman" w:eastAsia="Times New Roman" w:hAnsi="Times New Roman" w:cs="Times New Roman"/>
          <w:sz w:val="24"/>
          <w:szCs w:val="24"/>
          <w:lang w:val="bg-BG"/>
        </w:rPr>
        <w:t>се отличават със специфична</w:t>
      </w:r>
      <w:r w:rsidR="00CC1F25" w:rsidRPr="00610B1B">
        <w:rPr>
          <w:rFonts w:ascii="Times New Roman" w:eastAsia="Times New Roman" w:hAnsi="Times New Roman" w:cs="Times New Roman"/>
          <w:sz w:val="24"/>
          <w:szCs w:val="24"/>
          <w:lang w:val="bg-BG"/>
        </w:rPr>
        <w:t xml:space="preserve">та ръчна </w:t>
      </w:r>
      <w:r w:rsidRPr="00610B1B">
        <w:rPr>
          <w:rFonts w:ascii="Times New Roman" w:eastAsia="Times New Roman" w:hAnsi="Times New Roman" w:cs="Times New Roman"/>
          <w:sz w:val="24"/>
          <w:szCs w:val="24"/>
          <w:lang w:val="bg-BG"/>
        </w:rPr>
        <w:t>технология на солопроизводство, практикува</w:t>
      </w:r>
      <w:r w:rsidR="00CC1F25" w:rsidRPr="00610B1B">
        <w:rPr>
          <w:rFonts w:ascii="Times New Roman" w:eastAsia="Times New Roman" w:hAnsi="Times New Roman" w:cs="Times New Roman"/>
          <w:sz w:val="24"/>
          <w:szCs w:val="24"/>
          <w:lang w:val="bg-BG"/>
        </w:rPr>
        <w:t>н</w:t>
      </w:r>
      <w:r w:rsidRPr="00610B1B">
        <w:rPr>
          <w:rFonts w:ascii="Times New Roman" w:eastAsia="Times New Roman" w:hAnsi="Times New Roman" w:cs="Times New Roman"/>
          <w:sz w:val="24"/>
          <w:szCs w:val="24"/>
          <w:lang w:val="bg-BG"/>
        </w:rPr>
        <w:t>о от хилядолетия.</w:t>
      </w:r>
      <w:r w:rsidR="00CC1F25"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Солниците все още функционират предимно като демонстрационен обект, филиал на съществуващия Исторически музей в града. Социализацията на обекта, както и т.н. ”Музей на солта” не са адекватни на стойността на ценността и на съвременните тенденции </w:t>
      </w:r>
      <w:r w:rsidR="00C14AA0" w:rsidRPr="00610B1B">
        <w:rPr>
          <w:rFonts w:ascii="Times New Roman" w:eastAsia="Times New Roman" w:hAnsi="Times New Roman" w:cs="Times New Roman"/>
          <w:sz w:val="24"/>
          <w:szCs w:val="24"/>
          <w:lang w:val="bg-BG"/>
        </w:rPr>
        <w:t>за</w:t>
      </w:r>
      <w:r w:rsidRPr="00610B1B">
        <w:rPr>
          <w:rFonts w:ascii="Times New Roman" w:eastAsia="Times New Roman" w:hAnsi="Times New Roman" w:cs="Times New Roman"/>
          <w:sz w:val="24"/>
          <w:szCs w:val="24"/>
          <w:lang w:val="bg-BG"/>
        </w:rPr>
        <w:t xml:space="preserve"> експониране на такива обекти. </w:t>
      </w:r>
    </w:p>
    <w:p w14:paraId="4ABF45FA" w14:textId="77777777" w:rsidR="00C14AA0" w:rsidRPr="00610B1B" w:rsidRDefault="00CC1F25"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От краткия анализ на културните ценности със световно и национално значение, разположени на българското Черноморско крайбрежие и в морската акватория са систематизирани някои по-важни </w:t>
      </w:r>
      <w:r w:rsidRPr="00610B1B">
        <w:rPr>
          <w:rFonts w:ascii="Times New Roman" w:eastAsia="Times New Roman" w:hAnsi="Times New Roman" w:cs="Times New Roman"/>
          <w:b/>
          <w:bCs/>
          <w:sz w:val="24"/>
          <w:szCs w:val="24"/>
          <w:lang w:val="bg-BG"/>
        </w:rPr>
        <w:t>изводи</w:t>
      </w:r>
      <w:r w:rsidRPr="00610B1B">
        <w:rPr>
          <w:rFonts w:ascii="Times New Roman" w:eastAsia="Times New Roman" w:hAnsi="Times New Roman" w:cs="Times New Roman"/>
          <w:sz w:val="24"/>
          <w:szCs w:val="24"/>
          <w:lang w:val="bg-BG"/>
        </w:rPr>
        <w:t xml:space="preserve"> за историята и културата на тази част от страната. Първите </w:t>
      </w:r>
      <w:r w:rsidR="00442579" w:rsidRPr="00610B1B">
        <w:rPr>
          <w:rFonts w:ascii="Times New Roman" w:eastAsia="Times New Roman" w:hAnsi="Times New Roman" w:cs="Times New Roman"/>
          <w:sz w:val="24"/>
          <w:szCs w:val="24"/>
          <w:lang w:val="bg-BG"/>
        </w:rPr>
        <w:t xml:space="preserve">човешки общности се появяват през средния палеолит. Със съвременния човек homo sapiens се свързват някои къснопалеолитни материали и колекцията от мезолитни артефакти от района на Побитите камъни, Варненско. Най-ранните селища от района на Черноморието се отнасят към началната и късните фази на новокаменната епоха. </w:t>
      </w:r>
      <w:r w:rsidRPr="00610B1B">
        <w:rPr>
          <w:rFonts w:ascii="Times New Roman" w:eastAsia="Times New Roman" w:hAnsi="Times New Roman" w:cs="Times New Roman"/>
          <w:sz w:val="24"/>
          <w:szCs w:val="24"/>
          <w:lang w:val="bg-BG"/>
        </w:rPr>
        <w:t xml:space="preserve">Последните </w:t>
      </w:r>
      <w:r w:rsidR="00442579" w:rsidRPr="00610B1B">
        <w:rPr>
          <w:rFonts w:ascii="Times New Roman" w:eastAsia="Times New Roman" w:hAnsi="Times New Roman" w:cs="Times New Roman"/>
          <w:sz w:val="24"/>
          <w:szCs w:val="24"/>
          <w:lang w:val="bg-BG"/>
        </w:rPr>
        <w:t xml:space="preserve">изследвания за промените в нивото на морето, </w:t>
      </w:r>
      <w:r w:rsidRPr="00610B1B">
        <w:rPr>
          <w:rFonts w:ascii="Times New Roman" w:eastAsia="Times New Roman" w:hAnsi="Times New Roman" w:cs="Times New Roman"/>
          <w:sz w:val="24"/>
          <w:szCs w:val="24"/>
          <w:lang w:val="bg-BG"/>
        </w:rPr>
        <w:t>подсказват</w:t>
      </w:r>
      <w:r w:rsidR="00442579" w:rsidRPr="00610B1B">
        <w:rPr>
          <w:rFonts w:ascii="Times New Roman" w:eastAsia="Times New Roman" w:hAnsi="Times New Roman" w:cs="Times New Roman"/>
          <w:sz w:val="24"/>
          <w:szCs w:val="24"/>
          <w:lang w:val="bg-BG"/>
        </w:rPr>
        <w:t xml:space="preserve">, че по древната брегова ивица от 10 – 8-мото хилядолетие преди Христа, която днес се намира по 30-40 метрова изобата, могат да се очакват множество праисторически селища от прехода между Мезолита и Ранната новокаменна епоха. Най-ранните материални архитектурни следи са тези около Дуранкулашкото езеро и са датирани в ранната каменно-медна епоха (V хил. пр. Хр.). Крайбрежието продължава да се развива и през останалите епохи. </w:t>
      </w:r>
    </w:p>
    <w:p w14:paraId="3D6B2032" w14:textId="77777777" w:rsidR="003A6D4A" w:rsidRPr="00610B1B" w:rsidRDefault="00442579" w:rsidP="00D32D6A">
      <w:pPr>
        <w:spacing w:after="120"/>
        <w:ind w:right="-153"/>
        <w:jc w:val="both"/>
        <w:rPr>
          <w:rFonts w:ascii="Times New Roman" w:hAnsi="Times New Roman" w:cs="Times New Roman"/>
          <w:sz w:val="24"/>
          <w:szCs w:val="24"/>
          <w:lang w:val="bg-BG"/>
        </w:rPr>
      </w:pPr>
      <w:r w:rsidRPr="00610B1B">
        <w:rPr>
          <w:rFonts w:ascii="Times New Roman" w:eastAsia="Times New Roman" w:hAnsi="Times New Roman" w:cs="Times New Roman"/>
          <w:sz w:val="24"/>
          <w:szCs w:val="24"/>
          <w:lang w:val="bg-BG"/>
        </w:rPr>
        <w:t>Недвижимите културни ценности, които могат да се дефинират на територията според историческата си принадлежност към определен период, обхващат целия темпорален диапазон фиксиран в ЗКН: праисторически, антични, средновековни, възраждане, ново и най-ново време</w:t>
      </w:r>
      <w:r w:rsidR="001B7D8F"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Според научната и културна област</w:t>
      </w:r>
      <w:r w:rsidR="00C14AA0"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към която се отнасят</w:t>
      </w:r>
      <w:r w:rsidR="00C14AA0"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превес имат </w:t>
      </w:r>
      <w:r w:rsidRPr="00610B1B">
        <w:rPr>
          <w:rFonts w:ascii="Times New Roman" w:eastAsia="Times New Roman" w:hAnsi="Times New Roman" w:cs="Times New Roman"/>
          <w:sz w:val="24"/>
          <w:szCs w:val="24"/>
          <w:lang w:val="bg-BG"/>
        </w:rPr>
        <w:lastRenderedPageBreak/>
        <w:t xml:space="preserve">археологическите обекти, следвани от архитектурно-строителните, урбанистичните и ценностите на градинското и парково изкуство. Акцент при анализа на </w:t>
      </w:r>
      <w:r w:rsidR="001B7D8F" w:rsidRPr="00610B1B">
        <w:rPr>
          <w:rFonts w:ascii="Times New Roman" w:eastAsia="Times New Roman" w:hAnsi="Times New Roman" w:cs="Times New Roman"/>
          <w:sz w:val="24"/>
          <w:szCs w:val="24"/>
          <w:lang w:val="bg-BG"/>
        </w:rPr>
        <w:t>културното наследство</w:t>
      </w:r>
      <w:r w:rsidRPr="00610B1B">
        <w:rPr>
          <w:rFonts w:ascii="Times New Roman" w:eastAsia="Times New Roman" w:hAnsi="Times New Roman" w:cs="Times New Roman"/>
          <w:sz w:val="24"/>
          <w:szCs w:val="24"/>
          <w:lang w:val="bg-BG"/>
        </w:rPr>
        <w:t xml:space="preserve"> </w:t>
      </w:r>
      <w:r w:rsidR="00C14AA0" w:rsidRPr="00610B1B">
        <w:rPr>
          <w:rFonts w:ascii="Times New Roman" w:eastAsia="Times New Roman" w:hAnsi="Times New Roman" w:cs="Times New Roman"/>
          <w:sz w:val="24"/>
          <w:szCs w:val="24"/>
          <w:lang w:val="bg-BG"/>
        </w:rPr>
        <w:t xml:space="preserve">са </w:t>
      </w:r>
      <w:r w:rsidRPr="00610B1B">
        <w:rPr>
          <w:rFonts w:ascii="Times New Roman" w:eastAsia="Times New Roman" w:hAnsi="Times New Roman" w:cs="Times New Roman"/>
          <w:sz w:val="24"/>
          <w:szCs w:val="24"/>
          <w:lang w:val="bg-BG"/>
        </w:rPr>
        <w:t>потъналите селища и архитектурно-строителни структури, които също са археологическо недвижимо наследство. В повечето случаи те са в пряка физическа и смислова връзка с археологическите обекти</w:t>
      </w:r>
      <w:r w:rsidR="001B7D8F"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в непосредствена близост до крайбрежната ивица. Според пространствената си структура и териториален обхват, най-много са </w:t>
      </w:r>
      <w:r w:rsidRPr="00610B1B">
        <w:rPr>
          <w:rFonts w:ascii="Times New Roman" w:eastAsia="Times New Roman" w:hAnsi="Times New Roman" w:cs="Times New Roman"/>
          <w:color w:val="000000" w:themeColor="text1"/>
          <w:sz w:val="24"/>
          <w:szCs w:val="24"/>
          <w:lang w:val="bg-BG"/>
        </w:rPr>
        <w:t>единичните НКЦ, следвани от груповите</w:t>
      </w:r>
      <w:r w:rsidR="003A6D4A" w:rsidRPr="00610B1B">
        <w:rPr>
          <w:rFonts w:ascii="Times New Roman" w:eastAsia="Times New Roman" w:hAnsi="Times New Roman" w:cs="Times New Roman"/>
          <w:color w:val="000000" w:themeColor="text1"/>
          <w:sz w:val="24"/>
          <w:szCs w:val="24"/>
          <w:lang w:val="bg-BG"/>
        </w:rPr>
        <w:t>,</w:t>
      </w:r>
      <w:r w:rsidR="003A6D4A" w:rsidRPr="00610B1B">
        <w:rPr>
          <w:rFonts w:ascii="Times New Roman" w:hAnsi="Times New Roman" w:cs="Times New Roman"/>
          <w:color w:val="000000" w:themeColor="text1"/>
          <w:lang w:val="bg-BG"/>
        </w:rPr>
        <w:t xml:space="preserve"> </w:t>
      </w:r>
      <w:r w:rsidR="003A6D4A" w:rsidRPr="00610B1B">
        <w:rPr>
          <w:rFonts w:ascii="Times New Roman" w:eastAsia="Times New Roman" w:hAnsi="Times New Roman" w:cs="Times New Roman"/>
          <w:color w:val="000000" w:themeColor="text1"/>
          <w:sz w:val="24"/>
          <w:szCs w:val="24"/>
          <w:lang w:val="bg-BG"/>
        </w:rPr>
        <w:t>сред които превес имат археологическите обекти.</w:t>
      </w:r>
      <w:r w:rsidR="003A6D4A" w:rsidRPr="00610B1B">
        <w:rPr>
          <w:rFonts w:ascii="Times New Roman" w:hAnsi="Times New Roman" w:cs="Times New Roman"/>
          <w:color w:val="000000" w:themeColor="text1"/>
          <w:sz w:val="24"/>
          <w:szCs w:val="24"/>
          <w:lang w:val="bg-BG"/>
        </w:rPr>
        <w:t xml:space="preserve"> В разглежданите територия и акватория НКЦ са предимно от национално и местно значение. Старинен град Несебър е единственият обект с категория „световното наследство.” В обхвата на плана могат да се окажат обекти НКЦ, които в бъдеще да получат категория „световно значение“. Потенциал за вписване в списъка на световното културно наследство имат останките от корабокрушения в Черно море, които поради </w:t>
      </w:r>
      <w:r w:rsidR="003A6D4A" w:rsidRPr="00610B1B">
        <w:rPr>
          <w:rFonts w:ascii="Times New Roman" w:hAnsi="Times New Roman" w:cs="Times New Roman"/>
          <w:sz w:val="24"/>
          <w:szCs w:val="24"/>
          <w:lang w:val="bg-BG"/>
        </w:rPr>
        <w:t>специфичните условия имат степен на запазеност, която не се среща в други морета.</w:t>
      </w:r>
    </w:p>
    <w:p w14:paraId="47400436" w14:textId="707CEF47"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Една не малка част от обектите със статут на НКЦ и категория „национално значение</w:t>
      </w:r>
      <w:r w:rsidR="001B7D8F"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са с непроведени КРР дейности и съответно </w:t>
      </w:r>
      <w:r w:rsidR="00C14AA0" w:rsidRPr="00610B1B">
        <w:rPr>
          <w:rFonts w:ascii="Times New Roman" w:eastAsia="Times New Roman" w:hAnsi="Times New Roman" w:cs="Times New Roman"/>
          <w:sz w:val="24"/>
          <w:szCs w:val="24"/>
          <w:lang w:val="bg-BG"/>
        </w:rPr>
        <w:t>без</w:t>
      </w:r>
      <w:r w:rsidRPr="00610B1B">
        <w:rPr>
          <w:rFonts w:ascii="Times New Roman" w:eastAsia="Times New Roman" w:hAnsi="Times New Roman" w:cs="Times New Roman"/>
          <w:sz w:val="24"/>
          <w:szCs w:val="24"/>
          <w:lang w:val="bg-BG"/>
        </w:rPr>
        <w:t xml:space="preserve"> адаптация и социализация, което ги прави популярни само в научните среди. </w:t>
      </w:r>
      <w:r w:rsidR="001B7D8F" w:rsidRPr="00610B1B">
        <w:rPr>
          <w:rFonts w:ascii="Times New Roman" w:eastAsia="Times New Roman" w:hAnsi="Times New Roman" w:cs="Times New Roman"/>
          <w:sz w:val="24"/>
          <w:szCs w:val="24"/>
          <w:lang w:val="bg-BG"/>
        </w:rPr>
        <w:t>Т</w:t>
      </w:r>
      <w:r w:rsidRPr="00610B1B">
        <w:rPr>
          <w:rFonts w:ascii="Times New Roman" w:eastAsia="Times New Roman" w:hAnsi="Times New Roman" w:cs="Times New Roman"/>
          <w:sz w:val="24"/>
          <w:szCs w:val="24"/>
          <w:lang w:val="bg-BG"/>
        </w:rPr>
        <w:t>ова са обекти</w:t>
      </w:r>
      <w:r w:rsidR="001B7D8F"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разположени в обхват</w:t>
      </w:r>
      <w:r w:rsidR="001B7D8F"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 xml:space="preserve"> на </w:t>
      </w:r>
      <w:r w:rsidR="001B7D8F" w:rsidRPr="00610B1B">
        <w:rPr>
          <w:rFonts w:ascii="Times New Roman" w:eastAsia="Times New Roman" w:hAnsi="Times New Roman" w:cs="Times New Roman"/>
          <w:sz w:val="24"/>
          <w:szCs w:val="24"/>
          <w:lang w:val="bg-BG"/>
        </w:rPr>
        <w:t>зони „А“ и „Б“ съгласно ЗУЧК, приет за граница на проучването</w:t>
      </w:r>
      <w:r w:rsidRPr="00610B1B">
        <w:rPr>
          <w:rFonts w:ascii="Times New Roman" w:eastAsia="Times New Roman" w:hAnsi="Times New Roman" w:cs="Times New Roman"/>
          <w:sz w:val="24"/>
          <w:szCs w:val="24"/>
          <w:lang w:val="bg-BG"/>
        </w:rPr>
        <w:t>. Тези структури формира</w:t>
      </w:r>
      <w:r w:rsidR="001B7D8F" w:rsidRPr="00610B1B">
        <w:rPr>
          <w:rFonts w:ascii="Times New Roman" w:eastAsia="Times New Roman" w:hAnsi="Times New Roman" w:cs="Times New Roman"/>
          <w:sz w:val="24"/>
          <w:szCs w:val="24"/>
          <w:lang w:val="bg-BG"/>
        </w:rPr>
        <w:t>т</w:t>
      </w:r>
      <w:r w:rsidRPr="00610B1B">
        <w:rPr>
          <w:rFonts w:ascii="Times New Roman" w:eastAsia="Times New Roman" w:hAnsi="Times New Roman" w:cs="Times New Roman"/>
          <w:sz w:val="24"/>
          <w:szCs w:val="24"/>
          <w:lang w:val="bg-BG"/>
        </w:rPr>
        <w:t xml:space="preserve"> силуета на бреговата ивица на България. </w:t>
      </w:r>
      <w:r w:rsidR="001B7D8F" w:rsidRPr="00610B1B">
        <w:rPr>
          <w:rFonts w:ascii="Times New Roman" w:eastAsia="Times New Roman" w:hAnsi="Times New Roman" w:cs="Times New Roman"/>
          <w:sz w:val="24"/>
          <w:szCs w:val="24"/>
          <w:lang w:val="bg-BG"/>
        </w:rPr>
        <w:t xml:space="preserve">Техният </w:t>
      </w:r>
      <w:r w:rsidRPr="00610B1B">
        <w:rPr>
          <w:rFonts w:ascii="Times New Roman" w:eastAsia="Times New Roman" w:hAnsi="Times New Roman" w:cs="Times New Roman"/>
          <w:sz w:val="24"/>
          <w:szCs w:val="24"/>
          <w:lang w:val="bg-BG"/>
        </w:rPr>
        <w:t>потенциал</w:t>
      </w:r>
      <w:r w:rsidR="001B7D8F" w:rsidRPr="00610B1B">
        <w:rPr>
          <w:rFonts w:ascii="Times New Roman" w:eastAsia="Times New Roman" w:hAnsi="Times New Roman" w:cs="Times New Roman"/>
          <w:sz w:val="24"/>
          <w:szCs w:val="24"/>
          <w:lang w:val="bg-BG"/>
        </w:rPr>
        <w:t xml:space="preserve"> не е използван, а те,</w:t>
      </w:r>
      <w:r w:rsidRPr="00610B1B">
        <w:rPr>
          <w:rFonts w:ascii="Times New Roman" w:eastAsia="Times New Roman" w:hAnsi="Times New Roman" w:cs="Times New Roman"/>
          <w:sz w:val="24"/>
          <w:szCs w:val="24"/>
          <w:lang w:val="bg-BG"/>
        </w:rPr>
        <w:t xml:space="preserve"> освен с научната си стойност, могат да привличат и по</w:t>
      </w:r>
      <w:r w:rsidR="001B7D8F" w:rsidRPr="00610B1B">
        <w:rPr>
          <w:rFonts w:ascii="Times New Roman" w:eastAsia="Times New Roman" w:hAnsi="Times New Roman" w:cs="Times New Roman"/>
          <w:sz w:val="24"/>
          <w:szCs w:val="24"/>
          <w:lang w:val="bg-BG"/>
        </w:rPr>
        <w:t>ч</w:t>
      </w:r>
      <w:r w:rsidRPr="00610B1B">
        <w:rPr>
          <w:rFonts w:ascii="Times New Roman" w:eastAsia="Times New Roman" w:hAnsi="Times New Roman" w:cs="Times New Roman"/>
          <w:sz w:val="24"/>
          <w:szCs w:val="24"/>
          <w:lang w:val="bg-BG"/>
        </w:rPr>
        <w:t xml:space="preserve">итатели на културния туризъм. </w:t>
      </w:r>
      <w:r w:rsidR="001B7D8F" w:rsidRPr="00610B1B">
        <w:rPr>
          <w:rFonts w:ascii="Times New Roman" w:eastAsia="Times New Roman" w:hAnsi="Times New Roman" w:cs="Times New Roman"/>
          <w:sz w:val="24"/>
          <w:szCs w:val="24"/>
          <w:lang w:val="bg-BG"/>
        </w:rPr>
        <w:t xml:space="preserve">За </w:t>
      </w:r>
      <w:r w:rsidRPr="00610B1B">
        <w:rPr>
          <w:rFonts w:ascii="Times New Roman" w:eastAsia="Times New Roman" w:hAnsi="Times New Roman" w:cs="Times New Roman"/>
          <w:sz w:val="24"/>
          <w:szCs w:val="24"/>
          <w:lang w:val="bg-BG"/>
        </w:rPr>
        <w:t>повечето от тях е факт, че имат участъци свлечени под вода, чието интегриране и експониране ще повиши интереса към тях.</w:t>
      </w:r>
    </w:p>
    <w:p w14:paraId="7DEE79AF" w14:textId="3C546A98" w:rsidR="00442579" w:rsidRPr="00610B1B" w:rsidRDefault="00442579" w:rsidP="00D32D6A">
      <w:pPr>
        <w:tabs>
          <w:tab w:val="left" w:pos="3060"/>
        </w:tabs>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По-голямата част от обектите</w:t>
      </w:r>
      <w:r w:rsidR="00DD51C3"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разположени по българската крайбрежна ивица на Черно море са единични обекти. Част от</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тях са най-често с местно или национално значение, но все още най-голям е броят на тези „за сведение”. Разпределението на обекти, които са недвижими културни ценности по общини (с включени и тези НКЦ които не попадат в обхвата на МППРБ), от север на юг и разположени на крайбрежната, сухоземна ивица е както следва:</w:t>
      </w:r>
    </w:p>
    <w:p w14:paraId="4978EB60" w14:textId="0D9FA89B" w:rsidR="000E7C6A" w:rsidRPr="00610B1B" w:rsidRDefault="00543303" w:rsidP="00D32D6A">
      <w:pPr>
        <w:tabs>
          <w:tab w:val="left" w:pos="3060"/>
        </w:tabs>
        <w:spacing w:after="120"/>
        <w:ind w:right="-153"/>
        <w:jc w:val="both"/>
        <w:rPr>
          <w:rFonts w:ascii="Times New Roman" w:eastAsia="Times New Roman" w:hAnsi="Times New Roman" w:cs="Times New Roman"/>
          <w:sz w:val="24"/>
          <w:szCs w:val="24"/>
          <w:lang w:val="bg-BG"/>
        </w:rPr>
      </w:pPr>
      <w:bookmarkStart w:id="410" w:name="_Toc83391610"/>
      <w:r w:rsidRPr="00610B1B">
        <w:rPr>
          <w:rFonts w:ascii="Times New Roman" w:hAnsi="Times New Roman" w:cs="Times New Roman"/>
          <w:sz w:val="24"/>
          <w:szCs w:val="24"/>
          <w:lang w:val="bg-BG"/>
        </w:rPr>
        <w:t xml:space="preserve">Таблица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Таблица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14</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0E7C6A" w:rsidRPr="00610B1B">
        <w:rPr>
          <w:rFonts w:ascii="Times New Roman" w:hAnsi="Times New Roman" w:cs="Times New Roman"/>
          <w:sz w:val="24"/>
          <w:szCs w:val="24"/>
          <w:lang w:val="bg-BG"/>
        </w:rPr>
        <w:t>Недвижими културни ценности по общини</w:t>
      </w:r>
      <w:bookmarkEnd w:id="410"/>
    </w:p>
    <w:tbl>
      <w:tblPr>
        <w:tblStyle w:val="TableGrid7"/>
        <w:tblW w:w="8844" w:type="dxa"/>
        <w:tblInd w:w="-5" w:type="dxa"/>
        <w:tblBorders>
          <w:left w:val="none" w:sz="0" w:space="0" w:color="auto"/>
          <w:right w:val="none" w:sz="0" w:space="0" w:color="auto"/>
          <w:insideV w:val="none" w:sz="0" w:space="0" w:color="auto"/>
        </w:tblBorders>
        <w:tblLayout w:type="fixed"/>
        <w:tblLook w:val="01E0" w:firstRow="1" w:lastRow="1" w:firstColumn="1" w:lastColumn="1" w:noHBand="0" w:noVBand="0"/>
      </w:tblPr>
      <w:tblGrid>
        <w:gridCol w:w="2409"/>
        <w:gridCol w:w="1134"/>
        <w:gridCol w:w="1418"/>
        <w:gridCol w:w="913"/>
        <w:gridCol w:w="1350"/>
        <w:gridCol w:w="810"/>
        <w:gridCol w:w="810"/>
      </w:tblGrid>
      <w:tr w:rsidR="00FD59A8" w:rsidRPr="00610B1B" w14:paraId="6DEEE67C" w14:textId="77777777" w:rsidTr="00FD59A8">
        <w:trPr>
          <w:tblHeader/>
        </w:trPr>
        <w:tc>
          <w:tcPr>
            <w:tcW w:w="2409" w:type="dxa"/>
            <w:vMerge w:val="restart"/>
            <w:shd w:val="clear" w:color="auto" w:fill="B8CCE4" w:themeFill="accent1" w:themeFillTint="66"/>
            <w:vAlign w:val="center"/>
          </w:tcPr>
          <w:p w14:paraId="210435A2" w14:textId="77777777" w:rsidR="00FD59A8" w:rsidRPr="00610B1B" w:rsidRDefault="00FD59A8" w:rsidP="00D32D6A">
            <w:pPr>
              <w:jc w:val="center"/>
              <w:rPr>
                <w:b/>
                <w:bCs/>
                <w:lang w:val="bg-BG"/>
              </w:rPr>
            </w:pPr>
            <w:r w:rsidRPr="00610B1B">
              <w:rPr>
                <w:b/>
                <w:bCs/>
                <w:lang w:val="bg-BG"/>
              </w:rPr>
              <w:t>Община</w:t>
            </w:r>
          </w:p>
        </w:tc>
        <w:tc>
          <w:tcPr>
            <w:tcW w:w="5625" w:type="dxa"/>
            <w:gridSpan w:val="5"/>
            <w:shd w:val="clear" w:color="auto" w:fill="B8CCE4" w:themeFill="accent1" w:themeFillTint="66"/>
            <w:vAlign w:val="center"/>
          </w:tcPr>
          <w:p w14:paraId="398A5BD9" w14:textId="77777777" w:rsidR="00FD59A8" w:rsidRPr="00610B1B" w:rsidRDefault="00FD59A8" w:rsidP="00D32D6A">
            <w:pPr>
              <w:jc w:val="center"/>
              <w:rPr>
                <w:b/>
                <w:bCs/>
                <w:lang w:val="bg-BG"/>
              </w:rPr>
            </w:pPr>
            <w:r w:rsidRPr="00610B1B">
              <w:rPr>
                <w:b/>
                <w:bCs/>
                <w:lang w:val="bg-BG"/>
              </w:rPr>
              <w:t>Категория на недвижимата културна ценност</w:t>
            </w:r>
          </w:p>
        </w:tc>
        <w:tc>
          <w:tcPr>
            <w:tcW w:w="810" w:type="dxa"/>
            <w:vMerge w:val="restart"/>
            <w:shd w:val="clear" w:color="auto" w:fill="B8CCE4" w:themeFill="accent1" w:themeFillTint="66"/>
            <w:vAlign w:val="center"/>
          </w:tcPr>
          <w:p w14:paraId="0BF26A91" w14:textId="77777777" w:rsidR="00FD59A8" w:rsidRPr="00610B1B" w:rsidRDefault="00FD59A8" w:rsidP="00D32D6A">
            <w:pPr>
              <w:jc w:val="center"/>
              <w:rPr>
                <w:b/>
                <w:bCs/>
                <w:lang w:val="bg-BG"/>
              </w:rPr>
            </w:pPr>
            <w:r w:rsidRPr="00610B1B">
              <w:rPr>
                <w:b/>
                <w:bCs/>
                <w:lang w:val="bg-BG"/>
              </w:rPr>
              <w:t>Общо НКЦ</w:t>
            </w:r>
          </w:p>
        </w:tc>
      </w:tr>
      <w:tr w:rsidR="00FD59A8" w:rsidRPr="00610B1B" w14:paraId="1F1FA2E8" w14:textId="77777777" w:rsidTr="00FD59A8">
        <w:trPr>
          <w:tblHeader/>
        </w:trPr>
        <w:tc>
          <w:tcPr>
            <w:tcW w:w="2409" w:type="dxa"/>
            <w:vMerge/>
          </w:tcPr>
          <w:p w14:paraId="6C598AAC" w14:textId="77777777" w:rsidR="00FD59A8" w:rsidRPr="00610B1B" w:rsidRDefault="00FD59A8" w:rsidP="00D32D6A">
            <w:pPr>
              <w:jc w:val="both"/>
              <w:rPr>
                <w:lang w:val="bg-BG"/>
              </w:rPr>
            </w:pPr>
          </w:p>
        </w:tc>
        <w:tc>
          <w:tcPr>
            <w:tcW w:w="1134" w:type="dxa"/>
            <w:shd w:val="clear" w:color="auto" w:fill="B8CCE4" w:themeFill="accent1" w:themeFillTint="66"/>
          </w:tcPr>
          <w:p w14:paraId="4229DA14" w14:textId="77777777" w:rsidR="00FD59A8" w:rsidRPr="00610B1B" w:rsidRDefault="00FD59A8" w:rsidP="00D32D6A">
            <w:pPr>
              <w:jc w:val="both"/>
              <w:rPr>
                <w:lang w:val="bg-BG"/>
              </w:rPr>
            </w:pPr>
            <w:r w:rsidRPr="00610B1B">
              <w:rPr>
                <w:lang w:val="bg-BG"/>
              </w:rPr>
              <w:t>световно</w:t>
            </w:r>
          </w:p>
        </w:tc>
        <w:tc>
          <w:tcPr>
            <w:tcW w:w="1418" w:type="dxa"/>
            <w:shd w:val="clear" w:color="auto" w:fill="B8CCE4" w:themeFill="accent1" w:themeFillTint="66"/>
          </w:tcPr>
          <w:p w14:paraId="5A9FFE5E" w14:textId="77777777" w:rsidR="00FD59A8" w:rsidRPr="00610B1B" w:rsidRDefault="00FD59A8" w:rsidP="00D32D6A">
            <w:pPr>
              <w:jc w:val="both"/>
              <w:rPr>
                <w:lang w:val="bg-BG"/>
              </w:rPr>
            </w:pPr>
            <w:r w:rsidRPr="00610B1B">
              <w:rPr>
                <w:lang w:val="bg-BG"/>
              </w:rPr>
              <w:t>национално</w:t>
            </w:r>
          </w:p>
        </w:tc>
        <w:tc>
          <w:tcPr>
            <w:tcW w:w="913" w:type="dxa"/>
            <w:shd w:val="clear" w:color="auto" w:fill="B8CCE4" w:themeFill="accent1" w:themeFillTint="66"/>
          </w:tcPr>
          <w:p w14:paraId="46EE3277" w14:textId="77777777" w:rsidR="00FD59A8" w:rsidRPr="00610B1B" w:rsidRDefault="00FD59A8" w:rsidP="00D32D6A">
            <w:pPr>
              <w:jc w:val="both"/>
              <w:rPr>
                <w:lang w:val="bg-BG"/>
              </w:rPr>
            </w:pPr>
            <w:r w:rsidRPr="00610B1B">
              <w:rPr>
                <w:lang w:val="bg-BG"/>
              </w:rPr>
              <w:t>местно</w:t>
            </w:r>
          </w:p>
        </w:tc>
        <w:tc>
          <w:tcPr>
            <w:tcW w:w="1350" w:type="dxa"/>
            <w:shd w:val="clear" w:color="auto" w:fill="B8CCE4" w:themeFill="accent1" w:themeFillTint="66"/>
          </w:tcPr>
          <w:p w14:paraId="3B12E2A9" w14:textId="77777777" w:rsidR="00FD59A8" w:rsidRPr="00610B1B" w:rsidRDefault="00FD59A8" w:rsidP="00D32D6A">
            <w:pPr>
              <w:jc w:val="both"/>
              <w:rPr>
                <w:lang w:val="bg-BG"/>
              </w:rPr>
            </w:pPr>
            <w:r w:rsidRPr="00610B1B">
              <w:rPr>
                <w:lang w:val="bg-BG"/>
              </w:rPr>
              <w:t>за сведение</w:t>
            </w:r>
          </w:p>
        </w:tc>
        <w:tc>
          <w:tcPr>
            <w:tcW w:w="810" w:type="dxa"/>
            <w:shd w:val="clear" w:color="auto" w:fill="B8CCE4" w:themeFill="accent1" w:themeFillTint="66"/>
          </w:tcPr>
          <w:p w14:paraId="5E8E48A8" w14:textId="77777777" w:rsidR="00FD59A8" w:rsidRPr="00610B1B" w:rsidRDefault="00FD59A8" w:rsidP="00D32D6A">
            <w:pPr>
              <w:jc w:val="both"/>
              <w:rPr>
                <w:lang w:val="bg-BG"/>
              </w:rPr>
            </w:pPr>
            <w:r w:rsidRPr="00610B1B">
              <w:rPr>
                <w:lang w:val="bg-BG"/>
              </w:rPr>
              <w:t>без</w:t>
            </w:r>
          </w:p>
        </w:tc>
        <w:tc>
          <w:tcPr>
            <w:tcW w:w="810" w:type="dxa"/>
            <w:vMerge/>
          </w:tcPr>
          <w:p w14:paraId="13863804" w14:textId="77777777" w:rsidR="00FD59A8" w:rsidRPr="00610B1B" w:rsidRDefault="00FD59A8" w:rsidP="00D32D6A">
            <w:pPr>
              <w:jc w:val="both"/>
              <w:rPr>
                <w:lang w:val="bg-BG"/>
              </w:rPr>
            </w:pPr>
          </w:p>
        </w:tc>
      </w:tr>
      <w:tr w:rsidR="00FD59A8" w:rsidRPr="00610B1B" w14:paraId="2C56EC41" w14:textId="77777777" w:rsidTr="00FD59A8">
        <w:tc>
          <w:tcPr>
            <w:tcW w:w="2409" w:type="dxa"/>
          </w:tcPr>
          <w:p w14:paraId="349596B2" w14:textId="77777777" w:rsidR="00FD59A8" w:rsidRPr="00610B1B" w:rsidRDefault="00FD59A8" w:rsidP="00D32D6A">
            <w:pPr>
              <w:jc w:val="both"/>
              <w:rPr>
                <w:bCs/>
                <w:lang w:val="bg-BG"/>
              </w:rPr>
            </w:pPr>
            <w:r w:rsidRPr="00610B1B">
              <w:rPr>
                <w:bCs/>
                <w:lang w:val="bg-BG"/>
              </w:rPr>
              <w:t>Община Шабла</w:t>
            </w:r>
          </w:p>
        </w:tc>
        <w:tc>
          <w:tcPr>
            <w:tcW w:w="1134" w:type="dxa"/>
          </w:tcPr>
          <w:p w14:paraId="69C2EEC6" w14:textId="77777777" w:rsidR="00FD59A8" w:rsidRPr="00610B1B" w:rsidRDefault="00FD59A8" w:rsidP="00D32D6A">
            <w:pPr>
              <w:jc w:val="center"/>
              <w:rPr>
                <w:lang w:val="bg-BG"/>
              </w:rPr>
            </w:pPr>
            <w:r w:rsidRPr="00610B1B">
              <w:rPr>
                <w:lang w:val="bg-BG"/>
              </w:rPr>
              <w:t>-</w:t>
            </w:r>
          </w:p>
        </w:tc>
        <w:tc>
          <w:tcPr>
            <w:tcW w:w="1418" w:type="dxa"/>
          </w:tcPr>
          <w:p w14:paraId="764F0009" w14:textId="77777777" w:rsidR="00FD59A8" w:rsidRPr="00610B1B" w:rsidRDefault="00FD59A8" w:rsidP="00D32D6A">
            <w:pPr>
              <w:jc w:val="center"/>
              <w:rPr>
                <w:lang w:val="bg-BG"/>
              </w:rPr>
            </w:pPr>
            <w:r w:rsidRPr="00610B1B">
              <w:rPr>
                <w:lang w:val="bg-BG"/>
              </w:rPr>
              <w:t>-</w:t>
            </w:r>
          </w:p>
        </w:tc>
        <w:tc>
          <w:tcPr>
            <w:tcW w:w="913" w:type="dxa"/>
          </w:tcPr>
          <w:p w14:paraId="4FC15EDE" w14:textId="77777777" w:rsidR="00FD59A8" w:rsidRPr="00610B1B" w:rsidRDefault="00FD59A8" w:rsidP="00D32D6A">
            <w:pPr>
              <w:jc w:val="center"/>
              <w:rPr>
                <w:lang w:val="bg-BG"/>
              </w:rPr>
            </w:pPr>
            <w:r w:rsidRPr="00610B1B">
              <w:rPr>
                <w:lang w:val="bg-BG"/>
              </w:rPr>
              <w:t>3</w:t>
            </w:r>
          </w:p>
        </w:tc>
        <w:tc>
          <w:tcPr>
            <w:tcW w:w="1350" w:type="dxa"/>
          </w:tcPr>
          <w:p w14:paraId="48613F64" w14:textId="77777777" w:rsidR="00FD59A8" w:rsidRPr="00610B1B" w:rsidRDefault="00FD59A8" w:rsidP="00D32D6A">
            <w:pPr>
              <w:jc w:val="center"/>
              <w:rPr>
                <w:lang w:val="bg-BG"/>
              </w:rPr>
            </w:pPr>
            <w:r w:rsidRPr="00610B1B">
              <w:rPr>
                <w:lang w:val="bg-BG"/>
              </w:rPr>
              <w:t>22</w:t>
            </w:r>
          </w:p>
        </w:tc>
        <w:tc>
          <w:tcPr>
            <w:tcW w:w="810" w:type="dxa"/>
          </w:tcPr>
          <w:p w14:paraId="55C9C9E0" w14:textId="77777777" w:rsidR="00FD59A8" w:rsidRPr="00610B1B" w:rsidRDefault="00FD59A8" w:rsidP="00D32D6A">
            <w:pPr>
              <w:jc w:val="center"/>
              <w:rPr>
                <w:lang w:val="bg-BG"/>
              </w:rPr>
            </w:pPr>
            <w:r w:rsidRPr="00610B1B">
              <w:rPr>
                <w:lang w:val="bg-BG"/>
              </w:rPr>
              <w:t>1</w:t>
            </w:r>
          </w:p>
        </w:tc>
        <w:tc>
          <w:tcPr>
            <w:tcW w:w="810" w:type="dxa"/>
          </w:tcPr>
          <w:p w14:paraId="39527B74" w14:textId="77777777" w:rsidR="00FD59A8" w:rsidRPr="00610B1B" w:rsidRDefault="00FD59A8" w:rsidP="00D32D6A">
            <w:pPr>
              <w:jc w:val="center"/>
              <w:rPr>
                <w:lang w:val="bg-BG"/>
              </w:rPr>
            </w:pPr>
            <w:r w:rsidRPr="00610B1B">
              <w:rPr>
                <w:lang w:val="bg-BG"/>
              </w:rPr>
              <w:t>26</w:t>
            </w:r>
          </w:p>
        </w:tc>
      </w:tr>
      <w:tr w:rsidR="00FD59A8" w:rsidRPr="00610B1B" w14:paraId="6642813F" w14:textId="77777777" w:rsidTr="00FD59A8">
        <w:tc>
          <w:tcPr>
            <w:tcW w:w="2409" w:type="dxa"/>
          </w:tcPr>
          <w:p w14:paraId="5C806317" w14:textId="77777777" w:rsidR="00FD59A8" w:rsidRPr="00610B1B" w:rsidRDefault="00FD59A8" w:rsidP="00D32D6A">
            <w:pPr>
              <w:jc w:val="both"/>
              <w:rPr>
                <w:bCs/>
                <w:lang w:val="bg-BG"/>
              </w:rPr>
            </w:pPr>
            <w:r w:rsidRPr="00610B1B">
              <w:rPr>
                <w:bCs/>
                <w:lang w:val="bg-BG"/>
              </w:rPr>
              <w:t>Община Каварна</w:t>
            </w:r>
          </w:p>
        </w:tc>
        <w:tc>
          <w:tcPr>
            <w:tcW w:w="1134" w:type="dxa"/>
          </w:tcPr>
          <w:p w14:paraId="44663DF3" w14:textId="77777777" w:rsidR="00FD59A8" w:rsidRPr="00610B1B" w:rsidRDefault="00FD59A8" w:rsidP="00D32D6A">
            <w:pPr>
              <w:jc w:val="center"/>
              <w:rPr>
                <w:lang w:val="bg-BG"/>
              </w:rPr>
            </w:pPr>
            <w:r w:rsidRPr="00610B1B">
              <w:rPr>
                <w:lang w:val="bg-BG"/>
              </w:rPr>
              <w:t>-</w:t>
            </w:r>
          </w:p>
        </w:tc>
        <w:tc>
          <w:tcPr>
            <w:tcW w:w="1418" w:type="dxa"/>
          </w:tcPr>
          <w:p w14:paraId="21636FE4" w14:textId="77777777" w:rsidR="00FD59A8" w:rsidRPr="00610B1B" w:rsidRDefault="00FD59A8" w:rsidP="00D32D6A">
            <w:pPr>
              <w:jc w:val="center"/>
              <w:rPr>
                <w:lang w:val="bg-BG"/>
              </w:rPr>
            </w:pPr>
            <w:r w:rsidRPr="00610B1B">
              <w:rPr>
                <w:lang w:val="bg-BG"/>
              </w:rPr>
              <w:t>5</w:t>
            </w:r>
          </w:p>
        </w:tc>
        <w:tc>
          <w:tcPr>
            <w:tcW w:w="913" w:type="dxa"/>
          </w:tcPr>
          <w:p w14:paraId="7EC844C8" w14:textId="77777777" w:rsidR="00FD59A8" w:rsidRPr="00610B1B" w:rsidRDefault="00FD59A8" w:rsidP="00D32D6A">
            <w:pPr>
              <w:jc w:val="center"/>
              <w:rPr>
                <w:lang w:val="bg-BG"/>
              </w:rPr>
            </w:pPr>
            <w:r w:rsidRPr="00610B1B">
              <w:rPr>
                <w:lang w:val="bg-BG"/>
              </w:rPr>
              <w:t>10</w:t>
            </w:r>
          </w:p>
        </w:tc>
        <w:tc>
          <w:tcPr>
            <w:tcW w:w="1350" w:type="dxa"/>
          </w:tcPr>
          <w:p w14:paraId="6403AD62" w14:textId="77777777" w:rsidR="00FD59A8" w:rsidRPr="00610B1B" w:rsidRDefault="00FD59A8" w:rsidP="00D32D6A">
            <w:pPr>
              <w:jc w:val="center"/>
              <w:rPr>
                <w:lang w:val="bg-BG"/>
              </w:rPr>
            </w:pPr>
            <w:r w:rsidRPr="00610B1B">
              <w:rPr>
                <w:lang w:val="bg-BG"/>
              </w:rPr>
              <w:t>70</w:t>
            </w:r>
          </w:p>
        </w:tc>
        <w:tc>
          <w:tcPr>
            <w:tcW w:w="810" w:type="dxa"/>
          </w:tcPr>
          <w:p w14:paraId="7C1F64D6" w14:textId="77777777" w:rsidR="00FD59A8" w:rsidRPr="00610B1B" w:rsidRDefault="00FD59A8" w:rsidP="00D32D6A">
            <w:pPr>
              <w:jc w:val="center"/>
              <w:rPr>
                <w:lang w:val="bg-BG"/>
              </w:rPr>
            </w:pPr>
          </w:p>
        </w:tc>
        <w:tc>
          <w:tcPr>
            <w:tcW w:w="810" w:type="dxa"/>
          </w:tcPr>
          <w:p w14:paraId="5B6C5695" w14:textId="77777777" w:rsidR="00FD59A8" w:rsidRPr="00610B1B" w:rsidRDefault="00FD59A8" w:rsidP="00D32D6A">
            <w:pPr>
              <w:jc w:val="center"/>
              <w:rPr>
                <w:lang w:val="bg-BG"/>
              </w:rPr>
            </w:pPr>
            <w:r w:rsidRPr="00610B1B">
              <w:rPr>
                <w:lang w:val="bg-BG"/>
              </w:rPr>
              <w:t>85</w:t>
            </w:r>
          </w:p>
        </w:tc>
      </w:tr>
      <w:tr w:rsidR="00FD59A8" w:rsidRPr="00610B1B" w14:paraId="225AB540" w14:textId="77777777" w:rsidTr="00FD59A8">
        <w:tc>
          <w:tcPr>
            <w:tcW w:w="2409" w:type="dxa"/>
          </w:tcPr>
          <w:p w14:paraId="65D6E38A" w14:textId="77777777" w:rsidR="00FD59A8" w:rsidRPr="00610B1B" w:rsidRDefault="00FD59A8" w:rsidP="00D32D6A">
            <w:pPr>
              <w:jc w:val="both"/>
              <w:rPr>
                <w:bCs/>
                <w:lang w:val="bg-BG"/>
              </w:rPr>
            </w:pPr>
            <w:r w:rsidRPr="00610B1B">
              <w:rPr>
                <w:bCs/>
                <w:lang w:val="bg-BG"/>
              </w:rPr>
              <w:t>Община Балчик</w:t>
            </w:r>
          </w:p>
        </w:tc>
        <w:tc>
          <w:tcPr>
            <w:tcW w:w="1134" w:type="dxa"/>
          </w:tcPr>
          <w:p w14:paraId="7FE41107" w14:textId="77777777" w:rsidR="00FD59A8" w:rsidRPr="00610B1B" w:rsidRDefault="00FD59A8" w:rsidP="00D32D6A">
            <w:pPr>
              <w:jc w:val="center"/>
              <w:rPr>
                <w:lang w:val="bg-BG"/>
              </w:rPr>
            </w:pPr>
            <w:r w:rsidRPr="00610B1B">
              <w:rPr>
                <w:lang w:val="bg-BG"/>
              </w:rPr>
              <w:t>-</w:t>
            </w:r>
          </w:p>
        </w:tc>
        <w:tc>
          <w:tcPr>
            <w:tcW w:w="1418" w:type="dxa"/>
          </w:tcPr>
          <w:p w14:paraId="6B6E28F6" w14:textId="77777777" w:rsidR="00FD59A8" w:rsidRPr="00610B1B" w:rsidRDefault="00FD59A8" w:rsidP="00D32D6A">
            <w:pPr>
              <w:jc w:val="center"/>
              <w:rPr>
                <w:lang w:val="bg-BG"/>
              </w:rPr>
            </w:pPr>
            <w:r w:rsidRPr="00610B1B">
              <w:rPr>
                <w:lang w:val="bg-BG"/>
              </w:rPr>
              <w:t>5</w:t>
            </w:r>
          </w:p>
        </w:tc>
        <w:tc>
          <w:tcPr>
            <w:tcW w:w="913" w:type="dxa"/>
          </w:tcPr>
          <w:p w14:paraId="7C264319" w14:textId="77777777" w:rsidR="00FD59A8" w:rsidRPr="00610B1B" w:rsidRDefault="00FD59A8" w:rsidP="00D32D6A">
            <w:pPr>
              <w:jc w:val="center"/>
              <w:rPr>
                <w:lang w:val="bg-BG"/>
              </w:rPr>
            </w:pPr>
            <w:r w:rsidRPr="00610B1B">
              <w:rPr>
                <w:lang w:val="bg-BG"/>
              </w:rPr>
              <w:t>61</w:t>
            </w:r>
          </w:p>
        </w:tc>
        <w:tc>
          <w:tcPr>
            <w:tcW w:w="1350" w:type="dxa"/>
          </w:tcPr>
          <w:p w14:paraId="62E91F46" w14:textId="77777777" w:rsidR="00FD59A8" w:rsidRPr="00610B1B" w:rsidRDefault="00FD59A8" w:rsidP="00D32D6A">
            <w:pPr>
              <w:jc w:val="center"/>
              <w:rPr>
                <w:lang w:val="bg-BG"/>
              </w:rPr>
            </w:pPr>
            <w:r w:rsidRPr="00610B1B">
              <w:rPr>
                <w:lang w:val="bg-BG"/>
              </w:rPr>
              <w:t>48</w:t>
            </w:r>
          </w:p>
        </w:tc>
        <w:tc>
          <w:tcPr>
            <w:tcW w:w="810" w:type="dxa"/>
          </w:tcPr>
          <w:p w14:paraId="2461B0C0" w14:textId="77777777" w:rsidR="00FD59A8" w:rsidRPr="00610B1B" w:rsidRDefault="00FD59A8" w:rsidP="00D32D6A">
            <w:pPr>
              <w:jc w:val="center"/>
              <w:rPr>
                <w:lang w:val="bg-BG"/>
              </w:rPr>
            </w:pPr>
            <w:r w:rsidRPr="00610B1B">
              <w:rPr>
                <w:lang w:val="bg-BG"/>
              </w:rPr>
              <w:t>6</w:t>
            </w:r>
          </w:p>
        </w:tc>
        <w:tc>
          <w:tcPr>
            <w:tcW w:w="810" w:type="dxa"/>
          </w:tcPr>
          <w:p w14:paraId="52C673F1" w14:textId="77777777" w:rsidR="00FD59A8" w:rsidRPr="00610B1B" w:rsidRDefault="00FD59A8" w:rsidP="00D32D6A">
            <w:pPr>
              <w:jc w:val="center"/>
              <w:rPr>
                <w:lang w:val="bg-BG"/>
              </w:rPr>
            </w:pPr>
            <w:r w:rsidRPr="00610B1B">
              <w:rPr>
                <w:lang w:val="bg-BG"/>
              </w:rPr>
              <w:t>120</w:t>
            </w:r>
          </w:p>
        </w:tc>
      </w:tr>
      <w:tr w:rsidR="00FD59A8" w:rsidRPr="00610B1B" w14:paraId="0AF0A8E2" w14:textId="77777777" w:rsidTr="00FD59A8">
        <w:tc>
          <w:tcPr>
            <w:tcW w:w="2409" w:type="dxa"/>
          </w:tcPr>
          <w:p w14:paraId="40B166BB" w14:textId="77777777" w:rsidR="00FD59A8" w:rsidRPr="00610B1B" w:rsidRDefault="00FD59A8" w:rsidP="00D32D6A">
            <w:pPr>
              <w:jc w:val="both"/>
              <w:rPr>
                <w:bCs/>
                <w:lang w:val="bg-BG"/>
              </w:rPr>
            </w:pPr>
            <w:r w:rsidRPr="00610B1B">
              <w:rPr>
                <w:bCs/>
                <w:lang w:val="bg-BG"/>
              </w:rPr>
              <w:t>Община Варна</w:t>
            </w:r>
          </w:p>
        </w:tc>
        <w:tc>
          <w:tcPr>
            <w:tcW w:w="1134" w:type="dxa"/>
          </w:tcPr>
          <w:p w14:paraId="70BEDAD0" w14:textId="77777777" w:rsidR="00FD59A8" w:rsidRPr="00610B1B" w:rsidRDefault="00FD59A8" w:rsidP="00D32D6A">
            <w:pPr>
              <w:jc w:val="center"/>
              <w:rPr>
                <w:lang w:val="bg-BG"/>
              </w:rPr>
            </w:pPr>
            <w:r w:rsidRPr="00610B1B">
              <w:rPr>
                <w:lang w:val="bg-BG"/>
              </w:rPr>
              <w:t>-</w:t>
            </w:r>
          </w:p>
        </w:tc>
        <w:tc>
          <w:tcPr>
            <w:tcW w:w="1418" w:type="dxa"/>
          </w:tcPr>
          <w:p w14:paraId="64DD5752" w14:textId="77777777" w:rsidR="00FD59A8" w:rsidRPr="00610B1B" w:rsidRDefault="00FD59A8" w:rsidP="00D32D6A">
            <w:pPr>
              <w:jc w:val="center"/>
              <w:rPr>
                <w:lang w:val="bg-BG"/>
              </w:rPr>
            </w:pPr>
            <w:r w:rsidRPr="00610B1B">
              <w:rPr>
                <w:lang w:val="bg-BG"/>
              </w:rPr>
              <w:t>24</w:t>
            </w:r>
          </w:p>
        </w:tc>
        <w:tc>
          <w:tcPr>
            <w:tcW w:w="3073" w:type="dxa"/>
            <w:gridSpan w:val="3"/>
          </w:tcPr>
          <w:p w14:paraId="1A6BC513" w14:textId="77777777" w:rsidR="00FD59A8" w:rsidRPr="00610B1B" w:rsidRDefault="00FD59A8" w:rsidP="00D32D6A">
            <w:pPr>
              <w:jc w:val="center"/>
              <w:rPr>
                <w:lang w:val="bg-BG"/>
              </w:rPr>
            </w:pPr>
            <w:r w:rsidRPr="00610B1B">
              <w:rPr>
                <w:lang w:val="bg-BG"/>
              </w:rPr>
              <w:t>няма сведение</w:t>
            </w:r>
          </w:p>
        </w:tc>
        <w:tc>
          <w:tcPr>
            <w:tcW w:w="810" w:type="dxa"/>
          </w:tcPr>
          <w:p w14:paraId="33742D0A" w14:textId="77777777" w:rsidR="00FD59A8" w:rsidRPr="00610B1B" w:rsidRDefault="00FD59A8" w:rsidP="00D32D6A">
            <w:pPr>
              <w:jc w:val="center"/>
              <w:rPr>
                <w:lang w:val="bg-BG"/>
              </w:rPr>
            </w:pPr>
          </w:p>
        </w:tc>
      </w:tr>
      <w:tr w:rsidR="00FD59A8" w:rsidRPr="00610B1B" w14:paraId="5ADF8E7A" w14:textId="77777777" w:rsidTr="00FD59A8">
        <w:tc>
          <w:tcPr>
            <w:tcW w:w="2409" w:type="dxa"/>
          </w:tcPr>
          <w:p w14:paraId="02A610E0" w14:textId="77777777" w:rsidR="00FD59A8" w:rsidRPr="00610B1B" w:rsidRDefault="00FD59A8" w:rsidP="00D32D6A">
            <w:pPr>
              <w:rPr>
                <w:bCs/>
                <w:lang w:val="bg-BG"/>
              </w:rPr>
            </w:pPr>
            <w:r w:rsidRPr="00610B1B">
              <w:rPr>
                <w:bCs/>
                <w:lang w:val="bg-BG"/>
              </w:rPr>
              <w:t>Община Долни чифлик</w:t>
            </w:r>
          </w:p>
        </w:tc>
        <w:tc>
          <w:tcPr>
            <w:tcW w:w="1134" w:type="dxa"/>
          </w:tcPr>
          <w:p w14:paraId="37E22603" w14:textId="77777777" w:rsidR="00FD59A8" w:rsidRPr="00610B1B" w:rsidRDefault="00FD59A8" w:rsidP="00D32D6A">
            <w:pPr>
              <w:jc w:val="center"/>
              <w:rPr>
                <w:lang w:val="bg-BG"/>
              </w:rPr>
            </w:pPr>
            <w:r w:rsidRPr="00610B1B">
              <w:rPr>
                <w:lang w:val="bg-BG"/>
              </w:rPr>
              <w:t>-</w:t>
            </w:r>
          </w:p>
        </w:tc>
        <w:tc>
          <w:tcPr>
            <w:tcW w:w="1418" w:type="dxa"/>
          </w:tcPr>
          <w:p w14:paraId="79D90340" w14:textId="77777777" w:rsidR="00FD59A8" w:rsidRPr="00610B1B" w:rsidRDefault="00FD59A8" w:rsidP="00D32D6A">
            <w:pPr>
              <w:jc w:val="center"/>
              <w:rPr>
                <w:lang w:val="bg-BG"/>
              </w:rPr>
            </w:pPr>
            <w:r w:rsidRPr="00610B1B">
              <w:rPr>
                <w:lang w:val="bg-BG"/>
              </w:rPr>
              <w:t>4</w:t>
            </w:r>
          </w:p>
        </w:tc>
        <w:tc>
          <w:tcPr>
            <w:tcW w:w="3073" w:type="dxa"/>
            <w:gridSpan w:val="3"/>
          </w:tcPr>
          <w:p w14:paraId="155EAE01" w14:textId="77777777" w:rsidR="00FD59A8" w:rsidRPr="00610B1B" w:rsidRDefault="00FD59A8" w:rsidP="00D32D6A">
            <w:pPr>
              <w:jc w:val="center"/>
              <w:rPr>
                <w:lang w:val="bg-BG"/>
              </w:rPr>
            </w:pPr>
            <w:r w:rsidRPr="00610B1B">
              <w:rPr>
                <w:lang w:val="bg-BG"/>
              </w:rPr>
              <w:t>няма сведение</w:t>
            </w:r>
          </w:p>
        </w:tc>
        <w:tc>
          <w:tcPr>
            <w:tcW w:w="810" w:type="dxa"/>
          </w:tcPr>
          <w:p w14:paraId="6C462AA9" w14:textId="77777777" w:rsidR="00FD59A8" w:rsidRPr="00610B1B" w:rsidRDefault="00FD59A8" w:rsidP="00D32D6A">
            <w:pPr>
              <w:jc w:val="center"/>
              <w:rPr>
                <w:lang w:val="bg-BG"/>
              </w:rPr>
            </w:pPr>
          </w:p>
        </w:tc>
      </w:tr>
      <w:tr w:rsidR="00FD59A8" w:rsidRPr="00610B1B" w14:paraId="436CCE77" w14:textId="77777777" w:rsidTr="00FD59A8">
        <w:tc>
          <w:tcPr>
            <w:tcW w:w="2409" w:type="dxa"/>
          </w:tcPr>
          <w:p w14:paraId="6ED8AB63" w14:textId="77777777" w:rsidR="00FD59A8" w:rsidRPr="00610B1B" w:rsidRDefault="00FD59A8" w:rsidP="00D32D6A">
            <w:pPr>
              <w:jc w:val="both"/>
              <w:rPr>
                <w:bCs/>
                <w:lang w:val="bg-BG"/>
              </w:rPr>
            </w:pPr>
            <w:r w:rsidRPr="00610B1B">
              <w:rPr>
                <w:bCs/>
                <w:lang w:val="bg-BG"/>
              </w:rPr>
              <w:t>Община Аврен</w:t>
            </w:r>
          </w:p>
        </w:tc>
        <w:tc>
          <w:tcPr>
            <w:tcW w:w="1134" w:type="dxa"/>
          </w:tcPr>
          <w:p w14:paraId="0933EC54" w14:textId="77777777" w:rsidR="00FD59A8" w:rsidRPr="00610B1B" w:rsidRDefault="00FD59A8" w:rsidP="00D32D6A">
            <w:pPr>
              <w:jc w:val="center"/>
              <w:rPr>
                <w:lang w:val="bg-BG"/>
              </w:rPr>
            </w:pPr>
            <w:r w:rsidRPr="00610B1B">
              <w:rPr>
                <w:lang w:val="bg-BG"/>
              </w:rPr>
              <w:t>-</w:t>
            </w:r>
          </w:p>
        </w:tc>
        <w:tc>
          <w:tcPr>
            <w:tcW w:w="1418" w:type="dxa"/>
          </w:tcPr>
          <w:p w14:paraId="27FE13A1" w14:textId="77777777" w:rsidR="00FD59A8" w:rsidRPr="00610B1B" w:rsidRDefault="00FD59A8" w:rsidP="00D32D6A">
            <w:pPr>
              <w:jc w:val="center"/>
              <w:rPr>
                <w:lang w:val="bg-BG"/>
              </w:rPr>
            </w:pPr>
            <w:r w:rsidRPr="00610B1B">
              <w:rPr>
                <w:lang w:val="bg-BG"/>
              </w:rPr>
              <w:t>2</w:t>
            </w:r>
          </w:p>
        </w:tc>
        <w:tc>
          <w:tcPr>
            <w:tcW w:w="3073" w:type="dxa"/>
            <w:gridSpan w:val="3"/>
          </w:tcPr>
          <w:p w14:paraId="5943DB68" w14:textId="77777777" w:rsidR="00FD59A8" w:rsidRPr="00610B1B" w:rsidRDefault="00FD59A8" w:rsidP="00D32D6A">
            <w:pPr>
              <w:jc w:val="center"/>
              <w:rPr>
                <w:lang w:val="bg-BG"/>
              </w:rPr>
            </w:pPr>
            <w:r w:rsidRPr="00610B1B">
              <w:rPr>
                <w:lang w:val="bg-BG"/>
              </w:rPr>
              <w:t>няма сведение</w:t>
            </w:r>
          </w:p>
        </w:tc>
        <w:tc>
          <w:tcPr>
            <w:tcW w:w="810" w:type="dxa"/>
          </w:tcPr>
          <w:p w14:paraId="1B450F68" w14:textId="77777777" w:rsidR="00FD59A8" w:rsidRPr="00610B1B" w:rsidRDefault="00FD59A8" w:rsidP="00D32D6A">
            <w:pPr>
              <w:jc w:val="center"/>
              <w:rPr>
                <w:lang w:val="bg-BG"/>
              </w:rPr>
            </w:pPr>
          </w:p>
        </w:tc>
      </w:tr>
      <w:tr w:rsidR="00FD59A8" w:rsidRPr="00610B1B" w14:paraId="5467DB3A" w14:textId="77777777" w:rsidTr="00FD59A8">
        <w:tc>
          <w:tcPr>
            <w:tcW w:w="2409" w:type="dxa"/>
          </w:tcPr>
          <w:p w14:paraId="79459A1F" w14:textId="77777777" w:rsidR="00FD59A8" w:rsidRPr="00610B1B" w:rsidRDefault="00FD59A8" w:rsidP="00D32D6A">
            <w:pPr>
              <w:jc w:val="both"/>
              <w:rPr>
                <w:bCs/>
                <w:lang w:val="bg-BG"/>
              </w:rPr>
            </w:pPr>
            <w:r w:rsidRPr="00610B1B">
              <w:rPr>
                <w:bCs/>
                <w:lang w:val="bg-BG"/>
              </w:rPr>
              <w:t>Община Бяла</w:t>
            </w:r>
          </w:p>
        </w:tc>
        <w:tc>
          <w:tcPr>
            <w:tcW w:w="1134" w:type="dxa"/>
          </w:tcPr>
          <w:p w14:paraId="7E369A28" w14:textId="77777777" w:rsidR="00FD59A8" w:rsidRPr="00610B1B" w:rsidRDefault="00FD59A8" w:rsidP="00D32D6A">
            <w:pPr>
              <w:jc w:val="center"/>
              <w:rPr>
                <w:lang w:val="bg-BG"/>
              </w:rPr>
            </w:pPr>
            <w:r w:rsidRPr="00610B1B">
              <w:rPr>
                <w:lang w:val="bg-BG"/>
              </w:rPr>
              <w:t>-</w:t>
            </w:r>
          </w:p>
        </w:tc>
        <w:tc>
          <w:tcPr>
            <w:tcW w:w="1418" w:type="dxa"/>
          </w:tcPr>
          <w:p w14:paraId="0FC4FD53" w14:textId="77777777" w:rsidR="00FD59A8" w:rsidRPr="00610B1B" w:rsidRDefault="00FD59A8" w:rsidP="00D32D6A">
            <w:pPr>
              <w:jc w:val="center"/>
              <w:rPr>
                <w:lang w:val="bg-BG"/>
              </w:rPr>
            </w:pPr>
            <w:r w:rsidRPr="00610B1B">
              <w:rPr>
                <w:lang w:val="bg-BG"/>
              </w:rPr>
              <w:t>2</w:t>
            </w:r>
          </w:p>
        </w:tc>
        <w:tc>
          <w:tcPr>
            <w:tcW w:w="3073" w:type="dxa"/>
            <w:gridSpan w:val="3"/>
          </w:tcPr>
          <w:p w14:paraId="13371852" w14:textId="77777777" w:rsidR="00FD59A8" w:rsidRPr="00610B1B" w:rsidRDefault="00FD59A8" w:rsidP="00D32D6A">
            <w:pPr>
              <w:jc w:val="center"/>
              <w:rPr>
                <w:lang w:val="bg-BG"/>
              </w:rPr>
            </w:pPr>
            <w:r w:rsidRPr="00610B1B">
              <w:rPr>
                <w:lang w:val="bg-BG"/>
              </w:rPr>
              <w:t>няма сведение</w:t>
            </w:r>
          </w:p>
        </w:tc>
        <w:tc>
          <w:tcPr>
            <w:tcW w:w="810" w:type="dxa"/>
          </w:tcPr>
          <w:p w14:paraId="43ACB9FC" w14:textId="77777777" w:rsidR="00FD59A8" w:rsidRPr="00610B1B" w:rsidRDefault="00FD59A8" w:rsidP="00D32D6A">
            <w:pPr>
              <w:jc w:val="center"/>
              <w:rPr>
                <w:lang w:val="bg-BG"/>
              </w:rPr>
            </w:pPr>
          </w:p>
        </w:tc>
      </w:tr>
      <w:tr w:rsidR="00FD59A8" w:rsidRPr="00610B1B" w14:paraId="01589D02" w14:textId="77777777" w:rsidTr="00FD59A8">
        <w:tc>
          <w:tcPr>
            <w:tcW w:w="2409" w:type="dxa"/>
          </w:tcPr>
          <w:p w14:paraId="7CFDA2B3" w14:textId="77777777" w:rsidR="00FD59A8" w:rsidRPr="00610B1B" w:rsidRDefault="00FD59A8" w:rsidP="00D32D6A">
            <w:pPr>
              <w:jc w:val="both"/>
              <w:rPr>
                <w:bCs/>
                <w:lang w:val="bg-BG"/>
              </w:rPr>
            </w:pPr>
            <w:r w:rsidRPr="00610B1B">
              <w:rPr>
                <w:bCs/>
                <w:lang w:val="bg-BG"/>
              </w:rPr>
              <w:t>Община Несебър</w:t>
            </w:r>
          </w:p>
        </w:tc>
        <w:tc>
          <w:tcPr>
            <w:tcW w:w="1134" w:type="dxa"/>
          </w:tcPr>
          <w:p w14:paraId="2957A776" w14:textId="77777777" w:rsidR="00FD59A8" w:rsidRPr="00610B1B" w:rsidRDefault="00FD59A8" w:rsidP="00D32D6A">
            <w:pPr>
              <w:jc w:val="center"/>
              <w:rPr>
                <w:lang w:val="bg-BG"/>
              </w:rPr>
            </w:pPr>
            <w:r w:rsidRPr="00610B1B">
              <w:rPr>
                <w:lang w:val="bg-BG"/>
              </w:rPr>
              <w:t>1*</w:t>
            </w:r>
          </w:p>
        </w:tc>
        <w:tc>
          <w:tcPr>
            <w:tcW w:w="1418" w:type="dxa"/>
          </w:tcPr>
          <w:p w14:paraId="22C02C37" w14:textId="77777777" w:rsidR="00FD59A8" w:rsidRPr="00610B1B" w:rsidRDefault="00FD59A8" w:rsidP="00D32D6A">
            <w:pPr>
              <w:jc w:val="center"/>
              <w:rPr>
                <w:lang w:val="bg-BG"/>
              </w:rPr>
            </w:pPr>
            <w:r w:rsidRPr="00610B1B">
              <w:rPr>
                <w:lang w:val="bg-BG"/>
              </w:rPr>
              <w:t>10</w:t>
            </w:r>
          </w:p>
        </w:tc>
        <w:tc>
          <w:tcPr>
            <w:tcW w:w="913" w:type="dxa"/>
          </w:tcPr>
          <w:p w14:paraId="416D055C" w14:textId="77777777" w:rsidR="00FD59A8" w:rsidRPr="00610B1B" w:rsidRDefault="00FD59A8" w:rsidP="00D32D6A">
            <w:pPr>
              <w:jc w:val="center"/>
              <w:rPr>
                <w:lang w:val="bg-BG"/>
              </w:rPr>
            </w:pPr>
            <w:r w:rsidRPr="00610B1B">
              <w:rPr>
                <w:lang w:val="bg-BG"/>
              </w:rPr>
              <w:t>2</w:t>
            </w:r>
          </w:p>
        </w:tc>
        <w:tc>
          <w:tcPr>
            <w:tcW w:w="1350" w:type="dxa"/>
          </w:tcPr>
          <w:p w14:paraId="0E7369ED" w14:textId="77777777" w:rsidR="00FD59A8" w:rsidRPr="00610B1B" w:rsidRDefault="00FD59A8" w:rsidP="00D32D6A">
            <w:pPr>
              <w:jc w:val="center"/>
              <w:rPr>
                <w:lang w:val="bg-BG"/>
              </w:rPr>
            </w:pPr>
          </w:p>
        </w:tc>
        <w:tc>
          <w:tcPr>
            <w:tcW w:w="810" w:type="dxa"/>
          </w:tcPr>
          <w:p w14:paraId="7CB351DB" w14:textId="77777777" w:rsidR="00FD59A8" w:rsidRPr="00610B1B" w:rsidRDefault="00FD59A8" w:rsidP="00D32D6A">
            <w:pPr>
              <w:jc w:val="center"/>
              <w:rPr>
                <w:lang w:val="bg-BG"/>
              </w:rPr>
            </w:pPr>
            <w:r w:rsidRPr="00610B1B">
              <w:rPr>
                <w:lang w:val="bg-BG"/>
              </w:rPr>
              <w:t>10</w:t>
            </w:r>
          </w:p>
        </w:tc>
        <w:tc>
          <w:tcPr>
            <w:tcW w:w="810" w:type="dxa"/>
          </w:tcPr>
          <w:p w14:paraId="06583792" w14:textId="77777777" w:rsidR="00FD59A8" w:rsidRPr="00610B1B" w:rsidRDefault="00FD59A8" w:rsidP="00D32D6A">
            <w:pPr>
              <w:jc w:val="center"/>
              <w:rPr>
                <w:lang w:val="bg-BG"/>
              </w:rPr>
            </w:pPr>
            <w:r w:rsidRPr="00610B1B">
              <w:rPr>
                <w:lang w:val="bg-BG"/>
              </w:rPr>
              <w:t>23</w:t>
            </w:r>
          </w:p>
        </w:tc>
      </w:tr>
      <w:tr w:rsidR="00FD59A8" w:rsidRPr="00610B1B" w14:paraId="2B9D680F" w14:textId="77777777" w:rsidTr="00FD59A8">
        <w:tc>
          <w:tcPr>
            <w:tcW w:w="2409" w:type="dxa"/>
          </w:tcPr>
          <w:p w14:paraId="775023D5" w14:textId="77777777" w:rsidR="00FD59A8" w:rsidRPr="00610B1B" w:rsidRDefault="00FD59A8" w:rsidP="00D32D6A">
            <w:pPr>
              <w:jc w:val="both"/>
              <w:rPr>
                <w:bCs/>
                <w:lang w:val="bg-BG"/>
              </w:rPr>
            </w:pPr>
            <w:r w:rsidRPr="00610B1B">
              <w:rPr>
                <w:bCs/>
                <w:lang w:val="bg-BG"/>
              </w:rPr>
              <w:t>Община Поморие</w:t>
            </w:r>
          </w:p>
        </w:tc>
        <w:tc>
          <w:tcPr>
            <w:tcW w:w="1134" w:type="dxa"/>
          </w:tcPr>
          <w:p w14:paraId="587B9924" w14:textId="77777777" w:rsidR="00FD59A8" w:rsidRPr="00610B1B" w:rsidRDefault="00FD59A8" w:rsidP="00D32D6A">
            <w:pPr>
              <w:jc w:val="center"/>
              <w:rPr>
                <w:lang w:val="bg-BG"/>
              </w:rPr>
            </w:pPr>
            <w:r w:rsidRPr="00610B1B">
              <w:rPr>
                <w:lang w:val="bg-BG"/>
              </w:rPr>
              <w:t>-</w:t>
            </w:r>
          </w:p>
        </w:tc>
        <w:tc>
          <w:tcPr>
            <w:tcW w:w="1418" w:type="dxa"/>
          </w:tcPr>
          <w:p w14:paraId="18AED02C" w14:textId="77777777" w:rsidR="00FD59A8" w:rsidRPr="00610B1B" w:rsidRDefault="00FD59A8" w:rsidP="00D32D6A">
            <w:pPr>
              <w:jc w:val="center"/>
              <w:rPr>
                <w:lang w:val="bg-BG"/>
              </w:rPr>
            </w:pPr>
            <w:r w:rsidRPr="00610B1B">
              <w:rPr>
                <w:lang w:val="bg-BG"/>
              </w:rPr>
              <w:t>4</w:t>
            </w:r>
          </w:p>
        </w:tc>
        <w:tc>
          <w:tcPr>
            <w:tcW w:w="913" w:type="dxa"/>
          </w:tcPr>
          <w:p w14:paraId="0574F683" w14:textId="77777777" w:rsidR="00FD59A8" w:rsidRPr="00610B1B" w:rsidRDefault="00FD59A8" w:rsidP="00D32D6A">
            <w:pPr>
              <w:jc w:val="center"/>
              <w:rPr>
                <w:lang w:val="bg-BG"/>
              </w:rPr>
            </w:pPr>
            <w:r w:rsidRPr="00610B1B">
              <w:rPr>
                <w:lang w:val="bg-BG"/>
              </w:rPr>
              <w:t>21</w:t>
            </w:r>
          </w:p>
        </w:tc>
        <w:tc>
          <w:tcPr>
            <w:tcW w:w="1350" w:type="dxa"/>
          </w:tcPr>
          <w:p w14:paraId="7321C0D9" w14:textId="77777777" w:rsidR="00FD59A8" w:rsidRPr="00610B1B" w:rsidRDefault="00FD59A8" w:rsidP="00D32D6A">
            <w:pPr>
              <w:jc w:val="center"/>
              <w:rPr>
                <w:lang w:val="bg-BG"/>
              </w:rPr>
            </w:pPr>
          </w:p>
        </w:tc>
        <w:tc>
          <w:tcPr>
            <w:tcW w:w="810" w:type="dxa"/>
          </w:tcPr>
          <w:p w14:paraId="70F04D0D" w14:textId="77777777" w:rsidR="00FD59A8" w:rsidRPr="00610B1B" w:rsidRDefault="00FD59A8" w:rsidP="00D32D6A">
            <w:pPr>
              <w:jc w:val="center"/>
              <w:rPr>
                <w:lang w:val="bg-BG"/>
              </w:rPr>
            </w:pPr>
            <w:r w:rsidRPr="00610B1B">
              <w:rPr>
                <w:lang w:val="bg-BG"/>
              </w:rPr>
              <w:t>13</w:t>
            </w:r>
          </w:p>
        </w:tc>
        <w:tc>
          <w:tcPr>
            <w:tcW w:w="810" w:type="dxa"/>
          </w:tcPr>
          <w:p w14:paraId="4DC8CE41" w14:textId="77777777" w:rsidR="00FD59A8" w:rsidRPr="00610B1B" w:rsidRDefault="00FD59A8" w:rsidP="00D32D6A">
            <w:pPr>
              <w:jc w:val="center"/>
              <w:rPr>
                <w:lang w:val="bg-BG"/>
              </w:rPr>
            </w:pPr>
            <w:r w:rsidRPr="00610B1B">
              <w:rPr>
                <w:lang w:val="bg-BG"/>
              </w:rPr>
              <w:t>28</w:t>
            </w:r>
          </w:p>
        </w:tc>
      </w:tr>
      <w:tr w:rsidR="00FD59A8" w:rsidRPr="00610B1B" w14:paraId="02BCC47F" w14:textId="77777777" w:rsidTr="00FD59A8">
        <w:tc>
          <w:tcPr>
            <w:tcW w:w="2409" w:type="dxa"/>
          </w:tcPr>
          <w:p w14:paraId="37FC58D3" w14:textId="77777777" w:rsidR="00FD59A8" w:rsidRPr="00610B1B" w:rsidRDefault="00FD59A8" w:rsidP="00D32D6A">
            <w:pPr>
              <w:jc w:val="both"/>
              <w:rPr>
                <w:bCs/>
                <w:lang w:val="bg-BG"/>
              </w:rPr>
            </w:pPr>
            <w:r w:rsidRPr="00610B1B">
              <w:rPr>
                <w:bCs/>
                <w:lang w:val="bg-BG"/>
              </w:rPr>
              <w:t>Община Бургас</w:t>
            </w:r>
          </w:p>
        </w:tc>
        <w:tc>
          <w:tcPr>
            <w:tcW w:w="1134" w:type="dxa"/>
          </w:tcPr>
          <w:p w14:paraId="66E87044" w14:textId="77777777" w:rsidR="00FD59A8" w:rsidRPr="00610B1B" w:rsidRDefault="00FD59A8" w:rsidP="00D32D6A">
            <w:pPr>
              <w:jc w:val="center"/>
              <w:rPr>
                <w:lang w:val="bg-BG"/>
              </w:rPr>
            </w:pPr>
            <w:r w:rsidRPr="00610B1B">
              <w:rPr>
                <w:lang w:val="bg-BG"/>
              </w:rPr>
              <w:t>-</w:t>
            </w:r>
          </w:p>
        </w:tc>
        <w:tc>
          <w:tcPr>
            <w:tcW w:w="1418" w:type="dxa"/>
          </w:tcPr>
          <w:p w14:paraId="7E27C3D4" w14:textId="77777777" w:rsidR="00FD59A8" w:rsidRPr="00610B1B" w:rsidRDefault="00FD59A8" w:rsidP="00D32D6A">
            <w:pPr>
              <w:jc w:val="center"/>
              <w:rPr>
                <w:lang w:val="bg-BG"/>
              </w:rPr>
            </w:pPr>
            <w:r w:rsidRPr="00610B1B">
              <w:rPr>
                <w:lang w:val="bg-BG"/>
              </w:rPr>
              <w:t>8</w:t>
            </w:r>
          </w:p>
        </w:tc>
        <w:tc>
          <w:tcPr>
            <w:tcW w:w="913" w:type="dxa"/>
          </w:tcPr>
          <w:p w14:paraId="5690A821" w14:textId="77777777" w:rsidR="00FD59A8" w:rsidRPr="00610B1B" w:rsidRDefault="00FD59A8" w:rsidP="00D32D6A">
            <w:pPr>
              <w:jc w:val="center"/>
              <w:rPr>
                <w:lang w:val="bg-BG"/>
              </w:rPr>
            </w:pPr>
            <w:r w:rsidRPr="00610B1B">
              <w:rPr>
                <w:lang w:val="bg-BG"/>
              </w:rPr>
              <w:t>92</w:t>
            </w:r>
          </w:p>
        </w:tc>
        <w:tc>
          <w:tcPr>
            <w:tcW w:w="1350" w:type="dxa"/>
          </w:tcPr>
          <w:p w14:paraId="068EED9B" w14:textId="77777777" w:rsidR="00FD59A8" w:rsidRPr="00610B1B" w:rsidRDefault="00FD59A8" w:rsidP="00D32D6A">
            <w:pPr>
              <w:jc w:val="center"/>
              <w:rPr>
                <w:lang w:val="bg-BG"/>
              </w:rPr>
            </w:pPr>
            <w:r w:rsidRPr="00610B1B">
              <w:rPr>
                <w:lang w:val="bg-BG"/>
              </w:rPr>
              <w:t>20</w:t>
            </w:r>
          </w:p>
        </w:tc>
        <w:tc>
          <w:tcPr>
            <w:tcW w:w="810" w:type="dxa"/>
          </w:tcPr>
          <w:p w14:paraId="343E1133" w14:textId="77777777" w:rsidR="00FD59A8" w:rsidRPr="00610B1B" w:rsidRDefault="00FD59A8" w:rsidP="00D32D6A">
            <w:pPr>
              <w:jc w:val="center"/>
              <w:rPr>
                <w:lang w:val="bg-BG"/>
              </w:rPr>
            </w:pPr>
            <w:r w:rsidRPr="00610B1B">
              <w:rPr>
                <w:lang w:val="bg-BG"/>
              </w:rPr>
              <w:t>209</w:t>
            </w:r>
          </w:p>
        </w:tc>
        <w:tc>
          <w:tcPr>
            <w:tcW w:w="810" w:type="dxa"/>
          </w:tcPr>
          <w:p w14:paraId="4C26ACB7" w14:textId="77777777" w:rsidR="00FD59A8" w:rsidRPr="00610B1B" w:rsidRDefault="00FD59A8" w:rsidP="00D32D6A">
            <w:pPr>
              <w:jc w:val="center"/>
              <w:rPr>
                <w:lang w:val="bg-BG"/>
              </w:rPr>
            </w:pPr>
            <w:r w:rsidRPr="00610B1B">
              <w:rPr>
                <w:lang w:val="bg-BG"/>
              </w:rPr>
              <w:t>329</w:t>
            </w:r>
          </w:p>
        </w:tc>
      </w:tr>
      <w:tr w:rsidR="00FD59A8" w:rsidRPr="00610B1B" w14:paraId="1A788B6D" w14:textId="77777777" w:rsidTr="00FD59A8">
        <w:tc>
          <w:tcPr>
            <w:tcW w:w="2409" w:type="dxa"/>
          </w:tcPr>
          <w:p w14:paraId="6AA7A816" w14:textId="77777777" w:rsidR="00FD59A8" w:rsidRPr="00610B1B" w:rsidRDefault="00FD59A8" w:rsidP="00D32D6A">
            <w:pPr>
              <w:jc w:val="both"/>
              <w:rPr>
                <w:bCs/>
                <w:lang w:val="bg-BG"/>
              </w:rPr>
            </w:pPr>
            <w:r w:rsidRPr="00610B1B">
              <w:rPr>
                <w:bCs/>
                <w:lang w:val="bg-BG"/>
              </w:rPr>
              <w:t>Община Созопол</w:t>
            </w:r>
          </w:p>
        </w:tc>
        <w:tc>
          <w:tcPr>
            <w:tcW w:w="1134" w:type="dxa"/>
          </w:tcPr>
          <w:p w14:paraId="3CE84416" w14:textId="77777777" w:rsidR="00FD59A8" w:rsidRPr="00610B1B" w:rsidRDefault="00FD59A8" w:rsidP="00D32D6A">
            <w:pPr>
              <w:jc w:val="center"/>
              <w:rPr>
                <w:lang w:val="bg-BG"/>
              </w:rPr>
            </w:pPr>
            <w:r w:rsidRPr="00610B1B">
              <w:rPr>
                <w:lang w:val="bg-BG"/>
              </w:rPr>
              <w:t>-</w:t>
            </w:r>
          </w:p>
        </w:tc>
        <w:tc>
          <w:tcPr>
            <w:tcW w:w="1418" w:type="dxa"/>
          </w:tcPr>
          <w:p w14:paraId="3588CFA4" w14:textId="77777777" w:rsidR="00FD59A8" w:rsidRPr="00610B1B" w:rsidRDefault="00FD59A8" w:rsidP="00D32D6A">
            <w:pPr>
              <w:jc w:val="center"/>
              <w:rPr>
                <w:lang w:val="bg-BG"/>
              </w:rPr>
            </w:pPr>
            <w:r w:rsidRPr="00610B1B">
              <w:rPr>
                <w:lang w:val="bg-BG"/>
              </w:rPr>
              <w:t>6</w:t>
            </w:r>
          </w:p>
        </w:tc>
        <w:tc>
          <w:tcPr>
            <w:tcW w:w="913" w:type="dxa"/>
          </w:tcPr>
          <w:p w14:paraId="5C92A3A3" w14:textId="77777777" w:rsidR="00FD59A8" w:rsidRPr="00610B1B" w:rsidRDefault="00FD59A8" w:rsidP="00D32D6A">
            <w:pPr>
              <w:jc w:val="center"/>
              <w:rPr>
                <w:lang w:val="bg-BG"/>
              </w:rPr>
            </w:pPr>
            <w:r w:rsidRPr="00610B1B">
              <w:rPr>
                <w:lang w:val="bg-BG"/>
              </w:rPr>
              <w:t>29</w:t>
            </w:r>
          </w:p>
        </w:tc>
        <w:tc>
          <w:tcPr>
            <w:tcW w:w="1350" w:type="dxa"/>
          </w:tcPr>
          <w:p w14:paraId="009C94FC" w14:textId="77777777" w:rsidR="00FD59A8" w:rsidRPr="00610B1B" w:rsidRDefault="00FD59A8" w:rsidP="00D32D6A">
            <w:pPr>
              <w:jc w:val="center"/>
              <w:rPr>
                <w:lang w:val="bg-BG"/>
              </w:rPr>
            </w:pPr>
            <w:r w:rsidRPr="00610B1B">
              <w:rPr>
                <w:lang w:val="bg-BG"/>
              </w:rPr>
              <w:t>5</w:t>
            </w:r>
          </w:p>
        </w:tc>
        <w:tc>
          <w:tcPr>
            <w:tcW w:w="810" w:type="dxa"/>
          </w:tcPr>
          <w:p w14:paraId="120C4930" w14:textId="77777777" w:rsidR="00FD59A8" w:rsidRPr="00610B1B" w:rsidRDefault="00FD59A8" w:rsidP="00D32D6A">
            <w:pPr>
              <w:jc w:val="center"/>
              <w:rPr>
                <w:lang w:val="bg-BG"/>
              </w:rPr>
            </w:pPr>
            <w:r w:rsidRPr="00610B1B">
              <w:rPr>
                <w:lang w:val="bg-BG"/>
              </w:rPr>
              <w:t>25</w:t>
            </w:r>
          </w:p>
        </w:tc>
        <w:tc>
          <w:tcPr>
            <w:tcW w:w="810" w:type="dxa"/>
          </w:tcPr>
          <w:p w14:paraId="7C606E68" w14:textId="77777777" w:rsidR="00FD59A8" w:rsidRPr="00610B1B" w:rsidRDefault="00FD59A8" w:rsidP="00D32D6A">
            <w:pPr>
              <w:jc w:val="center"/>
              <w:rPr>
                <w:lang w:val="bg-BG"/>
              </w:rPr>
            </w:pPr>
            <w:r w:rsidRPr="00610B1B">
              <w:rPr>
                <w:lang w:val="bg-BG"/>
              </w:rPr>
              <w:t>65</w:t>
            </w:r>
          </w:p>
        </w:tc>
      </w:tr>
      <w:tr w:rsidR="00FD59A8" w:rsidRPr="00610B1B" w14:paraId="0A2A440F" w14:textId="77777777" w:rsidTr="00FD59A8">
        <w:tc>
          <w:tcPr>
            <w:tcW w:w="2409" w:type="dxa"/>
          </w:tcPr>
          <w:p w14:paraId="3FC8D77D" w14:textId="77777777" w:rsidR="00FD59A8" w:rsidRPr="00610B1B" w:rsidRDefault="00FD59A8" w:rsidP="00D32D6A">
            <w:pPr>
              <w:jc w:val="both"/>
              <w:rPr>
                <w:bCs/>
                <w:lang w:val="bg-BG"/>
              </w:rPr>
            </w:pPr>
            <w:r w:rsidRPr="00610B1B">
              <w:rPr>
                <w:bCs/>
                <w:lang w:val="bg-BG"/>
              </w:rPr>
              <w:t>Община Приморско</w:t>
            </w:r>
          </w:p>
        </w:tc>
        <w:tc>
          <w:tcPr>
            <w:tcW w:w="1134" w:type="dxa"/>
            <w:shd w:val="clear" w:color="auto" w:fill="FFFFFF"/>
          </w:tcPr>
          <w:p w14:paraId="16FFB2F3" w14:textId="77777777" w:rsidR="00FD59A8" w:rsidRPr="00610B1B" w:rsidRDefault="00FD59A8" w:rsidP="00D32D6A">
            <w:pPr>
              <w:jc w:val="center"/>
              <w:rPr>
                <w:lang w:val="bg-BG"/>
              </w:rPr>
            </w:pPr>
            <w:r w:rsidRPr="00610B1B">
              <w:rPr>
                <w:lang w:val="bg-BG"/>
              </w:rPr>
              <w:t>-</w:t>
            </w:r>
          </w:p>
        </w:tc>
        <w:tc>
          <w:tcPr>
            <w:tcW w:w="1418" w:type="dxa"/>
            <w:shd w:val="clear" w:color="auto" w:fill="FFFFFF"/>
          </w:tcPr>
          <w:p w14:paraId="6A80D444" w14:textId="77777777" w:rsidR="00FD59A8" w:rsidRPr="00610B1B" w:rsidRDefault="00FD59A8" w:rsidP="00D32D6A">
            <w:pPr>
              <w:jc w:val="center"/>
              <w:rPr>
                <w:lang w:val="bg-BG"/>
              </w:rPr>
            </w:pPr>
            <w:r w:rsidRPr="00610B1B">
              <w:rPr>
                <w:lang w:val="bg-BG"/>
              </w:rPr>
              <w:t>7</w:t>
            </w:r>
          </w:p>
        </w:tc>
        <w:tc>
          <w:tcPr>
            <w:tcW w:w="913" w:type="dxa"/>
          </w:tcPr>
          <w:p w14:paraId="6B5C132F" w14:textId="77777777" w:rsidR="00FD59A8" w:rsidRPr="00610B1B" w:rsidRDefault="00FD59A8" w:rsidP="00D32D6A">
            <w:pPr>
              <w:jc w:val="center"/>
              <w:rPr>
                <w:lang w:val="bg-BG"/>
              </w:rPr>
            </w:pPr>
            <w:r w:rsidRPr="00610B1B">
              <w:rPr>
                <w:lang w:val="bg-BG"/>
              </w:rPr>
              <w:t>2</w:t>
            </w:r>
          </w:p>
        </w:tc>
        <w:tc>
          <w:tcPr>
            <w:tcW w:w="1350" w:type="dxa"/>
          </w:tcPr>
          <w:p w14:paraId="4658F426" w14:textId="77777777" w:rsidR="00FD59A8" w:rsidRPr="00610B1B" w:rsidRDefault="00FD59A8" w:rsidP="00D32D6A">
            <w:pPr>
              <w:jc w:val="center"/>
              <w:rPr>
                <w:lang w:val="bg-BG"/>
              </w:rPr>
            </w:pPr>
            <w:r w:rsidRPr="00610B1B">
              <w:rPr>
                <w:lang w:val="bg-BG"/>
              </w:rPr>
              <w:t>-</w:t>
            </w:r>
          </w:p>
        </w:tc>
        <w:tc>
          <w:tcPr>
            <w:tcW w:w="810" w:type="dxa"/>
          </w:tcPr>
          <w:p w14:paraId="5D9B3C3B" w14:textId="77777777" w:rsidR="00FD59A8" w:rsidRPr="00610B1B" w:rsidRDefault="00FD59A8" w:rsidP="00D32D6A">
            <w:pPr>
              <w:jc w:val="center"/>
              <w:rPr>
                <w:lang w:val="bg-BG"/>
              </w:rPr>
            </w:pPr>
            <w:r w:rsidRPr="00610B1B">
              <w:rPr>
                <w:lang w:val="bg-BG"/>
              </w:rPr>
              <w:t>1</w:t>
            </w:r>
          </w:p>
        </w:tc>
        <w:tc>
          <w:tcPr>
            <w:tcW w:w="810" w:type="dxa"/>
          </w:tcPr>
          <w:p w14:paraId="276288E3" w14:textId="77777777" w:rsidR="00FD59A8" w:rsidRPr="00610B1B" w:rsidRDefault="00FD59A8" w:rsidP="00D32D6A">
            <w:pPr>
              <w:jc w:val="center"/>
              <w:rPr>
                <w:lang w:val="bg-BG"/>
              </w:rPr>
            </w:pPr>
            <w:r w:rsidRPr="00610B1B">
              <w:rPr>
                <w:lang w:val="bg-BG"/>
              </w:rPr>
              <w:t>10</w:t>
            </w:r>
          </w:p>
        </w:tc>
      </w:tr>
      <w:tr w:rsidR="00FD59A8" w:rsidRPr="00610B1B" w14:paraId="16DF6C65" w14:textId="77777777" w:rsidTr="00FD59A8">
        <w:tc>
          <w:tcPr>
            <w:tcW w:w="2409" w:type="dxa"/>
          </w:tcPr>
          <w:p w14:paraId="14DEED66" w14:textId="77777777" w:rsidR="00FD59A8" w:rsidRPr="00610B1B" w:rsidRDefault="00FD59A8" w:rsidP="00D32D6A">
            <w:pPr>
              <w:jc w:val="both"/>
              <w:rPr>
                <w:bCs/>
                <w:lang w:val="bg-BG"/>
              </w:rPr>
            </w:pPr>
            <w:r w:rsidRPr="00610B1B">
              <w:rPr>
                <w:bCs/>
                <w:lang w:val="bg-BG"/>
              </w:rPr>
              <w:t>Община Царево</w:t>
            </w:r>
          </w:p>
        </w:tc>
        <w:tc>
          <w:tcPr>
            <w:tcW w:w="1134" w:type="dxa"/>
            <w:shd w:val="clear" w:color="auto" w:fill="FFFFFF"/>
          </w:tcPr>
          <w:p w14:paraId="4746250A" w14:textId="77777777" w:rsidR="00FD59A8" w:rsidRPr="00610B1B" w:rsidRDefault="00FD59A8" w:rsidP="00D32D6A">
            <w:pPr>
              <w:jc w:val="center"/>
              <w:rPr>
                <w:lang w:val="bg-BG"/>
              </w:rPr>
            </w:pPr>
            <w:r w:rsidRPr="00610B1B">
              <w:rPr>
                <w:lang w:val="bg-BG"/>
              </w:rPr>
              <w:t>-</w:t>
            </w:r>
          </w:p>
        </w:tc>
        <w:tc>
          <w:tcPr>
            <w:tcW w:w="1418" w:type="dxa"/>
            <w:shd w:val="clear" w:color="auto" w:fill="FFFFFF"/>
          </w:tcPr>
          <w:p w14:paraId="6907D94E" w14:textId="77777777" w:rsidR="00FD59A8" w:rsidRPr="00610B1B" w:rsidRDefault="00FD59A8" w:rsidP="00D32D6A">
            <w:pPr>
              <w:jc w:val="center"/>
              <w:rPr>
                <w:lang w:val="bg-BG"/>
              </w:rPr>
            </w:pPr>
            <w:r w:rsidRPr="00610B1B">
              <w:rPr>
                <w:lang w:val="bg-BG"/>
              </w:rPr>
              <w:t>2</w:t>
            </w:r>
          </w:p>
        </w:tc>
        <w:tc>
          <w:tcPr>
            <w:tcW w:w="913" w:type="dxa"/>
          </w:tcPr>
          <w:p w14:paraId="6D287C05" w14:textId="77777777" w:rsidR="00FD59A8" w:rsidRPr="00610B1B" w:rsidRDefault="00FD59A8" w:rsidP="00D32D6A">
            <w:pPr>
              <w:jc w:val="center"/>
              <w:rPr>
                <w:lang w:val="bg-BG"/>
              </w:rPr>
            </w:pPr>
            <w:r w:rsidRPr="00610B1B">
              <w:rPr>
                <w:lang w:val="bg-BG"/>
              </w:rPr>
              <w:t>2</w:t>
            </w:r>
          </w:p>
        </w:tc>
        <w:tc>
          <w:tcPr>
            <w:tcW w:w="1350" w:type="dxa"/>
          </w:tcPr>
          <w:p w14:paraId="452AC13B" w14:textId="77777777" w:rsidR="00FD59A8" w:rsidRPr="00610B1B" w:rsidRDefault="00FD59A8" w:rsidP="00D32D6A">
            <w:pPr>
              <w:jc w:val="center"/>
              <w:rPr>
                <w:lang w:val="bg-BG"/>
              </w:rPr>
            </w:pPr>
            <w:r w:rsidRPr="00610B1B">
              <w:rPr>
                <w:lang w:val="bg-BG"/>
              </w:rPr>
              <w:t>-</w:t>
            </w:r>
          </w:p>
        </w:tc>
        <w:tc>
          <w:tcPr>
            <w:tcW w:w="810" w:type="dxa"/>
          </w:tcPr>
          <w:p w14:paraId="1443C030" w14:textId="77777777" w:rsidR="00FD59A8" w:rsidRPr="00610B1B" w:rsidRDefault="00FD59A8" w:rsidP="00D32D6A">
            <w:pPr>
              <w:jc w:val="center"/>
              <w:rPr>
                <w:lang w:val="bg-BG"/>
              </w:rPr>
            </w:pPr>
            <w:r w:rsidRPr="00610B1B">
              <w:rPr>
                <w:lang w:val="bg-BG"/>
              </w:rPr>
              <w:t>50</w:t>
            </w:r>
          </w:p>
        </w:tc>
        <w:tc>
          <w:tcPr>
            <w:tcW w:w="810" w:type="dxa"/>
          </w:tcPr>
          <w:p w14:paraId="0630BD6B" w14:textId="77777777" w:rsidR="00FD59A8" w:rsidRPr="00610B1B" w:rsidRDefault="00FD59A8" w:rsidP="00D32D6A">
            <w:pPr>
              <w:jc w:val="center"/>
              <w:rPr>
                <w:lang w:val="bg-BG"/>
              </w:rPr>
            </w:pPr>
            <w:r w:rsidRPr="00610B1B">
              <w:rPr>
                <w:lang w:val="bg-BG"/>
              </w:rPr>
              <w:t>54</w:t>
            </w:r>
          </w:p>
        </w:tc>
      </w:tr>
    </w:tbl>
    <w:p w14:paraId="16DA23EB" w14:textId="07CBC3FD" w:rsidR="004E4CAD" w:rsidRPr="00610B1B" w:rsidRDefault="00442579" w:rsidP="00566CC3">
      <w:pPr>
        <w:spacing w:before="60" w:after="120" w:line="240" w:lineRule="auto"/>
        <w:ind w:right="-153"/>
        <w:jc w:val="both"/>
        <w:rPr>
          <w:rFonts w:ascii="Times New Roman" w:eastAsia="Times New Roman" w:hAnsi="Times New Roman" w:cs="Times New Roman"/>
          <w:sz w:val="20"/>
          <w:szCs w:val="20"/>
          <w:lang w:val="bg-BG"/>
        </w:rPr>
      </w:pPr>
      <w:r w:rsidRPr="00610B1B">
        <w:rPr>
          <w:rFonts w:ascii="Times New Roman" w:eastAsia="Times New Roman" w:hAnsi="Times New Roman" w:cs="Times New Roman"/>
          <w:sz w:val="20"/>
          <w:szCs w:val="20"/>
          <w:lang w:val="bg-BG"/>
        </w:rPr>
        <w:t>*Само в рамките на световната НКЦ „Стар град Несебър“ има</w:t>
      </w:r>
      <w:r w:rsidR="00D66FE0" w:rsidRPr="00610B1B">
        <w:rPr>
          <w:rFonts w:ascii="Times New Roman" w:eastAsia="Times New Roman" w:hAnsi="Times New Roman" w:cs="Times New Roman"/>
          <w:sz w:val="20"/>
          <w:szCs w:val="20"/>
          <w:lang w:val="bg-BG"/>
        </w:rPr>
        <w:t xml:space="preserve"> </w:t>
      </w:r>
      <w:r w:rsidRPr="00610B1B">
        <w:rPr>
          <w:rFonts w:ascii="Times New Roman" w:eastAsia="Times New Roman" w:hAnsi="Times New Roman" w:cs="Times New Roman"/>
          <w:sz w:val="20"/>
          <w:szCs w:val="20"/>
          <w:lang w:val="bg-BG"/>
        </w:rPr>
        <w:t>общо 118 НКЦ, от които 20 са с категория с „национално значение”, 50 – с „местно”, 34 - „за сведение”</w:t>
      </w:r>
    </w:p>
    <w:p w14:paraId="4D2BF00B" w14:textId="4CBA7610" w:rsidR="00442579" w:rsidRPr="00610B1B" w:rsidRDefault="001B7D8F" w:rsidP="00D32D6A">
      <w:pPr>
        <w:pStyle w:val="Heading4"/>
        <w:spacing w:before="0" w:line="276" w:lineRule="auto"/>
        <w:ind w:right="-153"/>
        <w:rPr>
          <w:rFonts w:cs="Times New Roman"/>
        </w:rPr>
      </w:pPr>
      <w:r w:rsidRPr="00610B1B">
        <w:rPr>
          <w:rFonts w:cs="Times New Roman"/>
        </w:rPr>
        <w:lastRenderedPageBreak/>
        <w:t xml:space="preserve">3.7.2.5. </w:t>
      </w:r>
      <w:r w:rsidR="00442579" w:rsidRPr="00610B1B">
        <w:rPr>
          <w:rFonts w:cs="Times New Roman"/>
        </w:rPr>
        <w:t xml:space="preserve">Актуално състояние на обектите КН под вода </w:t>
      </w:r>
    </w:p>
    <w:p w14:paraId="29A4B59B" w14:textId="082AA963"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България е една от първите страни в света, ко</w:t>
      </w:r>
      <w:r w:rsidR="001B7D8F" w:rsidRPr="00610B1B">
        <w:rPr>
          <w:rFonts w:ascii="Times New Roman" w:eastAsia="Times New Roman" w:hAnsi="Times New Roman" w:cs="Times New Roman"/>
          <w:sz w:val="24"/>
          <w:szCs w:val="24"/>
          <w:lang w:val="bg-BG"/>
        </w:rPr>
        <w:t>и</w:t>
      </w:r>
      <w:r w:rsidRPr="00610B1B">
        <w:rPr>
          <w:rFonts w:ascii="Times New Roman" w:eastAsia="Times New Roman" w:hAnsi="Times New Roman" w:cs="Times New Roman"/>
          <w:sz w:val="24"/>
          <w:szCs w:val="24"/>
          <w:lang w:val="bg-BG"/>
        </w:rPr>
        <w:t>то създават специализирана структура за опазване на културното наследство под вода. България е първата държава от Европа и втората в света, която се присъедини още през 2003 г. към Конвенцията на ЮНЕСКО за опазване на</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подводното културно наследство</w:t>
      </w:r>
      <w:r w:rsidR="00033AA4" w:rsidRPr="00610B1B">
        <w:rPr>
          <w:rFonts w:ascii="Times New Roman" w:eastAsia="Times New Roman" w:hAnsi="Times New Roman" w:cs="Times New Roman"/>
          <w:sz w:val="24"/>
          <w:szCs w:val="24"/>
          <w:lang w:val="bg-BG"/>
        </w:rPr>
        <w:t xml:space="preserve"> и </w:t>
      </w:r>
      <w:r w:rsidRPr="00610B1B">
        <w:rPr>
          <w:rFonts w:ascii="Times New Roman" w:eastAsia="Times New Roman" w:hAnsi="Times New Roman" w:cs="Times New Roman"/>
          <w:sz w:val="24"/>
          <w:szCs w:val="24"/>
          <w:lang w:val="bg-BG"/>
        </w:rPr>
        <w:t>от края на ХХ век българската подводна археология идентифицира своите основни обекти на проучване</w:t>
      </w:r>
      <w:r w:rsidR="001B7D8F" w:rsidRPr="00610B1B">
        <w:rPr>
          <w:rFonts w:ascii="Times New Roman" w:eastAsia="Times New Roman" w:hAnsi="Times New Roman" w:cs="Times New Roman"/>
          <w:sz w:val="24"/>
          <w:szCs w:val="24"/>
          <w:lang w:val="bg-BG"/>
        </w:rPr>
        <w:t xml:space="preserve">. Изследването </w:t>
      </w:r>
      <w:r w:rsidRPr="00610B1B">
        <w:rPr>
          <w:rFonts w:ascii="Times New Roman" w:eastAsia="Times New Roman" w:hAnsi="Times New Roman" w:cs="Times New Roman"/>
          <w:sz w:val="24"/>
          <w:szCs w:val="24"/>
          <w:lang w:val="bg-BG"/>
        </w:rPr>
        <w:t xml:space="preserve">на всяка от тези групи обекти през последните години получи допълнително развитие и се разшири с развитието на техническите средства и повишаването на човешкия капацитет. </w:t>
      </w:r>
    </w:p>
    <w:p w14:paraId="2ED7CC75" w14:textId="58F8E2AE"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
          <w:sz w:val="24"/>
          <w:szCs w:val="24"/>
          <w:lang w:val="bg-BG"/>
        </w:rPr>
        <w:t xml:space="preserve">Останки от корабокрушения </w:t>
      </w:r>
    </w:p>
    <w:p w14:paraId="27CB737B" w14:textId="1DE7E94A" w:rsidR="00442579" w:rsidRPr="00610B1B" w:rsidRDefault="00DD51C3"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В крайбрежната зона на българското Черноморие ч</w:t>
      </w:r>
      <w:r w:rsidR="00442579" w:rsidRPr="00610B1B">
        <w:rPr>
          <w:rFonts w:ascii="Times New Roman" w:eastAsia="Times New Roman" w:hAnsi="Times New Roman" w:cs="Times New Roman"/>
          <w:sz w:val="24"/>
          <w:szCs w:val="24"/>
          <w:lang w:val="bg-BG"/>
        </w:rPr>
        <w:t xml:space="preserve">рез археологически разкопки в България са проучени две корабокрушения: </w:t>
      </w:r>
    </w:p>
    <w:p w14:paraId="4319FA65" w14:textId="07F7CAE7" w:rsidR="00442579" w:rsidRPr="00610B1B" w:rsidRDefault="00442579" w:rsidP="00B46189">
      <w:pPr>
        <w:pStyle w:val="ListParagraph"/>
        <w:numPr>
          <w:ilvl w:val="0"/>
          <w:numId w:val="40"/>
        </w:numPr>
        <w:spacing w:after="120"/>
        <w:ind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корабокрушение на дървен ветроход от края на </w:t>
      </w:r>
      <w:r w:rsidR="00DD51C3" w:rsidRPr="00610B1B">
        <w:rPr>
          <w:rFonts w:ascii="Times New Roman" w:eastAsia="Times New Roman" w:hAnsi="Times New Roman" w:cs="Times New Roman"/>
          <w:sz w:val="24"/>
          <w:szCs w:val="24"/>
          <w:lang w:val="bg-BG"/>
        </w:rPr>
        <w:t>ХVIII</w:t>
      </w:r>
      <w:r w:rsidRPr="00610B1B">
        <w:rPr>
          <w:rFonts w:ascii="Times New Roman" w:eastAsia="Times New Roman" w:hAnsi="Times New Roman" w:cs="Times New Roman"/>
          <w:sz w:val="24"/>
          <w:szCs w:val="24"/>
          <w:lang w:val="bg-BG"/>
        </w:rPr>
        <w:t xml:space="preserve"> – началото на </w:t>
      </w:r>
      <w:r w:rsidR="00DD51C3" w:rsidRPr="00610B1B">
        <w:rPr>
          <w:rFonts w:ascii="Times New Roman" w:eastAsia="Times New Roman" w:hAnsi="Times New Roman" w:cs="Times New Roman"/>
          <w:sz w:val="24"/>
          <w:szCs w:val="24"/>
          <w:lang w:val="bg-BG"/>
        </w:rPr>
        <w:t>XIX</w:t>
      </w:r>
      <w:r w:rsidRPr="00610B1B">
        <w:rPr>
          <w:rFonts w:ascii="Times New Roman" w:eastAsia="Times New Roman" w:hAnsi="Times New Roman" w:cs="Times New Roman"/>
          <w:sz w:val="24"/>
          <w:szCs w:val="24"/>
          <w:lang w:val="bg-BG"/>
        </w:rPr>
        <w:t xml:space="preserve"> век в южния Китенски залив, гр. Китен, община Приморско;</w:t>
      </w:r>
      <w:r w:rsidR="00D66FE0" w:rsidRPr="00610B1B">
        <w:rPr>
          <w:rFonts w:ascii="Times New Roman" w:eastAsia="Times New Roman" w:hAnsi="Times New Roman" w:cs="Times New Roman"/>
          <w:sz w:val="24"/>
          <w:szCs w:val="24"/>
          <w:lang w:val="bg-BG"/>
        </w:rPr>
        <w:t xml:space="preserve"> </w:t>
      </w:r>
    </w:p>
    <w:p w14:paraId="56A7BDD2" w14:textId="4846533E" w:rsidR="00442579" w:rsidRPr="00610B1B" w:rsidRDefault="00442579" w:rsidP="00B46189">
      <w:pPr>
        <w:pStyle w:val="ListParagraph"/>
        <w:numPr>
          <w:ilvl w:val="0"/>
          <w:numId w:val="40"/>
        </w:numPr>
        <w:spacing w:after="120"/>
        <w:ind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корабокрушение на дървен двумачтов в</w:t>
      </w:r>
      <w:r w:rsidR="00DD51C3" w:rsidRPr="00610B1B">
        <w:rPr>
          <w:rFonts w:ascii="Times New Roman" w:eastAsia="Times New Roman" w:hAnsi="Times New Roman" w:cs="Times New Roman"/>
          <w:sz w:val="24"/>
          <w:szCs w:val="24"/>
          <w:lang w:val="bg-BG"/>
        </w:rPr>
        <w:t>етроход от първата половина на XIX</w:t>
      </w:r>
      <w:r w:rsidRPr="00610B1B">
        <w:rPr>
          <w:rFonts w:ascii="Times New Roman" w:eastAsia="Times New Roman" w:hAnsi="Times New Roman" w:cs="Times New Roman"/>
          <w:sz w:val="24"/>
          <w:szCs w:val="24"/>
          <w:lang w:val="bg-BG"/>
        </w:rPr>
        <w:t xml:space="preserve"> век в залива Св. Никола, гр. Черноморец, община Созопол. </w:t>
      </w:r>
    </w:p>
    <w:p w14:paraId="7C2A05EA" w14:textId="7EF698D2"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През 60-те и 70-те година в района на Варна, нос Св. Атанас, Равда, Несебър и Поморие са извадени серии еднакви амфори или керемиди.</w:t>
      </w:r>
      <w:r w:rsidR="00DD51C3" w:rsidRPr="00610B1B">
        <w:rPr>
          <w:rFonts w:ascii="Times New Roman" w:eastAsia="Times New Roman" w:hAnsi="Times New Roman" w:cs="Times New Roman"/>
          <w:sz w:val="24"/>
          <w:szCs w:val="24"/>
          <w:lang w:val="bg-BG"/>
        </w:rPr>
        <w:t xml:space="preserve"> </w:t>
      </w:r>
      <w:r w:rsidR="00033AA4" w:rsidRPr="00610B1B">
        <w:rPr>
          <w:rFonts w:ascii="Times New Roman" w:eastAsia="Times New Roman" w:hAnsi="Times New Roman" w:cs="Times New Roman"/>
          <w:sz w:val="24"/>
          <w:szCs w:val="24"/>
          <w:lang w:val="bg-BG"/>
        </w:rPr>
        <w:t xml:space="preserve">Местата </w:t>
      </w:r>
      <w:r w:rsidRPr="00610B1B">
        <w:rPr>
          <w:rFonts w:ascii="Times New Roman" w:eastAsia="Times New Roman" w:hAnsi="Times New Roman" w:cs="Times New Roman"/>
          <w:sz w:val="24"/>
          <w:szCs w:val="24"/>
          <w:lang w:val="bg-BG"/>
        </w:rPr>
        <w:t>на повечето от тези находки не могат да се идентифицират точно.</w:t>
      </w:r>
      <w:r w:rsidR="00DD51C3" w:rsidRPr="00610B1B">
        <w:rPr>
          <w:rFonts w:ascii="Times New Roman" w:eastAsia="Times New Roman" w:hAnsi="Times New Roman" w:cs="Times New Roman"/>
          <w:sz w:val="24"/>
          <w:szCs w:val="24"/>
          <w:lang w:val="bg-BG"/>
        </w:rPr>
        <w:t xml:space="preserve"> Известни са </w:t>
      </w:r>
      <w:r w:rsidRPr="00610B1B">
        <w:rPr>
          <w:rFonts w:ascii="Times New Roman" w:eastAsia="Times New Roman" w:hAnsi="Times New Roman" w:cs="Times New Roman"/>
          <w:sz w:val="24"/>
          <w:szCs w:val="24"/>
          <w:lang w:val="bg-BG"/>
        </w:rPr>
        <w:t xml:space="preserve">останки от дървени ветроходи от </w:t>
      </w:r>
      <w:r w:rsidR="00DD51C3" w:rsidRPr="00610B1B">
        <w:rPr>
          <w:rFonts w:ascii="Times New Roman" w:eastAsia="Times New Roman" w:hAnsi="Times New Roman" w:cs="Times New Roman"/>
          <w:sz w:val="24"/>
          <w:szCs w:val="24"/>
          <w:lang w:val="bg-BG"/>
        </w:rPr>
        <w:t>XVII</w:t>
      </w:r>
      <w:r w:rsidRPr="00610B1B">
        <w:rPr>
          <w:rFonts w:ascii="Times New Roman" w:eastAsia="Times New Roman" w:hAnsi="Times New Roman" w:cs="Times New Roman"/>
          <w:sz w:val="24"/>
          <w:szCs w:val="24"/>
          <w:lang w:val="bg-BG"/>
        </w:rPr>
        <w:t>–</w:t>
      </w:r>
      <w:r w:rsidR="00DD51C3" w:rsidRPr="00610B1B">
        <w:rPr>
          <w:rFonts w:ascii="Times New Roman" w:eastAsia="Times New Roman" w:hAnsi="Times New Roman" w:cs="Times New Roman"/>
          <w:sz w:val="24"/>
          <w:szCs w:val="24"/>
          <w:lang w:val="bg-BG"/>
        </w:rPr>
        <w:t>XIX</w:t>
      </w:r>
      <w:r w:rsidRPr="00610B1B">
        <w:rPr>
          <w:rFonts w:ascii="Times New Roman" w:eastAsia="Times New Roman" w:hAnsi="Times New Roman" w:cs="Times New Roman"/>
          <w:sz w:val="24"/>
          <w:szCs w:val="24"/>
          <w:lang w:val="bg-BG"/>
        </w:rPr>
        <w:t xml:space="preserve"> век в крайбрежната зона в следните локации: северния плаж на Дуранкулак (корабокрушение от </w:t>
      </w:r>
      <w:r w:rsidR="00DD51C3" w:rsidRPr="00610B1B">
        <w:rPr>
          <w:rFonts w:ascii="Times New Roman" w:eastAsia="Times New Roman" w:hAnsi="Times New Roman" w:cs="Times New Roman"/>
          <w:sz w:val="24"/>
          <w:szCs w:val="24"/>
          <w:lang w:val="bg-BG"/>
        </w:rPr>
        <w:t>XVII</w:t>
      </w:r>
      <w:r w:rsidRPr="00610B1B">
        <w:rPr>
          <w:rFonts w:ascii="Times New Roman" w:eastAsia="Times New Roman" w:hAnsi="Times New Roman" w:cs="Times New Roman"/>
          <w:sz w:val="24"/>
          <w:szCs w:val="24"/>
          <w:lang w:val="bg-BG"/>
        </w:rPr>
        <w:t xml:space="preserve"> век); Шабла, северно от къмпинг Добруджа (корабокрушения от </w:t>
      </w:r>
      <w:r w:rsidR="00DD51C3" w:rsidRPr="00610B1B">
        <w:rPr>
          <w:rFonts w:ascii="Times New Roman" w:eastAsia="Times New Roman" w:hAnsi="Times New Roman" w:cs="Times New Roman"/>
          <w:sz w:val="24"/>
          <w:szCs w:val="24"/>
          <w:lang w:val="bg-BG"/>
        </w:rPr>
        <w:t xml:space="preserve">XVII–XVIII </w:t>
      </w:r>
      <w:r w:rsidRPr="00610B1B">
        <w:rPr>
          <w:rFonts w:ascii="Times New Roman" w:eastAsia="Times New Roman" w:hAnsi="Times New Roman" w:cs="Times New Roman"/>
          <w:sz w:val="24"/>
          <w:szCs w:val="24"/>
          <w:lang w:val="bg-BG"/>
        </w:rPr>
        <w:t>век), района н</w:t>
      </w:r>
      <w:r w:rsidR="00DD51C3" w:rsidRPr="00610B1B">
        <w:rPr>
          <w:rFonts w:ascii="Times New Roman" w:eastAsia="Times New Roman" w:hAnsi="Times New Roman" w:cs="Times New Roman"/>
          <w:sz w:val="24"/>
          <w:szCs w:val="24"/>
          <w:lang w:val="bg-BG"/>
        </w:rPr>
        <w:t>а с. Крапец (голям ветроход от XIX</w:t>
      </w:r>
      <w:r w:rsidRPr="00610B1B">
        <w:rPr>
          <w:rFonts w:ascii="Times New Roman" w:eastAsia="Times New Roman" w:hAnsi="Times New Roman" w:cs="Times New Roman"/>
          <w:sz w:val="24"/>
          <w:szCs w:val="24"/>
          <w:lang w:val="bg-BG"/>
        </w:rPr>
        <w:t xml:space="preserve"> век); южния залив на Китен - добре запазени корпуси на най-малко 3 дървени кораба. </w:t>
      </w:r>
    </w:p>
    <w:p w14:paraId="7331E009" w14:textId="77777777"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
          <w:sz w:val="24"/>
          <w:szCs w:val="24"/>
          <w:lang w:val="bg-BG"/>
        </w:rPr>
        <w:t xml:space="preserve">Дълбоководни корабокрушения </w:t>
      </w:r>
    </w:p>
    <w:p w14:paraId="5B6CA730" w14:textId="3A30C2C0" w:rsidR="00442579" w:rsidRPr="00610B1B" w:rsidRDefault="002915C2"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Специфичните </w:t>
      </w:r>
      <w:r w:rsidR="00442579" w:rsidRPr="00610B1B">
        <w:rPr>
          <w:rFonts w:ascii="Times New Roman" w:eastAsia="Times New Roman" w:hAnsi="Times New Roman" w:cs="Times New Roman"/>
          <w:sz w:val="24"/>
          <w:szCs w:val="24"/>
          <w:lang w:val="bg-BG"/>
        </w:rPr>
        <w:t xml:space="preserve">условия в Черно море </w:t>
      </w:r>
      <w:r w:rsidRPr="00610B1B">
        <w:rPr>
          <w:rFonts w:ascii="Times New Roman" w:eastAsia="Times New Roman" w:hAnsi="Times New Roman" w:cs="Times New Roman"/>
          <w:sz w:val="24"/>
          <w:szCs w:val="24"/>
          <w:lang w:val="bg-BG"/>
        </w:rPr>
        <w:t xml:space="preserve">са причина </w:t>
      </w:r>
      <w:r w:rsidR="00442579" w:rsidRPr="00610B1B">
        <w:rPr>
          <w:rFonts w:ascii="Times New Roman" w:eastAsia="Times New Roman" w:hAnsi="Times New Roman" w:cs="Times New Roman"/>
          <w:sz w:val="24"/>
          <w:szCs w:val="24"/>
          <w:lang w:val="bg-BG"/>
        </w:rPr>
        <w:t xml:space="preserve">останките от дървени кораби </w:t>
      </w:r>
      <w:r w:rsidRPr="00610B1B">
        <w:rPr>
          <w:rFonts w:ascii="Times New Roman" w:eastAsia="Times New Roman" w:hAnsi="Times New Roman" w:cs="Times New Roman"/>
          <w:sz w:val="24"/>
          <w:szCs w:val="24"/>
          <w:lang w:val="bg-BG"/>
        </w:rPr>
        <w:t>да</w:t>
      </w:r>
      <w:r w:rsidR="00442579" w:rsidRPr="00610B1B">
        <w:rPr>
          <w:rFonts w:ascii="Times New Roman" w:eastAsia="Times New Roman" w:hAnsi="Times New Roman" w:cs="Times New Roman"/>
          <w:sz w:val="24"/>
          <w:szCs w:val="24"/>
          <w:lang w:val="bg-BG"/>
        </w:rPr>
        <w:t xml:space="preserve"> се запазват изключително добре. Поради това, дълбоководните корабокрушения в Черно море и особено тези от западната половина на басейна имат потенциал да бъдат декларирани като световно културно наследство по Конвенцията на </w:t>
      </w:r>
      <w:r w:rsidRPr="00610B1B">
        <w:rPr>
          <w:rFonts w:ascii="Times New Roman" w:eastAsia="Times New Roman" w:hAnsi="Times New Roman" w:cs="Times New Roman"/>
          <w:sz w:val="24"/>
          <w:szCs w:val="24"/>
          <w:lang w:val="bg-BG"/>
        </w:rPr>
        <w:t>ЮНЕСКО (</w:t>
      </w:r>
      <w:r w:rsidR="00442579" w:rsidRPr="00610B1B">
        <w:rPr>
          <w:rFonts w:ascii="Times New Roman" w:eastAsia="Times New Roman" w:hAnsi="Times New Roman" w:cs="Times New Roman"/>
          <w:sz w:val="24"/>
          <w:szCs w:val="24"/>
          <w:lang w:val="bg-BG"/>
        </w:rPr>
        <w:t>1972 г.</w:t>
      </w:r>
      <w:r w:rsidRPr="00610B1B">
        <w:rPr>
          <w:rFonts w:ascii="Times New Roman" w:eastAsia="Times New Roman" w:hAnsi="Times New Roman" w:cs="Times New Roman"/>
          <w:sz w:val="24"/>
          <w:szCs w:val="24"/>
          <w:lang w:val="bg-BG"/>
        </w:rPr>
        <w:t>).</w:t>
      </w:r>
      <w:r w:rsidR="00442579" w:rsidRPr="00610B1B">
        <w:rPr>
          <w:rFonts w:ascii="Times New Roman" w:eastAsia="Times New Roman" w:hAnsi="Times New Roman" w:cs="Times New Roman"/>
          <w:sz w:val="24"/>
          <w:szCs w:val="24"/>
          <w:lang w:val="bg-BG"/>
        </w:rPr>
        <w:t xml:space="preserve"> </w:t>
      </w:r>
    </w:p>
    <w:p w14:paraId="7256C842" w14:textId="5F1B626A"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При дълбоководни проучвания на ИО на БАН са регистрирани 4 корабокрушения източно и северно от Варна на дълбочини между 100 и 140 метра. Две корабокрушения се отнася към римски период (ІІІ - V в. сл.</w:t>
      </w:r>
      <w:r w:rsidR="002915C2" w:rsidRPr="00610B1B">
        <w:rPr>
          <w:rFonts w:ascii="Times New Roman" w:eastAsia="Times New Roman" w:hAnsi="Times New Roman" w:cs="Times New Roman"/>
          <w:sz w:val="24"/>
          <w:szCs w:val="24"/>
          <w:lang w:val="bg-BG"/>
        </w:rPr>
        <w:t xml:space="preserve"> Хр.), а другите са датирани в XIX </w:t>
      </w:r>
      <w:r w:rsidRPr="00610B1B">
        <w:rPr>
          <w:rFonts w:ascii="Times New Roman" w:eastAsia="Times New Roman" w:hAnsi="Times New Roman" w:cs="Times New Roman"/>
          <w:sz w:val="24"/>
          <w:szCs w:val="24"/>
          <w:lang w:val="bg-BG"/>
        </w:rPr>
        <w:t xml:space="preserve">век. </w:t>
      </w:r>
    </w:p>
    <w:p w14:paraId="785C3364" w14:textId="678C4C2C" w:rsidR="00442579" w:rsidRPr="00610B1B" w:rsidRDefault="00442579" w:rsidP="00D32D6A">
      <w:pPr>
        <w:spacing w:after="120"/>
        <w:ind w:right="-153"/>
        <w:jc w:val="both"/>
        <w:rPr>
          <w:rFonts w:ascii="Times New Roman" w:eastAsia="Times New Roman" w:hAnsi="Times New Roman" w:cs="Times New Roman"/>
          <w:color w:val="0000FF"/>
          <w:sz w:val="24"/>
          <w:szCs w:val="24"/>
          <w:lang w:val="bg-BG"/>
        </w:rPr>
      </w:pPr>
      <w:r w:rsidRPr="00610B1B">
        <w:rPr>
          <w:rFonts w:ascii="Times New Roman" w:eastAsia="Times New Roman" w:hAnsi="Times New Roman" w:cs="Times New Roman"/>
          <w:sz w:val="24"/>
          <w:szCs w:val="24"/>
          <w:lang w:val="bg-BG"/>
        </w:rPr>
        <w:t xml:space="preserve">При изпълнението на дълбоководния проект MAP Black Sea са изследвани две зони: южна – от Созопол до Резово и до 15 морски мили навътре в морето, и северна – линейна ширина от 2 до 10 </w:t>
      </w:r>
      <w:r w:rsidR="002915C2" w:rsidRPr="00610B1B">
        <w:rPr>
          <w:rFonts w:ascii="Times New Roman" w:eastAsia="Times New Roman" w:hAnsi="Times New Roman" w:cs="Times New Roman"/>
          <w:sz w:val="24"/>
          <w:szCs w:val="24"/>
          <w:lang w:val="bg-BG"/>
        </w:rPr>
        <w:t xml:space="preserve">km </w:t>
      </w:r>
      <w:r w:rsidRPr="00610B1B">
        <w:rPr>
          <w:rFonts w:ascii="Times New Roman" w:eastAsia="Times New Roman" w:hAnsi="Times New Roman" w:cs="Times New Roman"/>
          <w:sz w:val="24"/>
          <w:szCs w:val="24"/>
          <w:lang w:val="bg-BG"/>
        </w:rPr>
        <w:t>по трасето на нереализирания газопровод Южен поток от брега северно от Варна до граничната точка на ИИЗ на Република България. При проучванията са регистрирани и документирани общо 55 корабокрушения, по-голямата част, от които са датирани както следва</w:t>
      </w:r>
      <w:r w:rsidR="002915C2"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1</w:t>
      </w:r>
      <w:r w:rsidR="00033AA4"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антично (края на </w:t>
      </w:r>
      <w:r w:rsidR="002915C2" w:rsidRPr="00610B1B">
        <w:rPr>
          <w:rFonts w:ascii="Times New Roman" w:eastAsia="Times New Roman" w:hAnsi="Times New Roman" w:cs="Times New Roman"/>
          <w:sz w:val="24"/>
          <w:szCs w:val="24"/>
          <w:lang w:val="bg-BG"/>
        </w:rPr>
        <w:t>V</w:t>
      </w:r>
      <w:r w:rsidRPr="00610B1B">
        <w:rPr>
          <w:rFonts w:ascii="Times New Roman" w:eastAsia="Times New Roman" w:hAnsi="Times New Roman" w:cs="Times New Roman"/>
          <w:sz w:val="24"/>
          <w:szCs w:val="24"/>
          <w:lang w:val="bg-BG"/>
        </w:rPr>
        <w:t xml:space="preserve"> в – нач. на </w:t>
      </w:r>
      <w:r w:rsidR="002915C2" w:rsidRPr="00610B1B">
        <w:rPr>
          <w:rFonts w:ascii="Times New Roman" w:eastAsia="Times New Roman" w:hAnsi="Times New Roman" w:cs="Times New Roman"/>
          <w:sz w:val="24"/>
          <w:szCs w:val="24"/>
          <w:lang w:val="bg-BG"/>
        </w:rPr>
        <w:t>IV</w:t>
      </w:r>
      <w:r w:rsidRPr="00610B1B">
        <w:rPr>
          <w:rFonts w:ascii="Times New Roman" w:eastAsia="Times New Roman" w:hAnsi="Times New Roman" w:cs="Times New Roman"/>
          <w:sz w:val="24"/>
          <w:szCs w:val="24"/>
          <w:lang w:val="bg-BG"/>
        </w:rPr>
        <w:t xml:space="preserve"> в. п</w:t>
      </w:r>
      <w:r w:rsidR="002915C2" w:rsidRPr="00610B1B">
        <w:rPr>
          <w:rFonts w:ascii="Times New Roman" w:eastAsia="Times New Roman" w:hAnsi="Times New Roman" w:cs="Times New Roman"/>
          <w:sz w:val="24"/>
          <w:szCs w:val="24"/>
          <w:lang w:val="bg-BG"/>
        </w:rPr>
        <w:t xml:space="preserve">р. Хр.), 6 от римската епоха (I – V век), 2 средновековни (IX </w:t>
      </w:r>
      <w:r w:rsidRPr="00610B1B">
        <w:rPr>
          <w:rFonts w:ascii="Times New Roman" w:eastAsia="Times New Roman" w:hAnsi="Times New Roman" w:cs="Times New Roman"/>
          <w:sz w:val="24"/>
          <w:szCs w:val="24"/>
          <w:lang w:val="bg-BG"/>
        </w:rPr>
        <w:t xml:space="preserve">- </w:t>
      </w:r>
      <w:r w:rsidR="002915C2" w:rsidRPr="00610B1B">
        <w:rPr>
          <w:rFonts w:ascii="Times New Roman" w:eastAsia="Times New Roman" w:hAnsi="Times New Roman" w:cs="Times New Roman"/>
          <w:sz w:val="24"/>
          <w:szCs w:val="24"/>
          <w:lang w:val="bg-BG"/>
        </w:rPr>
        <w:t>X</w:t>
      </w:r>
      <w:r w:rsidRPr="00610B1B">
        <w:rPr>
          <w:rFonts w:ascii="Times New Roman" w:eastAsia="Times New Roman" w:hAnsi="Times New Roman" w:cs="Times New Roman"/>
          <w:sz w:val="24"/>
          <w:szCs w:val="24"/>
          <w:lang w:val="bg-BG"/>
        </w:rPr>
        <w:t xml:space="preserve"> век и </w:t>
      </w:r>
      <w:r w:rsidR="002915C2" w:rsidRPr="00610B1B">
        <w:rPr>
          <w:rFonts w:ascii="Times New Roman" w:eastAsia="Times New Roman" w:hAnsi="Times New Roman" w:cs="Times New Roman"/>
          <w:sz w:val="24"/>
          <w:szCs w:val="24"/>
          <w:lang w:val="bg-BG"/>
        </w:rPr>
        <w:t>XIII</w:t>
      </w:r>
      <w:r w:rsidRPr="00610B1B">
        <w:rPr>
          <w:rFonts w:ascii="Times New Roman" w:eastAsia="Times New Roman" w:hAnsi="Times New Roman" w:cs="Times New Roman"/>
          <w:sz w:val="24"/>
          <w:szCs w:val="24"/>
          <w:lang w:val="bg-BG"/>
        </w:rPr>
        <w:t xml:space="preserve"> – </w:t>
      </w:r>
      <w:r w:rsidR="002915C2" w:rsidRPr="00610B1B">
        <w:rPr>
          <w:rFonts w:ascii="Times New Roman" w:eastAsia="Times New Roman" w:hAnsi="Times New Roman" w:cs="Times New Roman"/>
          <w:sz w:val="24"/>
          <w:szCs w:val="24"/>
          <w:lang w:val="bg-BG"/>
        </w:rPr>
        <w:t>XIV</w:t>
      </w:r>
      <w:r w:rsidRPr="00610B1B">
        <w:rPr>
          <w:rFonts w:ascii="Times New Roman" w:eastAsia="Times New Roman" w:hAnsi="Times New Roman" w:cs="Times New Roman"/>
          <w:sz w:val="24"/>
          <w:szCs w:val="24"/>
          <w:lang w:val="bg-BG"/>
        </w:rPr>
        <w:t xml:space="preserve"> век), 20 османски типове (</w:t>
      </w:r>
      <w:r w:rsidR="002915C2" w:rsidRPr="00610B1B">
        <w:rPr>
          <w:rFonts w:ascii="Times New Roman" w:eastAsia="Times New Roman" w:hAnsi="Times New Roman" w:cs="Times New Roman"/>
          <w:sz w:val="24"/>
          <w:szCs w:val="24"/>
          <w:lang w:val="bg-BG"/>
        </w:rPr>
        <w:t>XVII</w:t>
      </w:r>
      <w:r w:rsidRPr="00610B1B">
        <w:rPr>
          <w:rFonts w:ascii="Times New Roman" w:eastAsia="Times New Roman" w:hAnsi="Times New Roman" w:cs="Times New Roman"/>
          <w:sz w:val="24"/>
          <w:szCs w:val="24"/>
          <w:lang w:val="bg-BG"/>
        </w:rPr>
        <w:t xml:space="preserve"> – </w:t>
      </w:r>
      <w:r w:rsidR="002915C2" w:rsidRPr="00610B1B">
        <w:rPr>
          <w:rFonts w:ascii="Times New Roman" w:eastAsia="Times New Roman" w:hAnsi="Times New Roman" w:cs="Times New Roman"/>
          <w:sz w:val="24"/>
          <w:szCs w:val="24"/>
          <w:lang w:val="bg-BG"/>
        </w:rPr>
        <w:t>XIX</w:t>
      </w:r>
      <w:r w:rsidRPr="00610B1B">
        <w:rPr>
          <w:rFonts w:ascii="Times New Roman" w:eastAsia="Times New Roman" w:hAnsi="Times New Roman" w:cs="Times New Roman"/>
          <w:sz w:val="24"/>
          <w:szCs w:val="24"/>
          <w:lang w:val="bg-BG"/>
        </w:rPr>
        <w:t xml:space="preserve"> век), 16 големи гребно-ветроходни лодки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w:t>
      </w:r>
      <w:r w:rsidR="002915C2" w:rsidRPr="00610B1B">
        <w:rPr>
          <w:rFonts w:ascii="Times New Roman" w:eastAsia="Times New Roman" w:hAnsi="Times New Roman" w:cs="Times New Roman"/>
          <w:sz w:val="24"/>
          <w:szCs w:val="24"/>
          <w:lang w:val="bg-BG"/>
        </w:rPr>
        <w:t xml:space="preserve">XVIII </w:t>
      </w:r>
      <w:r w:rsidRPr="00610B1B">
        <w:rPr>
          <w:rFonts w:ascii="Times New Roman" w:eastAsia="Times New Roman" w:hAnsi="Times New Roman" w:cs="Times New Roman"/>
          <w:sz w:val="24"/>
          <w:szCs w:val="24"/>
          <w:lang w:val="bg-BG"/>
        </w:rPr>
        <w:t xml:space="preserve">век), 7 западноевропейски типове кораби от </w:t>
      </w:r>
      <w:r w:rsidR="002915C2" w:rsidRPr="00610B1B">
        <w:rPr>
          <w:rFonts w:ascii="Times New Roman" w:eastAsia="Times New Roman" w:hAnsi="Times New Roman" w:cs="Times New Roman"/>
          <w:sz w:val="24"/>
          <w:szCs w:val="24"/>
          <w:lang w:val="bg-BG"/>
        </w:rPr>
        <w:t xml:space="preserve">XVIII </w:t>
      </w:r>
      <w:r w:rsidRPr="00610B1B">
        <w:rPr>
          <w:rFonts w:ascii="Times New Roman" w:eastAsia="Times New Roman" w:hAnsi="Times New Roman" w:cs="Times New Roman"/>
          <w:sz w:val="24"/>
          <w:szCs w:val="24"/>
          <w:lang w:val="bg-BG"/>
        </w:rPr>
        <w:t>-</w:t>
      </w:r>
      <w:r w:rsidR="002915C2" w:rsidRPr="00610B1B">
        <w:rPr>
          <w:rFonts w:ascii="Times New Roman" w:eastAsia="Times New Roman" w:hAnsi="Times New Roman" w:cs="Times New Roman"/>
          <w:sz w:val="24"/>
          <w:szCs w:val="24"/>
          <w:lang w:val="bg-BG"/>
        </w:rPr>
        <w:t xml:space="preserve"> XIX</w:t>
      </w:r>
      <w:r w:rsidRPr="00610B1B">
        <w:rPr>
          <w:rFonts w:ascii="Times New Roman" w:eastAsia="Times New Roman" w:hAnsi="Times New Roman" w:cs="Times New Roman"/>
          <w:sz w:val="24"/>
          <w:szCs w:val="24"/>
          <w:lang w:val="bg-BG"/>
        </w:rPr>
        <w:t xml:space="preserve"> век</w:t>
      </w:r>
      <w:r w:rsidRPr="00610B1B">
        <w:rPr>
          <w:rFonts w:ascii="Times New Roman" w:eastAsia="Times New Roman" w:hAnsi="Times New Roman" w:cs="Times New Roman"/>
          <w:color w:val="0000FF"/>
          <w:sz w:val="24"/>
          <w:szCs w:val="24"/>
          <w:lang w:val="bg-BG"/>
        </w:rPr>
        <w:t>.</w:t>
      </w:r>
    </w:p>
    <w:p w14:paraId="042C6C02" w14:textId="2562D464"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lastRenderedPageBreak/>
        <w:t xml:space="preserve">Анализът на данните от MAP Black Sea показва, че в двете зони (северна и южна) има сходна гъстота на корабокрушенията от около 1 корабокрушение на 4 </w:t>
      </w:r>
      <w:r w:rsidR="002915C2" w:rsidRPr="00610B1B">
        <w:rPr>
          <w:rFonts w:ascii="Times New Roman" w:eastAsia="Times New Roman" w:hAnsi="Times New Roman" w:cs="Times New Roman"/>
          <w:sz w:val="24"/>
          <w:szCs w:val="24"/>
          <w:lang w:val="bg-BG"/>
        </w:rPr>
        <w:t>km</w:t>
      </w:r>
      <w:r w:rsidR="002915C2" w:rsidRPr="00610B1B">
        <w:rPr>
          <w:rFonts w:ascii="Times New Roman" w:eastAsia="Times New Roman" w:hAnsi="Times New Roman" w:cs="Times New Roman"/>
          <w:sz w:val="24"/>
          <w:szCs w:val="24"/>
          <w:vertAlign w:val="superscript"/>
          <w:lang w:val="bg-BG"/>
        </w:rPr>
        <w:t>2</w:t>
      </w:r>
      <w:r w:rsidR="002915C2"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Броят и хронологичното разпределение на регистрираните корабокрушения кореспондира с известното от историческите извори </w:t>
      </w:r>
      <w:r w:rsidR="00033AA4" w:rsidRPr="00610B1B">
        <w:rPr>
          <w:rFonts w:ascii="Times New Roman" w:eastAsia="Times New Roman" w:hAnsi="Times New Roman" w:cs="Times New Roman"/>
          <w:sz w:val="24"/>
          <w:szCs w:val="24"/>
          <w:lang w:val="bg-BG"/>
        </w:rPr>
        <w:t>за</w:t>
      </w:r>
      <w:r w:rsidRPr="00610B1B">
        <w:rPr>
          <w:rFonts w:ascii="Times New Roman" w:eastAsia="Times New Roman" w:hAnsi="Times New Roman" w:cs="Times New Roman"/>
          <w:sz w:val="24"/>
          <w:szCs w:val="24"/>
          <w:lang w:val="bg-BG"/>
        </w:rPr>
        <w:t xml:space="preserve"> морската икономическа активност в съответните периоди. Поради това данните от </w:t>
      </w:r>
      <w:r w:rsidR="002915C2" w:rsidRPr="00610B1B">
        <w:rPr>
          <w:rFonts w:ascii="Times New Roman" w:eastAsia="Times New Roman" w:hAnsi="Times New Roman" w:cs="Times New Roman"/>
          <w:sz w:val="24"/>
          <w:szCs w:val="24"/>
          <w:lang w:val="bg-BG"/>
        </w:rPr>
        <w:t>проекта</w:t>
      </w:r>
      <w:r w:rsidRPr="00610B1B">
        <w:rPr>
          <w:rFonts w:ascii="Times New Roman" w:eastAsia="Times New Roman" w:hAnsi="Times New Roman" w:cs="Times New Roman"/>
          <w:sz w:val="24"/>
          <w:szCs w:val="24"/>
          <w:lang w:val="bg-BG"/>
        </w:rPr>
        <w:t xml:space="preserve"> могат да се използват за обща оценка на очакваното количество и разпределението на корабокрушенията в обхвата на </w:t>
      </w:r>
      <w:r w:rsidR="002915C2" w:rsidRPr="00610B1B">
        <w:rPr>
          <w:rFonts w:ascii="Times New Roman" w:eastAsia="Times New Roman" w:hAnsi="Times New Roman" w:cs="Times New Roman"/>
          <w:sz w:val="24"/>
          <w:szCs w:val="24"/>
          <w:lang w:val="bg-BG"/>
        </w:rPr>
        <w:t>националните морски пространства</w:t>
      </w:r>
      <w:r w:rsidRPr="00610B1B">
        <w:rPr>
          <w:rFonts w:ascii="Times New Roman" w:eastAsia="Times New Roman" w:hAnsi="Times New Roman" w:cs="Times New Roman"/>
          <w:sz w:val="24"/>
          <w:szCs w:val="24"/>
          <w:lang w:val="bg-BG"/>
        </w:rPr>
        <w:t xml:space="preserve">. </w:t>
      </w:r>
    </w:p>
    <w:p w14:paraId="489B8F12" w14:textId="0F05A3DB"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Освен тези корабокрушения</w:t>
      </w:r>
      <w:r w:rsidR="002915C2"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в български води има и редица други останки, които имат хара</w:t>
      </w:r>
      <w:r w:rsidR="002915C2" w:rsidRPr="00610B1B">
        <w:rPr>
          <w:rFonts w:ascii="Times New Roman" w:eastAsia="Times New Roman" w:hAnsi="Times New Roman" w:cs="Times New Roman"/>
          <w:sz w:val="24"/>
          <w:szCs w:val="24"/>
          <w:lang w:val="bg-BG"/>
        </w:rPr>
        <w:t>ктер на войнишки гробове или кои</w:t>
      </w:r>
      <w:r w:rsidRPr="00610B1B">
        <w:rPr>
          <w:rFonts w:ascii="Times New Roman" w:eastAsia="Times New Roman" w:hAnsi="Times New Roman" w:cs="Times New Roman"/>
          <w:sz w:val="24"/>
          <w:szCs w:val="24"/>
          <w:lang w:val="bg-BG"/>
        </w:rPr>
        <w:t>то по смисъла на Конвенцията за</w:t>
      </w:r>
      <w:r w:rsidR="002915C2" w:rsidRPr="00610B1B">
        <w:rPr>
          <w:rFonts w:ascii="Times New Roman" w:eastAsia="Times New Roman" w:hAnsi="Times New Roman" w:cs="Times New Roman"/>
          <w:sz w:val="24"/>
          <w:szCs w:val="24"/>
          <w:lang w:val="bg-BG"/>
        </w:rPr>
        <w:t xml:space="preserve"> опазване на подводното културно наследство</w:t>
      </w:r>
      <w:r w:rsidRPr="00610B1B">
        <w:rPr>
          <w:rFonts w:ascii="Times New Roman" w:eastAsia="Times New Roman" w:hAnsi="Times New Roman" w:cs="Times New Roman"/>
          <w:sz w:val="24"/>
          <w:szCs w:val="24"/>
          <w:lang w:val="bg-BG"/>
        </w:rPr>
        <w:t xml:space="preserve"> също са под закрилата на закона. Това са съветски подводници, потънали в периода ноември 1941 – декември 1942 г.:</w:t>
      </w:r>
      <w:r w:rsidR="002915C2"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Щ 211 източно от Варна, Щ 204 южно от Варна, Щ 210 и Л-24 в района на Шабла. От всички изгубени подводници през Втората световна война засега не е открита само С-34, за която се предполага, че лежи източно–югоизточно от нос Емине. През 2010 години източно от Варна </w:t>
      </w:r>
      <w:r w:rsidR="002915C2" w:rsidRPr="00610B1B">
        <w:rPr>
          <w:rFonts w:ascii="Times New Roman" w:eastAsia="Times New Roman" w:hAnsi="Times New Roman" w:cs="Times New Roman"/>
          <w:sz w:val="24"/>
          <w:szCs w:val="24"/>
          <w:lang w:val="bg-BG"/>
        </w:rPr>
        <w:t>е</w:t>
      </w:r>
      <w:r w:rsidRPr="00610B1B">
        <w:rPr>
          <w:rFonts w:ascii="Times New Roman" w:eastAsia="Times New Roman" w:hAnsi="Times New Roman" w:cs="Times New Roman"/>
          <w:sz w:val="24"/>
          <w:szCs w:val="24"/>
          <w:lang w:val="bg-BG"/>
        </w:rPr>
        <w:t xml:space="preserve"> открита германска подводница от проекта UB-I от времето на Първата световна война. Смята се, че това е подводницата, която е служила под български флаг като Подводник № 18 и която е загубена през 1919 г. при опит да се извлече до Цариград. </w:t>
      </w:r>
    </w:p>
    <w:p w14:paraId="12CC77AA" w14:textId="2A25A3C4"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Освен подводниците в български води се намират и останките на няколко кораба с възраст повече от 50 години: “Мопанг” – Търговски кораб северно от Созопол, “Родина” – търговски</w:t>
      </w:r>
      <w:r w:rsidR="002915C2"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югоизточно от Созопол, “Лейтенант Пушчин” – руски ескадрен миноносец във Варнен</w:t>
      </w:r>
      <w:r w:rsidR="00461059" w:rsidRPr="00610B1B">
        <w:rPr>
          <w:rFonts w:ascii="Times New Roman" w:eastAsia="Times New Roman" w:hAnsi="Times New Roman" w:cs="Times New Roman"/>
          <w:sz w:val="24"/>
          <w:szCs w:val="24"/>
          <w:lang w:val="bg-BG"/>
        </w:rPr>
        <w:t>с</w:t>
      </w:r>
      <w:r w:rsidRPr="00610B1B">
        <w:rPr>
          <w:rFonts w:ascii="Times New Roman" w:eastAsia="Times New Roman" w:hAnsi="Times New Roman" w:cs="Times New Roman"/>
          <w:sz w:val="24"/>
          <w:szCs w:val="24"/>
          <w:lang w:val="bg-BG"/>
        </w:rPr>
        <w:t xml:space="preserve">кия залив и “Сефак” – търговски и пътнически кораб югоизточно от Царево. </w:t>
      </w:r>
    </w:p>
    <w:p w14:paraId="49176B3B" w14:textId="1350F045"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
          <w:sz w:val="24"/>
          <w:szCs w:val="24"/>
          <w:lang w:val="bg-BG"/>
        </w:rPr>
        <w:t>Котви, амфори и други единични находки, позволяващи да се изследва непряко древното ко</w:t>
      </w:r>
      <w:r w:rsidR="002915C2" w:rsidRPr="00610B1B">
        <w:rPr>
          <w:rFonts w:ascii="Times New Roman" w:eastAsia="Times New Roman" w:hAnsi="Times New Roman" w:cs="Times New Roman"/>
          <w:b/>
          <w:sz w:val="24"/>
          <w:szCs w:val="24"/>
          <w:lang w:val="bg-BG"/>
        </w:rPr>
        <w:t>рабоплаване и културни контакти</w:t>
      </w:r>
    </w:p>
    <w:p w14:paraId="2279924C" w14:textId="33C4885E"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Подобни находки се откриват практически по почти цялото българско крайбрежие. През 70-те и 80-те много от тях са извадени и данните за намирането им са загубени. През </w:t>
      </w:r>
      <w:r w:rsidR="00033AA4" w:rsidRPr="00610B1B">
        <w:rPr>
          <w:rFonts w:ascii="Times New Roman" w:eastAsia="Times New Roman" w:hAnsi="Times New Roman" w:cs="Times New Roman"/>
          <w:sz w:val="24"/>
          <w:szCs w:val="24"/>
          <w:lang w:val="bg-BG"/>
        </w:rPr>
        <w:t>19</w:t>
      </w:r>
      <w:r w:rsidRPr="00610B1B">
        <w:rPr>
          <w:rFonts w:ascii="Times New Roman" w:eastAsia="Times New Roman" w:hAnsi="Times New Roman" w:cs="Times New Roman"/>
          <w:sz w:val="24"/>
          <w:szCs w:val="24"/>
          <w:lang w:val="bg-BG"/>
        </w:rPr>
        <w:t>90-те години, с разцвета на рапа</w:t>
      </w:r>
      <w:r w:rsidR="002915C2" w:rsidRPr="00610B1B">
        <w:rPr>
          <w:rFonts w:ascii="Times New Roman" w:eastAsia="Times New Roman" w:hAnsi="Times New Roman" w:cs="Times New Roman"/>
          <w:sz w:val="24"/>
          <w:szCs w:val="24"/>
          <w:lang w:val="bg-BG"/>
        </w:rPr>
        <w:t>н</w:t>
      </w:r>
      <w:r w:rsidRPr="00610B1B">
        <w:rPr>
          <w:rFonts w:ascii="Times New Roman" w:eastAsia="Times New Roman" w:hAnsi="Times New Roman" w:cs="Times New Roman"/>
          <w:sz w:val="24"/>
          <w:szCs w:val="24"/>
          <w:lang w:val="bg-BG"/>
        </w:rPr>
        <w:t>джийството, безконтролното изваждане на археологически материали продълж</w:t>
      </w:r>
      <w:r w:rsidR="00033AA4" w:rsidRPr="00610B1B">
        <w:rPr>
          <w:rFonts w:ascii="Times New Roman" w:eastAsia="Times New Roman" w:hAnsi="Times New Roman" w:cs="Times New Roman"/>
          <w:sz w:val="24"/>
          <w:szCs w:val="24"/>
          <w:lang w:val="bg-BG"/>
        </w:rPr>
        <w:t>ава</w:t>
      </w:r>
      <w:r w:rsidRPr="00610B1B">
        <w:rPr>
          <w:rFonts w:ascii="Times New Roman" w:eastAsia="Times New Roman" w:hAnsi="Times New Roman" w:cs="Times New Roman"/>
          <w:sz w:val="24"/>
          <w:szCs w:val="24"/>
          <w:lang w:val="bg-BG"/>
        </w:rPr>
        <w:t>.</w:t>
      </w:r>
      <w:r w:rsidR="00D66FE0" w:rsidRPr="00610B1B">
        <w:rPr>
          <w:rFonts w:ascii="Times New Roman" w:eastAsia="Times New Roman" w:hAnsi="Times New Roman" w:cs="Times New Roman"/>
          <w:sz w:val="24"/>
          <w:szCs w:val="24"/>
          <w:lang w:val="bg-BG"/>
        </w:rPr>
        <w:t xml:space="preserve"> </w:t>
      </w:r>
      <w:r w:rsidR="00033AA4" w:rsidRPr="00610B1B">
        <w:rPr>
          <w:rFonts w:ascii="Times New Roman" w:eastAsia="Times New Roman" w:hAnsi="Times New Roman" w:cs="Times New Roman"/>
          <w:sz w:val="24"/>
          <w:szCs w:val="24"/>
          <w:lang w:val="bg-BG"/>
        </w:rPr>
        <w:t>По</w:t>
      </w:r>
      <w:r w:rsidRPr="00610B1B">
        <w:rPr>
          <w:rFonts w:ascii="Times New Roman" w:eastAsia="Times New Roman" w:hAnsi="Times New Roman" w:cs="Times New Roman"/>
          <w:sz w:val="24"/>
          <w:szCs w:val="24"/>
          <w:lang w:val="bg-BG"/>
        </w:rPr>
        <w:t>-голямо количество находки са откривани в следните акватории: Шабла, района на древната Кария;</w:t>
      </w:r>
      <w:r w:rsidR="002915C2"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Каварна, районът на нос Чир</w:t>
      </w:r>
      <w:r w:rsidR="002915C2" w:rsidRPr="00610B1B">
        <w:rPr>
          <w:rFonts w:ascii="Times New Roman" w:eastAsia="Times New Roman" w:hAnsi="Times New Roman" w:cs="Times New Roman"/>
          <w:sz w:val="24"/>
          <w:szCs w:val="24"/>
          <w:lang w:val="bg-BG"/>
        </w:rPr>
        <w:t>акман и древната колония Бизоне;</w:t>
      </w:r>
      <w:r w:rsidRPr="00610B1B">
        <w:rPr>
          <w:rFonts w:ascii="Times New Roman" w:eastAsia="Times New Roman" w:hAnsi="Times New Roman" w:cs="Times New Roman"/>
          <w:sz w:val="24"/>
          <w:szCs w:val="24"/>
          <w:lang w:val="bg-BG"/>
        </w:rPr>
        <w:t xml:space="preserve"> Варне</w:t>
      </w:r>
      <w:r w:rsidR="002915C2" w:rsidRPr="00610B1B">
        <w:rPr>
          <w:rFonts w:ascii="Times New Roman" w:eastAsia="Times New Roman" w:hAnsi="Times New Roman" w:cs="Times New Roman"/>
          <w:sz w:val="24"/>
          <w:szCs w:val="24"/>
          <w:lang w:val="bg-BG"/>
        </w:rPr>
        <w:t>н</w:t>
      </w:r>
      <w:r w:rsidRPr="00610B1B">
        <w:rPr>
          <w:rFonts w:ascii="Times New Roman" w:eastAsia="Times New Roman" w:hAnsi="Times New Roman" w:cs="Times New Roman"/>
          <w:sz w:val="24"/>
          <w:szCs w:val="24"/>
          <w:lang w:val="bg-BG"/>
        </w:rPr>
        <w:t>ски залив в района на пристанището; Несебър, от северната и южната страна на полуострова</w:t>
      </w:r>
      <w:r w:rsidR="00033AA4" w:rsidRPr="00610B1B">
        <w:rPr>
          <w:rFonts w:ascii="Times New Roman" w:eastAsia="Times New Roman" w:hAnsi="Times New Roman" w:cs="Times New Roman"/>
          <w:sz w:val="24"/>
          <w:szCs w:val="24"/>
          <w:lang w:val="bg-BG"/>
        </w:rPr>
        <w:t xml:space="preserve"> около</w:t>
      </w:r>
      <w:r w:rsidRPr="00610B1B">
        <w:rPr>
          <w:rFonts w:ascii="Times New Roman" w:eastAsia="Times New Roman" w:hAnsi="Times New Roman" w:cs="Times New Roman"/>
          <w:sz w:val="24"/>
          <w:szCs w:val="24"/>
          <w:lang w:val="bg-BG"/>
        </w:rPr>
        <w:t xml:space="preserve"> пристанището; Поморие, източно от полуострова; Созопол, Маслен нос и цялата акватория южно от него.</w:t>
      </w:r>
    </w:p>
    <w:p w14:paraId="15B03E97" w14:textId="77777777" w:rsidR="009907CE" w:rsidRPr="00610B1B" w:rsidRDefault="009907CE" w:rsidP="00D32D6A">
      <w:pPr>
        <w:spacing w:after="120"/>
        <w:ind w:right="-153"/>
        <w:jc w:val="both"/>
        <w:rPr>
          <w:rFonts w:ascii="Times New Roman" w:eastAsia="Times New Roman" w:hAnsi="Times New Roman" w:cs="Times New Roman"/>
          <w:sz w:val="24"/>
          <w:szCs w:val="24"/>
          <w:lang w:val="bg-BG"/>
        </w:rPr>
      </w:pPr>
    </w:p>
    <w:p w14:paraId="2CEE3B9C" w14:textId="08FB3BC0"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
          <w:sz w:val="24"/>
          <w:szCs w:val="24"/>
          <w:lang w:val="bg-BG"/>
        </w:rPr>
        <w:t>Древни прист</w:t>
      </w:r>
      <w:r w:rsidR="002915C2" w:rsidRPr="00610B1B">
        <w:rPr>
          <w:rFonts w:ascii="Times New Roman" w:eastAsia="Times New Roman" w:hAnsi="Times New Roman" w:cs="Times New Roman"/>
          <w:b/>
          <w:sz w:val="24"/>
          <w:szCs w:val="24"/>
          <w:lang w:val="bg-BG"/>
        </w:rPr>
        <w:t>анища и</w:t>
      </w:r>
      <w:r w:rsidR="00D66FE0" w:rsidRPr="00610B1B">
        <w:rPr>
          <w:rFonts w:ascii="Times New Roman" w:eastAsia="Times New Roman" w:hAnsi="Times New Roman" w:cs="Times New Roman"/>
          <w:b/>
          <w:sz w:val="24"/>
          <w:szCs w:val="24"/>
          <w:lang w:val="bg-BG"/>
        </w:rPr>
        <w:t xml:space="preserve"> </w:t>
      </w:r>
      <w:r w:rsidR="002915C2" w:rsidRPr="00610B1B">
        <w:rPr>
          <w:rFonts w:ascii="Times New Roman" w:eastAsia="Times New Roman" w:hAnsi="Times New Roman" w:cs="Times New Roman"/>
          <w:b/>
          <w:sz w:val="24"/>
          <w:szCs w:val="24"/>
          <w:lang w:val="bg-BG"/>
        </w:rPr>
        <w:t>пристанищни съоръжения</w:t>
      </w:r>
    </w:p>
    <w:p w14:paraId="06023272" w14:textId="2E098973"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Подобни съоръжения са документирани в </w:t>
      </w:r>
      <w:r w:rsidR="002915C2" w:rsidRPr="00610B1B">
        <w:rPr>
          <w:rFonts w:ascii="Times New Roman" w:eastAsia="Times New Roman" w:hAnsi="Times New Roman" w:cs="Times New Roman"/>
          <w:sz w:val="24"/>
          <w:szCs w:val="24"/>
          <w:lang w:val="bg-BG"/>
        </w:rPr>
        <w:t>няколко морски акватории - п</w:t>
      </w:r>
      <w:r w:rsidRPr="00610B1B">
        <w:rPr>
          <w:rFonts w:ascii="Times New Roman" w:eastAsia="Times New Roman" w:hAnsi="Times New Roman" w:cs="Times New Roman"/>
          <w:sz w:val="24"/>
          <w:szCs w:val="24"/>
          <w:lang w:val="bg-BG"/>
        </w:rPr>
        <w:t>ристанището на древната Кария в зоната на естествен риф източно от естакадата и фара на Шабла</w:t>
      </w:r>
      <w:r w:rsidR="002915C2" w:rsidRPr="00610B1B">
        <w:rPr>
          <w:rFonts w:ascii="Times New Roman" w:eastAsia="Times New Roman" w:hAnsi="Times New Roman" w:cs="Times New Roman"/>
          <w:sz w:val="24"/>
          <w:szCs w:val="24"/>
          <w:lang w:val="bg-BG"/>
        </w:rPr>
        <w:t xml:space="preserve"> и</w:t>
      </w:r>
      <w:r w:rsidRPr="00610B1B">
        <w:rPr>
          <w:rFonts w:ascii="Times New Roman" w:eastAsia="Times New Roman" w:hAnsi="Times New Roman" w:cs="Times New Roman"/>
          <w:sz w:val="24"/>
          <w:szCs w:val="24"/>
          <w:lang w:val="bg-BG"/>
        </w:rPr>
        <w:t xml:space="preserve"> </w:t>
      </w:r>
      <w:r w:rsidR="002915C2" w:rsidRPr="00610B1B">
        <w:rPr>
          <w:rFonts w:ascii="Times New Roman" w:eastAsia="Times New Roman" w:hAnsi="Times New Roman" w:cs="Times New Roman"/>
          <w:sz w:val="24"/>
          <w:szCs w:val="24"/>
          <w:lang w:val="bg-BG"/>
        </w:rPr>
        <w:t xml:space="preserve">пристанището </w:t>
      </w:r>
      <w:r w:rsidRPr="00610B1B">
        <w:rPr>
          <w:rFonts w:ascii="Times New Roman" w:eastAsia="Times New Roman" w:hAnsi="Times New Roman" w:cs="Times New Roman"/>
          <w:sz w:val="24"/>
          <w:szCs w:val="24"/>
          <w:lang w:val="bg-BG"/>
        </w:rPr>
        <w:t xml:space="preserve">на Бизоне в залива на Каварна. При строителството на съвременното пристанище на Варна са регистрирани структури и находки, които са интерпретирани като останки от древното пристанище на Одесос. В района на Карантината на южния бряг на Варненския залив са регистрирани находки, които вероятно маркират малък пристан, функционирал през Късната античност и Средновековието. Пристанищата на Месембрия са локализирани от южната страна на полуострова. Част от откритите структури под вода </w:t>
      </w:r>
      <w:r w:rsidRPr="00610B1B">
        <w:rPr>
          <w:rFonts w:ascii="Times New Roman" w:eastAsia="Times New Roman" w:hAnsi="Times New Roman" w:cs="Times New Roman"/>
          <w:sz w:val="24"/>
          <w:szCs w:val="24"/>
          <w:lang w:val="bg-BG"/>
        </w:rPr>
        <w:lastRenderedPageBreak/>
        <w:t>се свързват с изграждане на съоръжения на древните пристанища. Древното пристанището на Анхиало е затлачено през късноримския период и днес се намира изцяло на сушата в чертите на съвременния град Поморие. Две антични пристанища са локализирани в района на нос Акра северно от гр. Черноморец. Историческото пристанище на Созопол се намира в рамките на съвременното, между полуостров Скамни и остров Св. Св. Кирик и Юлита. Маркирано е от богати находки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от края на </w:t>
      </w:r>
      <w:r w:rsidR="004530E1" w:rsidRPr="00610B1B">
        <w:rPr>
          <w:rFonts w:ascii="Times New Roman" w:eastAsia="Times New Roman" w:hAnsi="Times New Roman" w:cs="Times New Roman"/>
          <w:sz w:val="24"/>
          <w:szCs w:val="24"/>
          <w:lang w:val="bg-BG"/>
        </w:rPr>
        <w:t>VII</w:t>
      </w:r>
      <w:r w:rsidRPr="00610B1B">
        <w:rPr>
          <w:rFonts w:ascii="Times New Roman" w:eastAsia="Times New Roman" w:hAnsi="Times New Roman" w:cs="Times New Roman"/>
          <w:sz w:val="24"/>
          <w:szCs w:val="24"/>
          <w:lang w:val="bg-BG"/>
        </w:rPr>
        <w:t xml:space="preserve"> век пр. Хр.</w:t>
      </w:r>
      <w:r w:rsidR="004530E1"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до османския период. В този период е функционирало и </w:t>
      </w:r>
      <w:r w:rsidR="00BB78A1" w:rsidRPr="00610B1B">
        <w:rPr>
          <w:rFonts w:ascii="Times New Roman" w:eastAsia="Times New Roman" w:hAnsi="Times New Roman" w:cs="Times New Roman"/>
          <w:sz w:val="24"/>
          <w:szCs w:val="24"/>
          <w:lang w:val="bg-BG"/>
        </w:rPr>
        <w:t>пристанището</w:t>
      </w:r>
      <w:r w:rsidRPr="00610B1B">
        <w:rPr>
          <w:rFonts w:ascii="Times New Roman" w:eastAsia="Times New Roman" w:hAnsi="Times New Roman" w:cs="Times New Roman"/>
          <w:sz w:val="24"/>
          <w:szCs w:val="24"/>
          <w:lang w:val="bg-BG"/>
        </w:rPr>
        <w:t xml:space="preserve"> в залива пред устието на р. Ропотамо. Пристанище е локализирано и в залива южно от Маслен нос. Отделни малки пристани са идентифицирани в почти всички защитени заливи на юг от Маслен нос. </w:t>
      </w:r>
    </w:p>
    <w:p w14:paraId="1D55F8D0" w14:textId="7833EC07" w:rsidR="00442579" w:rsidRPr="00610B1B" w:rsidRDefault="00442579" w:rsidP="00D32D6A">
      <w:pPr>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b/>
          <w:sz w:val="24"/>
          <w:szCs w:val="24"/>
          <w:lang w:val="bg-BG"/>
        </w:rPr>
        <w:t xml:space="preserve">Потопени под нивото на морето селища, структури и съоръжения, които първоначално са били изградени на брега. </w:t>
      </w:r>
    </w:p>
    <w:p w14:paraId="0636FC49" w14:textId="161D3DEB"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Тази категория обекти е специфична за Черно море, което, поради затворения си характер, е претърпяло големи промени на бреговата линия в последните 10 000 години. Установено е, че бреговата линия в края на последния ледников период е била по днешната 30-40 </w:t>
      </w:r>
      <w:r w:rsidR="004530E1"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изобата. Констатирано е, че през </w:t>
      </w:r>
      <w:r w:rsidR="004530E1" w:rsidRPr="00610B1B">
        <w:rPr>
          <w:rFonts w:ascii="Times New Roman" w:eastAsia="Times New Roman" w:hAnsi="Times New Roman" w:cs="Times New Roman"/>
          <w:sz w:val="24"/>
          <w:szCs w:val="24"/>
          <w:lang w:val="bg-BG"/>
        </w:rPr>
        <w:t>V</w:t>
      </w:r>
      <w:r w:rsidRPr="00610B1B">
        <w:rPr>
          <w:rFonts w:ascii="Times New Roman" w:eastAsia="Times New Roman" w:hAnsi="Times New Roman" w:cs="Times New Roman"/>
          <w:sz w:val="24"/>
          <w:szCs w:val="24"/>
          <w:lang w:val="bg-BG"/>
        </w:rPr>
        <w:t xml:space="preserve"> хил. пр. </w:t>
      </w:r>
      <w:r w:rsidR="004530E1" w:rsidRPr="00610B1B">
        <w:rPr>
          <w:rFonts w:ascii="Times New Roman" w:eastAsia="Times New Roman" w:hAnsi="Times New Roman" w:cs="Times New Roman"/>
          <w:sz w:val="24"/>
          <w:szCs w:val="24"/>
          <w:lang w:val="bg-BG"/>
        </w:rPr>
        <w:t xml:space="preserve">Xp. </w:t>
      </w:r>
      <w:r w:rsidRPr="00610B1B">
        <w:rPr>
          <w:rFonts w:ascii="Times New Roman" w:eastAsia="Times New Roman" w:hAnsi="Times New Roman" w:cs="Times New Roman"/>
          <w:sz w:val="24"/>
          <w:szCs w:val="24"/>
          <w:lang w:val="bg-BG"/>
        </w:rPr>
        <w:t xml:space="preserve">нивото на морето по българския бряг на Черно море е около 6-7 </w:t>
      </w:r>
      <w:r w:rsidR="004530E1"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по-ниско от настоящето. Тази обща картина означава, че в зоната между 30-40 </w:t>
      </w:r>
      <w:r w:rsidR="004530E1"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изобата и днешния бряг, могат да се очакват селища и други археологически структури от праисторията. По-голяма част от известните обекти КН от тази категория са датирана в края на V хил. пр. Хр. или към IV-III хил. пр. Хр., но поради динамика</w:t>
      </w:r>
      <w:r w:rsidR="004530E1" w:rsidRPr="00610B1B">
        <w:rPr>
          <w:rFonts w:ascii="Times New Roman" w:eastAsia="Times New Roman" w:hAnsi="Times New Roman" w:cs="Times New Roman"/>
          <w:sz w:val="24"/>
          <w:szCs w:val="24"/>
          <w:lang w:val="bg-BG"/>
        </w:rPr>
        <w:t>та</w:t>
      </w:r>
      <w:r w:rsidRPr="00610B1B">
        <w:rPr>
          <w:rFonts w:ascii="Times New Roman" w:eastAsia="Times New Roman" w:hAnsi="Times New Roman" w:cs="Times New Roman"/>
          <w:sz w:val="24"/>
          <w:szCs w:val="24"/>
          <w:lang w:val="bg-BG"/>
        </w:rPr>
        <w:t xml:space="preserve"> на нивото на морето, има всички основания да се очакват и по-ранни материали. </w:t>
      </w:r>
    </w:p>
    <w:p w14:paraId="7A444A28" w14:textId="77777777" w:rsidR="004530E1"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
          <w:i/>
          <w:sz w:val="24"/>
          <w:szCs w:val="24"/>
          <w:lang w:val="bg-BG"/>
        </w:rPr>
        <w:t>Праисторически селищ</w:t>
      </w:r>
      <w:r w:rsidR="004530E1" w:rsidRPr="00610B1B">
        <w:rPr>
          <w:rFonts w:ascii="Times New Roman" w:eastAsia="Times New Roman" w:hAnsi="Times New Roman" w:cs="Times New Roman"/>
          <w:b/>
          <w:i/>
          <w:sz w:val="24"/>
          <w:szCs w:val="24"/>
          <w:lang w:val="bg-BG"/>
        </w:rPr>
        <w:t xml:space="preserve">а и обекти северно от нос Емине </w:t>
      </w:r>
      <w:r w:rsidRPr="00610B1B">
        <w:rPr>
          <w:rFonts w:ascii="Times New Roman" w:eastAsia="Times New Roman" w:hAnsi="Times New Roman" w:cs="Times New Roman"/>
          <w:sz w:val="24"/>
          <w:szCs w:val="24"/>
          <w:lang w:val="bg-BG"/>
        </w:rPr>
        <w:t xml:space="preserve">са регистрирани и документирани </w:t>
      </w:r>
      <w:r w:rsidR="004530E1" w:rsidRPr="00610B1B">
        <w:rPr>
          <w:rFonts w:ascii="Times New Roman" w:eastAsia="Times New Roman" w:hAnsi="Times New Roman" w:cs="Times New Roman"/>
          <w:sz w:val="24"/>
          <w:szCs w:val="24"/>
          <w:lang w:val="bg-BG"/>
        </w:rPr>
        <w:t xml:space="preserve">в </w:t>
      </w:r>
      <w:r w:rsidRPr="00610B1B">
        <w:rPr>
          <w:rFonts w:ascii="Times New Roman" w:eastAsia="Times New Roman" w:hAnsi="Times New Roman" w:cs="Times New Roman"/>
          <w:sz w:val="24"/>
          <w:szCs w:val="24"/>
          <w:lang w:val="bg-BG"/>
        </w:rPr>
        <w:t xml:space="preserve">акваторията </w:t>
      </w:r>
      <w:r w:rsidR="004530E1" w:rsidRPr="00610B1B">
        <w:rPr>
          <w:rFonts w:ascii="Times New Roman" w:eastAsia="Times New Roman" w:hAnsi="Times New Roman" w:cs="Times New Roman"/>
          <w:sz w:val="24"/>
          <w:szCs w:val="24"/>
          <w:lang w:val="bg-BG"/>
        </w:rPr>
        <w:t>на следните места:</w:t>
      </w:r>
    </w:p>
    <w:p w14:paraId="19FDF777" w14:textId="465FEA58" w:rsidR="004530E1" w:rsidRPr="00610B1B" w:rsidRDefault="00442579" w:rsidP="00B46189">
      <w:pPr>
        <w:pStyle w:val="ListParagraph"/>
        <w:numPr>
          <w:ilvl w:val="0"/>
          <w:numId w:val="41"/>
        </w:numPr>
        <w:spacing w:after="120"/>
        <w:ind w:left="284" w:right="-153" w:hanging="284"/>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източно от </w:t>
      </w:r>
      <w:r w:rsidR="00BB78A1" w:rsidRPr="00610B1B">
        <w:rPr>
          <w:rFonts w:ascii="Times New Roman" w:eastAsia="Times New Roman" w:hAnsi="Times New Roman" w:cs="Times New Roman"/>
          <w:sz w:val="24"/>
          <w:szCs w:val="24"/>
          <w:lang w:val="bg-BG"/>
        </w:rPr>
        <w:t>Дуранкулашкото</w:t>
      </w:r>
      <w:r w:rsidRPr="00610B1B">
        <w:rPr>
          <w:rFonts w:ascii="Times New Roman" w:eastAsia="Times New Roman" w:hAnsi="Times New Roman" w:cs="Times New Roman"/>
          <w:sz w:val="24"/>
          <w:szCs w:val="24"/>
          <w:lang w:val="bg-BG"/>
        </w:rPr>
        <w:t xml:space="preserve"> езеро </w:t>
      </w:r>
      <w:r w:rsidR="004530E1"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топографска форма</w:t>
      </w:r>
      <w:r w:rsidR="00A55C29" w:rsidRPr="00610B1B">
        <w:rPr>
          <w:rFonts w:ascii="Times New Roman" w:eastAsia="Times New Roman" w:hAnsi="Times New Roman" w:cs="Times New Roman"/>
          <w:sz w:val="24"/>
          <w:szCs w:val="24"/>
          <w:lang w:val="bg-BG"/>
        </w:rPr>
        <w:t xml:space="preserve"> с </w:t>
      </w:r>
      <w:r w:rsidRPr="00610B1B">
        <w:rPr>
          <w:rFonts w:ascii="Times New Roman" w:eastAsia="Times New Roman" w:hAnsi="Times New Roman" w:cs="Times New Roman"/>
          <w:sz w:val="24"/>
          <w:szCs w:val="24"/>
          <w:lang w:val="bg-BG"/>
        </w:rPr>
        <w:t>размери на селищна могила;</w:t>
      </w:r>
    </w:p>
    <w:p w14:paraId="3442DACC" w14:textId="65DFA133" w:rsidR="004530E1" w:rsidRPr="00610B1B" w:rsidRDefault="004530E1" w:rsidP="00B46189">
      <w:pPr>
        <w:pStyle w:val="ListParagraph"/>
        <w:numPr>
          <w:ilvl w:val="0"/>
          <w:numId w:val="41"/>
        </w:numPr>
        <w:spacing w:after="120"/>
        <w:ind w:left="284" w:right="-153" w:hanging="284"/>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в</w:t>
      </w:r>
      <w:r w:rsidR="00442579" w:rsidRPr="00610B1B">
        <w:rPr>
          <w:rFonts w:ascii="Times New Roman" w:eastAsia="Times New Roman" w:hAnsi="Times New Roman" w:cs="Times New Roman"/>
          <w:sz w:val="24"/>
          <w:szCs w:val="24"/>
          <w:lang w:val="bg-BG"/>
        </w:rPr>
        <w:t xml:space="preserve"> Дуранкулашкото езеро, източно от праисторическия некропол са откривани находки, които свидетелстват, че некрополът про</w:t>
      </w:r>
      <w:r w:rsidRPr="00610B1B">
        <w:rPr>
          <w:rFonts w:ascii="Times New Roman" w:eastAsia="Times New Roman" w:hAnsi="Times New Roman" w:cs="Times New Roman"/>
          <w:sz w:val="24"/>
          <w:szCs w:val="24"/>
          <w:lang w:val="bg-BG"/>
        </w:rPr>
        <w:t>дължава и под водите на езерото;</w:t>
      </w:r>
    </w:p>
    <w:p w14:paraId="2143C7EF" w14:textId="77777777" w:rsidR="004530E1" w:rsidRPr="00610B1B" w:rsidRDefault="004530E1" w:rsidP="00B46189">
      <w:pPr>
        <w:pStyle w:val="ListParagraph"/>
        <w:numPr>
          <w:ilvl w:val="0"/>
          <w:numId w:val="41"/>
        </w:numPr>
        <w:spacing w:after="120"/>
        <w:ind w:left="284" w:right="-153" w:hanging="284"/>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в</w:t>
      </w:r>
      <w:r w:rsidR="00442579" w:rsidRPr="00610B1B">
        <w:rPr>
          <w:rFonts w:ascii="Times New Roman" w:eastAsia="Times New Roman" w:hAnsi="Times New Roman" w:cs="Times New Roman"/>
          <w:sz w:val="24"/>
          <w:szCs w:val="24"/>
          <w:lang w:val="bg-BG"/>
        </w:rPr>
        <w:t xml:space="preserve"> акваторията на Шабла, северно от къмпинг „Добруджа” са открити 2 погребения под вода на дълбочина 3-4 </w:t>
      </w:r>
      <w:r w:rsidRPr="00610B1B">
        <w:rPr>
          <w:rFonts w:ascii="Times New Roman" w:eastAsia="Times New Roman" w:hAnsi="Times New Roman" w:cs="Times New Roman"/>
          <w:sz w:val="24"/>
          <w:szCs w:val="24"/>
          <w:lang w:val="bg-BG"/>
        </w:rPr>
        <w:t>m, които</w:t>
      </w:r>
      <w:r w:rsidR="00442579" w:rsidRPr="00610B1B">
        <w:rPr>
          <w:rFonts w:ascii="Times New Roman" w:eastAsia="Times New Roman" w:hAnsi="Times New Roman" w:cs="Times New Roman"/>
          <w:sz w:val="24"/>
          <w:szCs w:val="24"/>
          <w:lang w:val="bg-BG"/>
        </w:rPr>
        <w:t xml:space="preserve"> маркират залят праисторически некропол; </w:t>
      </w:r>
    </w:p>
    <w:p w14:paraId="4D65FCAE" w14:textId="525336C3" w:rsidR="004530E1" w:rsidRPr="00610B1B" w:rsidRDefault="004530E1" w:rsidP="00B46189">
      <w:pPr>
        <w:pStyle w:val="ListParagraph"/>
        <w:numPr>
          <w:ilvl w:val="0"/>
          <w:numId w:val="41"/>
        </w:numPr>
        <w:spacing w:after="120"/>
        <w:ind w:left="284" w:right="-153" w:hanging="284"/>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в</w:t>
      </w:r>
      <w:r w:rsidR="00442579" w:rsidRPr="00610B1B">
        <w:rPr>
          <w:rFonts w:ascii="Times New Roman" w:eastAsia="Times New Roman" w:hAnsi="Times New Roman" w:cs="Times New Roman"/>
          <w:sz w:val="24"/>
          <w:szCs w:val="24"/>
          <w:lang w:val="bg-BG"/>
        </w:rPr>
        <w:t xml:space="preserve"> ак</w:t>
      </w:r>
      <w:r w:rsidRPr="00610B1B">
        <w:rPr>
          <w:rFonts w:ascii="Times New Roman" w:eastAsia="Times New Roman" w:hAnsi="Times New Roman" w:cs="Times New Roman"/>
          <w:sz w:val="24"/>
          <w:szCs w:val="24"/>
          <w:lang w:val="bg-BG"/>
        </w:rPr>
        <w:t xml:space="preserve">ваторията на </w:t>
      </w:r>
      <w:r w:rsidR="00BB78A1" w:rsidRPr="00610B1B">
        <w:rPr>
          <w:rFonts w:ascii="Times New Roman" w:eastAsia="Times New Roman" w:hAnsi="Times New Roman" w:cs="Times New Roman"/>
          <w:sz w:val="24"/>
          <w:szCs w:val="24"/>
          <w:lang w:val="bg-BG"/>
        </w:rPr>
        <w:t>Варненското</w:t>
      </w:r>
      <w:r w:rsidRPr="00610B1B">
        <w:rPr>
          <w:rFonts w:ascii="Times New Roman" w:eastAsia="Times New Roman" w:hAnsi="Times New Roman" w:cs="Times New Roman"/>
          <w:sz w:val="24"/>
          <w:szCs w:val="24"/>
          <w:lang w:val="bg-BG"/>
        </w:rPr>
        <w:t xml:space="preserve"> и Белосл</w:t>
      </w:r>
      <w:r w:rsidR="00442579"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в</w:t>
      </w:r>
      <w:r w:rsidR="00442579" w:rsidRPr="00610B1B">
        <w:rPr>
          <w:rFonts w:ascii="Times New Roman" w:eastAsia="Times New Roman" w:hAnsi="Times New Roman" w:cs="Times New Roman"/>
          <w:sz w:val="24"/>
          <w:szCs w:val="24"/>
          <w:lang w:val="bg-BG"/>
        </w:rPr>
        <w:t>ското езера, при строителни работи, са открити и частично разрушени около 13 праисторически селища от късния халколит и ранната бронзова епоха. При проучвания на ЦПА от последните години е установено, че части от поне пет от тези селища все още са запазени:</w:t>
      </w:r>
      <w:r w:rsidR="00D66FE0" w:rsidRPr="00610B1B">
        <w:rPr>
          <w:rFonts w:ascii="Times New Roman" w:eastAsia="Times New Roman" w:hAnsi="Times New Roman" w:cs="Times New Roman"/>
          <w:sz w:val="24"/>
          <w:szCs w:val="24"/>
          <w:lang w:val="bg-BG"/>
        </w:rPr>
        <w:t xml:space="preserve"> </w:t>
      </w:r>
    </w:p>
    <w:p w14:paraId="59C5FFF2" w14:textId="77777777" w:rsidR="004530E1" w:rsidRPr="00610B1B" w:rsidRDefault="00442579" w:rsidP="00FD59A8">
      <w:pPr>
        <w:pStyle w:val="ListParagraph"/>
        <w:numPr>
          <w:ilvl w:val="1"/>
          <w:numId w:val="107"/>
        </w:numPr>
        <w:spacing w:after="120"/>
        <w:ind w:left="993"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Селище от ранната бронзова епоха в акваторията на Стария канал и северния бряг на езерото; </w:t>
      </w:r>
    </w:p>
    <w:p w14:paraId="5B18A3DE" w14:textId="77777777" w:rsidR="004530E1" w:rsidRPr="00610B1B" w:rsidRDefault="00442579" w:rsidP="00FD59A8">
      <w:pPr>
        <w:pStyle w:val="ListParagraph"/>
        <w:numPr>
          <w:ilvl w:val="1"/>
          <w:numId w:val="107"/>
        </w:numPr>
        <w:spacing w:after="120"/>
        <w:ind w:left="993"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Селище "Морфлот" - регистрирано при строителни дейности, като местоположението му го свързва с Варненския халколитен некропол. Запазването и проучването на това селище е от изключителна важност; </w:t>
      </w:r>
    </w:p>
    <w:p w14:paraId="02820AE4" w14:textId="77777777" w:rsidR="004530E1" w:rsidRPr="00610B1B" w:rsidRDefault="00442579" w:rsidP="00FD59A8">
      <w:pPr>
        <w:pStyle w:val="ListParagraph"/>
        <w:numPr>
          <w:ilvl w:val="1"/>
          <w:numId w:val="107"/>
        </w:numPr>
        <w:spacing w:after="120"/>
        <w:ind w:left="993"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lastRenderedPageBreak/>
        <w:t xml:space="preserve">Селище от ранната бронзова епоха в акваторията на ТЕЦ Варна и с. Езерово. Южната </w:t>
      </w:r>
      <w:r w:rsidR="004530E1" w:rsidRPr="00610B1B">
        <w:rPr>
          <w:rFonts w:ascii="Times New Roman" w:eastAsia="Times New Roman" w:hAnsi="Times New Roman" w:cs="Times New Roman"/>
          <w:sz w:val="24"/>
          <w:szCs w:val="24"/>
          <w:lang w:val="bg-BG"/>
        </w:rPr>
        <w:t xml:space="preserve">му </w:t>
      </w:r>
      <w:r w:rsidRPr="00610B1B">
        <w:rPr>
          <w:rFonts w:ascii="Times New Roman" w:eastAsia="Times New Roman" w:hAnsi="Times New Roman" w:cs="Times New Roman"/>
          <w:sz w:val="24"/>
          <w:szCs w:val="24"/>
          <w:lang w:val="bg-BG"/>
        </w:rPr>
        <w:t xml:space="preserve">част е разрушена при строителството на ТЕЦ-а, но другата му част е запазена; </w:t>
      </w:r>
    </w:p>
    <w:p w14:paraId="2515814A" w14:textId="50B67D41" w:rsidR="00442579" w:rsidRPr="00610B1B" w:rsidRDefault="00442579" w:rsidP="00FD59A8">
      <w:pPr>
        <w:pStyle w:val="ListParagraph"/>
        <w:numPr>
          <w:ilvl w:val="1"/>
          <w:numId w:val="107"/>
        </w:numPr>
        <w:spacing w:after="120"/>
        <w:ind w:left="993"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Части от селището „Страшимирово” са запазени във Варненското езеро северно и южно от Канал 2. Също следва да са запазени части от селищата „Балтата” и „Повеляново” в Белославското езеро, </w:t>
      </w:r>
      <w:r w:rsidRPr="00BC6EFF">
        <w:rPr>
          <w:rFonts w:ascii="Times New Roman" w:eastAsia="Times New Roman" w:hAnsi="Times New Roman" w:cs="Times New Roman"/>
          <w:sz w:val="24"/>
          <w:szCs w:val="24"/>
          <w:lang w:val="bg-BG"/>
        </w:rPr>
        <w:t xml:space="preserve">извън </w:t>
      </w:r>
      <w:r w:rsidR="005851CE" w:rsidRPr="00BC6EFF">
        <w:rPr>
          <w:rFonts w:ascii="Times New Roman" w:eastAsia="Times New Roman" w:hAnsi="Times New Roman" w:cs="Times New Roman"/>
          <w:sz w:val="24"/>
          <w:szCs w:val="24"/>
          <w:lang w:val="bg-BG"/>
        </w:rPr>
        <w:t>пристанищен терминал „</w:t>
      </w:r>
      <w:r w:rsidRPr="00610B1B">
        <w:rPr>
          <w:rFonts w:ascii="Times New Roman" w:eastAsia="Times New Roman" w:hAnsi="Times New Roman" w:cs="Times New Roman"/>
          <w:sz w:val="24"/>
          <w:szCs w:val="24"/>
          <w:lang w:val="bg-BG"/>
        </w:rPr>
        <w:t>Варна Запад</w:t>
      </w:r>
      <w:r w:rsidR="005851CE">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w:t>
      </w:r>
    </w:p>
    <w:p w14:paraId="387B3EDA" w14:textId="40F2E6B2"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
          <w:i/>
          <w:sz w:val="24"/>
          <w:szCs w:val="24"/>
          <w:lang w:val="bg-BG"/>
        </w:rPr>
        <w:t>Праисторически селища под вода южно от Бургас</w:t>
      </w:r>
      <w:r w:rsidR="004530E1" w:rsidRPr="00610B1B">
        <w:rPr>
          <w:rFonts w:ascii="Times New Roman" w:eastAsia="Times New Roman" w:hAnsi="Times New Roman" w:cs="Times New Roman"/>
          <w:i/>
          <w:sz w:val="24"/>
          <w:szCs w:val="24"/>
          <w:lang w:val="bg-BG"/>
        </w:rPr>
        <w:t xml:space="preserve">, </w:t>
      </w:r>
      <w:r w:rsidRPr="00610B1B">
        <w:rPr>
          <w:rFonts w:ascii="Times New Roman" w:eastAsia="Times New Roman" w:hAnsi="Times New Roman" w:cs="Times New Roman"/>
          <w:sz w:val="24"/>
          <w:szCs w:val="24"/>
          <w:lang w:val="bg-BG"/>
        </w:rPr>
        <w:t>на база случайни открития на археологически материали, събрани при различни строителни и изкопни работи</w:t>
      </w:r>
      <w:r w:rsidR="004530E1" w:rsidRPr="00610B1B">
        <w:rPr>
          <w:rFonts w:ascii="Times New Roman" w:eastAsia="Times New Roman" w:hAnsi="Times New Roman" w:cs="Times New Roman"/>
          <w:sz w:val="24"/>
          <w:szCs w:val="24"/>
          <w:lang w:val="bg-BG"/>
        </w:rPr>
        <w:t xml:space="preserve"> и о</w:t>
      </w:r>
      <w:r w:rsidRPr="00610B1B">
        <w:rPr>
          <w:rFonts w:ascii="Times New Roman" w:eastAsia="Times New Roman" w:hAnsi="Times New Roman" w:cs="Times New Roman"/>
          <w:sz w:val="24"/>
          <w:szCs w:val="24"/>
          <w:lang w:val="bg-BG"/>
        </w:rPr>
        <w:t>граничени редовни и спасителни археологически разкопки</w:t>
      </w:r>
      <w:r w:rsidR="004530E1"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провеждани в пристанището на Созопол, в залива пред устието на р. Ропотамо и край Китен (Урдовиза)</w:t>
      </w:r>
      <w:r w:rsidR="004530E1" w:rsidRPr="00610B1B">
        <w:rPr>
          <w:rFonts w:ascii="Times New Roman" w:eastAsia="Times New Roman" w:hAnsi="Times New Roman" w:cs="Times New Roman"/>
          <w:sz w:val="24"/>
          <w:szCs w:val="24"/>
          <w:lang w:val="bg-BG"/>
        </w:rPr>
        <w:t xml:space="preserve"> показват, че </w:t>
      </w:r>
      <w:r w:rsidRPr="00610B1B">
        <w:rPr>
          <w:rFonts w:ascii="Times New Roman" w:eastAsia="Times New Roman" w:hAnsi="Times New Roman" w:cs="Times New Roman"/>
          <w:sz w:val="24"/>
          <w:szCs w:val="24"/>
          <w:lang w:val="bg-BG"/>
        </w:rPr>
        <w:t xml:space="preserve">единствено на последното разкопаната площ (около 900 </w:t>
      </w:r>
      <w:r w:rsidR="004530E1" w:rsidRPr="00610B1B">
        <w:rPr>
          <w:rFonts w:ascii="Times New Roman" w:eastAsia="Times New Roman" w:hAnsi="Times New Roman" w:cs="Times New Roman"/>
          <w:sz w:val="24"/>
          <w:szCs w:val="24"/>
          <w:lang w:val="bg-BG"/>
        </w:rPr>
        <w:t>m</w:t>
      </w:r>
      <w:r w:rsidR="004530E1" w:rsidRPr="00610B1B">
        <w:rPr>
          <w:rFonts w:ascii="Times New Roman" w:eastAsia="Times New Roman" w:hAnsi="Times New Roman" w:cs="Times New Roman"/>
          <w:sz w:val="24"/>
          <w:szCs w:val="24"/>
          <w:vertAlign w:val="superscript"/>
          <w:lang w:val="bg-BG"/>
        </w:rPr>
        <w:t>2</w:t>
      </w:r>
      <w:r w:rsidRPr="00610B1B">
        <w:rPr>
          <w:rFonts w:ascii="Times New Roman" w:eastAsia="Times New Roman" w:hAnsi="Times New Roman" w:cs="Times New Roman"/>
          <w:sz w:val="24"/>
          <w:szCs w:val="24"/>
          <w:lang w:val="bg-BG"/>
        </w:rPr>
        <w:t>) може да се оцени като значителна.</w:t>
      </w:r>
    </w:p>
    <w:p w14:paraId="3B33AD4F" w14:textId="5480F58B" w:rsidR="004530E1"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Атанасовско езеро</w:t>
      </w:r>
      <w:r w:rsidRPr="00610B1B">
        <w:rPr>
          <w:rFonts w:ascii="Times New Roman" w:eastAsia="Times New Roman" w:hAnsi="Times New Roman" w:cs="Times New Roman"/>
          <w:sz w:val="24"/>
          <w:szCs w:val="24"/>
          <w:lang w:val="bg-BG"/>
        </w:rPr>
        <w:t xml:space="preserve"> - </w:t>
      </w:r>
      <w:r w:rsidR="00D64FC1" w:rsidRPr="00610B1B">
        <w:rPr>
          <w:rFonts w:ascii="Times New Roman" w:eastAsia="Times New Roman" w:hAnsi="Times New Roman" w:cs="Times New Roman"/>
          <w:sz w:val="24"/>
          <w:szCs w:val="24"/>
          <w:lang w:val="bg-BG"/>
        </w:rPr>
        <w:t xml:space="preserve">Първи </w:t>
      </w:r>
      <w:r w:rsidRPr="00610B1B">
        <w:rPr>
          <w:rFonts w:ascii="Times New Roman" w:eastAsia="Times New Roman" w:hAnsi="Times New Roman" w:cs="Times New Roman"/>
          <w:sz w:val="24"/>
          <w:szCs w:val="24"/>
          <w:lang w:val="bg-BG"/>
        </w:rPr>
        <w:t xml:space="preserve">сведения за праисторически находки от района на Бургас, открити под нивото на морето, от 1925 год. Тогава при прокопаване на канали между </w:t>
      </w:r>
      <w:r w:rsidR="00BB78A1" w:rsidRPr="00610B1B">
        <w:rPr>
          <w:rFonts w:ascii="Times New Roman" w:eastAsia="Times New Roman" w:hAnsi="Times New Roman" w:cs="Times New Roman"/>
          <w:sz w:val="24"/>
          <w:szCs w:val="24"/>
          <w:lang w:val="bg-BG"/>
        </w:rPr>
        <w:t>Атанасовското</w:t>
      </w:r>
      <w:r w:rsidRPr="00610B1B">
        <w:rPr>
          <w:rFonts w:ascii="Times New Roman" w:eastAsia="Times New Roman" w:hAnsi="Times New Roman" w:cs="Times New Roman"/>
          <w:sz w:val="24"/>
          <w:szCs w:val="24"/>
          <w:lang w:val="bg-BG"/>
        </w:rPr>
        <w:t xml:space="preserve"> езеро и Черно море (североизточно от града) от дълбочина до 1 </w:t>
      </w:r>
      <w:r w:rsidR="004530E1"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са събрани каменни оръдия и керамични фрагменти; </w:t>
      </w:r>
    </w:p>
    <w:p w14:paraId="70B6FD4F" w14:textId="77777777" w:rsidR="004530E1"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Пристанище Бургас</w:t>
      </w:r>
      <w:r w:rsidRPr="00610B1B">
        <w:rPr>
          <w:rFonts w:ascii="Times New Roman" w:eastAsia="Times New Roman" w:hAnsi="Times New Roman" w:cs="Times New Roman"/>
          <w:sz w:val="24"/>
          <w:szCs w:val="24"/>
          <w:lang w:val="bg-BG"/>
        </w:rPr>
        <w:t xml:space="preserve"> - По време на драгиране на Бургаското пристанище през 1968 г. са извадени много археологически материали; </w:t>
      </w:r>
    </w:p>
    <w:p w14:paraId="6C8E313D" w14:textId="5CAC2DFC" w:rsidR="00521FE5"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Атия</w:t>
      </w:r>
      <w:r w:rsidRPr="00610B1B">
        <w:rPr>
          <w:rFonts w:ascii="Times New Roman" w:eastAsia="Times New Roman" w:hAnsi="Times New Roman" w:cs="Times New Roman"/>
          <w:sz w:val="24"/>
          <w:szCs w:val="24"/>
          <w:lang w:val="bg-BG"/>
        </w:rPr>
        <w:t xml:space="preserve"> - </w:t>
      </w:r>
      <w:r w:rsidR="00D64FC1" w:rsidRPr="00610B1B">
        <w:rPr>
          <w:rFonts w:ascii="Times New Roman" w:eastAsia="Times New Roman" w:hAnsi="Times New Roman" w:cs="Times New Roman"/>
          <w:sz w:val="24"/>
          <w:szCs w:val="24"/>
          <w:lang w:val="bg-BG"/>
        </w:rPr>
        <w:t xml:space="preserve">Селището </w:t>
      </w:r>
      <w:r w:rsidRPr="00610B1B">
        <w:rPr>
          <w:rFonts w:ascii="Times New Roman" w:eastAsia="Times New Roman" w:hAnsi="Times New Roman" w:cs="Times New Roman"/>
          <w:sz w:val="24"/>
          <w:szCs w:val="24"/>
          <w:lang w:val="bg-BG"/>
        </w:rPr>
        <w:t xml:space="preserve">е открито през 1968 г. в западния залив на нос Атия, по време на строителството на военното пристанище. Под повърхностен пласт с находки от </w:t>
      </w:r>
      <w:r w:rsidR="00521FE5" w:rsidRPr="00610B1B">
        <w:rPr>
          <w:rFonts w:ascii="Times New Roman" w:eastAsia="Times New Roman" w:hAnsi="Times New Roman" w:cs="Times New Roman"/>
          <w:sz w:val="24"/>
          <w:szCs w:val="24"/>
          <w:lang w:val="bg-BG"/>
        </w:rPr>
        <w:t xml:space="preserve">Античността </w:t>
      </w:r>
      <w:r w:rsidRPr="00610B1B">
        <w:rPr>
          <w:rFonts w:ascii="Times New Roman" w:eastAsia="Times New Roman" w:hAnsi="Times New Roman" w:cs="Times New Roman"/>
          <w:sz w:val="24"/>
          <w:szCs w:val="24"/>
          <w:lang w:val="bg-BG"/>
        </w:rPr>
        <w:t xml:space="preserve">и </w:t>
      </w:r>
      <w:r w:rsidR="00521FE5" w:rsidRPr="00610B1B">
        <w:rPr>
          <w:rFonts w:ascii="Times New Roman" w:eastAsia="Times New Roman" w:hAnsi="Times New Roman" w:cs="Times New Roman"/>
          <w:sz w:val="24"/>
          <w:szCs w:val="24"/>
          <w:lang w:val="bg-BG"/>
        </w:rPr>
        <w:t>Средновековието</w:t>
      </w:r>
      <w:r w:rsidRPr="00610B1B">
        <w:rPr>
          <w:rFonts w:ascii="Times New Roman" w:eastAsia="Times New Roman" w:hAnsi="Times New Roman" w:cs="Times New Roman"/>
          <w:sz w:val="24"/>
          <w:szCs w:val="24"/>
          <w:lang w:val="bg-BG"/>
        </w:rPr>
        <w:t xml:space="preserve">, са открити следи от праисторически селища, датирани към Късния халколит и Раннобронзовата епоха. Праисторическите материали са вадени от дълбочина 7 – 9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Запазените съдове от Атия показват близки паралели с халколитната керамика от Созопол;</w:t>
      </w:r>
    </w:p>
    <w:p w14:paraId="0D864DA5" w14:textId="16857146" w:rsidR="00521FE5"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Созопол</w:t>
      </w:r>
      <w:r w:rsidRPr="00610B1B">
        <w:rPr>
          <w:rFonts w:ascii="Times New Roman" w:eastAsia="Times New Roman" w:hAnsi="Times New Roman" w:cs="Times New Roman"/>
          <w:b/>
          <w:sz w:val="24"/>
          <w:szCs w:val="24"/>
          <w:lang w:val="bg-BG"/>
        </w:rPr>
        <w:t xml:space="preserve"> - </w:t>
      </w:r>
      <w:r w:rsidR="00D64FC1" w:rsidRPr="00610B1B">
        <w:rPr>
          <w:rFonts w:ascii="Times New Roman" w:eastAsia="Times New Roman" w:hAnsi="Times New Roman" w:cs="Times New Roman"/>
          <w:sz w:val="24"/>
          <w:szCs w:val="24"/>
          <w:lang w:val="bg-BG"/>
        </w:rPr>
        <w:t xml:space="preserve">През </w:t>
      </w:r>
      <w:r w:rsidRPr="00610B1B">
        <w:rPr>
          <w:rFonts w:ascii="Times New Roman" w:eastAsia="Times New Roman" w:hAnsi="Times New Roman" w:cs="Times New Roman"/>
          <w:sz w:val="24"/>
          <w:szCs w:val="24"/>
          <w:lang w:val="bg-BG"/>
        </w:rPr>
        <w:t xml:space="preserve">1927 год. при изграждане на кейовете и оформяне на басейна на „Старото пристанище“ на Созопол са извадени около 300 керамични фрагменти от различни епохи и антични надгробни. Находките са открити на дълбочина до 6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Първите подводни </w:t>
      </w:r>
      <w:r w:rsidR="00BB78A1" w:rsidRPr="00610B1B">
        <w:rPr>
          <w:rFonts w:ascii="Times New Roman" w:eastAsia="Times New Roman" w:hAnsi="Times New Roman" w:cs="Times New Roman"/>
          <w:sz w:val="24"/>
          <w:szCs w:val="24"/>
          <w:lang w:val="bg-BG"/>
        </w:rPr>
        <w:t>археологически</w:t>
      </w:r>
      <w:r w:rsidRPr="00610B1B">
        <w:rPr>
          <w:rFonts w:ascii="Times New Roman" w:eastAsia="Times New Roman" w:hAnsi="Times New Roman" w:cs="Times New Roman"/>
          <w:sz w:val="24"/>
          <w:szCs w:val="24"/>
          <w:lang w:val="bg-BG"/>
        </w:rPr>
        <w:t xml:space="preserve"> проучвания, свързани с праисторическите селища в акваторията на Созопол, се провеждат през 1986 </w:t>
      </w:r>
      <w:r w:rsidR="00521FE5" w:rsidRPr="00610B1B">
        <w:rPr>
          <w:rFonts w:ascii="Times New Roman" w:eastAsia="Times New Roman" w:hAnsi="Times New Roman" w:cs="Times New Roman"/>
          <w:sz w:val="24"/>
          <w:szCs w:val="24"/>
          <w:lang w:val="bg-BG"/>
        </w:rPr>
        <w:t>и</w:t>
      </w:r>
      <w:r w:rsidRPr="00610B1B">
        <w:rPr>
          <w:rFonts w:ascii="Times New Roman" w:eastAsia="Times New Roman" w:hAnsi="Times New Roman" w:cs="Times New Roman"/>
          <w:sz w:val="24"/>
          <w:szCs w:val="24"/>
          <w:lang w:val="bg-BG"/>
        </w:rPr>
        <w:t xml:space="preserve"> 1987 год. През 1990 и 1993 год. са проведени и две кампании </w:t>
      </w:r>
      <w:r w:rsidR="00D64FC1" w:rsidRPr="00610B1B">
        <w:rPr>
          <w:rFonts w:ascii="Times New Roman" w:eastAsia="Times New Roman" w:hAnsi="Times New Roman" w:cs="Times New Roman"/>
          <w:sz w:val="24"/>
          <w:szCs w:val="24"/>
          <w:lang w:val="bg-BG"/>
        </w:rPr>
        <w:t xml:space="preserve">за </w:t>
      </w:r>
      <w:r w:rsidRPr="00610B1B">
        <w:rPr>
          <w:rFonts w:ascii="Times New Roman" w:eastAsia="Times New Roman" w:hAnsi="Times New Roman" w:cs="Times New Roman"/>
          <w:sz w:val="24"/>
          <w:szCs w:val="24"/>
          <w:lang w:val="bg-BG"/>
        </w:rPr>
        <w:t xml:space="preserve">редовни подводни разкопки </w:t>
      </w:r>
      <w:r w:rsidR="00D64FC1" w:rsidRPr="00610B1B">
        <w:rPr>
          <w:rFonts w:ascii="Times New Roman" w:eastAsia="Times New Roman" w:hAnsi="Times New Roman" w:cs="Times New Roman"/>
          <w:sz w:val="24"/>
          <w:szCs w:val="24"/>
          <w:lang w:val="bg-BG"/>
        </w:rPr>
        <w:t>за</w:t>
      </w:r>
      <w:r w:rsidRPr="00610B1B">
        <w:rPr>
          <w:rFonts w:ascii="Times New Roman" w:eastAsia="Times New Roman" w:hAnsi="Times New Roman" w:cs="Times New Roman"/>
          <w:sz w:val="24"/>
          <w:szCs w:val="24"/>
          <w:lang w:val="bg-BG"/>
        </w:rPr>
        <w:t xml:space="preserve"> установяване стратиграфията на селищата, датиране и културно определяне, изясняване на тяхното разположение в древния ландшафт. Вертикалната и хоризонталната стратиграфия показват, че в акваторията на Созополското пристанище са съществували две праисторически селища: едно от късния халколит и друго от ранната бронзовата епоха, съществува</w:t>
      </w:r>
      <w:r w:rsidR="00521FE5" w:rsidRPr="00610B1B">
        <w:rPr>
          <w:rFonts w:ascii="Times New Roman" w:eastAsia="Times New Roman" w:hAnsi="Times New Roman" w:cs="Times New Roman"/>
          <w:sz w:val="24"/>
          <w:szCs w:val="24"/>
          <w:lang w:val="bg-BG"/>
        </w:rPr>
        <w:t>що около 150 - 200 г.</w:t>
      </w:r>
    </w:p>
    <w:p w14:paraId="10221FA6" w14:textId="63E0B2D3"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Ропотамо</w:t>
      </w:r>
      <w:r w:rsidRPr="00610B1B">
        <w:rPr>
          <w:rFonts w:ascii="Times New Roman" w:eastAsia="Times New Roman" w:hAnsi="Times New Roman" w:cs="Times New Roman"/>
          <w:b/>
          <w:sz w:val="24"/>
          <w:szCs w:val="24"/>
          <w:lang w:val="bg-BG"/>
        </w:rPr>
        <w:t xml:space="preserve"> - </w:t>
      </w:r>
      <w:r w:rsidR="00D64FC1" w:rsidRPr="00610B1B">
        <w:rPr>
          <w:rFonts w:ascii="Times New Roman" w:eastAsia="Times New Roman" w:hAnsi="Times New Roman" w:cs="Times New Roman"/>
          <w:sz w:val="24"/>
          <w:szCs w:val="24"/>
          <w:lang w:val="bg-BG"/>
        </w:rPr>
        <w:t xml:space="preserve">Първите </w:t>
      </w:r>
      <w:r w:rsidRPr="00610B1B">
        <w:rPr>
          <w:rFonts w:ascii="Times New Roman" w:eastAsia="Times New Roman" w:hAnsi="Times New Roman" w:cs="Times New Roman"/>
          <w:sz w:val="24"/>
          <w:szCs w:val="24"/>
          <w:lang w:val="bg-BG"/>
        </w:rPr>
        <w:t>археологически материали под вода в морския залив пред устието на р. Ропотамо са открити през 1976 г. Извадени са находки от Късната античност и Средновековието като се откроява богатата колекция от късноримска червенолакова керамика</w:t>
      </w:r>
      <w:r w:rsidR="00521FE5"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Проучванията са подновени през 2017 г и продължават и в момента. Констатирано е, че в залива пред устието на р. Ропотамо е съществувало пристанище. На </w:t>
      </w:r>
      <w:r w:rsidRPr="00610B1B">
        <w:rPr>
          <w:rFonts w:ascii="Times New Roman" w:eastAsia="Times New Roman" w:hAnsi="Times New Roman" w:cs="Times New Roman"/>
          <w:sz w:val="24"/>
          <w:szCs w:val="24"/>
          <w:lang w:val="bg-BG"/>
        </w:rPr>
        <w:lastRenderedPageBreak/>
        <w:t xml:space="preserve">дълбочина около 4.8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под нивото на морето е открито селище от ранната бронзова епоха, датирано около началото на III хил. пр. Хр. </w:t>
      </w:r>
    </w:p>
    <w:p w14:paraId="0824E9F7" w14:textId="03B7EE49" w:rsidR="00442579" w:rsidRPr="00610B1B" w:rsidRDefault="00442579"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Китен (Урдовиза)</w:t>
      </w:r>
      <w:r w:rsidRPr="00610B1B">
        <w:rPr>
          <w:rFonts w:ascii="Times New Roman" w:eastAsia="Times New Roman" w:hAnsi="Times New Roman" w:cs="Times New Roman"/>
          <w:b/>
          <w:sz w:val="24"/>
          <w:szCs w:val="24"/>
          <w:lang w:val="bg-BG"/>
        </w:rPr>
        <w:t xml:space="preserve"> - </w:t>
      </w:r>
      <w:r w:rsidRPr="00610B1B">
        <w:rPr>
          <w:rFonts w:ascii="Times New Roman" w:eastAsia="Times New Roman" w:hAnsi="Times New Roman" w:cs="Times New Roman"/>
          <w:sz w:val="24"/>
          <w:szCs w:val="24"/>
          <w:lang w:val="bg-BG"/>
        </w:rPr>
        <w:t>Селището от ранната бронзова епоха се намира в Южния залив на гр.</w:t>
      </w:r>
      <w:r w:rsidR="00521FE5"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Китен, югоизточно от нос Урдовиза. Част от него лежи под вълнолома на пристанището. Селището е идентифицирано през 1986 г. по време на разкопките на търговски кораб от Османската епоха. Тогава са разкрити части от дървените конструкции на сградите и други артефакти. През 1986 г. е достигната дълбочина 10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от повърхността на морето, като археологическите материали са откривани от осмия до десетия метър. Разкрито е голямо количество вертикално забити колове и отделни хоризонтални греди. Проведени са още три сондажа през 1987-88-89 години. Анализът на стратиграфските и тафономичните наблюдения водят до извода, че селището е било разположено на сушата, в близост до древното корито на р. Караагач и на разстояние от няколко стотин метра от морския бряг, като древното морско ниво е било с поне около 8.5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по-ниско от съвременното. Според датировките и културните характеристики селището при Китен попада в началото на втора фаза на ранната бронзова </w:t>
      </w:r>
      <w:r w:rsidR="00BB78A1" w:rsidRPr="00610B1B">
        <w:rPr>
          <w:rFonts w:ascii="Times New Roman" w:eastAsia="Times New Roman" w:hAnsi="Times New Roman" w:cs="Times New Roman"/>
          <w:sz w:val="24"/>
          <w:szCs w:val="24"/>
          <w:lang w:val="bg-BG"/>
        </w:rPr>
        <w:t>епоха</w:t>
      </w:r>
      <w:r w:rsidRPr="00610B1B">
        <w:rPr>
          <w:rFonts w:ascii="Times New Roman" w:eastAsia="Times New Roman" w:hAnsi="Times New Roman" w:cs="Times New Roman"/>
          <w:sz w:val="24"/>
          <w:szCs w:val="24"/>
          <w:lang w:val="bg-BG"/>
        </w:rPr>
        <w:t xml:space="preserve"> за Западното Черноморско крайбрежие. </w:t>
      </w:r>
      <w:r w:rsidR="00D64FC1" w:rsidRPr="00610B1B">
        <w:rPr>
          <w:rFonts w:ascii="Times New Roman" w:eastAsia="Times New Roman" w:hAnsi="Times New Roman" w:cs="Times New Roman"/>
          <w:sz w:val="24"/>
          <w:szCs w:val="24"/>
          <w:lang w:val="bg-BG"/>
        </w:rPr>
        <w:t xml:space="preserve">Селището </w:t>
      </w:r>
      <w:r w:rsidRPr="00610B1B">
        <w:rPr>
          <w:rFonts w:ascii="Times New Roman" w:eastAsia="Times New Roman" w:hAnsi="Times New Roman" w:cs="Times New Roman"/>
          <w:sz w:val="24"/>
          <w:szCs w:val="24"/>
          <w:lang w:val="bg-BG"/>
        </w:rPr>
        <w:t xml:space="preserve">е било изградено на терен със слаб наклон, като проучените пластове лежат между 5 – 6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и 9 – 10 </w:t>
      </w:r>
      <w:r w:rsidR="00521FE5" w:rsidRPr="00610B1B">
        <w:rPr>
          <w:rFonts w:ascii="Times New Roman" w:eastAsia="Times New Roman" w:hAnsi="Times New Roman" w:cs="Times New Roman"/>
          <w:sz w:val="24"/>
          <w:szCs w:val="24"/>
          <w:lang w:val="bg-BG"/>
        </w:rPr>
        <w:t>m</w:t>
      </w:r>
      <w:r w:rsidRPr="00610B1B">
        <w:rPr>
          <w:rFonts w:ascii="Times New Roman" w:eastAsia="Times New Roman" w:hAnsi="Times New Roman" w:cs="Times New Roman"/>
          <w:sz w:val="24"/>
          <w:szCs w:val="24"/>
          <w:lang w:val="bg-BG"/>
        </w:rPr>
        <w:t xml:space="preserve"> под морското ниво.</w:t>
      </w:r>
      <w:r w:rsidR="00521FE5"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През 1989 г. проучванията продължават под формата на интензивни спасителни разкопки, предшестващи строежа на кейовата стена на яхтеното пристанище. </w:t>
      </w:r>
    </w:p>
    <w:p w14:paraId="0B306739" w14:textId="6EBFEE0F" w:rsidR="00442579" w:rsidRPr="00610B1B" w:rsidRDefault="00BB78A1"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Стомопло</w:t>
      </w:r>
      <w:r w:rsidR="00442579" w:rsidRPr="00610B1B">
        <w:rPr>
          <w:rFonts w:ascii="Times New Roman" w:eastAsia="Times New Roman" w:hAnsi="Times New Roman" w:cs="Times New Roman"/>
          <w:i/>
          <w:sz w:val="24"/>
          <w:szCs w:val="24"/>
          <w:lang w:val="bg-BG"/>
        </w:rPr>
        <w:t>, гр.</w:t>
      </w:r>
      <w:r w:rsidR="00521FE5" w:rsidRPr="00610B1B">
        <w:rPr>
          <w:rFonts w:ascii="Times New Roman" w:eastAsia="Times New Roman" w:hAnsi="Times New Roman" w:cs="Times New Roman"/>
          <w:i/>
          <w:sz w:val="24"/>
          <w:szCs w:val="24"/>
          <w:lang w:val="bg-BG"/>
        </w:rPr>
        <w:t xml:space="preserve"> </w:t>
      </w:r>
      <w:r w:rsidR="00442579" w:rsidRPr="00610B1B">
        <w:rPr>
          <w:rFonts w:ascii="Times New Roman" w:eastAsia="Times New Roman" w:hAnsi="Times New Roman" w:cs="Times New Roman"/>
          <w:i/>
          <w:sz w:val="24"/>
          <w:szCs w:val="24"/>
          <w:lang w:val="bg-BG"/>
        </w:rPr>
        <w:t>Приморско</w:t>
      </w:r>
      <w:r w:rsidR="00442579" w:rsidRPr="00610B1B">
        <w:rPr>
          <w:rFonts w:ascii="Times New Roman" w:eastAsia="Times New Roman" w:hAnsi="Times New Roman" w:cs="Times New Roman"/>
          <w:b/>
          <w:sz w:val="24"/>
          <w:szCs w:val="24"/>
          <w:lang w:val="bg-BG"/>
        </w:rPr>
        <w:t xml:space="preserve"> </w:t>
      </w:r>
      <w:r w:rsidR="00521FE5" w:rsidRPr="00610B1B">
        <w:rPr>
          <w:rFonts w:ascii="Times New Roman" w:eastAsia="Times New Roman" w:hAnsi="Times New Roman" w:cs="Times New Roman"/>
          <w:b/>
          <w:sz w:val="24"/>
          <w:szCs w:val="24"/>
          <w:lang w:val="bg-BG"/>
        </w:rPr>
        <w:t xml:space="preserve">- </w:t>
      </w:r>
      <w:r w:rsidR="00442579" w:rsidRPr="00610B1B">
        <w:rPr>
          <w:rFonts w:ascii="Times New Roman" w:eastAsia="Times New Roman" w:hAnsi="Times New Roman" w:cs="Times New Roman"/>
          <w:sz w:val="24"/>
          <w:szCs w:val="24"/>
          <w:lang w:val="bg-BG"/>
        </w:rPr>
        <w:t xml:space="preserve">През 1922 г. при прочистването на кладенеца Качката в местността Геренчето в северната част на лагуната </w:t>
      </w:r>
      <w:r w:rsidRPr="00610B1B">
        <w:rPr>
          <w:rFonts w:ascii="Times New Roman" w:eastAsia="Times New Roman" w:hAnsi="Times New Roman" w:cs="Times New Roman"/>
          <w:sz w:val="24"/>
          <w:szCs w:val="24"/>
          <w:lang w:val="bg-BG"/>
        </w:rPr>
        <w:t>Стомопло</w:t>
      </w:r>
      <w:r w:rsidR="00442579" w:rsidRPr="00610B1B">
        <w:rPr>
          <w:rFonts w:ascii="Times New Roman" w:eastAsia="Times New Roman" w:hAnsi="Times New Roman" w:cs="Times New Roman"/>
          <w:sz w:val="24"/>
          <w:szCs w:val="24"/>
          <w:lang w:val="bg-BG"/>
        </w:rPr>
        <w:t xml:space="preserve"> при гр. Приморско на дълбочина от 9 </w:t>
      </w:r>
      <w:r w:rsidR="00521FE5" w:rsidRPr="00610B1B">
        <w:rPr>
          <w:rFonts w:ascii="Times New Roman" w:eastAsia="Times New Roman" w:hAnsi="Times New Roman" w:cs="Times New Roman"/>
          <w:sz w:val="24"/>
          <w:szCs w:val="24"/>
          <w:lang w:val="bg-BG"/>
        </w:rPr>
        <w:t>m</w:t>
      </w:r>
      <w:r w:rsidR="00442579" w:rsidRPr="00610B1B">
        <w:rPr>
          <w:rFonts w:ascii="Times New Roman" w:eastAsia="Times New Roman" w:hAnsi="Times New Roman" w:cs="Times New Roman"/>
          <w:sz w:val="24"/>
          <w:szCs w:val="24"/>
          <w:lang w:val="bg-BG"/>
        </w:rPr>
        <w:t xml:space="preserve"> </w:t>
      </w:r>
      <w:r w:rsidR="00F8079E" w:rsidRPr="00610B1B">
        <w:rPr>
          <w:rFonts w:ascii="Times New Roman" w:eastAsia="Times New Roman" w:hAnsi="Times New Roman" w:cs="Times New Roman"/>
          <w:sz w:val="24"/>
          <w:szCs w:val="24"/>
          <w:lang w:val="bg-BG"/>
        </w:rPr>
        <w:t>са разкрити</w:t>
      </w:r>
      <w:r w:rsidR="00442579" w:rsidRPr="00610B1B">
        <w:rPr>
          <w:rFonts w:ascii="Times New Roman" w:eastAsia="Times New Roman" w:hAnsi="Times New Roman" w:cs="Times New Roman"/>
          <w:sz w:val="24"/>
          <w:szCs w:val="24"/>
          <w:lang w:val="bg-BG"/>
        </w:rPr>
        <w:t xml:space="preserve"> праисторически археологически находки. Възможно е те да се свържат</w:t>
      </w:r>
      <w:r w:rsidR="00521FE5" w:rsidRPr="00610B1B">
        <w:rPr>
          <w:rFonts w:ascii="Times New Roman" w:eastAsia="Times New Roman" w:hAnsi="Times New Roman" w:cs="Times New Roman"/>
          <w:sz w:val="24"/>
          <w:szCs w:val="24"/>
          <w:lang w:val="bg-BG"/>
        </w:rPr>
        <w:t xml:space="preserve"> с</w:t>
      </w:r>
      <w:r w:rsidR="00442579" w:rsidRPr="00610B1B">
        <w:rPr>
          <w:rFonts w:ascii="Times New Roman" w:eastAsia="Times New Roman" w:hAnsi="Times New Roman" w:cs="Times New Roman"/>
          <w:sz w:val="24"/>
          <w:szCs w:val="24"/>
          <w:lang w:val="bg-BG"/>
        </w:rPr>
        <w:t xml:space="preserve"> нивото на морето през късния неолит. Ако </w:t>
      </w:r>
      <w:r w:rsidR="00F8079E" w:rsidRPr="00610B1B">
        <w:rPr>
          <w:rFonts w:ascii="Times New Roman" w:eastAsia="Times New Roman" w:hAnsi="Times New Roman" w:cs="Times New Roman"/>
          <w:sz w:val="24"/>
          <w:szCs w:val="24"/>
          <w:lang w:val="bg-BG"/>
        </w:rPr>
        <w:t xml:space="preserve">това </w:t>
      </w:r>
      <w:r w:rsidR="00442579" w:rsidRPr="00610B1B">
        <w:rPr>
          <w:rFonts w:ascii="Times New Roman" w:eastAsia="Times New Roman" w:hAnsi="Times New Roman" w:cs="Times New Roman"/>
          <w:sz w:val="24"/>
          <w:szCs w:val="24"/>
          <w:lang w:val="bg-BG"/>
        </w:rPr>
        <w:t xml:space="preserve">е така, </w:t>
      </w:r>
      <w:r w:rsidR="00F8079E" w:rsidRPr="00610B1B">
        <w:rPr>
          <w:rFonts w:ascii="Times New Roman" w:eastAsia="Times New Roman" w:hAnsi="Times New Roman" w:cs="Times New Roman"/>
          <w:sz w:val="24"/>
          <w:szCs w:val="24"/>
          <w:lang w:val="bg-BG"/>
        </w:rPr>
        <w:t>може да се</w:t>
      </w:r>
      <w:r w:rsidR="00442579" w:rsidRPr="00610B1B">
        <w:rPr>
          <w:rFonts w:ascii="Times New Roman" w:eastAsia="Times New Roman" w:hAnsi="Times New Roman" w:cs="Times New Roman"/>
          <w:sz w:val="24"/>
          <w:szCs w:val="24"/>
          <w:lang w:val="bg-BG"/>
        </w:rPr>
        <w:t xml:space="preserve"> очакват неолитни материали по изобатата на 10 метър и на други места по българското крайбрежие. </w:t>
      </w:r>
    </w:p>
    <w:p w14:paraId="28A84820" w14:textId="01086ED9" w:rsidR="00C076B6"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На база на направения анализ на актуалното състояние </w:t>
      </w:r>
      <w:r w:rsidR="00521FE5" w:rsidRPr="00610B1B">
        <w:rPr>
          <w:rFonts w:ascii="Times New Roman" w:eastAsia="Times New Roman" w:hAnsi="Times New Roman" w:cs="Times New Roman"/>
          <w:sz w:val="24"/>
          <w:szCs w:val="24"/>
          <w:lang w:val="bg-BG"/>
        </w:rPr>
        <w:t xml:space="preserve">могат да се </w:t>
      </w:r>
      <w:r w:rsidR="00D64FC1" w:rsidRPr="00610B1B">
        <w:rPr>
          <w:rFonts w:ascii="Times New Roman" w:eastAsia="Times New Roman" w:hAnsi="Times New Roman" w:cs="Times New Roman"/>
          <w:sz w:val="24"/>
          <w:szCs w:val="24"/>
          <w:lang w:val="bg-BG"/>
        </w:rPr>
        <w:t>направят</w:t>
      </w:r>
      <w:r w:rsidR="00521FE5" w:rsidRPr="00610B1B">
        <w:rPr>
          <w:rFonts w:ascii="Times New Roman" w:eastAsia="Times New Roman" w:hAnsi="Times New Roman" w:cs="Times New Roman"/>
          <w:sz w:val="24"/>
          <w:szCs w:val="24"/>
          <w:lang w:val="bg-BG"/>
        </w:rPr>
        <w:t xml:space="preserve"> </w:t>
      </w:r>
      <w:r w:rsidR="00521FE5" w:rsidRPr="00610B1B">
        <w:rPr>
          <w:rFonts w:ascii="Times New Roman" w:eastAsia="Times New Roman" w:hAnsi="Times New Roman" w:cs="Times New Roman"/>
          <w:b/>
          <w:sz w:val="24"/>
          <w:szCs w:val="24"/>
          <w:lang w:val="bg-BG"/>
        </w:rPr>
        <w:t xml:space="preserve">обобщени изводи </w:t>
      </w:r>
      <w:r w:rsidR="00521FE5" w:rsidRPr="00610B1B">
        <w:rPr>
          <w:rFonts w:ascii="Times New Roman" w:eastAsia="Times New Roman" w:hAnsi="Times New Roman" w:cs="Times New Roman"/>
          <w:sz w:val="24"/>
          <w:szCs w:val="24"/>
          <w:lang w:val="bg-BG"/>
        </w:rPr>
        <w:t xml:space="preserve">за идентифицираните проблеми, както на отделни обекти, така и </w:t>
      </w:r>
      <w:r w:rsidR="00C076B6" w:rsidRPr="00610B1B">
        <w:rPr>
          <w:rFonts w:ascii="Times New Roman" w:eastAsia="Times New Roman" w:hAnsi="Times New Roman" w:cs="Times New Roman"/>
          <w:sz w:val="24"/>
          <w:szCs w:val="24"/>
          <w:lang w:val="bg-BG"/>
        </w:rPr>
        <w:t>общи</w:t>
      </w:r>
      <w:r w:rsidRPr="00610B1B">
        <w:rPr>
          <w:rFonts w:ascii="Times New Roman" w:eastAsia="Times New Roman" w:hAnsi="Times New Roman" w:cs="Times New Roman"/>
          <w:sz w:val="24"/>
          <w:szCs w:val="24"/>
          <w:lang w:val="bg-BG"/>
        </w:rPr>
        <w:t xml:space="preserve">. </w:t>
      </w:r>
      <w:r w:rsidR="00C076B6" w:rsidRPr="00610B1B">
        <w:rPr>
          <w:rFonts w:ascii="Times New Roman" w:eastAsia="Times New Roman" w:hAnsi="Times New Roman" w:cs="Times New Roman"/>
          <w:sz w:val="24"/>
          <w:szCs w:val="24"/>
          <w:lang w:val="bg-BG"/>
        </w:rPr>
        <w:t>Проблемите на археологически и архитектурно-градоустройствен резерват „Старинен град Несебър”, обект на световното културно наследство са свързани основно с неговата фрагментираност, при продължаващи у</w:t>
      </w:r>
      <w:r w:rsidRPr="00610B1B">
        <w:rPr>
          <w:rFonts w:ascii="Times New Roman" w:eastAsia="Times New Roman" w:hAnsi="Times New Roman" w:cs="Times New Roman"/>
          <w:sz w:val="24"/>
          <w:szCs w:val="24"/>
          <w:lang w:val="bg-BG"/>
        </w:rPr>
        <w:t xml:space="preserve">силия на </w:t>
      </w:r>
      <w:r w:rsidR="00C076B6" w:rsidRPr="00610B1B">
        <w:rPr>
          <w:rFonts w:ascii="Times New Roman" w:eastAsia="Times New Roman" w:hAnsi="Times New Roman" w:cs="Times New Roman"/>
          <w:sz w:val="24"/>
          <w:szCs w:val="24"/>
          <w:lang w:val="bg-BG"/>
        </w:rPr>
        <w:t xml:space="preserve">община </w:t>
      </w:r>
      <w:r w:rsidRPr="00610B1B">
        <w:rPr>
          <w:rFonts w:ascii="Times New Roman" w:eastAsia="Times New Roman" w:hAnsi="Times New Roman" w:cs="Times New Roman"/>
          <w:sz w:val="24"/>
          <w:szCs w:val="24"/>
          <w:lang w:val="bg-BG"/>
        </w:rPr>
        <w:t xml:space="preserve">Несебър и различни неправителствени институции </w:t>
      </w:r>
      <w:r w:rsidR="00C076B6" w:rsidRPr="00610B1B">
        <w:rPr>
          <w:rFonts w:ascii="Times New Roman" w:eastAsia="Times New Roman" w:hAnsi="Times New Roman" w:cs="Times New Roman"/>
          <w:sz w:val="24"/>
          <w:szCs w:val="24"/>
          <w:lang w:val="bg-BG"/>
        </w:rPr>
        <w:t>за</w:t>
      </w:r>
      <w:r w:rsidRPr="00610B1B">
        <w:rPr>
          <w:rFonts w:ascii="Times New Roman" w:eastAsia="Times New Roman" w:hAnsi="Times New Roman" w:cs="Times New Roman"/>
          <w:sz w:val="24"/>
          <w:szCs w:val="24"/>
          <w:lang w:val="bg-BG"/>
        </w:rPr>
        <w:t xml:space="preserve"> </w:t>
      </w:r>
      <w:r w:rsidR="00D64FC1" w:rsidRPr="00610B1B">
        <w:rPr>
          <w:rFonts w:ascii="Times New Roman" w:eastAsia="Times New Roman" w:hAnsi="Times New Roman" w:cs="Times New Roman"/>
          <w:sz w:val="24"/>
          <w:szCs w:val="24"/>
          <w:lang w:val="bg-BG"/>
        </w:rPr>
        <w:t xml:space="preserve">изпълнение </w:t>
      </w:r>
      <w:r w:rsidRPr="00610B1B">
        <w:rPr>
          <w:rFonts w:ascii="Times New Roman" w:eastAsia="Times New Roman" w:hAnsi="Times New Roman" w:cs="Times New Roman"/>
          <w:sz w:val="24"/>
          <w:szCs w:val="24"/>
          <w:lang w:val="bg-BG"/>
        </w:rPr>
        <w:t>на препоръките на ЮНЕСКО</w:t>
      </w:r>
      <w:r w:rsidR="00C076B6" w:rsidRPr="00610B1B">
        <w:rPr>
          <w:rFonts w:ascii="Times New Roman" w:eastAsia="Times New Roman" w:hAnsi="Times New Roman" w:cs="Times New Roman"/>
          <w:sz w:val="24"/>
          <w:szCs w:val="24"/>
          <w:lang w:val="bg-BG"/>
        </w:rPr>
        <w:t xml:space="preserve"> и</w:t>
      </w:r>
      <w:r w:rsidRPr="00610B1B">
        <w:rPr>
          <w:rFonts w:ascii="Times New Roman" w:eastAsia="Times New Roman" w:hAnsi="Times New Roman" w:cs="Times New Roman"/>
          <w:sz w:val="24"/>
          <w:szCs w:val="24"/>
          <w:lang w:val="bg-BG"/>
        </w:rPr>
        <w:t xml:space="preserve"> за запазване на ценността.</w:t>
      </w:r>
      <w:r w:rsidR="00C076B6" w:rsidRPr="00610B1B">
        <w:rPr>
          <w:rFonts w:ascii="Times New Roman" w:eastAsia="Times New Roman" w:hAnsi="Times New Roman" w:cs="Times New Roman"/>
          <w:sz w:val="24"/>
          <w:szCs w:val="24"/>
          <w:lang w:val="bg-BG"/>
        </w:rPr>
        <w:t xml:space="preserve"> Необходимо е </w:t>
      </w:r>
      <w:r w:rsidRPr="00610B1B">
        <w:rPr>
          <w:rFonts w:ascii="Times New Roman" w:eastAsia="Times New Roman" w:hAnsi="Times New Roman" w:cs="Times New Roman"/>
          <w:sz w:val="24"/>
          <w:szCs w:val="24"/>
          <w:lang w:val="bg-BG"/>
        </w:rPr>
        <w:t>провеждане на реконсервация, нови КРР работи и социализация на обекти и зони, които са от съществено значение за ценностните характеристики на Несебър</w:t>
      </w:r>
      <w:r w:rsidR="00C076B6"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особено в неговите северна, източна и южна крайбрежни зони.</w:t>
      </w:r>
      <w:r w:rsidR="00C076B6"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Не са изявени и експонирани обектите на подводното културно наследство</w:t>
      </w:r>
      <w:r w:rsidR="00C076B6" w:rsidRPr="00610B1B">
        <w:rPr>
          <w:rFonts w:ascii="Times New Roman" w:eastAsia="Times New Roman" w:hAnsi="Times New Roman" w:cs="Times New Roman"/>
          <w:sz w:val="24"/>
          <w:szCs w:val="24"/>
          <w:lang w:val="bg-BG"/>
        </w:rPr>
        <w:t xml:space="preserve">, дори тези, </w:t>
      </w:r>
      <w:r w:rsidRPr="00610B1B">
        <w:rPr>
          <w:rFonts w:ascii="Times New Roman" w:eastAsia="Times New Roman" w:hAnsi="Times New Roman" w:cs="Times New Roman"/>
          <w:sz w:val="24"/>
          <w:szCs w:val="24"/>
          <w:lang w:val="bg-BG"/>
        </w:rPr>
        <w:t>с възможност за пряко посещение</w:t>
      </w:r>
      <w:r w:rsidR="00C076B6" w:rsidRPr="00610B1B">
        <w:rPr>
          <w:rFonts w:ascii="Times New Roman" w:eastAsia="Times New Roman" w:hAnsi="Times New Roman" w:cs="Times New Roman"/>
          <w:sz w:val="24"/>
          <w:szCs w:val="24"/>
          <w:lang w:val="bg-BG"/>
        </w:rPr>
        <w:t xml:space="preserve">, което е </w:t>
      </w:r>
      <w:r w:rsidRPr="00610B1B">
        <w:rPr>
          <w:rFonts w:ascii="Times New Roman" w:eastAsia="Times New Roman" w:hAnsi="Times New Roman" w:cs="Times New Roman"/>
          <w:sz w:val="24"/>
          <w:szCs w:val="24"/>
          <w:lang w:val="bg-BG"/>
        </w:rPr>
        <w:t>изключително рядък случай.</w:t>
      </w:r>
      <w:r w:rsidR="00C076B6" w:rsidRPr="00610B1B">
        <w:rPr>
          <w:rFonts w:ascii="Times New Roman" w:eastAsia="Times New Roman" w:hAnsi="Times New Roman" w:cs="Times New Roman"/>
          <w:sz w:val="24"/>
          <w:szCs w:val="24"/>
          <w:lang w:val="bg-BG"/>
        </w:rPr>
        <w:t xml:space="preserve"> Дефинирани са множество проблеми, свързани с облика и силуета на града и с липсата на грижа за изява на уникалността на световната културна ценност. </w:t>
      </w:r>
    </w:p>
    <w:p w14:paraId="3B181EC6" w14:textId="72FC2C25" w:rsidR="00C076B6" w:rsidRPr="00610B1B" w:rsidRDefault="00C076B6" w:rsidP="00D32D6A">
      <w:pPr>
        <w:shd w:val="clear" w:color="auto" w:fill="FFFFFF"/>
        <w:spacing w:after="120"/>
        <w:ind w:right="-153"/>
        <w:jc w:val="both"/>
        <w:rPr>
          <w:rFonts w:ascii="Times New Roman" w:eastAsia="Times New Roman" w:hAnsi="Times New Roman" w:cs="Times New Roman"/>
          <w:b/>
          <w:sz w:val="24"/>
          <w:szCs w:val="24"/>
          <w:lang w:val="bg-BG"/>
        </w:rPr>
      </w:pPr>
      <w:r w:rsidRPr="00610B1B">
        <w:rPr>
          <w:rFonts w:ascii="Times New Roman" w:eastAsia="Times New Roman" w:hAnsi="Times New Roman" w:cs="Times New Roman"/>
          <w:sz w:val="24"/>
          <w:szCs w:val="24"/>
          <w:lang w:val="bg-BG"/>
        </w:rPr>
        <w:t>Обобщените проблеми на недвижимите културни ценности</w:t>
      </w:r>
      <w:r w:rsidR="0019461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разположени в териториалния обхват на плана са аналогични и в повечето случаи са проблеми при идентифицирането, изучаването</w:t>
      </w:r>
      <w:r w:rsidR="005320C4"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опазването</w:t>
      </w:r>
      <w:r w:rsidR="005320C4" w:rsidRPr="00610B1B">
        <w:rPr>
          <w:rFonts w:ascii="Times New Roman" w:eastAsia="Times New Roman" w:hAnsi="Times New Roman" w:cs="Times New Roman"/>
          <w:sz w:val="24"/>
          <w:szCs w:val="24"/>
          <w:lang w:val="bg-BG"/>
        </w:rPr>
        <w:t xml:space="preserve"> и</w:t>
      </w:r>
      <w:r w:rsidR="005320C4" w:rsidRPr="00610B1B">
        <w:rPr>
          <w:rFonts w:ascii="Times New Roman" w:hAnsi="Times New Roman" w:cs="Times New Roman"/>
          <w:lang w:val="bg-BG"/>
        </w:rPr>
        <w:t xml:space="preserve"> </w:t>
      </w:r>
      <w:r w:rsidR="005320C4" w:rsidRPr="00610B1B">
        <w:rPr>
          <w:rFonts w:ascii="Times New Roman" w:eastAsia="Times New Roman" w:hAnsi="Times New Roman" w:cs="Times New Roman"/>
          <w:sz w:val="24"/>
          <w:szCs w:val="24"/>
          <w:lang w:val="bg-BG"/>
        </w:rPr>
        <w:t>инфраструктурата на културния туризъм</w:t>
      </w:r>
      <w:r w:rsidRPr="00610B1B">
        <w:rPr>
          <w:rFonts w:ascii="Times New Roman" w:eastAsia="Times New Roman" w:hAnsi="Times New Roman" w:cs="Times New Roman"/>
          <w:sz w:val="24"/>
          <w:szCs w:val="24"/>
          <w:lang w:val="bg-BG"/>
        </w:rPr>
        <w:t xml:space="preserve">. </w:t>
      </w:r>
      <w:r w:rsidR="005320C4" w:rsidRPr="00610B1B">
        <w:rPr>
          <w:rFonts w:ascii="Times New Roman" w:eastAsia="Times New Roman" w:hAnsi="Times New Roman" w:cs="Times New Roman"/>
          <w:sz w:val="24"/>
          <w:szCs w:val="24"/>
          <w:lang w:val="bg-BG"/>
        </w:rPr>
        <w:t xml:space="preserve">За археологическите обекти тези дейности са в прерогативите на няколко институции, </w:t>
      </w:r>
      <w:r w:rsidR="00B35A5F" w:rsidRPr="00610B1B">
        <w:rPr>
          <w:rFonts w:ascii="Times New Roman" w:eastAsia="Times New Roman" w:hAnsi="Times New Roman" w:cs="Times New Roman"/>
          <w:sz w:val="24"/>
          <w:szCs w:val="24"/>
          <w:lang w:val="bg-BG"/>
        </w:rPr>
        <w:lastRenderedPageBreak/>
        <w:t xml:space="preserve">поради което </w:t>
      </w:r>
      <w:r w:rsidR="005320C4" w:rsidRPr="00610B1B">
        <w:rPr>
          <w:rFonts w:ascii="Times New Roman" w:eastAsia="Times New Roman" w:hAnsi="Times New Roman" w:cs="Times New Roman"/>
          <w:sz w:val="24"/>
          <w:szCs w:val="24"/>
          <w:lang w:val="bg-BG"/>
        </w:rPr>
        <w:t>много често се стига само до предварителна оценка придобива</w:t>
      </w:r>
      <w:r w:rsidR="00B35A5F" w:rsidRPr="00610B1B">
        <w:rPr>
          <w:rFonts w:ascii="Times New Roman" w:eastAsia="Times New Roman" w:hAnsi="Times New Roman" w:cs="Times New Roman"/>
          <w:sz w:val="24"/>
          <w:szCs w:val="24"/>
          <w:lang w:val="bg-BG"/>
        </w:rPr>
        <w:t>не на</w:t>
      </w:r>
      <w:r w:rsidR="005320C4" w:rsidRPr="00610B1B">
        <w:rPr>
          <w:rFonts w:ascii="Times New Roman" w:eastAsia="Times New Roman" w:hAnsi="Times New Roman" w:cs="Times New Roman"/>
          <w:sz w:val="24"/>
          <w:szCs w:val="24"/>
          <w:lang w:val="bg-BG"/>
        </w:rPr>
        <w:t xml:space="preserve"> статут. Необходимо е да се идентифицират като НКЦ обекти, които са с потенциал за „културен маршрут” и „културен ландшафт”, както и такива, които са представители на наследството на ХХ век.</w:t>
      </w:r>
    </w:p>
    <w:p w14:paraId="1FD3540C" w14:textId="2533FC99"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Голяма ч</w:t>
      </w:r>
      <w:r w:rsidR="00C076B6" w:rsidRPr="00610B1B">
        <w:rPr>
          <w:rFonts w:ascii="Times New Roman" w:eastAsia="Times New Roman" w:hAnsi="Times New Roman" w:cs="Times New Roman"/>
          <w:sz w:val="24"/>
          <w:szCs w:val="24"/>
          <w:lang w:val="bg-BG"/>
        </w:rPr>
        <w:t xml:space="preserve">аст от археологическите обекти </w:t>
      </w:r>
      <w:r w:rsidRPr="00610B1B">
        <w:rPr>
          <w:rFonts w:ascii="Times New Roman" w:eastAsia="Times New Roman" w:hAnsi="Times New Roman" w:cs="Times New Roman"/>
          <w:sz w:val="24"/>
          <w:szCs w:val="24"/>
          <w:lang w:val="bg-BG"/>
        </w:rPr>
        <w:t>с категория „национално” значение, се нуждаят от допълнителни археологически и исторически проучвания. Продължителността във времето на тези дейности обаче, допринася за физическата деградация на обектите. За същите тези обекти са необходими и архитектурни проучвания, които се игнорират, но които са съществена предпоставка за адекватно пров</w:t>
      </w:r>
      <w:r w:rsidR="008629C3" w:rsidRPr="00610B1B">
        <w:rPr>
          <w:rFonts w:ascii="Times New Roman" w:eastAsia="Times New Roman" w:hAnsi="Times New Roman" w:cs="Times New Roman"/>
          <w:sz w:val="24"/>
          <w:szCs w:val="24"/>
          <w:lang w:val="bg-BG"/>
        </w:rPr>
        <w:t>едени КРР дейности</w:t>
      </w:r>
      <w:r w:rsidR="00194619" w:rsidRPr="00610B1B">
        <w:rPr>
          <w:rFonts w:ascii="Times New Roman" w:eastAsia="Times New Roman" w:hAnsi="Times New Roman" w:cs="Times New Roman"/>
          <w:sz w:val="24"/>
          <w:szCs w:val="24"/>
          <w:lang w:val="bg-BG"/>
        </w:rPr>
        <w:t xml:space="preserve"> впоследствие</w:t>
      </w:r>
      <w:r w:rsidR="008629C3" w:rsidRPr="00610B1B">
        <w:rPr>
          <w:rFonts w:ascii="Times New Roman" w:eastAsia="Times New Roman" w:hAnsi="Times New Roman" w:cs="Times New Roman"/>
          <w:sz w:val="24"/>
          <w:szCs w:val="24"/>
          <w:lang w:val="bg-BG"/>
        </w:rPr>
        <w:t xml:space="preserve">. </w:t>
      </w:r>
    </w:p>
    <w:p w14:paraId="094C008B" w14:textId="52BD8F7E" w:rsidR="00442579" w:rsidRPr="00610B1B" w:rsidRDefault="008629C3"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В </w:t>
      </w:r>
      <w:r w:rsidR="00442579" w:rsidRPr="00610B1B">
        <w:rPr>
          <w:rFonts w:ascii="Times New Roman" w:eastAsia="Times New Roman" w:hAnsi="Times New Roman" w:cs="Times New Roman"/>
          <w:sz w:val="24"/>
          <w:szCs w:val="24"/>
          <w:lang w:val="bg-BG"/>
        </w:rPr>
        <w:t>защитени</w:t>
      </w:r>
      <w:r w:rsidRPr="00610B1B">
        <w:rPr>
          <w:rFonts w:ascii="Times New Roman" w:eastAsia="Times New Roman" w:hAnsi="Times New Roman" w:cs="Times New Roman"/>
          <w:sz w:val="24"/>
          <w:szCs w:val="24"/>
          <w:lang w:val="bg-BG"/>
        </w:rPr>
        <w:t>те</w:t>
      </w:r>
      <w:r w:rsidR="00442579" w:rsidRPr="00610B1B">
        <w:rPr>
          <w:rFonts w:ascii="Times New Roman" w:eastAsia="Times New Roman" w:hAnsi="Times New Roman" w:cs="Times New Roman"/>
          <w:sz w:val="24"/>
          <w:szCs w:val="24"/>
          <w:lang w:val="bg-BG"/>
        </w:rPr>
        <w:t xml:space="preserve"> територии</w:t>
      </w:r>
      <w:r w:rsidR="00B35A5F" w:rsidRPr="00610B1B">
        <w:rPr>
          <w:rFonts w:ascii="Times New Roman" w:eastAsia="Times New Roman" w:hAnsi="Times New Roman" w:cs="Times New Roman"/>
          <w:sz w:val="24"/>
          <w:szCs w:val="24"/>
          <w:lang w:val="bg-BG"/>
        </w:rPr>
        <w:t>, в</w:t>
      </w:r>
      <w:r w:rsidR="00442579" w:rsidRPr="00610B1B">
        <w:rPr>
          <w:rFonts w:ascii="Times New Roman" w:eastAsia="Times New Roman" w:hAnsi="Times New Roman" w:cs="Times New Roman"/>
          <w:sz w:val="24"/>
          <w:szCs w:val="24"/>
          <w:lang w:val="bg-BG"/>
        </w:rPr>
        <w:t xml:space="preserve"> горски фонд</w:t>
      </w:r>
      <w:r w:rsidR="00B35A5F" w:rsidRPr="00610B1B">
        <w:rPr>
          <w:rStyle w:val="FootnoteReference"/>
          <w:rFonts w:ascii="Times New Roman" w:eastAsia="Times New Roman" w:hAnsi="Times New Roman" w:cs="Times New Roman"/>
          <w:sz w:val="24"/>
          <w:szCs w:val="24"/>
          <w:lang w:val="bg-BG"/>
        </w:rPr>
        <w:footnoteReference w:id="143"/>
      </w:r>
      <w:r w:rsidR="00442579"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и в </w:t>
      </w:r>
      <w:r w:rsidR="00442579" w:rsidRPr="00610B1B">
        <w:rPr>
          <w:rFonts w:ascii="Times New Roman" w:eastAsia="Times New Roman" w:hAnsi="Times New Roman" w:cs="Times New Roman"/>
          <w:sz w:val="24"/>
          <w:szCs w:val="24"/>
          <w:lang w:val="bg-BG"/>
        </w:rPr>
        <w:t>терени</w:t>
      </w:r>
      <w:r w:rsidR="00194619" w:rsidRPr="00610B1B">
        <w:rPr>
          <w:rFonts w:ascii="Times New Roman" w:eastAsia="Times New Roman" w:hAnsi="Times New Roman" w:cs="Times New Roman"/>
          <w:sz w:val="24"/>
          <w:szCs w:val="24"/>
          <w:lang w:val="bg-BG"/>
        </w:rPr>
        <w:t>,</w:t>
      </w:r>
      <w:r w:rsidR="00442579" w:rsidRPr="00610B1B">
        <w:rPr>
          <w:rFonts w:ascii="Times New Roman" w:eastAsia="Times New Roman" w:hAnsi="Times New Roman" w:cs="Times New Roman"/>
          <w:sz w:val="24"/>
          <w:szCs w:val="24"/>
          <w:lang w:val="bg-BG"/>
        </w:rPr>
        <w:t xml:space="preserve"> собственост </w:t>
      </w:r>
      <w:r w:rsidRPr="00610B1B">
        <w:rPr>
          <w:rFonts w:ascii="Times New Roman" w:eastAsia="Times New Roman" w:hAnsi="Times New Roman" w:cs="Times New Roman"/>
          <w:sz w:val="24"/>
          <w:szCs w:val="24"/>
          <w:lang w:val="bg-BG"/>
        </w:rPr>
        <w:t>на</w:t>
      </w:r>
      <w:r w:rsidR="00442579" w:rsidRPr="00610B1B">
        <w:rPr>
          <w:rFonts w:ascii="Times New Roman" w:eastAsia="Times New Roman" w:hAnsi="Times New Roman" w:cs="Times New Roman"/>
          <w:sz w:val="24"/>
          <w:szCs w:val="24"/>
          <w:lang w:val="bg-BG"/>
        </w:rPr>
        <w:t xml:space="preserve"> Министерство на отбраната и на Министерство на вътрешните работи, разположени непосредствено на или в близост до бреговата </w:t>
      </w:r>
      <w:r w:rsidR="00B35A5F" w:rsidRPr="00610B1B">
        <w:rPr>
          <w:rFonts w:ascii="Times New Roman" w:eastAsia="Times New Roman" w:hAnsi="Times New Roman" w:cs="Times New Roman"/>
          <w:sz w:val="24"/>
          <w:szCs w:val="24"/>
          <w:lang w:val="bg-BG"/>
        </w:rPr>
        <w:t>линия</w:t>
      </w:r>
      <w:r w:rsidR="00442579" w:rsidRPr="00610B1B">
        <w:rPr>
          <w:rFonts w:ascii="Times New Roman" w:eastAsia="Times New Roman" w:hAnsi="Times New Roman" w:cs="Times New Roman"/>
          <w:sz w:val="24"/>
          <w:szCs w:val="24"/>
          <w:lang w:val="bg-BG"/>
        </w:rPr>
        <w:t>, не се допуска извършва</w:t>
      </w:r>
      <w:r w:rsidRPr="00610B1B">
        <w:rPr>
          <w:rFonts w:ascii="Times New Roman" w:eastAsia="Times New Roman" w:hAnsi="Times New Roman" w:cs="Times New Roman"/>
          <w:sz w:val="24"/>
          <w:szCs w:val="24"/>
          <w:lang w:val="bg-BG"/>
        </w:rPr>
        <w:t xml:space="preserve">не на археологически проучвания, </w:t>
      </w:r>
      <w:r w:rsidR="00442579" w:rsidRPr="00610B1B">
        <w:rPr>
          <w:rFonts w:ascii="Times New Roman" w:eastAsia="Times New Roman" w:hAnsi="Times New Roman" w:cs="Times New Roman"/>
          <w:sz w:val="24"/>
          <w:szCs w:val="24"/>
          <w:lang w:val="bg-BG"/>
        </w:rPr>
        <w:t xml:space="preserve">КРР дейности и социализация. Предвид стратегическото положение на България като външна граница и на ЕС и на НАТО, следва да се потърсят компромисни решения, аналогично на </w:t>
      </w:r>
      <w:r w:rsidRPr="00610B1B">
        <w:rPr>
          <w:rFonts w:ascii="Times New Roman" w:eastAsia="Times New Roman" w:hAnsi="Times New Roman" w:cs="Times New Roman"/>
          <w:sz w:val="24"/>
          <w:szCs w:val="24"/>
          <w:lang w:val="bg-BG"/>
        </w:rPr>
        <w:t>тези в</w:t>
      </w:r>
      <w:r w:rsidR="00442579" w:rsidRPr="00610B1B">
        <w:rPr>
          <w:rFonts w:ascii="Times New Roman" w:eastAsia="Times New Roman" w:hAnsi="Times New Roman" w:cs="Times New Roman"/>
          <w:sz w:val="24"/>
          <w:szCs w:val="24"/>
          <w:lang w:val="bg-BG"/>
        </w:rPr>
        <w:t xml:space="preserve"> Гърция и Италия</w:t>
      </w:r>
      <w:r w:rsidR="00B35A5F" w:rsidRPr="00610B1B">
        <w:rPr>
          <w:rFonts w:ascii="Times New Roman" w:eastAsia="Times New Roman" w:hAnsi="Times New Roman" w:cs="Times New Roman"/>
          <w:sz w:val="24"/>
          <w:szCs w:val="24"/>
          <w:lang w:val="bg-BG"/>
        </w:rPr>
        <w:t>,</w:t>
      </w:r>
      <w:r w:rsidR="002F3575" w:rsidRPr="00610B1B">
        <w:rPr>
          <w:rFonts w:ascii="Times New Roman" w:eastAsia="Times New Roman" w:hAnsi="Times New Roman" w:cs="Times New Roman"/>
          <w:sz w:val="24"/>
          <w:szCs w:val="24"/>
          <w:lang w:val="bg-BG"/>
        </w:rPr>
        <w:t xml:space="preserve"> с в</w:t>
      </w:r>
      <w:r w:rsidR="00442579" w:rsidRPr="00610B1B">
        <w:rPr>
          <w:rFonts w:ascii="Times New Roman" w:eastAsia="Times New Roman" w:hAnsi="Times New Roman" w:cs="Times New Roman"/>
          <w:sz w:val="24"/>
          <w:szCs w:val="24"/>
          <w:lang w:val="bg-BG"/>
        </w:rPr>
        <w:t>ъзможност за изучаване и експониране на археологическото наслед</w:t>
      </w:r>
      <w:r w:rsidRPr="00610B1B">
        <w:rPr>
          <w:rFonts w:ascii="Times New Roman" w:eastAsia="Times New Roman" w:hAnsi="Times New Roman" w:cs="Times New Roman"/>
          <w:sz w:val="24"/>
          <w:szCs w:val="24"/>
          <w:lang w:val="bg-BG"/>
        </w:rPr>
        <w:t>ство в зони със специален режим.</w:t>
      </w:r>
    </w:p>
    <w:p w14:paraId="4B26B886" w14:textId="47089E19" w:rsidR="00731C0F" w:rsidRPr="00610B1B" w:rsidRDefault="00731C0F" w:rsidP="00D32D6A">
      <w:pPr>
        <w:shd w:val="clear" w:color="auto" w:fill="FFFFFF"/>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Проблемите по опазването основно са резултат от възприемането на културните ценности като препятствие за бъдещо развитие; </w:t>
      </w:r>
      <w:r w:rsidR="00461059" w:rsidRPr="00610B1B">
        <w:rPr>
          <w:rFonts w:ascii="Times New Roman" w:hAnsi="Times New Roman" w:cs="Times New Roman"/>
          <w:sz w:val="24"/>
          <w:szCs w:val="24"/>
          <w:lang w:val="bg-BG"/>
        </w:rPr>
        <w:t xml:space="preserve">затруднените </w:t>
      </w:r>
      <w:r w:rsidRPr="00610B1B">
        <w:rPr>
          <w:rFonts w:ascii="Times New Roman" w:hAnsi="Times New Roman" w:cs="Times New Roman"/>
          <w:sz w:val="24"/>
          <w:szCs w:val="24"/>
          <w:lang w:val="bg-BG"/>
        </w:rPr>
        <w:t xml:space="preserve">действия за опазването им в частни имоти и в територии със специален режим; фрагментарните мерки и действия, често изразяващи се единствено чрез аварийна консервация; липсата на реализирани ПОУ за основна част от обектите. Привлекателността на крайморските територии, включително такива с НКЦ, изострят конфликтите между засиления инвеститорски интерес и опазването. </w:t>
      </w:r>
    </w:p>
    <w:p w14:paraId="3C75F1FF" w14:textId="41B8FD8D" w:rsidR="00442579" w:rsidRPr="00610B1B" w:rsidRDefault="008629C3"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Проблемите при социализацията са резултат от липсата на взаимодействие </w:t>
      </w:r>
      <w:r w:rsidR="00442579" w:rsidRPr="00610B1B">
        <w:rPr>
          <w:rFonts w:ascii="Times New Roman" w:eastAsia="Times New Roman" w:hAnsi="Times New Roman" w:cs="Times New Roman"/>
          <w:sz w:val="24"/>
          <w:szCs w:val="24"/>
          <w:lang w:val="bg-BG"/>
        </w:rPr>
        <w:t>между действащите културни, образователни и научни политики, на общинско, областно и регионално ниво</w:t>
      </w:r>
      <w:r w:rsidRPr="00610B1B">
        <w:rPr>
          <w:rFonts w:ascii="Times New Roman" w:eastAsia="Times New Roman" w:hAnsi="Times New Roman" w:cs="Times New Roman"/>
          <w:sz w:val="24"/>
          <w:szCs w:val="24"/>
          <w:lang w:val="bg-BG"/>
        </w:rPr>
        <w:t xml:space="preserve"> и недобрата координация между институциите, които в морското пространствено планиране са повече и с по-усложнени </w:t>
      </w:r>
      <w:r w:rsidR="00BB78A1" w:rsidRPr="00610B1B">
        <w:rPr>
          <w:rFonts w:ascii="Times New Roman" w:eastAsia="Times New Roman" w:hAnsi="Times New Roman" w:cs="Times New Roman"/>
          <w:sz w:val="24"/>
          <w:szCs w:val="24"/>
          <w:lang w:val="bg-BG"/>
        </w:rPr>
        <w:t>взаимоотношения</w:t>
      </w:r>
      <w:r w:rsidRPr="00610B1B">
        <w:rPr>
          <w:rFonts w:ascii="Times New Roman" w:eastAsia="Times New Roman" w:hAnsi="Times New Roman" w:cs="Times New Roman"/>
          <w:sz w:val="24"/>
          <w:szCs w:val="24"/>
          <w:lang w:val="bg-BG"/>
        </w:rPr>
        <w:t xml:space="preserve">. </w:t>
      </w:r>
      <w:r w:rsidR="00442579" w:rsidRPr="00610B1B">
        <w:rPr>
          <w:rFonts w:ascii="Times New Roman" w:eastAsia="Times New Roman" w:hAnsi="Times New Roman" w:cs="Times New Roman"/>
          <w:sz w:val="24"/>
          <w:szCs w:val="24"/>
          <w:lang w:val="bg-BG"/>
        </w:rPr>
        <w:t>Не с</w:t>
      </w:r>
      <w:r w:rsidRPr="00610B1B">
        <w:rPr>
          <w:rFonts w:ascii="Times New Roman" w:eastAsia="Times New Roman" w:hAnsi="Times New Roman" w:cs="Times New Roman"/>
          <w:sz w:val="24"/>
          <w:szCs w:val="24"/>
          <w:lang w:val="bg-BG"/>
        </w:rPr>
        <w:t>а</w:t>
      </w:r>
      <w:r w:rsidR="00442579" w:rsidRPr="00610B1B">
        <w:rPr>
          <w:rFonts w:ascii="Times New Roman" w:eastAsia="Times New Roman" w:hAnsi="Times New Roman" w:cs="Times New Roman"/>
          <w:sz w:val="24"/>
          <w:szCs w:val="24"/>
          <w:lang w:val="bg-BG"/>
        </w:rPr>
        <w:t xml:space="preserve"> използва</w:t>
      </w:r>
      <w:r w:rsidRPr="00610B1B">
        <w:rPr>
          <w:rFonts w:ascii="Times New Roman" w:eastAsia="Times New Roman" w:hAnsi="Times New Roman" w:cs="Times New Roman"/>
          <w:sz w:val="24"/>
          <w:szCs w:val="24"/>
          <w:lang w:val="bg-BG"/>
        </w:rPr>
        <w:t xml:space="preserve">ни достатъчно </w:t>
      </w:r>
      <w:r w:rsidR="00442579" w:rsidRPr="00610B1B">
        <w:rPr>
          <w:rFonts w:ascii="Times New Roman" w:eastAsia="Times New Roman" w:hAnsi="Times New Roman" w:cs="Times New Roman"/>
          <w:sz w:val="24"/>
          <w:szCs w:val="24"/>
          <w:lang w:val="bg-BG"/>
        </w:rPr>
        <w:t xml:space="preserve">възможностите на съвременните информационни технологии за социализация </w:t>
      </w:r>
      <w:r w:rsidR="00731C0F" w:rsidRPr="00610B1B">
        <w:rPr>
          <w:rFonts w:ascii="Times New Roman" w:eastAsia="Times New Roman" w:hAnsi="Times New Roman" w:cs="Times New Roman"/>
          <w:sz w:val="24"/>
          <w:szCs w:val="24"/>
          <w:lang w:val="bg-BG"/>
        </w:rPr>
        <w:t>и достъпност до културното</w:t>
      </w:r>
      <w:r w:rsidR="00442579" w:rsidRPr="00610B1B">
        <w:rPr>
          <w:rFonts w:ascii="Times New Roman" w:eastAsia="Times New Roman" w:hAnsi="Times New Roman" w:cs="Times New Roman"/>
          <w:sz w:val="24"/>
          <w:szCs w:val="24"/>
          <w:lang w:val="bg-BG"/>
        </w:rPr>
        <w:t xml:space="preserve"> наследство.</w:t>
      </w:r>
      <w:r w:rsidRPr="00610B1B">
        <w:rPr>
          <w:rFonts w:ascii="Times New Roman" w:eastAsia="Times New Roman" w:hAnsi="Times New Roman" w:cs="Times New Roman"/>
          <w:sz w:val="24"/>
          <w:szCs w:val="24"/>
          <w:lang w:val="bg-BG"/>
        </w:rPr>
        <w:t xml:space="preserve"> Липсата на адекватна за </w:t>
      </w:r>
      <w:r w:rsidR="00442579" w:rsidRPr="00610B1B">
        <w:rPr>
          <w:rFonts w:ascii="Times New Roman" w:eastAsia="Times New Roman" w:hAnsi="Times New Roman" w:cs="Times New Roman"/>
          <w:sz w:val="24"/>
          <w:szCs w:val="24"/>
          <w:lang w:val="bg-BG"/>
        </w:rPr>
        <w:t>ХХI в. информационна система за НКЦ</w:t>
      </w:r>
      <w:r w:rsidRPr="00610B1B">
        <w:rPr>
          <w:rFonts w:ascii="Times New Roman" w:eastAsia="Times New Roman" w:hAnsi="Times New Roman" w:cs="Times New Roman"/>
          <w:sz w:val="24"/>
          <w:szCs w:val="24"/>
          <w:lang w:val="bg-BG"/>
        </w:rPr>
        <w:t xml:space="preserve">, на </w:t>
      </w:r>
      <w:r w:rsidR="00442579" w:rsidRPr="00610B1B">
        <w:rPr>
          <w:rFonts w:ascii="Times New Roman" w:eastAsia="Times New Roman" w:hAnsi="Times New Roman" w:cs="Times New Roman"/>
          <w:sz w:val="24"/>
          <w:szCs w:val="24"/>
          <w:lang w:val="bg-BG"/>
        </w:rPr>
        <w:t>единна регионална политика за информ</w:t>
      </w:r>
      <w:r w:rsidRPr="00610B1B">
        <w:rPr>
          <w:rFonts w:ascii="Times New Roman" w:eastAsia="Times New Roman" w:hAnsi="Times New Roman" w:cs="Times New Roman"/>
          <w:sz w:val="24"/>
          <w:szCs w:val="24"/>
          <w:lang w:val="bg-BG"/>
        </w:rPr>
        <w:t>ационна обвързаност на обектите и на модерна</w:t>
      </w:r>
      <w:r w:rsidR="00442579" w:rsidRPr="00610B1B">
        <w:rPr>
          <w:rFonts w:ascii="Times New Roman" w:eastAsia="Times New Roman" w:hAnsi="Times New Roman" w:cs="Times New Roman"/>
          <w:sz w:val="24"/>
          <w:szCs w:val="24"/>
          <w:lang w:val="bg-BG"/>
        </w:rPr>
        <w:t xml:space="preserve"> музейна инфраструктура</w:t>
      </w:r>
      <w:r w:rsidRPr="00610B1B">
        <w:rPr>
          <w:rFonts w:ascii="Times New Roman" w:eastAsia="Times New Roman" w:hAnsi="Times New Roman" w:cs="Times New Roman"/>
          <w:sz w:val="24"/>
          <w:szCs w:val="24"/>
          <w:lang w:val="bg-BG"/>
        </w:rPr>
        <w:t xml:space="preserve"> </w:t>
      </w:r>
      <w:r w:rsidR="00194619" w:rsidRPr="00610B1B">
        <w:rPr>
          <w:rFonts w:ascii="Times New Roman" w:eastAsia="Times New Roman" w:hAnsi="Times New Roman" w:cs="Times New Roman"/>
          <w:sz w:val="24"/>
          <w:szCs w:val="24"/>
          <w:lang w:val="bg-BG"/>
        </w:rPr>
        <w:t>създават</w:t>
      </w:r>
      <w:r w:rsidRPr="00610B1B">
        <w:rPr>
          <w:rFonts w:ascii="Times New Roman" w:eastAsia="Times New Roman" w:hAnsi="Times New Roman" w:cs="Times New Roman"/>
          <w:sz w:val="24"/>
          <w:szCs w:val="24"/>
          <w:lang w:val="bg-BG"/>
        </w:rPr>
        <w:t xml:space="preserve"> </w:t>
      </w:r>
      <w:r w:rsidR="00194619" w:rsidRPr="00610B1B">
        <w:rPr>
          <w:rFonts w:ascii="Times New Roman" w:eastAsia="Times New Roman" w:hAnsi="Times New Roman" w:cs="Times New Roman"/>
          <w:sz w:val="24"/>
          <w:szCs w:val="24"/>
          <w:lang w:val="bg-BG"/>
        </w:rPr>
        <w:t xml:space="preserve">допълнителни </w:t>
      </w:r>
      <w:r w:rsidRPr="00610B1B">
        <w:rPr>
          <w:rFonts w:ascii="Times New Roman" w:eastAsia="Times New Roman" w:hAnsi="Times New Roman" w:cs="Times New Roman"/>
          <w:sz w:val="24"/>
          <w:szCs w:val="24"/>
          <w:lang w:val="bg-BG"/>
        </w:rPr>
        <w:t>проблеми</w:t>
      </w:r>
      <w:r w:rsidR="0019461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w:t>
      </w:r>
    </w:p>
    <w:p w14:paraId="45E65574" w14:textId="7BB07682" w:rsidR="00FD7CFF" w:rsidRPr="00610B1B" w:rsidRDefault="008629C3"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Проблемите при обектите под вода са специфични, една част от които произлизат от недостатъчната проученост на подводното културно наследство. </w:t>
      </w:r>
      <w:r w:rsidR="00442579" w:rsidRPr="00610B1B">
        <w:rPr>
          <w:rFonts w:ascii="Times New Roman" w:eastAsia="Times New Roman" w:hAnsi="Times New Roman" w:cs="Times New Roman"/>
          <w:sz w:val="24"/>
          <w:szCs w:val="24"/>
          <w:lang w:val="bg-BG"/>
        </w:rPr>
        <w:t>Дори най-съвременните методи на изследване не гарантират, че в изследваните зони са идентифицирани всички обекти. Много от тях, дори такива в много добро физическо състояние, остават напълно скрити в наноси под дъното. Идентифицираните обекти на подводното КН се нуждаят от цялостно проучване</w:t>
      </w:r>
      <w:r w:rsidR="00FD7CFF" w:rsidRPr="00610B1B">
        <w:rPr>
          <w:rFonts w:ascii="Times New Roman" w:eastAsia="Times New Roman" w:hAnsi="Times New Roman" w:cs="Times New Roman"/>
          <w:sz w:val="24"/>
          <w:szCs w:val="24"/>
          <w:lang w:val="bg-BG"/>
        </w:rPr>
        <w:t xml:space="preserve">, но систематичното изследване и картиране се нуждае от много финансови, човешки и технологични ресурси. </w:t>
      </w:r>
    </w:p>
    <w:p w14:paraId="10BE59E6" w14:textId="470E01AC" w:rsidR="00FD7CFF"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lastRenderedPageBreak/>
        <w:t xml:space="preserve">Поради това, че изследваната част </w:t>
      </w:r>
      <w:r w:rsidR="00194619" w:rsidRPr="00610B1B">
        <w:rPr>
          <w:rFonts w:ascii="Times New Roman" w:eastAsia="Times New Roman" w:hAnsi="Times New Roman" w:cs="Times New Roman"/>
          <w:sz w:val="24"/>
          <w:szCs w:val="24"/>
          <w:lang w:val="bg-BG"/>
        </w:rPr>
        <w:t>в обхвата</w:t>
      </w:r>
      <w:r w:rsidRPr="00610B1B">
        <w:rPr>
          <w:rFonts w:ascii="Times New Roman" w:eastAsia="Times New Roman" w:hAnsi="Times New Roman" w:cs="Times New Roman"/>
          <w:sz w:val="24"/>
          <w:szCs w:val="24"/>
          <w:lang w:val="bg-BG"/>
        </w:rPr>
        <w:t xml:space="preserve"> на МППРБ е много малка, множество обекти КН са неизвестни и за тяхното опазване не могат да се предприемат адекватни мерки. Обектите на подводното КН често се възприемат като препятствие за осъществяване на стопанска дейност</w:t>
      </w:r>
      <w:r w:rsidR="00FD7CFF" w:rsidRPr="00610B1B">
        <w:rPr>
          <w:rFonts w:ascii="Times New Roman" w:eastAsia="Times New Roman" w:hAnsi="Times New Roman" w:cs="Times New Roman"/>
          <w:sz w:val="24"/>
          <w:szCs w:val="24"/>
          <w:lang w:val="bg-BG"/>
        </w:rPr>
        <w:t xml:space="preserve"> и п</w:t>
      </w:r>
      <w:r w:rsidRPr="00610B1B">
        <w:rPr>
          <w:rFonts w:ascii="Times New Roman" w:eastAsia="Times New Roman" w:hAnsi="Times New Roman" w:cs="Times New Roman"/>
          <w:sz w:val="24"/>
          <w:szCs w:val="24"/>
          <w:lang w:val="bg-BG"/>
        </w:rPr>
        <w:t>оради това</w:t>
      </w:r>
      <w:r w:rsidR="00FD7CFF"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при липса на законодателни мерки, подводното КН се разрушава. Развитието на технологиите за морски изследвания прави достъпни за все по-широк кръг лица множество обекти, които само преди 10 години </w:t>
      </w:r>
      <w:r w:rsidR="00194619" w:rsidRPr="00610B1B">
        <w:rPr>
          <w:rFonts w:ascii="Times New Roman" w:eastAsia="Times New Roman" w:hAnsi="Times New Roman" w:cs="Times New Roman"/>
          <w:sz w:val="24"/>
          <w:szCs w:val="24"/>
          <w:lang w:val="bg-BG"/>
        </w:rPr>
        <w:t xml:space="preserve">се считаха </w:t>
      </w:r>
      <w:r w:rsidRPr="00610B1B">
        <w:rPr>
          <w:rFonts w:ascii="Times New Roman" w:eastAsia="Times New Roman" w:hAnsi="Times New Roman" w:cs="Times New Roman"/>
          <w:sz w:val="24"/>
          <w:szCs w:val="24"/>
          <w:lang w:val="bg-BG"/>
        </w:rPr>
        <w:t xml:space="preserve">за опазени от своята недостъпност. В най-близка перспектива това засилва опасността от разграбване и унищожаване на обекти на подводното КН. Няма общ световен консенсус за нуждата от опазване на подводното </w:t>
      </w:r>
      <w:r w:rsidR="00FD7CFF" w:rsidRPr="00610B1B">
        <w:rPr>
          <w:rFonts w:ascii="Times New Roman" w:eastAsia="Times New Roman" w:hAnsi="Times New Roman" w:cs="Times New Roman"/>
          <w:sz w:val="24"/>
          <w:szCs w:val="24"/>
          <w:lang w:val="bg-BG"/>
        </w:rPr>
        <w:t>културно наследство</w:t>
      </w:r>
      <w:r w:rsidRPr="00610B1B">
        <w:rPr>
          <w:rFonts w:ascii="Times New Roman" w:eastAsia="Times New Roman" w:hAnsi="Times New Roman" w:cs="Times New Roman"/>
          <w:sz w:val="24"/>
          <w:szCs w:val="24"/>
          <w:lang w:val="bg-BG"/>
        </w:rPr>
        <w:t xml:space="preserve">. </w:t>
      </w:r>
    </w:p>
    <w:p w14:paraId="5C0FE52C" w14:textId="6E8C584D"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Социализацията на подводното </w:t>
      </w:r>
      <w:r w:rsidR="00FD7CFF" w:rsidRPr="00610B1B">
        <w:rPr>
          <w:rFonts w:ascii="Times New Roman" w:eastAsia="Times New Roman" w:hAnsi="Times New Roman" w:cs="Times New Roman"/>
          <w:sz w:val="24"/>
          <w:szCs w:val="24"/>
          <w:lang w:val="bg-BG"/>
        </w:rPr>
        <w:t>културно наследство</w:t>
      </w:r>
      <w:r w:rsidRPr="00610B1B">
        <w:rPr>
          <w:rFonts w:ascii="Times New Roman" w:eastAsia="Times New Roman" w:hAnsi="Times New Roman" w:cs="Times New Roman"/>
          <w:sz w:val="24"/>
          <w:szCs w:val="24"/>
          <w:lang w:val="bg-BG"/>
        </w:rPr>
        <w:t xml:space="preserve">, която би могла да </w:t>
      </w:r>
      <w:r w:rsidR="00FD7CFF" w:rsidRPr="00610B1B">
        <w:rPr>
          <w:rFonts w:ascii="Times New Roman" w:eastAsia="Times New Roman" w:hAnsi="Times New Roman" w:cs="Times New Roman"/>
          <w:sz w:val="24"/>
          <w:szCs w:val="24"/>
          <w:lang w:val="bg-BG"/>
        </w:rPr>
        <w:t>е</w:t>
      </w:r>
      <w:r w:rsidRPr="00610B1B">
        <w:rPr>
          <w:rFonts w:ascii="Times New Roman" w:eastAsia="Times New Roman" w:hAnsi="Times New Roman" w:cs="Times New Roman"/>
          <w:sz w:val="24"/>
          <w:szCs w:val="24"/>
          <w:lang w:val="bg-BG"/>
        </w:rPr>
        <w:t xml:space="preserve"> силен фактор за неговото опазване, е много по-трудна от тази на сухоземното </w:t>
      </w:r>
      <w:r w:rsidR="00FD7CFF" w:rsidRPr="00610B1B">
        <w:rPr>
          <w:rFonts w:ascii="Times New Roman" w:eastAsia="Times New Roman" w:hAnsi="Times New Roman" w:cs="Times New Roman"/>
          <w:sz w:val="24"/>
          <w:szCs w:val="24"/>
          <w:lang w:val="bg-BG"/>
        </w:rPr>
        <w:t>културно наследство</w:t>
      </w:r>
      <w:r w:rsidRPr="00610B1B">
        <w:rPr>
          <w:rFonts w:ascii="Times New Roman" w:eastAsia="Times New Roman" w:hAnsi="Times New Roman" w:cs="Times New Roman"/>
          <w:sz w:val="24"/>
          <w:szCs w:val="24"/>
          <w:lang w:val="bg-BG"/>
        </w:rPr>
        <w:t xml:space="preserve">. Независимо от избрания подход (пряко посещение, специализирани музейни сбирки и експозиции, прилагане на дигитални технологии), </w:t>
      </w:r>
      <w:r w:rsidR="0019461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довеждането</w:t>
      </w:r>
      <w:r w:rsidR="0019461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на обществото до подводното </w:t>
      </w:r>
      <w:r w:rsidR="00FD7CFF" w:rsidRPr="00610B1B">
        <w:rPr>
          <w:rFonts w:ascii="Times New Roman" w:eastAsia="Times New Roman" w:hAnsi="Times New Roman" w:cs="Times New Roman"/>
          <w:sz w:val="24"/>
          <w:szCs w:val="24"/>
          <w:lang w:val="bg-BG"/>
        </w:rPr>
        <w:t>културно наследство</w:t>
      </w:r>
      <w:r w:rsidRPr="00610B1B">
        <w:rPr>
          <w:rFonts w:ascii="Times New Roman" w:eastAsia="Times New Roman" w:hAnsi="Times New Roman" w:cs="Times New Roman"/>
          <w:sz w:val="24"/>
          <w:szCs w:val="24"/>
          <w:lang w:val="bg-BG"/>
        </w:rPr>
        <w:t xml:space="preserve"> остава сложна </w:t>
      </w:r>
      <w:r w:rsidR="00194619" w:rsidRPr="00610B1B">
        <w:rPr>
          <w:rFonts w:ascii="Times New Roman" w:eastAsia="Times New Roman" w:hAnsi="Times New Roman" w:cs="Times New Roman"/>
          <w:sz w:val="24"/>
          <w:szCs w:val="24"/>
          <w:lang w:val="bg-BG"/>
        </w:rPr>
        <w:t xml:space="preserve">и деликатна </w:t>
      </w:r>
      <w:r w:rsidRPr="00610B1B">
        <w:rPr>
          <w:rFonts w:ascii="Times New Roman" w:eastAsia="Times New Roman" w:hAnsi="Times New Roman" w:cs="Times New Roman"/>
          <w:sz w:val="24"/>
          <w:szCs w:val="24"/>
          <w:lang w:val="bg-BG"/>
        </w:rPr>
        <w:t>техническа задача.</w:t>
      </w:r>
      <w:r w:rsidR="00FD7CFF"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Социализирането на подводното КН може да се окаже разрушително за него поради иманярство, пряко въздействие или разрушаване на </w:t>
      </w:r>
      <w:r w:rsidR="00FD7CFF" w:rsidRPr="00610B1B">
        <w:rPr>
          <w:rFonts w:ascii="Times New Roman" w:eastAsia="Times New Roman" w:hAnsi="Times New Roman" w:cs="Times New Roman"/>
          <w:sz w:val="24"/>
          <w:szCs w:val="24"/>
          <w:lang w:val="bg-BG"/>
        </w:rPr>
        <w:t xml:space="preserve">подводната среда. </w:t>
      </w:r>
      <w:r w:rsidRPr="00610B1B">
        <w:rPr>
          <w:rFonts w:ascii="Times New Roman" w:eastAsia="Times New Roman" w:hAnsi="Times New Roman" w:cs="Times New Roman"/>
          <w:sz w:val="24"/>
          <w:szCs w:val="24"/>
          <w:lang w:val="bg-BG"/>
        </w:rPr>
        <w:t xml:space="preserve">В България са реализирани няколко опита за социализация и представяне на подводното </w:t>
      </w:r>
      <w:r w:rsidR="00FD7CFF" w:rsidRPr="00610B1B">
        <w:rPr>
          <w:rFonts w:ascii="Times New Roman" w:eastAsia="Times New Roman" w:hAnsi="Times New Roman" w:cs="Times New Roman"/>
          <w:sz w:val="24"/>
          <w:szCs w:val="24"/>
          <w:lang w:val="bg-BG"/>
        </w:rPr>
        <w:t>културно наследство в традиционна музейна среда, но с</w:t>
      </w:r>
      <w:r w:rsidRPr="00610B1B">
        <w:rPr>
          <w:rFonts w:ascii="Times New Roman" w:eastAsia="Times New Roman" w:hAnsi="Times New Roman" w:cs="Times New Roman"/>
          <w:sz w:val="24"/>
          <w:szCs w:val="24"/>
          <w:lang w:val="bg-BG"/>
        </w:rPr>
        <w:t>ъществуващата инфраструктура не е съобразена с</w:t>
      </w:r>
      <w:r w:rsidR="00FD7CFF" w:rsidRPr="00610B1B">
        <w:rPr>
          <w:rFonts w:ascii="Times New Roman" w:eastAsia="Times New Roman" w:hAnsi="Times New Roman" w:cs="Times New Roman"/>
          <w:sz w:val="24"/>
          <w:szCs w:val="24"/>
          <w:lang w:val="bg-BG"/>
        </w:rPr>
        <w:t xml:space="preserve">ъс спецификата му. </w:t>
      </w:r>
    </w:p>
    <w:p w14:paraId="232DC6AC" w14:textId="3C0A670F" w:rsidR="00E62919" w:rsidRPr="00610B1B" w:rsidRDefault="00FD7CFF"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Последната група проблеми е свързана с териториите в риск, като например бързите сеизмични съвременни движения в </w:t>
      </w:r>
      <w:r w:rsidR="00442579" w:rsidRPr="00610B1B">
        <w:rPr>
          <w:rFonts w:ascii="Times New Roman" w:eastAsia="Times New Roman" w:hAnsi="Times New Roman" w:cs="Times New Roman"/>
          <w:sz w:val="24"/>
          <w:szCs w:val="24"/>
          <w:lang w:val="bg-BG"/>
        </w:rPr>
        <w:t>приморската част на Добруджанското плато</w:t>
      </w:r>
      <w:r w:rsidRPr="00610B1B">
        <w:rPr>
          <w:rFonts w:ascii="Times New Roman" w:eastAsia="Times New Roman" w:hAnsi="Times New Roman" w:cs="Times New Roman"/>
          <w:sz w:val="24"/>
          <w:szCs w:val="24"/>
          <w:lang w:val="bg-BG"/>
        </w:rPr>
        <w:t xml:space="preserve">. </w:t>
      </w:r>
      <w:r w:rsidR="00442579" w:rsidRPr="00610B1B">
        <w:rPr>
          <w:rFonts w:ascii="Times New Roman" w:eastAsia="Times New Roman" w:hAnsi="Times New Roman" w:cs="Times New Roman"/>
          <w:sz w:val="24"/>
          <w:szCs w:val="24"/>
          <w:lang w:val="bg-BG"/>
        </w:rPr>
        <w:t>В района на Калиакра и Шабла те се проявяват с интензитет IX степен и сеизмичен коефициент 0,27. В този район е имало няколко разрушителни земетресения</w:t>
      </w:r>
      <w:r w:rsidR="00194619" w:rsidRPr="00610B1B">
        <w:rPr>
          <w:rFonts w:ascii="Times New Roman" w:eastAsia="Times New Roman" w:hAnsi="Times New Roman" w:cs="Times New Roman"/>
          <w:sz w:val="24"/>
          <w:szCs w:val="24"/>
          <w:lang w:val="bg-BG"/>
        </w:rPr>
        <w:t xml:space="preserve">, които </w:t>
      </w:r>
      <w:r w:rsidR="00442579" w:rsidRPr="00610B1B">
        <w:rPr>
          <w:rFonts w:ascii="Times New Roman" w:eastAsia="Times New Roman" w:hAnsi="Times New Roman" w:cs="Times New Roman"/>
          <w:sz w:val="24"/>
          <w:szCs w:val="24"/>
          <w:lang w:val="bg-BG"/>
        </w:rPr>
        <w:t>застрашават недвижимите културни ценности в крайбрежната зона северно от Каварна до г</w:t>
      </w:r>
      <w:r w:rsidRPr="00610B1B">
        <w:rPr>
          <w:rFonts w:ascii="Times New Roman" w:eastAsia="Times New Roman" w:hAnsi="Times New Roman" w:cs="Times New Roman"/>
          <w:sz w:val="24"/>
          <w:szCs w:val="24"/>
          <w:lang w:val="bg-BG"/>
        </w:rPr>
        <w:t xml:space="preserve">раницата с Румъния. </w:t>
      </w:r>
      <w:r w:rsidR="00194619" w:rsidRPr="00610B1B">
        <w:rPr>
          <w:rFonts w:ascii="Times New Roman" w:eastAsia="Times New Roman" w:hAnsi="Times New Roman" w:cs="Times New Roman"/>
          <w:sz w:val="24"/>
          <w:szCs w:val="24"/>
          <w:lang w:val="bg-BG"/>
        </w:rPr>
        <w:t xml:space="preserve">Районът </w:t>
      </w:r>
      <w:r w:rsidR="00442579" w:rsidRPr="00610B1B">
        <w:rPr>
          <w:rFonts w:ascii="Times New Roman" w:eastAsia="Times New Roman" w:hAnsi="Times New Roman" w:cs="Times New Roman"/>
          <w:sz w:val="24"/>
          <w:szCs w:val="24"/>
          <w:lang w:val="bg-BG"/>
        </w:rPr>
        <w:t>се характеризира с още един рисков фактор - свлачищата. Характерни образувания на релефа са свлачищните стъпала и срутища, които са типични явления и форми за тази част н</w:t>
      </w:r>
      <w:r w:rsidR="00E62919" w:rsidRPr="00610B1B">
        <w:rPr>
          <w:rFonts w:ascii="Times New Roman" w:eastAsia="Times New Roman" w:hAnsi="Times New Roman" w:cs="Times New Roman"/>
          <w:sz w:val="24"/>
          <w:szCs w:val="24"/>
          <w:lang w:val="bg-BG"/>
        </w:rPr>
        <w:t xml:space="preserve">а черноморското крайбрежие. </w:t>
      </w:r>
    </w:p>
    <w:p w14:paraId="612B86F2" w14:textId="3FF0D6B8"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Подводното КН е застрашено от реализацията на големи инфраструктурни проекти, които променят средата. Пример за това е промяната на нивата на Варненското и Белославското езеро след прокопаването на Канал 1 и Канала 2 и свързването на езерата с морето. Изграждането на пристанища и отделни крайбрежни съоръжения променя баланса на седиментите в района, което може да се окаже заплаха за самото подводно </w:t>
      </w:r>
      <w:r w:rsidR="00E62919" w:rsidRPr="00610B1B">
        <w:rPr>
          <w:rFonts w:ascii="Times New Roman" w:eastAsia="Times New Roman" w:hAnsi="Times New Roman" w:cs="Times New Roman"/>
          <w:sz w:val="24"/>
          <w:szCs w:val="24"/>
          <w:lang w:val="bg-BG"/>
        </w:rPr>
        <w:t>културно наследство</w:t>
      </w:r>
      <w:r w:rsidRPr="00610B1B">
        <w:rPr>
          <w:rFonts w:ascii="Times New Roman" w:eastAsia="Times New Roman" w:hAnsi="Times New Roman" w:cs="Times New Roman"/>
          <w:sz w:val="24"/>
          <w:szCs w:val="24"/>
          <w:lang w:val="bg-BG"/>
        </w:rPr>
        <w:t xml:space="preserve"> и за изучаване</w:t>
      </w:r>
      <w:r w:rsidR="00E62919" w:rsidRPr="00610B1B">
        <w:rPr>
          <w:rFonts w:ascii="Times New Roman" w:eastAsia="Times New Roman" w:hAnsi="Times New Roman" w:cs="Times New Roman"/>
          <w:sz w:val="24"/>
          <w:szCs w:val="24"/>
          <w:lang w:val="bg-BG"/>
        </w:rPr>
        <w:t>то му</w:t>
      </w:r>
      <w:r w:rsidRPr="00610B1B">
        <w:rPr>
          <w:rFonts w:ascii="Times New Roman" w:eastAsia="Times New Roman" w:hAnsi="Times New Roman" w:cs="Times New Roman"/>
          <w:sz w:val="24"/>
          <w:szCs w:val="24"/>
          <w:lang w:val="bg-BG"/>
        </w:rPr>
        <w:t xml:space="preserve">. Замърсяването на морето с органични и неорганични вещества, навлизането на инвазивни видове също са фактори за разрушаване на средата, в която </w:t>
      </w:r>
      <w:r w:rsidR="00E62919" w:rsidRPr="00610B1B">
        <w:rPr>
          <w:rFonts w:ascii="Times New Roman" w:eastAsia="Times New Roman" w:hAnsi="Times New Roman" w:cs="Times New Roman"/>
          <w:sz w:val="24"/>
          <w:szCs w:val="24"/>
          <w:lang w:val="bg-BG"/>
        </w:rPr>
        <w:t>то</w:t>
      </w:r>
      <w:r w:rsidRPr="00610B1B">
        <w:rPr>
          <w:rFonts w:ascii="Times New Roman" w:eastAsia="Times New Roman" w:hAnsi="Times New Roman" w:cs="Times New Roman"/>
          <w:sz w:val="24"/>
          <w:szCs w:val="24"/>
          <w:lang w:val="bg-BG"/>
        </w:rPr>
        <w:t xml:space="preserve"> се е съхранило досега. </w:t>
      </w:r>
    </w:p>
    <w:p w14:paraId="2FA2A32E" w14:textId="532B5FF2" w:rsidR="00442579" w:rsidRPr="00610B1B" w:rsidRDefault="00E62919" w:rsidP="00D32D6A">
      <w:pPr>
        <w:pStyle w:val="Heading4"/>
        <w:spacing w:before="0" w:line="276" w:lineRule="auto"/>
        <w:ind w:right="-153"/>
        <w:rPr>
          <w:rFonts w:cs="Times New Roman"/>
        </w:rPr>
      </w:pPr>
      <w:r w:rsidRPr="00610B1B">
        <w:rPr>
          <w:rFonts w:cs="Times New Roman"/>
        </w:rPr>
        <w:t xml:space="preserve">3.7.2.6. Музейна мрежа </w:t>
      </w:r>
    </w:p>
    <w:p w14:paraId="671FE153" w14:textId="477C9863" w:rsidR="00442579" w:rsidRPr="00610B1B" w:rsidRDefault="00442579" w:rsidP="00D32D6A">
      <w:pPr>
        <w:shd w:val="clear" w:color="auto" w:fill="FFFFFF"/>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Музеите, съществуващи в обхвата на </w:t>
      </w:r>
      <w:r w:rsidR="00E62919" w:rsidRPr="00610B1B">
        <w:rPr>
          <w:rFonts w:ascii="Times New Roman" w:eastAsia="Times New Roman" w:hAnsi="Times New Roman" w:cs="Times New Roman"/>
          <w:sz w:val="24"/>
          <w:szCs w:val="24"/>
          <w:lang w:val="bg-BG"/>
        </w:rPr>
        <w:t>Морския пространствен план,</w:t>
      </w:r>
      <w:r w:rsidRPr="00610B1B">
        <w:rPr>
          <w:rFonts w:ascii="Times New Roman" w:eastAsia="Times New Roman" w:hAnsi="Times New Roman" w:cs="Times New Roman"/>
          <w:sz w:val="24"/>
          <w:szCs w:val="24"/>
          <w:lang w:val="bg-BG"/>
        </w:rPr>
        <w:t xml:space="preserve"> са класифицирани съобразно чл. 26, ал.</w:t>
      </w:r>
      <w:r w:rsidR="00E62919"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2 от ЗКН, според техния териториален обхват на дейност</w:t>
      </w:r>
      <w:r w:rsidR="00E62919"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 национални, регионални и местни музеи.</w:t>
      </w:r>
      <w:r w:rsidR="00E62919"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Общо </w:t>
      </w:r>
      <w:r w:rsidR="00EF0966" w:rsidRPr="00610B1B">
        <w:rPr>
          <w:rFonts w:ascii="Times New Roman" w:eastAsia="Times New Roman" w:hAnsi="Times New Roman" w:cs="Times New Roman"/>
          <w:sz w:val="24"/>
          <w:szCs w:val="24"/>
          <w:lang w:val="bg-BG"/>
        </w:rPr>
        <w:t>в</w:t>
      </w:r>
      <w:r w:rsidRPr="00610B1B">
        <w:rPr>
          <w:rFonts w:ascii="Times New Roman" w:eastAsia="Times New Roman" w:hAnsi="Times New Roman" w:cs="Times New Roman"/>
          <w:sz w:val="24"/>
          <w:szCs w:val="24"/>
          <w:lang w:val="bg-BG"/>
        </w:rPr>
        <w:t xml:space="preserve"> </w:t>
      </w:r>
      <w:r w:rsidR="00EF0966" w:rsidRPr="00610B1B">
        <w:rPr>
          <w:rFonts w:ascii="Times New Roman" w:eastAsia="Times New Roman" w:hAnsi="Times New Roman" w:cs="Times New Roman"/>
          <w:sz w:val="24"/>
          <w:szCs w:val="24"/>
          <w:lang w:val="bg-BG"/>
        </w:rPr>
        <w:t>този</w:t>
      </w:r>
      <w:r w:rsidRPr="00610B1B">
        <w:rPr>
          <w:rFonts w:ascii="Times New Roman" w:eastAsia="Times New Roman" w:hAnsi="Times New Roman" w:cs="Times New Roman"/>
          <w:sz w:val="24"/>
          <w:szCs w:val="24"/>
          <w:lang w:val="bg-BG"/>
        </w:rPr>
        <w:t xml:space="preserve"> обхват </w:t>
      </w:r>
      <w:r w:rsidR="00EF0966" w:rsidRPr="00610B1B">
        <w:rPr>
          <w:rFonts w:ascii="Times New Roman" w:eastAsia="Times New Roman" w:hAnsi="Times New Roman" w:cs="Times New Roman"/>
          <w:sz w:val="24"/>
          <w:szCs w:val="24"/>
          <w:lang w:val="bg-BG"/>
        </w:rPr>
        <w:t>попадат 24</w:t>
      </w:r>
      <w:r w:rsidRPr="00610B1B">
        <w:rPr>
          <w:rFonts w:ascii="Times New Roman" w:eastAsia="Times New Roman" w:hAnsi="Times New Roman" w:cs="Times New Roman"/>
          <w:b/>
          <w:sz w:val="24"/>
          <w:szCs w:val="24"/>
          <w:lang w:val="bg-BG"/>
        </w:rPr>
        <w:t xml:space="preserve"> </w:t>
      </w:r>
      <w:r w:rsidRPr="00610B1B">
        <w:rPr>
          <w:rFonts w:ascii="Times New Roman" w:eastAsia="Times New Roman" w:hAnsi="Times New Roman" w:cs="Times New Roman"/>
          <w:sz w:val="24"/>
          <w:szCs w:val="24"/>
          <w:lang w:val="bg-BG"/>
        </w:rPr>
        <w:t>музе</w:t>
      </w:r>
      <w:r w:rsidR="00EF0966" w:rsidRPr="00610B1B">
        <w:rPr>
          <w:rFonts w:ascii="Times New Roman" w:eastAsia="Times New Roman" w:hAnsi="Times New Roman" w:cs="Times New Roman"/>
          <w:sz w:val="24"/>
          <w:szCs w:val="24"/>
          <w:lang w:val="bg-BG"/>
        </w:rPr>
        <w:t>я, 3</w:t>
      </w:r>
      <w:r w:rsidRPr="00610B1B">
        <w:rPr>
          <w:rFonts w:ascii="Times New Roman" w:eastAsia="Times New Roman" w:hAnsi="Times New Roman" w:cs="Times New Roman"/>
          <w:sz w:val="24"/>
          <w:szCs w:val="24"/>
          <w:lang w:val="bg-BG"/>
        </w:rPr>
        <w:t xml:space="preserve"> художествени галерии, </w:t>
      </w:r>
      <w:r w:rsidR="00EF0966" w:rsidRPr="00610B1B">
        <w:rPr>
          <w:rFonts w:ascii="Times New Roman" w:eastAsia="Times New Roman" w:hAnsi="Times New Roman" w:cs="Times New Roman"/>
          <w:sz w:val="24"/>
          <w:szCs w:val="24"/>
          <w:lang w:val="bg-BG"/>
        </w:rPr>
        <w:t xml:space="preserve">4 </w:t>
      </w:r>
      <w:r w:rsidRPr="00610B1B">
        <w:rPr>
          <w:rFonts w:ascii="Times New Roman" w:eastAsia="Times New Roman" w:hAnsi="Times New Roman" w:cs="Times New Roman"/>
          <w:sz w:val="24"/>
          <w:szCs w:val="24"/>
          <w:lang w:val="bg-BG"/>
        </w:rPr>
        <w:t>музейни сбирки</w:t>
      </w:r>
      <w:r w:rsidR="00EF0966" w:rsidRPr="00610B1B">
        <w:rPr>
          <w:rFonts w:ascii="Times New Roman" w:eastAsia="Times New Roman" w:hAnsi="Times New Roman" w:cs="Times New Roman"/>
          <w:sz w:val="24"/>
          <w:szCs w:val="24"/>
          <w:lang w:val="bg-BG"/>
        </w:rPr>
        <w:t xml:space="preserve"> и 1</w:t>
      </w:r>
      <w:r w:rsidRPr="00610B1B">
        <w:rPr>
          <w:rFonts w:ascii="Times New Roman" w:eastAsia="Times New Roman" w:hAnsi="Times New Roman" w:cs="Times New Roman"/>
          <w:sz w:val="24"/>
          <w:szCs w:val="24"/>
          <w:lang w:val="bg-BG"/>
        </w:rPr>
        <w:t xml:space="preserve"> част</w:t>
      </w:r>
      <w:r w:rsidR="00EF0966" w:rsidRPr="00610B1B">
        <w:rPr>
          <w:rFonts w:ascii="Times New Roman" w:eastAsia="Times New Roman" w:hAnsi="Times New Roman" w:cs="Times New Roman"/>
          <w:sz w:val="24"/>
          <w:szCs w:val="24"/>
          <w:lang w:val="bg-BG"/>
        </w:rPr>
        <w:t>е</w:t>
      </w:r>
      <w:r w:rsidRPr="00610B1B">
        <w:rPr>
          <w:rFonts w:ascii="Times New Roman" w:eastAsia="Times New Roman" w:hAnsi="Times New Roman" w:cs="Times New Roman"/>
          <w:sz w:val="24"/>
          <w:szCs w:val="24"/>
          <w:lang w:val="bg-BG"/>
        </w:rPr>
        <w:t>н музе</w:t>
      </w:r>
      <w:r w:rsidR="00EF0966" w:rsidRPr="00610B1B">
        <w:rPr>
          <w:rFonts w:ascii="Times New Roman" w:eastAsia="Times New Roman" w:hAnsi="Times New Roman" w:cs="Times New Roman"/>
          <w:sz w:val="24"/>
          <w:szCs w:val="24"/>
          <w:lang w:val="bg-BG"/>
        </w:rPr>
        <w:t>й</w:t>
      </w:r>
      <w:r w:rsidRPr="00610B1B">
        <w:rPr>
          <w:rFonts w:ascii="Times New Roman" w:eastAsia="Times New Roman" w:hAnsi="Times New Roman" w:cs="Times New Roman"/>
          <w:sz w:val="24"/>
          <w:szCs w:val="24"/>
          <w:lang w:val="bg-BG"/>
        </w:rPr>
        <w:t>.</w:t>
      </w:r>
    </w:p>
    <w:p w14:paraId="6B9E3B18" w14:textId="63B3C512" w:rsidR="00731C0F" w:rsidRPr="00610B1B" w:rsidRDefault="00731C0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Съвременната музейна институция има роля, много по-голяма от тази на медиатор между историческата среда и посетителите. Музеят разпространява знания, образова, информира и комуникира с посетителите. Преосмисля се начинът на представяне на ценностите с активното участие на интернет, чрез платформи и приложения за виртуални разходки. Освен чрез артефакти и експонати, това се осъществява и с помощта на дигиталните технологии, предопределящи разпространението на специфични експозиции, които са в основата на новия тип музей - интерактивния.</w:t>
      </w:r>
    </w:p>
    <w:p w14:paraId="304DEB26" w14:textId="103E6C1A" w:rsidR="00731C0F" w:rsidRPr="00610B1B" w:rsidRDefault="00731C0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Посочените тенденции предполагат и една нова териториална организация на музейните мрежи във връзка със селищните културни ценности, както и интегриране на групи музеи в цялостни комплексни музейни центрове. Търсят се нови форми за преодоляване на ведомственото профилиране на музеите, разширява се кръгът на приятелите на музеите и спонсорите, осигурява се финансиране от помощни дейности. Това би следвало да доведе както до постигане на синергия в съвместното действие на различни профилирани музеи и историческата среда, така и до утвърждаване на музейната институция, като фактор при управление на дейностите за опазване на културно наследство - материално и нематериално, движимо и недвижимо</w:t>
      </w:r>
      <w:r w:rsidR="001403D3" w:rsidRPr="00610B1B">
        <w:rPr>
          <w:rFonts w:ascii="Times New Roman" w:hAnsi="Times New Roman" w:cs="Times New Roman"/>
          <w:sz w:val="24"/>
          <w:szCs w:val="24"/>
          <w:lang w:val="bg-BG"/>
        </w:rPr>
        <w:t>, в акваторията и в прилежащата крайбрежна зона</w:t>
      </w:r>
      <w:r w:rsidRPr="00610B1B">
        <w:rPr>
          <w:rFonts w:ascii="Times New Roman" w:hAnsi="Times New Roman" w:cs="Times New Roman"/>
          <w:sz w:val="24"/>
          <w:szCs w:val="24"/>
          <w:lang w:val="bg-BG"/>
        </w:rPr>
        <w:t xml:space="preserve">. </w:t>
      </w:r>
    </w:p>
    <w:p w14:paraId="6270359C" w14:textId="77777777" w:rsidR="001403D3" w:rsidRPr="00610B1B" w:rsidRDefault="001403D3"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Музейното дело на цялата Черноморска крайбрежна зона на България, попадаща в териториалния обхват на МППРБ, има дълга история. Това допринася за идентифициране на културно-историческия ресурс, за съхраняване и изява на историческата стратификация в нейната автентичност.</w:t>
      </w:r>
    </w:p>
    <w:p w14:paraId="05C584CE" w14:textId="0375E9AF" w:rsidR="001403D3" w:rsidRPr="00610B1B" w:rsidRDefault="001403D3"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Наред с това съществуват проблеми, породени от липсата на съвременни концепции за интегрирани музейни комплекси, базирани на вътрешните връзки между музейните колекции. За голяма част (положителен пример са музеите в Царево и Приморско) от музеите начините на представяне на ценностите не са неадекватни както на стойността на представените артефакти, на съвременните изисквания на посетителите, така и на световните тенденции в тази област. Не са използвани възможностите на обекти с уникална стойност, не само на регионално, но и на световно ниво, като Дуранкулак, Яйлата, Несебър, Беглигташ, Урдовиза и др., които предполагат експониране в симбиоза на ценностите от сушата и тези под вода, чрез реализиране на интерактивни музеи или интерпретационни центрове. </w:t>
      </w:r>
    </w:p>
    <w:p w14:paraId="0584923B" w14:textId="77777777" w:rsidR="001403D3" w:rsidRPr="00610B1B" w:rsidRDefault="001403D3"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Със съществуващите 14 исторически и археологически музея и 1 историческа музейна сбирка в своя обхват, територията се характеризира със сравнително разпокъсана структура на музейната мрежа. Експозициите в голямата част от музеите се дублират. Това е резултат от мисленето „на парче” при развитието на отделните музейни обекти. В повечето от музеите липсват връзки между движимо и недвижимо културно наследство, на отношение към детската публика, към посетителите със специални потребности. Дефицитът на стратегическо и системно мислене за опазването на културните ценности и за развитието на музейната мрежа в нейната цялост - в контекста на материалното и нематериално, движимото и недвижимото наследство, и особено на археологическите НКЦ - в националното морско пространство и на прилежащата територия на българското Черноморско крайбрежие, ограничава възможностите за ефективно управление и координация. </w:t>
      </w:r>
    </w:p>
    <w:p w14:paraId="29C451EA" w14:textId="77777777" w:rsidR="009C0D93" w:rsidRPr="00610B1B" w:rsidRDefault="009C0D93" w:rsidP="00F06832">
      <w:pPr>
        <w:spacing w:after="0" w:line="240" w:lineRule="auto"/>
        <w:ind w:right="-153"/>
        <w:jc w:val="both"/>
        <w:rPr>
          <w:rFonts w:ascii="Times New Roman" w:eastAsia="Times New Roman" w:hAnsi="Times New Roman" w:cs="Times New Roman"/>
          <w:b/>
          <w:color w:val="808080"/>
          <w:sz w:val="24"/>
          <w:szCs w:val="24"/>
          <w:lang w:val="bg-BG"/>
        </w:rPr>
      </w:pPr>
    </w:p>
    <w:p w14:paraId="4414BE7A" w14:textId="5C4D486C" w:rsidR="0005362C" w:rsidRPr="00610B1B" w:rsidRDefault="001377DF" w:rsidP="00D32D6A">
      <w:pPr>
        <w:pStyle w:val="Heading2"/>
        <w:spacing w:before="0" w:line="276" w:lineRule="auto"/>
        <w:ind w:right="-153"/>
        <w:rPr>
          <w:rFonts w:cs="Times New Roman"/>
          <w:b w:val="0"/>
          <w:sz w:val="24"/>
          <w:szCs w:val="24"/>
        </w:rPr>
      </w:pPr>
      <w:bookmarkStart w:id="411" w:name="_Toc83391403"/>
      <w:r w:rsidRPr="00610B1B">
        <w:rPr>
          <w:rStyle w:val="Heading2Char"/>
          <w:rFonts w:cs="Times New Roman"/>
          <w:b/>
        </w:rPr>
        <w:t>3.8</w:t>
      </w:r>
      <w:r w:rsidR="00A72142" w:rsidRPr="00610B1B">
        <w:rPr>
          <w:rStyle w:val="Heading2Char"/>
          <w:rFonts w:cs="Times New Roman"/>
          <w:b/>
        </w:rPr>
        <w:t xml:space="preserve">. </w:t>
      </w:r>
      <w:r w:rsidR="00A22DF2" w:rsidRPr="00610B1B">
        <w:rPr>
          <w:rStyle w:val="Heading2Char"/>
          <w:rFonts w:cs="Times New Roman"/>
          <w:b/>
        </w:rPr>
        <w:t>Обобщени изводи за използването на морск</w:t>
      </w:r>
      <w:r w:rsidR="0075098D" w:rsidRPr="00610B1B">
        <w:rPr>
          <w:rStyle w:val="Heading2Char"/>
          <w:rFonts w:cs="Times New Roman"/>
          <w:b/>
        </w:rPr>
        <w:t>ите</w:t>
      </w:r>
      <w:r w:rsidR="00A22DF2" w:rsidRPr="00610B1B">
        <w:rPr>
          <w:rStyle w:val="Heading2Char"/>
          <w:rFonts w:cs="Times New Roman"/>
          <w:b/>
        </w:rPr>
        <w:t xml:space="preserve"> пространств</w:t>
      </w:r>
      <w:r w:rsidR="0075098D" w:rsidRPr="00610B1B">
        <w:rPr>
          <w:rStyle w:val="Heading2Char"/>
          <w:rFonts w:cs="Times New Roman"/>
          <w:b/>
        </w:rPr>
        <w:t>а</w:t>
      </w:r>
      <w:r w:rsidR="00A22DF2" w:rsidRPr="00610B1B">
        <w:rPr>
          <w:rStyle w:val="Heading2Char"/>
          <w:rFonts w:cs="Times New Roman"/>
          <w:b/>
        </w:rPr>
        <w:t xml:space="preserve"> и взаимодействията между морето и крайбреж</w:t>
      </w:r>
      <w:r w:rsidR="006E2B4B" w:rsidRPr="00610B1B">
        <w:rPr>
          <w:rStyle w:val="Heading2Char"/>
          <w:rFonts w:cs="Times New Roman"/>
          <w:b/>
        </w:rPr>
        <w:t>ната зона</w:t>
      </w:r>
      <w:bookmarkEnd w:id="411"/>
      <w:r w:rsidR="00A22DF2" w:rsidRPr="00610B1B">
        <w:rPr>
          <w:rFonts w:cs="Times New Roman"/>
          <w:b w:val="0"/>
          <w:sz w:val="24"/>
          <w:szCs w:val="24"/>
        </w:rPr>
        <w:t xml:space="preserve"> </w:t>
      </w:r>
    </w:p>
    <w:p w14:paraId="57E691DA" w14:textId="7904CE44" w:rsidR="005F0F25" w:rsidRPr="00610B1B" w:rsidRDefault="001377DF" w:rsidP="00D32D6A">
      <w:pPr>
        <w:pStyle w:val="BodyText"/>
        <w:spacing w:before="0" w:after="120" w:line="276" w:lineRule="auto"/>
        <w:ind w:right="-153"/>
        <w:rPr>
          <w:rFonts w:cs="Times New Roman"/>
        </w:rPr>
      </w:pPr>
      <w:r w:rsidRPr="00610B1B">
        <w:rPr>
          <w:rFonts w:cs="Times New Roman"/>
        </w:rPr>
        <w:t>Предложените обо</w:t>
      </w:r>
      <w:r w:rsidR="00BE4E4C" w:rsidRPr="00610B1B">
        <w:rPr>
          <w:rFonts w:cs="Times New Roman"/>
        </w:rPr>
        <w:t>б</w:t>
      </w:r>
      <w:r w:rsidRPr="00610B1B">
        <w:rPr>
          <w:rFonts w:cs="Times New Roman"/>
        </w:rPr>
        <w:t>щени изводи за използването на морск</w:t>
      </w:r>
      <w:r w:rsidR="0075098D" w:rsidRPr="00610B1B">
        <w:rPr>
          <w:rFonts w:cs="Times New Roman"/>
        </w:rPr>
        <w:t>ите</w:t>
      </w:r>
      <w:r w:rsidRPr="00610B1B">
        <w:rPr>
          <w:rFonts w:cs="Times New Roman"/>
        </w:rPr>
        <w:t xml:space="preserve"> пространств</w:t>
      </w:r>
      <w:r w:rsidR="0075098D" w:rsidRPr="00610B1B">
        <w:rPr>
          <w:rFonts w:cs="Times New Roman"/>
        </w:rPr>
        <w:t>а</w:t>
      </w:r>
      <w:r w:rsidRPr="00610B1B">
        <w:rPr>
          <w:rFonts w:cs="Times New Roman"/>
        </w:rPr>
        <w:t xml:space="preserve"> </w:t>
      </w:r>
      <w:r w:rsidR="00EF0966" w:rsidRPr="00610B1B">
        <w:rPr>
          <w:rFonts w:cs="Times New Roman"/>
        </w:rPr>
        <w:t xml:space="preserve">са в основата </w:t>
      </w:r>
      <w:r w:rsidRPr="00610B1B">
        <w:rPr>
          <w:rFonts w:cs="Times New Roman"/>
        </w:rPr>
        <w:t>на стратегическата част на Морския пространствен план на Република България</w:t>
      </w:r>
      <w:r w:rsidR="00362739" w:rsidRPr="00610B1B">
        <w:rPr>
          <w:rFonts w:cs="Times New Roman"/>
        </w:rPr>
        <w:t>. Т</w:t>
      </w:r>
      <w:r w:rsidR="00EF0966" w:rsidRPr="00610B1B">
        <w:rPr>
          <w:rFonts w:cs="Times New Roman"/>
        </w:rPr>
        <w:t>е</w:t>
      </w:r>
      <w:r w:rsidR="00A75841" w:rsidRPr="00610B1B">
        <w:rPr>
          <w:rFonts w:cs="Times New Roman"/>
        </w:rPr>
        <w:t xml:space="preserve"> подпомогнат избора на оптимален сценарий за развитие и формулирането на стратегическите цели за постигане на желаната визия</w:t>
      </w:r>
      <w:r w:rsidRPr="00610B1B">
        <w:rPr>
          <w:rFonts w:cs="Times New Roman"/>
        </w:rPr>
        <w:t xml:space="preserve">. </w:t>
      </w:r>
      <w:r w:rsidR="00A75841" w:rsidRPr="00610B1B">
        <w:rPr>
          <w:rFonts w:cs="Times New Roman"/>
        </w:rPr>
        <w:t>Систематизирани са последователно за изследваните компоненти на морската околна среда и за морските икономически сектори.</w:t>
      </w:r>
    </w:p>
    <w:tbl>
      <w:tblPr>
        <w:tblW w:w="9924" w:type="dxa"/>
        <w:tblInd w:w="-426" w:type="dxa"/>
        <w:tblBorders>
          <w:top w:val="single" w:sz="4" w:space="0" w:color="auto"/>
          <w:bottom w:val="single" w:sz="4" w:space="0" w:color="auto"/>
          <w:insideH w:val="single" w:sz="4" w:space="0" w:color="auto"/>
        </w:tblBorders>
        <w:tblLayout w:type="fixed"/>
        <w:tblCellMar>
          <w:top w:w="55" w:type="dxa"/>
          <w:left w:w="45" w:type="dxa"/>
          <w:bottom w:w="55" w:type="dxa"/>
          <w:right w:w="55" w:type="dxa"/>
        </w:tblCellMar>
        <w:tblLook w:val="0000" w:firstRow="0" w:lastRow="0" w:firstColumn="0" w:lastColumn="0" w:noHBand="0" w:noVBand="0"/>
      </w:tblPr>
      <w:tblGrid>
        <w:gridCol w:w="4962"/>
        <w:gridCol w:w="63"/>
        <w:gridCol w:w="4899"/>
      </w:tblGrid>
      <w:tr w:rsidR="00232311" w:rsidRPr="00610B1B" w14:paraId="2AE8E34C" w14:textId="77777777" w:rsidTr="00AE254B">
        <w:trPr>
          <w:tblHeader/>
        </w:trPr>
        <w:tc>
          <w:tcPr>
            <w:tcW w:w="9924" w:type="dxa"/>
            <w:gridSpan w:val="3"/>
            <w:shd w:val="clear" w:color="auto" w:fill="72DBE0"/>
          </w:tcPr>
          <w:p w14:paraId="5F21B350" w14:textId="77777777" w:rsidR="00232311" w:rsidRPr="00610B1B" w:rsidRDefault="00232311" w:rsidP="00AE254B">
            <w:pPr>
              <w:pStyle w:val="Heading3"/>
              <w:spacing w:before="20" w:after="20"/>
              <w:jc w:val="center"/>
              <w:rPr>
                <w:rFonts w:cs="Times New Roman"/>
                <w:sz w:val="24"/>
                <w:szCs w:val="24"/>
              </w:rPr>
            </w:pPr>
            <w:bookmarkStart w:id="412" w:name="_gjdgxs" w:colFirst="0" w:colLast="0"/>
            <w:bookmarkStart w:id="413" w:name="_Toc83391404"/>
            <w:bookmarkEnd w:id="412"/>
            <w:r w:rsidRPr="00610B1B">
              <w:rPr>
                <w:rFonts w:cs="Times New Roman"/>
                <w:sz w:val="24"/>
                <w:szCs w:val="24"/>
              </w:rPr>
              <w:t>SWOT Анализ</w:t>
            </w:r>
            <w:bookmarkEnd w:id="413"/>
          </w:p>
        </w:tc>
      </w:tr>
      <w:tr w:rsidR="00232311" w:rsidRPr="00610B1B" w14:paraId="08A51A60" w14:textId="77777777" w:rsidTr="00AE254B">
        <w:tc>
          <w:tcPr>
            <w:tcW w:w="9924" w:type="dxa"/>
            <w:gridSpan w:val="3"/>
            <w:shd w:val="clear" w:color="auto" w:fill="92CDDC"/>
          </w:tcPr>
          <w:p w14:paraId="4364AF47" w14:textId="77777777" w:rsidR="00232311" w:rsidRPr="00610B1B" w:rsidRDefault="00232311" w:rsidP="00AE254B">
            <w:pPr>
              <w:pStyle w:val="Heading4"/>
              <w:spacing w:before="20" w:after="20"/>
              <w:jc w:val="center"/>
              <w:rPr>
                <w:rFonts w:cs="Times New Roman"/>
                <w:szCs w:val="24"/>
              </w:rPr>
            </w:pPr>
            <w:bookmarkStart w:id="414" w:name="_38t8wnr3swqy" w:colFirst="0" w:colLast="0"/>
            <w:bookmarkEnd w:id="414"/>
            <w:r w:rsidRPr="00610B1B">
              <w:rPr>
                <w:rFonts w:cs="Times New Roman"/>
                <w:szCs w:val="24"/>
              </w:rPr>
              <w:t>ГЕОЛОГИЯ И ГЕОМОРФОЛОГИЯ</w:t>
            </w:r>
          </w:p>
        </w:tc>
      </w:tr>
      <w:tr w:rsidR="00232311" w:rsidRPr="00610B1B" w14:paraId="70ABD91F" w14:textId="77777777" w:rsidTr="00AE254B">
        <w:tc>
          <w:tcPr>
            <w:tcW w:w="5025" w:type="dxa"/>
            <w:gridSpan w:val="2"/>
            <w:shd w:val="clear" w:color="auto" w:fill="B6DDE8"/>
          </w:tcPr>
          <w:p w14:paraId="40F197B6"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Силни страни</w:t>
            </w:r>
          </w:p>
        </w:tc>
        <w:tc>
          <w:tcPr>
            <w:tcW w:w="4899" w:type="dxa"/>
            <w:shd w:val="clear" w:color="auto" w:fill="B6DDE8"/>
          </w:tcPr>
          <w:p w14:paraId="0F55FBDC"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Слаби страни</w:t>
            </w:r>
          </w:p>
        </w:tc>
      </w:tr>
      <w:tr w:rsidR="00895324" w:rsidRPr="00C717D0" w14:paraId="5E2BBC04" w14:textId="77777777" w:rsidTr="00AE254B">
        <w:tc>
          <w:tcPr>
            <w:tcW w:w="5025" w:type="dxa"/>
            <w:gridSpan w:val="2"/>
            <w:shd w:val="clear" w:color="auto" w:fill="FFFFFF"/>
          </w:tcPr>
          <w:p w14:paraId="0BB56EEE" w14:textId="12AB27C4" w:rsidR="00895324" w:rsidRPr="00610B1B" w:rsidRDefault="00895324" w:rsidP="00AE254B">
            <w:pPr>
              <w:pStyle w:val="Normal1"/>
              <w:spacing w:before="20" w:after="20"/>
              <w:rPr>
                <w:color w:val="000000"/>
                <w:sz w:val="24"/>
                <w:szCs w:val="24"/>
              </w:rPr>
            </w:pPr>
            <w:r w:rsidRPr="00610B1B">
              <w:rPr>
                <w:color w:val="000000"/>
                <w:sz w:val="24"/>
                <w:szCs w:val="24"/>
              </w:rPr>
              <w:t>Разнообразен и живописен морски бряг, оформен под въздействието на</w:t>
            </w:r>
            <w:r w:rsidR="00D66FE0" w:rsidRPr="00610B1B">
              <w:rPr>
                <w:color w:val="000000"/>
                <w:sz w:val="24"/>
                <w:szCs w:val="24"/>
              </w:rPr>
              <w:t xml:space="preserve"> </w:t>
            </w:r>
            <w:r w:rsidRPr="00610B1B">
              <w:rPr>
                <w:color w:val="000000"/>
                <w:sz w:val="24"/>
                <w:szCs w:val="24"/>
              </w:rPr>
              <w:t>абразионни и акумулационни процеси - обширни пясъчни плажове, пясъчни дюни, клифов бряг, морски тераси, долини, лимани и лагуни, малки полуострови и острови и вдадени в морето носове.</w:t>
            </w:r>
          </w:p>
        </w:tc>
        <w:tc>
          <w:tcPr>
            <w:tcW w:w="4899" w:type="dxa"/>
            <w:shd w:val="clear" w:color="auto" w:fill="FFFFFF"/>
          </w:tcPr>
          <w:p w14:paraId="4A6D4CE5" w14:textId="4F5D41F5" w:rsidR="00895324" w:rsidRPr="00610B1B" w:rsidRDefault="00895324" w:rsidP="00AE254B">
            <w:pPr>
              <w:pStyle w:val="Normal1"/>
              <w:spacing w:before="20" w:after="20"/>
              <w:rPr>
                <w:color w:val="000000"/>
                <w:sz w:val="24"/>
                <w:szCs w:val="24"/>
              </w:rPr>
            </w:pPr>
            <w:r w:rsidRPr="00610B1B">
              <w:rPr>
                <w:color w:val="000000"/>
                <w:sz w:val="24"/>
                <w:szCs w:val="24"/>
              </w:rPr>
              <w:t>Обширни области на интензивна абразия с клифов бряг, усложнени на много места от свлачищни процеси</w:t>
            </w:r>
            <w:r w:rsidR="00D86B15" w:rsidRPr="00610B1B">
              <w:rPr>
                <w:color w:val="000000"/>
                <w:sz w:val="24"/>
                <w:szCs w:val="24"/>
              </w:rPr>
              <w:t>.</w:t>
            </w:r>
          </w:p>
        </w:tc>
      </w:tr>
      <w:tr w:rsidR="00895324" w:rsidRPr="00C717D0" w14:paraId="674C50F3" w14:textId="77777777" w:rsidTr="00AE254B">
        <w:tc>
          <w:tcPr>
            <w:tcW w:w="5025" w:type="dxa"/>
            <w:gridSpan w:val="2"/>
            <w:shd w:val="clear" w:color="auto" w:fill="FFFFFF"/>
          </w:tcPr>
          <w:p w14:paraId="4ED8C297" w14:textId="2D4BED2B" w:rsidR="00895324" w:rsidRPr="00610B1B" w:rsidRDefault="00895324" w:rsidP="00AE254B">
            <w:pPr>
              <w:pStyle w:val="Normal1"/>
              <w:spacing w:before="20" w:after="20"/>
              <w:rPr>
                <w:color w:val="000000"/>
                <w:sz w:val="24"/>
                <w:szCs w:val="24"/>
              </w:rPr>
            </w:pPr>
            <w:r w:rsidRPr="00610B1B">
              <w:rPr>
                <w:color w:val="000000"/>
                <w:sz w:val="24"/>
                <w:szCs w:val="24"/>
              </w:rPr>
              <w:t>Полегато пясъчно морско дъно с плавен наклон, изключително подходящ за плуване и къпане</w:t>
            </w:r>
          </w:p>
        </w:tc>
        <w:tc>
          <w:tcPr>
            <w:tcW w:w="4899" w:type="dxa"/>
            <w:shd w:val="clear" w:color="auto" w:fill="FFFFFF"/>
          </w:tcPr>
          <w:p w14:paraId="6CADEC3A" w14:textId="54D661C3" w:rsidR="00895324" w:rsidRPr="00610B1B" w:rsidRDefault="00895324" w:rsidP="00AE254B">
            <w:pPr>
              <w:pStyle w:val="Normal1"/>
              <w:spacing w:before="20" w:after="20"/>
              <w:rPr>
                <w:color w:val="000000"/>
                <w:sz w:val="24"/>
                <w:szCs w:val="24"/>
              </w:rPr>
            </w:pPr>
            <w:r w:rsidRPr="00610B1B">
              <w:rPr>
                <w:color w:val="000000"/>
                <w:sz w:val="24"/>
                <w:szCs w:val="24"/>
              </w:rPr>
              <w:t>Завишено антропогенно натоварване и свръхурбанизация в критични зони от крайбрежието с повишен риск от свлачища.</w:t>
            </w:r>
          </w:p>
        </w:tc>
      </w:tr>
      <w:tr w:rsidR="00895324" w:rsidRPr="00C717D0" w14:paraId="78540B36" w14:textId="77777777" w:rsidTr="00AE254B">
        <w:tc>
          <w:tcPr>
            <w:tcW w:w="5025" w:type="dxa"/>
            <w:gridSpan w:val="2"/>
            <w:shd w:val="clear" w:color="auto" w:fill="FFFFFF"/>
          </w:tcPr>
          <w:p w14:paraId="75CA590F" w14:textId="5924E165" w:rsidR="00895324" w:rsidRPr="00610B1B" w:rsidRDefault="00895324" w:rsidP="00AE254B">
            <w:pPr>
              <w:pStyle w:val="Normal1"/>
              <w:spacing w:before="20" w:after="20"/>
              <w:rPr>
                <w:color w:val="000000"/>
                <w:sz w:val="24"/>
                <w:szCs w:val="24"/>
              </w:rPr>
            </w:pPr>
            <w:r w:rsidRPr="00610B1B">
              <w:rPr>
                <w:color w:val="000000"/>
                <w:sz w:val="24"/>
                <w:szCs w:val="24"/>
              </w:rPr>
              <w:t>Големи</w:t>
            </w:r>
            <w:r w:rsidR="00D66FE0" w:rsidRPr="00610B1B">
              <w:rPr>
                <w:color w:val="000000"/>
                <w:sz w:val="24"/>
                <w:szCs w:val="24"/>
              </w:rPr>
              <w:t xml:space="preserve"> </w:t>
            </w:r>
            <w:r w:rsidRPr="00610B1B">
              <w:rPr>
                <w:color w:val="000000"/>
                <w:sz w:val="24"/>
                <w:szCs w:val="24"/>
              </w:rPr>
              <w:t>заливи с достатъчна дълбочина за навлизане на съвременни плавателни съдове и за съвместяване на разнообразни дейности в тях – търговско корабоплаване, ветроходство, риболов, водни спортове и др.</w:t>
            </w:r>
          </w:p>
        </w:tc>
        <w:tc>
          <w:tcPr>
            <w:tcW w:w="4899" w:type="dxa"/>
            <w:shd w:val="clear" w:color="auto" w:fill="FFFFFF"/>
          </w:tcPr>
          <w:p w14:paraId="6EC78C08" w14:textId="7A77A775" w:rsidR="00895324" w:rsidRPr="00610B1B" w:rsidRDefault="00895324" w:rsidP="00AE254B">
            <w:pPr>
              <w:pStyle w:val="Normal1"/>
              <w:spacing w:before="20" w:after="20"/>
              <w:rPr>
                <w:color w:val="000000"/>
                <w:sz w:val="24"/>
                <w:szCs w:val="24"/>
              </w:rPr>
            </w:pPr>
            <w:r w:rsidRPr="00610B1B">
              <w:rPr>
                <w:color w:val="000000"/>
                <w:sz w:val="24"/>
                <w:szCs w:val="24"/>
              </w:rPr>
              <w:t>Липса на достатъчно знания за акваториалната част и за най-активната, интензивно експлоатирана и най-богата на биоразнообразие зона в нея.</w:t>
            </w:r>
          </w:p>
        </w:tc>
      </w:tr>
      <w:tr w:rsidR="00232311" w:rsidRPr="00610B1B" w14:paraId="627C665D" w14:textId="77777777" w:rsidTr="00AE254B">
        <w:tc>
          <w:tcPr>
            <w:tcW w:w="5025" w:type="dxa"/>
            <w:gridSpan w:val="2"/>
            <w:shd w:val="clear" w:color="auto" w:fill="BEE6F0"/>
          </w:tcPr>
          <w:p w14:paraId="4B3EFDA5"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Възможности</w:t>
            </w:r>
          </w:p>
        </w:tc>
        <w:tc>
          <w:tcPr>
            <w:tcW w:w="4899" w:type="dxa"/>
            <w:shd w:val="clear" w:color="auto" w:fill="BEE6F0"/>
          </w:tcPr>
          <w:p w14:paraId="4A95737D" w14:textId="77777777" w:rsidR="00232311" w:rsidRPr="00610B1B" w:rsidRDefault="00232311" w:rsidP="00AE254B">
            <w:pPr>
              <w:pStyle w:val="Normal1"/>
              <w:spacing w:before="20" w:after="20"/>
              <w:jc w:val="center"/>
              <w:rPr>
                <w:b/>
                <w:color w:val="000000"/>
                <w:sz w:val="24"/>
                <w:szCs w:val="24"/>
              </w:rPr>
            </w:pPr>
            <w:bookmarkStart w:id="415" w:name="_30j0zll" w:colFirst="0" w:colLast="0"/>
            <w:bookmarkEnd w:id="415"/>
            <w:r w:rsidRPr="00610B1B">
              <w:rPr>
                <w:b/>
                <w:color w:val="000000"/>
                <w:sz w:val="24"/>
                <w:szCs w:val="24"/>
              </w:rPr>
              <w:t>Заплахи</w:t>
            </w:r>
          </w:p>
        </w:tc>
      </w:tr>
      <w:tr w:rsidR="00895324" w:rsidRPr="00C717D0" w14:paraId="30AB543A" w14:textId="77777777" w:rsidTr="00AE254B">
        <w:tc>
          <w:tcPr>
            <w:tcW w:w="5025" w:type="dxa"/>
            <w:gridSpan w:val="2"/>
            <w:shd w:val="clear" w:color="auto" w:fill="FFFFFF"/>
          </w:tcPr>
          <w:p w14:paraId="596FE376" w14:textId="02088B7D" w:rsidR="00895324" w:rsidRPr="00610B1B" w:rsidRDefault="00831E16" w:rsidP="00AE254B">
            <w:pPr>
              <w:pStyle w:val="Normal1"/>
              <w:spacing w:before="20" w:after="20"/>
              <w:rPr>
                <w:color w:val="000000"/>
                <w:sz w:val="24"/>
                <w:szCs w:val="24"/>
              </w:rPr>
            </w:pPr>
            <w:r>
              <w:rPr>
                <w:color w:val="000000"/>
                <w:sz w:val="24"/>
                <w:szCs w:val="24"/>
              </w:rPr>
              <w:t>Продължаване</w:t>
            </w:r>
            <w:r w:rsidRPr="00610B1B">
              <w:rPr>
                <w:color w:val="000000"/>
                <w:sz w:val="24"/>
                <w:szCs w:val="24"/>
              </w:rPr>
              <w:t xml:space="preserve"> </w:t>
            </w:r>
            <w:r w:rsidR="00895324" w:rsidRPr="00610B1B">
              <w:rPr>
                <w:color w:val="000000"/>
                <w:sz w:val="24"/>
                <w:szCs w:val="24"/>
              </w:rPr>
              <w:t>на мониторинга на ерозионно-абразионните процеси по Черноморското крайбрежие.</w:t>
            </w:r>
          </w:p>
        </w:tc>
        <w:tc>
          <w:tcPr>
            <w:tcW w:w="4899" w:type="dxa"/>
            <w:shd w:val="clear" w:color="auto" w:fill="FFFFFF"/>
          </w:tcPr>
          <w:p w14:paraId="3476125D" w14:textId="32F925C0" w:rsidR="00895324" w:rsidRPr="00610B1B" w:rsidRDefault="00895324" w:rsidP="00AE254B">
            <w:pPr>
              <w:pStyle w:val="Normal1"/>
              <w:spacing w:before="20" w:after="20"/>
              <w:rPr>
                <w:color w:val="000000"/>
                <w:sz w:val="24"/>
                <w:szCs w:val="24"/>
              </w:rPr>
            </w:pPr>
            <w:r w:rsidRPr="00610B1B">
              <w:rPr>
                <w:color w:val="000000"/>
                <w:sz w:val="24"/>
                <w:szCs w:val="24"/>
              </w:rPr>
              <w:t>Засилване на негативни процеси – свлачища, срутища, абразия при закъснели мерки в свръхурбанизирани крайбрежни зони и</w:t>
            </w:r>
            <w:r w:rsidR="00D66FE0" w:rsidRPr="00610B1B">
              <w:rPr>
                <w:color w:val="000000"/>
                <w:sz w:val="24"/>
                <w:szCs w:val="24"/>
              </w:rPr>
              <w:t xml:space="preserve"> </w:t>
            </w:r>
            <w:r w:rsidRPr="00610B1B">
              <w:rPr>
                <w:color w:val="000000"/>
                <w:sz w:val="24"/>
                <w:szCs w:val="24"/>
              </w:rPr>
              <w:t>забавено изграждане на необходимата инфраструктура.</w:t>
            </w:r>
          </w:p>
        </w:tc>
      </w:tr>
      <w:tr w:rsidR="00895324" w:rsidRPr="00C717D0" w14:paraId="2A1D5F59" w14:textId="77777777" w:rsidTr="00AE254B">
        <w:tc>
          <w:tcPr>
            <w:tcW w:w="5025" w:type="dxa"/>
            <w:gridSpan w:val="2"/>
            <w:shd w:val="clear" w:color="auto" w:fill="FFFFFF"/>
          </w:tcPr>
          <w:p w14:paraId="37CAF1C3" w14:textId="47B83197" w:rsidR="00895324" w:rsidRPr="00610B1B" w:rsidRDefault="00895324" w:rsidP="00AE254B">
            <w:pPr>
              <w:pStyle w:val="Normal1"/>
              <w:spacing w:before="20" w:after="20"/>
              <w:rPr>
                <w:color w:val="000000"/>
                <w:sz w:val="24"/>
                <w:szCs w:val="24"/>
              </w:rPr>
            </w:pPr>
            <w:r w:rsidRPr="00610B1B">
              <w:rPr>
                <w:color w:val="000000"/>
                <w:sz w:val="24"/>
                <w:szCs w:val="24"/>
              </w:rPr>
              <w:t>Изследване на динамиката на морския бряг и планиране на адекватни мерки за неговата защита чрез подходящи съвременни екологосъобразни съоръжения</w:t>
            </w:r>
            <w:r w:rsidR="00D86B15" w:rsidRPr="00610B1B">
              <w:rPr>
                <w:color w:val="000000"/>
                <w:sz w:val="24"/>
                <w:szCs w:val="24"/>
              </w:rPr>
              <w:t>.</w:t>
            </w:r>
            <w:r w:rsidRPr="00610B1B">
              <w:rPr>
                <w:color w:val="000000"/>
                <w:sz w:val="24"/>
                <w:szCs w:val="24"/>
              </w:rPr>
              <w:t xml:space="preserve"> </w:t>
            </w:r>
          </w:p>
        </w:tc>
        <w:tc>
          <w:tcPr>
            <w:tcW w:w="4899" w:type="dxa"/>
            <w:shd w:val="clear" w:color="auto" w:fill="FFFFFF"/>
          </w:tcPr>
          <w:p w14:paraId="7FA9A49F" w14:textId="3D76E8B4" w:rsidR="00895324" w:rsidRPr="00610B1B" w:rsidRDefault="00895324" w:rsidP="00AE254B">
            <w:pPr>
              <w:pStyle w:val="Normal1"/>
              <w:spacing w:before="20" w:after="20"/>
              <w:rPr>
                <w:color w:val="000000"/>
                <w:sz w:val="24"/>
                <w:szCs w:val="24"/>
              </w:rPr>
            </w:pPr>
            <w:r w:rsidRPr="00610B1B">
              <w:rPr>
                <w:color w:val="000000"/>
                <w:sz w:val="24"/>
                <w:szCs w:val="24"/>
              </w:rPr>
              <w:t xml:space="preserve">Промяна на морската динамика и на морския бряг поради неправилно проектирани и изпълнени брегозащитни и брегоукрепителни съоръжения. </w:t>
            </w:r>
          </w:p>
        </w:tc>
      </w:tr>
      <w:tr w:rsidR="00895324" w:rsidRPr="00C717D0" w14:paraId="6B46341B" w14:textId="77777777" w:rsidTr="00AE254B">
        <w:tc>
          <w:tcPr>
            <w:tcW w:w="5025" w:type="dxa"/>
            <w:gridSpan w:val="2"/>
            <w:shd w:val="clear" w:color="auto" w:fill="FFFFFF"/>
          </w:tcPr>
          <w:p w14:paraId="43DFAF46" w14:textId="15CA1204" w:rsidR="00895324" w:rsidRPr="00610B1B" w:rsidRDefault="00895324" w:rsidP="00AE254B">
            <w:pPr>
              <w:pStyle w:val="Normal1"/>
              <w:spacing w:before="20" w:after="20"/>
              <w:rPr>
                <w:color w:val="000000"/>
                <w:sz w:val="24"/>
                <w:szCs w:val="24"/>
              </w:rPr>
            </w:pPr>
            <w:r w:rsidRPr="00610B1B">
              <w:rPr>
                <w:color w:val="000000"/>
                <w:sz w:val="24"/>
                <w:szCs w:val="24"/>
              </w:rPr>
              <w:t xml:space="preserve">Уеднаквяване на терминологията и синхронизиране на подзаконовата нормативна база, с оглед ясно вменяване на задължения на </w:t>
            </w:r>
            <w:r w:rsidRPr="00610B1B">
              <w:rPr>
                <w:color w:val="000000"/>
                <w:sz w:val="24"/>
                <w:szCs w:val="24"/>
              </w:rPr>
              <w:lastRenderedPageBreak/>
              <w:t>компетентните институции, отговорности и контрол.</w:t>
            </w:r>
          </w:p>
        </w:tc>
        <w:tc>
          <w:tcPr>
            <w:tcW w:w="4899" w:type="dxa"/>
            <w:shd w:val="clear" w:color="auto" w:fill="FFFFFF"/>
          </w:tcPr>
          <w:p w14:paraId="7753F761" w14:textId="0BF69BCC" w:rsidR="00895324" w:rsidRPr="00610B1B" w:rsidRDefault="00895324" w:rsidP="00AE254B">
            <w:pPr>
              <w:pStyle w:val="Normal1"/>
              <w:spacing w:before="20" w:after="20"/>
              <w:rPr>
                <w:color w:val="000000"/>
                <w:sz w:val="24"/>
                <w:szCs w:val="24"/>
              </w:rPr>
            </w:pPr>
          </w:p>
        </w:tc>
      </w:tr>
      <w:tr w:rsidR="00232311" w:rsidRPr="00610B1B" w14:paraId="4DE36A61" w14:textId="77777777" w:rsidTr="00AE254B">
        <w:tc>
          <w:tcPr>
            <w:tcW w:w="9924" w:type="dxa"/>
            <w:gridSpan w:val="3"/>
            <w:shd w:val="clear" w:color="auto" w:fill="92CDDC"/>
          </w:tcPr>
          <w:p w14:paraId="7F49D0FD" w14:textId="5CB2CD63" w:rsidR="00232311" w:rsidRPr="00610B1B" w:rsidRDefault="00232311" w:rsidP="00AE254B">
            <w:pPr>
              <w:pStyle w:val="Heading4"/>
              <w:spacing w:before="20" w:after="20"/>
              <w:jc w:val="center"/>
              <w:rPr>
                <w:rFonts w:cs="Times New Roman"/>
                <w:szCs w:val="24"/>
              </w:rPr>
            </w:pPr>
            <w:bookmarkStart w:id="416" w:name="_2b562psxlrer" w:colFirst="0" w:colLast="0"/>
            <w:bookmarkEnd w:id="416"/>
            <w:r w:rsidRPr="00610B1B">
              <w:rPr>
                <w:rFonts w:cs="Times New Roman"/>
                <w:szCs w:val="24"/>
              </w:rPr>
              <w:t>ХИДРОЛОГИЯ И ХИДРОГЕОЛОГИЯ</w:t>
            </w:r>
          </w:p>
        </w:tc>
      </w:tr>
      <w:tr w:rsidR="00232311" w:rsidRPr="00610B1B" w14:paraId="4E98E57A" w14:textId="77777777" w:rsidTr="00AE254B">
        <w:tc>
          <w:tcPr>
            <w:tcW w:w="5025" w:type="dxa"/>
            <w:gridSpan w:val="2"/>
            <w:shd w:val="clear" w:color="auto" w:fill="BEE6F0"/>
          </w:tcPr>
          <w:p w14:paraId="2874D771"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Силни страни</w:t>
            </w:r>
          </w:p>
        </w:tc>
        <w:tc>
          <w:tcPr>
            <w:tcW w:w="4899" w:type="dxa"/>
            <w:shd w:val="clear" w:color="auto" w:fill="BEE6F0"/>
          </w:tcPr>
          <w:p w14:paraId="2579D97A"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Слаби страни</w:t>
            </w:r>
          </w:p>
        </w:tc>
      </w:tr>
      <w:tr w:rsidR="00815A73" w:rsidRPr="00C717D0" w14:paraId="78B3278B" w14:textId="77777777" w:rsidTr="00AE254B">
        <w:tc>
          <w:tcPr>
            <w:tcW w:w="5025" w:type="dxa"/>
            <w:gridSpan w:val="2"/>
            <w:shd w:val="clear" w:color="auto" w:fill="FFFFFF"/>
          </w:tcPr>
          <w:p w14:paraId="5AA85016" w14:textId="56EC5EA0" w:rsidR="00815A73" w:rsidRPr="00610B1B" w:rsidRDefault="00815A73" w:rsidP="00AE254B">
            <w:pPr>
              <w:pStyle w:val="Normal1"/>
              <w:spacing w:before="20" w:after="20"/>
              <w:rPr>
                <w:color w:val="000000"/>
                <w:sz w:val="24"/>
                <w:szCs w:val="24"/>
              </w:rPr>
            </w:pPr>
            <w:r w:rsidRPr="00610B1B">
              <w:rPr>
                <w:color w:val="000000"/>
                <w:sz w:val="24"/>
                <w:szCs w:val="24"/>
              </w:rPr>
              <w:t>Добри познания за основните характеристики на морската среда и тяхната сезонна и междугодишна динамика.</w:t>
            </w:r>
          </w:p>
        </w:tc>
        <w:tc>
          <w:tcPr>
            <w:tcW w:w="4899" w:type="dxa"/>
            <w:shd w:val="clear" w:color="auto" w:fill="FFFFFF"/>
          </w:tcPr>
          <w:p w14:paraId="061542DF" w14:textId="0D221F2A" w:rsidR="00815A73" w:rsidRPr="00610B1B" w:rsidRDefault="00815A73" w:rsidP="00AE254B">
            <w:pPr>
              <w:pStyle w:val="Normal1"/>
              <w:spacing w:before="20" w:after="20"/>
              <w:rPr>
                <w:color w:val="000000"/>
                <w:sz w:val="24"/>
                <w:szCs w:val="24"/>
              </w:rPr>
            </w:pPr>
            <w:r w:rsidRPr="00610B1B">
              <w:rPr>
                <w:color w:val="000000"/>
                <w:sz w:val="24"/>
                <w:szCs w:val="24"/>
              </w:rPr>
              <w:t xml:space="preserve">Недостатъчни времева честота и пространствено покритие на мониторинга на основните хидроложки характеристики. </w:t>
            </w:r>
          </w:p>
        </w:tc>
      </w:tr>
      <w:tr w:rsidR="00815A73" w:rsidRPr="00C717D0" w14:paraId="3EC336AB" w14:textId="77777777" w:rsidTr="00AE254B">
        <w:tc>
          <w:tcPr>
            <w:tcW w:w="5025" w:type="dxa"/>
            <w:gridSpan w:val="2"/>
            <w:shd w:val="clear" w:color="auto" w:fill="FFFFFF"/>
          </w:tcPr>
          <w:p w14:paraId="0C010B17" w14:textId="516D4F93" w:rsidR="00815A73" w:rsidRPr="00610B1B" w:rsidRDefault="00815A73" w:rsidP="00AE254B">
            <w:pPr>
              <w:pStyle w:val="Normal1"/>
              <w:spacing w:before="20" w:after="20"/>
              <w:rPr>
                <w:color w:val="000000"/>
                <w:sz w:val="24"/>
                <w:szCs w:val="24"/>
              </w:rPr>
            </w:pPr>
            <w:r w:rsidRPr="00610B1B">
              <w:rPr>
                <w:color w:val="000000"/>
                <w:sz w:val="24"/>
                <w:szCs w:val="24"/>
              </w:rPr>
              <w:t>Добре развит и подържан международен обмен на хидроложки данни с достъп до Европейски бази данни и продукти.</w:t>
            </w:r>
          </w:p>
        </w:tc>
        <w:tc>
          <w:tcPr>
            <w:tcW w:w="4899" w:type="dxa"/>
            <w:shd w:val="clear" w:color="auto" w:fill="FFFFFF"/>
          </w:tcPr>
          <w:p w14:paraId="1F13341E" w14:textId="69929F2E" w:rsidR="00815A73" w:rsidRPr="00610B1B" w:rsidRDefault="00815A73" w:rsidP="00AE254B">
            <w:pPr>
              <w:pStyle w:val="Normal1"/>
              <w:spacing w:before="20" w:after="20"/>
              <w:rPr>
                <w:color w:val="000000"/>
                <w:sz w:val="24"/>
                <w:szCs w:val="24"/>
              </w:rPr>
            </w:pPr>
            <w:r w:rsidRPr="00610B1B">
              <w:rPr>
                <w:color w:val="000000"/>
                <w:sz w:val="24"/>
                <w:szCs w:val="24"/>
              </w:rPr>
              <w:t>Недостатъчен капацитет за моделиране и прогнозиране на хидродинамичните процеси в морската среда, в т.ч. с оглед на климатичните промени.</w:t>
            </w:r>
          </w:p>
        </w:tc>
      </w:tr>
      <w:tr w:rsidR="00815A73" w:rsidRPr="00C717D0" w14:paraId="7812B2DD" w14:textId="77777777" w:rsidTr="00AE254B">
        <w:tc>
          <w:tcPr>
            <w:tcW w:w="5025" w:type="dxa"/>
            <w:gridSpan w:val="2"/>
            <w:shd w:val="clear" w:color="auto" w:fill="FFFFFF"/>
          </w:tcPr>
          <w:p w14:paraId="62151ACE" w14:textId="28A213D5" w:rsidR="00815A73" w:rsidRPr="00610B1B" w:rsidRDefault="00815A73" w:rsidP="00AE254B">
            <w:pPr>
              <w:pStyle w:val="Normal1"/>
              <w:spacing w:before="20" w:after="20"/>
              <w:rPr>
                <w:color w:val="000000"/>
                <w:sz w:val="24"/>
                <w:szCs w:val="24"/>
              </w:rPr>
            </w:pPr>
            <w:r w:rsidRPr="00610B1B">
              <w:rPr>
                <w:color w:val="000000"/>
                <w:sz w:val="24"/>
                <w:szCs w:val="24"/>
              </w:rPr>
              <w:t xml:space="preserve">Силен инвестиционен интерес за разширяване на съществуващи и строеж на нови </w:t>
            </w:r>
            <w:r w:rsidR="00BB78A1" w:rsidRPr="00610B1B">
              <w:rPr>
                <w:color w:val="000000"/>
                <w:sz w:val="24"/>
                <w:szCs w:val="24"/>
              </w:rPr>
              <w:t>яхтени</w:t>
            </w:r>
            <w:r w:rsidRPr="00610B1B">
              <w:rPr>
                <w:color w:val="000000"/>
                <w:sz w:val="24"/>
                <w:szCs w:val="24"/>
              </w:rPr>
              <w:t>, рибарски и по-големи пристанища.</w:t>
            </w:r>
          </w:p>
        </w:tc>
        <w:tc>
          <w:tcPr>
            <w:tcW w:w="4899" w:type="dxa"/>
            <w:shd w:val="clear" w:color="auto" w:fill="FFFFFF"/>
          </w:tcPr>
          <w:p w14:paraId="5EB24520" w14:textId="711240C2" w:rsidR="00815A73" w:rsidRPr="00610B1B" w:rsidRDefault="00815A73" w:rsidP="00AE254B">
            <w:pPr>
              <w:pStyle w:val="Normal1"/>
              <w:spacing w:before="20" w:after="20"/>
              <w:rPr>
                <w:color w:val="000000"/>
                <w:sz w:val="24"/>
                <w:szCs w:val="24"/>
              </w:rPr>
            </w:pPr>
            <w:r w:rsidRPr="00610B1B">
              <w:rPr>
                <w:color w:val="000000"/>
                <w:sz w:val="24"/>
                <w:szCs w:val="24"/>
              </w:rPr>
              <w:t>Недостатъчна изученост на влиянието на съществуващите и новопланираните хидротехнически съоръжения върху бреговата динамика</w:t>
            </w:r>
            <w:r w:rsidR="003E0FDD" w:rsidRPr="00610B1B">
              <w:rPr>
                <w:color w:val="000000"/>
                <w:sz w:val="24"/>
                <w:szCs w:val="24"/>
              </w:rPr>
              <w:t>.</w:t>
            </w:r>
          </w:p>
        </w:tc>
      </w:tr>
      <w:tr w:rsidR="00815A73" w:rsidRPr="00C717D0" w14:paraId="6FBFC914" w14:textId="77777777" w:rsidTr="00AE254B">
        <w:tc>
          <w:tcPr>
            <w:tcW w:w="5025" w:type="dxa"/>
            <w:gridSpan w:val="2"/>
            <w:shd w:val="clear" w:color="auto" w:fill="FFFFFF"/>
          </w:tcPr>
          <w:p w14:paraId="3A7630A2" w14:textId="091F1B31" w:rsidR="00815A73" w:rsidRPr="00610B1B" w:rsidRDefault="00815A73" w:rsidP="00AE254B">
            <w:pPr>
              <w:pStyle w:val="Normal1"/>
              <w:spacing w:before="20" w:after="20"/>
              <w:rPr>
                <w:color w:val="000000"/>
                <w:sz w:val="24"/>
                <w:szCs w:val="24"/>
              </w:rPr>
            </w:pPr>
            <w:r w:rsidRPr="00610B1B">
              <w:rPr>
                <w:color w:val="000000"/>
                <w:sz w:val="24"/>
                <w:szCs w:val="24"/>
              </w:rPr>
              <w:t>Многообразие от термоминерални води с различни физични и химични характеристики, минерализация и лечебни свойства с не напълно усвоен потенциал.</w:t>
            </w:r>
          </w:p>
        </w:tc>
        <w:tc>
          <w:tcPr>
            <w:tcW w:w="4899" w:type="dxa"/>
            <w:shd w:val="clear" w:color="auto" w:fill="FFFFFF"/>
          </w:tcPr>
          <w:p w14:paraId="63347D82" w14:textId="381BBEE8" w:rsidR="00815A73" w:rsidRPr="00610B1B" w:rsidRDefault="00815A73" w:rsidP="00AE254B">
            <w:pPr>
              <w:pStyle w:val="Normal1"/>
              <w:spacing w:before="20" w:after="20"/>
              <w:rPr>
                <w:color w:val="000000"/>
                <w:sz w:val="24"/>
                <w:szCs w:val="24"/>
              </w:rPr>
            </w:pPr>
            <w:r w:rsidRPr="00610B1B">
              <w:rPr>
                <w:color w:val="000000"/>
                <w:sz w:val="24"/>
                <w:szCs w:val="24"/>
              </w:rPr>
              <w:t>Много източници на минерална вода не са оценени и утвърдени, а други, въпреки че са изпитани, каптирани и водата е опробвана, не са надлежно описани и каталогизирани.</w:t>
            </w:r>
            <w:r w:rsidR="00D66FE0" w:rsidRPr="00610B1B">
              <w:rPr>
                <w:color w:val="000000"/>
                <w:sz w:val="24"/>
                <w:szCs w:val="24"/>
              </w:rPr>
              <w:t xml:space="preserve"> </w:t>
            </w:r>
          </w:p>
        </w:tc>
      </w:tr>
      <w:tr w:rsidR="00232311" w:rsidRPr="00610B1B" w14:paraId="26E379F0" w14:textId="77777777" w:rsidTr="00AE254B">
        <w:tc>
          <w:tcPr>
            <w:tcW w:w="5025" w:type="dxa"/>
            <w:gridSpan w:val="2"/>
            <w:shd w:val="clear" w:color="auto" w:fill="BEE6F0"/>
          </w:tcPr>
          <w:p w14:paraId="0064CB1D"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Възможности</w:t>
            </w:r>
          </w:p>
        </w:tc>
        <w:tc>
          <w:tcPr>
            <w:tcW w:w="4899" w:type="dxa"/>
            <w:shd w:val="clear" w:color="auto" w:fill="BEE6F0"/>
          </w:tcPr>
          <w:p w14:paraId="35D0D0B5"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Заплахи</w:t>
            </w:r>
          </w:p>
        </w:tc>
      </w:tr>
      <w:tr w:rsidR="00815A73" w:rsidRPr="00610B1B" w14:paraId="67E79C32" w14:textId="77777777" w:rsidTr="00AE254B">
        <w:tc>
          <w:tcPr>
            <w:tcW w:w="5025" w:type="dxa"/>
            <w:gridSpan w:val="2"/>
            <w:shd w:val="clear" w:color="auto" w:fill="FFFFFF"/>
          </w:tcPr>
          <w:p w14:paraId="7FC9A74D" w14:textId="4B2721DF" w:rsidR="00815A73" w:rsidRPr="00610B1B" w:rsidRDefault="00815A73" w:rsidP="00AE254B">
            <w:pPr>
              <w:pStyle w:val="Normal1"/>
              <w:spacing w:before="20" w:after="20"/>
              <w:rPr>
                <w:color w:val="000000"/>
                <w:sz w:val="24"/>
                <w:szCs w:val="24"/>
              </w:rPr>
            </w:pPr>
            <w:r w:rsidRPr="00610B1B">
              <w:rPr>
                <w:color w:val="000000"/>
                <w:sz w:val="24"/>
                <w:szCs w:val="24"/>
              </w:rPr>
              <w:t>Подобряване на мониторинга на термохалинните процеси по Черноморското крайбрежие, териториалните води и ИИЗ на Република България.</w:t>
            </w:r>
          </w:p>
        </w:tc>
        <w:tc>
          <w:tcPr>
            <w:tcW w:w="4899" w:type="dxa"/>
            <w:shd w:val="clear" w:color="auto" w:fill="FFFFFF"/>
          </w:tcPr>
          <w:p w14:paraId="7624413C" w14:textId="374B54F5" w:rsidR="00815A73" w:rsidRPr="00610B1B" w:rsidRDefault="00815A73" w:rsidP="00AE254B">
            <w:pPr>
              <w:pStyle w:val="Normal1"/>
              <w:spacing w:before="20" w:after="20"/>
              <w:rPr>
                <w:color w:val="000000"/>
                <w:sz w:val="24"/>
                <w:szCs w:val="24"/>
              </w:rPr>
            </w:pPr>
            <w:r w:rsidRPr="00610B1B">
              <w:rPr>
                <w:color w:val="000000"/>
                <w:sz w:val="24"/>
                <w:szCs w:val="24"/>
              </w:rPr>
              <w:t xml:space="preserve">Трайни промени във вертикалната стратификация на басейна и на интензивността на циркулацията в резултат на повишаване на температурата на морската вода. </w:t>
            </w:r>
            <w:r w:rsidRPr="00610B1B">
              <w:rPr>
                <w:rFonts w:eastAsia="SimSun"/>
                <w:color w:val="000000"/>
                <w:sz w:val="24"/>
                <w:szCs w:val="24"/>
                <w:lang w:eastAsia="zh-CN"/>
              </w:rPr>
              <w:t>Неефективна вентилация в активния слой на Черно море.</w:t>
            </w:r>
          </w:p>
        </w:tc>
      </w:tr>
      <w:tr w:rsidR="00815A73" w:rsidRPr="00C717D0" w14:paraId="32D6AFBC" w14:textId="77777777" w:rsidTr="00AE254B">
        <w:tc>
          <w:tcPr>
            <w:tcW w:w="5025" w:type="dxa"/>
            <w:gridSpan w:val="2"/>
            <w:shd w:val="clear" w:color="auto" w:fill="FFFFFF"/>
          </w:tcPr>
          <w:p w14:paraId="3B601EAE" w14:textId="600718E3" w:rsidR="00815A73" w:rsidRPr="00610B1B" w:rsidRDefault="00815A73" w:rsidP="00AE254B">
            <w:pPr>
              <w:pStyle w:val="Normal1"/>
              <w:spacing w:before="20" w:after="20"/>
              <w:rPr>
                <w:color w:val="000000"/>
                <w:sz w:val="24"/>
                <w:szCs w:val="24"/>
              </w:rPr>
            </w:pPr>
            <w:r w:rsidRPr="00610B1B">
              <w:rPr>
                <w:color w:val="000000"/>
                <w:sz w:val="24"/>
                <w:szCs w:val="24"/>
              </w:rPr>
              <w:t>Изясняване на екологичните проблеми, свързани с влиянието на климатичните промени върху морската екосистема и нейното устойчиво управление и използване.</w:t>
            </w:r>
          </w:p>
        </w:tc>
        <w:tc>
          <w:tcPr>
            <w:tcW w:w="4899" w:type="dxa"/>
            <w:shd w:val="clear" w:color="auto" w:fill="FFFFFF"/>
          </w:tcPr>
          <w:p w14:paraId="7185BDFE" w14:textId="36381769" w:rsidR="00815A73" w:rsidRPr="00610B1B" w:rsidRDefault="00815A73" w:rsidP="00AE254B">
            <w:pPr>
              <w:pStyle w:val="Normal1"/>
              <w:spacing w:before="20" w:after="20"/>
              <w:rPr>
                <w:color w:val="000000"/>
                <w:sz w:val="24"/>
                <w:szCs w:val="24"/>
              </w:rPr>
            </w:pPr>
            <w:r w:rsidRPr="00610B1B">
              <w:rPr>
                <w:rFonts w:eastAsia="SimSun"/>
                <w:color w:val="000000"/>
                <w:sz w:val="24"/>
                <w:szCs w:val="24"/>
                <w:lang w:eastAsia="zh-CN"/>
              </w:rPr>
              <w:t>Промяна на характеристиките на студения междинен слой, което води до неговото изтъняване и дори изчезване. Това може да стане причина за негативни последствия за черноморската екосистема.</w:t>
            </w:r>
          </w:p>
        </w:tc>
      </w:tr>
      <w:tr w:rsidR="00815A73" w:rsidRPr="00C717D0" w14:paraId="6E59DA83" w14:textId="77777777" w:rsidTr="00AE254B">
        <w:tc>
          <w:tcPr>
            <w:tcW w:w="5025" w:type="dxa"/>
            <w:gridSpan w:val="2"/>
            <w:shd w:val="clear" w:color="auto" w:fill="FFFFFF"/>
          </w:tcPr>
          <w:p w14:paraId="71209FE0" w14:textId="3EBA4EC5" w:rsidR="00815A73" w:rsidRPr="00610B1B" w:rsidRDefault="00815A73" w:rsidP="00AE254B">
            <w:pPr>
              <w:pStyle w:val="Normal1"/>
              <w:spacing w:before="20" w:after="20"/>
              <w:rPr>
                <w:color w:val="000000"/>
                <w:sz w:val="24"/>
                <w:szCs w:val="24"/>
              </w:rPr>
            </w:pPr>
            <w:r w:rsidRPr="00610B1B">
              <w:rPr>
                <w:color w:val="000000"/>
                <w:sz w:val="24"/>
                <w:szCs w:val="24"/>
              </w:rPr>
              <w:t>Оползотворяване на потенциала на минералните води по Черноморското крайбрежие за разнообразяване на предлагания туристически продукт, привличане на интерес и инвестиции.</w:t>
            </w:r>
          </w:p>
        </w:tc>
        <w:tc>
          <w:tcPr>
            <w:tcW w:w="4899" w:type="dxa"/>
            <w:shd w:val="clear" w:color="auto" w:fill="FFFFFF"/>
          </w:tcPr>
          <w:p w14:paraId="0BA259C0" w14:textId="73B4785C" w:rsidR="00F06832" w:rsidRPr="00610B1B" w:rsidRDefault="00815A73" w:rsidP="00AE254B">
            <w:pPr>
              <w:pStyle w:val="Normal1"/>
              <w:spacing w:before="20" w:after="20"/>
              <w:rPr>
                <w:color w:val="000000"/>
                <w:sz w:val="24"/>
                <w:szCs w:val="24"/>
              </w:rPr>
            </w:pPr>
            <w:r w:rsidRPr="00610B1B">
              <w:rPr>
                <w:color w:val="000000"/>
                <w:sz w:val="24"/>
                <w:szCs w:val="24"/>
              </w:rPr>
              <w:t>Промяна на динамиката и интензивността на крайбрежните вълнови и седиментационни процеси и увеличаване на вероятността от наводнения с морски произход в изложените на риск рецептори в крайбрежната зона.</w:t>
            </w:r>
          </w:p>
        </w:tc>
      </w:tr>
      <w:tr w:rsidR="00232311" w:rsidRPr="00610B1B" w14:paraId="6BFA20A1" w14:textId="77777777" w:rsidTr="00AE254B">
        <w:tc>
          <w:tcPr>
            <w:tcW w:w="9924" w:type="dxa"/>
            <w:gridSpan w:val="3"/>
            <w:shd w:val="clear" w:color="auto" w:fill="92CDDC"/>
          </w:tcPr>
          <w:p w14:paraId="0820C389" w14:textId="77777777" w:rsidR="00232311" w:rsidRPr="00610B1B" w:rsidRDefault="00232311" w:rsidP="00AE254B">
            <w:pPr>
              <w:pStyle w:val="Normal1"/>
              <w:spacing w:before="20" w:after="20"/>
              <w:jc w:val="center"/>
              <w:rPr>
                <w:rFonts w:eastAsia="Source Han Sans CN Regular"/>
                <w:b/>
                <w:bCs/>
                <w:iCs/>
                <w:color w:val="0F243E" w:themeColor="text2" w:themeShade="80"/>
                <w:sz w:val="24"/>
                <w:szCs w:val="24"/>
                <w:lang w:eastAsia="zh-CN" w:bidi="hi-IN"/>
              </w:rPr>
            </w:pPr>
            <w:r w:rsidRPr="00610B1B">
              <w:rPr>
                <w:rFonts w:eastAsia="Source Han Sans CN Regular"/>
                <w:b/>
                <w:bCs/>
                <w:iCs/>
                <w:color w:val="0F243E" w:themeColor="text2" w:themeShade="80"/>
                <w:sz w:val="24"/>
                <w:szCs w:val="24"/>
                <w:lang w:eastAsia="zh-CN" w:bidi="hi-IN"/>
              </w:rPr>
              <w:t>КЛИМАТ</w:t>
            </w:r>
          </w:p>
        </w:tc>
      </w:tr>
      <w:tr w:rsidR="00232311" w:rsidRPr="00610B1B" w14:paraId="477FB594" w14:textId="77777777" w:rsidTr="00AE254B">
        <w:tc>
          <w:tcPr>
            <w:tcW w:w="5025" w:type="dxa"/>
            <w:gridSpan w:val="2"/>
            <w:shd w:val="clear" w:color="auto" w:fill="BEE6F0"/>
          </w:tcPr>
          <w:p w14:paraId="75C2B3BA"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Силни страни</w:t>
            </w:r>
          </w:p>
        </w:tc>
        <w:tc>
          <w:tcPr>
            <w:tcW w:w="4899" w:type="dxa"/>
            <w:shd w:val="clear" w:color="auto" w:fill="BEE6F0"/>
          </w:tcPr>
          <w:p w14:paraId="4975CE7F" w14:textId="77777777" w:rsidR="00232311" w:rsidRPr="00610B1B" w:rsidRDefault="00232311" w:rsidP="00AE254B">
            <w:pPr>
              <w:pStyle w:val="Normal1"/>
              <w:spacing w:before="20" w:after="20"/>
              <w:jc w:val="center"/>
              <w:rPr>
                <w:b/>
                <w:color w:val="000000"/>
                <w:sz w:val="24"/>
                <w:szCs w:val="24"/>
              </w:rPr>
            </w:pPr>
            <w:r w:rsidRPr="00610B1B">
              <w:rPr>
                <w:b/>
                <w:color w:val="000000"/>
                <w:sz w:val="24"/>
                <w:szCs w:val="24"/>
              </w:rPr>
              <w:t>Слаби страни</w:t>
            </w:r>
          </w:p>
        </w:tc>
      </w:tr>
      <w:tr w:rsidR="00895324" w:rsidRPr="00C717D0" w14:paraId="74EB1CFE" w14:textId="77777777" w:rsidTr="00AE254B">
        <w:tc>
          <w:tcPr>
            <w:tcW w:w="5025" w:type="dxa"/>
            <w:gridSpan w:val="2"/>
            <w:shd w:val="clear" w:color="auto" w:fill="FFFFFF"/>
          </w:tcPr>
          <w:p w14:paraId="0965C7A2" w14:textId="54C0FCC5" w:rsidR="00895324" w:rsidRPr="00610B1B" w:rsidRDefault="00895324" w:rsidP="00AE254B">
            <w:pPr>
              <w:pStyle w:val="Normal1"/>
              <w:spacing w:before="20" w:after="20"/>
              <w:rPr>
                <w:color w:val="000000"/>
                <w:sz w:val="24"/>
                <w:szCs w:val="24"/>
              </w:rPr>
            </w:pPr>
            <w:r w:rsidRPr="00610B1B">
              <w:rPr>
                <w:color w:val="000000"/>
                <w:sz w:val="24"/>
                <w:szCs w:val="24"/>
              </w:rPr>
              <w:t>Подходящи температури на въздуха през всички сезони, къса и прохладна пролет, продължителна и топла есен и мека зима.</w:t>
            </w:r>
          </w:p>
        </w:tc>
        <w:tc>
          <w:tcPr>
            <w:tcW w:w="4899" w:type="dxa"/>
            <w:shd w:val="clear" w:color="auto" w:fill="FFFFFF"/>
          </w:tcPr>
          <w:p w14:paraId="20A855AA" w14:textId="2822B6AC" w:rsidR="00895324" w:rsidRPr="00610B1B" w:rsidRDefault="00895324" w:rsidP="00AE254B">
            <w:pPr>
              <w:pStyle w:val="Normal1"/>
              <w:spacing w:before="20" w:after="20"/>
              <w:rPr>
                <w:strike/>
                <w:color w:val="000000"/>
                <w:sz w:val="24"/>
                <w:szCs w:val="24"/>
              </w:rPr>
            </w:pPr>
            <w:r w:rsidRPr="00610B1B">
              <w:rPr>
                <w:color w:val="000000"/>
                <w:sz w:val="24"/>
                <w:szCs w:val="24"/>
              </w:rPr>
              <w:t>Ограничен брой дни с валежи, огранич</w:t>
            </w:r>
            <w:r w:rsidR="00A71B9D" w:rsidRPr="00610B1B">
              <w:rPr>
                <w:color w:val="000000"/>
                <w:sz w:val="24"/>
                <w:szCs w:val="24"/>
              </w:rPr>
              <w:t>ено</w:t>
            </w:r>
            <w:r w:rsidRPr="00610B1B">
              <w:rPr>
                <w:color w:val="000000"/>
                <w:sz w:val="24"/>
                <w:szCs w:val="24"/>
              </w:rPr>
              <w:t xml:space="preserve"> подхранване на водните източници и предпоставки за воден стрес.</w:t>
            </w:r>
          </w:p>
        </w:tc>
      </w:tr>
      <w:tr w:rsidR="00895324" w:rsidRPr="00C717D0" w14:paraId="5713FAA9" w14:textId="77777777" w:rsidTr="00AE254B">
        <w:tc>
          <w:tcPr>
            <w:tcW w:w="5025" w:type="dxa"/>
            <w:gridSpan w:val="2"/>
            <w:shd w:val="clear" w:color="auto" w:fill="FFFFFF"/>
          </w:tcPr>
          <w:p w14:paraId="7AC42BFD" w14:textId="4DC51F99" w:rsidR="00895324" w:rsidRPr="00610B1B" w:rsidRDefault="00895324" w:rsidP="00AE254B">
            <w:pPr>
              <w:pStyle w:val="Normal1"/>
              <w:spacing w:before="20" w:after="20"/>
              <w:rPr>
                <w:color w:val="000000"/>
                <w:sz w:val="24"/>
                <w:szCs w:val="24"/>
              </w:rPr>
            </w:pPr>
            <w:r w:rsidRPr="00610B1B">
              <w:rPr>
                <w:color w:val="000000"/>
                <w:sz w:val="24"/>
                <w:szCs w:val="24"/>
              </w:rPr>
              <w:lastRenderedPageBreak/>
              <w:t>Благоприятни температури на морската вода, предразполагащи към по-продължително използване на крайбрежието за морски туризъм и рекреация.</w:t>
            </w:r>
          </w:p>
        </w:tc>
        <w:tc>
          <w:tcPr>
            <w:tcW w:w="4899" w:type="dxa"/>
            <w:shd w:val="clear" w:color="auto" w:fill="FFFFFF"/>
          </w:tcPr>
          <w:p w14:paraId="52D88285" w14:textId="1E5A15BD" w:rsidR="00895324" w:rsidRPr="00610B1B" w:rsidRDefault="00895324" w:rsidP="00AE254B">
            <w:pPr>
              <w:pStyle w:val="Normal1"/>
              <w:spacing w:before="20" w:after="20"/>
              <w:rPr>
                <w:strike/>
                <w:color w:val="000000"/>
                <w:sz w:val="24"/>
                <w:szCs w:val="24"/>
              </w:rPr>
            </w:pPr>
            <w:r w:rsidRPr="00610B1B">
              <w:rPr>
                <w:color w:val="000000"/>
                <w:sz w:val="24"/>
                <w:szCs w:val="24"/>
              </w:rPr>
              <w:t>Резки промени в баричното налягане и предпоставки за драстични промени в нивото на морското равнище.</w:t>
            </w:r>
          </w:p>
        </w:tc>
      </w:tr>
      <w:tr w:rsidR="00895324" w:rsidRPr="00C717D0" w14:paraId="0869321C" w14:textId="77777777" w:rsidTr="00AE254B">
        <w:tc>
          <w:tcPr>
            <w:tcW w:w="5025" w:type="dxa"/>
            <w:gridSpan w:val="2"/>
            <w:shd w:val="clear" w:color="auto" w:fill="FFFFFF"/>
          </w:tcPr>
          <w:p w14:paraId="34841723" w14:textId="0100AF62" w:rsidR="00895324" w:rsidRPr="00610B1B" w:rsidRDefault="00895324" w:rsidP="00AE254B">
            <w:pPr>
              <w:pStyle w:val="Normal1"/>
              <w:spacing w:before="20" w:after="20"/>
              <w:rPr>
                <w:color w:val="000000"/>
                <w:sz w:val="24"/>
                <w:szCs w:val="24"/>
              </w:rPr>
            </w:pPr>
            <w:r w:rsidRPr="00610B1B">
              <w:rPr>
                <w:color w:val="000000"/>
                <w:sz w:val="24"/>
                <w:szCs w:val="24"/>
              </w:rPr>
              <w:t xml:space="preserve">Благоприятни въздействия на морския бриз в горещия летен сезон, подобряващ климатичния комфорт. </w:t>
            </w:r>
          </w:p>
        </w:tc>
        <w:tc>
          <w:tcPr>
            <w:tcW w:w="4899" w:type="dxa"/>
            <w:shd w:val="clear" w:color="auto" w:fill="FFFFFF"/>
          </w:tcPr>
          <w:p w14:paraId="4A786937" w14:textId="5A3DE4C4" w:rsidR="00895324" w:rsidRPr="00610B1B" w:rsidRDefault="00895324" w:rsidP="00AE254B">
            <w:pPr>
              <w:pStyle w:val="Normal1"/>
              <w:spacing w:before="20" w:after="20"/>
              <w:rPr>
                <w:strike/>
                <w:color w:val="000000"/>
                <w:sz w:val="24"/>
                <w:szCs w:val="24"/>
              </w:rPr>
            </w:pPr>
            <w:r w:rsidRPr="00610B1B">
              <w:rPr>
                <w:color w:val="000000"/>
                <w:sz w:val="24"/>
                <w:szCs w:val="24"/>
              </w:rPr>
              <w:t xml:space="preserve">Налични дни с бурен вятър и щормова вълна, с разрушително въздействие върху брега и ограничаваща корабоплаването в </w:t>
            </w:r>
            <w:r w:rsidR="00BB78A1" w:rsidRPr="00610B1B">
              <w:rPr>
                <w:color w:val="000000"/>
                <w:sz w:val="24"/>
                <w:szCs w:val="24"/>
              </w:rPr>
              <w:t>района</w:t>
            </w:r>
            <w:r w:rsidRPr="00610B1B">
              <w:rPr>
                <w:color w:val="000000"/>
                <w:sz w:val="24"/>
                <w:szCs w:val="24"/>
              </w:rPr>
              <w:t>.</w:t>
            </w:r>
          </w:p>
        </w:tc>
      </w:tr>
      <w:tr w:rsidR="00895324" w:rsidRPr="00610B1B" w14:paraId="5934AEB4" w14:textId="77777777" w:rsidTr="00AE254B">
        <w:tc>
          <w:tcPr>
            <w:tcW w:w="5025" w:type="dxa"/>
            <w:gridSpan w:val="2"/>
            <w:shd w:val="clear" w:color="auto" w:fill="BEE6F0"/>
          </w:tcPr>
          <w:p w14:paraId="46B40874" w14:textId="77777777" w:rsidR="00895324" w:rsidRPr="00610B1B" w:rsidRDefault="00895324" w:rsidP="00AE254B">
            <w:pPr>
              <w:pStyle w:val="Normal1"/>
              <w:spacing w:before="20" w:after="20"/>
              <w:jc w:val="center"/>
              <w:rPr>
                <w:b/>
                <w:color w:val="000000"/>
                <w:sz w:val="24"/>
                <w:szCs w:val="24"/>
              </w:rPr>
            </w:pPr>
            <w:r w:rsidRPr="00610B1B">
              <w:rPr>
                <w:b/>
                <w:color w:val="000000"/>
                <w:sz w:val="24"/>
                <w:szCs w:val="24"/>
              </w:rPr>
              <w:t>Възможности</w:t>
            </w:r>
          </w:p>
        </w:tc>
        <w:tc>
          <w:tcPr>
            <w:tcW w:w="4899" w:type="dxa"/>
            <w:shd w:val="clear" w:color="auto" w:fill="BEE6F0"/>
          </w:tcPr>
          <w:p w14:paraId="03B53165" w14:textId="77777777" w:rsidR="00895324" w:rsidRPr="00610B1B" w:rsidRDefault="00895324" w:rsidP="00AE254B">
            <w:pPr>
              <w:pStyle w:val="Normal1"/>
              <w:spacing w:before="20" w:after="20"/>
              <w:jc w:val="center"/>
              <w:rPr>
                <w:b/>
                <w:color w:val="000000"/>
                <w:sz w:val="24"/>
                <w:szCs w:val="24"/>
              </w:rPr>
            </w:pPr>
            <w:r w:rsidRPr="00610B1B">
              <w:rPr>
                <w:b/>
                <w:color w:val="000000"/>
                <w:sz w:val="24"/>
                <w:szCs w:val="24"/>
              </w:rPr>
              <w:t>Заплахи</w:t>
            </w:r>
          </w:p>
        </w:tc>
      </w:tr>
      <w:tr w:rsidR="00895324" w:rsidRPr="00C717D0" w14:paraId="300742AB" w14:textId="77777777" w:rsidTr="00AE254B">
        <w:tc>
          <w:tcPr>
            <w:tcW w:w="5025" w:type="dxa"/>
            <w:gridSpan w:val="2"/>
            <w:shd w:val="clear" w:color="auto" w:fill="FFFFFF"/>
          </w:tcPr>
          <w:p w14:paraId="551F2660" w14:textId="241C55C7" w:rsidR="00895324" w:rsidRPr="00610B1B" w:rsidRDefault="00895324" w:rsidP="00AE254B">
            <w:pPr>
              <w:pStyle w:val="Normal1"/>
              <w:spacing w:before="20" w:after="20"/>
              <w:rPr>
                <w:b/>
                <w:color w:val="000000"/>
                <w:sz w:val="24"/>
                <w:szCs w:val="24"/>
              </w:rPr>
            </w:pPr>
            <w:r w:rsidRPr="00610B1B">
              <w:rPr>
                <w:bCs/>
                <w:color w:val="000000"/>
                <w:sz w:val="24"/>
                <w:szCs w:val="24"/>
              </w:rPr>
              <w:t xml:space="preserve">Използване на по-благоприятните условия в сравнение с други страни за привличане на туристи през летния сезон по Черноморското крайбрежие </w:t>
            </w:r>
          </w:p>
        </w:tc>
        <w:tc>
          <w:tcPr>
            <w:tcW w:w="4899" w:type="dxa"/>
            <w:shd w:val="clear" w:color="auto" w:fill="FFFFFF"/>
          </w:tcPr>
          <w:p w14:paraId="27101BCD" w14:textId="6E13730E" w:rsidR="00895324" w:rsidRPr="00610B1B" w:rsidRDefault="00895324" w:rsidP="00AE254B">
            <w:pPr>
              <w:pStyle w:val="Normal1"/>
              <w:spacing w:before="20" w:after="20"/>
              <w:rPr>
                <w:b/>
                <w:color w:val="000000"/>
                <w:sz w:val="24"/>
                <w:szCs w:val="24"/>
              </w:rPr>
            </w:pPr>
            <w:r w:rsidRPr="00610B1B">
              <w:rPr>
                <w:bCs/>
                <w:color w:val="000000"/>
                <w:sz w:val="24"/>
                <w:szCs w:val="24"/>
              </w:rPr>
              <w:t xml:space="preserve">Повишаване на температурите на въздуха и на морската вода, които ще увеличат дните с климатичен дискомфорт за хората, особено през летния туристически сезон. </w:t>
            </w:r>
          </w:p>
        </w:tc>
      </w:tr>
      <w:tr w:rsidR="00895324" w:rsidRPr="00C717D0" w14:paraId="3A5C7F3B" w14:textId="77777777" w:rsidTr="00AE254B">
        <w:tc>
          <w:tcPr>
            <w:tcW w:w="5025" w:type="dxa"/>
            <w:gridSpan w:val="2"/>
            <w:shd w:val="clear" w:color="auto" w:fill="FFFFFF"/>
          </w:tcPr>
          <w:p w14:paraId="219560A1" w14:textId="7B31D007" w:rsidR="00895324" w:rsidRPr="00610B1B" w:rsidRDefault="00895324" w:rsidP="00AE254B">
            <w:pPr>
              <w:pStyle w:val="Normal1"/>
              <w:spacing w:before="20" w:after="20"/>
              <w:rPr>
                <w:b/>
                <w:color w:val="000000"/>
                <w:sz w:val="24"/>
                <w:szCs w:val="24"/>
              </w:rPr>
            </w:pPr>
            <w:r w:rsidRPr="00610B1B">
              <w:rPr>
                <w:bCs/>
                <w:color w:val="000000"/>
                <w:sz w:val="24"/>
                <w:szCs w:val="24"/>
              </w:rPr>
              <w:t xml:space="preserve">Прилагане на иновативни решения за намаляване на риска от наводнения в рискови зони за защита на населението, на сгради и инфраструктура </w:t>
            </w:r>
          </w:p>
        </w:tc>
        <w:tc>
          <w:tcPr>
            <w:tcW w:w="4899" w:type="dxa"/>
            <w:shd w:val="clear" w:color="auto" w:fill="FFFFFF"/>
          </w:tcPr>
          <w:p w14:paraId="7AA8D767" w14:textId="410684C5" w:rsidR="00895324" w:rsidRPr="00610B1B" w:rsidRDefault="00895324" w:rsidP="00AE254B">
            <w:pPr>
              <w:pStyle w:val="Normal1"/>
              <w:spacing w:before="20" w:after="20"/>
              <w:rPr>
                <w:b/>
                <w:color w:val="000000"/>
                <w:sz w:val="24"/>
                <w:szCs w:val="24"/>
              </w:rPr>
            </w:pPr>
            <w:r w:rsidRPr="00610B1B">
              <w:rPr>
                <w:bCs/>
                <w:color w:val="000000"/>
                <w:sz w:val="24"/>
                <w:szCs w:val="24"/>
              </w:rPr>
              <w:t>Увеличаване на броя и интензивността на екстремните събития поради изменения на климата и на обема на нанесените щети.</w:t>
            </w:r>
          </w:p>
        </w:tc>
      </w:tr>
      <w:tr w:rsidR="00895324" w:rsidRPr="00C717D0" w14:paraId="744BF3C6" w14:textId="77777777" w:rsidTr="00AE254B">
        <w:tc>
          <w:tcPr>
            <w:tcW w:w="5025" w:type="dxa"/>
            <w:gridSpan w:val="2"/>
            <w:shd w:val="clear" w:color="auto" w:fill="FFFFFF"/>
          </w:tcPr>
          <w:p w14:paraId="0989DB2B" w14:textId="2E4D5BC3" w:rsidR="00895324" w:rsidRPr="00610B1B" w:rsidRDefault="00895324" w:rsidP="00AE254B">
            <w:pPr>
              <w:pStyle w:val="Normal1"/>
              <w:spacing w:before="20" w:after="20"/>
              <w:rPr>
                <w:color w:val="000000"/>
                <w:sz w:val="24"/>
                <w:szCs w:val="24"/>
              </w:rPr>
            </w:pPr>
            <w:r w:rsidRPr="00610B1B">
              <w:rPr>
                <w:color w:val="000000"/>
                <w:sz w:val="24"/>
                <w:szCs w:val="24"/>
              </w:rPr>
              <w:t xml:space="preserve">Развитие на зелената система на населените места по крайбрежието и създаване на зони за охлаждане </w:t>
            </w:r>
            <w:r w:rsidR="00A71B9D" w:rsidRPr="00610B1B">
              <w:rPr>
                <w:color w:val="000000"/>
                <w:sz w:val="24"/>
                <w:szCs w:val="24"/>
              </w:rPr>
              <w:t xml:space="preserve">и климатичен комфорт </w:t>
            </w:r>
            <w:r w:rsidRPr="00610B1B">
              <w:rPr>
                <w:color w:val="000000"/>
                <w:sz w:val="24"/>
                <w:szCs w:val="24"/>
              </w:rPr>
              <w:t>чрез средствата на ландшафтната архитектура.</w:t>
            </w:r>
          </w:p>
        </w:tc>
        <w:tc>
          <w:tcPr>
            <w:tcW w:w="4899" w:type="dxa"/>
            <w:shd w:val="clear" w:color="auto" w:fill="FFFFFF"/>
          </w:tcPr>
          <w:p w14:paraId="08A9C735" w14:textId="1B3E24B3" w:rsidR="00895324" w:rsidRPr="00610B1B" w:rsidRDefault="00895324" w:rsidP="00AE254B">
            <w:pPr>
              <w:pStyle w:val="Normal1"/>
              <w:spacing w:before="20" w:after="20"/>
              <w:rPr>
                <w:strike/>
                <w:color w:val="000000"/>
                <w:sz w:val="24"/>
                <w:szCs w:val="24"/>
              </w:rPr>
            </w:pPr>
            <w:r w:rsidRPr="00610B1B">
              <w:rPr>
                <w:color w:val="000000"/>
                <w:sz w:val="24"/>
                <w:szCs w:val="24"/>
              </w:rPr>
              <w:t>Увеличаване на периодите на засушавания и завишаване на риска от пожари, воден стрес и загуба на биоразнообразие.</w:t>
            </w:r>
          </w:p>
        </w:tc>
      </w:tr>
      <w:tr w:rsidR="00895324" w:rsidRPr="00610B1B" w14:paraId="7BD02BCA" w14:textId="77777777" w:rsidTr="00AE254B">
        <w:tc>
          <w:tcPr>
            <w:tcW w:w="9924" w:type="dxa"/>
            <w:gridSpan w:val="3"/>
            <w:shd w:val="clear" w:color="auto" w:fill="92CDDC"/>
          </w:tcPr>
          <w:p w14:paraId="20D3E3A0" w14:textId="785944AB" w:rsidR="00895324" w:rsidRPr="00610B1B" w:rsidRDefault="00895324" w:rsidP="00AE254B">
            <w:pPr>
              <w:pStyle w:val="Heading4"/>
              <w:spacing w:before="20" w:after="20"/>
              <w:jc w:val="center"/>
              <w:rPr>
                <w:rFonts w:cs="Times New Roman"/>
                <w:szCs w:val="24"/>
              </w:rPr>
            </w:pPr>
            <w:bookmarkStart w:id="417" w:name="_993hxxfflbme" w:colFirst="0" w:colLast="0"/>
            <w:bookmarkEnd w:id="417"/>
            <w:r w:rsidRPr="00610B1B">
              <w:rPr>
                <w:rFonts w:cs="Times New Roman"/>
                <w:szCs w:val="24"/>
              </w:rPr>
              <w:t>БИОЛОГИЧНО РАЗНООБРАЗИЕ</w:t>
            </w:r>
          </w:p>
        </w:tc>
      </w:tr>
      <w:tr w:rsidR="00895324" w:rsidRPr="00610B1B" w14:paraId="7D6815E3" w14:textId="77777777" w:rsidTr="00AE254B">
        <w:tc>
          <w:tcPr>
            <w:tcW w:w="4962" w:type="dxa"/>
            <w:shd w:val="clear" w:color="auto" w:fill="BEE6F0"/>
          </w:tcPr>
          <w:p w14:paraId="7C2CED33" w14:textId="77777777" w:rsidR="00895324" w:rsidRPr="00610B1B" w:rsidRDefault="00895324"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6294B171" w14:textId="77777777" w:rsidR="00895324" w:rsidRPr="00610B1B" w:rsidRDefault="00895324" w:rsidP="00AE254B">
            <w:pPr>
              <w:pStyle w:val="Normal1"/>
              <w:spacing w:before="20" w:after="20"/>
              <w:jc w:val="center"/>
              <w:rPr>
                <w:b/>
                <w:color w:val="000000"/>
                <w:sz w:val="24"/>
                <w:szCs w:val="24"/>
              </w:rPr>
            </w:pPr>
            <w:r w:rsidRPr="00610B1B">
              <w:rPr>
                <w:b/>
                <w:color w:val="000000"/>
                <w:sz w:val="24"/>
                <w:szCs w:val="24"/>
              </w:rPr>
              <w:t>Слаби страни</w:t>
            </w:r>
          </w:p>
        </w:tc>
      </w:tr>
      <w:tr w:rsidR="00895324" w:rsidRPr="00C717D0" w14:paraId="554188CB" w14:textId="77777777" w:rsidTr="00AE254B">
        <w:tc>
          <w:tcPr>
            <w:tcW w:w="4962" w:type="dxa"/>
            <w:shd w:val="clear" w:color="auto" w:fill="FFFFFF"/>
          </w:tcPr>
          <w:p w14:paraId="1D1C9D81" w14:textId="57C34C3A" w:rsidR="00895324" w:rsidRPr="00610B1B" w:rsidRDefault="00895324" w:rsidP="00AE254B">
            <w:pPr>
              <w:pStyle w:val="Normal1"/>
              <w:spacing w:before="20" w:after="20"/>
              <w:rPr>
                <w:color w:val="000000"/>
                <w:sz w:val="24"/>
                <w:szCs w:val="24"/>
              </w:rPr>
            </w:pPr>
            <w:r w:rsidRPr="00610B1B">
              <w:rPr>
                <w:color w:val="000000"/>
                <w:sz w:val="24"/>
                <w:szCs w:val="24"/>
              </w:rPr>
              <w:t>Приети важни стратегически документи в областта на биоразнообразието, горите, селското стопанство, изменението на климата и други важни сектори, свързани с Черно море и прилежащото крайбрежие</w:t>
            </w:r>
            <w:r w:rsidR="008357D8" w:rsidRPr="00610B1B">
              <w:rPr>
                <w:color w:val="000000"/>
                <w:sz w:val="24"/>
                <w:szCs w:val="24"/>
              </w:rPr>
              <w:t>.</w:t>
            </w:r>
            <w:r w:rsidR="00D66FE0" w:rsidRPr="00610B1B">
              <w:rPr>
                <w:color w:val="000000"/>
                <w:sz w:val="24"/>
                <w:szCs w:val="24"/>
              </w:rPr>
              <w:t xml:space="preserve"> </w:t>
            </w:r>
          </w:p>
        </w:tc>
        <w:tc>
          <w:tcPr>
            <w:tcW w:w="4962" w:type="dxa"/>
            <w:gridSpan w:val="2"/>
            <w:shd w:val="clear" w:color="auto" w:fill="FFFFFF"/>
          </w:tcPr>
          <w:p w14:paraId="6DD31109" w14:textId="6AE6D5BD" w:rsidR="003B0BD5" w:rsidRPr="00610B1B" w:rsidRDefault="00895324" w:rsidP="00AE254B">
            <w:pPr>
              <w:pStyle w:val="Normal1"/>
              <w:spacing w:before="20" w:after="20"/>
              <w:rPr>
                <w:color w:val="000000"/>
                <w:sz w:val="24"/>
                <w:szCs w:val="24"/>
              </w:rPr>
            </w:pPr>
            <w:r w:rsidRPr="00610B1B">
              <w:rPr>
                <w:color w:val="000000"/>
                <w:sz w:val="24"/>
                <w:szCs w:val="24"/>
              </w:rPr>
              <w:t xml:space="preserve">Липса на синтезна карта за допустимите дейности и зоните за съвместяването им за предотвратяване на конфликтите между различните ползвания на морската среда и ресурси, както и между икономическите дейности в морето и изискванията и режимите за опазване на ОС и биоразнообразието </w:t>
            </w:r>
          </w:p>
        </w:tc>
      </w:tr>
      <w:tr w:rsidR="00895324" w:rsidRPr="00C717D0" w14:paraId="7608EE07" w14:textId="77777777" w:rsidTr="00AE254B">
        <w:tc>
          <w:tcPr>
            <w:tcW w:w="4962" w:type="dxa"/>
            <w:shd w:val="clear" w:color="auto" w:fill="FFFFFF"/>
          </w:tcPr>
          <w:p w14:paraId="4E29BDC5" w14:textId="3A12AC56" w:rsidR="00895324" w:rsidRPr="00610B1B" w:rsidRDefault="00895324" w:rsidP="00AE254B">
            <w:pPr>
              <w:pStyle w:val="Normal1"/>
              <w:spacing w:before="20" w:after="20"/>
              <w:rPr>
                <w:color w:val="000000"/>
                <w:sz w:val="24"/>
                <w:szCs w:val="24"/>
              </w:rPr>
            </w:pPr>
            <w:r w:rsidRPr="00610B1B">
              <w:rPr>
                <w:color w:val="000000"/>
                <w:sz w:val="24"/>
                <w:szCs w:val="24"/>
              </w:rPr>
              <w:t>Транспонирано законодателство на Европейския съюз в областта на биоразнообразието и управление на водите.</w:t>
            </w:r>
          </w:p>
        </w:tc>
        <w:tc>
          <w:tcPr>
            <w:tcW w:w="4962" w:type="dxa"/>
            <w:gridSpan w:val="2"/>
            <w:shd w:val="clear" w:color="auto" w:fill="FFFFFF"/>
          </w:tcPr>
          <w:p w14:paraId="3262093B" w14:textId="704D862D" w:rsidR="00895324" w:rsidRPr="00610B1B" w:rsidRDefault="003B0BD5" w:rsidP="00AE254B">
            <w:pPr>
              <w:pStyle w:val="Normal1"/>
              <w:spacing w:before="20" w:after="20"/>
              <w:rPr>
                <w:sz w:val="24"/>
                <w:szCs w:val="24"/>
              </w:rPr>
            </w:pPr>
            <w:r w:rsidRPr="00610B1B">
              <w:rPr>
                <w:sz w:val="24"/>
                <w:szCs w:val="24"/>
              </w:rPr>
              <w:t>Забавяне</w:t>
            </w:r>
            <w:r w:rsidR="00895324" w:rsidRPr="00610B1B">
              <w:rPr>
                <w:sz w:val="24"/>
                <w:szCs w:val="24"/>
              </w:rPr>
              <w:t xml:space="preserve"> изпълнение</w:t>
            </w:r>
            <w:r w:rsidRPr="00610B1B">
              <w:rPr>
                <w:sz w:val="24"/>
                <w:szCs w:val="24"/>
              </w:rPr>
              <w:t>то</w:t>
            </w:r>
            <w:r w:rsidR="00895324" w:rsidRPr="00610B1B">
              <w:rPr>
                <w:sz w:val="24"/>
                <w:szCs w:val="24"/>
              </w:rPr>
              <w:t xml:space="preserve"> на заложените мерки в ПУРБ 2016-2021 г. и програмата от мерки по чл. 13 от РДМС,</w:t>
            </w:r>
            <w:r w:rsidR="00D66FE0" w:rsidRPr="00610B1B">
              <w:rPr>
                <w:sz w:val="24"/>
                <w:szCs w:val="24"/>
              </w:rPr>
              <w:t xml:space="preserve"> </w:t>
            </w:r>
            <w:r w:rsidR="00895324" w:rsidRPr="00610B1B">
              <w:rPr>
                <w:sz w:val="24"/>
                <w:szCs w:val="24"/>
              </w:rPr>
              <w:t xml:space="preserve">което се отразява на </w:t>
            </w:r>
            <w:r w:rsidR="008357D8" w:rsidRPr="00610B1B">
              <w:rPr>
                <w:sz w:val="24"/>
                <w:szCs w:val="24"/>
              </w:rPr>
              <w:t xml:space="preserve">състоянието на </w:t>
            </w:r>
            <w:r w:rsidR="00895324" w:rsidRPr="00610B1B">
              <w:rPr>
                <w:sz w:val="24"/>
                <w:szCs w:val="24"/>
              </w:rPr>
              <w:t>морската среда по някои показатели.</w:t>
            </w:r>
          </w:p>
        </w:tc>
      </w:tr>
      <w:tr w:rsidR="00895324" w:rsidRPr="00C717D0" w14:paraId="7DA844A9" w14:textId="77777777" w:rsidTr="00AE254B">
        <w:tc>
          <w:tcPr>
            <w:tcW w:w="4962" w:type="dxa"/>
            <w:shd w:val="clear" w:color="auto" w:fill="FFFFFF"/>
          </w:tcPr>
          <w:p w14:paraId="4FA07B54" w14:textId="4CFDA94C" w:rsidR="00895324" w:rsidRPr="00610B1B" w:rsidRDefault="008357D8" w:rsidP="00AE254B">
            <w:pPr>
              <w:pStyle w:val="Normal1"/>
              <w:spacing w:before="20" w:after="20"/>
              <w:rPr>
                <w:color w:val="000000"/>
                <w:sz w:val="24"/>
                <w:szCs w:val="24"/>
              </w:rPr>
            </w:pPr>
            <w:r w:rsidRPr="00610B1B">
              <w:rPr>
                <w:color w:val="000000"/>
                <w:sz w:val="24"/>
                <w:szCs w:val="24"/>
              </w:rPr>
              <w:t xml:space="preserve">Изпълняване на мониторинг и мерки от Програмата от мерки към приетата Морска стратегия на Р. България съгл. чл. 13 от РДМС и мерки по чл. 11 от РДВ. </w:t>
            </w:r>
          </w:p>
        </w:tc>
        <w:tc>
          <w:tcPr>
            <w:tcW w:w="4962" w:type="dxa"/>
            <w:gridSpan w:val="2"/>
            <w:shd w:val="clear" w:color="auto" w:fill="FFFFFF"/>
          </w:tcPr>
          <w:p w14:paraId="5AA817DC" w14:textId="7D82F40A" w:rsidR="00895324" w:rsidRPr="00610B1B" w:rsidRDefault="00782B42" w:rsidP="00AE254B">
            <w:pPr>
              <w:pStyle w:val="Normal1"/>
              <w:spacing w:before="20" w:after="20"/>
              <w:rPr>
                <w:sz w:val="24"/>
                <w:szCs w:val="24"/>
              </w:rPr>
            </w:pPr>
            <w:r w:rsidRPr="00610B1B">
              <w:rPr>
                <w:sz w:val="24"/>
                <w:szCs w:val="24"/>
              </w:rPr>
              <w:t xml:space="preserve">Непостигнато </w:t>
            </w:r>
            <w:r w:rsidR="00DC7A74" w:rsidRPr="00610B1B">
              <w:rPr>
                <w:sz w:val="24"/>
                <w:szCs w:val="24"/>
              </w:rPr>
              <w:t>добро състояние по повечето показатели на морската околна среда: фитопланктон, зоопланктон (поради наличието на инвазивни видове), риби, морски бозайници.</w:t>
            </w:r>
          </w:p>
        </w:tc>
      </w:tr>
      <w:tr w:rsidR="00DC7A74" w:rsidRPr="00C717D0" w14:paraId="524243F6" w14:textId="77777777" w:rsidTr="00AE254B">
        <w:tc>
          <w:tcPr>
            <w:tcW w:w="4962" w:type="dxa"/>
            <w:shd w:val="clear" w:color="auto" w:fill="FFFFFF"/>
          </w:tcPr>
          <w:p w14:paraId="3B5EFD42" w14:textId="59AF0CD2" w:rsidR="00DC7A74" w:rsidRPr="00610B1B" w:rsidRDefault="00DC7A74" w:rsidP="00AE254B">
            <w:pPr>
              <w:pStyle w:val="Normal1"/>
              <w:spacing w:before="20" w:after="20"/>
              <w:rPr>
                <w:color w:val="000000"/>
                <w:sz w:val="24"/>
                <w:szCs w:val="24"/>
              </w:rPr>
            </w:pPr>
            <w:r w:rsidRPr="00610B1B">
              <w:rPr>
                <w:color w:val="000000"/>
                <w:sz w:val="24"/>
                <w:szCs w:val="24"/>
              </w:rPr>
              <w:t xml:space="preserve">Наличие на уникални за страната и Европа представители на растителния и животински свят и съхранени </w:t>
            </w:r>
            <w:r w:rsidR="00D11F2C" w:rsidRPr="00610B1B">
              <w:rPr>
                <w:color w:val="000000"/>
                <w:sz w:val="24"/>
                <w:szCs w:val="24"/>
              </w:rPr>
              <w:t xml:space="preserve">местообитания </w:t>
            </w:r>
            <w:r w:rsidRPr="00610B1B">
              <w:rPr>
                <w:color w:val="000000"/>
                <w:sz w:val="24"/>
                <w:szCs w:val="24"/>
              </w:rPr>
              <w:t xml:space="preserve">в акваторията </w:t>
            </w:r>
            <w:r w:rsidRPr="00610B1B">
              <w:rPr>
                <w:color w:val="000000"/>
                <w:sz w:val="24"/>
                <w:szCs w:val="24"/>
              </w:rPr>
              <w:lastRenderedPageBreak/>
              <w:t>на Черно море и крайбрежната зона. Изградена екологична мрежа от защитени територии и зони и съхранено биоразнообразие.</w:t>
            </w:r>
          </w:p>
        </w:tc>
        <w:tc>
          <w:tcPr>
            <w:tcW w:w="4962" w:type="dxa"/>
            <w:gridSpan w:val="2"/>
            <w:shd w:val="clear" w:color="auto" w:fill="FFFFFF"/>
          </w:tcPr>
          <w:p w14:paraId="46269C2D" w14:textId="6F61B886" w:rsidR="00DC7A74" w:rsidRPr="00610B1B" w:rsidRDefault="00DC7A74" w:rsidP="00AE254B">
            <w:pPr>
              <w:pStyle w:val="Normal1"/>
              <w:spacing w:before="20" w:after="20"/>
              <w:rPr>
                <w:color w:val="000000"/>
                <w:sz w:val="24"/>
                <w:szCs w:val="24"/>
              </w:rPr>
            </w:pPr>
            <w:r w:rsidRPr="00610B1B">
              <w:rPr>
                <w:color w:val="000000"/>
                <w:sz w:val="24"/>
                <w:szCs w:val="24"/>
              </w:rPr>
              <w:lastRenderedPageBreak/>
              <w:t xml:space="preserve">Засилване на засушаванията в резултат на промени в климата, промени в статуса на влажните зони, намаляване на рибните запаси, </w:t>
            </w:r>
            <w:r w:rsidRPr="00610B1B">
              <w:rPr>
                <w:color w:val="000000"/>
                <w:sz w:val="24"/>
                <w:szCs w:val="24"/>
              </w:rPr>
              <w:lastRenderedPageBreak/>
              <w:t>увреждане на горските екосистеми, засилване на свлачищните процеси и поява на нови свлачища поради неизграденост на канализациите.</w:t>
            </w:r>
          </w:p>
        </w:tc>
      </w:tr>
      <w:tr w:rsidR="00DC7A74" w:rsidRPr="00C717D0" w14:paraId="5E358CB9" w14:textId="77777777" w:rsidTr="00AE254B">
        <w:tc>
          <w:tcPr>
            <w:tcW w:w="4962" w:type="dxa"/>
            <w:shd w:val="clear" w:color="auto" w:fill="FFFFFF"/>
          </w:tcPr>
          <w:p w14:paraId="20691FEE" w14:textId="7D4F306D" w:rsidR="00DC7A74" w:rsidRPr="00610B1B" w:rsidRDefault="00F767EC" w:rsidP="00AE254B">
            <w:pPr>
              <w:pStyle w:val="Normal1"/>
              <w:spacing w:before="20" w:after="20"/>
              <w:rPr>
                <w:color w:val="000000"/>
                <w:sz w:val="24"/>
                <w:szCs w:val="24"/>
              </w:rPr>
            </w:pPr>
            <w:r w:rsidRPr="00610B1B">
              <w:rPr>
                <w:color w:val="000000"/>
                <w:sz w:val="24"/>
                <w:szCs w:val="24"/>
              </w:rPr>
              <w:lastRenderedPageBreak/>
              <w:t xml:space="preserve">Периодично въвеждане на забрани за </w:t>
            </w:r>
            <w:r w:rsidR="00DD6CD4" w:rsidRPr="00610B1B">
              <w:rPr>
                <w:color w:val="000000"/>
                <w:sz w:val="24"/>
                <w:szCs w:val="24"/>
              </w:rPr>
              <w:t>стопански риболов</w:t>
            </w:r>
            <w:r w:rsidRPr="00610B1B">
              <w:rPr>
                <w:sz w:val="24"/>
                <w:szCs w:val="24"/>
              </w:rPr>
              <w:t xml:space="preserve"> </w:t>
            </w:r>
            <w:r w:rsidRPr="00610B1B">
              <w:rPr>
                <w:color w:val="000000"/>
                <w:sz w:val="24"/>
                <w:szCs w:val="24"/>
              </w:rPr>
              <w:t xml:space="preserve">в зоните за опазване на ценни видове риби, обект на </w:t>
            </w:r>
            <w:r w:rsidR="00DD6CD4" w:rsidRPr="00610B1B">
              <w:rPr>
                <w:color w:val="000000"/>
                <w:sz w:val="24"/>
                <w:szCs w:val="24"/>
              </w:rPr>
              <w:t>стопански риболов</w:t>
            </w:r>
            <w:r w:rsidRPr="00610B1B">
              <w:rPr>
                <w:color w:val="000000"/>
                <w:sz w:val="24"/>
                <w:szCs w:val="24"/>
              </w:rPr>
              <w:t>, с цел възстановяване на рибните популации.</w:t>
            </w:r>
          </w:p>
        </w:tc>
        <w:tc>
          <w:tcPr>
            <w:tcW w:w="4962" w:type="dxa"/>
            <w:gridSpan w:val="2"/>
            <w:shd w:val="clear" w:color="auto" w:fill="FFFFFF"/>
          </w:tcPr>
          <w:p w14:paraId="7BFAC3C6" w14:textId="170FBEA4" w:rsidR="00DC7A74" w:rsidRPr="00610B1B" w:rsidRDefault="00DD6CD4" w:rsidP="00AE254B">
            <w:pPr>
              <w:pStyle w:val="Normal1"/>
              <w:spacing w:before="20" w:after="20"/>
              <w:rPr>
                <w:color w:val="000000"/>
                <w:sz w:val="24"/>
                <w:szCs w:val="24"/>
              </w:rPr>
            </w:pPr>
            <w:r w:rsidRPr="00610B1B">
              <w:rPr>
                <w:color w:val="000000"/>
                <w:sz w:val="24"/>
                <w:szCs w:val="24"/>
              </w:rPr>
              <w:t>Намаляване на част от рибните запаси</w:t>
            </w:r>
            <w:r w:rsidR="00C415D1" w:rsidRPr="00610B1B">
              <w:rPr>
                <w:color w:val="000000"/>
                <w:sz w:val="24"/>
                <w:szCs w:val="24"/>
              </w:rPr>
              <w:t xml:space="preserve"> </w:t>
            </w:r>
            <w:r w:rsidRPr="00610B1B">
              <w:rPr>
                <w:color w:val="000000"/>
                <w:sz w:val="24"/>
                <w:szCs w:val="24"/>
              </w:rPr>
              <w:t>поради ниска степен на инвестиране в подмяната на риболовните уреди с по-селективни такива, неподходящи методи за риболов с негативно въздействие върху морската среда; незаконен, недеклариран и нерегулиран риболов.</w:t>
            </w:r>
          </w:p>
        </w:tc>
      </w:tr>
      <w:tr w:rsidR="00DC7A74" w:rsidRPr="00610B1B" w14:paraId="0250DE35" w14:textId="77777777" w:rsidTr="00AE254B">
        <w:tc>
          <w:tcPr>
            <w:tcW w:w="4962" w:type="dxa"/>
            <w:shd w:val="clear" w:color="auto" w:fill="BEE6F0"/>
          </w:tcPr>
          <w:p w14:paraId="7ED25AFB"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Възможности</w:t>
            </w:r>
          </w:p>
        </w:tc>
        <w:tc>
          <w:tcPr>
            <w:tcW w:w="4962" w:type="dxa"/>
            <w:gridSpan w:val="2"/>
            <w:shd w:val="clear" w:color="auto" w:fill="BEE6F0"/>
          </w:tcPr>
          <w:p w14:paraId="66F93AC7"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Заплахи</w:t>
            </w:r>
          </w:p>
        </w:tc>
      </w:tr>
      <w:tr w:rsidR="00DC7A74" w:rsidRPr="00C717D0" w14:paraId="1E59C0AF" w14:textId="77777777" w:rsidTr="00AE254B">
        <w:tc>
          <w:tcPr>
            <w:tcW w:w="4962" w:type="dxa"/>
            <w:shd w:val="clear" w:color="auto" w:fill="FFFFFF"/>
          </w:tcPr>
          <w:p w14:paraId="736938AB" w14:textId="654A38C7" w:rsidR="00DC7A74" w:rsidRPr="00610B1B" w:rsidRDefault="00DC7A74" w:rsidP="00AE254B">
            <w:pPr>
              <w:pStyle w:val="Normal1"/>
              <w:spacing w:before="20" w:after="20"/>
              <w:rPr>
                <w:color w:val="000000"/>
                <w:sz w:val="24"/>
                <w:szCs w:val="24"/>
              </w:rPr>
            </w:pPr>
            <w:r w:rsidRPr="00610B1B">
              <w:rPr>
                <w:color w:val="000000"/>
                <w:sz w:val="24"/>
                <w:szCs w:val="24"/>
              </w:rPr>
              <w:t>Увеличаване на контрола върху изхвърлянето на баластни води от корабите</w:t>
            </w:r>
          </w:p>
        </w:tc>
        <w:tc>
          <w:tcPr>
            <w:tcW w:w="4962" w:type="dxa"/>
            <w:gridSpan w:val="2"/>
            <w:shd w:val="clear" w:color="auto" w:fill="FFFFFF"/>
          </w:tcPr>
          <w:p w14:paraId="47E7B00D" w14:textId="6B71240D" w:rsidR="00DC7A74" w:rsidRPr="00610B1B" w:rsidRDefault="00DC7A74" w:rsidP="00AE254B">
            <w:pPr>
              <w:pStyle w:val="Normal1"/>
              <w:spacing w:before="20" w:after="20"/>
              <w:rPr>
                <w:color w:val="000000"/>
                <w:sz w:val="24"/>
                <w:szCs w:val="24"/>
              </w:rPr>
            </w:pPr>
            <w:r w:rsidRPr="00610B1B">
              <w:rPr>
                <w:color w:val="000000"/>
                <w:sz w:val="24"/>
                <w:szCs w:val="24"/>
              </w:rPr>
              <w:t>Въвеждане и разпространение на чужди инвазивни видове</w:t>
            </w:r>
          </w:p>
        </w:tc>
      </w:tr>
      <w:tr w:rsidR="00DC7A74" w:rsidRPr="00C717D0" w14:paraId="4903758E" w14:textId="77777777" w:rsidTr="00AE254B">
        <w:tc>
          <w:tcPr>
            <w:tcW w:w="4962" w:type="dxa"/>
            <w:shd w:val="clear" w:color="auto" w:fill="FFFFFF"/>
          </w:tcPr>
          <w:p w14:paraId="1B10A9ED" w14:textId="3FBECC75" w:rsidR="00DC7A74" w:rsidRPr="00610B1B" w:rsidRDefault="00DC7A74" w:rsidP="00AE254B">
            <w:pPr>
              <w:pStyle w:val="Normal1"/>
              <w:spacing w:before="20" w:after="20"/>
              <w:rPr>
                <w:color w:val="000000"/>
                <w:sz w:val="24"/>
                <w:szCs w:val="24"/>
              </w:rPr>
            </w:pPr>
            <w:r w:rsidRPr="00610B1B">
              <w:rPr>
                <w:color w:val="000000"/>
                <w:sz w:val="24"/>
                <w:szCs w:val="24"/>
              </w:rPr>
              <w:t>Използване на благоприятните условия за отглеждане на черната мида (</w:t>
            </w:r>
            <w:r w:rsidRPr="00610B1B">
              <w:rPr>
                <w:i/>
                <w:color w:val="000000"/>
                <w:sz w:val="24"/>
                <w:szCs w:val="24"/>
              </w:rPr>
              <w:t>Mytilus galloprovincialis</w:t>
            </w:r>
            <w:r w:rsidRPr="00610B1B">
              <w:rPr>
                <w:color w:val="000000"/>
                <w:sz w:val="24"/>
                <w:szCs w:val="24"/>
              </w:rPr>
              <w:t>)</w:t>
            </w:r>
            <w:r w:rsidR="00D66FE0" w:rsidRPr="00610B1B">
              <w:rPr>
                <w:color w:val="000000"/>
                <w:sz w:val="24"/>
                <w:szCs w:val="24"/>
              </w:rPr>
              <w:t xml:space="preserve"> </w:t>
            </w:r>
            <w:r w:rsidRPr="00610B1B">
              <w:rPr>
                <w:color w:val="000000"/>
                <w:sz w:val="24"/>
                <w:szCs w:val="24"/>
              </w:rPr>
              <w:t>за развитие на морските аквакултури.</w:t>
            </w:r>
          </w:p>
        </w:tc>
        <w:tc>
          <w:tcPr>
            <w:tcW w:w="4962" w:type="dxa"/>
            <w:gridSpan w:val="2"/>
            <w:shd w:val="clear" w:color="auto" w:fill="FFFFFF"/>
          </w:tcPr>
          <w:p w14:paraId="6953A590" w14:textId="12A862A8" w:rsidR="00DC7A74" w:rsidRPr="00610B1B" w:rsidRDefault="00DC7A74" w:rsidP="00AE254B">
            <w:pPr>
              <w:pStyle w:val="Normal1"/>
              <w:spacing w:before="20" w:after="20"/>
              <w:rPr>
                <w:color w:val="000000"/>
                <w:sz w:val="24"/>
                <w:szCs w:val="24"/>
              </w:rPr>
            </w:pPr>
            <w:r w:rsidRPr="00610B1B">
              <w:rPr>
                <w:color w:val="000000"/>
                <w:sz w:val="24"/>
                <w:szCs w:val="24"/>
              </w:rPr>
              <w:t xml:space="preserve">Увеличаване на </w:t>
            </w:r>
            <w:r w:rsidR="00421174" w:rsidRPr="00610B1B">
              <w:rPr>
                <w:color w:val="000000"/>
                <w:sz w:val="24"/>
                <w:szCs w:val="24"/>
              </w:rPr>
              <w:t>числеността</w:t>
            </w:r>
            <w:r w:rsidRPr="00610B1B">
              <w:rPr>
                <w:color w:val="000000"/>
                <w:sz w:val="24"/>
                <w:szCs w:val="24"/>
              </w:rPr>
              <w:t xml:space="preserve"> на хищния охлюв рапана (</w:t>
            </w:r>
            <w:r w:rsidRPr="00610B1B">
              <w:rPr>
                <w:i/>
                <w:color w:val="000000"/>
                <w:sz w:val="24"/>
                <w:szCs w:val="24"/>
              </w:rPr>
              <w:t>Rapana venosa</w:t>
            </w:r>
            <w:r w:rsidRPr="00610B1B">
              <w:rPr>
                <w:color w:val="000000"/>
                <w:sz w:val="24"/>
                <w:szCs w:val="24"/>
              </w:rPr>
              <w:t xml:space="preserve">) водещо до намаляване на обилието на средообразуващите видове </w:t>
            </w:r>
            <w:r w:rsidRPr="00610B1B">
              <w:rPr>
                <w:i/>
                <w:color w:val="000000"/>
                <w:sz w:val="24"/>
                <w:szCs w:val="24"/>
              </w:rPr>
              <w:t>Mytilus galloprovincialis</w:t>
            </w:r>
            <w:r w:rsidRPr="00610B1B">
              <w:rPr>
                <w:color w:val="000000"/>
                <w:sz w:val="24"/>
                <w:szCs w:val="24"/>
              </w:rPr>
              <w:t xml:space="preserve"> и </w:t>
            </w:r>
            <w:r w:rsidRPr="00610B1B">
              <w:rPr>
                <w:i/>
                <w:color w:val="000000"/>
                <w:sz w:val="24"/>
                <w:szCs w:val="24"/>
              </w:rPr>
              <w:t>Mytilaster lineatus</w:t>
            </w:r>
            <w:r w:rsidRPr="00610B1B">
              <w:rPr>
                <w:color w:val="000000"/>
                <w:sz w:val="24"/>
                <w:szCs w:val="24"/>
              </w:rPr>
              <w:t xml:space="preserve"> и площта на техните местообитания (1170 Рифове).</w:t>
            </w:r>
          </w:p>
        </w:tc>
      </w:tr>
      <w:tr w:rsidR="00DC7A74" w:rsidRPr="00C717D0" w14:paraId="591C544B" w14:textId="77777777" w:rsidTr="00AE254B">
        <w:tc>
          <w:tcPr>
            <w:tcW w:w="4962" w:type="dxa"/>
            <w:shd w:val="clear" w:color="auto" w:fill="FFFFFF"/>
          </w:tcPr>
          <w:p w14:paraId="61208891" w14:textId="6D8CFC9E" w:rsidR="00F767EC" w:rsidRPr="00610B1B" w:rsidRDefault="00DC7A74" w:rsidP="00AE254B">
            <w:pPr>
              <w:pStyle w:val="Normal1"/>
              <w:spacing w:before="20" w:after="20"/>
              <w:rPr>
                <w:color w:val="000000"/>
                <w:sz w:val="24"/>
                <w:szCs w:val="24"/>
              </w:rPr>
            </w:pPr>
            <w:r w:rsidRPr="00610B1B">
              <w:rPr>
                <w:color w:val="000000"/>
                <w:sz w:val="24"/>
                <w:szCs w:val="24"/>
              </w:rPr>
              <w:t xml:space="preserve">По-висока ефективност при прилагане на мерките в ПУРБ и </w:t>
            </w:r>
            <w:r w:rsidR="00421174" w:rsidRPr="00610B1B">
              <w:rPr>
                <w:color w:val="000000"/>
                <w:sz w:val="24"/>
                <w:szCs w:val="24"/>
              </w:rPr>
              <w:t xml:space="preserve">Морската стратегия и </w:t>
            </w:r>
            <w:r w:rsidRPr="00610B1B">
              <w:rPr>
                <w:color w:val="000000"/>
                <w:sz w:val="24"/>
                <w:szCs w:val="24"/>
              </w:rPr>
              <w:t xml:space="preserve">създаване на по-ефективни мерки за намаляване притока на </w:t>
            </w:r>
            <w:r w:rsidR="00421174" w:rsidRPr="00610B1B">
              <w:rPr>
                <w:color w:val="000000"/>
                <w:sz w:val="24"/>
                <w:szCs w:val="24"/>
              </w:rPr>
              <w:t>замърсяващи вещества, морски отпадъци и подводен шум в морската среда.</w:t>
            </w:r>
          </w:p>
        </w:tc>
        <w:tc>
          <w:tcPr>
            <w:tcW w:w="4962" w:type="dxa"/>
            <w:gridSpan w:val="2"/>
            <w:shd w:val="clear" w:color="auto" w:fill="FFFFFF"/>
          </w:tcPr>
          <w:p w14:paraId="3824068E" w14:textId="374DC721" w:rsidR="00F767EC" w:rsidRPr="00610B1B" w:rsidRDefault="00F767EC" w:rsidP="00AE254B">
            <w:pPr>
              <w:pStyle w:val="Normal1"/>
              <w:spacing w:before="20" w:after="20"/>
              <w:rPr>
                <w:color w:val="000000"/>
                <w:sz w:val="24"/>
                <w:szCs w:val="24"/>
              </w:rPr>
            </w:pPr>
            <w:r w:rsidRPr="00610B1B">
              <w:rPr>
                <w:color w:val="000000"/>
                <w:sz w:val="24"/>
                <w:szCs w:val="24"/>
              </w:rPr>
              <w:t>Увеличаване на нивата на замърсители, морски отпадъци и подводен шум, влошаване на условията в пелагичните и дънни местообитания, загуба на биоразнообразие.</w:t>
            </w:r>
          </w:p>
        </w:tc>
      </w:tr>
      <w:tr w:rsidR="00DC7A74" w:rsidRPr="00C717D0" w14:paraId="5B57BFCC" w14:textId="77777777" w:rsidTr="00AE254B">
        <w:trPr>
          <w:trHeight w:val="296"/>
        </w:trPr>
        <w:tc>
          <w:tcPr>
            <w:tcW w:w="4962" w:type="dxa"/>
            <w:vMerge w:val="restart"/>
            <w:shd w:val="clear" w:color="auto" w:fill="FFFFFF"/>
          </w:tcPr>
          <w:p w14:paraId="32C3E7F6" w14:textId="13287E04" w:rsidR="00DC7A74" w:rsidRPr="00610B1B" w:rsidRDefault="00DC7A74" w:rsidP="00AE254B">
            <w:pPr>
              <w:pStyle w:val="Normal1"/>
              <w:spacing w:before="20" w:after="20"/>
              <w:rPr>
                <w:color w:val="000000"/>
                <w:sz w:val="24"/>
                <w:szCs w:val="24"/>
              </w:rPr>
            </w:pPr>
            <w:r w:rsidRPr="00610B1B">
              <w:rPr>
                <w:color w:val="000000"/>
                <w:sz w:val="24"/>
                <w:szCs w:val="24"/>
              </w:rPr>
              <w:t>Използване на</w:t>
            </w:r>
            <w:r w:rsidR="00D66FE0" w:rsidRPr="00610B1B">
              <w:rPr>
                <w:color w:val="000000"/>
                <w:sz w:val="24"/>
                <w:szCs w:val="24"/>
              </w:rPr>
              <w:t xml:space="preserve"> </w:t>
            </w:r>
            <w:r w:rsidRPr="00610B1B">
              <w:rPr>
                <w:color w:val="000000"/>
                <w:sz w:val="24"/>
                <w:szCs w:val="24"/>
              </w:rPr>
              <w:t xml:space="preserve">инженерно-биологичен метод за брегозащита с цел намаляване на загубата на дънни местообитания поради затрупване, запечатване и влошена циркулация. </w:t>
            </w:r>
          </w:p>
          <w:p w14:paraId="400523EE" w14:textId="4EEE5898" w:rsidR="005F0F25" w:rsidRPr="00610B1B" w:rsidRDefault="005F0F25" w:rsidP="00AE254B">
            <w:pPr>
              <w:pStyle w:val="Normal1"/>
              <w:spacing w:before="20" w:after="20"/>
              <w:rPr>
                <w:color w:val="000000"/>
                <w:sz w:val="24"/>
                <w:szCs w:val="24"/>
              </w:rPr>
            </w:pPr>
          </w:p>
        </w:tc>
        <w:tc>
          <w:tcPr>
            <w:tcW w:w="4962" w:type="dxa"/>
            <w:gridSpan w:val="2"/>
            <w:vMerge w:val="restart"/>
            <w:shd w:val="clear" w:color="auto" w:fill="FFFFFF"/>
          </w:tcPr>
          <w:p w14:paraId="5B5808D5" w14:textId="55AF9921" w:rsidR="00DC7A74" w:rsidRPr="00610B1B" w:rsidRDefault="00DC7A74" w:rsidP="00AE254B">
            <w:pPr>
              <w:pStyle w:val="Normal1"/>
              <w:spacing w:before="20" w:after="20"/>
              <w:rPr>
                <w:color w:val="000000"/>
                <w:sz w:val="24"/>
                <w:szCs w:val="24"/>
              </w:rPr>
            </w:pPr>
            <w:r w:rsidRPr="00610B1B">
              <w:rPr>
                <w:color w:val="000000"/>
                <w:sz w:val="24"/>
                <w:szCs w:val="24"/>
              </w:rPr>
              <w:t xml:space="preserve">Загуба на биоразнообразие поради свръхулов на целеви и нецелеви видове дънни риби и други видове хидробионти и загуба на дънни местообитания на шелфа (1170; 1110) поради нарушаване на целостта на морското дъно, фрагментация на местообитанията в резултат от дънно тралене при </w:t>
            </w:r>
            <w:r w:rsidR="00DD6CD4" w:rsidRPr="00610B1B">
              <w:rPr>
                <w:color w:val="000000"/>
                <w:sz w:val="24"/>
                <w:szCs w:val="24"/>
              </w:rPr>
              <w:t>стопански</w:t>
            </w:r>
            <w:r w:rsidRPr="00610B1B">
              <w:rPr>
                <w:color w:val="000000"/>
                <w:sz w:val="24"/>
                <w:szCs w:val="24"/>
              </w:rPr>
              <w:t xml:space="preserve"> риболов, драгиране и депониране на драгираните инертни материали.</w:t>
            </w:r>
          </w:p>
        </w:tc>
      </w:tr>
      <w:tr w:rsidR="00DC7A74" w:rsidRPr="00C717D0" w14:paraId="354D0FFB" w14:textId="77777777" w:rsidTr="00AE254B">
        <w:trPr>
          <w:trHeight w:val="316"/>
        </w:trPr>
        <w:tc>
          <w:tcPr>
            <w:tcW w:w="4962" w:type="dxa"/>
            <w:vMerge/>
            <w:shd w:val="clear" w:color="auto" w:fill="FFFFFF"/>
          </w:tcPr>
          <w:p w14:paraId="5065EEF1" w14:textId="77777777" w:rsidR="00DC7A74" w:rsidRPr="00610B1B" w:rsidRDefault="00DC7A74" w:rsidP="00AE254B">
            <w:pPr>
              <w:pStyle w:val="Normal1"/>
              <w:spacing w:before="20" w:after="20"/>
              <w:rPr>
                <w:color w:val="000000"/>
                <w:sz w:val="24"/>
                <w:szCs w:val="24"/>
              </w:rPr>
            </w:pPr>
          </w:p>
        </w:tc>
        <w:tc>
          <w:tcPr>
            <w:tcW w:w="4962" w:type="dxa"/>
            <w:gridSpan w:val="2"/>
            <w:vMerge/>
            <w:shd w:val="clear" w:color="auto" w:fill="FFFFFF"/>
          </w:tcPr>
          <w:p w14:paraId="718C7AB9" w14:textId="77777777" w:rsidR="00DC7A74" w:rsidRPr="00610B1B" w:rsidRDefault="00DC7A74" w:rsidP="00AE254B">
            <w:pPr>
              <w:pStyle w:val="Normal1"/>
              <w:spacing w:before="20" w:after="20"/>
              <w:rPr>
                <w:color w:val="000000"/>
                <w:sz w:val="24"/>
                <w:szCs w:val="24"/>
              </w:rPr>
            </w:pPr>
          </w:p>
        </w:tc>
      </w:tr>
      <w:tr w:rsidR="00DC7A74" w:rsidRPr="00C717D0" w14:paraId="2E529905" w14:textId="77777777" w:rsidTr="00AE254B">
        <w:tc>
          <w:tcPr>
            <w:tcW w:w="4962" w:type="dxa"/>
            <w:shd w:val="clear" w:color="auto" w:fill="FFFFFF"/>
          </w:tcPr>
          <w:p w14:paraId="686AE4ED" w14:textId="64A6C548" w:rsidR="00DC7A74" w:rsidRPr="00610B1B" w:rsidRDefault="00DC7A74" w:rsidP="00AE254B">
            <w:pPr>
              <w:pStyle w:val="Normal1"/>
              <w:spacing w:before="20" w:after="20"/>
              <w:rPr>
                <w:color w:val="000000"/>
                <w:sz w:val="24"/>
                <w:szCs w:val="24"/>
              </w:rPr>
            </w:pPr>
            <w:r w:rsidRPr="00610B1B">
              <w:rPr>
                <w:color w:val="000000"/>
                <w:sz w:val="24"/>
                <w:szCs w:val="24"/>
              </w:rPr>
              <w:t>Използване на нови методи за риболов, които не увреждат дънните местообитания и намаляват случайния улов на нецелеви видове риби.</w:t>
            </w:r>
          </w:p>
        </w:tc>
        <w:tc>
          <w:tcPr>
            <w:tcW w:w="4962" w:type="dxa"/>
            <w:gridSpan w:val="2"/>
            <w:shd w:val="clear" w:color="auto" w:fill="FFFFFF"/>
          </w:tcPr>
          <w:p w14:paraId="67DD42A5" w14:textId="7DA1CC0F" w:rsidR="00DC7A74" w:rsidRPr="00610B1B" w:rsidRDefault="00DC7A74" w:rsidP="00AE254B">
            <w:pPr>
              <w:pStyle w:val="Normal1"/>
              <w:spacing w:before="20" w:after="20"/>
              <w:rPr>
                <w:color w:val="000000"/>
                <w:sz w:val="24"/>
                <w:szCs w:val="24"/>
              </w:rPr>
            </w:pPr>
            <w:r w:rsidRPr="00610B1B">
              <w:rPr>
                <w:color w:val="000000"/>
                <w:sz w:val="24"/>
                <w:szCs w:val="24"/>
              </w:rPr>
              <w:t>Влошаване на състоянието на ключови видове във високите звена на трофичните хранителни вериги - риби, птици и морски бозайници, поради случаен улов.</w:t>
            </w:r>
          </w:p>
        </w:tc>
      </w:tr>
      <w:tr w:rsidR="00DC7A74" w:rsidRPr="00C717D0" w14:paraId="671D3EEB" w14:textId="77777777" w:rsidTr="00AE254B">
        <w:tc>
          <w:tcPr>
            <w:tcW w:w="4962" w:type="dxa"/>
            <w:shd w:val="clear" w:color="auto" w:fill="FFFFFF"/>
          </w:tcPr>
          <w:p w14:paraId="31C52FEE" w14:textId="0617D152" w:rsidR="00DC7A74" w:rsidRPr="00610B1B" w:rsidRDefault="00DC7A74" w:rsidP="00AE254B">
            <w:pPr>
              <w:pStyle w:val="Normal1"/>
              <w:spacing w:before="20" w:after="20"/>
              <w:rPr>
                <w:color w:val="000000"/>
                <w:sz w:val="24"/>
                <w:szCs w:val="24"/>
              </w:rPr>
            </w:pPr>
            <w:bookmarkStart w:id="418" w:name="_1fob9te" w:colFirst="0" w:colLast="0"/>
            <w:bookmarkEnd w:id="418"/>
            <w:r w:rsidRPr="00610B1B">
              <w:rPr>
                <w:color w:val="000000"/>
                <w:sz w:val="24"/>
                <w:szCs w:val="24"/>
              </w:rPr>
              <w:t>Разработване на смекчаващи мерки на базата на прогнози и сценарии за негативното въздействие от промените в климата.</w:t>
            </w:r>
          </w:p>
        </w:tc>
        <w:tc>
          <w:tcPr>
            <w:tcW w:w="4962" w:type="dxa"/>
            <w:gridSpan w:val="2"/>
            <w:shd w:val="clear" w:color="auto" w:fill="FFFFFF"/>
          </w:tcPr>
          <w:p w14:paraId="74CC9280" w14:textId="18BC2D05" w:rsidR="00DC7A74" w:rsidRPr="00610B1B" w:rsidRDefault="00DC7A74" w:rsidP="00AE254B">
            <w:pPr>
              <w:pStyle w:val="Normal1"/>
              <w:spacing w:before="20" w:after="20"/>
              <w:rPr>
                <w:color w:val="000000"/>
                <w:sz w:val="24"/>
                <w:szCs w:val="24"/>
              </w:rPr>
            </w:pPr>
            <w:r w:rsidRPr="00610B1B">
              <w:rPr>
                <w:color w:val="000000"/>
                <w:sz w:val="24"/>
                <w:szCs w:val="24"/>
              </w:rPr>
              <w:t>Изменения на климата и хидрографските условия (например температурата на морската вода) водещи до негативни изменения в средата за обитаване на морските организми.</w:t>
            </w:r>
          </w:p>
        </w:tc>
      </w:tr>
      <w:tr w:rsidR="00DC7A74" w:rsidRPr="00C717D0" w14:paraId="4F829B03" w14:textId="77777777" w:rsidTr="00AE254B">
        <w:tc>
          <w:tcPr>
            <w:tcW w:w="4962" w:type="dxa"/>
            <w:shd w:val="clear" w:color="auto" w:fill="FFFFFF"/>
          </w:tcPr>
          <w:p w14:paraId="62F63ED2" w14:textId="57E41FE5" w:rsidR="00DC7A74" w:rsidRPr="00610B1B" w:rsidRDefault="00DC7A74" w:rsidP="00AE254B">
            <w:pPr>
              <w:pStyle w:val="Normal1"/>
              <w:spacing w:before="20" w:after="20"/>
              <w:rPr>
                <w:color w:val="000000"/>
                <w:sz w:val="24"/>
                <w:szCs w:val="24"/>
              </w:rPr>
            </w:pPr>
            <w:r w:rsidRPr="00610B1B">
              <w:rPr>
                <w:color w:val="000000"/>
                <w:sz w:val="24"/>
                <w:szCs w:val="24"/>
              </w:rPr>
              <w:lastRenderedPageBreak/>
              <w:t>Оценка на ефективността на съществуващите мерки по чл. 11 от РДВ и чл. 13 от РДМС и въвеждане на по-конкретните нови мерки при необходимост.</w:t>
            </w:r>
          </w:p>
        </w:tc>
        <w:tc>
          <w:tcPr>
            <w:tcW w:w="4962" w:type="dxa"/>
            <w:gridSpan w:val="2"/>
            <w:shd w:val="clear" w:color="auto" w:fill="FFFFFF"/>
          </w:tcPr>
          <w:p w14:paraId="1BD4D881" w14:textId="25BC95AF" w:rsidR="00DC7A74" w:rsidRPr="00610B1B" w:rsidRDefault="009D0D83" w:rsidP="00AE254B">
            <w:pPr>
              <w:pStyle w:val="Normal1"/>
              <w:spacing w:before="20" w:after="20"/>
              <w:rPr>
                <w:color w:val="000000"/>
                <w:sz w:val="24"/>
                <w:szCs w:val="24"/>
              </w:rPr>
            </w:pPr>
            <w:r w:rsidRPr="00610B1B">
              <w:rPr>
                <w:color w:val="000000"/>
                <w:sz w:val="24"/>
                <w:szCs w:val="24"/>
              </w:rPr>
              <w:t xml:space="preserve">Непостигане на заложените цели за добро състояние на морската среда, поради ненавременно и неефективно прилагане марките по РДВ и РДМС. </w:t>
            </w:r>
          </w:p>
        </w:tc>
      </w:tr>
      <w:tr w:rsidR="00DC7A74" w:rsidRPr="00C717D0" w14:paraId="49D23D7C" w14:textId="77777777" w:rsidTr="00AE254B">
        <w:tc>
          <w:tcPr>
            <w:tcW w:w="4962" w:type="dxa"/>
            <w:shd w:val="clear" w:color="auto" w:fill="FFFFFF"/>
          </w:tcPr>
          <w:p w14:paraId="6081AD3C" w14:textId="41140DC3" w:rsidR="00496963" w:rsidRPr="00610B1B" w:rsidRDefault="00496963" w:rsidP="00AE254B">
            <w:pPr>
              <w:pStyle w:val="Normal1"/>
              <w:spacing w:before="20" w:after="20"/>
              <w:rPr>
                <w:color w:val="000000"/>
                <w:sz w:val="24"/>
                <w:szCs w:val="24"/>
              </w:rPr>
            </w:pPr>
            <w:r w:rsidRPr="00610B1B">
              <w:rPr>
                <w:color w:val="000000"/>
                <w:sz w:val="24"/>
                <w:szCs w:val="24"/>
              </w:rPr>
              <w:t xml:space="preserve">Картографиране на подводния шум и създаването на регистър на шума (по аналог на британския регистър на шума - URL: </w:t>
            </w:r>
            <w:hyperlink r:id="rId53" w:history="1">
              <w:r w:rsidR="005F0F25" w:rsidRPr="00610B1B">
                <w:rPr>
                  <w:rStyle w:val="Hyperlink"/>
                  <w:sz w:val="24"/>
                  <w:szCs w:val="24"/>
                </w:rPr>
                <w:t>https://mnr.jncc.gov.uk/</w:t>
              </w:r>
            </w:hyperlink>
            <w:r w:rsidRPr="00610B1B">
              <w:rPr>
                <w:color w:val="000000"/>
                <w:sz w:val="24"/>
                <w:szCs w:val="24"/>
              </w:rPr>
              <w:t xml:space="preserve">) за по-лесно прилагане на мерките, предвидени в Морската стратегия на Р. България и координиране на дейностите в морето. </w:t>
            </w:r>
          </w:p>
        </w:tc>
        <w:tc>
          <w:tcPr>
            <w:tcW w:w="4962" w:type="dxa"/>
            <w:gridSpan w:val="2"/>
            <w:shd w:val="clear" w:color="auto" w:fill="FFFFFF"/>
          </w:tcPr>
          <w:p w14:paraId="598B9FEA" w14:textId="77777777" w:rsidR="00DC7A74" w:rsidRPr="00610B1B" w:rsidRDefault="00DC7A74" w:rsidP="00AE254B">
            <w:pPr>
              <w:pStyle w:val="Normal1"/>
              <w:spacing w:before="20" w:after="20"/>
              <w:rPr>
                <w:color w:val="000000"/>
                <w:sz w:val="24"/>
                <w:szCs w:val="24"/>
              </w:rPr>
            </w:pPr>
          </w:p>
          <w:p w14:paraId="623822FE" w14:textId="77777777" w:rsidR="0098375E" w:rsidRPr="00610B1B" w:rsidRDefault="0098375E" w:rsidP="00AE254B">
            <w:pPr>
              <w:pStyle w:val="Normal1"/>
              <w:spacing w:before="20" w:after="20"/>
              <w:rPr>
                <w:color w:val="000000"/>
                <w:sz w:val="24"/>
                <w:szCs w:val="24"/>
              </w:rPr>
            </w:pPr>
          </w:p>
          <w:p w14:paraId="7C8F2F21" w14:textId="77777777" w:rsidR="0098375E" w:rsidRPr="00610B1B" w:rsidRDefault="0098375E" w:rsidP="00AE254B">
            <w:pPr>
              <w:pStyle w:val="Normal1"/>
              <w:spacing w:before="20" w:after="20"/>
              <w:rPr>
                <w:color w:val="000000"/>
                <w:sz w:val="24"/>
                <w:szCs w:val="24"/>
              </w:rPr>
            </w:pPr>
          </w:p>
          <w:p w14:paraId="69DFCD42" w14:textId="1C1000D9" w:rsidR="0098375E" w:rsidRPr="00610B1B" w:rsidRDefault="0098375E" w:rsidP="00AE254B">
            <w:pPr>
              <w:pStyle w:val="Normal1"/>
              <w:spacing w:before="20" w:after="20"/>
              <w:rPr>
                <w:color w:val="000000"/>
                <w:sz w:val="24"/>
                <w:szCs w:val="24"/>
              </w:rPr>
            </w:pPr>
          </w:p>
        </w:tc>
      </w:tr>
      <w:tr w:rsidR="00DC7A74" w:rsidRPr="00C717D0" w14:paraId="51270800" w14:textId="77777777" w:rsidTr="00AE254B">
        <w:tc>
          <w:tcPr>
            <w:tcW w:w="9924" w:type="dxa"/>
            <w:gridSpan w:val="3"/>
            <w:shd w:val="clear" w:color="auto" w:fill="92CDDC"/>
          </w:tcPr>
          <w:p w14:paraId="301C84FF" w14:textId="77777777" w:rsidR="00DC7A74" w:rsidRPr="00610B1B" w:rsidRDefault="00DC7A74" w:rsidP="00AE254B">
            <w:pPr>
              <w:pStyle w:val="Heading4"/>
              <w:spacing w:before="20" w:after="20"/>
              <w:jc w:val="center"/>
              <w:rPr>
                <w:rFonts w:cs="Times New Roman"/>
                <w:szCs w:val="24"/>
              </w:rPr>
            </w:pPr>
            <w:bookmarkStart w:id="419" w:name="_1smshf8ihq3e" w:colFirst="0" w:colLast="0"/>
            <w:bookmarkEnd w:id="419"/>
            <w:r w:rsidRPr="00610B1B">
              <w:rPr>
                <w:rFonts w:cs="Times New Roman"/>
                <w:szCs w:val="24"/>
              </w:rPr>
              <w:t>УРБАНИЗАЦИЯ НА БЪЛГАРСКОТО ЧЕРНОМОРСКО КРАЙБРЕЖИЕ</w:t>
            </w:r>
          </w:p>
        </w:tc>
      </w:tr>
      <w:tr w:rsidR="00DC7A74" w:rsidRPr="00610B1B" w14:paraId="297157F3" w14:textId="77777777" w:rsidTr="00AE254B">
        <w:tc>
          <w:tcPr>
            <w:tcW w:w="4962" w:type="dxa"/>
            <w:shd w:val="clear" w:color="auto" w:fill="BEE6F0"/>
          </w:tcPr>
          <w:p w14:paraId="616ABEEA"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572B0BD2"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Слаби страни</w:t>
            </w:r>
          </w:p>
        </w:tc>
      </w:tr>
      <w:tr w:rsidR="00DC7A74" w:rsidRPr="00C717D0" w14:paraId="34A0150B" w14:textId="77777777" w:rsidTr="00AE254B">
        <w:tc>
          <w:tcPr>
            <w:tcW w:w="4962" w:type="dxa"/>
            <w:shd w:val="clear" w:color="auto" w:fill="auto"/>
          </w:tcPr>
          <w:p w14:paraId="7C47C4E3" w14:textId="16BF4155" w:rsidR="00DC7A74" w:rsidRPr="00610B1B" w:rsidRDefault="008168EF"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Увеличаване на</w:t>
            </w:r>
            <w:r w:rsidR="00DC7A74" w:rsidRPr="00610B1B">
              <w:rPr>
                <w:rFonts w:ascii="Times New Roman" w:hAnsi="Times New Roman" w:cs="Times New Roman"/>
                <w:sz w:val="24"/>
                <w:szCs w:val="24"/>
                <w:lang w:val="bg-BG"/>
              </w:rPr>
              <w:t xml:space="preserve"> населението в градовете </w:t>
            </w:r>
            <w:r w:rsidR="000463D1" w:rsidRPr="00610B1B">
              <w:rPr>
                <w:rFonts w:ascii="Times New Roman" w:hAnsi="Times New Roman" w:cs="Times New Roman"/>
                <w:sz w:val="24"/>
                <w:szCs w:val="24"/>
                <w:lang w:val="bg-BG"/>
              </w:rPr>
              <w:t xml:space="preserve">по Черноморието </w:t>
            </w:r>
            <w:r w:rsidR="00DC7A74" w:rsidRPr="00610B1B">
              <w:rPr>
                <w:rFonts w:ascii="Times New Roman" w:hAnsi="Times New Roman" w:cs="Times New Roman"/>
                <w:sz w:val="24"/>
                <w:szCs w:val="24"/>
                <w:lang w:val="bg-BG"/>
              </w:rPr>
              <w:t>поради положителен механичен прираст с 0</w:t>
            </w:r>
            <w:r w:rsidR="000463D1" w:rsidRPr="00610B1B">
              <w:rPr>
                <w:rFonts w:ascii="Times New Roman" w:hAnsi="Times New Roman" w:cs="Times New Roman"/>
                <w:sz w:val="24"/>
                <w:szCs w:val="24"/>
                <w:lang w:val="bg-BG"/>
              </w:rPr>
              <w:t>,</w:t>
            </w:r>
            <w:r w:rsidR="00DC7A74" w:rsidRPr="00610B1B">
              <w:rPr>
                <w:rFonts w:ascii="Times New Roman" w:hAnsi="Times New Roman" w:cs="Times New Roman"/>
                <w:sz w:val="24"/>
                <w:szCs w:val="24"/>
                <w:lang w:val="bg-BG"/>
              </w:rPr>
              <w:t xml:space="preserve">9 %, </w:t>
            </w:r>
            <w:r w:rsidRPr="00610B1B">
              <w:rPr>
                <w:rFonts w:ascii="Times New Roman" w:hAnsi="Times New Roman" w:cs="Times New Roman"/>
                <w:sz w:val="24"/>
                <w:szCs w:val="24"/>
                <w:lang w:val="bg-BG"/>
              </w:rPr>
              <w:t xml:space="preserve">при намаление с 3,9% на </w:t>
            </w:r>
            <w:r w:rsidR="00DC7A74" w:rsidRPr="00610B1B">
              <w:rPr>
                <w:rFonts w:ascii="Times New Roman" w:hAnsi="Times New Roman" w:cs="Times New Roman"/>
                <w:sz w:val="24"/>
                <w:szCs w:val="24"/>
                <w:lang w:val="bg-BG"/>
              </w:rPr>
              <w:t>населението на градовете в стран</w:t>
            </w:r>
            <w:r w:rsidRPr="00610B1B">
              <w:rPr>
                <w:rFonts w:ascii="Times New Roman" w:hAnsi="Times New Roman" w:cs="Times New Roman"/>
                <w:sz w:val="24"/>
                <w:szCs w:val="24"/>
                <w:lang w:val="bg-BG"/>
              </w:rPr>
              <w:t>ата</w:t>
            </w:r>
            <w:r w:rsidR="00DC7A74" w:rsidRPr="00610B1B">
              <w:rPr>
                <w:rFonts w:ascii="Times New Roman" w:hAnsi="Times New Roman" w:cs="Times New Roman"/>
                <w:sz w:val="24"/>
                <w:szCs w:val="24"/>
                <w:lang w:val="bg-BG"/>
              </w:rPr>
              <w:t xml:space="preserve">. </w:t>
            </w:r>
            <w:r w:rsidR="000463D1" w:rsidRPr="00610B1B">
              <w:rPr>
                <w:rFonts w:ascii="Times New Roman" w:hAnsi="Times New Roman" w:cs="Times New Roman"/>
                <w:sz w:val="24"/>
                <w:szCs w:val="24"/>
                <w:lang w:val="bg-BG"/>
              </w:rPr>
              <w:t>З</w:t>
            </w:r>
            <w:r w:rsidR="00DC7A74" w:rsidRPr="00610B1B">
              <w:rPr>
                <w:rFonts w:ascii="Times New Roman" w:hAnsi="Times New Roman" w:cs="Times New Roman"/>
                <w:sz w:val="24"/>
                <w:szCs w:val="24"/>
                <w:lang w:val="bg-BG"/>
              </w:rPr>
              <w:t>начително увеличение на населението в градовете Бургас (2</w:t>
            </w:r>
            <w:r w:rsidRPr="00610B1B">
              <w:rPr>
                <w:rFonts w:ascii="Times New Roman" w:hAnsi="Times New Roman" w:cs="Times New Roman"/>
                <w:sz w:val="24"/>
                <w:szCs w:val="24"/>
                <w:lang w:val="bg-BG"/>
              </w:rPr>
              <w:t> </w:t>
            </w:r>
            <w:r w:rsidR="00DC7A74" w:rsidRPr="00610B1B">
              <w:rPr>
                <w:rFonts w:ascii="Times New Roman" w:hAnsi="Times New Roman" w:cs="Times New Roman"/>
                <w:sz w:val="24"/>
                <w:szCs w:val="24"/>
                <w:lang w:val="bg-BG"/>
              </w:rPr>
              <w:t>950 д.), Несебър (2</w:t>
            </w:r>
            <w:r w:rsidRPr="00610B1B">
              <w:rPr>
                <w:rFonts w:ascii="Times New Roman" w:hAnsi="Times New Roman" w:cs="Times New Roman"/>
                <w:sz w:val="24"/>
                <w:szCs w:val="24"/>
                <w:lang w:val="bg-BG"/>
              </w:rPr>
              <w:t> </w:t>
            </w:r>
            <w:r w:rsidR="00DC7A74" w:rsidRPr="00610B1B">
              <w:rPr>
                <w:rFonts w:ascii="Times New Roman" w:hAnsi="Times New Roman" w:cs="Times New Roman"/>
                <w:sz w:val="24"/>
                <w:szCs w:val="24"/>
                <w:lang w:val="bg-BG"/>
              </w:rPr>
              <w:t>512 д.) и Варна (1</w:t>
            </w:r>
            <w:r w:rsidRPr="00610B1B">
              <w:rPr>
                <w:rFonts w:ascii="Times New Roman" w:hAnsi="Times New Roman" w:cs="Times New Roman"/>
                <w:sz w:val="24"/>
                <w:szCs w:val="24"/>
                <w:lang w:val="bg-BG"/>
              </w:rPr>
              <w:t> </w:t>
            </w:r>
            <w:r w:rsidR="00DC7A74" w:rsidRPr="00610B1B">
              <w:rPr>
                <w:rFonts w:ascii="Times New Roman" w:hAnsi="Times New Roman" w:cs="Times New Roman"/>
                <w:sz w:val="24"/>
                <w:szCs w:val="24"/>
                <w:lang w:val="bg-BG"/>
              </w:rPr>
              <w:t>724 д.)</w:t>
            </w:r>
          </w:p>
        </w:tc>
        <w:tc>
          <w:tcPr>
            <w:tcW w:w="4962" w:type="dxa"/>
            <w:gridSpan w:val="2"/>
            <w:shd w:val="clear" w:color="auto" w:fill="auto"/>
          </w:tcPr>
          <w:p w14:paraId="43191BB2" w14:textId="46CC55A9" w:rsidR="00DC7A74" w:rsidRPr="00610B1B" w:rsidRDefault="00DC7A74" w:rsidP="00AE254B">
            <w:pPr>
              <w:spacing w:before="20" w:after="20" w:line="240" w:lineRule="auto"/>
              <w:rPr>
                <w:rFonts w:ascii="Times New Roman" w:hAnsi="Times New Roman" w:cs="Times New Roman"/>
                <w:sz w:val="24"/>
                <w:szCs w:val="24"/>
                <w:lang w:val="bg-BG"/>
              </w:rPr>
            </w:pPr>
            <w:r w:rsidRPr="00610B1B">
              <w:rPr>
                <w:rFonts w:ascii="Times New Roman" w:hAnsi="Times New Roman" w:cs="Times New Roman"/>
                <w:bCs/>
                <w:sz w:val="24"/>
                <w:szCs w:val="24"/>
                <w:lang w:val="bg-BG"/>
              </w:rPr>
              <w:t>Дисбаланс в териториалното разпределение на градското население</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в</w:t>
            </w:r>
            <w:r w:rsidRPr="00610B1B">
              <w:rPr>
                <w:rFonts w:ascii="Times New Roman" w:hAnsi="Times New Roman" w:cs="Times New Roman"/>
                <w:sz w:val="24"/>
                <w:szCs w:val="24"/>
                <w:lang w:val="bg-BG"/>
              </w:rPr>
              <w:t xml:space="preserve"> градовете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 xml:space="preserve">Варна и Бургас е </w:t>
            </w:r>
            <w:r w:rsidR="008168EF" w:rsidRPr="00610B1B">
              <w:rPr>
                <w:rFonts w:ascii="Times New Roman" w:hAnsi="Times New Roman" w:cs="Times New Roman"/>
                <w:sz w:val="24"/>
                <w:szCs w:val="24"/>
                <w:lang w:val="bg-BG"/>
              </w:rPr>
              <w:t>съсредоточено</w:t>
            </w:r>
            <w:r w:rsidRPr="00610B1B">
              <w:rPr>
                <w:rFonts w:ascii="Times New Roman" w:hAnsi="Times New Roman" w:cs="Times New Roman"/>
                <w:sz w:val="24"/>
                <w:szCs w:val="24"/>
                <w:lang w:val="bg-BG"/>
              </w:rPr>
              <w:t xml:space="preserve"> над 84</w:t>
            </w:r>
            <w:r w:rsidR="000463D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0% от градското население</w:t>
            </w:r>
            <w:r w:rsidR="000463D1" w:rsidRPr="00610B1B">
              <w:rPr>
                <w:rFonts w:ascii="Times New Roman" w:hAnsi="Times New Roman" w:cs="Times New Roman"/>
                <w:sz w:val="24"/>
                <w:szCs w:val="24"/>
                <w:lang w:val="bg-BG"/>
              </w:rPr>
              <w:t>.</w:t>
            </w:r>
          </w:p>
          <w:p w14:paraId="35486038" w14:textId="77777777" w:rsidR="00DC7A74" w:rsidRPr="00610B1B" w:rsidRDefault="00DC7A74" w:rsidP="00AE254B">
            <w:pPr>
              <w:pStyle w:val="Normal1"/>
              <w:spacing w:before="20" w:after="20"/>
              <w:rPr>
                <w:color w:val="000000"/>
                <w:sz w:val="24"/>
                <w:szCs w:val="24"/>
              </w:rPr>
            </w:pPr>
          </w:p>
        </w:tc>
      </w:tr>
      <w:tr w:rsidR="00DC7A74" w:rsidRPr="00C717D0" w14:paraId="1FEE18ED" w14:textId="77777777" w:rsidTr="00AE254B">
        <w:tc>
          <w:tcPr>
            <w:tcW w:w="4962" w:type="dxa"/>
            <w:shd w:val="clear" w:color="auto" w:fill="auto"/>
          </w:tcPr>
          <w:p w14:paraId="40577C1E" w14:textId="5411090F" w:rsidR="00DC7A74" w:rsidRPr="00610B1B" w:rsidRDefault="00DC7A74"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Сравнително висок дял на населението в групата 15 до 64 г. (66</w:t>
            </w:r>
            <w:r w:rsidR="000463D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5 %), от която се формира основно трудовия потенциал</w:t>
            </w:r>
            <w:r w:rsidR="000463D1" w:rsidRPr="00610B1B">
              <w:rPr>
                <w:rFonts w:ascii="Times New Roman" w:hAnsi="Times New Roman" w:cs="Times New Roman"/>
                <w:sz w:val="24"/>
                <w:szCs w:val="24"/>
                <w:lang w:val="bg-BG"/>
              </w:rPr>
              <w:t>.</w:t>
            </w:r>
          </w:p>
        </w:tc>
        <w:tc>
          <w:tcPr>
            <w:tcW w:w="4962" w:type="dxa"/>
            <w:gridSpan w:val="2"/>
            <w:shd w:val="clear" w:color="auto" w:fill="auto"/>
          </w:tcPr>
          <w:p w14:paraId="774151DA" w14:textId="7F4DCE33" w:rsidR="00DC7A74" w:rsidRPr="00610B1B" w:rsidRDefault="00DC7A74" w:rsidP="00AE254B">
            <w:pPr>
              <w:autoSpaceDE w:val="0"/>
              <w:autoSpaceDN w:val="0"/>
              <w:adjustRightInd w:val="0"/>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Претоварване на средата със застрояване, трафик, отпадъци, унищожаване на част от природната среда</w:t>
            </w:r>
            <w:r w:rsidR="008168EF" w:rsidRPr="00610B1B">
              <w:rPr>
                <w:rFonts w:ascii="Times New Roman" w:hAnsi="Times New Roman" w:cs="Times New Roman"/>
                <w:sz w:val="24"/>
                <w:szCs w:val="24"/>
                <w:lang w:val="bg-BG"/>
              </w:rPr>
              <w:t>, мащабно нарастване на н</w:t>
            </w:r>
            <w:r w:rsidRPr="00610B1B">
              <w:rPr>
                <w:rFonts w:ascii="Times New Roman" w:hAnsi="Times New Roman" w:cs="Times New Roman"/>
                <w:sz w:val="24"/>
                <w:szCs w:val="24"/>
                <w:lang w:val="bg-BG"/>
              </w:rPr>
              <w:t xml:space="preserve">аселението през летните месеци </w:t>
            </w:r>
            <w:r w:rsidR="008168EF" w:rsidRPr="00610B1B">
              <w:rPr>
                <w:rFonts w:ascii="Times New Roman" w:hAnsi="Times New Roman" w:cs="Times New Roman"/>
                <w:sz w:val="24"/>
                <w:szCs w:val="24"/>
                <w:lang w:val="bg-BG"/>
              </w:rPr>
              <w:t>и влошаване на условията за обитаване и отдих.</w:t>
            </w:r>
          </w:p>
        </w:tc>
      </w:tr>
      <w:tr w:rsidR="00DC7A74" w:rsidRPr="00C717D0" w14:paraId="50986ACB" w14:textId="77777777" w:rsidTr="00AE254B">
        <w:tc>
          <w:tcPr>
            <w:tcW w:w="4962" w:type="dxa"/>
            <w:shd w:val="clear" w:color="auto" w:fill="auto"/>
          </w:tcPr>
          <w:p w14:paraId="0C3EF1F9" w14:textId="199A64C5" w:rsidR="00DC7A74" w:rsidRPr="00610B1B" w:rsidRDefault="00DC7A74"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Висок дял на градско население с висше образование 26.8 % (158 020 лица от които 91</w:t>
            </w:r>
            <w:r w:rsidR="000463D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4% са във Варна и Бургас) при 19</w:t>
            </w:r>
            <w:r w:rsidR="008168EF"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6% средно за страната В градски аспект най-образовани са жителите на град Варна 30</w:t>
            </w:r>
            <w:r w:rsidR="000463D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6%. </w:t>
            </w:r>
          </w:p>
        </w:tc>
        <w:tc>
          <w:tcPr>
            <w:tcW w:w="4962" w:type="dxa"/>
            <w:gridSpan w:val="2"/>
            <w:shd w:val="clear" w:color="auto" w:fill="auto"/>
          </w:tcPr>
          <w:p w14:paraId="65D5A7EF" w14:textId="26877F37" w:rsidR="00DC7A74" w:rsidRPr="00610B1B" w:rsidRDefault="000463D1" w:rsidP="00AE254B">
            <w:pPr>
              <w:pStyle w:val="Normal1"/>
              <w:spacing w:before="20" w:after="20"/>
              <w:rPr>
                <w:color w:val="000000"/>
                <w:sz w:val="24"/>
                <w:szCs w:val="24"/>
              </w:rPr>
            </w:pPr>
            <w:r w:rsidRPr="00610B1B">
              <w:rPr>
                <w:sz w:val="24"/>
                <w:szCs w:val="24"/>
              </w:rPr>
              <w:t>Трудно задържане на образовани и способни кадри, което ограничава потенциала за иновации и научни постижения с принос към морската икономика.</w:t>
            </w:r>
          </w:p>
        </w:tc>
      </w:tr>
      <w:tr w:rsidR="00DC7A74" w:rsidRPr="00610B1B" w14:paraId="2142111B" w14:textId="77777777" w:rsidTr="00AE254B">
        <w:tc>
          <w:tcPr>
            <w:tcW w:w="4962" w:type="dxa"/>
            <w:shd w:val="clear" w:color="auto" w:fill="BEE6F0"/>
          </w:tcPr>
          <w:p w14:paraId="0245C7F7" w14:textId="77777777" w:rsidR="00DC7A74" w:rsidRPr="00610B1B" w:rsidRDefault="00DC7A74" w:rsidP="00AE254B">
            <w:pPr>
              <w:pStyle w:val="Normal1"/>
              <w:spacing w:before="20" w:after="20"/>
              <w:jc w:val="center"/>
              <w:rPr>
                <w:b/>
                <w:bCs/>
                <w:color w:val="000000" w:themeColor="text1"/>
                <w:sz w:val="24"/>
                <w:szCs w:val="24"/>
              </w:rPr>
            </w:pPr>
            <w:r w:rsidRPr="00610B1B">
              <w:rPr>
                <w:b/>
                <w:bCs/>
                <w:color w:val="000000" w:themeColor="text1"/>
                <w:sz w:val="24"/>
                <w:szCs w:val="24"/>
              </w:rPr>
              <w:t>Възможности</w:t>
            </w:r>
          </w:p>
        </w:tc>
        <w:tc>
          <w:tcPr>
            <w:tcW w:w="4962" w:type="dxa"/>
            <w:gridSpan w:val="2"/>
            <w:shd w:val="clear" w:color="auto" w:fill="BEE6F0"/>
          </w:tcPr>
          <w:p w14:paraId="4A14F684" w14:textId="77777777" w:rsidR="00DC7A74" w:rsidRPr="00610B1B" w:rsidRDefault="00DC7A74" w:rsidP="00AE254B">
            <w:pPr>
              <w:pStyle w:val="Normal1"/>
              <w:spacing w:before="20" w:after="20"/>
              <w:jc w:val="center"/>
              <w:rPr>
                <w:b/>
                <w:bCs/>
                <w:color w:val="000000" w:themeColor="text1"/>
                <w:sz w:val="24"/>
                <w:szCs w:val="24"/>
              </w:rPr>
            </w:pPr>
            <w:r w:rsidRPr="00610B1B">
              <w:rPr>
                <w:b/>
                <w:bCs/>
                <w:color w:val="000000" w:themeColor="text1"/>
                <w:sz w:val="24"/>
                <w:szCs w:val="24"/>
              </w:rPr>
              <w:t>Заплахи</w:t>
            </w:r>
          </w:p>
        </w:tc>
      </w:tr>
      <w:tr w:rsidR="00DC7A74" w:rsidRPr="00C717D0" w14:paraId="1CEC2DEA" w14:textId="77777777" w:rsidTr="00AE254B">
        <w:tc>
          <w:tcPr>
            <w:tcW w:w="4962" w:type="dxa"/>
            <w:shd w:val="clear" w:color="auto" w:fill="auto"/>
          </w:tcPr>
          <w:p w14:paraId="7E96F98B" w14:textId="7D4DD6ED" w:rsidR="00DC7A74" w:rsidRPr="00610B1B" w:rsidRDefault="00DC7A74" w:rsidP="00AE254B">
            <w:pPr>
              <w:spacing w:before="20" w:after="20" w:line="240" w:lineRule="auto"/>
              <w:rPr>
                <w:rFonts w:ascii="Times New Roman" w:hAnsi="Times New Roman" w:cs="Times New Roman"/>
                <w:sz w:val="24"/>
                <w:szCs w:val="24"/>
                <w:lang w:val="bg-BG"/>
              </w:rPr>
            </w:pPr>
            <w:r w:rsidRPr="00610B1B">
              <w:rPr>
                <w:rFonts w:ascii="Times New Roman" w:hAnsi="Times New Roman" w:cs="Times New Roman"/>
                <w:sz w:val="24"/>
                <w:szCs w:val="24"/>
                <w:lang w:val="bg-BG"/>
              </w:rPr>
              <w:t>Привличане на младо и образовано</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население – в новия програмен период Варна и Бургас са предложени за центрове за растеж и двигатели за развитие на СИР и ЮИР.</w:t>
            </w:r>
          </w:p>
        </w:tc>
        <w:tc>
          <w:tcPr>
            <w:tcW w:w="4962" w:type="dxa"/>
            <w:gridSpan w:val="2"/>
            <w:shd w:val="clear" w:color="auto" w:fill="auto"/>
          </w:tcPr>
          <w:p w14:paraId="00F0474E" w14:textId="77777777" w:rsidR="00DC7A74" w:rsidRPr="00610B1B" w:rsidRDefault="00DC7A74"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Продължаващ дисбаланс в териториалното разпределение на населението – затруднения в бъдещото пространствено развитие на отделни градове.</w:t>
            </w:r>
          </w:p>
        </w:tc>
      </w:tr>
      <w:tr w:rsidR="00DC7A74" w:rsidRPr="00C717D0" w14:paraId="1AF21F61" w14:textId="77777777" w:rsidTr="00AE254B">
        <w:tc>
          <w:tcPr>
            <w:tcW w:w="4962" w:type="dxa"/>
            <w:shd w:val="clear" w:color="auto" w:fill="auto"/>
          </w:tcPr>
          <w:p w14:paraId="2BAA34CA" w14:textId="33B8F382" w:rsidR="00DC7A74" w:rsidRPr="00610B1B" w:rsidRDefault="00DC7A74"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Реализиране на програми и проекти за създаване на предпоставки за задържане на населението в малките градове</w:t>
            </w:r>
            <w:r w:rsidR="000463D1" w:rsidRPr="00610B1B">
              <w:rPr>
                <w:rFonts w:ascii="Times New Roman" w:hAnsi="Times New Roman" w:cs="Times New Roman"/>
                <w:sz w:val="24"/>
                <w:szCs w:val="24"/>
                <w:lang w:val="bg-BG"/>
              </w:rPr>
              <w:t>.</w:t>
            </w:r>
          </w:p>
        </w:tc>
        <w:tc>
          <w:tcPr>
            <w:tcW w:w="4962" w:type="dxa"/>
            <w:gridSpan w:val="2"/>
            <w:shd w:val="clear" w:color="auto" w:fill="auto"/>
          </w:tcPr>
          <w:p w14:paraId="3BB7F300" w14:textId="25A60487" w:rsidR="00DC7A74" w:rsidRPr="00610B1B" w:rsidRDefault="00DC7A74"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Влошаване на икономическата обстановка</w:t>
            </w:r>
            <w:r w:rsidR="00541C0D" w:rsidRPr="00610B1B">
              <w:rPr>
                <w:rFonts w:ascii="Times New Roman" w:hAnsi="Times New Roman" w:cs="Times New Roman"/>
                <w:sz w:val="24"/>
                <w:szCs w:val="24"/>
                <w:lang w:val="bg-BG"/>
              </w:rPr>
              <w:t xml:space="preserve">, трудно и бавно излизане от кризата след пандемията Covid 19. </w:t>
            </w:r>
          </w:p>
        </w:tc>
      </w:tr>
      <w:tr w:rsidR="00DC7A74" w:rsidRPr="00C717D0" w14:paraId="745186E6" w14:textId="77777777" w:rsidTr="00AE254B">
        <w:tc>
          <w:tcPr>
            <w:tcW w:w="4962" w:type="dxa"/>
            <w:shd w:val="clear" w:color="auto" w:fill="auto"/>
          </w:tcPr>
          <w:p w14:paraId="55AA9C43" w14:textId="5318906A" w:rsidR="00DC7A74" w:rsidRPr="00610B1B" w:rsidRDefault="00DC7A74" w:rsidP="00AE254B">
            <w:pPr>
              <w:pStyle w:val="Normal1"/>
              <w:spacing w:before="20" w:after="20"/>
              <w:rPr>
                <w:color w:val="000000"/>
                <w:sz w:val="24"/>
                <w:szCs w:val="24"/>
              </w:rPr>
            </w:pPr>
            <w:r w:rsidRPr="00610B1B">
              <w:rPr>
                <w:sz w:val="24"/>
                <w:szCs w:val="24"/>
              </w:rPr>
              <w:t>Привличан</w:t>
            </w:r>
            <w:r w:rsidR="000463D1" w:rsidRPr="00610B1B">
              <w:rPr>
                <w:sz w:val="24"/>
                <w:szCs w:val="24"/>
              </w:rPr>
              <w:t>е</w:t>
            </w:r>
            <w:r w:rsidRPr="00610B1B">
              <w:rPr>
                <w:sz w:val="24"/>
                <w:szCs w:val="24"/>
              </w:rPr>
              <w:t xml:space="preserve"> на млади български квалифицирани специалисти</w:t>
            </w:r>
            <w:r w:rsidR="008168EF" w:rsidRPr="00610B1B">
              <w:rPr>
                <w:sz w:val="24"/>
                <w:szCs w:val="24"/>
              </w:rPr>
              <w:t>,</w:t>
            </w:r>
            <w:r w:rsidRPr="00610B1B">
              <w:rPr>
                <w:sz w:val="24"/>
                <w:szCs w:val="24"/>
              </w:rPr>
              <w:t xml:space="preserve"> емигрирали в чужбина</w:t>
            </w:r>
            <w:r w:rsidR="000463D1" w:rsidRPr="00610B1B">
              <w:rPr>
                <w:sz w:val="24"/>
                <w:szCs w:val="24"/>
              </w:rPr>
              <w:t xml:space="preserve"> чрез подходящи условия за кариера, </w:t>
            </w:r>
            <w:r w:rsidR="000463D1" w:rsidRPr="00610B1B">
              <w:rPr>
                <w:sz w:val="24"/>
                <w:szCs w:val="24"/>
              </w:rPr>
              <w:lastRenderedPageBreak/>
              <w:t>създаване на семейство, мобилност и развлечения</w:t>
            </w:r>
            <w:r w:rsidRPr="00610B1B">
              <w:rPr>
                <w:sz w:val="24"/>
                <w:szCs w:val="24"/>
              </w:rPr>
              <w:t>.</w:t>
            </w:r>
          </w:p>
        </w:tc>
        <w:tc>
          <w:tcPr>
            <w:tcW w:w="4962" w:type="dxa"/>
            <w:gridSpan w:val="2"/>
            <w:shd w:val="clear" w:color="auto" w:fill="auto"/>
          </w:tcPr>
          <w:p w14:paraId="0D398FE2" w14:textId="0C0927AF" w:rsidR="00DC7A74" w:rsidRPr="00610B1B" w:rsidRDefault="00DC7A74" w:rsidP="00AE254B">
            <w:pPr>
              <w:pStyle w:val="Normal1"/>
              <w:spacing w:before="20" w:after="20"/>
              <w:rPr>
                <w:color w:val="000000"/>
                <w:sz w:val="24"/>
                <w:szCs w:val="24"/>
              </w:rPr>
            </w:pPr>
            <w:r w:rsidRPr="00610B1B">
              <w:rPr>
                <w:sz w:val="24"/>
                <w:szCs w:val="24"/>
              </w:rPr>
              <w:lastRenderedPageBreak/>
              <w:t xml:space="preserve">Нарастване на абсолютния и относителен дял на населението над 65 години </w:t>
            </w:r>
            <w:r w:rsidR="00152891" w:rsidRPr="00610B1B">
              <w:rPr>
                <w:sz w:val="24"/>
                <w:szCs w:val="24"/>
              </w:rPr>
              <w:t xml:space="preserve">в малките населени места по Черноморското крайбрежие </w:t>
            </w:r>
            <w:r w:rsidRPr="00610B1B">
              <w:rPr>
                <w:sz w:val="24"/>
                <w:szCs w:val="24"/>
              </w:rPr>
              <w:lastRenderedPageBreak/>
              <w:t>– натиск върху публичните разходи за пенсии, здравеопазване и социални услуги.</w:t>
            </w:r>
          </w:p>
        </w:tc>
      </w:tr>
      <w:tr w:rsidR="00DC7A74" w:rsidRPr="00610B1B" w14:paraId="01A9BBC4" w14:textId="77777777" w:rsidTr="00AE254B">
        <w:tc>
          <w:tcPr>
            <w:tcW w:w="9924" w:type="dxa"/>
            <w:gridSpan w:val="3"/>
            <w:shd w:val="clear" w:color="auto" w:fill="92CDDC"/>
          </w:tcPr>
          <w:p w14:paraId="76B10F6D" w14:textId="77777777" w:rsidR="00DC7A74" w:rsidRPr="00610B1B" w:rsidRDefault="00DC7A74" w:rsidP="00AE254B">
            <w:pPr>
              <w:pStyle w:val="Heading4"/>
              <w:spacing w:before="20" w:after="20"/>
              <w:ind w:left="0" w:firstLine="0"/>
              <w:jc w:val="center"/>
              <w:rPr>
                <w:rFonts w:cs="Times New Roman"/>
                <w:szCs w:val="24"/>
              </w:rPr>
            </w:pPr>
            <w:r w:rsidRPr="00610B1B">
              <w:rPr>
                <w:rFonts w:cs="Times New Roman"/>
                <w:szCs w:val="24"/>
              </w:rPr>
              <w:lastRenderedPageBreak/>
              <w:t>МОРСКИ ТРАНСПОРТ</w:t>
            </w:r>
          </w:p>
        </w:tc>
      </w:tr>
      <w:tr w:rsidR="00DC7A74" w:rsidRPr="00610B1B" w14:paraId="50BD41AD" w14:textId="77777777" w:rsidTr="00AE254B">
        <w:tc>
          <w:tcPr>
            <w:tcW w:w="4962" w:type="dxa"/>
            <w:shd w:val="clear" w:color="auto" w:fill="BEE6F0"/>
          </w:tcPr>
          <w:p w14:paraId="679508B8"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5B7C75BA"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Слаби страни</w:t>
            </w:r>
          </w:p>
        </w:tc>
      </w:tr>
      <w:tr w:rsidR="00DC7A74" w:rsidRPr="00C717D0" w14:paraId="0FF6CB53" w14:textId="77777777" w:rsidTr="00AE254B">
        <w:tc>
          <w:tcPr>
            <w:tcW w:w="4962" w:type="dxa"/>
          </w:tcPr>
          <w:p w14:paraId="078D7347" w14:textId="7C53AE16" w:rsidR="00DC7A74" w:rsidRPr="00610B1B" w:rsidRDefault="00DC7A74" w:rsidP="00AE254B">
            <w:pPr>
              <w:pStyle w:val="Normal1"/>
              <w:spacing w:before="20" w:after="20"/>
              <w:rPr>
                <w:b/>
                <w:color w:val="000000"/>
                <w:sz w:val="24"/>
                <w:szCs w:val="24"/>
              </w:rPr>
            </w:pPr>
            <w:r w:rsidRPr="00610B1B">
              <w:rPr>
                <w:sz w:val="24"/>
                <w:szCs w:val="24"/>
              </w:rPr>
              <w:t xml:space="preserve">Сравнително благоприятно географско местоположение на страната, </w:t>
            </w:r>
            <w:r w:rsidR="008168EF" w:rsidRPr="00610B1B">
              <w:rPr>
                <w:sz w:val="24"/>
                <w:szCs w:val="24"/>
              </w:rPr>
              <w:t>с</w:t>
            </w:r>
            <w:r w:rsidRPr="00610B1B">
              <w:rPr>
                <w:sz w:val="24"/>
                <w:szCs w:val="24"/>
              </w:rPr>
              <w:t xml:space="preserve"> възможност</w:t>
            </w:r>
            <w:r w:rsidR="008168EF" w:rsidRPr="00610B1B">
              <w:rPr>
                <w:sz w:val="24"/>
                <w:szCs w:val="24"/>
              </w:rPr>
              <w:t>и</w:t>
            </w:r>
            <w:r w:rsidRPr="00610B1B">
              <w:rPr>
                <w:sz w:val="24"/>
                <w:szCs w:val="24"/>
              </w:rPr>
              <w:t xml:space="preserve"> за развитие и осигуряване на превози на товари при сравнително ниски разходи и висока ефективност.</w:t>
            </w:r>
          </w:p>
        </w:tc>
        <w:tc>
          <w:tcPr>
            <w:tcW w:w="4962" w:type="dxa"/>
            <w:gridSpan w:val="2"/>
          </w:tcPr>
          <w:p w14:paraId="588C0DB5" w14:textId="2F7D178D" w:rsidR="00DC7A74" w:rsidRPr="00610B1B" w:rsidRDefault="00DC7A74" w:rsidP="00AE254B">
            <w:pPr>
              <w:pStyle w:val="Normal1"/>
              <w:spacing w:before="20" w:after="20"/>
              <w:rPr>
                <w:b/>
                <w:color w:val="000000"/>
                <w:sz w:val="24"/>
                <w:szCs w:val="24"/>
              </w:rPr>
            </w:pPr>
            <w:r w:rsidRPr="00610B1B">
              <w:rPr>
                <w:sz w:val="24"/>
                <w:szCs w:val="24"/>
              </w:rPr>
              <w:t>Липса на финансиране от страна на българските банки, което да стимулира корабособствениците</w:t>
            </w:r>
            <w:r w:rsidR="00D66FE0" w:rsidRPr="00610B1B">
              <w:rPr>
                <w:sz w:val="24"/>
                <w:szCs w:val="24"/>
              </w:rPr>
              <w:t xml:space="preserve"> </w:t>
            </w:r>
            <w:r w:rsidRPr="00610B1B">
              <w:rPr>
                <w:sz w:val="24"/>
                <w:szCs w:val="24"/>
              </w:rPr>
              <w:t>за закупуване на нови кораби.</w:t>
            </w:r>
          </w:p>
        </w:tc>
      </w:tr>
      <w:tr w:rsidR="00DC7A74" w:rsidRPr="00C717D0" w14:paraId="752CDB7B" w14:textId="77777777" w:rsidTr="00AE254B">
        <w:tc>
          <w:tcPr>
            <w:tcW w:w="4962" w:type="dxa"/>
          </w:tcPr>
          <w:p w14:paraId="09E2D837" w14:textId="77777777" w:rsidR="00DC7A74" w:rsidRPr="00610B1B" w:rsidRDefault="00DC7A74" w:rsidP="00AE254B">
            <w:pPr>
              <w:pStyle w:val="Normal1"/>
              <w:spacing w:before="20" w:after="20"/>
              <w:rPr>
                <w:b/>
                <w:color w:val="000000"/>
                <w:sz w:val="24"/>
                <w:szCs w:val="24"/>
              </w:rPr>
            </w:pPr>
            <w:r w:rsidRPr="00610B1B">
              <w:rPr>
                <w:sz w:val="24"/>
                <w:szCs w:val="24"/>
              </w:rPr>
              <w:t>Високо ниво на конкуренция при предлагане на морските транспортни услуги.</w:t>
            </w:r>
          </w:p>
        </w:tc>
        <w:tc>
          <w:tcPr>
            <w:tcW w:w="4962" w:type="dxa"/>
            <w:gridSpan w:val="2"/>
          </w:tcPr>
          <w:p w14:paraId="5E8D7E23" w14:textId="77777777" w:rsidR="00DC7A74" w:rsidRPr="00610B1B" w:rsidRDefault="00DC7A74" w:rsidP="00AE254B">
            <w:pPr>
              <w:pStyle w:val="Normal1"/>
              <w:spacing w:before="20" w:after="20"/>
              <w:rPr>
                <w:b/>
                <w:color w:val="000000"/>
                <w:sz w:val="24"/>
                <w:szCs w:val="24"/>
              </w:rPr>
            </w:pPr>
            <w:r w:rsidRPr="00610B1B">
              <w:rPr>
                <w:sz w:val="24"/>
                <w:szCs w:val="24"/>
              </w:rPr>
              <w:t xml:space="preserve">Недостатъчно финансиране за развитие на научно-изследователската и развойна дейност. </w:t>
            </w:r>
          </w:p>
        </w:tc>
      </w:tr>
      <w:tr w:rsidR="00DC7A74" w:rsidRPr="00C717D0" w14:paraId="3DC08BEE" w14:textId="77777777" w:rsidTr="00AE254B">
        <w:tc>
          <w:tcPr>
            <w:tcW w:w="4962" w:type="dxa"/>
          </w:tcPr>
          <w:p w14:paraId="54ECE48F" w14:textId="4D8FD4DD" w:rsidR="00DC7A74" w:rsidRPr="00610B1B" w:rsidRDefault="000929F1" w:rsidP="00AE254B">
            <w:pPr>
              <w:pStyle w:val="Normal1"/>
              <w:spacing w:before="20" w:after="20"/>
              <w:rPr>
                <w:b/>
                <w:color w:val="000000"/>
                <w:sz w:val="24"/>
                <w:szCs w:val="24"/>
              </w:rPr>
            </w:pPr>
            <w:r w:rsidRPr="00610B1B">
              <w:rPr>
                <w:sz w:val="24"/>
                <w:szCs w:val="24"/>
              </w:rPr>
              <w:t xml:space="preserve">Традиционно </w:t>
            </w:r>
            <w:r w:rsidR="00DC7A74" w:rsidRPr="00610B1B">
              <w:rPr>
                <w:sz w:val="24"/>
                <w:szCs w:val="24"/>
              </w:rPr>
              <w:t>добра образователна система за обучение и квалификация на морски кадри.</w:t>
            </w:r>
          </w:p>
        </w:tc>
        <w:tc>
          <w:tcPr>
            <w:tcW w:w="4962" w:type="dxa"/>
            <w:gridSpan w:val="2"/>
          </w:tcPr>
          <w:p w14:paraId="1F092AED" w14:textId="0AD566CF" w:rsidR="009D32BB" w:rsidRPr="00610B1B" w:rsidRDefault="00DC7A74" w:rsidP="009907CE">
            <w:pPr>
              <w:pStyle w:val="Normal1"/>
              <w:spacing w:before="20" w:after="20"/>
              <w:rPr>
                <w:b/>
                <w:color w:val="000000"/>
                <w:sz w:val="24"/>
                <w:szCs w:val="24"/>
              </w:rPr>
            </w:pPr>
            <w:r w:rsidRPr="00610B1B">
              <w:rPr>
                <w:sz w:val="24"/>
                <w:szCs w:val="24"/>
              </w:rPr>
              <w:t>Липса на подходящо законодателство, което да привлича корабособствениците да издигат българското знаме на своите кораби.</w:t>
            </w:r>
          </w:p>
        </w:tc>
      </w:tr>
      <w:tr w:rsidR="00DC7A74" w:rsidRPr="00610B1B" w14:paraId="2A1C3527" w14:textId="77777777" w:rsidTr="00AE254B">
        <w:tc>
          <w:tcPr>
            <w:tcW w:w="4962" w:type="dxa"/>
            <w:shd w:val="clear" w:color="auto" w:fill="BEE6F0"/>
          </w:tcPr>
          <w:p w14:paraId="1EC50E64" w14:textId="77777777" w:rsidR="00DC7A74" w:rsidRPr="00610B1B" w:rsidRDefault="00DC7A74" w:rsidP="00AE254B">
            <w:pPr>
              <w:pStyle w:val="Normal1"/>
              <w:spacing w:before="20" w:after="20"/>
              <w:jc w:val="center"/>
              <w:rPr>
                <w:b/>
                <w:color w:val="000000" w:themeColor="text1"/>
                <w:sz w:val="24"/>
                <w:szCs w:val="24"/>
              </w:rPr>
            </w:pPr>
            <w:r w:rsidRPr="00610B1B">
              <w:rPr>
                <w:b/>
                <w:bCs/>
                <w:color w:val="000000" w:themeColor="text1"/>
                <w:sz w:val="24"/>
                <w:szCs w:val="24"/>
              </w:rPr>
              <w:t>Възможности</w:t>
            </w:r>
          </w:p>
        </w:tc>
        <w:tc>
          <w:tcPr>
            <w:tcW w:w="4962" w:type="dxa"/>
            <w:gridSpan w:val="2"/>
            <w:shd w:val="clear" w:color="auto" w:fill="BEE6F0"/>
          </w:tcPr>
          <w:p w14:paraId="08C5DF82" w14:textId="77777777" w:rsidR="00DC7A74" w:rsidRPr="00610B1B" w:rsidRDefault="00DC7A74" w:rsidP="00AE254B">
            <w:pPr>
              <w:pStyle w:val="Normal1"/>
              <w:spacing w:before="20" w:after="20"/>
              <w:jc w:val="center"/>
              <w:rPr>
                <w:b/>
                <w:color w:val="000000" w:themeColor="text1"/>
                <w:sz w:val="24"/>
                <w:szCs w:val="24"/>
              </w:rPr>
            </w:pPr>
            <w:r w:rsidRPr="00610B1B">
              <w:rPr>
                <w:b/>
                <w:bCs/>
                <w:color w:val="000000" w:themeColor="text1"/>
                <w:sz w:val="24"/>
                <w:szCs w:val="24"/>
              </w:rPr>
              <w:t>Заплахи</w:t>
            </w:r>
          </w:p>
        </w:tc>
      </w:tr>
      <w:tr w:rsidR="00DC7A74" w:rsidRPr="00C717D0" w14:paraId="2EA13D72" w14:textId="77777777" w:rsidTr="00AE254B">
        <w:tc>
          <w:tcPr>
            <w:tcW w:w="4962" w:type="dxa"/>
          </w:tcPr>
          <w:p w14:paraId="172FD21E" w14:textId="77C801C1" w:rsidR="00DC7A74" w:rsidRPr="00610B1B" w:rsidRDefault="00DC7A74" w:rsidP="00AE254B">
            <w:pPr>
              <w:pStyle w:val="Normal1"/>
              <w:spacing w:before="20" w:after="20"/>
              <w:rPr>
                <w:b/>
                <w:color w:val="000000"/>
                <w:sz w:val="24"/>
                <w:szCs w:val="24"/>
              </w:rPr>
            </w:pPr>
            <w:r w:rsidRPr="00610B1B">
              <w:rPr>
                <w:sz w:val="24"/>
                <w:szCs w:val="24"/>
              </w:rPr>
              <w:t>Привличане на български и чуждестранни инвеститори и модернизация на сектора чрез инвестиции и нови технологии. Концесиониране на пристанищни терминали</w:t>
            </w:r>
          </w:p>
        </w:tc>
        <w:tc>
          <w:tcPr>
            <w:tcW w:w="4962" w:type="dxa"/>
            <w:gridSpan w:val="2"/>
          </w:tcPr>
          <w:p w14:paraId="209C7E2D" w14:textId="4A57BDF7" w:rsidR="00DC7A74" w:rsidRPr="00610B1B" w:rsidRDefault="00DC7A74" w:rsidP="00AE254B">
            <w:pPr>
              <w:pStyle w:val="Normal1"/>
              <w:spacing w:before="20" w:after="20"/>
              <w:rPr>
                <w:b/>
                <w:color w:val="000000"/>
                <w:sz w:val="24"/>
                <w:szCs w:val="24"/>
              </w:rPr>
            </w:pPr>
            <w:r w:rsidRPr="00610B1B">
              <w:rPr>
                <w:sz w:val="24"/>
                <w:szCs w:val="24"/>
              </w:rPr>
              <w:t>Липса на реформи и преструктуриране на сектора, както и недостиг на квалифицирани кадри.</w:t>
            </w:r>
            <w:r w:rsidR="00D66FE0" w:rsidRPr="00610B1B">
              <w:rPr>
                <w:sz w:val="24"/>
                <w:szCs w:val="24"/>
              </w:rPr>
              <w:t xml:space="preserve"> </w:t>
            </w:r>
          </w:p>
        </w:tc>
      </w:tr>
      <w:tr w:rsidR="00DC7A74" w:rsidRPr="00C717D0" w14:paraId="1134A9EF" w14:textId="77777777" w:rsidTr="00AE254B">
        <w:tc>
          <w:tcPr>
            <w:tcW w:w="4962" w:type="dxa"/>
          </w:tcPr>
          <w:p w14:paraId="7ABF019F" w14:textId="53281947" w:rsidR="00DC7A74" w:rsidRPr="00610B1B" w:rsidRDefault="00DC7A74" w:rsidP="00AE254B">
            <w:pPr>
              <w:pStyle w:val="Normal1"/>
              <w:spacing w:before="20" w:after="20"/>
              <w:rPr>
                <w:b/>
                <w:color w:val="000000"/>
                <w:sz w:val="24"/>
                <w:szCs w:val="24"/>
              </w:rPr>
            </w:pPr>
            <w:r w:rsidRPr="00610B1B">
              <w:rPr>
                <w:sz w:val="24"/>
                <w:szCs w:val="24"/>
              </w:rPr>
              <w:t>Привличане на международен транзитен трафик</w:t>
            </w:r>
            <w:r w:rsidR="000929F1" w:rsidRPr="00610B1B">
              <w:rPr>
                <w:sz w:val="24"/>
                <w:szCs w:val="24"/>
              </w:rPr>
              <w:t xml:space="preserve"> за</w:t>
            </w:r>
            <w:r w:rsidRPr="00610B1B">
              <w:rPr>
                <w:sz w:val="24"/>
                <w:szCs w:val="24"/>
              </w:rPr>
              <w:t xml:space="preserve"> увеличаване обема на морските превози.</w:t>
            </w:r>
          </w:p>
        </w:tc>
        <w:tc>
          <w:tcPr>
            <w:tcW w:w="4962" w:type="dxa"/>
            <w:gridSpan w:val="2"/>
          </w:tcPr>
          <w:p w14:paraId="0CAE2E58" w14:textId="77777777" w:rsidR="00DC7A74" w:rsidRPr="00610B1B" w:rsidRDefault="00DC7A74" w:rsidP="00AE254B">
            <w:pPr>
              <w:pStyle w:val="Normal1"/>
              <w:spacing w:before="20" w:after="20"/>
              <w:rPr>
                <w:b/>
                <w:color w:val="000000"/>
                <w:sz w:val="24"/>
                <w:szCs w:val="24"/>
              </w:rPr>
            </w:pPr>
            <w:r w:rsidRPr="00610B1B">
              <w:rPr>
                <w:sz w:val="24"/>
                <w:szCs w:val="24"/>
              </w:rPr>
              <w:t>Намаляване обема на международните товаропотоци и повишаване цените на горивата на международния пазар.</w:t>
            </w:r>
          </w:p>
        </w:tc>
      </w:tr>
      <w:tr w:rsidR="00DC7A74" w:rsidRPr="00C717D0" w14:paraId="6AA0376F" w14:textId="77777777" w:rsidTr="00AE254B">
        <w:tc>
          <w:tcPr>
            <w:tcW w:w="4962" w:type="dxa"/>
          </w:tcPr>
          <w:p w14:paraId="2C67DFA3" w14:textId="77777777" w:rsidR="00DC7A74" w:rsidRPr="00610B1B" w:rsidRDefault="00DC7A74" w:rsidP="00AE254B">
            <w:pPr>
              <w:pStyle w:val="Normal1"/>
              <w:spacing w:before="20" w:after="20"/>
              <w:rPr>
                <w:b/>
                <w:color w:val="000000"/>
                <w:sz w:val="24"/>
                <w:szCs w:val="24"/>
              </w:rPr>
            </w:pPr>
            <w:r w:rsidRPr="00610B1B">
              <w:rPr>
                <w:sz w:val="24"/>
                <w:szCs w:val="24"/>
              </w:rPr>
              <w:t>Насърчаване развитието и внедряването на модерни системи, които ще повишат безопасността и надеждността на морските транспортни услуги.</w:t>
            </w:r>
          </w:p>
        </w:tc>
        <w:tc>
          <w:tcPr>
            <w:tcW w:w="4962" w:type="dxa"/>
            <w:gridSpan w:val="2"/>
          </w:tcPr>
          <w:p w14:paraId="1DC69CF2" w14:textId="77777777" w:rsidR="005F0F25" w:rsidRPr="00610B1B" w:rsidRDefault="00DC7A74" w:rsidP="00AE254B">
            <w:pPr>
              <w:pStyle w:val="Normal1"/>
              <w:spacing w:before="20" w:after="20"/>
              <w:rPr>
                <w:sz w:val="24"/>
                <w:szCs w:val="24"/>
              </w:rPr>
            </w:pPr>
            <w:r w:rsidRPr="00610B1B">
              <w:rPr>
                <w:sz w:val="24"/>
                <w:szCs w:val="24"/>
              </w:rPr>
              <w:t>Преструктуриране на българската икономика към производства, които не изискват внос или износ на корабни количества суровини</w:t>
            </w:r>
            <w:r w:rsidR="00CC2289" w:rsidRPr="00610B1B">
              <w:rPr>
                <w:sz w:val="24"/>
                <w:szCs w:val="24"/>
              </w:rPr>
              <w:t xml:space="preserve"> и</w:t>
            </w:r>
            <w:r w:rsidRPr="00610B1B">
              <w:rPr>
                <w:sz w:val="24"/>
                <w:szCs w:val="24"/>
              </w:rPr>
              <w:t xml:space="preserve"> сериозно намаляване на морските превози.</w:t>
            </w:r>
          </w:p>
          <w:p w14:paraId="2A4C7B3B" w14:textId="77777777" w:rsidR="009907CE" w:rsidRPr="00610B1B" w:rsidRDefault="009907CE" w:rsidP="00AE254B">
            <w:pPr>
              <w:pStyle w:val="Normal1"/>
              <w:spacing w:before="20" w:after="20"/>
              <w:rPr>
                <w:sz w:val="24"/>
                <w:szCs w:val="24"/>
              </w:rPr>
            </w:pPr>
          </w:p>
          <w:p w14:paraId="27FB3154" w14:textId="677FBB97" w:rsidR="009907CE" w:rsidRPr="00610B1B" w:rsidRDefault="009907CE" w:rsidP="00AE254B">
            <w:pPr>
              <w:pStyle w:val="Normal1"/>
              <w:spacing w:before="20" w:after="20"/>
              <w:rPr>
                <w:b/>
                <w:color w:val="000000"/>
                <w:sz w:val="24"/>
                <w:szCs w:val="24"/>
              </w:rPr>
            </w:pPr>
          </w:p>
        </w:tc>
      </w:tr>
      <w:tr w:rsidR="00DC7A74" w:rsidRPr="00610B1B" w14:paraId="611B3AF5" w14:textId="77777777" w:rsidTr="00AE254B">
        <w:tc>
          <w:tcPr>
            <w:tcW w:w="9924" w:type="dxa"/>
            <w:gridSpan w:val="3"/>
            <w:shd w:val="clear" w:color="auto" w:fill="92CDDC"/>
          </w:tcPr>
          <w:p w14:paraId="1F7B87F3" w14:textId="77777777" w:rsidR="00DC7A74" w:rsidRPr="00610B1B" w:rsidRDefault="00DC7A74" w:rsidP="00AE254B">
            <w:pPr>
              <w:pStyle w:val="Heading4"/>
              <w:spacing w:before="20" w:after="20"/>
              <w:jc w:val="center"/>
              <w:rPr>
                <w:rFonts w:cs="Times New Roman"/>
                <w:szCs w:val="24"/>
              </w:rPr>
            </w:pPr>
            <w:bookmarkStart w:id="420" w:name="_p4m4w79fdli7" w:colFirst="0" w:colLast="0"/>
            <w:bookmarkEnd w:id="420"/>
            <w:r w:rsidRPr="00610B1B">
              <w:rPr>
                <w:rFonts w:cs="Times New Roman"/>
                <w:szCs w:val="24"/>
              </w:rPr>
              <w:t>РИБАРСТВО И АКВАКУЛТУРИ</w:t>
            </w:r>
          </w:p>
        </w:tc>
      </w:tr>
      <w:tr w:rsidR="00DC7A74" w:rsidRPr="00610B1B" w14:paraId="380EF0A5" w14:textId="77777777" w:rsidTr="00AE254B">
        <w:tc>
          <w:tcPr>
            <w:tcW w:w="4962" w:type="dxa"/>
            <w:shd w:val="clear" w:color="auto" w:fill="BEE6F0"/>
          </w:tcPr>
          <w:p w14:paraId="6CB1C65B"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7B138CD6" w14:textId="77777777" w:rsidR="00DC7A74" w:rsidRPr="00610B1B" w:rsidRDefault="00DC7A74" w:rsidP="00AE254B">
            <w:pPr>
              <w:pStyle w:val="Normal1"/>
              <w:spacing w:before="20" w:after="20"/>
              <w:jc w:val="center"/>
              <w:rPr>
                <w:b/>
                <w:color w:val="000000"/>
                <w:sz w:val="24"/>
                <w:szCs w:val="24"/>
              </w:rPr>
            </w:pPr>
            <w:r w:rsidRPr="00610B1B">
              <w:rPr>
                <w:b/>
                <w:color w:val="000000"/>
                <w:sz w:val="24"/>
                <w:szCs w:val="24"/>
              </w:rPr>
              <w:t>Слаби страни</w:t>
            </w:r>
          </w:p>
        </w:tc>
      </w:tr>
      <w:tr w:rsidR="00DC7A74" w:rsidRPr="00C717D0" w14:paraId="73D4A284" w14:textId="77777777" w:rsidTr="00AE254B">
        <w:tc>
          <w:tcPr>
            <w:tcW w:w="4962" w:type="dxa"/>
            <w:shd w:val="clear" w:color="auto" w:fill="FFFFFF"/>
          </w:tcPr>
          <w:p w14:paraId="3032AA02" w14:textId="5379824C" w:rsidR="00DC7A74" w:rsidRPr="00610B1B" w:rsidRDefault="00DC7A74" w:rsidP="00AE254B">
            <w:pPr>
              <w:pStyle w:val="Normal1"/>
              <w:spacing w:before="20" w:after="20"/>
              <w:rPr>
                <w:color w:val="000000"/>
                <w:sz w:val="24"/>
                <w:szCs w:val="24"/>
              </w:rPr>
            </w:pPr>
            <w:r w:rsidRPr="00610B1B">
              <w:rPr>
                <w:sz w:val="24"/>
                <w:szCs w:val="24"/>
              </w:rPr>
              <w:t xml:space="preserve">Непрекъснато наблюдение на кораби над 12 метра и постоянен мониторинг на риболовни кораби, извършващи улов на квотиран вид риба (калкан), с цел достоверност на данните при кръстосани проверки. </w:t>
            </w:r>
            <w:r w:rsidR="000929F1" w:rsidRPr="00610B1B">
              <w:rPr>
                <w:sz w:val="24"/>
                <w:szCs w:val="24"/>
              </w:rPr>
              <w:t>(</w:t>
            </w:r>
            <w:r w:rsidRPr="00610B1B">
              <w:rPr>
                <w:sz w:val="24"/>
                <w:szCs w:val="24"/>
              </w:rPr>
              <w:t>Съгласно установените на национално ниво правила, всеки кораб, който желае да лови калкан трябва да бъде оборудван с проследяващо устройство, свързано с Центъра за наблюдение на риболовните кораби.</w:t>
            </w:r>
            <w:r w:rsidR="000929F1" w:rsidRPr="00610B1B">
              <w:rPr>
                <w:sz w:val="24"/>
                <w:szCs w:val="24"/>
              </w:rPr>
              <w:t>)</w:t>
            </w:r>
          </w:p>
        </w:tc>
        <w:tc>
          <w:tcPr>
            <w:tcW w:w="4962" w:type="dxa"/>
            <w:gridSpan w:val="2"/>
            <w:shd w:val="clear" w:color="auto" w:fill="FFFFFF"/>
          </w:tcPr>
          <w:p w14:paraId="22B0CDD1" w14:textId="09413A52" w:rsidR="00DC7A74" w:rsidRPr="00610B1B" w:rsidRDefault="00DC7A74" w:rsidP="00AE254B">
            <w:pPr>
              <w:pStyle w:val="Normal1"/>
              <w:spacing w:before="20" w:after="20"/>
              <w:rPr>
                <w:color w:val="000000"/>
                <w:sz w:val="24"/>
                <w:szCs w:val="24"/>
              </w:rPr>
            </w:pPr>
            <w:r w:rsidRPr="00610B1B">
              <w:rPr>
                <w:sz w:val="24"/>
                <w:szCs w:val="24"/>
              </w:rPr>
              <w:t>Ограничен район на плаване на голяма част от риболовния фло</w:t>
            </w:r>
            <w:r w:rsidR="000929F1" w:rsidRPr="00610B1B">
              <w:rPr>
                <w:sz w:val="24"/>
                <w:szCs w:val="24"/>
              </w:rPr>
              <w:t xml:space="preserve">т и много голям относителен дял на </w:t>
            </w:r>
            <w:r w:rsidRPr="00610B1B">
              <w:rPr>
                <w:sz w:val="24"/>
                <w:szCs w:val="24"/>
              </w:rPr>
              <w:t>риболовни</w:t>
            </w:r>
            <w:r w:rsidR="000929F1" w:rsidRPr="00610B1B">
              <w:rPr>
                <w:sz w:val="24"/>
                <w:szCs w:val="24"/>
              </w:rPr>
              <w:t xml:space="preserve">те съдове </w:t>
            </w:r>
            <w:r w:rsidRPr="00610B1B">
              <w:rPr>
                <w:sz w:val="24"/>
                <w:szCs w:val="24"/>
              </w:rPr>
              <w:t xml:space="preserve">по-малки от 12 </w:t>
            </w:r>
            <w:r w:rsidR="000929F1" w:rsidRPr="00610B1B">
              <w:rPr>
                <w:sz w:val="24"/>
                <w:szCs w:val="24"/>
              </w:rPr>
              <w:t>m</w:t>
            </w:r>
            <w:r w:rsidRPr="00610B1B">
              <w:rPr>
                <w:sz w:val="24"/>
                <w:szCs w:val="24"/>
              </w:rPr>
              <w:t xml:space="preserve">, </w:t>
            </w:r>
            <w:r w:rsidR="000929F1" w:rsidRPr="00610B1B">
              <w:rPr>
                <w:sz w:val="24"/>
                <w:szCs w:val="24"/>
              </w:rPr>
              <w:t xml:space="preserve">с </w:t>
            </w:r>
            <w:r w:rsidRPr="00610B1B">
              <w:rPr>
                <w:sz w:val="24"/>
                <w:szCs w:val="24"/>
              </w:rPr>
              <w:t>разрешение за плаване в рамките на зоната до 2 морски мили от брега.</w:t>
            </w:r>
            <w:r w:rsidR="00D66FE0" w:rsidRPr="00610B1B">
              <w:rPr>
                <w:sz w:val="24"/>
                <w:szCs w:val="24"/>
              </w:rPr>
              <w:t xml:space="preserve"> </w:t>
            </w:r>
          </w:p>
        </w:tc>
      </w:tr>
      <w:tr w:rsidR="00DC7A74" w:rsidRPr="00C717D0" w14:paraId="54A82D58" w14:textId="77777777" w:rsidTr="00AE254B">
        <w:tc>
          <w:tcPr>
            <w:tcW w:w="4962" w:type="dxa"/>
            <w:shd w:val="clear" w:color="auto" w:fill="FFFFFF"/>
          </w:tcPr>
          <w:p w14:paraId="3F6B88C1" w14:textId="2157CD17" w:rsidR="00DC7A74" w:rsidRPr="00610B1B" w:rsidRDefault="000929F1" w:rsidP="00AE254B">
            <w:pPr>
              <w:pStyle w:val="Normal1"/>
              <w:spacing w:before="20" w:after="20"/>
              <w:rPr>
                <w:color w:val="000000"/>
                <w:sz w:val="24"/>
                <w:szCs w:val="24"/>
              </w:rPr>
            </w:pPr>
            <w:r w:rsidRPr="00610B1B">
              <w:rPr>
                <w:sz w:val="24"/>
                <w:szCs w:val="24"/>
              </w:rPr>
              <w:lastRenderedPageBreak/>
              <w:t>Добро с</w:t>
            </w:r>
            <w:r w:rsidR="00DC7A74" w:rsidRPr="00610B1B">
              <w:rPr>
                <w:sz w:val="24"/>
                <w:szCs w:val="24"/>
              </w:rPr>
              <w:t xml:space="preserve">ътрудничество с други администрации по отношение на техническите характеристики на риболовните кораби </w:t>
            </w:r>
            <w:r w:rsidRPr="00610B1B">
              <w:rPr>
                <w:sz w:val="24"/>
                <w:szCs w:val="24"/>
              </w:rPr>
              <w:t xml:space="preserve">- </w:t>
            </w:r>
            <w:r w:rsidR="00DC7A74" w:rsidRPr="00610B1B">
              <w:rPr>
                <w:sz w:val="24"/>
                <w:szCs w:val="24"/>
              </w:rPr>
              <w:t xml:space="preserve">с ИАМА </w:t>
            </w:r>
            <w:r w:rsidRPr="00610B1B">
              <w:rPr>
                <w:sz w:val="24"/>
                <w:szCs w:val="24"/>
              </w:rPr>
              <w:t>в</w:t>
            </w:r>
            <w:r w:rsidR="00DC7A74" w:rsidRPr="00610B1B">
              <w:rPr>
                <w:sz w:val="24"/>
                <w:szCs w:val="24"/>
              </w:rPr>
              <w:t xml:space="preserve"> борбата с </w:t>
            </w:r>
            <w:bookmarkStart w:id="421" w:name="_Hlk46594356"/>
            <w:r w:rsidR="00DC7A74" w:rsidRPr="00610B1B">
              <w:rPr>
                <w:sz w:val="24"/>
                <w:szCs w:val="24"/>
              </w:rPr>
              <w:t>незаконния, недеклариран и нерегулиран</w:t>
            </w:r>
            <w:bookmarkEnd w:id="421"/>
            <w:r w:rsidR="00DC7A74" w:rsidRPr="00610B1B">
              <w:rPr>
                <w:sz w:val="24"/>
                <w:szCs w:val="24"/>
              </w:rPr>
              <w:t xml:space="preserve"> (ННН) риболов</w:t>
            </w:r>
            <w:r w:rsidRPr="00610B1B">
              <w:rPr>
                <w:sz w:val="24"/>
                <w:szCs w:val="24"/>
              </w:rPr>
              <w:t xml:space="preserve">, </w:t>
            </w:r>
            <w:r w:rsidR="00DC7A74" w:rsidRPr="00610B1B">
              <w:rPr>
                <w:sz w:val="24"/>
                <w:szCs w:val="24"/>
              </w:rPr>
              <w:t>Гранична полиция, Българска агенция по безопасност на храните, European Fisheries Control Agency (EFCA), Frontex, European Maritime Safety Agency (EMSA).</w:t>
            </w:r>
          </w:p>
        </w:tc>
        <w:tc>
          <w:tcPr>
            <w:tcW w:w="4962" w:type="dxa"/>
            <w:gridSpan w:val="2"/>
            <w:shd w:val="clear" w:color="auto" w:fill="FFFFFF"/>
          </w:tcPr>
          <w:p w14:paraId="1B6A360C" w14:textId="4063A8B9" w:rsidR="00DC7A74" w:rsidRPr="00610B1B" w:rsidRDefault="00DC7A74" w:rsidP="00AE254B">
            <w:pPr>
              <w:pStyle w:val="Normal1"/>
              <w:spacing w:before="20" w:after="20"/>
              <w:rPr>
                <w:color w:val="000000"/>
                <w:sz w:val="24"/>
                <w:szCs w:val="24"/>
              </w:rPr>
            </w:pPr>
            <w:r w:rsidRPr="00610B1B">
              <w:rPr>
                <w:sz w:val="24"/>
                <w:szCs w:val="24"/>
              </w:rPr>
              <w:t>Недостатъчно оборудване и стари производствени инсталации и риболовни кораби</w:t>
            </w:r>
            <w:r w:rsidR="000929F1" w:rsidRPr="00610B1B">
              <w:rPr>
                <w:sz w:val="24"/>
                <w:szCs w:val="24"/>
              </w:rPr>
              <w:t>,</w:t>
            </w:r>
            <w:r w:rsidRPr="00610B1B">
              <w:rPr>
                <w:sz w:val="24"/>
                <w:szCs w:val="24"/>
              </w:rPr>
              <w:t xml:space="preserve"> както и недостатъчно използване на научните достижения и новите технологии в сектора.</w:t>
            </w:r>
          </w:p>
        </w:tc>
      </w:tr>
      <w:tr w:rsidR="00DC7A74" w:rsidRPr="00C717D0" w14:paraId="1EDBDAC1" w14:textId="77777777" w:rsidTr="00AE254B">
        <w:tc>
          <w:tcPr>
            <w:tcW w:w="4962" w:type="dxa"/>
            <w:shd w:val="clear" w:color="auto" w:fill="FFFFFF"/>
          </w:tcPr>
          <w:p w14:paraId="52E071A5" w14:textId="5C3CE44D" w:rsidR="00DC7A74" w:rsidRPr="00610B1B" w:rsidRDefault="00DC7A74" w:rsidP="00AE254B">
            <w:pPr>
              <w:pStyle w:val="Normal1"/>
              <w:spacing w:before="20" w:after="20"/>
              <w:rPr>
                <w:color w:val="000000"/>
                <w:sz w:val="24"/>
                <w:szCs w:val="24"/>
              </w:rPr>
            </w:pPr>
            <w:r w:rsidRPr="00610B1B">
              <w:rPr>
                <w:sz w:val="24"/>
                <w:szCs w:val="24"/>
              </w:rPr>
              <w:t>Наличие на база данни за анализ и оценка на</w:t>
            </w:r>
            <w:r w:rsidR="00D66FE0" w:rsidRPr="00610B1B">
              <w:rPr>
                <w:sz w:val="24"/>
                <w:szCs w:val="24"/>
              </w:rPr>
              <w:t xml:space="preserve"> </w:t>
            </w:r>
            <w:r w:rsidRPr="00610B1B">
              <w:rPr>
                <w:sz w:val="24"/>
                <w:szCs w:val="24"/>
              </w:rPr>
              <w:t>биологическите и социално-икономическите показатели в сектор „Рибарство и аквакултури“</w:t>
            </w:r>
            <w:r w:rsidR="00CC2289" w:rsidRPr="00610B1B">
              <w:rPr>
                <w:sz w:val="24"/>
                <w:szCs w:val="24"/>
              </w:rPr>
              <w:t xml:space="preserve"> с </w:t>
            </w:r>
            <w:r w:rsidRPr="00610B1B">
              <w:rPr>
                <w:sz w:val="24"/>
                <w:szCs w:val="24"/>
              </w:rPr>
              <w:t xml:space="preserve">важна роля за опазване и управление на живите водни ресурси. </w:t>
            </w:r>
          </w:p>
        </w:tc>
        <w:tc>
          <w:tcPr>
            <w:tcW w:w="4962" w:type="dxa"/>
            <w:gridSpan w:val="2"/>
            <w:shd w:val="clear" w:color="auto" w:fill="FFFFFF"/>
          </w:tcPr>
          <w:p w14:paraId="07749745" w14:textId="46A4E22D" w:rsidR="00DC7A74" w:rsidRPr="00610B1B" w:rsidRDefault="006F4640" w:rsidP="00AE254B">
            <w:pPr>
              <w:pStyle w:val="Normal1"/>
              <w:spacing w:before="20" w:after="20"/>
              <w:rPr>
                <w:color w:val="000000"/>
                <w:sz w:val="24"/>
                <w:szCs w:val="24"/>
              </w:rPr>
            </w:pPr>
            <w:r w:rsidRPr="00610B1B">
              <w:rPr>
                <w:sz w:val="24"/>
                <w:szCs w:val="24"/>
              </w:rPr>
              <w:t>Липса на координация с други институции за прилагане на единен формат на данните и постигане на по-надеждни научни изводи.</w:t>
            </w:r>
            <w:r w:rsidR="00DC7A74" w:rsidRPr="00610B1B">
              <w:rPr>
                <w:sz w:val="24"/>
                <w:szCs w:val="24"/>
              </w:rPr>
              <w:t xml:space="preserve"> </w:t>
            </w:r>
          </w:p>
        </w:tc>
      </w:tr>
      <w:tr w:rsidR="006F4640" w:rsidRPr="00C717D0" w14:paraId="05841949" w14:textId="77777777" w:rsidTr="00AE254B">
        <w:tc>
          <w:tcPr>
            <w:tcW w:w="4962" w:type="dxa"/>
            <w:shd w:val="clear" w:color="auto" w:fill="FFFFFF"/>
          </w:tcPr>
          <w:p w14:paraId="4C5B9D84" w14:textId="77777777" w:rsidR="006F4640" w:rsidRPr="00610B1B" w:rsidRDefault="006F4640" w:rsidP="00AE254B">
            <w:pPr>
              <w:pStyle w:val="Normal1"/>
              <w:spacing w:before="20" w:after="20"/>
              <w:rPr>
                <w:sz w:val="24"/>
                <w:szCs w:val="24"/>
              </w:rPr>
            </w:pPr>
          </w:p>
        </w:tc>
        <w:tc>
          <w:tcPr>
            <w:tcW w:w="4962" w:type="dxa"/>
            <w:gridSpan w:val="2"/>
            <w:shd w:val="clear" w:color="auto" w:fill="FFFFFF"/>
          </w:tcPr>
          <w:p w14:paraId="71B69BCE" w14:textId="45A9FA41" w:rsidR="00ED74EC" w:rsidRPr="00610B1B" w:rsidRDefault="006F4640" w:rsidP="00AE254B">
            <w:pPr>
              <w:pStyle w:val="Normal1"/>
              <w:spacing w:before="20" w:after="20"/>
              <w:rPr>
                <w:sz w:val="24"/>
                <w:szCs w:val="24"/>
              </w:rPr>
            </w:pPr>
            <w:r w:rsidRPr="00610B1B">
              <w:rPr>
                <w:sz w:val="24"/>
                <w:szCs w:val="24"/>
              </w:rPr>
              <w:t xml:space="preserve">Липса на диверсификация на морските аквакултури (само черна морска мида) </w:t>
            </w:r>
          </w:p>
        </w:tc>
      </w:tr>
      <w:tr w:rsidR="006F4640" w:rsidRPr="00610B1B" w14:paraId="16713232" w14:textId="77777777" w:rsidTr="00AE254B">
        <w:tc>
          <w:tcPr>
            <w:tcW w:w="4962" w:type="dxa"/>
            <w:shd w:val="clear" w:color="auto" w:fill="BEE6F0"/>
          </w:tcPr>
          <w:p w14:paraId="7363E9CA" w14:textId="77777777" w:rsidR="006F4640" w:rsidRPr="00610B1B" w:rsidRDefault="006F4640" w:rsidP="00AE254B">
            <w:pPr>
              <w:pStyle w:val="Normal1"/>
              <w:spacing w:before="20" w:after="20"/>
              <w:jc w:val="center"/>
              <w:rPr>
                <w:b/>
                <w:bCs/>
                <w:color w:val="000000"/>
                <w:sz w:val="24"/>
                <w:szCs w:val="24"/>
              </w:rPr>
            </w:pPr>
            <w:r w:rsidRPr="00610B1B">
              <w:rPr>
                <w:b/>
                <w:bCs/>
                <w:sz w:val="24"/>
                <w:szCs w:val="24"/>
              </w:rPr>
              <w:t>Възможности</w:t>
            </w:r>
          </w:p>
        </w:tc>
        <w:tc>
          <w:tcPr>
            <w:tcW w:w="4962" w:type="dxa"/>
            <w:gridSpan w:val="2"/>
            <w:shd w:val="clear" w:color="auto" w:fill="BEE6F0"/>
          </w:tcPr>
          <w:p w14:paraId="5B0CD5C1" w14:textId="77777777" w:rsidR="006F4640" w:rsidRPr="00610B1B" w:rsidRDefault="006F4640" w:rsidP="00AE254B">
            <w:pPr>
              <w:pStyle w:val="Normal1"/>
              <w:spacing w:before="20" w:after="20"/>
              <w:jc w:val="center"/>
              <w:rPr>
                <w:b/>
                <w:bCs/>
                <w:color w:val="000000"/>
                <w:sz w:val="24"/>
                <w:szCs w:val="24"/>
              </w:rPr>
            </w:pPr>
            <w:r w:rsidRPr="00610B1B">
              <w:rPr>
                <w:b/>
                <w:bCs/>
                <w:sz w:val="24"/>
                <w:szCs w:val="24"/>
              </w:rPr>
              <w:t>Заплахи</w:t>
            </w:r>
          </w:p>
        </w:tc>
      </w:tr>
      <w:tr w:rsidR="006F4640" w:rsidRPr="00C717D0" w14:paraId="26A49CC8" w14:textId="77777777" w:rsidTr="00AE254B">
        <w:tc>
          <w:tcPr>
            <w:tcW w:w="4962" w:type="dxa"/>
            <w:shd w:val="clear" w:color="auto" w:fill="FFFFFF"/>
          </w:tcPr>
          <w:p w14:paraId="0F9F5CEB" w14:textId="77777777" w:rsidR="006F4640" w:rsidRPr="00610B1B" w:rsidRDefault="006F4640" w:rsidP="00AE254B">
            <w:pPr>
              <w:pStyle w:val="Normal1"/>
              <w:spacing w:before="20" w:after="20"/>
              <w:rPr>
                <w:b/>
                <w:color w:val="000000"/>
                <w:sz w:val="24"/>
                <w:szCs w:val="24"/>
              </w:rPr>
            </w:pPr>
            <w:r w:rsidRPr="00610B1B">
              <w:rPr>
                <w:sz w:val="24"/>
                <w:szCs w:val="24"/>
              </w:rPr>
              <w:t>Инвестиции в подобряване на селективността на риболовните уреди с цел постигане на устойчив и отговорен риболов, както и намаляване отрицателното въздействие на рибарството върху околната среда.</w:t>
            </w:r>
          </w:p>
        </w:tc>
        <w:tc>
          <w:tcPr>
            <w:tcW w:w="4962" w:type="dxa"/>
            <w:gridSpan w:val="2"/>
            <w:shd w:val="clear" w:color="auto" w:fill="FFFFFF"/>
          </w:tcPr>
          <w:p w14:paraId="6FBC520D" w14:textId="77777777" w:rsidR="006F4640" w:rsidRPr="00610B1B" w:rsidRDefault="006F4640" w:rsidP="00AE254B">
            <w:pPr>
              <w:pStyle w:val="Normal1"/>
              <w:spacing w:before="20" w:after="20"/>
              <w:rPr>
                <w:color w:val="000000"/>
                <w:sz w:val="24"/>
                <w:szCs w:val="24"/>
              </w:rPr>
            </w:pPr>
            <w:r w:rsidRPr="00610B1B">
              <w:rPr>
                <w:color w:val="000000"/>
                <w:sz w:val="24"/>
                <w:szCs w:val="24"/>
              </w:rPr>
              <w:t>Негативно влияние на климатичните промени върху състоянието на околната среда и продължаващо намаляване на рибните ресурси.</w:t>
            </w:r>
          </w:p>
        </w:tc>
      </w:tr>
      <w:tr w:rsidR="006F4640" w:rsidRPr="00C717D0" w14:paraId="73FF8105" w14:textId="77777777" w:rsidTr="00AE254B">
        <w:tc>
          <w:tcPr>
            <w:tcW w:w="4962" w:type="dxa"/>
            <w:shd w:val="clear" w:color="auto" w:fill="FFFFFF"/>
          </w:tcPr>
          <w:p w14:paraId="141F7967" w14:textId="4B3BB8BA" w:rsidR="006F4640" w:rsidRPr="00610B1B" w:rsidRDefault="006F4640" w:rsidP="00AE254B">
            <w:pPr>
              <w:pStyle w:val="Normal1"/>
              <w:spacing w:before="20" w:after="20"/>
              <w:rPr>
                <w:sz w:val="24"/>
                <w:szCs w:val="24"/>
              </w:rPr>
            </w:pPr>
            <w:r w:rsidRPr="00610B1B">
              <w:rPr>
                <w:sz w:val="24"/>
                <w:szCs w:val="24"/>
              </w:rPr>
              <w:t>Диверсифициране доходите на рибарите чрез участие в допълнителни дейности като туризъм, ресторантьорство, предоставяне на екологични услуги, в съответствие със същността на риболовния бизнес.</w:t>
            </w:r>
          </w:p>
        </w:tc>
        <w:tc>
          <w:tcPr>
            <w:tcW w:w="4962" w:type="dxa"/>
            <w:gridSpan w:val="2"/>
            <w:shd w:val="clear" w:color="auto" w:fill="FFFFFF"/>
          </w:tcPr>
          <w:p w14:paraId="1681289B" w14:textId="051E1888" w:rsidR="006F4640" w:rsidRPr="00610B1B" w:rsidRDefault="006F4640" w:rsidP="00AE254B">
            <w:pPr>
              <w:pStyle w:val="Normal1"/>
              <w:spacing w:before="20" w:after="20"/>
              <w:rPr>
                <w:color w:val="000000"/>
                <w:sz w:val="24"/>
                <w:szCs w:val="24"/>
              </w:rPr>
            </w:pPr>
            <w:r w:rsidRPr="00610B1B">
              <w:rPr>
                <w:color w:val="000000"/>
                <w:sz w:val="24"/>
                <w:szCs w:val="24"/>
              </w:rPr>
              <w:t>Намаляване на броя на активните кораби поради слабите икономически резултати. Намаляване на печалбите вследствие на увеличаването на разходите за осъществяване на дейността.</w:t>
            </w:r>
          </w:p>
        </w:tc>
      </w:tr>
      <w:tr w:rsidR="006F4640" w:rsidRPr="00C717D0" w14:paraId="1D918EF1" w14:textId="77777777" w:rsidTr="00AE254B">
        <w:tc>
          <w:tcPr>
            <w:tcW w:w="4962" w:type="dxa"/>
            <w:shd w:val="clear" w:color="auto" w:fill="FFFFFF"/>
          </w:tcPr>
          <w:p w14:paraId="2C059E4B" w14:textId="77777777" w:rsidR="006F4640" w:rsidRPr="00610B1B" w:rsidRDefault="006F4640" w:rsidP="00AE254B">
            <w:pPr>
              <w:pStyle w:val="Normal1"/>
              <w:spacing w:before="20" w:after="20"/>
              <w:rPr>
                <w:sz w:val="24"/>
                <w:szCs w:val="24"/>
              </w:rPr>
            </w:pPr>
            <w:r w:rsidRPr="00610B1B">
              <w:rPr>
                <w:sz w:val="24"/>
                <w:szCs w:val="24"/>
              </w:rPr>
              <w:t>Намаляване капацитета на риболовния флот за балансиране на запасите.</w:t>
            </w:r>
          </w:p>
        </w:tc>
        <w:tc>
          <w:tcPr>
            <w:tcW w:w="4962" w:type="dxa"/>
            <w:gridSpan w:val="2"/>
            <w:shd w:val="clear" w:color="auto" w:fill="FFFFFF"/>
          </w:tcPr>
          <w:p w14:paraId="6E96784A" w14:textId="7DE056BB" w:rsidR="006F4640" w:rsidRPr="00610B1B" w:rsidRDefault="006F4640" w:rsidP="00AE254B">
            <w:pPr>
              <w:pStyle w:val="Normal1"/>
              <w:spacing w:before="20" w:after="20"/>
              <w:rPr>
                <w:color w:val="000000"/>
                <w:sz w:val="24"/>
                <w:szCs w:val="24"/>
              </w:rPr>
            </w:pPr>
            <w:r w:rsidRPr="00610B1B">
              <w:rPr>
                <w:color w:val="000000"/>
                <w:sz w:val="24"/>
                <w:szCs w:val="24"/>
              </w:rPr>
              <w:t>Неустойчива експлоатация на запасите поради липса на данни относно индикаторите за биоустойчивост, както и индикатори за морското дъно.</w:t>
            </w:r>
          </w:p>
        </w:tc>
      </w:tr>
      <w:tr w:rsidR="006F4640" w:rsidRPr="00610B1B" w14:paraId="5EEA8FCB" w14:textId="77777777" w:rsidTr="00AE254B">
        <w:tc>
          <w:tcPr>
            <w:tcW w:w="9924" w:type="dxa"/>
            <w:gridSpan w:val="3"/>
            <w:shd w:val="clear" w:color="auto" w:fill="92CDDC"/>
          </w:tcPr>
          <w:p w14:paraId="7425884B" w14:textId="77777777" w:rsidR="006F4640" w:rsidRPr="00610B1B" w:rsidRDefault="006F4640" w:rsidP="00AE254B">
            <w:pPr>
              <w:pStyle w:val="Heading4"/>
              <w:spacing w:before="20" w:after="20"/>
              <w:jc w:val="center"/>
              <w:rPr>
                <w:rFonts w:cs="Times New Roman"/>
                <w:szCs w:val="24"/>
              </w:rPr>
            </w:pPr>
            <w:bookmarkStart w:id="422" w:name="_wp9yhogfq8jw" w:colFirst="0" w:colLast="0"/>
            <w:bookmarkEnd w:id="422"/>
            <w:r w:rsidRPr="00610B1B">
              <w:rPr>
                <w:rFonts w:cs="Times New Roman"/>
                <w:szCs w:val="24"/>
              </w:rPr>
              <w:t>ТУРИЗЪМ</w:t>
            </w:r>
          </w:p>
        </w:tc>
      </w:tr>
      <w:tr w:rsidR="006F4640" w:rsidRPr="00610B1B" w14:paraId="67339807" w14:textId="77777777" w:rsidTr="00AE254B">
        <w:tc>
          <w:tcPr>
            <w:tcW w:w="4962" w:type="dxa"/>
            <w:shd w:val="clear" w:color="auto" w:fill="BEE6F0"/>
          </w:tcPr>
          <w:p w14:paraId="679B43F9"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4A8B9082"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Слаби страни</w:t>
            </w:r>
          </w:p>
        </w:tc>
      </w:tr>
      <w:tr w:rsidR="006F4640" w:rsidRPr="00C717D0" w14:paraId="4E4939A6" w14:textId="77777777" w:rsidTr="00AE254B">
        <w:tc>
          <w:tcPr>
            <w:tcW w:w="4962" w:type="dxa"/>
            <w:shd w:val="clear" w:color="auto" w:fill="FFFFFF"/>
          </w:tcPr>
          <w:p w14:paraId="415C255A" w14:textId="128302B2" w:rsidR="006F4640" w:rsidRPr="00610B1B" w:rsidRDefault="006F4640" w:rsidP="00AE254B">
            <w:pPr>
              <w:pStyle w:val="Normal1"/>
              <w:spacing w:before="20" w:after="20"/>
              <w:rPr>
                <w:color w:val="000000"/>
                <w:sz w:val="24"/>
                <w:szCs w:val="24"/>
              </w:rPr>
            </w:pPr>
            <w:r w:rsidRPr="00610B1B">
              <w:rPr>
                <w:color w:val="000000"/>
                <w:sz w:val="24"/>
                <w:szCs w:val="24"/>
              </w:rPr>
              <w:t>Стабилен контекст</w:t>
            </w:r>
            <w:r w:rsidR="00D66FE0" w:rsidRPr="00610B1B">
              <w:rPr>
                <w:color w:val="000000"/>
                <w:sz w:val="24"/>
                <w:szCs w:val="24"/>
              </w:rPr>
              <w:t xml:space="preserve"> </w:t>
            </w:r>
            <w:r w:rsidRPr="00610B1B">
              <w:rPr>
                <w:color w:val="000000"/>
                <w:sz w:val="24"/>
                <w:szCs w:val="24"/>
              </w:rPr>
              <w:t>- икономически растеж, финансова система и валута, данъчна и осигурителна политика, членство в ЕС, принадлежност към най-големия туристически пазар – европейския, съгласуваност на българската туристическа политика с международната рамка, действащ стратегически планов документ.</w:t>
            </w:r>
          </w:p>
        </w:tc>
        <w:tc>
          <w:tcPr>
            <w:tcW w:w="4962" w:type="dxa"/>
            <w:gridSpan w:val="2"/>
            <w:shd w:val="clear" w:color="auto" w:fill="FFFFFF"/>
          </w:tcPr>
          <w:p w14:paraId="0711BB40" w14:textId="7B602022" w:rsidR="006F4640" w:rsidRPr="00610B1B" w:rsidRDefault="006F4640" w:rsidP="00AE254B">
            <w:pPr>
              <w:pStyle w:val="Normal1"/>
              <w:spacing w:before="20" w:after="20"/>
              <w:rPr>
                <w:color w:val="000000"/>
                <w:sz w:val="24"/>
                <w:szCs w:val="24"/>
              </w:rPr>
            </w:pPr>
            <w:r w:rsidRPr="00610B1B">
              <w:rPr>
                <w:color w:val="000000"/>
                <w:sz w:val="24"/>
                <w:szCs w:val="24"/>
              </w:rPr>
              <w:t>Нискоефективно функциониране на сектора - подчертана сезонност, екстензивно използване на туристическите ресурси, ниска средногодишна заетост на легловата база, позициониране като евтина дестинация - нисък среден приход от турист, намаляване на продължителността на престоя, голям сив сектор, липса на добра маркетингова и брандинг стратегия.</w:t>
            </w:r>
          </w:p>
        </w:tc>
      </w:tr>
      <w:tr w:rsidR="006F4640" w:rsidRPr="00C717D0" w14:paraId="5BB65C07" w14:textId="77777777" w:rsidTr="00AE254B">
        <w:tc>
          <w:tcPr>
            <w:tcW w:w="4962" w:type="dxa"/>
            <w:shd w:val="clear" w:color="auto" w:fill="FFFFFF"/>
          </w:tcPr>
          <w:p w14:paraId="6A35865F" w14:textId="12ED869C" w:rsidR="006F4640" w:rsidRPr="00610B1B" w:rsidRDefault="006F4640" w:rsidP="00AE254B">
            <w:pPr>
              <w:pStyle w:val="Normal1"/>
              <w:spacing w:before="20" w:after="20"/>
              <w:rPr>
                <w:color w:val="000000"/>
                <w:sz w:val="24"/>
                <w:szCs w:val="24"/>
              </w:rPr>
            </w:pPr>
            <w:r w:rsidRPr="00610B1B">
              <w:rPr>
                <w:color w:val="000000"/>
                <w:sz w:val="24"/>
                <w:szCs w:val="24"/>
              </w:rPr>
              <w:lastRenderedPageBreak/>
              <w:t>Привлекателност на дестинация „България”</w:t>
            </w:r>
            <w:r w:rsidR="00D66FE0" w:rsidRPr="00610B1B">
              <w:rPr>
                <w:color w:val="000000"/>
                <w:sz w:val="24"/>
                <w:szCs w:val="24"/>
              </w:rPr>
              <w:t xml:space="preserve"> </w:t>
            </w:r>
            <w:r w:rsidRPr="00610B1B">
              <w:rPr>
                <w:color w:val="000000"/>
                <w:sz w:val="24"/>
                <w:szCs w:val="24"/>
              </w:rPr>
              <w:t>- достъпност, близост до основни генериращи пазари, конкурентни цени, сигурност, национална идентичност/специфика; изявен морски туризъм.</w:t>
            </w:r>
          </w:p>
        </w:tc>
        <w:tc>
          <w:tcPr>
            <w:tcW w:w="4962" w:type="dxa"/>
            <w:gridSpan w:val="2"/>
            <w:shd w:val="clear" w:color="auto" w:fill="FFFFFF"/>
          </w:tcPr>
          <w:p w14:paraId="2270C806" w14:textId="3B16E3DE" w:rsidR="006F4640" w:rsidRPr="00610B1B" w:rsidRDefault="006F4640" w:rsidP="00AE254B">
            <w:pPr>
              <w:pStyle w:val="Normal1"/>
              <w:spacing w:before="20" w:after="20"/>
              <w:rPr>
                <w:color w:val="000000"/>
                <w:sz w:val="24"/>
                <w:szCs w:val="24"/>
              </w:rPr>
            </w:pPr>
            <w:r w:rsidRPr="00610B1B">
              <w:rPr>
                <w:color w:val="000000"/>
                <w:sz w:val="24"/>
                <w:szCs w:val="24"/>
              </w:rPr>
              <w:t>Дефицити в институционалния капацитет и управлението (недостиг на знания в комуникациите и PR, онлайн маркетинга, иновациите; малко сертифицирани фирми по стандарти за качество и устойчиво развитие; недобро взаимодействие между държавната администрация и туристическите сдружения и бизнеса; ниска информационна обезпеченост на дестинацията; човешки ресурси – недостатъчно количество и качество, слаба мотивация.</w:t>
            </w:r>
          </w:p>
        </w:tc>
      </w:tr>
      <w:tr w:rsidR="006F4640" w:rsidRPr="00C717D0" w14:paraId="0A6E0B55" w14:textId="77777777" w:rsidTr="00AE254B">
        <w:tc>
          <w:tcPr>
            <w:tcW w:w="4962" w:type="dxa"/>
            <w:shd w:val="clear" w:color="auto" w:fill="FFFFFF"/>
          </w:tcPr>
          <w:p w14:paraId="7DF56E2D" w14:textId="082F93D6" w:rsidR="006F4640" w:rsidRPr="00610B1B" w:rsidRDefault="006F4640" w:rsidP="00AE254B">
            <w:pPr>
              <w:pStyle w:val="Normal1"/>
              <w:spacing w:before="20" w:after="20"/>
              <w:rPr>
                <w:color w:val="000000"/>
                <w:sz w:val="24"/>
                <w:szCs w:val="24"/>
              </w:rPr>
            </w:pPr>
            <w:r w:rsidRPr="00610B1B">
              <w:rPr>
                <w:color w:val="000000"/>
                <w:sz w:val="24"/>
                <w:szCs w:val="24"/>
              </w:rPr>
              <w:t>Разнообразни и пространствено наситени туристически ресурси</w:t>
            </w:r>
            <w:r w:rsidR="00D66FE0" w:rsidRPr="00610B1B">
              <w:rPr>
                <w:color w:val="000000"/>
                <w:sz w:val="24"/>
                <w:szCs w:val="24"/>
              </w:rPr>
              <w:t xml:space="preserve"> </w:t>
            </w:r>
            <w:r w:rsidRPr="00610B1B">
              <w:rPr>
                <w:color w:val="000000"/>
                <w:sz w:val="24"/>
                <w:szCs w:val="24"/>
              </w:rPr>
              <w:t>- природно и културно наследство, климат, атрактивно Черноморско крайбрежие, минерални води, биоразнообразие, защитени територии и видове, условия и продукти за много видове туризъм и тяхното комбиниране в 4 сезона.</w:t>
            </w:r>
          </w:p>
        </w:tc>
        <w:tc>
          <w:tcPr>
            <w:tcW w:w="4962" w:type="dxa"/>
            <w:gridSpan w:val="2"/>
            <w:shd w:val="clear" w:color="auto" w:fill="FFFFFF"/>
          </w:tcPr>
          <w:p w14:paraId="34A41083" w14:textId="77777777" w:rsidR="006F4640" w:rsidRPr="00610B1B" w:rsidRDefault="006F4640" w:rsidP="00AE254B">
            <w:pPr>
              <w:pStyle w:val="Normal1"/>
              <w:spacing w:before="20" w:after="20"/>
              <w:rPr>
                <w:color w:val="000000"/>
                <w:sz w:val="24"/>
                <w:szCs w:val="24"/>
              </w:rPr>
            </w:pPr>
            <w:r w:rsidRPr="00610B1B">
              <w:rPr>
                <w:color w:val="000000"/>
                <w:sz w:val="24"/>
                <w:szCs w:val="24"/>
              </w:rPr>
              <w:t>Силен натиск върху околната среда - неустойчиво управление на ресурсите; претоварено Черноморско крайбрежие с пренаселени курорти; недоизградена инфраструктура; липса на концепция за адаптация на сектора към климатичните промени.</w:t>
            </w:r>
          </w:p>
          <w:p w14:paraId="2CD80C1E" w14:textId="77777777" w:rsidR="00AE254B" w:rsidRPr="00610B1B" w:rsidRDefault="00AE254B" w:rsidP="00AE254B">
            <w:pPr>
              <w:pStyle w:val="Normal1"/>
              <w:spacing w:before="20" w:after="20"/>
              <w:rPr>
                <w:color w:val="000000"/>
                <w:sz w:val="24"/>
                <w:szCs w:val="24"/>
              </w:rPr>
            </w:pPr>
          </w:p>
          <w:p w14:paraId="4B90BB4B" w14:textId="151A4BBB" w:rsidR="00AE254B" w:rsidRPr="00610B1B" w:rsidRDefault="00AE254B" w:rsidP="00AE254B">
            <w:pPr>
              <w:pStyle w:val="Normal1"/>
              <w:spacing w:before="20" w:after="20"/>
              <w:rPr>
                <w:color w:val="000000"/>
                <w:sz w:val="24"/>
                <w:szCs w:val="24"/>
              </w:rPr>
            </w:pPr>
          </w:p>
        </w:tc>
      </w:tr>
      <w:tr w:rsidR="006F4640" w:rsidRPr="00610B1B" w14:paraId="72147839" w14:textId="77777777" w:rsidTr="00AE254B">
        <w:tc>
          <w:tcPr>
            <w:tcW w:w="4962" w:type="dxa"/>
            <w:shd w:val="clear" w:color="auto" w:fill="BEE6F0"/>
          </w:tcPr>
          <w:p w14:paraId="3AB5829D"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Възможности</w:t>
            </w:r>
          </w:p>
        </w:tc>
        <w:tc>
          <w:tcPr>
            <w:tcW w:w="4962" w:type="dxa"/>
            <w:gridSpan w:val="2"/>
            <w:shd w:val="clear" w:color="auto" w:fill="BEE6F0"/>
          </w:tcPr>
          <w:p w14:paraId="6060867E"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Заплахи</w:t>
            </w:r>
          </w:p>
        </w:tc>
      </w:tr>
      <w:tr w:rsidR="006F4640" w:rsidRPr="00C717D0" w14:paraId="2E6729B8" w14:textId="77777777" w:rsidTr="00AE254B">
        <w:tc>
          <w:tcPr>
            <w:tcW w:w="4962" w:type="dxa"/>
            <w:shd w:val="clear" w:color="auto" w:fill="FFFFFF"/>
          </w:tcPr>
          <w:p w14:paraId="1655047E" w14:textId="34FDE67E" w:rsidR="006F4640" w:rsidRPr="00610B1B" w:rsidRDefault="006F4640" w:rsidP="00AE254B">
            <w:pPr>
              <w:pStyle w:val="Normal1"/>
              <w:spacing w:before="20" w:after="20"/>
              <w:rPr>
                <w:color w:val="000000"/>
                <w:sz w:val="24"/>
                <w:szCs w:val="24"/>
              </w:rPr>
            </w:pPr>
            <w:r w:rsidRPr="00610B1B">
              <w:rPr>
                <w:color w:val="000000"/>
                <w:sz w:val="24"/>
                <w:szCs w:val="24"/>
              </w:rPr>
              <w:t>Пренасочване на туристи от конкурентни дестинации с геополитически напрежения, икономически кризи и неблагоприятни последствия от глобалните климатични промени - поле за оползотворяване на благоприятните предпоставки.</w:t>
            </w:r>
          </w:p>
        </w:tc>
        <w:tc>
          <w:tcPr>
            <w:tcW w:w="4962" w:type="dxa"/>
            <w:gridSpan w:val="2"/>
            <w:shd w:val="clear" w:color="auto" w:fill="FFFFFF"/>
          </w:tcPr>
          <w:p w14:paraId="569A0AE6" w14:textId="77777777" w:rsidR="006F4640" w:rsidRPr="00610B1B" w:rsidRDefault="006F4640" w:rsidP="00AE254B">
            <w:pPr>
              <w:pStyle w:val="Normal1"/>
              <w:spacing w:before="20" w:after="20"/>
              <w:rPr>
                <w:color w:val="000000"/>
                <w:sz w:val="24"/>
                <w:szCs w:val="24"/>
              </w:rPr>
            </w:pPr>
            <w:r w:rsidRPr="00610B1B">
              <w:rPr>
                <w:color w:val="000000"/>
                <w:sz w:val="24"/>
                <w:szCs w:val="24"/>
              </w:rPr>
              <w:t>Глобални климатични промени - зачестяващи природни бедствия, влошени екологични показатели;</w:t>
            </w:r>
          </w:p>
          <w:p w14:paraId="6EA0EB13" w14:textId="77777777" w:rsidR="006F4640" w:rsidRPr="00610B1B" w:rsidRDefault="006F4640" w:rsidP="00AE254B">
            <w:pPr>
              <w:pStyle w:val="Normal1"/>
              <w:spacing w:before="20" w:after="20"/>
              <w:rPr>
                <w:color w:val="000000"/>
                <w:sz w:val="24"/>
                <w:szCs w:val="24"/>
              </w:rPr>
            </w:pPr>
          </w:p>
        </w:tc>
      </w:tr>
      <w:tr w:rsidR="006F4640" w:rsidRPr="00C717D0" w14:paraId="5951AF16" w14:textId="77777777" w:rsidTr="00AE254B">
        <w:tc>
          <w:tcPr>
            <w:tcW w:w="4962" w:type="dxa"/>
            <w:shd w:val="clear" w:color="auto" w:fill="FFFFFF"/>
          </w:tcPr>
          <w:p w14:paraId="46B84E63" w14:textId="5BC297A2" w:rsidR="006F4640" w:rsidRPr="00610B1B" w:rsidRDefault="006F4640" w:rsidP="00AE254B">
            <w:pPr>
              <w:pStyle w:val="Normal1"/>
              <w:spacing w:before="20" w:after="20"/>
              <w:rPr>
                <w:color w:val="000000"/>
                <w:sz w:val="24"/>
                <w:szCs w:val="24"/>
              </w:rPr>
            </w:pPr>
            <w:r w:rsidRPr="00610B1B">
              <w:rPr>
                <w:color w:val="000000"/>
                <w:sz w:val="24"/>
                <w:szCs w:val="24"/>
              </w:rPr>
              <w:t>Благоприятна и стабилна икономическа среда, повишаваща се платежоспособност, свободно време и култура на пътуване</w:t>
            </w:r>
            <w:r w:rsidR="00D66FE0" w:rsidRPr="00610B1B">
              <w:rPr>
                <w:color w:val="000000"/>
                <w:sz w:val="24"/>
                <w:szCs w:val="24"/>
              </w:rPr>
              <w:t xml:space="preserve"> </w:t>
            </w:r>
            <w:r w:rsidRPr="00610B1B">
              <w:rPr>
                <w:color w:val="000000"/>
                <w:sz w:val="24"/>
                <w:szCs w:val="24"/>
              </w:rPr>
              <w:t>- поле за пренасочване към по-високите ценови сегменти и разнообразяване на предлагането – път към „4 seasons 4 you“</w:t>
            </w:r>
          </w:p>
        </w:tc>
        <w:tc>
          <w:tcPr>
            <w:tcW w:w="4962" w:type="dxa"/>
            <w:gridSpan w:val="2"/>
            <w:shd w:val="clear" w:color="auto" w:fill="FFFFFF"/>
          </w:tcPr>
          <w:p w14:paraId="27A3FDF0" w14:textId="6D82EA07" w:rsidR="006F4640" w:rsidRPr="00610B1B" w:rsidRDefault="006F4640" w:rsidP="00AE254B">
            <w:pPr>
              <w:pStyle w:val="Normal1"/>
              <w:spacing w:before="20" w:after="20"/>
              <w:rPr>
                <w:color w:val="000000"/>
                <w:sz w:val="24"/>
                <w:szCs w:val="24"/>
              </w:rPr>
            </w:pPr>
            <w:r w:rsidRPr="00610B1B">
              <w:rPr>
                <w:color w:val="000000"/>
                <w:sz w:val="24"/>
                <w:szCs w:val="24"/>
              </w:rPr>
              <w:t>Силни конкуренти – както по отношение на продукта „черноморски рекреационен туризъм“, така и по отношение на алтернативните форми.</w:t>
            </w:r>
          </w:p>
        </w:tc>
      </w:tr>
      <w:tr w:rsidR="006F4640" w:rsidRPr="00C717D0" w14:paraId="345A9822" w14:textId="77777777" w:rsidTr="00AE254B">
        <w:tc>
          <w:tcPr>
            <w:tcW w:w="4962" w:type="dxa"/>
            <w:shd w:val="clear" w:color="auto" w:fill="FFFFFF"/>
          </w:tcPr>
          <w:p w14:paraId="2DB6C319" w14:textId="77777777" w:rsidR="006F4640" w:rsidRPr="00610B1B" w:rsidRDefault="006F4640" w:rsidP="00AE254B">
            <w:pPr>
              <w:pStyle w:val="Normal1"/>
              <w:spacing w:before="20" w:after="20"/>
              <w:rPr>
                <w:color w:val="000000"/>
                <w:sz w:val="24"/>
                <w:szCs w:val="24"/>
              </w:rPr>
            </w:pPr>
            <w:r w:rsidRPr="00610B1B">
              <w:rPr>
                <w:color w:val="000000"/>
                <w:sz w:val="24"/>
                <w:szCs w:val="24"/>
              </w:rPr>
              <w:t>Нарастване на екологичната култура и чувствителност към природата – увеличаващо се търсене на устойчиви алтернативни форми на туризъм (поле за засилено анимиране на престоя и включване на атрактивно културно и природно наследство)</w:t>
            </w:r>
          </w:p>
        </w:tc>
        <w:tc>
          <w:tcPr>
            <w:tcW w:w="4962" w:type="dxa"/>
            <w:gridSpan w:val="2"/>
            <w:shd w:val="clear" w:color="auto" w:fill="FFFFFF"/>
          </w:tcPr>
          <w:p w14:paraId="57676355" w14:textId="77777777" w:rsidR="006F4640" w:rsidRPr="00610B1B" w:rsidRDefault="006F4640" w:rsidP="00AE254B">
            <w:pPr>
              <w:pStyle w:val="Normal1"/>
              <w:spacing w:before="20" w:after="20"/>
              <w:rPr>
                <w:color w:val="000000"/>
                <w:sz w:val="24"/>
                <w:szCs w:val="24"/>
              </w:rPr>
            </w:pPr>
            <w:r w:rsidRPr="00610B1B">
              <w:rPr>
                <w:color w:val="000000"/>
                <w:sz w:val="24"/>
                <w:szCs w:val="24"/>
              </w:rPr>
              <w:t>Промени в поведението, нагласите и мотивацията на туристите – нетърпимост към остаряло предлагане, към липса на иновации, към информационните дефицити.</w:t>
            </w:r>
          </w:p>
        </w:tc>
      </w:tr>
      <w:tr w:rsidR="006F4640" w:rsidRPr="00C717D0" w14:paraId="7B350EDB" w14:textId="77777777" w:rsidTr="00AE254B">
        <w:tc>
          <w:tcPr>
            <w:tcW w:w="4962" w:type="dxa"/>
            <w:shd w:val="clear" w:color="auto" w:fill="FFFFFF"/>
          </w:tcPr>
          <w:p w14:paraId="42173D30" w14:textId="0E5A8B8F" w:rsidR="006F4640" w:rsidRPr="00610B1B" w:rsidRDefault="006F4640" w:rsidP="00AE254B">
            <w:pPr>
              <w:pStyle w:val="Normal1"/>
              <w:spacing w:before="20" w:after="20"/>
              <w:rPr>
                <w:color w:val="000000"/>
                <w:sz w:val="24"/>
                <w:szCs w:val="24"/>
              </w:rPr>
            </w:pPr>
            <w:r w:rsidRPr="00610B1B">
              <w:rPr>
                <w:color w:val="000000"/>
                <w:sz w:val="24"/>
                <w:szCs w:val="24"/>
              </w:rPr>
              <w:t xml:space="preserve">Превръщане на част от негативните последици от Covid’19 кризата в предимство </w:t>
            </w:r>
            <w:r w:rsidR="00AA0CC2" w:rsidRPr="00610B1B">
              <w:rPr>
                <w:color w:val="000000"/>
                <w:sz w:val="24"/>
                <w:szCs w:val="24"/>
              </w:rPr>
              <w:t xml:space="preserve">чрез </w:t>
            </w:r>
            <w:r w:rsidRPr="00610B1B">
              <w:rPr>
                <w:color w:val="000000"/>
                <w:sz w:val="24"/>
                <w:szCs w:val="24"/>
              </w:rPr>
              <w:t xml:space="preserve">повишаване на </w:t>
            </w:r>
            <w:r w:rsidR="00AA0CC2" w:rsidRPr="00610B1B">
              <w:rPr>
                <w:color w:val="000000"/>
                <w:sz w:val="24"/>
                <w:szCs w:val="24"/>
              </w:rPr>
              <w:t>стандарта на обслужване, санитарно-хигиенните условия и комфорта.</w:t>
            </w:r>
          </w:p>
        </w:tc>
        <w:tc>
          <w:tcPr>
            <w:tcW w:w="4962" w:type="dxa"/>
            <w:gridSpan w:val="2"/>
            <w:shd w:val="clear" w:color="auto" w:fill="FFFFFF"/>
          </w:tcPr>
          <w:p w14:paraId="10933A6D" w14:textId="77777777" w:rsidR="006F4640" w:rsidRPr="00610B1B" w:rsidRDefault="006F4640" w:rsidP="00AE254B">
            <w:pPr>
              <w:pStyle w:val="Normal1"/>
              <w:spacing w:before="20" w:after="20"/>
              <w:rPr>
                <w:color w:val="000000"/>
                <w:sz w:val="24"/>
                <w:szCs w:val="24"/>
              </w:rPr>
            </w:pPr>
          </w:p>
        </w:tc>
      </w:tr>
      <w:tr w:rsidR="006F4640" w:rsidRPr="00C717D0" w14:paraId="00122926" w14:textId="77777777" w:rsidTr="00AE254B">
        <w:tc>
          <w:tcPr>
            <w:tcW w:w="9924" w:type="dxa"/>
            <w:gridSpan w:val="3"/>
            <w:shd w:val="clear" w:color="auto" w:fill="92CDDC"/>
          </w:tcPr>
          <w:p w14:paraId="128B2B8B" w14:textId="77777777" w:rsidR="006F4640" w:rsidRPr="00610B1B" w:rsidRDefault="006F4640" w:rsidP="00AE254B">
            <w:pPr>
              <w:pStyle w:val="Heading4"/>
              <w:spacing w:before="20" w:after="20"/>
              <w:ind w:left="0" w:firstLine="0"/>
              <w:jc w:val="center"/>
              <w:rPr>
                <w:rFonts w:cs="Times New Roman"/>
                <w:szCs w:val="24"/>
              </w:rPr>
            </w:pPr>
            <w:bookmarkStart w:id="423" w:name="_tsnjpmd2kwnw" w:colFirst="0" w:colLast="0"/>
            <w:bookmarkEnd w:id="423"/>
            <w:r w:rsidRPr="00610B1B">
              <w:rPr>
                <w:rFonts w:cs="Times New Roman"/>
                <w:szCs w:val="24"/>
              </w:rPr>
              <w:lastRenderedPageBreak/>
              <w:t>МОРСКА ИНФРАСТРУКТУРА - Информационни и комуникационни технологии и инфраструктура</w:t>
            </w:r>
          </w:p>
        </w:tc>
      </w:tr>
      <w:tr w:rsidR="006F4640" w:rsidRPr="00610B1B" w14:paraId="2FDAA9FB" w14:textId="77777777" w:rsidTr="00AE254B">
        <w:tc>
          <w:tcPr>
            <w:tcW w:w="4962" w:type="dxa"/>
            <w:shd w:val="clear" w:color="auto" w:fill="BEE6F0"/>
          </w:tcPr>
          <w:p w14:paraId="53C14C61"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399BFA36"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Слаби страни</w:t>
            </w:r>
          </w:p>
        </w:tc>
      </w:tr>
      <w:tr w:rsidR="006F4640" w:rsidRPr="00C717D0" w14:paraId="623AF005" w14:textId="77777777" w:rsidTr="00AE254B">
        <w:tc>
          <w:tcPr>
            <w:tcW w:w="4962" w:type="dxa"/>
          </w:tcPr>
          <w:p w14:paraId="72B7DD25" w14:textId="398CA2CF" w:rsidR="006F4640" w:rsidRPr="00610B1B" w:rsidRDefault="006F4640" w:rsidP="00AE254B">
            <w:pPr>
              <w:pStyle w:val="Normal1"/>
              <w:spacing w:before="20" w:after="20"/>
              <w:rPr>
                <w:b/>
                <w:color w:val="000000"/>
                <w:sz w:val="24"/>
                <w:szCs w:val="24"/>
              </w:rPr>
            </w:pPr>
            <w:r w:rsidRPr="00610B1B">
              <w:rPr>
                <w:sz w:val="24"/>
                <w:szCs w:val="24"/>
              </w:rPr>
              <w:t>Добро географско положение. Сравнително добри връзки на пристанищата със сухоземната и железопътна национална пътна мрежа.</w:t>
            </w:r>
          </w:p>
        </w:tc>
        <w:tc>
          <w:tcPr>
            <w:tcW w:w="4962" w:type="dxa"/>
            <w:gridSpan w:val="2"/>
          </w:tcPr>
          <w:p w14:paraId="12ABC1EA" w14:textId="77777777" w:rsidR="006F4640" w:rsidRPr="00610B1B" w:rsidRDefault="006F4640" w:rsidP="00AE254B">
            <w:pPr>
              <w:pStyle w:val="Normal1"/>
              <w:spacing w:before="20" w:after="20"/>
              <w:rPr>
                <w:color w:val="000000"/>
                <w:sz w:val="24"/>
                <w:szCs w:val="24"/>
              </w:rPr>
            </w:pPr>
            <w:r w:rsidRPr="00610B1B">
              <w:rPr>
                <w:sz w:val="24"/>
                <w:szCs w:val="24"/>
              </w:rPr>
              <w:t>Морално и физически остаряла пристанищна инфраструктура.</w:t>
            </w:r>
          </w:p>
        </w:tc>
      </w:tr>
      <w:tr w:rsidR="006F4640" w:rsidRPr="00C717D0" w14:paraId="6A854A5B" w14:textId="77777777" w:rsidTr="00AE254B">
        <w:tc>
          <w:tcPr>
            <w:tcW w:w="4962" w:type="dxa"/>
          </w:tcPr>
          <w:p w14:paraId="0A16CAA2" w14:textId="77777777" w:rsidR="006F4640" w:rsidRPr="00610B1B" w:rsidRDefault="006F4640" w:rsidP="00AE254B">
            <w:pPr>
              <w:pStyle w:val="Normal1"/>
              <w:spacing w:before="20" w:after="20"/>
              <w:rPr>
                <w:color w:val="000000"/>
                <w:sz w:val="24"/>
                <w:szCs w:val="24"/>
              </w:rPr>
            </w:pPr>
            <w:r w:rsidRPr="00610B1B">
              <w:rPr>
                <w:sz w:val="24"/>
                <w:szCs w:val="24"/>
              </w:rPr>
              <w:t>Свободни мощности за обработка на всички видове товари.</w:t>
            </w:r>
          </w:p>
        </w:tc>
        <w:tc>
          <w:tcPr>
            <w:tcW w:w="4962" w:type="dxa"/>
            <w:gridSpan w:val="2"/>
          </w:tcPr>
          <w:p w14:paraId="27686206" w14:textId="77777777" w:rsidR="006F4640" w:rsidRPr="00610B1B" w:rsidRDefault="006F4640" w:rsidP="00AE254B">
            <w:pPr>
              <w:pStyle w:val="Normal1"/>
              <w:spacing w:before="20" w:after="20"/>
              <w:rPr>
                <w:color w:val="000000"/>
                <w:sz w:val="24"/>
                <w:szCs w:val="24"/>
              </w:rPr>
            </w:pPr>
            <w:r w:rsidRPr="00610B1B">
              <w:rPr>
                <w:sz w:val="24"/>
                <w:szCs w:val="24"/>
              </w:rPr>
              <w:t>Недостатъчни специализирани пристанищни терминали, които да осигуряват високоефективна и конкурентна обработка на товарите.</w:t>
            </w:r>
          </w:p>
        </w:tc>
      </w:tr>
      <w:tr w:rsidR="006F4640" w:rsidRPr="00C717D0" w14:paraId="55ED6B52" w14:textId="77777777" w:rsidTr="00AE254B">
        <w:tc>
          <w:tcPr>
            <w:tcW w:w="4962" w:type="dxa"/>
          </w:tcPr>
          <w:p w14:paraId="16827E85" w14:textId="47746DCD" w:rsidR="006F4640" w:rsidRPr="00610B1B" w:rsidRDefault="006F4640" w:rsidP="00AE254B">
            <w:pPr>
              <w:pStyle w:val="Normal1"/>
              <w:spacing w:before="20" w:after="20"/>
              <w:rPr>
                <w:color w:val="000000"/>
                <w:sz w:val="24"/>
                <w:szCs w:val="24"/>
              </w:rPr>
            </w:pPr>
            <w:r w:rsidRPr="00610B1B">
              <w:rPr>
                <w:sz w:val="24"/>
                <w:szCs w:val="24"/>
              </w:rPr>
              <w:t>Наличие на относително добри сухоземни и подводни оптични връзки.</w:t>
            </w:r>
          </w:p>
        </w:tc>
        <w:tc>
          <w:tcPr>
            <w:tcW w:w="4962" w:type="dxa"/>
            <w:gridSpan w:val="2"/>
          </w:tcPr>
          <w:p w14:paraId="273C78A7" w14:textId="77777777" w:rsidR="006F4640" w:rsidRPr="00610B1B" w:rsidRDefault="006F4640" w:rsidP="00AE254B">
            <w:pPr>
              <w:pStyle w:val="Normal1"/>
              <w:spacing w:before="20" w:after="20"/>
              <w:rPr>
                <w:color w:val="000000"/>
                <w:sz w:val="24"/>
                <w:szCs w:val="24"/>
              </w:rPr>
            </w:pPr>
            <w:r w:rsidRPr="00610B1B">
              <w:rPr>
                <w:sz w:val="24"/>
                <w:szCs w:val="24"/>
              </w:rPr>
              <w:t>Морално и физически остаряла претоварна пристанищна техника.</w:t>
            </w:r>
          </w:p>
        </w:tc>
      </w:tr>
      <w:tr w:rsidR="006F4640" w:rsidRPr="00610B1B" w14:paraId="30A50274" w14:textId="77777777" w:rsidTr="00AE254B">
        <w:tc>
          <w:tcPr>
            <w:tcW w:w="4962" w:type="dxa"/>
            <w:shd w:val="clear" w:color="auto" w:fill="BEE6F0"/>
          </w:tcPr>
          <w:p w14:paraId="103AFBAA" w14:textId="77777777" w:rsidR="006F4640" w:rsidRPr="00610B1B" w:rsidRDefault="006F4640" w:rsidP="00AE254B">
            <w:pPr>
              <w:pStyle w:val="Normal1"/>
              <w:spacing w:before="20" w:after="20"/>
              <w:jc w:val="center"/>
              <w:rPr>
                <w:b/>
                <w:sz w:val="24"/>
                <w:szCs w:val="24"/>
              </w:rPr>
            </w:pPr>
            <w:r w:rsidRPr="00610B1B">
              <w:rPr>
                <w:b/>
                <w:bCs/>
                <w:sz w:val="24"/>
                <w:szCs w:val="24"/>
              </w:rPr>
              <w:t>Възможности</w:t>
            </w:r>
          </w:p>
        </w:tc>
        <w:tc>
          <w:tcPr>
            <w:tcW w:w="4962" w:type="dxa"/>
            <w:gridSpan w:val="2"/>
            <w:shd w:val="clear" w:color="auto" w:fill="BEE6F0"/>
          </w:tcPr>
          <w:p w14:paraId="41D55830" w14:textId="77777777" w:rsidR="006F4640" w:rsidRPr="00610B1B" w:rsidRDefault="006F4640" w:rsidP="00AE254B">
            <w:pPr>
              <w:pStyle w:val="Normal1"/>
              <w:spacing w:before="20" w:after="20"/>
              <w:jc w:val="center"/>
              <w:rPr>
                <w:b/>
                <w:sz w:val="24"/>
                <w:szCs w:val="24"/>
              </w:rPr>
            </w:pPr>
            <w:r w:rsidRPr="00610B1B">
              <w:rPr>
                <w:b/>
                <w:bCs/>
                <w:sz w:val="24"/>
                <w:szCs w:val="24"/>
              </w:rPr>
              <w:t>Заплахи</w:t>
            </w:r>
          </w:p>
        </w:tc>
      </w:tr>
      <w:tr w:rsidR="006F4640" w:rsidRPr="00610B1B" w14:paraId="173351C2" w14:textId="77777777" w:rsidTr="00AE254B">
        <w:tc>
          <w:tcPr>
            <w:tcW w:w="4962" w:type="dxa"/>
          </w:tcPr>
          <w:p w14:paraId="455BEDE3" w14:textId="77777777" w:rsidR="006F4640" w:rsidRPr="00610B1B" w:rsidRDefault="006F4640" w:rsidP="00AE254B">
            <w:pPr>
              <w:pStyle w:val="Normal1"/>
              <w:spacing w:before="20" w:after="20"/>
              <w:rPr>
                <w:b/>
                <w:color w:val="000000"/>
                <w:sz w:val="24"/>
                <w:szCs w:val="24"/>
              </w:rPr>
            </w:pPr>
            <w:r w:rsidRPr="00610B1B">
              <w:rPr>
                <w:sz w:val="24"/>
                <w:szCs w:val="24"/>
              </w:rPr>
              <w:t>Привличане на български и чуждестранни инвеститори и пристанищни оператори, както и използване на публично частното партньорство.</w:t>
            </w:r>
          </w:p>
        </w:tc>
        <w:tc>
          <w:tcPr>
            <w:tcW w:w="4962" w:type="dxa"/>
            <w:gridSpan w:val="2"/>
          </w:tcPr>
          <w:p w14:paraId="72C1FDD2" w14:textId="77777777" w:rsidR="006F4640" w:rsidRPr="00610B1B" w:rsidRDefault="006F4640" w:rsidP="00AE254B">
            <w:pPr>
              <w:pStyle w:val="Normal1"/>
              <w:spacing w:before="20" w:after="20"/>
              <w:rPr>
                <w:color w:val="000000"/>
                <w:sz w:val="24"/>
                <w:szCs w:val="24"/>
              </w:rPr>
            </w:pPr>
            <w:r w:rsidRPr="00610B1B">
              <w:rPr>
                <w:sz w:val="24"/>
                <w:szCs w:val="24"/>
              </w:rPr>
              <w:t>Спад на международните товаропотоци.</w:t>
            </w:r>
          </w:p>
        </w:tc>
      </w:tr>
      <w:tr w:rsidR="006F4640" w:rsidRPr="00610B1B" w14:paraId="6ADF325E" w14:textId="77777777" w:rsidTr="00AE254B">
        <w:tc>
          <w:tcPr>
            <w:tcW w:w="4962" w:type="dxa"/>
          </w:tcPr>
          <w:p w14:paraId="26D44BAE" w14:textId="77777777" w:rsidR="006F4640" w:rsidRPr="00610B1B" w:rsidRDefault="006F4640" w:rsidP="00AE254B">
            <w:pPr>
              <w:pStyle w:val="Normal1"/>
              <w:spacing w:before="20" w:after="20"/>
              <w:rPr>
                <w:b/>
                <w:color w:val="000000"/>
                <w:sz w:val="24"/>
                <w:szCs w:val="24"/>
              </w:rPr>
            </w:pPr>
            <w:r w:rsidRPr="00610B1B">
              <w:rPr>
                <w:sz w:val="24"/>
                <w:szCs w:val="24"/>
              </w:rPr>
              <w:t xml:space="preserve">Ефективно използване на фондовете на Европейския съюз за развитие на пристанищната инфраструктура. </w:t>
            </w:r>
          </w:p>
        </w:tc>
        <w:tc>
          <w:tcPr>
            <w:tcW w:w="4962" w:type="dxa"/>
            <w:gridSpan w:val="2"/>
          </w:tcPr>
          <w:p w14:paraId="396821A3" w14:textId="559215AE" w:rsidR="006F4640" w:rsidRPr="00610B1B" w:rsidRDefault="006F4640" w:rsidP="00AE254B">
            <w:pPr>
              <w:pStyle w:val="Normal1"/>
              <w:spacing w:before="20" w:after="20"/>
              <w:rPr>
                <w:color w:val="000000"/>
                <w:sz w:val="24"/>
                <w:szCs w:val="24"/>
              </w:rPr>
            </w:pPr>
            <w:r w:rsidRPr="00610B1B">
              <w:rPr>
                <w:sz w:val="24"/>
                <w:szCs w:val="24"/>
              </w:rPr>
              <w:t>Забавяне на реформите, преструктурирането и модернизацията на пристанищната инфраструктура. Силна конкуренция на пристанищата от Черноморския район.</w:t>
            </w:r>
          </w:p>
        </w:tc>
      </w:tr>
      <w:tr w:rsidR="006F4640" w:rsidRPr="00C717D0" w14:paraId="0EEA4FC4" w14:textId="77777777" w:rsidTr="00AE254B">
        <w:tc>
          <w:tcPr>
            <w:tcW w:w="4962" w:type="dxa"/>
          </w:tcPr>
          <w:p w14:paraId="0F9C3D48" w14:textId="77777777" w:rsidR="006F4640" w:rsidRPr="00610B1B" w:rsidRDefault="006F4640" w:rsidP="00AE254B">
            <w:pPr>
              <w:pStyle w:val="Normal1"/>
              <w:spacing w:before="20" w:after="20"/>
              <w:rPr>
                <w:b/>
                <w:color w:val="000000"/>
                <w:sz w:val="24"/>
                <w:szCs w:val="24"/>
              </w:rPr>
            </w:pPr>
            <w:r w:rsidRPr="00610B1B">
              <w:rPr>
                <w:sz w:val="24"/>
                <w:szCs w:val="24"/>
              </w:rPr>
              <w:t>Изместване на пристанищните терминали извън централните градски зони и развитие на интермодални терминали.</w:t>
            </w:r>
          </w:p>
        </w:tc>
        <w:tc>
          <w:tcPr>
            <w:tcW w:w="4962" w:type="dxa"/>
            <w:gridSpan w:val="2"/>
          </w:tcPr>
          <w:p w14:paraId="1806BE0D" w14:textId="77777777" w:rsidR="005F0F25" w:rsidRPr="00610B1B" w:rsidRDefault="006F4640" w:rsidP="00AE254B">
            <w:pPr>
              <w:pStyle w:val="Normal1"/>
              <w:spacing w:before="20" w:after="20"/>
              <w:rPr>
                <w:sz w:val="24"/>
                <w:szCs w:val="24"/>
              </w:rPr>
            </w:pPr>
            <w:r w:rsidRPr="00610B1B">
              <w:rPr>
                <w:sz w:val="24"/>
                <w:szCs w:val="24"/>
              </w:rPr>
              <w:t>Влошаване качеството на пристанищната инфраструктура в резултат на недостиг на финансови средства за нейното поддържане, експлоатация и развитие.</w:t>
            </w:r>
          </w:p>
          <w:p w14:paraId="3582135D" w14:textId="77777777" w:rsidR="009907CE" w:rsidRPr="00610B1B" w:rsidRDefault="009907CE" w:rsidP="00AE254B">
            <w:pPr>
              <w:pStyle w:val="Normal1"/>
              <w:spacing w:before="20" w:after="20"/>
              <w:rPr>
                <w:sz w:val="24"/>
                <w:szCs w:val="24"/>
              </w:rPr>
            </w:pPr>
          </w:p>
          <w:p w14:paraId="13137A11" w14:textId="77777777" w:rsidR="009907CE" w:rsidRPr="00610B1B" w:rsidRDefault="009907CE" w:rsidP="00AE254B">
            <w:pPr>
              <w:pStyle w:val="Normal1"/>
              <w:spacing w:before="20" w:after="20"/>
              <w:rPr>
                <w:sz w:val="24"/>
                <w:szCs w:val="24"/>
              </w:rPr>
            </w:pPr>
          </w:p>
          <w:p w14:paraId="12EDF649" w14:textId="77777777" w:rsidR="009907CE" w:rsidRPr="00610B1B" w:rsidRDefault="009907CE" w:rsidP="00AE254B">
            <w:pPr>
              <w:pStyle w:val="Normal1"/>
              <w:spacing w:before="20" w:after="20"/>
              <w:rPr>
                <w:sz w:val="24"/>
                <w:szCs w:val="24"/>
              </w:rPr>
            </w:pPr>
          </w:p>
          <w:p w14:paraId="77E7B3D1" w14:textId="6D3E87D5" w:rsidR="009907CE" w:rsidRPr="00610B1B" w:rsidRDefault="009907CE" w:rsidP="00AE254B">
            <w:pPr>
              <w:pStyle w:val="Normal1"/>
              <w:spacing w:before="20" w:after="20"/>
              <w:rPr>
                <w:color w:val="000000"/>
                <w:sz w:val="24"/>
                <w:szCs w:val="24"/>
              </w:rPr>
            </w:pPr>
          </w:p>
        </w:tc>
      </w:tr>
      <w:tr w:rsidR="006F4640" w:rsidRPr="00C717D0" w14:paraId="2630090C" w14:textId="77777777" w:rsidTr="00AE254B">
        <w:tc>
          <w:tcPr>
            <w:tcW w:w="9924" w:type="dxa"/>
            <w:gridSpan w:val="3"/>
            <w:shd w:val="clear" w:color="auto" w:fill="92CDDC"/>
          </w:tcPr>
          <w:p w14:paraId="74A62D98" w14:textId="63561BCA" w:rsidR="006F4640" w:rsidRPr="00610B1B" w:rsidRDefault="006F4640" w:rsidP="00AE254B">
            <w:pPr>
              <w:pStyle w:val="Heading4"/>
              <w:spacing w:before="20" w:after="20"/>
              <w:ind w:left="0" w:firstLine="0"/>
              <w:jc w:val="center"/>
              <w:rPr>
                <w:rFonts w:cs="Times New Roman"/>
                <w:szCs w:val="24"/>
              </w:rPr>
            </w:pPr>
            <w:bookmarkStart w:id="424" w:name="_l557zult7zy3" w:colFirst="0" w:colLast="0"/>
            <w:bookmarkEnd w:id="424"/>
            <w:r w:rsidRPr="00610B1B">
              <w:rPr>
                <w:rFonts w:cs="Times New Roman"/>
                <w:szCs w:val="24"/>
              </w:rPr>
              <w:t>ПРОУЧВАНЕ, РАЗРАБОТВАНЕ И ДОБИВ НА ПРИРОДНИ РЕСУРСИ</w:t>
            </w:r>
          </w:p>
        </w:tc>
      </w:tr>
      <w:tr w:rsidR="006F4640" w:rsidRPr="00610B1B" w14:paraId="60BAE856" w14:textId="77777777" w:rsidTr="00AE254B">
        <w:tc>
          <w:tcPr>
            <w:tcW w:w="4962" w:type="dxa"/>
            <w:shd w:val="clear" w:color="auto" w:fill="BEE6F0"/>
          </w:tcPr>
          <w:p w14:paraId="1BD7C955"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40538FA8"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Слаби страни</w:t>
            </w:r>
          </w:p>
        </w:tc>
      </w:tr>
      <w:tr w:rsidR="006F4640" w:rsidRPr="00C717D0" w14:paraId="30160596" w14:textId="77777777" w:rsidTr="00AE254B">
        <w:tc>
          <w:tcPr>
            <w:tcW w:w="4962" w:type="dxa"/>
            <w:shd w:val="clear" w:color="auto" w:fill="FFFFFF"/>
          </w:tcPr>
          <w:p w14:paraId="7D700FF1" w14:textId="79E13492" w:rsidR="006F4640" w:rsidRPr="00610B1B" w:rsidRDefault="006F4640" w:rsidP="00AE254B">
            <w:pPr>
              <w:pStyle w:val="Normal1"/>
              <w:spacing w:before="20" w:after="20"/>
              <w:rPr>
                <w:b/>
                <w:color w:val="000000"/>
                <w:sz w:val="24"/>
                <w:szCs w:val="24"/>
              </w:rPr>
            </w:pPr>
            <w:r w:rsidRPr="00610B1B">
              <w:rPr>
                <w:color w:val="000000"/>
                <w:sz w:val="24"/>
                <w:szCs w:val="24"/>
              </w:rPr>
              <w:t>Добре изучено геоложко пространство на земните недра на българския континентален шелф.</w:t>
            </w:r>
          </w:p>
        </w:tc>
        <w:tc>
          <w:tcPr>
            <w:tcW w:w="4962" w:type="dxa"/>
            <w:gridSpan w:val="2"/>
            <w:shd w:val="clear" w:color="auto" w:fill="FFFFFF"/>
          </w:tcPr>
          <w:p w14:paraId="4F20958C" w14:textId="4FAACFF5" w:rsidR="006F4640" w:rsidRPr="00610B1B" w:rsidRDefault="006F4640" w:rsidP="00AE254B">
            <w:pPr>
              <w:pStyle w:val="Normal1"/>
              <w:spacing w:before="20" w:after="20"/>
              <w:rPr>
                <w:b/>
                <w:color w:val="000000"/>
                <w:sz w:val="24"/>
                <w:szCs w:val="24"/>
              </w:rPr>
            </w:pPr>
            <w:r w:rsidRPr="00610B1B">
              <w:rPr>
                <w:color w:val="000000"/>
                <w:sz w:val="24"/>
                <w:szCs w:val="24"/>
              </w:rPr>
              <w:t xml:space="preserve">Малки находища с локално значение и слаби перспективи за откриване на нови находища на нефт и природен газ. </w:t>
            </w:r>
          </w:p>
        </w:tc>
      </w:tr>
      <w:tr w:rsidR="006F4640" w:rsidRPr="00C717D0" w14:paraId="104A4B16" w14:textId="77777777" w:rsidTr="00AE254B">
        <w:tc>
          <w:tcPr>
            <w:tcW w:w="4962" w:type="dxa"/>
            <w:shd w:val="clear" w:color="auto" w:fill="FFFFFF"/>
          </w:tcPr>
          <w:p w14:paraId="57E10A48" w14:textId="567655A4" w:rsidR="006F4640" w:rsidRPr="00610B1B" w:rsidRDefault="006F4640" w:rsidP="00AE254B">
            <w:pPr>
              <w:pStyle w:val="Normal1"/>
              <w:spacing w:before="20" w:after="20"/>
              <w:rPr>
                <w:b/>
                <w:color w:val="000000"/>
                <w:sz w:val="24"/>
                <w:szCs w:val="24"/>
              </w:rPr>
            </w:pPr>
            <w:r w:rsidRPr="00610B1B">
              <w:rPr>
                <w:color w:val="000000"/>
                <w:sz w:val="24"/>
                <w:szCs w:val="24"/>
              </w:rPr>
              <w:t>Благоприятни климатични условия и географски дадености за добив на морска сол.</w:t>
            </w:r>
          </w:p>
        </w:tc>
        <w:tc>
          <w:tcPr>
            <w:tcW w:w="4962" w:type="dxa"/>
            <w:gridSpan w:val="2"/>
            <w:shd w:val="clear" w:color="auto" w:fill="FFFFFF"/>
          </w:tcPr>
          <w:p w14:paraId="6F544E3C" w14:textId="6F2516A8" w:rsidR="006F4640" w:rsidRPr="00610B1B" w:rsidRDefault="006F4640" w:rsidP="00AE254B">
            <w:pPr>
              <w:pStyle w:val="Normal1"/>
              <w:spacing w:before="20" w:after="20"/>
              <w:rPr>
                <w:b/>
                <w:color w:val="000000"/>
                <w:sz w:val="24"/>
                <w:szCs w:val="24"/>
              </w:rPr>
            </w:pPr>
            <w:r w:rsidRPr="00610B1B">
              <w:rPr>
                <w:color w:val="000000"/>
                <w:sz w:val="24"/>
                <w:szCs w:val="24"/>
              </w:rPr>
              <w:t>Силно колебание на добива от климатичните особености на летния сезон.</w:t>
            </w:r>
          </w:p>
        </w:tc>
      </w:tr>
      <w:tr w:rsidR="006F4640" w:rsidRPr="00C717D0" w14:paraId="6CC79778" w14:textId="77777777" w:rsidTr="00AE254B">
        <w:tc>
          <w:tcPr>
            <w:tcW w:w="4962" w:type="dxa"/>
            <w:shd w:val="clear" w:color="auto" w:fill="FFFFFF"/>
          </w:tcPr>
          <w:p w14:paraId="0D2F4511" w14:textId="72905AAF" w:rsidR="006F4640" w:rsidRPr="00610B1B" w:rsidRDefault="006F4640" w:rsidP="00AE254B">
            <w:pPr>
              <w:pStyle w:val="Normal1"/>
              <w:spacing w:before="20" w:after="20"/>
              <w:rPr>
                <w:b/>
                <w:color w:val="000000"/>
                <w:sz w:val="24"/>
                <w:szCs w:val="24"/>
              </w:rPr>
            </w:pPr>
            <w:r w:rsidRPr="00610B1B">
              <w:rPr>
                <w:color w:val="000000"/>
                <w:sz w:val="24"/>
                <w:szCs w:val="24"/>
              </w:rPr>
              <w:t>Перспективен източник на нетрадиционни природни ресурси като сероводород и газохидрати.</w:t>
            </w:r>
          </w:p>
        </w:tc>
        <w:tc>
          <w:tcPr>
            <w:tcW w:w="4962" w:type="dxa"/>
            <w:gridSpan w:val="2"/>
            <w:shd w:val="clear" w:color="auto" w:fill="FFFFFF"/>
          </w:tcPr>
          <w:p w14:paraId="697947E2" w14:textId="7755A3CD" w:rsidR="00C3007B" w:rsidRPr="00610B1B" w:rsidRDefault="006F4640" w:rsidP="00AE254B">
            <w:pPr>
              <w:spacing w:before="20" w:after="20" w:line="240" w:lineRule="auto"/>
              <w:rPr>
                <w:rFonts w:ascii="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eastAsia="bg-BG"/>
              </w:rPr>
              <w:t xml:space="preserve">Начален етап на разработка на технологиите за извличане на енергия от сероводород и добив на газохидрати от морското дъно. </w:t>
            </w:r>
            <w:r w:rsidRPr="00610B1B">
              <w:rPr>
                <w:rFonts w:ascii="Times New Roman" w:hAnsi="Times New Roman" w:cs="Times New Roman"/>
                <w:color w:val="000000"/>
                <w:sz w:val="24"/>
                <w:szCs w:val="24"/>
                <w:lang w:val="bg-BG"/>
              </w:rPr>
              <w:t xml:space="preserve">Слаба </w:t>
            </w:r>
            <w:r w:rsidRPr="00610B1B">
              <w:rPr>
                <w:rFonts w:ascii="Times New Roman" w:hAnsi="Times New Roman" w:cs="Times New Roman"/>
                <w:color w:val="000000"/>
                <w:sz w:val="24"/>
                <w:szCs w:val="24"/>
                <w:lang w:val="bg-BG"/>
              </w:rPr>
              <w:lastRenderedPageBreak/>
              <w:t xml:space="preserve">изученост на дълбоководната акватория за наличие и вероятни струпвания и формиране на потенциални залежи от газохидрати. </w:t>
            </w:r>
          </w:p>
        </w:tc>
      </w:tr>
      <w:tr w:rsidR="006F4640" w:rsidRPr="00610B1B" w14:paraId="14AFE9DE" w14:textId="77777777" w:rsidTr="00AE254B">
        <w:tc>
          <w:tcPr>
            <w:tcW w:w="4962" w:type="dxa"/>
            <w:shd w:val="clear" w:color="auto" w:fill="BEE6F0"/>
          </w:tcPr>
          <w:p w14:paraId="400AC5CA" w14:textId="784E4FE5" w:rsidR="006F4640" w:rsidRPr="00610B1B" w:rsidRDefault="006F4640" w:rsidP="00AE254B">
            <w:pPr>
              <w:pStyle w:val="Normal1"/>
              <w:spacing w:before="20" w:after="20"/>
              <w:jc w:val="center"/>
              <w:rPr>
                <w:b/>
                <w:color w:val="000000"/>
                <w:sz w:val="24"/>
                <w:szCs w:val="24"/>
              </w:rPr>
            </w:pPr>
            <w:r w:rsidRPr="00610B1B">
              <w:rPr>
                <w:b/>
                <w:color w:val="000000"/>
                <w:sz w:val="24"/>
                <w:szCs w:val="24"/>
              </w:rPr>
              <w:lastRenderedPageBreak/>
              <w:t>Възможности</w:t>
            </w:r>
          </w:p>
        </w:tc>
        <w:tc>
          <w:tcPr>
            <w:tcW w:w="4962" w:type="dxa"/>
            <w:gridSpan w:val="2"/>
            <w:shd w:val="clear" w:color="auto" w:fill="BEE6F0"/>
          </w:tcPr>
          <w:p w14:paraId="78529F23" w14:textId="374F91F4" w:rsidR="006F4640" w:rsidRPr="00610B1B" w:rsidRDefault="006F4640" w:rsidP="00AE254B">
            <w:pPr>
              <w:pStyle w:val="Normal1"/>
              <w:spacing w:before="20" w:after="20"/>
              <w:jc w:val="center"/>
              <w:rPr>
                <w:b/>
                <w:color w:val="000000"/>
                <w:sz w:val="24"/>
                <w:szCs w:val="24"/>
              </w:rPr>
            </w:pPr>
            <w:r w:rsidRPr="00610B1B">
              <w:rPr>
                <w:b/>
                <w:color w:val="000000"/>
                <w:sz w:val="24"/>
                <w:szCs w:val="24"/>
              </w:rPr>
              <w:t>Заплахи</w:t>
            </w:r>
          </w:p>
        </w:tc>
      </w:tr>
      <w:tr w:rsidR="006F4640" w:rsidRPr="00C717D0" w14:paraId="11AA1FE3" w14:textId="77777777" w:rsidTr="00AE254B">
        <w:tc>
          <w:tcPr>
            <w:tcW w:w="4962" w:type="dxa"/>
            <w:shd w:val="clear" w:color="auto" w:fill="FFFFFF"/>
          </w:tcPr>
          <w:p w14:paraId="3BABAFB5" w14:textId="029F1EFA" w:rsidR="006F4640" w:rsidRPr="00610B1B" w:rsidRDefault="006F4640" w:rsidP="00AE254B">
            <w:pPr>
              <w:pStyle w:val="Normal1"/>
              <w:spacing w:before="20" w:after="20"/>
              <w:rPr>
                <w:color w:val="000000"/>
                <w:sz w:val="24"/>
                <w:szCs w:val="24"/>
              </w:rPr>
            </w:pPr>
            <w:r w:rsidRPr="00610B1B">
              <w:rPr>
                <w:color w:val="000000"/>
                <w:sz w:val="24"/>
                <w:szCs w:val="24"/>
              </w:rPr>
              <w:t>Разработване на потенциала на крайбрежните езера и лимани за добив на лечебната кал за разнообразяване на предлагания туристически продукт, привличане на интерес и инвестиции.</w:t>
            </w:r>
          </w:p>
        </w:tc>
        <w:tc>
          <w:tcPr>
            <w:tcW w:w="4962" w:type="dxa"/>
            <w:gridSpan w:val="2"/>
            <w:shd w:val="clear" w:color="auto" w:fill="FFFFFF"/>
          </w:tcPr>
          <w:p w14:paraId="44808639" w14:textId="42A895DC" w:rsidR="006F4640" w:rsidRPr="00610B1B" w:rsidRDefault="006F4640" w:rsidP="00AE254B">
            <w:pPr>
              <w:pStyle w:val="Normal1"/>
              <w:spacing w:before="20" w:after="20"/>
              <w:rPr>
                <w:b/>
                <w:color w:val="000000"/>
                <w:sz w:val="24"/>
                <w:szCs w:val="24"/>
              </w:rPr>
            </w:pPr>
            <w:r w:rsidRPr="00610B1B">
              <w:rPr>
                <w:color w:val="000000"/>
                <w:sz w:val="24"/>
                <w:szCs w:val="24"/>
              </w:rPr>
              <w:t>Прекомерно използване на ресурса</w:t>
            </w:r>
            <w:r w:rsidR="00AA0CC2" w:rsidRPr="00610B1B">
              <w:rPr>
                <w:color w:val="000000"/>
                <w:sz w:val="24"/>
                <w:szCs w:val="24"/>
              </w:rPr>
              <w:t>,</w:t>
            </w:r>
            <w:r w:rsidRPr="00610B1B">
              <w:rPr>
                <w:color w:val="000000"/>
                <w:sz w:val="24"/>
                <w:szCs w:val="24"/>
              </w:rPr>
              <w:t xml:space="preserve"> надхвърлящо регенерационния му потенциал.</w:t>
            </w:r>
          </w:p>
        </w:tc>
      </w:tr>
      <w:tr w:rsidR="006F4640" w:rsidRPr="00C717D0" w14:paraId="3170BC6E" w14:textId="77777777" w:rsidTr="00AE254B">
        <w:tc>
          <w:tcPr>
            <w:tcW w:w="4962" w:type="dxa"/>
            <w:shd w:val="clear" w:color="auto" w:fill="FFFFFF"/>
          </w:tcPr>
          <w:p w14:paraId="4695FF83" w14:textId="409AADDF" w:rsidR="006F4640" w:rsidRPr="00610B1B" w:rsidRDefault="006F4640" w:rsidP="00AE254B">
            <w:pPr>
              <w:pStyle w:val="Normal1"/>
              <w:spacing w:before="20" w:after="20"/>
              <w:rPr>
                <w:color w:val="000000"/>
                <w:sz w:val="24"/>
                <w:szCs w:val="24"/>
              </w:rPr>
            </w:pPr>
            <w:r w:rsidRPr="00610B1B">
              <w:rPr>
                <w:color w:val="000000"/>
                <w:sz w:val="24"/>
                <w:szCs w:val="24"/>
              </w:rPr>
              <w:t>Благоприятни условия за акумулация на инертни материали (пясъци) пригодни за строителни нужди в прибрежната зона, включително за изграждане на изкуствени острови.</w:t>
            </w:r>
          </w:p>
        </w:tc>
        <w:tc>
          <w:tcPr>
            <w:tcW w:w="4962" w:type="dxa"/>
            <w:gridSpan w:val="2"/>
            <w:shd w:val="clear" w:color="auto" w:fill="FFFFFF"/>
          </w:tcPr>
          <w:p w14:paraId="15D13449" w14:textId="6B4D4C8C" w:rsidR="006F4640" w:rsidRPr="00610B1B" w:rsidRDefault="006F4640" w:rsidP="00AE254B">
            <w:pPr>
              <w:spacing w:before="20" w:after="20" w:line="240" w:lineRule="auto"/>
              <w:rPr>
                <w:rFonts w:ascii="Times New Roman" w:eastAsia="Times New Roman" w:hAnsi="Times New Roman" w:cs="Times New Roman"/>
                <w:color w:val="000000"/>
                <w:sz w:val="24"/>
                <w:szCs w:val="24"/>
                <w:lang w:val="bg-BG" w:eastAsia="bg-BG"/>
              </w:rPr>
            </w:pPr>
            <w:r w:rsidRPr="00610B1B">
              <w:rPr>
                <w:rFonts w:ascii="Times New Roman" w:eastAsia="Times New Roman" w:hAnsi="Times New Roman" w:cs="Times New Roman"/>
                <w:color w:val="000000"/>
                <w:sz w:val="24"/>
                <w:szCs w:val="24"/>
                <w:lang w:val="bg-BG" w:eastAsia="bg-BG"/>
              </w:rPr>
              <w:t>Слаба изученост на вероятните залежи, техните подхранващи провинции и литодинамичните процеси на пренос и акумулация.</w:t>
            </w:r>
          </w:p>
          <w:p w14:paraId="03781956" w14:textId="15CF9051" w:rsidR="006F4640" w:rsidRPr="00610B1B" w:rsidRDefault="006F4640" w:rsidP="00AE254B">
            <w:pPr>
              <w:pStyle w:val="Normal1"/>
              <w:spacing w:before="20" w:after="20"/>
              <w:rPr>
                <w:b/>
                <w:color w:val="000000"/>
                <w:sz w:val="24"/>
                <w:szCs w:val="24"/>
              </w:rPr>
            </w:pPr>
            <w:r w:rsidRPr="00610B1B">
              <w:rPr>
                <w:color w:val="000000"/>
                <w:sz w:val="24"/>
                <w:szCs w:val="24"/>
              </w:rPr>
              <w:t>Промяна на хидро- и литодинамиката в крайбрежната зона.</w:t>
            </w:r>
          </w:p>
        </w:tc>
      </w:tr>
      <w:tr w:rsidR="006F4640" w:rsidRPr="00C717D0" w14:paraId="5BAA3369" w14:textId="77777777" w:rsidTr="00AE254B">
        <w:tc>
          <w:tcPr>
            <w:tcW w:w="4962" w:type="dxa"/>
            <w:shd w:val="clear" w:color="auto" w:fill="FFFFFF"/>
          </w:tcPr>
          <w:p w14:paraId="4CF986AD" w14:textId="56E024F4" w:rsidR="006F4640" w:rsidRPr="00610B1B" w:rsidRDefault="006F4640" w:rsidP="00AE254B">
            <w:pPr>
              <w:pStyle w:val="Normal1"/>
              <w:spacing w:before="20" w:after="20"/>
              <w:rPr>
                <w:color w:val="000000"/>
                <w:sz w:val="24"/>
                <w:szCs w:val="24"/>
              </w:rPr>
            </w:pPr>
            <w:r w:rsidRPr="00610B1B">
              <w:rPr>
                <w:color w:val="000000"/>
                <w:sz w:val="24"/>
                <w:szCs w:val="24"/>
              </w:rPr>
              <w:t>Добре изучено геоложко пространство на земните недра на българския континентален шелф.</w:t>
            </w:r>
          </w:p>
        </w:tc>
        <w:tc>
          <w:tcPr>
            <w:tcW w:w="4962" w:type="dxa"/>
            <w:gridSpan w:val="2"/>
            <w:shd w:val="clear" w:color="auto" w:fill="FFFFFF"/>
          </w:tcPr>
          <w:p w14:paraId="1BB075F7" w14:textId="4035A8DF" w:rsidR="006F4640" w:rsidRPr="00610B1B" w:rsidRDefault="006F4640" w:rsidP="00AE254B">
            <w:pPr>
              <w:pStyle w:val="Normal1"/>
              <w:spacing w:before="20" w:after="20"/>
              <w:rPr>
                <w:b/>
                <w:color w:val="000000"/>
                <w:sz w:val="24"/>
                <w:szCs w:val="24"/>
              </w:rPr>
            </w:pPr>
            <w:r w:rsidRPr="00610B1B">
              <w:rPr>
                <w:color w:val="000000"/>
                <w:sz w:val="24"/>
                <w:szCs w:val="24"/>
              </w:rPr>
              <w:t xml:space="preserve">Завишаване на екологичните изисквания, с които </w:t>
            </w:r>
            <w:r w:rsidR="00AA0CC2" w:rsidRPr="00610B1B">
              <w:rPr>
                <w:color w:val="000000"/>
                <w:sz w:val="24"/>
                <w:szCs w:val="24"/>
              </w:rPr>
              <w:t>д</w:t>
            </w:r>
            <w:r w:rsidRPr="00610B1B">
              <w:rPr>
                <w:color w:val="000000"/>
                <w:sz w:val="24"/>
                <w:szCs w:val="24"/>
              </w:rPr>
              <w:t xml:space="preserve">а се ограничи търсенето и проучването и технологичните иновации. </w:t>
            </w:r>
          </w:p>
        </w:tc>
      </w:tr>
      <w:tr w:rsidR="006F4640" w:rsidRPr="00610B1B" w14:paraId="60EA567C" w14:textId="77777777" w:rsidTr="00AE254B">
        <w:tc>
          <w:tcPr>
            <w:tcW w:w="9924" w:type="dxa"/>
            <w:gridSpan w:val="3"/>
            <w:shd w:val="clear" w:color="auto" w:fill="92CDDC"/>
          </w:tcPr>
          <w:p w14:paraId="2B832334" w14:textId="77777777" w:rsidR="006F4640" w:rsidRPr="00610B1B" w:rsidRDefault="006F4640" w:rsidP="00AE254B">
            <w:pPr>
              <w:pStyle w:val="Heading4"/>
              <w:spacing w:before="20" w:after="20"/>
              <w:jc w:val="center"/>
              <w:rPr>
                <w:rFonts w:cs="Times New Roman"/>
                <w:szCs w:val="24"/>
              </w:rPr>
            </w:pPr>
            <w:bookmarkStart w:id="425" w:name="_r1irzwjdj5un" w:colFirst="0" w:colLast="0"/>
            <w:bookmarkEnd w:id="425"/>
            <w:r w:rsidRPr="00610B1B">
              <w:rPr>
                <w:rFonts w:cs="Times New Roman"/>
                <w:szCs w:val="24"/>
              </w:rPr>
              <w:t>МОРСКА ИКОНОМИКА</w:t>
            </w:r>
          </w:p>
        </w:tc>
      </w:tr>
      <w:tr w:rsidR="006F4640" w:rsidRPr="00610B1B" w14:paraId="4AAE300F" w14:textId="77777777" w:rsidTr="00AE254B">
        <w:tc>
          <w:tcPr>
            <w:tcW w:w="4962" w:type="dxa"/>
            <w:shd w:val="clear" w:color="auto" w:fill="BEE6F0"/>
          </w:tcPr>
          <w:p w14:paraId="1904AFA9"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Силни страни</w:t>
            </w:r>
          </w:p>
        </w:tc>
        <w:tc>
          <w:tcPr>
            <w:tcW w:w="4962" w:type="dxa"/>
            <w:gridSpan w:val="2"/>
            <w:shd w:val="clear" w:color="auto" w:fill="BEE6F0"/>
          </w:tcPr>
          <w:p w14:paraId="63D3AD5A"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Слаби страни</w:t>
            </w:r>
          </w:p>
        </w:tc>
      </w:tr>
      <w:tr w:rsidR="006F4640" w:rsidRPr="00C717D0" w14:paraId="3F0A7A0C" w14:textId="77777777" w:rsidTr="00AE254B">
        <w:tc>
          <w:tcPr>
            <w:tcW w:w="4962" w:type="dxa"/>
            <w:shd w:val="clear" w:color="auto" w:fill="FFFFFF"/>
          </w:tcPr>
          <w:p w14:paraId="7E70672E" w14:textId="4C2F659B" w:rsidR="006F4640" w:rsidRPr="00610B1B" w:rsidRDefault="006F4640" w:rsidP="009907CE">
            <w:pPr>
              <w:pStyle w:val="Normal1"/>
              <w:spacing w:before="20" w:after="20"/>
              <w:rPr>
                <w:color w:val="000000"/>
                <w:sz w:val="24"/>
                <w:szCs w:val="24"/>
              </w:rPr>
            </w:pPr>
            <w:r w:rsidRPr="00610B1B">
              <w:rPr>
                <w:color w:val="000000"/>
                <w:sz w:val="24"/>
                <w:szCs w:val="24"/>
              </w:rPr>
              <w:t>Широк спектър от морски дейности, което</w:t>
            </w:r>
            <w:r w:rsidR="009907CE" w:rsidRPr="00610B1B">
              <w:rPr>
                <w:color w:val="000000"/>
                <w:sz w:val="24"/>
                <w:szCs w:val="24"/>
                <w:lang w:val="en-US"/>
              </w:rPr>
              <w:t xml:space="preserve"> </w:t>
            </w:r>
            <w:r w:rsidRPr="00610B1B">
              <w:rPr>
                <w:color w:val="000000"/>
                <w:sz w:val="24"/>
                <w:szCs w:val="24"/>
              </w:rPr>
              <w:t>определя важната функция на Черно море</w:t>
            </w:r>
            <w:r w:rsidR="009907CE" w:rsidRPr="00610B1B">
              <w:rPr>
                <w:color w:val="000000"/>
                <w:sz w:val="24"/>
                <w:szCs w:val="24"/>
                <w:lang w:val="en-US"/>
              </w:rPr>
              <w:t xml:space="preserve"> </w:t>
            </w:r>
            <w:r w:rsidRPr="00610B1B">
              <w:rPr>
                <w:color w:val="000000"/>
                <w:sz w:val="24"/>
                <w:szCs w:val="24"/>
              </w:rPr>
              <w:t>като източник на икономически растеж и</w:t>
            </w:r>
            <w:r w:rsidR="009907CE" w:rsidRPr="00610B1B">
              <w:rPr>
                <w:color w:val="000000"/>
                <w:sz w:val="24"/>
                <w:szCs w:val="24"/>
                <w:lang w:val="en-US"/>
              </w:rPr>
              <w:t xml:space="preserve"> </w:t>
            </w:r>
            <w:r w:rsidRPr="00610B1B">
              <w:rPr>
                <w:color w:val="000000"/>
                <w:sz w:val="24"/>
                <w:szCs w:val="24"/>
              </w:rPr>
              <w:t>заетост (2% от БВП и 3% от заетостта в</w:t>
            </w:r>
            <w:r w:rsidR="009907CE" w:rsidRPr="00610B1B">
              <w:rPr>
                <w:color w:val="000000"/>
                <w:sz w:val="24"/>
                <w:szCs w:val="24"/>
                <w:lang w:val="en-US"/>
              </w:rPr>
              <w:t xml:space="preserve"> </w:t>
            </w:r>
            <w:r w:rsidRPr="00610B1B">
              <w:rPr>
                <w:color w:val="000000"/>
                <w:sz w:val="24"/>
                <w:szCs w:val="24"/>
              </w:rPr>
              <w:t>страната като пряк ефект)</w:t>
            </w:r>
          </w:p>
        </w:tc>
        <w:tc>
          <w:tcPr>
            <w:tcW w:w="4962" w:type="dxa"/>
            <w:gridSpan w:val="2"/>
            <w:shd w:val="clear" w:color="auto" w:fill="FFFFFF"/>
          </w:tcPr>
          <w:p w14:paraId="25DD8A2C" w14:textId="1B53CA40" w:rsidR="006F4640" w:rsidRPr="00610B1B" w:rsidRDefault="006F4640" w:rsidP="00AE254B">
            <w:pPr>
              <w:pStyle w:val="Normal1"/>
              <w:spacing w:before="20" w:after="20"/>
              <w:rPr>
                <w:color w:val="000000"/>
                <w:sz w:val="24"/>
                <w:szCs w:val="24"/>
              </w:rPr>
            </w:pPr>
            <w:r w:rsidRPr="00610B1B">
              <w:rPr>
                <w:color w:val="000000"/>
                <w:sz w:val="24"/>
                <w:szCs w:val="24"/>
              </w:rPr>
              <w:t>Прекалено зависима от малките и средните</w:t>
            </w:r>
            <w:r w:rsidR="009907CE" w:rsidRPr="00D72982">
              <w:rPr>
                <w:color w:val="000000"/>
                <w:sz w:val="24"/>
                <w:szCs w:val="24"/>
              </w:rPr>
              <w:t xml:space="preserve"> </w:t>
            </w:r>
            <w:r w:rsidRPr="00610B1B">
              <w:rPr>
                <w:color w:val="000000"/>
                <w:sz w:val="24"/>
                <w:szCs w:val="24"/>
              </w:rPr>
              <w:t>предприятия морска икономика с ограничени</w:t>
            </w:r>
            <w:r w:rsidR="009907CE" w:rsidRPr="00D72982">
              <w:rPr>
                <w:color w:val="000000"/>
                <w:sz w:val="24"/>
                <w:szCs w:val="24"/>
              </w:rPr>
              <w:t xml:space="preserve"> </w:t>
            </w:r>
            <w:r w:rsidRPr="00610B1B">
              <w:rPr>
                <w:color w:val="000000"/>
                <w:sz w:val="24"/>
                <w:szCs w:val="24"/>
              </w:rPr>
              <w:t>възможности за растеж</w:t>
            </w:r>
          </w:p>
        </w:tc>
      </w:tr>
      <w:tr w:rsidR="006F4640" w:rsidRPr="00C717D0" w14:paraId="78B3B2B7" w14:textId="77777777" w:rsidTr="00AE254B">
        <w:tc>
          <w:tcPr>
            <w:tcW w:w="4962" w:type="dxa"/>
            <w:shd w:val="clear" w:color="auto" w:fill="FFFFFF"/>
          </w:tcPr>
          <w:p w14:paraId="0FF903D1" w14:textId="77777777" w:rsidR="006F4640" w:rsidRPr="00610B1B" w:rsidRDefault="006F4640" w:rsidP="00AE254B">
            <w:pPr>
              <w:pStyle w:val="Normal1"/>
              <w:spacing w:before="20" w:after="20"/>
              <w:rPr>
                <w:color w:val="000000"/>
                <w:sz w:val="24"/>
                <w:szCs w:val="24"/>
              </w:rPr>
            </w:pPr>
            <w:r w:rsidRPr="00610B1B">
              <w:rPr>
                <w:color w:val="000000"/>
                <w:sz w:val="24"/>
                <w:szCs w:val="24"/>
              </w:rPr>
              <w:t>Потенциал за растеж на всички основни</w:t>
            </w:r>
          </w:p>
          <w:p w14:paraId="5F141A27" w14:textId="77777777" w:rsidR="006F4640" w:rsidRPr="00610B1B" w:rsidRDefault="006F4640" w:rsidP="00AE254B">
            <w:pPr>
              <w:pStyle w:val="Normal1"/>
              <w:spacing w:before="20" w:after="20"/>
              <w:rPr>
                <w:color w:val="000000"/>
                <w:sz w:val="24"/>
                <w:szCs w:val="24"/>
              </w:rPr>
            </w:pPr>
            <w:r w:rsidRPr="00610B1B">
              <w:rPr>
                <w:color w:val="000000"/>
                <w:sz w:val="24"/>
                <w:szCs w:val="24"/>
              </w:rPr>
              <w:t>морски дейности</w:t>
            </w:r>
          </w:p>
        </w:tc>
        <w:tc>
          <w:tcPr>
            <w:tcW w:w="4962" w:type="dxa"/>
            <w:gridSpan w:val="2"/>
            <w:shd w:val="clear" w:color="auto" w:fill="FFFFFF"/>
          </w:tcPr>
          <w:p w14:paraId="41B5DB87" w14:textId="1F934712" w:rsidR="006F4640" w:rsidRPr="00610B1B" w:rsidRDefault="006F4640" w:rsidP="009907CE">
            <w:pPr>
              <w:pStyle w:val="Normal1"/>
              <w:spacing w:before="20" w:after="20"/>
              <w:rPr>
                <w:color w:val="000000"/>
                <w:sz w:val="24"/>
                <w:szCs w:val="24"/>
              </w:rPr>
            </w:pPr>
            <w:r w:rsidRPr="00610B1B">
              <w:rPr>
                <w:color w:val="000000"/>
                <w:sz w:val="24"/>
                <w:szCs w:val="24"/>
              </w:rPr>
              <w:t>Неоползотворен потенциал за развитие на</w:t>
            </w:r>
            <w:r w:rsidR="009907CE" w:rsidRPr="00D72982">
              <w:rPr>
                <w:color w:val="000000"/>
                <w:sz w:val="24"/>
                <w:szCs w:val="24"/>
              </w:rPr>
              <w:t xml:space="preserve"> </w:t>
            </w:r>
            <w:r w:rsidRPr="00610B1B">
              <w:rPr>
                <w:color w:val="000000"/>
                <w:sz w:val="24"/>
                <w:szCs w:val="24"/>
              </w:rPr>
              <w:t>технологични и високоефективни устойчиви</w:t>
            </w:r>
            <w:r w:rsidR="009907CE" w:rsidRPr="00D72982">
              <w:rPr>
                <w:color w:val="000000"/>
                <w:sz w:val="24"/>
                <w:szCs w:val="24"/>
              </w:rPr>
              <w:t xml:space="preserve"> </w:t>
            </w:r>
            <w:r w:rsidRPr="00610B1B">
              <w:rPr>
                <w:color w:val="000000"/>
                <w:sz w:val="24"/>
                <w:szCs w:val="24"/>
              </w:rPr>
              <w:t>морски дейности</w:t>
            </w:r>
          </w:p>
        </w:tc>
      </w:tr>
      <w:tr w:rsidR="006F4640" w:rsidRPr="00C717D0" w14:paraId="2F939B45" w14:textId="77777777" w:rsidTr="00AE254B">
        <w:tc>
          <w:tcPr>
            <w:tcW w:w="4962" w:type="dxa"/>
            <w:shd w:val="clear" w:color="auto" w:fill="FFFFFF"/>
          </w:tcPr>
          <w:p w14:paraId="20DC0D2B" w14:textId="77777777" w:rsidR="006F4640" w:rsidRPr="00610B1B" w:rsidRDefault="006F4640" w:rsidP="00AE254B">
            <w:pPr>
              <w:pStyle w:val="Normal1"/>
              <w:spacing w:before="20" w:after="20"/>
              <w:rPr>
                <w:color w:val="000000"/>
                <w:sz w:val="24"/>
                <w:szCs w:val="24"/>
              </w:rPr>
            </w:pPr>
            <w:r w:rsidRPr="00610B1B">
              <w:rPr>
                <w:color w:val="000000"/>
                <w:sz w:val="24"/>
                <w:szCs w:val="24"/>
              </w:rPr>
              <w:t>Фактор за поддържане на жизнени</w:t>
            </w:r>
          </w:p>
          <w:p w14:paraId="34F1F9AC" w14:textId="77777777" w:rsidR="006F4640" w:rsidRPr="00610B1B" w:rsidRDefault="006F4640" w:rsidP="00AE254B">
            <w:pPr>
              <w:pStyle w:val="Normal1"/>
              <w:spacing w:before="20" w:after="20"/>
              <w:rPr>
                <w:color w:val="000000"/>
                <w:sz w:val="24"/>
                <w:szCs w:val="24"/>
              </w:rPr>
            </w:pPr>
            <w:r w:rsidRPr="00610B1B">
              <w:rPr>
                <w:color w:val="000000"/>
                <w:sz w:val="24"/>
                <w:szCs w:val="24"/>
              </w:rPr>
              <w:t>крайбрежни райони на страната</w:t>
            </w:r>
          </w:p>
        </w:tc>
        <w:tc>
          <w:tcPr>
            <w:tcW w:w="4962" w:type="dxa"/>
            <w:gridSpan w:val="2"/>
            <w:shd w:val="clear" w:color="auto" w:fill="FFFFFF"/>
          </w:tcPr>
          <w:p w14:paraId="4204072A" w14:textId="58AD7D84" w:rsidR="006F4640" w:rsidRPr="00610B1B" w:rsidRDefault="006F4640" w:rsidP="00AE254B">
            <w:pPr>
              <w:pStyle w:val="Normal1"/>
              <w:spacing w:before="20" w:after="20"/>
              <w:rPr>
                <w:color w:val="000000"/>
                <w:sz w:val="24"/>
                <w:szCs w:val="24"/>
              </w:rPr>
            </w:pPr>
            <w:r w:rsidRPr="00610B1B">
              <w:rPr>
                <w:color w:val="000000"/>
                <w:sz w:val="24"/>
                <w:szCs w:val="24"/>
              </w:rPr>
              <w:t>Небалансиран пазар на труда - сезонност, липса на квалифицирани кадри, значителен дял на лицата, които не са приобщени към пазара на труда в района.</w:t>
            </w:r>
          </w:p>
        </w:tc>
      </w:tr>
      <w:tr w:rsidR="006F4640" w:rsidRPr="00610B1B" w14:paraId="615F1BB8" w14:textId="77777777" w:rsidTr="00AE254B">
        <w:tc>
          <w:tcPr>
            <w:tcW w:w="4962" w:type="dxa"/>
            <w:shd w:val="clear" w:color="auto" w:fill="BEE6F0"/>
          </w:tcPr>
          <w:p w14:paraId="4CB864B5"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Възможности</w:t>
            </w:r>
          </w:p>
        </w:tc>
        <w:tc>
          <w:tcPr>
            <w:tcW w:w="4962" w:type="dxa"/>
            <w:gridSpan w:val="2"/>
            <w:shd w:val="clear" w:color="auto" w:fill="BEE6F0"/>
          </w:tcPr>
          <w:p w14:paraId="58FC47E6" w14:textId="77777777" w:rsidR="006F4640" w:rsidRPr="00610B1B" w:rsidRDefault="006F4640" w:rsidP="00AE254B">
            <w:pPr>
              <w:pStyle w:val="Normal1"/>
              <w:spacing w:before="20" w:after="20"/>
              <w:jc w:val="center"/>
              <w:rPr>
                <w:b/>
                <w:color w:val="000000"/>
                <w:sz w:val="24"/>
                <w:szCs w:val="24"/>
              </w:rPr>
            </w:pPr>
            <w:r w:rsidRPr="00610B1B">
              <w:rPr>
                <w:b/>
                <w:color w:val="000000"/>
                <w:sz w:val="24"/>
                <w:szCs w:val="24"/>
              </w:rPr>
              <w:t>Заплахи</w:t>
            </w:r>
          </w:p>
        </w:tc>
      </w:tr>
      <w:tr w:rsidR="006F4640" w:rsidRPr="00C717D0" w14:paraId="10C7DFC0" w14:textId="77777777" w:rsidTr="00AE254B">
        <w:tc>
          <w:tcPr>
            <w:tcW w:w="4962" w:type="dxa"/>
          </w:tcPr>
          <w:p w14:paraId="18B74188" w14:textId="1C66BDDA" w:rsidR="006F4640" w:rsidRPr="00610B1B" w:rsidRDefault="006F4640" w:rsidP="00AE254B">
            <w:pPr>
              <w:pStyle w:val="Normal1"/>
              <w:spacing w:before="20" w:after="20"/>
              <w:rPr>
                <w:color w:val="000000"/>
                <w:sz w:val="24"/>
                <w:szCs w:val="24"/>
              </w:rPr>
            </w:pPr>
            <w:r w:rsidRPr="00610B1B">
              <w:rPr>
                <w:sz w:val="24"/>
                <w:szCs w:val="24"/>
              </w:rPr>
              <w:t>Създаване на планови и устройствени предпоставки за балансирано развитие на успешна и устойчива морска икономика, отчитаща социално-икономическите аспекти и адекватната защита на уязвимата морска екосистема</w:t>
            </w:r>
          </w:p>
        </w:tc>
        <w:tc>
          <w:tcPr>
            <w:tcW w:w="4962" w:type="dxa"/>
            <w:gridSpan w:val="2"/>
          </w:tcPr>
          <w:p w14:paraId="4959B029" w14:textId="77777777" w:rsidR="006F4640" w:rsidRPr="00610B1B" w:rsidRDefault="006F4640" w:rsidP="00AE254B">
            <w:pPr>
              <w:pStyle w:val="Normal1"/>
              <w:spacing w:before="20" w:after="20"/>
              <w:rPr>
                <w:color w:val="000000"/>
                <w:sz w:val="24"/>
                <w:szCs w:val="24"/>
              </w:rPr>
            </w:pPr>
            <w:r w:rsidRPr="00610B1B">
              <w:rPr>
                <w:bCs/>
                <w:sz w:val="24"/>
                <w:szCs w:val="24"/>
              </w:rPr>
              <w:t>Силна външна конкуренция, свързана с развитието на морските сектори в страната</w:t>
            </w:r>
          </w:p>
        </w:tc>
      </w:tr>
      <w:tr w:rsidR="006F4640" w:rsidRPr="00C717D0" w14:paraId="5DED1CB8" w14:textId="77777777" w:rsidTr="00AE254B">
        <w:tc>
          <w:tcPr>
            <w:tcW w:w="4962" w:type="dxa"/>
          </w:tcPr>
          <w:p w14:paraId="5EDF8DD5" w14:textId="2CB1CD2B" w:rsidR="006F4640" w:rsidRPr="00610B1B" w:rsidRDefault="006F4640" w:rsidP="00AE254B">
            <w:pPr>
              <w:pStyle w:val="Normal1"/>
              <w:spacing w:before="20" w:after="20"/>
              <w:rPr>
                <w:color w:val="000000"/>
                <w:sz w:val="24"/>
                <w:szCs w:val="24"/>
              </w:rPr>
            </w:pPr>
            <w:r w:rsidRPr="00610B1B">
              <w:rPr>
                <w:sz w:val="24"/>
                <w:szCs w:val="24"/>
              </w:rPr>
              <w:t xml:space="preserve">Ефективно използване на подкрепата от ЕК за развитие на синята икономика и насърчаване на синия растеж </w:t>
            </w:r>
          </w:p>
        </w:tc>
        <w:tc>
          <w:tcPr>
            <w:tcW w:w="4962" w:type="dxa"/>
            <w:gridSpan w:val="2"/>
          </w:tcPr>
          <w:p w14:paraId="4151105A" w14:textId="77777777" w:rsidR="006F4640" w:rsidRPr="00610B1B" w:rsidRDefault="006F4640" w:rsidP="00AE254B">
            <w:pPr>
              <w:pStyle w:val="Normal1"/>
              <w:spacing w:before="20" w:after="20"/>
              <w:rPr>
                <w:color w:val="000000"/>
                <w:sz w:val="24"/>
                <w:szCs w:val="24"/>
              </w:rPr>
            </w:pPr>
            <w:r w:rsidRPr="00610B1B">
              <w:rPr>
                <w:sz w:val="24"/>
                <w:szCs w:val="24"/>
              </w:rPr>
              <w:t>Конфликтно използване на морските ресурси с оглед развитието на отделните морски дейности</w:t>
            </w:r>
          </w:p>
        </w:tc>
      </w:tr>
      <w:tr w:rsidR="006F4640" w:rsidRPr="00C717D0" w14:paraId="42C96DF3" w14:textId="77777777" w:rsidTr="00AE254B">
        <w:tc>
          <w:tcPr>
            <w:tcW w:w="4962" w:type="dxa"/>
          </w:tcPr>
          <w:p w14:paraId="6C739861" w14:textId="77777777" w:rsidR="006F4640" w:rsidRPr="00610B1B" w:rsidRDefault="006F4640" w:rsidP="00AE254B">
            <w:pPr>
              <w:pStyle w:val="Normal1"/>
              <w:spacing w:before="20" w:after="20"/>
              <w:rPr>
                <w:color w:val="000000"/>
                <w:sz w:val="24"/>
                <w:szCs w:val="24"/>
              </w:rPr>
            </w:pPr>
            <w:r w:rsidRPr="00610B1B">
              <w:rPr>
                <w:sz w:val="24"/>
                <w:szCs w:val="24"/>
              </w:rPr>
              <w:lastRenderedPageBreak/>
              <w:t>Създаване на междусекторни (и трансгранични) синергии в развитието на морската икономика</w:t>
            </w:r>
          </w:p>
        </w:tc>
        <w:tc>
          <w:tcPr>
            <w:tcW w:w="4962" w:type="dxa"/>
            <w:gridSpan w:val="2"/>
          </w:tcPr>
          <w:p w14:paraId="70C7F9DC" w14:textId="5A269655" w:rsidR="006F4640" w:rsidRPr="00610B1B" w:rsidRDefault="006F4640" w:rsidP="00AE254B">
            <w:pPr>
              <w:spacing w:before="20" w:after="20" w:line="240" w:lineRule="auto"/>
              <w:rPr>
                <w:rFonts w:ascii="Times New Roman" w:hAnsi="Times New Roman" w:cs="Times New Roman"/>
                <w:color w:val="000000"/>
                <w:sz w:val="24"/>
                <w:szCs w:val="24"/>
                <w:lang w:val="bg-BG"/>
              </w:rPr>
            </w:pPr>
            <w:r w:rsidRPr="00610B1B">
              <w:rPr>
                <w:rFonts w:ascii="Times New Roman" w:hAnsi="Times New Roman" w:cs="Times New Roman"/>
                <w:sz w:val="24"/>
                <w:szCs w:val="24"/>
                <w:lang w:val="bg-BG"/>
              </w:rPr>
              <w:t>Продължаващо замърсяване на Черно море и</w:t>
            </w:r>
            <w:r w:rsidR="00035054" w:rsidRPr="00610B1B">
              <w:rPr>
                <w:rFonts w:ascii="Times New Roman" w:hAnsi="Times New Roman" w:cs="Times New Roman"/>
                <w:sz w:val="24"/>
                <w:szCs w:val="24"/>
                <w:lang w:val="bg-BG"/>
              </w:rPr>
              <w:t xml:space="preserve"> негативни въздействия на</w:t>
            </w:r>
            <w:r w:rsidRPr="00610B1B">
              <w:rPr>
                <w:rFonts w:ascii="Times New Roman" w:hAnsi="Times New Roman" w:cs="Times New Roman"/>
                <w:sz w:val="24"/>
                <w:szCs w:val="24"/>
                <w:lang w:val="bg-BG"/>
              </w:rPr>
              <w:t xml:space="preserve"> климатични</w:t>
            </w:r>
            <w:r w:rsidR="00035054"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промени</w:t>
            </w:r>
          </w:p>
        </w:tc>
      </w:tr>
      <w:tr w:rsidR="006F4640" w:rsidRPr="00C717D0" w14:paraId="7391A33C" w14:textId="77777777" w:rsidTr="00AE254B">
        <w:tc>
          <w:tcPr>
            <w:tcW w:w="4962" w:type="dxa"/>
          </w:tcPr>
          <w:p w14:paraId="448BD506" w14:textId="77777777" w:rsidR="006F4640" w:rsidRPr="00610B1B" w:rsidRDefault="006F4640" w:rsidP="00AE254B">
            <w:pPr>
              <w:pStyle w:val="Normal1"/>
              <w:spacing w:before="20" w:after="20"/>
              <w:rPr>
                <w:sz w:val="24"/>
                <w:szCs w:val="24"/>
              </w:rPr>
            </w:pPr>
          </w:p>
        </w:tc>
        <w:tc>
          <w:tcPr>
            <w:tcW w:w="4962" w:type="dxa"/>
            <w:gridSpan w:val="2"/>
          </w:tcPr>
          <w:p w14:paraId="4378278A" w14:textId="2B79E590" w:rsidR="00C3007B" w:rsidRPr="00610B1B" w:rsidRDefault="006F4640" w:rsidP="00AE254B">
            <w:pPr>
              <w:pStyle w:val="Normal1"/>
              <w:spacing w:before="20" w:after="20"/>
              <w:rPr>
                <w:sz w:val="24"/>
                <w:szCs w:val="24"/>
              </w:rPr>
            </w:pPr>
            <w:r w:rsidRPr="00610B1B">
              <w:rPr>
                <w:sz w:val="24"/>
                <w:szCs w:val="24"/>
              </w:rPr>
              <w:t>Външни конфликти и кризи в развитието на световната икономика</w:t>
            </w:r>
            <w:r w:rsidR="00AA0CC2" w:rsidRPr="00610B1B">
              <w:rPr>
                <w:sz w:val="24"/>
                <w:szCs w:val="24"/>
              </w:rPr>
              <w:t>. Задълбочаваща се световна криза, последица от Covid’19.</w:t>
            </w:r>
            <w:r w:rsidR="00D66FE0" w:rsidRPr="00610B1B">
              <w:rPr>
                <w:sz w:val="24"/>
                <w:szCs w:val="24"/>
              </w:rPr>
              <w:t xml:space="preserve"> </w:t>
            </w:r>
          </w:p>
        </w:tc>
      </w:tr>
      <w:tr w:rsidR="006F4640" w:rsidRPr="00610B1B" w14:paraId="13600A57" w14:textId="77777777" w:rsidTr="00AE254B">
        <w:tc>
          <w:tcPr>
            <w:tcW w:w="9924" w:type="dxa"/>
            <w:gridSpan w:val="3"/>
            <w:shd w:val="clear" w:color="auto" w:fill="92CDDC"/>
          </w:tcPr>
          <w:p w14:paraId="3530274A" w14:textId="0452E136" w:rsidR="006F4640" w:rsidRPr="00610B1B" w:rsidRDefault="006F4640" w:rsidP="00AE254B">
            <w:pPr>
              <w:pStyle w:val="Heading4"/>
              <w:spacing w:before="20" w:after="20"/>
              <w:jc w:val="center"/>
              <w:rPr>
                <w:rFonts w:cs="Times New Roman"/>
                <w:szCs w:val="24"/>
              </w:rPr>
            </w:pPr>
            <w:bookmarkStart w:id="426" w:name="_nms69n6mwo3a" w:colFirst="0" w:colLast="0"/>
            <w:bookmarkEnd w:id="426"/>
            <w:r w:rsidRPr="00610B1B">
              <w:rPr>
                <w:rFonts w:cs="Times New Roman"/>
                <w:szCs w:val="24"/>
              </w:rPr>
              <w:t>КУЛТУРНО НАСЛЕДСТВО</w:t>
            </w:r>
          </w:p>
        </w:tc>
      </w:tr>
      <w:tr w:rsidR="006F4640" w:rsidRPr="00610B1B" w14:paraId="55089F2C" w14:textId="77777777" w:rsidTr="00AE254B">
        <w:tc>
          <w:tcPr>
            <w:tcW w:w="4962" w:type="dxa"/>
            <w:shd w:val="clear" w:color="auto" w:fill="BEE6F0"/>
          </w:tcPr>
          <w:p w14:paraId="667977E1" w14:textId="77777777" w:rsidR="006F4640" w:rsidRPr="00610B1B" w:rsidRDefault="006F4640" w:rsidP="00AE254B">
            <w:pPr>
              <w:pStyle w:val="Normal1"/>
              <w:spacing w:before="20" w:after="20"/>
              <w:jc w:val="center"/>
              <w:rPr>
                <w:b/>
                <w:color w:val="000000" w:themeColor="text1"/>
                <w:sz w:val="24"/>
                <w:szCs w:val="24"/>
              </w:rPr>
            </w:pPr>
            <w:r w:rsidRPr="00610B1B">
              <w:rPr>
                <w:b/>
                <w:color w:val="000000" w:themeColor="text1"/>
                <w:sz w:val="24"/>
                <w:szCs w:val="24"/>
              </w:rPr>
              <w:t>Силни страни</w:t>
            </w:r>
          </w:p>
        </w:tc>
        <w:tc>
          <w:tcPr>
            <w:tcW w:w="4962" w:type="dxa"/>
            <w:gridSpan w:val="2"/>
            <w:shd w:val="clear" w:color="auto" w:fill="BEE6F0"/>
          </w:tcPr>
          <w:p w14:paraId="5CF8EF7E" w14:textId="77777777" w:rsidR="006F4640" w:rsidRPr="00610B1B" w:rsidRDefault="006F4640" w:rsidP="00AE254B">
            <w:pPr>
              <w:pStyle w:val="Normal1"/>
              <w:spacing w:before="20" w:after="20"/>
              <w:jc w:val="center"/>
              <w:rPr>
                <w:b/>
                <w:color w:val="000000" w:themeColor="text1"/>
                <w:sz w:val="24"/>
                <w:szCs w:val="24"/>
              </w:rPr>
            </w:pPr>
            <w:r w:rsidRPr="00610B1B">
              <w:rPr>
                <w:b/>
                <w:color w:val="000000" w:themeColor="text1"/>
                <w:sz w:val="24"/>
                <w:szCs w:val="24"/>
              </w:rPr>
              <w:t>Слаби страни</w:t>
            </w:r>
          </w:p>
        </w:tc>
      </w:tr>
      <w:tr w:rsidR="006F4640" w:rsidRPr="00C717D0" w14:paraId="10ABD46D" w14:textId="77777777" w:rsidTr="00AE254B">
        <w:tc>
          <w:tcPr>
            <w:tcW w:w="4962" w:type="dxa"/>
            <w:shd w:val="clear" w:color="auto" w:fill="FFFFFF"/>
          </w:tcPr>
          <w:p w14:paraId="46CF3220" w14:textId="2F4655C3" w:rsidR="006F4640" w:rsidRPr="00610B1B" w:rsidRDefault="006F4640" w:rsidP="00AE254B">
            <w:pPr>
              <w:pStyle w:val="Normal1"/>
              <w:spacing w:before="20" w:after="20"/>
              <w:rPr>
                <w:color w:val="000000" w:themeColor="text1"/>
                <w:sz w:val="24"/>
                <w:szCs w:val="24"/>
              </w:rPr>
            </w:pPr>
            <w:r w:rsidRPr="00610B1B">
              <w:rPr>
                <w:bCs/>
                <w:color w:val="000000" w:themeColor="text1"/>
                <w:sz w:val="24"/>
                <w:szCs w:val="24"/>
              </w:rPr>
              <w:t>Наличие на</w:t>
            </w:r>
            <w:r w:rsidR="00D66FE0" w:rsidRPr="00610B1B">
              <w:rPr>
                <w:b/>
                <w:color w:val="000000" w:themeColor="text1"/>
                <w:sz w:val="24"/>
                <w:szCs w:val="24"/>
              </w:rPr>
              <w:t xml:space="preserve"> </w:t>
            </w:r>
            <w:r w:rsidRPr="00610B1B">
              <w:rPr>
                <w:color w:val="000000" w:themeColor="text1"/>
                <w:sz w:val="24"/>
                <w:szCs w:val="24"/>
              </w:rPr>
              <w:t xml:space="preserve">уникално и многообразно недвижимо културно наследство, което обхваща периоди от праисторията до ХХ век. </w:t>
            </w:r>
            <w:r w:rsidR="00AA0CC2" w:rsidRPr="00610B1B">
              <w:rPr>
                <w:color w:val="000000" w:themeColor="text1"/>
                <w:sz w:val="24"/>
                <w:szCs w:val="24"/>
              </w:rPr>
              <w:t>В обхвата на МППРБ е</w:t>
            </w:r>
            <w:r w:rsidRPr="00610B1B">
              <w:rPr>
                <w:color w:val="000000" w:themeColor="text1"/>
                <w:sz w:val="24"/>
                <w:szCs w:val="24"/>
              </w:rPr>
              <w:t xml:space="preserve"> Старинен град Несебър</w:t>
            </w:r>
            <w:r w:rsidR="00AA0CC2" w:rsidRPr="00610B1B">
              <w:rPr>
                <w:color w:val="000000" w:themeColor="text1"/>
                <w:sz w:val="24"/>
                <w:szCs w:val="24"/>
              </w:rPr>
              <w:t xml:space="preserve"> с категория „световно значение“ от списъка на ЮНЕСКО.</w:t>
            </w:r>
          </w:p>
        </w:tc>
        <w:tc>
          <w:tcPr>
            <w:tcW w:w="4962" w:type="dxa"/>
            <w:gridSpan w:val="2"/>
            <w:shd w:val="clear" w:color="auto" w:fill="FFFFFF"/>
          </w:tcPr>
          <w:p w14:paraId="6F0AE97A" w14:textId="2EE9E250"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Голяма част от обектите НКЦ не са изцяло проучени. Липсват извършени консервационно-реставрационни работи, както и съпътстваща</w:t>
            </w:r>
            <w:r w:rsidR="00D66FE0" w:rsidRPr="00610B1B">
              <w:rPr>
                <w:color w:val="000000" w:themeColor="text1"/>
                <w:sz w:val="24"/>
                <w:szCs w:val="24"/>
              </w:rPr>
              <w:t xml:space="preserve"> </w:t>
            </w:r>
            <w:r w:rsidRPr="00610B1B">
              <w:rPr>
                <w:color w:val="000000" w:themeColor="text1"/>
                <w:sz w:val="24"/>
                <w:szCs w:val="24"/>
              </w:rPr>
              <w:t xml:space="preserve">социализация </w:t>
            </w:r>
            <w:r w:rsidR="003915DA" w:rsidRPr="00610B1B">
              <w:rPr>
                <w:color w:val="000000" w:themeColor="text1"/>
                <w:sz w:val="24"/>
                <w:szCs w:val="24"/>
              </w:rPr>
              <w:t xml:space="preserve">на </w:t>
            </w:r>
            <w:r w:rsidRPr="00610B1B">
              <w:rPr>
                <w:color w:val="000000" w:themeColor="text1"/>
                <w:sz w:val="24"/>
                <w:szCs w:val="24"/>
              </w:rPr>
              <w:t>обекти</w:t>
            </w:r>
            <w:r w:rsidR="003915DA" w:rsidRPr="00610B1B">
              <w:rPr>
                <w:color w:val="000000" w:themeColor="text1"/>
                <w:sz w:val="24"/>
                <w:szCs w:val="24"/>
              </w:rPr>
              <w:t>те</w:t>
            </w:r>
            <w:r w:rsidRPr="00610B1B">
              <w:rPr>
                <w:color w:val="000000" w:themeColor="text1"/>
                <w:sz w:val="24"/>
                <w:szCs w:val="24"/>
              </w:rPr>
              <w:t xml:space="preserve"> и на пространството около тях.</w:t>
            </w:r>
          </w:p>
        </w:tc>
      </w:tr>
      <w:tr w:rsidR="006F4640" w:rsidRPr="00C717D0" w14:paraId="37AE9B4B" w14:textId="77777777" w:rsidTr="00AE254B">
        <w:tc>
          <w:tcPr>
            <w:tcW w:w="4962" w:type="dxa"/>
            <w:shd w:val="clear" w:color="auto" w:fill="FFFFFF"/>
          </w:tcPr>
          <w:p w14:paraId="2B010AAD" w14:textId="5044DD32"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Местоположението на голяма част от тези обекти е непосредствено на бреговата ивица на България с Черно море. Достъпът до тези обекти е възможен с малки намеси и социализация на съответните НКЦ.</w:t>
            </w:r>
          </w:p>
        </w:tc>
        <w:tc>
          <w:tcPr>
            <w:tcW w:w="4962" w:type="dxa"/>
            <w:gridSpan w:val="2"/>
            <w:shd w:val="clear" w:color="auto" w:fill="FFFFFF"/>
          </w:tcPr>
          <w:p w14:paraId="620367B6" w14:textId="77777777" w:rsidR="006F4640" w:rsidRPr="00610B1B" w:rsidRDefault="006F4640" w:rsidP="00AE254B">
            <w:pPr>
              <w:pStyle w:val="Normal1"/>
              <w:spacing w:before="20" w:after="20"/>
              <w:rPr>
                <w:bCs/>
                <w:color w:val="000000" w:themeColor="text1"/>
                <w:sz w:val="24"/>
                <w:szCs w:val="24"/>
              </w:rPr>
            </w:pPr>
            <w:r w:rsidRPr="00610B1B">
              <w:rPr>
                <w:bCs/>
                <w:color w:val="000000" w:themeColor="text1"/>
                <w:sz w:val="24"/>
                <w:szCs w:val="24"/>
              </w:rPr>
              <w:t>Липсват изработени граници и режими на опазване на съответните НКЦ</w:t>
            </w:r>
          </w:p>
        </w:tc>
      </w:tr>
      <w:tr w:rsidR="006F4640" w:rsidRPr="00C717D0" w14:paraId="45D3BA29" w14:textId="77777777" w:rsidTr="00AE254B">
        <w:tc>
          <w:tcPr>
            <w:tcW w:w="4962" w:type="dxa"/>
            <w:shd w:val="clear" w:color="auto" w:fill="FFFFFF"/>
          </w:tcPr>
          <w:p w14:paraId="40884E7C" w14:textId="537AC145"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 xml:space="preserve">Наличие на обекти, които са НКЦ под вода в близост до тези на сушата. </w:t>
            </w:r>
          </w:p>
          <w:p w14:paraId="4837B467" w14:textId="77777777"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Повишен интерес към културното наследство на България от страна на наши и чуждестранни туристи.</w:t>
            </w:r>
          </w:p>
        </w:tc>
        <w:tc>
          <w:tcPr>
            <w:tcW w:w="4962" w:type="dxa"/>
            <w:gridSpan w:val="2"/>
            <w:shd w:val="clear" w:color="auto" w:fill="FFFFFF"/>
          </w:tcPr>
          <w:p w14:paraId="1C10A697" w14:textId="48748A63" w:rsidR="006F4640" w:rsidRPr="00610B1B" w:rsidRDefault="006F4640" w:rsidP="00AE254B">
            <w:pPr>
              <w:pStyle w:val="Normal1"/>
              <w:spacing w:before="20" w:after="20"/>
              <w:rPr>
                <w:bCs/>
                <w:color w:val="000000" w:themeColor="text1"/>
                <w:sz w:val="24"/>
                <w:szCs w:val="24"/>
              </w:rPr>
            </w:pPr>
            <w:r w:rsidRPr="00610B1B">
              <w:rPr>
                <w:bCs/>
                <w:color w:val="000000" w:themeColor="text1"/>
                <w:sz w:val="24"/>
                <w:szCs w:val="24"/>
              </w:rPr>
              <w:t>Част от значимите археологически обекти попадат в зони, които са територии под егидата на гранична полиция</w:t>
            </w:r>
            <w:r w:rsidR="003915DA" w:rsidRPr="00610B1B">
              <w:rPr>
                <w:bCs/>
                <w:color w:val="000000" w:themeColor="text1"/>
                <w:sz w:val="24"/>
                <w:szCs w:val="24"/>
              </w:rPr>
              <w:t xml:space="preserve"> или МО, в защитени, горски или</w:t>
            </w:r>
            <w:r w:rsidRPr="00610B1B">
              <w:rPr>
                <w:bCs/>
                <w:color w:val="000000" w:themeColor="text1"/>
                <w:sz w:val="24"/>
                <w:szCs w:val="24"/>
              </w:rPr>
              <w:t xml:space="preserve"> земеделски </w:t>
            </w:r>
            <w:r w:rsidR="003915DA" w:rsidRPr="00610B1B">
              <w:rPr>
                <w:bCs/>
                <w:color w:val="000000" w:themeColor="text1"/>
                <w:sz w:val="24"/>
                <w:szCs w:val="24"/>
              </w:rPr>
              <w:t xml:space="preserve">територии, с ограничен достъп за изследване и опазване. </w:t>
            </w:r>
          </w:p>
        </w:tc>
      </w:tr>
      <w:tr w:rsidR="006F4640" w:rsidRPr="00C717D0" w14:paraId="18F7E589" w14:textId="77777777" w:rsidTr="00AE254B">
        <w:tc>
          <w:tcPr>
            <w:tcW w:w="4962" w:type="dxa"/>
            <w:shd w:val="clear" w:color="auto" w:fill="FFFFFF"/>
          </w:tcPr>
          <w:p w14:paraId="409BEEAB" w14:textId="38BBDC48" w:rsidR="006F4640" w:rsidRPr="00610B1B" w:rsidRDefault="006F4640" w:rsidP="00AE254B">
            <w:pPr>
              <w:pStyle w:val="Normal1"/>
              <w:spacing w:before="20" w:after="20"/>
              <w:rPr>
                <w:sz w:val="24"/>
                <w:szCs w:val="24"/>
              </w:rPr>
            </w:pPr>
            <w:r w:rsidRPr="00610B1B">
              <w:rPr>
                <w:sz w:val="24"/>
                <w:szCs w:val="24"/>
              </w:rPr>
              <w:t>Наличие на добре запазени дълбоководни корабокрушения</w:t>
            </w:r>
            <w:r w:rsidR="003915DA" w:rsidRPr="00610B1B">
              <w:rPr>
                <w:sz w:val="24"/>
                <w:szCs w:val="24"/>
              </w:rPr>
              <w:t xml:space="preserve"> - у</w:t>
            </w:r>
            <w:r w:rsidRPr="00610B1B">
              <w:rPr>
                <w:sz w:val="24"/>
                <w:szCs w:val="24"/>
              </w:rPr>
              <w:t xml:space="preserve">никален </w:t>
            </w:r>
            <w:r w:rsidR="003915DA" w:rsidRPr="00610B1B">
              <w:rPr>
                <w:sz w:val="24"/>
                <w:szCs w:val="24"/>
              </w:rPr>
              <w:t xml:space="preserve">ресурс </w:t>
            </w:r>
            <w:r w:rsidRPr="00610B1B">
              <w:rPr>
                <w:sz w:val="24"/>
                <w:szCs w:val="24"/>
              </w:rPr>
              <w:t>в световен мащаб</w:t>
            </w:r>
            <w:r w:rsidR="003915DA" w:rsidRPr="00610B1B">
              <w:rPr>
                <w:sz w:val="24"/>
                <w:szCs w:val="24"/>
              </w:rPr>
              <w:t>.</w:t>
            </w:r>
          </w:p>
        </w:tc>
        <w:tc>
          <w:tcPr>
            <w:tcW w:w="4962" w:type="dxa"/>
            <w:gridSpan w:val="2"/>
            <w:shd w:val="clear" w:color="auto" w:fill="FFFFFF"/>
          </w:tcPr>
          <w:p w14:paraId="391FEDF0" w14:textId="08B43138" w:rsidR="006F4640" w:rsidRPr="00610B1B" w:rsidRDefault="006F4640" w:rsidP="00AE254B">
            <w:pPr>
              <w:pStyle w:val="Normal1"/>
              <w:spacing w:before="20" w:after="20"/>
              <w:rPr>
                <w:bCs/>
                <w:sz w:val="24"/>
                <w:szCs w:val="24"/>
              </w:rPr>
            </w:pPr>
            <w:r w:rsidRPr="00610B1B">
              <w:rPr>
                <w:sz w:val="24"/>
                <w:szCs w:val="24"/>
              </w:rPr>
              <w:t>Изследвана</w:t>
            </w:r>
            <w:r w:rsidR="00954279" w:rsidRPr="00610B1B">
              <w:rPr>
                <w:sz w:val="24"/>
                <w:szCs w:val="24"/>
              </w:rPr>
              <w:t xml:space="preserve"> и документирана </w:t>
            </w:r>
            <w:r w:rsidRPr="00610B1B">
              <w:rPr>
                <w:sz w:val="24"/>
                <w:szCs w:val="24"/>
              </w:rPr>
              <w:t xml:space="preserve">малка част от корабокрушенията. Недостъпност за пряко наблюдение в днешно време. Липса на постоянна съвременна експозиция, която да представи изследваните кораби. </w:t>
            </w:r>
          </w:p>
        </w:tc>
      </w:tr>
      <w:tr w:rsidR="006F4640" w:rsidRPr="00610B1B" w14:paraId="6AFC6FBD" w14:textId="77777777" w:rsidTr="00AE254B">
        <w:tc>
          <w:tcPr>
            <w:tcW w:w="4962" w:type="dxa"/>
            <w:shd w:val="clear" w:color="auto" w:fill="BEE6F0"/>
          </w:tcPr>
          <w:p w14:paraId="66997F6C" w14:textId="77777777" w:rsidR="006F4640" w:rsidRPr="00610B1B" w:rsidRDefault="006F4640" w:rsidP="00AE254B">
            <w:pPr>
              <w:pStyle w:val="Normal1"/>
              <w:spacing w:before="20" w:after="20"/>
              <w:jc w:val="center"/>
              <w:rPr>
                <w:b/>
                <w:color w:val="000000" w:themeColor="text1"/>
                <w:sz w:val="24"/>
                <w:szCs w:val="24"/>
              </w:rPr>
            </w:pPr>
            <w:r w:rsidRPr="00610B1B">
              <w:rPr>
                <w:b/>
                <w:color w:val="000000" w:themeColor="text1"/>
                <w:sz w:val="24"/>
                <w:szCs w:val="24"/>
              </w:rPr>
              <w:t>Възможности</w:t>
            </w:r>
          </w:p>
        </w:tc>
        <w:tc>
          <w:tcPr>
            <w:tcW w:w="4962" w:type="dxa"/>
            <w:gridSpan w:val="2"/>
            <w:shd w:val="clear" w:color="auto" w:fill="BEE6F0"/>
          </w:tcPr>
          <w:p w14:paraId="29BA4BD8" w14:textId="77777777" w:rsidR="006F4640" w:rsidRPr="00610B1B" w:rsidRDefault="006F4640" w:rsidP="00AE254B">
            <w:pPr>
              <w:pStyle w:val="Normal1"/>
              <w:spacing w:before="20" w:after="20"/>
              <w:jc w:val="center"/>
              <w:rPr>
                <w:b/>
                <w:color w:val="000000" w:themeColor="text1"/>
                <w:sz w:val="24"/>
                <w:szCs w:val="24"/>
              </w:rPr>
            </w:pPr>
            <w:r w:rsidRPr="00610B1B">
              <w:rPr>
                <w:b/>
                <w:color w:val="000000" w:themeColor="text1"/>
                <w:sz w:val="24"/>
                <w:szCs w:val="24"/>
              </w:rPr>
              <w:t>Заплахи</w:t>
            </w:r>
          </w:p>
        </w:tc>
      </w:tr>
      <w:tr w:rsidR="006F4640" w:rsidRPr="00C717D0" w14:paraId="56A6D0B0" w14:textId="77777777" w:rsidTr="00AE254B">
        <w:tc>
          <w:tcPr>
            <w:tcW w:w="4962" w:type="dxa"/>
            <w:shd w:val="clear" w:color="auto" w:fill="FFFFFF"/>
          </w:tcPr>
          <w:p w14:paraId="7157906E" w14:textId="3E49F900"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 xml:space="preserve">Разкриване на пълния потенциал на обектите на културно наследство по </w:t>
            </w:r>
            <w:r w:rsidR="003915DA" w:rsidRPr="00610B1B">
              <w:rPr>
                <w:color w:val="000000" w:themeColor="text1"/>
                <w:sz w:val="24"/>
                <w:szCs w:val="24"/>
              </w:rPr>
              <w:t xml:space="preserve">Черноморското </w:t>
            </w:r>
            <w:r w:rsidRPr="00610B1B">
              <w:rPr>
                <w:color w:val="000000" w:themeColor="text1"/>
                <w:sz w:val="24"/>
                <w:szCs w:val="24"/>
              </w:rPr>
              <w:t>ни крайбрежие, чрез интегрирането им в различни туристически продукти.</w:t>
            </w:r>
          </w:p>
        </w:tc>
        <w:tc>
          <w:tcPr>
            <w:tcW w:w="4962" w:type="dxa"/>
            <w:gridSpan w:val="2"/>
            <w:shd w:val="clear" w:color="auto" w:fill="FFFFFF"/>
          </w:tcPr>
          <w:p w14:paraId="474CC605" w14:textId="6B6461E9"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Възприемане на обектите на културното наследство единствено като туристическа атракция</w:t>
            </w:r>
            <w:r w:rsidR="003915DA" w:rsidRPr="00610B1B">
              <w:rPr>
                <w:color w:val="000000" w:themeColor="text1"/>
                <w:sz w:val="24"/>
                <w:szCs w:val="24"/>
              </w:rPr>
              <w:t xml:space="preserve"> или като </w:t>
            </w:r>
            <w:r w:rsidR="00BA5862" w:rsidRPr="00610B1B">
              <w:rPr>
                <w:color w:val="000000" w:themeColor="text1"/>
                <w:sz w:val="24"/>
                <w:szCs w:val="24"/>
              </w:rPr>
              <w:t>ограничение</w:t>
            </w:r>
            <w:r w:rsidR="003915DA" w:rsidRPr="00610B1B">
              <w:rPr>
                <w:color w:val="000000" w:themeColor="text1"/>
                <w:sz w:val="24"/>
                <w:szCs w:val="24"/>
              </w:rPr>
              <w:t xml:space="preserve"> за развитие</w:t>
            </w:r>
            <w:r w:rsidRPr="00610B1B">
              <w:rPr>
                <w:color w:val="000000" w:themeColor="text1"/>
                <w:sz w:val="24"/>
                <w:szCs w:val="24"/>
              </w:rPr>
              <w:t>.</w:t>
            </w:r>
          </w:p>
          <w:p w14:paraId="6755839B" w14:textId="77777777" w:rsidR="006F4640" w:rsidRPr="00610B1B" w:rsidRDefault="006F4640" w:rsidP="00AE254B">
            <w:pPr>
              <w:pStyle w:val="Normal1"/>
              <w:spacing w:before="20" w:after="20"/>
              <w:rPr>
                <w:color w:val="000000" w:themeColor="text1"/>
                <w:sz w:val="24"/>
                <w:szCs w:val="24"/>
              </w:rPr>
            </w:pPr>
          </w:p>
        </w:tc>
      </w:tr>
      <w:tr w:rsidR="006F4640" w:rsidRPr="00C717D0" w14:paraId="09CF38EF" w14:textId="77777777" w:rsidTr="00AE254B">
        <w:tc>
          <w:tcPr>
            <w:tcW w:w="4962" w:type="dxa"/>
            <w:shd w:val="clear" w:color="auto" w:fill="FFFFFF"/>
          </w:tcPr>
          <w:p w14:paraId="58A0C1AF" w14:textId="42E01278"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Разумно развиване на потенциала на НКЦ</w:t>
            </w:r>
            <w:r w:rsidR="003915DA" w:rsidRPr="00610B1B">
              <w:rPr>
                <w:color w:val="000000" w:themeColor="text1"/>
                <w:sz w:val="24"/>
                <w:szCs w:val="24"/>
              </w:rPr>
              <w:t>,</w:t>
            </w:r>
            <w:r w:rsidRPr="00610B1B">
              <w:rPr>
                <w:color w:val="000000" w:themeColor="text1"/>
                <w:sz w:val="24"/>
                <w:szCs w:val="24"/>
              </w:rPr>
              <w:t xml:space="preserve"> намиращи се под вода</w:t>
            </w:r>
          </w:p>
        </w:tc>
        <w:tc>
          <w:tcPr>
            <w:tcW w:w="4962" w:type="dxa"/>
            <w:gridSpan w:val="2"/>
            <w:shd w:val="clear" w:color="auto" w:fill="FFFFFF"/>
          </w:tcPr>
          <w:p w14:paraId="2A3336EF" w14:textId="21BB7B3C"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 xml:space="preserve">Свлачищни процеси в териториите по северното </w:t>
            </w:r>
            <w:r w:rsidR="003915DA" w:rsidRPr="00610B1B">
              <w:rPr>
                <w:color w:val="000000" w:themeColor="text1"/>
                <w:sz w:val="24"/>
                <w:szCs w:val="24"/>
              </w:rPr>
              <w:t xml:space="preserve">Черноморско </w:t>
            </w:r>
            <w:r w:rsidRPr="00610B1B">
              <w:rPr>
                <w:color w:val="000000" w:themeColor="text1"/>
                <w:sz w:val="24"/>
                <w:szCs w:val="24"/>
              </w:rPr>
              <w:t>крайбрежие на България.</w:t>
            </w:r>
          </w:p>
        </w:tc>
      </w:tr>
      <w:tr w:rsidR="006F4640" w:rsidRPr="00C717D0" w14:paraId="1F82AC6B" w14:textId="77777777" w:rsidTr="00AE254B">
        <w:tc>
          <w:tcPr>
            <w:tcW w:w="4962" w:type="dxa"/>
            <w:shd w:val="clear" w:color="auto" w:fill="FFFFFF"/>
          </w:tcPr>
          <w:p w14:paraId="6DC7CE96" w14:textId="100363B5"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Прилагане на интегрирана консервация за археологическите обекти</w:t>
            </w:r>
            <w:r w:rsidR="003915DA" w:rsidRPr="00610B1B">
              <w:rPr>
                <w:color w:val="000000" w:themeColor="text1"/>
                <w:sz w:val="24"/>
                <w:szCs w:val="24"/>
              </w:rPr>
              <w:t>,</w:t>
            </w:r>
            <w:r w:rsidRPr="00610B1B">
              <w:rPr>
                <w:color w:val="000000" w:themeColor="text1"/>
                <w:sz w:val="24"/>
                <w:szCs w:val="24"/>
              </w:rPr>
              <w:t xml:space="preserve"> локализирани в урбанизираните крайбрежни територии.</w:t>
            </w:r>
          </w:p>
        </w:tc>
        <w:tc>
          <w:tcPr>
            <w:tcW w:w="4962" w:type="dxa"/>
            <w:gridSpan w:val="2"/>
            <w:shd w:val="clear" w:color="auto" w:fill="FFFFFF"/>
          </w:tcPr>
          <w:p w14:paraId="254D3F50" w14:textId="4C80B28B" w:rsidR="006F4640" w:rsidRPr="00610B1B" w:rsidRDefault="003915DA" w:rsidP="00AE254B">
            <w:pPr>
              <w:pStyle w:val="Normal1"/>
              <w:spacing w:before="20" w:after="20"/>
              <w:rPr>
                <w:color w:val="000000" w:themeColor="text1"/>
                <w:sz w:val="24"/>
                <w:szCs w:val="24"/>
              </w:rPr>
            </w:pPr>
            <w:r w:rsidRPr="00610B1B">
              <w:rPr>
                <w:color w:val="000000" w:themeColor="text1"/>
                <w:sz w:val="24"/>
                <w:szCs w:val="24"/>
              </w:rPr>
              <w:t>Засилен и</w:t>
            </w:r>
            <w:r w:rsidR="006F4640" w:rsidRPr="00610B1B">
              <w:rPr>
                <w:color w:val="000000" w:themeColor="text1"/>
                <w:sz w:val="24"/>
                <w:szCs w:val="24"/>
              </w:rPr>
              <w:t>нвестиционен строителен интерес към териториите, на които са разположени обектите НКЦ.</w:t>
            </w:r>
          </w:p>
        </w:tc>
      </w:tr>
      <w:tr w:rsidR="006F4640" w:rsidRPr="00C717D0" w14:paraId="50B3F0B0" w14:textId="77777777" w:rsidTr="00AE254B">
        <w:tc>
          <w:tcPr>
            <w:tcW w:w="4962" w:type="dxa"/>
            <w:shd w:val="clear" w:color="auto" w:fill="FFFFFF"/>
          </w:tcPr>
          <w:p w14:paraId="731D3BDE" w14:textId="77777777"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lastRenderedPageBreak/>
              <w:t>Изследване на възможностите за експониране на обектите на културното наследство в защитени територии или в такива с охранителен режим.</w:t>
            </w:r>
          </w:p>
        </w:tc>
        <w:tc>
          <w:tcPr>
            <w:tcW w:w="4962" w:type="dxa"/>
            <w:gridSpan w:val="2"/>
            <w:shd w:val="clear" w:color="auto" w:fill="FFFFFF"/>
          </w:tcPr>
          <w:p w14:paraId="438E99ED" w14:textId="1A619AC2"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Струпване на голям брой туристи в населените места по крайбрежието, особено през летния сезон, чието обслужване често е за сметка на обектите на културното наследство.</w:t>
            </w:r>
          </w:p>
        </w:tc>
      </w:tr>
      <w:tr w:rsidR="006F4640" w:rsidRPr="00C717D0" w14:paraId="185B1435" w14:textId="77777777" w:rsidTr="00AE254B">
        <w:tc>
          <w:tcPr>
            <w:tcW w:w="4962" w:type="dxa"/>
            <w:shd w:val="clear" w:color="auto" w:fill="FFFFFF"/>
          </w:tcPr>
          <w:p w14:paraId="222576BE" w14:textId="42AF1D01"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Създаване на адекватно социализирана среда около обектите</w:t>
            </w:r>
            <w:r w:rsidR="00D66FE0" w:rsidRPr="00610B1B">
              <w:rPr>
                <w:color w:val="000000" w:themeColor="text1"/>
                <w:sz w:val="24"/>
                <w:szCs w:val="24"/>
              </w:rPr>
              <w:t xml:space="preserve"> </w:t>
            </w:r>
            <w:r w:rsidRPr="00610B1B">
              <w:rPr>
                <w:color w:val="000000" w:themeColor="text1"/>
                <w:sz w:val="24"/>
                <w:szCs w:val="24"/>
              </w:rPr>
              <w:t>на културно наследство, която да повиши културата на туризъм и качеството на обитаване в населените места.</w:t>
            </w:r>
          </w:p>
        </w:tc>
        <w:tc>
          <w:tcPr>
            <w:tcW w:w="4962" w:type="dxa"/>
            <w:gridSpan w:val="2"/>
            <w:shd w:val="clear" w:color="auto" w:fill="FFFFFF"/>
          </w:tcPr>
          <w:p w14:paraId="12491298" w14:textId="3F5F791A"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Неглижиране на културните ценности заради търговски и инвестиционни интереси.</w:t>
            </w:r>
          </w:p>
        </w:tc>
      </w:tr>
      <w:tr w:rsidR="006F4640" w:rsidRPr="00C717D0" w14:paraId="05726DA9" w14:textId="77777777" w:rsidTr="00AE254B">
        <w:tc>
          <w:tcPr>
            <w:tcW w:w="4962" w:type="dxa"/>
            <w:shd w:val="clear" w:color="auto" w:fill="FFFFFF"/>
          </w:tcPr>
          <w:p w14:paraId="7A19B97C" w14:textId="004E4FA6" w:rsidR="006F4640" w:rsidRPr="00610B1B" w:rsidRDefault="006F4640" w:rsidP="00AE254B">
            <w:pPr>
              <w:pStyle w:val="Normal1"/>
              <w:spacing w:before="20" w:after="20"/>
              <w:rPr>
                <w:color w:val="000000" w:themeColor="text1"/>
                <w:sz w:val="24"/>
                <w:szCs w:val="24"/>
              </w:rPr>
            </w:pPr>
            <w:r w:rsidRPr="00610B1B">
              <w:rPr>
                <w:sz w:val="24"/>
                <w:szCs w:val="24"/>
              </w:rPr>
              <w:t>Изследване и експониране на дълбоководни корабокрушения</w:t>
            </w:r>
            <w:r w:rsidR="003915DA" w:rsidRPr="00610B1B">
              <w:rPr>
                <w:sz w:val="24"/>
                <w:szCs w:val="24"/>
              </w:rPr>
              <w:t>.</w:t>
            </w:r>
          </w:p>
        </w:tc>
        <w:tc>
          <w:tcPr>
            <w:tcW w:w="4962" w:type="dxa"/>
            <w:gridSpan w:val="2"/>
            <w:shd w:val="clear" w:color="auto" w:fill="FFFFFF"/>
          </w:tcPr>
          <w:p w14:paraId="47EDB62B" w14:textId="33A3C2DD" w:rsidR="005F0F25" w:rsidRPr="00610B1B" w:rsidRDefault="00954279" w:rsidP="00AE254B">
            <w:pPr>
              <w:pStyle w:val="Normal1"/>
              <w:spacing w:before="20" w:after="20"/>
              <w:rPr>
                <w:sz w:val="24"/>
                <w:szCs w:val="24"/>
              </w:rPr>
            </w:pPr>
            <w:r w:rsidRPr="00610B1B">
              <w:rPr>
                <w:sz w:val="24"/>
                <w:szCs w:val="24"/>
              </w:rPr>
              <w:t xml:space="preserve">Разрушаване на </w:t>
            </w:r>
            <w:r w:rsidR="003915DA" w:rsidRPr="00610B1B">
              <w:rPr>
                <w:sz w:val="24"/>
                <w:szCs w:val="24"/>
              </w:rPr>
              <w:t>зони с дълбоководни к</w:t>
            </w:r>
            <w:r w:rsidR="006F4640" w:rsidRPr="00610B1B">
              <w:rPr>
                <w:sz w:val="24"/>
                <w:szCs w:val="24"/>
              </w:rPr>
              <w:t xml:space="preserve">орабокрушения </w:t>
            </w:r>
            <w:r w:rsidR="003915DA" w:rsidRPr="00610B1B">
              <w:rPr>
                <w:sz w:val="24"/>
                <w:szCs w:val="24"/>
              </w:rPr>
              <w:t>поради</w:t>
            </w:r>
            <w:r w:rsidR="006F4640" w:rsidRPr="00610B1B">
              <w:rPr>
                <w:sz w:val="24"/>
                <w:szCs w:val="24"/>
              </w:rPr>
              <w:t xml:space="preserve"> трален риболов </w:t>
            </w:r>
            <w:r w:rsidR="003915DA" w:rsidRPr="00610B1B">
              <w:rPr>
                <w:sz w:val="24"/>
                <w:szCs w:val="24"/>
              </w:rPr>
              <w:t>или и</w:t>
            </w:r>
            <w:r w:rsidR="006F4640" w:rsidRPr="00610B1B">
              <w:rPr>
                <w:sz w:val="24"/>
                <w:szCs w:val="24"/>
              </w:rPr>
              <w:t>зграждане на подводна инфраструктура</w:t>
            </w:r>
            <w:r w:rsidR="003915DA" w:rsidRPr="00610B1B">
              <w:rPr>
                <w:sz w:val="24"/>
                <w:szCs w:val="24"/>
              </w:rPr>
              <w:t>.</w:t>
            </w:r>
          </w:p>
        </w:tc>
      </w:tr>
      <w:tr w:rsidR="006F4640" w:rsidRPr="00610B1B" w14:paraId="2092455D" w14:textId="77777777" w:rsidTr="00AE254B">
        <w:tc>
          <w:tcPr>
            <w:tcW w:w="9924" w:type="dxa"/>
            <w:gridSpan w:val="3"/>
            <w:shd w:val="clear" w:color="auto" w:fill="92CDDC"/>
          </w:tcPr>
          <w:p w14:paraId="0B178692" w14:textId="64D01F5F" w:rsidR="006F4640" w:rsidRPr="00610B1B" w:rsidRDefault="006F4640" w:rsidP="00AE254B">
            <w:pPr>
              <w:pStyle w:val="Normal1"/>
              <w:spacing w:before="20" w:after="20"/>
              <w:jc w:val="center"/>
              <w:rPr>
                <w:b/>
                <w:color w:val="000000" w:themeColor="text1"/>
                <w:sz w:val="24"/>
                <w:szCs w:val="24"/>
              </w:rPr>
            </w:pPr>
            <w:r w:rsidRPr="00610B1B">
              <w:rPr>
                <w:b/>
                <w:color w:val="002060"/>
                <w:sz w:val="24"/>
                <w:szCs w:val="24"/>
              </w:rPr>
              <w:t>ТЕРИТОРИАЛНО СЪТРУДНИЧЕСТВО</w:t>
            </w:r>
          </w:p>
        </w:tc>
      </w:tr>
      <w:tr w:rsidR="006F4640" w:rsidRPr="00610B1B" w14:paraId="47185C56" w14:textId="77777777" w:rsidTr="00AE254B">
        <w:tc>
          <w:tcPr>
            <w:tcW w:w="4962" w:type="dxa"/>
            <w:shd w:val="clear" w:color="auto" w:fill="BEE6F0"/>
          </w:tcPr>
          <w:p w14:paraId="597411AA" w14:textId="4281214C" w:rsidR="006F4640" w:rsidRPr="00610B1B" w:rsidRDefault="006F4640" w:rsidP="00AE254B">
            <w:pPr>
              <w:pStyle w:val="Normal1"/>
              <w:spacing w:before="20" w:after="20"/>
              <w:jc w:val="center"/>
              <w:rPr>
                <w:b/>
                <w:color w:val="000000" w:themeColor="text1"/>
                <w:sz w:val="24"/>
                <w:szCs w:val="24"/>
              </w:rPr>
            </w:pPr>
            <w:r w:rsidRPr="00610B1B">
              <w:rPr>
                <w:b/>
                <w:color w:val="000000" w:themeColor="text1"/>
                <w:sz w:val="24"/>
                <w:szCs w:val="24"/>
              </w:rPr>
              <w:t>Силни страни</w:t>
            </w:r>
          </w:p>
        </w:tc>
        <w:tc>
          <w:tcPr>
            <w:tcW w:w="4962" w:type="dxa"/>
            <w:gridSpan w:val="2"/>
            <w:shd w:val="clear" w:color="auto" w:fill="BEE6F0"/>
          </w:tcPr>
          <w:p w14:paraId="54D694D4" w14:textId="308A38EC" w:rsidR="006F4640" w:rsidRPr="00610B1B" w:rsidRDefault="006F4640" w:rsidP="00AE254B">
            <w:pPr>
              <w:pStyle w:val="Normal1"/>
              <w:spacing w:before="20" w:after="20"/>
              <w:jc w:val="center"/>
              <w:rPr>
                <w:b/>
                <w:color w:val="000000" w:themeColor="text1"/>
                <w:sz w:val="24"/>
                <w:szCs w:val="24"/>
              </w:rPr>
            </w:pPr>
            <w:r w:rsidRPr="00610B1B">
              <w:rPr>
                <w:b/>
                <w:color w:val="000000" w:themeColor="text1"/>
                <w:sz w:val="24"/>
                <w:szCs w:val="24"/>
              </w:rPr>
              <w:t>Слаби страни</w:t>
            </w:r>
          </w:p>
        </w:tc>
      </w:tr>
      <w:tr w:rsidR="006F4640" w:rsidRPr="00C717D0" w14:paraId="6944453B" w14:textId="77777777" w:rsidTr="00AE254B">
        <w:tc>
          <w:tcPr>
            <w:tcW w:w="4962" w:type="dxa"/>
          </w:tcPr>
          <w:p w14:paraId="4A2A18D8" w14:textId="22C8AC2B" w:rsidR="006F4640" w:rsidRPr="00610B1B" w:rsidRDefault="006F4640" w:rsidP="00AE254B">
            <w:pPr>
              <w:spacing w:before="20" w:after="20" w:line="240" w:lineRule="auto"/>
              <w:rPr>
                <w:rFonts w:ascii="Times New Roman" w:hAnsi="Times New Roman" w:cs="Times New Roman"/>
                <w:iCs/>
                <w:sz w:val="24"/>
                <w:szCs w:val="24"/>
                <w:lang w:val="bg-BG"/>
              </w:rPr>
            </w:pPr>
            <w:r w:rsidRPr="00610B1B">
              <w:rPr>
                <w:rFonts w:ascii="Times New Roman" w:hAnsi="Times New Roman" w:cs="Times New Roman"/>
                <w:sz w:val="24"/>
                <w:szCs w:val="24"/>
                <w:lang w:val="bg-BG"/>
              </w:rPr>
              <w:t xml:space="preserve">Обусловено от ратифицирани международни документи сътрудничество, което води до </w:t>
            </w:r>
            <w:r w:rsidRPr="00610B1B">
              <w:rPr>
                <w:rFonts w:ascii="Times New Roman" w:hAnsi="Times New Roman" w:cs="Times New Roman"/>
                <w:iCs/>
                <w:sz w:val="24"/>
                <w:szCs w:val="24"/>
                <w:lang w:val="bg-BG"/>
              </w:rPr>
              <w:t>координирани политики и съгласувани</w:t>
            </w:r>
            <w:r w:rsidR="00D66FE0" w:rsidRPr="00610B1B">
              <w:rPr>
                <w:rFonts w:ascii="Times New Roman" w:hAnsi="Times New Roman" w:cs="Times New Roman"/>
                <w:iCs/>
                <w:sz w:val="24"/>
                <w:szCs w:val="24"/>
                <w:lang w:val="bg-BG"/>
              </w:rPr>
              <w:t xml:space="preserve"> </w:t>
            </w:r>
            <w:r w:rsidRPr="00610B1B">
              <w:rPr>
                <w:rFonts w:ascii="Times New Roman" w:hAnsi="Times New Roman" w:cs="Times New Roman"/>
                <w:iCs/>
                <w:sz w:val="24"/>
                <w:szCs w:val="24"/>
                <w:lang w:val="bg-BG"/>
              </w:rPr>
              <w:t>мерки въпреки различните юрисдикции.</w:t>
            </w:r>
          </w:p>
        </w:tc>
        <w:tc>
          <w:tcPr>
            <w:tcW w:w="4962" w:type="dxa"/>
            <w:gridSpan w:val="2"/>
            <w:shd w:val="clear" w:color="auto" w:fill="FFFFFF"/>
          </w:tcPr>
          <w:p w14:paraId="4C07FB66" w14:textId="5A0DDA84" w:rsidR="009A5503" w:rsidRPr="002E22F4" w:rsidRDefault="009A5503" w:rsidP="00AE254B">
            <w:pPr>
              <w:spacing w:before="20" w:after="20" w:line="240" w:lineRule="auto"/>
              <w:rPr>
                <w:rFonts w:ascii="Times New Roman" w:hAnsi="Times New Roman" w:cs="Times New Roman"/>
                <w:sz w:val="24"/>
                <w:szCs w:val="24"/>
                <w:lang w:val="bg-BG"/>
              </w:rPr>
            </w:pPr>
            <w:r w:rsidRPr="00C717D0">
              <w:rPr>
                <w:rFonts w:ascii="Times New Roman" w:hAnsi="Times New Roman" w:cs="Times New Roman"/>
                <w:sz w:val="24"/>
                <w:szCs w:val="24"/>
                <w:lang w:val="bg-BG"/>
              </w:rPr>
              <w:t>„Незавършен процес на делимитация на морските пространства в Черно море между Република България и Румъния“.</w:t>
            </w:r>
          </w:p>
        </w:tc>
      </w:tr>
      <w:tr w:rsidR="006F4640" w:rsidRPr="00C717D0" w14:paraId="13451390" w14:textId="77777777" w:rsidTr="00AE254B">
        <w:tc>
          <w:tcPr>
            <w:tcW w:w="4962" w:type="dxa"/>
          </w:tcPr>
          <w:p w14:paraId="3CAC3C34" w14:textId="37AE7E63" w:rsidR="006F4640" w:rsidRPr="00610B1B" w:rsidRDefault="006F4640" w:rsidP="00AE254B">
            <w:pPr>
              <w:spacing w:before="20" w:after="20" w:line="240" w:lineRule="auto"/>
              <w:rPr>
                <w:rFonts w:ascii="Times New Roman" w:hAnsi="Times New Roman" w:cs="Times New Roman"/>
                <w:sz w:val="24"/>
                <w:szCs w:val="24"/>
                <w:lang w:val="bg-BG"/>
              </w:rPr>
            </w:pPr>
            <w:r w:rsidRPr="00610B1B">
              <w:rPr>
                <w:rFonts w:ascii="Times New Roman" w:hAnsi="Times New Roman" w:cs="Times New Roman"/>
                <w:sz w:val="24"/>
                <w:szCs w:val="24"/>
                <w:lang w:val="bg-BG"/>
              </w:rPr>
              <w:t>Възможности за подобряване на ефективността на планирането и управлението на крайбрежните и морските ресурси и дейности в морското пространствено планиране</w:t>
            </w:r>
            <w:r w:rsidR="003915DA" w:rsidRPr="00610B1B">
              <w:rPr>
                <w:rFonts w:ascii="Times New Roman" w:hAnsi="Times New Roman" w:cs="Times New Roman"/>
                <w:sz w:val="24"/>
                <w:szCs w:val="24"/>
                <w:lang w:val="bg-BG"/>
              </w:rPr>
              <w:t xml:space="preserve"> чрез </w:t>
            </w:r>
            <w:r w:rsidRPr="00610B1B">
              <w:rPr>
                <w:rFonts w:ascii="Times New Roman" w:hAnsi="Times New Roman" w:cs="Times New Roman"/>
                <w:sz w:val="24"/>
                <w:szCs w:val="24"/>
                <w:lang w:val="bg-BG"/>
              </w:rPr>
              <w:t>ТС.</w:t>
            </w:r>
          </w:p>
        </w:tc>
        <w:tc>
          <w:tcPr>
            <w:tcW w:w="4962" w:type="dxa"/>
            <w:gridSpan w:val="2"/>
            <w:shd w:val="clear" w:color="auto" w:fill="FFFFFF"/>
          </w:tcPr>
          <w:p w14:paraId="368E7C58" w14:textId="6735C8D7" w:rsidR="006F4640" w:rsidRPr="00610B1B" w:rsidRDefault="006F4640" w:rsidP="00AE254B">
            <w:pPr>
              <w:spacing w:before="20" w:after="20" w:line="240" w:lineRule="auto"/>
              <w:rPr>
                <w:rFonts w:ascii="Times New Roman" w:hAnsi="Times New Roman" w:cs="Times New Roman"/>
                <w:bCs/>
                <w:sz w:val="24"/>
                <w:szCs w:val="24"/>
                <w:lang w:val="bg-BG"/>
              </w:rPr>
            </w:pPr>
            <w:r w:rsidRPr="00610B1B">
              <w:rPr>
                <w:rFonts w:ascii="Times New Roman" w:hAnsi="Times New Roman" w:cs="Times New Roman"/>
                <w:bCs/>
                <w:sz w:val="24"/>
                <w:szCs w:val="24"/>
                <w:lang w:val="bg-BG"/>
              </w:rPr>
              <w:t>Силна зависимост и уязвимост на териториалното сътрудничество от политическите фактори.</w:t>
            </w:r>
          </w:p>
        </w:tc>
      </w:tr>
      <w:tr w:rsidR="006F4640" w:rsidRPr="00C717D0" w14:paraId="31B3F77E" w14:textId="77777777" w:rsidTr="00AE254B">
        <w:tc>
          <w:tcPr>
            <w:tcW w:w="4962" w:type="dxa"/>
          </w:tcPr>
          <w:p w14:paraId="387830E2" w14:textId="77777777" w:rsidR="006F4640" w:rsidRPr="00610B1B" w:rsidRDefault="006F4640" w:rsidP="00AE254B">
            <w:pPr>
              <w:pStyle w:val="Normal1"/>
              <w:spacing w:before="20" w:after="20"/>
              <w:rPr>
                <w:sz w:val="24"/>
                <w:szCs w:val="24"/>
              </w:rPr>
            </w:pPr>
            <w:r w:rsidRPr="00610B1B">
              <w:rPr>
                <w:sz w:val="24"/>
                <w:szCs w:val="24"/>
              </w:rPr>
              <w:t xml:space="preserve">Създадени механизми за съвместното управление на общи ресурси и възможност за координирана реакция на общи заплахи, което превръща ТС в незаменим инструмент за решаване </w:t>
            </w:r>
            <w:r w:rsidR="003915DA" w:rsidRPr="00610B1B">
              <w:rPr>
                <w:sz w:val="24"/>
                <w:szCs w:val="24"/>
              </w:rPr>
              <w:t xml:space="preserve">на </w:t>
            </w:r>
            <w:r w:rsidRPr="00610B1B">
              <w:rPr>
                <w:sz w:val="24"/>
                <w:szCs w:val="24"/>
              </w:rPr>
              <w:t xml:space="preserve">глобални проблеми като климатични промени, пандемии, общи заплахи за сигурността, бедствия в морето. </w:t>
            </w:r>
          </w:p>
          <w:p w14:paraId="5CE158DA" w14:textId="01AADF90" w:rsidR="009907CE" w:rsidRPr="00610B1B" w:rsidRDefault="009907CE" w:rsidP="00AE254B">
            <w:pPr>
              <w:pStyle w:val="Normal1"/>
              <w:spacing w:before="20" w:after="20"/>
              <w:rPr>
                <w:color w:val="000000" w:themeColor="text1"/>
                <w:sz w:val="24"/>
                <w:szCs w:val="24"/>
              </w:rPr>
            </w:pPr>
          </w:p>
        </w:tc>
        <w:tc>
          <w:tcPr>
            <w:tcW w:w="4962" w:type="dxa"/>
            <w:gridSpan w:val="2"/>
            <w:shd w:val="clear" w:color="auto" w:fill="FFFFFF"/>
          </w:tcPr>
          <w:p w14:paraId="4C1A8D85" w14:textId="39E7A859"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Липса на консенсус поради сериозно разминаване между визиите за развитие на отделните държави, което се отразява на трансграничното сътрудничество.</w:t>
            </w:r>
          </w:p>
        </w:tc>
      </w:tr>
      <w:tr w:rsidR="006F4640" w:rsidRPr="00610B1B" w14:paraId="35F952A4" w14:textId="77777777" w:rsidTr="00AE254B">
        <w:tc>
          <w:tcPr>
            <w:tcW w:w="4962" w:type="dxa"/>
            <w:shd w:val="clear" w:color="auto" w:fill="BEE6F0"/>
          </w:tcPr>
          <w:p w14:paraId="5C6F4A82" w14:textId="423F5419" w:rsidR="006F4640" w:rsidRPr="00610B1B" w:rsidRDefault="006F4640" w:rsidP="00AE254B">
            <w:pPr>
              <w:pStyle w:val="Normal1"/>
              <w:spacing w:before="20" w:after="20"/>
              <w:jc w:val="center"/>
              <w:rPr>
                <w:color w:val="000000" w:themeColor="text1"/>
                <w:sz w:val="24"/>
                <w:szCs w:val="24"/>
              </w:rPr>
            </w:pPr>
            <w:r w:rsidRPr="00610B1B">
              <w:rPr>
                <w:b/>
                <w:color w:val="000000" w:themeColor="text1"/>
                <w:sz w:val="24"/>
                <w:szCs w:val="24"/>
              </w:rPr>
              <w:t>Възможности</w:t>
            </w:r>
          </w:p>
        </w:tc>
        <w:tc>
          <w:tcPr>
            <w:tcW w:w="4962" w:type="dxa"/>
            <w:gridSpan w:val="2"/>
            <w:shd w:val="clear" w:color="auto" w:fill="BEE6F0"/>
          </w:tcPr>
          <w:p w14:paraId="348A3AAA" w14:textId="128A0CE4" w:rsidR="006F4640" w:rsidRPr="00610B1B" w:rsidRDefault="006F4640" w:rsidP="00AE254B">
            <w:pPr>
              <w:pStyle w:val="Normal1"/>
              <w:spacing w:before="20" w:after="20"/>
              <w:jc w:val="center"/>
              <w:rPr>
                <w:color w:val="000000" w:themeColor="text1"/>
                <w:sz w:val="24"/>
                <w:szCs w:val="24"/>
              </w:rPr>
            </w:pPr>
            <w:r w:rsidRPr="00610B1B">
              <w:rPr>
                <w:b/>
                <w:color w:val="000000" w:themeColor="text1"/>
                <w:sz w:val="24"/>
                <w:szCs w:val="24"/>
              </w:rPr>
              <w:t>Заплахи</w:t>
            </w:r>
          </w:p>
        </w:tc>
      </w:tr>
      <w:tr w:rsidR="006F4640" w:rsidRPr="00C717D0" w14:paraId="71F6EE2A" w14:textId="77777777" w:rsidTr="00AE254B">
        <w:tc>
          <w:tcPr>
            <w:tcW w:w="4962" w:type="dxa"/>
          </w:tcPr>
          <w:p w14:paraId="722BDCF2" w14:textId="50018A13" w:rsidR="006F4640" w:rsidRPr="00610B1B" w:rsidRDefault="006F4640" w:rsidP="00AE254B">
            <w:pPr>
              <w:spacing w:before="20" w:after="20" w:line="240" w:lineRule="auto"/>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Разширяващ се диалог с Европейската комисия </w:t>
            </w:r>
            <w:r w:rsidR="003915DA" w:rsidRPr="00610B1B">
              <w:rPr>
                <w:rFonts w:ascii="Times New Roman" w:hAnsi="Times New Roman" w:cs="Times New Roman"/>
                <w:sz w:val="24"/>
                <w:szCs w:val="24"/>
                <w:lang w:val="bg-BG"/>
              </w:rPr>
              <w:t xml:space="preserve">и </w:t>
            </w:r>
            <w:r w:rsidRPr="00610B1B">
              <w:rPr>
                <w:rFonts w:ascii="Times New Roman" w:hAnsi="Times New Roman" w:cs="Times New Roman"/>
                <w:sz w:val="24"/>
                <w:szCs w:val="24"/>
                <w:lang w:val="bg-BG"/>
              </w:rPr>
              <w:t>със заинтересованите лица (публични и частни) за повишаване на капацитет</w:t>
            </w:r>
            <w:r w:rsidR="00954279"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 xml:space="preserve"> и постигане на съгласуваност и координация между основни сектори на сините икономики на страните</w:t>
            </w:r>
            <w:r w:rsidR="00954279"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възможности за съвместни проекти.</w:t>
            </w:r>
          </w:p>
        </w:tc>
        <w:tc>
          <w:tcPr>
            <w:tcW w:w="4962" w:type="dxa"/>
            <w:gridSpan w:val="2"/>
          </w:tcPr>
          <w:p w14:paraId="17C815BF" w14:textId="2125A992" w:rsidR="006F4640" w:rsidRPr="00610B1B" w:rsidRDefault="006F4640" w:rsidP="00AE254B">
            <w:pPr>
              <w:spacing w:before="20" w:after="20" w:line="240" w:lineRule="auto"/>
              <w:rPr>
                <w:rFonts w:ascii="Times New Roman" w:hAnsi="Times New Roman" w:cs="Times New Roman"/>
                <w:sz w:val="24"/>
                <w:szCs w:val="24"/>
                <w:lang w:val="bg-BG"/>
              </w:rPr>
            </w:pPr>
            <w:r w:rsidRPr="00610B1B">
              <w:rPr>
                <w:rFonts w:ascii="Times New Roman" w:hAnsi="Times New Roman" w:cs="Times New Roman"/>
                <w:sz w:val="24"/>
                <w:szCs w:val="24"/>
                <w:lang w:val="bg-BG"/>
              </w:rPr>
              <w:t>Различна степен на ангажираност на отделните държави с намаляване на въглеродните емисии, което ограничава възможностите за формулиране на обща регионална политика за „Синя икономика”.</w:t>
            </w:r>
          </w:p>
        </w:tc>
      </w:tr>
      <w:tr w:rsidR="006F4640" w:rsidRPr="00C717D0" w14:paraId="4DC6C477" w14:textId="77777777" w:rsidTr="00AE254B">
        <w:tc>
          <w:tcPr>
            <w:tcW w:w="4962" w:type="dxa"/>
            <w:shd w:val="clear" w:color="auto" w:fill="FFFFFF"/>
          </w:tcPr>
          <w:p w14:paraId="1E73E86B" w14:textId="17A2D8FE" w:rsidR="006F4640" w:rsidRPr="00610B1B" w:rsidRDefault="00954279" w:rsidP="00AE254B">
            <w:pPr>
              <w:pStyle w:val="Normal1"/>
              <w:spacing w:before="20" w:after="20"/>
              <w:rPr>
                <w:color w:val="000000" w:themeColor="text1"/>
                <w:sz w:val="24"/>
                <w:szCs w:val="24"/>
              </w:rPr>
            </w:pPr>
            <w:r w:rsidRPr="00610B1B">
              <w:rPr>
                <w:color w:val="000000" w:themeColor="text1"/>
                <w:sz w:val="24"/>
                <w:szCs w:val="24"/>
              </w:rPr>
              <w:t xml:space="preserve">Непрекъснато </w:t>
            </w:r>
            <w:r w:rsidR="006F4640" w:rsidRPr="00610B1B">
              <w:rPr>
                <w:color w:val="000000" w:themeColor="text1"/>
                <w:sz w:val="24"/>
                <w:szCs w:val="24"/>
              </w:rPr>
              <w:t>развиваща се във времето система от институции на ОЧИС разширяващи се</w:t>
            </w:r>
            <w:r w:rsidR="00D66FE0" w:rsidRPr="00610B1B">
              <w:rPr>
                <w:color w:val="000000" w:themeColor="text1"/>
                <w:sz w:val="24"/>
                <w:szCs w:val="24"/>
              </w:rPr>
              <w:t xml:space="preserve"> </w:t>
            </w:r>
            <w:r w:rsidR="006F4640" w:rsidRPr="00610B1B">
              <w:rPr>
                <w:color w:val="000000" w:themeColor="text1"/>
                <w:sz w:val="24"/>
                <w:szCs w:val="24"/>
              </w:rPr>
              <w:t>икономическо, търговско, социално, културно и политическо сътрудничество.</w:t>
            </w:r>
          </w:p>
        </w:tc>
        <w:tc>
          <w:tcPr>
            <w:tcW w:w="4962" w:type="dxa"/>
            <w:gridSpan w:val="2"/>
            <w:shd w:val="clear" w:color="auto" w:fill="FFFFFF"/>
          </w:tcPr>
          <w:p w14:paraId="17F4F8F6" w14:textId="4E51FD0C"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Конфликтите</w:t>
            </w:r>
            <w:r w:rsidR="003915DA" w:rsidRPr="00610B1B">
              <w:rPr>
                <w:color w:val="000000" w:themeColor="text1"/>
                <w:sz w:val="24"/>
                <w:szCs w:val="24"/>
              </w:rPr>
              <w:t>,</w:t>
            </w:r>
            <w:r w:rsidRPr="00610B1B">
              <w:rPr>
                <w:color w:val="000000" w:themeColor="text1"/>
                <w:sz w:val="24"/>
                <w:szCs w:val="24"/>
              </w:rPr>
              <w:t xml:space="preserve"> свързани с анексирането на Крим от Руската федерация са пряка заплаха за неформалното осъществяване на трансгранично сътрудничество.</w:t>
            </w:r>
          </w:p>
          <w:p w14:paraId="5FA811FB" w14:textId="7B643731" w:rsidR="006F4640" w:rsidRPr="00610B1B" w:rsidRDefault="006F4640" w:rsidP="00AE254B">
            <w:pPr>
              <w:pStyle w:val="Normal1"/>
              <w:spacing w:before="20" w:after="20"/>
              <w:rPr>
                <w:color w:val="000000" w:themeColor="text1"/>
                <w:sz w:val="24"/>
                <w:szCs w:val="24"/>
              </w:rPr>
            </w:pPr>
          </w:p>
        </w:tc>
      </w:tr>
      <w:tr w:rsidR="006F4640" w:rsidRPr="00C717D0" w14:paraId="49EE8B1D" w14:textId="77777777" w:rsidTr="00AE254B">
        <w:tc>
          <w:tcPr>
            <w:tcW w:w="4962" w:type="dxa"/>
            <w:shd w:val="clear" w:color="auto" w:fill="FFFFFF"/>
          </w:tcPr>
          <w:p w14:paraId="62E9B135" w14:textId="622C4AC5"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lastRenderedPageBreak/>
              <w:t>Създаване на съвместни програми за мониторинг на морската среда, намаляването на отпадъците, шума и замърсяването.</w:t>
            </w:r>
          </w:p>
        </w:tc>
        <w:tc>
          <w:tcPr>
            <w:tcW w:w="4962" w:type="dxa"/>
            <w:gridSpan w:val="2"/>
            <w:shd w:val="clear" w:color="auto" w:fill="FFFFFF"/>
          </w:tcPr>
          <w:p w14:paraId="3A402595" w14:textId="3DA5170D" w:rsidR="006F4640" w:rsidRPr="00610B1B" w:rsidRDefault="006F4640" w:rsidP="00AE254B">
            <w:pPr>
              <w:pStyle w:val="Normal1"/>
              <w:spacing w:before="20" w:after="20"/>
              <w:rPr>
                <w:color w:val="000000" w:themeColor="text1"/>
                <w:sz w:val="24"/>
                <w:szCs w:val="24"/>
              </w:rPr>
            </w:pPr>
            <w:r w:rsidRPr="00610B1B">
              <w:rPr>
                <w:color w:val="000000" w:themeColor="text1"/>
                <w:sz w:val="24"/>
                <w:szCs w:val="24"/>
              </w:rPr>
              <w:t>Продължаваща криза с коронавируса</w:t>
            </w:r>
            <w:r w:rsidR="00D66FE0" w:rsidRPr="00610B1B">
              <w:rPr>
                <w:color w:val="000000" w:themeColor="text1"/>
                <w:sz w:val="24"/>
                <w:szCs w:val="24"/>
              </w:rPr>
              <w:t xml:space="preserve"> </w:t>
            </w:r>
            <w:r w:rsidR="003915DA" w:rsidRPr="00610B1B">
              <w:rPr>
                <w:color w:val="000000" w:themeColor="text1"/>
                <w:sz w:val="24"/>
                <w:szCs w:val="24"/>
              </w:rPr>
              <w:t xml:space="preserve">и </w:t>
            </w:r>
            <w:r w:rsidRPr="00610B1B">
              <w:rPr>
                <w:color w:val="000000" w:themeColor="text1"/>
                <w:sz w:val="24"/>
                <w:szCs w:val="24"/>
              </w:rPr>
              <w:t>затв</w:t>
            </w:r>
            <w:r w:rsidR="003915DA" w:rsidRPr="00610B1B">
              <w:rPr>
                <w:color w:val="000000" w:themeColor="text1"/>
                <w:sz w:val="24"/>
                <w:szCs w:val="24"/>
              </w:rPr>
              <w:t>аряне на</w:t>
            </w:r>
            <w:r w:rsidRPr="00610B1B">
              <w:rPr>
                <w:color w:val="000000" w:themeColor="text1"/>
                <w:sz w:val="24"/>
                <w:szCs w:val="24"/>
              </w:rPr>
              <w:t xml:space="preserve"> държавните граници</w:t>
            </w:r>
            <w:r w:rsidR="003915DA" w:rsidRPr="00610B1B">
              <w:rPr>
                <w:color w:val="000000" w:themeColor="text1"/>
                <w:sz w:val="24"/>
                <w:szCs w:val="24"/>
              </w:rPr>
              <w:t>,</w:t>
            </w:r>
            <w:r w:rsidRPr="00610B1B">
              <w:rPr>
                <w:color w:val="000000" w:themeColor="text1"/>
                <w:sz w:val="24"/>
                <w:szCs w:val="24"/>
              </w:rPr>
              <w:t xml:space="preserve"> прекъс</w:t>
            </w:r>
            <w:r w:rsidR="003915DA" w:rsidRPr="00610B1B">
              <w:rPr>
                <w:color w:val="000000" w:themeColor="text1"/>
                <w:sz w:val="24"/>
                <w:szCs w:val="24"/>
              </w:rPr>
              <w:t xml:space="preserve">ване на </w:t>
            </w:r>
            <w:r w:rsidRPr="00610B1B">
              <w:rPr>
                <w:color w:val="000000" w:themeColor="text1"/>
                <w:sz w:val="24"/>
                <w:szCs w:val="24"/>
              </w:rPr>
              <w:t>международния обмен на хора и товари</w:t>
            </w:r>
            <w:r w:rsidR="003915DA" w:rsidRPr="00610B1B">
              <w:rPr>
                <w:color w:val="000000" w:themeColor="text1"/>
                <w:sz w:val="24"/>
                <w:szCs w:val="24"/>
              </w:rPr>
              <w:t>.</w:t>
            </w:r>
            <w:r w:rsidR="00D66FE0" w:rsidRPr="00610B1B">
              <w:rPr>
                <w:color w:val="000000" w:themeColor="text1"/>
                <w:sz w:val="24"/>
                <w:szCs w:val="24"/>
              </w:rPr>
              <w:t xml:space="preserve"> </w:t>
            </w:r>
            <w:r w:rsidR="00B6058C" w:rsidRPr="00610B1B">
              <w:rPr>
                <w:color w:val="000000" w:themeColor="text1"/>
                <w:sz w:val="24"/>
                <w:szCs w:val="24"/>
              </w:rPr>
              <w:t xml:space="preserve">Ориентиране на </w:t>
            </w:r>
            <w:r w:rsidRPr="00610B1B">
              <w:rPr>
                <w:color w:val="000000" w:themeColor="text1"/>
                <w:sz w:val="24"/>
                <w:szCs w:val="24"/>
              </w:rPr>
              <w:t xml:space="preserve">мерките за намаляване щетите от пандемията към вътрешните проблеми и </w:t>
            </w:r>
            <w:r w:rsidR="00B6058C" w:rsidRPr="00610B1B">
              <w:rPr>
                <w:color w:val="000000" w:themeColor="text1"/>
                <w:sz w:val="24"/>
                <w:szCs w:val="24"/>
              </w:rPr>
              <w:t xml:space="preserve">оставяне на заден план </w:t>
            </w:r>
            <w:r w:rsidRPr="00610B1B">
              <w:rPr>
                <w:color w:val="000000" w:themeColor="text1"/>
                <w:sz w:val="24"/>
                <w:szCs w:val="24"/>
              </w:rPr>
              <w:t>трансграничните контакти.</w:t>
            </w:r>
          </w:p>
        </w:tc>
      </w:tr>
    </w:tbl>
    <w:p w14:paraId="22FD9412" w14:textId="4087AC83" w:rsidR="00ED118F" w:rsidRPr="00610B1B" w:rsidRDefault="00ED118F" w:rsidP="00D32D6A">
      <w:pPr>
        <w:spacing w:after="120"/>
        <w:ind w:right="-153"/>
        <w:rPr>
          <w:rFonts w:ascii="Times New Roman" w:hAnsi="Times New Roman" w:cs="Times New Roman"/>
          <w:color w:val="000000" w:themeColor="text1"/>
          <w:lang w:val="bg-BG"/>
        </w:rPr>
      </w:pPr>
      <w:r w:rsidRPr="00610B1B">
        <w:rPr>
          <w:rFonts w:ascii="Times New Roman" w:hAnsi="Times New Roman" w:cs="Times New Roman"/>
          <w:color w:val="000000" w:themeColor="text1"/>
          <w:lang w:val="bg-BG"/>
        </w:rPr>
        <w:br w:type="page"/>
      </w:r>
    </w:p>
    <w:p w14:paraId="3106CC9C" w14:textId="40733B1D" w:rsidR="005F7D40" w:rsidRPr="00610B1B" w:rsidRDefault="007F718F" w:rsidP="00D32D6A">
      <w:pPr>
        <w:pStyle w:val="Heading1"/>
        <w:spacing w:before="0" w:line="276" w:lineRule="auto"/>
        <w:rPr>
          <w:rFonts w:cs="Times New Roman"/>
        </w:rPr>
      </w:pPr>
      <w:bookmarkStart w:id="427" w:name="_Toc83391405"/>
      <w:r w:rsidRPr="00610B1B">
        <w:rPr>
          <w:rStyle w:val="Heading1Char"/>
          <w:rFonts w:cs="Times New Roman"/>
          <w:b/>
          <w:bCs/>
        </w:rPr>
        <w:lastRenderedPageBreak/>
        <w:t xml:space="preserve">4. </w:t>
      </w:r>
      <w:r w:rsidR="0005362C" w:rsidRPr="00610B1B">
        <w:rPr>
          <w:rFonts w:cs="Times New Roman"/>
        </w:rPr>
        <w:t>ПРОГНОЗИ ЗА РАЗВИТИЕ</w:t>
      </w:r>
      <w:r w:rsidR="006E2B4B" w:rsidRPr="00610B1B">
        <w:rPr>
          <w:rFonts w:cs="Times New Roman"/>
        </w:rPr>
        <w:t xml:space="preserve"> И</w:t>
      </w:r>
      <w:r w:rsidR="0005362C" w:rsidRPr="00610B1B">
        <w:rPr>
          <w:rFonts w:cs="Times New Roman"/>
        </w:rPr>
        <w:t xml:space="preserve"> ОПАЗВАНЕ НА МОРСК</w:t>
      </w:r>
      <w:r w:rsidR="0075098D" w:rsidRPr="00610B1B">
        <w:rPr>
          <w:rFonts w:cs="Times New Roman"/>
        </w:rPr>
        <w:t>И</w:t>
      </w:r>
      <w:r w:rsidR="0005362C" w:rsidRPr="00610B1B">
        <w:rPr>
          <w:rFonts w:cs="Times New Roman"/>
        </w:rPr>
        <w:t>Т</w:t>
      </w:r>
      <w:r w:rsidR="0075098D" w:rsidRPr="00610B1B">
        <w:rPr>
          <w:rFonts w:cs="Times New Roman"/>
        </w:rPr>
        <w:t>Е</w:t>
      </w:r>
      <w:r w:rsidR="0005362C" w:rsidRPr="00610B1B">
        <w:rPr>
          <w:rFonts w:cs="Times New Roman"/>
        </w:rPr>
        <w:t xml:space="preserve"> ПРОСТРАНСТВ</w:t>
      </w:r>
      <w:r w:rsidR="0075098D" w:rsidRPr="00610B1B">
        <w:rPr>
          <w:rFonts w:cs="Times New Roman"/>
        </w:rPr>
        <w:t>А</w:t>
      </w:r>
      <w:bookmarkEnd w:id="427"/>
      <w:r w:rsidR="0050362A" w:rsidRPr="00610B1B">
        <w:rPr>
          <w:rFonts w:cs="Times New Roman"/>
        </w:rPr>
        <w:t xml:space="preserve"> </w:t>
      </w:r>
    </w:p>
    <w:p w14:paraId="3E1E7E43" w14:textId="77777777"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Прогнозите за развитие на социално-икономическия комплекс в морското пространство на Черно море и в прилежащата крайбрежна зона отчитат:</w:t>
      </w:r>
    </w:p>
    <w:p w14:paraId="32DE9F77" w14:textId="77777777" w:rsidR="00442579" w:rsidRPr="00610B1B" w:rsidRDefault="00442579" w:rsidP="00B46189">
      <w:pPr>
        <w:numPr>
          <w:ilvl w:val="0"/>
          <w:numId w:val="16"/>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Действащите законодателни документи в страната, в които са транспонирани основните принципи на международните и европейски документи за морско пространствено планиране;</w:t>
      </w:r>
    </w:p>
    <w:p w14:paraId="21986AE1" w14:textId="77777777" w:rsidR="00442579" w:rsidRPr="00610B1B" w:rsidRDefault="00442579" w:rsidP="00B46189">
      <w:pPr>
        <w:numPr>
          <w:ilvl w:val="0"/>
          <w:numId w:val="16"/>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Изискванията на Техническата спецификация за разработване на Морския пространствен план на Република България (МППРБ);</w:t>
      </w:r>
    </w:p>
    <w:p w14:paraId="6F48FAA0" w14:textId="150B2971" w:rsidR="00442579" w:rsidRPr="00610B1B" w:rsidRDefault="00442579" w:rsidP="00B46189">
      <w:pPr>
        <w:numPr>
          <w:ilvl w:val="0"/>
          <w:numId w:val="16"/>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Факторите, които обуславят перспективното развитие на социално-икономически</w:t>
      </w:r>
      <w:r w:rsidR="00BC0234" w:rsidRPr="00610B1B">
        <w:rPr>
          <w:rFonts w:ascii="Times New Roman" w:eastAsia="Calibri" w:hAnsi="Times New Roman" w:cs="Times New Roman"/>
          <w:bCs/>
          <w:sz w:val="24"/>
          <w:szCs w:val="24"/>
          <w:lang w:val="bg-BG"/>
        </w:rPr>
        <w:t>я</w:t>
      </w:r>
      <w:r w:rsidRPr="00610B1B">
        <w:rPr>
          <w:rFonts w:ascii="Times New Roman" w:eastAsia="Calibri" w:hAnsi="Times New Roman" w:cs="Times New Roman"/>
          <w:bCs/>
          <w:sz w:val="24"/>
          <w:szCs w:val="24"/>
          <w:lang w:val="bg-BG"/>
        </w:rPr>
        <w:t xml:space="preserve"> комплекс при възприетите</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варианти на прогнозните проучвания;</w:t>
      </w:r>
    </w:p>
    <w:p w14:paraId="5DC3B180" w14:textId="1D263EE9" w:rsidR="00442579" w:rsidRPr="00610B1B" w:rsidRDefault="00442579" w:rsidP="00B46189">
      <w:pPr>
        <w:numPr>
          <w:ilvl w:val="0"/>
          <w:numId w:val="16"/>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Етапността на документа – междинен етап до 2024 г. и в дългосрочен план до края на действие на МППРБ – 2035 г.;</w:t>
      </w:r>
    </w:p>
    <w:p w14:paraId="377D7290" w14:textId="77777777" w:rsidR="00442579" w:rsidRPr="00610B1B" w:rsidRDefault="00442579" w:rsidP="00B46189">
      <w:pPr>
        <w:numPr>
          <w:ilvl w:val="0"/>
          <w:numId w:val="16"/>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Конкретните разчети за възрастовата структура на населението от разработената за целите на МППРБ демографска прогноза;</w:t>
      </w:r>
    </w:p>
    <w:p w14:paraId="62A0C9D7" w14:textId="77777777" w:rsidR="00442579" w:rsidRPr="00610B1B" w:rsidRDefault="00442579" w:rsidP="00B46189">
      <w:pPr>
        <w:numPr>
          <w:ilvl w:val="0"/>
          <w:numId w:val="16"/>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Насоките и приоритетите на други секторни документи в страната и на изготвени морски пространствени планове в други държави-членки на ЕС.</w:t>
      </w:r>
    </w:p>
    <w:p w14:paraId="4D6C1A8A" w14:textId="77777777" w:rsidR="00442579" w:rsidRPr="00610B1B" w:rsidRDefault="00442579" w:rsidP="00D32D6A">
      <w:pPr>
        <w:spacing w:after="120"/>
        <w:ind w:left="720" w:right="-153"/>
        <w:jc w:val="both"/>
        <w:rPr>
          <w:rFonts w:ascii="Times New Roman" w:eastAsia="Calibri" w:hAnsi="Times New Roman" w:cs="Times New Roman"/>
          <w:bCs/>
          <w:sz w:val="12"/>
          <w:szCs w:val="12"/>
          <w:lang w:val="bg-BG"/>
        </w:rPr>
      </w:pPr>
    </w:p>
    <w:p w14:paraId="47430D61" w14:textId="5B8A46C9" w:rsidR="00442579" w:rsidRPr="00610B1B" w:rsidRDefault="00A75841" w:rsidP="00D32D6A">
      <w:pPr>
        <w:pStyle w:val="Heading2"/>
        <w:spacing w:before="0" w:line="276" w:lineRule="auto"/>
        <w:ind w:right="-153"/>
        <w:rPr>
          <w:rFonts w:cs="Times New Roman"/>
        </w:rPr>
      </w:pPr>
      <w:bookmarkStart w:id="428" w:name="_Toc83391406"/>
      <w:r w:rsidRPr="00610B1B">
        <w:rPr>
          <w:rFonts w:cs="Times New Roman"/>
        </w:rPr>
        <w:t xml:space="preserve">4.1. </w:t>
      </w:r>
      <w:r w:rsidR="00442579" w:rsidRPr="00610B1B">
        <w:rPr>
          <w:rFonts w:cs="Times New Roman"/>
        </w:rPr>
        <w:t>Фактори и условия, определящи развитието на морск</w:t>
      </w:r>
      <w:r w:rsidR="0075098D" w:rsidRPr="00610B1B">
        <w:rPr>
          <w:rFonts w:cs="Times New Roman"/>
        </w:rPr>
        <w:t>и</w:t>
      </w:r>
      <w:r w:rsidR="00442579" w:rsidRPr="00610B1B">
        <w:rPr>
          <w:rFonts w:cs="Times New Roman"/>
        </w:rPr>
        <w:t>т</w:t>
      </w:r>
      <w:r w:rsidR="0075098D" w:rsidRPr="00610B1B">
        <w:rPr>
          <w:rFonts w:cs="Times New Roman"/>
        </w:rPr>
        <w:t>е</w:t>
      </w:r>
      <w:r w:rsidR="00442579" w:rsidRPr="00610B1B">
        <w:rPr>
          <w:rFonts w:cs="Times New Roman"/>
        </w:rPr>
        <w:t xml:space="preserve"> пространств</w:t>
      </w:r>
      <w:r w:rsidR="0075098D" w:rsidRPr="00610B1B">
        <w:rPr>
          <w:rFonts w:cs="Times New Roman"/>
        </w:rPr>
        <w:t>а</w:t>
      </w:r>
      <w:r w:rsidR="00442579" w:rsidRPr="00610B1B">
        <w:rPr>
          <w:rFonts w:cs="Times New Roman"/>
        </w:rPr>
        <w:t xml:space="preserve"> в периода 2021 - 2035 г.</w:t>
      </w:r>
      <w:bookmarkEnd w:id="428"/>
      <w:r w:rsidR="00442579" w:rsidRPr="00610B1B">
        <w:rPr>
          <w:rFonts w:cs="Times New Roman"/>
        </w:rPr>
        <w:t xml:space="preserve"> </w:t>
      </w:r>
    </w:p>
    <w:p w14:paraId="726515A1" w14:textId="70618A95"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За разработването на прогнозите за използване, опазване и устройство на националното морско пространство са отчетени въздействията на основните </w:t>
      </w:r>
      <w:r w:rsidR="00A75841" w:rsidRPr="00610B1B">
        <w:rPr>
          <w:rFonts w:ascii="Times New Roman" w:eastAsia="Calibri" w:hAnsi="Times New Roman" w:cs="Times New Roman"/>
          <w:bCs/>
          <w:sz w:val="24"/>
          <w:szCs w:val="24"/>
          <w:lang w:val="bg-BG"/>
        </w:rPr>
        <w:t xml:space="preserve">политически, икономически, социални и технологични </w:t>
      </w:r>
      <w:r w:rsidRPr="00610B1B">
        <w:rPr>
          <w:rFonts w:ascii="Times New Roman" w:eastAsia="Calibri" w:hAnsi="Times New Roman" w:cs="Times New Roman"/>
          <w:bCs/>
          <w:sz w:val="24"/>
          <w:szCs w:val="24"/>
          <w:lang w:val="bg-BG"/>
        </w:rPr>
        <w:t xml:space="preserve">фактори върху морското пространствено развитие. </w:t>
      </w:r>
    </w:p>
    <w:p w14:paraId="2AFBC810" w14:textId="0E618AFF"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Политическите фактори</w:t>
      </w:r>
      <w:r w:rsidRPr="00610B1B">
        <w:rPr>
          <w:rFonts w:ascii="Times New Roman" w:eastAsia="Calibri" w:hAnsi="Times New Roman" w:cs="Times New Roman"/>
          <w:bCs/>
          <w:sz w:val="24"/>
          <w:szCs w:val="24"/>
          <w:lang w:val="bg-BG"/>
        </w:rPr>
        <w:t xml:space="preserve"> са отражение на политиката на ЕС за Черноморския регион и на държави</w:t>
      </w:r>
      <w:r w:rsidR="00F151C6" w:rsidRPr="00610B1B">
        <w:rPr>
          <w:rFonts w:ascii="Times New Roman" w:eastAsia="Calibri" w:hAnsi="Times New Roman" w:cs="Times New Roman"/>
          <w:bCs/>
          <w:sz w:val="24"/>
          <w:szCs w:val="24"/>
          <w:lang w:val="bg-BG"/>
        </w:rPr>
        <w:t>те</w:t>
      </w:r>
      <w:r w:rsidRPr="00610B1B">
        <w:rPr>
          <w:rFonts w:ascii="Times New Roman" w:eastAsia="Calibri" w:hAnsi="Times New Roman" w:cs="Times New Roman"/>
          <w:bCs/>
          <w:sz w:val="24"/>
          <w:szCs w:val="24"/>
          <w:lang w:val="bg-BG"/>
        </w:rPr>
        <w:t xml:space="preserve"> в региона, само две от които – България и Румъния, по силата на членството си в ЕС, са задължени да прилагат рамковите директиви за водите, за морска стратегия, за морско пространствено планиране. Останалите прилагат приетите </w:t>
      </w:r>
      <w:r w:rsidR="00281401" w:rsidRPr="00610B1B">
        <w:rPr>
          <w:rFonts w:ascii="Times New Roman" w:eastAsia="Calibri" w:hAnsi="Times New Roman" w:cs="Times New Roman"/>
          <w:bCs/>
          <w:sz w:val="24"/>
          <w:szCs w:val="24"/>
          <w:lang w:val="bg-BG"/>
        </w:rPr>
        <w:t xml:space="preserve">от тях </w:t>
      </w:r>
      <w:r w:rsidRPr="00610B1B">
        <w:rPr>
          <w:rFonts w:ascii="Times New Roman" w:eastAsia="Calibri" w:hAnsi="Times New Roman" w:cs="Times New Roman"/>
          <w:bCs/>
          <w:sz w:val="24"/>
          <w:szCs w:val="24"/>
          <w:lang w:val="bg-BG"/>
        </w:rPr>
        <w:t>и ратифицирани международни конвенции и протоколи, които определят политическата рамка на морското пространствено планиране и координирането на трансграничното сътрудничество в Черно море. Дългосрочна цел на сътрудничеството в Черноморския регион е стимулирането на съвместните научни изследвания, които да подпомогнат процеса на вземане на решения за устойчивото развитие на региона.</w:t>
      </w:r>
    </w:p>
    <w:p w14:paraId="08EF768E" w14:textId="6C0E725B"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Пандемията „</w:t>
      </w:r>
      <w:r w:rsidR="00A75841" w:rsidRPr="00610B1B">
        <w:rPr>
          <w:rFonts w:ascii="Times New Roman" w:eastAsia="Calibri" w:hAnsi="Times New Roman" w:cs="Times New Roman"/>
          <w:bCs/>
          <w:sz w:val="24"/>
          <w:szCs w:val="24"/>
          <w:lang w:val="bg-BG"/>
        </w:rPr>
        <w:t>Covid</w:t>
      </w:r>
      <w:r w:rsidRPr="00610B1B">
        <w:rPr>
          <w:rFonts w:ascii="Times New Roman" w:eastAsia="Calibri" w:hAnsi="Times New Roman" w:cs="Times New Roman"/>
          <w:bCs/>
          <w:sz w:val="24"/>
          <w:szCs w:val="24"/>
          <w:lang w:val="bg-BG"/>
        </w:rPr>
        <w:t xml:space="preserve"> 19“ предизвика дълбока глобална и национална социално-икономическа криза. Рискът от задълбочаването</w:t>
      </w:r>
      <w:r w:rsidR="00DE3A13" w:rsidRPr="00610B1B">
        <w:rPr>
          <w:rFonts w:ascii="Times New Roman" w:eastAsia="Calibri" w:hAnsi="Times New Roman" w:cs="Times New Roman"/>
          <w:bCs/>
          <w:sz w:val="24"/>
          <w:szCs w:val="24"/>
          <w:lang w:val="bg-BG"/>
        </w:rPr>
        <w:t xml:space="preserve"> ѝ </w:t>
      </w:r>
      <w:r w:rsidRPr="00610B1B">
        <w:rPr>
          <w:rFonts w:ascii="Times New Roman" w:eastAsia="Calibri" w:hAnsi="Times New Roman" w:cs="Times New Roman"/>
          <w:bCs/>
          <w:sz w:val="24"/>
          <w:szCs w:val="24"/>
          <w:lang w:val="bg-BG"/>
        </w:rPr>
        <w:t xml:space="preserve">още не е избегнат и към момента не съществуват добри перспективи за формиране на обществен консенсус в областта на устойчивата синя икономика. Този контекст пряко засяга </w:t>
      </w:r>
      <w:r w:rsidR="00F151C6" w:rsidRPr="00610B1B">
        <w:rPr>
          <w:rFonts w:ascii="Times New Roman" w:eastAsia="Calibri" w:hAnsi="Times New Roman" w:cs="Times New Roman"/>
          <w:bCs/>
          <w:sz w:val="24"/>
          <w:szCs w:val="24"/>
          <w:lang w:val="bg-BG"/>
        </w:rPr>
        <w:t xml:space="preserve">и </w:t>
      </w:r>
      <w:r w:rsidRPr="00610B1B">
        <w:rPr>
          <w:rFonts w:ascii="Times New Roman" w:eastAsia="Calibri" w:hAnsi="Times New Roman" w:cs="Times New Roman"/>
          <w:bCs/>
          <w:sz w:val="24"/>
          <w:szCs w:val="24"/>
          <w:lang w:val="bg-BG"/>
        </w:rPr>
        <w:t>процеса на морското пространствено планиране. Компенсиращ политически фактор е постигнатия</w:t>
      </w:r>
      <w:r w:rsidR="00A75841" w:rsidRPr="00610B1B">
        <w:rPr>
          <w:rFonts w:ascii="Times New Roman" w:eastAsia="Calibri" w:hAnsi="Times New Roman" w:cs="Times New Roman"/>
          <w:bCs/>
          <w:sz w:val="24"/>
          <w:szCs w:val="24"/>
          <w:lang w:val="bg-BG"/>
        </w:rPr>
        <w:t>т</w:t>
      </w:r>
      <w:r w:rsidRPr="00610B1B">
        <w:rPr>
          <w:rFonts w:ascii="Times New Roman" w:eastAsia="Calibri" w:hAnsi="Times New Roman" w:cs="Times New Roman"/>
          <w:bCs/>
          <w:sz w:val="24"/>
          <w:szCs w:val="24"/>
          <w:lang w:val="bg-BG"/>
        </w:rPr>
        <w:t xml:space="preserve"> консенсус </w:t>
      </w:r>
      <w:r w:rsidRPr="00610B1B">
        <w:rPr>
          <w:rFonts w:ascii="Times New Roman" w:eastAsia="Calibri" w:hAnsi="Times New Roman" w:cs="Times New Roman"/>
          <w:bCs/>
          <w:sz w:val="24"/>
          <w:szCs w:val="24"/>
          <w:lang w:val="bg-BG"/>
        </w:rPr>
        <w:lastRenderedPageBreak/>
        <w:t>по интегрираната морска политика на ЕС и независимо, че само две от шестте страни от черноморския басейн са пряко обвързани, възможността България да изработи и приложи МППРБ за интегрирано и съгласувано използване на ресурсите и на българската акватория, не е заплашена. Екосистемният подход и трансгранично сътрудничество остават принципни цели на морското пространствено планиране на България.</w:t>
      </w:r>
    </w:p>
    <w:p w14:paraId="65A3ED4A" w14:textId="4F4D19F4"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Очакваното придвижване на страната по пътя на европейската интеграция (приемането на България в Шенген и Еврозоната) ще даде допълнителна сигурност и ще доведе до нарастване на чуждестранните инвестиции. Политически фактор с решаващо значение е и ефективността на борбата с корупцията и повишаване на качеството в административните услуги, които са предпоставки за подобряване на бизнес климата.</w:t>
      </w:r>
    </w:p>
    <w:p w14:paraId="5CD32991" w14:textId="1C8D3E5D"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Финансовата опора за реализиране на Зелената сделка ще позволи инвестиране във всички сектори на синята икономика и в обекта на МППБР.</w:t>
      </w:r>
    </w:p>
    <w:p w14:paraId="1B8E8A53" w14:textId="34E7E3FE" w:rsidR="001B3DB0"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Икономическите фактори</w:t>
      </w:r>
      <w:r w:rsidRPr="00610B1B">
        <w:rPr>
          <w:rFonts w:ascii="Times New Roman" w:eastAsia="Calibri" w:hAnsi="Times New Roman" w:cs="Times New Roman"/>
          <w:bCs/>
          <w:sz w:val="24"/>
          <w:szCs w:val="24"/>
          <w:lang w:val="bg-BG"/>
        </w:rPr>
        <w:t xml:space="preserve"> променят своето въздействие в зависимост от глобалните и от регионалните</w:t>
      </w:r>
      <w:r w:rsidR="00A75841" w:rsidRPr="00610B1B">
        <w:rPr>
          <w:rFonts w:ascii="Times New Roman" w:eastAsia="Calibri" w:hAnsi="Times New Roman" w:cs="Times New Roman"/>
          <w:bCs/>
          <w:sz w:val="24"/>
          <w:szCs w:val="24"/>
          <w:lang w:val="bg-BG"/>
        </w:rPr>
        <w:t xml:space="preserve"> процеси</w:t>
      </w:r>
      <w:r w:rsidRPr="00610B1B">
        <w:rPr>
          <w:rFonts w:ascii="Times New Roman" w:eastAsia="Calibri" w:hAnsi="Times New Roman" w:cs="Times New Roman"/>
          <w:bCs/>
          <w:sz w:val="24"/>
          <w:szCs w:val="24"/>
          <w:lang w:val="bg-BG"/>
        </w:rPr>
        <w:t>, от цялостната макроикономическата рамка и показатели. За изготвянето на прогнозите са използвани допускания на Българската народна банка, Световната банка, Европейската банка за възстановяване и развитие и Европейската комисия относно международната конюнктура и динамиката на международните пазари, които ще окажат влияние и върху икономическия растеж в Черноморския регион. Всички тези фактори би следвало да бъдат пречупени през призмата на пандемията Covid-19</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и очаквания срив на икономиките в света в резултат от това, съпроводен от свиване на потреблението</w:t>
      </w:r>
      <w:r w:rsidR="00E66E6C" w:rsidRPr="00610B1B">
        <w:rPr>
          <w:rFonts w:ascii="Times New Roman" w:eastAsia="Calibri" w:hAnsi="Times New Roman" w:cs="Times New Roman"/>
          <w:bCs/>
          <w:sz w:val="24"/>
          <w:szCs w:val="24"/>
          <w:lang w:val="bg-BG"/>
        </w:rPr>
        <w:t xml:space="preserve"> и</w:t>
      </w:r>
      <w:r w:rsidRPr="00610B1B">
        <w:rPr>
          <w:rFonts w:ascii="Times New Roman" w:eastAsia="Calibri" w:hAnsi="Times New Roman" w:cs="Times New Roman"/>
          <w:bCs/>
          <w:sz w:val="24"/>
          <w:szCs w:val="24"/>
          <w:lang w:val="bg-BG"/>
        </w:rPr>
        <w:t xml:space="preserve"> в производството, прекъсване на веригите за доставки, колебания на петролните пазари, повишаване на цените на транспортните услуги, промяна на поведението на потребителите, несигурност в снабдяването с храни. </w:t>
      </w:r>
    </w:p>
    <w:p w14:paraId="2F111A64" w14:textId="2508864E"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Очакваните положителни въздействия са свързани с преструктуриране на веригите на доставки в полза на някои местни и регионални пазари и намаляване на натиска върху околната среда.</w:t>
      </w:r>
      <w:r w:rsidRPr="00610B1B">
        <w:rPr>
          <w:rFonts w:ascii="Times New Roman" w:eastAsia="Calibri" w:hAnsi="Times New Roman" w:cs="Times New Roman"/>
          <w:bCs/>
          <w:sz w:val="24"/>
          <w:szCs w:val="24"/>
          <w:vertAlign w:val="superscript"/>
          <w:lang w:val="bg-BG"/>
        </w:rPr>
        <w:footnoteReference w:id="144"/>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Постигнатите най-ниски нива на световните финансови пазари към момента са по-неблагоприятни в сравнение с тези от кризата през 2008 г., за чието възстановяване в България се предвиждаха 3-4 години. Съгласно доклада на ЕБВР от май 2020 г. се предвижда възстановя</w:t>
      </w:r>
      <w:r w:rsidR="00BB78A1" w:rsidRPr="00610B1B">
        <w:rPr>
          <w:rFonts w:ascii="Times New Roman" w:eastAsia="Calibri" w:hAnsi="Times New Roman" w:cs="Times New Roman"/>
          <w:bCs/>
          <w:sz w:val="24"/>
          <w:szCs w:val="24"/>
          <w:lang w:val="bg-BG"/>
        </w:rPr>
        <w:t>ва</w:t>
      </w:r>
      <w:r w:rsidRPr="00610B1B">
        <w:rPr>
          <w:rFonts w:ascii="Times New Roman" w:eastAsia="Calibri" w:hAnsi="Times New Roman" w:cs="Times New Roman"/>
          <w:bCs/>
          <w:sz w:val="24"/>
          <w:szCs w:val="24"/>
          <w:lang w:val="bg-BG"/>
        </w:rPr>
        <w:t xml:space="preserve">нето на икономиката в България да започне през следващата година с ръст на БВП от </w:t>
      </w:r>
      <w:r w:rsidR="00BC0234" w:rsidRPr="00610B1B">
        <w:rPr>
          <w:rFonts w:ascii="Times New Roman" w:eastAsia="Calibri" w:hAnsi="Times New Roman" w:cs="Times New Roman"/>
          <w:bCs/>
          <w:sz w:val="24"/>
          <w:szCs w:val="24"/>
          <w:lang w:val="bg-BG"/>
        </w:rPr>
        <w:t>3</w:t>
      </w:r>
      <w:r w:rsidRPr="00610B1B">
        <w:rPr>
          <w:rFonts w:ascii="Times New Roman" w:eastAsia="Calibri" w:hAnsi="Times New Roman" w:cs="Times New Roman"/>
          <w:bCs/>
          <w:sz w:val="24"/>
          <w:szCs w:val="24"/>
          <w:lang w:val="bg-BG"/>
        </w:rPr>
        <w:t>.</w:t>
      </w:r>
      <w:r w:rsidR="00BC0234" w:rsidRPr="00610B1B">
        <w:rPr>
          <w:rFonts w:ascii="Times New Roman" w:eastAsia="Calibri" w:hAnsi="Times New Roman" w:cs="Times New Roman"/>
          <w:bCs/>
          <w:sz w:val="24"/>
          <w:szCs w:val="24"/>
          <w:lang w:val="bg-BG"/>
        </w:rPr>
        <w:t>9</w:t>
      </w:r>
      <w:r w:rsidRPr="00610B1B">
        <w:rPr>
          <w:rFonts w:ascii="Times New Roman" w:eastAsia="Calibri" w:hAnsi="Times New Roman" w:cs="Times New Roman"/>
          <w:bCs/>
          <w:sz w:val="24"/>
          <w:szCs w:val="24"/>
          <w:lang w:val="bg-BG"/>
        </w:rPr>
        <w:t>%.</w:t>
      </w:r>
      <w:r w:rsidRPr="00610B1B">
        <w:rPr>
          <w:rFonts w:ascii="Times New Roman" w:eastAsia="Calibri" w:hAnsi="Times New Roman" w:cs="Times New Roman"/>
          <w:bCs/>
          <w:sz w:val="24"/>
          <w:szCs w:val="24"/>
          <w:vertAlign w:val="superscript"/>
          <w:lang w:val="bg-BG"/>
        </w:rPr>
        <w:footnoteReference w:id="145"/>
      </w:r>
    </w:p>
    <w:p w14:paraId="3E2E39A2" w14:textId="764134A1"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Сега, когато са необходими ефективни иновации и координация между институциите, анализите отчитат неефективна и разпокъсана система за научни изследвания, слаби връзки между науката и предприятията. Това е сериозна заплаха за реализирането на общоевропейските и национални политики както за синия растеж, така и за цялостното икономическо развитие. Тежко засегнати са структурни сектори на българската икономика (включително свързани със синия растеж) като търговия на дребно, транспорт, хотели</w:t>
      </w:r>
      <w:r w:rsidR="004901F6" w:rsidRPr="00610B1B">
        <w:rPr>
          <w:rFonts w:ascii="Times New Roman" w:eastAsia="Calibri" w:hAnsi="Times New Roman" w:cs="Times New Roman"/>
          <w:bCs/>
          <w:sz w:val="24"/>
          <w:szCs w:val="24"/>
          <w:lang w:val="bg-BG"/>
        </w:rPr>
        <w:t>ерство</w:t>
      </w:r>
      <w:r w:rsidRPr="00610B1B">
        <w:rPr>
          <w:rFonts w:ascii="Times New Roman" w:eastAsia="Calibri" w:hAnsi="Times New Roman" w:cs="Times New Roman"/>
          <w:bCs/>
          <w:sz w:val="24"/>
          <w:szCs w:val="24"/>
          <w:lang w:val="bg-BG"/>
        </w:rPr>
        <w:t xml:space="preserve"> и ресторант</w:t>
      </w:r>
      <w:r w:rsidR="004901F6" w:rsidRPr="00610B1B">
        <w:rPr>
          <w:rFonts w:ascii="Times New Roman" w:eastAsia="Calibri" w:hAnsi="Times New Roman" w:cs="Times New Roman"/>
          <w:bCs/>
          <w:sz w:val="24"/>
          <w:szCs w:val="24"/>
          <w:lang w:val="bg-BG"/>
        </w:rPr>
        <w:t>ьорство</w:t>
      </w:r>
      <w:r w:rsidRPr="00610B1B">
        <w:rPr>
          <w:rFonts w:ascii="Times New Roman" w:eastAsia="Calibri" w:hAnsi="Times New Roman" w:cs="Times New Roman"/>
          <w:bCs/>
          <w:sz w:val="24"/>
          <w:szCs w:val="24"/>
          <w:lang w:val="bg-BG"/>
        </w:rPr>
        <w:t xml:space="preserve">. Доскоро те формираха над 20% от БВП на страната. </w:t>
      </w:r>
      <w:r w:rsidRPr="00610B1B">
        <w:rPr>
          <w:rFonts w:ascii="Times New Roman" w:eastAsia="Calibri" w:hAnsi="Times New Roman" w:cs="Times New Roman"/>
          <w:bCs/>
          <w:sz w:val="24"/>
          <w:szCs w:val="24"/>
          <w:lang w:val="bg-BG"/>
        </w:rPr>
        <w:lastRenderedPageBreak/>
        <w:t>Експортната ориентация на реалната ни икономика и глобалните зависимости са допълнителни препятствия за бързото възстановяване.</w:t>
      </w:r>
    </w:p>
    <w:p w14:paraId="0E65C463" w14:textId="29FFE965"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Шансовете за бързо възстановяване в рамките на ЕС се подсигуряват от европейските структурни и инвестиционни фондове (ЕСИФ), както и от до</w:t>
      </w:r>
      <w:r w:rsidR="001B3DB0" w:rsidRPr="00610B1B">
        <w:rPr>
          <w:rFonts w:ascii="Times New Roman" w:eastAsia="Calibri" w:hAnsi="Times New Roman" w:cs="Times New Roman"/>
          <w:bCs/>
          <w:sz w:val="24"/>
          <w:szCs w:val="24"/>
          <w:lang w:val="bg-BG"/>
        </w:rPr>
        <w:t>п</w:t>
      </w:r>
      <w:r w:rsidRPr="00610B1B">
        <w:rPr>
          <w:rFonts w:ascii="Times New Roman" w:eastAsia="Calibri" w:hAnsi="Times New Roman" w:cs="Times New Roman"/>
          <w:bCs/>
          <w:sz w:val="24"/>
          <w:szCs w:val="24"/>
          <w:lang w:val="bg-BG"/>
        </w:rPr>
        <w:t xml:space="preserve">ълнителните целеви антикризисни инвестиции, олицетворяващи европейската солидарност в икономическата сфера. Важна </w:t>
      </w:r>
      <w:r w:rsidR="00E66E6C" w:rsidRPr="00610B1B">
        <w:rPr>
          <w:rFonts w:ascii="Times New Roman" w:eastAsia="Calibri" w:hAnsi="Times New Roman" w:cs="Times New Roman"/>
          <w:bCs/>
          <w:sz w:val="24"/>
          <w:szCs w:val="24"/>
          <w:lang w:val="bg-BG"/>
        </w:rPr>
        <w:t xml:space="preserve">е </w:t>
      </w:r>
      <w:r w:rsidRPr="00610B1B">
        <w:rPr>
          <w:rFonts w:ascii="Times New Roman" w:eastAsia="Calibri" w:hAnsi="Times New Roman" w:cs="Times New Roman"/>
          <w:bCs/>
          <w:sz w:val="24"/>
          <w:szCs w:val="24"/>
          <w:lang w:val="bg-BG"/>
        </w:rPr>
        <w:t>и стратегическата насоченост на публичните инвестиции в предстоящите години. Инвестициите в транспортна, енергийна и екологична инфраструктура не само ще удовлетворят обективни потребности и ще компенсират дефицитите в пазарите на заетостта, но ще подпомогнат повишаването на конкурентоспособността на българските предприятия. Предвидените в ЕСИФ инвестиции в цифровизация и НИРД, в комбинация с повишаване качеството на управление на проектите, могат</w:t>
      </w:r>
      <w:r w:rsidR="00E66E6C" w:rsidRPr="00610B1B">
        <w:rPr>
          <w:rFonts w:ascii="Times New Roman" w:eastAsia="Calibri" w:hAnsi="Times New Roman" w:cs="Times New Roman"/>
          <w:bCs/>
          <w:sz w:val="24"/>
          <w:szCs w:val="24"/>
          <w:lang w:val="bg-BG"/>
        </w:rPr>
        <w:t xml:space="preserve"> да</w:t>
      </w:r>
      <w:r w:rsidRPr="00610B1B">
        <w:rPr>
          <w:rFonts w:ascii="Times New Roman" w:eastAsia="Calibri" w:hAnsi="Times New Roman" w:cs="Times New Roman"/>
          <w:bCs/>
          <w:sz w:val="24"/>
          <w:szCs w:val="24"/>
          <w:lang w:val="bg-BG"/>
        </w:rPr>
        <w:t xml:space="preserve"> повиша</w:t>
      </w:r>
      <w:r w:rsidR="00E66E6C" w:rsidRPr="00610B1B">
        <w:rPr>
          <w:rFonts w:ascii="Times New Roman" w:eastAsia="Calibri" w:hAnsi="Times New Roman" w:cs="Times New Roman"/>
          <w:bCs/>
          <w:sz w:val="24"/>
          <w:szCs w:val="24"/>
          <w:lang w:val="bg-BG"/>
        </w:rPr>
        <w:t>т</w:t>
      </w:r>
      <w:r w:rsidRPr="00610B1B">
        <w:rPr>
          <w:rFonts w:ascii="Times New Roman" w:eastAsia="Calibri" w:hAnsi="Times New Roman" w:cs="Times New Roman"/>
          <w:bCs/>
          <w:sz w:val="24"/>
          <w:szCs w:val="24"/>
          <w:lang w:val="bg-BG"/>
        </w:rPr>
        <w:t xml:space="preserve"> производителността. Комбинирането на публични и частни инвестиции в </w:t>
      </w:r>
      <w:r w:rsidR="00E66E6C" w:rsidRPr="00610B1B">
        <w:rPr>
          <w:rFonts w:ascii="Times New Roman" w:eastAsia="Calibri" w:hAnsi="Times New Roman" w:cs="Times New Roman"/>
          <w:bCs/>
          <w:sz w:val="24"/>
          <w:szCs w:val="24"/>
          <w:lang w:val="bg-BG"/>
        </w:rPr>
        <w:t>партньорство</w:t>
      </w:r>
      <w:r w:rsidRPr="00610B1B">
        <w:rPr>
          <w:rFonts w:ascii="Times New Roman" w:eastAsia="Calibri" w:hAnsi="Times New Roman" w:cs="Times New Roman"/>
          <w:bCs/>
          <w:sz w:val="24"/>
          <w:szCs w:val="24"/>
          <w:lang w:val="bg-BG"/>
        </w:rPr>
        <w:t xml:space="preserve"> и насочването на интегрирани териториални инвестиции (ИТИ) към територии със специфични потенциали и потребности, ще намал</w:t>
      </w:r>
      <w:r w:rsidR="00E66E6C" w:rsidRPr="00610B1B">
        <w:rPr>
          <w:rFonts w:ascii="Times New Roman" w:eastAsia="Calibri" w:hAnsi="Times New Roman" w:cs="Times New Roman"/>
          <w:bCs/>
          <w:sz w:val="24"/>
          <w:szCs w:val="24"/>
          <w:lang w:val="bg-BG"/>
        </w:rPr>
        <w:t>и</w:t>
      </w:r>
      <w:r w:rsidRPr="00610B1B">
        <w:rPr>
          <w:rFonts w:ascii="Times New Roman" w:eastAsia="Calibri" w:hAnsi="Times New Roman" w:cs="Times New Roman"/>
          <w:bCs/>
          <w:sz w:val="24"/>
          <w:szCs w:val="24"/>
          <w:lang w:val="bg-BG"/>
        </w:rPr>
        <w:t xml:space="preserve"> регионалните неравенства и </w:t>
      </w:r>
      <w:r w:rsidR="00E66E6C" w:rsidRPr="00610B1B">
        <w:rPr>
          <w:rFonts w:ascii="Times New Roman" w:eastAsia="Calibri" w:hAnsi="Times New Roman" w:cs="Times New Roman"/>
          <w:bCs/>
          <w:sz w:val="24"/>
          <w:szCs w:val="24"/>
          <w:lang w:val="bg-BG"/>
        </w:rPr>
        <w:t xml:space="preserve">ще доведе до </w:t>
      </w:r>
      <w:r w:rsidRPr="00610B1B">
        <w:rPr>
          <w:rFonts w:ascii="Times New Roman" w:eastAsia="Calibri" w:hAnsi="Times New Roman" w:cs="Times New Roman"/>
          <w:bCs/>
          <w:sz w:val="24"/>
          <w:szCs w:val="24"/>
          <w:lang w:val="bg-BG"/>
        </w:rPr>
        <w:t>по-пълно оползотворяване на ресурсите в националната територия и акватория.</w:t>
      </w:r>
    </w:p>
    <w:p w14:paraId="3512751B" w14:textId="6BB4FA95"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Демографските фактори</w:t>
      </w:r>
      <w:r w:rsidRPr="00610B1B">
        <w:rPr>
          <w:rFonts w:ascii="Times New Roman" w:eastAsia="Calibri" w:hAnsi="Times New Roman" w:cs="Times New Roman"/>
          <w:bCs/>
          <w:sz w:val="24"/>
          <w:szCs w:val="24"/>
          <w:lang w:val="bg-BG"/>
        </w:rPr>
        <w:t>, които са най-сериозното предизвикателство за нашата страна, ще повлияят върху цялостното развитие на страната, а оттам и върху синята икономика,</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пазара на труда, потенциала за иновации и технологично обновяване, върху социалната сфера. В тази сфера ще бъдат използвани допусканията на Националния статистически институт и неговите официални прогнози, коментара върху тях в Социално-икономическия анализ на районите (</w:t>
      </w:r>
      <w:r w:rsidR="004901F6" w:rsidRPr="00610B1B">
        <w:rPr>
          <w:rFonts w:ascii="Times New Roman" w:eastAsia="Calibri" w:hAnsi="Times New Roman" w:cs="Times New Roman"/>
          <w:bCs/>
          <w:sz w:val="24"/>
          <w:szCs w:val="24"/>
          <w:lang w:val="bg-BG"/>
        </w:rPr>
        <w:t>А</w:t>
      </w:r>
      <w:r w:rsidR="001B3DB0" w:rsidRPr="00610B1B">
        <w:rPr>
          <w:rFonts w:ascii="Times New Roman" w:eastAsia="Calibri" w:hAnsi="Times New Roman" w:cs="Times New Roman"/>
          <w:bCs/>
          <w:sz w:val="24"/>
          <w:szCs w:val="24"/>
          <w:lang w:val="bg-BG"/>
        </w:rPr>
        <w:t>ктуализация 2020 г.</w:t>
      </w:r>
      <w:r w:rsidRPr="00610B1B">
        <w:rPr>
          <w:rFonts w:ascii="Times New Roman" w:eastAsia="Calibri" w:hAnsi="Times New Roman" w:cs="Times New Roman"/>
          <w:bCs/>
          <w:sz w:val="24"/>
          <w:szCs w:val="24"/>
          <w:lang w:val="bg-BG"/>
        </w:rPr>
        <w:t>) и специално изготвени</w:t>
      </w:r>
      <w:r w:rsidR="00E66E6C" w:rsidRPr="00610B1B">
        <w:rPr>
          <w:rFonts w:ascii="Times New Roman" w:eastAsia="Calibri" w:hAnsi="Times New Roman" w:cs="Times New Roman"/>
          <w:bCs/>
          <w:sz w:val="24"/>
          <w:szCs w:val="24"/>
          <w:lang w:val="bg-BG"/>
        </w:rPr>
        <w:t>те</w:t>
      </w:r>
      <w:r w:rsidRPr="00610B1B">
        <w:rPr>
          <w:rFonts w:ascii="Times New Roman" w:eastAsia="Calibri" w:hAnsi="Times New Roman" w:cs="Times New Roman"/>
          <w:bCs/>
          <w:sz w:val="24"/>
          <w:szCs w:val="24"/>
          <w:lang w:val="bg-BG"/>
        </w:rPr>
        <w:t xml:space="preserve"> за целите на морското пространствено планира</w:t>
      </w:r>
      <w:r w:rsidR="00AF5170" w:rsidRPr="00610B1B">
        <w:rPr>
          <w:rFonts w:ascii="Times New Roman" w:eastAsia="Calibri" w:hAnsi="Times New Roman" w:cs="Times New Roman"/>
          <w:bCs/>
          <w:sz w:val="24"/>
          <w:szCs w:val="24"/>
          <w:lang w:val="bg-BG"/>
        </w:rPr>
        <w:t>не демографски прогнози</w:t>
      </w:r>
      <w:r w:rsidRPr="00610B1B">
        <w:rPr>
          <w:rFonts w:ascii="Times New Roman" w:eastAsia="Calibri" w:hAnsi="Times New Roman" w:cs="Times New Roman"/>
          <w:bCs/>
          <w:sz w:val="24"/>
          <w:szCs w:val="24"/>
          <w:lang w:val="bg-BG"/>
        </w:rPr>
        <w:t xml:space="preserve">. </w:t>
      </w:r>
    </w:p>
    <w:p w14:paraId="2023515F" w14:textId="4134A607"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Към тази група фактори би следвало да се включат и </w:t>
      </w:r>
      <w:r w:rsidRPr="00610B1B">
        <w:rPr>
          <w:rFonts w:ascii="Times New Roman" w:eastAsia="Calibri" w:hAnsi="Times New Roman" w:cs="Times New Roman"/>
          <w:b/>
          <w:i/>
          <w:iCs/>
          <w:sz w:val="24"/>
          <w:szCs w:val="24"/>
          <w:lang w:val="bg-BG"/>
        </w:rPr>
        <w:t>социалните фактори</w:t>
      </w:r>
      <w:r w:rsidRPr="00610B1B">
        <w:rPr>
          <w:rFonts w:ascii="Times New Roman" w:eastAsia="Calibri" w:hAnsi="Times New Roman" w:cs="Times New Roman"/>
          <w:bCs/>
          <w:sz w:val="24"/>
          <w:szCs w:val="24"/>
          <w:lang w:val="bg-BG"/>
        </w:rPr>
        <w:t xml:space="preserve">, свързани с настоящата обстановка, която ще се отрази на най-уязвимите групи – възрастните, бедните, социално слабите, завърналите се от работа в чужбина представители на различни общности, предимно от общини и населени места с висок дял на безработните. Население в тези уязвими социални групи има и в големите </w:t>
      </w:r>
      <w:r w:rsidR="001B3DB0" w:rsidRPr="00610B1B">
        <w:rPr>
          <w:rFonts w:ascii="Times New Roman" w:eastAsia="Calibri" w:hAnsi="Times New Roman" w:cs="Times New Roman"/>
          <w:bCs/>
          <w:sz w:val="24"/>
          <w:szCs w:val="24"/>
          <w:lang w:val="bg-BG"/>
        </w:rPr>
        <w:t xml:space="preserve">черноморски </w:t>
      </w:r>
      <w:r w:rsidRPr="00610B1B">
        <w:rPr>
          <w:rFonts w:ascii="Times New Roman" w:eastAsia="Calibri" w:hAnsi="Times New Roman" w:cs="Times New Roman"/>
          <w:bCs/>
          <w:sz w:val="24"/>
          <w:szCs w:val="24"/>
          <w:lang w:val="bg-BG"/>
        </w:rPr>
        <w:t>градове Варна и Бургас.</w:t>
      </w:r>
      <w:r w:rsidRPr="00610B1B">
        <w:rPr>
          <w:rFonts w:ascii="Times New Roman" w:eastAsia="Calibri" w:hAnsi="Times New Roman" w:cs="Times New Roman"/>
          <w:lang w:val="bg-BG"/>
        </w:rPr>
        <w:t xml:space="preserve"> </w:t>
      </w:r>
      <w:r w:rsidRPr="00610B1B">
        <w:rPr>
          <w:rFonts w:ascii="Times New Roman" w:eastAsia="Calibri" w:hAnsi="Times New Roman" w:cs="Times New Roman"/>
          <w:bCs/>
          <w:sz w:val="24"/>
          <w:szCs w:val="24"/>
          <w:lang w:val="bg-BG"/>
        </w:rPr>
        <w:t xml:space="preserve">Въздействието на социалните фактори </w:t>
      </w:r>
      <w:r w:rsidR="00512B41" w:rsidRPr="00610B1B">
        <w:rPr>
          <w:rFonts w:ascii="Times New Roman" w:eastAsia="Calibri" w:hAnsi="Times New Roman" w:cs="Times New Roman"/>
          <w:bCs/>
          <w:sz w:val="24"/>
          <w:szCs w:val="24"/>
          <w:lang w:val="bg-BG"/>
        </w:rPr>
        <w:t>е</w:t>
      </w:r>
      <w:r w:rsidRPr="00610B1B">
        <w:rPr>
          <w:rFonts w:ascii="Times New Roman" w:eastAsia="Calibri" w:hAnsi="Times New Roman" w:cs="Times New Roman"/>
          <w:bCs/>
          <w:sz w:val="24"/>
          <w:szCs w:val="24"/>
          <w:lang w:val="bg-BG"/>
        </w:rPr>
        <w:t xml:space="preserve"> анализирано и посредством обвързаността на последните с пазара на труда, качеството на образователните и здравните услуги, които осигуряват развитието на икономиката и туризма, гарантират опазването на морската околна среда и крайбрежието и подобрява</w:t>
      </w:r>
      <w:r w:rsidR="00E66E6C" w:rsidRPr="00610B1B">
        <w:rPr>
          <w:rFonts w:ascii="Times New Roman" w:eastAsia="Calibri" w:hAnsi="Times New Roman" w:cs="Times New Roman"/>
          <w:bCs/>
          <w:sz w:val="24"/>
          <w:szCs w:val="24"/>
          <w:lang w:val="bg-BG"/>
        </w:rPr>
        <w:t>т</w:t>
      </w:r>
      <w:r w:rsidRPr="00610B1B">
        <w:rPr>
          <w:rFonts w:ascii="Times New Roman" w:eastAsia="Calibri" w:hAnsi="Times New Roman" w:cs="Times New Roman"/>
          <w:bCs/>
          <w:sz w:val="24"/>
          <w:szCs w:val="24"/>
          <w:lang w:val="bg-BG"/>
        </w:rPr>
        <w:t xml:space="preserve"> благосъстоянието на населението.</w:t>
      </w:r>
      <w:r w:rsidRPr="00610B1B">
        <w:rPr>
          <w:rFonts w:ascii="Times New Roman" w:eastAsia="Calibri" w:hAnsi="Times New Roman" w:cs="Times New Roman"/>
          <w:lang w:val="bg-BG"/>
        </w:rPr>
        <w:t xml:space="preserve"> </w:t>
      </w:r>
      <w:r w:rsidRPr="00610B1B">
        <w:rPr>
          <w:rFonts w:ascii="Times New Roman" w:eastAsia="Calibri" w:hAnsi="Times New Roman" w:cs="Times New Roman"/>
          <w:bCs/>
          <w:sz w:val="24"/>
          <w:szCs w:val="24"/>
          <w:lang w:val="bg-BG"/>
        </w:rPr>
        <w:t>Публикуваният анализ на Световната банка от април 2020 г. препоръчва</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приоритизиране на инвестициите в здравната система и осигуряване на „спасителни мрежи“ за най-засегнатите представители</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от пандемията Covid-19.</w:t>
      </w:r>
      <w:r w:rsidRPr="00610B1B">
        <w:rPr>
          <w:rFonts w:ascii="Times New Roman" w:eastAsia="Calibri" w:hAnsi="Times New Roman" w:cs="Times New Roman"/>
          <w:bCs/>
          <w:sz w:val="24"/>
          <w:szCs w:val="24"/>
          <w:vertAlign w:val="superscript"/>
          <w:lang w:val="bg-BG"/>
        </w:rPr>
        <w:footnoteReference w:id="146"/>
      </w:r>
      <w:r w:rsidRPr="00610B1B">
        <w:rPr>
          <w:rFonts w:ascii="Times New Roman" w:eastAsia="Calibri" w:hAnsi="Times New Roman" w:cs="Times New Roman"/>
          <w:bCs/>
          <w:sz w:val="24"/>
          <w:szCs w:val="24"/>
          <w:lang w:val="bg-BG"/>
        </w:rPr>
        <w:t xml:space="preserve"> Аналогични са препоръките и на ОИСР относно промяна на политиките и увеличаване на публичните разходи за подкрепа на отделни сектори и социални групи.</w:t>
      </w:r>
      <w:r w:rsidRPr="00610B1B">
        <w:rPr>
          <w:rFonts w:ascii="Times New Roman" w:eastAsia="Calibri" w:hAnsi="Times New Roman" w:cs="Times New Roman"/>
          <w:bCs/>
          <w:sz w:val="24"/>
          <w:szCs w:val="24"/>
          <w:vertAlign w:val="superscript"/>
          <w:lang w:val="bg-BG"/>
        </w:rPr>
        <w:footnoteReference w:id="147"/>
      </w:r>
    </w:p>
    <w:p w14:paraId="05F564B5" w14:textId="4286408A"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Социалният резонанс към състоянието на морската околна среда e чувствителен, но разнопосочен. Актуалните към 2019 г. нагласи на обществото съдържат 65% мнения, че </w:t>
      </w:r>
      <w:r w:rsidRPr="00610B1B">
        <w:rPr>
          <w:rFonts w:ascii="Times New Roman" w:eastAsia="Calibri" w:hAnsi="Times New Roman" w:cs="Times New Roman"/>
          <w:bCs/>
          <w:sz w:val="24"/>
          <w:szCs w:val="24"/>
          <w:lang w:val="bg-BG"/>
        </w:rPr>
        <w:lastRenderedPageBreak/>
        <w:t xml:space="preserve">българското </w:t>
      </w:r>
      <w:r w:rsidR="00512B41" w:rsidRPr="00610B1B">
        <w:rPr>
          <w:rFonts w:ascii="Times New Roman" w:eastAsia="Calibri" w:hAnsi="Times New Roman" w:cs="Times New Roman"/>
          <w:bCs/>
          <w:sz w:val="24"/>
          <w:szCs w:val="24"/>
          <w:lang w:val="bg-BG"/>
        </w:rPr>
        <w:t xml:space="preserve">Черноморие </w:t>
      </w:r>
      <w:r w:rsidRPr="00610B1B">
        <w:rPr>
          <w:rFonts w:ascii="Times New Roman" w:eastAsia="Calibri" w:hAnsi="Times New Roman" w:cs="Times New Roman"/>
          <w:bCs/>
          <w:sz w:val="24"/>
          <w:szCs w:val="24"/>
          <w:lang w:val="bg-BG"/>
        </w:rPr>
        <w:t xml:space="preserve">е замърсено и 86%, че е презастроено. Същевременно, </w:t>
      </w:r>
      <w:r w:rsidR="00BA5862" w:rsidRPr="00610B1B">
        <w:rPr>
          <w:rFonts w:ascii="Times New Roman" w:eastAsia="Calibri" w:hAnsi="Times New Roman" w:cs="Times New Roman"/>
          <w:bCs/>
          <w:sz w:val="24"/>
          <w:szCs w:val="24"/>
          <w:lang w:val="bg-BG"/>
        </w:rPr>
        <w:t>дълбочинни</w:t>
      </w:r>
      <w:r w:rsidRPr="00610B1B">
        <w:rPr>
          <w:rFonts w:ascii="Times New Roman" w:eastAsia="Calibri" w:hAnsi="Times New Roman" w:cs="Times New Roman"/>
          <w:bCs/>
          <w:sz w:val="24"/>
          <w:szCs w:val="24"/>
          <w:lang w:val="bg-BG"/>
        </w:rPr>
        <w:t xml:space="preserve"> интервюта сред експерти потвърждават презастрояването като основен проблем. Социологическите проучвания не успяват да установят фаворизиране на някой от аспектите на устойчивото развитие – екологичен, социален или икономически. Този факт доказва балансираната представа на хората и посветените специалисти за неразривната цялост на жизнената среда. В друго проучване на общественото мнение се стига до извода, че „в масовото съзнание, противоречие между развитието на икономиката и опазването на природата не съществува” и „обществото приема почти по инерция всякакви идеи за опазване на Черноморието и природата въобще”.</w:t>
      </w:r>
    </w:p>
    <w:p w14:paraId="5938F341" w14:textId="1AF8AD39"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Технологичните фактори</w:t>
      </w:r>
      <w:r w:rsidRPr="00610B1B">
        <w:rPr>
          <w:rFonts w:ascii="Times New Roman" w:eastAsia="Calibri" w:hAnsi="Times New Roman" w:cs="Times New Roman"/>
          <w:bCs/>
          <w:sz w:val="24"/>
          <w:szCs w:val="24"/>
          <w:lang w:val="bg-BG"/>
        </w:rPr>
        <w:t xml:space="preserve"> са свързани с всички сектори на морската икономиката и дейностите, които развиват, с опазването на околната среда и биоразнообразието.</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sz w:val="24"/>
          <w:szCs w:val="24"/>
          <w:lang w:val="bg-BG"/>
        </w:rPr>
        <w:t xml:space="preserve">Днес те обхващат </w:t>
      </w:r>
      <w:r w:rsidRPr="00610B1B">
        <w:rPr>
          <w:rFonts w:ascii="Times New Roman" w:eastAsia="Calibri" w:hAnsi="Times New Roman" w:cs="Times New Roman"/>
          <w:bCs/>
          <w:sz w:val="24"/>
          <w:szCs w:val="24"/>
          <w:lang w:val="bg-BG"/>
        </w:rPr>
        <w:t>добив на енергия от възобновяеми източници в офшорни зони, пристанища и морски транспорт, наблюдение и спасяване в морето, кибер сигурност, риболов, отглеждане на аквакултури, опазване на биоразнообразието, морски изследвания и наблюдения</w:t>
      </w:r>
      <w:r w:rsidR="006C1B95" w:rsidRPr="00610B1B">
        <w:rPr>
          <w:rFonts w:ascii="Times New Roman" w:eastAsia="Calibri" w:hAnsi="Times New Roman" w:cs="Times New Roman"/>
          <w:bCs/>
          <w:sz w:val="24"/>
          <w:szCs w:val="24"/>
          <w:lang w:val="bg-BG"/>
        </w:rPr>
        <w:t xml:space="preserve"> и</w:t>
      </w:r>
      <w:r w:rsidRPr="00610B1B">
        <w:rPr>
          <w:rFonts w:ascii="Times New Roman" w:eastAsia="Calibri" w:hAnsi="Times New Roman" w:cs="Times New Roman"/>
          <w:bCs/>
          <w:sz w:val="24"/>
          <w:szCs w:val="24"/>
          <w:lang w:val="bg-BG"/>
        </w:rPr>
        <w:t xml:space="preserve"> биотехнологии. Част от новите космически, видео и дигитални технологии, използването на роботи и подводна апаратура, на сателитни наблюдения, изисква значителен финансов ресурс, непосилен за малка страна като България, но прилагането им е от изключителна важност. Те подпомагат изследването на потънали селища, пристанища и кораби, наблюдението на състоянието на морето, подобряват техниките за проучване и добив на ресурси, отстраняването на замърсявания, намаляването на емисиите от парникови газове и на въздействията върху морските екосистеми.</w:t>
      </w:r>
      <w:r w:rsidRPr="00610B1B">
        <w:rPr>
          <w:rFonts w:ascii="Times New Roman" w:eastAsia="Calibri" w:hAnsi="Times New Roman" w:cs="Times New Roman"/>
          <w:bCs/>
          <w:sz w:val="24"/>
          <w:szCs w:val="24"/>
          <w:vertAlign w:val="superscript"/>
          <w:lang w:val="bg-BG"/>
        </w:rPr>
        <w:footnoteReference w:id="148"/>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Именно в тези сфери могат да се открият възможности за коопериране на усилията на няколко черноморски държави за иновации и интелигентен син растеж. </w:t>
      </w:r>
    </w:p>
    <w:p w14:paraId="78D8F96C" w14:textId="367CC6BD" w:rsidR="00442579" w:rsidRPr="00610B1B" w:rsidRDefault="006C1B95"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iCs/>
          <w:sz w:val="24"/>
          <w:szCs w:val="24"/>
          <w:lang w:val="bg-BG"/>
        </w:rPr>
        <w:t xml:space="preserve">Корабоплаване: </w:t>
      </w:r>
      <w:r w:rsidRPr="00610B1B">
        <w:rPr>
          <w:rFonts w:ascii="Times New Roman" w:eastAsia="Calibri" w:hAnsi="Times New Roman" w:cs="Times New Roman"/>
          <w:bCs/>
          <w:sz w:val="24"/>
          <w:szCs w:val="24"/>
          <w:lang w:val="bg-BG"/>
        </w:rPr>
        <w:t xml:space="preserve">Новите </w:t>
      </w:r>
      <w:r w:rsidR="00442579" w:rsidRPr="00610B1B">
        <w:rPr>
          <w:rFonts w:ascii="Times New Roman" w:eastAsia="Calibri" w:hAnsi="Times New Roman" w:cs="Times New Roman"/>
          <w:bCs/>
          <w:sz w:val="24"/>
          <w:szCs w:val="24"/>
          <w:lang w:val="bg-BG"/>
        </w:rPr>
        <w:t>технологии, заедно с дигиталната свързаност, ще го трансформират, ще повишат конкурентоспособността и устойчивостта на цялата морска индустрия. Посоката на развитие е към автоматизирани „интелигентни” плавателни съдове, ползващи зелена енергия и изкуствен интелект, принадлежащи към интегрирани вериги за транспорт. Корабите ще стават по-безопасни, по-ефективни и по-ефикасни.</w:t>
      </w:r>
    </w:p>
    <w:p w14:paraId="36E5AB42" w14:textId="2F5C935E"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Подводно културно наследство</w:t>
      </w:r>
      <w:r w:rsidRPr="00610B1B">
        <w:rPr>
          <w:rFonts w:ascii="Times New Roman" w:eastAsia="Calibri" w:hAnsi="Times New Roman" w:cs="Times New Roman"/>
          <w:bCs/>
          <w:sz w:val="24"/>
          <w:szCs w:val="24"/>
          <w:lang w:val="bg-BG"/>
        </w:rPr>
        <w:t>: технологиите</w:t>
      </w:r>
      <w:r w:rsidR="006C1B95" w:rsidRPr="00610B1B">
        <w:rPr>
          <w:rFonts w:ascii="Times New Roman" w:eastAsia="Calibri" w:hAnsi="Times New Roman" w:cs="Times New Roman"/>
          <w:bCs/>
          <w:sz w:val="24"/>
          <w:szCs w:val="24"/>
          <w:lang w:val="bg-BG"/>
        </w:rPr>
        <w:t xml:space="preserve"> за</w:t>
      </w:r>
      <w:r w:rsidRPr="00610B1B">
        <w:rPr>
          <w:rFonts w:ascii="Times New Roman" w:eastAsia="Calibri" w:hAnsi="Times New Roman" w:cs="Times New Roman"/>
          <w:bCs/>
          <w:sz w:val="24"/>
          <w:szCs w:val="24"/>
          <w:lang w:val="bg-BG"/>
        </w:rPr>
        <w:t xml:space="preserve"> локализирането и изучаването му дават възможност за дистанционно откриване и заснемане чрез </w:t>
      </w:r>
      <w:r w:rsidR="004901F6" w:rsidRPr="00610B1B">
        <w:rPr>
          <w:rFonts w:ascii="Times New Roman" w:eastAsia="Calibri" w:hAnsi="Times New Roman" w:cs="Times New Roman"/>
          <w:bCs/>
          <w:sz w:val="24"/>
          <w:szCs w:val="24"/>
          <w:lang w:val="bg-BG"/>
        </w:rPr>
        <w:t xml:space="preserve">сонари, </w:t>
      </w:r>
      <w:r w:rsidRPr="00610B1B">
        <w:rPr>
          <w:rFonts w:ascii="Times New Roman" w:eastAsia="Calibri" w:hAnsi="Times New Roman" w:cs="Times New Roman"/>
          <w:bCs/>
          <w:sz w:val="24"/>
          <w:szCs w:val="24"/>
          <w:lang w:val="bg-BG"/>
        </w:rPr>
        <w:t xml:space="preserve">магнитометри, батиметри и др. ГИС платформи позволяват определяне на триизмерните координати на обектите и включването им в световна координатна мрежа. </w:t>
      </w:r>
      <w:r w:rsidR="004901F6" w:rsidRPr="00610B1B">
        <w:rPr>
          <w:rFonts w:ascii="Times New Roman" w:eastAsia="Calibri" w:hAnsi="Times New Roman" w:cs="Times New Roman"/>
          <w:bCs/>
          <w:sz w:val="24"/>
          <w:szCs w:val="24"/>
          <w:lang w:val="bg-BG"/>
        </w:rPr>
        <w:t>Развитието на те</w:t>
      </w:r>
      <w:r w:rsidRPr="00610B1B">
        <w:rPr>
          <w:rFonts w:ascii="Times New Roman" w:eastAsia="Calibri" w:hAnsi="Times New Roman" w:cs="Times New Roman"/>
          <w:bCs/>
          <w:sz w:val="24"/>
          <w:szCs w:val="24"/>
          <w:lang w:val="bg-BG"/>
        </w:rPr>
        <w:t xml:space="preserve">хнологията </w:t>
      </w:r>
      <w:r w:rsidR="004901F6" w:rsidRPr="00610B1B">
        <w:rPr>
          <w:rFonts w:ascii="Times New Roman" w:eastAsia="Calibri" w:hAnsi="Times New Roman" w:cs="Times New Roman"/>
          <w:bCs/>
          <w:sz w:val="24"/>
          <w:szCs w:val="24"/>
          <w:lang w:val="bg-BG"/>
        </w:rPr>
        <w:t>дава</w:t>
      </w:r>
      <w:r w:rsidRPr="00610B1B">
        <w:rPr>
          <w:rFonts w:ascii="Times New Roman" w:eastAsia="Calibri" w:hAnsi="Times New Roman" w:cs="Times New Roman"/>
          <w:bCs/>
          <w:sz w:val="24"/>
          <w:szCs w:val="24"/>
          <w:lang w:val="bg-BG"/>
        </w:rPr>
        <w:t xml:space="preserve"> по-точни изображения и „разрези“ на обектите. Все по-често се използват дистанционно управляеми подводни апарати.</w:t>
      </w:r>
    </w:p>
    <w:p w14:paraId="23E7C2BE" w14:textId="5973359A"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Морски изследвания</w:t>
      </w:r>
      <w:r w:rsidRPr="00610B1B">
        <w:rPr>
          <w:rFonts w:ascii="Times New Roman" w:eastAsia="Calibri" w:hAnsi="Times New Roman" w:cs="Times New Roman"/>
          <w:bCs/>
          <w:sz w:val="24"/>
          <w:szCs w:val="24"/>
          <w:lang w:val="bg-BG"/>
        </w:rPr>
        <w:t>: прилаганите модерни системи</w:t>
      </w:r>
      <w:r w:rsidRPr="00610B1B">
        <w:rPr>
          <w:rFonts w:ascii="Times New Roman" w:eastAsia="Calibri" w:hAnsi="Times New Roman" w:cs="Times New Roman"/>
          <w:bCs/>
          <w:sz w:val="24"/>
          <w:szCs w:val="24"/>
          <w:vertAlign w:val="superscript"/>
          <w:lang w:val="bg-BG"/>
        </w:rPr>
        <w:footnoteReference w:id="149"/>
      </w:r>
      <w:r w:rsidRPr="00610B1B">
        <w:rPr>
          <w:rFonts w:ascii="Times New Roman" w:eastAsia="Calibri" w:hAnsi="Times New Roman" w:cs="Times New Roman"/>
          <w:bCs/>
          <w:sz w:val="24"/>
          <w:szCs w:val="24"/>
          <w:lang w:val="bg-BG"/>
        </w:rPr>
        <w:t xml:space="preserve"> за наблюдение в морето събират важна информация</w:t>
      </w:r>
      <w:r w:rsidR="006C1B95"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за прогнози</w:t>
      </w:r>
      <w:r w:rsidR="006C1B95" w:rsidRPr="00610B1B">
        <w:rPr>
          <w:rFonts w:ascii="Times New Roman" w:eastAsia="Calibri" w:hAnsi="Times New Roman" w:cs="Times New Roman"/>
          <w:bCs/>
          <w:sz w:val="24"/>
          <w:szCs w:val="24"/>
          <w:lang w:val="bg-BG"/>
        </w:rPr>
        <w:t>ране</w:t>
      </w:r>
      <w:r w:rsidRPr="00610B1B">
        <w:rPr>
          <w:rFonts w:ascii="Times New Roman" w:eastAsia="Calibri" w:hAnsi="Times New Roman" w:cs="Times New Roman"/>
          <w:bCs/>
          <w:sz w:val="24"/>
          <w:szCs w:val="24"/>
          <w:lang w:val="bg-BG"/>
        </w:rPr>
        <w:t xml:space="preserve"> на метеорологичните и морски условия, за </w:t>
      </w:r>
      <w:r w:rsidRPr="00610B1B">
        <w:rPr>
          <w:rFonts w:ascii="Times New Roman" w:eastAsia="Calibri" w:hAnsi="Times New Roman" w:cs="Times New Roman"/>
          <w:bCs/>
          <w:sz w:val="24"/>
          <w:szCs w:val="24"/>
          <w:lang w:val="bg-BG"/>
        </w:rPr>
        <w:lastRenderedPageBreak/>
        <w:t>замърсяването на морето, за климатичните промени, природните ресурси, промените в морските течения, морските организми и др.</w:t>
      </w:r>
    </w:p>
    <w:p w14:paraId="0D26BC9B" w14:textId="0C1560CD"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Проучване и добив</w:t>
      </w:r>
      <w:r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i/>
          <w:sz w:val="24"/>
          <w:szCs w:val="24"/>
          <w:lang w:val="bg-BG"/>
        </w:rPr>
        <w:t>на нефт и газ</w:t>
      </w:r>
      <w:r w:rsidRPr="00610B1B">
        <w:rPr>
          <w:rFonts w:ascii="Times New Roman" w:eastAsia="Calibri" w:hAnsi="Times New Roman" w:cs="Times New Roman"/>
          <w:bCs/>
          <w:sz w:val="24"/>
          <w:szCs w:val="24"/>
          <w:lang w:val="bg-BG"/>
        </w:rPr>
        <w:t>: използват се сеизмични данни за създаване на триизмерни изображения във виртуална реалност. В България се ползват чужди компании за търсене и добив в морето. Те имат редица програми за иновации</w:t>
      </w:r>
      <w:r w:rsidR="00D4500D" w:rsidRPr="00610B1B">
        <w:rPr>
          <w:rFonts w:ascii="Times New Roman" w:eastAsia="Calibri" w:hAnsi="Times New Roman" w:cs="Times New Roman"/>
          <w:bCs/>
          <w:sz w:val="24"/>
          <w:szCs w:val="24"/>
          <w:lang w:val="bg-BG"/>
        </w:rPr>
        <w:t xml:space="preserve"> и</w:t>
      </w:r>
      <w:r w:rsidRPr="00610B1B">
        <w:rPr>
          <w:rFonts w:ascii="Times New Roman" w:eastAsia="Calibri" w:hAnsi="Times New Roman" w:cs="Times New Roman"/>
          <w:bCs/>
          <w:sz w:val="24"/>
          <w:szCs w:val="24"/>
          <w:lang w:val="bg-BG"/>
        </w:rPr>
        <w:t xml:space="preserve"> партньорства с правителства, академични общности и иноватори.</w:t>
      </w:r>
    </w:p>
    <w:p w14:paraId="221E4806" w14:textId="1C2EE7B7"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Риболов:</w:t>
      </w:r>
      <w:r w:rsidRPr="00610B1B">
        <w:rPr>
          <w:rFonts w:ascii="Times New Roman" w:eastAsia="Calibri" w:hAnsi="Times New Roman" w:cs="Times New Roman"/>
          <w:bCs/>
          <w:sz w:val="24"/>
          <w:szCs w:val="24"/>
          <w:lang w:val="bg-BG"/>
        </w:rPr>
        <w:t xml:space="preserve"> технологичното развитие в риболова доведе до широкото използване на синтетични влакна, хидравлично оборудване за съоръжения и обработка на риба, електроника за намиране на риба, сателитна технология за навигация и комуникации. Новите технологии са по-ефективни и ефикасни, намаляват необходимия физически труд за единица продукция, улесняват достъпа до рибните ресурси, но увеличават риска от тяхната прекомерна експлоатация.</w:t>
      </w:r>
    </w:p>
    <w:p w14:paraId="7EBDCD1E" w14:textId="755F050C"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Подводна инфраструктура</w:t>
      </w:r>
      <w:r w:rsidRPr="00610B1B">
        <w:rPr>
          <w:rFonts w:ascii="Times New Roman" w:eastAsia="Calibri" w:hAnsi="Times New Roman" w:cs="Times New Roman"/>
          <w:bCs/>
          <w:sz w:val="24"/>
          <w:szCs w:val="24"/>
          <w:lang w:val="bg-BG"/>
        </w:rPr>
        <w:t>: подводните кабели имат предимства пред сателитите от гледна точка на надеждността, скоростта на сигнала, капацитета и цената. Въпреки голямата дължина, въздействието и</w:t>
      </w:r>
      <w:r w:rsidR="00512B41" w:rsidRPr="00610B1B">
        <w:rPr>
          <w:rFonts w:ascii="Times New Roman" w:eastAsia="Calibri" w:hAnsi="Times New Roman" w:cs="Times New Roman"/>
          <w:bCs/>
          <w:sz w:val="24"/>
          <w:szCs w:val="24"/>
          <w:lang w:val="bg-BG"/>
        </w:rPr>
        <w:t>м върху морската среда е незначително.</w:t>
      </w:r>
      <w:r w:rsidR="00D66FE0" w:rsidRPr="00610B1B">
        <w:rPr>
          <w:rFonts w:ascii="Times New Roman" w:eastAsia="Calibri" w:hAnsi="Times New Roman" w:cs="Times New Roman"/>
          <w:bCs/>
          <w:sz w:val="24"/>
          <w:szCs w:val="24"/>
          <w:lang w:val="bg-BG"/>
        </w:rPr>
        <w:t xml:space="preserve"> </w:t>
      </w:r>
    </w:p>
    <w:p w14:paraId="5272E7EA" w14:textId="528403CD"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Отбрана</w:t>
      </w:r>
      <w:r w:rsidRPr="00610B1B">
        <w:rPr>
          <w:rFonts w:ascii="Times New Roman" w:eastAsia="Calibri" w:hAnsi="Times New Roman" w:cs="Times New Roman"/>
          <w:bCs/>
          <w:sz w:val="24"/>
          <w:szCs w:val="24"/>
          <w:lang w:val="bg-BG"/>
        </w:rPr>
        <w:t xml:space="preserve">: членството в НАТО е определящ фактор за развитие. Според </w:t>
      </w:r>
      <w:r w:rsidR="00BB78A1" w:rsidRPr="00610B1B">
        <w:rPr>
          <w:rFonts w:ascii="Times New Roman" w:eastAsia="Calibri" w:hAnsi="Times New Roman" w:cs="Times New Roman"/>
          <w:bCs/>
          <w:sz w:val="24"/>
          <w:szCs w:val="24"/>
          <w:lang w:val="bg-BG"/>
        </w:rPr>
        <w:t>Северноатлантическия</w:t>
      </w:r>
      <w:r w:rsidRPr="00610B1B">
        <w:rPr>
          <w:rFonts w:ascii="Times New Roman" w:eastAsia="Calibri" w:hAnsi="Times New Roman" w:cs="Times New Roman"/>
          <w:bCs/>
          <w:sz w:val="24"/>
          <w:szCs w:val="24"/>
          <w:lang w:val="bg-BG"/>
        </w:rPr>
        <w:t xml:space="preserve"> договор, страните-членки се задължават „да поддържат и развиват своите индивидуални и колективни способности да се противопоставят на въоръжено нападение“.</w:t>
      </w:r>
      <w:r w:rsidR="00512B41" w:rsidRPr="00610B1B">
        <w:rPr>
          <w:rFonts w:ascii="Times New Roman" w:eastAsia="Calibri" w:hAnsi="Times New Roman" w:cs="Times New Roman"/>
          <w:bCs/>
          <w:sz w:val="24"/>
          <w:szCs w:val="24"/>
          <w:lang w:val="bg-BG"/>
        </w:rPr>
        <w:t xml:space="preserve"> В тази сфера се разкриват огромни възможности за модерните технологии.</w:t>
      </w:r>
    </w:p>
    <w:p w14:paraId="1D37EB21" w14:textId="43161A1C"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Планиране и управление на морското пространство</w:t>
      </w:r>
      <w:r w:rsidRPr="00610B1B">
        <w:rPr>
          <w:rFonts w:ascii="Times New Roman" w:eastAsia="Calibri" w:hAnsi="Times New Roman" w:cs="Times New Roman"/>
          <w:bCs/>
          <w:sz w:val="24"/>
          <w:szCs w:val="24"/>
          <w:lang w:val="bg-BG"/>
        </w:rPr>
        <w:t xml:space="preserve">: Директива 2014/89/ЕС за установяване на рамка за морско пространствено планиране дефинира своеобразна технология на планиране и управление на морското пространство, базирана на координиран, интегриран и трансграничен подход, съчетан с екосистемния подход и обвързан с взаимодействията земя-море. Съгласно Доклад за </w:t>
      </w:r>
      <w:r w:rsidR="006C1B95" w:rsidRPr="00610B1B">
        <w:rPr>
          <w:rFonts w:ascii="Times New Roman" w:eastAsia="Calibri" w:hAnsi="Times New Roman" w:cs="Times New Roman"/>
          <w:bCs/>
          <w:sz w:val="24"/>
          <w:szCs w:val="24"/>
          <w:lang w:val="bg-BG"/>
        </w:rPr>
        <w:t xml:space="preserve">Европейската </w:t>
      </w:r>
      <w:r w:rsidRPr="00610B1B">
        <w:rPr>
          <w:rFonts w:ascii="Times New Roman" w:eastAsia="Calibri" w:hAnsi="Times New Roman" w:cs="Times New Roman"/>
          <w:bCs/>
          <w:sz w:val="24"/>
          <w:szCs w:val="24"/>
          <w:lang w:val="bg-BG"/>
        </w:rPr>
        <w:t xml:space="preserve">синя икономика </w:t>
      </w:r>
      <w:r w:rsidR="006C1B95" w:rsidRPr="00610B1B">
        <w:rPr>
          <w:rFonts w:ascii="Times New Roman" w:eastAsia="Calibri" w:hAnsi="Times New Roman" w:cs="Times New Roman"/>
          <w:bCs/>
          <w:sz w:val="24"/>
          <w:szCs w:val="24"/>
          <w:lang w:val="bg-BG"/>
        </w:rPr>
        <w:t>2020</w:t>
      </w:r>
      <w:r w:rsidR="006C1B95" w:rsidRPr="00610B1B">
        <w:rPr>
          <w:rStyle w:val="FootnoteReference"/>
          <w:rFonts w:ascii="Times New Roman" w:eastAsia="Calibri" w:hAnsi="Times New Roman" w:cs="Times New Roman"/>
          <w:bCs/>
          <w:sz w:val="24"/>
          <w:szCs w:val="24"/>
          <w:lang w:val="bg-BG"/>
        </w:rPr>
        <w:footnoteReference w:id="150"/>
      </w:r>
      <w:r w:rsidRPr="00610B1B">
        <w:rPr>
          <w:rFonts w:ascii="Times New Roman" w:eastAsia="Calibri" w:hAnsi="Times New Roman" w:cs="Times New Roman"/>
          <w:bCs/>
          <w:sz w:val="24"/>
          <w:szCs w:val="24"/>
          <w:lang w:val="bg-BG"/>
        </w:rPr>
        <w:t>, морското пространствено планиране има положително въздействие в редица морски сектори.</w:t>
      </w:r>
      <w:r w:rsidR="00512B41" w:rsidRPr="00610B1B">
        <w:rPr>
          <w:rFonts w:ascii="Times New Roman" w:eastAsia="Calibri" w:hAnsi="Times New Roman" w:cs="Times New Roman"/>
          <w:bCs/>
          <w:sz w:val="24"/>
          <w:szCs w:val="24"/>
          <w:lang w:val="bg-BG"/>
        </w:rPr>
        <w:t xml:space="preserve"> Именно модерните технологии за изследване и прогнозиране трябва да подпомогн</w:t>
      </w:r>
      <w:r w:rsidR="00D4500D" w:rsidRPr="00610B1B">
        <w:rPr>
          <w:rFonts w:ascii="Times New Roman" w:eastAsia="Calibri" w:hAnsi="Times New Roman" w:cs="Times New Roman"/>
          <w:bCs/>
          <w:sz w:val="24"/>
          <w:szCs w:val="24"/>
          <w:lang w:val="bg-BG"/>
        </w:rPr>
        <w:t>ат</w:t>
      </w:r>
      <w:r w:rsidR="00512B41" w:rsidRPr="00610B1B">
        <w:rPr>
          <w:rFonts w:ascii="Times New Roman" w:eastAsia="Calibri" w:hAnsi="Times New Roman" w:cs="Times New Roman"/>
          <w:bCs/>
          <w:sz w:val="24"/>
          <w:szCs w:val="24"/>
          <w:lang w:val="bg-BG"/>
        </w:rPr>
        <w:t xml:space="preserve"> постигането на главната цел на морското пространствено планиране – да се интегрират информация, идеи и институции и да се подпомогне междуинституционалната координация.</w:t>
      </w:r>
    </w:p>
    <w:p w14:paraId="054412C7" w14:textId="45D1CF55"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На фона на градивните въздействия на новите технологии, злоупотребата с тях или недостатъчният ресурс за усвояването им могат да имат обратни въздействия. Типичен пример за злоупотреба с технологии са иманярите, включително на подводна археология. Друг проблемен аспект е хроничният недостиг на висококвалифицирана работна ръка, водещ до забавено внедряване и ограничено ползване на авангардните технологии. Натрупването на голям обем разнопосочна информация при отсъствие на стандарти за качество и обработка вод</w:t>
      </w:r>
      <w:r w:rsidR="009E1CCA" w:rsidRPr="00610B1B">
        <w:rPr>
          <w:rFonts w:ascii="Times New Roman" w:eastAsia="Calibri" w:hAnsi="Times New Roman" w:cs="Times New Roman"/>
          <w:bCs/>
          <w:sz w:val="24"/>
          <w:szCs w:val="24"/>
          <w:lang w:val="bg-BG"/>
        </w:rPr>
        <w:t>и</w:t>
      </w:r>
      <w:r w:rsidRPr="00610B1B">
        <w:rPr>
          <w:rFonts w:ascii="Times New Roman" w:eastAsia="Calibri" w:hAnsi="Times New Roman" w:cs="Times New Roman"/>
          <w:bCs/>
          <w:sz w:val="24"/>
          <w:szCs w:val="24"/>
          <w:lang w:val="bg-BG"/>
        </w:rPr>
        <w:t xml:space="preserve"> до „информационен хаос”, </w:t>
      </w:r>
      <w:r w:rsidR="00BB78A1" w:rsidRPr="00610B1B">
        <w:rPr>
          <w:rFonts w:ascii="Times New Roman" w:eastAsia="Calibri" w:hAnsi="Times New Roman" w:cs="Times New Roman"/>
          <w:bCs/>
          <w:sz w:val="24"/>
          <w:szCs w:val="24"/>
          <w:lang w:val="bg-BG"/>
        </w:rPr>
        <w:t>обезсмислящ</w:t>
      </w:r>
      <w:r w:rsidRPr="00610B1B">
        <w:rPr>
          <w:rFonts w:ascii="Times New Roman" w:eastAsia="Calibri" w:hAnsi="Times New Roman" w:cs="Times New Roman"/>
          <w:bCs/>
          <w:sz w:val="24"/>
          <w:szCs w:val="24"/>
          <w:lang w:val="bg-BG"/>
        </w:rPr>
        <w:t xml:space="preserve"> вложените ресурси за това. </w:t>
      </w:r>
      <w:r w:rsidR="00AB0916" w:rsidRPr="00610B1B">
        <w:rPr>
          <w:rFonts w:ascii="Times New Roman" w:eastAsia="Calibri" w:hAnsi="Times New Roman" w:cs="Times New Roman"/>
          <w:bCs/>
          <w:sz w:val="24"/>
          <w:szCs w:val="24"/>
          <w:lang w:val="bg-BG"/>
        </w:rPr>
        <w:t xml:space="preserve">Именно поради това една от важните задачи на новите технологии в морското </w:t>
      </w:r>
      <w:r w:rsidR="00AB0916" w:rsidRPr="00610B1B">
        <w:rPr>
          <w:rFonts w:ascii="Times New Roman" w:eastAsia="Calibri" w:hAnsi="Times New Roman" w:cs="Times New Roman"/>
          <w:bCs/>
          <w:sz w:val="24"/>
          <w:szCs w:val="24"/>
          <w:lang w:val="bg-BG"/>
        </w:rPr>
        <w:lastRenderedPageBreak/>
        <w:t xml:space="preserve">пространствено планиране </w:t>
      </w:r>
      <w:r w:rsidR="00B267B4" w:rsidRPr="00610B1B">
        <w:rPr>
          <w:rFonts w:ascii="Times New Roman" w:eastAsia="Calibri" w:hAnsi="Times New Roman" w:cs="Times New Roman"/>
          <w:bCs/>
          <w:sz w:val="24"/>
          <w:szCs w:val="24"/>
          <w:lang w:val="bg-BG"/>
        </w:rPr>
        <w:t>e</w:t>
      </w:r>
      <w:r w:rsidR="00AB0916" w:rsidRPr="00610B1B">
        <w:rPr>
          <w:rFonts w:ascii="Times New Roman" w:eastAsia="Calibri" w:hAnsi="Times New Roman" w:cs="Times New Roman"/>
          <w:bCs/>
          <w:sz w:val="24"/>
          <w:szCs w:val="24"/>
          <w:lang w:val="bg-BG"/>
        </w:rPr>
        <w:t xml:space="preserve"> да се осигури самия процес на събиране и поддържане на данните в добре организирана и управлявана единна информационна система. </w:t>
      </w:r>
    </w:p>
    <w:p w14:paraId="7C00E981" w14:textId="2A643714" w:rsidR="001D5354"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Екологичните фактори</w:t>
      </w:r>
      <w:r w:rsidRPr="00610B1B">
        <w:rPr>
          <w:rFonts w:ascii="Times New Roman" w:eastAsia="Calibri" w:hAnsi="Times New Roman" w:cs="Times New Roman"/>
          <w:bCs/>
          <w:sz w:val="24"/>
          <w:szCs w:val="24"/>
          <w:lang w:val="bg-BG"/>
        </w:rPr>
        <w:t xml:space="preserve"> ще окажат въздействие върху развитието, опазването и устройството на морск</w:t>
      </w:r>
      <w:r w:rsidR="0075098D" w:rsidRPr="00610B1B">
        <w:rPr>
          <w:rFonts w:ascii="Times New Roman" w:eastAsia="Calibri" w:hAnsi="Times New Roman" w:cs="Times New Roman"/>
          <w:bCs/>
          <w:sz w:val="24"/>
          <w:szCs w:val="24"/>
          <w:lang w:val="bg-BG"/>
        </w:rPr>
        <w:t>и</w:t>
      </w:r>
      <w:r w:rsidRPr="00610B1B">
        <w:rPr>
          <w:rFonts w:ascii="Times New Roman" w:eastAsia="Calibri" w:hAnsi="Times New Roman" w:cs="Times New Roman"/>
          <w:bCs/>
          <w:sz w:val="24"/>
          <w:szCs w:val="24"/>
          <w:lang w:val="bg-BG"/>
        </w:rPr>
        <w:t>т</w:t>
      </w:r>
      <w:r w:rsidR="0075098D" w:rsidRPr="00610B1B">
        <w:rPr>
          <w:rFonts w:ascii="Times New Roman" w:eastAsia="Calibri" w:hAnsi="Times New Roman" w:cs="Times New Roman"/>
          <w:bCs/>
          <w:sz w:val="24"/>
          <w:szCs w:val="24"/>
          <w:lang w:val="bg-BG"/>
        </w:rPr>
        <w:t>е</w:t>
      </w:r>
      <w:r w:rsidRPr="00610B1B">
        <w:rPr>
          <w:rFonts w:ascii="Times New Roman" w:eastAsia="Calibri" w:hAnsi="Times New Roman" w:cs="Times New Roman"/>
          <w:bCs/>
          <w:sz w:val="24"/>
          <w:szCs w:val="24"/>
          <w:lang w:val="bg-BG"/>
        </w:rPr>
        <w:t xml:space="preserve"> пространств</w:t>
      </w:r>
      <w:r w:rsidR="0075098D" w:rsidRPr="00610B1B">
        <w:rPr>
          <w:rFonts w:ascii="Times New Roman" w:eastAsia="Calibri" w:hAnsi="Times New Roman" w:cs="Times New Roman"/>
          <w:bCs/>
          <w:sz w:val="24"/>
          <w:szCs w:val="24"/>
          <w:lang w:val="bg-BG"/>
        </w:rPr>
        <w:t>а</w:t>
      </w:r>
      <w:r w:rsidRPr="00610B1B">
        <w:rPr>
          <w:rFonts w:ascii="Times New Roman" w:eastAsia="Calibri" w:hAnsi="Times New Roman" w:cs="Times New Roman"/>
          <w:bCs/>
          <w:sz w:val="24"/>
          <w:szCs w:val="24"/>
          <w:lang w:val="bg-BG"/>
        </w:rPr>
        <w:t xml:space="preserve"> най-вече с очакваните изменения в климата. За оценка на тези въздействия са използвани допусканията и прогнозите на Междуправителствения панел за климатични промени (IPCC), на отдела за Климатични промени на Института по околна среда и устойчиво развитие на Европейската комисия и Изследователския център (JRC), резултатите от наблюденията и изследванията на Института по метеорология и хидрология </w:t>
      </w:r>
      <w:r w:rsidR="00B267B4" w:rsidRPr="00610B1B">
        <w:rPr>
          <w:rFonts w:ascii="Times New Roman" w:eastAsia="Calibri" w:hAnsi="Times New Roman" w:cs="Times New Roman"/>
          <w:bCs/>
          <w:sz w:val="24"/>
          <w:szCs w:val="24"/>
          <w:lang w:val="bg-BG"/>
        </w:rPr>
        <w:t>на</w:t>
      </w:r>
      <w:r w:rsidRPr="00610B1B">
        <w:rPr>
          <w:rFonts w:ascii="Times New Roman" w:eastAsia="Calibri" w:hAnsi="Times New Roman" w:cs="Times New Roman"/>
          <w:bCs/>
          <w:sz w:val="24"/>
          <w:szCs w:val="24"/>
          <w:lang w:val="bg-BG"/>
        </w:rPr>
        <w:t xml:space="preserve"> БАН.</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Допълнително за прогнозиране на промените в състоянието на морската среда и биоразнообразието са използвани резултатите от ежегодните мониторингови доклади на БДЧР </w:t>
      </w:r>
      <w:r w:rsidR="00C40FFC" w:rsidRPr="00610B1B">
        <w:rPr>
          <w:rFonts w:ascii="Times New Roman" w:eastAsia="Calibri" w:hAnsi="Times New Roman" w:cs="Times New Roman"/>
          <w:bCs/>
          <w:sz w:val="24"/>
          <w:szCs w:val="24"/>
          <w:lang w:val="bg-BG"/>
        </w:rPr>
        <w:t>и</w:t>
      </w:r>
      <w:r w:rsidRPr="00610B1B">
        <w:rPr>
          <w:rFonts w:ascii="Times New Roman" w:eastAsia="Calibri" w:hAnsi="Times New Roman" w:cs="Times New Roman"/>
          <w:bCs/>
          <w:sz w:val="24"/>
          <w:szCs w:val="24"/>
          <w:lang w:val="bg-BG"/>
        </w:rPr>
        <w:t xml:space="preserve"> Института по Океанология при БАН във връзка с Националната морска стратегия на </w:t>
      </w:r>
      <w:r w:rsidR="00B267B4" w:rsidRPr="00610B1B">
        <w:rPr>
          <w:rFonts w:ascii="Times New Roman" w:eastAsia="Calibri" w:hAnsi="Times New Roman" w:cs="Times New Roman"/>
          <w:bCs/>
          <w:sz w:val="24"/>
          <w:szCs w:val="24"/>
          <w:lang w:val="bg-BG"/>
        </w:rPr>
        <w:t xml:space="preserve">Република </w:t>
      </w:r>
      <w:r w:rsidRPr="00610B1B">
        <w:rPr>
          <w:rFonts w:ascii="Times New Roman" w:eastAsia="Calibri" w:hAnsi="Times New Roman" w:cs="Times New Roman"/>
          <w:bCs/>
          <w:sz w:val="24"/>
          <w:szCs w:val="24"/>
          <w:lang w:val="bg-BG"/>
        </w:rPr>
        <w:t>България.</w:t>
      </w:r>
      <w:r w:rsidR="001D5354" w:rsidRPr="00610B1B">
        <w:rPr>
          <w:rFonts w:ascii="Times New Roman" w:eastAsia="Calibri" w:hAnsi="Times New Roman" w:cs="Times New Roman"/>
          <w:bCs/>
          <w:sz w:val="24"/>
          <w:szCs w:val="24"/>
          <w:lang w:val="bg-BG"/>
        </w:rPr>
        <w:t xml:space="preserve"> </w:t>
      </w:r>
    </w:p>
    <w:p w14:paraId="67812379" w14:textId="1758CCBC" w:rsidR="009E1CCA" w:rsidRPr="00610B1B" w:rsidRDefault="001D5354"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Свързани с екологичните фактори, които ще окажат въздействие върху планирането, използването и</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опазването на морските пространства са биологичното разнообразие, от съхранението на което зависи цялата верига от взаимодействия в морето, спазването на екологичните стандарти и завишените изисквания към всички дейности в Черно море, от които зависи чистотата на водите и опазването на добрия статус на морската околна среда. </w:t>
      </w:r>
    </w:p>
    <w:p w14:paraId="1DD9EA6D" w14:textId="44AB4C0D" w:rsidR="00442579" w:rsidRPr="00610B1B" w:rsidRDefault="001D5354"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Прогнозирането на</w:t>
      </w:r>
      <w:r w:rsidR="00442579" w:rsidRPr="00610B1B">
        <w:rPr>
          <w:rFonts w:ascii="Times New Roman" w:eastAsia="Calibri" w:hAnsi="Times New Roman" w:cs="Times New Roman"/>
          <w:bCs/>
          <w:sz w:val="24"/>
          <w:szCs w:val="24"/>
          <w:lang w:val="bg-BG"/>
        </w:rPr>
        <w:t xml:space="preserve"> съвместим</w:t>
      </w:r>
      <w:r w:rsidRPr="00610B1B">
        <w:rPr>
          <w:rFonts w:ascii="Times New Roman" w:eastAsia="Calibri" w:hAnsi="Times New Roman" w:cs="Times New Roman"/>
          <w:bCs/>
          <w:sz w:val="24"/>
          <w:szCs w:val="24"/>
          <w:lang w:val="bg-BG"/>
        </w:rPr>
        <w:t xml:space="preserve">ата </w:t>
      </w:r>
      <w:r w:rsidR="00442579" w:rsidRPr="00610B1B">
        <w:rPr>
          <w:rFonts w:ascii="Times New Roman" w:eastAsia="Calibri" w:hAnsi="Times New Roman" w:cs="Times New Roman"/>
          <w:bCs/>
          <w:sz w:val="24"/>
          <w:szCs w:val="24"/>
          <w:lang w:val="bg-BG"/>
        </w:rPr>
        <w:t>икономическа активност с природозащитните дейности в морските пространства използва</w:t>
      </w:r>
      <w:r w:rsidRPr="00610B1B">
        <w:rPr>
          <w:rFonts w:ascii="Times New Roman" w:eastAsia="Calibri" w:hAnsi="Times New Roman" w:cs="Times New Roman"/>
          <w:bCs/>
          <w:sz w:val="24"/>
          <w:szCs w:val="24"/>
          <w:lang w:val="bg-BG"/>
        </w:rPr>
        <w:t xml:space="preserve"> екосистем</w:t>
      </w:r>
      <w:r w:rsidR="00442579" w:rsidRPr="00610B1B">
        <w:rPr>
          <w:rFonts w:ascii="Times New Roman" w:eastAsia="Calibri" w:hAnsi="Times New Roman" w:cs="Times New Roman"/>
          <w:bCs/>
          <w:sz w:val="24"/>
          <w:szCs w:val="24"/>
          <w:lang w:val="bg-BG"/>
        </w:rPr>
        <w:t>н</w:t>
      </w:r>
      <w:r w:rsidRPr="00610B1B">
        <w:rPr>
          <w:rFonts w:ascii="Times New Roman" w:eastAsia="Calibri" w:hAnsi="Times New Roman" w:cs="Times New Roman"/>
          <w:bCs/>
          <w:sz w:val="24"/>
          <w:szCs w:val="24"/>
          <w:lang w:val="bg-BG"/>
        </w:rPr>
        <w:t>ия</w:t>
      </w:r>
      <w:r w:rsidR="00442579" w:rsidRPr="00610B1B">
        <w:rPr>
          <w:rFonts w:ascii="Times New Roman" w:eastAsia="Calibri" w:hAnsi="Times New Roman" w:cs="Times New Roman"/>
          <w:bCs/>
          <w:sz w:val="24"/>
          <w:szCs w:val="24"/>
          <w:lang w:val="bg-BG"/>
        </w:rPr>
        <w:t xml:space="preserve"> подход, основан на модела DPSIR (Driver-Pressure-State-Impact-Response/Дейност-Натиск-Състояние-Въздействие</w:t>
      </w:r>
      <w:r w:rsidR="00D57899" w:rsidRPr="00610B1B">
        <w:rPr>
          <w:rFonts w:ascii="Times New Roman" w:eastAsia="Calibri" w:hAnsi="Times New Roman" w:cs="Times New Roman"/>
          <w:bCs/>
          <w:sz w:val="24"/>
          <w:szCs w:val="24"/>
          <w:lang w:val="bg-BG"/>
        </w:rPr>
        <w:t>-Р</w:t>
      </w:r>
      <w:r w:rsidR="00442579" w:rsidRPr="00610B1B">
        <w:rPr>
          <w:rFonts w:ascii="Times New Roman" w:eastAsia="Calibri" w:hAnsi="Times New Roman" w:cs="Times New Roman"/>
          <w:bCs/>
          <w:sz w:val="24"/>
          <w:szCs w:val="24"/>
          <w:lang w:val="bg-BG"/>
        </w:rPr>
        <w:t>еакция)</w:t>
      </w:r>
      <w:r w:rsidRPr="00610B1B">
        <w:rPr>
          <w:rStyle w:val="FootnoteReference"/>
          <w:rFonts w:ascii="Times New Roman" w:eastAsia="Calibri" w:hAnsi="Times New Roman" w:cs="Times New Roman"/>
          <w:bCs/>
          <w:sz w:val="24"/>
          <w:szCs w:val="24"/>
          <w:lang w:val="bg-BG"/>
        </w:rPr>
        <w:footnoteReference w:id="151"/>
      </w:r>
      <w:r w:rsidR="00442579" w:rsidRPr="00610B1B">
        <w:rPr>
          <w:rFonts w:ascii="Times New Roman" w:eastAsia="Calibri" w:hAnsi="Times New Roman" w:cs="Times New Roman"/>
          <w:bCs/>
          <w:sz w:val="24"/>
          <w:szCs w:val="24"/>
          <w:lang w:val="bg-BG"/>
        </w:rPr>
        <w:t xml:space="preserve">, прилаган от Европейската агенция по околна среда от средата на 1990-те години, включително и за интегрирано управление на крайбрежни зони. </w:t>
      </w:r>
    </w:p>
    <w:p w14:paraId="4C0320A7" w14:textId="3CDE8FCB"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
          <w:i/>
          <w:iCs/>
          <w:sz w:val="24"/>
          <w:szCs w:val="24"/>
          <w:lang w:val="bg-BG"/>
        </w:rPr>
        <w:t>Урбанистичните фактори</w:t>
      </w:r>
      <w:r w:rsidRPr="00610B1B">
        <w:rPr>
          <w:rFonts w:ascii="Times New Roman" w:eastAsia="Calibri" w:hAnsi="Times New Roman" w:cs="Times New Roman"/>
          <w:bCs/>
          <w:sz w:val="24"/>
          <w:szCs w:val="24"/>
          <w:lang w:val="bg-BG"/>
        </w:rPr>
        <w:t xml:space="preserve"> </w:t>
      </w:r>
      <w:r w:rsidR="001D5354" w:rsidRPr="00610B1B">
        <w:rPr>
          <w:rFonts w:ascii="Times New Roman" w:eastAsia="Calibri" w:hAnsi="Times New Roman" w:cs="Times New Roman"/>
          <w:bCs/>
          <w:sz w:val="24"/>
          <w:szCs w:val="24"/>
          <w:lang w:val="bg-BG"/>
        </w:rPr>
        <w:t>отразяват</w:t>
      </w:r>
      <w:r w:rsidRPr="00610B1B">
        <w:rPr>
          <w:rFonts w:ascii="Times New Roman" w:eastAsia="Calibri" w:hAnsi="Times New Roman" w:cs="Times New Roman"/>
          <w:bCs/>
          <w:sz w:val="24"/>
          <w:szCs w:val="24"/>
          <w:lang w:val="bg-BG"/>
        </w:rPr>
        <w:t xml:space="preserve"> световните тенденции </w:t>
      </w:r>
      <w:r w:rsidR="001D5354" w:rsidRPr="00610B1B">
        <w:rPr>
          <w:rFonts w:ascii="Times New Roman" w:eastAsia="Calibri" w:hAnsi="Times New Roman" w:cs="Times New Roman"/>
          <w:bCs/>
          <w:sz w:val="24"/>
          <w:szCs w:val="24"/>
          <w:lang w:val="bg-BG"/>
        </w:rPr>
        <w:t>за увеличаване на населението в крайбрежните зони. П</w:t>
      </w:r>
      <w:r w:rsidRPr="00610B1B">
        <w:rPr>
          <w:rFonts w:ascii="Times New Roman" w:eastAsia="Calibri" w:hAnsi="Times New Roman" w:cs="Times New Roman"/>
          <w:bCs/>
          <w:sz w:val="24"/>
          <w:szCs w:val="24"/>
          <w:lang w:val="bg-BG"/>
        </w:rPr>
        <w:t xml:space="preserve">о данни </w:t>
      </w:r>
      <w:r w:rsidR="001D5354" w:rsidRPr="00610B1B">
        <w:rPr>
          <w:rFonts w:ascii="Times New Roman" w:eastAsia="Calibri" w:hAnsi="Times New Roman" w:cs="Times New Roman"/>
          <w:bCs/>
          <w:sz w:val="24"/>
          <w:szCs w:val="24"/>
          <w:lang w:val="bg-BG"/>
        </w:rPr>
        <w:t xml:space="preserve">на НСИ от </w:t>
      </w:r>
      <w:r w:rsidRPr="00610B1B">
        <w:rPr>
          <w:rFonts w:ascii="Times New Roman" w:eastAsia="Calibri" w:hAnsi="Times New Roman" w:cs="Times New Roman"/>
          <w:bCs/>
          <w:sz w:val="24"/>
          <w:szCs w:val="24"/>
          <w:lang w:val="bg-BG"/>
        </w:rPr>
        <w:t>края на 201</w:t>
      </w:r>
      <w:r w:rsidR="006F7055" w:rsidRPr="00610B1B">
        <w:rPr>
          <w:rFonts w:ascii="Times New Roman" w:eastAsia="Calibri" w:hAnsi="Times New Roman" w:cs="Times New Roman"/>
          <w:bCs/>
          <w:sz w:val="24"/>
          <w:szCs w:val="24"/>
          <w:lang w:val="bg-BG"/>
        </w:rPr>
        <w:t>9</w:t>
      </w:r>
      <w:r w:rsidRPr="00610B1B">
        <w:rPr>
          <w:rFonts w:ascii="Times New Roman" w:eastAsia="Calibri" w:hAnsi="Times New Roman" w:cs="Times New Roman"/>
          <w:bCs/>
          <w:sz w:val="24"/>
          <w:szCs w:val="24"/>
          <w:lang w:val="bg-BG"/>
        </w:rPr>
        <w:t xml:space="preserve"> г.</w:t>
      </w:r>
      <w:r w:rsidR="001D5354" w:rsidRPr="00610B1B">
        <w:rPr>
          <w:rFonts w:ascii="Times New Roman" w:eastAsia="Calibri" w:hAnsi="Times New Roman" w:cs="Times New Roman"/>
          <w:bCs/>
          <w:sz w:val="24"/>
          <w:szCs w:val="24"/>
          <w:lang w:val="bg-BG"/>
        </w:rPr>
        <w:t xml:space="preserve"> по българското Черноморско крайбрежие</w:t>
      </w:r>
      <w:r w:rsidRPr="00610B1B">
        <w:rPr>
          <w:rFonts w:ascii="Times New Roman" w:eastAsia="Calibri" w:hAnsi="Times New Roman" w:cs="Times New Roman"/>
          <w:bCs/>
          <w:sz w:val="24"/>
          <w:szCs w:val="24"/>
          <w:lang w:val="bg-BG"/>
        </w:rPr>
        <w:t xml:space="preserve"> са разположени </w:t>
      </w:r>
      <w:r w:rsidR="006F7055" w:rsidRPr="00610B1B">
        <w:rPr>
          <w:rFonts w:ascii="Times New Roman" w:eastAsia="Calibri" w:hAnsi="Times New Roman" w:cs="Times New Roman"/>
          <w:bCs/>
          <w:sz w:val="24"/>
          <w:szCs w:val="24"/>
          <w:lang w:val="bg-BG"/>
        </w:rPr>
        <w:t>6,</w:t>
      </w:r>
      <w:r w:rsidRPr="00610B1B">
        <w:rPr>
          <w:rFonts w:ascii="Times New Roman" w:eastAsia="Calibri" w:hAnsi="Times New Roman" w:cs="Times New Roman"/>
          <w:bCs/>
          <w:sz w:val="24"/>
          <w:szCs w:val="24"/>
          <w:lang w:val="bg-BG"/>
        </w:rPr>
        <w:t>6% от градовете и е концентрирано 12</w:t>
      </w:r>
      <w:r w:rsidR="006F7055" w:rsidRPr="00610B1B">
        <w:rPr>
          <w:rFonts w:ascii="Times New Roman" w:eastAsia="Calibri" w:hAnsi="Times New Roman" w:cs="Times New Roman"/>
          <w:bCs/>
          <w:sz w:val="24"/>
          <w:szCs w:val="24"/>
          <w:lang w:val="bg-BG"/>
        </w:rPr>
        <w:t>,0</w:t>
      </w:r>
      <w:r w:rsidRPr="00610B1B">
        <w:rPr>
          <w:rFonts w:ascii="Times New Roman" w:eastAsia="Calibri" w:hAnsi="Times New Roman" w:cs="Times New Roman"/>
          <w:bCs/>
          <w:sz w:val="24"/>
          <w:szCs w:val="24"/>
          <w:lang w:val="bg-BG"/>
        </w:rPr>
        <w:t xml:space="preserve">% от градското население на страната. През летния туристически </w:t>
      </w:r>
      <w:r w:rsidRPr="00610B1B">
        <w:rPr>
          <w:rFonts w:ascii="Times New Roman" w:eastAsia="Calibri" w:hAnsi="Times New Roman" w:cs="Times New Roman"/>
          <w:bCs/>
          <w:color w:val="000000"/>
          <w:sz w:val="24"/>
          <w:szCs w:val="24"/>
          <w:lang w:val="bg-BG"/>
        </w:rPr>
        <w:t xml:space="preserve">сезон антропогенното присъствие край морето </w:t>
      </w:r>
      <w:r w:rsidRPr="00610B1B">
        <w:rPr>
          <w:rFonts w:ascii="Times New Roman" w:eastAsia="Calibri" w:hAnsi="Times New Roman" w:cs="Times New Roman"/>
          <w:bCs/>
          <w:sz w:val="24"/>
          <w:szCs w:val="24"/>
          <w:lang w:val="bg-BG"/>
        </w:rPr>
        <w:t>нараства до 1.5 млн</w:t>
      </w:r>
      <w:r w:rsidR="002629C4" w:rsidRPr="00390518">
        <w:rPr>
          <w:rFonts w:ascii="Times New Roman" w:eastAsia="Calibri" w:hAnsi="Times New Roman" w:cs="Times New Roman"/>
          <w:bCs/>
          <w:sz w:val="24"/>
          <w:szCs w:val="24"/>
          <w:lang w:val="bg-BG"/>
        </w:rPr>
        <w:t>.</w:t>
      </w:r>
      <w:r w:rsidRPr="00610B1B">
        <w:rPr>
          <w:rFonts w:ascii="Times New Roman" w:eastAsia="Calibri" w:hAnsi="Times New Roman" w:cs="Times New Roman"/>
          <w:bCs/>
          <w:sz w:val="24"/>
          <w:szCs w:val="24"/>
          <w:lang w:val="bg-BG"/>
        </w:rPr>
        <w:t>, което е допълнителен натиск за инфраструктурата и оттам върху морската околна среда. Ускореното застрояване на свободните територии в крайбрежната зона с курортни комплекси и апартаментни хотели, при изоставащо изграждане на необходимата инфраструктура, променя цялостния облик на ландшафта, разрушава уникални негови компоненти, оказва въздействие върху морската околна среда. От друга страна, концентрацията на образователни, изследователски, транспортни, културни и административни функции в двата областни центъра Варна и Бургас създават условия за развитие на човешкия капитал и за изпълнение на важни проекти в областта на интегрираната морска политика.</w:t>
      </w:r>
      <w:r w:rsidRPr="00610B1B">
        <w:rPr>
          <w:rFonts w:ascii="Times New Roman" w:eastAsia="Calibri" w:hAnsi="Times New Roman" w:cs="Times New Roman"/>
          <w:bCs/>
          <w:sz w:val="24"/>
          <w:szCs w:val="24"/>
          <w:vertAlign w:val="superscript"/>
          <w:lang w:val="bg-BG"/>
        </w:rPr>
        <w:footnoteReference w:id="152"/>
      </w:r>
    </w:p>
    <w:p w14:paraId="2F088454" w14:textId="03166424"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Прогнозите за състоянието на средата в различни зони от акваторията, за потенциалното развитие на основни сектори от синята икономика, на транспортната и техническата инфраструктура, на трансграничното сътрудничество, последното и под въздействието на </w:t>
      </w:r>
      <w:r w:rsidR="006F7055" w:rsidRPr="00610B1B">
        <w:rPr>
          <w:rFonts w:ascii="Times New Roman" w:eastAsia="Calibri" w:hAnsi="Times New Roman" w:cs="Times New Roman"/>
          <w:bCs/>
          <w:sz w:val="24"/>
          <w:szCs w:val="24"/>
          <w:lang w:val="bg-BG"/>
        </w:rPr>
        <w:t xml:space="preserve">глобалната и регионалната </w:t>
      </w:r>
      <w:r w:rsidRPr="00610B1B">
        <w:rPr>
          <w:rFonts w:ascii="Times New Roman" w:eastAsia="Calibri" w:hAnsi="Times New Roman" w:cs="Times New Roman"/>
          <w:bCs/>
          <w:sz w:val="24"/>
          <w:szCs w:val="24"/>
          <w:lang w:val="bg-BG"/>
        </w:rPr>
        <w:t>политическ</w:t>
      </w:r>
      <w:r w:rsidR="006F7055" w:rsidRPr="00610B1B">
        <w:rPr>
          <w:rFonts w:ascii="Times New Roman" w:eastAsia="Calibri" w:hAnsi="Times New Roman" w:cs="Times New Roman"/>
          <w:bCs/>
          <w:sz w:val="24"/>
          <w:szCs w:val="24"/>
          <w:lang w:val="bg-BG"/>
        </w:rPr>
        <w:t>а обста</w:t>
      </w:r>
      <w:r w:rsidR="00BA5862" w:rsidRPr="00610B1B">
        <w:rPr>
          <w:rFonts w:ascii="Times New Roman" w:eastAsia="Calibri" w:hAnsi="Times New Roman" w:cs="Times New Roman"/>
          <w:bCs/>
          <w:sz w:val="24"/>
          <w:szCs w:val="24"/>
          <w:lang w:val="bg-BG"/>
        </w:rPr>
        <w:t>нов</w:t>
      </w:r>
      <w:r w:rsidR="006F7055" w:rsidRPr="00610B1B">
        <w:rPr>
          <w:rFonts w:ascii="Times New Roman" w:eastAsia="Calibri" w:hAnsi="Times New Roman" w:cs="Times New Roman"/>
          <w:bCs/>
          <w:sz w:val="24"/>
          <w:szCs w:val="24"/>
          <w:lang w:val="bg-BG"/>
        </w:rPr>
        <w:t>ка,</w:t>
      </w:r>
      <w:r w:rsidRPr="00610B1B">
        <w:rPr>
          <w:rFonts w:ascii="Times New Roman" w:eastAsia="Calibri" w:hAnsi="Times New Roman" w:cs="Times New Roman"/>
          <w:bCs/>
          <w:sz w:val="24"/>
          <w:szCs w:val="24"/>
          <w:lang w:val="bg-BG"/>
        </w:rPr>
        <w:t xml:space="preserve"> отчитат въздействието на изброените </w:t>
      </w:r>
      <w:r w:rsidRPr="00610B1B">
        <w:rPr>
          <w:rFonts w:ascii="Times New Roman" w:eastAsia="Calibri" w:hAnsi="Times New Roman" w:cs="Times New Roman"/>
          <w:bCs/>
          <w:sz w:val="24"/>
          <w:szCs w:val="24"/>
          <w:lang w:val="bg-BG"/>
        </w:rPr>
        <w:lastRenderedPageBreak/>
        <w:t>фактори. Извън контекста на конкретна политика или сценарий за развитие и ползване на морското пространство, тези фактори и тяхното проявление, се приемат за принципни. Прогнозният контекст се определя от избран сценарий за развитие, съпътстван от политика за интегриране на функциите и стратегически пакет от цели и мерки.</w:t>
      </w:r>
    </w:p>
    <w:p w14:paraId="74C9664D" w14:textId="77777777" w:rsidR="00442579" w:rsidRPr="00610B1B" w:rsidRDefault="00442579" w:rsidP="00D32D6A">
      <w:pPr>
        <w:spacing w:after="120"/>
        <w:ind w:right="-153"/>
        <w:jc w:val="both"/>
        <w:rPr>
          <w:rFonts w:ascii="Times New Roman" w:eastAsia="Calibri" w:hAnsi="Times New Roman" w:cs="Times New Roman"/>
          <w:bCs/>
          <w:sz w:val="24"/>
          <w:szCs w:val="24"/>
          <w:lang w:val="bg-BG"/>
        </w:rPr>
      </w:pPr>
    </w:p>
    <w:p w14:paraId="6D66855E" w14:textId="7B639FBD" w:rsidR="00442579" w:rsidRPr="00610B1B" w:rsidRDefault="009E1CCA" w:rsidP="00D32D6A">
      <w:pPr>
        <w:pStyle w:val="Heading2"/>
        <w:spacing w:before="0" w:line="276" w:lineRule="auto"/>
        <w:ind w:right="-153"/>
        <w:rPr>
          <w:rFonts w:cs="Times New Roman"/>
        </w:rPr>
      </w:pPr>
      <w:bookmarkStart w:id="429" w:name="_Toc83391407"/>
      <w:r w:rsidRPr="00610B1B">
        <w:rPr>
          <w:rFonts w:cs="Times New Roman"/>
        </w:rPr>
        <w:t xml:space="preserve">4.2. </w:t>
      </w:r>
      <w:r w:rsidR="00442579" w:rsidRPr="00610B1B">
        <w:rPr>
          <w:rFonts w:cs="Times New Roman"/>
        </w:rPr>
        <w:t>Прогноза за социално-икономическото развитие</w:t>
      </w:r>
      <w:bookmarkEnd w:id="429"/>
      <w:r w:rsidR="00442579" w:rsidRPr="00610B1B">
        <w:rPr>
          <w:rFonts w:cs="Times New Roman"/>
        </w:rPr>
        <w:t xml:space="preserve"> </w:t>
      </w:r>
    </w:p>
    <w:p w14:paraId="6D589974" w14:textId="63A19CCE" w:rsidR="00442579" w:rsidRPr="00610B1B" w:rsidRDefault="00442579" w:rsidP="00AE254B">
      <w:pPr>
        <w:tabs>
          <w:tab w:val="left" w:pos="3960"/>
        </w:tabs>
        <w:spacing w:after="120"/>
        <w:ind w:right="-153"/>
        <w:jc w:val="both"/>
        <w:rPr>
          <w:rFonts w:ascii="Times New Roman" w:eastAsia="Calibri" w:hAnsi="Times New Roman" w:cs="Times New Roman"/>
          <w:sz w:val="24"/>
          <w:szCs w:val="24"/>
          <w:lang w:val="bg-BG"/>
        </w:rPr>
      </w:pPr>
      <w:bookmarkStart w:id="430" w:name="_Hlk41169536"/>
      <w:r w:rsidRPr="00610B1B">
        <w:rPr>
          <w:rFonts w:ascii="Times New Roman" w:eastAsia="Calibri" w:hAnsi="Times New Roman" w:cs="Times New Roman"/>
          <w:sz w:val="24"/>
          <w:szCs w:val="24"/>
          <w:lang w:val="bg-BG"/>
        </w:rPr>
        <w:t xml:space="preserve">Прогнозата за социално-икономическото развитие се разработва в период с нарастваща безпрецедентна несигурност, поради което стъпва на </w:t>
      </w:r>
      <w:r w:rsidR="00BB78A1" w:rsidRPr="00610B1B">
        <w:rPr>
          <w:rFonts w:ascii="Times New Roman" w:eastAsia="Calibri" w:hAnsi="Times New Roman" w:cs="Times New Roman"/>
          <w:sz w:val="24"/>
          <w:szCs w:val="24"/>
          <w:lang w:val="bg-BG"/>
        </w:rPr>
        <w:t>контекста</w:t>
      </w:r>
      <w:r w:rsidRPr="00610B1B">
        <w:rPr>
          <w:rFonts w:ascii="Times New Roman" w:eastAsia="Calibri" w:hAnsi="Times New Roman" w:cs="Times New Roman"/>
          <w:sz w:val="24"/>
          <w:szCs w:val="24"/>
          <w:lang w:val="bg-BG"/>
        </w:rPr>
        <w:t xml:space="preserve"> и тенденциите от предходните няколко години, на определената от законодателството рамка и предвижданията на приети национални стратегически документи с времеви хоризонт, близък до 2035 г. Резултатите от първите анализи на световни организации за състоянието на синята икономика и възможностите за възстановяване след пандемията показват, че най-засегнатите сектори са туризмът</w:t>
      </w:r>
      <w:r w:rsidR="00AF5170" w:rsidRPr="00610B1B">
        <w:rPr>
          <w:rFonts w:ascii="Times New Roman" w:eastAsia="Calibri" w:hAnsi="Times New Roman" w:cs="Times New Roman"/>
          <w:sz w:val="24"/>
          <w:szCs w:val="24"/>
          <w:lang w:val="bg-BG"/>
        </w:rPr>
        <w:t xml:space="preserve"> с всички дейности по настаняването, изхранването и атракциите</w:t>
      </w:r>
      <w:r w:rsidRPr="00610B1B">
        <w:rPr>
          <w:rFonts w:ascii="Times New Roman" w:eastAsia="Calibri" w:hAnsi="Times New Roman" w:cs="Times New Roman"/>
          <w:sz w:val="24"/>
          <w:szCs w:val="24"/>
          <w:lang w:val="bg-BG"/>
        </w:rPr>
        <w:t xml:space="preserve">, морският транспорт, рибарството и </w:t>
      </w:r>
      <w:r w:rsidR="00BB78A1" w:rsidRPr="00610B1B">
        <w:rPr>
          <w:rFonts w:ascii="Times New Roman" w:eastAsia="Calibri" w:hAnsi="Times New Roman" w:cs="Times New Roman"/>
          <w:sz w:val="24"/>
          <w:szCs w:val="24"/>
          <w:lang w:val="bg-BG"/>
        </w:rPr>
        <w:t>аквакултурите</w:t>
      </w:r>
      <w:r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vertAlign w:val="superscript"/>
          <w:lang w:val="bg-BG"/>
        </w:rPr>
        <w:footnoteReference w:id="153"/>
      </w:r>
      <w:r w:rsidRPr="00610B1B">
        <w:rPr>
          <w:rFonts w:ascii="Times New Roman" w:eastAsia="Calibri" w:hAnsi="Times New Roman" w:cs="Times New Roman"/>
          <w:sz w:val="24"/>
          <w:szCs w:val="24"/>
          <w:lang w:val="bg-BG"/>
        </w:rPr>
        <w:t xml:space="preserve"> </w:t>
      </w:r>
      <w:bookmarkEnd w:id="430"/>
    </w:p>
    <w:p w14:paraId="4A097FA6" w14:textId="77777777" w:rsidR="009907CE" w:rsidRPr="00610B1B" w:rsidRDefault="009907CE" w:rsidP="00AE254B">
      <w:pPr>
        <w:tabs>
          <w:tab w:val="left" w:pos="3960"/>
        </w:tabs>
        <w:spacing w:after="120"/>
        <w:ind w:right="-153"/>
        <w:jc w:val="both"/>
        <w:rPr>
          <w:rFonts w:ascii="Times New Roman" w:eastAsia="Calibri" w:hAnsi="Times New Roman" w:cs="Times New Roman"/>
          <w:color w:val="00B050"/>
          <w:sz w:val="24"/>
          <w:szCs w:val="24"/>
          <w:lang w:val="bg-BG"/>
        </w:rPr>
      </w:pPr>
    </w:p>
    <w:p w14:paraId="7B03E6B5" w14:textId="5F2DB118" w:rsidR="00442579" w:rsidRPr="00610B1B" w:rsidRDefault="009E1CCA" w:rsidP="00D32D6A">
      <w:pPr>
        <w:pStyle w:val="Heading3"/>
        <w:spacing w:before="0" w:line="276" w:lineRule="auto"/>
        <w:ind w:right="-153"/>
        <w:rPr>
          <w:rFonts w:cs="Times New Roman"/>
        </w:rPr>
      </w:pPr>
      <w:bookmarkStart w:id="431" w:name="_Toc83391408"/>
      <w:r w:rsidRPr="00610B1B">
        <w:rPr>
          <w:rFonts w:cs="Times New Roman"/>
        </w:rPr>
        <w:t xml:space="preserve">4.2.1. </w:t>
      </w:r>
      <w:r w:rsidR="00442579" w:rsidRPr="00610B1B">
        <w:rPr>
          <w:rFonts w:cs="Times New Roman"/>
        </w:rPr>
        <w:t>Прогноза за демографското развитие на черноморските общини</w:t>
      </w:r>
      <w:bookmarkEnd w:id="431"/>
    </w:p>
    <w:p w14:paraId="7B28C52F" w14:textId="77777777"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Както в краткосрочен, така и в дългосрочен план, може да се прогнозира относително стабилно развитие на демографските процеси в големите черноморски общини. Малките са по-уязвими и демографското им развитие ще бъде в пряка зависимост от модела на туристическото развитие. Позитивен принос би имало и евентуалното възраждане на интензивното земеделие в хинтерланда на черноморските общини. </w:t>
      </w:r>
    </w:p>
    <w:p w14:paraId="302D9BB8" w14:textId="7CBE72E4"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Основавайки се на презумпцията за дълготрайност, естествена и целево опазвана устойчивост на рекреационния ресурс на черноморското крайбрежие, установеният с десетилетия синдром на </w:t>
      </w:r>
      <w:r w:rsidRPr="00610B1B">
        <w:rPr>
          <w:rFonts w:ascii="Times New Roman" w:eastAsia="Calibri" w:hAnsi="Times New Roman" w:cs="Times New Roman"/>
          <w:i/>
          <w:sz w:val="24"/>
          <w:szCs w:val="24"/>
          <w:lang w:val="bg-BG"/>
        </w:rPr>
        <w:t>сезонна пулсация в човешкото присъствие</w:t>
      </w:r>
      <w:r w:rsidRPr="00610B1B">
        <w:rPr>
          <w:rFonts w:ascii="Times New Roman" w:eastAsia="Calibri" w:hAnsi="Times New Roman" w:cs="Times New Roman"/>
          <w:sz w:val="24"/>
          <w:szCs w:val="24"/>
          <w:lang w:val="bg-BG"/>
        </w:rPr>
        <w:t xml:space="preserve"> </w:t>
      </w:r>
      <w:r w:rsidR="005C3375" w:rsidRPr="00610B1B">
        <w:rPr>
          <w:rFonts w:ascii="Times New Roman" w:eastAsia="Calibri" w:hAnsi="Times New Roman" w:cs="Times New Roman"/>
          <w:sz w:val="24"/>
          <w:szCs w:val="24"/>
          <w:lang w:val="bg-BG"/>
        </w:rPr>
        <w:t xml:space="preserve">(почиващи и сезонно заети) </w:t>
      </w:r>
      <w:r w:rsidRPr="00610B1B">
        <w:rPr>
          <w:rFonts w:ascii="Times New Roman" w:eastAsia="Calibri" w:hAnsi="Times New Roman" w:cs="Times New Roman"/>
          <w:sz w:val="24"/>
          <w:szCs w:val="24"/>
          <w:lang w:val="bg-BG"/>
        </w:rPr>
        <w:t>и съответните антропогенни натоварвания ще продължи. Тезата, че именно сезонната пулсация, а не постоянното население е потенциален източник на нежелани негативни въздействия, е отдавна доказана и призната. Тя се трансформира в прогноза, без да се нуждае от допълнителни аргументи.</w:t>
      </w:r>
    </w:p>
    <w:p w14:paraId="100EFE3B" w14:textId="27FF4EF5" w:rsidR="008B3DB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При най-оптимистичната прогноза се очаква населението на Черноморските общини в края на времевия хоризонт на Морския пространствен план да достигне 748</w:t>
      </w:r>
      <w:r w:rsidR="006F7055" w:rsidRPr="00610B1B">
        <w:rPr>
          <w:rFonts w:ascii="Times New Roman" w:eastAsia="Calibri" w:hAnsi="Times New Roman" w:cs="Times New Roman"/>
          <w:sz w:val="24"/>
          <w:szCs w:val="24"/>
          <w:lang w:val="bg-BG"/>
        </w:rPr>
        <w:t> </w:t>
      </w:r>
      <w:r w:rsidRPr="00610B1B">
        <w:rPr>
          <w:rFonts w:ascii="Times New Roman" w:eastAsia="Calibri" w:hAnsi="Times New Roman" w:cs="Times New Roman"/>
          <w:sz w:val="24"/>
          <w:szCs w:val="24"/>
          <w:lang w:val="bg-BG"/>
        </w:rPr>
        <w:t>479 д. (2035</w:t>
      </w:r>
      <w:r w:rsidR="00FB58CD" w:rsidRPr="00610B1B">
        <w:rPr>
          <w:rFonts w:ascii="Times New Roman" w:hAnsi="Times New Roman" w:cs="Times New Roman"/>
          <w:lang w:val="bg-BG"/>
        </w:rPr>
        <w:t> </w:t>
      </w:r>
      <w:r w:rsidRPr="00610B1B">
        <w:rPr>
          <w:rFonts w:ascii="Times New Roman" w:eastAsia="Calibri" w:hAnsi="Times New Roman" w:cs="Times New Roman"/>
          <w:sz w:val="24"/>
          <w:szCs w:val="24"/>
          <w:lang w:val="bg-BG"/>
        </w:rPr>
        <w:t>г.) и спрямо 2018</w:t>
      </w:r>
      <w:r w:rsidR="00FB58CD" w:rsidRPr="00610B1B">
        <w:rPr>
          <w:rFonts w:ascii="Times New Roman" w:eastAsia="Calibri" w:hAnsi="Times New Roman" w:cs="Times New Roman"/>
          <w:sz w:val="24"/>
          <w:szCs w:val="24"/>
          <w:lang w:val="bg-BG"/>
        </w:rPr>
        <w:t> </w:t>
      </w:r>
      <w:r w:rsidRPr="00610B1B">
        <w:rPr>
          <w:rFonts w:ascii="Times New Roman" w:eastAsia="Calibri" w:hAnsi="Times New Roman" w:cs="Times New Roman"/>
          <w:sz w:val="24"/>
          <w:szCs w:val="24"/>
          <w:lang w:val="bg-BG"/>
        </w:rPr>
        <w:t>г. увеличението да е около 3.0%. Реалистичният (тенденциалният) вариант на демографската прогноза, който е по-подходящ за целите на МППРБ</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предвижда към 2035 г. населението на </w:t>
      </w:r>
      <w:r w:rsidR="007E73F3" w:rsidRPr="00610B1B">
        <w:rPr>
          <w:rFonts w:ascii="Times New Roman" w:eastAsia="Calibri" w:hAnsi="Times New Roman" w:cs="Times New Roman"/>
          <w:sz w:val="24"/>
          <w:szCs w:val="24"/>
          <w:lang w:val="bg-BG"/>
        </w:rPr>
        <w:t>Черноморските общини да достигне</w:t>
      </w:r>
      <w:r w:rsidRPr="00610B1B">
        <w:rPr>
          <w:rFonts w:ascii="Times New Roman" w:eastAsia="Calibri" w:hAnsi="Times New Roman" w:cs="Times New Roman"/>
          <w:sz w:val="24"/>
          <w:szCs w:val="24"/>
          <w:lang w:val="bg-BG"/>
        </w:rPr>
        <w:t xml:space="preserve"> 740 479 д. </w:t>
      </w:r>
      <w:r w:rsidR="007E73F3" w:rsidRPr="00610B1B">
        <w:rPr>
          <w:rFonts w:ascii="Times New Roman" w:eastAsia="Calibri" w:hAnsi="Times New Roman" w:cs="Times New Roman"/>
          <w:sz w:val="24"/>
          <w:szCs w:val="24"/>
          <w:lang w:val="bg-BG"/>
        </w:rPr>
        <w:t>п</w:t>
      </w:r>
      <w:r w:rsidRPr="00610B1B">
        <w:rPr>
          <w:rFonts w:ascii="Times New Roman" w:eastAsia="Calibri" w:hAnsi="Times New Roman" w:cs="Times New Roman"/>
          <w:sz w:val="24"/>
          <w:szCs w:val="24"/>
          <w:lang w:val="bg-BG"/>
        </w:rPr>
        <w:t xml:space="preserve">ри увеличение за прогнозния </w:t>
      </w:r>
      <w:r w:rsidR="007E73F3" w:rsidRPr="00610B1B">
        <w:rPr>
          <w:rFonts w:ascii="Times New Roman" w:eastAsia="Calibri" w:hAnsi="Times New Roman" w:cs="Times New Roman"/>
          <w:sz w:val="24"/>
          <w:szCs w:val="24"/>
          <w:lang w:val="bg-BG"/>
        </w:rPr>
        <w:t>период с 13 734 д., или с 1</w:t>
      </w:r>
      <w:r w:rsidR="006F7055" w:rsidRPr="00610B1B">
        <w:rPr>
          <w:rFonts w:ascii="Times New Roman" w:eastAsia="Calibri" w:hAnsi="Times New Roman" w:cs="Times New Roman"/>
          <w:sz w:val="24"/>
          <w:szCs w:val="24"/>
          <w:lang w:val="bg-BG"/>
        </w:rPr>
        <w:t>,</w:t>
      </w:r>
      <w:r w:rsidR="007E73F3" w:rsidRPr="00610B1B">
        <w:rPr>
          <w:rFonts w:ascii="Times New Roman" w:eastAsia="Calibri" w:hAnsi="Times New Roman" w:cs="Times New Roman"/>
          <w:sz w:val="24"/>
          <w:szCs w:val="24"/>
          <w:lang w:val="bg-BG"/>
        </w:rPr>
        <w:t>9%.</w:t>
      </w:r>
      <w:r w:rsidRPr="00610B1B">
        <w:rPr>
          <w:rFonts w:ascii="Times New Roman" w:eastAsia="Calibri" w:hAnsi="Times New Roman" w:cs="Times New Roman"/>
          <w:sz w:val="24"/>
          <w:szCs w:val="24"/>
          <w:lang w:val="bg-BG"/>
        </w:rPr>
        <w:t xml:space="preserve"> </w:t>
      </w:r>
    </w:p>
    <w:p w14:paraId="7351192B" w14:textId="5B413CCF" w:rsidR="009E1CCA"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Стойностите на раждаемостта и </w:t>
      </w:r>
      <w:r w:rsidR="00BB78A1" w:rsidRPr="00610B1B">
        <w:rPr>
          <w:rFonts w:ascii="Times New Roman" w:eastAsia="Calibri" w:hAnsi="Times New Roman" w:cs="Times New Roman"/>
          <w:sz w:val="24"/>
          <w:szCs w:val="24"/>
          <w:lang w:val="bg-BG"/>
        </w:rPr>
        <w:t>смъртността</w:t>
      </w:r>
      <w:r w:rsidRPr="00610B1B">
        <w:rPr>
          <w:rFonts w:ascii="Times New Roman" w:eastAsia="Calibri" w:hAnsi="Times New Roman" w:cs="Times New Roman"/>
          <w:sz w:val="24"/>
          <w:szCs w:val="24"/>
          <w:lang w:val="bg-BG"/>
        </w:rPr>
        <w:t xml:space="preserve"> ще се подобрят значително, но няма да достигнат интензитета на най-добрите години. Основният </w:t>
      </w:r>
      <w:r w:rsidR="00BB78A1" w:rsidRPr="00610B1B">
        <w:rPr>
          <w:rFonts w:ascii="Times New Roman" w:eastAsia="Calibri" w:hAnsi="Times New Roman" w:cs="Times New Roman"/>
          <w:sz w:val="24"/>
          <w:szCs w:val="24"/>
          <w:lang w:val="bg-BG"/>
        </w:rPr>
        <w:t>прираст</w:t>
      </w:r>
      <w:r w:rsidRPr="00610B1B">
        <w:rPr>
          <w:rFonts w:ascii="Times New Roman" w:eastAsia="Calibri" w:hAnsi="Times New Roman" w:cs="Times New Roman"/>
          <w:sz w:val="24"/>
          <w:szCs w:val="24"/>
          <w:lang w:val="bg-BG"/>
        </w:rPr>
        <w:t xml:space="preserve"> на население се очаква да е от заселници, намерили работа в производствените предприятия </w:t>
      </w:r>
      <w:r w:rsidR="008B3DB9" w:rsidRPr="00610B1B">
        <w:rPr>
          <w:rFonts w:ascii="Times New Roman" w:eastAsia="Calibri" w:hAnsi="Times New Roman" w:cs="Times New Roman"/>
          <w:sz w:val="24"/>
          <w:szCs w:val="24"/>
          <w:lang w:val="bg-BG"/>
        </w:rPr>
        <w:t>на</w:t>
      </w:r>
      <w:r w:rsidRPr="00610B1B">
        <w:rPr>
          <w:rFonts w:ascii="Times New Roman" w:eastAsia="Calibri" w:hAnsi="Times New Roman" w:cs="Times New Roman"/>
          <w:sz w:val="24"/>
          <w:szCs w:val="24"/>
          <w:lang w:val="bg-BG"/>
        </w:rPr>
        <w:t xml:space="preserve"> Варна и Бургас </w:t>
      </w:r>
      <w:r w:rsidRPr="00610B1B">
        <w:rPr>
          <w:rFonts w:ascii="Times New Roman" w:eastAsia="Calibri" w:hAnsi="Times New Roman" w:cs="Times New Roman"/>
          <w:sz w:val="24"/>
          <w:szCs w:val="24"/>
          <w:lang w:val="bg-BG"/>
        </w:rPr>
        <w:lastRenderedPageBreak/>
        <w:t xml:space="preserve">или закупили </w:t>
      </w:r>
      <w:r w:rsidR="008B3DB9" w:rsidRPr="00610B1B">
        <w:rPr>
          <w:rFonts w:ascii="Times New Roman" w:eastAsia="Calibri" w:hAnsi="Times New Roman" w:cs="Times New Roman"/>
          <w:sz w:val="24"/>
          <w:szCs w:val="24"/>
          <w:lang w:val="bg-BG"/>
        </w:rPr>
        <w:t xml:space="preserve">втори жилищен </w:t>
      </w:r>
      <w:r w:rsidRPr="00610B1B">
        <w:rPr>
          <w:rFonts w:ascii="Times New Roman" w:eastAsia="Calibri" w:hAnsi="Times New Roman" w:cs="Times New Roman"/>
          <w:sz w:val="24"/>
          <w:szCs w:val="24"/>
          <w:lang w:val="bg-BG"/>
        </w:rPr>
        <w:t>имот, главно в общините Несебър</w:t>
      </w:r>
      <w:r w:rsidR="009E1CCA" w:rsidRPr="00610B1B">
        <w:rPr>
          <w:rFonts w:ascii="Times New Roman" w:eastAsia="Calibri" w:hAnsi="Times New Roman" w:cs="Times New Roman"/>
          <w:sz w:val="24"/>
          <w:szCs w:val="24"/>
          <w:lang w:val="bg-BG"/>
        </w:rPr>
        <w:t>, Поморие, Созопол и Приморско.</w:t>
      </w:r>
      <w:r w:rsidR="008B3DB9"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В периода до 2035 г. ще нараства населението в общините Варна, Несебър и Созопол. Най-малко ще е намалението на населението в община Бургас (0</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4%). В останалите 10 общини населението до 2035 г. ще намалява, като най-значително ще е в община Шабла (-37</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5%), докато в община По</w:t>
      </w:r>
      <w:r w:rsidR="007E73F3" w:rsidRPr="00610B1B">
        <w:rPr>
          <w:rFonts w:ascii="Times New Roman" w:eastAsia="Calibri" w:hAnsi="Times New Roman" w:cs="Times New Roman"/>
          <w:sz w:val="24"/>
          <w:szCs w:val="24"/>
          <w:lang w:val="bg-BG"/>
        </w:rPr>
        <w:t>морие на</w:t>
      </w:r>
      <w:r w:rsidR="006F7055" w:rsidRPr="00610B1B">
        <w:rPr>
          <w:rFonts w:ascii="Times New Roman" w:eastAsia="Calibri" w:hAnsi="Times New Roman" w:cs="Times New Roman"/>
          <w:sz w:val="24"/>
          <w:szCs w:val="24"/>
          <w:lang w:val="bg-BG"/>
        </w:rPr>
        <w:t>се</w:t>
      </w:r>
      <w:r w:rsidR="007E73F3" w:rsidRPr="00610B1B">
        <w:rPr>
          <w:rFonts w:ascii="Times New Roman" w:eastAsia="Calibri" w:hAnsi="Times New Roman" w:cs="Times New Roman"/>
          <w:sz w:val="24"/>
          <w:szCs w:val="24"/>
          <w:lang w:val="bg-BG"/>
        </w:rPr>
        <w:t>лението ще намалее с -2</w:t>
      </w:r>
      <w:r w:rsidR="006F7055" w:rsidRPr="00610B1B">
        <w:rPr>
          <w:rFonts w:ascii="Times New Roman" w:eastAsia="Calibri" w:hAnsi="Times New Roman" w:cs="Times New Roman"/>
          <w:sz w:val="24"/>
          <w:szCs w:val="24"/>
          <w:lang w:val="bg-BG"/>
        </w:rPr>
        <w:t>,</w:t>
      </w:r>
      <w:r w:rsidR="007E73F3" w:rsidRPr="00610B1B">
        <w:rPr>
          <w:rFonts w:ascii="Times New Roman" w:eastAsia="Calibri" w:hAnsi="Times New Roman" w:cs="Times New Roman"/>
          <w:sz w:val="24"/>
          <w:szCs w:val="24"/>
          <w:lang w:val="bg-BG"/>
        </w:rPr>
        <w:t>6%</w:t>
      </w:r>
      <w:r w:rsidR="009E1CCA" w:rsidRPr="00610B1B">
        <w:rPr>
          <w:rFonts w:ascii="Times New Roman" w:eastAsia="Calibri" w:hAnsi="Times New Roman" w:cs="Times New Roman"/>
          <w:sz w:val="24"/>
          <w:szCs w:val="24"/>
          <w:lang w:val="bg-BG"/>
        </w:rPr>
        <w:t xml:space="preserve">. </w:t>
      </w:r>
    </w:p>
    <w:p w14:paraId="6F68B8BA" w14:textId="0AC78185"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По крайбрежието е концентрирано 85</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7% от населението на черноморските общини общо от 31 населени места</w:t>
      </w:r>
      <w:r w:rsidR="006F7055" w:rsidRPr="00610B1B">
        <w:rPr>
          <w:rFonts w:ascii="Times New Roman" w:eastAsia="Calibri" w:hAnsi="Times New Roman" w:cs="Times New Roman"/>
          <w:sz w:val="24"/>
          <w:szCs w:val="24"/>
          <w:lang w:val="bg-BG"/>
        </w:rPr>
        <w:t xml:space="preserve"> в края на 2018 г.</w:t>
      </w:r>
      <w:r w:rsidRPr="00610B1B">
        <w:rPr>
          <w:rFonts w:ascii="Times New Roman" w:eastAsia="Calibri" w:hAnsi="Times New Roman" w:cs="Times New Roman"/>
          <w:sz w:val="24"/>
          <w:szCs w:val="24"/>
          <w:lang w:val="bg-BG"/>
        </w:rPr>
        <w:t xml:space="preserve"> През 2035 г. в крайбрежната зона ще е концентрирано 92</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0% от населението на общините, или дисбалансът в териториалното разпределение на населението ще продължи. В двете големи общини Врана и Бургас през 2035 г. ще бъде концентрирано над 80</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0% от населението (при 76</w:t>
      </w:r>
      <w:r w:rsidR="006F7055"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3% в края на 2018 г.).</w:t>
      </w:r>
    </w:p>
    <w:p w14:paraId="1F839BD4" w14:textId="4799A4BF"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И в периода до 2035 г. ще се запази тенденцията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в населените места, в морските курорти и вилните селища в крайбрежната зона през върховия туристически сезон да пребивават почиващи и хора, свързани с туризма и ресторантьорството, </w:t>
      </w:r>
      <w:r w:rsidR="008B3DB9" w:rsidRPr="00610B1B">
        <w:rPr>
          <w:rFonts w:ascii="Times New Roman" w:eastAsia="Calibri" w:hAnsi="Times New Roman" w:cs="Times New Roman"/>
          <w:sz w:val="24"/>
          <w:szCs w:val="24"/>
          <w:lang w:val="bg-BG"/>
        </w:rPr>
        <w:t xml:space="preserve">с </w:t>
      </w:r>
      <w:r w:rsidRPr="00610B1B">
        <w:rPr>
          <w:rFonts w:ascii="Times New Roman" w:eastAsia="Calibri" w:hAnsi="Times New Roman" w:cs="Times New Roman"/>
          <w:sz w:val="24"/>
          <w:szCs w:val="24"/>
          <w:lang w:val="bg-BG"/>
        </w:rPr>
        <w:t>обслужването и тър</w:t>
      </w:r>
      <w:r w:rsidR="008B3DB9" w:rsidRPr="00610B1B">
        <w:rPr>
          <w:rFonts w:ascii="Times New Roman" w:eastAsia="Calibri" w:hAnsi="Times New Roman" w:cs="Times New Roman"/>
          <w:sz w:val="24"/>
          <w:szCs w:val="24"/>
          <w:lang w:val="bg-BG"/>
        </w:rPr>
        <w:t>говията</w:t>
      </w:r>
      <w:r w:rsidR="00D66FE0" w:rsidRPr="00610B1B">
        <w:rPr>
          <w:rFonts w:ascii="Times New Roman" w:eastAsia="Calibri" w:hAnsi="Times New Roman" w:cs="Times New Roman"/>
          <w:sz w:val="24"/>
          <w:szCs w:val="24"/>
          <w:lang w:val="bg-BG"/>
        </w:rPr>
        <w:t xml:space="preserve"> </w:t>
      </w:r>
      <w:r w:rsidR="008B3DB9" w:rsidRPr="00610B1B">
        <w:rPr>
          <w:rFonts w:ascii="Times New Roman" w:eastAsia="Calibri" w:hAnsi="Times New Roman" w:cs="Times New Roman"/>
          <w:sz w:val="24"/>
          <w:szCs w:val="24"/>
          <w:lang w:val="bg-BG"/>
        </w:rPr>
        <w:t xml:space="preserve">и със строителството през </w:t>
      </w:r>
      <w:r w:rsidRPr="00610B1B">
        <w:rPr>
          <w:rFonts w:ascii="Times New Roman" w:eastAsia="Calibri" w:hAnsi="Times New Roman" w:cs="Times New Roman"/>
          <w:sz w:val="24"/>
          <w:szCs w:val="24"/>
          <w:lang w:val="bg-BG"/>
        </w:rPr>
        <w:t xml:space="preserve">зимния сезон. Това оказва значително влияние върху социалната и техническата инфраструктура. </w:t>
      </w:r>
    </w:p>
    <w:p w14:paraId="6C51FEFD" w14:textId="77777777" w:rsidR="009907CE" w:rsidRPr="00610B1B" w:rsidRDefault="009907CE" w:rsidP="00D32D6A">
      <w:pPr>
        <w:spacing w:after="120"/>
        <w:ind w:right="-153"/>
        <w:jc w:val="both"/>
        <w:rPr>
          <w:rFonts w:ascii="Times New Roman" w:eastAsia="Calibri" w:hAnsi="Times New Roman" w:cs="Times New Roman"/>
          <w:sz w:val="24"/>
          <w:szCs w:val="24"/>
          <w:lang w:val="bg-BG"/>
        </w:rPr>
      </w:pPr>
    </w:p>
    <w:p w14:paraId="16FDC8FE" w14:textId="099361AA" w:rsidR="00442579" w:rsidRPr="00610B1B" w:rsidRDefault="009E1CCA" w:rsidP="00D32D6A">
      <w:pPr>
        <w:pStyle w:val="Heading3"/>
        <w:spacing w:before="0" w:line="276" w:lineRule="auto"/>
        <w:ind w:right="-153"/>
        <w:rPr>
          <w:rFonts w:cs="Times New Roman"/>
        </w:rPr>
      </w:pPr>
      <w:bookmarkStart w:id="432" w:name="_Toc83391409"/>
      <w:r w:rsidRPr="00610B1B">
        <w:rPr>
          <w:rFonts w:cs="Times New Roman"/>
        </w:rPr>
        <w:t xml:space="preserve">4.2.2. </w:t>
      </w:r>
      <w:r w:rsidR="00442579" w:rsidRPr="00610B1B">
        <w:rPr>
          <w:rFonts w:cs="Times New Roman"/>
        </w:rPr>
        <w:t>Прогноза за работната сила</w:t>
      </w:r>
      <w:bookmarkEnd w:id="432"/>
    </w:p>
    <w:p w14:paraId="21147BDC" w14:textId="304C2D59"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Работната хипотеза за прогнозното развитие на работната сила в срока на действие на МППРБ, отчита основно очакваното влияние на икономическия и на демографския фактор. Тяхното влияние в сферата на заетостта през прогнозния период са свързани с две тенденции, отчитащи </w:t>
      </w:r>
      <w:r w:rsidR="005C3375" w:rsidRPr="00610B1B">
        <w:rPr>
          <w:rFonts w:ascii="Times New Roman" w:eastAsia="Calibri" w:hAnsi="Times New Roman" w:cs="Times New Roman"/>
          <w:bCs/>
          <w:sz w:val="24"/>
          <w:szCs w:val="24"/>
          <w:lang w:val="bg-BG"/>
        </w:rPr>
        <w:t>поведението</w:t>
      </w:r>
      <w:r w:rsidRPr="00610B1B">
        <w:rPr>
          <w:rFonts w:ascii="Times New Roman" w:eastAsia="Calibri" w:hAnsi="Times New Roman" w:cs="Times New Roman"/>
          <w:bCs/>
          <w:sz w:val="24"/>
          <w:szCs w:val="24"/>
          <w:lang w:val="bg-BG"/>
        </w:rPr>
        <w:t xml:space="preserve"> на икономическата и социалната среда. </w:t>
      </w:r>
    </w:p>
    <w:p w14:paraId="29E07A9E" w14:textId="12E9CE1B"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Първата е с краткосрочен хоризонт (до 2024 г.) и се обуславя с </w:t>
      </w:r>
      <w:r w:rsidR="005C3375" w:rsidRPr="00610B1B">
        <w:rPr>
          <w:rFonts w:ascii="Times New Roman" w:eastAsia="Calibri" w:hAnsi="Times New Roman" w:cs="Times New Roman"/>
          <w:bCs/>
          <w:sz w:val="24"/>
          <w:szCs w:val="24"/>
          <w:lang w:val="bg-BG"/>
        </w:rPr>
        <w:t xml:space="preserve">очакваните </w:t>
      </w:r>
      <w:r w:rsidRPr="00610B1B">
        <w:rPr>
          <w:rFonts w:ascii="Times New Roman" w:eastAsia="Calibri" w:hAnsi="Times New Roman" w:cs="Times New Roman"/>
          <w:bCs/>
          <w:sz w:val="24"/>
          <w:szCs w:val="24"/>
          <w:lang w:val="bg-BG"/>
        </w:rPr>
        <w:t xml:space="preserve">последици от пандемията и последвалата световна икономическа криза. Темповете на нарастване на работната сила в този период се залага да бъдат по-ниски, поради реалната тенденция на намаляване на броя на работните места и свързаното с това нарастване на равнището на безработица. </w:t>
      </w:r>
    </w:p>
    <w:p w14:paraId="23CCD51E" w14:textId="3A474735"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Втората тенденция е свързана с очакванията за преход към положително </w:t>
      </w:r>
      <w:r w:rsidR="005C3375" w:rsidRPr="00610B1B">
        <w:rPr>
          <w:rFonts w:ascii="Times New Roman" w:eastAsia="Calibri" w:hAnsi="Times New Roman" w:cs="Times New Roman"/>
          <w:bCs/>
          <w:sz w:val="24"/>
          <w:szCs w:val="24"/>
          <w:lang w:val="bg-BG"/>
        </w:rPr>
        <w:t xml:space="preserve">социално-икономическо </w:t>
      </w:r>
      <w:r w:rsidRPr="00610B1B">
        <w:rPr>
          <w:rFonts w:ascii="Times New Roman" w:eastAsia="Calibri" w:hAnsi="Times New Roman" w:cs="Times New Roman"/>
          <w:bCs/>
          <w:sz w:val="24"/>
          <w:szCs w:val="24"/>
          <w:lang w:val="bg-BG"/>
        </w:rPr>
        <w:t xml:space="preserve">развитие след </w:t>
      </w:r>
      <w:r w:rsidR="005C3375" w:rsidRPr="00610B1B">
        <w:rPr>
          <w:rFonts w:ascii="Times New Roman" w:eastAsia="Calibri" w:hAnsi="Times New Roman" w:cs="Times New Roman"/>
          <w:bCs/>
          <w:sz w:val="24"/>
          <w:szCs w:val="24"/>
          <w:lang w:val="bg-BG"/>
        </w:rPr>
        <w:t>2024 г.</w:t>
      </w:r>
      <w:r w:rsidRPr="00610B1B">
        <w:rPr>
          <w:rFonts w:ascii="Times New Roman" w:eastAsia="Calibri" w:hAnsi="Times New Roman" w:cs="Times New Roman"/>
          <w:bCs/>
          <w:sz w:val="24"/>
          <w:szCs w:val="24"/>
          <w:lang w:val="bg-BG"/>
        </w:rPr>
        <w:t xml:space="preserve">, за постепенен ръст на работната сила и повишаване на инвестиционната активност в определени сектори за излизане от кризата и за по-ефективно използване на природните, материалните и човешките ресурси. Реализацията на тази тенденция в прогнозното развитие на работната сила се основава на предвижданията за </w:t>
      </w:r>
      <w:r w:rsidR="005C3375" w:rsidRPr="00610B1B">
        <w:rPr>
          <w:rFonts w:ascii="Times New Roman" w:eastAsia="Calibri" w:hAnsi="Times New Roman" w:cs="Times New Roman"/>
          <w:bCs/>
          <w:sz w:val="24"/>
          <w:szCs w:val="24"/>
          <w:lang w:val="bg-BG"/>
        </w:rPr>
        <w:t>връщане към нивата на трудова заетост до началото на 2020</w:t>
      </w:r>
      <w:r w:rsidR="00033EAD" w:rsidRPr="00610B1B">
        <w:rPr>
          <w:rFonts w:ascii="Times New Roman" w:eastAsia="Calibri" w:hAnsi="Times New Roman" w:cs="Times New Roman"/>
          <w:bCs/>
          <w:sz w:val="24"/>
          <w:szCs w:val="24"/>
          <w:lang w:val="bg-BG"/>
        </w:rPr>
        <w:t xml:space="preserve"> г. </w:t>
      </w:r>
      <w:r w:rsidRPr="00610B1B">
        <w:rPr>
          <w:rFonts w:ascii="Times New Roman" w:eastAsia="Calibri" w:hAnsi="Times New Roman" w:cs="Times New Roman"/>
          <w:bCs/>
          <w:sz w:val="24"/>
          <w:szCs w:val="24"/>
          <w:lang w:val="bg-BG"/>
        </w:rPr>
        <w:t>на икономически</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активното население при минимален коефициент на безработица.</w:t>
      </w:r>
    </w:p>
    <w:p w14:paraId="5B8398F0" w14:textId="77777777" w:rsidR="009907CE" w:rsidRPr="00610B1B" w:rsidRDefault="009907CE" w:rsidP="00D32D6A">
      <w:pPr>
        <w:spacing w:after="120"/>
        <w:ind w:right="-153"/>
        <w:jc w:val="both"/>
        <w:rPr>
          <w:rFonts w:ascii="Times New Roman" w:eastAsia="Calibri" w:hAnsi="Times New Roman" w:cs="Times New Roman"/>
          <w:bCs/>
          <w:sz w:val="24"/>
          <w:szCs w:val="24"/>
          <w:lang w:val="bg-BG"/>
        </w:rPr>
      </w:pPr>
    </w:p>
    <w:p w14:paraId="0418B1F3" w14:textId="2209BD00" w:rsidR="00442579" w:rsidRPr="00610B1B" w:rsidRDefault="009E1CCA" w:rsidP="00AE254B">
      <w:pPr>
        <w:pStyle w:val="Heading3"/>
        <w:numPr>
          <w:ilvl w:val="0"/>
          <w:numId w:val="0"/>
        </w:numPr>
        <w:spacing w:before="0" w:line="276" w:lineRule="auto"/>
        <w:ind w:right="-153"/>
        <w:rPr>
          <w:rFonts w:cs="Times New Roman"/>
        </w:rPr>
      </w:pPr>
      <w:bookmarkStart w:id="433" w:name="_Toc83391410"/>
      <w:r w:rsidRPr="00610B1B">
        <w:rPr>
          <w:rFonts w:cs="Times New Roman"/>
        </w:rPr>
        <w:t xml:space="preserve">4.2.3. </w:t>
      </w:r>
      <w:r w:rsidR="00442579" w:rsidRPr="00610B1B">
        <w:rPr>
          <w:rFonts w:cs="Times New Roman"/>
        </w:rPr>
        <w:t>Прогноза за икономическото развитие</w:t>
      </w:r>
      <w:bookmarkEnd w:id="433"/>
      <w:r w:rsidR="00442579" w:rsidRPr="00610B1B">
        <w:rPr>
          <w:rFonts w:cs="Times New Roman"/>
        </w:rPr>
        <w:t xml:space="preserve"> </w:t>
      </w:r>
    </w:p>
    <w:p w14:paraId="426F66C8" w14:textId="77777777"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Прогнозата за икономическото развитие е разработена и представена по сектори и е съобразена с влиянието на следните основни фактори и условия:</w:t>
      </w:r>
    </w:p>
    <w:p w14:paraId="46C6E6A4" w14:textId="3C4DEB08" w:rsidR="00442579" w:rsidRPr="00610B1B" w:rsidRDefault="00442579" w:rsidP="00B46189">
      <w:pPr>
        <w:numPr>
          <w:ilvl w:val="0"/>
          <w:numId w:val="17"/>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lastRenderedPageBreak/>
        <w:t>Насоките и приоритетите за развитие на свързаните с морск</w:t>
      </w:r>
      <w:r w:rsidR="0075098D" w:rsidRPr="00610B1B">
        <w:rPr>
          <w:rFonts w:ascii="Times New Roman" w:eastAsia="Calibri" w:hAnsi="Times New Roman" w:cs="Times New Roman"/>
          <w:bCs/>
          <w:sz w:val="24"/>
          <w:szCs w:val="24"/>
          <w:lang w:val="bg-BG"/>
        </w:rPr>
        <w:t>ите</w:t>
      </w:r>
      <w:r w:rsidRPr="00610B1B">
        <w:rPr>
          <w:rFonts w:ascii="Times New Roman" w:eastAsia="Calibri" w:hAnsi="Times New Roman" w:cs="Times New Roman"/>
          <w:bCs/>
          <w:sz w:val="24"/>
          <w:szCs w:val="24"/>
          <w:lang w:val="bg-BG"/>
        </w:rPr>
        <w:t xml:space="preserve"> пространств</w:t>
      </w:r>
      <w:r w:rsidR="0075098D" w:rsidRPr="00610B1B">
        <w:rPr>
          <w:rFonts w:ascii="Times New Roman" w:eastAsia="Calibri" w:hAnsi="Times New Roman" w:cs="Times New Roman"/>
          <w:bCs/>
          <w:sz w:val="24"/>
          <w:szCs w:val="24"/>
          <w:lang w:val="bg-BG"/>
        </w:rPr>
        <w:t>а</w:t>
      </w:r>
      <w:r w:rsidRPr="00610B1B">
        <w:rPr>
          <w:rFonts w:ascii="Times New Roman" w:eastAsia="Calibri" w:hAnsi="Times New Roman" w:cs="Times New Roman"/>
          <w:bCs/>
          <w:sz w:val="24"/>
          <w:szCs w:val="24"/>
          <w:lang w:val="bg-BG"/>
        </w:rPr>
        <w:t xml:space="preserve"> и с крайбрежната зона сектори, определени в национални програмни и стратегически секторни документи; </w:t>
      </w:r>
    </w:p>
    <w:p w14:paraId="578AEF34" w14:textId="77777777" w:rsidR="00442579" w:rsidRPr="00610B1B" w:rsidRDefault="00442579" w:rsidP="00B46189">
      <w:pPr>
        <w:numPr>
          <w:ilvl w:val="0"/>
          <w:numId w:val="17"/>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Мястото и значимостта на тези сектори за националната икономика, създадените традиции и натрупания производствен опит;</w:t>
      </w:r>
    </w:p>
    <w:p w14:paraId="08077EA0" w14:textId="77777777" w:rsidR="00442579" w:rsidRPr="00610B1B" w:rsidRDefault="00442579" w:rsidP="00B46189">
      <w:pPr>
        <w:numPr>
          <w:ilvl w:val="0"/>
          <w:numId w:val="17"/>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 xml:space="preserve">Резултатите от анализа на сектора, установените тенденции в развитието, идентифицираните проблеми, потребности и налични ресурси и систематизираните изводи за предимствата и възможностите; </w:t>
      </w:r>
    </w:p>
    <w:p w14:paraId="229186B6" w14:textId="5AC5E6A7" w:rsidR="00442579" w:rsidRPr="00610B1B" w:rsidRDefault="008604A1" w:rsidP="00B46189">
      <w:pPr>
        <w:numPr>
          <w:ilvl w:val="0"/>
          <w:numId w:val="17"/>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Изградена</w:t>
      </w:r>
      <w:r w:rsidR="00033EAD" w:rsidRPr="00610B1B">
        <w:rPr>
          <w:rFonts w:ascii="Times New Roman" w:eastAsia="Calibri" w:hAnsi="Times New Roman" w:cs="Times New Roman"/>
          <w:bCs/>
          <w:sz w:val="24"/>
          <w:szCs w:val="24"/>
          <w:lang w:val="bg-BG"/>
        </w:rPr>
        <w:t>та</w:t>
      </w:r>
      <w:r w:rsidRPr="00610B1B">
        <w:rPr>
          <w:rFonts w:ascii="Times New Roman" w:eastAsia="Calibri" w:hAnsi="Times New Roman" w:cs="Times New Roman"/>
          <w:bCs/>
          <w:sz w:val="24"/>
          <w:szCs w:val="24"/>
          <w:lang w:val="bg-BG"/>
        </w:rPr>
        <w:t xml:space="preserve"> </w:t>
      </w:r>
      <w:r w:rsidR="00442579" w:rsidRPr="00610B1B">
        <w:rPr>
          <w:rFonts w:ascii="Times New Roman" w:eastAsia="Calibri" w:hAnsi="Times New Roman" w:cs="Times New Roman"/>
          <w:bCs/>
          <w:sz w:val="24"/>
          <w:szCs w:val="24"/>
          <w:lang w:val="bg-BG"/>
        </w:rPr>
        <w:t>инфраструктура и съоръжения за развитие на дейностите в съответния сектор и установени</w:t>
      </w:r>
      <w:r w:rsidR="00033EAD" w:rsidRPr="00610B1B">
        <w:rPr>
          <w:rFonts w:ascii="Times New Roman" w:eastAsia="Calibri" w:hAnsi="Times New Roman" w:cs="Times New Roman"/>
          <w:bCs/>
          <w:sz w:val="24"/>
          <w:szCs w:val="24"/>
          <w:lang w:val="bg-BG"/>
        </w:rPr>
        <w:t>те</w:t>
      </w:r>
      <w:r w:rsidR="00442579" w:rsidRPr="00610B1B">
        <w:rPr>
          <w:rFonts w:ascii="Times New Roman" w:eastAsia="Calibri" w:hAnsi="Times New Roman" w:cs="Times New Roman"/>
          <w:bCs/>
          <w:sz w:val="24"/>
          <w:szCs w:val="24"/>
          <w:lang w:val="bg-BG"/>
        </w:rPr>
        <w:t xml:space="preserve"> потребности </w:t>
      </w:r>
      <w:r w:rsidRPr="00610B1B">
        <w:rPr>
          <w:rFonts w:ascii="Times New Roman" w:eastAsia="Calibri" w:hAnsi="Times New Roman" w:cs="Times New Roman"/>
          <w:bCs/>
          <w:sz w:val="24"/>
          <w:szCs w:val="24"/>
          <w:lang w:val="bg-BG"/>
        </w:rPr>
        <w:t>от</w:t>
      </w:r>
      <w:r w:rsidR="00442579" w:rsidRPr="00610B1B">
        <w:rPr>
          <w:rFonts w:ascii="Times New Roman" w:eastAsia="Calibri" w:hAnsi="Times New Roman" w:cs="Times New Roman"/>
          <w:bCs/>
          <w:sz w:val="24"/>
          <w:szCs w:val="24"/>
          <w:lang w:val="bg-BG"/>
        </w:rPr>
        <w:t xml:space="preserve"> нови елементи на инфраструктурните системи;</w:t>
      </w:r>
    </w:p>
    <w:p w14:paraId="6247420D" w14:textId="783BE8CB" w:rsidR="009E1CCA" w:rsidRPr="00610B1B" w:rsidRDefault="00442579" w:rsidP="00B46189">
      <w:pPr>
        <w:numPr>
          <w:ilvl w:val="0"/>
          <w:numId w:val="17"/>
        </w:num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Предизвикателствата на настоящата криза и възможностите, които се разкриват за иновации, нови стандарти и техно</w:t>
      </w:r>
      <w:r w:rsidR="009E1CCA" w:rsidRPr="00610B1B">
        <w:rPr>
          <w:rFonts w:ascii="Times New Roman" w:eastAsia="Calibri" w:hAnsi="Times New Roman" w:cs="Times New Roman"/>
          <w:bCs/>
          <w:sz w:val="24"/>
          <w:szCs w:val="24"/>
          <w:lang w:val="bg-BG"/>
        </w:rPr>
        <w:t>логии в най-засегнатите сектори.</w:t>
      </w:r>
      <w:r w:rsidR="00D66FE0" w:rsidRPr="00610B1B">
        <w:rPr>
          <w:rFonts w:ascii="Times New Roman" w:eastAsia="Calibri" w:hAnsi="Times New Roman" w:cs="Times New Roman"/>
          <w:bCs/>
          <w:sz w:val="24"/>
          <w:szCs w:val="24"/>
          <w:lang w:val="bg-BG"/>
        </w:rPr>
        <w:t xml:space="preserve"> </w:t>
      </w:r>
    </w:p>
    <w:p w14:paraId="766A7CE7" w14:textId="473622BC" w:rsidR="00442579" w:rsidRPr="00610B1B" w:rsidRDefault="00892EA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В</w:t>
      </w:r>
      <w:r w:rsidR="00442579" w:rsidRPr="00610B1B">
        <w:rPr>
          <w:rFonts w:ascii="Times New Roman" w:eastAsia="Calibri" w:hAnsi="Times New Roman" w:cs="Times New Roman"/>
          <w:bCs/>
          <w:sz w:val="24"/>
          <w:szCs w:val="24"/>
          <w:lang w:val="bg-BG"/>
        </w:rPr>
        <w:t xml:space="preserve"> икономическата прогноза се констатира прекъсване на петгодишната положителна тенденция на ръст на БВП. Изчислено е, че сектори като търговия на дребно, транспорт, хотели</w:t>
      </w:r>
      <w:r w:rsidR="00033EAD" w:rsidRPr="00610B1B">
        <w:rPr>
          <w:rFonts w:ascii="Times New Roman" w:eastAsia="Calibri" w:hAnsi="Times New Roman" w:cs="Times New Roman"/>
          <w:bCs/>
          <w:sz w:val="24"/>
          <w:szCs w:val="24"/>
          <w:lang w:val="bg-BG"/>
        </w:rPr>
        <w:t>ерство</w:t>
      </w:r>
      <w:r w:rsidR="00442579" w:rsidRPr="00610B1B">
        <w:rPr>
          <w:rFonts w:ascii="Times New Roman" w:eastAsia="Calibri" w:hAnsi="Times New Roman" w:cs="Times New Roman"/>
          <w:bCs/>
          <w:sz w:val="24"/>
          <w:szCs w:val="24"/>
          <w:lang w:val="bg-BG"/>
        </w:rPr>
        <w:t xml:space="preserve"> и ресторант</w:t>
      </w:r>
      <w:r w:rsidR="00033EAD" w:rsidRPr="00610B1B">
        <w:rPr>
          <w:rFonts w:ascii="Times New Roman" w:eastAsia="Calibri" w:hAnsi="Times New Roman" w:cs="Times New Roman"/>
          <w:bCs/>
          <w:sz w:val="24"/>
          <w:szCs w:val="24"/>
          <w:lang w:val="bg-BG"/>
        </w:rPr>
        <w:t>ьорство</w:t>
      </w:r>
      <w:r w:rsidR="00442579" w:rsidRPr="00610B1B">
        <w:rPr>
          <w:rFonts w:ascii="Times New Roman" w:eastAsia="Calibri" w:hAnsi="Times New Roman" w:cs="Times New Roman"/>
          <w:bCs/>
          <w:sz w:val="24"/>
          <w:szCs w:val="24"/>
          <w:lang w:val="bg-BG"/>
        </w:rPr>
        <w:t>, изкуство и развлечения са функционирали на 30-40% от капацитет</w:t>
      </w:r>
      <w:r w:rsidR="009E1CCA" w:rsidRPr="00610B1B">
        <w:rPr>
          <w:rFonts w:ascii="Times New Roman" w:eastAsia="Calibri" w:hAnsi="Times New Roman" w:cs="Times New Roman"/>
          <w:bCs/>
          <w:sz w:val="24"/>
          <w:szCs w:val="24"/>
          <w:lang w:val="bg-BG"/>
        </w:rPr>
        <w:t>а</w:t>
      </w:r>
      <w:r w:rsidR="00442579" w:rsidRPr="00610B1B">
        <w:rPr>
          <w:rFonts w:ascii="Times New Roman" w:eastAsia="Calibri" w:hAnsi="Times New Roman" w:cs="Times New Roman"/>
          <w:bCs/>
          <w:sz w:val="24"/>
          <w:szCs w:val="24"/>
          <w:lang w:val="bg-BG"/>
        </w:rPr>
        <w:t xml:space="preserve"> си, като същевременно се очаква преливане на отрицателни ефекти в останалата част от икономиката. Като се има предвид, че най-важните сектори на българската икономика през 2018 г. са били промишлеността (23,1%) и търговията на едро и дребно, транспортът, хотелиерството и ресторантьорството (22,6%), се очаква реалният БВП на България да се свие над 7% през 2020 г.</w:t>
      </w:r>
    </w:p>
    <w:p w14:paraId="6E46B150" w14:textId="235897FA" w:rsidR="00442579"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Предполага се възстановяване на икономическата активност с постепенното вдигане на мерките срещу разпространение на коронавируса и нормализиране на обществения живот, което ще доведе до засилване на вътрешното търсене още през третото тримесечие на 2020 г. Въпреки държавните мерки за защита на доходите и запазване на работните места, потреблението на домакинствата през 2020 г. се очаква да отбележи спад с почти 6%, а инвестициите да се свият с 18%.</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През 2021 г. се очаква растежът да се възстанови </w:t>
      </w:r>
      <w:r w:rsidR="00285023" w:rsidRPr="00610B1B">
        <w:rPr>
          <w:rFonts w:ascii="Times New Roman" w:eastAsia="Calibri" w:hAnsi="Times New Roman" w:cs="Times New Roman"/>
          <w:bCs/>
          <w:sz w:val="24"/>
          <w:szCs w:val="24"/>
          <w:lang w:val="bg-BG"/>
        </w:rPr>
        <w:t xml:space="preserve">между 3.8% </w:t>
      </w:r>
      <w:r w:rsidRPr="00610B1B">
        <w:rPr>
          <w:rFonts w:ascii="Times New Roman" w:eastAsia="Calibri" w:hAnsi="Times New Roman" w:cs="Times New Roman"/>
          <w:bCs/>
          <w:sz w:val="24"/>
          <w:szCs w:val="24"/>
          <w:lang w:val="bg-BG"/>
        </w:rPr>
        <w:t xml:space="preserve">до около 6%, което частично ще компенсира спада през 2020 г. Както е присъщо, инвестициите ще следват много по-бавен път за възстановяване. Годишният им растеж се очаква да бъде в рамките на </w:t>
      </w:r>
      <w:r w:rsidR="00033EAD" w:rsidRPr="00610B1B">
        <w:rPr>
          <w:rFonts w:ascii="Times New Roman" w:eastAsia="Calibri" w:hAnsi="Times New Roman" w:cs="Times New Roman"/>
          <w:bCs/>
          <w:sz w:val="24"/>
          <w:szCs w:val="24"/>
          <w:lang w:val="bg-BG"/>
        </w:rPr>
        <w:t xml:space="preserve">само </w:t>
      </w:r>
      <w:r w:rsidRPr="00610B1B">
        <w:rPr>
          <w:rFonts w:ascii="Times New Roman" w:eastAsia="Calibri" w:hAnsi="Times New Roman" w:cs="Times New Roman"/>
          <w:bCs/>
          <w:sz w:val="24"/>
          <w:szCs w:val="24"/>
          <w:lang w:val="bg-BG"/>
        </w:rPr>
        <w:t>1%.</w:t>
      </w:r>
    </w:p>
    <w:p w14:paraId="797497A9" w14:textId="50A7B451" w:rsidR="00442579" w:rsidRPr="00610B1B" w:rsidRDefault="00442579" w:rsidP="00D32D6A">
      <w:pPr>
        <w:spacing w:after="120"/>
        <w:ind w:right="-153"/>
        <w:rPr>
          <w:rFonts w:ascii="Times New Roman" w:eastAsia="Calibri" w:hAnsi="Times New Roman" w:cs="Times New Roman"/>
          <w:b/>
          <w:i/>
          <w:iCs/>
          <w:sz w:val="24"/>
          <w:szCs w:val="24"/>
          <w:lang w:val="bg-BG"/>
        </w:rPr>
      </w:pPr>
      <w:r w:rsidRPr="00610B1B">
        <w:rPr>
          <w:rFonts w:ascii="Times New Roman" w:eastAsia="Calibri" w:hAnsi="Times New Roman" w:cs="Times New Roman"/>
          <w:b/>
          <w:i/>
          <w:iCs/>
          <w:sz w:val="24"/>
          <w:szCs w:val="24"/>
          <w:lang w:val="bg-BG"/>
        </w:rPr>
        <w:t>Рибарство и аквакултури</w:t>
      </w:r>
      <w:r w:rsidRPr="00610B1B">
        <w:rPr>
          <w:rFonts w:ascii="Times New Roman" w:eastAsia="Calibri" w:hAnsi="Times New Roman" w:cs="Times New Roman"/>
          <w:bCs/>
          <w:sz w:val="24"/>
          <w:szCs w:val="24"/>
          <w:lang w:val="bg-BG"/>
        </w:rPr>
        <w:t xml:space="preserve"> </w:t>
      </w:r>
    </w:p>
    <w:p w14:paraId="08EB2370" w14:textId="7303F3EC" w:rsidR="00442579"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 xml:space="preserve">Черно море е с трайно намаляващи рибни ресурси. В краткосрочен план, прогнозата е тенденцията да се запази, което се свързва с ограничения район на плаване на голяма част от риболовния флот, малките риболовни кораби с недостатъчно и остаряло оборудване и производствени инсталации и липса на потенциал за иновации и технологично обновяване. Намаляването на печалбите вследствие на постоянно увеличаване на разходите за осъществяване на дейността и съответно незадоволителните икономически резултати, са сред причините за намаляване на броя на активните кораби. В допълнение на това, върху рибните запаси негативно влияние имат замърсяването, инвазивните видове, климатичните промени и повишените температури на морската вода, </w:t>
      </w:r>
      <w:r w:rsidRPr="00610B1B">
        <w:rPr>
          <w:rFonts w:ascii="Times New Roman" w:eastAsia="Calibri" w:hAnsi="Times New Roman" w:cs="Times New Roman"/>
          <w:iCs/>
          <w:sz w:val="24"/>
          <w:szCs w:val="24"/>
          <w:lang w:val="bg-BG"/>
        </w:rPr>
        <w:lastRenderedPageBreak/>
        <w:t xml:space="preserve">незаконният, недеклариран и нерегулиран риболов, цялостната промяна на състоянието на морската среда и неустойчивата експлоатация на рибните ресурси. </w:t>
      </w:r>
    </w:p>
    <w:p w14:paraId="3FBB28AC" w14:textId="43C773E3" w:rsidR="00442579" w:rsidRPr="00610B1B" w:rsidRDefault="008604A1"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 xml:space="preserve">Последни </w:t>
      </w:r>
      <w:r w:rsidR="00442579" w:rsidRPr="00610B1B">
        <w:rPr>
          <w:rFonts w:ascii="Times New Roman" w:eastAsia="Calibri" w:hAnsi="Times New Roman" w:cs="Times New Roman"/>
          <w:iCs/>
          <w:sz w:val="24"/>
          <w:szCs w:val="24"/>
          <w:lang w:val="bg-BG"/>
        </w:rPr>
        <w:t>проучвания на международни изследователски центрове и мозъчни тръстове към Организацията по прехрана и земеделие (FAO), Конференцията за търговия и развитие на обединените нации (UNCTAD) и други</w:t>
      </w:r>
      <w:r w:rsidR="00442579" w:rsidRPr="00610B1B">
        <w:rPr>
          <w:rFonts w:ascii="Times New Roman" w:eastAsia="Calibri" w:hAnsi="Times New Roman" w:cs="Times New Roman"/>
          <w:iCs/>
          <w:sz w:val="24"/>
          <w:szCs w:val="24"/>
          <w:vertAlign w:val="superscript"/>
          <w:lang w:val="bg-BG"/>
        </w:rPr>
        <w:footnoteReference w:id="154"/>
      </w:r>
      <w:r w:rsidR="00442579" w:rsidRPr="00610B1B">
        <w:rPr>
          <w:rFonts w:ascii="Times New Roman" w:eastAsia="Calibri" w:hAnsi="Times New Roman" w:cs="Times New Roman"/>
          <w:iCs/>
          <w:sz w:val="24"/>
          <w:szCs w:val="24"/>
          <w:lang w:val="bg-BG"/>
        </w:rPr>
        <w:t xml:space="preserve">, показват че въпреки стагнацията </w:t>
      </w:r>
      <w:r w:rsidRPr="00610B1B">
        <w:rPr>
          <w:rFonts w:ascii="Times New Roman" w:eastAsia="Calibri" w:hAnsi="Times New Roman" w:cs="Times New Roman"/>
          <w:iCs/>
          <w:sz w:val="24"/>
          <w:szCs w:val="24"/>
          <w:lang w:val="bg-BG"/>
        </w:rPr>
        <w:t xml:space="preserve">през 2020 г. </w:t>
      </w:r>
      <w:r w:rsidR="00442579" w:rsidRPr="00610B1B">
        <w:rPr>
          <w:rFonts w:ascii="Times New Roman" w:eastAsia="Calibri" w:hAnsi="Times New Roman" w:cs="Times New Roman"/>
          <w:iCs/>
          <w:sz w:val="24"/>
          <w:szCs w:val="24"/>
          <w:lang w:val="bg-BG"/>
        </w:rPr>
        <w:t xml:space="preserve">поради ограничаването на движението на риболовните кораби, затварянето на ресторантите, промените в консумацията на риба и рибни продукти, в световен мащаб консумацията на риба и рибни продукти няма да намалее. В условията на пандемия се търсят повече консервирани и замразени продукти, и това засилва високата оценка за значението на рибопреработката в българската акватория на Черно море. </w:t>
      </w:r>
    </w:p>
    <w:p w14:paraId="0A14360A" w14:textId="0D0C6BCF" w:rsidR="00442579"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В сектора на аквакултурите (представен единствено от ферми за черна мида), наблюдаваният през последното десетилетие висок ръст беше обусловен почти изцяло от наличните ресурси по целевата програма</w:t>
      </w:r>
      <w:r w:rsidRPr="00610B1B">
        <w:rPr>
          <w:rFonts w:ascii="Times New Roman" w:eastAsia="Calibri" w:hAnsi="Times New Roman" w:cs="Times New Roman"/>
          <w:iCs/>
          <w:sz w:val="24"/>
          <w:szCs w:val="24"/>
          <w:vertAlign w:val="superscript"/>
          <w:lang w:val="bg-BG"/>
        </w:rPr>
        <w:footnoteReference w:id="155"/>
      </w:r>
      <w:r w:rsidRPr="00610B1B">
        <w:rPr>
          <w:rFonts w:ascii="Times New Roman" w:eastAsia="Calibri" w:hAnsi="Times New Roman" w:cs="Times New Roman"/>
          <w:iCs/>
          <w:sz w:val="24"/>
          <w:szCs w:val="24"/>
          <w:lang w:val="bg-BG"/>
        </w:rPr>
        <w:t xml:space="preserve"> на ЕС за България. Пазарното поведение на сектора демонстрира неустойчивост и негативн</w:t>
      </w:r>
      <w:r w:rsidR="003079FF" w:rsidRPr="00610B1B">
        <w:rPr>
          <w:rFonts w:ascii="Times New Roman" w:eastAsia="Calibri" w:hAnsi="Times New Roman" w:cs="Times New Roman"/>
          <w:iCs/>
          <w:sz w:val="24"/>
          <w:szCs w:val="24"/>
          <w:lang w:val="bg-BG"/>
        </w:rPr>
        <w:t>и тенденции</w:t>
      </w:r>
      <w:r w:rsidRPr="00610B1B">
        <w:rPr>
          <w:rFonts w:ascii="Times New Roman" w:eastAsia="Calibri" w:hAnsi="Times New Roman" w:cs="Times New Roman"/>
          <w:iCs/>
          <w:sz w:val="24"/>
          <w:szCs w:val="24"/>
          <w:lang w:val="bg-BG"/>
        </w:rPr>
        <w:t xml:space="preserve">. В краткосрочен план се очаква продължаване на спада, а в дългосрочен – стабилизиране и нов подем, но в контекст на отстранени причини за сегашния упадък и евентуално политика в името на диверсифицирана местна икономика, заетост и благоденствие на местното население. </w:t>
      </w:r>
    </w:p>
    <w:p w14:paraId="4469D228" w14:textId="42E14064" w:rsidR="00442579"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Към 2030 г. се очаква 62% от консумацията на риба и рибни продукти в света да се задоволява от аквакултура</w:t>
      </w:r>
      <w:r w:rsidRPr="00610B1B">
        <w:rPr>
          <w:rFonts w:ascii="Times New Roman" w:eastAsia="Calibri" w:hAnsi="Times New Roman" w:cs="Times New Roman"/>
          <w:iCs/>
          <w:sz w:val="24"/>
          <w:szCs w:val="24"/>
          <w:vertAlign w:val="superscript"/>
          <w:lang w:val="bg-BG"/>
        </w:rPr>
        <w:footnoteReference w:id="156"/>
      </w:r>
      <w:r w:rsidRPr="00610B1B">
        <w:rPr>
          <w:rFonts w:ascii="Times New Roman" w:eastAsia="Calibri" w:hAnsi="Times New Roman" w:cs="Times New Roman"/>
          <w:iCs/>
          <w:sz w:val="24"/>
          <w:szCs w:val="24"/>
          <w:lang w:val="bg-BG"/>
        </w:rPr>
        <w:t>. Заедно с нарастващата тенденция за консумация на преработени и консервирани продукти от аквакултура това подсказва възможностите за развитието на сектора в перспектива, при разнообразяване на морската аквакултура. Използването на</w:t>
      </w:r>
      <w:r w:rsidR="00D66FE0" w:rsidRPr="00610B1B">
        <w:rPr>
          <w:rFonts w:ascii="Times New Roman" w:eastAsia="Calibri" w:hAnsi="Times New Roman" w:cs="Times New Roman"/>
          <w:iCs/>
          <w:sz w:val="24"/>
          <w:szCs w:val="24"/>
          <w:lang w:val="bg-BG"/>
        </w:rPr>
        <w:t xml:space="preserve"> </w:t>
      </w:r>
      <w:r w:rsidRPr="00610B1B">
        <w:rPr>
          <w:rFonts w:ascii="Times New Roman" w:eastAsia="Calibri" w:hAnsi="Times New Roman" w:cs="Times New Roman"/>
          <w:iCs/>
          <w:sz w:val="24"/>
          <w:szCs w:val="24"/>
          <w:lang w:val="bg-BG"/>
        </w:rPr>
        <w:t>благоприятните условия за мидени ферми по българското черноморско крайбрежие, доброто качество на отглежданите миди и високият рандеман, позволяват създаване на затворен цикъл на производството, чрез изграждане на преработвателни предприятия към мидените плантации.</w:t>
      </w:r>
      <w:r w:rsidR="00033EAD" w:rsidRPr="00610B1B">
        <w:rPr>
          <w:rFonts w:ascii="Times New Roman" w:eastAsia="Calibri" w:hAnsi="Times New Roman" w:cs="Times New Roman"/>
          <w:iCs/>
          <w:sz w:val="24"/>
          <w:szCs w:val="24"/>
          <w:lang w:val="bg-BG"/>
        </w:rPr>
        <w:t xml:space="preserve"> Допълнителен принос към развитието на аквакултурите се очаква да има и работата по създаването на демонстрационни центрове във Варна и Бургас за отглеждане на най-търсените риби </w:t>
      </w:r>
      <w:r w:rsidR="00BA5862" w:rsidRPr="00610B1B">
        <w:rPr>
          <w:rFonts w:ascii="Times New Roman" w:eastAsia="Calibri" w:hAnsi="Times New Roman" w:cs="Times New Roman"/>
          <w:iCs/>
          <w:sz w:val="24"/>
          <w:szCs w:val="24"/>
          <w:lang w:val="bg-BG"/>
        </w:rPr>
        <w:t>–</w:t>
      </w:r>
      <w:r w:rsidR="00033EAD" w:rsidRPr="00610B1B">
        <w:rPr>
          <w:rFonts w:ascii="Times New Roman" w:eastAsia="Calibri" w:hAnsi="Times New Roman" w:cs="Times New Roman"/>
          <w:iCs/>
          <w:sz w:val="24"/>
          <w:szCs w:val="24"/>
          <w:lang w:val="bg-BG"/>
        </w:rPr>
        <w:t xml:space="preserve"> калкан, ципура и лаврак. </w:t>
      </w:r>
    </w:p>
    <w:p w14:paraId="2AB02F09" w14:textId="129011FF" w:rsidR="00442579" w:rsidRPr="00610B1B" w:rsidRDefault="00442579" w:rsidP="00D32D6A">
      <w:pPr>
        <w:spacing w:after="120"/>
        <w:ind w:right="-153"/>
        <w:rPr>
          <w:rFonts w:ascii="Times New Roman" w:eastAsia="Calibri" w:hAnsi="Times New Roman" w:cs="Times New Roman"/>
          <w:b/>
          <w:i/>
          <w:iCs/>
          <w:sz w:val="24"/>
          <w:szCs w:val="24"/>
          <w:lang w:val="bg-BG"/>
        </w:rPr>
      </w:pPr>
      <w:r w:rsidRPr="00610B1B">
        <w:rPr>
          <w:rFonts w:ascii="Times New Roman" w:eastAsia="Calibri" w:hAnsi="Times New Roman" w:cs="Times New Roman"/>
          <w:b/>
          <w:i/>
          <w:iCs/>
          <w:sz w:val="24"/>
          <w:szCs w:val="24"/>
          <w:lang w:val="bg-BG"/>
        </w:rPr>
        <w:t>Добив на морски неживи ресурси (суров нефт, природен газ, морски минерали и спомагателни дейности)</w:t>
      </w:r>
    </w:p>
    <w:p w14:paraId="6E64CE7E" w14:textId="7E3A1214" w:rsidR="00285023"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По данни на Министерство на енергетиката</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на територията на</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българските крайморски общини попадат три находища на нефт и природен газ – “Тюленово”, “Дуранкулак” и “Българево”. </w:t>
      </w:r>
      <w:r w:rsidR="0056166E" w:rsidRPr="00610B1B">
        <w:rPr>
          <w:rFonts w:ascii="Times New Roman" w:eastAsia="Calibri" w:hAnsi="Times New Roman" w:cs="Times New Roman"/>
          <w:bCs/>
          <w:sz w:val="24"/>
          <w:szCs w:val="24"/>
          <w:lang w:val="bg-BG"/>
        </w:rPr>
        <w:t>Те</w:t>
      </w:r>
      <w:r w:rsidRPr="00610B1B">
        <w:rPr>
          <w:rFonts w:ascii="Times New Roman" w:eastAsia="Calibri" w:hAnsi="Times New Roman" w:cs="Times New Roman"/>
          <w:bCs/>
          <w:sz w:val="24"/>
          <w:szCs w:val="24"/>
          <w:lang w:val="bg-BG"/>
        </w:rPr>
        <w:t xml:space="preserve"> са в процес на експлоатация чрез издадени концесии за добив в полза на “Проучване и добив на нефт и газ” АД, гр. София.</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Почти всички концесионни договори надхвърлят времевия хоризонт на МППРБ – 2035 г.</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Прогнозите за развитието на сектора могат да се базират единствено на резултатите от досегашната дейност, поради липсата на достъп до информация за бъдещи проучвания и планове на </w:t>
      </w:r>
      <w:r w:rsidR="003079FF" w:rsidRPr="00610B1B">
        <w:rPr>
          <w:rFonts w:ascii="Times New Roman" w:eastAsia="Calibri" w:hAnsi="Times New Roman" w:cs="Times New Roman"/>
          <w:bCs/>
          <w:sz w:val="24"/>
          <w:szCs w:val="24"/>
          <w:lang w:val="bg-BG"/>
        </w:rPr>
        <w:t>ангажираните в това</w:t>
      </w:r>
      <w:r w:rsidR="00033EAD" w:rsidRPr="00610B1B">
        <w:rPr>
          <w:rFonts w:ascii="Times New Roman" w:eastAsia="Calibri" w:hAnsi="Times New Roman" w:cs="Times New Roman"/>
          <w:bCs/>
          <w:sz w:val="24"/>
          <w:szCs w:val="24"/>
          <w:lang w:val="bg-BG"/>
        </w:rPr>
        <w:t xml:space="preserve"> международни</w:t>
      </w:r>
      <w:r w:rsidR="003079FF"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компании. </w:t>
      </w:r>
    </w:p>
    <w:p w14:paraId="32C164A4" w14:textId="6407AEF0" w:rsidR="00285023"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lastRenderedPageBreak/>
        <w:t xml:space="preserve">В българския сектор на Черно море са извършени над 40 крупни 2D и 3D сеизмични проучвателни проекта от различни </w:t>
      </w:r>
      <w:r w:rsidR="0056166E" w:rsidRPr="00610B1B">
        <w:rPr>
          <w:rFonts w:ascii="Times New Roman" w:eastAsia="Calibri" w:hAnsi="Times New Roman" w:cs="Times New Roman"/>
          <w:bCs/>
          <w:sz w:val="24"/>
          <w:szCs w:val="24"/>
          <w:lang w:val="bg-BG"/>
        </w:rPr>
        <w:t xml:space="preserve">световни </w:t>
      </w:r>
      <w:r w:rsidRPr="00610B1B">
        <w:rPr>
          <w:rFonts w:ascii="Times New Roman" w:eastAsia="Calibri" w:hAnsi="Times New Roman" w:cs="Times New Roman"/>
          <w:bCs/>
          <w:sz w:val="24"/>
          <w:szCs w:val="24"/>
          <w:lang w:val="bg-BG"/>
        </w:rPr>
        <w:t xml:space="preserve">петролни компании, с модерни технологии и оборудване, но програмата за проучване на нефт и газ не даде очакваните резултати. След повече от 50 години проучвания, в геоложкото пространство на българския черноморски шелф и ИИЗ, не се очаква разкриване </w:t>
      </w:r>
      <w:r w:rsidR="00285023" w:rsidRPr="00610B1B">
        <w:rPr>
          <w:rFonts w:ascii="Times New Roman" w:eastAsia="Calibri" w:hAnsi="Times New Roman" w:cs="Times New Roman"/>
          <w:bCs/>
          <w:sz w:val="24"/>
          <w:szCs w:val="24"/>
          <w:lang w:val="bg-BG"/>
        </w:rPr>
        <w:t xml:space="preserve">на нови перспективни находища. </w:t>
      </w:r>
    </w:p>
    <w:p w14:paraId="0D8893F5" w14:textId="146B4844" w:rsidR="00285023"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Издадените към края на 2019 г. три концеси</w:t>
      </w:r>
      <w:r w:rsidR="00285023" w:rsidRPr="00610B1B">
        <w:rPr>
          <w:rFonts w:ascii="Times New Roman" w:eastAsia="Calibri" w:hAnsi="Times New Roman" w:cs="Times New Roman"/>
          <w:bCs/>
          <w:sz w:val="24"/>
          <w:szCs w:val="24"/>
          <w:lang w:val="bg-BG"/>
        </w:rPr>
        <w:t>и</w:t>
      </w:r>
      <w:r w:rsidRPr="00610B1B">
        <w:rPr>
          <w:rFonts w:ascii="Times New Roman" w:eastAsia="Calibri" w:hAnsi="Times New Roman" w:cs="Times New Roman"/>
          <w:bCs/>
          <w:sz w:val="24"/>
          <w:szCs w:val="24"/>
          <w:lang w:val="bg-BG"/>
        </w:rPr>
        <w:t xml:space="preserve"> за добив на строителни</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(инертни) материали – пясъци, на територията на общините Варна, Несебър и Бургас са със значителни срокове на действие, приключващи съответно през 2030, 2036 и 2040</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г.</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Неоправдано дългите срокове надхвърлят времето за изчерпване на ресурса, изискват стриктен контрол на изпълнението на концесионните договори. Доказателство за това е прекратената концесия за добив на пясък в кв. Акациите, гр. Бургас през м. април 2019 г. поради изчерпване на ресурса. Познанията за наличието и разпространението на този ресурс все още са слаби. Това налага в прогнозния период да се извърши планомерно и комплексно проучване на околната среда, включително, хидро- и литодинамичен режим, подхранващи провинции, седиментен транспорт и моделиране на из</w:t>
      </w:r>
      <w:r w:rsidR="00285023" w:rsidRPr="00610B1B">
        <w:rPr>
          <w:rFonts w:ascii="Times New Roman" w:eastAsia="Calibri" w:hAnsi="Times New Roman" w:cs="Times New Roman"/>
          <w:bCs/>
          <w:sz w:val="24"/>
          <w:szCs w:val="24"/>
          <w:lang w:val="bg-BG"/>
        </w:rPr>
        <w:t>мененията при евентуален добив.</w:t>
      </w:r>
    </w:p>
    <w:p w14:paraId="13E5B79C" w14:textId="77777777" w:rsidR="00285023" w:rsidRPr="00610B1B" w:rsidRDefault="00442579"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sz w:val="24"/>
          <w:szCs w:val="24"/>
          <w:lang w:val="bg-BG"/>
        </w:rPr>
        <w:t>Добивът на морски минерали на територията на крайбрежния район се представя от добива на морска сол, луга и използване на лечебна кал.</w:t>
      </w:r>
    </w:p>
    <w:p w14:paraId="3B16B6C5" w14:textId="4B751FD5" w:rsidR="00285023" w:rsidRPr="00610B1B" w:rsidRDefault="008466D0"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iCs/>
          <w:sz w:val="24"/>
          <w:szCs w:val="24"/>
          <w:lang w:val="bg-BG"/>
        </w:rPr>
        <w:t>Данните за добив на морска сол от последните години показват свиване на производството до около 40 000 тона сол годишно. Производството е силно зависимо от климатичните условия, използваният традиционен ръчен способ изисква наличие на работна ръка. Може да се предполага, че с целенасочената подкрепа на държавата и общините това производство ще бъде запазено с дял от около 30% на националните пазари, предимно поради голямата му културна и историческа стойност.</w:t>
      </w:r>
      <w:r w:rsidR="00D66FE0" w:rsidRPr="00610B1B">
        <w:rPr>
          <w:rFonts w:ascii="Times New Roman" w:eastAsia="Calibri" w:hAnsi="Times New Roman" w:cs="Times New Roman"/>
          <w:iCs/>
          <w:sz w:val="24"/>
          <w:szCs w:val="24"/>
          <w:lang w:val="bg-BG"/>
        </w:rPr>
        <w:t xml:space="preserve"> </w:t>
      </w:r>
    </w:p>
    <w:p w14:paraId="660EFD43" w14:textId="78609326" w:rsidR="00285023"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Друг продукт на солодобива е лугата, която съдържа магнезий, калий, сяра, натриев хлорид</w:t>
      </w:r>
      <w:r w:rsidR="00D66FE0" w:rsidRPr="00610B1B">
        <w:rPr>
          <w:rFonts w:ascii="Times New Roman" w:eastAsia="Calibri" w:hAnsi="Times New Roman" w:cs="Times New Roman"/>
          <w:iCs/>
          <w:sz w:val="24"/>
          <w:szCs w:val="24"/>
          <w:lang w:val="bg-BG"/>
        </w:rPr>
        <w:t xml:space="preserve"> </w:t>
      </w:r>
      <w:r w:rsidRPr="00610B1B">
        <w:rPr>
          <w:rFonts w:ascii="Times New Roman" w:eastAsia="Calibri" w:hAnsi="Times New Roman" w:cs="Times New Roman"/>
          <w:iCs/>
          <w:sz w:val="24"/>
          <w:szCs w:val="24"/>
          <w:lang w:val="bg-BG"/>
        </w:rPr>
        <w:t>и има утвърдено приложение в балнеолечението и профилактика</w:t>
      </w:r>
      <w:r w:rsidR="0056166E" w:rsidRPr="00610B1B">
        <w:rPr>
          <w:rFonts w:ascii="Times New Roman" w:eastAsia="Calibri" w:hAnsi="Times New Roman" w:cs="Times New Roman"/>
          <w:iCs/>
          <w:sz w:val="24"/>
          <w:szCs w:val="24"/>
          <w:lang w:val="bg-BG"/>
        </w:rPr>
        <w:t>та</w:t>
      </w:r>
      <w:r w:rsidRPr="00610B1B">
        <w:rPr>
          <w:rFonts w:ascii="Times New Roman" w:eastAsia="Calibri" w:hAnsi="Times New Roman" w:cs="Times New Roman"/>
          <w:iCs/>
          <w:sz w:val="24"/>
          <w:szCs w:val="24"/>
          <w:lang w:val="bg-BG"/>
        </w:rPr>
        <w:t xml:space="preserve"> на болести на костната система. </w:t>
      </w:r>
      <w:r w:rsidR="008466D0" w:rsidRPr="00610B1B">
        <w:rPr>
          <w:rFonts w:ascii="Times New Roman" w:eastAsia="Calibri" w:hAnsi="Times New Roman" w:cs="Times New Roman"/>
          <w:iCs/>
          <w:sz w:val="24"/>
          <w:szCs w:val="24"/>
          <w:lang w:val="bg-BG"/>
        </w:rPr>
        <w:t>Лабораторията към БАН, разположена до Атанасовското езеро, гр. Бургас работи по иновативни козметични и биопродукти, нуждаещи се от подходяща реклама на международния пазар.</w:t>
      </w:r>
    </w:p>
    <w:p w14:paraId="25DC1510" w14:textId="02973E3D" w:rsidR="00285023" w:rsidRPr="00610B1B" w:rsidRDefault="00FC501B"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Зависимостта на д</w:t>
      </w:r>
      <w:r w:rsidR="00442579" w:rsidRPr="00610B1B">
        <w:rPr>
          <w:rFonts w:ascii="Times New Roman" w:eastAsia="Calibri" w:hAnsi="Times New Roman" w:cs="Times New Roman"/>
          <w:iCs/>
          <w:sz w:val="24"/>
          <w:szCs w:val="24"/>
          <w:lang w:val="bg-BG"/>
        </w:rPr>
        <w:t>обив</w:t>
      </w:r>
      <w:r w:rsidRPr="00610B1B">
        <w:rPr>
          <w:rFonts w:ascii="Times New Roman" w:eastAsia="Calibri" w:hAnsi="Times New Roman" w:cs="Times New Roman"/>
          <w:iCs/>
          <w:sz w:val="24"/>
          <w:szCs w:val="24"/>
          <w:lang w:val="bg-BG"/>
        </w:rPr>
        <w:t>а</w:t>
      </w:r>
      <w:r w:rsidR="00442579" w:rsidRPr="00610B1B">
        <w:rPr>
          <w:rFonts w:ascii="Times New Roman" w:eastAsia="Calibri" w:hAnsi="Times New Roman" w:cs="Times New Roman"/>
          <w:iCs/>
          <w:sz w:val="24"/>
          <w:szCs w:val="24"/>
          <w:lang w:val="bg-BG"/>
        </w:rPr>
        <w:t xml:space="preserve"> на морска сол и други съпътстващи продукти от климатичните условия</w:t>
      </w:r>
      <w:r w:rsidRPr="00610B1B">
        <w:rPr>
          <w:rFonts w:ascii="Times New Roman" w:eastAsia="Calibri" w:hAnsi="Times New Roman" w:cs="Times New Roman"/>
          <w:iCs/>
          <w:sz w:val="24"/>
          <w:szCs w:val="24"/>
          <w:lang w:val="bg-BG"/>
        </w:rPr>
        <w:t xml:space="preserve"> затруднява прогнозирането</w:t>
      </w:r>
      <w:r w:rsidR="00442579" w:rsidRPr="00610B1B">
        <w:rPr>
          <w:rFonts w:ascii="Times New Roman" w:eastAsia="Calibri" w:hAnsi="Times New Roman" w:cs="Times New Roman"/>
          <w:iCs/>
          <w:sz w:val="24"/>
          <w:szCs w:val="24"/>
          <w:lang w:val="bg-BG"/>
        </w:rPr>
        <w:t>. Не са известни и плановете за развитие на фирмата. Това е една от дейностите, която трябва да се съхрани като пример за устойчиво развитие с перфектен, безконфликтен баланс между стопанска дейност и природозащита и чиста форма на самовъзпроизвеждаща се екосистемна услуга. Прогнозата е „устойчиво развитие без експанзия“, а въздейст</w:t>
      </w:r>
      <w:r w:rsidR="00285023" w:rsidRPr="00610B1B">
        <w:rPr>
          <w:rFonts w:ascii="Times New Roman" w:eastAsia="Calibri" w:hAnsi="Times New Roman" w:cs="Times New Roman"/>
          <w:iCs/>
          <w:sz w:val="24"/>
          <w:szCs w:val="24"/>
          <w:lang w:val="bg-BG"/>
        </w:rPr>
        <w:t xml:space="preserve">вието – „неутрално-позитивно“. </w:t>
      </w:r>
    </w:p>
    <w:p w14:paraId="7F3B55D7" w14:textId="7B926793" w:rsidR="00C1644A" w:rsidRPr="00610B1B" w:rsidRDefault="00C1644A" w:rsidP="00D32D6A">
      <w:pPr>
        <w:spacing w:after="120"/>
        <w:ind w:right="-153"/>
        <w:jc w:val="both"/>
        <w:rPr>
          <w:rFonts w:ascii="Times New Roman" w:eastAsia="Calibri" w:hAnsi="Times New Roman" w:cs="Times New Roman"/>
          <w:b/>
          <w:bCs/>
          <w:i/>
          <w:sz w:val="24"/>
          <w:szCs w:val="24"/>
          <w:lang w:val="bg-BG"/>
        </w:rPr>
      </w:pPr>
      <w:r w:rsidRPr="00610B1B">
        <w:rPr>
          <w:rFonts w:ascii="Times New Roman" w:eastAsia="Calibri" w:hAnsi="Times New Roman" w:cs="Times New Roman"/>
          <w:b/>
          <w:bCs/>
          <w:i/>
          <w:sz w:val="24"/>
          <w:szCs w:val="24"/>
          <w:lang w:val="bg-BG"/>
        </w:rPr>
        <w:t>Производство на елекроенергия от възобновяеми енергийни източници. Офшорна вятърна енергия</w:t>
      </w:r>
    </w:p>
    <w:p w14:paraId="3A9C5A07" w14:textId="573181A0" w:rsidR="00C1644A" w:rsidRPr="00610B1B" w:rsidRDefault="00C1644A"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В края на 2020 г. е приета Стратегия на ЕС за офшорна възобновяема енергия, съгласно</w:t>
      </w:r>
      <w:r w:rsidR="001A58D0" w:rsidRPr="00610B1B">
        <w:rPr>
          <w:rFonts w:ascii="Times New Roman" w:eastAsia="Calibri" w:hAnsi="Times New Roman" w:cs="Times New Roman"/>
          <w:iCs/>
          <w:sz w:val="24"/>
          <w:szCs w:val="24"/>
          <w:lang w:val="bg-BG"/>
        </w:rPr>
        <w:t>,</w:t>
      </w:r>
      <w:r w:rsidRPr="00610B1B">
        <w:rPr>
          <w:rFonts w:ascii="Times New Roman" w:eastAsia="Calibri" w:hAnsi="Times New Roman" w:cs="Times New Roman"/>
          <w:iCs/>
          <w:sz w:val="24"/>
          <w:szCs w:val="24"/>
          <w:lang w:val="bg-BG"/>
        </w:rPr>
        <w:t xml:space="preserve"> която добиването на вятърна енергия в морето постига няколко кумулативни ефекта</w:t>
      </w:r>
      <w:r w:rsidR="001A58D0" w:rsidRPr="00610B1B">
        <w:rPr>
          <w:rFonts w:ascii="Times New Roman" w:eastAsia="Calibri" w:hAnsi="Times New Roman" w:cs="Times New Roman"/>
          <w:iCs/>
          <w:sz w:val="24"/>
          <w:szCs w:val="24"/>
          <w:lang w:val="bg-BG"/>
        </w:rPr>
        <w:t xml:space="preserve">: стимулиране на нисковъглеродното икономическо развитие на крайбрежните региони; осигуряване на конкурентноспособна и сигурна енергия и намаляване на зависимостта на държавите членки  от вноса на енергия. Това е първият европейски стратегически </w:t>
      </w:r>
      <w:r w:rsidR="001A58D0" w:rsidRPr="00610B1B">
        <w:rPr>
          <w:rFonts w:ascii="Times New Roman" w:eastAsia="Calibri" w:hAnsi="Times New Roman" w:cs="Times New Roman"/>
          <w:iCs/>
          <w:sz w:val="24"/>
          <w:szCs w:val="24"/>
          <w:lang w:val="bg-BG"/>
        </w:rPr>
        <w:lastRenderedPageBreak/>
        <w:t>документ,</w:t>
      </w:r>
      <w:r w:rsidR="00FB0824" w:rsidRPr="00610B1B">
        <w:rPr>
          <w:rFonts w:ascii="Times New Roman" w:eastAsia="Calibri" w:hAnsi="Times New Roman" w:cs="Times New Roman"/>
          <w:iCs/>
          <w:sz w:val="24"/>
          <w:szCs w:val="24"/>
          <w:lang w:val="bg-BG"/>
        </w:rPr>
        <w:t xml:space="preserve"> </w:t>
      </w:r>
      <w:r w:rsidR="001A58D0" w:rsidRPr="00610B1B">
        <w:rPr>
          <w:rFonts w:ascii="Times New Roman" w:eastAsia="Calibri" w:hAnsi="Times New Roman" w:cs="Times New Roman"/>
          <w:iCs/>
          <w:sz w:val="24"/>
          <w:szCs w:val="24"/>
          <w:lang w:val="bg-BG"/>
        </w:rPr>
        <w:t>който признава</w:t>
      </w:r>
      <w:r w:rsidR="00FB0824" w:rsidRPr="00610B1B">
        <w:rPr>
          <w:rFonts w:ascii="Times New Roman" w:eastAsia="Calibri" w:hAnsi="Times New Roman" w:cs="Times New Roman"/>
          <w:iCs/>
          <w:sz w:val="24"/>
          <w:szCs w:val="24"/>
          <w:lang w:val="bg-BG"/>
        </w:rPr>
        <w:t xml:space="preserve"> </w:t>
      </w:r>
      <w:r w:rsidR="00E45844" w:rsidRPr="00610B1B">
        <w:rPr>
          <w:rFonts w:ascii="Times New Roman" w:eastAsia="Calibri" w:hAnsi="Times New Roman" w:cs="Times New Roman"/>
          <w:iCs/>
          <w:sz w:val="24"/>
          <w:szCs w:val="24"/>
          <w:lang w:val="bg-BG"/>
        </w:rPr>
        <w:t>добрият природен потенциал за добив на енергия от ветроенергийни паркове в Черно море.</w:t>
      </w:r>
      <w:r w:rsidR="007C60B4" w:rsidRPr="00610B1B">
        <w:rPr>
          <w:rFonts w:ascii="Times New Roman" w:eastAsia="Calibri" w:hAnsi="Times New Roman" w:cs="Times New Roman"/>
          <w:iCs/>
          <w:sz w:val="24"/>
          <w:szCs w:val="24"/>
          <w:lang w:val="bg-BG"/>
        </w:rPr>
        <w:t xml:space="preserve"> В отговор на енергийната криза настъпваща през последните години</w:t>
      </w:r>
      <w:r w:rsidR="00AA1092" w:rsidRPr="00610B1B">
        <w:rPr>
          <w:rFonts w:ascii="Times New Roman" w:eastAsia="Calibri" w:hAnsi="Times New Roman" w:cs="Times New Roman"/>
          <w:iCs/>
          <w:sz w:val="24"/>
          <w:szCs w:val="24"/>
          <w:lang w:val="bg-BG"/>
        </w:rPr>
        <w:t>,</w:t>
      </w:r>
      <w:r w:rsidR="007C60B4" w:rsidRPr="00610B1B">
        <w:rPr>
          <w:rFonts w:ascii="Times New Roman" w:eastAsia="Calibri" w:hAnsi="Times New Roman" w:cs="Times New Roman"/>
          <w:iCs/>
          <w:sz w:val="24"/>
          <w:szCs w:val="24"/>
          <w:lang w:val="bg-BG"/>
        </w:rPr>
        <w:t xml:space="preserve"> все по-належащо става </w:t>
      </w:r>
      <w:r w:rsidR="00AA1092" w:rsidRPr="00610B1B">
        <w:rPr>
          <w:rFonts w:ascii="Times New Roman" w:eastAsia="Calibri" w:hAnsi="Times New Roman" w:cs="Times New Roman"/>
          <w:iCs/>
          <w:sz w:val="24"/>
          <w:szCs w:val="24"/>
          <w:lang w:val="bg-BG"/>
        </w:rPr>
        <w:t xml:space="preserve">осъществяването на </w:t>
      </w:r>
      <w:r w:rsidR="007C60B4" w:rsidRPr="00610B1B">
        <w:rPr>
          <w:rFonts w:ascii="Times New Roman" w:eastAsia="Calibri" w:hAnsi="Times New Roman" w:cs="Times New Roman"/>
          <w:iCs/>
          <w:sz w:val="24"/>
          <w:szCs w:val="24"/>
          <w:lang w:val="bg-BG"/>
        </w:rPr>
        <w:t xml:space="preserve"> допълнителни проучвания </w:t>
      </w:r>
      <w:r w:rsidR="00AA1092" w:rsidRPr="00610B1B">
        <w:rPr>
          <w:rFonts w:ascii="Times New Roman" w:eastAsia="Calibri" w:hAnsi="Times New Roman" w:cs="Times New Roman"/>
          <w:iCs/>
          <w:sz w:val="24"/>
          <w:szCs w:val="24"/>
          <w:lang w:val="bg-BG"/>
        </w:rPr>
        <w:t>по отношение на добива на енергия от възобновяеми източници в Черно море. Стратегическата програма за научни изследвания и иновации за Черно море посочва като един от приоритетите си стимулирането на  нововъзникващите отрасли на синята икономика, каквито са технологиите за производство на енергия от ветроенергийни паркове.</w:t>
      </w:r>
      <w:r w:rsidR="00AE054A" w:rsidRPr="00610B1B">
        <w:rPr>
          <w:rFonts w:ascii="Times New Roman" w:eastAsia="Calibri" w:hAnsi="Times New Roman" w:cs="Times New Roman"/>
          <w:iCs/>
          <w:sz w:val="24"/>
          <w:szCs w:val="24"/>
          <w:lang w:val="bg-BG"/>
        </w:rPr>
        <w:t xml:space="preserve"> Както финансова, така и техническа помощ се предлага по линия на механизмите на ЕЗС и програмата </w:t>
      </w:r>
      <w:r w:rsidR="00AE054A" w:rsidRPr="00610B1B">
        <w:rPr>
          <w:rFonts w:ascii="Times New Roman" w:eastAsia="Calibri" w:hAnsi="Times New Roman" w:cs="Times New Roman"/>
          <w:iCs/>
          <w:sz w:val="24"/>
          <w:szCs w:val="24"/>
          <w:lang w:val="en-US"/>
        </w:rPr>
        <w:t>Connecting</w:t>
      </w:r>
      <w:r w:rsidR="00AE054A" w:rsidRPr="00D72982">
        <w:rPr>
          <w:rFonts w:ascii="Times New Roman" w:eastAsia="Calibri" w:hAnsi="Times New Roman" w:cs="Times New Roman"/>
          <w:iCs/>
          <w:sz w:val="24"/>
          <w:szCs w:val="24"/>
          <w:lang w:val="bg-BG"/>
        </w:rPr>
        <w:t xml:space="preserve"> </w:t>
      </w:r>
      <w:r w:rsidR="00AE054A" w:rsidRPr="00610B1B">
        <w:rPr>
          <w:rFonts w:ascii="Times New Roman" w:eastAsia="Calibri" w:hAnsi="Times New Roman" w:cs="Times New Roman"/>
          <w:iCs/>
          <w:sz w:val="24"/>
          <w:szCs w:val="24"/>
          <w:lang w:val="en-US"/>
        </w:rPr>
        <w:t>Europe</w:t>
      </w:r>
      <w:r w:rsidR="00AE054A" w:rsidRPr="00D72982">
        <w:rPr>
          <w:rFonts w:ascii="Times New Roman" w:eastAsia="Calibri" w:hAnsi="Times New Roman" w:cs="Times New Roman"/>
          <w:iCs/>
          <w:sz w:val="24"/>
          <w:szCs w:val="24"/>
          <w:lang w:val="bg-BG"/>
        </w:rPr>
        <w:t>=</w:t>
      </w:r>
      <w:r w:rsidR="00AE054A" w:rsidRPr="00610B1B">
        <w:rPr>
          <w:rFonts w:ascii="Times New Roman" w:eastAsia="Calibri" w:hAnsi="Times New Roman" w:cs="Times New Roman"/>
          <w:iCs/>
          <w:sz w:val="24"/>
          <w:szCs w:val="24"/>
          <w:lang w:val="bg-BG"/>
        </w:rPr>
        <w:t xml:space="preserve">Групата на високо равнище на </w:t>
      </w:r>
      <w:r w:rsidR="00AE054A" w:rsidRPr="00610B1B">
        <w:rPr>
          <w:rFonts w:ascii="Times New Roman" w:eastAsia="Calibri" w:hAnsi="Times New Roman" w:cs="Times New Roman"/>
          <w:iCs/>
          <w:sz w:val="24"/>
          <w:szCs w:val="24"/>
          <w:lang w:val="en-US"/>
        </w:rPr>
        <w:t>CESEC</w:t>
      </w:r>
      <w:r w:rsidR="00AE054A" w:rsidRPr="00D72982">
        <w:rPr>
          <w:rFonts w:ascii="Times New Roman" w:eastAsia="Calibri" w:hAnsi="Times New Roman" w:cs="Times New Roman"/>
          <w:iCs/>
          <w:sz w:val="24"/>
          <w:szCs w:val="24"/>
          <w:lang w:val="bg-BG"/>
        </w:rPr>
        <w:t xml:space="preserve"> </w:t>
      </w:r>
      <w:r w:rsidR="00AE054A" w:rsidRPr="00610B1B">
        <w:rPr>
          <w:rFonts w:ascii="Times New Roman" w:eastAsia="Calibri" w:hAnsi="Times New Roman" w:cs="Times New Roman"/>
          <w:iCs/>
          <w:sz w:val="24"/>
          <w:szCs w:val="24"/>
          <w:lang w:val="bg-BG"/>
        </w:rPr>
        <w:t>би могла също да подпомага инициативите за регионално сътрудничество в Черно море, така както  и Общата морска програма за черно море.</w:t>
      </w:r>
    </w:p>
    <w:p w14:paraId="2146C2F3" w14:textId="099145F4" w:rsidR="00AB46C3" w:rsidRPr="00610B1B" w:rsidRDefault="00AB46C3"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Енергията, добивана от слънцето, вятъра и сероводорода наличен в Черно море е устойчива, тъй като тези източници са практически неизчерпаеми. С цел насърчаване на устойчивия растеж на морската икономика и в съответствие с политиката на ЕС за преход към чиста енергийна система, потенциалното използване на офшорната възобновяема енергия се подкрепя принципно от отговорните институции на национално ниво. Успоредно с това се забелязва и нарастване на инвестиционния интерес.</w:t>
      </w:r>
    </w:p>
    <w:p w14:paraId="69F431A7" w14:textId="649EF37C" w:rsidR="001A58D0" w:rsidRPr="00610B1B" w:rsidRDefault="00053CAD"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През последните 3 години бяха проведени техноикономически оценки на ветровия потенциал в Българската акватория на Черно море и идентифицирани благоприятни зони</w:t>
      </w:r>
      <w:r w:rsidR="009054C7" w:rsidRPr="00610B1B">
        <w:rPr>
          <w:rFonts w:ascii="Times New Roman" w:eastAsia="Calibri" w:hAnsi="Times New Roman" w:cs="Times New Roman"/>
          <w:iCs/>
          <w:sz w:val="24"/>
          <w:szCs w:val="24"/>
          <w:lang w:val="bg-BG"/>
        </w:rPr>
        <w:t xml:space="preserve"> </w:t>
      </w:r>
      <w:r w:rsidRPr="00610B1B">
        <w:rPr>
          <w:rFonts w:ascii="Times New Roman" w:eastAsia="Calibri" w:hAnsi="Times New Roman" w:cs="Times New Roman"/>
          <w:iCs/>
          <w:sz w:val="24"/>
          <w:szCs w:val="24"/>
          <w:lang w:val="bg-BG"/>
        </w:rPr>
        <w:t xml:space="preserve">за бъдещо развитие. Към настоящият момент все още се проучват регулаторни модели за офшорната възобновяема енергийна индустрия и протичат консултации за подходящо нормативно регулиране на този сектор. По отношение на морското пространствено планиране, следва да бъдат извършени допълнителни проучвания с цел постигане </w:t>
      </w:r>
      <w:r w:rsidR="003542B5" w:rsidRPr="00610B1B">
        <w:rPr>
          <w:rFonts w:ascii="Times New Roman" w:eastAsia="Calibri" w:hAnsi="Times New Roman" w:cs="Times New Roman"/>
          <w:iCs/>
          <w:sz w:val="24"/>
          <w:szCs w:val="24"/>
          <w:lang w:val="bg-BG"/>
        </w:rPr>
        <w:t>на синергия за производство на офшорна вятърна енергия с останалите съществуващи морски дейности, за да бъдат избегнати отрицателни въздействия и конфликтни точки.</w:t>
      </w:r>
    </w:p>
    <w:p w14:paraId="156AB35C" w14:textId="30551372" w:rsidR="00285023" w:rsidRPr="00610B1B" w:rsidRDefault="00285023"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b/>
          <w:i/>
          <w:iCs/>
          <w:sz w:val="24"/>
          <w:szCs w:val="24"/>
          <w:lang w:val="bg-BG"/>
        </w:rPr>
        <w:t>Морски биотехнологии</w:t>
      </w:r>
    </w:p>
    <w:p w14:paraId="4424C5B7" w14:textId="413F204F" w:rsidR="00285023" w:rsidRPr="00610B1B" w:rsidRDefault="00285023"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 xml:space="preserve">Биотехнологиите, </w:t>
      </w:r>
      <w:r w:rsidR="00442579" w:rsidRPr="00610B1B">
        <w:rPr>
          <w:rFonts w:ascii="Times New Roman" w:eastAsia="Calibri" w:hAnsi="Times New Roman" w:cs="Times New Roman"/>
          <w:iCs/>
          <w:sz w:val="24"/>
          <w:szCs w:val="24"/>
          <w:lang w:val="bg-BG"/>
        </w:rPr>
        <w:t xml:space="preserve">една от най-важните области за бъдещето на синята икономика, се очаква да са сред бързо развиващите се сектори. Това се </w:t>
      </w:r>
      <w:r w:rsidR="00BB78A1" w:rsidRPr="00610B1B">
        <w:rPr>
          <w:rFonts w:ascii="Times New Roman" w:eastAsia="Calibri" w:hAnsi="Times New Roman" w:cs="Times New Roman"/>
          <w:iCs/>
          <w:sz w:val="24"/>
          <w:szCs w:val="24"/>
          <w:lang w:val="bg-BG"/>
        </w:rPr>
        <w:t>потвърждава</w:t>
      </w:r>
      <w:r w:rsidR="00442579" w:rsidRPr="00610B1B">
        <w:rPr>
          <w:rFonts w:ascii="Times New Roman" w:eastAsia="Calibri" w:hAnsi="Times New Roman" w:cs="Times New Roman"/>
          <w:iCs/>
          <w:sz w:val="24"/>
          <w:szCs w:val="24"/>
          <w:lang w:val="bg-BG"/>
        </w:rPr>
        <w:t xml:space="preserve"> от обявената подкрепа по време на BlueInvest Day в Брюксел през февруари 2020 г. чрез инвестиране на 115 млн. евро </w:t>
      </w:r>
      <w:r w:rsidR="00341579" w:rsidRPr="00610B1B">
        <w:rPr>
          <w:rFonts w:ascii="Times New Roman" w:eastAsia="Calibri" w:hAnsi="Times New Roman" w:cs="Times New Roman"/>
          <w:iCs/>
          <w:sz w:val="24"/>
          <w:szCs w:val="24"/>
          <w:lang w:val="bg-BG"/>
        </w:rPr>
        <w:t>за</w:t>
      </w:r>
      <w:r w:rsidR="00442579" w:rsidRPr="00610B1B">
        <w:rPr>
          <w:rFonts w:ascii="Times New Roman" w:eastAsia="Calibri" w:hAnsi="Times New Roman" w:cs="Times New Roman"/>
          <w:iCs/>
          <w:sz w:val="24"/>
          <w:szCs w:val="24"/>
          <w:lang w:val="bg-BG"/>
        </w:rPr>
        <w:t xml:space="preserve"> новаторски проекти в синята икономика. Част от средствата ще се предоставят от новоучредения фонд BlueInvest, създаден от Европейската комисия в сътрудничество с Европейския инвестиционен фонд (ЕИФ) с капитал от 75 млн</w:t>
      </w:r>
      <w:r w:rsidR="002629C4" w:rsidRPr="00D72982">
        <w:rPr>
          <w:rFonts w:ascii="Times New Roman" w:eastAsia="Calibri" w:hAnsi="Times New Roman" w:cs="Times New Roman"/>
          <w:iCs/>
          <w:sz w:val="24"/>
          <w:szCs w:val="24"/>
          <w:lang w:val="bg-BG"/>
        </w:rPr>
        <w:t>.</w:t>
      </w:r>
      <w:r w:rsidR="00442579" w:rsidRPr="00610B1B">
        <w:rPr>
          <w:rFonts w:ascii="Times New Roman" w:eastAsia="Calibri" w:hAnsi="Times New Roman" w:cs="Times New Roman"/>
          <w:iCs/>
          <w:sz w:val="24"/>
          <w:szCs w:val="24"/>
          <w:lang w:val="bg-BG"/>
        </w:rPr>
        <w:t xml:space="preserve"> евро. Тези проекти ще бъдат </w:t>
      </w:r>
      <w:r w:rsidR="00341579" w:rsidRPr="00610B1B">
        <w:rPr>
          <w:rFonts w:ascii="Times New Roman" w:eastAsia="Calibri" w:hAnsi="Times New Roman" w:cs="Times New Roman"/>
          <w:iCs/>
          <w:sz w:val="24"/>
          <w:szCs w:val="24"/>
          <w:lang w:val="bg-BG"/>
        </w:rPr>
        <w:t>в</w:t>
      </w:r>
      <w:r w:rsidR="00442579" w:rsidRPr="00610B1B">
        <w:rPr>
          <w:rFonts w:ascii="Times New Roman" w:eastAsia="Calibri" w:hAnsi="Times New Roman" w:cs="Times New Roman"/>
          <w:iCs/>
          <w:sz w:val="24"/>
          <w:szCs w:val="24"/>
          <w:lang w:val="bg-BG"/>
        </w:rPr>
        <w:t xml:space="preserve"> областта на възобновяемата енергия</w:t>
      </w:r>
      <w:r w:rsidR="00442579" w:rsidRPr="00610B1B">
        <w:rPr>
          <w:rFonts w:ascii="Times New Roman" w:eastAsia="Calibri" w:hAnsi="Times New Roman" w:cs="Times New Roman"/>
          <w:lang w:val="bg-BG"/>
        </w:rPr>
        <w:t xml:space="preserve"> и </w:t>
      </w:r>
      <w:r w:rsidR="00442579" w:rsidRPr="00610B1B">
        <w:rPr>
          <w:rFonts w:ascii="Times New Roman" w:eastAsia="Calibri" w:hAnsi="Times New Roman" w:cs="Times New Roman"/>
          <w:iCs/>
          <w:sz w:val="24"/>
          <w:szCs w:val="24"/>
          <w:lang w:val="bg-BG"/>
        </w:rPr>
        <w:t xml:space="preserve">намаляването на въглеродните емисии, устойчивите морски дарове, сините биотехнологии, морските информационни технологии, намаляването на въглеродните емисии. Чрез ЕФМДР ще се осигурява и безвъзмездна помощ с бюджет 40 млн. евро, за стартъпи и МСП от синята икономика при разработване и пазарна реализация на новаторски и устойчиви </w:t>
      </w:r>
      <w:r w:rsidRPr="00610B1B">
        <w:rPr>
          <w:rFonts w:ascii="Times New Roman" w:eastAsia="Calibri" w:hAnsi="Times New Roman" w:cs="Times New Roman"/>
          <w:iCs/>
          <w:sz w:val="24"/>
          <w:szCs w:val="24"/>
          <w:lang w:val="bg-BG"/>
        </w:rPr>
        <w:t xml:space="preserve">продукти, технологии и услуги. </w:t>
      </w:r>
      <w:r w:rsidR="00442579" w:rsidRPr="00610B1B">
        <w:rPr>
          <w:rFonts w:ascii="Times New Roman" w:eastAsia="Calibri" w:hAnsi="Times New Roman" w:cs="Times New Roman"/>
          <w:iCs/>
          <w:sz w:val="24"/>
          <w:szCs w:val="24"/>
          <w:lang w:val="bg-BG"/>
        </w:rPr>
        <w:t xml:space="preserve">Това е възможност един от основните недостатъци на българската синя икономика –зависимостта от МСП, да се превърне в предимство в оползотворяването на потенциала за иновативни решения в областта на биотехнологиите, за развитие на технологични и високоефективни устойчиви морски дейности. </w:t>
      </w:r>
    </w:p>
    <w:p w14:paraId="7C9A289E" w14:textId="77777777" w:rsidR="00285023"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b/>
          <w:i/>
          <w:iCs/>
          <w:sz w:val="24"/>
          <w:szCs w:val="24"/>
          <w:lang w:val="bg-BG"/>
        </w:rPr>
        <w:t>Кораборемонтна и корабостроителна дейност</w:t>
      </w:r>
    </w:p>
    <w:p w14:paraId="5B58FE00" w14:textId="32B606B7" w:rsidR="00285023"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lastRenderedPageBreak/>
        <w:t>В сектора „Корабостроителство и кораборемонт“, преминал през множество трансформации, преструктуриране и раздробяване, в периода след кризата между 2009 – 2013 г.</w:t>
      </w:r>
      <w:r w:rsidR="00AB5F09" w:rsidRPr="00610B1B">
        <w:rPr>
          <w:rFonts w:ascii="Times New Roman" w:eastAsia="Calibri" w:hAnsi="Times New Roman" w:cs="Times New Roman"/>
          <w:iCs/>
          <w:sz w:val="24"/>
          <w:szCs w:val="24"/>
          <w:lang w:val="bg-BG"/>
        </w:rPr>
        <w:t>,</w:t>
      </w:r>
      <w:r w:rsidRPr="00610B1B">
        <w:rPr>
          <w:rFonts w:ascii="Times New Roman" w:eastAsia="Calibri" w:hAnsi="Times New Roman" w:cs="Times New Roman"/>
          <w:iCs/>
          <w:sz w:val="24"/>
          <w:szCs w:val="24"/>
          <w:lang w:val="bg-BG"/>
        </w:rPr>
        <w:t xml:space="preserve"> също се наблюдава спад в много от показателите, като резултат от настоящата ситуация. По данни от доклада на EК за растежа на синята икономика през 2019 г.</w:t>
      </w:r>
      <w:r w:rsidRPr="00610B1B">
        <w:rPr>
          <w:rFonts w:ascii="Times New Roman" w:eastAsia="Calibri" w:hAnsi="Times New Roman" w:cs="Times New Roman"/>
          <w:iCs/>
          <w:sz w:val="24"/>
          <w:szCs w:val="24"/>
          <w:vertAlign w:val="superscript"/>
          <w:lang w:val="bg-BG"/>
        </w:rPr>
        <w:footnoteReference w:id="157"/>
      </w:r>
      <w:r w:rsidRPr="00610B1B">
        <w:rPr>
          <w:rFonts w:ascii="Times New Roman" w:eastAsia="Calibri" w:hAnsi="Times New Roman" w:cs="Times New Roman"/>
          <w:iCs/>
          <w:sz w:val="24"/>
          <w:szCs w:val="24"/>
          <w:lang w:val="bg-BG"/>
        </w:rPr>
        <w:t xml:space="preserve"> през 2017 г. секторът в България генерира брутна добавена стойност 67 млн. евро. Броят на работните места се определя на 4.7 хиляди души през 2017 г., голяма част от които са висококвалифицирани специалисти. Отчетеният растеж на производителността на труда за пер</w:t>
      </w:r>
      <w:r w:rsidR="00285023" w:rsidRPr="00610B1B">
        <w:rPr>
          <w:rFonts w:ascii="Times New Roman" w:eastAsia="Calibri" w:hAnsi="Times New Roman" w:cs="Times New Roman"/>
          <w:iCs/>
          <w:sz w:val="24"/>
          <w:szCs w:val="24"/>
          <w:lang w:val="bg-BG"/>
        </w:rPr>
        <w:t xml:space="preserve">иода 2009-2017 г. е близо 50%. </w:t>
      </w:r>
    </w:p>
    <w:p w14:paraId="00507B97" w14:textId="346A75CD" w:rsidR="00285023"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Тенденциите, които се наблюдават в сектора, са свързани с преструктурирането му въз основа на данните за намаляване на оборота в строителството на кораби, плаващи конструкции и плавателни съдове за отдих с около 70% през 2017 г. в сравнение с 2009 г. Загубите са компенсирани от увеличението на дейностите по ремонт и поддържане на плавателни съдове</w:t>
      </w:r>
      <w:r w:rsidR="00D66FE0" w:rsidRPr="00610B1B">
        <w:rPr>
          <w:rFonts w:ascii="Times New Roman" w:eastAsia="Calibri" w:hAnsi="Times New Roman" w:cs="Times New Roman"/>
          <w:iCs/>
          <w:sz w:val="24"/>
          <w:szCs w:val="24"/>
          <w:lang w:val="bg-BG"/>
        </w:rPr>
        <w:t xml:space="preserve"> </w:t>
      </w:r>
      <w:r w:rsidR="004A3399" w:rsidRPr="00610B1B">
        <w:rPr>
          <w:rFonts w:ascii="Times New Roman" w:eastAsia="Calibri" w:hAnsi="Times New Roman" w:cs="Times New Roman"/>
          <w:iCs/>
          <w:sz w:val="24"/>
          <w:szCs w:val="24"/>
          <w:lang w:val="bg-BG"/>
        </w:rPr>
        <w:t xml:space="preserve">с около </w:t>
      </w:r>
      <w:r w:rsidRPr="00610B1B">
        <w:rPr>
          <w:rFonts w:ascii="Times New Roman" w:eastAsia="Calibri" w:hAnsi="Times New Roman" w:cs="Times New Roman"/>
          <w:iCs/>
          <w:sz w:val="24"/>
          <w:szCs w:val="24"/>
          <w:lang w:val="bg-BG"/>
        </w:rPr>
        <w:t>65% и мор</w:t>
      </w:r>
      <w:r w:rsidR="004A3399" w:rsidRPr="00610B1B">
        <w:rPr>
          <w:rFonts w:ascii="Times New Roman" w:eastAsia="Calibri" w:hAnsi="Times New Roman" w:cs="Times New Roman"/>
          <w:iCs/>
          <w:sz w:val="24"/>
          <w:szCs w:val="24"/>
          <w:lang w:val="bg-BG"/>
        </w:rPr>
        <w:t xml:space="preserve">ско оборудване с около </w:t>
      </w:r>
      <w:r w:rsidR="00285023" w:rsidRPr="00610B1B">
        <w:rPr>
          <w:rFonts w:ascii="Times New Roman" w:eastAsia="Calibri" w:hAnsi="Times New Roman" w:cs="Times New Roman"/>
          <w:iCs/>
          <w:sz w:val="24"/>
          <w:szCs w:val="24"/>
          <w:lang w:val="bg-BG"/>
        </w:rPr>
        <w:t>57%.</w:t>
      </w:r>
    </w:p>
    <w:p w14:paraId="191BDE9B" w14:textId="0DCCAE89" w:rsidR="00442579"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Кораборемонтът е най-силно представената дейност в сектора и крайбрежния район. Общата заетост надхвърля 2.5 хил.души през 2018 г. Териториалното разположение на предприятията е в общините Варна, Бургас, Белослав, Созопол. В общините Несебър, Царево, Аксаково също има регистрирани микрофирми с тази дейност.</w:t>
      </w:r>
    </w:p>
    <w:p w14:paraId="5D37AE75" w14:textId="77777777" w:rsidR="00442579"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 xml:space="preserve">Производството на уреди и апарати за измерване, изпитване и навигация, както и производството на спортни стоки, са локализирани в общините Варна, Бургас и Поморие. Общата заетост през 2018 г. надхвърля 200 д. </w:t>
      </w:r>
    </w:p>
    <w:p w14:paraId="3C2CA9A7" w14:textId="401DD1C6" w:rsidR="00442579" w:rsidRPr="00610B1B" w:rsidRDefault="00442579" w:rsidP="00D32D6A">
      <w:pPr>
        <w:spacing w:after="120"/>
        <w:ind w:right="-153"/>
        <w:jc w:val="both"/>
        <w:rPr>
          <w:rFonts w:ascii="Times New Roman" w:eastAsia="Calibri" w:hAnsi="Times New Roman" w:cs="Times New Roman"/>
          <w:iCs/>
          <w:sz w:val="24"/>
          <w:szCs w:val="24"/>
          <w:lang w:val="bg-BG"/>
        </w:rPr>
      </w:pPr>
      <w:r w:rsidRPr="00610B1B">
        <w:rPr>
          <w:rFonts w:ascii="Times New Roman" w:eastAsia="Calibri" w:hAnsi="Times New Roman" w:cs="Times New Roman"/>
          <w:iCs/>
          <w:sz w:val="24"/>
          <w:szCs w:val="24"/>
          <w:lang w:val="bg-BG"/>
        </w:rPr>
        <w:t xml:space="preserve">В краткосрочна перспектива не се очаква разширяване на дейността в този сектор и съответно разкриване на нови работни места. В дългосрочен план е възможно да се заложи на по-голям ръст в производството и поддържането на уреди и апарати за измерване, изпитване и навигация, както и на съпътстващи морските атракции, водните спортове и морския туризъм производства. </w:t>
      </w:r>
    </w:p>
    <w:p w14:paraId="369285D6" w14:textId="681BC8C4" w:rsidR="009907CE" w:rsidRPr="00610B1B" w:rsidRDefault="009907CE" w:rsidP="00D32D6A">
      <w:pPr>
        <w:spacing w:after="120"/>
        <w:ind w:right="-153"/>
        <w:jc w:val="both"/>
        <w:rPr>
          <w:rFonts w:ascii="Times New Roman" w:eastAsia="Calibri" w:hAnsi="Times New Roman" w:cs="Times New Roman"/>
          <w:iCs/>
          <w:sz w:val="24"/>
          <w:szCs w:val="24"/>
          <w:lang w:val="bg-BG"/>
        </w:rPr>
      </w:pPr>
    </w:p>
    <w:p w14:paraId="0CF1E790" w14:textId="77777777" w:rsidR="009907CE" w:rsidRPr="00610B1B" w:rsidRDefault="009907CE" w:rsidP="009907CE">
      <w:pPr>
        <w:spacing w:after="240"/>
        <w:ind w:right="-153"/>
        <w:jc w:val="both"/>
        <w:rPr>
          <w:rFonts w:ascii="Times New Roman" w:eastAsia="Calibri" w:hAnsi="Times New Roman" w:cs="Times New Roman"/>
          <w:iCs/>
          <w:sz w:val="24"/>
          <w:szCs w:val="24"/>
          <w:lang w:val="bg-BG"/>
        </w:rPr>
      </w:pPr>
    </w:p>
    <w:p w14:paraId="18753BC5" w14:textId="612F0ACC" w:rsidR="00442579" w:rsidRPr="00610B1B" w:rsidRDefault="00442579" w:rsidP="00D32D6A">
      <w:pPr>
        <w:pStyle w:val="Heading3"/>
        <w:numPr>
          <w:ilvl w:val="0"/>
          <w:numId w:val="0"/>
        </w:numPr>
        <w:spacing w:before="0" w:line="276" w:lineRule="auto"/>
        <w:ind w:right="-153"/>
        <w:rPr>
          <w:rFonts w:cs="Times New Roman"/>
        </w:rPr>
      </w:pPr>
      <w:bookmarkStart w:id="434" w:name="_Toc83391411"/>
      <w:r w:rsidRPr="00610B1B">
        <w:rPr>
          <w:rFonts w:cs="Times New Roman"/>
        </w:rPr>
        <w:t>4.</w:t>
      </w:r>
      <w:r w:rsidR="009278D0" w:rsidRPr="00610B1B">
        <w:rPr>
          <w:rFonts w:cs="Times New Roman"/>
        </w:rPr>
        <w:t>2</w:t>
      </w:r>
      <w:r w:rsidRPr="00610B1B">
        <w:rPr>
          <w:rFonts w:cs="Times New Roman"/>
        </w:rPr>
        <w:t>.4. Прогнозно развитие на морския трафик и пристанищната дейност</w:t>
      </w:r>
      <w:bookmarkEnd w:id="434"/>
      <w:r w:rsidRPr="00610B1B">
        <w:rPr>
          <w:rFonts w:cs="Times New Roman"/>
        </w:rPr>
        <w:t xml:space="preserve"> </w:t>
      </w:r>
    </w:p>
    <w:p w14:paraId="4D8441DF" w14:textId="7ECC9B0A" w:rsidR="00285023"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Морският трафик е един от най-засегнатите сектори на морската икономика от Covid-19 пандемия</w:t>
      </w:r>
      <w:r w:rsidR="004A3399" w:rsidRPr="00610B1B">
        <w:rPr>
          <w:rFonts w:ascii="Times New Roman" w:eastAsia="Calibri" w:hAnsi="Times New Roman" w:cs="Times New Roman"/>
          <w:sz w:val="24"/>
          <w:szCs w:val="24"/>
          <w:lang w:val="bg-BG"/>
        </w:rPr>
        <w:t>та</w:t>
      </w:r>
      <w:r w:rsidRPr="00610B1B">
        <w:rPr>
          <w:rFonts w:ascii="Times New Roman" w:eastAsia="Calibri" w:hAnsi="Times New Roman" w:cs="Times New Roman"/>
          <w:sz w:val="24"/>
          <w:szCs w:val="24"/>
          <w:lang w:val="bg-BG"/>
        </w:rPr>
        <w:t>, поради затваряне на пристанища, прекратяване на круизите, намаляване на доставките с изключение на медицински</w:t>
      </w:r>
      <w:r w:rsidR="00AC48C0"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и свързани с безопасността стоки и продукти. </w:t>
      </w:r>
    </w:p>
    <w:p w14:paraId="6482AEB5" w14:textId="644B3CA6"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Прогнозирането на морския трафик използва заложените параметри на одобрената Интегрирана транспортна стратегия в периода до 2030 г. на </w:t>
      </w:r>
      <w:r w:rsidR="004E6C8D">
        <w:rPr>
          <w:rFonts w:ascii="Times New Roman" w:eastAsia="Calibri" w:hAnsi="Times New Roman" w:cs="Times New Roman"/>
          <w:sz w:val="24"/>
          <w:szCs w:val="24"/>
          <w:lang w:val="bg-BG"/>
        </w:rPr>
        <w:t>Министерство на транспорта и съобщенията</w:t>
      </w:r>
      <w:r w:rsidRPr="00610B1B">
        <w:rPr>
          <w:rFonts w:ascii="Times New Roman" w:eastAsia="Calibri" w:hAnsi="Times New Roman" w:cs="Times New Roman"/>
          <w:sz w:val="24"/>
          <w:szCs w:val="24"/>
          <w:lang w:val="bg-BG"/>
        </w:rPr>
        <w:t>. Предвиденото натоварване на пристанищата във Варна, Бургас и Несебър е изчислено при условие</w:t>
      </w:r>
      <w:r w:rsidR="00285023"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че не се увеличава</w:t>
      </w:r>
      <w:r w:rsidR="00AC48C0" w:rsidRPr="00610B1B">
        <w:rPr>
          <w:rFonts w:ascii="Times New Roman" w:eastAsia="Calibri" w:hAnsi="Times New Roman" w:cs="Times New Roman"/>
          <w:sz w:val="24"/>
          <w:szCs w:val="24"/>
          <w:lang w:val="bg-BG"/>
        </w:rPr>
        <w:t>т</w:t>
      </w:r>
      <w:r w:rsidRPr="00610B1B">
        <w:rPr>
          <w:rFonts w:ascii="Times New Roman" w:eastAsia="Calibri" w:hAnsi="Times New Roman" w:cs="Times New Roman"/>
          <w:sz w:val="24"/>
          <w:szCs w:val="24"/>
          <w:lang w:val="bg-BG"/>
        </w:rPr>
        <w:t xml:space="preserve"> транзитните товари от български пристанища къ</w:t>
      </w:r>
      <w:r w:rsidR="00285023" w:rsidRPr="00610B1B">
        <w:rPr>
          <w:rFonts w:ascii="Times New Roman" w:eastAsia="Calibri" w:hAnsi="Times New Roman" w:cs="Times New Roman"/>
          <w:sz w:val="24"/>
          <w:szCs w:val="24"/>
          <w:lang w:val="bg-BG"/>
        </w:rPr>
        <w:t xml:space="preserve">м съседните страни. Приема се, че българските </w:t>
      </w:r>
      <w:r w:rsidRPr="00610B1B">
        <w:rPr>
          <w:rFonts w:ascii="Times New Roman" w:eastAsia="Calibri" w:hAnsi="Times New Roman" w:cs="Times New Roman"/>
          <w:sz w:val="24"/>
          <w:szCs w:val="24"/>
          <w:lang w:val="bg-BG"/>
        </w:rPr>
        <w:t xml:space="preserve">пристанища не са </w:t>
      </w:r>
      <w:r w:rsidRPr="00610B1B">
        <w:rPr>
          <w:rFonts w:ascii="Times New Roman" w:eastAsia="Calibri" w:hAnsi="Times New Roman" w:cs="Times New Roman"/>
          <w:sz w:val="24"/>
          <w:szCs w:val="24"/>
          <w:lang w:val="bg-BG"/>
        </w:rPr>
        <w:lastRenderedPageBreak/>
        <w:t>логистично ефективен вариант за товари, идващи извън района на Черно море</w:t>
      </w:r>
      <w:r w:rsidR="00285023" w:rsidRPr="00610B1B">
        <w:rPr>
          <w:rFonts w:ascii="Times New Roman" w:eastAsia="Calibri" w:hAnsi="Times New Roman" w:cs="Times New Roman"/>
          <w:sz w:val="24"/>
          <w:szCs w:val="24"/>
          <w:lang w:val="bg-BG"/>
        </w:rPr>
        <w:t>.</w:t>
      </w:r>
      <w:r w:rsidR="00D66FE0" w:rsidRPr="00610B1B">
        <w:rPr>
          <w:rFonts w:ascii="Times New Roman" w:eastAsia="Calibri" w:hAnsi="Times New Roman" w:cs="Times New Roman"/>
          <w:sz w:val="24"/>
          <w:szCs w:val="24"/>
          <w:lang w:val="bg-BG"/>
        </w:rPr>
        <w:t xml:space="preserve"> </w:t>
      </w:r>
      <w:r w:rsidR="00285023" w:rsidRPr="00610B1B">
        <w:rPr>
          <w:rFonts w:ascii="Times New Roman" w:eastAsia="Calibri" w:hAnsi="Times New Roman" w:cs="Times New Roman"/>
          <w:sz w:val="24"/>
          <w:szCs w:val="24"/>
          <w:lang w:val="bg-BG"/>
        </w:rPr>
        <w:t xml:space="preserve">Влияние оказва и фактът, че товарооборотът </w:t>
      </w:r>
      <w:r w:rsidRPr="00610B1B">
        <w:rPr>
          <w:rFonts w:ascii="Times New Roman" w:eastAsia="Calibri" w:hAnsi="Times New Roman" w:cs="Times New Roman"/>
          <w:sz w:val="24"/>
          <w:szCs w:val="24"/>
          <w:lang w:val="bg-BG"/>
        </w:rPr>
        <w:t>на контейнери с начална точка Черно море е ограничен</w:t>
      </w:r>
      <w:r w:rsidR="00105B23" w:rsidRPr="00610B1B">
        <w:rPr>
          <w:rFonts w:ascii="Times New Roman" w:eastAsia="Calibri" w:hAnsi="Times New Roman" w:cs="Times New Roman"/>
          <w:sz w:val="24"/>
          <w:szCs w:val="24"/>
          <w:lang w:val="bg-BG"/>
        </w:rPr>
        <w:t>, а</w:t>
      </w:r>
      <w:r w:rsidRPr="00610B1B">
        <w:rPr>
          <w:rFonts w:ascii="Times New Roman" w:eastAsia="Calibri" w:hAnsi="Times New Roman" w:cs="Times New Roman"/>
          <w:sz w:val="24"/>
          <w:szCs w:val="24"/>
          <w:lang w:val="bg-BG"/>
        </w:rPr>
        <w:t xml:space="preserve"> от Украйна, Русия и Турция европейският континент може да се достигне и </w:t>
      </w:r>
      <w:r w:rsidR="004A3399" w:rsidRPr="00610B1B">
        <w:rPr>
          <w:rFonts w:ascii="Times New Roman" w:eastAsia="Calibri" w:hAnsi="Times New Roman" w:cs="Times New Roman"/>
          <w:sz w:val="24"/>
          <w:szCs w:val="24"/>
          <w:lang w:val="bg-BG"/>
        </w:rPr>
        <w:t xml:space="preserve">със </w:t>
      </w:r>
      <w:r w:rsidRPr="00610B1B">
        <w:rPr>
          <w:rFonts w:ascii="Times New Roman" w:eastAsia="Calibri" w:hAnsi="Times New Roman" w:cs="Times New Roman"/>
          <w:sz w:val="24"/>
          <w:szCs w:val="24"/>
          <w:lang w:val="bg-BG"/>
        </w:rPr>
        <w:t>сухоземен транспорт.</w:t>
      </w:r>
    </w:p>
    <w:p w14:paraId="04755429" w14:textId="040244B9"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Прогнозите за пакетираните товари, превозвани с контейнери</w:t>
      </w:r>
      <w:r w:rsidR="00AC48C0"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отчитат нарастване на нивото на контейнеризация от 48% през 2013 г. на 60% през 2030 г., което се запазва на това ниво до 2050 г. и дял от 33.5% на пакетирани товари, които се обработват през морските пристанища. </w:t>
      </w:r>
    </w:p>
    <w:p w14:paraId="242A6CC8" w14:textId="74490148"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За насипните зърнени товари, обработени в българските пристанища</w:t>
      </w:r>
      <w:r w:rsidR="004A3399"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се изчислява единствено износа на българска продукция, като се отчита </w:t>
      </w:r>
      <w:r w:rsidR="00BB78A1" w:rsidRPr="00610B1B">
        <w:rPr>
          <w:rFonts w:ascii="Times New Roman" w:eastAsia="Calibri" w:hAnsi="Times New Roman" w:cs="Times New Roman"/>
          <w:sz w:val="24"/>
          <w:szCs w:val="24"/>
          <w:lang w:val="bg-BG"/>
        </w:rPr>
        <w:t>нарасналото</w:t>
      </w:r>
      <w:r w:rsidRPr="00610B1B">
        <w:rPr>
          <w:rFonts w:ascii="Times New Roman" w:eastAsia="Calibri" w:hAnsi="Times New Roman" w:cs="Times New Roman"/>
          <w:sz w:val="24"/>
          <w:szCs w:val="24"/>
          <w:lang w:val="bg-BG"/>
        </w:rPr>
        <w:t xml:space="preserve"> търсене в световен мащаб на зърнени храни и маслодайни семена и количествата, които България успява да произведе и да изнесе след като зад</w:t>
      </w:r>
      <w:r w:rsidR="00105B23" w:rsidRPr="00610B1B">
        <w:rPr>
          <w:rFonts w:ascii="Times New Roman" w:eastAsia="Calibri" w:hAnsi="Times New Roman" w:cs="Times New Roman"/>
          <w:sz w:val="24"/>
          <w:szCs w:val="24"/>
          <w:lang w:val="bg-BG"/>
        </w:rPr>
        <w:t>о</w:t>
      </w:r>
      <w:r w:rsidRPr="00610B1B">
        <w:rPr>
          <w:rFonts w:ascii="Times New Roman" w:eastAsia="Calibri" w:hAnsi="Times New Roman" w:cs="Times New Roman"/>
          <w:sz w:val="24"/>
          <w:szCs w:val="24"/>
          <w:lang w:val="bg-BG"/>
        </w:rPr>
        <w:t xml:space="preserve">воли местното потребление. </w:t>
      </w:r>
      <w:r w:rsidR="00BB78A1" w:rsidRPr="00610B1B">
        <w:rPr>
          <w:rFonts w:ascii="Times New Roman" w:eastAsia="Calibri" w:hAnsi="Times New Roman" w:cs="Times New Roman"/>
          <w:sz w:val="24"/>
          <w:szCs w:val="24"/>
          <w:lang w:val="bg-BG"/>
        </w:rPr>
        <w:t>Товарооборотът</w:t>
      </w:r>
      <w:r w:rsidRPr="00610B1B">
        <w:rPr>
          <w:rFonts w:ascii="Times New Roman" w:eastAsia="Calibri" w:hAnsi="Times New Roman" w:cs="Times New Roman"/>
          <w:sz w:val="24"/>
          <w:szCs w:val="24"/>
          <w:lang w:val="bg-BG"/>
        </w:rPr>
        <w:t xml:space="preserve"> на пристанищата Варна и Бургас нараства неколкократно до 2030 г. Варна остава най-голямото пристанище за износ на насипни земеделски продукти, независимо от инвестициите, направени в пристанище Бургас. </w:t>
      </w:r>
    </w:p>
    <w:p w14:paraId="0A9BFDDD" w14:textId="2F1196DB"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При износа на меден концентрат водеща роля има пристанище Бургас, като износът се увеличава до изчерпване на използваемите запаси през 2025 г., докато ролята на пристанище Варна до 2020 г. се свежда до 0.</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При вноса то не играе никаква роля, защото дейността е насочена към пристанище Бургас, където до 2034 г. се предвижда обработените товари да достигнат до 1 134 137 млн. тона. </w:t>
      </w:r>
    </w:p>
    <w:p w14:paraId="1D66CC85" w14:textId="4E9B5A2B"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Прогноза за товарооборота на въглищата от внос е трудно да се даде на този етап, на база на стратегическите разчети на Министерството на енергетиката, поради промяна на политиките в енергийния сектор във връзка със Зелената сделка. Пазарните дялове в товарооборота на други насипни товари на пристанищата (цимент, торове, химикали,</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инертни материали) се приема</w:t>
      </w:r>
      <w:r w:rsidR="00105B23"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че остават еднакви. Повечето от тези товари се насочват към пристанище Варна, поради близостта на производствата, за които са предназначени. Прогноза за износа на сярна киселина през пристанищата Бургас и Варна показва леко увеличение за периода до 2034 г. и равно разпределение между двете пристанища след изграждане на съоръжение за съхранение на терминал Бургас-Изток 2. В прогнозите за внос на машини пристанище Варна не присъства, а товарооборотът на пристанище Бургас към 2034 г. се увеличава с около 50% в сравнение с 2020 г. </w:t>
      </w:r>
      <w:r w:rsidR="00105B23" w:rsidRPr="00610B1B">
        <w:rPr>
          <w:rFonts w:ascii="Times New Roman" w:eastAsia="Calibri" w:hAnsi="Times New Roman" w:cs="Times New Roman"/>
          <w:sz w:val="24"/>
          <w:szCs w:val="24"/>
          <w:lang w:val="bg-BG"/>
        </w:rPr>
        <w:t xml:space="preserve">Количествата </w:t>
      </w:r>
      <w:r w:rsidRPr="00610B1B">
        <w:rPr>
          <w:rFonts w:ascii="Times New Roman" w:eastAsia="Calibri" w:hAnsi="Times New Roman" w:cs="Times New Roman"/>
          <w:sz w:val="24"/>
          <w:szCs w:val="24"/>
          <w:lang w:val="bg-BG"/>
        </w:rPr>
        <w:t>обработени течни горива е многократно по-голям в пристанище Бургас, като достига общ</w:t>
      </w:r>
      <w:r w:rsidR="00105B23" w:rsidRPr="00610B1B">
        <w:rPr>
          <w:rFonts w:ascii="Times New Roman" w:eastAsia="Calibri" w:hAnsi="Times New Roman" w:cs="Times New Roman"/>
          <w:sz w:val="24"/>
          <w:szCs w:val="24"/>
          <w:lang w:val="bg-BG"/>
        </w:rPr>
        <w:t>о</w:t>
      </w:r>
      <w:r w:rsidRPr="00610B1B">
        <w:rPr>
          <w:rFonts w:ascii="Times New Roman" w:eastAsia="Calibri" w:hAnsi="Times New Roman" w:cs="Times New Roman"/>
          <w:sz w:val="24"/>
          <w:szCs w:val="24"/>
          <w:lang w:val="bg-BG"/>
        </w:rPr>
        <w:t xml:space="preserve"> 13,8 милиона тона през 2030 г., след което товарооборотът остава същият. Пристанище Варна остава с много малък дял </w:t>
      </w:r>
      <w:r w:rsidR="00105B23" w:rsidRPr="00610B1B">
        <w:rPr>
          <w:rFonts w:ascii="Times New Roman" w:eastAsia="Calibri" w:hAnsi="Times New Roman" w:cs="Times New Roman"/>
          <w:sz w:val="24"/>
          <w:szCs w:val="24"/>
          <w:lang w:val="bg-BG"/>
        </w:rPr>
        <w:t xml:space="preserve">на </w:t>
      </w:r>
      <w:r w:rsidRPr="00610B1B">
        <w:rPr>
          <w:rFonts w:ascii="Times New Roman" w:eastAsia="Calibri" w:hAnsi="Times New Roman" w:cs="Times New Roman"/>
          <w:sz w:val="24"/>
          <w:szCs w:val="24"/>
          <w:lang w:val="bg-BG"/>
        </w:rPr>
        <w:t>българския пазар.</w:t>
      </w:r>
      <w:r w:rsidR="00D66FE0" w:rsidRPr="00610B1B">
        <w:rPr>
          <w:rFonts w:ascii="Times New Roman" w:eastAsia="Calibri" w:hAnsi="Times New Roman" w:cs="Times New Roman"/>
          <w:sz w:val="24"/>
          <w:szCs w:val="24"/>
          <w:lang w:val="bg-BG"/>
        </w:rPr>
        <w:t xml:space="preserve"> </w:t>
      </w:r>
    </w:p>
    <w:p w14:paraId="0BC0DDDD" w14:textId="5910AC7D"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При прогнозирането на морските круизни пътувания в националната интегрирана стратегия се отчита вероятността от увеличаване на морските круизи, но все още няма точни прогнози за световните тенденции след пандемията и новите изисквания за подобни пътувания. Българските круизни пристанища са между пристанищата Истанбул и Констанца, но е трудно да се прогнозира дела на круизните обиколки на Черно море, въпреки бързото развитие на този пазар със средно 6.5% в световен мащаб.</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Приема се</w:t>
      </w:r>
      <w:r w:rsidR="00105B23"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че българските пристанища ще следват световните тенденции на нарастване в краткосрочна перспектива, след което ръстът ще падне до 2% годишно. Големи инвестиции в тази </w:t>
      </w:r>
      <w:r w:rsidRPr="00610B1B">
        <w:rPr>
          <w:rFonts w:ascii="Times New Roman" w:eastAsia="Calibri" w:hAnsi="Times New Roman" w:cs="Times New Roman"/>
          <w:sz w:val="24"/>
          <w:szCs w:val="24"/>
          <w:lang w:val="bg-BG"/>
        </w:rPr>
        <w:lastRenderedPageBreak/>
        <w:t xml:space="preserve">насока се предвиждат за обществената зона на пристанище Бургас, независимо от противоречивите оценки на точно този тип туризъм. </w:t>
      </w:r>
    </w:p>
    <w:p w14:paraId="6FB616A4" w14:textId="77777777" w:rsidR="009907CE" w:rsidRPr="00610B1B" w:rsidRDefault="009907CE" w:rsidP="00D32D6A">
      <w:pPr>
        <w:spacing w:after="120"/>
        <w:ind w:right="-153"/>
        <w:jc w:val="both"/>
        <w:rPr>
          <w:rFonts w:ascii="Times New Roman" w:eastAsia="Calibri" w:hAnsi="Times New Roman" w:cs="Times New Roman"/>
          <w:sz w:val="24"/>
          <w:szCs w:val="24"/>
          <w:lang w:val="bg-BG"/>
        </w:rPr>
      </w:pPr>
    </w:p>
    <w:p w14:paraId="010C2F12" w14:textId="6D127374" w:rsidR="00442579" w:rsidRPr="00610B1B" w:rsidRDefault="00442579" w:rsidP="00D32D6A">
      <w:pPr>
        <w:pStyle w:val="Heading3"/>
        <w:spacing w:before="0" w:line="276" w:lineRule="auto"/>
        <w:ind w:right="-153"/>
        <w:rPr>
          <w:rFonts w:cs="Times New Roman"/>
        </w:rPr>
      </w:pPr>
      <w:bookmarkStart w:id="435" w:name="_Toc83391412"/>
      <w:r w:rsidRPr="00610B1B">
        <w:rPr>
          <w:rFonts w:cs="Times New Roman"/>
        </w:rPr>
        <w:t>4.</w:t>
      </w:r>
      <w:r w:rsidR="009278D0" w:rsidRPr="00610B1B">
        <w:rPr>
          <w:rFonts w:cs="Times New Roman"/>
        </w:rPr>
        <w:t>2</w:t>
      </w:r>
      <w:r w:rsidRPr="00610B1B">
        <w:rPr>
          <w:rFonts w:cs="Times New Roman"/>
        </w:rPr>
        <w:t>.5. Прогнозно развитие на морския туризъм</w:t>
      </w:r>
      <w:bookmarkEnd w:id="435"/>
    </w:p>
    <w:p w14:paraId="4B767977" w14:textId="457495CE"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Отчитайки настоящото пълно блокиране на сектора в контекст на очаквана икономическа </w:t>
      </w:r>
      <w:r w:rsidR="004A3399" w:rsidRPr="00610B1B">
        <w:rPr>
          <w:rFonts w:ascii="Times New Roman" w:eastAsia="Calibri" w:hAnsi="Times New Roman" w:cs="Times New Roman"/>
          <w:sz w:val="24"/>
          <w:szCs w:val="24"/>
          <w:lang w:val="bg-BG"/>
        </w:rPr>
        <w:t>криза</w:t>
      </w:r>
      <w:r w:rsidRPr="00610B1B">
        <w:rPr>
          <w:rFonts w:ascii="Times New Roman" w:eastAsia="Calibri" w:hAnsi="Times New Roman" w:cs="Times New Roman"/>
          <w:sz w:val="24"/>
          <w:szCs w:val="24"/>
          <w:lang w:val="bg-BG"/>
        </w:rPr>
        <w:t xml:space="preserve"> и драстичен спад на доходите, може да се прогнозира, че в краткосрочен (1-2 години) и дори средносрочен (3-4 години) план, количествените параметри на туризма в световен мащаб няма да достигнат нивата от пред-кризисната </w:t>
      </w:r>
      <w:r w:rsidR="004A3399" w:rsidRPr="00610B1B">
        <w:rPr>
          <w:rFonts w:ascii="Times New Roman" w:eastAsia="Calibri" w:hAnsi="Times New Roman" w:cs="Times New Roman"/>
          <w:sz w:val="24"/>
          <w:szCs w:val="24"/>
          <w:lang w:val="bg-BG"/>
        </w:rPr>
        <w:t xml:space="preserve">2019 </w:t>
      </w:r>
      <w:r w:rsidRPr="00610B1B">
        <w:rPr>
          <w:rFonts w:ascii="Times New Roman" w:eastAsia="Calibri" w:hAnsi="Times New Roman" w:cs="Times New Roman"/>
          <w:sz w:val="24"/>
          <w:szCs w:val="24"/>
          <w:lang w:val="bg-BG"/>
        </w:rPr>
        <w:t>година.</w:t>
      </w:r>
    </w:p>
    <w:p w14:paraId="00D40BD4" w14:textId="0818B8D2"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Подобна прогноза би могла да се адресира към българския и в частност, към морския туризъм. Основен контингент през последните години беше емитиран от европейските пазари. Чрез проста интерполация на прогнозата за силна стагнация и в тях може да се мотивира изразена негативна прогноза и за българския черноморски туризъм. Отворен остава въпросът за количествените измерения на спада, </w:t>
      </w:r>
      <w:r w:rsidR="00A264DA" w:rsidRPr="00610B1B">
        <w:rPr>
          <w:rFonts w:ascii="Times New Roman" w:eastAsia="Calibri" w:hAnsi="Times New Roman" w:cs="Times New Roman"/>
          <w:sz w:val="24"/>
          <w:szCs w:val="24"/>
          <w:lang w:val="bg-BG"/>
        </w:rPr>
        <w:t>които</w:t>
      </w:r>
      <w:r w:rsidRPr="00610B1B">
        <w:rPr>
          <w:rFonts w:ascii="Times New Roman" w:eastAsia="Calibri" w:hAnsi="Times New Roman" w:cs="Times New Roman"/>
          <w:sz w:val="24"/>
          <w:szCs w:val="24"/>
          <w:lang w:val="bg-BG"/>
        </w:rPr>
        <w:t xml:space="preserve"> засега са непредсказуеми. Най-вероятно, сезонът през 2020 г. ще бъде фокусиран върху рестартирането и адаптацията към нови</w:t>
      </w:r>
      <w:r w:rsidR="00A264DA" w:rsidRPr="00610B1B">
        <w:rPr>
          <w:rFonts w:ascii="Times New Roman" w:eastAsia="Calibri" w:hAnsi="Times New Roman" w:cs="Times New Roman"/>
          <w:sz w:val="24"/>
          <w:szCs w:val="24"/>
          <w:lang w:val="bg-BG"/>
        </w:rPr>
        <w:t>те</w:t>
      </w:r>
      <w:r w:rsidRPr="00610B1B">
        <w:rPr>
          <w:rFonts w:ascii="Times New Roman" w:eastAsia="Calibri" w:hAnsi="Times New Roman" w:cs="Times New Roman"/>
          <w:sz w:val="24"/>
          <w:szCs w:val="24"/>
          <w:lang w:val="bg-BG"/>
        </w:rPr>
        <w:t xml:space="preserve"> ограничителни санитарно-хигиенни условия за всички традиционни услуги.</w:t>
      </w:r>
    </w:p>
    <w:p w14:paraId="61D6661B" w14:textId="5C4B8316"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На фона на пред-кризисните предизвикателства (силна конкуренция, слаба държавна протекция, нежелани последствия от климатични промени, сезонност и евтини туристически продукти), развитието на туризма в бъдеще ще се сблъсква с още по-сложни препятствия. Новите рамкови фактори (политически, нормативно-правни, икономически, екологични, социо-културни</w:t>
      </w:r>
      <w:r w:rsidR="00A264DA" w:rsidRPr="00610B1B">
        <w:rPr>
          <w:rFonts w:ascii="Times New Roman" w:eastAsia="Calibri" w:hAnsi="Times New Roman" w:cs="Times New Roman"/>
          <w:sz w:val="24"/>
          <w:szCs w:val="24"/>
          <w:lang w:val="bg-BG"/>
        </w:rPr>
        <w:t>, здравни</w:t>
      </w:r>
      <w:r w:rsidRPr="00610B1B">
        <w:rPr>
          <w:rFonts w:ascii="Times New Roman" w:eastAsia="Calibri" w:hAnsi="Times New Roman" w:cs="Times New Roman"/>
          <w:sz w:val="24"/>
          <w:szCs w:val="24"/>
          <w:lang w:val="bg-BG"/>
        </w:rPr>
        <w:t xml:space="preserve"> и технологични) ще бъдат силно променени </w:t>
      </w:r>
      <w:r w:rsidR="006B1272" w:rsidRPr="00610B1B">
        <w:rPr>
          <w:rFonts w:ascii="Times New Roman" w:eastAsia="Calibri" w:hAnsi="Times New Roman" w:cs="Times New Roman"/>
          <w:sz w:val="24"/>
          <w:szCs w:val="24"/>
          <w:lang w:val="bg-BG"/>
        </w:rPr>
        <w:t>вероятно</w:t>
      </w:r>
      <w:r w:rsidRPr="00610B1B">
        <w:rPr>
          <w:rFonts w:ascii="Times New Roman" w:eastAsia="Calibri" w:hAnsi="Times New Roman" w:cs="Times New Roman"/>
          <w:sz w:val="24"/>
          <w:szCs w:val="24"/>
          <w:lang w:val="bg-BG"/>
        </w:rPr>
        <w:t xml:space="preserve"> в негативен аспект и бързата адаптация на туристическата индустрия към динамичния контекст ще е решаваща за отвоюването на предишните пазарни позиции. </w:t>
      </w:r>
    </w:p>
    <w:p w14:paraId="79180C72" w14:textId="4E2673E6"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Докато силни местни икономики като Варна и Бургас имат алтернативи, то основна опора на малките черноморски общини е туризмът, който трябва да бъде възстановен, адаптиран и укрепен на всяка цена. Голяма част от тази „цена“ е прилагането на принципите на устойчивото развитие и мерките за намаляване на негативните въздействия от климатичните промени. Последните изискват от туристическата индустрия усилия за намаляване на емисиите от парникови газове, а от черноморските дестинации адаптация към промените чрез обогатяване на туристическото предлагане и преодоляване на прекомерната зависимост от тясната сезонност. </w:t>
      </w:r>
      <w:r w:rsidR="0056125D" w:rsidRPr="00610B1B">
        <w:rPr>
          <w:rFonts w:ascii="Times New Roman" w:eastAsia="Calibri" w:hAnsi="Times New Roman" w:cs="Times New Roman"/>
          <w:sz w:val="24"/>
          <w:szCs w:val="24"/>
          <w:lang w:val="bg-BG"/>
        </w:rPr>
        <w:t xml:space="preserve">Позитивна </w:t>
      </w:r>
      <w:r w:rsidRPr="00610B1B">
        <w:rPr>
          <w:rFonts w:ascii="Times New Roman" w:eastAsia="Calibri" w:hAnsi="Times New Roman" w:cs="Times New Roman"/>
          <w:sz w:val="24"/>
          <w:szCs w:val="24"/>
          <w:lang w:val="bg-BG"/>
        </w:rPr>
        <w:t>прогноза в средносрочен план</w:t>
      </w:r>
      <w:r w:rsidR="0056125D" w:rsidRPr="00610B1B">
        <w:rPr>
          <w:rFonts w:ascii="Times New Roman" w:eastAsia="Calibri" w:hAnsi="Times New Roman" w:cs="Times New Roman"/>
          <w:sz w:val="24"/>
          <w:szCs w:val="24"/>
          <w:lang w:val="bg-BG"/>
        </w:rPr>
        <w:t xml:space="preserve"> може да се мотивира</w:t>
      </w:r>
      <w:r w:rsidRPr="00610B1B">
        <w:rPr>
          <w:rFonts w:ascii="Times New Roman" w:eastAsia="Calibri" w:hAnsi="Times New Roman" w:cs="Times New Roman"/>
          <w:sz w:val="24"/>
          <w:szCs w:val="24"/>
          <w:lang w:val="bg-BG"/>
        </w:rPr>
        <w:t>, ако отсега усилията на черноморските общини се насочат към реализиране на „устойчив туризъм в четири сезона“</w:t>
      </w:r>
      <w:r w:rsidRPr="00610B1B">
        <w:rPr>
          <w:rFonts w:ascii="Times New Roman" w:eastAsia="Calibri" w:hAnsi="Times New Roman" w:cs="Times New Roman"/>
          <w:sz w:val="24"/>
          <w:szCs w:val="24"/>
          <w:vertAlign w:val="superscript"/>
          <w:lang w:val="bg-BG"/>
        </w:rPr>
        <w:footnoteReference w:id="158"/>
      </w:r>
      <w:r w:rsidRPr="00610B1B">
        <w:rPr>
          <w:rFonts w:ascii="Times New Roman" w:eastAsia="Calibri" w:hAnsi="Times New Roman" w:cs="Times New Roman"/>
          <w:sz w:val="24"/>
          <w:szCs w:val="24"/>
          <w:lang w:val="bg-BG"/>
        </w:rPr>
        <w:t>.</w:t>
      </w:r>
    </w:p>
    <w:p w14:paraId="5620D43D" w14:textId="77777777" w:rsidR="000E7C6A" w:rsidRPr="00610B1B" w:rsidRDefault="000E7C6A" w:rsidP="00D32D6A">
      <w:pPr>
        <w:spacing w:after="120"/>
        <w:ind w:right="-153"/>
        <w:jc w:val="both"/>
        <w:rPr>
          <w:rFonts w:ascii="Times New Roman" w:eastAsia="Calibri" w:hAnsi="Times New Roman" w:cs="Times New Roman"/>
          <w:sz w:val="24"/>
          <w:szCs w:val="24"/>
          <w:lang w:val="bg-BG"/>
        </w:rPr>
      </w:pPr>
    </w:p>
    <w:p w14:paraId="2AA279A3" w14:textId="02477DDE" w:rsidR="00442579" w:rsidRPr="00610B1B" w:rsidRDefault="00442579" w:rsidP="00D32D6A">
      <w:pPr>
        <w:pStyle w:val="Heading3"/>
        <w:spacing w:before="0" w:line="276" w:lineRule="auto"/>
        <w:ind w:right="-153"/>
        <w:rPr>
          <w:rFonts w:cs="Times New Roman"/>
        </w:rPr>
      </w:pPr>
      <w:bookmarkStart w:id="436" w:name="_Toc83391413"/>
      <w:r w:rsidRPr="00610B1B">
        <w:rPr>
          <w:rFonts w:cs="Times New Roman"/>
        </w:rPr>
        <w:t>4.</w:t>
      </w:r>
      <w:r w:rsidR="009278D0" w:rsidRPr="00610B1B">
        <w:rPr>
          <w:rFonts w:cs="Times New Roman"/>
        </w:rPr>
        <w:t>2</w:t>
      </w:r>
      <w:r w:rsidRPr="00610B1B">
        <w:rPr>
          <w:rFonts w:cs="Times New Roman"/>
        </w:rPr>
        <w:t>.6. Прогнозно развитие на техн</w:t>
      </w:r>
      <w:r w:rsidR="00D0096F" w:rsidRPr="00610B1B">
        <w:rPr>
          <w:rFonts w:cs="Times New Roman"/>
        </w:rPr>
        <w:t>ическата инфраструктура в морски</w:t>
      </w:r>
      <w:r w:rsidRPr="00610B1B">
        <w:rPr>
          <w:rFonts w:cs="Times New Roman"/>
        </w:rPr>
        <w:t>т</w:t>
      </w:r>
      <w:r w:rsidR="00D0096F" w:rsidRPr="00610B1B">
        <w:rPr>
          <w:rFonts w:cs="Times New Roman"/>
        </w:rPr>
        <w:t xml:space="preserve">е </w:t>
      </w:r>
      <w:r w:rsidRPr="00610B1B">
        <w:rPr>
          <w:rFonts w:cs="Times New Roman"/>
        </w:rPr>
        <w:lastRenderedPageBreak/>
        <w:t>пространств</w:t>
      </w:r>
      <w:r w:rsidR="00D0096F" w:rsidRPr="00610B1B">
        <w:rPr>
          <w:rFonts w:cs="Times New Roman"/>
        </w:rPr>
        <w:t>а</w:t>
      </w:r>
      <w:bookmarkEnd w:id="436"/>
      <w:r w:rsidRPr="00610B1B">
        <w:rPr>
          <w:rFonts w:cs="Times New Roman"/>
        </w:rPr>
        <w:t xml:space="preserve"> </w:t>
      </w:r>
    </w:p>
    <w:p w14:paraId="2F9769F9" w14:textId="76D269F7"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Развитието на крайбрежната транспортна инфраструктура е предопределено от функционирането на </w:t>
      </w:r>
      <w:r w:rsidR="0018150C" w:rsidRPr="00610B1B">
        <w:rPr>
          <w:rFonts w:ascii="Times New Roman" w:eastAsia="Calibri" w:hAnsi="Times New Roman" w:cs="Times New Roman"/>
          <w:sz w:val="24"/>
          <w:szCs w:val="24"/>
          <w:lang w:val="bg-BG"/>
        </w:rPr>
        <w:t xml:space="preserve">двете най-големи </w:t>
      </w:r>
      <w:r w:rsidRPr="00610B1B">
        <w:rPr>
          <w:rFonts w:ascii="Times New Roman" w:eastAsia="Calibri" w:hAnsi="Times New Roman" w:cs="Times New Roman"/>
          <w:sz w:val="24"/>
          <w:szCs w:val="24"/>
          <w:lang w:val="bg-BG"/>
        </w:rPr>
        <w:t xml:space="preserve">пристанища Бургас и Варна като пресечни точки на сухоземния и морски транспорт. И двете пристанища, както и довеждащата до тях транспортна инфраструктура са включени в Трансевропейската транспортна мрежа TEN-T. </w:t>
      </w:r>
      <w:r w:rsidR="0056125D" w:rsidRPr="00610B1B">
        <w:rPr>
          <w:rFonts w:ascii="Times New Roman" w:eastAsia="Calibri" w:hAnsi="Times New Roman" w:cs="Times New Roman"/>
          <w:sz w:val="24"/>
          <w:szCs w:val="24"/>
          <w:lang w:val="bg-BG"/>
        </w:rPr>
        <w:t xml:space="preserve">Качествата на съществуващите </w:t>
      </w:r>
      <w:r w:rsidRPr="00610B1B">
        <w:rPr>
          <w:rFonts w:ascii="Times New Roman" w:eastAsia="Calibri" w:hAnsi="Times New Roman" w:cs="Times New Roman"/>
          <w:sz w:val="24"/>
          <w:szCs w:val="24"/>
          <w:lang w:val="bg-BG"/>
        </w:rPr>
        <w:t>пътна и железопътна инфраструктура не съответстват на изискванията за сигурност и ефективност като съставни елементи на TEN-T мрежата.</w:t>
      </w:r>
    </w:p>
    <w:p w14:paraId="5EC93D29" w14:textId="77777777"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Предстои доизграждането на АМ „Черно море“ между градовете (респ. пристанищата) Варна и Бургас, както и рехабилитацията и модернизирането на железопътните връзки към пристанище Варна. Изграждането на интермодални терминали в Бургас и Варна и осигуряване на липсващите връзки с останалите видове транспорт ще създаде условия за оптимално взаимодействие и интеграция на различните видове транспорт и повишаване качеството на предоставяните товарни транспортни услуги в унисон с политиката за изграждане на TEN-T мрежата и подобряване на интермодалността в югоизточния регион на ЕС. </w:t>
      </w:r>
    </w:p>
    <w:p w14:paraId="693C4793" w14:textId="0532BCF5"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Реализирането на всеки от предвижданите проекти е свързано с оказване натиск върху околната среда, присъщ за транспортните съоръжения, особено тези от по-висок клас. Промяна на предназначението на </w:t>
      </w:r>
      <w:r w:rsidR="003103F7" w:rsidRPr="00610B1B">
        <w:rPr>
          <w:rFonts w:ascii="Times New Roman" w:eastAsia="Calibri" w:hAnsi="Times New Roman" w:cs="Times New Roman"/>
          <w:sz w:val="24"/>
          <w:szCs w:val="24"/>
          <w:lang w:val="bg-BG"/>
        </w:rPr>
        <w:t>земята</w:t>
      </w:r>
      <w:r w:rsidRPr="00610B1B">
        <w:rPr>
          <w:rFonts w:ascii="Times New Roman" w:eastAsia="Calibri" w:hAnsi="Times New Roman" w:cs="Times New Roman"/>
          <w:sz w:val="24"/>
          <w:szCs w:val="24"/>
          <w:lang w:val="bg-BG"/>
        </w:rPr>
        <w:t>, затруднения при намиране на свободни терени, необходимост от интегриране с други инфраструктурни съоръжения със съответните сервитутни изисквания често налагат промяна в първоначалните проекти, докато се намери необходимия компромис за най-малко въздействие върху околната среда.</w:t>
      </w:r>
    </w:p>
    <w:p w14:paraId="4892D201" w14:textId="5255792B"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Взаимодействието с морската среда се осъществява посредством пристанищната инфраструктура и всички дейности, свързани с реализацията на транспортната инфраструктура в морска среда</w:t>
      </w:r>
      <w:r w:rsidR="0056125D" w:rsidRPr="00610B1B">
        <w:rPr>
          <w:rFonts w:ascii="Times New Roman" w:eastAsia="Calibri" w:hAnsi="Times New Roman" w:cs="Times New Roman"/>
          <w:sz w:val="24"/>
          <w:szCs w:val="24"/>
          <w:lang w:val="bg-BG"/>
        </w:rPr>
        <w:t>, които</w:t>
      </w:r>
      <w:r w:rsidRPr="00610B1B">
        <w:rPr>
          <w:rFonts w:ascii="Times New Roman" w:eastAsia="Calibri" w:hAnsi="Times New Roman" w:cs="Times New Roman"/>
          <w:sz w:val="24"/>
          <w:szCs w:val="24"/>
          <w:lang w:val="bg-BG"/>
        </w:rPr>
        <w:t xml:space="preserve"> се извършват в съответствие с регламентите за изграждане на пристанища и </w:t>
      </w:r>
      <w:r w:rsidR="0056125D" w:rsidRPr="00610B1B">
        <w:rPr>
          <w:rFonts w:ascii="Times New Roman" w:eastAsia="Calibri" w:hAnsi="Times New Roman" w:cs="Times New Roman"/>
          <w:sz w:val="24"/>
          <w:szCs w:val="24"/>
          <w:lang w:val="bg-BG"/>
        </w:rPr>
        <w:t xml:space="preserve">за </w:t>
      </w:r>
      <w:r w:rsidRPr="00610B1B">
        <w:rPr>
          <w:rFonts w:ascii="Times New Roman" w:eastAsia="Calibri" w:hAnsi="Times New Roman" w:cs="Times New Roman"/>
          <w:sz w:val="24"/>
          <w:szCs w:val="24"/>
          <w:lang w:val="bg-BG"/>
        </w:rPr>
        <w:t xml:space="preserve">тяхната дейност. </w:t>
      </w:r>
    </w:p>
    <w:p w14:paraId="438F5704" w14:textId="4A09BF7D"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Положените по дъното на Черно море оптични кабелни системи KAFOS, BSFOCS и CAUCASUS позволяват транзитиране на големи съобщителни потоци от Русия, Украйна, Грузия и Задкавказието през територията на България към Гърция и Кипър, а чрез тях – към Средиземноморието и Северна Африка и чрез наземни връзки - с Трансевропейската телекомуникационна мрежа.</w:t>
      </w:r>
    </w:p>
    <w:p w14:paraId="6D0A0872" w14:textId="681E68F8"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Изградената телекомуникационна инфраструктура в Черно море осигурява необходимия достъп до дестинации в Европа,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Близкия Изток, Югоизточна Азия и САЩ, но развитието на бизнеса би могло да наложи увеличаване капацитета на наличната инфраструктура. Потенциален конфликт</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по отношение на околната среда може да се очаква при подмяна на съществуващите или полагане на нови кабели на морското дъно. </w:t>
      </w:r>
    </w:p>
    <w:p w14:paraId="23288826" w14:textId="38970665"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Инсталирането на кабел за подводни предавания е свързано с редица изисквания. </w:t>
      </w:r>
      <w:r w:rsidR="0056125D" w:rsidRPr="00610B1B">
        <w:rPr>
          <w:rFonts w:ascii="Times New Roman" w:eastAsia="Calibri" w:hAnsi="Times New Roman" w:cs="Times New Roman"/>
          <w:sz w:val="24"/>
          <w:szCs w:val="24"/>
          <w:lang w:val="bg-BG"/>
        </w:rPr>
        <w:t>Поддържането му и отстраняването на неизправности е скъпо</w:t>
      </w:r>
      <w:r w:rsidRPr="00610B1B">
        <w:rPr>
          <w:rFonts w:ascii="Times New Roman" w:eastAsia="Calibri" w:hAnsi="Times New Roman" w:cs="Times New Roman"/>
          <w:sz w:val="24"/>
          <w:szCs w:val="24"/>
          <w:lang w:val="bg-BG"/>
        </w:rPr>
        <w:t xml:space="preserve"> и трудн</w:t>
      </w:r>
      <w:r w:rsidR="0056125D" w:rsidRPr="00610B1B">
        <w:rPr>
          <w:rFonts w:ascii="Times New Roman" w:eastAsia="Calibri" w:hAnsi="Times New Roman" w:cs="Times New Roman"/>
          <w:sz w:val="24"/>
          <w:szCs w:val="24"/>
          <w:lang w:val="bg-BG"/>
        </w:rPr>
        <w:t>о.</w:t>
      </w:r>
      <w:r w:rsidRPr="00610B1B">
        <w:rPr>
          <w:rFonts w:ascii="Times New Roman" w:eastAsia="Calibri" w:hAnsi="Times New Roman" w:cs="Times New Roman"/>
          <w:sz w:val="24"/>
          <w:szCs w:val="24"/>
          <w:lang w:val="bg-BG"/>
        </w:rPr>
        <w:t xml:space="preserve"> </w:t>
      </w:r>
      <w:r w:rsidR="0056125D" w:rsidRPr="00610B1B">
        <w:rPr>
          <w:rFonts w:ascii="Times New Roman" w:eastAsia="Calibri" w:hAnsi="Times New Roman" w:cs="Times New Roman"/>
          <w:sz w:val="24"/>
          <w:szCs w:val="24"/>
          <w:lang w:val="bg-BG"/>
        </w:rPr>
        <w:t xml:space="preserve">Кабелният </w:t>
      </w:r>
      <w:r w:rsidRPr="00610B1B">
        <w:rPr>
          <w:rFonts w:ascii="Times New Roman" w:eastAsia="Calibri" w:hAnsi="Times New Roman" w:cs="Times New Roman"/>
          <w:sz w:val="24"/>
          <w:szCs w:val="24"/>
          <w:lang w:val="bg-BG"/>
        </w:rPr>
        <w:t>маршрут се проучва и избира внимателно, за да се сведе до минимум въздействието върху околната среда и да се осигури максимална защита на самия кабел и неговите функции. Подводните кабели са предмет на няколко международни договора, които регулират техния статут</w:t>
      </w:r>
      <w:r w:rsidR="003103F7" w:rsidRPr="00610B1B">
        <w:rPr>
          <w:rFonts w:ascii="Times New Roman" w:eastAsia="Calibri" w:hAnsi="Times New Roman" w:cs="Times New Roman"/>
          <w:sz w:val="24"/>
          <w:szCs w:val="24"/>
          <w:lang w:val="bg-BG"/>
        </w:rPr>
        <w:t xml:space="preserve"> и </w:t>
      </w:r>
      <w:r w:rsidRPr="00610B1B">
        <w:rPr>
          <w:rFonts w:ascii="Times New Roman" w:eastAsia="Calibri" w:hAnsi="Times New Roman" w:cs="Times New Roman"/>
          <w:sz w:val="24"/>
          <w:szCs w:val="24"/>
          <w:lang w:val="bg-BG"/>
        </w:rPr>
        <w:t xml:space="preserve">установяват норми </w:t>
      </w:r>
      <w:r w:rsidR="0056125D" w:rsidRPr="00610B1B">
        <w:rPr>
          <w:rFonts w:ascii="Times New Roman" w:eastAsia="Calibri" w:hAnsi="Times New Roman" w:cs="Times New Roman"/>
          <w:sz w:val="24"/>
          <w:szCs w:val="24"/>
          <w:lang w:val="bg-BG"/>
        </w:rPr>
        <w:t xml:space="preserve">за </w:t>
      </w:r>
      <w:r w:rsidRPr="00610B1B">
        <w:rPr>
          <w:rFonts w:ascii="Times New Roman" w:eastAsia="Calibri" w:hAnsi="Times New Roman" w:cs="Times New Roman"/>
          <w:sz w:val="24"/>
          <w:szCs w:val="24"/>
          <w:lang w:val="bg-BG"/>
        </w:rPr>
        <w:t xml:space="preserve">правата и задълженията на държавите, които желаят </w:t>
      </w:r>
      <w:r w:rsidRPr="00610B1B">
        <w:rPr>
          <w:rFonts w:ascii="Times New Roman" w:eastAsia="Calibri" w:hAnsi="Times New Roman" w:cs="Times New Roman"/>
          <w:sz w:val="24"/>
          <w:szCs w:val="24"/>
          <w:lang w:val="bg-BG"/>
        </w:rPr>
        <w:lastRenderedPageBreak/>
        <w:t xml:space="preserve">да поставят такива кабели, както и за държавите, чиито териториални води са прекосявани от кабелите. </w:t>
      </w:r>
      <w:r w:rsidR="0056125D" w:rsidRPr="00610B1B">
        <w:rPr>
          <w:rFonts w:ascii="Times New Roman" w:eastAsia="Calibri" w:hAnsi="Times New Roman" w:cs="Times New Roman"/>
          <w:sz w:val="24"/>
          <w:szCs w:val="24"/>
          <w:lang w:val="bg-BG"/>
        </w:rPr>
        <w:t xml:space="preserve">С </w:t>
      </w:r>
      <w:r w:rsidRPr="00610B1B">
        <w:rPr>
          <w:rFonts w:ascii="Times New Roman" w:eastAsia="Calibri" w:hAnsi="Times New Roman" w:cs="Times New Roman"/>
          <w:sz w:val="24"/>
          <w:szCs w:val="24"/>
          <w:lang w:val="bg-BG"/>
        </w:rPr>
        <w:t>подводни</w:t>
      </w:r>
      <w:r w:rsidR="0056125D" w:rsidRPr="00610B1B">
        <w:rPr>
          <w:rFonts w:ascii="Times New Roman" w:eastAsia="Calibri" w:hAnsi="Times New Roman" w:cs="Times New Roman"/>
          <w:sz w:val="24"/>
          <w:szCs w:val="24"/>
          <w:lang w:val="bg-BG"/>
        </w:rPr>
        <w:t>те</w:t>
      </w:r>
      <w:r w:rsidRPr="00610B1B">
        <w:rPr>
          <w:rFonts w:ascii="Times New Roman" w:eastAsia="Calibri" w:hAnsi="Times New Roman" w:cs="Times New Roman"/>
          <w:sz w:val="24"/>
          <w:szCs w:val="24"/>
          <w:lang w:val="bg-BG"/>
        </w:rPr>
        <w:t xml:space="preserve"> кабели</w:t>
      </w:r>
      <w:r w:rsidR="0056125D" w:rsidRPr="00610B1B">
        <w:rPr>
          <w:rFonts w:ascii="Times New Roman" w:eastAsia="Calibri" w:hAnsi="Times New Roman" w:cs="Times New Roman"/>
          <w:sz w:val="24"/>
          <w:szCs w:val="24"/>
          <w:lang w:val="bg-BG"/>
        </w:rPr>
        <w:t xml:space="preserve"> се занимават</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Международната конвенция за защита на подводните кабели (</w:t>
      </w:r>
      <w:r w:rsidR="0056125D" w:rsidRPr="00610B1B">
        <w:rPr>
          <w:rFonts w:ascii="Times New Roman" w:eastAsia="Calibri" w:hAnsi="Times New Roman" w:cs="Times New Roman"/>
          <w:sz w:val="24"/>
          <w:szCs w:val="24"/>
          <w:lang w:val="bg-BG"/>
        </w:rPr>
        <w:t>1884 г.), Женевските конвенции з</w:t>
      </w:r>
      <w:r w:rsidRPr="00610B1B">
        <w:rPr>
          <w:rFonts w:ascii="Times New Roman" w:eastAsia="Calibri" w:hAnsi="Times New Roman" w:cs="Times New Roman"/>
          <w:sz w:val="24"/>
          <w:szCs w:val="24"/>
          <w:lang w:val="bg-BG"/>
        </w:rPr>
        <w:t>а континенталния шелф и открито</w:t>
      </w:r>
      <w:r w:rsidR="0056125D" w:rsidRPr="00610B1B">
        <w:rPr>
          <w:rFonts w:ascii="Times New Roman" w:eastAsia="Calibri" w:hAnsi="Times New Roman" w:cs="Times New Roman"/>
          <w:sz w:val="24"/>
          <w:szCs w:val="24"/>
          <w:lang w:val="bg-BG"/>
        </w:rPr>
        <w:t>то</w:t>
      </w:r>
      <w:r w:rsidRPr="00610B1B">
        <w:rPr>
          <w:rFonts w:ascii="Times New Roman" w:eastAsia="Calibri" w:hAnsi="Times New Roman" w:cs="Times New Roman"/>
          <w:sz w:val="24"/>
          <w:szCs w:val="24"/>
          <w:lang w:val="bg-BG"/>
        </w:rPr>
        <w:t xml:space="preserve"> море (1958</w:t>
      </w:r>
      <w:r w:rsidR="000E7C6A" w:rsidRPr="00610B1B">
        <w:rPr>
          <w:rFonts w:ascii="Times New Roman" w:eastAsia="Calibri" w:hAnsi="Times New Roman" w:cs="Times New Roman"/>
          <w:sz w:val="24"/>
          <w:szCs w:val="24"/>
          <w:lang w:val="bg-BG"/>
        </w:rPr>
        <w:t> </w:t>
      </w:r>
      <w:r w:rsidR="0056125D" w:rsidRPr="00610B1B">
        <w:rPr>
          <w:rFonts w:ascii="Times New Roman" w:eastAsia="Calibri" w:hAnsi="Times New Roman" w:cs="Times New Roman"/>
          <w:sz w:val="24"/>
          <w:szCs w:val="24"/>
          <w:lang w:val="bg-BG"/>
        </w:rPr>
        <w:t>г.)</w:t>
      </w:r>
      <w:r w:rsidRPr="00610B1B">
        <w:rPr>
          <w:rFonts w:ascii="Times New Roman" w:eastAsia="Calibri" w:hAnsi="Times New Roman" w:cs="Times New Roman"/>
          <w:sz w:val="24"/>
          <w:szCs w:val="24"/>
          <w:lang w:val="bg-BG"/>
        </w:rPr>
        <w:t xml:space="preserve"> и Конвенцията на ООН по морско право - UNCLOS (1982 г.).</w:t>
      </w:r>
    </w:p>
    <w:p w14:paraId="2E0FD186" w14:textId="1E887A35"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Основните заплахи за подводните кабели са външните въздействия, дължащи се предимно на котви и риболовни съоръжения. За да се сведе до минимум рискът от разкъсване на кабела вследствие на закотвяне на плавател</w:t>
      </w:r>
      <w:r w:rsidR="0056125D" w:rsidRPr="00610B1B">
        <w:rPr>
          <w:rFonts w:ascii="Times New Roman" w:eastAsia="Calibri" w:hAnsi="Times New Roman" w:cs="Times New Roman"/>
          <w:sz w:val="24"/>
          <w:szCs w:val="24"/>
          <w:lang w:val="bg-BG"/>
        </w:rPr>
        <w:t>е</w:t>
      </w:r>
      <w:r w:rsidRPr="00610B1B">
        <w:rPr>
          <w:rFonts w:ascii="Times New Roman" w:eastAsia="Calibri" w:hAnsi="Times New Roman" w:cs="Times New Roman"/>
          <w:sz w:val="24"/>
          <w:szCs w:val="24"/>
          <w:lang w:val="bg-BG"/>
        </w:rPr>
        <w:t>н съд, по протежение н</w:t>
      </w:r>
      <w:r w:rsidR="0056125D" w:rsidRPr="00610B1B">
        <w:rPr>
          <w:rFonts w:ascii="Times New Roman" w:eastAsia="Calibri" w:hAnsi="Times New Roman" w:cs="Times New Roman"/>
          <w:sz w:val="24"/>
          <w:szCs w:val="24"/>
          <w:lang w:val="bg-BG"/>
        </w:rPr>
        <w:t xml:space="preserve">а </w:t>
      </w:r>
      <w:r w:rsidR="003F7344" w:rsidRPr="00610B1B">
        <w:rPr>
          <w:rFonts w:ascii="Times New Roman" w:eastAsia="Calibri" w:hAnsi="Times New Roman" w:cs="Times New Roman"/>
          <w:sz w:val="24"/>
          <w:szCs w:val="24"/>
          <w:lang w:val="bg-BG"/>
        </w:rPr>
        <w:t>неговото трасе</w:t>
      </w:r>
      <w:r w:rsidR="0056125D" w:rsidRPr="00610B1B">
        <w:rPr>
          <w:rFonts w:ascii="Times New Roman" w:eastAsia="Calibri" w:hAnsi="Times New Roman" w:cs="Times New Roman"/>
          <w:sz w:val="24"/>
          <w:szCs w:val="24"/>
          <w:lang w:val="bg-BG"/>
        </w:rPr>
        <w:t xml:space="preserve"> се установява „зона за защита на кабела“ (</w:t>
      </w:r>
      <w:r w:rsidRPr="00610B1B">
        <w:rPr>
          <w:rFonts w:ascii="Times New Roman" w:eastAsia="Calibri" w:hAnsi="Times New Roman" w:cs="Times New Roman"/>
          <w:sz w:val="24"/>
          <w:szCs w:val="24"/>
          <w:lang w:val="bg-BG"/>
        </w:rPr>
        <w:t>CPZ</w:t>
      </w:r>
      <w:r w:rsidR="0056125D"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Тези зони са </w:t>
      </w:r>
      <w:r w:rsidR="0056125D" w:rsidRPr="00610B1B">
        <w:rPr>
          <w:rFonts w:ascii="Times New Roman" w:eastAsia="Calibri" w:hAnsi="Times New Roman" w:cs="Times New Roman"/>
          <w:sz w:val="24"/>
          <w:szCs w:val="24"/>
          <w:lang w:val="bg-BG"/>
        </w:rPr>
        <w:t xml:space="preserve">законово </w:t>
      </w:r>
      <w:r w:rsidRPr="00610B1B">
        <w:rPr>
          <w:rFonts w:ascii="Times New Roman" w:eastAsia="Calibri" w:hAnsi="Times New Roman" w:cs="Times New Roman"/>
          <w:sz w:val="24"/>
          <w:szCs w:val="24"/>
          <w:lang w:val="bg-BG"/>
        </w:rPr>
        <w:t>дефинирани и означени на морски</w:t>
      </w:r>
      <w:r w:rsidR="003103F7" w:rsidRPr="00610B1B">
        <w:rPr>
          <w:rFonts w:ascii="Times New Roman" w:eastAsia="Calibri" w:hAnsi="Times New Roman" w:cs="Times New Roman"/>
          <w:sz w:val="24"/>
          <w:szCs w:val="24"/>
          <w:lang w:val="bg-BG"/>
        </w:rPr>
        <w:t>те</w:t>
      </w:r>
      <w:r w:rsidRPr="00610B1B">
        <w:rPr>
          <w:rFonts w:ascii="Times New Roman" w:eastAsia="Calibri" w:hAnsi="Times New Roman" w:cs="Times New Roman"/>
          <w:sz w:val="24"/>
          <w:szCs w:val="24"/>
          <w:lang w:val="bg-BG"/>
        </w:rPr>
        <w:t xml:space="preserve"> карти</w:t>
      </w:r>
      <w:r w:rsidR="003103F7" w:rsidRPr="00610B1B">
        <w:rPr>
          <w:rFonts w:ascii="Times New Roman" w:eastAsia="Calibri" w:hAnsi="Times New Roman" w:cs="Times New Roman"/>
          <w:sz w:val="24"/>
          <w:szCs w:val="24"/>
          <w:lang w:val="bg-BG"/>
        </w:rPr>
        <w:t xml:space="preserve"> и в тях </w:t>
      </w:r>
      <w:r w:rsidRPr="00610B1B">
        <w:rPr>
          <w:rFonts w:ascii="Times New Roman" w:eastAsia="Calibri" w:hAnsi="Times New Roman" w:cs="Times New Roman"/>
          <w:sz w:val="24"/>
          <w:szCs w:val="24"/>
          <w:lang w:val="bg-BG"/>
        </w:rPr>
        <w:t>дейности</w:t>
      </w:r>
      <w:r w:rsidR="003103F7" w:rsidRPr="00610B1B">
        <w:rPr>
          <w:rFonts w:ascii="Times New Roman" w:eastAsia="Calibri" w:hAnsi="Times New Roman" w:cs="Times New Roman"/>
          <w:sz w:val="24"/>
          <w:szCs w:val="24"/>
          <w:lang w:val="bg-BG"/>
        </w:rPr>
        <w:t>те</w:t>
      </w:r>
      <w:r w:rsidRPr="00610B1B">
        <w:rPr>
          <w:rFonts w:ascii="Times New Roman" w:eastAsia="Calibri" w:hAnsi="Times New Roman" w:cs="Times New Roman"/>
          <w:sz w:val="24"/>
          <w:szCs w:val="24"/>
          <w:lang w:val="bg-BG"/>
        </w:rPr>
        <w:t>, които могат да повредят кабелите, са строго регулирани и контролирани.</w:t>
      </w:r>
      <w:r w:rsidR="004035B4" w:rsidRPr="00610B1B">
        <w:rPr>
          <w:rFonts w:ascii="Times New Roman" w:eastAsia="Calibri" w:hAnsi="Times New Roman" w:cs="Times New Roman"/>
          <w:sz w:val="24"/>
          <w:szCs w:val="24"/>
          <w:lang w:val="bg-BG"/>
        </w:rPr>
        <w:t xml:space="preserve"> Зоните</w:t>
      </w:r>
      <w:r w:rsidRPr="00610B1B">
        <w:rPr>
          <w:rFonts w:ascii="Times New Roman" w:eastAsia="Calibri" w:hAnsi="Times New Roman" w:cs="Times New Roman"/>
          <w:sz w:val="24"/>
          <w:szCs w:val="24"/>
          <w:lang w:val="bg-BG"/>
        </w:rPr>
        <w:t xml:space="preserve"> могат да се различават по размер в зависимост от националните правила/закони и местните условия (напр. Военноморски трафик). </w:t>
      </w:r>
    </w:p>
    <w:p w14:paraId="2FE5CE8F" w14:textId="0F118464"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Пример за добра практика е свързан с информационната услуга Kingfisher </w:t>
      </w:r>
      <w:r w:rsidR="00BA5862"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Проект за </w:t>
      </w:r>
      <w:r w:rsidR="00BA5862" w:rsidRPr="00610B1B">
        <w:rPr>
          <w:rFonts w:ascii="Times New Roman" w:eastAsia="Calibri" w:hAnsi="Times New Roman" w:cs="Times New Roman"/>
          <w:sz w:val="24"/>
          <w:szCs w:val="24"/>
          <w:lang w:val="bg-BG"/>
        </w:rPr>
        <w:t>о</w:t>
      </w:r>
      <w:r w:rsidRPr="00610B1B">
        <w:rPr>
          <w:rFonts w:ascii="Times New Roman" w:eastAsia="Calibri" w:hAnsi="Times New Roman" w:cs="Times New Roman"/>
          <w:sz w:val="24"/>
          <w:szCs w:val="24"/>
          <w:lang w:val="bg-BG"/>
        </w:rPr>
        <w:t>фшорни възобновяеми и кабелни комуникации (KIS-ORCA), съвместна инициатива между Subsea Cables UK и Renewable UK, която повишава осведомеността за локалните мрежи за кабели сред операторите в риболовната индустрия в Северно море и западната граница на Европа. На неговия Интернет сайт са включени онлайн актуализирани карти</w:t>
      </w:r>
      <w:r w:rsidR="003103F7" w:rsidRPr="00610B1B">
        <w:rPr>
          <w:rFonts w:ascii="Times New Roman" w:eastAsia="Calibri" w:hAnsi="Times New Roman" w:cs="Times New Roman"/>
          <w:sz w:val="24"/>
          <w:szCs w:val="24"/>
          <w:lang w:val="bg-BG"/>
        </w:rPr>
        <w:t xml:space="preserve"> на </w:t>
      </w:r>
      <w:r w:rsidRPr="00610B1B">
        <w:rPr>
          <w:rFonts w:ascii="Times New Roman" w:eastAsia="Calibri" w:hAnsi="Times New Roman" w:cs="Times New Roman"/>
          <w:sz w:val="24"/>
          <w:szCs w:val="24"/>
          <w:lang w:val="bg-BG"/>
        </w:rPr>
        <w:t>морската инфраструктура (тръбопроводи, подводни кабели за електроенергия и телекомуникации</w:t>
      </w:r>
      <w:r w:rsidR="003103F7"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съпътстващо оборудване) с данни за контакт в случай на инциденти</w:t>
      </w:r>
      <w:r w:rsidR="004035B4" w:rsidRPr="00610B1B">
        <w:rPr>
          <w:rStyle w:val="FootnoteReference"/>
          <w:rFonts w:ascii="Times New Roman" w:eastAsia="Calibri" w:hAnsi="Times New Roman" w:cs="Times New Roman"/>
          <w:sz w:val="24"/>
          <w:szCs w:val="24"/>
          <w:lang w:val="bg-BG"/>
        </w:rPr>
        <w:footnoteReference w:id="159"/>
      </w:r>
      <w:r w:rsidRPr="00610B1B">
        <w:rPr>
          <w:rFonts w:ascii="Times New Roman" w:eastAsia="Calibri" w:hAnsi="Times New Roman" w:cs="Times New Roman"/>
          <w:sz w:val="24"/>
          <w:szCs w:val="24"/>
          <w:lang w:val="bg-BG"/>
        </w:rPr>
        <w:t xml:space="preserve">. </w:t>
      </w:r>
    </w:p>
    <w:p w14:paraId="1E32055D" w14:textId="77777777"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Промишлените организации като Международния комитет по защита на кабелите (ICPC) и Северноамериканската асоциация за кабелни подводници (NASCA) имат изготвен набор от препоръки относно защитните мерки, които трябва да бъдат приложени за по-безопасен и по-дълъг живот на подводни кабели (CSRIC 2014).</w:t>
      </w:r>
    </w:p>
    <w:p w14:paraId="00048A38" w14:textId="19A7F042"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През акваториятa на Черно море в момента преминава само един международен енергиен коридор – газопроводът „Син поток”, транспортиращ природен газ от Русия за Турция, извън обхвата на </w:t>
      </w:r>
      <w:r w:rsidR="003103F7" w:rsidRPr="00610B1B">
        <w:rPr>
          <w:rFonts w:ascii="Times New Roman" w:eastAsia="Calibri" w:hAnsi="Times New Roman" w:cs="Times New Roman"/>
          <w:sz w:val="24"/>
          <w:szCs w:val="24"/>
          <w:lang w:val="bg-BG"/>
        </w:rPr>
        <w:t xml:space="preserve">Морския пространствен план </w:t>
      </w:r>
      <w:r w:rsidRPr="00610B1B">
        <w:rPr>
          <w:rFonts w:ascii="Times New Roman" w:eastAsia="Calibri" w:hAnsi="Times New Roman" w:cs="Times New Roman"/>
          <w:sz w:val="24"/>
          <w:szCs w:val="24"/>
          <w:lang w:val="bg-BG"/>
        </w:rPr>
        <w:t xml:space="preserve">на Р. България. </w:t>
      </w:r>
    </w:p>
    <w:p w14:paraId="645C6974" w14:textId="6771E030" w:rsidR="000E7C6A"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Предвижданият руско-европейски коридор „Южен поток”, осигуряващ транспортирането на природен газ от Русия до Южна и Западна Европа с</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предвиден маршрут от руското черноморско пристанище Анапа, </w:t>
      </w:r>
      <w:r w:rsidR="00A36718" w:rsidRPr="00610B1B">
        <w:rPr>
          <w:rFonts w:ascii="Times New Roman" w:eastAsia="Calibri" w:hAnsi="Times New Roman" w:cs="Times New Roman"/>
          <w:sz w:val="24"/>
          <w:szCs w:val="24"/>
          <w:lang w:val="bg-BG"/>
        </w:rPr>
        <w:t xml:space="preserve">който </w:t>
      </w:r>
      <w:r w:rsidRPr="00610B1B">
        <w:rPr>
          <w:rFonts w:ascii="Times New Roman" w:eastAsia="Calibri" w:hAnsi="Times New Roman" w:cs="Times New Roman"/>
          <w:sz w:val="24"/>
          <w:szCs w:val="24"/>
          <w:lang w:val="bg-BG"/>
        </w:rPr>
        <w:t>преминава през турските териториални води в Черно море, през българските териториални води и излиза на сушата южно от Провадия, близо до Варна, не е актуален. Не е актуален и нефтопровод</w:t>
      </w:r>
      <w:r w:rsidR="00A36718" w:rsidRPr="00610B1B">
        <w:rPr>
          <w:rFonts w:ascii="Times New Roman" w:eastAsia="Calibri" w:hAnsi="Times New Roman" w:cs="Times New Roman"/>
          <w:sz w:val="24"/>
          <w:szCs w:val="24"/>
          <w:lang w:val="bg-BG"/>
        </w:rPr>
        <w:t>ът</w:t>
      </w:r>
      <w:r w:rsidRPr="00610B1B">
        <w:rPr>
          <w:rFonts w:ascii="Times New Roman" w:eastAsia="Calibri" w:hAnsi="Times New Roman" w:cs="Times New Roman"/>
          <w:sz w:val="24"/>
          <w:szCs w:val="24"/>
          <w:lang w:val="bg-BG"/>
        </w:rPr>
        <w:t xml:space="preserve"> „Бургас-Александруполис“. Към този момент в обхвата на МПП</w:t>
      </w:r>
      <w:r w:rsidR="003103F7" w:rsidRPr="00610B1B">
        <w:rPr>
          <w:rFonts w:ascii="Times New Roman" w:eastAsia="Calibri" w:hAnsi="Times New Roman" w:cs="Times New Roman"/>
          <w:sz w:val="24"/>
          <w:szCs w:val="24"/>
          <w:lang w:val="bg-BG"/>
        </w:rPr>
        <w:t>РБ</w:t>
      </w:r>
      <w:r w:rsidRPr="00610B1B">
        <w:rPr>
          <w:rFonts w:ascii="Times New Roman" w:eastAsia="Calibri" w:hAnsi="Times New Roman" w:cs="Times New Roman"/>
          <w:sz w:val="24"/>
          <w:szCs w:val="24"/>
          <w:lang w:val="bg-BG"/>
        </w:rPr>
        <w:t xml:space="preserve"> не се предвижда изграждане на нефто и/или газопроводи.</w:t>
      </w:r>
    </w:p>
    <w:p w14:paraId="16B28A4D" w14:textId="77777777" w:rsidR="009907CE" w:rsidRPr="00610B1B" w:rsidRDefault="009907CE" w:rsidP="00D32D6A">
      <w:pPr>
        <w:spacing w:after="120"/>
        <w:ind w:right="-153"/>
        <w:jc w:val="both"/>
        <w:rPr>
          <w:rFonts w:ascii="Times New Roman" w:eastAsia="Calibri" w:hAnsi="Times New Roman" w:cs="Times New Roman"/>
          <w:sz w:val="24"/>
          <w:szCs w:val="24"/>
          <w:lang w:val="bg-BG"/>
        </w:rPr>
      </w:pPr>
    </w:p>
    <w:p w14:paraId="566DB58E" w14:textId="212FE39D" w:rsidR="00442579" w:rsidRPr="00610B1B" w:rsidRDefault="00442579" w:rsidP="00D32D6A">
      <w:pPr>
        <w:pStyle w:val="Heading3"/>
        <w:spacing w:before="0" w:line="276" w:lineRule="auto"/>
        <w:ind w:right="-153"/>
        <w:rPr>
          <w:rFonts w:cs="Times New Roman"/>
        </w:rPr>
      </w:pPr>
      <w:bookmarkStart w:id="437" w:name="_Toc83391414"/>
      <w:r w:rsidRPr="00610B1B">
        <w:rPr>
          <w:rFonts w:cs="Times New Roman"/>
        </w:rPr>
        <w:t>4.</w:t>
      </w:r>
      <w:r w:rsidR="009278D0" w:rsidRPr="00610B1B">
        <w:rPr>
          <w:rFonts w:cs="Times New Roman"/>
        </w:rPr>
        <w:t>2</w:t>
      </w:r>
      <w:r w:rsidRPr="00610B1B">
        <w:rPr>
          <w:rFonts w:cs="Times New Roman"/>
        </w:rPr>
        <w:t>.7. Прогнозно развитие на военните дейности, учения и трафик и необходимата инфраструктура</w:t>
      </w:r>
      <w:bookmarkEnd w:id="437"/>
      <w:r w:rsidRPr="00610B1B">
        <w:rPr>
          <w:rFonts w:cs="Times New Roman"/>
        </w:rPr>
        <w:t xml:space="preserve"> </w:t>
      </w:r>
    </w:p>
    <w:p w14:paraId="072073FC" w14:textId="4A5105B7" w:rsidR="008873BD" w:rsidRPr="00610B1B" w:rsidRDefault="008873B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Доктриналните документи, отразяващи дейността на ВМС в акваторията на Р</w:t>
      </w:r>
      <w:r w:rsidR="00EF1EFD"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България поставят основите на съвременните операции и определят принципите за най-ефективно използване на войските и силите </w:t>
      </w:r>
      <w:r w:rsidR="00EF1EFD"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постигане на поставените цели. </w:t>
      </w:r>
      <w:r w:rsidR="00EF1EFD" w:rsidRPr="00610B1B">
        <w:rPr>
          <w:rFonts w:ascii="Times New Roman" w:hAnsi="Times New Roman" w:cs="Times New Roman"/>
          <w:sz w:val="24"/>
          <w:szCs w:val="24"/>
          <w:lang w:val="bg-BG"/>
        </w:rPr>
        <w:t>Те поставят</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основ</w:t>
      </w:r>
      <w:r w:rsidR="00EF1EFD" w:rsidRPr="00610B1B">
        <w:rPr>
          <w:rFonts w:ascii="Times New Roman" w:hAnsi="Times New Roman" w:cs="Times New Roman"/>
          <w:sz w:val="24"/>
          <w:szCs w:val="24"/>
          <w:lang w:val="bg-BG"/>
        </w:rPr>
        <w:t>ите</w:t>
      </w:r>
      <w:r w:rsidRPr="00610B1B">
        <w:rPr>
          <w:rFonts w:ascii="Times New Roman" w:hAnsi="Times New Roman" w:cs="Times New Roman"/>
          <w:sz w:val="24"/>
          <w:szCs w:val="24"/>
          <w:lang w:val="bg-BG"/>
        </w:rPr>
        <w:t xml:space="preserve"> за съвместна подготовка</w:t>
      </w:r>
      <w:r w:rsidR="00EF1EFD" w:rsidRPr="00610B1B">
        <w:rPr>
          <w:rFonts w:ascii="Times New Roman" w:hAnsi="Times New Roman" w:cs="Times New Roman"/>
          <w:sz w:val="24"/>
          <w:szCs w:val="24"/>
          <w:lang w:val="bg-BG"/>
        </w:rPr>
        <w:t xml:space="preserve">, определят </w:t>
      </w:r>
      <w:r w:rsidRPr="00610B1B">
        <w:rPr>
          <w:rFonts w:ascii="Times New Roman" w:hAnsi="Times New Roman" w:cs="Times New Roman"/>
          <w:sz w:val="24"/>
          <w:szCs w:val="24"/>
          <w:lang w:val="bg-BG"/>
        </w:rPr>
        <w:t xml:space="preserve">единни оперативни методи, обща терминология и </w:t>
      </w:r>
      <w:r w:rsidRPr="00610B1B">
        <w:rPr>
          <w:rFonts w:ascii="Times New Roman" w:hAnsi="Times New Roman" w:cs="Times New Roman"/>
          <w:sz w:val="24"/>
          <w:szCs w:val="24"/>
          <w:lang w:val="bg-BG"/>
        </w:rPr>
        <w:lastRenderedPageBreak/>
        <w:t>процедури</w:t>
      </w:r>
      <w:r w:rsidR="00EF1EFD" w:rsidRPr="00610B1B">
        <w:rPr>
          <w:rFonts w:ascii="Times New Roman" w:hAnsi="Times New Roman" w:cs="Times New Roman"/>
          <w:sz w:val="24"/>
          <w:szCs w:val="24"/>
          <w:lang w:val="bg-BG"/>
        </w:rPr>
        <w:t xml:space="preserve"> и </w:t>
      </w:r>
      <w:r w:rsidRPr="00610B1B">
        <w:rPr>
          <w:rFonts w:ascii="Times New Roman" w:hAnsi="Times New Roman" w:cs="Times New Roman"/>
          <w:sz w:val="24"/>
          <w:szCs w:val="24"/>
          <w:lang w:val="bg-BG"/>
        </w:rPr>
        <w:t>подпомага</w:t>
      </w:r>
      <w:r w:rsidR="00EF1EFD"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командирите и щабове</w:t>
      </w:r>
      <w:r w:rsidR="00EF1EFD"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в разработването на стандарти за съвместна подготовка и обучение.</w:t>
      </w:r>
      <w:r w:rsidR="00EF1EFD"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Доктрината на въоръжените сили на Р</w:t>
      </w:r>
      <w:r w:rsidR="00192401"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България заема най-високото място в йерархията от документи, регламентиращи използването на войските. </w:t>
      </w:r>
      <w:r w:rsidR="007C06FF" w:rsidRPr="00610B1B">
        <w:rPr>
          <w:rFonts w:ascii="Times New Roman" w:hAnsi="Times New Roman" w:cs="Times New Roman"/>
          <w:sz w:val="24"/>
          <w:szCs w:val="24"/>
          <w:lang w:val="bg-BG"/>
        </w:rPr>
        <w:t>С</w:t>
      </w:r>
      <w:r w:rsidRPr="00610B1B">
        <w:rPr>
          <w:rFonts w:ascii="Times New Roman" w:hAnsi="Times New Roman" w:cs="Times New Roman"/>
          <w:sz w:val="24"/>
          <w:szCs w:val="24"/>
          <w:lang w:val="bg-BG"/>
        </w:rPr>
        <w:t xml:space="preserve"> използването на ВМС </w:t>
      </w:r>
      <w:r w:rsidR="007C06FF" w:rsidRPr="00610B1B">
        <w:rPr>
          <w:rFonts w:ascii="Times New Roman" w:hAnsi="Times New Roman" w:cs="Times New Roman"/>
          <w:sz w:val="24"/>
          <w:szCs w:val="24"/>
          <w:lang w:val="bg-BG"/>
        </w:rPr>
        <w:t>са свързани</w:t>
      </w:r>
      <w:r w:rsidRPr="00610B1B">
        <w:rPr>
          <w:rFonts w:ascii="Times New Roman" w:hAnsi="Times New Roman" w:cs="Times New Roman"/>
          <w:sz w:val="24"/>
          <w:szCs w:val="24"/>
          <w:lang w:val="bg-BG"/>
        </w:rPr>
        <w:t xml:space="preserve"> почти всички доктрини от трите нива, но с приоритетно отношение са Доктрината на въоръжените сили на Република България, Доктрината за операциите НП-3 и Доктрината за морски операции-НП-3.1. </w:t>
      </w:r>
    </w:p>
    <w:p w14:paraId="030E4991" w14:textId="76371924" w:rsidR="008873BD" w:rsidRPr="00610B1B" w:rsidRDefault="008873B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Основните съюзни документи</w:t>
      </w:r>
      <w:r w:rsidR="00EF1EFD"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регламентиращи подготовката на ВМС включват: (AJP) – 01 (D) Allied Joint Doctrine; MXP1(D) (Navy) (Air) - Multinational Submarine And Antisubmarine Exercise Manual; MXP2 (C) (Navy) (Air) - The Multinational Maritime Above Water Warfare Exercise Manual; AXP-3(C), Allied Naval Communication Exercises и др</w:t>
      </w:r>
      <w:r w:rsidR="00BA5862" w:rsidRPr="00610B1B">
        <w:rPr>
          <w:rFonts w:ascii="Times New Roman" w:hAnsi="Times New Roman" w:cs="Times New Roman"/>
          <w:sz w:val="24"/>
          <w:szCs w:val="24"/>
          <w:lang w:val="bg-BG"/>
        </w:rPr>
        <w:t>уги</w:t>
      </w:r>
      <w:r w:rsidRPr="00610B1B">
        <w:rPr>
          <w:rFonts w:ascii="Times New Roman" w:hAnsi="Times New Roman" w:cs="Times New Roman"/>
          <w:sz w:val="24"/>
          <w:szCs w:val="24"/>
          <w:lang w:val="bg-BG"/>
        </w:rPr>
        <w:t>.</w:t>
      </w:r>
    </w:p>
    <w:p w14:paraId="5628E9EF" w14:textId="5495AE4F" w:rsidR="008873BD" w:rsidRPr="00610B1B" w:rsidRDefault="008873B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съответствие с правата и юрисдикциите, утвърдени от международното право, всички държави имат еднакви права за достъп до преобладаваща част от морето и прилежащото му въздушно пространство. Следователно, морските операции се отличават от сухопътните по това, че морето не може да бъде притежавано така както сушата. Страните могат да тълкуват международното морско право с различни нюа</w:t>
      </w:r>
      <w:r w:rsidR="007C06FF" w:rsidRPr="00610B1B">
        <w:rPr>
          <w:rFonts w:ascii="Times New Roman" w:hAnsi="Times New Roman" w:cs="Times New Roman"/>
          <w:sz w:val="24"/>
          <w:szCs w:val="24"/>
          <w:lang w:val="bg-BG"/>
        </w:rPr>
        <w:t xml:space="preserve">нси или </w:t>
      </w:r>
      <w:r w:rsidRPr="00610B1B">
        <w:rPr>
          <w:rFonts w:ascii="Times New Roman" w:hAnsi="Times New Roman" w:cs="Times New Roman"/>
          <w:sz w:val="24"/>
          <w:szCs w:val="24"/>
          <w:lang w:val="bg-BG"/>
        </w:rPr>
        <w:t xml:space="preserve">със съществени различия от останалите съюзници, партньори или противостоящите сили. </w:t>
      </w:r>
    </w:p>
    <w:p w14:paraId="68C377F2" w14:textId="4E7DB579" w:rsidR="008873BD" w:rsidRPr="00610B1B" w:rsidRDefault="008873B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Военноморските сили провеждат операции над, на или под водата. В случаи на политически кризи, океаните и литоралните води осигуряват триизмерно пространство, в което военноморските сили провеждат операции и маневри за демонстриране на възможности и воля за използване на сила.</w:t>
      </w:r>
      <w:r w:rsidR="007C06FF"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Действията в близост до брега създават ограничения върху свободата на движение или посоката на подхода към него, особено при необходимост от преминаване през географски или създадени от противника тесни морски пространства. Военноморски</w:t>
      </w:r>
      <w:r w:rsidR="00C872DC"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сили трябва да поддържат и развиват способности за провеждане на операции в националните морски пространства, а съвместно със съюзниците от НАТО и ЕС – в открития океан и в крайбрежните води на други държави. </w:t>
      </w:r>
    </w:p>
    <w:p w14:paraId="2123E475" w14:textId="17E171DA" w:rsidR="008873BD" w:rsidRPr="00610B1B" w:rsidRDefault="008873B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Доктрините определят </w:t>
      </w:r>
      <w:r w:rsidR="00EF1EFD" w:rsidRPr="00610B1B">
        <w:rPr>
          <w:rFonts w:ascii="Times New Roman" w:hAnsi="Times New Roman" w:cs="Times New Roman"/>
          <w:sz w:val="24"/>
          <w:szCs w:val="24"/>
          <w:lang w:val="bg-BG"/>
        </w:rPr>
        <w:t>как</w:t>
      </w:r>
      <w:r w:rsidRPr="00610B1B">
        <w:rPr>
          <w:rFonts w:ascii="Times New Roman" w:hAnsi="Times New Roman" w:cs="Times New Roman"/>
          <w:sz w:val="24"/>
          <w:szCs w:val="24"/>
          <w:lang w:val="bg-BG"/>
        </w:rPr>
        <w:t xml:space="preserve">, а не </w:t>
      </w:r>
      <w:r w:rsidR="007C06FF" w:rsidRPr="00610B1B">
        <w:rPr>
          <w:rFonts w:ascii="Times New Roman" w:hAnsi="Times New Roman" w:cs="Times New Roman"/>
          <w:sz w:val="24"/>
          <w:szCs w:val="24"/>
          <w:lang w:val="bg-BG"/>
        </w:rPr>
        <w:t xml:space="preserve">какво </w:t>
      </w:r>
      <w:r w:rsidRPr="00610B1B">
        <w:rPr>
          <w:rFonts w:ascii="Times New Roman" w:hAnsi="Times New Roman" w:cs="Times New Roman"/>
          <w:sz w:val="24"/>
          <w:szCs w:val="24"/>
          <w:lang w:val="bg-BG"/>
        </w:rPr>
        <w:t xml:space="preserve">да се предприеме в зависимост от условията на средата. Те подпомагат аналитичното мислене, необходимо за планиране и водене на операциите. Същевременно доктрините са достатъчно обхватни, </w:t>
      </w:r>
      <w:r w:rsidR="00C872DC" w:rsidRPr="00610B1B">
        <w:rPr>
          <w:rFonts w:ascii="Times New Roman" w:hAnsi="Times New Roman" w:cs="Times New Roman"/>
          <w:sz w:val="24"/>
          <w:szCs w:val="24"/>
          <w:lang w:val="bg-BG"/>
        </w:rPr>
        <w:t>за</w:t>
      </w:r>
      <w:r w:rsidRPr="00610B1B">
        <w:rPr>
          <w:rFonts w:ascii="Times New Roman" w:hAnsi="Times New Roman" w:cs="Times New Roman"/>
          <w:sz w:val="24"/>
          <w:szCs w:val="24"/>
          <w:lang w:val="bg-BG"/>
        </w:rPr>
        <w:t xml:space="preserve"> да подпомагат провеждането на различните видове операции и достатъчно гъвкави, за да отчет</w:t>
      </w:r>
      <w:r w:rsidR="00C872DC" w:rsidRPr="00610B1B">
        <w:rPr>
          <w:rFonts w:ascii="Times New Roman" w:hAnsi="Times New Roman" w:cs="Times New Roman"/>
          <w:sz w:val="24"/>
          <w:szCs w:val="24"/>
          <w:lang w:val="bg-BG"/>
        </w:rPr>
        <w:t>ат</w:t>
      </w:r>
      <w:r w:rsidRPr="00610B1B">
        <w:rPr>
          <w:rFonts w:ascii="Times New Roman" w:hAnsi="Times New Roman" w:cs="Times New Roman"/>
          <w:sz w:val="24"/>
          <w:szCs w:val="24"/>
          <w:lang w:val="bg-BG"/>
        </w:rPr>
        <w:t xml:space="preserve"> голямото разнообразие от ситуации. </w:t>
      </w:r>
      <w:r w:rsidR="007C06FF"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не предвиждат развитието на районите, свързани с провеждането на подготовката от ВМС.</w:t>
      </w:r>
    </w:p>
    <w:p w14:paraId="790026C1" w14:textId="77777777" w:rsidR="008873BD" w:rsidRPr="00610B1B" w:rsidRDefault="008873BD"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стратегическа перспектива членството в ЕС и НАТО не предполагат към момента промени в режима на ползване на морските пространства. Въпреки това анализът на съществуващите тенденции в областта налагат следните възможни промени в сектора за сигурност на морските пространства и транспорта:</w:t>
      </w:r>
    </w:p>
    <w:p w14:paraId="15DBBA8B" w14:textId="77777777" w:rsidR="008873BD" w:rsidRPr="00610B1B" w:rsidRDefault="008873BD" w:rsidP="00B46189">
      <w:pPr>
        <w:pStyle w:val="ListParagraph"/>
        <w:numPr>
          <w:ilvl w:val="0"/>
          <w:numId w:val="42"/>
        </w:numPr>
        <w:spacing w:after="120"/>
        <w:ind w:left="284" w:right="-153" w:hanging="284"/>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Разширяване на зоните за тренинг в мористо направление в съчетание със запазване на зоните, непосредствено намиращи се в близост до брега.</w:t>
      </w:r>
    </w:p>
    <w:p w14:paraId="299026DC" w14:textId="740264EE" w:rsidR="008873BD" w:rsidRPr="00610B1B" w:rsidRDefault="008873BD" w:rsidP="00B46189">
      <w:pPr>
        <w:pStyle w:val="ListParagraph"/>
        <w:numPr>
          <w:ilvl w:val="0"/>
          <w:numId w:val="42"/>
        </w:numPr>
        <w:spacing w:after="120"/>
        <w:ind w:left="284" w:right="-153" w:hanging="284"/>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Установяване на нови зони с ограничения за корабоплаването в резултат от развитие на офшорната индустрия в потенциални райони за добив на морски суровини. Потенциалните райони съвпадат с</w:t>
      </w:r>
      <w:r w:rsidR="00C872DC" w:rsidRPr="00610B1B">
        <w:rPr>
          <w:rFonts w:ascii="Times New Roman" w:hAnsi="Times New Roman" w:cs="Times New Roman"/>
          <w:sz w:val="24"/>
          <w:szCs w:val="24"/>
          <w:lang w:val="bg-BG"/>
        </w:rPr>
        <w:t>ъс</w:t>
      </w:r>
      <w:r w:rsidRPr="00610B1B">
        <w:rPr>
          <w:rFonts w:ascii="Times New Roman" w:hAnsi="Times New Roman" w:cs="Times New Roman"/>
          <w:sz w:val="24"/>
          <w:szCs w:val="24"/>
          <w:lang w:val="bg-BG"/>
        </w:rPr>
        <w:t xml:space="preserve"> зоните, дадени </w:t>
      </w:r>
      <w:r w:rsidR="00C872DC" w:rsidRPr="00610B1B">
        <w:rPr>
          <w:rFonts w:ascii="Times New Roman" w:hAnsi="Times New Roman" w:cs="Times New Roman"/>
          <w:sz w:val="24"/>
          <w:szCs w:val="24"/>
          <w:lang w:val="bg-BG"/>
        </w:rPr>
        <w:t xml:space="preserve">на </w:t>
      </w:r>
      <w:r w:rsidRPr="00610B1B">
        <w:rPr>
          <w:rFonts w:ascii="Times New Roman" w:hAnsi="Times New Roman" w:cs="Times New Roman"/>
          <w:sz w:val="24"/>
          <w:szCs w:val="24"/>
          <w:lang w:val="bg-BG"/>
        </w:rPr>
        <w:t xml:space="preserve">концесия за проучвания за добив </w:t>
      </w:r>
      <w:r w:rsidR="00C872DC" w:rsidRPr="00610B1B">
        <w:rPr>
          <w:rFonts w:ascii="Times New Roman" w:hAnsi="Times New Roman" w:cs="Times New Roman"/>
          <w:sz w:val="24"/>
          <w:szCs w:val="24"/>
          <w:lang w:val="bg-BG"/>
        </w:rPr>
        <w:t>на нефт и газ</w:t>
      </w:r>
      <w:r w:rsidRPr="00610B1B">
        <w:rPr>
          <w:rFonts w:ascii="Times New Roman" w:hAnsi="Times New Roman" w:cs="Times New Roman"/>
          <w:sz w:val="24"/>
          <w:szCs w:val="24"/>
          <w:lang w:val="bg-BG"/>
        </w:rPr>
        <w:t>.</w:t>
      </w:r>
    </w:p>
    <w:p w14:paraId="1A2FA0E3" w14:textId="77777777" w:rsidR="008873BD" w:rsidRPr="00610B1B" w:rsidRDefault="008873BD" w:rsidP="00B46189">
      <w:pPr>
        <w:pStyle w:val="ListParagraph"/>
        <w:numPr>
          <w:ilvl w:val="0"/>
          <w:numId w:val="42"/>
        </w:numPr>
        <w:spacing w:after="120"/>
        <w:ind w:left="284" w:right="-153" w:hanging="284"/>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Установяване на нови зони с ограничения в корабоплаването и свързани дейности, произтичащи от потенциални проекти за пренос на енергоносители. Потенциалните прибрежни зони са близки до проектните зони на Бургас-Александруполис и Южен поток.</w:t>
      </w:r>
    </w:p>
    <w:p w14:paraId="17773270" w14:textId="2BDC7900" w:rsidR="003F3C59" w:rsidRPr="00610B1B" w:rsidRDefault="003F3C59" w:rsidP="003F3C59">
      <w:pPr>
        <w:spacing w:after="120"/>
        <w:ind w:right="-153"/>
        <w:jc w:val="both"/>
        <w:rPr>
          <w:rFonts w:ascii="Times New Roman" w:hAnsi="Times New Roman" w:cs="Times New Roman"/>
          <w:sz w:val="24"/>
          <w:szCs w:val="24"/>
          <w:lang w:val="bg-BG"/>
        </w:rPr>
      </w:pPr>
    </w:p>
    <w:p w14:paraId="6F74C704" w14:textId="1FEFAEF3" w:rsidR="00442579" w:rsidRPr="00610B1B" w:rsidRDefault="00442579" w:rsidP="00D32D6A">
      <w:pPr>
        <w:pStyle w:val="Heading3"/>
        <w:spacing w:before="0" w:line="276" w:lineRule="auto"/>
        <w:ind w:right="-153"/>
        <w:rPr>
          <w:rFonts w:cs="Times New Roman"/>
        </w:rPr>
      </w:pPr>
      <w:bookmarkStart w:id="438" w:name="_Toc83391415"/>
      <w:r w:rsidRPr="00610B1B">
        <w:rPr>
          <w:rFonts w:cs="Times New Roman"/>
        </w:rPr>
        <w:t>4.</w:t>
      </w:r>
      <w:r w:rsidR="009278D0" w:rsidRPr="00610B1B">
        <w:rPr>
          <w:rFonts w:cs="Times New Roman"/>
        </w:rPr>
        <w:t>2</w:t>
      </w:r>
      <w:r w:rsidRPr="00610B1B">
        <w:rPr>
          <w:rFonts w:cs="Times New Roman"/>
        </w:rPr>
        <w:t>.8. Прогнозно развитие на т</w:t>
      </w:r>
      <w:r w:rsidR="00C93A41" w:rsidRPr="00610B1B">
        <w:rPr>
          <w:rFonts w:cs="Times New Roman"/>
        </w:rPr>
        <w:t>ериториалното</w:t>
      </w:r>
      <w:r w:rsidRPr="00610B1B">
        <w:rPr>
          <w:rFonts w:cs="Times New Roman"/>
        </w:rPr>
        <w:t xml:space="preserve"> сътрудничество в Черноморския регион</w:t>
      </w:r>
      <w:bookmarkEnd w:id="438"/>
      <w:r w:rsidRPr="00610B1B">
        <w:rPr>
          <w:rFonts w:cs="Times New Roman"/>
        </w:rPr>
        <w:t xml:space="preserve"> </w:t>
      </w:r>
    </w:p>
    <w:p w14:paraId="21B368E5" w14:textId="2907BE5D" w:rsidR="00442579"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Трансграничното сътрудничество в региона на Черно море е обусловено от политическите фактори, основани на поетите от страните ангажименти по редица международни документи. </w:t>
      </w:r>
      <w:r w:rsidR="00FC5588" w:rsidRPr="00610B1B">
        <w:rPr>
          <w:rFonts w:ascii="Times New Roman" w:eastAsia="Calibri" w:hAnsi="Times New Roman" w:cs="Times New Roman"/>
          <w:sz w:val="24"/>
          <w:szCs w:val="24"/>
          <w:lang w:val="bg-BG"/>
        </w:rPr>
        <w:t>В перспектива т</w:t>
      </w:r>
      <w:r w:rsidRPr="00610B1B">
        <w:rPr>
          <w:rFonts w:ascii="Times New Roman" w:eastAsia="Calibri" w:hAnsi="Times New Roman" w:cs="Times New Roman"/>
          <w:sz w:val="24"/>
          <w:szCs w:val="24"/>
          <w:lang w:val="bg-BG"/>
        </w:rPr>
        <w:t xml:space="preserve">рансграничното сътрудничество </w:t>
      </w:r>
      <w:r w:rsidR="00FC5588" w:rsidRPr="00610B1B">
        <w:rPr>
          <w:rFonts w:ascii="Times New Roman" w:eastAsia="Calibri" w:hAnsi="Times New Roman" w:cs="Times New Roman"/>
          <w:sz w:val="24"/>
          <w:szCs w:val="24"/>
          <w:lang w:val="bg-BG"/>
        </w:rPr>
        <w:t xml:space="preserve">ще продължи да </w:t>
      </w:r>
      <w:r w:rsidRPr="00610B1B">
        <w:rPr>
          <w:rFonts w:ascii="Times New Roman" w:eastAsia="Calibri" w:hAnsi="Times New Roman" w:cs="Times New Roman"/>
          <w:sz w:val="24"/>
          <w:szCs w:val="24"/>
          <w:lang w:val="bg-BG"/>
        </w:rPr>
        <w:t>се осъществява чрез участие на страните от региона в програмите на ЕС „Черноморски басейн” за периодите 20</w:t>
      </w:r>
      <w:r w:rsidR="00FC5588" w:rsidRPr="00610B1B">
        <w:rPr>
          <w:rFonts w:ascii="Times New Roman" w:eastAsia="Calibri" w:hAnsi="Times New Roman" w:cs="Times New Roman"/>
          <w:sz w:val="24"/>
          <w:szCs w:val="24"/>
          <w:lang w:val="bg-BG"/>
        </w:rPr>
        <w:t>14</w:t>
      </w:r>
      <w:r w:rsidRPr="00610B1B">
        <w:rPr>
          <w:rFonts w:ascii="Times New Roman" w:eastAsia="Calibri" w:hAnsi="Times New Roman" w:cs="Times New Roman"/>
          <w:sz w:val="24"/>
          <w:szCs w:val="24"/>
          <w:lang w:val="bg-BG"/>
        </w:rPr>
        <w:t>-20</w:t>
      </w:r>
      <w:r w:rsidR="00FC5588" w:rsidRPr="00610B1B">
        <w:rPr>
          <w:rFonts w:ascii="Times New Roman" w:eastAsia="Calibri" w:hAnsi="Times New Roman" w:cs="Times New Roman"/>
          <w:sz w:val="24"/>
          <w:szCs w:val="24"/>
          <w:lang w:val="bg-BG"/>
        </w:rPr>
        <w:t>20</w:t>
      </w:r>
      <w:r w:rsidRPr="00610B1B">
        <w:rPr>
          <w:rFonts w:ascii="Times New Roman" w:eastAsia="Calibri" w:hAnsi="Times New Roman" w:cs="Times New Roman"/>
          <w:sz w:val="24"/>
          <w:szCs w:val="24"/>
          <w:lang w:val="bg-BG"/>
        </w:rPr>
        <w:t xml:space="preserve"> и 20</w:t>
      </w:r>
      <w:r w:rsidR="00FC5588" w:rsidRPr="00610B1B">
        <w:rPr>
          <w:rFonts w:ascii="Times New Roman" w:eastAsia="Calibri" w:hAnsi="Times New Roman" w:cs="Times New Roman"/>
          <w:sz w:val="24"/>
          <w:szCs w:val="24"/>
          <w:lang w:val="bg-BG"/>
        </w:rPr>
        <w:t>21</w:t>
      </w:r>
      <w:r w:rsidRPr="00610B1B">
        <w:rPr>
          <w:rFonts w:ascii="Times New Roman" w:eastAsia="Calibri" w:hAnsi="Times New Roman" w:cs="Times New Roman"/>
          <w:sz w:val="24"/>
          <w:szCs w:val="24"/>
          <w:lang w:val="bg-BG"/>
        </w:rPr>
        <w:t>-202</w:t>
      </w:r>
      <w:r w:rsidR="00FC5588" w:rsidRPr="00610B1B">
        <w:rPr>
          <w:rFonts w:ascii="Times New Roman" w:eastAsia="Calibri" w:hAnsi="Times New Roman" w:cs="Times New Roman"/>
          <w:sz w:val="24"/>
          <w:szCs w:val="24"/>
          <w:lang w:val="bg-BG"/>
        </w:rPr>
        <w:t>7</w:t>
      </w:r>
      <w:r w:rsidR="00C93349" w:rsidRPr="00610B1B">
        <w:rPr>
          <w:rFonts w:ascii="Times New Roman" w:eastAsia="Calibri" w:hAnsi="Times New Roman" w:cs="Times New Roman"/>
          <w:sz w:val="24"/>
          <w:szCs w:val="24"/>
          <w:lang w:val="bg-BG"/>
        </w:rPr>
        <w:t xml:space="preserve"> г.</w:t>
      </w:r>
      <w:r w:rsidRPr="00610B1B">
        <w:rPr>
          <w:rFonts w:ascii="Times New Roman" w:eastAsia="Calibri" w:hAnsi="Times New Roman" w:cs="Times New Roman"/>
          <w:sz w:val="24"/>
          <w:szCs w:val="24"/>
          <w:lang w:val="bg-BG"/>
        </w:rPr>
        <w:t>, в организацията за Черноморско икономическо сътрудничество и в Комисията по опазване на Черно море от замърсяване.</w:t>
      </w:r>
      <w:r w:rsidR="00FC5588" w:rsidRPr="00610B1B">
        <w:rPr>
          <w:rFonts w:ascii="Times New Roman" w:eastAsia="Calibri" w:hAnsi="Times New Roman" w:cs="Times New Roman"/>
          <w:sz w:val="24"/>
          <w:szCs w:val="24"/>
          <w:lang w:val="bg-BG"/>
        </w:rPr>
        <w:t xml:space="preserve"> Тази прогноза се базира на разбирането че до момента п</w:t>
      </w:r>
      <w:r w:rsidRPr="00610B1B">
        <w:rPr>
          <w:rFonts w:ascii="Times New Roman" w:eastAsia="Calibri" w:hAnsi="Times New Roman" w:cs="Times New Roman"/>
          <w:sz w:val="24"/>
          <w:szCs w:val="24"/>
          <w:lang w:val="bg-BG"/>
        </w:rPr>
        <w:t>рограмите за Черноморския басейн 2007-2013 г. и 2014-2020 г.</w:t>
      </w:r>
      <w:r w:rsidR="0065428D" w:rsidRPr="00610B1B">
        <w:rPr>
          <w:rStyle w:val="FootnoteReference"/>
          <w:rFonts w:ascii="Times New Roman" w:eastAsia="Calibri" w:hAnsi="Times New Roman" w:cs="Times New Roman"/>
          <w:sz w:val="24"/>
          <w:szCs w:val="24"/>
          <w:lang w:val="bg-BG"/>
        </w:rPr>
        <w:footnoteReference w:id="160"/>
      </w:r>
      <w:r w:rsidR="00EC20C3"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са част от политиката за териториално сътрудничество на Европейския съюз. В техния фокус е реализирането на проекти</w:t>
      </w:r>
      <w:r w:rsidR="005B5860" w:rsidRPr="00610B1B">
        <w:rPr>
          <w:rFonts w:ascii="Times New Roman" w:eastAsia="Calibri" w:hAnsi="Times New Roman" w:cs="Times New Roman"/>
          <w:sz w:val="24"/>
          <w:szCs w:val="24"/>
          <w:lang w:val="bg-BG"/>
        </w:rPr>
        <w:t xml:space="preserve"> за</w:t>
      </w:r>
      <w:r w:rsidRPr="00610B1B">
        <w:rPr>
          <w:rFonts w:ascii="Times New Roman" w:eastAsia="Calibri" w:hAnsi="Times New Roman" w:cs="Times New Roman"/>
          <w:sz w:val="24"/>
          <w:szCs w:val="24"/>
          <w:lang w:val="bg-BG"/>
        </w:rPr>
        <w:t xml:space="preserve"> развитие на бизнеса и МСП, включително в сферата на туризма и културата, защита на околната среда</w:t>
      </w:r>
      <w:r w:rsidR="00C93349"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и адаптиране</w:t>
      </w:r>
      <w:r w:rsidR="009450A4" w:rsidRPr="00610B1B">
        <w:rPr>
          <w:rFonts w:ascii="Times New Roman" w:eastAsia="Calibri" w:hAnsi="Times New Roman" w:cs="Times New Roman"/>
          <w:sz w:val="24"/>
          <w:szCs w:val="24"/>
          <w:lang w:val="bg-BG"/>
        </w:rPr>
        <w:t xml:space="preserve"> към изменението на климата</w:t>
      </w:r>
      <w:r w:rsidRPr="00610B1B">
        <w:rPr>
          <w:rFonts w:ascii="Times New Roman" w:eastAsia="Calibri" w:hAnsi="Times New Roman" w:cs="Times New Roman"/>
          <w:sz w:val="24"/>
          <w:szCs w:val="24"/>
          <w:lang w:val="bg-BG"/>
        </w:rPr>
        <w:t>. Най-активни участници в програмата са България и Румъния, като членове на ЕС с пряк излаз на Черно море. Бенефициенти</w:t>
      </w:r>
      <w:r w:rsidR="00C93349" w:rsidRPr="00610B1B">
        <w:rPr>
          <w:rFonts w:ascii="Times New Roman" w:eastAsia="Calibri" w:hAnsi="Times New Roman" w:cs="Times New Roman"/>
          <w:sz w:val="24"/>
          <w:szCs w:val="24"/>
          <w:lang w:val="bg-BG"/>
        </w:rPr>
        <w:t>те</w:t>
      </w:r>
      <w:r w:rsidRPr="00610B1B">
        <w:rPr>
          <w:rFonts w:ascii="Times New Roman" w:eastAsia="Calibri" w:hAnsi="Times New Roman" w:cs="Times New Roman"/>
          <w:sz w:val="24"/>
          <w:szCs w:val="24"/>
          <w:lang w:val="bg-BG"/>
        </w:rPr>
        <w:t xml:space="preserve"> по програмата от Гърция, Турция, Молдова и Украйна също са активни. В част от проектите вземат участие и партнь</w:t>
      </w:r>
      <w:r w:rsidR="00EC20C3" w:rsidRPr="00610B1B">
        <w:rPr>
          <w:rFonts w:ascii="Times New Roman" w:eastAsia="Calibri" w:hAnsi="Times New Roman" w:cs="Times New Roman"/>
          <w:sz w:val="24"/>
          <w:szCs w:val="24"/>
          <w:lang w:val="bg-BG"/>
        </w:rPr>
        <w:t>ори от Грузия и Армения</w:t>
      </w:r>
      <w:r w:rsidRPr="00610B1B">
        <w:rPr>
          <w:rFonts w:ascii="Times New Roman" w:eastAsia="Calibri" w:hAnsi="Times New Roman" w:cs="Times New Roman"/>
          <w:sz w:val="24"/>
          <w:szCs w:val="24"/>
          <w:lang w:val="bg-BG"/>
        </w:rPr>
        <w:t xml:space="preserve">. </w:t>
      </w:r>
      <w:r w:rsidR="00EC20C3" w:rsidRPr="00610B1B">
        <w:rPr>
          <w:rFonts w:ascii="Times New Roman" w:eastAsia="Calibri" w:hAnsi="Times New Roman" w:cs="Times New Roman"/>
          <w:sz w:val="24"/>
          <w:szCs w:val="24"/>
          <w:lang w:val="bg-BG"/>
        </w:rPr>
        <w:t xml:space="preserve">Отчита се </w:t>
      </w:r>
      <w:r w:rsidRPr="00610B1B">
        <w:rPr>
          <w:rFonts w:ascii="Times New Roman" w:eastAsia="Calibri" w:hAnsi="Times New Roman" w:cs="Times New Roman"/>
          <w:sz w:val="24"/>
          <w:szCs w:val="24"/>
          <w:lang w:val="bg-BG"/>
        </w:rPr>
        <w:t xml:space="preserve">устойчива тенденция на участие на бенефициенти от отделните държави, като за програмния период 2014-2020 г. се забелязва отчетливо активизиране </w:t>
      </w:r>
      <w:r w:rsidR="009450A4" w:rsidRPr="00610B1B">
        <w:rPr>
          <w:rFonts w:ascii="Times New Roman" w:eastAsia="Calibri" w:hAnsi="Times New Roman" w:cs="Times New Roman"/>
          <w:sz w:val="24"/>
          <w:szCs w:val="24"/>
          <w:lang w:val="bg-BG"/>
        </w:rPr>
        <w:t>на</w:t>
      </w:r>
      <w:r w:rsidRPr="00610B1B">
        <w:rPr>
          <w:rFonts w:ascii="Times New Roman" w:eastAsia="Calibri" w:hAnsi="Times New Roman" w:cs="Times New Roman"/>
          <w:sz w:val="24"/>
          <w:szCs w:val="24"/>
          <w:lang w:val="bg-BG"/>
        </w:rPr>
        <w:t xml:space="preserve"> </w:t>
      </w:r>
      <w:r w:rsidR="009450A4" w:rsidRPr="00610B1B">
        <w:rPr>
          <w:rFonts w:ascii="Times New Roman" w:eastAsia="Calibri" w:hAnsi="Times New Roman" w:cs="Times New Roman"/>
          <w:sz w:val="24"/>
          <w:szCs w:val="24"/>
          <w:lang w:val="bg-BG"/>
        </w:rPr>
        <w:t>Армения</w:t>
      </w:r>
      <w:r w:rsidRPr="00610B1B">
        <w:rPr>
          <w:rFonts w:ascii="Times New Roman" w:eastAsia="Calibri" w:hAnsi="Times New Roman" w:cs="Times New Roman"/>
          <w:sz w:val="24"/>
          <w:szCs w:val="24"/>
          <w:lang w:val="bg-BG"/>
        </w:rPr>
        <w:t>.</w:t>
      </w:r>
    </w:p>
    <w:p w14:paraId="7EAF1F99" w14:textId="291EC729" w:rsidR="007779C5" w:rsidRPr="00610B1B" w:rsidRDefault="00442579"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eastAsia="Calibri" w:hAnsi="Times New Roman" w:cs="Times New Roman"/>
          <w:i/>
          <w:sz w:val="24"/>
          <w:szCs w:val="24"/>
          <w:lang w:val="bg-BG"/>
        </w:rPr>
        <w:t>Организацията за Черноморско икономическо сътрудничество</w:t>
      </w:r>
      <w:r w:rsidR="00925561" w:rsidRPr="00610B1B">
        <w:rPr>
          <w:rStyle w:val="FootnoteReference"/>
          <w:rFonts w:ascii="Times New Roman" w:eastAsia="Calibri" w:hAnsi="Times New Roman" w:cs="Times New Roman"/>
          <w:i/>
          <w:sz w:val="24"/>
          <w:szCs w:val="24"/>
          <w:lang w:val="bg-BG"/>
        </w:rPr>
        <w:footnoteReference w:id="161"/>
      </w:r>
      <w:r w:rsidR="009450A4" w:rsidRPr="00610B1B">
        <w:rPr>
          <w:rFonts w:ascii="Times New Roman" w:eastAsia="Calibri" w:hAnsi="Times New Roman" w:cs="Times New Roman"/>
          <w:sz w:val="24"/>
          <w:szCs w:val="24"/>
          <w:lang w:val="bg-BG"/>
        </w:rPr>
        <w:t>, като</w:t>
      </w:r>
      <w:r w:rsidRPr="00610B1B">
        <w:rPr>
          <w:rFonts w:ascii="Times New Roman" w:eastAsia="Calibri" w:hAnsi="Times New Roman" w:cs="Times New Roman"/>
          <w:sz w:val="24"/>
          <w:szCs w:val="24"/>
          <w:lang w:val="bg-BG"/>
        </w:rPr>
        <w:t xml:space="preserve"> международна регионална икономическа организация на страните от Черноморския регион</w:t>
      </w:r>
      <w:r w:rsidR="009450A4"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помага за координация </w:t>
      </w:r>
      <w:r w:rsidR="00B0756C" w:rsidRPr="00610B1B">
        <w:rPr>
          <w:rFonts w:ascii="Times New Roman" w:eastAsia="Calibri" w:hAnsi="Times New Roman" w:cs="Times New Roman"/>
          <w:sz w:val="24"/>
          <w:szCs w:val="24"/>
          <w:lang w:val="bg-BG"/>
        </w:rPr>
        <w:t xml:space="preserve">на </w:t>
      </w:r>
      <w:r w:rsidRPr="00610B1B">
        <w:rPr>
          <w:rFonts w:ascii="Times New Roman" w:eastAsia="Calibri" w:hAnsi="Times New Roman" w:cs="Times New Roman"/>
          <w:sz w:val="24"/>
          <w:szCs w:val="24"/>
          <w:lang w:val="bg-BG"/>
        </w:rPr>
        <w:t xml:space="preserve">регионалното сътрудничество в търговията и банковото дело, комуникациите, енергетиката, транспорта, земеделието, здравеопазването, екологията, борбата с организираната престъпност и др. Организацията </w:t>
      </w:r>
      <w:r w:rsidR="00EC20C3" w:rsidRPr="00610B1B">
        <w:rPr>
          <w:rFonts w:ascii="Times New Roman" w:eastAsia="Calibri" w:hAnsi="Times New Roman" w:cs="Times New Roman"/>
          <w:sz w:val="24"/>
          <w:szCs w:val="24"/>
          <w:lang w:val="bg-BG"/>
        </w:rPr>
        <w:t xml:space="preserve">постепенно се превръща </w:t>
      </w:r>
      <w:r w:rsidRPr="00610B1B">
        <w:rPr>
          <w:rFonts w:ascii="Times New Roman" w:eastAsia="Calibri" w:hAnsi="Times New Roman" w:cs="Times New Roman"/>
          <w:sz w:val="24"/>
          <w:szCs w:val="24"/>
          <w:lang w:val="bg-BG"/>
        </w:rPr>
        <w:t>от форум за обмен на идеи на междудържавно равнище, към движеща сила за иницииране и реализиране на конкретни проекти с програмно-ориентирано бюджетиране.</w:t>
      </w:r>
      <w:r w:rsidR="00B0756C" w:rsidRPr="00610B1B">
        <w:rPr>
          <w:rFonts w:ascii="Times New Roman" w:eastAsia="Calibri" w:hAnsi="Times New Roman" w:cs="Times New Roman"/>
          <w:sz w:val="24"/>
          <w:szCs w:val="24"/>
          <w:lang w:val="bg-BG"/>
        </w:rPr>
        <w:t xml:space="preserve"> </w:t>
      </w:r>
      <w:r w:rsidR="007779C5" w:rsidRPr="00610B1B">
        <w:rPr>
          <w:rFonts w:ascii="Times New Roman" w:eastAsia="Calibri" w:hAnsi="Times New Roman" w:cs="Times New Roman"/>
          <w:sz w:val="24"/>
          <w:szCs w:val="24"/>
          <w:lang w:val="bg-BG"/>
        </w:rPr>
        <w:t>В подкрепа на своята мисия т</w:t>
      </w:r>
      <w:r w:rsidR="00B0756C" w:rsidRPr="00610B1B">
        <w:rPr>
          <w:rFonts w:ascii="Times New Roman" w:eastAsia="Calibri" w:hAnsi="Times New Roman" w:cs="Times New Roman"/>
          <w:sz w:val="24"/>
          <w:szCs w:val="24"/>
          <w:lang w:val="bg-BG"/>
        </w:rPr>
        <w:t>я работи с допълнително създадените институции</w:t>
      </w:r>
      <w:r w:rsidR="007779C5" w:rsidRPr="00610B1B">
        <w:rPr>
          <w:rFonts w:ascii="Times New Roman" w:eastAsia="Calibri" w:hAnsi="Times New Roman" w:cs="Times New Roman"/>
          <w:sz w:val="24"/>
          <w:szCs w:val="24"/>
          <w:lang w:val="bg-BG"/>
        </w:rPr>
        <w:t>.</w:t>
      </w:r>
      <w:r w:rsidR="005B5860" w:rsidRPr="00610B1B">
        <w:rPr>
          <w:rFonts w:ascii="Times New Roman" w:eastAsia="Calibri" w:hAnsi="Times New Roman" w:cs="Times New Roman"/>
          <w:sz w:val="24"/>
          <w:szCs w:val="24"/>
          <w:lang w:val="bg-BG"/>
        </w:rPr>
        <w:t xml:space="preserve"> </w:t>
      </w:r>
      <w:r w:rsidR="00B0756C" w:rsidRPr="00610B1B">
        <w:rPr>
          <w:rFonts w:ascii="Times New Roman" w:hAnsi="Times New Roman" w:cs="Times New Roman"/>
          <w:sz w:val="24"/>
          <w:szCs w:val="24"/>
          <w:lang w:val="bg-BG"/>
        </w:rPr>
        <w:t>Парламентарната асамблея на Черноморското икономическо сътрудничество (PABSEC)</w:t>
      </w:r>
      <w:r w:rsidR="00B0756C" w:rsidRPr="00610B1B">
        <w:rPr>
          <w:rStyle w:val="FootnoteReference"/>
          <w:rFonts w:ascii="Times New Roman" w:hAnsi="Times New Roman" w:cs="Times New Roman"/>
          <w:sz w:val="24"/>
          <w:szCs w:val="24"/>
          <w:lang w:val="bg-BG"/>
        </w:rPr>
        <w:footnoteReference w:id="162"/>
      </w:r>
      <w:r w:rsidR="00B0756C" w:rsidRPr="00610B1B">
        <w:rPr>
          <w:rFonts w:ascii="Times New Roman" w:hAnsi="Times New Roman" w:cs="Times New Roman"/>
          <w:sz w:val="24"/>
          <w:szCs w:val="24"/>
          <w:lang w:val="bg-BG"/>
        </w:rPr>
        <w:t xml:space="preserve"> осигурява правна основа за икономическо, търговско, социално, културно и политическо сътрудничество между страните членки и работи с три специализирани комисии - Комисия по икономически, търговски, технологични и екологични въпроси; Комитет по правни и политически въпроси и Комитет по културни, образователни и социални въпроси. </w:t>
      </w:r>
    </w:p>
    <w:p w14:paraId="7BD80CFF" w14:textId="14D60104" w:rsidR="00B0756C" w:rsidRPr="00610B1B" w:rsidRDefault="00B0756C" w:rsidP="00D32D6A">
      <w:pPr>
        <w:autoSpaceDE w:val="0"/>
        <w:autoSpaceDN w:val="0"/>
        <w:adjustRightInd w:val="0"/>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Черноморската банка за търговия и развитие (ЧБТР) оказва финансова подкрепа на инициативи свързани с икономическото развитие и регионалното сътрудничество в Черноморския регион чрез търговско и проектно кредитиране, гаранции и дялово участие в частни предприятия и публични образувания в страните членки.</w:t>
      </w:r>
      <w:r w:rsidRPr="00610B1B">
        <w:rPr>
          <w:rStyle w:val="FootnoteReference"/>
          <w:rFonts w:ascii="Times New Roman" w:hAnsi="Times New Roman" w:cs="Times New Roman"/>
          <w:sz w:val="24"/>
          <w:szCs w:val="24"/>
          <w:lang w:val="bg-BG"/>
        </w:rPr>
        <w:footnoteReference w:id="163"/>
      </w:r>
      <w:r w:rsidR="00D66FE0" w:rsidRPr="00610B1B">
        <w:rPr>
          <w:rFonts w:ascii="Times New Roman" w:hAnsi="Times New Roman" w:cs="Times New Roman"/>
          <w:sz w:val="24"/>
          <w:szCs w:val="24"/>
          <w:lang w:val="bg-BG"/>
        </w:rPr>
        <w:t xml:space="preserve"> </w:t>
      </w:r>
    </w:p>
    <w:p w14:paraId="5FBDC984" w14:textId="223D47BF" w:rsidR="007779C5" w:rsidRPr="00610B1B" w:rsidRDefault="00B0756C"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Основаният през 1998 г. Международен център за черноморски изследвания (МЦЧИ) е нестопанска организация с основни цели научноизследователска и обучаваща дейност, фокусирана върху по-широкия регион на Черно море. Институцията </w:t>
      </w:r>
      <w:r w:rsidR="007779C5" w:rsidRPr="00610B1B">
        <w:rPr>
          <w:rFonts w:ascii="Times New Roman" w:hAnsi="Times New Roman" w:cs="Times New Roman"/>
          <w:sz w:val="24"/>
          <w:szCs w:val="24"/>
          <w:lang w:val="bg-BG"/>
        </w:rPr>
        <w:t xml:space="preserve">служи като мозъчен тръст на </w:t>
      </w:r>
      <w:r w:rsidRPr="00610B1B">
        <w:rPr>
          <w:rFonts w:ascii="Times New Roman" w:hAnsi="Times New Roman" w:cs="Times New Roman"/>
          <w:sz w:val="24"/>
          <w:szCs w:val="24"/>
          <w:lang w:val="bg-BG"/>
        </w:rPr>
        <w:t>Организацията на Черноморско</w:t>
      </w:r>
      <w:r w:rsidR="007779C5" w:rsidRPr="00610B1B">
        <w:rPr>
          <w:rFonts w:ascii="Times New Roman" w:hAnsi="Times New Roman" w:cs="Times New Roman"/>
          <w:sz w:val="24"/>
          <w:szCs w:val="24"/>
          <w:lang w:val="bg-BG"/>
        </w:rPr>
        <w:t xml:space="preserve">то икономическо сътрудничество и има за цел </w:t>
      </w:r>
      <w:r w:rsidRPr="00610B1B">
        <w:rPr>
          <w:rFonts w:ascii="Times New Roman" w:hAnsi="Times New Roman" w:cs="Times New Roman"/>
          <w:sz w:val="24"/>
          <w:szCs w:val="24"/>
          <w:lang w:val="bg-BG"/>
        </w:rPr>
        <w:t>утвърждаването на нов модел за насърчаване на принципите на устойчивото развитие и иновациите</w:t>
      </w:r>
      <w:r w:rsidR="007779C5" w:rsidRPr="00610B1B">
        <w:rPr>
          <w:rFonts w:ascii="Times New Roman" w:hAnsi="Times New Roman" w:cs="Times New Roman"/>
          <w:sz w:val="24"/>
          <w:szCs w:val="24"/>
          <w:lang w:val="bg-BG"/>
        </w:rPr>
        <w:t>.</w:t>
      </w:r>
      <w:r w:rsidRPr="00610B1B">
        <w:rPr>
          <w:rStyle w:val="FootnoteReference"/>
          <w:rFonts w:ascii="Times New Roman" w:hAnsi="Times New Roman" w:cs="Times New Roman"/>
          <w:sz w:val="24"/>
          <w:szCs w:val="24"/>
          <w:lang w:val="bg-BG"/>
        </w:rPr>
        <w:footnoteReference w:id="164"/>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Основните акценти в новия модел „Зелено Черно море“ са свързани с ефективното използване на природните ресурси, активиране и засилване на човешкия капитал и насърчаване на политическа и целево ориентирана рамка за перспективите за устойчиво развитие на региона, с особен акцент вър</w:t>
      </w:r>
      <w:r w:rsidR="007779C5" w:rsidRPr="00610B1B">
        <w:rPr>
          <w:rFonts w:ascii="Times New Roman" w:hAnsi="Times New Roman" w:cs="Times New Roman"/>
          <w:sz w:val="24"/>
          <w:szCs w:val="24"/>
          <w:lang w:val="bg-BG"/>
        </w:rPr>
        <w:t>ху регионалното сътрудничество.</w:t>
      </w:r>
    </w:p>
    <w:p w14:paraId="77F71361" w14:textId="4425F5D7" w:rsidR="00D3151E"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Ратифицирали </w:t>
      </w:r>
      <w:r w:rsidR="00D3151E" w:rsidRPr="00610B1B">
        <w:rPr>
          <w:rFonts w:ascii="Times New Roman" w:eastAsia="Calibri" w:hAnsi="Times New Roman" w:cs="Times New Roman"/>
          <w:sz w:val="24"/>
          <w:szCs w:val="24"/>
          <w:lang w:val="bg-BG"/>
        </w:rPr>
        <w:t xml:space="preserve">Конвенцията </w:t>
      </w:r>
      <w:r w:rsidRPr="00610B1B">
        <w:rPr>
          <w:rFonts w:ascii="Times New Roman" w:eastAsia="Calibri" w:hAnsi="Times New Roman" w:cs="Times New Roman"/>
          <w:sz w:val="24"/>
          <w:szCs w:val="24"/>
          <w:lang w:val="bg-BG"/>
        </w:rPr>
        <w:t xml:space="preserve">за опазване на Черно море от замърсяване, на базата на която е създадена </w:t>
      </w:r>
      <w:r w:rsidRPr="00610B1B">
        <w:rPr>
          <w:rFonts w:ascii="Times New Roman" w:eastAsia="Calibri" w:hAnsi="Times New Roman" w:cs="Times New Roman"/>
          <w:i/>
          <w:sz w:val="24"/>
          <w:szCs w:val="24"/>
          <w:lang w:val="bg-BG"/>
        </w:rPr>
        <w:t>Комисията по опазване на Черно море от замърсяване</w:t>
      </w:r>
      <w:r w:rsidR="00925561" w:rsidRPr="00610B1B">
        <w:rPr>
          <w:rStyle w:val="FootnoteReference"/>
          <w:rFonts w:ascii="Times New Roman" w:eastAsia="Calibri" w:hAnsi="Times New Roman" w:cs="Times New Roman"/>
          <w:i/>
          <w:sz w:val="24"/>
          <w:szCs w:val="24"/>
          <w:lang w:val="bg-BG"/>
        </w:rPr>
        <w:footnoteReference w:id="165"/>
      </w:r>
      <w:r w:rsidRPr="00610B1B">
        <w:rPr>
          <w:rFonts w:ascii="Times New Roman" w:eastAsia="Calibri" w:hAnsi="Times New Roman" w:cs="Times New Roman"/>
          <w:sz w:val="24"/>
          <w:szCs w:val="24"/>
          <w:lang w:val="bg-BG"/>
        </w:rPr>
        <w:t>, са шестте държави от Черноморския регион – България, Грузия, Румъния, Русия, Турция и Украйна. Комисията осъществява сътрудничество и консултации с други междуправителствени организации по въпросите за замърсяването на морето на глобално и регионално ниво. Анализът на работата на комисията показва, че след изготвени и приложени стратегически план и регионален план за действие</w:t>
      </w:r>
      <w:r w:rsidR="007779C5" w:rsidRPr="00610B1B">
        <w:rPr>
          <w:rFonts w:ascii="Times New Roman" w:eastAsia="Calibri" w:hAnsi="Times New Roman" w:cs="Times New Roman"/>
          <w:sz w:val="24"/>
          <w:szCs w:val="24"/>
          <w:lang w:val="bg-BG"/>
        </w:rPr>
        <w:t xml:space="preserve"> (2018 г.)</w:t>
      </w:r>
      <w:r w:rsidR="00EC20C3"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следващата стъпка е създаване на</w:t>
      </w:r>
      <w:r w:rsidR="00C93349" w:rsidRPr="00610B1B">
        <w:rPr>
          <w:rFonts w:ascii="Times New Roman" w:eastAsia="Calibri" w:hAnsi="Times New Roman" w:cs="Times New Roman"/>
          <w:sz w:val="24"/>
          <w:szCs w:val="24"/>
          <w:lang w:val="bg-BG"/>
        </w:rPr>
        <w:t xml:space="preserve"> дългосрочна </w:t>
      </w:r>
      <w:r w:rsidRPr="00610B1B">
        <w:rPr>
          <w:rFonts w:ascii="Times New Roman" w:eastAsia="Calibri" w:hAnsi="Times New Roman" w:cs="Times New Roman"/>
          <w:sz w:val="24"/>
          <w:szCs w:val="24"/>
          <w:lang w:val="bg-BG"/>
        </w:rPr>
        <w:t>програма за мониторинг</w:t>
      </w:r>
      <w:r w:rsidR="007779C5" w:rsidRPr="00610B1B">
        <w:rPr>
          <w:rFonts w:ascii="Times New Roman" w:eastAsia="Calibri" w:hAnsi="Times New Roman" w:cs="Times New Roman"/>
          <w:sz w:val="24"/>
          <w:szCs w:val="24"/>
          <w:lang w:val="bg-BG"/>
        </w:rPr>
        <w:t xml:space="preserve"> (2019 г.)</w:t>
      </w:r>
      <w:r w:rsidRPr="00610B1B">
        <w:rPr>
          <w:rFonts w:ascii="Times New Roman" w:eastAsia="Calibri" w:hAnsi="Times New Roman" w:cs="Times New Roman"/>
          <w:sz w:val="24"/>
          <w:szCs w:val="24"/>
          <w:lang w:val="bg-BG"/>
        </w:rPr>
        <w:t>.</w:t>
      </w:r>
      <w:r w:rsidR="007779C5" w:rsidRPr="00610B1B">
        <w:rPr>
          <w:rFonts w:ascii="Times New Roman" w:hAnsi="Times New Roman" w:cs="Times New Roman"/>
          <w:lang w:val="bg-BG"/>
        </w:rPr>
        <w:t xml:space="preserve"> </w:t>
      </w:r>
    </w:p>
    <w:p w14:paraId="29DDF38E" w14:textId="799EF1C7" w:rsidR="00D3151E" w:rsidRPr="00610B1B" w:rsidRDefault="0044257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Кризата с </w:t>
      </w:r>
      <w:r w:rsidR="00D3151E" w:rsidRPr="00610B1B">
        <w:rPr>
          <w:rFonts w:ascii="Times New Roman" w:eastAsia="Calibri" w:hAnsi="Times New Roman" w:cs="Times New Roman"/>
          <w:sz w:val="24"/>
          <w:szCs w:val="24"/>
          <w:lang w:val="bg-BG"/>
        </w:rPr>
        <w:t>Covid</w:t>
      </w:r>
      <w:r w:rsidR="003F3C59" w:rsidRPr="00610B1B">
        <w:rPr>
          <w:rFonts w:ascii="Times New Roman" w:eastAsia="Calibri" w:hAnsi="Times New Roman" w:cs="Times New Roman"/>
          <w:sz w:val="24"/>
          <w:szCs w:val="24"/>
          <w:lang w:val="bg-BG"/>
        </w:rPr>
        <w:t>-</w:t>
      </w:r>
      <w:r w:rsidR="00D3151E" w:rsidRPr="00610B1B">
        <w:rPr>
          <w:rFonts w:ascii="Times New Roman" w:eastAsia="Calibri" w:hAnsi="Times New Roman" w:cs="Times New Roman"/>
          <w:sz w:val="24"/>
          <w:szCs w:val="24"/>
          <w:lang w:val="bg-BG"/>
        </w:rPr>
        <w:t>19, която засегна значително и секторите на синята икономика,</w:t>
      </w:r>
      <w:r w:rsidR="00D66FE0" w:rsidRPr="00610B1B">
        <w:rPr>
          <w:rFonts w:ascii="Times New Roman" w:eastAsia="Calibri" w:hAnsi="Times New Roman" w:cs="Times New Roman"/>
          <w:sz w:val="24"/>
          <w:szCs w:val="24"/>
          <w:lang w:val="bg-BG"/>
        </w:rPr>
        <w:t xml:space="preserve"> </w:t>
      </w:r>
      <w:r w:rsidR="00D3151E" w:rsidRPr="00610B1B">
        <w:rPr>
          <w:rFonts w:ascii="Times New Roman" w:eastAsia="Calibri" w:hAnsi="Times New Roman" w:cs="Times New Roman"/>
          <w:sz w:val="24"/>
          <w:szCs w:val="24"/>
          <w:lang w:val="bg-BG"/>
        </w:rPr>
        <w:t>наложи</w:t>
      </w:r>
      <w:r w:rsidRPr="00610B1B">
        <w:rPr>
          <w:rFonts w:ascii="Times New Roman" w:eastAsia="Calibri" w:hAnsi="Times New Roman" w:cs="Times New Roman"/>
          <w:sz w:val="24"/>
          <w:szCs w:val="24"/>
          <w:lang w:val="bg-BG"/>
        </w:rPr>
        <w:t xml:space="preserve"> затв</w:t>
      </w:r>
      <w:r w:rsidR="00D3151E" w:rsidRPr="00610B1B">
        <w:rPr>
          <w:rFonts w:ascii="Times New Roman" w:eastAsia="Calibri" w:hAnsi="Times New Roman" w:cs="Times New Roman"/>
          <w:sz w:val="24"/>
          <w:szCs w:val="24"/>
          <w:lang w:val="bg-BG"/>
        </w:rPr>
        <w:t>аряне на</w:t>
      </w:r>
      <w:r w:rsidRPr="00610B1B">
        <w:rPr>
          <w:rFonts w:ascii="Times New Roman" w:eastAsia="Calibri" w:hAnsi="Times New Roman" w:cs="Times New Roman"/>
          <w:sz w:val="24"/>
          <w:szCs w:val="24"/>
          <w:lang w:val="bg-BG"/>
        </w:rPr>
        <w:t xml:space="preserve"> държавните граници и прекъс</w:t>
      </w:r>
      <w:r w:rsidR="00D3151E" w:rsidRPr="00610B1B">
        <w:rPr>
          <w:rFonts w:ascii="Times New Roman" w:eastAsia="Calibri" w:hAnsi="Times New Roman" w:cs="Times New Roman"/>
          <w:sz w:val="24"/>
          <w:szCs w:val="24"/>
          <w:lang w:val="bg-BG"/>
        </w:rPr>
        <w:t>ване на</w:t>
      </w:r>
      <w:r w:rsidRPr="00610B1B">
        <w:rPr>
          <w:rFonts w:ascii="Times New Roman" w:eastAsia="Calibri" w:hAnsi="Times New Roman" w:cs="Times New Roman"/>
          <w:sz w:val="24"/>
          <w:szCs w:val="24"/>
          <w:lang w:val="bg-BG"/>
        </w:rPr>
        <w:t xml:space="preserve"> международния обмен на хора и товари</w:t>
      </w:r>
      <w:r w:rsidR="00D3151E" w:rsidRPr="00610B1B">
        <w:rPr>
          <w:rFonts w:ascii="Times New Roman" w:eastAsia="Calibri" w:hAnsi="Times New Roman" w:cs="Times New Roman"/>
          <w:sz w:val="24"/>
          <w:szCs w:val="24"/>
          <w:lang w:val="bg-BG"/>
        </w:rPr>
        <w:t>, поради спиране на морския трафик</w:t>
      </w:r>
      <w:r w:rsidRPr="00610B1B">
        <w:rPr>
          <w:rFonts w:ascii="Times New Roman" w:eastAsia="Calibri" w:hAnsi="Times New Roman" w:cs="Times New Roman"/>
          <w:sz w:val="24"/>
          <w:szCs w:val="24"/>
          <w:lang w:val="bg-BG"/>
        </w:rPr>
        <w:t>. Социално-икономическият живот беше ограничен от рестриктивни мерки, които действаха заедно с мерки</w:t>
      </w:r>
      <w:r w:rsidR="00D3151E" w:rsidRPr="00610B1B">
        <w:rPr>
          <w:rFonts w:ascii="Times New Roman" w:eastAsia="Calibri" w:hAnsi="Times New Roman" w:cs="Times New Roman"/>
          <w:sz w:val="24"/>
          <w:szCs w:val="24"/>
          <w:lang w:val="bg-BG"/>
        </w:rPr>
        <w:t xml:space="preserve"> за </w:t>
      </w:r>
      <w:r w:rsidRPr="00610B1B">
        <w:rPr>
          <w:rFonts w:ascii="Times New Roman" w:eastAsia="Calibri" w:hAnsi="Times New Roman" w:cs="Times New Roman"/>
          <w:sz w:val="24"/>
          <w:szCs w:val="24"/>
          <w:lang w:val="bg-BG"/>
        </w:rPr>
        <w:t>подпомагане на националните икономики и най-пострадалите групи от населението. Те бяха ориентиран</w:t>
      </w:r>
      <w:r w:rsidR="00EC20C3" w:rsidRPr="00610B1B">
        <w:rPr>
          <w:rFonts w:ascii="Times New Roman" w:eastAsia="Calibri" w:hAnsi="Times New Roman" w:cs="Times New Roman"/>
          <w:sz w:val="24"/>
          <w:szCs w:val="24"/>
          <w:lang w:val="bg-BG"/>
        </w:rPr>
        <w:t>и</w:t>
      </w:r>
      <w:r w:rsidRPr="00610B1B">
        <w:rPr>
          <w:rFonts w:ascii="Times New Roman" w:eastAsia="Calibri" w:hAnsi="Times New Roman" w:cs="Times New Roman"/>
          <w:sz w:val="24"/>
          <w:szCs w:val="24"/>
          <w:lang w:val="bg-BG"/>
        </w:rPr>
        <w:t xml:space="preserve"> към вътрешните проблеми и трансграничните контакти останаха на заден план. С облекчаване на рестрикциите</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и преодоляване на първоначалния шок се очаква да започне възстановяване </w:t>
      </w:r>
      <w:r w:rsidR="00EC20C3" w:rsidRPr="00610B1B">
        <w:rPr>
          <w:rFonts w:ascii="Times New Roman" w:eastAsia="Calibri" w:hAnsi="Times New Roman" w:cs="Times New Roman"/>
          <w:sz w:val="24"/>
          <w:szCs w:val="24"/>
          <w:lang w:val="bg-BG"/>
        </w:rPr>
        <w:t xml:space="preserve">на </w:t>
      </w:r>
      <w:r w:rsidRPr="00610B1B">
        <w:rPr>
          <w:rFonts w:ascii="Times New Roman" w:eastAsia="Calibri" w:hAnsi="Times New Roman" w:cs="Times New Roman"/>
          <w:sz w:val="24"/>
          <w:szCs w:val="24"/>
          <w:lang w:val="bg-BG"/>
        </w:rPr>
        <w:t>интензивността и на трансграничното сътрудничество, като един от основните инструменти за социално-икономическо разви</w:t>
      </w:r>
      <w:r w:rsidR="009450A4" w:rsidRPr="00610B1B">
        <w:rPr>
          <w:rFonts w:ascii="Times New Roman" w:eastAsia="Calibri" w:hAnsi="Times New Roman" w:cs="Times New Roman"/>
          <w:sz w:val="24"/>
          <w:szCs w:val="24"/>
          <w:lang w:val="bg-BG"/>
        </w:rPr>
        <w:t xml:space="preserve">тие. </w:t>
      </w:r>
    </w:p>
    <w:p w14:paraId="7E89F547" w14:textId="5096F9C3" w:rsidR="00D3151E" w:rsidRPr="00610B1B" w:rsidRDefault="009450A4"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Зелен</w:t>
      </w:r>
      <w:r w:rsidR="00341579" w:rsidRPr="00610B1B">
        <w:rPr>
          <w:rFonts w:ascii="Times New Roman" w:eastAsia="Calibri" w:hAnsi="Times New Roman" w:cs="Times New Roman"/>
          <w:sz w:val="24"/>
          <w:szCs w:val="24"/>
          <w:lang w:val="bg-BG"/>
        </w:rPr>
        <w:t>ата сделка</w:t>
      </w:r>
      <w:r w:rsidRPr="00610B1B">
        <w:rPr>
          <w:rFonts w:ascii="Times New Roman" w:eastAsia="Calibri" w:hAnsi="Times New Roman" w:cs="Times New Roman"/>
          <w:sz w:val="24"/>
          <w:szCs w:val="24"/>
          <w:lang w:val="bg-BG"/>
        </w:rPr>
        <w:t xml:space="preserve"> се очертава</w:t>
      </w:r>
      <w:r w:rsidR="00442579" w:rsidRPr="00610B1B">
        <w:rPr>
          <w:rFonts w:ascii="Times New Roman" w:eastAsia="Calibri" w:hAnsi="Times New Roman" w:cs="Times New Roman"/>
          <w:sz w:val="24"/>
          <w:szCs w:val="24"/>
          <w:lang w:val="bg-BG"/>
        </w:rPr>
        <w:t xml:space="preserve"> като основна стратегия з</w:t>
      </w:r>
      <w:r w:rsidR="00D04DCD" w:rsidRPr="00610B1B">
        <w:rPr>
          <w:rFonts w:ascii="Times New Roman" w:eastAsia="Calibri" w:hAnsi="Times New Roman" w:cs="Times New Roman"/>
          <w:sz w:val="24"/>
          <w:szCs w:val="24"/>
          <w:lang w:val="bg-BG"/>
        </w:rPr>
        <w:t xml:space="preserve">а развитие на Европейския съюз. </w:t>
      </w:r>
      <w:r w:rsidR="00442579" w:rsidRPr="00610B1B">
        <w:rPr>
          <w:rFonts w:ascii="Times New Roman" w:eastAsia="Calibri" w:hAnsi="Times New Roman" w:cs="Times New Roman"/>
          <w:sz w:val="24"/>
          <w:szCs w:val="24"/>
          <w:lang w:val="bg-BG"/>
        </w:rPr>
        <w:t>Огромният финансов ресурс</w:t>
      </w:r>
      <w:r w:rsidR="00EC20C3" w:rsidRPr="00610B1B">
        <w:rPr>
          <w:rFonts w:ascii="Times New Roman" w:eastAsia="Calibri" w:hAnsi="Times New Roman" w:cs="Times New Roman"/>
          <w:sz w:val="24"/>
          <w:szCs w:val="24"/>
          <w:lang w:val="bg-BG"/>
        </w:rPr>
        <w:t>,</w:t>
      </w:r>
      <w:r w:rsidR="00442579" w:rsidRPr="00610B1B">
        <w:rPr>
          <w:rFonts w:ascii="Times New Roman" w:eastAsia="Calibri" w:hAnsi="Times New Roman" w:cs="Times New Roman"/>
          <w:sz w:val="24"/>
          <w:szCs w:val="24"/>
          <w:lang w:val="bg-BG"/>
        </w:rPr>
        <w:t xml:space="preserve"> отделен за нисковъглеродна икономика и икономическо възстановяване, на европейско и национално ниво, допълнително ще засили развитието на трансграничното сътрудничество по Европейски</w:t>
      </w:r>
      <w:r w:rsidR="00C9400B" w:rsidRPr="00610B1B">
        <w:rPr>
          <w:rFonts w:ascii="Times New Roman" w:eastAsia="Calibri" w:hAnsi="Times New Roman" w:cs="Times New Roman"/>
          <w:sz w:val="24"/>
          <w:szCs w:val="24"/>
          <w:lang w:val="bg-BG"/>
        </w:rPr>
        <w:t>я</w:t>
      </w:r>
      <w:r w:rsidR="00442579" w:rsidRPr="00610B1B">
        <w:rPr>
          <w:rFonts w:ascii="Times New Roman" w:eastAsia="Calibri" w:hAnsi="Times New Roman" w:cs="Times New Roman"/>
          <w:sz w:val="24"/>
          <w:szCs w:val="24"/>
          <w:lang w:val="bg-BG"/>
        </w:rPr>
        <w:t xml:space="preserve"> инструмент за съседство. Мерките по реализиране на Зелен</w:t>
      </w:r>
      <w:r w:rsidR="00C9400B" w:rsidRPr="00610B1B">
        <w:rPr>
          <w:rFonts w:ascii="Times New Roman" w:eastAsia="Calibri" w:hAnsi="Times New Roman" w:cs="Times New Roman"/>
          <w:sz w:val="24"/>
          <w:szCs w:val="24"/>
          <w:lang w:val="bg-BG"/>
        </w:rPr>
        <w:t>ата сделка</w:t>
      </w:r>
      <w:r w:rsidR="00D66FE0" w:rsidRPr="00610B1B">
        <w:rPr>
          <w:rFonts w:ascii="Times New Roman" w:eastAsia="Calibri" w:hAnsi="Times New Roman" w:cs="Times New Roman"/>
          <w:sz w:val="24"/>
          <w:szCs w:val="24"/>
          <w:lang w:val="bg-BG"/>
        </w:rPr>
        <w:t xml:space="preserve"> </w:t>
      </w:r>
      <w:r w:rsidR="00442579" w:rsidRPr="00610B1B">
        <w:rPr>
          <w:rFonts w:ascii="Times New Roman" w:eastAsia="Calibri" w:hAnsi="Times New Roman" w:cs="Times New Roman"/>
          <w:sz w:val="24"/>
          <w:szCs w:val="24"/>
          <w:lang w:val="bg-BG"/>
        </w:rPr>
        <w:t xml:space="preserve">ще окажат влияние и върху политиките на Организацията за Черноморско икономическо сътрудничество и Комисията за опазване на Черно море от замърсяване, тъй като две от участващите страни са членове на ЕС, </w:t>
      </w:r>
      <w:r w:rsidR="00442579" w:rsidRPr="00610B1B">
        <w:rPr>
          <w:rFonts w:ascii="Times New Roman" w:eastAsia="Calibri" w:hAnsi="Times New Roman" w:cs="Times New Roman"/>
          <w:sz w:val="24"/>
          <w:szCs w:val="24"/>
          <w:lang w:val="bg-BG"/>
        </w:rPr>
        <w:lastRenderedPageBreak/>
        <w:t>съюзът е основ</w:t>
      </w:r>
      <w:r w:rsidR="002A02CC" w:rsidRPr="00610B1B">
        <w:rPr>
          <w:rFonts w:ascii="Times New Roman" w:eastAsia="Calibri" w:hAnsi="Times New Roman" w:cs="Times New Roman"/>
          <w:sz w:val="24"/>
          <w:szCs w:val="24"/>
          <w:lang w:val="bg-BG"/>
        </w:rPr>
        <w:t>е</w:t>
      </w:r>
      <w:r w:rsidR="00442579" w:rsidRPr="00610B1B">
        <w:rPr>
          <w:rFonts w:ascii="Times New Roman" w:eastAsia="Calibri" w:hAnsi="Times New Roman" w:cs="Times New Roman"/>
          <w:sz w:val="24"/>
          <w:szCs w:val="24"/>
          <w:lang w:val="bg-BG"/>
        </w:rPr>
        <w:t>н партньор</w:t>
      </w:r>
      <w:r w:rsidR="002A02CC" w:rsidRPr="00610B1B">
        <w:rPr>
          <w:rFonts w:ascii="Times New Roman" w:eastAsia="Calibri" w:hAnsi="Times New Roman" w:cs="Times New Roman"/>
          <w:sz w:val="24"/>
          <w:szCs w:val="24"/>
          <w:lang w:val="bg-BG"/>
        </w:rPr>
        <w:t xml:space="preserve"> </w:t>
      </w:r>
      <w:r w:rsidR="00442579" w:rsidRPr="00610B1B">
        <w:rPr>
          <w:rFonts w:ascii="Times New Roman" w:eastAsia="Calibri" w:hAnsi="Times New Roman" w:cs="Times New Roman"/>
          <w:sz w:val="24"/>
          <w:szCs w:val="24"/>
          <w:lang w:val="bg-BG"/>
        </w:rPr>
        <w:t>на двете организации</w:t>
      </w:r>
      <w:r w:rsidR="00D3151E" w:rsidRPr="00610B1B">
        <w:rPr>
          <w:rFonts w:ascii="Times New Roman" w:eastAsia="Calibri" w:hAnsi="Times New Roman" w:cs="Times New Roman"/>
          <w:sz w:val="24"/>
          <w:szCs w:val="24"/>
          <w:lang w:val="bg-BG"/>
        </w:rPr>
        <w:t xml:space="preserve"> и </w:t>
      </w:r>
      <w:r w:rsidR="002B3D05" w:rsidRPr="00610B1B">
        <w:rPr>
          <w:rFonts w:ascii="Times New Roman" w:eastAsia="Calibri" w:hAnsi="Times New Roman" w:cs="Times New Roman"/>
          <w:sz w:val="24"/>
          <w:szCs w:val="24"/>
          <w:lang w:val="bg-BG"/>
        </w:rPr>
        <w:t>се очаква синята икономика да допринесе значително за постигане на амбицио</w:t>
      </w:r>
      <w:r w:rsidR="00C9400B" w:rsidRPr="00610B1B">
        <w:rPr>
          <w:rFonts w:ascii="Times New Roman" w:eastAsia="Calibri" w:hAnsi="Times New Roman" w:cs="Times New Roman"/>
          <w:sz w:val="24"/>
          <w:szCs w:val="24"/>
          <w:lang w:val="bg-BG"/>
        </w:rPr>
        <w:t>з</w:t>
      </w:r>
      <w:r w:rsidR="002B3D05" w:rsidRPr="00610B1B">
        <w:rPr>
          <w:rFonts w:ascii="Times New Roman" w:eastAsia="Calibri" w:hAnsi="Times New Roman" w:cs="Times New Roman"/>
          <w:sz w:val="24"/>
          <w:szCs w:val="24"/>
          <w:lang w:val="bg-BG"/>
        </w:rPr>
        <w:t xml:space="preserve">ните цели на документа до 2050 г. </w:t>
      </w:r>
    </w:p>
    <w:p w14:paraId="6E873217" w14:textId="4906BE9B" w:rsidR="002B3D05" w:rsidRPr="00610B1B" w:rsidRDefault="00C619EB"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Европейската Директива 2014/89/ЕС, за създаване на рамка за МПП</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се счита не само за стъпка напред към приемането на принципите и добрите практики на </w:t>
      </w:r>
      <w:r w:rsidR="00CE5067" w:rsidRPr="00610B1B">
        <w:rPr>
          <w:rFonts w:ascii="Times New Roman" w:eastAsia="Calibri" w:hAnsi="Times New Roman" w:cs="Times New Roman"/>
          <w:sz w:val="24"/>
          <w:szCs w:val="24"/>
          <w:lang w:val="bg-BG"/>
        </w:rPr>
        <w:t>морско пространствено планиране</w:t>
      </w:r>
      <w:r w:rsidRPr="00610B1B">
        <w:rPr>
          <w:rFonts w:ascii="Times New Roman" w:eastAsia="Calibri" w:hAnsi="Times New Roman" w:cs="Times New Roman"/>
          <w:sz w:val="24"/>
          <w:szCs w:val="24"/>
          <w:lang w:val="bg-BG"/>
        </w:rPr>
        <w:t xml:space="preserve"> от държавите-членки на ЕС, но и за гарант за</w:t>
      </w:r>
      <w:r w:rsidR="00D66FE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по-ефективно и устойчиво развитие на морските и крайбрежните ресурси, и засилване на трансграничното сътрудничество по морските въпроси. В Директивата трансграничното сътрудничество е дефинирано по отношение на държавите-членки или с трети страни в съответните морски региони в съответствие с международното право</w:t>
      </w:r>
      <w:r w:rsidR="002B3D05" w:rsidRPr="00610B1B">
        <w:rPr>
          <w:rFonts w:ascii="Times New Roman" w:eastAsia="Calibri" w:hAnsi="Times New Roman" w:cs="Times New Roman"/>
          <w:sz w:val="24"/>
          <w:szCs w:val="24"/>
          <w:lang w:val="bg-BG"/>
        </w:rPr>
        <w:t xml:space="preserve"> (Член 11). Това </w:t>
      </w:r>
      <w:r w:rsidRPr="00610B1B">
        <w:rPr>
          <w:rFonts w:ascii="Times New Roman" w:eastAsia="Calibri" w:hAnsi="Times New Roman" w:cs="Times New Roman"/>
          <w:sz w:val="24"/>
          <w:szCs w:val="24"/>
          <w:lang w:val="bg-BG"/>
        </w:rPr>
        <w:t xml:space="preserve">сътрудничество ще се осъществява </w:t>
      </w:r>
      <w:r w:rsidR="00CE5067" w:rsidRPr="00610B1B">
        <w:rPr>
          <w:rFonts w:ascii="Times New Roman" w:eastAsia="Calibri" w:hAnsi="Times New Roman" w:cs="Times New Roman"/>
          <w:sz w:val="24"/>
          <w:szCs w:val="24"/>
          <w:lang w:val="bg-BG"/>
        </w:rPr>
        <w:t>посредством</w:t>
      </w:r>
      <w:r w:rsidRPr="00610B1B">
        <w:rPr>
          <w:rFonts w:ascii="Times New Roman" w:eastAsia="Calibri" w:hAnsi="Times New Roman" w:cs="Times New Roman"/>
          <w:sz w:val="24"/>
          <w:szCs w:val="24"/>
          <w:lang w:val="bg-BG"/>
        </w:rPr>
        <w:t xml:space="preserve"> съществуващи структури за регионално институционално сътрудничество (напр. регионални морски конвенции); мрежи/структури на компетентните органи на държавите-членки; и/или всеки друг метод (например макростратегии за морски басейн).</w:t>
      </w:r>
    </w:p>
    <w:p w14:paraId="49BEC1DA" w14:textId="34A1F0DA" w:rsidR="00C9400B" w:rsidRPr="00610B1B" w:rsidRDefault="00C619EB"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Морското пространствено планиране </w:t>
      </w:r>
      <w:r w:rsidR="00105A09" w:rsidRPr="00610B1B">
        <w:rPr>
          <w:rFonts w:ascii="Times New Roman" w:eastAsia="Calibri" w:hAnsi="Times New Roman" w:cs="Times New Roman"/>
          <w:sz w:val="24"/>
          <w:szCs w:val="24"/>
          <w:lang w:val="bg-BG"/>
        </w:rPr>
        <w:t xml:space="preserve">освен за </w:t>
      </w:r>
      <w:r w:rsidRPr="00610B1B">
        <w:rPr>
          <w:rFonts w:ascii="Times New Roman" w:eastAsia="Calibri" w:hAnsi="Times New Roman" w:cs="Times New Roman"/>
          <w:sz w:val="24"/>
          <w:szCs w:val="24"/>
          <w:lang w:val="bg-BG"/>
        </w:rPr>
        <w:t>пространствен анализ</w:t>
      </w:r>
      <w:r w:rsidR="00105A09" w:rsidRPr="00610B1B">
        <w:rPr>
          <w:rFonts w:ascii="Times New Roman" w:eastAsia="Calibri" w:hAnsi="Times New Roman" w:cs="Times New Roman"/>
          <w:sz w:val="24"/>
          <w:szCs w:val="24"/>
          <w:lang w:val="bg-BG"/>
        </w:rPr>
        <w:t xml:space="preserve"> се използва</w:t>
      </w:r>
      <w:r w:rsidRPr="00610B1B">
        <w:rPr>
          <w:rFonts w:ascii="Times New Roman" w:eastAsia="Calibri" w:hAnsi="Times New Roman" w:cs="Times New Roman"/>
          <w:sz w:val="24"/>
          <w:szCs w:val="24"/>
          <w:lang w:val="bg-BG"/>
        </w:rPr>
        <w:t xml:space="preserve"> и за очертаване на границите на морските дейности или екосистеми в морските райони, които не </w:t>
      </w:r>
      <w:r w:rsidR="00105A09" w:rsidRPr="00610B1B">
        <w:rPr>
          <w:rFonts w:ascii="Times New Roman" w:eastAsia="Calibri" w:hAnsi="Times New Roman" w:cs="Times New Roman"/>
          <w:sz w:val="24"/>
          <w:szCs w:val="24"/>
          <w:lang w:val="bg-BG"/>
        </w:rPr>
        <w:t>всякога съвпадат с</w:t>
      </w:r>
      <w:r w:rsidRPr="00610B1B">
        <w:rPr>
          <w:rFonts w:ascii="Times New Roman" w:eastAsia="Calibri" w:hAnsi="Times New Roman" w:cs="Times New Roman"/>
          <w:sz w:val="24"/>
          <w:szCs w:val="24"/>
          <w:lang w:val="bg-BG"/>
        </w:rPr>
        <w:t xml:space="preserve"> държавните и регионални граници. Замърсяването на морската околна среда също не</w:t>
      </w:r>
      <w:r w:rsidR="00105A09" w:rsidRPr="00610B1B">
        <w:rPr>
          <w:rFonts w:ascii="Times New Roman" w:eastAsia="Calibri" w:hAnsi="Times New Roman" w:cs="Times New Roman"/>
          <w:sz w:val="24"/>
          <w:szCs w:val="24"/>
          <w:lang w:val="bg-BG"/>
        </w:rPr>
        <w:t xml:space="preserve"> признава държавни граници. В </w:t>
      </w:r>
      <w:r w:rsidRPr="00610B1B">
        <w:rPr>
          <w:rFonts w:ascii="Times New Roman" w:eastAsia="Calibri" w:hAnsi="Times New Roman" w:cs="Times New Roman"/>
          <w:sz w:val="24"/>
          <w:szCs w:val="24"/>
          <w:lang w:val="bg-BG"/>
        </w:rPr>
        <w:t>този контекст трансграничното сътрудничество в МПП предоставя възможност за подобряване на ефективността на планирането и управлението на крайбрежните и морските ресурси и дейности</w:t>
      </w:r>
      <w:r w:rsidR="002B3D05" w:rsidRPr="00610B1B">
        <w:rPr>
          <w:rFonts w:ascii="Times New Roman" w:eastAsia="Calibri" w:hAnsi="Times New Roman" w:cs="Times New Roman"/>
          <w:sz w:val="24"/>
          <w:szCs w:val="24"/>
          <w:lang w:val="bg-BG"/>
        </w:rPr>
        <w:t xml:space="preserve"> и постигане и поддържане на добро състояние на морската околна среда</w:t>
      </w:r>
      <w:r w:rsidRPr="00610B1B">
        <w:rPr>
          <w:rFonts w:ascii="Times New Roman" w:eastAsia="Calibri" w:hAnsi="Times New Roman" w:cs="Times New Roman"/>
          <w:sz w:val="24"/>
          <w:szCs w:val="24"/>
          <w:lang w:val="bg-BG"/>
        </w:rPr>
        <w:t xml:space="preserve">. </w:t>
      </w:r>
      <w:r w:rsidR="002B3D05" w:rsidRPr="00610B1B">
        <w:rPr>
          <w:rFonts w:ascii="Times New Roman" w:eastAsia="Calibri" w:hAnsi="Times New Roman" w:cs="Times New Roman"/>
          <w:sz w:val="24"/>
          <w:szCs w:val="24"/>
          <w:lang w:val="bg-BG"/>
        </w:rPr>
        <w:t xml:space="preserve">Това е особено важно за Черноморския регион, тъй като </w:t>
      </w:r>
      <w:r w:rsidR="00954279" w:rsidRPr="00610B1B">
        <w:rPr>
          <w:rFonts w:ascii="Times New Roman" w:eastAsia="Calibri" w:hAnsi="Times New Roman" w:cs="Times New Roman"/>
          <w:sz w:val="24"/>
          <w:szCs w:val="24"/>
          <w:lang w:val="bg-BG"/>
        </w:rPr>
        <w:t>около 7</w:t>
      </w:r>
      <w:r w:rsidR="002B3D05" w:rsidRPr="00610B1B">
        <w:rPr>
          <w:rFonts w:ascii="Times New Roman" w:eastAsia="Calibri" w:hAnsi="Times New Roman" w:cs="Times New Roman"/>
          <w:sz w:val="24"/>
          <w:szCs w:val="24"/>
          <w:lang w:val="bg-BG"/>
        </w:rPr>
        <w:t>0% от замърсяването се пренася от вливащите се големи европейски реки в Черно море.</w:t>
      </w:r>
    </w:p>
    <w:p w14:paraId="5A195717" w14:textId="2BE9BF21" w:rsidR="00C9400B" w:rsidRPr="00610B1B" w:rsidRDefault="00105A09"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Проектът </w:t>
      </w:r>
      <w:r w:rsidR="00C619EB" w:rsidRPr="00610B1B">
        <w:rPr>
          <w:rFonts w:ascii="Times New Roman" w:eastAsia="Calibri" w:hAnsi="Times New Roman" w:cs="Times New Roman"/>
          <w:sz w:val="24"/>
          <w:szCs w:val="24"/>
          <w:lang w:val="bg-BG"/>
        </w:rPr>
        <w:t>MARSPLAN-BS</w:t>
      </w:r>
      <w:r w:rsidR="00925561" w:rsidRPr="00610B1B">
        <w:rPr>
          <w:rStyle w:val="FootnoteReference"/>
          <w:rFonts w:ascii="Times New Roman" w:eastAsia="Calibri" w:hAnsi="Times New Roman" w:cs="Times New Roman"/>
          <w:sz w:val="24"/>
          <w:szCs w:val="24"/>
          <w:lang w:val="bg-BG"/>
        </w:rPr>
        <w:footnoteReference w:id="166"/>
      </w:r>
      <w:r w:rsidRPr="00610B1B">
        <w:rPr>
          <w:rFonts w:ascii="Times New Roman" w:eastAsia="Calibri" w:hAnsi="Times New Roman" w:cs="Times New Roman"/>
          <w:sz w:val="24"/>
          <w:szCs w:val="24"/>
          <w:lang w:val="bg-BG"/>
        </w:rPr>
        <w:t xml:space="preserve">, съфинансиран от Европейския съюз подпомага създаването </w:t>
      </w:r>
      <w:r w:rsidR="00C619EB" w:rsidRPr="00610B1B">
        <w:rPr>
          <w:rFonts w:ascii="Times New Roman" w:eastAsia="Calibri" w:hAnsi="Times New Roman" w:cs="Times New Roman"/>
          <w:sz w:val="24"/>
          <w:szCs w:val="24"/>
          <w:lang w:val="bg-BG"/>
        </w:rPr>
        <w:t>на институционална рамка за трансгранично морско пространствено планиране, насърчава развитието на сътрудничеството със съседните държави в Черноморския регион и по-специално консолидиране на трансграничното сътрудничество и обмен на информация между Румъния и България.</w:t>
      </w:r>
      <w:r w:rsidRPr="00610B1B">
        <w:rPr>
          <w:rFonts w:ascii="Times New Roman" w:eastAsia="Calibri" w:hAnsi="Times New Roman" w:cs="Times New Roman"/>
          <w:sz w:val="24"/>
          <w:szCs w:val="24"/>
          <w:lang w:val="bg-BG"/>
        </w:rPr>
        <w:t xml:space="preserve"> Продължението на</w:t>
      </w:r>
      <w:r w:rsidR="00C619EB" w:rsidRPr="00610B1B">
        <w:rPr>
          <w:rFonts w:ascii="Times New Roman" w:eastAsia="Calibri" w:hAnsi="Times New Roman" w:cs="Times New Roman"/>
          <w:sz w:val="24"/>
          <w:szCs w:val="24"/>
          <w:lang w:val="bg-BG"/>
        </w:rPr>
        <w:t xml:space="preserve"> проект</w:t>
      </w:r>
      <w:r w:rsidRPr="00610B1B">
        <w:rPr>
          <w:rFonts w:ascii="Times New Roman" w:eastAsia="Calibri" w:hAnsi="Times New Roman" w:cs="Times New Roman"/>
          <w:sz w:val="24"/>
          <w:szCs w:val="24"/>
          <w:lang w:val="bg-BG"/>
        </w:rPr>
        <w:t>а</w:t>
      </w:r>
      <w:r w:rsidR="00C619EB" w:rsidRPr="00610B1B">
        <w:rPr>
          <w:rFonts w:ascii="Times New Roman" w:eastAsia="Calibri" w:hAnsi="Times New Roman" w:cs="Times New Roman"/>
          <w:sz w:val="24"/>
          <w:szCs w:val="24"/>
          <w:lang w:val="bg-BG"/>
        </w:rPr>
        <w:t xml:space="preserve"> MARSPLAN-BS II</w:t>
      </w:r>
      <w:r w:rsidR="00925561" w:rsidRPr="00610B1B">
        <w:rPr>
          <w:rStyle w:val="FootnoteReference"/>
          <w:rFonts w:ascii="Times New Roman" w:eastAsia="Calibri" w:hAnsi="Times New Roman" w:cs="Times New Roman"/>
          <w:sz w:val="24"/>
          <w:szCs w:val="24"/>
          <w:lang w:val="bg-BG"/>
        </w:rPr>
        <w:footnoteReference w:id="167"/>
      </w:r>
      <w:r w:rsidR="00C619EB" w:rsidRPr="00610B1B">
        <w:rPr>
          <w:rFonts w:ascii="Times New Roman" w:eastAsia="Calibri" w:hAnsi="Times New Roman" w:cs="Times New Roman"/>
          <w:sz w:val="24"/>
          <w:szCs w:val="24"/>
          <w:lang w:val="bg-BG"/>
        </w:rPr>
        <w:t xml:space="preserve"> </w:t>
      </w:r>
      <w:r w:rsidR="00BA5862" w:rsidRPr="00610B1B">
        <w:rPr>
          <w:rFonts w:ascii="Times New Roman" w:eastAsia="Calibri" w:hAnsi="Times New Roman" w:cs="Times New Roman"/>
          <w:sz w:val="24"/>
          <w:szCs w:val="24"/>
          <w:lang w:val="bg-BG"/>
        </w:rPr>
        <w:t>обединява</w:t>
      </w:r>
      <w:r w:rsidR="00C619EB" w:rsidRPr="00610B1B">
        <w:rPr>
          <w:rFonts w:ascii="Times New Roman" w:eastAsia="Calibri" w:hAnsi="Times New Roman" w:cs="Times New Roman"/>
          <w:sz w:val="24"/>
          <w:szCs w:val="24"/>
          <w:lang w:val="bg-BG"/>
        </w:rPr>
        <w:t xml:space="preserve"> компетентните органи от двете съседни държави-членки в </w:t>
      </w:r>
      <w:r w:rsidRPr="00610B1B">
        <w:rPr>
          <w:rFonts w:ascii="Times New Roman" w:eastAsia="Calibri" w:hAnsi="Times New Roman" w:cs="Times New Roman"/>
          <w:sz w:val="24"/>
          <w:szCs w:val="24"/>
          <w:lang w:val="bg-BG"/>
        </w:rPr>
        <w:t xml:space="preserve">прилагането </w:t>
      </w:r>
      <w:r w:rsidR="00C619EB" w:rsidRPr="00610B1B">
        <w:rPr>
          <w:rFonts w:ascii="Times New Roman" w:eastAsia="Calibri" w:hAnsi="Times New Roman" w:cs="Times New Roman"/>
          <w:sz w:val="24"/>
          <w:szCs w:val="24"/>
          <w:lang w:val="bg-BG"/>
        </w:rPr>
        <w:t xml:space="preserve">на </w:t>
      </w:r>
      <w:r w:rsidRPr="00610B1B">
        <w:rPr>
          <w:rFonts w:ascii="Times New Roman" w:eastAsia="Calibri" w:hAnsi="Times New Roman" w:cs="Times New Roman"/>
          <w:sz w:val="24"/>
          <w:szCs w:val="24"/>
          <w:lang w:val="bg-BG"/>
        </w:rPr>
        <w:t>коо</w:t>
      </w:r>
      <w:r w:rsidR="002B3D05" w:rsidRPr="00610B1B">
        <w:rPr>
          <w:rFonts w:ascii="Times New Roman" w:eastAsia="Calibri" w:hAnsi="Times New Roman" w:cs="Times New Roman"/>
          <w:sz w:val="24"/>
          <w:szCs w:val="24"/>
          <w:lang w:val="bg-BG"/>
        </w:rPr>
        <w:t>р</w:t>
      </w:r>
      <w:r w:rsidRPr="00610B1B">
        <w:rPr>
          <w:rFonts w:ascii="Times New Roman" w:eastAsia="Calibri" w:hAnsi="Times New Roman" w:cs="Times New Roman"/>
          <w:sz w:val="24"/>
          <w:szCs w:val="24"/>
          <w:lang w:val="bg-BG"/>
        </w:rPr>
        <w:t xml:space="preserve">диниран </w:t>
      </w:r>
      <w:r w:rsidR="00C619EB" w:rsidRPr="00610B1B">
        <w:rPr>
          <w:rFonts w:ascii="Times New Roman" w:eastAsia="Calibri" w:hAnsi="Times New Roman" w:cs="Times New Roman"/>
          <w:sz w:val="24"/>
          <w:szCs w:val="24"/>
          <w:lang w:val="bg-BG"/>
        </w:rPr>
        <w:t>национален и трансграничен процес на мо</w:t>
      </w:r>
      <w:r w:rsidRPr="00610B1B">
        <w:rPr>
          <w:rFonts w:ascii="Times New Roman" w:eastAsia="Calibri" w:hAnsi="Times New Roman" w:cs="Times New Roman"/>
          <w:sz w:val="24"/>
          <w:szCs w:val="24"/>
          <w:lang w:val="bg-BG"/>
        </w:rPr>
        <w:t xml:space="preserve">рско пространствено планиране </w:t>
      </w:r>
      <w:r w:rsidR="00C619EB" w:rsidRPr="00610B1B">
        <w:rPr>
          <w:rFonts w:ascii="Times New Roman" w:eastAsia="Calibri" w:hAnsi="Times New Roman" w:cs="Times New Roman"/>
          <w:sz w:val="24"/>
          <w:szCs w:val="24"/>
          <w:lang w:val="bg-BG"/>
        </w:rPr>
        <w:t xml:space="preserve">и създаване на дълготраен механизъм за трансгранично сътрудничество </w:t>
      </w:r>
      <w:r w:rsidRPr="00610B1B">
        <w:rPr>
          <w:rFonts w:ascii="Times New Roman" w:eastAsia="Calibri" w:hAnsi="Times New Roman" w:cs="Times New Roman"/>
          <w:sz w:val="24"/>
          <w:szCs w:val="24"/>
          <w:lang w:val="bg-BG"/>
        </w:rPr>
        <w:t>в</w:t>
      </w:r>
      <w:r w:rsidR="00C619EB" w:rsidRPr="00610B1B">
        <w:rPr>
          <w:rFonts w:ascii="Times New Roman" w:eastAsia="Calibri" w:hAnsi="Times New Roman" w:cs="Times New Roman"/>
          <w:sz w:val="24"/>
          <w:szCs w:val="24"/>
          <w:lang w:val="bg-BG"/>
        </w:rPr>
        <w:t xml:space="preserve"> Черноморския басейн.</w:t>
      </w:r>
      <w:r w:rsidRPr="00610B1B">
        <w:rPr>
          <w:rFonts w:ascii="Times New Roman" w:eastAsia="Calibri" w:hAnsi="Times New Roman" w:cs="Times New Roman"/>
          <w:sz w:val="24"/>
          <w:szCs w:val="24"/>
          <w:lang w:val="bg-BG"/>
        </w:rPr>
        <w:t xml:space="preserve"> </w:t>
      </w:r>
      <w:r w:rsidR="00C619EB" w:rsidRPr="00610B1B">
        <w:rPr>
          <w:rFonts w:ascii="Times New Roman" w:eastAsia="Calibri" w:hAnsi="Times New Roman" w:cs="Times New Roman"/>
          <w:sz w:val="24"/>
          <w:szCs w:val="24"/>
          <w:lang w:val="bg-BG"/>
        </w:rPr>
        <w:t>Цялостната концепция на проекта се основава на общата визия в подкрепа на прилагането на морското пространствено планиране. В основата му</w:t>
      </w:r>
      <w:r w:rsidR="002B3D05" w:rsidRPr="00610B1B">
        <w:rPr>
          <w:rFonts w:ascii="Times New Roman" w:eastAsia="Calibri" w:hAnsi="Times New Roman" w:cs="Times New Roman"/>
          <w:sz w:val="24"/>
          <w:szCs w:val="24"/>
          <w:lang w:val="bg-BG"/>
        </w:rPr>
        <w:t xml:space="preserve"> са</w:t>
      </w:r>
      <w:r w:rsidR="00C619EB" w:rsidRPr="00610B1B">
        <w:rPr>
          <w:rFonts w:ascii="Times New Roman" w:eastAsia="Calibri" w:hAnsi="Times New Roman" w:cs="Times New Roman"/>
          <w:sz w:val="24"/>
          <w:szCs w:val="24"/>
          <w:lang w:val="bg-BG"/>
        </w:rPr>
        <w:t xml:space="preserve"> обща стратегия за устойчиво трансгранично сътрудничество, ясни законодателни и институционални рамки, цялостен екосистемен подход, интегрирана и актуализирана база данни, координирани системи за мониторинг и оценка и активно участие на заинтересованите страни.</w:t>
      </w:r>
    </w:p>
    <w:p w14:paraId="50761E2C" w14:textId="3AF18782" w:rsidR="000E7C6A" w:rsidRPr="00610B1B" w:rsidRDefault="00C619EB"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В Закона за морските пространства, вътрешните водни пътища и пристанищата на Република България е определено като задължително сътрудничеството на Република България с „държавите от Черноморския регион, включително в рамките на Организацията за черноморско икономическо сътрудничество и на Комисията по </w:t>
      </w:r>
      <w:r w:rsidRPr="00610B1B">
        <w:rPr>
          <w:rFonts w:ascii="Times New Roman" w:eastAsia="Calibri" w:hAnsi="Times New Roman" w:cs="Times New Roman"/>
          <w:sz w:val="24"/>
          <w:szCs w:val="24"/>
          <w:lang w:val="bg-BG"/>
        </w:rPr>
        <w:lastRenderedPageBreak/>
        <w:t xml:space="preserve">опазване на Черно море от замърсяване“. Поставен е акцент на сътрудничеството </w:t>
      </w:r>
      <w:r w:rsidR="00770DBA" w:rsidRPr="00610B1B">
        <w:rPr>
          <w:rFonts w:ascii="Times New Roman" w:eastAsia="Calibri" w:hAnsi="Times New Roman" w:cs="Times New Roman"/>
          <w:sz w:val="24"/>
          <w:szCs w:val="24"/>
          <w:lang w:val="bg-BG"/>
        </w:rPr>
        <w:t xml:space="preserve">на България </w:t>
      </w:r>
      <w:r w:rsidRPr="00610B1B">
        <w:rPr>
          <w:rFonts w:ascii="Times New Roman" w:eastAsia="Calibri" w:hAnsi="Times New Roman" w:cs="Times New Roman"/>
          <w:sz w:val="24"/>
          <w:szCs w:val="24"/>
          <w:lang w:val="bg-BG"/>
        </w:rPr>
        <w:t>с Румъния от гледна точка на по-добрата съгласуваност и координираност по въпросите с транснационален характер. За създадените с тази цел механизми се предоставя инф</w:t>
      </w:r>
      <w:r w:rsidR="0065428D" w:rsidRPr="00610B1B">
        <w:rPr>
          <w:rFonts w:ascii="Times New Roman" w:eastAsia="Calibri" w:hAnsi="Times New Roman" w:cs="Times New Roman"/>
          <w:sz w:val="24"/>
          <w:szCs w:val="24"/>
          <w:lang w:val="bg-BG"/>
        </w:rPr>
        <w:t>ормация на Европейската комисия, каквато ще бъде представена и за съчетаването на трансграничното морско пространствено планиране с националните системи за планиране, за инкорпорирането на резултатите от съ</w:t>
      </w:r>
      <w:r w:rsidR="007779C5" w:rsidRPr="00610B1B">
        <w:rPr>
          <w:rFonts w:ascii="Times New Roman" w:eastAsia="Calibri" w:hAnsi="Times New Roman" w:cs="Times New Roman"/>
          <w:sz w:val="24"/>
          <w:szCs w:val="24"/>
          <w:lang w:val="bg-BG"/>
        </w:rPr>
        <w:t>финансираните от ЕС проекти в на</w:t>
      </w:r>
      <w:r w:rsidR="0065428D" w:rsidRPr="00610B1B">
        <w:rPr>
          <w:rFonts w:ascii="Times New Roman" w:eastAsia="Calibri" w:hAnsi="Times New Roman" w:cs="Times New Roman"/>
          <w:sz w:val="24"/>
          <w:szCs w:val="24"/>
          <w:lang w:val="bg-BG"/>
        </w:rPr>
        <w:t>ционалния морски пространствен план на Република България.</w:t>
      </w:r>
    </w:p>
    <w:p w14:paraId="5C89BE53" w14:textId="40677FEF" w:rsidR="007779C5" w:rsidRPr="00610B1B" w:rsidRDefault="007779C5"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iCs/>
          <w:sz w:val="24"/>
          <w:szCs w:val="24"/>
          <w:lang w:val="bg-BG"/>
        </w:rPr>
        <w:t xml:space="preserve">Трансграничното сътрудничество в Черноморския регион се явява много ценен, а в някои случаи и незаменим инструмент за постигане на устойчив син растеж, </w:t>
      </w:r>
      <w:r w:rsidRPr="00610B1B">
        <w:rPr>
          <w:rFonts w:ascii="Times New Roman" w:hAnsi="Times New Roman" w:cs="Times New Roman"/>
          <w:sz w:val="24"/>
          <w:szCs w:val="24"/>
          <w:lang w:val="bg-BG"/>
        </w:rPr>
        <w:t xml:space="preserve">за ефективно планиране и управление на крайбрежните и морските ресурси и дейности, и за навременна и адекватна реакция на свързани с морето заплахи. В същото време, то </w:t>
      </w:r>
      <w:r w:rsidRPr="00610B1B">
        <w:rPr>
          <w:rFonts w:ascii="Times New Roman" w:hAnsi="Times New Roman" w:cs="Times New Roman"/>
          <w:bCs/>
          <w:sz w:val="24"/>
          <w:szCs w:val="24"/>
          <w:lang w:val="bg-BG"/>
        </w:rPr>
        <w:t xml:space="preserve">до голяма степен </w:t>
      </w:r>
      <w:r w:rsidR="0084164F" w:rsidRPr="00610B1B">
        <w:rPr>
          <w:rFonts w:ascii="Times New Roman" w:hAnsi="Times New Roman" w:cs="Times New Roman"/>
          <w:bCs/>
          <w:sz w:val="24"/>
          <w:szCs w:val="24"/>
          <w:lang w:val="bg-BG"/>
        </w:rPr>
        <w:t xml:space="preserve">е </w:t>
      </w:r>
      <w:r w:rsidRPr="00610B1B">
        <w:rPr>
          <w:rFonts w:ascii="Times New Roman" w:hAnsi="Times New Roman" w:cs="Times New Roman"/>
          <w:bCs/>
          <w:sz w:val="24"/>
          <w:szCs w:val="24"/>
          <w:lang w:val="bg-BG"/>
        </w:rPr>
        <w:t xml:space="preserve">обусловено от политическите фактори и това го прави уязвимо при потенциални конфликти между държавите или при невъзможен консенсус по политически, икономически, </w:t>
      </w:r>
      <w:r w:rsidR="00E0439B" w:rsidRPr="00610B1B">
        <w:rPr>
          <w:rFonts w:ascii="Times New Roman" w:hAnsi="Times New Roman" w:cs="Times New Roman"/>
          <w:bCs/>
          <w:sz w:val="24"/>
          <w:szCs w:val="24"/>
          <w:lang w:val="bg-BG"/>
        </w:rPr>
        <w:t xml:space="preserve">екологични и </w:t>
      </w:r>
      <w:r w:rsidRPr="00610B1B">
        <w:rPr>
          <w:rFonts w:ascii="Times New Roman" w:hAnsi="Times New Roman" w:cs="Times New Roman"/>
          <w:bCs/>
          <w:sz w:val="24"/>
          <w:szCs w:val="24"/>
          <w:lang w:val="bg-BG"/>
        </w:rPr>
        <w:t>културни въпроси.</w:t>
      </w:r>
    </w:p>
    <w:p w14:paraId="5DA3BF6D" w14:textId="77777777" w:rsidR="009907CE" w:rsidRPr="00610B1B" w:rsidRDefault="009907CE" w:rsidP="00D32D6A">
      <w:pPr>
        <w:spacing w:after="120"/>
        <w:ind w:right="-153"/>
        <w:jc w:val="both"/>
        <w:rPr>
          <w:rFonts w:ascii="Times New Roman" w:hAnsi="Times New Roman" w:cs="Times New Roman"/>
          <w:sz w:val="24"/>
          <w:szCs w:val="24"/>
          <w:lang w:val="bg-BG"/>
        </w:rPr>
      </w:pPr>
    </w:p>
    <w:p w14:paraId="34A8DAA5" w14:textId="238C8FE5" w:rsidR="00FB58CD" w:rsidRPr="00610B1B" w:rsidRDefault="00442579" w:rsidP="00D32D6A">
      <w:pPr>
        <w:pStyle w:val="Heading3"/>
        <w:spacing w:before="0" w:line="276" w:lineRule="auto"/>
        <w:ind w:right="-153"/>
        <w:rPr>
          <w:rFonts w:cs="Times New Roman"/>
        </w:rPr>
      </w:pPr>
      <w:bookmarkStart w:id="439" w:name="_Toc83391416"/>
      <w:r w:rsidRPr="00610B1B">
        <w:rPr>
          <w:rFonts w:cs="Times New Roman"/>
        </w:rPr>
        <w:t>4.</w:t>
      </w:r>
      <w:r w:rsidR="009278D0" w:rsidRPr="00610B1B">
        <w:rPr>
          <w:rFonts w:cs="Times New Roman"/>
        </w:rPr>
        <w:t>2</w:t>
      </w:r>
      <w:r w:rsidRPr="00610B1B">
        <w:rPr>
          <w:rFonts w:cs="Times New Roman"/>
        </w:rPr>
        <w:t xml:space="preserve">.9. </w:t>
      </w:r>
      <w:r w:rsidR="00FB58CD" w:rsidRPr="00610B1B">
        <w:rPr>
          <w:rFonts w:cs="Times New Roman"/>
        </w:rPr>
        <w:t>Прогнозно развитие на дейностите по опазването и социализирането на културни</w:t>
      </w:r>
      <w:r w:rsidR="00C93A41" w:rsidRPr="00610B1B">
        <w:rPr>
          <w:rFonts w:cs="Times New Roman"/>
        </w:rPr>
        <w:t>те</w:t>
      </w:r>
      <w:r w:rsidR="00FB58CD" w:rsidRPr="00610B1B">
        <w:rPr>
          <w:rFonts w:cs="Times New Roman"/>
        </w:rPr>
        <w:t xml:space="preserve"> ценности</w:t>
      </w:r>
      <w:bookmarkEnd w:id="439"/>
      <w:r w:rsidR="00FB58CD" w:rsidRPr="00610B1B">
        <w:rPr>
          <w:rFonts w:cs="Times New Roman"/>
        </w:rPr>
        <w:t xml:space="preserve"> </w:t>
      </w:r>
    </w:p>
    <w:p w14:paraId="4CD8A9AF" w14:textId="62408549" w:rsidR="00FB58CD" w:rsidRPr="00610B1B" w:rsidRDefault="00FB58CD"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Прогнозите за недвижимото културно наследство, краткосрочни или дългосрочни, се разглеждат в два тясно обвързани аспекта: 1) прогнози, свързани с дейностите по идентификацията и проучването на отделните обекти, които водят до придобиване на защита като „културна ценност” по смисъла на ЗКН на съответните обекти и 2) прогнози, свързани с провеждане на консервационно-реставрационни работи (КРР), адаптация и социализация на обявените НКЦ.</w:t>
      </w:r>
    </w:p>
    <w:p w14:paraId="2EF26BD4" w14:textId="673AD881" w:rsidR="00FB58CD" w:rsidRPr="00610B1B" w:rsidRDefault="00FB58CD"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Икономическият спад, съпът</w:t>
      </w:r>
      <w:r w:rsidR="00BB78A1" w:rsidRPr="00610B1B">
        <w:rPr>
          <w:rFonts w:ascii="Times New Roman" w:eastAsia="Calibri" w:hAnsi="Times New Roman" w:cs="Times New Roman"/>
          <w:sz w:val="24"/>
          <w:szCs w:val="24"/>
          <w:lang w:val="bg-BG"/>
        </w:rPr>
        <w:t>ст</w:t>
      </w:r>
      <w:r w:rsidRPr="00610B1B">
        <w:rPr>
          <w:rFonts w:ascii="Times New Roman" w:eastAsia="Calibri" w:hAnsi="Times New Roman" w:cs="Times New Roman"/>
          <w:sz w:val="24"/>
          <w:szCs w:val="24"/>
          <w:lang w:val="bg-BG"/>
        </w:rPr>
        <w:t xml:space="preserve">ващ настоящата пандемия, се отразява и на опазването на </w:t>
      </w:r>
      <w:r w:rsidR="00BB78A1" w:rsidRPr="00610B1B">
        <w:rPr>
          <w:rFonts w:ascii="Times New Roman" w:eastAsia="Calibri" w:hAnsi="Times New Roman" w:cs="Times New Roman"/>
          <w:sz w:val="24"/>
          <w:szCs w:val="24"/>
          <w:lang w:val="bg-BG"/>
        </w:rPr>
        <w:t>недвижимите</w:t>
      </w:r>
      <w:r w:rsidRPr="00610B1B">
        <w:rPr>
          <w:rFonts w:ascii="Times New Roman" w:eastAsia="Calibri" w:hAnsi="Times New Roman" w:cs="Times New Roman"/>
          <w:sz w:val="24"/>
          <w:szCs w:val="24"/>
          <w:lang w:val="bg-BG"/>
        </w:rPr>
        <w:t xml:space="preserve"> културни ценности. Вероятно за периода 2020-2021 г. броят на археологически проучваните обекти в крайбрежната зона и под вода ще се намали значително, поради ограничения държавен бюджет и необходимостта от пренасочване на публични ресурси към други дейности. Завършването на вече стартирали </w:t>
      </w:r>
      <w:r w:rsidR="00771593" w:rsidRPr="00610B1B">
        <w:rPr>
          <w:rFonts w:ascii="Times New Roman" w:eastAsia="Calibri" w:hAnsi="Times New Roman" w:cs="Times New Roman"/>
          <w:sz w:val="24"/>
          <w:szCs w:val="24"/>
          <w:lang w:val="bg-BG"/>
        </w:rPr>
        <w:t>проекти</w:t>
      </w:r>
      <w:r w:rsidRPr="00610B1B">
        <w:rPr>
          <w:rFonts w:ascii="Times New Roman" w:eastAsia="Calibri" w:hAnsi="Times New Roman" w:cs="Times New Roman"/>
          <w:sz w:val="24"/>
          <w:szCs w:val="24"/>
          <w:lang w:val="bg-BG"/>
        </w:rPr>
        <w:t xml:space="preserve"> също е под въпрос. Това от своя страна ще спре реализирането на дейностите</w:t>
      </w:r>
      <w:r w:rsidR="00771593" w:rsidRPr="00610B1B">
        <w:rPr>
          <w:rFonts w:ascii="Times New Roman" w:eastAsia="Calibri" w:hAnsi="Times New Roman" w:cs="Times New Roman"/>
          <w:sz w:val="24"/>
          <w:szCs w:val="24"/>
          <w:lang w:val="bg-BG"/>
        </w:rPr>
        <w:t xml:space="preserve"> по </w:t>
      </w:r>
      <w:r w:rsidRPr="00610B1B">
        <w:rPr>
          <w:rFonts w:ascii="Times New Roman" w:eastAsia="Calibri" w:hAnsi="Times New Roman" w:cs="Times New Roman"/>
          <w:sz w:val="24"/>
          <w:szCs w:val="24"/>
          <w:lang w:val="bg-BG"/>
        </w:rPr>
        <w:t xml:space="preserve">консервация, адаптация и социализация на обектите обявени като НКЦ. Периодът обаче е подходящ за финализиране на научни разработки и анализи, посветени на разкритите по археологически път обекти. Подходящ е и за финализиране на дейностите по придобиване на статут на НКЦ, определяне на категория и режими на опазване на чакащи тази защита обекти. </w:t>
      </w:r>
      <w:r w:rsidR="00771593" w:rsidRPr="00610B1B">
        <w:rPr>
          <w:rFonts w:ascii="Times New Roman" w:eastAsia="Calibri" w:hAnsi="Times New Roman" w:cs="Times New Roman"/>
          <w:sz w:val="24"/>
          <w:szCs w:val="24"/>
          <w:lang w:val="bg-BG"/>
        </w:rPr>
        <w:t xml:space="preserve">Бързата </w:t>
      </w:r>
      <w:r w:rsidRPr="00610B1B">
        <w:rPr>
          <w:rFonts w:ascii="Times New Roman" w:eastAsia="Calibri" w:hAnsi="Times New Roman" w:cs="Times New Roman"/>
          <w:sz w:val="24"/>
          <w:szCs w:val="24"/>
          <w:lang w:val="bg-BG"/>
        </w:rPr>
        <w:t>адаптация и действие от страна на институциите, в чиито прерогативи е опазването на недвижимото културно наследство, е наложителна.</w:t>
      </w:r>
      <w:r w:rsidR="00D66FE0" w:rsidRPr="00610B1B">
        <w:rPr>
          <w:rFonts w:ascii="Times New Roman" w:eastAsia="Calibri" w:hAnsi="Times New Roman" w:cs="Times New Roman"/>
          <w:sz w:val="24"/>
          <w:szCs w:val="24"/>
          <w:lang w:val="bg-BG"/>
        </w:rPr>
        <w:t xml:space="preserve"> </w:t>
      </w:r>
    </w:p>
    <w:p w14:paraId="3FFBDC78" w14:textId="0F728B3A" w:rsidR="00FB58CD" w:rsidRPr="00610B1B" w:rsidRDefault="00C9400B" w:rsidP="00D32D6A">
      <w:pPr>
        <w:spacing w:after="120"/>
        <w:ind w:right="-153"/>
        <w:jc w:val="both"/>
        <w:rPr>
          <w:rFonts w:ascii="Times New Roman" w:eastAsia="Calibri" w:hAnsi="Times New Roman" w:cs="Times New Roman"/>
          <w:strike/>
          <w:sz w:val="24"/>
          <w:szCs w:val="24"/>
          <w:lang w:val="bg-BG"/>
        </w:rPr>
      </w:pPr>
      <w:r w:rsidRPr="00610B1B">
        <w:rPr>
          <w:rFonts w:ascii="Times New Roman" w:eastAsia="Calibri" w:hAnsi="Times New Roman" w:cs="Times New Roman"/>
          <w:sz w:val="24"/>
          <w:szCs w:val="24"/>
          <w:lang w:val="bg-BG"/>
        </w:rPr>
        <w:t>Отлагането</w:t>
      </w:r>
      <w:r w:rsidR="00FB58CD" w:rsidRPr="00610B1B">
        <w:rPr>
          <w:rFonts w:ascii="Times New Roman" w:eastAsia="Calibri" w:hAnsi="Times New Roman" w:cs="Times New Roman"/>
          <w:sz w:val="24"/>
          <w:szCs w:val="24"/>
          <w:lang w:val="bg-BG"/>
        </w:rPr>
        <w:t xml:space="preserve"> на планираните консервационно-реставрационни работи (КРР), както и на дейности по адаптация и социализация на обекти, предвид очакваната икономическа криза, ще има негативни последици за наследството. В предстоящите месеци Несебър - единствената НКЦ с категория „световно значение” по Черноморието е застрашен от отнемане на тази категорията, ако не бъдат изпълнени предписанията на ЮНЕСКО за КРР</w:t>
      </w:r>
      <w:r w:rsidR="00771593" w:rsidRPr="00610B1B">
        <w:rPr>
          <w:rFonts w:ascii="Times New Roman" w:eastAsia="Calibri" w:hAnsi="Times New Roman" w:cs="Times New Roman"/>
          <w:sz w:val="24"/>
          <w:szCs w:val="24"/>
          <w:lang w:val="bg-BG"/>
        </w:rPr>
        <w:t xml:space="preserve">, </w:t>
      </w:r>
      <w:r w:rsidR="00FB58CD" w:rsidRPr="00610B1B">
        <w:rPr>
          <w:rFonts w:ascii="Times New Roman" w:eastAsia="Calibri" w:hAnsi="Times New Roman" w:cs="Times New Roman"/>
          <w:sz w:val="24"/>
          <w:szCs w:val="24"/>
          <w:lang w:val="bg-BG"/>
        </w:rPr>
        <w:t>адаптация и социализация на наземни и подводни обекти.</w:t>
      </w:r>
      <w:r w:rsidR="00771593" w:rsidRPr="00610B1B">
        <w:rPr>
          <w:rFonts w:ascii="Times New Roman" w:eastAsia="Calibri" w:hAnsi="Times New Roman" w:cs="Times New Roman"/>
          <w:sz w:val="24"/>
          <w:szCs w:val="24"/>
          <w:lang w:val="bg-BG"/>
        </w:rPr>
        <w:t xml:space="preserve"> </w:t>
      </w:r>
      <w:r w:rsidR="00FB58CD" w:rsidRPr="00610B1B">
        <w:rPr>
          <w:rFonts w:ascii="Times New Roman" w:eastAsia="Calibri" w:hAnsi="Times New Roman" w:cs="Times New Roman"/>
          <w:sz w:val="24"/>
          <w:szCs w:val="24"/>
          <w:lang w:val="bg-BG"/>
        </w:rPr>
        <w:t xml:space="preserve">Старинен град Несебър </w:t>
      </w:r>
      <w:r w:rsidR="00FB58CD" w:rsidRPr="00610B1B">
        <w:rPr>
          <w:rFonts w:ascii="Times New Roman" w:eastAsia="Calibri" w:hAnsi="Times New Roman" w:cs="Times New Roman"/>
          <w:sz w:val="24"/>
          <w:szCs w:val="24"/>
          <w:lang w:val="bg-BG"/>
        </w:rPr>
        <w:lastRenderedPageBreak/>
        <w:t>логично е приоритет (за държавна</w:t>
      </w:r>
      <w:r w:rsidR="00771593" w:rsidRPr="00610B1B">
        <w:rPr>
          <w:rFonts w:ascii="Times New Roman" w:eastAsia="Calibri" w:hAnsi="Times New Roman" w:cs="Times New Roman"/>
          <w:sz w:val="24"/>
          <w:szCs w:val="24"/>
          <w:lang w:val="bg-BG"/>
        </w:rPr>
        <w:t>та</w:t>
      </w:r>
      <w:r w:rsidR="00FB58CD" w:rsidRPr="00610B1B">
        <w:rPr>
          <w:rFonts w:ascii="Times New Roman" w:eastAsia="Calibri" w:hAnsi="Times New Roman" w:cs="Times New Roman"/>
          <w:sz w:val="24"/>
          <w:szCs w:val="24"/>
          <w:lang w:val="bg-BG"/>
        </w:rPr>
        <w:t xml:space="preserve"> и общинска власт), но за малките, принципно по-бедни черноморски общини, особено в двата противоположни края на бреговата ни ивица, това не е и няма да е приоритет. Част от тези общини стопанисват НКЦ на територията си, но нямат средства за опазването и поддържането им</w:t>
      </w:r>
    </w:p>
    <w:p w14:paraId="674166AC" w14:textId="2B878979" w:rsidR="0084164F" w:rsidRPr="00610B1B" w:rsidRDefault="00FB58CD"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Тъй като кризата засегна най-тежко сектора на туризма, може да се очаква, че броят на посетителите на обекти на културното наследство също ще спадне. Независимо от своята уникалност и ценност, НКЦ разположени по крайбрежието и в акваторията на Черно море, все още са допълващи туристическите услуги, а не първостепенен фактор за привличане на туристи. Това е следствие както от сезонността на туризма по морето, така и от липсата на устойчива политика за популяризиране и целогодишно функциониране на обектите. Проблемът е </w:t>
      </w:r>
      <w:r w:rsidR="00C9400B" w:rsidRPr="00610B1B">
        <w:rPr>
          <w:rFonts w:ascii="Times New Roman" w:eastAsia="Calibri" w:hAnsi="Times New Roman" w:cs="Times New Roman"/>
          <w:sz w:val="24"/>
          <w:szCs w:val="24"/>
          <w:lang w:val="bg-BG"/>
        </w:rPr>
        <w:t>значителен</w:t>
      </w:r>
      <w:r w:rsidRPr="00610B1B">
        <w:rPr>
          <w:rFonts w:ascii="Times New Roman" w:eastAsia="Calibri" w:hAnsi="Times New Roman" w:cs="Times New Roman"/>
          <w:sz w:val="24"/>
          <w:szCs w:val="24"/>
          <w:lang w:val="bg-BG"/>
        </w:rPr>
        <w:t xml:space="preserve">, особено в малките черноморски общини с ограничени ресурси, и поради липсата на адекватни съвременни дейности по адаптация и социализация на НКЦ. От значение е и липсата на </w:t>
      </w:r>
      <w:r w:rsidR="00771593" w:rsidRPr="00610B1B">
        <w:rPr>
          <w:rFonts w:ascii="Times New Roman" w:eastAsia="Calibri" w:hAnsi="Times New Roman" w:cs="Times New Roman"/>
          <w:sz w:val="24"/>
          <w:szCs w:val="24"/>
          <w:lang w:val="bg-BG"/>
        </w:rPr>
        <w:t>нов</w:t>
      </w:r>
      <w:r w:rsidRPr="00610B1B">
        <w:rPr>
          <w:rFonts w:ascii="Times New Roman" w:eastAsia="Calibri" w:hAnsi="Times New Roman" w:cs="Times New Roman"/>
          <w:sz w:val="24"/>
          <w:szCs w:val="24"/>
          <w:lang w:val="bg-BG"/>
        </w:rPr>
        <w:t xml:space="preserve"> тип интерактивни музеи и интерпретационни центрове, които адекватно на уникалността на НКЦ да представят наземното и подводното културно наследство. </w:t>
      </w:r>
      <w:r w:rsidR="00C9400B" w:rsidRPr="00610B1B">
        <w:rPr>
          <w:rFonts w:ascii="Times New Roman" w:eastAsia="Calibri" w:hAnsi="Times New Roman" w:cs="Times New Roman"/>
          <w:sz w:val="24"/>
          <w:szCs w:val="24"/>
          <w:lang w:val="bg-BG"/>
        </w:rPr>
        <w:t>Т</w:t>
      </w:r>
      <w:r w:rsidRPr="00610B1B">
        <w:rPr>
          <w:rFonts w:ascii="Times New Roman" w:eastAsia="Calibri" w:hAnsi="Times New Roman" w:cs="Times New Roman"/>
          <w:sz w:val="24"/>
          <w:szCs w:val="24"/>
          <w:lang w:val="bg-BG"/>
        </w:rPr>
        <w:t>е ще обогатя</w:t>
      </w:r>
      <w:r w:rsidR="00770DBA" w:rsidRPr="00610B1B">
        <w:rPr>
          <w:rFonts w:ascii="Times New Roman" w:eastAsia="Calibri" w:hAnsi="Times New Roman" w:cs="Times New Roman"/>
          <w:sz w:val="24"/>
          <w:szCs w:val="24"/>
          <w:lang w:val="bg-BG"/>
        </w:rPr>
        <w:t>т</w:t>
      </w:r>
      <w:r w:rsidRPr="00610B1B">
        <w:rPr>
          <w:rFonts w:ascii="Times New Roman" w:eastAsia="Calibri" w:hAnsi="Times New Roman" w:cs="Times New Roman"/>
          <w:sz w:val="24"/>
          <w:szCs w:val="24"/>
          <w:lang w:val="bg-BG"/>
        </w:rPr>
        <w:t xml:space="preserve"> туристическото предлагане по Черноморието, ще подпомогнат развитието на целогодишен туризъм и създаването на атрактивни работни места, ще повишат общото знание за българската история и култура. </w:t>
      </w:r>
    </w:p>
    <w:p w14:paraId="09B1A441" w14:textId="77777777" w:rsidR="009907CE" w:rsidRPr="00610B1B" w:rsidRDefault="009907CE" w:rsidP="00D32D6A">
      <w:pPr>
        <w:spacing w:after="120"/>
        <w:ind w:right="-153"/>
        <w:jc w:val="both"/>
        <w:rPr>
          <w:rFonts w:ascii="Times New Roman" w:eastAsia="Calibri" w:hAnsi="Times New Roman" w:cs="Times New Roman"/>
          <w:sz w:val="24"/>
          <w:szCs w:val="24"/>
          <w:lang w:val="bg-BG"/>
        </w:rPr>
      </w:pPr>
    </w:p>
    <w:p w14:paraId="6DD6CD90" w14:textId="560FC94D" w:rsidR="00FB58CD" w:rsidRPr="00610B1B" w:rsidRDefault="00FB58CD" w:rsidP="00D32D6A">
      <w:pPr>
        <w:pStyle w:val="Heading3"/>
        <w:spacing w:before="0" w:line="276" w:lineRule="auto"/>
        <w:ind w:right="-153"/>
        <w:rPr>
          <w:rFonts w:cs="Times New Roman"/>
        </w:rPr>
      </w:pPr>
      <w:bookmarkStart w:id="440" w:name="_Toc83391417"/>
      <w:r w:rsidRPr="00610B1B">
        <w:rPr>
          <w:rFonts w:cs="Times New Roman"/>
        </w:rPr>
        <w:t>4.</w:t>
      </w:r>
      <w:r w:rsidR="009278D0" w:rsidRPr="00610B1B">
        <w:rPr>
          <w:rFonts w:cs="Times New Roman"/>
        </w:rPr>
        <w:t>2</w:t>
      </w:r>
      <w:r w:rsidRPr="00610B1B">
        <w:rPr>
          <w:rFonts w:cs="Times New Roman"/>
        </w:rPr>
        <w:t>.10. Прогнозно развитие на дейностите по опазване на околната среда</w:t>
      </w:r>
      <w:bookmarkEnd w:id="440"/>
    </w:p>
    <w:p w14:paraId="662C44E8" w14:textId="3D6119DE"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Сценариите за промените в климата, разработени от Междуправителствения панел за климатични промени (Intergovernmental Panel on Climate Change, IPCC), предвиждат повишаване на средногодишната температура на въздуха в България и региона в дългосрочен план. През 2017</w:t>
      </w:r>
      <w:r w:rsidR="00770DBA" w:rsidRPr="00610B1B">
        <w:rPr>
          <w:rFonts w:ascii="Times New Roman" w:hAnsi="Times New Roman" w:cs="Times New Roman"/>
          <w:bCs/>
          <w:sz w:val="24"/>
          <w:szCs w:val="24"/>
          <w:lang w:val="bg-BG"/>
        </w:rPr>
        <w:t xml:space="preserve"> г.</w:t>
      </w:r>
      <w:r w:rsidRPr="00610B1B">
        <w:rPr>
          <w:rFonts w:ascii="Times New Roman" w:hAnsi="Times New Roman" w:cs="Times New Roman"/>
          <w:bCs/>
          <w:sz w:val="24"/>
          <w:szCs w:val="24"/>
          <w:lang w:val="bg-BG"/>
        </w:rPr>
        <w:t xml:space="preserve"> температурната аномалия на водната повърхност е с 0.292 ± 0.001°C над средната за периода 1993-2014 г., а нивото на Черно море се повишава средно с 2.32 mm/година през периода 1993-2019 г. (CMEMS, 2020). Натиск върху морската екосистема оказва и намаляването на дълбочината на обитаемия аеробен слой от 140 m на 90 m (CMEMS, 2019). Може да се очаква, че при запазване на тези тенденции, същите изменения ще се наблюдават и в бъдеще. Прогнозните модели разработени от Съвместния изследователски център (Joint Research Center) към ЕК предвиждат морските и речни наводнения да засегнат ниските територии в крайбрежните черноморски общини, увеличавайки размерите на щетите, разходите за брегозащита, защитата срещу наводнения и интрузия на солени морски води</w:t>
      </w:r>
      <w:r w:rsidRPr="00610B1B">
        <w:rPr>
          <w:rStyle w:val="FootnoteReference"/>
          <w:rFonts w:ascii="Times New Roman" w:hAnsi="Times New Roman" w:cs="Times New Roman"/>
          <w:bCs/>
          <w:sz w:val="24"/>
          <w:szCs w:val="24"/>
          <w:lang w:val="bg-BG"/>
        </w:rPr>
        <w:footnoteReference w:id="168"/>
      </w:r>
      <w:r w:rsidRPr="00610B1B">
        <w:rPr>
          <w:rFonts w:ascii="Times New Roman" w:hAnsi="Times New Roman" w:cs="Times New Roman"/>
          <w:bCs/>
          <w:sz w:val="24"/>
          <w:szCs w:val="24"/>
          <w:lang w:val="bg-BG"/>
        </w:rPr>
        <w:t>.</w:t>
      </w:r>
    </w:p>
    <w:p w14:paraId="4B5C7509" w14:textId="4569123E"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 условията на глобални изменения, очакваното развитие на дейностите е в съответствие с приетата Морска стратегия на Република България и Програмата от мерки. Дейностите по опазване на околната среда ще се насочат към намаляване на замърсяващите вещества, отпадъци</w:t>
      </w:r>
      <w:r w:rsidR="00EE398C">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и подводния шум до нива, които не увреждат морските организми и екосистеми. Това ще доведе до подобряване на състоянието на морската среда и </w:t>
      </w:r>
      <w:r w:rsidRPr="00610B1B">
        <w:rPr>
          <w:rFonts w:ascii="Times New Roman" w:hAnsi="Times New Roman" w:cs="Times New Roman"/>
          <w:bCs/>
          <w:sz w:val="24"/>
          <w:szCs w:val="24"/>
          <w:lang w:val="bg-BG"/>
        </w:rPr>
        <w:lastRenderedPageBreak/>
        <w:t>намаляване на риска за човешкото здраве, повишаване на биологичното разнообразие и рационалното използване на морските ресурси.</w:t>
      </w:r>
    </w:p>
    <w:p w14:paraId="3502C4AB" w14:textId="7388336F"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Ще бъдат въведени ефективни мерки за намаляване на навлизането на неместни видове чрез контрол на баластните води от корабите. Въпреки това, повишаването на средната годишна температура на морските води ще създаде условия за развитие на топлолюбиви чужди видове, някои от които инвазивни. Това ще доведе до непредвидими промени в морските екосистеми, подобни на наблюдаваните в Черно море през 1970 - </w:t>
      </w:r>
      <w:r w:rsidR="00B4146C" w:rsidRPr="00610B1B">
        <w:rPr>
          <w:rFonts w:ascii="Times New Roman" w:hAnsi="Times New Roman" w:cs="Times New Roman"/>
          <w:bCs/>
          <w:sz w:val="24"/>
          <w:szCs w:val="24"/>
          <w:lang w:val="bg-BG"/>
        </w:rPr>
        <w:t>19</w:t>
      </w:r>
      <w:r w:rsidRPr="00610B1B">
        <w:rPr>
          <w:rFonts w:ascii="Times New Roman" w:hAnsi="Times New Roman" w:cs="Times New Roman"/>
          <w:bCs/>
          <w:sz w:val="24"/>
          <w:szCs w:val="24"/>
          <w:lang w:val="bg-BG"/>
        </w:rPr>
        <w:t>80-те години (Daskalov et al., 2007). Постигането и поддържането на високо биологично разнообразие е естествена бариера срещу инвази</w:t>
      </w:r>
      <w:r w:rsidR="00B36ECD" w:rsidRPr="00610B1B">
        <w:rPr>
          <w:rFonts w:ascii="Times New Roman" w:hAnsi="Times New Roman" w:cs="Times New Roman"/>
          <w:bCs/>
          <w:sz w:val="24"/>
          <w:szCs w:val="24"/>
          <w:lang w:val="bg-BG"/>
        </w:rPr>
        <w:t>вн</w:t>
      </w:r>
      <w:r w:rsidRPr="00610B1B">
        <w:rPr>
          <w:rFonts w:ascii="Times New Roman" w:hAnsi="Times New Roman" w:cs="Times New Roman"/>
          <w:bCs/>
          <w:sz w:val="24"/>
          <w:szCs w:val="24"/>
          <w:lang w:val="bg-BG"/>
        </w:rPr>
        <w:t>и</w:t>
      </w:r>
      <w:r w:rsidR="00B36ECD" w:rsidRPr="00610B1B">
        <w:rPr>
          <w:rFonts w:ascii="Times New Roman" w:hAnsi="Times New Roman" w:cs="Times New Roman"/>
          <w:bCs/>
          <w:sz w:val="24"/>
          <w:szCs w:val="24"/>
          <w:lang w:val="bg-BG"/>
        </w:rPr>
        <w:t xml:space="preserve"> видове</w:t>
      </w:r>
      <w:r w:rsidRPr="00610B1B">
        <w:rPr>
          <w:rFonts w:ascii="Times New Roman" w:hAnsi="Times New Roman" w:cs="Times New Roman"/>
          <w:bCs/>
          <w:sz w:val="24"/>
          <w:szCs w:val="24"/>
          <w:lang w:val="bg-BG"/>
        </w:rPr>
        <w:t>, тъй като ниското биологично разнообразие означава незаети екологични ниши, които винаги се запълват.</w:t>
      </w:r>
    </w:p>
    <w:p w14:paraId="463FAB43" w14:textId="660DF8C7"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Важна дейност ще бъде максимално</w:t>
      </w:r>
      <w:r w:rsidR="00C5300D" w:rsidRPr="00610B1B">
        <w:rPr>
          <w:rFonts w:ascii="Times New Roman" w:hAnsi="Times New Roman" w:cs="Times New Roman"/>
          <w:bCs/>
          <w:sz w:val="24"/>
          <w:szCs w:val="24"/>
          <w:lang w:val="bg-BG"/>
        </w:rPr>
        <w:t>то</w:t>
      </w:r>
      <w:r w:rsidRPr="00610B1B">
        <w:rPr>
          <w:rFonts w:ascii="Times New Roman" w:hAnsi="Times New Roman" w:cs="Times New Roman"/>
          <w:bCs/>
          <w:sz w:val="24"/>
          <w:szCs w:val="24"/>
          <w:lang w:val="bg-BG"/>
        </w:rPr>
        <w:t xml:space="preserve"> ограничаване на притока на замърсяващи вещества в българския сектор на Черно море. Най-важни действия по крайбрежието в краткосрочен план са изграждането и модернизацията на съществуващите ПСОВ и канализационни системи и включването на всички населени места и курортни обекти към тях. Необходимо е ограничаване на постъпването на замърсяващи вещества от водосборната област, морския транспорт и чрез атмосферата. Това включва и въвеждането на ефективни земеделски практики за намаляване на водната и ветрова ерозия на водосбора, които са предвидени в Плана за управление на речните басейни и неговата актуализация. Ще се прекрати дълбоководното заустване като начин за изместване на проблема със замърсяването от крайбрежните екосистеми върху екосистемите на шелфа, където то не се вижда, но съществува.</w:t>
      </w:r>
    </w:p>
    <w:p w14:paraId="139A0CB3" w14:textId="66E49958"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Необходимо е засилване на превантивната дейност и контрола за недопускане на аварийни разливи на замърсяващи вещества в морските пространства от кораби и съоръжения за проучване и добив на нефт и газ, за да се предотвратят неконтролируемите нефтени разливи.</w:t>
      </w:r>
    </w:p>
    <w:p w14:paraId="17E5DCF6" w14:textId="7884216D"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Ще се засили контрола над </w:t>
      </w:r>
      <w:r w:rsidR="00DD6CD4" w:rsidRPr="00610B1B">
        <w:rPr>
          <w:rFonts w:ascii="Times New Roman" w:hAnsi="Times New Roman" w:cs="Times New Roman"/>
          <w:bCs/>
          <w:sz w:val="24"/>
          <w:szCs w:val="24"/>
          <w:lang w:val="bg-BG"/>
        </w:rPr>
        <w:t>стопанския риболов</w:t>
      </w:r>
      <w:r w:rsidRPr="00610B1B">
        <w:rPr>
          <w:rFonts w:ascii="Times New Roman" w:hAnsi="Times New Roman" w:cs="Times New Roman"/>
          <w:bCs/>
          <w:sz w:val="24"/>
          <w:szCs w:val="24"/>
          <w:lang w:val="bg-BG"/>
        </w:rPr>
        <w:t xml:space="preserve">, нерегламентирания, неконтролиран и нерегистриран риболов, както и на нецелевия улов чрез използването на по-екологични риболовни уреди и техники, които не увреждат дънните местообитания. Контролът може да се подобри и чрез прилагане на иновативни и достъпни методи за регистрация на риболовната активност (de Souza et al., 2016). Това ще допринесе за възстановяване на рибните запаси поне до нивата на максималния устойчив улов. Положителният икономически ефект ще бъде възстановяването на традиционния и </w:t>
      </w:r>
      <w:r w:rsidR="00DD6CD4" w:rsidRPr="00610B1B">
        <w:rPr>
          <w:rFonts w:ascii="Times New Roman" w:hAnsi="Times New Roman" w:cs="Times New Roman"/>
          <w:bCs/>
          <w:sz w:val="24"/>
          <w:szCs w:val="24"/>
          <w:lang w:val="bg-BG"/>
        </w:rPr>
        <w:t>стопански риболов</w:t>
      </w:r>
      <w:r w:rsidRPr="00610B1B">
        <w:rPr>
          <w:rFonts w:ascii="Times New Roman" w:hAnsi="Times New Roman" w:cs="Times New Roman"/>
          <w:bCs/>
          <w:sz w:val="24"/>
          <w:szCs w:val="24"/>
          <w:lang w:val="bg-BG"/>
        </w:rPr>
        <w:t xml:space="preserve"> в рамките на естествената способност за самовъзстановяване на популации</w:t>
      </w:r>
      <w:r w:rsidR="0005519C"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Морските аквакултури ще осигурят допълнителен източник на морски храни, което ще намали натиска и ще ускори възстановяването на популациите на рибните и нерибни видове.</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Ще се търсят възможности за съвместно използване на морск</w:t>
      </w:r>
      <w:r w:rsidR="0075098D" w:rsidRPr="00610B1B">
        <w:rPr>
          <w:rFonts w:ascii="Times New Roman" w:hAnsi="Times New Roman" w:cs="Times New Roman"/>
          <w:bCs/>
          <w:sz w:val="24"/>
          <w:szCs w:val="24"/>
          <w:lang w:val="bg-BG"/>
        </w:rPr>
        <w:t>ите</w:t>
      </w:r>
      <w:r w:rsidRPr="00610B1B">
        <w:rPr>
          <w:rFonts w:ascii="Times New Roman" w:hAnsi="Times New Roman" w:cs="Times New Roman"/>
          <w:bCs/>
          <w:sz w:val="24"/>
          <w:szCs w:val="24"/>
          <w:lang w:val="bg-BG"/>
        </w:rPr>
        <w:t xml:space="preserve"> пространств</w:t>
      </w:r>
      <w:r w:rsidR="0075098D" w:rsidRPr="00610B1B">
        <w:rPr>
          <w:rFonts w:ascii="Times New Roman" w:hAnsi="Times New Roman" w:cs="Times New Roman"/>
          <w:bCs/>
          <w:sz w:val="24"/>
          <w:szCs w:val="24"/>
          <w:lang w:val="bg-BG"/>
        </w:rPr>
        <w:t>а</w:t>
      </w:r>
      <w:r w:rsidRPr="00610B1B">
        <w:rPr>
          <w:rFonts w:ascii="Times New Roman" w:hAnsi="Times New Roman" w:cs="Times New Roman"/>
          <w:bCs/>
          <w:sz w:val="24"/>
          <w:szCs w:val="24"/>
          <w:lang w:val="bg-BG"/>
        </w:rPr>
        <w:t xml:space="preserve"> за аквакултури, с което се постига едновременно биоремедиация и брегозащита по аналог с</w:t>
      </w:r>
      <w:r w:rsidR="0005519C" w:rsidRPr="00610B1B">
        <w:rPr>
          <w:rFonts w:ascii="Times New Roman" w:hAnsi="Times New Roman" w:cs="Times New Roman"/>
          <w:bCs/>
          <w:sz w:val="24"/>
          <w:szCs w:val="24"/>
          <w:lang w:val="bg-BG"/>
        </w:rPr>
        <w:t>ъс</w:t>
      </w:r>
      <w:r w:rsidRPr="00610B1B">
        <w:rPr>
          <w:rFonts w:ascii="Times New Roman" w:hAnsi="Times New Roman" w:cs="Times New Roman"/>
          <w:bCs/>
          <w:sz w:val="24"/>
          <w:szCs w:val="24"/>
          <w:lang w:val="bg-BG"/>
        </w:rPr>
        <w:t xml:space="preserve"> съществуващи примери от световната практика (Buck et al., 2017).</w:t>
      </w:r>
    </w:p>
    <w:p w14:paraId="685A8A1A" w14:textId="3210463B" w:rsidR="00C4204D"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Определянето на зоните за изграждане на брегозащитни и пристанищни съоръжения ще</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се извършва след предварителна оценка на въздействието върху околната среда, включваща числено моделиране на хидродинамичните и литодинамичните процеси. Това ще позволи избор на оптимални технически решения, които не водят до необратими </w:t>
      </w:r>
      <w:r w:rsidRPr="00610B1B">
        <w:rPr>
          <w:rFonts w:ascii="Times New Roman" w:hAnsi="Times New Roman" w:cs="Times New Roman"/>
          <w:bCs/>
          <w:sz w:val="24"/>
          <w:szCs w:val="24"/>
          <w:lang w:val="bg-BG"/>
        </w:rPr>
        <w:lastRenderedPageBreak/>
        <w:t xml:space="preserve">хидрологични и морфологични изменения в дългосрочен план. Ще се поощрява изкуствено подхранване на плажните ивици с пясъчни наноси като екологична алтернатива и естествен метод за борба с основната причина за абразията - наносния дефицит в бреговата зона. Възстановяването на ширината на плажните ивици и образуването им там, където липсват, ще намали разходите за изграждане и поддръжка на традиционни брегозащитни съоръжения (буни и дамби). Ще се търсят решения, близки до естествения крайбрежен ландшафт, </w:t>
      </w:r>
      <w:r w:rsidR="00C5300D" w:rsidRPr="00610B1B">
        <w:rPr>
          <w:rFonts w:ascii="Times New Roman" w:hAnsi="Times New Roman" w:cs="Times New Roman"/>
          <w:bCs/>
          <w:sz w:val="24"/>
          <w:szCs w:val="24"/>
          <w:lang w:val="bg-BG"/>
        </w:rPr>
        <w:t xml:space="preserve">които се </w:t>
      </w:r>
      <w:r w:rsidRPr="00610B1B">
        <w:rPr>
          <w:rFonts w:ascii="Times New Roman" w:hAnsi="Times New Roman" w:cs="Times New Roman"/>
          <w:bCs/>
          <w:sz w:val="24"/>
          <w:szCs w:val="24"/>
          <w:lang w:val="bg-BG"/>
        </w:rPr>
        <w:t xml:space="preserve">сливат с него </w:t>
      </w:r>
      <w:r w:rsidR="004F3AE8" w:rsidRPr="00610B1B">
        <w:rPr>
          <w:rFonts w:ascii="Times New Roman" w:hAnsi="Times New Roman" w:cs="Times New Roman"/>
          <w:bCs/>
          <w:sz w:val="24"/>
          <w:szCs w:val="24"/>
          <w:lang w:val="bg-BG"/>
        </w:rPr>
        <w:t>и</w:t>
      </w:r>
      <w:r w:rsidRPr="00610B1B">
        <w:rPr>
          <w:rFonts w:ascii="Times New Roman" w:hAnsi="Times New Roman" w:cs="Times New Roman"/>
          <w:bCs/>
          <w:sz w:val="24"/>
          <w:szCs w:val="24"/>
          <w:lang w:val="bg-BG"/>
        </w:rPr>
        <w:t xml:space="preserve"> оказват минимално отрицателно въздействие върху естествена</w:t>
      </w:r>
      <w:r w:rsidR="005A3291" w:rsidRPr="00610B1B">
        <w:rPr>
          <w:rFonts w:ascii="Times New Roman" w:hAnsi="Times New Roman" w:cs="Times New Roman"/>
          <w:bCs/>
          <w:sz w:val="24"/>
          <w:szCs w:val="24"/>
          <w:lang w:val="bg-BG"/>
        </w:rPr>
        <w:t>та му</w:t>
      </w:r>
      <w:r w:rsidRPr="00610B1B">
        <w:rPr>
          <w:rFonts w:ascii="Times New Roman" w:hAnsi="Times New Roman" w:cs="Times New Roman"/>
          <w:bCs/>
          <w:sz w:val="24"/>
          <w:szCs w:val="24"/>
          <w:lang w:val="bg-BG"/>
        </w:rPr>
        <w:t xml:space="preserve"> привлекателност като туристически ресурс</w:t>
      </w:r>
      <w:r w:rsidR="00C5300D" w:rsidRPr="00610B1B">
        <w:rPr>
          <w:rFonts w:ascii="Times New Roman" w:hAnsi="Times New Roman" w:cs="Times New Roman"/>
          <w:bCs/>
          <w:sz w:val="24"/>
          <w:szCs w:val="24"/>
          <w:lang w:val="bg-BG"/>
        </w:rPr>
        <w:t>,</w:t>
      </w:r>
      <w:r w:rsidRPr="00610B1B">
        <w:rPr>
          <w:rFonts w:ascii="Times New Roman" w:hAnsi="Times New Roman" w:cs="Times New Roman"/>
          <w:bCs/>
          <w:sz w:val="24"/>
          <w:szCs w:val="24"/>
          <w:lang w:val="bg-BG"/>
        </w:rPr>
        <w:t xml:space="preserve"> </w:t>
      </w:r>
      <w:r w:rsidR="004F3AE8" w:rsidRPr="00610B1B">
        <w:rPr>
          <w:rFonts w:ascii="Times New Roman" w:hAnsi="Times New Roman" w:cs="Times New Roman"/>
          <w:bCs/>
          <w:sz w:val="24"/>
          <w:szCs w:val="24"/>
          <w:lang w:val="bg-BG"/>
        </w:rPr>
        <w:t>без да</w:t>
      </w:r>
      <w:r w:rsidRPr="00610B1B">
        <w:rPr>
          <w:rFonts w:ascii="Times New Roman" w:hAnsi="Times New Roman" w:cs="Times New Roman"/>
          <w:bCs/>
          <w:sz w:val="24"/>
          <w:szCs w:val="24"/>
          <w:lang w:val="bg-BG"/>
        </w:rPr>
        <w:t xml:space="preserve"> създават опасност при достъпа на хората до морето. </w:t>
      </w:r>
      <w:r w:rsidR="001A0E21" w:rsidRPr="001A0E21">
        <w:rPr>
          <w:rFonts w:ascii="Times New Roman" w:hAnsi="Times New Roman" w:cs="Times New Roman"/>
          <w:bCs/>
          <w:sz w:val="24"/>
          <w:szCs w:val="24"/>
          <w:lang w:val="bg-BG"/>
        </w:rPr>
        <w:t xml:space="preserve">Ще се преустанови безконтролното строителство в акваторията на Черно море на съоръжения, които нямат характеристики на хидротехнически, брегозащитни и брегоукрепителни съоръжения и на заснемането им в Кадастралната карта и кадастралните регистри, което ще допринесе за постигане на целите за опазване на медиолиторалните местообитания, определени в Морската стратегия на Р. България. </w:t>
      </w:r>
      <w:r w:rsidRPr="00610B1B">
        <w:rPr>
          <w:rFonts w:ascii="Times New Roman" w:hAnsi="Times New Roman" w:cs="Times New Roman"/>
          <w:bCs/>
          <w:sz w:val="24"/>
          <w:szCs w:val="24"/>
          <w:lang w:val="bg-BG"/>
        </w:rPr>
        <w:t>В резултат, възстановяването и увеличаването на ширината на плажните ивици ще се създад</w:t>
      </w:r>
      <w:r w:rsidR="004F3AE8" w:rsidRPr="00610B1B">
        <w:rPr>
          <w:rFonts w:ascii="Times New Roman" w:hAnsi="Times New Roman" w:cs="Times New Roman"/>
          <w:bCs/>
          <w:sz w:val="24"/>
          <w:szCs w:val="24"/>
          <w:lang w:val="bg-BG"/>
        </w:rPr>
        <w:t>ат</w:t>
      </w:r>
      <w:r w:rsidRPr="00610B1B">
        <w:rPr>
          <w:rFonts w:ascii="Times New Roman" w:hAnsi="Times New Roman" w:cs="Times New Roman"/>
          <w:bCs/>
          <w:sz w:val="24"/>
          <w:szCs w:val="24"/>
          <w:lang w:val="bg-BG"/>
        </w:rPr>
        <w:t xml:space="preserve"> условия за синерги</w:t>
      </w:r>
      <w:r w:rsidR="004F3AE8" w:rsidRPr="00610B1B">
        <w:rPr>
          <w:rFonts w:ascii="Times New Roman" w:hAnsi="Times New Roman" w:cs="Times New Roman"/>
          <w:bCs/>
          <w:sz w:val="24"/>
          <w:szCs w:val="24"/>
          <w:lang w:val="bg-BG"/>
        </w:rPr>
        <w:t>я</w:t>
      </w:r>
      <w:r w:rsidRPr="00610B1B">
        <w:rPr>
          <w:rFonts w:ascii="Times New Roman" w:hAnsi="Times New Roman" w:cs="Times New Roman"/>
          <w:bCs/>
          <w:sz w:val="24"/>
          <w:szCs w:val="24"/>
          <w:lang w:val="bg-BG"/>
        </w:rPr>
        <w:t xml:space="preserve"> между брегозащитата и крайбрежния туризъм.</w:t>
      </w:r>
    </w:p>
    <w:p w14:paraId="5144347D" w14:textId="4213DD84" w:rsidR="001A0E21" w:rsidRPr="00610B1B" w:rsidRDefault="001A0E21" w:rsidP="00D32D6A">
      <w:pPr>
        <w:spacing w:after="120"/>
        <w:ind w:right="-153"/>
        <w:jc w:val="both"/>
        <w:rPr>
          <w:rFonts w:ascii="Times New Roman" w:hAnsi="Times New Roman" w:cs="Times New Roman"/>
          <w:bCs/>
          <w:sz w:val="24"/>
          <w:szCs w:val="24"/>
          <w:lang w:val="bg-BG"/>
        </w:rPr>
      </w:pPr>
      <w:r w:rsidRPr="001A0E21">
        <w:rPr>
          <w:rFonts w:ascii="Times New Roman" w:hAnsi="Times New Roman" w:cs="Times New Roman"/>
          <w:bCs/>
          <w:sz w:val="24"/>
          <w:szCs w:val="24"/>
          <w:lang w:val="bg-BG"/>
        </w:rPr>
        <w:t>Въз основа на „Национална програма за превенция и ограничаване на свлачищата на територията на Р. България, ерозията и абразията по Дунавското и Черноморско крайбрежие 2015-2020</w:t>
      </w:r>
      <w:r w:rsidR="0015264A">
        <w:rPr>
          <w:rFonts w:ascii="Times New Roman" w:hAnsi="Times New Roman" w:cs="Times New Roman"/>
          <w:bCs/>
          <w:sz w:val="24"/>
          <w:szCs w:val="24"/>
          <w:lang w:val="bg-BG"/>
        </w:rPr>
        <w:t> г.</w:t>
      </w:r>
      <w:r w:rsidRPr="001A0E21">
        <w:rPr>
          <w:rFonts w:ascii="Times New Roman" w:hAnsi="Times New Roman" w:cs="Times New Roman"/>
          <w:bCs/>
          <w:sz w:val="24"/>
          <w:szCs w:val="24"/>
          <w:lang w:val="bg-BG"/>
        </w:rPr>
        <w:t>“ е извършена приоритизация на свлачищата и са финансирани за прилагане геозащитни мерки и дейности, включващи противосвлачищни мерки на територията на страната и противоабразионни мерки по Черноморското крайбрежие, както и изграждане на контролно-измервателни системи в т.ч. по Оперативна програма „Околна среда“ 2014-2020</w:t>
      </w:r>
      <w:r w:rsidR="0015264A">
        <w:rPr>
          <w:rFonts w:ascii="Times New Roman" w:hAnsi="Times New Roman" w:cs="Times New Roman"/>
          <w:bCs/>
          <w:sz w:val="24"/>
          <w:szCs w:val="24"/>
          <w:lang w:val="bg-BG"/>
        </w:rPr>
        <w:t> </w:t>
      </w:r>
      <w:r w:rsidRPr="001A0E21">
        <w:rPr>
          <w:rFonts w:ascii="Times New Roman" w:hAnsi="Times New Roman" w:cs="Times New Roman"/>
          <w:bCs/>
          <w:sz w:val="24"/>
          <w:szCs w:val="24"/>
          <w:lang w:val="bg-BG"/>
        </w:rPr>
        <w:t>г.</w:t>
      </w:r>
    </w:p>
    <w:p w14:paraId="7471053F" w14:textId="59E08F56" w:rsidR="00C4204D"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Ще се приложи екосистемен подход, който използва биогеохимичния кръговрат на въглерода в крайбрежните екосистеми – скални рифове, пясъчни и тинести местообитания в плитководието, пясъчни дюни и крайбрежни влажни зони на сушата, които са естествени резервоари за атмосферния въглероден диоксид, чието възстановяване ще допринесе за смекчаване на </w:t>
      </w:r>
      <w:r w:rsidR="004F3AE8" w:rsidRPr="00610B1B">
        <w:rPr>
          <w:rFonts w:ascii="Times New Roman" w:hAnsi="Times New Roman" w:cs="Times New Roman"/>
          <w:bCs/>
          <w:sz w:val="24"/>
          <w:szCs w:val="24"/>
          <w:lang w:val="bg-BG"/>
        </w:rPr>
        <w:t xml:space="preserve">глобалното </w:t>
      </w:r>
      <w:r w:rsidRPr="00610B1B">
        <w:rPr>
          <w:rFonts w:ascii="Times New Roman" w:hAnsi="Times New Roman" w:cs="Times New Roman"/>
          <w:bCs/>
          <w:sz w:val="24"/>
          <w:szCs w:val="24"/>
          <w:lang w:val="bg-BG"/>
        </w:rPr>
        <w:t xml:space="preserve">затопляне. Ще се намали натиска върху крайбрежните местообитания на морското скално и пясъчно дъно, възстановявайки естествената способност на брега да се защитава от ерозия чрез биологичната продуктивност </w:t>
      </w:r>
      <w:r w:rsidR="005A3291" w:rsidRPr="00610B1B">
        <w:rPr>
          <w:rFonts w:ascii="Times New Roman" w:hAnsi="Times New Roman" w:cs="Times New Roman"/>
          <w:bCs/>
          <w:sz w:val="24"/>
          <w:szCs w:val="24"/>
          <w:lang w:val="bg-BG"/>
        </w:rPr>
        <w:t xml:space="preserve">на </w:t>
      </w:r>
      <w:r w:rsidRPr="00610B1B">
        <w:rPr>
          <w:rFonts w:ascii="Times New Roman" w:hAnsi="Times New Roman" w:cs="Times New Roman"/>
          <w:bCs/>
          <w:sz w:val="24"/>
          <w:szCs w:val="24"/>
          <w:lang w:val="bg-BG"/>
        </w:rPr>
        <w:t>карбонатните черупчести организми. Те са естествени филтратори на морската води и източник на наноси за подхранване на пясъчните плажове там, където има условия за развитие</w:t>
      </w:r>
      <w:r w:rsidR="004F3AE8" w:rsidRPr="00610B1B">
        <w:rPr>
          <w:rFonts w:ascii="Times New Roman" w:hAnsi="Times New Roman" w:cs="Times New Roman"/>
          <w:bCs/>
          <w:sz w:val="24"/>
          <w:szCs w:val="24"/>
          <w:lang w:val="bg-BG"/>
        </w:rPr>
        <w:t>то им</w:t>
      </w:r>
      <w:r w:rsidRPr="00610B1B">
        <w:rPr>
          <w:rFonts w:ascii="Times New Roman" w:hAnsi="Times New Roman" w:cs="Times New Roman"/>
          <w:bCs/>
          <w:sz w:val="24"/>
          <w:szCs w:val="24"/>
          <w:lang w:val="bg-BG"/>
        </w:rPr>
        <w:t xml:space="preserve">. </w:t>
      </w:r>
      <w:r w:rsidR="005A3291" w:rsidRPr="00610B1B">
        <w:rPr>
          <w:rFonts w:ascii="Times New Roman" w:hAnsi="Times New Roman" w:cs="Times New Roman"/>
          <w:bCs/>
          <w:sz w:val="24"/>
          <w:szCs w:val="24"/>
          <w:lang w:val="bg-BG"/>
        </w:rPr>
        <w:t>Доказана е значителната роля на к</w:t>
      </w:r>
      <w:r w:rsidRPr="00610B1B">
        <w:rPr>
          <w:rFonts w:ascii="Times New Roman" w:hAnsi="Times New Roman" w:cs="Times New Roman"/>
          <w:bCs/>
          <w:sz w:val="24"/>
          <w:szCs w:val="24"/>
          <w:lang w:val="bg-BG"/>
        </w:rPr>
        <w:t>арбонатни</w:t>
      </w:r>
      <w:r w:rsidR="005A3291" w:rsidRPr="00610B1B">
        <w:rPr>
          <w:rFonts w:ascii="Times New Roman" w:hAnsi="Times New Roman" w:cs="Times New Roman"/>
          <w:bCs/>
          <w:sz w:val="24"/>
          <w:szCs w:val="24"/>
          <w:lang w:val="bg-BG"/>
        </w:rPr>
        <w:t>те</w:t>
      </w:r>
      <w:r w:rsidRPr="00610B1B">
        <w:rPr>
          <w:rFonts w:ascii="Times New Roman" w:hAnsi="Times New Roman" w:cs="Times New Roman"/>
          <w:bCs/>
          <w:sz w:val="24"/>
          <w:szCs w:val="24"/>
          <w:lang w:val="bg-BG"/>
        </w:rPr>
        <w:t xml:space="preserve"> плажове от биогенен произход</w:t>
      </w:r>
      <w:r w:rsidR="005A3291" w:rsidRPr="00610B1B">
        <w:rPr>
          <w:rFonts w:ascii="Times New Roman" w:hAnsi="Times New Roman" w:cs="Times New Roman"/>
          <w:bCs/>
          <w:sz w:val="24"/>
          <w:szCs w:val="24"/>
          <w:lang w:val="bg-BG"/>
        </w:rPr>
        <w:t>, които съществуват в света,</w:t>
      </w:r>
      <w:r w:rsidRPr="00610B1B">
        <w:rPr>
          <w:rFonts w:ascii="Times New Roman" w:hAnsi="Times New Roman" w:cs="Times New Roman"/>
          <w:bCs/>
          <w:sz w:val="24"/>
          <w:szCs w:val="24"/>
          <w:lang w:val="bg-BG"/>
        </w:rPr>
        <w:t xml:space="preserve"> в баланса на наносите в бреговата зона на Черно море</w:t>
      </w:r>
      <w:r w:rsidR="005A3291"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включително и по </w:t>
      </w:r>
      <w:r w:rsidR="00B4146C" w:rsidRPr="00610B1B">
        <w:rPr>
          <w:rFonts w:ascii="Times New Roman" w:hAnsi="Times New Roman" w:cs="Times New Roman"/>
          <w:bCs/>
          <w:sz w:val="24"/>
          <w:szCs w:val="24"/>
          <w:lang w:val="bg-BG"/>
        </w:rPr>
        <w:t xml:space="preserve">българското </w:t>
      </w:r>
      <w:r w:rsidRPr="00610B1B">
        <w:rPr>
          <w:rFonts w:ascii="Times New Roman" w:hAnsi="Times New Roman" w:cs="Times New Roman"/>
          <w:bCs/>
          <w:sz w:val="24"/>
          <w:szCs w:val="24"/>
          <w:lang w:val="bg-BG"/>
        </w:rPr>
        <w:t xml:space="preserve">Черноморско крайбрежие (Дачев, Чернева, 1979; Попов, Мишев, 1974; Рождественски, 1967). По-екологични брегозащитни съоръжения (биоинженерни, инженерно-биологични) ще използват естествения процес на секвестиране на атмосферния въглероден диоксид по веригата фитопланктон-зообентос, съчетавайки вълногасящия ефект на подводните вълноломи с биопродуктивността на естествените скални рифове, осигурявайки екосистемни услуги като биосеквестиране на разтворения в морската вода атмосферен въглероден диоксид, биофилтрация и плажообразуване (Parlichev, 2000; Parlichev &amp; Parlichev, 2003; Пърличев, 2011). </w:t>
      </w:r>
      <w:r w:rsidRPr="00610B1B">
        <w:rPr>
          <w:rFonts w:ascii="Times New Roman" w:hAnsi="Times New Roman" w:cs="Times New Roman"/>
          <w:bCs/>
          <w:sz w:val="24"/>
          <w:szCs w:val="24"/>
          <w:lang w:val="bg-BG"/>
        </w:rPr>
        <w:lastRenderedPageBreak/>
        <w:t>Последното ще допринесе за възстановяване на карбонатните пясъчни плажове северно от н</w:t>
      </w:r>
      <w:r w:rsidR="004F3AE8" w:rsidRPr="00610B1B">
        <w:rPr>
          <w:rFonts w:ascii="Times New Roman" w:hAnsi="Times New Roman" w:cs="Times New Roman"/>
          <w:bCs/>
          <w:sz w:val="24"/>
          <w:szCs w:val="24"/>
          <w:lang w:val="bg-BG"/>
        </w:rPr>
        <w:t>ос</w:t>
      </w:r>
      <w:r w:rsidRPr="00610B1B">
        <w:rPr>
          <w:rFonts w:ascii="Times New Roman" w:hAnsi="Times New Roman" w:cs="Times New Roman"/>
          <w:bCs/>
          <w:sz w:val="24"/>
          <w:szCs w:val="24"/>
          <w:lang w:val="bg-BG"/>
        </w:rPr>
        <w:t xml:space="preserve"> Калиакра и южно от гр. Созопол.</w:t>
      </w:r>
    </w:p>
    <w:p w14:paraId="16E7AA77" w14:textId="071C10E8" w:rsidR="001A0E21" w:rsidRPr="00610B1B" w:rsidRDefault="001A0E21" w:rsidP="00D32D6A">
      <w:pPr>
        <w:spacing w:after="120"/>
        <w:ind w:right="-153"/>
        <w:jc w:val="both"/>
        <w:rPr>
          <w:rFonts w:ascii="Times New Roman" w:hAnsi="Times New Roman" w:cs="Times New Roman"/>
          <w:bCs/>
          <w:sz w:val="24"/>
          <w:szCs w:val="24"/>
          <w:lang w:val="bg-BG"/>
        </w:rPr>
      </w:pPr>
      <w:r w:rsidRPr="001A0E21">
        <w:rPr>
          <w:rFonts w:ascii="Times New Roman" w:hAnsi="Times New Roman" w:cs="Times New Roman"/>
          <w:bCs/>
          <w:sz w:val="24"/>
          <w:szCs w:val="24"/>
          <w:lang w:val="bg-BG"/>
        </w:rPr>
        <w:t>Комбинирането на биоинженерни и инженерно-биологични методи с действието на противоабразионните и брегоукрепителни съоръжения ще има по-голям ефект при бреговата защита, в защитата от свлачищни и абразионни процеси.</w:t>
      </w:r>
    </w:p>
    <w:p w14:paraId="2EE3411E" w14:textId="5DC3A6DA" w:rsidR="00C4204D"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Ще се преразгледат зоните за депониране на драгирани инертни материали на шелфа, което води до затрупване на дънните местообитания</w:t>
      </w:r>
      <w:r w:rsidR="004F3AE8"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 xml:space="preserve">на шелфови местообитания, които имат важно значение за биологичната продуктивност, биоразнообразието и за риболова на някои </w:t>
      </w:r>
      <w:r w:rsidR="00C415D1" w:rsidRPr="00610B1B">
        <w:rPr>
          <w:rFonts w:ascii="Times New Roman" w:hAnsi="Times New Roman" w:cs="Times New Roman"/>
          <w:bCs/>
          <w:sz w:val="24"/>
          <w:szCs w:val="24"/>
          <w:lang w:val="bg-BG"/>
        </w:rPr>
        <w:t>стопанско</w:t>
      </w:r>
      <w:r w:rsidRPr="00610B1B">
        <w:rPr>
          <w:rFonts w:ascii="Times New Roman" w:hAnsi="Times New Roman" w:cs="Times New Roman"/>
          <w:bCs/>
          <w:sz w:val="24"/>
          <w:szCs w:val="24"/>
          <w:lang w:val="bg-BG"/>
        </w:rPr>
        <w:t xml:space="preserve"> ценни дънни видове риби, </w:t>
      </w:r>
      <w:r w:rsidR="004F3AE8" w:rsidRPr="00610B1B">
        <w:rPr>
          <w:rFonts w:ascii="Times New Roman" w:hAnsi="Times New Roman" w:cs="Times New Roman"/>
          <w:bCs/>
          <w:sz w:val="24"/>
          <w:szCs w:val="24"/>
          <w:lang w:val="bg-BG"/>
        </w:rPr>
        <w:t>като</w:t>
      </w:r>
      <w:r w:rsidRPr="00610B1B">
        <w:rPr>
          <w:rFonts w:ascii="Times New Roman" w:hAnsi="Times New Roman" w:cs="Times New Roman"/>
          <w:bCs/>
          <w:sz w:val="24"/>
          <w:szCs w:val="24"/>
          <w:lang w:val="bg-BG"/>
        </w:rPr>
        <w:t xml:space="preserve"> калкана. Съществува възможност за синерги</w:t>
      </w:r>
      <w:r w:rsidR="005A3291" w:rsidRPr="00610B1B">
        <w:rPr>
          <w:rFonts w:ascii="Times New Roman" w:hAnsi="Times New Roman" w:cs="Times New Roman"/>
          <w:bCs/>
          <w:sz w:val="24"/>
          <w:szCs w:val="24"/>
          <w:lang w:val="bg-BG"/>
        </w:rPr>
        <w:t>я</w:t>
      </w:r>
      <w:r w:rsidRPr="00610B1B">
        <w:rPr>
          <w:rFonts w:ascii="Times New Roman" w:hAnsi="Times New Roman" w:cs="Times New Roman"/>
          <w:bCs/>
          <w:sz w:val="24"/>
          <w:szCs w:val="24"/>
          <w:lang w:val="bg-BG"/>
        </w:rPr>
        <w:t xml:space="preserve"> между пристанищните дейности, по-конкретно драгирането и депонирането, и брегозащитата. Драгираните материали могат </w:t>
      </w:r>
      <w:r w:rsidR="005A3291" w:rsidRPr="00610B1B">
        <w:rPr>
          <w:rFonts w:ascii="Times New Roman" w:hAnsi="Times New Roman" w:cs="Times New Roman"/>
          <w:bCs/>
          <w:sz w:val="24"/>
          <w:szCs w:val="24"/>
          <w:lang w:val="bg-BG"/>
        </w:rPr>
        <w:t xml:space="preserve">да се </w:t>
      </w:r>
      <w:r w:rsidRPr="00610B1B">
        <w:rPr>
          <w:rFonts w:ascii="Times New Roman" w:hAnsi="Times New Roman" w:cs="Times New Roman"/>
          <w:bCs/>
          <w:sz w:val="24"/>
          <w:szCs w:val="24"/>
          <w:lang w:val="bg-BG"/>
        </w:rPr>
        <w:t>оползотворяват като източник на наноси за изкуствено подхранване на пясъчните плажове</w:t>
      </w:r>
      <w:r w:rsidR="0066785F" w:rsidRPr="00610B1B">
        <w:rPr>
          <w:rFonts w:ascii="Times New Roman" w:hAnsi="Times New Roman" w:cs="Times New Roman"/>
          <w:bCs/>
          <w:sz w:val="24"/>
          <w:szCs w:val="24"/>
          <w:lang w:val="bg-BG"/>
        </w:rPr>
        <w:t xml:space="preserve"> </w:t>
      </w:r>
      <w:r w:rsidR="002F2988" w:rsidRPr="00610B1B">
        <w:rPr>
          <w:rFonts w:ascii="Times New Roman" w:hAnsi="Times New Roman" w:cs="Times New Roman"/>
          <w:bCs/>
          <w:sz w:val="24"/>
          <w:szCs w:val="24"/>
          <w:lang w:val="bg-BG"/>
        </w:rPr>
        <w:t xml:space="preserve">и за зелена инфраструктура, </w:t>
      </w:r>
      <w:r w:rsidRPr="00610B1B">
        <w:rPr>
          <w:rFonts w:ascii="Times New Roman" w:hAnsi="Times New Roman" w:cs="Times New Roman"/>
          <w:bCs/>
          <w:sz w:val="24"/>
          <w:szCs w:val="24"/>
          <w:lang w:val="bg-BG"/>
        </w:rPr>
        <w:t>следвайки добрите практики в световната брегозащита с акцент върху решения, работещи с природата (STOWA, 2020)</w:t>
      </w:r>
      <w:r w:rsidR="0050183D" w:rsidRPr="00610B1B">
        <w:rPr>
          <w:rStyle w:val="FootnoteReference"/>
          <w:rFonts w:ascii="Times New Roman" w:hAnsi="Times New Roman" w:cs="Times New Roman"/>
          <w:bCs/>
          <w:sz w:val="24"/>
          <w:szCs w:val="24"/>
          <w:lang w:val="bg-BG"/>
        </w:rPr>
        <w:footnoteReference w:id="169"/>
      </w:r>
      <w:r w:rsidRPr="00610B1B">
        <w:rPr>
          <w:rFonts w:ascii="Times New Roman" w:hAnsi="Times New Roman" w:cs="Times New Roman"/>
          <w:bCs/>
          <w:sz w:val="24"/>
          <w:szCs w:val="24"/>
          <w:lang w:val="bg-BG"/>
        </w:rPr>
        <w:t>. Така ще се прекрати текущото увреждане поради затрупване на дънните местообитания на шелфа и ще се осигури потенциален източник за изкуствено подхранване на плажните ивици</w:t>
      </w:r>
      <w:r w:rsidR="004F3AE8" w:rsidRPr="00610B1B">
        <w:rPr>
          <w:rFonts w:ascii="Times New Roman" w:hAnsi="Times New Roman" w:cs="Times New Roman"/>
          <w:bCs/>
          <w:sz w:val="24"/>
          <w:szCs w:val="24"/>
          <w:lang w:val="bg-BG"/>
        </w:rPr>
        <w:t xml:space="preserve"> при изчерпване на </w:t>
      </w:r>
      <w:r w:rsidRPr="00610B1B">
        <w:rPr>
          <w:rFonts w:ascii="Times New Roman" w:hAnsi="Times New Roman" w:cs="Times New Roman"/>
          <w:bCs/>
          <w:sz w:val="24"/>
          <w:szCs w:val="24"/>
          <w:lang w:val="bg-BG"/>
        </w:rPr>
        <w:t>съществуващите източници на наноси</w:t>
      </w:r>
      <w:r w:rsidR="004F3AE8" w:rsidRPr="00610B1B">
        <w:rPr>
          <w:rFonts w:ascii="Times New Roman" w:hAnsi="Times New Roman" w:cs="Times New Roman"/>
          <w:bCs/>
          <w:sz w:val="24"/>
          <w:szCs w:val="24"/>
          <w:lang w:val="bg-BG"/>
        </w:rPr>
        <w:t xml:space="preserve">. </w:t>
      </w:r>
    </w:p>
    <w:p w14:paraId="181F10E8" w14:textId="4A249E05" w:rsidR="001514E1" w:rsidRPr="00610B1B" w:rsidRDefault="00C4204D" w:rsidP="00D32D6A">
      <w:pPr>
        <w:spacing w:after="120"/>
        <w:ind w:right="-153"/>
        <w:jc w:val="both"/>
        <w:rPr>
          <w:rFonts w:ascii="Times New Roman" w:hAnsi="Times New Roman" w:cs="Times New Roman"/>
          <w:bCs/>
          <w:sz w:val="24"/>
          <w:szCs w:val="24"/>
          <w:lang w:val="bg-BG"/>
        </w:rPr>
      </w:pPr>
      <w:r w:rsidRPr="00610B1B">
        <w:rPr>
          <w:rFonts w:ascii="Times New Roman" w:hAnsi="Times New Roman" w:cs="Times New Roman"/>
          <w:bCs/>
          <w:sz w:val="24"/>
          <w:szCs w:val="24"/>
          <w:lang w:val="bg-BG"/>
        </w:rPr>
        <w:t xml:space="preserve">Ще се приложи Регионален план за действие за Черно море по отношение на морските отпадъци. Ще се </w:t>
      </w:r>
      <w:r w:rsidR="00B4146C" w:rsidRPr="00610B1B">
        <w:rPr>
          <w:rFonts w:ascii="Times New Roman" w:hAnsi="Times New Roman" w:cs="Times New Roman"/>
          <w:bCs/>
          <w:sz w:val="24"/>
          <w:szCs w:val="24"/>
          <w:lang w:val="bg-BG"/>
        </w:rPr>
        <w:t xml:space="preserve">картографира подводния шум и ще се </w:t>
      </w:r>
      <w:r w:rsidRPr="00610B1B">
        <w:rPr>
          <w:rFonts w:ascii="Times New Roman" w:hAnsi="Times New Roman" w:cs="Times New Roman"/>
          <w:bCs/>
          <w:sz w:val="24"/>
          <w:szCs w:val="24"/>
          <w:lang w:val="bg-BG"/>
        </w:rPr>
        <w:t>предприемат действия за ограничаване</w:t>
      </w:r>
      <w:r w:rsidR="00B4146C" w:rsidRPr="00610B1B">
        <w:rPr>
          <w:rFonts w:ascii="Times New Roman" w:hAnsi="Times New Roman" w:cs="Times New Roman"/>
          <w:bCs/>
          <w:sz w:val="24"/>
          <w:szCs w:val="24"/>
          <w:lang w:val="bg-BG"/>
        </w:rPr>
        <w:t xml:space="preserve">то му </w:t>
      </w:r>
      <w:r w:rsidRPr="00610B1B">
        <w:rPr>
          <w:rFonts w:ascii="Times New Roman" w:hAnsi="Times New Roman" w:cs="Times New Roman"/>
          <w:bCs/>
          <w:sz w:val="24"/>
          <w:szCs w:val="24"/>
          <w:lang w:val="bg-BG"/>
        </w:rPr>
        <w:t>в морската среда от различни източници.</w:t>
      </w:r>
      <w:r w:rsidR="004F3AE8"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Ще се подкрепя</w:t>
      </w:r>
      <w:r w:rsidR="00D66FE0" w:rsidRPr="00610B1B">
        <w:rPr>
          <w:rFonts w:ascii="Times New Roman" w:hAnsi="Times New Roman" w:cs="Times New Roman"/>
          <w:bCs/>
          <w:sz w:val="24"/>
          <w:szCs w:val="24"/>
          <w:lang w:val="bg-BG"/>
        </w:rPr>
        <w:t xml:space="preserve"> </w:t>
      </w:r>
      <w:r w:rsidRPr="00610B1B">
        <w:rPr>
          <w:rFonts w:ascii="Times New Roman" w:hAnsi="Times New Roman" w:cs="Times New Roman"/>
          <w:bCs/>
          <w:sz w:val="24"/>
          <w:szCs w:val="24"/>
          <w:lang w:val="bg-BG"/>
        </w:rPr>
        <w:t>провеждането на годишни кампании за повишаване на осведомеността на заинтересованите страни по отношение на последствията от неустойчивите човешки дейности върху морската околна среда и ще се посочат нови възможности за по-екологично развитие на Синята икономика, в съответствие с визията и целите на Морския пространствен план и Морската стратегия на Република България.</w:t>
      </w:r>
    </w:p>
    <w:p w14:paraId="44B3D36B" w14:textId="77777777" w:rsidR="005A3291" w:rsidRPr="00610B1B" w:rsidRDefault="005A3291" w:rsidP="00D32D6A">
      <w:pPr>
        <w:spacing w:after="120"/>
        <w:ind w:right="-153"/>
        <w:jc w:val="both"/>
        <w:rPr>
          <w:rFonts w:ascii="Times New Roman" w:eastAsia="Calibri" w:hAnsi="Times New Roman" w:cs="Times New Roman"/>
          <w:strike/>
          <w:color w:val="FF0000"/>
          <w:sz w:val="24"/>
          <w:szCs w:val="24"/>
          <w:lang w:val="bg-BG"/>
        </w:rPr>
      </w:pPr>
    </w:p>
    <w:p w14:paraId="5B7D00E2" w14:textId="43051F6A" w:rsidR="00442579" w:rsidRPr="00610B1B" w:rsidRDefault="00EC20C3" w:rsidP="00D32D6A">
      <w:pPr>
        <w:pStyle w:val="Heading2"/>
        <w:spacing w:before="0" w:line="276" w:lineRule="auto"/>
        <w:ind w:right="-153"/>
        <w:rPr>
          <w:rFonts w:cs="Times New Roman"/>
        </w:rPr>
      </w:pPr>
      <w:bookmarkStart w:id="441" w:name="_Toc83391418"/>
      <w:r w:rsidRPr="00610B1B">
        <w:rPr>
          <w:rFonts w:cs="Times New Roman"/>
        </w:rPr>
        <w:t>4.</w:t>
      </w:r>
      <w:r w:rsidR="009278D0" w:rsidRPr="00610B1B">
        <w:rPr>
          <w:rFonts w:cs="Times New Roman"/>
        </w:rPr>
        <w:t>3</w:t>
      </w:r>
      <w:r w:rsidRPr="00610B1B">
        <w:rPr>
          <w:rFonts w:cs="Times New Roman"/>
        </w:rPr>
        <w:t xml:space="preserve">. </w:t>
      </w:r>
      <w:r w:rsidR="007F718F" w:rsidRPr="00610B1B">
        <w:rPr>
          <w:rFonts w:cs="Times New Roman"/>
        </w:rPr>
        <w:t>Прогнозни с</w:t>
      </w:r>
      <w:r w:rsidR="00442579" w:rsidRPr="00610B1B">
        <w:rPr>
          <w:rFonts w:cs="Times New Roman"/>
        </w:rPr>
        <w:t>ценарии и модели за устойчи</w:t>
      </w:r>
      <w:r w:rsidR="00D0096F" w:rsidRPr="00610B1B">
        <w:rPr>
          <w:rFonts w:cs="Times New Roman"/>
        </w:rPr>
        <w:t>во развитие и опазване на морски</w:t>
      </w:r>
      <w:r w:rsidR="00442579" w:rsidRPr="00610B1B">
        <w:rPr>
          <w:rFonts w:cs="Times New Roman"/>
        </w:rPr>
        <w:t>т</w:t>
      </w:r>
      <w:r w:rsidR="00D0096F" w:rsidRPr="00610B1B">
        <w:rPr>
          <w:rFonts w:cs="Times New Roman"/>
        </w:rPr>
        <w:t>е</w:t>
      </w:r>
      <w:r w:rsidR="00442579" w:rsidRPr="00610B1B">
        <w:rPr>
          <w:rFonts w:cs="Times New Roman"/>
        </w:rPr>
        <w:t xml:space="preserve"> пространств</w:t>
      </w:r>
      <w:r w:rsidR="00D0096F" w:rsidRPr="00610B1B">
        <w:rPr>
          <w:rFonts w:cs="Times New Roman"/>
        </w:rPr>
        <w:t>а</w:t>
      </w:r>
      <w:bookmarkEnd w:id="441"/>
      <w:r w:rsidR="00442579" w:rsidRPr="00610B1B">
        <w:rPr>
          <w:rFonts w:cs="Times New Roman"/>
        </w:rPr>
        <w:t xml:space="preserve"> </w:t>
      </w:r>
    </w:p>
    <w:p w14:paraId="74FD2957" w14:textId="13DC9119"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Изграждането на сценариите</w:t>
      </w:r>
      <w:r w:rsidR="00D66FE0" w:rsidRPr="00610B1B">
        <w:rPr>
          <w:rFonts w:ascii="Times New Roman" w:eastAsia="Calibri" w:hAnsi="Times New Roman" w:cs="Times New Roman"/>
          <w:bCs/>
          <w:color w:val="000000" w:themeColor="text1"/>
          <w:sz w:val="24"/>
          <w:szCs w:val="24"/>
          <w:lang w:val="bg-BG"/>
        </w:rPr>
        <w:t xml:space="preserve"> </w:t>
      </w:r>
      <w:r w:rsidR="005828EF" w:rsidRPr="00610B1B">
        <w:rPr>
          <w:rFonts w:ascii="Times New Roman" w:eastAsia="Calibri" w:hAnsi="Times New Roman" w:cs="Times New Roman"/>
          <w:bCs/>
          <w:color w:val="000000" w:themeColor="text1"/>
          <w:sz w:val="24"/>
          <w:szCs w:val="24"/>
          <w:lang w:val="bg-BG"/>
        </w:rPr>
        <w:t xml:space="preserve">в морския пространствен план </w:t>
      </w:r>
      <w:r w:rsidRPr="00610B1B">
        <w:rPr>
          <w:rFonts w:ascii="Times New Roman" w:eastAsia="Calibri" w:hAnsi="Times New Roman" w:cs="Times New Roman"/>
          <w:bCs/>
          <w:color w:val="000000" w:themeColor="text1"/>
          <w:sz w:val="24"/>
          <w:szCs w:val="24"/>
          <w:lang w:val="bg-BG"/>
        </w:rPr>
        <w:t xml:space="preserve">се базира на идентифицираните възможни посоки на развитие в зависимост от определящите фактори (движещи сили), които влияят на морските ресурси и пространствените ползвания, както и на икономическите дейности, свързани с морето. Различните политики и обществени приоритети са конфронтиращи се избори за развитие. </w:t>
      </w:r>
    </w:p>
    <w:p w14:paraId="2F27F22E" w14:textId="7DF5119F"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При разглеждането на контекст</w:t>
      </w:r>
      <w:r w:rsidR="00E07025" w:rsidRPr="00610B1B">
        <w:rPr>
          <w:rFonts w:ascii="Times New Roman" w:eastAsia="Calibri" w:hAnsi="Times New Roman" w:cs="Times New Roman"/>
          <w:bCs/>
          <w:color w:val="000000" w:themeColor="text1"/>
          <w:sz w:val="24"/>
          <w:szCs w:val="24"/>
          <w:lang w:val="bg-BG"/>
        </w:rPr>
        <w:t>а</w:t>
      </w:r>
      <w:r w:rsidRPr="00610B1B">
        <w:rPr>
          <w:rFonts w:ascii="Times New Roman" w:eastAsia="Calibri" w:hAnsi="Times New Roman" w:cs="Times New Roman"/>
          <w:bCs/>
          <w:color w:val="000000" w:themeColor="text1"/>
          <w:sz w:val="24"/>
          <w:szCs w:val="24"/>
          <w:lang w:val="bg-BG"/>
        </w:rPr>
        <w:t xml:space="preserve"> на устойчивото развитие в различни сценари</w:t>
      </w:r>
      <w:r w:rsidR="0084164F" w:rsidRPr="00610B1B">
        <w:rPr>
          <w:rFonts w:ascii="Times New Roman" w:eastAsia="Calibri" w:hAnsi="Times New Roman" w:cs="Times New Roman"/>
          <w:bCs/>
          <w:color w:val="000000" w:themeColor="text1"/>
          <w:sz w:val="24"/>
          <w:szCs w:val="24"/>
          <w:lang w:val="bg-BG"/>
        </w:rPr>
        <w:t>и</w:t>
      </w:r>
      <w:r w:rsidRPr="00610B1B">
        <w:rPr>
          <w:rFonts w:ascii="Times New Roman" w:eastAsia="Calibri" w:hAnsi="Times New Roman" w:cs="Times New Roman"/>
          <w:bCs/>
          <w:color w:val="000000" w:themeColor="text1"/>
          <w:sz w:val="24"/>
          <w:szCs w:val="24"/>
          <w:lang w:val="bg-BG"/>
        </w:rPr>
        <w:t xml:space="preserve">, посветени на икономическия растеж, на опазването на морските екосистеми и на социалния просперитет, се използват методи, прилагани при контекстуалните сценарии. Последните до голяма степен са описателни и използват прогнозиране, изследват взаимодействия и оценяват въздействия. Базирани на политиката за постигане на бъдещото желано </w:t>
      </w:r>
      <w:r w:rsidRPr="00610B1B">
        <w:rPr>
          <w:rFonts w:ascii="Times New Roman" w:eastAsia="Calibri" w:hAnsi="Times New Roman" w:cs="Times New Roman"/>
          <w:bCs/>
          <w:color w:val="000000" w:themeColor="text1"/>
          <w:sz w:val="24"/>
          <w:szCs w:val="24"/>
          <w:lang w:val="bg-BG"/>
        </w:rPr>
        <w:lastRenderedPageBreak/>
        <w:t>развитие, в разработените сценарии присъстват елементи и от политически сценарии, които определят насоките за промяна на политическата и нормативна рамка на морското пространствено планиране.</w:t>
      </w:r>
      <w:r w:rsidR="00D66FE0" w:rsidRPr="00610B1B">
        <w:rPr>
          <w:rFonts w:ascii="Times New Roman" w:eastAsia="Calibri" w:hAnsi="Times New Roman" w:cs="Times New Roman"/>
          <w:bCs/>
          <w:color w:val="000000" w:themeColor="text1"/>
          <w:sz w:val="24"/>
          <w:szCs w:val="24"/>
          <w:lang w:val="bg-BG"/>
        </w:rPr>
        <w:t xml:space="preserve"> </w:t>
      </w:r>
    </w:p>
    <w:p w14:paraId="2A82A70E"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Отправна плоскост на бъдещия МППРБ е устойчивото развитие и екосистемните услуги. Същата платформа се използва и за изграждането на възможните сценарии за развитие. Трите опорни точки на устойчивото развитие (икономическа, социална и екологична) са основа за три различни сценария, във всеки от които е приоритизиран съответен аспект:</w:t>
      </w:r>
    </w:p>
    <w:p w14:paraId="714F7D7A" w14:textId="77777777" w:rsidR="0055674E" w:rsidRPr="00610B1B" w:rsidRDefault="0055674E" w:rsidP="00B46189">
      <w:pPr>
        <w:numPr>
          <w:ilvl w:val="0"/>
          <w:numId w:val="33"/>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Сценарий A – Икономически растеж;</w:t>
      </w:r>
    </w:p>
    <w:p w14:paraId="118DB6C5" w14:textId="77777777" w:rsidR="0055674E" w:rsidRPr="00610B1B" w:rsidRDefault="0055674E" w:rsidP="00B46189">
      <w:pPr>
        <w:numPr>
          <w:ilvl w:val="0"/>
          <w:numId w:val="33"/>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Сценарий В – Екология; </w:t>
      </w:r>
    </w:p>
    <w:p w14:paraId="04A96A61" w14:textId="77777777" w:rsidR="0055674E" w:rsidRPr="00610B1B" w:rsidRDefault="0055674E" w:rsidP="00B46189">
      <w:pPr>
        <w:numPr>
          <w:ilvl w:val="0"/>
          <w:numId w:val="33"/>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Сценарий С – Социално равновесие.</w:t>
      </w:r>
    </w:p>
    <w:p w14:paraId="7262B14D"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Тези три сценария биха могли да се изградят и приложат чрез ясно подчертан секторен подход. Това е и масовата настояща практика в развитието на морските ползвания и съответните им сектори. В конкретния случай, за целите на морското пространствено планиране и в трите сценария са интерпретирани елементи от трите аспекта – икономически, социален или екологичен, но с доминираща роля на един от тях. </w:t>
      </w:r>
    </w:p>
    <w:p w14:paraId="4F38BB4D" w14:textId="3329D4A2"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Макар и с повече съвместни усилия, е възможен и нов, средови подход, постигащ консенсус за крайната цел „устойчива морска екосистема“ още на ниво „сценарий“. Така се стига до четвърти сценарий за постигане на устойчиво развитие. Прилагането му изисква промени в ценностни системи, промени във фокуса и целите на планирането. В днешната ситуация на преструктуриране след пандемия и трудно прогнозируема икономическа криза, нараства вероятността за постигане на такъв сценарий, чиято оценка за реализуемост би била много по-ниска в началото на 2020 г.</w:t>
      </w:r>
    </w:p>
    <w:p w14:paraId="4E765B34"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Ако се направи допускане, че във времевия хоризонт на бъдещия МППРБ нито една секторна политика или фактор няма да оказват съществено въздействие върху сегашните ползвания на морското пространство, ще бъде налице и нулев сценарий или „нулева алтернатива“, която експертите задължително оценяват в Екологичната оценка.</w:t>
      </w:r>
    </w:p>
    <w:p w14:paraId="2D95B8C0"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За да се постигне правдоподобност и реализуемост, в следващите стъпки по изграждането на сценариите са извършени: </w:t>
      </w:r>
    </w:p>
    <w:p w14:paraId="63DD75F0" w14:textId="77777777" w:rsidR="0055674E" w:rsidRPr="00610B1B" w:rsidRDefault="0055674E" w:rsidP="00B46189">
      <w:pPr>
        <w:numPr>
          <w:ilvl w:val="0"/>
          <w:numId w:val="18"/>
        </w:numPr>
        <w:spacing w:after="120"/>
        <w:ind w:left="360"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Анализ на факторите</w:t>
      </w:r>
      <w:r w:rsidRPr="00610B1B">
        <w:rPr>
          <w:rFonts w:ascii="Times New Roman" w:eastAsia="Calibri" w:hAnsi="Times New Roman" w:cs="Times New Roman"/>
          <w:bCs/>
          <w:color w:val="000000" w:themeColor="text1"/>
          <w:sz w:val="24"/>
          <w:szCs w:val="24"/>
          <w:lang w:val="bg-BG"/>
        </w:rPr>
        <w:t xml:space="preserve"> (движещите сили), определящи развитието – социално-икономическите предпоставки за промени (пространствени, количествени и качествени) в ползванията на морските пространства, както и свързаните с тези промени тенденции на развитие. Анализът отчита актуалните цели на ангажираните секторни политики и потенциалите за развитие на съответните сектори;</w:t>
      </w:r>
    </w:p>
    <w:p w14:paraId="4202705F" w14:textId="66CF0C1D" w:rsidR="0055674E" w:rsidRPr="00610B1B" w:rsidRDefault="0055674E" w:rsidP="00B46189">
      <w:pPr>
        <w:numPr>
          <w:ilvl w:val="0"/>
          <w:numId w:val="18"/>
        </w:numPr>
        <w:spacing w:after="120"/>
        <w:ind w:left="360"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Оценка на ограничителите</w:t>
      </w:r>
      <w:r w:rsidRPr="00610B1B">
        <w:rPr>
          <w:rFonts w:ascii="Times New Roman" w:eastAsia="Calibri" w:hAnsi="Times New Roman" w:cs="Times New Roman"/>
          <w:bCs/>
          <w:color w:val="000000" w:themeColor="text1"/>
          <w:sz w:val="24"/>
          <w:szCs w:val="24"/>
          <w:lang w:val="bg-BG"/>
        </w:rPr>
        <w:t xml:space="preserve"> за ползване на морските пространства – правна рамка, природни условия, морски ресурси, устойчивост на екосистемите (необходимост от опазване на чувствителните/уязвимите и ценните в екологично отношение), пространствено разграничаване на несъвместими функции (например платформи за добив на нефт/газ и коридори с интензивно корабоплаване или военни полигони);</w:t>
      </w:r>
    </w:p>
    <w:p w14:paraId="729DD3D6" w14:textId="1571D684" w:rsidR="0055674E" w:rsidRPr="00610B1B" w:rsidRDefault="0055674E" w:rsidP="00B46189">
      <w:pPr>
        <w:numPr>
          <w:ilvl w:val="0"/>
          <w:numId w:val="18"/>
        </w:numPr>
        <w:spacing w:after="120"/>
        <w:ind w:left="360"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lastRenderedPageBreak/>
        <w:t>Консултации със заинтересованите страни</w:t>
      </w:r>
      <w:r w:rsidRPr="00610B1B">
        <w:rPr>
          <w:rFonts w:ascii="Times New Roman" w:eastAsia="Calibri" w:hAnsi="Times New Roman" w:cs="Times New Roman"/>
          <w:bCs/>
          <w:color w:val="000000" w:themeColor="text1"/>
          <w:sz w:val="24"/>
          <w:szCs w:val="24"/>
          <w:lang w:val="bg-BG"/>
        </w:rPr>
        <w:t xml:space="preserve"> – всички възможни форми в условията на извънредно положение и използване на резултатите от дълбочинното интервю</w:t>
      </w:r>
      <w:r w:rsidR="00E07927" w:rsidRPr="00610B1B">
        <w:rPr>
          <w:rFonts w:ascii="Times New Roman" w:eastAsia="Calibri" w:hAnsi="Times New Roman" w:cs="Times New Roman"/>
          <w:bCs/>
          <w:color w:val="000000" w:themeColor="text1"/>
          <w:sz w:val="24"/>
          <w:szCs w:val="24"/>
          <w:lang w:val="bg-BG"/>
        </w:rPr>
        <w:t xml:space="preserve"> и от интердисциплинарния семинар.</w:t>
      </w:r>
    </w:p>
    <w:p w14:paraId="043D4B13" w14:textId="6DB139F2" w:rsidR="003E6FF9" w:rsidRPr="00610B1B" w:rsidRDefault="003E6FF9"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Всички сценарии и предвидените дейности се съобразяват с Методиката за оценка и картиране на състоянието на морските екосистеми и техните услуги в България (Част Б9)</w:t>
      </w:r>
      <w:r w:rsidR="001A1698" w:rsidRPr="00610B1B">
        <w:rPr>
          <w:rStyle w:val="FootnoteReference"/>
          <w:rFonts w:ascii="Times New Roman" w:eastAsia="Calibri" w:hAnsi="Times New Roman" w:cs="Times New Roman"/>
          <w:bCs/>
          <w:color w:val="000000" w:themeColor="text1"/>
          <w:sz w:val="24"/>
          <w:szCs w:val="24"/>
          <w:lang w:val="bg-BG"/>
        </w:rPr>
        <w:footnoteReference w:id="170"/>
      </w:r>
      <w:r w:rsidR="001A1698" w:rsidRPr="00610B1B">
        <w:rPr>
          <w:rFonts w:ascii="Times New Roman" w:eastAsia="Calibri" w:hAnsi="Times New Roman" w:cs="Times New Roman"/>
          <w:bCs/>
          <w:color w:val="000000" w:themeColor="text1"/>
          <w:sz w:val="24"/>
          <w:szCs w:val="24"/>
          <w:lang w:val="bg-BG"/>
        </w:rPr>
        <w:t>, съгласно която морските екосистеми са класифицирани в 4 подкласа - морски заливи и преходни води; крайбрежни зони;</w:t>
      </w:r>
      <w:r w:rsidR="00D66FE0" w:rsidRPr="00610B1B">
        <w:rPr>
          <w:rFonts w:ascii="Times New Roman" w:eastAsia="Calibri" w:hAnsi="Times New Roman" w:cs="Times New Roman"/>
          <w:bCs/>
          <w:color w:val="000000" w:themeColor="text1"/>
          <w:sz w:val="24"/>
          <w:szCs w:val="24"/>
          <w:lang w:val="bg-BG"/>
        </w:rPr>
        <w:t xml:space="preserve"> </w:t>
      </w:r>
      <w:r w:rsidR="001A1698" w:rsidRPr="00610B1B">
        <w:rPr>
          <w:rFonts w:ascii="Times New Roman" w:eastAsia="Calibri" w:hAnsi="Times New Roman" w:cs="Times New Roman"/>
          <w:bCs/>
          <w:color w:val="000000" w:themeColor="text1"/>
          <w:sz w:val="24"/>
          <w:szCs w:val="24"/>
          <w:lang w:val="bg-BG"/>
        </w:rPr>
        <w:t>шелф и открито море. Това съвпада с подхода в Морския пространствен план на Р. България</w:t>
      </w:r>
      <w:r w:rsidRPr="00610B1B">
        <w:rPr>
          <w:rFonts w:ascii="Times New Roman" w:eastAsia="Calibri" w:hAnsi="Times New Roman" w:cs="Times New Roman"/>
          <w:bCs/>
          <w:color w:val="000000" w:themeColor="text1"/>
          <w:sz w:val="24"/>
          <w:szCs w:val="24"/>
          <w:lang w:val="bg-BG"/>
        </w:rPr>
        <w:t xml:space="preserve">. </w:t>
      </w:r>
    </w:p>
    <w:p w14:paraId="63ABCC58" w14:textId="4E98632F" w:rsidR="00566026" w:rsidRPr="00610B1B" w:rsidRDefault="0055674E" w:rsidP="003F3C59">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Последната стъпка в изграждането на сценариите е осигуряването на обективна възможност за оценяването им, преди да се пристъпи към избор на оптимален сценарий. Такава възможност се дава чрез подбор на ключови социално-икономически и екологични индикатори за съответните въздействия на различните сценарии. Тъй като водеща роля има екосистемният подход и опазването на морската околна среда, тези индикатори могат да бъдат насочени именно към тази предварителна оценка</w:t>
      </w:r>
      <w:r w:rsidR="003F3C59" w:rsidRPr="00610B1B">
        <w:rPr>
          <w:rFonts w:ascii="Times New Roman" w:eastAsia="Calibri" w:hAnsi="Times New Roman" w:cs="Times New Roman"/>
          <w:bCs/>
          <w:color w:val="000000" w:themeColor="text1"/>
          <w:sz w:val="24"/>
          <w:szCs w:val="24"/>
          <w:lang w:val="bg-BG"/>
        </w:rPr>
        <w:t>.</w:t>
      </w:r>
    </w:p>
    <w:p w14:paraId="4721EFB2" w14:textId="77777777" w:rsidR="003F3C59" w:rsidRPr="00610B1B" w:rsidRDefault="003F3C59" w:rsidP="003F3C59">
      <w:pPr>
        <w:spacing w:after="120"/>
        <w:ind w:right="-153"/>
        <w:jc w:val="both"/>
        <w:rPr>
          <w:rStyle w:val="Heading3Char"/>
          <w:rFonts w:eastAsia="Calibri" w:cs="Times New Roman"/>
          <w:b w:val="0"/>
          <w:color w:val="000000" w:themeColor="text1"/>
          <w:sz w:val="24"/>
          <w:szCs w:val="24"/>
        </w:rPr>
      </w:pPr>
    </w:p>
    <w:p w14:paraId="5C148F99" w14:textId="413DE0CA" w:rsidR="0055674E" w:rsidRPr="00610B1B" w:rsidRDefault="0055674E" w:rsidP="00D32D6A">
      <w:pPr>
        <w:pStyle w:val="Heading3"/>
        <w:spacing w:before="0" w:line="276" w:lineRule="auto"/>
        <w:ind w:right="-153"/>
        <w:rPr>
          <w:rFonts w:eastAsia="Calibri" w:cs="Times New Roman"/>
          <w:b w:val="0"/>
          <w:color w:val="000000" w:themeColor="text1"/>
          <w:sz w:val="24"/>
          <w:szCs w:val="24"/>
        </w:rPr>
      </w:pPr>
      <w:bookmarkStart w:id="442" w:name="_Toc83391419"/>
      <w:r w:rsidRPr="00610B1B">
        <w:rPr>
          <w:rStyle w:val="Heading3Char"/>
          <w:rFonts w:cs="Times New Roman"/>
          <w:b/>
        </w:rPr>
        <w:t>4.</w:t>
      </w:r>
      <w:r w:rsidR="009278D0" w:rsidRPr="00610B1B">
        <w:rPr>
          <w:rStyle w:val="Heading3Char"/>
          <w:rFonts w:cs="Times New Roman"/>
          <w:b/>
        </w:rPr>
        <w:t>3</w:t>
      </w:r>
      <w:r w:rsidRPr="00610B1B">
        <w:rPr>
          <w:rStyle w:val="Heading3Char"/>
          <w:rFonts w:cs="Times New Roman"/>
          <w:b/>
        </w:rPr>
        <w:t>.1. Сценарий А – Икономическ</w:t>
      </w:r>
      <w:r w:rsidR="00160777" w:rsidRPr="00610B1B">
        <w:rPr>
          <w:rStyle w:val="Heading3Char"/>
          <w:rFonts w:cs="Times New Roman"/>
          <w:b/>
        </w:rPr>
        <w:t>о</w:t>
      </w:r>
      <w:r w:rsidRPr="00610B1B">
        <w:rPr>
          <w:rStyle w:val="Heading3Char"/>
          <w:rFonts w:cs="Times New Roman"/>
          <w:b/>
        </w:rPr>
        <w:t xml:space="preserve"> ра</w:t>
      </w:r>
      <w:r w:rsidR="00160777" w:rsidRPr="00610B1B">
        <w:rPr>
          <w:rStyle w:val="Heading3Char"/>
          <w:rFonts w:cs="Times New Roman"/>
          <w:b/>
        </w:rPr>
        <w:t>звитие</w:t>
      </w:r>
      <w:r w:rsidRPr="00610B1B">
        <w:rPr>
          <w:rStyle w:val="Heading3Char"/>
          <w:rFonts w:cs="Times New Roman"/>
          <w:b/>
        </w:rPr>
        <w:t xml:space="preserve"> чрез оптимално използване на морските ресурси за син растеж</w:t>
      </w:r>
      <w:bookmarkEnd w:id="442"/>
      <w:r w:rsidRPr="00610B1B">
        <w:rPr>
          <w:rFonts w:eastAsia="Calibri" w:cs="Times New Roman"/>
          <w:b w:val="0"/>
          <w:color w:val="000000" w:themeColor="text1"/>
          <w:sz w:val="24"/>
          <w:szCs w:val="24"/>
        </w:rPr>
        <w:t xml:space="preserve"> </w:t>
      </w:r>
    </w:p>
    <w:p w14:paraId="1BD5B661" w14:textId="4E5C7B50"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Сценарият се развива на основата на пълна експлоатация на морските ресурси. Насочен е към икономически пробив, задвижен от конкурентоспособност и висока добавена стойност на морските индустрии. Включени са развитие на пристанищата, товарен и пътнически морски транспорт, круизен и рекреационен туризъм, обосновано и пестеливо разрастване на курортите. Насърчаван приоритет ще бъде развитието на технологиите и иновациите във всички морски икономически сектори. Развитието на рибарството ще </w:t>
      </w:r>
      <w:r w:rsidR="001A1698" w:rsidRPr="00610B1B">
        <w:rPr>
          <w:rFonts w:ascii="Times New Roman" w:eastAsia="Calibri" w:hAnsi="Times New Roman" w:cs="Times New Roman"/>
          <w:bCs/>
          <w:color w:val="000000" w:themeColor="text1"/>
          <w:sz w:val="24"/>
          <w:szCs w:val="24"/>
          <w:lang w:val="bg-BG"/>
        </w:rPr>
        <w:t>отчита</w:t>
      </w:r>
      <w:r w:rsidRPr="00610B1B">
        <w:rPr>
          <w:rFonts w:ascii="Times New Roman" w:eastAsia="Calibri" w:hAnsi="Times New Roman" w:cs="Times New Roman"/>
          <w:bCs/>
          <w:color w:val="000000" w:themeColor="text1"/>
          <w:sz w:val="24"/>
          <w:szCs w:val="24"/>
          <w:lang w:val="bg-BG"/>
        </w:rPr>
        <w:t xml:space="preserve"> наличните рибни ресурси и международно установените квоти. Концесиите за проучване и добив на нефт и газ ще преминат към фаза „добив“ с агресивно налагане на интересите на международни и национални компании. Безпрецедентната криза ще изтласка идеалните цели за развитие на туризма за времето след приключване на борбата за оцеляване на сектора чрез прилагане на най-търсеното, най-достъпното и най-бързо възвръщаемото предлагане. Ще се развива масов туризъм с количествени измерения, в среда с повишена конкуренция и заплаха от преразпределение на емитиращите пазари.</w:t>
      </w:r>
    </w:p>
    <w:p w14:paraId="70C259E3" w14:textId="0BA1B303"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Този сценарий намира опора в Националната програма за развитие „България 2030“ и </w:t>
      </w:r>
      <w:r w:rsidR="001A1698" w:rsidRPr="00610B1B">
        <w:rPr>
          <w:rFonts w:ascii="Times New Roman" w:eastAsia="Calibri" w:hAnsi="Times New Roman" w:cs="Times New Roman"/>
          <w:bCs/>
          <w:color w:val="000000" w:themeColor="text1"/>
          <w:sz w:val="24"/>
          <w:szCs w:val="24"/>
          <w:lang w:val="bg-BG"/>
        </w:rPr>
        <w:t xml:space="preserve">в </w:t>
      </w:r>
      <w:r w:rsidRPr="00610B1B">
        <w:rPr>
          <w:rFonts w:ascii="Times New Roman" w:eastAsia="Calibri" w:hAnsi="Times New Roman" w:cs="Times New Roman"/>
          <w:bCs/>
          <w:color w:val="000000" w:themeColor="text1"/>
          <w:sz w:val="24"/>
          <w:szCs w:val="24"/>
          <w:lang w:val="bg-BG"/>
        </w:rPr>
        <w:t>първата</w:t>
      </w:r>
      <w:r w:rsidR="00DE3A13" w:rsidRPr="00610B1B">
        <w:rPr>
          <w:rFonts w:ascii="Times New Roman" w:eastAsia="Calibri" w:hAnsi="Times New Roman" w:cs="Times New Roman"/>
          <w:bCs/>
          <w:color w:val="000000" w:themeColor="text1"/>
          <w:sz w:val="24"/>
          <w:szCs w:val="24"/>
          <w:lang w:val="bg-BG"/>
        </w:rPr>
        <w:t xml:space="preserve"> ѝ </w:t>
      </w:r>
      <w:r w:rsidRPr="00610B1B">
        <w:rPr>
          <w:rFonts w:ascii="Times New Roman" w:eastAsia="Calibri" w:hAnsi="Times New Roman" w:cs="Times New Roman"/>
          <w:bCs/>
          <w:color w:val="000000" w:themeColor="text1"/>
          <w:sz w:val="24"/>
          <w:szCs w:val="24"/>
          <w:lang w:val="bg-BG"/>
        </w:rPr>
        <w:t>стратегическа цел „Ускорено икономическо развитие“. Постигането на целта означава ускоряване на икономическото сближаване в контекста на ЕС чрез държавна подкрепа за отрасли с висока технологична и научноизследователска интензивност. Своевременната технологична трансформация на икономиката, свързана с морето, както и повишаването на ресурсната</w:t>
      </w:r>
      <w:r w:rsidR="00DE3A13" w:rsidRPr="00610B1B">
        <w:rPr>
          <w:rFonts w:ascii="Times New Roman" w:eastAsia="Calibri" w:hAnsi="Times New Roman" w:cs="Times New Roman"/>
          <w:bCs/>
          <w:color w:val="000000" w:themeColor="text1"/>
          <w:sz w:val="24"/>
          <w:szCs w:val="24"/>
          <w:lang w:val="bg-BG"/>
        </w:rPr>
        <w:t xml:space="preserve"> ѝ </w:t>
      </w:r>
      <w:r w:rsidRPr="00610B1B">
        <w:rPr>
          <w:rFonts w:ascii="Times New Roman" w:eastAsia="Calibri" w:hAnsi="Times New Roman" w:cs="Times New Roman"/>
          <w:bCs/>
          <w:color w:val="000000" w:themeColor="text1"/>
          <w:sz w:val="24"/>
          <w:szCs w:val="24"/>
          <w:lang w:val="bg-BG"/>
        </w:rPr>
        <w:t>ефективност, имат потенциал да я изведат на по-висока траектория на растеж, да я доближат до философията на синята икономика. Същевременно, недостатъчният опит и знания за синята икономика к</w:t>
      </w:r>
      <w:r w:rsidRPr="00610B1B">
        <w:rPr>
          <w:rFonts w:ascii="Times New Roman" w:eastAsia="Calibri" w:hAnsi="Times New Roman" w:cs="Times New Roman"/>
          <w:color w:val="000000" w:themeColor="text1"/>
          <w:sz w:val="24"/>
          <w:szCs w:val="24"/>
          <w:lang w:val="bg-BG"/>
        </w:rPr>
        <w:t>рие опасност от прокарване на вредни за природата решения под формата на природосъобразни иновации.</w:t>
      </w:r>
    </w:p>
    <w:p w14:paraId="6AFF5193"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lastRenderedPageBreak/>
        <w:t xml:space="preserve">Движещи сили с </w:t>
      </w:r>
      <w:r w:rsidRPr="00610B1B">
        <w:rPr>
          <w:rFonts w:ascii="Times New Roman" w:eastAsia="Calibri" w:hAnsi="Times New Roman" w:cs="Times New Roman"/>
          <w:bCs/>
          <w:i/>
          <w:color w:val="000000" w:themeColor="text1"/>
          <w:sz w:val="24"/>
          <w:szCs w:val="24"/>
          <w:lang w:val="bg-BG"/>
        </w:rPr>
        <w:t>политически</w:t>
      </w:r>
      <w:r w:rsidRPr="00610B1B">
        <w:rPr>
          <w:rFonts w:ascii="Times New Roman" w:eastAsia="Calibri" w:hAnsi="Times New Roman" w:cs="Times New Roman"/>
          <w:bCs/>
          <w:color w:val="000000" w:themeColor="text1"/>
          <w:sz w:val="24"/>
          <w:szCs w:val="24"/>
          <w:lang w:val="bg-BG"/>
        </w:rPr>
        <w:t xml:space="preserve"> характер в реализирането на този сценарий ще бъдат:</w:t>
      </w:r>
    </w:p>
    <w:p w14:paraId="5FE954D5" w14:textId="77777777" w:rsidR="0055674E" w:rsidRPr="00610B1B" w:rsidRDefault="0055674E" w:rsidP="00B46189">
      <w:pPr>
        <w:numPr>
          <w:ilvl w:val="0"/>
          <w:numId w:val="19"/>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Националната икономическа политика, която ще подкрепя само конкурентен бизнес с висока принадена стойност, както и привличане на инвестиции в екологосъобразен бизнес и инфраструктура;</w:t>
      </w:r>
    </w:p>
    <w:p w14:paraId="156866E4" w14:textId="47334923" w:rsidR="0055674E" w:rsidRPr="00610B1B" w:rsidRDefault="00E07927" w:rsidP="00B46189">
      <w:pPr>
        <w:numPr>
          <w:ilvl w:val="0"/>
          <w:numId w:val="19"/>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Политиките </w:t>
      </w:r>
      <w:r w:rsidR="0055674E" w:rsidRPr="00610B1B">
        <w:rPr>
          <w:rFonts w:ascii="Times New Roman" w:eastAsia="Calibri" w:hAnsi="Times New Roman" w:cs="Times New Roman"/>
          <w:bCs/>
          <w:color w:val="000000" w:themeColor="text1"/>
          <w:sz w:val="24"/>
          <w:szCs w:val="24"/>
          <w:lang w:val="bg-BG"/>
        </w:rPr>
        <w:t>на ЕС за „Син растеж“</w:t>
      </w:r>
      <w:r w:rsidR="0055674E" w:rsidRPr="00610B1B">
        <w:rPr>
          <w:rFonts w:ascii="Times New Roman" w:eastAsia="Calibri" w:hAnsi="Times New Roman" w:cs="Times New Roman"/>
          <w:bCs/>
          <w:color w:val="000000" w:themeColor="text1"/>
          <w:sz w:val="24"/>
          <w:szCs w:val="24"/>
          <w:vertAlign w:val="superscript"/>
          <w:lang w:val="bg-BG"/>
        </w:rPr>
        <w:footnoteReference w:id="171"/>
      </w:r>
      <w:r w:rsidRPr="00610B1B">
        <w:rPr>
          <w:rFonts w:ascii="Times New Roman" w:eastAsia="Calibri" w:hAnsi="Times New Roman" w:cs="Times New Roman"/>
          <w:bCs/>
          <w:color w:val="000000" w:themeColor="text1"/>
          <w:sz w:val="24"/>
          <w:szCs w:val="24"/>
          <w:lang w:val="bg-BG"/>
        </w:rPr>
        <w:t>,</w:t>
      </w:r>
      <w:r w:rsidR="0055674E" w:rsidRPr="00610B1B">
        <w:rPr>
          <w:rFonts w:ascii="Times New Roman" w:eastAsia="Calibri" w:hAnsi="Times New Roman" w:cs="Times New Roman"/>
          <w:bCs/>
          <w:color w:val="000000" w:themeColor="text1"/>
          <w:sz w:val="24"/>
          <w:szCs w:val="24"/>
          <w:lang w:val="bg-BG"/>
        </w:rPr>
        <w:t xml:space="preserve"> „Европейски пространства за корабоплаване без бариери“</w:t>
      </w:r>
      <w:r w:rsidRPr="00610B1B">
        <w:rPr>
          <w:rFonts w:ascii="Times New Roman" w:eastAsia="Calibri" w:hAnsi="Times New Roman" w:cs="Times New Roman"/>
          <w:bCs/>
          <w:color w:val="000000" w:themeColor="text1"/>
          <w:sz w:val="24"/>
          <w:szCs w:val="24"/>
          <w:lang w:val="bg-BG"/>
        </w:rPr>
        <w:t xml:space="preserve"> както и новообособеният</w:t>
      </w:r>
      <w:r w:rsidR="00D66FE0" w:rsidRPr="00610B1B">
        <w:rPr>
          <w:rFonts w:ascii="Times New Roman" w:eastAsia="Calibri" w:hAnsi="Times New Roman" w:cs="Times New Roman"/>
          <w:bCs/>
          <w:color w:val="000000" w:themeColor="text1"/>
          <w:sz w:val="24"/>
          <w:szCs w:val="24"/>
          <w:lang w:val="bg-BG"/>
        </w:rPr>
        <w:t xml:space="preserve"> </w:t>
      </w:r>
      <w:r w:rsidRPr="00610B1B">
        <w:rPr>
          <w:rFonts w:ascii="Times New Roman" w:eastAsia="Calibri" w:hAnsi="Times New Roman" w:cs="Times New Roman"/>
          <w:bCs/>
          <w:color w:val="000000" w:themeColor="text1"/>
          <w:sz w:val="24"/>
          <w:szCs w:val="24"/>
          <w:lang w:val="bg-BG"/>
        </w:rPr>
        <w:t>фонд за синята икономика</w:t>
      </w:r>
      <w:r w:rsidR="0055674E" w:rsidRPr="00610B1B">
        <w:rPr>
          <w:rFonts w:ascii="Times New Roman" w:eastAsia="Calibri" w:hAnsi="Times New Roman" w:cs="Times New Roman"/>
          <w:bCs/>
          <w:color w:val="000000" w:themeColor="text1"/>
          <w:sz w:val="24"/>
          <w:szCs w:val="24"/>
          <w:lang w:val="bg-BG"/>
        </w:rPr>
        <w:t>;</w:t>
      </w:r>
    </w:p>
    <w:p w14:paraId="614007CD" w14:textId="74D60254" w:rsidR="0055674E" w:rsidRPr="00610B1B" w:rsidRDefault="0055674E" w:rsidP="00B46189">
      <w:pPr>
        <w:numPr>
          <w:ilvl w:val="0"/>
          <w:numId w:val="19"/>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Финансираните програми за подкрепа на клъстери с експортен потенциал.</w:t>
      </w:r>
    </w:p>
    <w:p w14:paraId="512441A8" w14:textId="77777777" w:rsidR="009907CE" w:rsidRPr="00610B1B" w:rsidRDefault="009907CE" w:rsidP="009907CE">
      <w:pPr>
        <w:spacing w:after="120"/>
        <w:ind w:right="-153"/>
        <w:jc w:val="both"/>
        <w:rPr>
          <w:rFonts w:ascii="Times New Roman" w:eastAsia="Calibri" w:hAnsi="Times New Roman" w:cs="Times New Roman"/>
          <w:bCs/>
          <w:color w:val="000000" w:themeColor="text1"/>
          <w:sz w:val="24"/>
          <w:szCs w:val="24"/>
          <w:lang w:val="bg-BG"/>
        </w:rPr>
      </w:pPr>
    </w:p>
    <w:p w14:paraId="70782E8B"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Икономическите</w:t>
      </w:r>
      <w:r w:rsidRPr="00610B1B">
        <w:rPr>
          <w:rFonts w:ascii="Times New Roman" w:eastAsia="Calibri" w:hAnsi="Times New Roman" w:cs="Times New Roman"/>
          <w:bCs/>
          <w:color w:val="000000" w:themeColor="text1"/>
          <w:sz w:val="24"/>
          <w:szCs w:val="24"/>
          <w:lang w:val="bg-BG"/>
        </w:rPr>
        <w:t xml:space="preserve"> фактори и движещи сили:</w:t>
      </w:r>
    </w:p>
    <w:p w14:paraId="4D9E79FD" w14:textId="58B9616D"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Бизнесът, който ще се концентрира и развива основно в двата областни центъра (Варна и Бургас) и националните курорти.</w:t>
      </w:r>
      <w:r w:rsidR="001A1698" w:rsidRPr="00610B1B">
        <w:rPr>
          <w:rFonts w:ascii="Times New Roman" w:eastAsia="Calibri" w:hAnsi="Times New Roman" w:cs="Times New Roman"/>
          <w:bCs/>
          <w:color w:val="000000" w:themeColor="text1"/>
          <w:sz w:val="24"/>
          <w:szCs w:val="24"/>
          <w:lang w:val="bg-BG"/>
        </w:rPr>
        <w:t xml:space="preserve"> Формиращите се </w:t>
      </w:r>
      <w:r w:rsidRPr="00610B1B">
        <w:rPr>
          <w:rFonts w:ascii="Times New Roman" w:eastAsia="Calibri" w:hAnsi="Times New Roman" w:cs="Times New Roman"/>
          <w:bCs/>
          <w:color w:val="000000" w:themeColor="text1"/>
          <w:sz w:val="24"/>
          <w:szCs w:val="24"/>
          <w:lang w:val="bg-BG"/>
        </w:rPr>
        <w:t>морски клъстери</w:t>
      </w:r>
      <w:r w:rsidR="001A1698" w:rsidRPr="00610B1B">
        <w:rPr>
          <w:rFonts w:ascii="Times New Roman" w:eastAsia="Calibri" w:hAnsi="Times New Roman" w:cs="Times New Roman"/>
          <w:bCs/>
          <w:color w:val="000000" w:themeColor="text1"/>
          <w:sz w:val="24"/>
          <w:szCs w:val="24"/>
          <w:lang w:val="bg-BG"/>
        </w:rPr>
        <w:t>,</w:t>
      </w:r>
      <w:r w:rsidR="00D66FE0" w:rsidRPr="00610B1B">
        <w:rPr>
          <w:rFonts w:ascii="Times New Roman" w:eastAsia="Calibri" w:hAnsi="Times New Roman" w:cs="Times New Roman"/>
          <w:bCs/>
          <w:color w:val="000000" w:themeColor="text1"/>
          <w:sz w:val="24"/>
          <w:szCs w:val="24"/>
          <w:lang w:val="bg-BG"/>
        </w:rPr>
        <w:t xml:space="preserve"> </w:t>
      </w:r>
      <w:r w:rsidRPr="00610B1B">
        <w:rPr>
          <w:rFonts w:ascii="Times New Roman" w:eastAsia="Calibri" w:hAnsi="Times New Roman" w:cs="Times New Roman"/>
          <w:bCs/>
          <w:color w:val="000000" w:themeColor="text1"/>
          <w:sz w:val="24"/>
          <w:szCs w:val="24"/>
          <w:lang w:val="bg-BG"/>
        </w:rPr>
        <w:t>ориентирани към стратегически мрежи</w:t>
      </w:r>
      <w:r w:rsidR="001A1698" w:rsidRPr="00610B1B">
        <w:rPr>
          <w:rFonts w:ascii="Times New Roman" w:eastAsia="Calibri" w:hAnsi="Times New Roman" w:cs="Times New Roman"/>
          <w:bCs/>
          <w:color w:val="000000" w:themeColor="text1"/>
          <w:sz w:val="24"/>
          <w:szCs w:val="24"/>
          <w:lang w:val="bg-BG"/>
        </w:rPr>
        <w:t xml:space="preserve"> ще </w:t>
      </w:r>
      <w:r w:rsidRPr="00610B1B">
        <w:rPr>
          <w:rFonts w:ascii="Times New Roman" w:eastAsia="Calibri" w:hAnsi="Times New Roman" w:cs="Times New Roman"/>
          <w:bCs/>
          <w:color w:val="000000" w:themeColor="text1"/>
          <w:sz w:val="24"/>
          <w:szCs w:val="24"/>
          <w:lang w:val="bg-BG"/>
        </w:rPr>
        <w:t>включва</w:t>
      </w:r>
      <w:r w:rsidR="001A1698" w:rsidRPr="00610B1B">
        <w:rPr>
          <w:rFonts w:ascii="Times New Roman" w:eastAsia="Calibri" w:hAnsi="Times New Roman" w:cs="Times New Roman"/>
          <w:bCs/>
          <w:color w:val="000000" w:themeColor="text1"/>
          <w:sz w:val="24"/>
          <w:szCs w:val="24"/>
          <w:lang w:val="bg-BG"/>
        </w:rPr>
        <w:t>т</w:t>
      </w:r>
      <w:r w:rsidRPr="00610B1B">
        <w:rPr>
          <w:rFonts w:ascii="Times New Roman" w:eastAsia="Calibri" w:hAnsi="Times New Roman" w:cs="Times New Roman"/>
          <w:bCs/>
          <w:color w:val="000000" w:themeColor="text1"/>
          <w:sz w:val="24"/>
          <w:szCs w:val="24"/>
          <w:lang w:val="bg-BG"/>
        </w:rPr>
        <w:t xml:space="preserve"> експортни компании, доставчици на суровини, туристически структури, научно-изследователски центрове и доставчици на интелигентни услуги.</w:t>
      </w:r>
    </w:p>
    <w:p w14:paraId="53BAC38A"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Пазарното търсене на суровини и потребителски стоки, което ще нараства, ще провокира и нарастване на морските товарни превози.</w:t>
      </w:r>
    </w:p>
    <w:p w14:paraId="3EEC5CCD"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Икономическият растеж ще продължава да е водеща цел и интензификацията на всички икономически дейности на дневен ред – в масовия туризъм, в производствата, в инвестициите. Последните се концентрират там, където има най-висока печалба.</w:t>
      </w:r>
    </w:p>
    <w:p w14:paraId="0CB0EBE2"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Икономическият растеж и повишените доходи ще водят до повишено потребление на електрическа енергия и енергийни ресурси. Възможна става мотивацията за експанзия на крайбрежните вятърни паркове и дори развитие на такива в морското пространство.</w:t>
      </w:r>
    </w:p>
    <w:p w14:paraId="7A55F48C"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Мерките в подкрепа на мисията на Националната стратегия за устойчиво развитие на туризма „Развитие и прилагане на целенасочена и последователна туристическа политика за създаване на благоприятна политическа, правна, икономическа, екологична, социокултурна и технологична среда за развитие на устойчив туризъм, конкурентоспособен туристически сектор и качествен туристически продукт“. </w:t>
      </w:r>
    </w:p>
    <w:p w14:paraId="4E938895"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Интензификацията на морските товарни превози и туризма, ще наложат и реципрочни мерки спрямо довеждащата наземна инфраструктура.</w:t>
      </w:r>
    </w:p>
    <w:p w14:paraId="0CEBA15C"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Информационните и комуникационните технологии ще са с изявен напредък в мобилните технологии. Конкурентоспособността на туризма се обуславя от наличието на услуги, специфични за съответната локализация, от директния достъп до точна, актуална и изчерпателна маркетингова информация, от предлагането на новостите в СПА лечението.</w:t>
      </w:r>
    </w:p>
    <w:p w14:paraId="469A091C" w14:textId="60F8D474"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lastRenderedPageBreak/>
        <w:t>Иновациите в сферата на отдиха ще предлагат нови технологични решения за ползването на морето, за водни спортове и рекреация. Мерките за сигурност и капацитетът на спасителните служби се увеличават, защото подобни услуги ще се предлагат в големи курортни структури със струпване на много хора и съответно повишени рискове.</w:t>
      </w:r>
    </w:p>
    <w:p w14:paraId="1E5C43FA"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 xml:space="preserve">Социални </w:t>
      </w:r>
      <w:r w:rsidRPr="00610B1B">
        <w:rPr>
          <w:rFonts w:ascii="Times New Roman" w:eastAsia="Calibri" w:hAnsi="Times New Roman" w:cs="Times New Roman"/>
          <w:bCs/>
          <w:color w:val="000000" w:themeColor="text1"/>
          <w:sz w:val="24"/>
          <w:szCs w:val="24"/>
          <w:lang w:val="bg-BG"/>
        </w:rPr>
        <w:t>движещи сили:</w:t>
      </w:r>
    </w:p>
    <w:p w14:paraId="54A88843" w14:textId="77777777"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Демографската динамика - На фона на негативните демографски прогнози в националното пространство, Варна и Бургас задържат населението си, осигурявайки достатъчна квалифицирана работна ръка за развитие на мощни индустриални центрове и сини икономики.</w:t>
      </w:r>
    </w:p>
    <w:p w14:paraId="60806641" w14:textId="77777777"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Малките черноморски общини губят икономическа мощ и население. </w:t>
      </w:r>
    </w:p>
    <w:p w14:paraId="38DFA561" w14:textId="77777777"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Формира се задълбочаващо се подоходно разслояване в местните общности, водещо до нарастващи социални напрежения.</w:t>
      </w:r>
    </w:p>
    <w:p w14:paraId="76D844F0" w14:textId="0B5265EA"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Традиционната лятна пулсация на антропогенното присъствие по морския бряг продължава, предизвиквайки все по-големи дефицити в пазара на труда и съответен внос на сезонна работна ръка от чужбина.</w:t>
      </w:r>
    </w:p>
    <w:p w14:paraId="61D9AF0F"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Екологични и природни</w:t>
      </w:r>
      <w:r w:rsidRPr="00610B1B">
        <w:rPr>
          <w:rFonts w:ascii="Times New Roman" w:eastAsia="Calibri" w:hAnsi="Times New Roman" w:cs="Times New Roman"/>
          <w:bCs/>
          <w:color w:val="000000" w:themeColor="text1"/>
          <w:sz w:val="24"/>
          <w:szCs w:val="24"/>
          <w:lang w:val="bg-BG"/>
        </w:rPr>
        <w:t xml:space="preserve"> условия:</w:t>
      </w:r>
    </w:p>
    <w:p w14:paraId="771DC6A9"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Наличните природни ресурси се използват до пределния им капацитет;</w:t>
      </w:r>
    </w:p>
    <w:p w14:paraId="4C5B3708" w14:textId="350E3E75"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Настоящите екологични стандарти се поддържат при развитието на отделните икономически сектори, но въпреки това, претоварването с функции и пределното изчерпване на ресурсите неизбежно води до негативни ефекти и влошаване на общото екологично състояние на околната среда. Неопровержимо доказателство са зоните на големите пристанища, нефтените терминали, големите курорти</w:t>
      </w:r>
      <w:r w:rsidR="004838DC" w:rsidRPr="00610B1B">
        <w:rPr>
          <w:rFonts w:ascii="Times New Roman" w:eastAsia="Calibri" w:hAnsi="Times New Roman" w:cs="Times New Roman"/>
          <w:bCs/>
          <w:color w:val="000000" w:themeColor="text1"/>
          <w:sz w:val="24"/>
          <w:szCs w:val="24"/>
          <w:lang w:val="bg-BG"/>
        </w:rPr>
        <w:t>.</w:t>
      </w:r>
      <w:r w:rsidRPr="00610B1B">
        <w:rPr>
          <w:rFonts w:ascii="Times New Roman" w:eastAsia="Calibri" w:hAnsi="Times New Roman" w:cs="Times New Roman"/>
          <w:bCs/>
          <w:color w:val="000000" w:themeColor="text1"/>
          <w:sz w:val="24"/>
          <w:szCs w:val="24"/>
          <w:lang w:val="bg-BG"/>
        </w:rPr>
        <w:t xml:space="preserve"> </w:t>
      </w:r>
    </w:p>
    <w:p w14:paraId="625B0EA3"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Първите забележими ефекти от климатичните промени вече са факт и в зоната на Черноморското крайбрежие. Ускоряват се процесите на бреговата абразия, все по-често се наблюдават негативните ефекти от морски бури, засушаванията в хинтерланда стават все по-остри и продължителни.</w:t>
      </w:r>
    </w:p>
    <w:p w14:paraId="5A4D7029"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Прекомерната експлоатация на природните ресурси води до намаляване на рибните запаси, влошаване на чистотата на морската вода, загуба на биологично разнообразие и намаляване на естествената привлекателност на българското Черноморско крайбрежие като туристическа дестинация, отстъпление в конкурентния пазар на предлагането и последваща деградация. </w:t>
      </w:r>
    </w:p>
    <w:p w14:paraId="67D4B2C7"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Аспект на този сценарий е и развитието/предлагането на туристически услуги във високите ценови сегменти на пазара. Така се реализират повече приходи с по-малък екологичен отпечатък.</w:t>
      </w:r>
    </w:p>
    <w:p w14:paraId="65DB6CFC" w14:textId="77777777" w:rsidR="0055674E" w:rsidRPr="00610B1B" w:rsidRDefault="0055674E" w:rsidP="00D32D6A">
      <w:pPr>
        <w:spacing w:after="120"/>
        <w:ind w:right="-153"/>
        <w:jc w:val="both"/>
        <w:rPr>
          <w:rFonts w:ascii="Times New Roman" w:eastAsia="Calibri" w:hAnsi="Times New Roman" w:cs="Times New Roman"/>
          <w:b/>
          <w:bCs/>
          <w:color w:val="000000" w:themeColor="text1"/>
          <w:sz w:val="24"/>
          <w:szCs w:val="24"/>
          <w:lang w:val="bg-BG"/>
        </w:rPr>
      </w:pPr>
      <w:r w:rsidRPr="00610B1B">
        <w:rPr>
          <w:rFonts w:ascii="Times New Roman" w:eastAsia="Calibri" w:hAnsi="Times New Roman" w:cs="Times New Roman"/>
          <w:b/>
          <w:bCs/>
          <w:color w:val="000000" w:themeColor="text1"/>
          <w:sz w:val="24"/>
          <w:szCs w:val="24"/>
          <w:lang w:val="bg-BG"/>
        </w:rPr>
        <w:t xml:space="preserve">Вероятни въздействия върху околната среда по сектори от морската икономика при прилагането на Сценарий А </w:t>
      </w:r>
    </w:p>
    <w:p w14:paraId="2DF0E095" w14:textId="6AEDB4A7" w:rsidR="0055674E" w:rsidRPr="00610B1B" w:rsidRDefault="0055674E"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color w:val="000000" w:themeColor="text1"/>
          <w:sz w:val="24"/>
          <w:szCs w:val="24"/>
          <w:lang w:val="bg-BG"/>
        </w:rPr>
        <w:t>Морски транспорт</w:t>
      </w:r>
      <w:r w:rsidRPr="00610B1B">
        <w:rPr>
          <w:rFonts w:ascii="Times New Roman" w:eastAsia="Calibri" w:hAnsi="Times New Roman" w:cs="Times New Roman"/>
          <w:bCs/>
          <w:color w:val="000000" w:themeColor="text1"/>
          <w:sz w:val="24"/>
          <w:szCs w:val="24"/>
          <w:lang w:val="bg-BG"/>
        </w:rPr>
        <w:t xml:space="preserve"> – </w:t>
      </w:r>
      <w:r w:rsidR="004D4DE9" w:rsidRPr="00610B1B">
        <w:rPr>
          <w:rFonts w:ascii="Times New Roman" w:eastAsia="Calibri" w:hAnsi="Times New Roman" w:cs="Times New Roman"/>
          <w:bCs/>
          <w:color w:val="000000" w:themeColor="text1"/>
          <w:sz w:val="24"/>
          <w:szCs w:val="24"/>
          <w:lang w:val="bg-BG"/>
        </w:rPr>
        <w:t xml:space="preserve">Интензивното </w:t>
      </w:r>
      <w:r w:rsidRPr="00610B1B">
        <w:rPr>
          <w:rFonts w:ascii="Times New Roman" w:eastAsia="Calibri" w:hAnsi="Times New Roman" w:cs="Times New Roman"/>
          <w:bCs/>
          <w:color w:val="000000" w:themeColor="text1"/>
          <w:sz w:val="24"/>
          <w:szCs w:val="24"/>
          <w:lang w:val="bg-BG"/>
        </w:rPr>
        <w:t xml:space="preserve">развитие на сектора води до увеличаване на шумовото замърсяване. Най-силно са засегнати морските бозайници, чиято численост и </w:t>
      </w:r>
      <w:r w:rsidRPr="00610B1B">
        <w:rPr>
          <w:rFonts w:ascii="Times New Roman" w:eastAsia="Calibri" w:hAnsi="Times New Roman" w:cs="Times New Roman"/>
          <w:bCs/>
          <w:color w:val="000000" w:themeColor="text1"/>
          <w:sz w:val="24"/>
          <w:szCs w:val="24"/>
          <w:lang w:val="bg-BG"/>
        </w:rPr>
        <w:lastRenderedPageBreak/>
        <w:t xml:space="preserve">ареал на разпространение показват тенденция към </w:t>
      </w:r>
      <w:r w:rsidRPr="00610B1B">
        <w:rPr>
          <w:rFonts w:ascii="Times New Roman" w:eastAsia="Calibri" w:hAnsi="Times New Roman" w:cs="Times New Roman"/>
          <w:bCs/>
          <w:sz w:val="24"/>
          <w:szCs w:val="24"/>
          <w:lang w:val="bg-BG"/>
        </w:rPr>
        <w:t xml:space="preserve">намаляване, особено в районите на двата големи морски залива – Варненския и Бургаския. </w:t>
      </w:r>
      <w:r w:rsidR="00654BD7" w:rsidRPr="00610B1B">
        <w:rPr>
          <w:rFonts w:ascii="Times New Roman" w:eastAsia="Calibri" w:hAnsi="Times New Roman" w:cs="Times New Roman"/>
          <w:bCs/>
          <w:sz w:val="24"/>
          <w:szCs w:val="24"/>
          <w:lang w:val="bg-BG"/>
        </w:rPr>
        <w:t xml:space="preserve">Морската </w:t>
      </w:r>
      <w:r w:rsidRPr="00610B1B">
        <w:rPr>
          <w:rFonts w:ascii="Times New Roman" w:eastAsia="Calibri" w:hAnsi="Times New Roman" w:cs="Times New Roman"/>
          <w:bCs/>
          <w:sz w:val="24"/>
          <w:szCs w:val="24"/>
          <w:lang w:val="bg-BG"/>
        </w:rPr>
        <w:t xml:space="preserve">среда в пристанищните </w:t>
      </w:r>
      <w:r w:rsidR="00654BD7" w:rsidRPr="00610B1B">
        <w:rPr>
          <w:rFonts w:ascii="Times New Roman" w:eastAsia="Calibri" w:hAnsi="Times New Roman" w:cs="Times New Roman"/>
          <w:bCs/>
          <w:sz w:val="24"/>
          <w:szCs w:val="24"/>
          <w:lang w:val="bg-BG"/>
        </w:rPr>
        <w:t>акватории е необратимо увредена.</w:t>
      </w:r>
      <w:r w:rsidR="00D66FE0" w:rsidRPr="00610B1B">
        <w:rPr>
          <w:rFonts w:ascii="Times New Roman" w:eastAsia="Calibri" w:hAnsi="Times New Roman" w:cs="Times New Roman"/>
          <w:bCs/>
          <w:sz w:val="24"/>
          <w:szCs w:val="24"/>
          <w:lang w:val="bg-BG"/>
        </w:rPr>
        <w:t xml:space="preserve"> </w:t>
      </w:r>
      <w:r w:rsidRPr="00610B1B">
        <w:rPr>
          <w:rFonts w:ascii="Times New Roman" w:eastAsia="Calibri" w:hAnsi="Times New Roman" w:cs="Times New Roman"/>
          <w:bCs/>
          <w:sz w:val="24"/>
          <w:szCs w:val="24"/>
          <w:lang w:val="bg-BG"/>
        </w:rPr>
        <w:t xml:space="preserve">Незаконното изхвърляне на твърди и </w:t>
      </w:r>
      <w:r w:rsidR="00E06AC8">
        <w:rPr>
          <w:rFonts w:ascii="Times New Roman" w:eastAsia="Calibri" w:hAnsi="Times New Roman" w:cs="Times New Roman"/>
          <w:bCs/>
          <w:sz w:val="24"/>
          <w:szCs w:val="24"/>
          <w:lang w:val="bg-BG"/>
        </w:rPr>
        <w:t>отпадъци</w:t>
      </w:r>
      <w:r w:rsidRPr="00610B1B">
        <w:rPr>
          <w:rFonts w:ascii="Times New Roman" w:eastAsia="Calibri" w:hAnsi="Times New Roman" w:cs="Times New Roman"/>
          <w:bCs/>
          <w:sz w:val="24"/>
          <w:szCs w:val="24"/>
          <w:lang w:val="bg-BG"/>
        </w:rPr>
        <w:t xml:space="preserve"> в морето значително намалява.</w:t>
      </w:r>
    </w:p>
    <w:p w14:paraId="0CE4703A" w14:textId="43837640" w:rsidR="0055674E" w:rsidRPr="00610B1B" w:rsidRDefault="00DD6CD4" w:rsidP="00D32D6A">
      <w:pPr>
        <w:spacing w:after="120"/>
        <w:ind w:right="-153"/>
        <w:jc w:val="both"/>
        <w:rPr>
          <w:rFonts w:ascii="Times New Roman" w:eastAsia="Calibri" w:hAnsi="Times New Roman" w:cs="Times New Roman"/>
          <w:bCs/>
          <w:sz w:val="24"/>
          <w:szCs w:val="24"/>
          <w:lang w:val="bg-BG"/>
        </w:rPr>
      </w:pPr>
      <w:r w:rsidRPr="00610B1B">
        <w:rPr>
          <w:rFonts w:ascii="Times New Roman" w:eastAsia="Calibri" w:hAnsi="Times New Roman" w:cs="Times New Roman"/>
          <w:bCs/>
          <w:i/>
          <w:sz w:val="24"/>
          <w:szCs w:val="24"/>
          <w:lang w:val="bg-BG"/>
        </w:rPr>
        <w:t>Стопански риболов</w:t>
      </w:r>
      <w:r w:rsidR="00C3007B" w:rsidRPr="00610B1B">
        <w:rPr>
          <w:rFonts w:ascii="Times New Roman" w:eastAsia="Calibri" w:hAnsi="Times New Roman" w:cs="Times New Roman"/>
          <w:bCs/>
          <w:i/>
          <w:sz w:val="24"/>
          <w:szCs w:val="24"/>
          <w:lang w:val="bg-BG"/>
        </w:rPr>
        <w:t xml:space="preserve"> – </w:t>
      </w:r>
      <w:r w:rsidR="004D4DE9" w:rsidRPr="00610B1B">
        <w:rPr>
          <w:rFonts w:ascii="Times New Roman" w:eastAsia="Calibri" w:hAnsi="Times New Roman" w:cs="Times New Roman"/>
          <w:bCs/>
          <w:sz w:val="24"/>
          <w:szCs w:val="24"/>
          <w:lang w:val="bg-BG"/>
        </w:rPr>
        <w:t>В</w:t>
      </w:r>
      <w:r w:rsidR="0055674E" w:rsidRPr="00610B1B">
        <w:rPr>
          <w:rFonts w:ascii="Times New Roman" w:eastAsia="Calibri" w:hAnsi="Times New Roman" w:cs="Times New Roman"/>
          <w:bCs/>
          <w:sz w:val="24"/>
          <w:szCs w:val="24"/>
          <w:lang w:val="bg-BG"/>
        </w:rPr>
        <w:t xml:space="preserve"> откритите морски пространства рибните запаси намаляват. Въпреки, че риболовът е в границите на установените квоти, максималният устойчив улов е непостижим поради наличието на замърсяващи вещества, морски отпадъци и </w:t>
      </w:r>
      <w:r w:rsidR="00B36ECD" w:rsidRPr="00610B1B">
        <w:rPr>
          <w:rFonts w:ascii="Times New Roman" w:eastAsia="Calibri" w:hAnsi="Times New Roman" w:cs="Times New Roman"/>
          <w:bCs/>
          <w:sz w:val="24"/>
          <w:szCs w:val="24"/>
          <w:lang w:val="bg-BG"/>
        </w:rPr>
        <w:t>и</w:t>
      </w:r>
      <w:r w:rsidR="0055674E" w:rsidRPr="00610B1B">
        <w:rPr>
          <w:rFonts w:ascii="Times New Roman" w:eastAsia="Calibri" w:hAnsi="Times New Roman" w:cs="Times New Roman"/>
          <w:bCs/>
          <w:sz w:val="24"/>
          <w:szCs w:val="24"/>
          <w:lang w:val="bg-BG"/>
        </w:rPr>
        <w:t>нвази</w:t>
      </w:r>
      <w:r w:rsidR="00B36ECD" w:rsidRPr="00610B1B">
        <w:rPr>
          <w:rFonts w:ascii="Times New Roman" w:eastAsia="Calibri" w:hAnsi="Times New Roman" w:cs="Times New Roman"/>
          <w:bCs/>
          <w:sz w:val="24"/>
          <w:szCs w:val="24"/>
          <w:lang w:val="bg-BG"/>
        </w:rPr>
        <w:t>вн</w:t>
      </w:r>
      <w:r w:rsidR="0055674E" w:rsidRPr="00610B1B">
        <w:rPr>
          <w:rFonts w:ascii="Times New Roman" w:eastAsia="Calibri" w:hAnsi="Times New Roman" w:cs="Times New Roman"/>
          <w:bCs/>
          <w:sz w:val="24"/>
          <w:szCs w:val="24"/>
          <w:lang w:val="bg-BG"/>
        </w:rPr>
        <w:t>и</w:t>
      </w:r>
      <w:r w:rsidR="00B36ECD" w:rsidRPr="00610B1B">
        <w:rPr>
          <w:rFonts w:ascii="Times New Roman" w:eastAsia="Calibri" w:hAnsi="Times New Roman" w:cs="Times New Roman"/>
          <w:bCs/>
          <w:sz w:val="24"/>
          <w:szCs w:val="24"/>
          <w:lang w:val="bg-BG"/>
        </w:rPr>
        <w:t xml:space="preserve"> видове</w:t>
      </w:r>
      <w:r w:rsidR="0055674E" w:rsidRPr="00610B1B">
        <w:rPr>
          <w:rFonts w:ascii="Times New Roman" w:eastAsia="Calibri" w:hAnsi="Times New Roman" w:cs="Times New Roman"/>
          <w:bCs/>
          <w:sz w:val="24"/>
          <w:szCs w:val="24"/>
          <w:lang w:val="bg-BG"/>
        </w:rPr>
        <w:t>. Голяма част от рибната продукция се осигурява чрез внос, който задоволява пазарното търсене, но за сметка на упадъка на дребномащабния риболов, което намалява възможностите за развитие на по-малките крайбрежни населени места.</w:t>
      </w:r>
    </w:p>
    <w:p w14:paraId="32B2081C" w14:textId="383ECF66"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sz w:val="24"/>
          <w:szCs w:val="24"/>
          <w:lang w:val="bg-BG"/>
        </w:rPr>
        <w:t>Морски аквакултури</w:t>
      </w:r>
      <w:r w:rsidR="00C3007B" w:rsidRPr="00610B1B">
        <w:rPr>
          <w:rFonts w:ascii="Times New Roman" w:eastAsia="Calibri" w:hAnsi="Times New Roman" w:cs="Times New Roman"/>
          <w:bCs/>
          <w:i/>
          <w:sz w:val="24"/>
          <w:szCs w:val="24"/>
          <w:lang w:val="bg-BG"/>
        </w:rPr>
        <w:t xml:space="preserve"> – </w:t>
      </w:r>
      <w:r w:rsidR="004D4DE9" w:rsidRPr="00610B1B">
        <w:rPr>
          <w:rFonts w:ascii="Times New Roman" w:eastAsia="Calibri" w:hAnsi="Times New Roman" w:cs="Times New Roman"/>
          <w:bCs/>
          <w:sz w:val="24"/>
          <w:szCs w:val="24"/>
          <w:lang w:val="bg-BG"/>
        </w:rPr>
        <w:t>В</w:t>
      </w:r>
      <w:r w:rsidRPr="00610B1B">
        <w:rPr>
          <w:rFonts w:ascii="Times New Roman" w:eastAsia="Calibri" w:hAnsi="Times New Roman" w:cs="Times New Roman"/>
          <w:bCs/>
          <w:sz w:val="24"/>
          <w:szCs w:val="24"/>
          <w:lang w:val="bg-BG"/>
        </w:rPr>
        <w:t xml:space="preserve"> района между н. Калиакра и Балчик, източно от н. Емине и южно от Созопол се наблюдава интензивно развитие на морските аквакултури, което е обусловено от благоприятните условия и експозиция </w:t>
      </w:r>
      <w:r w:rsidRPr="00610B1B">
        <w:rPr>
          <w:rFonts w:ascii="Times New Roman" w:eastAsia="Calibri" w:hAnsi="Times New Roman" w:cs="Times New Roman"/>
          <w:bCs/>
          <w:color w:val="000000" w:themeColor="text1"/>
          <w:sz w:val="24"/>
          <w:szCs w:val="24"/>
          <w:lang w:val="bg-BG"/>
        </w:rPr>
        <w:t xml:space="preserve">на брега. Въпреки положителния екологичен ефект от култивацията на миди като естествени филтратори на морската вода, високата плътност влошава чистотата на морските води и </w:t>
      </w:r>
      <w:r w:rsidR="00B345CA" w:rsidRPr="00610B1B">
        <w:rPr>
          <w:rFonts w:ascii="Times New Roman" w:eastAsia="Calibri" w:hAnsi="Times New Roman" w:cs="Times New Roman"/>
          <w:bCs/>
          <w:color w:val="000000" w:themeColor="text1"/>
          <w:sz w:val="24"/>
          <w:szCs w:val="24"/>
          <w:lang w:val="bg-BG"/>
        </w:rPr>
        <w:t xml:space="preserve">поражда </w:t>
      </w:r>
      <w:r w:rsidRPr="00610B1B">
        <w:rPr>
          <w:rFonts w:ascii="Times New Roman" w:eastAsia="Calibri" w:hAnsi="Times New Roman" w:cs="Times New Roman"/>
          <w:bCs/>
          <w:color w:val="000000" w:themeColor="text1"/>
          <w:sz w:val="24"/>
          <w:szCs w:val="24"/>
          <w:lang w:val="bg-BG"/>
        </w:rPr>
        <w:t>конфликти с крайбрежния туризъм. Неблагоприятно въздействие оказват високите концентрации на някои замърсители,</w:t>
      </w:r>
      <w:r w:rsidR="00D66FE0" w:rsidRPr="00610B1B">
        <w:rPr>
          <w:rFonts w:ascii="Times New Roman" w:eastAsia="Calibri" w:hAnsi="Times New Roman" w:cs="Times New Roman"/>
          <w:bCs/>
          <w:color w:val="000000" w:themeColor="text1"/>
          <w:sz w:val="24"/>
          <w:szCs w:val="24"/>
          <w:lang w:val="bg-BG"/>
        </w:rPr>
        <w:t xml:space="preserve"> </w:t>
      </w:r>
      <w:r w:rsidRPr="00610B1B">
        <w:rPr>
          <w:rFonts w:ascii="Times New Roman" w:eastAsia="Calibri" w:hAnsi="Times New Roman" w:cs="Times New Roman"/>
          <w:bCs/>
          <w:color w:val="000000" w:themeColor="text1"/>
          <w:sz w:val="24"/>
          <w:szCs w:val="24"/>
          <w:lang w:val="bg-BG"/>
        </w:rPr>
        <w:t>които се натрупват в месото на мидите. Част от дейността се изнася в дълбоководието, но е по-скъпо и съществува потенциален конфликт с морския тра</w:t>
      </w:r>
      <w:r w:rsidR="00B345CA" w:rsidRPr="00610B1B">
        <w:rPr>
          <w:rFonts w:ascii="Times New Roman" w:eastAsia="Calibri" w:hAnsi="Times New Roman" w:cs="Times New Roman"/>
          <w:bCs/>
          <w:color w:val="000000" w:themeColor="text1"/>
          <w:sz w:val="24"/>
          <w:szCs w:val="24"/>
          <w:lang w:val="bg-BG"/>
        </w:rPr>
        <w:t>фик.</w:t>
      </w:r>
    </w:p>
    <w:p w14:paraId="72EDE5FF" w14:textId="33BDA6FA"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Морски туризъм</w:t>
      </w:r>
      <w:r w:rsidR="00C3007B" w:rsidRPr="00610B1B">
        <w:rPr>
          <w:rFonts w:ascii="Times New Roman" w:eastAsia="Calibri" w:hAnsi="Times New Roman" w:cs="Times New Roman"/>
          <w:bCs/>
          <w:i/>
          <w:color w:val="000000" w:themeColor="text1"/>
          <w:sz w:val="24"/>
          <w:szCs w:val="24"/>
          <w:lang w:val="bg-BG"/>
        </w:rPr>
        <w:t xml:space="preserve"> – </w:t>
      </w:r>
      <w:r w:rsidRPr="00610B1B">
        <w:rPr>
          <w:rFonts w:ascii="Times New Roman" w:eastAsia="Calibri" w:hAnsi="Times New Roman" w:cs="Times New Roman"/>
          <w:bCs/>
          <w:color w:val="000000" w:themeColor="text1"/>
          <w:sz w:val="24"/>
          <w:szCs w:val="24"/>
          <w:lang w:val="bg-BG"/>
        </w:rPr>
        <w:t>Традиционните пулсации на летния туризъм водят до претоварване на пречиствателните станции за отпадъчни води. Съществуват населени места с недостатъчна степен на пречистване. Осъществява се дълбоководно заустване, което отвежда пречистените отпадъчни води далеч от брега. При благоприятна крайбрежна циркулация на въздушните маси се създава ветровото вълнение и течения</w:t>
      </w:r>
      <w:r w:rsidR="004838DC" w:rsidRPr="00610B1B">
        <w:rPr>
          <w:rFonts w:ascii="Times New Roman" w:eastAsia="Calibri" w:hAnsi="Times New Roman" w:cs="Times New Roman"/>
          <w:bCs/>
          <w:color w:val="000000" w:themeColor="text1"/>
          <w:sz w:val="24"/>
          <w:szCs w:val="24"/>
          <w:lang w:val="bg-BG"/>
        </w:rPr>
        <w:t>та</w:t>
      </w:r>
      <w:r w:rsidRPr="00610B1B">
        <w:rPr>
          <w:rFonts w:ascii="Times New Roman" w:eastAsia="Calibri" w:hAnsi="Times New Roman" w:cs="Times New Roman"/>
          <w:bCs/>
          <w:color w:val="000000" w:themeColor="text1"/>
          <w:sz w:val="24"/>
          <w:szCs w:val="24"/>
          <w:lang w:val="bg-BG"/>
        </w:rPr>
        <w:t xml:space="preserve"> изтласкват замърсените води в близост до зоните за къпане, което </w:t>
      </w:r>
      <w:r w:rsidR="004838DC" w:rsidRPr="00610B1B">
        <w:rPr>
          <w:rFonts w:ascii="Times New Roman" w:eastAsia="Calibri" w:hAnsi="Times New Roman" w:cs="Times New Roman"/>
          <w:bCs/>
          <w:color w:val="000000" w:themeColor="text1"/>
          <w:sz w:val="24"/>
          <w:szCs w:val="24"/>
          <w:lang w:val="bg-BG"/>
        </w:rPr>
        <w:t xml:space="preserve">влошава условията за </w:t>
      </w:r>
      <w:r w:rsidRPr="00610B1B">
        <w:rPr>
          <w:rFonts w:ascii="Times New Roman" w:eastAsia="Calibri" w:hAnsi="Times New Roman" w:cs="Times New Roman"/>
          <w:bCs/>
          <w:color w:val="000000" w:themeColor="text1"/>
          <w:sz w:val="24"/>
          <w:szCs w:val="24"/>
          <w:lang w:val="bg-BG"/>
        </w:rPr>
        <w:t>крайбреж</w:t>
      </w:r>
      <w:r w:rsidR="00654BD7" w:rsidRPr="00610B1B">
        <w:rPr>
          <w:rFonts w:ascii="Times New Roman" w:eastAsia="Calibri" w:hAnsi="Times New Roman" w:cs="Times New Roman"/>
          <w:bCs/>
          <w:color w:val="000000" w:themeColor="text1"/>
          <w:sz w:val="24"/>
          <w:szCs w:val="24"/>
          <w:lang w:val="bg-BG"/>
        </w:rPr>
        <w:t>е</w:t>
      </w:r>
      <w:r w:rsidRPr="00610B1B">
        <w:rPr>
          <w:rFonts w:ascii="Times New Roman" w:eastAsia="Calibri" w:hAnsi="Times New Roman" w:cs="Times New Roman"/>
          <w:bCs/>
          <w:color w:val="000000" w:themeColor="text1"/>
          <w:sz w:val="24"/>
          <w:szCs w:val="24"/>
          <w:lang w:val="bg-BG"/>
        </w:rPr>
        <w:t xml:space="preserve">н туризъм. Струпването на много хора върху ограничена плажна площ води до разрушаване на дюните, утъпкване на дъното и увреждане на плитките дънни местообитания на дълбочина до 1.5 m. Използването на високоскоростни плавателни съдове за развлечение създава подводен шум в плитката крайбрежна зона и прогонва риби и морски бозайници. Птиците </w:t>
      </w:r>
      <w:r w:rsidR="004838DC" w:rsidRPr="00610B1B">
        <w:rPr>
          <w:rFonts w:ascii="Times New Roman" w:eastAsia="Calibri" w:hAnsi="Times New Roman" w:cs="Times New Roman"/>
          <w:bCs/>
          <w:color w:val="000000" w:themeColor="text1"/>
          <w:sz w:val="24"/>
          <w:szCs w:val="24"/>
          <w:lang w:val="bg-BG"/>
        </w:rPr>
        <w:t xml:space="preserve">са </w:t>
      </w:r>
      <w:r w:rsidRPr="00610B1B">
        <w:rPr>
          <w:rFonts w:ascii="Times New Roman" w:eastAsia="Calibri" w:hAnsi="Times New Roman" w:cs="Times New Roman"/>
          <w:bCs/>
          <w:color w:val="000000" w:themeColor="text1"/>
          <w:sz w:val="24"/>
          <w:szCs w:val="24"/>
          <w:lang w:val="bg-BG"/>
        </w:rPr>
        <w:t>обезпокоявани в места</w:t>
      </w:r>
      <w:r w:rsidR="004838DC" w:rsidRPr="00610B1B">
        <w:rPr>
          <w:rFonts w:ascii="Times New Roman" w:eastAsia="Calibri" w:hAnsi="Times New Roman" w:cs="Times New Roman"/>
          <w:bCs/>
          <w:color w:val="000000" w:themeColor="text1"/>
          <w:sz w:val="24"/>
          <w:szCs w:val="24"/>
          <w:lang w:val="bg-BG"/>
        </w:rPr>
        <w:t>та</w:t>
      </w:r>
      <w:r w:rsidRPr="00610B1B">
        <w:rPr>
          <w:rFonts w:ascii="Times New Roman" w:eastAsia="Calibri" w:hAnsi="Times New Roman" w:cs="Times New Roman"/>
          <w:bCs/>
          <w:color w:val="000000" w:themeColor="text1"/>
          <w:sz w:val="24"/>
          <w:szCs w:val="24"/>
          <w:lang w:val="bg-BG"/>
        </w:rPr>
        <w:t xml:space="preserve"> за хранене и гнездене, поради липса на конкретни действия за прекратяване на произволния достъп.</w:t>
      </w:r>
    </w:p>
    <w:p w14:paraId="2B9D60F2" w14:textId="579D14EC"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Брегозащита</w:t>
      </w:r>
      <w:r w:rsidRPr="00610B1B">
        <w:rPr>
          <w:rFonts w:ascii="Times New Roman" w:eastAsia="Calibri" w:hAnsi="Times New Roman" w:cs="Times New Roman"/>
          <w:bCs/>
          <w:color w:val="000000" w:themeColor="text1"/>
          <w:sz w:val="24"/>
          <w:szCs w:val="24"/>
          <w:lang w:val="bg-BG"/>
        </w:rPr>
        <w:t xml:space="preserve"> </w:t>
      </w:r>
      <w:r w:rsidR="00C3007B" w:rsidRPr="00610B1B">
        <w:rPr>
          <w:rFonts w:ascii="Times New Roman" w:eastAsia="Calibri" w:hAnsi="Times New Roman" w:cs="Times New Roman"/>
          <w:bCs/>
          <w:i/>
          <w:color w:val="000000" w:themeColor="text1"/>
          <w:sz w:val="24"/>
          <w:szCs w:val="24"/>
          <w:lang w:val="bg-BG"/>
        </w:rPr>
        <w:t xml:space="preserve">– </w:t>
      </w:r>
      <w:r w:rsidR="004D4DE9" w:rsidRPr="00610B1B">
        <w:rPr>
          <w:rFonts w:ascii="Times New Roman" w:eastAsia="Calibri" w:hAnsi="Times New Roman" w:cs="Times New Roman"/>
          <w:bCs/>
          <w:color w:val="000000" w:themeColor="text1"/>
          <w:sz w:val="24"/>
          <w:szCs w:val="24"/>
          <w:lang w:val="bg-BG"/>
        </w:rPr>
        <w:t>Одобрените</w:t>
      </w:r>
      <w:r w:rsidRPr="00610B1B">
        <w:rPr>
          <w:rFonts w:ascii="Times New Roman" w:eastAsia="Calibri" w:hAnsi="Times New Roman" w:cs="Times New Roman"/>
          <w:bCs/>
          <w:color w:val="000000" w:themeColor="text1"/>
          <w:sz w:val="24"/>
          <w:szCs w:val="24"/>
          <w:lang w:val="bg-BG"/>
        </w:rPr>
        <w:t xml:space="preserve"> инвестиционни предложения за брегозащитни съоръжения и яхтени пристанища, юридически и инженерно обосновани, предизвикват необратими хидрологични изменения </w:t>
      </w:r>
      <w:r w:rsidR="004D4DE9" w:rsidRPr="00610B1B">
        <w:rPr>
          <w:rFonts w:ascii="Times New Roman" w:eastAsia="Calibri" w:hAnsi="Times New Roman" w:cs="Times New Roman"/>
          <w:bCs/>
          <w:color w:val="000000" w:themeColor="text1"/>
          <w:sz w:val="24"/>
          <w:szCs w:val="24"/>
          <w:lang w:val="bg-BG"/>
        </w:rPr>
        <w:t xml:space="preserve">в дългосрочен план </w:t>
      </w:r>
      <w:r w:rsidRPr="00610B1B">
        <w:rPr>
          <w:rFonts w:ascii="Times New Roman" w:eastAsia="Calibri" w:hAnsi="Times New Roman" w:cs="Times New Roman"/>
          <w:bCs/>
          <w:color w:val="000000" w:themeColor="text1"/>
          <w:sz w:val="24"/>
          <w:szCs w:val="24"/>
          <w:lang w:val="bg-BG"/>
        </w:rPr>
        <w:t>поради недостатъчни изследвания на бреговите и екологични процеси в участъците на строителство. Затрупването и запечатването води до намаляване на площта на преобладаващите дънни местообитания на дълбочина до 5 m и засяга медиолиторалните и плитките сублиторални местообитания. Наблюдава се подветрена абразия на плажните ивици, които се размиват поради въздействието на непроницаемите брегозащитни съоръжения в условията на наносен дефицит. Най-силно засегнати са уязвимите към абразия участъци - н. Сиврибурун – н. Шабла, н. Калиакра – Каварна, Каварна – Албена, Албена – н. Свети Георги, н. Галата – н. Емине, н. Емине – Несебър, Поморие – н. Форос.</w:t>
      </w:r>
    </w:p>
    <w:p w14:paraId="4F9D00C0" w14:textId="5173AD60"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lastRenderedPageBreak/>
        <w:t>Морска енергетика</w:t>
      </w:r>
      <w:r w:rsidR="00C3007B" w:rsidRPr="00610B1B">
        <w:rPr>
          <w:rFonts w:ascii="Times New Roman" w:eastAsia="Calibri" w:hAnsi="Times New Roman" w:cs="Times New Roman"/>
          <w:bCs/>
          <w:i/>
          <w:color w:val="000000" w:themeColor="text1"/>
          <w:sz w:val="24"/>
          <w:szCs w:val="24"/>
          <w:lang w:val="bg-BG"/>
        </w:rPr>
        <w:t xml:space="preserve"> – </w:t>
      </w:r>
      <w:r w:rsidR="004D4DE9" w:rsidRPr="00610B1B">
        <w:rPr>
          <w:rFonts w:ascii="Times New Roman" w:eastAsia="Calibri" w:hAnsi="Times New Roman" w:cs="Times New Roman"/>
          <w:bCs/>
          <w:color w:val="000000" w:themeColor="text1"/>
          <w:sz w:val="24"/>
          <w:szCs w:val="24"/>
          <w:lang w:val="bg-BG"/>
        </w:rPr>
        <w:t xml:space="preserve">Агресивното </w:t>
      </w:r>
      <w:r w:rsidRPr="00610B1B">
        <w:rPr>
          <w:rFonts w:ascii="Times New Roman" w:eastAsia="Calibri" w:hAnsi="Times New Roman" w:cs="Times New Roman"/>
          <w:bCs/>
          <w:color w:val="000000" w:themeColor="text1"/>
          <w:sz w:val="24"/>
          <w:szCs w:val="24"/>
          <w:lang w:val="bg-BG"/>
        </w:rPr>
        <w:t xml:space="preserve">проучване и добив на нефт и газ води до повишено шумово замърсяване, загуба на естествен дънен субстрат и замърсяване на придънните слоеве. Това </w:t>
      </w:r>
      <w:r w:rsidR="0093725E" w:rsidRPr="00610B1B">
        <w:rPr>
          <w:rFonts w:ascii="Times New Roman" w:eastAsia="Calibri" w:hAnsi="Times New Roman" w:cs="Times New Roman"/>
          <w:bCs/>
          <w:color w:val="000000" w:themeColor="text1"/>
          <w:sz w:val="24"/>
          <w:szCs w:val="24"/>
          <w:lang w:val="bg-BG"/>
        </w:rPr>
        <w:t>предизвиква</w:t>
      </w:r>
      <w:r w:rsidRPr="00610B1B">
        <w:rPr>
          <w:rFonts w:ascii="Times New Roman" w:eastAsia="Calibri" w:hAnsi="Times New Roman" w:cs="Times New Roman"/>
          <w:bCs/>
          <w:color w:val="000000" w:themeColor="text1"/>
          <w:sz w:val="24"/>
          <w:szCs w:val="24"/>
          <w:lang w:val="bg-BG"/>
        </w:rPr>
        <w:t xml:space="preserve"> промяна в поведението на чувствителните към шум пелагични и дънни видове морски риби и бозайници, което от своя страна променя тяхното разпространение. Рискът от нефтени разливи не е за подценяване, тъй като животът в Черно море е съсредоточен предимно в повърхностния слой (100 m) и това го прави изключително уязвим. Съчетаването на интензивен добив на нефт и намаляващата дълбочина на кислородния слой правят значителни площи от дънните местообитания между 60-100 m необитаеми. Това води до намаляване на запаса на дънни видове риби, които са обект на </w:t>
      </w:r>
      <w:r w:rsidR="00DD6CD4" w:rsidRPr="00610B1B">
        <w:rPr>
          <w:rFonts w:ascii="Times New Roman" w:eastAsia="Calibri" w:hAnsi="Times New Roman" w:cs="Times New Roman"/>
          <w:bCs/>
          <w:color w:val="000000" w:themeColor="text1"/>
          <w:sz w:val="24"/>
          <w:szCs w:val="24"/>
          <w:lang w:val="bg-BG"/>
        </w:rPr>
        <w:t>стопански риболов</w:t>
      </w:r>
      <w:r w:rsidRPr="00610B1B">
        <w:rPr>
          <w:rFonts w:ascii="Times New Roman" w:eastAsia="Calibri" w:hAnsi="Times New Roman" w:cs="Times New Roman"/>
          <w:bCs/>
          <w:color w:val="000000" w:themeColor="text1"/>
          <w:sz w:val="24"/>
          <w:szCs w:val="24"/>
          <w:lang w:val="bg-BG"/>
        </w:rPr>
        <w:t>.</w:t>
      </w:r>
    </w:p>
    <w:p w14:paraId="5532A19C" w14:textId="0CC13ADC"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Научни изследвания</w:t>
      </w:r>
      <w:r w:rsidRPr="00610B1B">
        <w:rPr>
          <w:rFonts w:ascii="Times New Roman" w:eastAsia="Calibri" w:hAnsi="Times New Roman" w:cs="Times New Roman"/>
          <w:bCs/>
          <w:color w:val="000000" w:themeColor="text1"/>
          <w:sz w:val="24"/>
          <w:szCs w:val="24"/>
          <w:lang w:val="bg-BG"/>
        </w:rPr>
        <w:t xml:space="preserve"> – Продължава тенденцията в корабостроенето за изграждане на морски плавателни съдове с икономически по-изгодните в краткосрочен план дизелови двигатели, въпреки че съществуват по-безшумни и съответно по-екологични турбо-електрически и електрически задвижващи системи. Мониторингът върху морската среда включва както вече съществуващите инвазивни методи, които изискват улов и умъртвяване на индивидите за целите на анализа, така и нови, не-летални и дистанционни методи за мониторинг на морските организми. Изследванията върху културното наследство се извършват, но на първо място са икономическите интереси за добив на нефт и газ и интензивния риболов, което води до разрушаване на част от потъналите археологически обекти. Морската енергетика разчита предимно на традиционни енергийни източници, за които има разработени съоръжения за добив, поради което изследванията са съсредоточен</w:t>
      </w:r>
      <w:r w:rsidR="00022EE3" w:rsidRPr="00610B1B">
        <w:rPr>
          <w:rFonts w:ascii="Times New Roman" w:eastAsia="Calibri" w:hAnsi="Times New Roman" w:cs="Times New Roman"/>
          <w:bCs/>
          <w:color w:val="000000" w:themeColor="text1"/>
          <w:sz w:val="24"/>
          <w:szCs w:val="24"/>
          <w:lang w:val="bg-BG"/>
        </w:rPr>
        <w:t>и</w:t>
      </w:r>
      <w:r w:rsidRPr="00610B1B">
        <w:rPr>
          <w:rFonts w:ascii="Times New Roman" w:eastAsia="Calibri" w:hAnsi="Times New Roman" w:cs="Times New Roman"/>
          <w:bCs/>
          <w:color w:val="000000" w:themeColor="text1"/>
          <w:sz w:val="24"/>
          <w:szCs w:val="24"/>
          <w:lang w:val="bg-BG"/>
        </w:rPr>
        <w:t xml:space="preserve"> предимно върху откриването на потенциалните находища на нефт и газ на шелфа.</w:t>
      </w:r>
    </w:p>
    <w:p w14:paraId="126ED20A" w14:textId="6EC2A528"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Взаимодействие суша-море</w:t>
      </w:r>
      <w:r w:rsidR="00C3007B" w:rsidRPr="00610B1B">
        <w:rPr>
          <w:rFonts w:ascii="Times New Roman" w:eastAsia="Calibri" w:hAnsi="Times New Roman" w:cs="Times New Roman"/>
          <w:bCs/>
          <w:i/>
          <w:color w:val="000000" w:themeColor="text1"/>
          <w:sz w:val="24"/>
          <w:szCs w:val="24"/>
          <w:lang w:val="bg-BG"/>
        </w:rPr>
        <w:t xml:space="preserve"> – </w:t>
      </w:r>
      <w:r w:rsidR="004D4DE9" w:rsidRPr="00610B1B">
        <w:rPr>
          <w:rFonts w:ascii="Times New Roman" w:eastAsia="Calibri" w:hAnsi="Times New Roman" w:cs="Times New Roman"/>
          <w:bCs/>
          <w:color w:val="000000" w:themeColor="text1"/>
          <w:sz w:val="24"/>
          <w:szCs w:val="24"/>
          <w:lang w:val="bg-BG"/>
        </w:rPr>
        <w:t xml:space="preserve">Изграждането </w:t>
      </w:r>
      <w:r w:rsidRPr="00610B1B">
        <w:rPr>
          <w:rFonts w:ascii="Times New Roman" w:eastAsia="Calibri" w:hAnsi="Times New Roman" w:cs="Times New Roman"/>
          <w:bCs/>
          <w:color w:val="000000" w:themeColor="text1"/>
          <w:sz w:val="24"/>
          <w:szCs w:val="24"/>
          <w:lang w:val="bg-BG"/>
        </w:rPr>
        <w:t>и модернизацията на пречиствателни станции за отпадъчни води намалява замърсяването от населените места и промишлеността. Развитието на екологично земеделие в прилежащите територии намалява степента на антропогенната еутрофикацията и замърсяването с пестициди на крайбрежните води. Някои пречиствателни станции за отпадъчни води са с недостатъчна степен на пречистване. Дълбоководно</w:t>
      </w:r>
      <w:r w:rsidR="004838DC" w:rsidRPr="00610B1B">
        <w:rPr>
          <w:rFonts w:ascii="Times New Roman" w:eastAsia="Calibri" w:hAnsi="Times New Roman" w:cs="Times New Roman"/>
          <w:bCs/>
          <w:color w:val="000000" w:themeColor="text1"/>
          <w:sz w:val="24"/>
          <w:szCs w:val="24"/>
          <w:lang w:val="bg-BG"/>
        </w:rPr>
        <w:t>то</w:t>
      </w:r>
      <w:r w:rsidRPr="00610B1B">
        <w:rPr>
          <w:rFonts w:ascii="Times New Roman" w:eastAsia="Calibri" w:hAnsi="Times New Roman" w:cs="Times New Roman"/>
          <w:bCs/>
          <w:color w:val="000000" w:themeColor="text1"/>
          <w:sz w:val="24"/>
          <w:szCs w:val="24"/>
          <w:lang w:val="bg-BG"/>
        </w:rPr>
        <w:t xml:space="preserve"> заустване отдалечава натиска от крайбрежните морски води и зоните за къпане, но при източна посока на вятъра и морските течения, по-леките пречистени отпадъчни води изплават на повърхността и се връщат обратно в крайбрежната зона.</w:t>
      </w:r>
    </w:p>
    <w:p w14:paraId="407C807B" w14:textId="6FC34158"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Взаимодействие море-суша</w:t>
      </w:r>
      <w:r w:rsidRPr="00610B1B">
        <w:rPr>
          <w:rFonts w:ascii="Times New Roman" w:eastAsia="Calibri" w:hAnsi="Times New Roman" w:cs="Times New Roman"/>
          <w:bCs/>
          <w:color w:val="000000" w:themeColor="text1"/>
          <w:sz w:val="24"/>
          <w:szCs w:val="24"/>
          <w:lang w:val="bg-BG"/>
        </w:rPr>
        <w:t xml:space="preserve"> – </w:t>
      </w:r>
      <w:r w:rsidR="004D4DE9" w:rsidRPr="00610B1B">
        <w:rPr>
          <w:rFonts w:ascii="Times New Roman" w:eastAsia="Calibri" w:hAnsi="Times New Roman" w:cs="Times New Roman"/>
          <w:bCs/>
          <w:color w:val="000000" w:themeColor="text1"/>
          <w:sz w:val="24"/>
          <w:szCs w:val="24"/>
          <w:lang w:val="bg-BG"/>
        </w:rPr>
        <w:t xml:space="preserve">Лошото </w:t>
      </w:r>
      <w:r w:rsidRPr="00610B1B">
        <w:rPr>
          <w:rFonts w:ascii="Times New Roman" w:eastAsia="Calibri" w:hAnsi="Times New Roman" w:cs="Times New Roman"/>
          <w:bCs/>
          <w:color w:val="000000" w:themeColor="text1"/>
          <w:sz w:val="24"/>
          <w:szCs w:val="24"/>
          <w:lang w:val="bg-BG"/>
        </w:rPr>
        <w:t>състояние на морската среда се отразява отрицателно върху развитието на крайбрежния туризъм, рибарството и морските аквакултури, поради което приходите от тях намаляват. Задълбочава се социалното неравенство между по-малките населени места и центровете на Синята икономика – Варна и Бургас. Интензивното крайбрежно строителство разрушава крайбрежния ландшафт и намалява неговата привлекателност като туристически ресурс</w:t>
      </w:r>
      <w:r w:rsidR="003F3C59" w:rsidRPr="00610B1B">
        <w:rPr>
          <w:rFonts w:ascii="Times New Roman" w:eastAsia="Calibri" w:hAnsi="Times New Roman" w:cs="Times New Roman"/>
          <w:bCs/>
          <w:color w:val="000000" w:themeColor="text1"/>
          <w:sz w:val="24"/>
          <w:szCs w:val="24"/>
          <w:lang w:val="bg-BG"/>
        </w:rPr>
        <w:t>.</w:t>
      </w:r>
    </w:p>
    <w:p w14:paraId="30AEBBCA" w14:textId="77777777" w:rsidR="003F3C59" w:rsidRPr="00610B1B" w:rsidRDefault="003F3C59" w:rsidP="00D32D6A">
      <w:pPr>
        <w:spacing w:after="120"/>
        <w:ind w:right="-153"/>
        <w:jc w:val="both"/>
        <w:rPr>
          <w:rFonts w:ascii="Times New Roman" w:eastAsia="Calibri" w:hAnsi="Times New Roman" w:cs="Times New Roman"/>
          <w:bCs/>
          <w:color w:val="000000" w:themeColor="text1"/>
          <w:sz w:val="24"/>
          <w:szCs w:val="24"/>
          <w:lang w:val="bg-BG"/>
        </w:rPr>
      </w:pPr>
    </w:p>
    <w:p w14:paraId="263510F1" w14:textId="6571805B" w:rsidR="0055674E" w:rsidRPr="00610B1B" w:rsidRDefault="0055674E" w:rsidP="00D32D6A">
      <w:pPr>
        <w:pStyle w:val="Heading3"/>
        <w:spacing w:before="0" w:line="276" w:lineRule="auto"/>
        <w:ind w:right="-153"/>
        <w:rPr>
          <w:rFonts w:cs="Times New Roman"/>
          <w:b w:val="0"/>
          <w:sz w:val="24"/>
          <w:szCs w:val="24"/>
        </w:rPr>
      </w:pPr>
      <w:bookmarkStart w:id="443" w:name="_Toc83391420"/>
      <w:r w:rsidRPr="00610B1B">
        <w:rPr>
          <w:rFonts w:cs="Times New Roman"/>
        </w:rPr>
        <w:t>4.</w:t>
      </w:r>
      <w:r w:rsidR="009278D0" w:rsidRPr="00610B1B">
        <w:rPr>
          <w:rFonts w:cs="Times New Roman"/>
        </w:rPr>
        <w:t>3</w:t>
      </w:r>
      <w:r w:rsidRPr="00610B1B">
        <w:rPr>
          <w:rFonts w:cs="Times New Roman"/>
        </w:rPr>
        <w:t>.2. Сценарий B –</w:t>
      </w:r>
      <w:r w:rsidR="00D66FE0" w:rsidRPr="00610B1B">
        <w:rPr>
          <w:rFonts w:cs="Times New Roman"/>
        </w:rPr>
        <w:t xml:space="preserve"> </w:t>
      </w:r>
      <w:r w:rsidRPr="00610B1B">
        <w:rPr>
          <w:rFonts w:cs="Times New Roman"/>
        </w:rPr>
        <w:t xml:space="preserve">Устойчива морска среда, съхраняваща ценните </w:t>
      </w:r>
      <w:r w:rsidRPr="00610B1B">
        <w:rPr>
          <w:rFonts w:cs="Times New Roman"/>
        </w:rPr>
        <w:lastRenderedPageBreak/>
        <w:t>морски екосистеми</w:t>
      </w:r>
      <w:bookmarkEnd w:id="443"/>
      <w:r w:rsidR="00D66FE0" w:rsidRPr="00610B1B">
        <w:rPr>
          <w:rFonts w:cs="Times New Roman"/>
        </w:rPr>
        <w:t xml:space="preserve"> </w:t>
      </w:r>
    </w:p>
    <w:p w14:paraId="5CD7A645" w14:textId="47E4A369"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Фокусът на Сценарий В е поддържането на чиста околна среда и издръжлива/устойчива морска екосистема. Това е базовото условие за устойчиво развитие и благоденствие на местните общности. Опазването на уникалната и крехка екосистема на Черно море става приоритет и ограничител при развитието на всички морски ползвания. Насочва се адекватно внимание и ресурси за изпълнение на глобалната цел за намаляване на eмисиите от парникови газове (GHG) в контекста на цел 13 „Предприемане на спешни действия за борба с климатичните промени и въздействието им“ и цел 14</w:t>
      </w:r>
      <w:r w:rsidR="00D66FE0" w:rsidRPr="00610B1B">
        <w:rPr>
          <w:rFonts w:ascii="Times New Roman" w:eastAsia="Calibri" w:hAnsi="Times New Roman" w:cs="Times New Roman"/>
          <w:bCs/>
          <w:color w:val="000000" w:themeColor="text1"/>
          <w:sz w:val="24"/>
          <w:szCs w:val="24"/>
          <w:lang w:val="bg-BG"/>
        </w:rPr>
        <w:t xml:space="preserve"> </w:t>
      </w:r>
      <w:r w:rsidRPr="00610B1B">
        <w:rPr>
          <w:rFonts w:ascii="Times New Roman" w:eastAsia="Calibri" w:hAnsi="Times New Roman" w:cs="Times New Roman"/>
          <w:bCs/>
          <w:color w:val="000000" w:themeColor="text1"/>
          <w:sz w:val="24"/>
          <w:szCs w:val="24"/>
          <w:lang w:val="bg-BG"/>
        </w:rPr>
        <w:t xml:space="preserve">„Съхранение и устойчиво ползване на океаните, моретата и морските ресурси за устойчиво развитие“ от Стратегията на ООН за устойчиво развитие. </w:t>
      </w:r>
    </w:p>
    <w:p w14:paraId="58129229" w14:textId="3B1D438A"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Морската политика по този сценарий ще подкрепя предимно дейности, гарантиращи безопасен и чист морски транспорт, устойчиво рибарство и аквакултури, ефективен и устойчив туризъм. За да се осигури интегритет, жизненост и биоразнообразие на морската екосистема, може да се създадат нови защитени зони в морското пространство, извън границите на териториалните води. Това ще допринесе и за изпълнение на международните спогодби за опазване на биологичното разнообразие.</w:t>
      </w:r>
    </w:p>
    <w:p w14:paraId="5B7E1AB7" w14:textId="15F69326"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Мотивационна опора на екологичния сценарий е Националната програма за развитие „България 2030“ (Ос 2 „Зелена и устойчива България“), както и специализираният секторен планов документ „Морска стратегия за опазване на околната среда в морските води на Република България“. Принадлежността на морето към единната природна система на националното пространство прави Сценарий В съпричастен и към Националната Стратегия за адаптация към изменението на климата и Плана за действие</w:t>
      </w:r>
      <w:r w:rsidR="00AF6E4D" w:rsidRPr="00610B1B">
        <w:rPr>
          <w:rFonts w:ascii="Times New Roman" w:eastAsia="Calibri" w:hAnsi="Times New Roman" w:cs="Times New Roman"/>
          <w:bCs/>
          <w:color w:val="000000" w:themeColor="text1"/>
          <w:sz w:val="24"/>
          <w:szCs w:val="24"/>
          <w:lang w:val="bg-BG"/>
        </w:rPr>
        <w:t xml:space="preserve"> (НСАИКПД)</w:t>
      </w:r>
      <w:r w:rsidRPr="00610B1B">
        <w:rPr>
          <w:rFonts w:ascii="Times New Roman" w:eastAsia="Calibri" w:hAnsi="Times New Roman" w:cs="Times New Roman"/>
          <w:bCs/>
          <w:color w:val="000000" w:themeColor="text1"/>
          <w:sz w:val="24"/>
          <w:szCs w:val="24"/>
          <w:lang w:val="bg-BG"/>
        </w:rPr>
        <w:t>. Това е референтен документ, определящ рамка за действия за адаптиране към изменението на климата до 2030 г. Идентифицираните действия за адаптиране касаят цялата икономика, всички ползвания, включително и тези в морската екосистема.</w:t>
      </w:r>
    </w:p>
    <w:p w14:paraId="0FD3C6EF"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Движещи сили с </w:t>
      </w:r>
      <w:r w:rsidRPr="00610B1B">
        <w:rPr>
          <w:rFonts w:ascii="Times New Roman" w:eastAsia="Calibri" w:hAnsi="Times New Roman" w:cs="Times New Roman"/>
          <w:bCs/>
          <w:i/>
          <w:color w:val="000000" w:themeColor="text1"/>
          <w:sz w:val="24"/>
          <w:szCs w:val="24"/>
          <w:lang w:val="bg-BG"/>
        </w:rPr>
        <w:t>политически</w:t>
      </w:r>
      <w:r w:rsidRPr="00610B1B">
        <w:rPr>
          <w:rFonts w:ascii="Times New Roman" w:eastAsia="Calibri" w:hAnsi="Times New Roman" w:cs="Times New Roman"/>
          <w:bCs/>
          <w:color w:val="000000" w:themeColor="text1"/>
          <w:sz w:val="24"/>
          <w:szCs w:val="24"/>
          <w:lang w:val="bg-BG"/>
        </w:rPr>
        <w:t xml:space="preserve"> характер:</w:t>
      </w:r>
    </w:p>
    <w:p w14:paraId="4A837A3E" w14:textId="77777777" w:rsidR="0055674E" w:rsidRPr="00610B1B" w:rsidRDefault="0055674E" w:rsidP="00B46189">
      <w:pPr>
        <w:pStyle w:val="ListParagraph"/>
        <w:numPr>
          <w:ilvl w:val="0"/>
          <w:numId w:val="23"/>
        </w:numPr>
        <w:spacing w:after="120"/>
        <w:ind w:right="-153"/>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Постигането на трайно добро екологично състояние на Черно море се реализира чрез приемане на стриктни екологични изисквания и съответна програма от мерки, обвързващи всички икономически сектори, обща политика и споделена отговорност на Черноморските страни;</w:t>
      </w:r>
    </w:p>
    <w:p w14:paraId="30F577F0" w14:textId="104BF904" w:rsidR="0055674E" w:rsidRPr="00610B1B" w:rsidRDefault="0055674E" w:rsidP="00B46189">
      <w:pPr>
        <w:numPr>
          <w:ilvl w:val="0"/>
          <w:numId w:val="23"/>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Оползотворяване</w:t>
      </w:r>
      <w:r w:rsidR="0074775A" w:rsidRPr="00610B1B">
        <w:rPr>
          <w:rFonts w:ascii="Times New Roman" w:eastAsia="Calibri" w:hAnsi="Times New Roman" w:cs="Times New Roman"/>
          <w:bCs/>
          <w:color w:val="000000" w:themeColor="text1"/>
          <w:sz w:val="24"/>
          <w:szCs w:val="24"/>
          <w:lang w:val="bg-BG"/>
        </w:rPr>
        <w:t>то</w:t>
      </w:r>
      <w:r w:rsidRPr="00610B1B">
        <w:rPr>
          <w:rFonts w:ascii="Times New Roman" w:eastAsia="Calibri" w:hAnsi="Times New Roman" w:cs="Times New Roman"/>
          <w:bCs/>
          <w:color w:val="000000" w:themeColor="text1"/>
          <w:sz w:val="24"/>
          <w:szCs w:val="24"/>
          <w:lang w:val="bg-BG"/>
        </w:rPr>
        <w:t xml:space="preserve"> на възобновяемите източници на енергия (най-вече ветровата) е един от ключовите национални приоритети</w:t>
      </w:r>
      <w:r w:rsidRPr="00610B1B">
        <w:rPr>
          <w:rFonts w:ascii="Times New Roman" w:eastAsia="Calibri" w:hAnsi="Times New Roman" w:cs="Times New Roman"/>
          <w:bCs/>
          <w:color w:val="000000" w:themeColor="text1"/>
          <w:sz w:val="24"/>
          <w:szCs w:val="24"/>
          <w:vertAlign w:val="superscript"/>
          <w:lang w:val="bg-BG"/>
        </w:rPr>
        <w:footnoteReference w:id="172"/>
      </w:r>
      <w:r w:rsidRPr="00610B1B">
        <w:rPr>
          <w:rFonts w:ascii="Times New Roman" w:eastAsia="Calibri" w:hAnsi="Times New Roman" w:cs="Times New Roman"/>
          <w:bCs/>
          <w:color w:val="000000" w:themeColor="text1"/>
          <w:sz w:val="24"/>
          <w:szCs w:val="24"/>
          <w:lang w:val="bg-BG"/>
        </w:rPr>
        <w:t>;</w:t>
      </w:r>
    </w:p>
    <w:p w14:paraId="5406FCBE" w14:textId="77777777" w:rsidR="0055674E" w:rsidRPr="00610B1B" w:rsidRDefault="0055674E" w:rsidP="00B46189">
      <w:pPr>
        <w:numPr>
          <w:ilvl w:val="0"/>
          <w:numId w:val="23"/>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Секторната туристическа политика лансира концепцията за 4 сезона и „бавен туризъм“, предполагаща разнообразяване на предлагането и по-щадяща експлоатация на ресурсите чрез форми на културен и еко-туризъм;</w:t>
      </w:r>
    </w:p>
    <w:p w14:paraId="2B1AD499"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Икономически</w:t>
      </w:r>
      <w:r w:rsidRPr="00610B1B">
        <w:rPr>
          <w:rFonts w:ascii="Times New Roman" w:eastAsia="Calibri" w:hAnsi="Times New Roman" w:cs="Times New Roman"/>
          <w:bCs/>
          <w:color w:val="000000" w:themeColor="text1"/>
          <w:sz w:val="24"/>
          <w:szCs w:val="24"/>
          <w:lang w:val="bg-BG"/>
        </w:rPr>
        <w:t xml:space="preserve"> движещи сили:</w:t>
      </w:r>
    </w:p>
    <w:p w14:paraId="3F5AC7AD" w14:textId="77777777" w:rsidR="0055674E" w:rsidRPr="00610B1B" w:rsidRDefault="0055674E" w:rsidP="00B46189">
      <w:pPr>
        <w:numPr>
          <w:ilvl w:val="0"/>
          <w:numId w:val="24"/>
        </w:numPr>
        <w:spacing w:after="120"/>
        <w:ind w:right="-158"/>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lastRenderedPageBreak/>
        <w:t>Предприемачеството в пространството на Черноморското крайбрежие ще се съсредоточи в двата областни центъра Варна и Бургас, като приоритетно ще се развиват клъстери, базирани на смарт технологии в морски индустрии.</w:t>
      </w:r>
    </w:p>
    <w:p w14:paraId="18AB0660" w14:textId="7F332B38" w:rsidR="0055674E" w:rsidRPr="00610B1B" w:rsidRDefault="0055674E" w:rsidP="00B46189">
      <w:pPr>
        <w:numPr>
          <w:ilvl w:val="0"/>
          <w:numId w:val="24"/>
        </w:numPr>
        <w:spacing w:after="120"/>
        <w:ind w:right="-158"/>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Поради строгите екологични стандарти, товарните превози ще се изтеглят от малките пристанища и ще се съсредоточат само в </w:t>
      </w:r>
      <w:r w:rsidR="0074775A" w:rsidRPr="00610B1B">
        <w:rPr>
          <w:rFonts w:ascii="Times New Roman" w:eastAsia="Calibri" w:hAnsi="Times New Roman" w:cs="Times New Roman"/>
          <w:bCs/>
          <w:color w:val="000000" w:themeColor="text1"/>
          <w:sz w:val="24"/>
          <w:szCs w:val="24"/>
          <w:lang w:val="bg-BG"/>
        </w:rPr>
        <w:t xml:space="preserve">Бургаското </w:t>
      </w:r>
      <w:r w:rsidRPr="00610B1B">
        <w:rPr>
          <w:rFonts w:ascii="Times New Roman" w:eastAsia="Calibri" w:hAnsi="Times New Roman" w:cs="Times New Roman"/>
          <w:bCs/>
          <w:color w:val="000000" w:themeColor="text1"/>
          <w:sz w:val="24"/>
          <w:szCs w:val="24"/>
          <w:lang w:val="bg-BG"/>
        </w:rPr>
        <w:t xml:space="preserve">и </w:t>
      </w:r>
      <w:r w:rsidR="0074775A" w:rsidRPr="00610B1B">
        <w:rPr>
          <w:rFonts w:ascii="Times New Roman" w:eastAsia="Calibri" w:hAnsi="Times New Roman" w:cs="Times New Roman"/>
          <w:bCs/>
          <w:color w:val="000000" w:themeColor="text1"/>
          <w:sz w:val="24"/>
          <w:szCs w:val="24"/>
          <w:lang w:val="bg-BG"/>
        </w:rPr>
        <w:t xml:space="preserve">Варненското </w:t>
      </w:r>
      <w:r w:rsidRPr="00610B1B">
        <w:rPr>
          <w:rFonts w:ascii="Times New Roman" w:eastAsia="Calibri" w:hAnsi="Times New Roman" w:cs="Times New Roman"/>
          <w:bCs/>
          <w:color w:val="000000" w:themeColor="text1"/>
          <w:sz w:val="24"/>
          <w:szCs w:val="24"/>
          <w:lang w:val="bg-BG"/>
        </w:rPr>
        <w:t>пристанища. Така ще се повиши и ефективността на инвестициите в мерки за опазване на околната среда.</w:t>
      </w:r>
    </w:p>
    <w:p w14:paraId="74205222" w14:textId="79D7F4DE" w:rsidR="0055674E" w:rsidRPr="00610B1B" w:rsidRDefault="0055674E" w:rsidP="00B46189">
      <w:pPr>
        <w:pStyle w:val="ListParagraph"/>
        <w:numPr>
          <w:ilvl w:val="0"/>
          <w:numId w:val="24"/>
        </w:numPr>
        <w:spacing w:after="120"/>
        <w:ind w:right="-158"/>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Чистата околна среда, адекватната инфраструктура, плажовете със сертификат „Син флаг“ и съхраненото природно наследство ще създадат качествени и атрактивни възможности за рекреация на туристи, уважаващи природата и нематериалните ценности. Това е възможност за валоризиране и същевременно, опазване на природните ценности по крайбрежието и в прилежащото морско пространство. Това е път за устойчиво развитие на туристическа дестинация.</w:t>
      </w:r>
    </w:p>
    <w:p w14:paraId="16FBEA93" w14:textId="752805EE" w:rsidR="0055674E" w:rsidRPr="00610B1B" w:rsidRDefault="0055674E" w:rsidP="00B46189">
      <w:pPr>
        <w:numPr>
          <w:ilvl w:val="0"/>
          <w:numId w:val="24"/>
        </w:numPr>
        <w:spacing w:after="120"/>
        <w:ind w:right="-158"/>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Доброто екологично състояние на морето осигурява достатъчно рибни ресурси и възможността за стабилен улов в рамките на максималния устойчив улов;</w:t>
      </w:r>
    </w:p>
    <w:p w14:paraId="5962C592" w14:textId="77777777" w:rsidR="0055674E" w:rsidRPr="00610B1B" w:rsidRDefault="0055674E" w:rsidP="00B46189">
      <w:pPr>
        <w:numPr>
          <w:ilvl w:val="0"/>
          <w:numId w:val="24"/>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Съхранената екосистема на морето ще създаде дългосрочна и икономически обоснована среда за значими инвестиции в „зелени“ технологии – като морски транспорт и енергетика.</w:t>
      </w:r>
    </w:p>
    <w:p w14:paraId="3D424669" w14:textId="72B81E2B"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Движещи сили в </w:t>
      </w:r>
      <w:r w:rsidRPr="00610B1B">
        <w:rPr>
          <w:rFonts w:ascii="Times New Roman" w:eastAsia="Calibri" w:hAnsi="Times New Roman" w:cs="Times New Roman"/>
          <w:bCs/>
          <w:i/>
          <w:color w:val="000000" w:themeColor="text1"/>
          <w:sz w:val="24"/>
          <w:szCs w:val="24"/>
          <w:lang w:val="bg-BG"/>
        </w:rPr>
        <w:t>технологичен</w:t>
      </w:r>
      <w:r w:rsidRPr="00610B1B">
        <w:rPr>
          <w:rFonts w:ascii="Times New Roman" w:eastAsia="Calibri" w:hAnsi="Times New Roman" w:cs="Times New Roman"/>
          <w:bCs/>
          <w:color w:val="000000" w:themeColor="text1"/>
          <w:sz w:val="24"/>
          <w:szCs w:val="24"/>
          <w:lang w:val="bg-BG"/>
        </w:rPr>
        <w:t xml:space="preserve"> аспект:</w:t>
      </w:r>
    </w:p>
    <w:p w14:paraId="3293F1DA" w14:textId="2F377B18" w:rsidR="0055674E" w:rsidRPr="00610B1B" w:rsidRDefault="0055674E" w:rsidP="00B46189">
      <w:pPr>
        <w:numPr>
          <w:ilvl w:val="0"/>
          <w:numId w:val="25"/>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Изследванията и иновациите са насочени предимно към природосъобразни технологии. </w:t>
      </w:r>
      <w:r w:rsidR="00A1764F" w:rsidRPr="00610B1B">
        <w:rPr>
          <w:rFonts w:ascii="Times New Roman" w:eastAsia="Calibri" w:hAnsi="Times New Roman" w:cs="Times New Roman"/>
          <w:bCs/>
          <w:color w:val="000000" w:themeColor="text1"/>
          <w:sz w:val="24"/>
          <w:szCs w:val="24"/>
          <w:lang w:val="bg-BG"/>
        </w:rPr>
        <w:t>Към останалите сектори са поставени по-високи е</w:t>
      </w:r>
      <w:r w:rsidRPr="00610B1B">
        <w:rPr>
          <w:rFonts w:ascii="Times New Roman" w:eastAsia="Calibri" w:hAnsi="Times New Roman" w:cs="Times New Roman"/>
          <w:bCs/>
          <w:color w:val="000000" w:themeColor="text1"/>
          <w:sz w:val="24"/>
          <w:szCs w:val="24"/>
          <w:lang w:val="bg-BG"/>
        </w:rPr>
        <w:t>кологични изисквания и цели</w:t>
      </w:r>
      <w:r w:rsidR="00A1764F" w:rsidRPr="00610B1B">
        <w:rPr>
          <w:rFonts w:ascii="Times New Roman" w:eastAsia="Calibri" w:hAnsi="Times New Roman" w:cs="Times New Roman"/>
          <w:bCs/>
          <w:color w:val="000000" w:themeColor="text1"/>
          <w:sz w:val="24"/>
          <w:szCs w:val="24"/>
          <w:lang w:val="bg-BG"/>
        </w:rPr>
        <w:t>, които</w:t>
      </w:r>
      <w:r w:rsidRPr="00610B1B">
        <w:rPr>
          <w:rFonts w:ascii="Times New Roman" w:eastAsia="Calibri" w:hAnsi="Times New Roman" w:cs="Times New Roman"/>
          <w:bCs/>
          <w:color w:val="000000" w:themeColor="text1"/>
          <w:sz w:val="24"/>
          <w:szCs w:val="24"/>
          <w:lang w:val="bg-BG"/>
        </w:rPr>
        <w:t xml:space="preserve"> са в основата на развитието по този сценарий.</w:t>
      </w:r>
    </w:p>
    <w:p w14:paraId="70B20B83" w14:textId="77777777" w:rsidR="0055674E" w:rsidRPr="00610B1B" w:rsidRDefault="0055674E" w:rsidP="00B46189">
      <w:pPr>
        <w:numPr>
          <w:ilvl w:val="0"/>
          <w:numId w:val="25"/>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В сферата на туризма се развиват и оползотворяват еко-иновациите, увеличава се значението и предлагането на продукти за екотуризъм и културен туризъм. Превес в транспортната модалност добиват електромобилността, придвижването с велосипед и обществен транспорт, за сметка на личните автомобили.</w:t>
      </w:r>
    </w:p>
    <w:p w14:paraId="7970A031"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 xml:space="preserve">Социалните </w:t>
      </w:r>
      <w:r w:rsidRPr="00610B1B">
        <w:rPr>
          <w:rFonts w:ascii="Times New Roman" w:eastAsia="Calibri" w:hAnsi="Times New Roman" w:cs="Times New Roman"/>
          <w:bCs/>
          <w:color w:val="000000" w:themeColor="text1"/>
          <w:sz w:val="24"/>
          <w:szCs w:val="24"/>
          <w:lang w:val="bg-BG"/>
        </w:rPr>
        <w:t>движещи сили:</w:t>
      </w:r>
    </w:p>
    <w:p w14:paraId="70BE5E86" w14:textId="21657FA5" w:rsidR="0055674E" w:rsidRPr="00610B1B" w:rsidRDefault="0055674E" w:rsidP="00B46189">
      <w:pPr>
        <w:numPr>
          <w:ilvl w:val="0"/>
          <w:numId w:val="27"/>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Демографските процеси ще продължат да се развиват в контекста на негативните </w:t>
      </w:r>
      <w:r w:rsidR="00A1764F" w:rsidRPr="00610B1B">
        <w:rPr>
          <w:rFonts w:ascii="Times New Roman" w:eastAsia="Calibri" w:hAnsi="Times New Roman" w:cs="Times New Roman"/>
          <w:bCs/>
          <w:color w:val="000000" w:themeColor="text1"/>
          <w:sz w:val="24"/>
          <w:szCs w:val="24"/>
          <w:lang w:val="bg-BG"/>
        </w:rPr>
        <w:t>тенденции</w:t>
      </w:r>
      <w:r w:rsidRPr="00610B1B">
        <w:rPr>
          <w:rFonts w:ascii="Times New Roman" w:eastAsia="Calibri" w:hAnsi="Times New Roman" w:cs="Times New Roman"/>
          <w:bCs/>
          <w:color w:val="000000" w:themeColor="text1"/>
          <w:sz w:val="24"/>
          <w:szCs w:val="24"/>
          <w:lang w:val="bg-BG"/>
        </w:rPr>
        <w:t xml:space="preserve"> – влош</w:t>
      </w:r>
      <w:r w:rsidR="0074775A" w:rsidRPr="00610B1B">
        <w:rPr>
          <w:rFonts w:ascii="Times New Roman" w:eastAsia="Calibri" w:hAnsi="Times New Roman" w:cs="Times New Roman"/>
          <w:bCs/>
          <w:color w:val="000000" w:themeColor="text1"/>
          <w:sz w:val="24"/>
          <w:szCs w:val="24"/>
          <w:lang w:val="bg-BG"/>
        </w:rPr>
        <w:t>ена</w:t>
      </w:r>
      <w:r w:rsidRPr="00610B1B">
        <w:rPr>
          <w:rFonts w:ascii="Times New Roman" w:eastAsia="Calibri" w:hAnsi="Times New Roman" w:cs="Times New Roman"/>
          <w:bCs/>
          <w:color w:val="000000" w:themeColor="text1"/>
          <w:sz w:val="24"/>
          <w:szCs w:val="24"/>
          <w:lang w:val="bg-BG"/>
        </w:rPr>
        <w:t xml:space="preserve"> възрастова структура, отрицателен естествен прираст, намаляваща фертилност. В резултат на това пазарът на труда ще изпитва дефицити в периоди на сезонни пулсации, а системите за социално подпомагане – повишен натиск.</w:t>
      </w:r>
    </w:p>
    <w:p w14:paraId="523D3C14" w14:textId="4DDE9583" w:rsidR="0055674E" w:rsidRPr="00610B1B" w:rsidRDefault="0055674E" w:rsidP="00B46189">
      <w:pPr>
        <w:numPr>
          <w:ilvl w:val="0"/>
          <w:numId w:val="27"/>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Благодарение на постигнатия добър екологичен статус, крайбрежието ще стане атрактивно не само за рекреация</w:t>
      </w:r>
      <w:r w:rsidR="00A1764F" w:rsidRPr="00610B1B">
        <w:rPr>
          <w:rFonts w:ascii="Times New Roman" w:eastAsia="Calibri" w:hAnsi="Times New Roman" w:cs="Times New Roman"/>
          <w:bCs/>
          <w:color w:val="000000" w:themeColor="text1"/>
          <w:sz w:val="24"/>
          <w:szCs w:val="24"/>
          <w:lang w:val="bg-BG"/>
        </w:rPr>
        <w:t>,</w:t>
      </w:r>
      <w:r w:rsidRPr="00610B1B">
        <w:rPr>
          <w:rFonts w:ascii="Times New Roman" w:eastAsia="Calibri" w:hAnsi="Times New Roman" w:cs="Times New Roman"/>
          <w:bCs/>
          <w:color w:val="000000" w:themeColor="text1"/>
          <w:sz w:val="24"/>
          <w:szCs w:val="24"/>
          <w:lang w:val="bg-BG"/>
        </w:rPr>
        <w:t xml:space="preserve"> но и за заселване на хора, ценящи природните аспекти в стандарта си на живот. Това ще стане още един мотив за механичния прираст в селищата по крайбрежието.</w:t>
      </w:r>
    </w:p>
    <w:p w14:paraId="1236BFC8" w14:textId="6BBC1073" w:rsidR="0055674E" w:rsidRPr="00610B1B" w:rsidRDefault="0055674E" w:rsidP="00B46189">
      <w:pPr>
        <w:numPr>
          <w:ilvl w:val="0"/>
          <w:numId w:val="27"/>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Увеличените разходи за защита на природата за сметка на реалната икономика ще породят социални напрежения между привържениците на този сценарий и негови</w:t>
      </w:r>
      <w:r w:rsidR="00A1764F" w:rsidRPr="00610B1B">
        <w:rPr>
          <w:rFonts w:ascii="Times New Roman" w:eastAsia="Calibri" w:hAnsi="Times New Roman" w:cs="Times New Roman"/>
          <w:bCs/>
          <w:color w:val="000000" w:themeColor="text1"/>
          <w:sz w:val="24"/>
          <w:szCs w:val="24"/>
          <w:lang w:val="bg-BG"/>
        </w:rPr>
        <w:t>те</w:t>
      </w:r>
      <w:r w:rsidRPr="00610B1B">
        <w:rPr>
          <w:rFonts w:ascii="Times New Roman" w:eastAsia="Calibri" w:hAnsi="Times New Roman" w:cs="Times New Roman"/>
          <w:bCs/>
          <w:color w:val="000000" w:themeColor="text1"/>
          <w:sz w:val="24"/>
          <w:szCs w:val="24"/>
          <w:lang w:val="bg-BG"/>
        </w:rPr>
        <w:t xml:space="preserve"> противници.</w:t>
      </w:r>
    </w:p>
    <w:p w14:paraId="59682070" w14:textId="77777777" w:rsidR="0055674E" w:rsidRPr="00610B1B" w:rsidRDefault="0055674E" w:rsidP="00B46189">
      <w:pPr>
        <w:numPr>
          <w:ilvl w:val="0"/>
          <w:numId w:val="27"/>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lastRenderedPageBreak/>
        <w:t xml:space="preserve">Търпимостта на местните общности към чужди култури и ценности, както въобще към туристите, ще се повиши с промяна на профила от туристи-консуматори, към туристи – любители на природното и културното наследство. </w:t>
      </w:r>
    </w:p>
    <w:p w14:paraId="0AB15F27"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Условия на </w:t>
      </w:r>
      <w:r w:rsidRPr="00610B1B">
        <w:rPr>
          <w:rFonts w:ascii="Times New Roman" w:eastAsia="Calibri" w:hAnsi="Times New Roman" w:cs="Times New Roman"/>
          <w:bCs/>
          <w:i/>
          <w:color w:val="000000" w:themeColor="text1"/>
          <w:sz w:val="24"/>
          <w:szCs w:val="24"/>
          <w:lang w:val="bg-BG"/>
        </w:rPr>
        <w:t>околната среда и природата</w:t>
      </w:r>
      <w:r w:rsidRPr="00610B1B">
        <w:rPr>
          <w:rFonts w:ascii="Times New Roman" w:eastAsia="Calibri" w:hAnsi="Times New Roman" w:cs="Times New Roman"/>
          <w:bCs/>
          <w:color w:val="000000" w:themeColor="text1"/>
          <w:sz w:val="24"/>
          <w:szCs w:val="24"/>
          <w:lang w:val="bg-BG"/>
        </w:rPr>
        <w:t>:</w:t>
      </w:r>
    </w:p>
    <w:p w14:paraId="519C1550" w14:textId="77777777" w:rsidR="0055674E" w:rsidRPr="00610B1B" w:rsidRDefault="0055674E" w:rsidP="00B46189">
      <w:pPr>
        <w:pStyle w:val="ListParagraph"/>
        <w:numPr>
          <w:ilvl w:val="0"/>
          <w:numId w:val="26"/>
        </w:numPr>
        <w:spacing w:after="120"/>
        <w:ind w:right="-153"/>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В морската среда е постигнато добро екологично състояние. Стойностите на индикаторите за състоянието се намират и поддържат в границите, характеризиращи доброто състояние.</w:t>
      </w:r>
    </w:p>
    <w:p w14:paraId="6BEA761A" w14:textId="77777777" w:rsidR="0055674E" w:rsidRPr="00610B1B" w:rsidRDefault="0055674E" w:rsidP="00B46189">
      <w:pPr>
        <w:numPr>
          <w:ilvl w:val="0"/>
          <w:numId w:val="26"/>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Природните ресурси и биоразнообразието са в добро консервационно състояние. Увеличава се биоразнообразието в определени хабитати и сред определени общности от видове.</w:t>
      </w:r>
    </w:p>
    <w:p w14:paraId="1CC1ADB2" w14:textId="73B9DFBC" w:rsidR="0055674E" w:rsidRPr="00610B1B" w:rsidRDefault="0055674E" w:rsidP="00B46189">
      <w:pPr>
        <w:numPr>
          <w:ilvl w:val="0"/>
          <w:numId w:val="26"/>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Благодарение на национални мерки и международно сътрудничество в Черноморския басейн, възможните последствия от климатичните промени по морското крайбрежие са редуцирани или предотвратени.</w:t>
      </w:r>
    </w:p>
    <w:p w14:paraId="4D314F05" w14:textId="77777777" w:rsidR="0055674E" w:rsidRPr="00610B1B" w:rsidRDefault="0055674E" w:rsidP="00D32D6A">
      <w:pPr>
        <w:spacing w:after="120"/>
        <w:ind w:right="-153"/>
        <w:jc w:val="both"/>
        <w:rPr>
          <w:rFonts w:ascii="Times New Roman" w:eastAsia="Calibri" w:hAnsi="Times New Roman" w:cs="Times New Roman"/>
          <w:b/>
          <w:bCs/>
          <w:color w:val="000000" w:themeColor="text1"/>
          <w:sz w:val="24"/>
          <w:szCs w:val="24"/>
          <w:lang w:val="bg-BG"/>
        </w:rPr>
      </w:pPr>
      <w:r w:rsidRPr="00610B1B">
        <w:rPr>
          <w:rFonts w:ascii="Times New Roman" w:eastAsia="Calibri" w:hAnsi="Times New Roman" w:cs="Times New Roman"/>
          <w:b/>
          <w:bCs/>
          <w:color w:val="000000" w:themeColor="text1"/>
          <w:sz w:val="24"/>
          <w:szCs w:val="24"/>
          <w:lang w:val="bg-BG"/>
        </w:rPr>
        <w:t>Вероятни въздействия върху околната среда по сектори от морската икономика при прилагането на Сценарий B</w:t>
      </w:r>
    </w:p>
    <w:p w14:paraId="77B145FC" w14:textId="4E7C4704" w:rsidR="0055674E" w:rsidRPr="00610B1B" w:rsidRDefault="0055674E" w:rsidP="00D32D6A">
      <w:pPr>
        <w:pStyle w:val="BodyText"/>
        <w:spacing w:before="0" w:after="120" w:line="276" w:lineRule="auto"/>
        <w:ind w:right="-153"/>
        <w:rPr>
          <w:rFonts w:cs="Times New Roman"/>
        </w:rPr>
      </w:pPr>
      <w:r w:rsidRPr="00610B1B">
        <w:rPr>
          <w:rFonts w:cs="Times New Roman"/>
          <w:i/>
        </w:rPr>
        <w:t>Морски транспорт</w:t>
      </w:r>
      <w:r w:rsidRPr="00610B1B">
        <w:rPr>
          <w:rFonts w:cs="Times New Roman"/>
        </w:rPr>
        <w:t xml:space="preserve"> – </w:t>
      </w:r>
      <w:r w:rsidR="004D4DE9" w:rsidRPr="00610B1B">
        <w:rPr>
          <w:rFonts w:cs="Times New Roman"/>
        </w:rPr>
        <w:t xml:space="preserve">Създаден </w:t>
      </w:r>
      <w:r w:rsidRPr="00610B1B">
        <w:rPr>
          <w:rFonts w:cs="Times New Roman"/>
        </w:rPr>
        <w:t>е регистър на подводния шум, който позволява мониторинг и контрол върху нивата на шума</w:t>
      </w:r>
      <w:r w:rsidR="004D4DE9" w:rsidRPr="00610B1B">
        <w:rPr>
          <w:rFonts w:cs="Times New Roman"/>
        </w:rPr>
        <w:t xml:space="preserve"> и под</w:t>
      </w:r>
      <w:r w:rsidRPr="00610B1B">
        <w:rPr>
          <w:rFonts w:cs="Times New Roman"/>
        </w:rPr>
        <w:t>помага изпълнение</w:t>
      </w:r>
      <w:r w:rsidR="004D4DE9" w:rsidRPr="00610B1B">
        <w:rPr>
          <w:rFonts w:cs="Times New Roman"/>
        </w:rPr>
        <w:t>то</w:t>
      </w:r>
      <w:r w:rsidRPr="00610B1B">
        <w:rPr>
          <w:rFonts w:cs="Times New Roman"/>
        </w:rPr>
        <w:t xml:space="preserve"> на целите и мерките, предвидени в Морската стратегия. </w:t>
      </w:r>
      <w:r w:rsidR="00B9353E" w:rsidRPr="00610B1B">
        <w:rPr>
          <w:rFonts w:cs="Times New Roman"/>
        </w:rPr>
        <w:t xml:space="preserve">Намалява </w:t>
      </w:r>
      <w:r w:rsidRPr="00610B1B">
        <w:rPr>
          <w:rFonts w:cs="Times New Roman"/>
        </w:rPr>
        <w:t>натиск</w:t>
      </w:r>
      <w:r w:rsidR="00B9353E" w:rsidRPr="00610B1B">
        <w:rPr>
          <w:rFonts w:cs="Times New Roman"/>
        </w:rPr>
        <w:t>ът</w:t>
      </w:r>
      <w:r w:rsidRPr="00610B1B">
        <w:rPr>
          <w:rFonts w:cs="Times New Roman"/>
        </w:rPr>
        <w:t xml:space="preserve"> върху чувствителните към шум морски риби и бозайници. Увеличава се числеността им и в близост до големите пристанища, а не само в отдалечените райони. Подобреният контрол върху баластните води на корабите намалява </w:t>
      </w:r>
      <w:r w:rsidR="00F40505" w:rsidRPr="00610B1B">
        <w:rPr>
          <w:rFonts w:cs="Times New Roman"/>
        </w:rPr>
        <w:t>броя на новите инвазивни видове</w:t>
      </w:r>
      <w:r w:rsidRPr="00610B1B">
        <w:rPr>
          <w:rFonts w:cs="Times New Roman"/>
        </w:rPr>
        <w:t xml:space="preserve">. Прилагането на дистанционни методи води до прекратяване на незаконно изхвърляне на замърсители и отпадъци от корабите в морските пространства. Видимо се подобрява прозрачността на морската вода в пристанищните акватории, </w:t>
      </w:r>
      <w:r w:rsidR="00BA5862" w:rsidRPr="00610B1B">
        <w:rPr>
          <w:rFonts w:cs="Times New Roman"/>
        </w:rPr>
        <w:t>намаляват</w:t>
      </w:r>
      <w:r w:rsidR="00A1764F" w:rsidRPr="00610B1B">
        <w:rPr>
          <w:rFonts w:cs="Times New Roman"/>
        </w:rPr>
        <w:t xml:space="preserve"> </w:t>
      </w:r>
      <w:r w:rsidRPr="00610B1B">
        <w:rPr>
          <w:rFonts w:cs="Times New Roman"/>
        </w:rPr>
        <w:t xml:space="preserve">цъфтежите на вида </w:t>
      </w:r>
      <w:r w:rsidRPr="00610B1B">
        <w:rPr>
          <w:rFonts w:cs="Times New Roman"/>
          <w:i/>
          <w:iCs/>
        </w:rPr>
        <w:t>Noctuluca scintillans</w:t>
      </w:r>
      <w:r w:rsidRPr="00610B1B">
        <w:rPr>
          <w:rFonts w:cs="Times New Roman"/>
        </w:rPr>
        <w:t xml:space="preserve"> като индикатор за еутрофикация.</w:t>
      </w:r>
    </w:p>
    <w:p w14:paraId="66D6C636" w14:textId="0946F31B" w:rsidR="0055674E" w:rsidRPr="00610B1B" w:rsidRDefault="00DD6CD4" w:rsidP="00D32D6A">
      <w:pPr>
        <w:pStyle w:val="BodyText"/>
        <w:spacing w:before="0" w:after="120" w:line="276" w:lineRule="auto"/>
        <w:ind w:right="-153"/>
        <w:rPr>
          <w:rFonts w:cs="Times New Roman"/>
        </w:rPr>
      </w:pPr>
      <w:r w:rsidRPr="00610B1B">
        <w:rPr>
          <w:rFonts w:cs="Times New Roman"/>
          <w:i/>
        </w:rPr>
        <w:t>Стопански риболов</w:t>
      </w:r>
      <w:r w:rsidR="0055674E" w:rsidRPr="00610B1B">
        <w:rPr>
          <w:rFonts w:cs="Times New Roman"/>
        </w:rPr>
        <w:t xml:space="preserve"> – </w:t>
      </w:r>
      <w:r w:rsidR="004D4DE9" w:rsidRPr="00610B1B">
        <w:rPr>
          <w:rFonts w:cs="Times New Roman"/>
        </w:rPr>
        <w:t xml:space="preserve">Риболовът </w:t>
      </w:r>
      <w:r w:rsidR="0055674E" w:rsidRPr="00610B1B">
        <w:rPr>
          <w:rFonts w:cs="Times New Roman"/>
        </w:rPr>
        <w:t xml:space="preserve">се извършва със селективни риболовни уреди, щадящи околната среда. Натискът е извън защитените зони. Намалява натискът върху пелагичните и шелфовите дънни местообитания в района на Варненския и Бургаски залив, което помага за тяхното възстановяване. Добивът на рибни видове не надхвърля максималния устойчив улов. Дейността се извършва не само в големите центрове на </w:t>
      </w:r>
      <w:r w:rsidRPr="00610B1B">
        <w:rPr>
          <w:rFonts w:cs="Times New Roman"/>
        </w:rPr>
        <w:t>стопански риболов</w:t>
      </w:r>
      <w:r w:rsidR="00C3007B" w:rsidRPr="00610B1B">
        <w:rPr>
          <w:rFonts w:cs="Times New Roman"/>
        </w:rPr>
        <w:t> </w:t>
      </w:r>
      <w:r w:rsidR="0055674E" w:rsidRPr="00610B1B">
        <w:rPr>
          <w:rFonts w:cs="Times New Roman"/>
        </w:rPr>
        <w:t>– Варна и Бургас, а и в по-малките – Балчик, Несебър, Поморие, Созопол, Царево и Ахтопол. Част от морските храни се осигурява</w:t>
      </w:r>
      <w:r w:rsidR="00B9353E" w:rsidRPr="00610B1B">
        <w:rPr>
          <w:rFonts w:cs="Times New Roman"/>
        </w:rPr>
        <w:t>т</w:t>
      </w:r>
      <w:r w:rsidR="0055674E" w:rsidRPr="00610B1B">
        <w:rPr>
          <w:rFonts w:cs="Times New Roman"/>
        </w:rPr>
        <w:t xml:space="preserve"> от аквакултури, друга от мест</w:t>
      </w:r>
      <w:r w:rsidR="009021CB" w:rsidRPr="00610B1B">
        <w:rPr>
          <w:rFonts w:cs="Times New Roman"/>
        </w:rPr>
        <w:t>н</w:t>
      </w:r>
      <w:r w:rsidR="0055674E" w:rsidRPr="00610B1B">
        <w:rPr>
          <w:rFonts w:cs="Times New Roman"/>
        </w:rPr>
        <w:t xml:space="preserve">и рибари. </w:t>
      </w:r>
      <w:r w:rsidR="00B9353E" w:rsidRPr="00610B1B">
        <w:rPr>
          <w:rFonts w:cs="Times New Roman"/>
        </w:rPr>
        <w:t xml:space="preserve">Осигурява се </w:t>
      </w:r>
      <w:r w:rsidR="0055674E" w:rsidRPr="00610B1B">
        <w:rPr>
          <w:rFonts w:cs="Times New Roman"/>
        </w:rPr>
        <w:t>поминък за по-малките крайбрежни населени места.</w:t>
      </w:r>
    </w:p>
    <w:p w14:paraId="587EF496" w14:textId="05318375" w:rsidR="0055674E" w:rsidRPr="00610B1B" w:rsidRDefault="0055674E" w:rsidP="00D32D6A">
      <w:pPr>
        <w:pStyle w:val="BodyText"/>
        <w:spacing w:before="0" w:after="120" w:line="276" w:lineRule="auto"/>
        <w:ind w:right="-153"/>
        <w:rPr>
          <w:rFonts w:cs="Times New Roman"/>
        </w:rPr>
      </w:pPr>
      <w:r w:rsidRPr="00610B1B">
        <w:rPr>
          <w:rFonts w:cs="Times New Roman"/>
          <w:i/>
        </w:rPr>
        <w:t>Морски аквакултури</w:t>
      </w:r>
      <w:r w:rsidRPr="00610B1B">
        <w:rPr>
          <w:rFonts w:cs="Times New Roman"/>
        </w:rPr>
        <w:t xml:space="preserve"> – </w:t>
      </w:r>
      <w:r w:rsidR="004D4DE9" w:rsidRPr="00610B1B">
        <w:rPr>
          <w:rFonts w:cs="Times New Roman"/>
        </w:rPr>
        <w:t xml:space="preserve">Развиват </w:t>
      </w:r>
      <w:r w:rsidRPr="00610B1B">
        <w:rPr>
          <w:rFonts w:cs="Times New Roman"/>
        </w:rPr>
        <w:t>се основните райони между н. Калиакра-Каварна, източно от н. Емине и южно от Созопол. Търсят се възможности за развитието на дълбоководни аквакултури и синергия между аквакултури с вятърни паркове - източно от н. Калиакра. Развиват се и мултитрофни аквакултури, съчетаващи отглеждането на риби с нерибни видове (миди).</w:t>
      </w:r>
    </w:p>
    <w:p w14:paraId="1979F8B5" w14:textId="71B3C5F2" w:rsidR="0055674E" w:rsidRPr="00610B1B" w:rsidRDefault="0055674E" w:rsidP="00D32D6A">
      <w:pPr>
        <w:pStyle w:val="BodyText"/>
        <w:spacing w:before="0" w:after="120" w:line="276" w:lineRule="auto"/>
        <w:ind w:right="-153"/>
        <w:rPr>
          <w:rFonts w:cs="Times New Roman"/>
        </w:rPr>
      </w:pPr>
      <w:r w:rsidRPr="00610B1B">
        <w:rPr>
          <w:rFonts w:cs="Times New Roman"/>
          <w:i/>
        </w:rPr>
        <w:t xml:space="preserve">Туризъм </w:t>
      </w:r>
      <w:r w:rsidRPr="00610B1B">
        <w:rPr>
          <w:rFonts w:cs="Times New Roman"/>
        </w:rPr>
        <w:t xml:space="preserve">– </w:t>
      </w:r>
      <w:r w:rsidR="004D4DE9" w:rsidRPr="00610B1B">
        <w:rPr>
          <w:rFonts w:cs="Times New Roman"/>
        </w:rPr>
        <w:t xml:space="preserve">Натоварването </w:t>
      </w:r>
      <w:r w:rsidRPr="00610B1B">
        <w:rPr>
          <w:rFonts w:cs="Times New Roman"/>
        </w:rPr>
        <w:t xml:space="preserve">на плажните ивици се намалява чрез определяне на легловата база в зависимост от оптималното плажно пространство на човек. Това намалява </w:t>
      </w:r>
      <w:r w:rsidRPr="00610B1B">
        <w:rPr>
          <w:rFonts w:cs="Times New Roman"/>
        </w:rPr>
        <w:lastRenderedPageBreak/>
        <w:t>приходите от масовия туризъм. За сметка на това се увеличават общите приходи поради развитието на екологичен и алтернативен туризъм, както и създаването на условия за развитие на дейността извън летния сезон. Това смекчава натиска върху пясъчните дюни, плажната растителност и плитководните местообитания. Въпреки намаления брой туристи и приходи в краткосрочен план, ще се запази привлекателността на Българското Черноморие като дългосрочен туристически ресурс.</w:t>
      </w:r>
    </w:p>
    <w:p w14:paraId="774705E7" w14:textId="6D38E481" w:rsidR="0055674E" w:rsidRPr="00610B1B" w:rsidRDefault="0055674E" w:rsidP="00D32D6A">
      <w:pPr>
        <w:pStyle w:val="BodyText"/>
        <w:spacing w:before="0" w:after="120" w:line="276" w:lineRule="auto"/>
        <w:ind w:right="-153"/>
        <w:rPr>
          <w:rFonts w:cs="Times New Roman"/>
        </w:rPr>
      </w:pPr>
      <w:r w:rsidRPr="00610B1B">
        <w:rPr>
          <w:rFonts w:cs="Times New Roman"/>
          <w:i/>
        </w:rPr>
        <w:t>Брегозащита</w:t>
      </w:r>
      <w:r w:rsidRPr="00610B1B">
        <w:rPr>
          <w:rFonts w:cs="Times New Roman"/>
        </w:rPr>
        <w:t xml:space="preserve"> – </w:t>
      </w:r>
      <w:r w:rsidR="004D4DE9" w:rsidRPr="00610B1B">
        <w:rPr>
          <w:rFonts w:cs="Times New Roman"/>
        </w:rPr>
        <w:t xml:space="preserve">Насърчава се </w:t>
      </w:r>
      <w:r w:rsidRPr="00610B1B">
        <w:rPr>
          <w:rFonts w:cs="Times New Roman"/>
        </w:rPr>
        <w:t xml:space="preserve">прилагането на по-екологични брегозащитни съоръжения </w:t>
      </w:r>
      <w:r w:rsidR="00A1764F" w:rsidRPr="00610B1B">
        <w:rPr>
          <w:rFonts w:cs="Times New Roman"/>
        </w:rPr>
        <w:t xml:space="preserve">от </w:t>
      </w:r>
      <w:r w:rsidRPr="00610B1B">
        <w:rPr>
          <w:rFonts w:cs="Times New Roman"/>
        </w:rPr>
        <w:t>тип</w:t>
      </w:r>
      <w:r w:rsidR="00A1764F" w:rsidRPr="00610B1B">
        <w:rPr>
          <w:rFonts w:cs="Times New Roman"/>
        </w:rPr>
        <w:t>а на</w:t>
      </w:r>
      <w:r w:rsidRPr="00610B1B">
        <w:rPr>
          <w:rFonts w:cs="Times New Roman"/>
        </w:rPr>
        <w:t xml:space="preserve"> подводни</w:t>
      </w:r>
      <w:r w:rsidR="00A1764F" w:rsidRPr="00610B1B">
        <w:rPr>
          <w:rFonts w:cs="Times New Roman"/>
        </w:rPr>
        <w:t>те</w:t>
      </w:r>
      <w:r w:rsidRPr="00610B1B">
        <w:rPr>
          <w:rFonts w:cs="Times New Roman"/>
        </w:rPr>
        <w:t xml:space="preserve"> вълноломи-рифове, дистанционна</w:t>
      </w:r>
      <w:r w:rsidR="00A1764F" w:rsidRPr="00610B1B">
        <w:rPr>
          <w:rFonts w:cs="Times New Roman"/>
        </w:rPr>
        <w:t>та</w:t>
      </w:r>
      <w:r w:rsidRPr="00610B1B">
        <w:rPr>
          <w:rFonts w:cs="Times New Roman"/>
        </w:rPr>
        <w:t xml:space="preserve"> брегозащита и изкуственото подхранване с плажни наноси. По този начин се запазва естествения ландшафт. Използването на проницаеми съоръжения намалява натиска върху дънните местообитания. Търсят се възможности за използването на наноси от драгиране в пристанищните зони за намаляване на наносния дефицит.</w:t>
      </w:r>
    </w:p>
    <w:p w14:paraId="7ABA5A10" w14:textId="6170927E" w:rsidR="0055674E" w:rsidRPr="00610B1B" w:rsidRDefault="0055674E" w:rsidP="00D32D6A">
      <w:pPr>
        <w:pStyle w:val="BodyText"/>
        <w:spacing w:before="0" w:after="120" w:line="276" w:lineRule="auto"/>
        <w:ind w:right="-153"/>
        <w:rPr>
          <w:rFonts w:cs="Times New Roman"/>
        </w:rPr>
      </w:pPr>
      <w:r w:rsidRPr="00610B1B">
        <w:rPr>
          <w:rFonts w:cs="Times New Roman"/>
          <w:i/>
        </w:rPr>
        <w:t>Пристанищни дейности</w:t>
      </w:r>
      <w:r w:rsidRPr="00610B1B">
        <w:rPr>
          <w:rFonts w:cs="Times New Roman"/>
        </w:rPr>
        <w:t xml:space="preserve"> – Основната дейност е съсредоточена в пристанищата Варна и Бургас. Повишените екологични изисквания помагат за предотвратяване на попадането на замърсители и нефтени разливи в морските акватории в резултат от товаро-разтоварни дейности. По-малките пристанища</w:t>
      </w:r>
      <w:r w:rsidR="00A102FE" w:rsidRPr="00610B1B">
        <w:rPr>
          <w:rFonts w:cs="Times New Roman"/>
        </w:rPr>
        <w:t xml:space="preserve"> и пристанищни терминали</w:t>
      </w:r>
      <w:r w:rsidRPr="00610B1B">
        <w:rPr>
          <w:rFonts w:cs="Times New Roman"/>
        </w:rPr>
        <w:t xml:space="preserve"> Балчик, Несебър, Поморие, Созопол, Царево и Ахтопол се използват за морски туризъм. Доброто състояние на морската среда в пристанищата позволява използването на наносите от драгиране за изкуствено подхранване на съседните плажни участъци по метода на напречния байпас.</w:t>
      </w:r>
    </w:p>
    <w:p w14:paraId="5A1E0E6C" w14:textId="092725B3" w:rsidR="0055674E" w:rsidRPr="00610B1B" w:rsidRDefault="0055674E" w:rsidP="00D32D6A">
      <w:pPr>
        <w:pStyle w:val="BodyText"/>
        <w:spacing w:before="0" w:after="120" w:line="276" w:lineRule="auto"/>
        <w:ind w:right="-153"/>
        <w:rPr>
          <w:rFonts w:cs="Times New Roman"/>
        </w:rPr>
      </w:pPr>
      <w:bookmarkStart w:id="444" w:name="__DdeLink__3687_1783762392"/>
      <w:bookmarkEnd w:id="444"/>
      <w:r w:rsidRPr="00610B1B">
        <w:rPr>
          <w:rFonts w:cs="Times New Roman"/>
          <w:i/>
        </w:rPr>
        <w:t>Морска енергетика</w:t>
      </w:r>
      <w:r w:rsidRPr="00610B1B">
        <w:rPr>
          <w:rFonts w:cs="Times New Roman"/>
        </w:rPr>
        <w:t xml:space="preserve"> – </w:t>
      </w:r>
      <w:r w:rsidR="004D4DE9" w:rsidRPr="00610B1B">
        <w:rPr>
          <w:rFonts w:cs="Times New Roman"/>
        </w:rPr>
        <w:t xml:space="preserve">Продължават </w:t>
      </w:r>
      <w:r w:rsidRPr="00610B1B">
        <w:rPr>
          <w:rFonts w:cs="Times New Roman"/>
        </w:rPr>
        <w:t xml:space="preserve">проучванията за добив на нефт и газ върху шелфа, но се търсят алтернативни енергийни източници. Носещите конструкции </w:t>
      </w:r>
      <w:r w:rsidR="005410E5" w:rsidRPr="00610B1B">
        <w:rPr>
          <w:rFonts w:cs="Times New Roman"/>
        </w:rPr>
        <w:t xml:space="preserve">на </w:t>
      </w:r>
      <w:r w:rsidR="009021CB" w:rsidRPr="00610B1B">
        <w:rPr>
          <w:rFonts w:cs="Times New Roman"/>
        </w:rPr>
        <w:t xml:space="preserve">платформите за проучвания за добив или на други съоръжения поемат инсталации за добив на енергия от вятъра </w:t>
      </w:r>
      <w:r w:rsidR="005410E5" w:rsidRPr="00610B1B">
        <w:rPr>
          <w:rFonts w:cs="Times New Roman"/>
        </w:rPr>
        <w:t>в морето</w:t>
      </w:r>
      <w:r w:rsidR="009021CB" w:rsidRPr="00610B1B">
        <w:rPr>
          <w:rFonts w:cs="Times New Roman"/>
        </w:rPr>
        <w:t>,</w:t>
      </w:r>
      <w:r w:rsidR="005410E5" w:rsidRPr="00610B1B">
        <w:rPr>
          <w:rFonts w:cs="Times New Roman"/>
        </w:rPr>
        <w:t xml:space="preserve"> </w:t>
      </w:r>
      <w:r w:rsidRPr="00610B1B">
        <w:rPr>
          <w:rFonts w:cs="Times New Roman"/>
        </w:rPr>
        <w:t>осигуряват възможности за синергия с морските аквакултури и изнасянето им в дълбоководието, или в условията на открит бряг.</w:t>
      </w:r>
    </w:p>
    <w:p w14:paraId="4E1C33C1" w14:textId="44C15C31" w:rsidR="0055674E" w:rsidRPr="00C717D0" w:rsidRDefault="0055674E" w:rsidP="00C717D0">
      <w:pPr>
        <w:ind w:firstLine="720"/>
        <w:jc w:val="both"/>
        <w:rPr>
          <w:rFonts w:cs="Times New Roman"/>
          <w:highlight w:val="yellow"/>
          <w:lang w:val="bg-BG"/>
        </w:rPr>
      </w:pPr>
      <w:r w:rsidRPr="00C717D0">
        <w:rPr>
          <w:rFonts w:ascii="Times New Roman" w:hAnsi="Times New Roman" w:cs="Times New Roman"/>
          <w:i/>
          <w:lang w:val="bg-BG"/>
        </w:rPr>
        <w:t>Научни изследвания</w:t>
      </w:r>
      <w:r w:rsidRPr="00C717D0">
        <w:rPr>
          <w:rFonts w:ascii="Times New Roman" w:hAnsi="Times New Roman" w:cs="Times New Roman"/>
          <w:lang w:val="bg-BG"/>
        </w:rPr>
        <w:t xml:space="preserve"> – „Черноморският дневен ред за стратегически научни изследвания и иновации“ обединява научните усилия на страните от Черноморския регион, </w:t>
      </w:r>
      <w:r w:rsidR="00A1764F" w:rsidRPr="00C717D0">
        <w:rPr>
          <w:rFonts w:ascii="Times New Roman" w:hAnsi="Times New Roman" w:cs="Times New Roman"/>
          <w:lang w:val="bg-BG"/>
        </w:rPr>
        <w:t xml:space="preserve">с </w:t>
      </w:r>
      <w:r w:rsidRPr="00C717D0">
        <w:rPr>
          <w:rFonts w:ascii="Times New Roman" w:hAnsi="Times New Roman" w:cs="Times New Roman"/>
          <w:lang w:val="bg-BG"/>
        </w:rPr>
        <w:t xml:space="preserve">което </w:t>
      </w:r>
      <w:r w:rsidR="00A1764F" w:rsidRPr="00C717D0">
        <w:rPr>
          <w:rFonts w:ascii="Times New Roman" w:hAnsi="Times New Roman" w:cs="Times New Roman"/>
          <w:lang w:val="bg-BG"/>
        </w:rPr>
        <w:t>се повишава синергичния ефект</w:t>
      </w:r>
      <w:r w:rsidRPr="00C717D0">
        <w:rPr>
          <w:rFonts w:ascii="Times New Roman" w:hAnsi="Times New Roman" w:cs="Times New Roman"/>
          <w:lang w:val="bg-BG"/>
        </w:rPr>
        <w:t>. Увеличаването на екологичните изисквания към корабостроенето създава възможности за нови научни ра</w:t>
      </w:r>
      <w:r w:rsidR="009021CB" w:rsidRPr="00C717D0">
        <w:rPr>
          <w:rFonts w:ascii="Times New Roman" w:hAnsi="Times New Roman" w:cs="Times New Roman"/>
          <w:lang w:val="bg-BG"/>
        </w:rPr>
        <w:t>зработки. Използват се нови, не</w:t>
      </w:r>
      <w:r w:rsidRPr="00C717D0">
        <w:rPr>
          <w:rFonts w:ascii="Times New Roman" w:hAnsi="Times New Roman" w:cs="Times New Roman"/>
          <w:lang w:val="bg-BG"/>
        </w:rPr>
        <w:t xml:space="preserve">смъртоносни и дистанционни методи за мониторинг на морските организми. Създаването на мрежа от свързани морски защитени територии позволява синергия между опазването на морската околна среда и опазването на археологическите обекти на морското дъно. Следвайки целите на ЕС до 2030 г. емисиите на парникови газове </w:t>
      </w:r>
      <w:r w:rsidR="00326A4B" w:rsidRPr="00C717D0">
        <w:rPr>
          <w:rFonts w:ascii="Times New Roman" w:hAnsi="Times New Roman" w:cs="Times New Roman"/>
          <w:lang w:val="bg-BG"/>
        </w:rPr>
        <w:t xml:space="preserve">да се съкратят с </w:t>
      </w:r>
      <w:r w:rsidR="00326A4B" w:rsidRPr="00C717D0">
        <w:rPr>
          <w:rFonts w:ascii="Times New Roman" w:hAnsi="Times New Roman" w:cs="Times New Roman"/>
          <w:b/>
          <w:lang w:val="bg-BG"/>
        </w:rPr>
        <w:t>най-малко 55 %</w:t>
      </w:r>
      <w:r w:rsidR="00326A4B" w:rsidRPr="00C717D0">
        <w:rPr>
          <w:rFonts w:ascii="Times New Roman" w:hAnsi="Times New Roman" w:cs="Times New Roman"/>
          <w:lang w:val="bg-BG"/>
        </w:rPr>
        <w:t xml:space="preserve"> в сравнение с нивата от 1990 г. </w:t>
      </w:r>
      <w:r w:rsidRPr="00C717D0">
        <w:rPr>
          <w:rFonts w:ascii="Times New Roman" w:hAnsi="Times New Roman" w:cs="Times New Roman"/>
          <w:lang w:val="bg-BG"/>
        </w:rPr>
        <w:t>и да се увеличи дела на възобновяемата енергия поне до 32%, в морските пространства са реализирани пилотни проекти за разработване на перспективни възобновяеми енергийни източници.</w:t>
      </w:r>
    </w:p>
    <w:p w14:paraId="2AFA49E2" w14:textId="48FA9266" w:rsidR="0055674E" w:rsidRPr="00610B1B" w:rsidRDefault="0055674E" w:rsidP="00D32D6A">
      <w:pPr>
        <w:pStyle w:val="BodyText"/>
        <w:spacing w:before="0" w:after="120" w:line="276" w:lineRule="auto"/>
        <w:ind w:right="-153"/>
        <w:rPr>
          <w:rFonts w:cs="Times New Roman"/>
        </w:rPr>
      </w:pPr>
      <w:r w:rsidRPr="00610B1B">
        <w:rPr>
          <w:rFonts w:cs="Times New Roman"/>
          <w:i/>
        </w:rPr>
        <w:t>Взаимодействие суша-море</w:t>
      </w:r>
      <w:r w:rsidR="00C3007B" w:rsidRPr="00610B1B">
        <w:rPr>
          <w:rFonts w:eastAsia="Calibri" w:cs="Times New Roman"/>
          <w:bCs/>
          <w:i/>
          <w:color w:val="000000" w:themeColor="text1"/>
        </w:rPr>
        <w:t xml:space="preserve"> – </w:t>
      </w:r>
      <w:r w:rsidR="005410E5" w:rsidRPr="00610B1B">
        <w:rPr>
          <w:rFonts w:cs="Times New Roman"/>
        </w:rPr>
        <w:t xml:space="preserve">Изграждането </w:t>
      </w:r>
      <w:r w:rsidRPr="00610B1B">
        <w:rPr>
          <w:rFonts w:cs="Times New Roman"/>
        </w:rPr>
        <w:t>и модернизацията на пречиствателни станции за отпадъчни води допринася за намаляване на замърсяването от населените места и промишлеността. Дълбоководно заустване не е необходимо поради достатъчна</w:t>
      </w:r>
      <w:r w:rsidR="009021CB" w:rsidRPr="00610B1B">
        <w:rPr>
          <w:rFonts w:cs="Times New Roman"/>
        </w:rPr>
        <w:t>та</w:t>
      </w:r>
      <w:r w:rsidRPr="00610B1B">
        <w:rPr>
          <w:rFonts w:cs="Times New Roman"/>
        </w:rPr>
        <w:t xml:space="preserve"> степен на пречистване на отпадъчните води. Развитието на екологично земеделие в прилежащата </w:t>
      </w:r>
      <w:r w:rsidR="00566026" w:rsidRPr="00610B1B">
        <w:rPr>
          <w:rFonts w:cs="Times New Roman"/>
        </w:rPr>
        <w:t xml:space="preserve">крайбрежна </w:t>
      </w:r>
      <w:r w:rsidRPr="00610B1B">
        <w:rPr>
          <w:rFonts w:cs="Times New Roman"/>
        </w:rPr>
        <w:t xml:space="preserve">територия намалява антропогенната еутрофикацията и замърсяването с пестициди на крайбрежните води. По реките се премахват препятствия, осигурява се непрекъснатост на водните течения, миграция на преходните и сладководни </w:t>
      </w:r>
      <w:r w:rsidRPr="00610B1B">
        <w:rPr>
          <w:rFonts w:cs="Times New Roman"/>
        </w:rPr>
        <w:lastRenderedPageBreak/>
        <w:t xml:space="preserve">видове риби и приток на наноси за плажовете с теригенно подхранване. По време на морските научни изследвания намалява количеството на </w:t>
      </w:r>
      <w:r w:rsidR="00E06AC8">
        <w:rPr>
          <w:rFonts w:cs="Times New Roman"/>
        </w:rPr>
        <w:t>отпадъци</w:t>
      </w:r>
      <w:r w:rsidR="00760E2D">
        <w:rPr>
          <w:rFonts w:cs="Times New Roman"/>
        </w:rPr>
        <w:t>отпадъци</w:t>
      </w:r>
      <w:r w:rsidRPr="00610B1B">
        <w:rPr>
          <w:rFonts w:cs="Times New Roman"/>
        </w:rPr>
        <w:t>, открити в проби от морски риби.</w:t>
      </w:r>
    </w:p>
    <w:p w14:paraId="5EF1239D" w14:textId="74A3B389" w:rsidR="0055674E" w:rsidRPr="00610B1B" w:rsidRDefault="0055674E" w:rsidP="00D32D6A">
      <w:pPr>
        <w:pStyle w:val="BodyText"/>
        <w:spacing w:before="0" w:after="120" w:line="276" w:lineRule="auto"/>
        <w:ind w:right="-153"/>
        <w:rPr>
          <w:rFonts w:cs="Times New Roman"/>
        </w:rPr>
      </w:pPr>
      <w:r w:rsidRPr="00610B1B">
        <w:rPr>
          <w:rFonts w:cs="Times New Roman"/>
          <w:i/>
        </w:rPr>
        <w:t>Взаимодействие море-суша</w:t>
      </w:r>
      <w:r w:rsidRPr="00610B1B">
        <w:rPr>
          <w:rFonts w:cs="Times New Roman"/>
        </w:rPr>
        <w:t xml:space="preserve"> – Доброто състояние на морската среда води до повишаване на приходите от морски риболов и аквакултури. Възстановяването на морските екосистемни услуги допринася за развитието на крайбрежния и морски туризъм. </w:t>
      </w:r>
      <w:r w:rsidR="005410E5" w:rsidRPr="00610B1B">
        <w:rPr>
          <w:rFonts w:cs="Times New Roman"/>
        </w:rPr>
        <w:t>Морските п</w:t>
      </w:r>
      <w:r w:rsidRPr="00610B1B">
        <w:rPr>
          <w:rFonts w:cs="Times New Roman"/>
        </w:rPr>
        <w:t xml:space="preserve">тици връщат на сушата част от фосфора, отмит в морето в резултат на водната и ветрова ерозия. Повишава се биологичната продуктивност на сухоземните екосистеми и влажните зони, които са естествени складове </w:t>
      </w:r>
      <w:r w:rsidR="005410E5" w:rsidRPr="00610B1B">
        <w:rPr>
          <w:rFonts w:cs="Times New Roman"/>
        </w:rPr>
        <w:t>на</w:t>
      </w:r>
      <w:r w:rsidRPr="00610B1B">
        <w:rPr>
          <w:rFonts w:cs="Times New Roman"/>
        </w:rPr>
        <w:t xml:space="preserve"> атмосферен въглерод.</w:t>
      </w:r>
    </w:p>
    <w:p w14:paraId="526B9E02" w14:textId="77777777" w:rsidR="00566026" w:rsidRPr="00610B1B" w:rsidRDefault="00566026" w:rsidP="00D32D6A">
      <w:pPr>
        <w:pStyle w:val="Default"/>
        <w:spacing w:after="120" w:line="276" w:lineRule="auto"/>
        <w:rPr>
          <w:rFonts w:cs="Times New Roman"/>
          <w:lang w:val="bg-BG"/>
        </w:rPr>
      </w:pPr>
    </w:p>
    <w:p w14:paraId="63F026EF" w14:textId="56073BE1" w:rsidR="0055674E" w:rsidRPr="00610B1B" w:rsidRDefault="0055674E" w:rsidP="00D32D6A">
      <w:pPr>
        <w:pStyle w:val="Heading3"/>
        <w:spacing w:before="0" w:line="276" w:lineRule="auto"/>
        <w:ind w:right="-153"/>
        <w:rPr>
          <w:rFonts w:cs="Times New Roman"/>
        </w:rPr>
      </w:pPr>
      <w:bookmarkStart w:id="445" w:name="_Toc83391421"/>
      <w:r w:rsidRPr="00610B1B">
        <w:rPr>
          <w:rFonts w:cs="Times New Roman"/>
        </w:rPr>
        <w:t>4.</w:t>
      </w:r>
      <w:r w:rsidR="009278D0" w:rsidRPr="00610B1B">
        <w:rPr>
          <w:rFonts w:cs="Times New Roman"/>
        </w:rPr>
        <w:t>3</w:t>
      </w:r>
      <w:r w:rsidRPr="00610B1B">
        <w:rPr>
          <w:rFonts w:cs="Times New Roman"/>
        </w:rPr>
        <w:t>.3. Сценарий С – Социално равновесие</w:t>
      </w:r>
      <w:bookmarkEnd w:id="445"/>
      <w:r w:rsidRPr="00610B1B">
        <w:rPr>
          <w:rFonts w:cs="Times New Roman"/>
        </w:rPr>
        <w:t xml:space="preserve"> </w:t>
      </w:r>
    </w:p>
    <w:p w14:paraId="0F12840E" w14:textId="708A9DCA"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Отправна точка на този сценарий е човекът и затова той е изграден върху основите на политиката за социално сближаване. Същността</w:t>
      </w:r>
      <w:r w:rsidR="00DE3A13" w:rsidRPr="00610B1B">
        <w:rPr>
          <w:rFonts w:ascii="Times New Roman" w:eastAsia="Calibri" w:hAnsi="Times New Roman" w:cs="Times New Roman"/>
          <w:color w:val="000000" w:themeColor="text1"/>
          <w:sz w:val="24"/>
          <w:szCs w:val="24"/>
          <w:lang w:val="bg-BG"/>
        </w:rPr>
        <w:t xml:space="preserve"> ѝ </w:t>
      </w:r>
      <w:r w:rsidRPr="00610B1B">
        <w:rPr>
          <w:rFonts w:ascii="Times New Roman" w:eastAsia="Calibri" w:hAnsi="Times New Roman" w:cs="Times New Roman"/>
          <w:color w:val="000000" w:themeColor="text1"/>
          <w:sz w:val="24"/>
          <w:szCs w:val="24"/>
          <w:lang w:val="bg-BG"/>
        </w:rPr>
        <w:t>се изразява в балансирано развитие на всички черноморски общини; диверсифицирани местни икономики, осигуряващи заетост не само през активния туристически сезон, но целогодишно</w:t>
      </w:r>
      <w:r w:rsidR="009021CB" w:rsidRPr="00610B1B">
        <w:rPr>
          <w:rFonts w:ascii="Times New Roman" w:eastAsia="Calibri" w:hAnsi="Times New Roman" w:cs="Times New Roman"/>
          <w:color w:val="000000" w:themeColor="text1"/>
          <w:sz w:val="24"/>
          <w:szCs w:val="24"/>
          <w:lang w:val="bg-BG"/>
        </w:rPr>
        <w:t>,</w:t>
      </w:r>
      <w:r w:rsidRPr="00610B1B">
        <w:rPr>
          <w:rFonts w:ascii="Times New Roman" w:eastAsia="Calibri" w:hAnsi="Times New Roman" w:cs="Times New Roman"/>
          <w:color w:val="000000" w:themeColor="text1"/>
          <w:sz w:val="24"/>
          <w:szCs w:val="24"/>
          <w:lang w:val="bg-BG"/>
        </w:rPr>
        <w:t xml:space="preserve"> и разкриване на нов бизнес с висока добавена стойност и високи доходи. Приоритетна подкрепа се предоставя за морските дейности, които осигуряват висока заетост и атрактивни доходи - туризъм и рекреация (с всички съпътстващи дейности като яхтени клубове и водни спортове), рибарство и аквакултура, пътнически транспорт (включително разходки по море). Туристическото предлагане в специфични пазарни ниши с индивидуализиран</w:t>
      </w:r>
      <w:r w:rsidR="005410E5" w:rsidRPr="00610B1B">
        <w:rPr>
          <w:rFonts w:ascii="Times New Roman" w:eastAsia="Calibri" w:hAnsi="Times New Roman" w:cs="Times New Roman"/>
          <w:color w:val="000000" w:themeColor="text1"/>
          <w:sz w:val="24"/>
          <w:szCs w:val="24"/>
          <w:lang w:val="bg-BG"/>
        </w:rPr>
        <w:t>и</w:t>
      </w:r>
      <w:r w:rsidRPr="00610B1B">
        <w:rPr>
          <w:rFonts w:ascii="Times New Roman" w:eastAsia="Calibri" w:hAnsi="Times New Roman" w:cs="Times New Roman"/>
          <w:color w:val="000000" w:themeColor="text1"/>
          <w:sz w:val="24"/>
          <w:szCs w:val="24"/>
          <w:lang w:val="bg-BG"/>
        </w:rPr>
        <w:t xml:space="preserve"> услуги се засилва за сметка на ограничаване в масовия „all inclusive” продукт и постепенно преминаване от „масов“, количествен туризъм, към устойчив, щадящ и ефективен туризъм. </w:t>
      </w:r>
      <w:r w:rsidR="00566026" w:rsidRPr="00610B1B">
        <w:rPr>
          <w:rFonts w:ascii="Times New Roman" w:eastAsia="Calibri" w:hAnsi="Times New Roman" w:cs="Times New Roman"/>
          <w:color w:val="000000" w:themeColor="text1"/>
          <w:sz w:val="24"/>
          <w:szCs w:val="24"/>
          <w:lang w:val="bg-BG"/>
        </w:rPr>
        <w:t>Освен</w:t>
      </w:r>
      <w:r w:rsidRPr="00610B1B">
        <w:rPr>
          <w:rFonts w:ascii="Times New Roman" w:eastAsia="Calibri" w:hAnsi="Times New Roman" w:cs="Times New Roman"/>
          <w:color w:val="000000" w:themeColor="text1"/>
          <w:sz w:val="24"/>
          <w:szCs w:val="24"/>
          <w:lang w:val="bg-BG"/>
        </w:rPr>
        <w:t xml:space="preserve"> в регионалните центрове Варна и Бургас, и в останали</w:t>
      </w:r>
      <w:r w:rsidR="009021CB" w:rsidRPr="00610B1B">
        <w:rPr>
          <w:rFonts w:ascii="Times New Roman" w:eastAsia="Calibri" w:hAnsi="Times New Roman" w:cs="Times New Roman"/>
          <w:color w:val="000000" w:themeColor="text1"/>
          <w:sz w:val="24"/>
          <w:szCs w:val="24"/>
          <w:lang w:val="bg-BG"/>
        </w:rPr>
        <w:t>те</w:t>
      </w:r>
      <w:r w:rsidRPr="00610B1B">
        <w:rPr>
          <w:rFonts w:ascii="Times New Roman" w:eastAsia="Calibri" w:hAnsi="Times New Roman" w:cs="Times New Roman"/>
          <w:color w:val="000000" w:themeColor="text1"/>
          <w:sz w:val="24"/>
          <w:szCs w:val="24"/>
          <w:lang w:val="bg-BG"/>
        </w:rPr>
        <w:t xml:space="preserve"> </w:t>
      </w:r>
      <w:r w:rsidR="00566026" w:rsidRPr="00610B1B">
        <w:rPr>
          <w:rFonts w:ascii="Times New Roman" w:eastAsia="Calibri" w:hAnsi="Times New Roman" w:cs="Times New Roman"/>
          <w:color w:val="000000" w:themeColor="text1"/>
          <w:sz w:val="24"/>
          <w:szCs w:val="24"/>
          <w:lang w:val="bg-BG"/>
        </w:rPr>
        <w:t xml:space="preserve">черноморски </w:t>
      </w:r>
      <w:r w:rsidRPr="00610B1B">
        <w:rPr>
          <w:rFonts w:ascii="Times New Roman" w:eastAsia="Calibri" w:hAnsi="Times New Roman" w:cs="Times New Roman"/>
          <w:color w:val="000000" w:themeColor="text1"/>
          <w:sz w:val="24"/>
          <w:szCs w:val="24"/>
          <w:lang w:val="bg-BG"/>
        </w:rPr>
        <w:t>общини ще се развият мрежи за коопериране, образование и изграждане на капацитет за МСП.</w:t>
      </w:r>
    </w:p>
    <w:p w14:paraId="5460CFC5"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Стимулира се ревитализацията на аграрни дейности като производство на плодове и зеленчуци в хинтерланда на морския бряг, което подобрява взаимодействието между крайбрежните зони и селските райони и предлага екологична чиста храна на местното население и на туристите. Осигурява се поддържане на качествена инфраструктура по протежение на целия бряг, включително пътища, ВиК системи, електроснабдяване, широколентов достъп до интернет, покритие на мобилните оператори и равностоен достъп до качествени социални услуги за местните общности.</w:t>
      </w:r>
    </w:p>
    <w:p w14:paraId="210FABBC" w14:textId="5828BA44"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Сценарият кореспондира с една от трите стратегически цели на Националната програма „България 2030“ – „Намаляване на неравенствата“. Въпреки постигнатия значителен напредък в подобряването на стандарта на живот през последните 10 години, реализираният икономически растеж не е достатъчно изразителен, за да способства за намаляване на социалните неравенства. Относителният дял на лицата, изложени на риск от бедност в национален мащаб, е сред най-високите в ЕС. Рискът от остри дефицити в натрупаните резерви е голям. </w:t>
      </w:r>
      <w:r w:rsidR="005410E5" w:rsidRPr="00610B1B">
        <w:rPr>
          <w:rFonts w:ascii="Times New Roman" w:eastAsia="Calibri" w:hAnsi="Times New Roman" w:cs="Times New Roman"/>
          <w:color w:val="000000" w:themeColor="text1"/>
          <w:sz w:val="24"/>
          <w:szCs w:val="24"/>
          <w:lang w:val="bg-BG"/>
        </w:rPr>
        <w:t>Не</w:t>
      </w:r>
      <w:r w:rsidRPr="00610B1B">
        <w:rPr>
          <w:rFonts w:ascii="Times New Roman" w:eastAsia="Calibri" w:hAnsi="Times New Roman" w:cs="Times New Roman"/>
          <w:color w:val="000000" w:themeColor="text1"/>
          <w:sz w:val="24"/>
          <w:szCs w:val="24"/>
          <w:lang w:val="bg-BG"/>
        </w:rPr>
        <w:t xml:space="preserve"> всички имат </w:t>
      </w:r>
      <w:r w:rsidR="005410E5" w:rsidRPr="00610B1B">
        <w:rPr>
          <w:rFonts w:ascii="Times New Roman" w:eastAsia="Calibri" w:hAnsi="Times New Roman" w:cs="Times New Roman"/>
          <w:color w:val="000000" w:themeColor="text1"/>
          <w:sz w:val="24"/>
          <w:szCs w:val="24"/>
          <w:lang w:val="bg-BG"/>
        </w:rPr>
        <w:t xml:space="preserve">пряка или косвена </w:t>
      </w:r>
      <w:r w:rsidRPr="00610B1B">
        <w:rPr>
          <w:rFonts w:ascii="Times New Roman" w:eastAsia="Calibri" w:hAnsi="Times New Roman" w:cs="Times New Roman"/>
          <w:color w:val="000000" w:themeColor="text1"/>
          <w:sz w:val="24"/>
          <w:szCs w:val="24"/>
          <w:lang w:val="bg-BG"/>
        </w:rPr>
        <w:t xml:space="preserve">заетост в туристическия сектор. Разликите в доходите продължават да се увеличават, защото мерките за намаляването на бедността и неравенството са с недостатъчно ресурси и ограничено </w:t>
      </w:r>
      <w:r w:rsidRPr="00610B1B">
        <w:rPr>
          <w:rFonts w:ascii="Times New Roman" w:eastAsia="Calibri" w:hAnsi="Times New Roman" w:cs="Times New Roman"/>
          <w:color w:val="000000" w:themeColor="text1"/>
          <w:sz w:val="24"/>
          <w:szCs w:val="24"/>
          <w:lang w:val="bg-BG"/>
        </w:rPr>
        <w:lastRenderedPageBreak/>
        <w:t xml:space="preserve">въздействие. </w:t>
      </w:r>
      <w:r w:rsidR="005410E5" w:rsidRPr="00610B1B">
        <w:rPr>
          <w:rFonts w:ascii="Times New Roman" w:eastAsia="Calibri" w:hAnsi="Times New Roman" w:cs="Times New Roman"/>
          <w:color w:val="000000" w:themeColor="text1"/>
          <w:sz w:val="24"/>
          <w:szCs w:val="24"/>
          <w:lang w:val="bg-BG"/>
        </w:rPr>
        <w:t xml:space="preserve">Задълбочават се </w:t>
      </w:r>
      <w:r w:rsidRPr="00610B1B">
        <w:rPr>
          <w:rFonts w:ascii="Times New Roman" w:eastAsia="Calibri" w:hAnsi="Times New Roman" w:cs="Times New Roman"/>
          <w:color w:val="000000" w:themeColor="text1"/>
          <w:sz w:val="24"/>
          <w:szCs w:val="24"/>
          <w:lang w:val="bg-BG"/>
        </w:rPr>
        <w:t>диспропорциите в развитието както на общността „черноморски общини“, така и на крайбрежните зони и вътрешността на тези общини.</w:t>
      </w:r>
    </w:p>
    <w:p w14:paraId="713C05BD"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Социалното сближаване е сред основните цели и на Националната концепция за пространствено развитие (Актуализация 2019). Тя ще се реализира чрез създаване на равнопоставени условия за развитие и реализация на човешките ресурси, намаляване на негативните демографски процеси и подобряване качеството на живот.</w:t>
      </w:r>
    </w:p>
    <w:p w14:paraId="26B51793"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Движещи сили с </w:t>
      </w:r>
      <w:r w:rsidRPr="00610B1B">
        <w:rPr>
          <w:rFonts w:ascii="Times New Roman" w:eastAsia="Calibri" w:hAnsi="Times New Roman" w:cs="Times New Roman"/>
          <w:bCs/>
          <w:i/>
          <w:color w:val="000000" w:themeColor="text1"/>
          <w:sz w:val="24"/>
          <w:szCs w:val="24"/>
          <w:lang w:val="bg-BG"/>
        </w:rPr>
        <w:t>политически</w:t>
      </w:r>
      <w:r w:rsidRPr="00610B1B">
        <w:rPr>
          <w:rFonts w:ascii="Times New Roman" w:eastAsia="Calibri" w:hAnsi="Times New Roman" w:cs="Times New Roman"/>
          <w:bCs/>
          <w:color w:val="000000" w:themeColor="text1"/>
          <w:sz w:val="24"/>
          <w:szCs w:val="24"/>
          <w:lang w:val="bg-BG"/>
        </w:rPr>
        <w:t xml:space="preserve"> характер:</w:t>
      </w:r>
    </w:p>
    <w:p w14:paraId="0C563C3F" w14:textId="78027516" w:rsidR="0055674E" w:rsidRPr="00610B1B" w:rsidRDefault="0055674E" w:rsidP="00B46189">
      <w:pPr>
        <w:numPr>
          <w:ilvl w:val="0"/>
          <w:numId w:val="29"/>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Регионалната политика на Р. България, насочена към балансирано развитие на </w:t>
      </w:r>
      <w:r w:rsidR="009E37C8" w:rsidRPr="00610B1B">
        <w:rPr>
          <w:rFonts w:ascii="Times New Roman" w:eastAsia="Calibri" w:hAnsi="Times New Roman" w:cs="Times New Roman"/>
          <w:color w:val="000000" w:themeColor="text1"/>
          <w:sz w:val="24"/>
          <w:szCs w:val="24"/>
          <w:lang w:val="bg-BG"/>
        </w:rPr>
        <w:t xml:space="preserve">регионите </w:t>
      </w:r>
      <w:r w:rsidRPr="00610B1B">
        <w:rPr>
          <w:rFonts w:ascii="Times New Roman" w:eastAsia="Calibri" w:hAnsi="Times New Roman" w:cs="Times New Roman"/>
          <w:color w:val="000000" w:themeColor="text1"/>
          <w:sz w:val="24"/>
          <w:szCs w:val="24"/>
          <w:lang w:val="bg-BG"/>
        </w:rPr>
        <w:t>и намаляване на неравенствата между тях. Пряко засегнати са Североизточният и Югоизточният региони за планиране от ниво 2 с центрове Варна и Бургас.</w:t>
      </w:r>
    </w:p>
    <w:p w14:paraId="6351E832" w14:textId="77777777" w:rsidR="0055674E" w:rsidRPr="00610B1B" w:rsidRDefault="0055674E" w:rsidP="00B46189">
      <w:pPr>
        <w:numPr>
          <w:ilvl w:val="0"/>
          <w:numId w:val="29"/>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Националната икономическа политика, стимулираща предприемачеството, МСП, научните изследвания и иновациите. Пряко засегнати са туризмът, рибарството и аквакултурите.</w:t>
      </w:r>
    </w:p>
    <w:p w14:paraId="58459F8D" w14:textId="77777777" w:rsidR="0055674E" w:rsidRPr="00610B1B" w:rsidRDefault="0055674E" w:rsidP="00B46189">
      <w:pPr>
        <w:numPr>
          <w:ilvl w:val="0"/>
          <w:numId w:val="29"/>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Националната политика за развитие на ВиК сектора ще повлияе благоприятно ВиК системите на всички населени места и други урбанизирани територии по цялото Черноморско крайбрежие, които при претоварване оказват натиск върху морските екосистеми.</w:t>
      </w:r>
    </w:p>
    <w:p w14:paraId="0206D8D1" w14:textId="17ACD85A" w:rsidR="0055674E" w:rsidRPr="00610B1B" w:rsidRDefault="0055674E" w:rsidP="00B46189">
      <w:pPr>
        <w:numPr>
          <w:ilvl w:val="0"/>
          <w:numId w:val="29"/>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Националната политика за развитие на транспортната инфраструктура ще подобри </w:t>
      </w:r>
      <w:r w:rsidR="00566026" w:rsidRPr="00610B1B">
        <w:rPr>
          <w:rFonts w:ascii="Times New Roman" w:eastAsia="Calibri" w:hAnsi="Times New Roman" w:cs="Times New Roman"/>
          <w:color w:val="000000" w:themeColor="text1"/>
          <w:sz w:val="24"/>
          <w:szCs w:val="24"/>
          <w:lang w:val="bg-BG"/>
        </w:rPr>
        <w:t xml:space="preserve">достъпността, </w:t>
      </w:r>
      <w:r w:rsidRPr="00610B1B">
        <w:rPr>
          <w:rFonts w:ascii="Times New Roman" w:eastAsia="Calibri" w:hAnsi="Times New Roman" w:cs="Times New Roman"/>
          <w:color w:val="000000" w:themeColor="text1"/>
          <w:sz w:val="24"/>
          <w:szCs w:val="24"/>
          <w:lang w:val="bg-BG"/>
        </w:rPr>
        <w:t>свързаността и комуникациите по цялото българско Черноморско крайбрежие и ще повиши безопасността на движението.</w:t>
      </w:r>
    </w:p>
    <w:p w14:paraId="5BB86F50" w14:textId="77777777" w:rsidR="0055674E" w:rsidRPr="00610B1B" w:rsidRDefault="0055674E" w:rsidP="00B46189">
      <w:pPr>
        <w:numPr>
          <w:ilvl w:val="0"/>
          <w:numId w:val="29"/>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Хипотетичната промяна в основния критерий за възходящо развитие – от сегашния стремеж към бърз икономически растеж (чисто количествен подход) към по-бавен растеж за сметка на повишено качество на живот (качествен подход) в по-чиста природна среда, с повече свободно време и по-къс работен ден при повишена култура на потребление.</w:t>
      </w:r>
    </w:p>
    <w:p w14:paraId="4D934268"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Движещи сили с </w:t>
      </w:r>
      <w:r w:rsidRPr="00610B1B">
        <w:rPr>
          <w:rFonts w:ascii="Times New Roman" w:eastAsia="Calibri" w:hAnsi="Times New Roman" w:cs="Times New Roman"/>
          <w:i/>
          <w:iCs/>
          <w:color w:val="000000" w:themeColor="text1"/>
          <w:sz w:val="24"/>
          <w:szCs w:val="24"/>
          <w:lang w:val="bg-BG"/>
        </w:rPr>
        <w:t>икономически</w:t>
      </w:r>
      <w:r w:rsidRPr="00610B1B">
        <w:rPr>
          <w:rFonts w:ascii="Times New Roman" w:eastAsia="Calibri" w:hAnsi="Times New Roman" w:cs="Times New Roman"/>
          <w:color w:val="000000" w:themeColor="text1"/>
          <w:sz w:val="24"/>
          <w:szCs w:val="24"/>
          <w:lang w:val="bg-BG"/>
        </w:rPr>
        <w:t xml:space="preserve"> характер:</w:t>
      </w:r>
    </w:p>
    <w:p w14:paraId="2567614E" w14:textId="5CF4BBBA" w:rsidR="0055674E" w:rsidRPr="00610B1B" w:rsidRDefault="0055674E" w:rsidP="00B46189">
      <w:pPr>
        <w:pStyle w:val="ListParagraph"/>
        <w:numPr>
          <w:ilvl w:val="0"/>
          <w:numId w:val="44"/>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Благодарение на равномерното пространствено разпределение на държавната подкрепа, макар и с по-бавни темпове, предприемачеството ще се развие по цялото Черноморско крайбрежие, осигурявайки широка заетост, висока икономическа активност и в резултат, намалени диспропорции в доходите и повишено благосъстояние на всички местни общности. </w:t>
      </w:r>
    </w:p>
    <w:p w14:paraId="0A0CB8CB" w14:textId="0795BF0D" w:rsidR="0055674E" w:rsidRPr="00610B1B" w:rsidRDefault="0055674E" w:rsidP="00B46189">
      <w:pPr>
        <w:numPr>
          <w:ilvl w:val="0"/>
          <w:numId w:val="30"/>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Малките пристанища </w:t>
      </w:r>
      <w:r w:rsidR="00A102FE" w:rsidRPr="00610B1B">
        <w:rPr>
          <w:rFonts w:ascii="Times New Roman" w:eastAsia="Calibri" w:hAnsi="Times New Roman" w:cs="Times New Roman"/>
          <w:color w:val="000000" w:themeColor="text1"/>
          <w:sz w:val="24"/>
          <w:szCs w:val="24"/>
          <w:lang w:val="bg-BG"/>
        </w:rPr>
        <w:t xml:space="preserve">и пристанищни терминали </w:t>
      </w:r>
      <w:r w:rsidRPr="00610B1B">
        <w:rPr>
          <w:rFonts w:ascii="Times New Roman" w:eastAsia="Calibri" w:hAnsi="Times New Roman" w:cs="Times New Roman"/>
          <w:color w:val="000000" w:themeColor="text1"/>
          <w:sz w:val="24"/>
          <w:szCs w:val="24"/>
          <w:lang w:val="bg-BG"/>
        </w:rPr>
        <w:t>(като тези в Каварна, Балчик, Несебър, Созопол, Приморско, Царево, Ахтопол) ще имат по-големи възможности за обновяване и развитие чрез подходящи за целта финансови инструменти.</w:t>
      </w:r>
    </w:p>
    <w:p w14:paraId="2519F3DA" w14:textId="5B5914BD" w:rsidR="0055674E" w:rsidRPr="00610B1B" w:rsidRDefault="0055674E" w:rsidP="00B46189">
      <w:pPr>
        <w:numPr>
          <w:ilvl w:val="0"/>
          <w:numId w:val="30"/>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Благодарение на възходящото развитие и разширяването на времевия обхват на туризма по цялото крайбрежие, както и очакваното относително изравняване на доходите на местното население, търсенето на потребителски стоки ще нараства количествено и качествено. Ще се увеличи потреблението на електроенергия, но </w:t>
      </w:r>
      <w:r w:rsidRPr="00610B1B">
        <w:rPr>
          <w:rFonts w:ascii="Times New Roman" w:eastAsia="Calibri" w:hAnsi="Times New Roman" w:cs="Times New Roman"/>
          <w:color w:val="000000" w:themeColor="text1"/>
          <w:sz w:val="24"/>
          <w:szCs w:val="24"/>
          <w:lang w:val="bg-BG"/>
        </w:rPr>
        <w:lastRenderedPageBreak/>
        <w:t>не за сметка на възобновяеми източници от района, а на избрани по-целесъобразни приоритети в екосистемните услуги на морето.</w:t>
      </w:r>
    </w:p>
    <w:p w14:paraId="6FACBD32" w14:textId="77777777" w:rsidR="0055674E" w:rsidRPr="00610B1B" w:rsidRDefault="0055674E" w:rsidP="00B46189">
      <w:pPr>
        <w:numPr>
          <w:ilvl w:val="0"/>
          <w:numId w:val="30"/>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Подкрепата за риболова и аквакултурите по линия на ОП „Морско дело, рибарство и аквакултури 2021-2027“ ще допринесе за развитието на рибопреработвателната индустрия – както за местния пазар, така и за износ.</w:t>
      </w:r>
    </w:p>
    <w:p w14:paraId="50E3208C" w14:textId="61862C51" w:rsidR="0055674E" w:rsidRPr="00610B1B" w:rsidRDefault="0055674E" w:rsidP="00B46189">
      <w:pPr>
        <w:numPr>
          <w:ilvl w:val="0"/>
          <w:numId w:val="30"/>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Културният и селският туризъм </w:t>
      </w:r>
      <w:r w:rsidR="00566026" w:rsidRPr="00610B1B">
        <w:rPr>
          <w:rFonts w:ascii="Times New Roman" w:eastAsia="Calibri" w:hAnsi="Times New Roman" w:cs="Times New Roman"/>
          <w:color w:val="000000" w:themeColor="text1"/>
          <w:sz w:val="24"/>
          <w:szCs w:val="24"/>
          <w:lang w:val="bg-BG"/>
        </w:rPr>
        <w:t xml:space="preserve">ще </w:t>
      </w:r>
      <w:r w:rsidRPr="00610B1B">
        <w:rPr>
          <w:rFonts w:ascii="Times New Roman" w:eastAsia="Calibri" w:hAnsi="Times New Roman" w:cs="Times New Roman"/>
          <w:color w:val="000000" w:themeColor="text1"/>
          <w:sz w:val="24"/>
          <w:szCs w:val="24"/>
          <w:lang w:val="bg-BG"/>
        </w:rPr>
        <w:t xml:space="preserve">обогатят палитрата от туристическо предлагане по крайбрежието, ангажирайки все по-голям пространствен и времеви обхват. Паралелно с това се развиват услуги в по-високите ценови нива, допринасяйки за постепенно придвижване към по-богати групи в емитивните чуждестранни пазари. </w:t>
      </w:r>
    </w:p>
    <w:p w14:paraId="34647E97"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i/>
          <w:color w:val="000000" w:themeColor="text1"/>
          <w:sz w:val="24"/>
          <w:szCs w:val="24"/>
          <w:lang w:val="bg-BG"/>
        </w:rPr>
        <w:t>Технологични</w:t>
      </w:r>
      <w:r w:rsidRPr="00610B1B">
        <w:rPr>
          <w:rFonts w:ascii="Times New Roman" w:eastAsia="Calibri" w:hAnsi="Times New Roman" w:cs="Times New Roman"/>
          <w:color w:val="000000" w:themeColor="text1"/>
          <w:sz w:val="24"/>
          <w:szCs w:val="24"/>
          <w:lang w:val="bg-BG"/>
        </w:rPr>
        <w:t xml:space="preserve"> движещи сили:</w:t>
      </w:r>
    </w:p>
    <w:p w14:paraId="0E5937A2" w14:textId="77777777" w:rsidR="0055674E" w:rsidRPr="00610B1B" w:rsidRDefault="0055674E" w:rsidP="00B46189">
      <w:pPr>
        <w:numPr>
          <w:ilvl w:val="0"/>
          <w:numId w:val="31"/>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Подкрепата за образованието в целия обхват от началните и основните училища до регионалните университети е база за изграждане на компетенции и умения в младите поколения, предпоставка за развитие на иновативно предприемачество по цялото крайбрежие.</w:t>
      </w:r>
    </w:p>
    <w:p w14:paraId="0FB7EDFD" w14:textId="0E8DB139" w:rsidR="0055674E" w:rsidRPr="00610B1B" w:rsidRDefault="0055674E" w:rsidP="00B46189">
      <w:pPr>
        <w:numPr>
          <w:ilvl w:val="0"/>
          <w:numId w:val="31"/>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Оперативна програма „Иновации и конкурентоспособност“</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(2021-2027) ще осигури подкрепа и инвестиции в технологичното развитие на МСП. Ще се подкрепят иновативни решения, моделирани по специфичните нужди на морските общини.</w:t>
      </w:r>
    </w:p>
    <w:p w14:paraId="1E31B5DD" w14:textId="2520F6DF" w:rsidR="0055674E" w:rsidRPr="00610B1B" w:rsidRDefault="00150F08" w:rsidP="00B46189">
      <w:pPr>
        <w:numPr>
          <w:ilvl w:val="0"/>
          <w:numId w:val="31"/>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Технологии </w:t>
      </w:r>
      <w:r w:rsidR="0055674E" w:rsidRPr="00610B1B">
        <w:rPr>
          <w:rFonts w:ascii="Times New Roman" w:eastAsia="Calibri" w:hAnsi="Times New Roman" w:cs="Times New Roman"/>
          <w:color w:val="000000" w:themeColor="text1"/>
          <w:sz w:val="24"/>
          <w:szCs w:val="24"/>
          <w:lang w:val="bg-BG"/>
        </w:rPr>
        <w:t>като дигитален маркетинг и дистанционни плащания</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повишават своята актуалност.</w:t>
      </w:r>
      <w:r w:rsidR="0055674E" w:rsidRPr="00610B1B">
        <w:rPr>
          <w:rFonts w:ascii="Times New Roman" w:eastAsia="Calibri" w:hAnsi="Times New Roman" w:cs="Times New Roman"/>
          <w:color w:val="000000" w:themeColor="text1"/>
          <w:sz w:val="24"/>
          <w:szCs w:val="24"/>
          <w:lang w:val="bg-BG"/>
        </w:rPr>
        <w:t xml:space="preserve"> Така се преодолява проблема „център – периферия“.</w:t>
      </w:r>
    </w:p>
    <w:p w14:paraId="741AA68A" w14:textId="2D9FE0AE" w:rsidR="0055674E" w:rsidRPr="00610B1B" w:rsidRDefault="0055674E" w:rsidP="00B46189">
      <w:pPr>
        <w:numPr>
          <w:ilvl w:val="0"/>
          <w:numId w:val="31"/>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Своевременното внедряване на технологичните иновации в МСП</w:t>
      </w:r>
      <w:r w:rsidR="00150F08" w:rsidRPr="00610B1B">
        <w:rPr>
          <w:rFonts w:ascii="Times New Roman" w:eastAsia="Calibri" w:hAnsi="Times New Roman" w:cs="Times New Roman"/>
          <w:color w:val="000000" w:themeColor="text1"/>
          <w:sz w:val="24"/>
          <w:szCs w:val="24"/>
          <w:lang w:val="bg-BG"/>
        </w:rPr>
        <w:t xml:space="preserve"> налага търсене на възможности за допълване на ограничените ресурси чрез </w:t>
      </w:r>
      <w:r w:rsidRPr="00610B1B">
        <w:rPr>
          <w:rFonts w:ascii="Times New Roman" w:eastAsia="Calibri" w:hAnsi="Times New Roman" w:cs="Times New Roman"/>
          <w:color w:val="000000" w:themeColor="text1"/>
          <w:sz w:val="24"/>
          <w:szCs w:val="24"/>
          <w:lang w:val="bg-BG"/>
        </w:rPr>
        <w:t>съфинансиране на изследователската работа и изготвянето на прототипи.</w:t>
      </w:r>
    </w:p>
    <w:p w14:paraId="3D73F25F"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i/>
          <w:color w:val="000000" w:themeColor="text1"/>
          <w:sz w:val="24"/>
          <w:szCs w:val="24"/>
          <w:lang w:val="bg-BG"/>
        </w:rPr>
        <w:t xml:space="preserve">Социални и демографски </w:t>
      </w:r>
      <w:r w:rsidRPr="00610B1B">
        <w:rPr>
          <w:rFonts w:ascii="Times New Roman" w:eastAsia="Calibri" w:hAnsi="Times New Roman" w:cs="Times New Roman"/>
          <w:color w:val="000000" w:themeColor="text1"/>
          <w:sz w:val="24"/>
          <w:szCs w:val="24"/>
          <w:lang w:val="bg-BG"/>
        </w:rPr>
        <w:t>движещи сили:</w:t>
      </w:r>
    </w:p>
    <w:p w14:paraId="2425F244" w14:textId="77777777"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Благодарение на общата социално-икономическа политика на държавата, демографските показатели се стабилизират и постепенно показват подобрение – увеличена продължителност на живота, намалена смъртност, увеличена раждаемост;</w:t>
      </w:r>
    </w:p>
    <w:p w14:paraId="5ECBE6AE" w14:textId="0319FEAD"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Отрицателният механичен прираст затихва и постепенно преминава към положителен. Хипотезата се подкрепя от очакваната повишена атрактивност на крайбрежието поради обновена и доизградена инфраструктура, благоустроена и екологична жизнена среда, осигурени услуги и </w:t>
      </w:r>
      <w:r w:rsidR="00150F08" w:rsidRPr="00610B1B">
        <w:rPr>
          <w:rFonts w:ascii="Times New Roman" w:eastAsia="Calibri" w:hAnsi="Times New Roman" w:cs="Times New Roman"/>
          <w:color w:val="000000" w:themeColor="text1"/>
          <w:sz w:val="24"/>
          <w:szCs w:val="24"/>
          <w:lang w:val="bg-BG"/>
        </w:rPr>
        <w:t xml:space="preserve">целогодишна </w:t>
      </w:r>
      <w:r w:rsidRPr="00610B1B">
        <w:rPr>
          <w:rFonts w:ascii="Times New Roman" w:eastAsia="Calibri" w:hAnsi="Times New Roman" w:cs="Times New Roman"/>
          <w:color w:val="000000" w:themeColor="text1"/>
          <w:sz w:val="24"/>
          <w:szCs w:val="24"/>
          <w:lang w:val="bg-BG"/>
        </w:rPr>
        <w:t>заетост в различни сектори.</w:t>
      </w:r>
    </w:p>
    <w:p w14:paraId="4F5D8218" w14:textId="77777777"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Рисковете от силна социална сегрегация са намалени, за разлика от поляризацията, която ще бъде резултат от икономическия сценарий.</w:t>
      </w:r>
    </w:p>
    <w:p w14:paraId="5154A73D" w14:textId="13BBAB2C"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Благодарение на подкрепата за широк спектър от малък и среден бизнес, ще се възродят традиционни производства и занаяти, ще се </w:t>
      </w:r>
      <w:r w:rsidR="009E37C8" w:rsidRPr="00610B1B">
        <w:rPr>
          <w:rFonts w:ascii="Times New Roman" w:eastAsia="Calibri" w:hAnsi="Times New Roman" w:cs="Times New Roman"/>
          <w:color w:val="000000" w:themeColor="text1"/>
          <w:sz w:val="24"/>
          <w:szCs w:val="24"/>
          <w:lang w:val="bg-BG"/>
        </w:rPr>
        <w:t>подобрят</w:t>
      </w:r>
      <w:r w:rsidRPr="00610B1B">
        <w:rPr>
          <w:rFonts w:ascii="Times New Roman" w:eastAsia="Calibri" w:hAnsi="Times New Roman" w:cs="Times New Roman"/>
          <w:color w:val="000000" w:themeColor="text1"/>
          <w:sz w:val="24"/>
          <w:szCs w:val="24"/>
          <w:lang w:val="bg-BG"/>
        </w:rPr>
        <w:t xml:space="preserve"> фамилните връзки между поколенията, идентичността на местните общности ще се открои и засили.</w:t>
      </w:r>
    </w:p>
    <w:p w14:paraId="37A0A4CE"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Условия на </w:t>
      </w:r>
      <w:r w:rsidRPr="00610B1B">
        <w:rPr>
          <w:rFonts w:ascii="Times New Roman" w:eastAsia="Calibri" w:hAnsi="Times New Roman" w:cs="Times New Roman"/>
          <w:bCs/>
          <w:i/>
          <w:color w:val="000000" w:themeColor="text1"/>
          <w:sz w:val="24"/>
          <w:szCs w:val="24"/>
          <w:lang w:val="bg-BG"/>
        </w:rPr>
        <w:t>околната среда и природата</w:t>
      </w:r>
      <w:r w:rsidRPr="00610B1B">
        <w:rPr>
          <w:rFonts w:ascii="Times New Roman" w:eastAsia="Calibri" w:hAnsi="Times New Roman" w:cs="Times New Roman"/>
          <w:bCs/>
          <w:color w:val="000000" w:themeColor="text1"/>
          <w:sz w:val="24"/>
          <w:szCs w:val="24"/>
          <w:lang w:val="bg-BG"/>
        </w:rPr>
        <w:t>:</w:t>
      </w:r>
    </w:p>
    <w:p w14:paraId="28DF3DEA" w14:textId="21A27D58"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lastRenderedPageBreak/>
        <w:t>Природните ресурси на морето и крайбрежието се оползотворяват в рамките на границите за устойчиво възпроизводство. За целта се налагат и спазват съответни норми (напр. квоти за улов на риба, максимално антропогенно натоварване на плажните ивици).</w:t>
      </w:r>
    </w:p>
    <w:p w14:paraId="17571400" w14:textId="31DC9A23"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Сегашните екологични стандарти </w:t>
      </w:r>
      <w:r w:rsidR="00150F08" w:rsidRPr="00610B1B">
        <w:rPr>
          <w:rFonts w:ascii="Times New Roman" w:eastAsia="Calibri" w:hAnsi="Times New Roman" w:cs="Times New Roman"/>
          <w:color w:val="000000" w:themeColor="text1"/>
          <w:sz w:val="24"/>
          <w:szCs w:val="24"/>
          <w:lang w:val="bg-BG"/>
        </w:rPr>
        <w:t>за</w:t>
      </w:r>
      <w:r w:rsidRPr="00610B1B">
        <w:rPr>
          <w:rFonts w:ascii="Times New Roman" w:eastAsia="Calibri" w:hAnsi="Times New Roman" w:cs="Times New Roman"/>
          <w:color w:val="000000" w:themeColor="text1"/>
          <w:sz w:val="24"/>
          <w:szCs w:val="24"/>
          <w:lang w:val="bg-BG"/>
        </w:rPr>
        <w:t xml:space="preserve"> крайбреж</w:t>
      </w:r>
      <w:r w:rsidR="00150F08" w:rsidRPr="00610B1B">
        <w:rPr>
          <w:rFonts w:ascii="Times New Roman" w:eastAsia="Calibri" w:hAnsi="Times New Roman" w:cs="Times New Roman"/>
          <w:color w:val="000000" w:themeColor="text1"/>
          <w:sz w:val="24"/>
          <w:szCs w:val="24"/>
          <w:lang w:val="bg-BG"/>
        </w:rPr>
        <w:t>е</w:t>
      </w:r>
      <w:r w:rsidRPr="00610B1B">
        <w:rPr>
          <w:rFonts w:ascii="Times New Roman" w:eastAsia="Calibri" w:hAnsi="Times New Roman" w:cs="Times New Roman"/>
          <w:color w:val="000000" w:themeColor="text1"/>
          <w:sz w:val="24"/>
          <w:szCs w:val="24"/>
          <w:lang w:val="bg-BG"/>
        </w:rPr>
        <w:t>н туризъм и рекреация се запазват и обогатяват с по-стриктни изисквания за качество и сигурност на околната среда.</w:t>
      </w:r>
    </w:p>
    <w:p w14:paraId="02A6FD40" w14:textId="77777777"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Превантивните мерки по отношение на бреговите свлачища, абразия и ерозия се засилват, инвестициите в предотвратяване на природни бедствия се увеличават.</w:t>
      </w:r>
    </w:p>
    <w:p w14:paraId="5B4E2B08" w14:textId="383C6A5F" w:rsidR="0055674E" w:rsidRPr="00610B1B" w:rsidRDefault="0055674E" w:rsidP="00B46189">
      <w:pPr>
        <w:numPr>
          <w:ilvl w:val="0"/>
          <w:numId w:val="32"/>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Урбанизацията на бреговата ивица се ограничава до неизбежния минимум.</w:t>
      </w:r>
    </w:p>
    <w:p w14:paraId="00C983E6" w14:textId="77777777" w:rsidR="009907CE" w:rsidRPr="00610B1B" w:rsidRDefault="009907CE" w:rsidP="009907CE">
      <w:pPr>
        <w:spacing w:after="120"/>
        <w:ind w:right="-153"/>
        <w:jc w:val="both"/>
        <w:rPr>
          <w:rFonts w:ascii="Times New Roman" w:eastAsia="Calibri" w:hAnsi="Times New Roman" w:cs="Times New Roman"/>
          <w:color w:val="000000" w:themeColor="text1"/>
          <w:sz w:val="24"/>
          <w:szCs w:val="24"/>
          <w:lang w:val="bg-BG"/>
        </w:rPr>
      </w:pPr>
    </w:p>
    <w:p w14:paraId="60D5C73F" w14:textId="77777777" w:rsidR="0055674E" w:rsidRPr="00610B1B" w:rsidRDefault="0055674E" w:rsidP="00D32D6A">
      <w:pPr>
        <w:spacing w:after="120"/>
        <w:ind w:right="-153"/>
        <w:jc w:val="both"/>
        <w:rPr>
          <w:rFonts w:ascii="Times New Roman" w:eastAsia="Calibri" w:hAnsi="Times New Roman" w:cs="Times New Roman"/>
          <w:b/>
          <w:bCs/>
          <w:color w:val="000000" w:themeColor="text1"/>
          <w:sz w:val="24"/>
          <w:szCs w:val="24"/>
          <w:lang w:val="bg-BG"/>
        </w:rPr>
      </w:pPr>
      <w:r w:rsidRPr="00610B1B">
        <w:rPr>
          <w:rFonts w:ascii="Times New Roman" w:eastAsia="Calibri" w:hAnsi="Times New Roman" w:cs="Times New Roman"/>
          <w:b/>
          <w:bCs/>
          <w:color w:val="000000" w:themeColor="text1"/>
          <w:sz w:val="24"/>
          <w:szCs w:val="24"/>
          <w:lang w:val="bg-BG"/>
        </w:rPr>
        <w:t xml:space="preserve">Вероятни въздействия върху околната среда по сектори от морската икономика при прилагането на Сценарий С </w:t>
      </w:r>
    </w:p>
    <w:p w14:paraId="0449979A" w14:textId="254F2E21" w:rsidR="0055674E" w:rsidRPr="00610B1B" w:rsidRDefault="0055674E" w:rsidP="00D32D6A">
      <w:pPr>
        <w:pStyle w:val="BodyText"/>
        <w:spacing w:before="0" w:after="120" w:line="276" w:lineRule="auto"/>
        <w:ind w:right="-158"/>
        <w:rPr>
          <w:rFonts w:eastAsia="Calibri" w:cs="Times New Roman"/>
          <w:color w:val="000000" w:themeColor="text1"/>
          <w:lang w:eastAsia="en-US" w:bidi="ar-SA"/>
        </w:rPr>
      </w:pPr>
      <w:r w:rsidRPr="00610B1B">
        <w:rPr>
          <w:rFonts w:cs="Times New Roman"/>
          <w:bCs/>
          <w:i/>
          <w:iCs/>
          <w:color w:val="000000" w:themeColor="text1"/>
          <w:lang w:eastAsia="en-US" w:bidi="ar-SA"/>
        </w:rPr>
        <w:t>Морски транспорт</w:t>
      </w:r>
      <w:r w:rsidRPr="00610B1B">
        <w:rPr>
          <w:rFonts w:cs="Times New Roman"/>
          <w:bCs/>
          <w:color w:val="000000" w:themeColor="text1"/>
          <w:lang w:eastAsia="en-US" w:bidi="ar-SA"/>
        </w:rPr>
        <w:t xml:space="preserve"> – </w:t>
      </w:r>
      <w:r w:rsidR="009E37C8" w:rsidRPr="00610B1B">
        <w:rPr>
          <w:rFonts w:cs="Times New Roman"/>
          <w:bCs/>
          <w:color w:val="000000" w:themeColor="text1"/>
          <w:lang w:eastAsia="en-US" w:bidi="ar-SA"/>
        </w:rPr>
        <w:t xml:space="preserve">Устойчивото </w:t>
      </w:r>
      <w:r w:rsidRPr="00610B1B">
        <w:rPr>
          <w:rFonts w:cs="Times New Roman"/>
          <w:bCs/>
          <w:lang w:eastAsia="en-US" w:bidi="ar-SA"/>
        </w:rPr>
        <w:t>икономическо развитие забавя разрастването на морския транспорт, което намалява натиска от инвази</w:t>
      </w:r>
      <w:r w:rsidR="00B36ECD" w:rsidRPr="00610B1B">
        <w:rPr>
          <w:rFonts w:cs="Times New Roman"/>
          <w:bCs/>
          <w:lang w:eastAsia="en-US" w:bidi="ar-SA"/>
        </w:rPr>
        <w:t>вн</w:t>
      </w:r>
      <w:r w:rsidRPr="00610B1B">
        <w:rPr>
          <w:rFonts w:cs="Times New Roman"/>
          <w:bCs/>
          <w:lang w:eastAsia="en-US" w:bidi="ar-SA"/>
        </w:rPr>
        <w:t>и</w:t>
      </w:r>
      <w:r w:rsidR="00B36ECD" w:rsidRPr="00610B1B">
        <w:rPr>
          <w:rFonts w:cs="Times New Roman"/>
          <w:bCs/>
          <w:lang w:eastAsia="en-US" w:bidi="ar-SA"/>
        </w:rPr>
        <w:t xml:space="preserve"> видове</w:t>
      </w:r>
      <w:r w:rsidRPr="00610B1B">
        <w:rPr>
          <w:rFonts w:cs="Times New Roman"/>
          <w:bCs/>
          <w:lang w:eastAsia="en-US" w:bidi="ar-SA"/>
        </w:rPr>
        <w:t xml:space="preserve">, подводен шум и замърсяване. </w:t>
      </w:r>
      <w:r w:rsidR="00F40505" w:rsidRPr="00610B1B">
        <w:rPr>
          <w:rFonts w:cs="Times New Roman"/>
          <w:bCs/>
          <w:lang w:eastAsia="en-US" w:bidi="ar-SA"/>
        </w:rPr>
        <w:t>Инвазивните видове</w:t>
      </w:r>
      <w:r w:rsidRPr="00610B1B">
        <w:rPr>
          <w:rFonts w:cs="Times New Roman"/>
          <w:bCs/>
          <w:lang w:eastAsia="en-US" w:bidi="ar-SA"/>
        </w:rPr>
        <w:t xml:space="preserve"> засягат както водния стълб, така и морското дъно, но има тенденция за намаляване на числеността и концентрация</w:t>
      </w:r>
      <w:r w:rsidR="00526628" w:rsidRPr="00610B1B">
        <w:rPr>
          <w:rFonts w:cs="Times New Roman"/>
          <w:bCs/>
          <w:lang w:eastAsia="en-US" w:bidi="ar-SA"/>
        </w:rPr>
        <w:t>та</w:t>
      </w:r>
      <w:r w:rsidRPr="00610B1B">
        <w:rPr>
          <w:rFonts w:cs="Times New Roman"/>
          <w:bCs/>
          <w:lang w:eastAsia="en-US" w:bidi="ar-SA"/>
        </w:rPr>
        <w:t xml:space="preserve"> на нови видове в дългосрочен план. Крайбрежното корабоплаване също е фактор за натиск чрез подводния </w:t>
      </w:r>
      <w:r w:rsidRPr="00610B1B">
        <w:rPr>
          <w:rFonts w:cs="Times New Roman"/>
          <w:bCs/>
          <w:color w:val="000000" w:themeColor="text1"/>
          <w:lang w:eastAsia="en-US" w:bidi="ar-SA"/>
        </w:rPr>
        <w:t>шум и промяна в разпространението на рибите и морските бозайници.</w:t>
      </w:r>
    </w:p>
    <w:p w14:paraId="1649AF03" w14:textId="0DD575C1" w:rsidR="0055674E" w:rsidRPr="00610B1B" w:rsidRDefault="0055674E" w:rsidP="00D32D6A">
      <w:pPr>
        <w:pStyle w:val="BodyText"/>
        <w:spacing w:before="0" w:after="120" w:line="276" w:lineRule="auto"/>
        <w:ind w:right="-158"/>
        <w:rPr>
          <w:rFonts w:eastAsia="Calibri" w:cs="Times New Roman"/>
          <w:color w:val="000000" w:themeColor="text1"/>
          <w:lang w:eastAsia="en-US" w:bidi="ar-SA"/>
        </w:rPr>
      </w:pPr>
      <w:r w:rsidRPr="00610B1B">
        <w:rPr>
          <w:rFonts w:cs="Times New Roman"/>
          <w:bCs/>
          <w:i/>
          <w:iCs/>
          <w:color w:val="000000" w:themeColor="text1"/>
          <w:lang w:eastAsia="en-US" w:bidi="ar-SA"/>
        </w:rPr>
        <w:t>Крайбрежен и морски туризъм</w:t>
      </w:r>
      <w:r w:rsidR="009E6842" w:rsidRPr="00610B1B">
        <w:rPr>
          <w:rFonts w:cs="Times New Roman"/>
          <w:bCs/>
          <w:color w:val="000000" w:themeColor="text1"/>
          <w:lang w:eastAsia="en-US" w:bidi="ar-SA"/>
        </w:rPr>
        <w:t xml:space="preserve"> – </w:t>
      </w:r>
      <w:r w:rsidR="004D4DE9" w:rsidRPr="00610B1B">
        <w:rPr>
          <w:rFonts w:cs="Times New Roman"/>
          <w:bCs/>
          <w:color w:val="000000" w:themeColor="text1"/>
          <w:lang w:eastAsia="en-US" w:bidi="ar-SA"/>
        </w:rPr>
        <w:t xml:space="preserve">Развитието </w:t>
      </w:r>
      <w:r w:rsidRPr="00610B1B">
        <w:rPr>
          <w:rFonts w:cs="Times New Roman"/>
          <w:bCs/>
          <w:color w:val="000000" w:themeColor="text1"/>
          <w:lang w:eastAsia="en-US" w:bidi="ar-SA"/>
        </w:rPr>
        <w:t xml:space="preserve">на крайбрежния и морски туризъм и в по-малките крайбрежни общини води до изграждането на яхтени пристанища и брегозащитни съоръжения северно от н. Калиакра, в района на Камчия – Шкорпиловци, в райони, които все още не са засегнати. Южно от Созопол застрояването е предимно на сушата. В някои участъци естествените пясъчни дюни </w:t>
      </w:r>
      <w:r w:rsidR="00150F08" w:rsidRPr="00610B1B">
        <w:rPr>
          <w:rFonts w:cs="Times New Roman"/>
          <w:bCs/>
          <w:color w:val="000000" w:themeColor="text1"/>
          <w:lang w:eastAsia="en-US" w:bidi="ar-SA"/>
        </w:rPr>
        <w:t xml:space="preserve">са </w:t>
      </w:r>
      <w:r w:rsidRPr="00610B1B">
        <w:rPr>
          <w:rFonts w:cs="Times New Roman"/>
          <w:bCs/>
          <w:color w:val="000000" w:themeColor="text1"/>
          <w:lang w:eastAsia="en-US" w:bidi="ar-SA"/>
        </w:rPr>
        <w:t>необратимо разрушени поради икономически интереси. Всичко това влошава екологичните условия и естествената привлекателност на брега в райони за екологичен туризъм.</w:t>
      </w:r>
    </w:p>
    <w:p w14:paraId="23CBC52E" w14:textId="451EBF2F" w:rsidR="0055674E" w:rsidRPr="00610B1B" w:rsidRDefault="00DD6CD4" w:rsidP="00D32D6A">
      <w:pPr>
        <w:pStyle w:val="BodyText"/>
        <w:spacing w:before="0" w:after="120" w:line="276" w:lineRule="auto"/>
        <w:ind w:right="-158"/>
        <w:rPr>
          <w:rFonts w:eastAsia="Calibri" w:cs="Times New Roman"/>
          <w:color w:val="000000" w:themeColor="text1"/>
          <w:lang w:eastAsia="en-US" w:bidi="ar-SA"/>
        </w:rPr>
      </w:pPr>
      <w:r w:rsidRPr="00610B1B">
        <w:rPr>
          <w:rFonts w:cs="Times New Roman"/>
          <w:bCs/>
          <w:i/>
          <w:iCs/>
          <w:color w:val="000000" w:themeColor="text1"/>
          <w:lang w:eastAsia="en-US" w:bidi="ar-SA"/>
        </w:rPr>
        <w:t>Стопански риболов</w:t>
      </w:r>
      <w:r w:rsidR="0055674E" w:rsidRPr="00610B1B">
        <w:rPr>
          <w:rFonts w:cs="Times New Roman"/>
          <w:bCs/>
          <w:color w:val="000000" w:themeColor="text1"/>
          <w:lang w:eastAsia="en-US" w:bidi="ar-SA"/>
        </w:rPr>
        <w:t xml:space="preserve"> – </w:t>
      </w:r>
      <w:r w:rsidR="004D4DE9" w:rsidRPr="00610B1B">
        <w:rPr>
          <w:rFonts w:cs="Times New Roman"/>
          <w:bCs/>
          <w:color w:val="000000" w:themeColor="text1"/>
          <w:lang w:eastAsia="en-US" w:bidi="ar-SA"/>
        </w:rPr>
        <w:t xml:space="preserve">Натискът </w:t>
      </w:r>
      <w:r w:rsidR="0055674E" w:rsidRPr="00610B1B">
        <w:rPr>
          <w:rFonts w:cs="Times New Roman"/>
          <w:bCs/>
          <w:color w:val="000000" w:themeColor="text1"/>
          <w:lang w:eastAsia="en-US" w:bidi="ar-SA"/>
        </w:rPr>
        <w:t>е не само в района на Варненския и Бургаския залив, но и извън тях. Насърчава</w:t>
      </w:r>
      <w:r w:rsidR="00150F08" w:rsidRPr="00610B1B">
        <w:rPr>
          <w:rFonts w:cs="Times New Roman"/>
          <w:bCs/>
          <w:color w:val="000000" w:themeColor="text1"/>
          <w:lang w:eastAsia="en-US" w:bidi="ar-SA"/>
        </w:rPr>
        <w:t>т се</w:t>
      </w:r>
      <w:r w:rsidR="00D66FE0" w:rsidRPr="00610B1B">
        <w:rPr>
          <w:rFonts w:cs="Times New Roman"/>
          <w:bCs/>
          <w:color w:val="000000" w:themeColor="text1"/>
          <w:lang w:eastAsia="en-US" w:bidi="ar-SA"/>
        </w:rPr>
        <w:t xml:space="preserve"> </w:t>
      </w:r>
      <w:r w:rsidR="0055674E" w:rsidRPr="00610B1B">
        <w:rPr>
          <w:rFonts w:cs="Times New Roman"/>
          <w:bCs/>
          <w:color w:val="000000" w:themeColor="text1"/>
          <w:lang w:eastAsia="en-US" w:bidi="ar-SA"/>
        </w:rPr>
        <w:t>щадящи околната среда методи и практики и дребномащабния риболов, пространствено ограничен в крайбрежната зона и извън размножителния сезон (пролет и есен). Това спомага за възстановяване на рибните запаси в по-обширни морски пространства.</w:t>
      </w:r>
    </w:p>
    <w:p w14:paraId="5B584D4D" w14:textId="09C2FA13" w:rsidR="0055674E" w:rsidRPr="00610B1B" w:rsidRDefault="0055674E" w:rsidP="00D32D6A">
      <w:pPr>
        <w:pStyle w:val="BodyText"/>
        <w:spacing w:before="0" w:after="120" w:line="276" w:lineRule="auto"/>
        <w:ind w:right="-158"/>
        <w:rPr>
          <w:rFonts w:cs="Times New Roman"/>
          <w:bCs/>
          <w:color w:val="000000" w:themeColor="text1"/>
          <w:lang w:eastAsia="en-US" w:bidi="ar-SA"/>
        </w:rPr>
      </w:pPr>
      <w:r w:rsidRPr="00610B1B">
        <w:rPr>
          <w:rFonts w:cs="Times New Roman"/>
          <w:bCs/>
          <w:i/>
          <w:iCs/>
          <w:color w:val="000000" w:themeColor="text1"/>
          <w:lang w:eastAsia="en-US" w:bidi="ar-SA"/>
        </w:rPr>
        <w:t>Морски аквакултури</w:t>
      </w:r>
      <w:r w:rsidR="009E6842" w:rsidRPr="00610B1B">
        <w:rPr>
          <w:rFonts w:cs="Times New Roman"/>
          <w:bCs/>
          <w:color w:val="000000" w:themeColor="text1"/>
          <w:lang w:eastAsia="en-US" w:bidi="ar-SA"/>
        </w:rPr>
        <w:t xml:space="preserve"> – </w:t>
      </w:r>
      <w:r w:rsidR="004D4DE9" w:rsidRPr="00610B1B">
        <w:rPr>
          <w:rFonts w:cs="Times New Roman"/>
          <w:bCs/>
          <w:color w:val="000000" w:themeColor="text1"/>
          <w:lang w:eastAsia="en-US" w:bidi="ar-SA"/>
        </w:rPr>
        <w:t>В</w:t>
      </w:r>
      <w:r w:rsidRPr="00610B1B">
        <w:rPr>
          <w:rFonts w:cs="Times New Roman"/>
          <w:bCs/>
          <w:color w:val="000000" w:themeColor="text1"/>
          <w:lang w:eastAsia="en-US" w:bidi="ar-SA"/>
        </w:rPr>
        <w:t xml:space="preserve"> района между н. Калиакра и Балчик, източно от н. Емине и южно от Созопол се развиват морските аквакултури. Оптималното разположение на съоръженията и отчитането на допустимото натоварване на средата предотвратяват замърсяване</w:t>
      </w:r>
      <w:r w:rsidR="00150F08" w:rsidRPr="00610B1B">
        <w:rPr>
          <w:rFonts w:cs="Times New Roman"/>
          <w:bCs/>
          <w:color w:val="000000" w:themeColor="text1"/>
          <w:lang w:eastAsia="en-US" w:bidi="ar-SA"/>
        </w:rPr>
        <w:t>то</w:t>
      </w:r>
      <w:r w:rsidRPr="00610B1B">
        <w:rPr>
          <w:rFonts w:cs="Times New Roman"/>
          <w:bCs/>
          <w:color w:val="000000" w:themeColor="text1"/>
          <w:lang w:eastAsia="en-US" w:bidi="ar-SA"/>
        </w:rPr>
        <w:t xml:space="preserve"> на морската среда в резултат </w:t>
      </w:r>
      <w:r w:rsidR="0050166D" w:rsidRPr="00610B1B">
        <w:rPr>
          <w:rFonts w:cs="Times New Roman"/>
          <w:bCs/>
          <w:color w:val="000000" w:themeColor="text1"/>
          <w:lang w:eastAsia="en-US" w:bidi="ar-SA"/>
        </w:rPr>
        <w:t>на</w:t>
      </w:r>
      <w:r w:rsidRPr="00610B1B">
        <w:rPr>
          <w:rFonts w:cs="Times New Roman"/>
          <w:bCs/>
          <w:color w:val="000000" w:themeColor="text1"/>
          <w:lang w:eastAsia="en-US" w:bidi="ar-SA"/>
        </w:rPr>
        <w:t xml:space="preserve"> високата плътност на култивиране. Това влияе благоприятно върху развитието на сектора.</w:t>
      </w:r>
    </w:p>
    <w:p w14:paraId="659A69C6" w14:textId="5B03CA4D" w:rsidR="0055674E" w:rsidRPr="00610B1B" w:rsidRDefault="0055674E" w:rsidP="00D32D6A">
      <w:pPr>
        <w:pStyle w:val="BodyText"/>
        <w:spacing w:before="0" w:after="120" w:line="276" w:lineRule="auto"/>
        <w:ind w:right="-158"/>
        <w:rPr>
          <w:rFonts w:eastAsia="Calibri" w:cs="Times New Roman"/>
          <w:color w:val="000000" w:themeColor="text1"/>
          <w:lang w:eastAsia="en-US" w:bidi="ar-SA"/>
        </w:rPr>
      </w:pPr>
      <w:r w:rsidRPr="00610B1B">
        <w:rPr>
          <w:rFonts w:cs="Times New Roman"/>
          <w:bCs/>
          <w:i/>
          <w:iCs/>
          <w:color w:val="000000" w:themeColor="text1"/>
          <w:lang w:eastAsia="en-US" w:bidi="ar-SA"/>
        </w:rPr>
        <w:t>Брегозащита</w:t>
      </w:r>
      <w:r w:rsidRPr="00610B1B">
        <w:rPr>
          <w:rFonts w:cs="Times New Roman"/>
          <w:bCs/>
          <w:color w:val="000000" w:themeColor="text1"/>
          <w:lang w:eastAsia="en-US" w:bidi="ar-SA"/>
        </w:rPr>
        <w:t xml:space="preserve"> – </w:t>
      </w:r>
      <w:r w:rsidR="004D4DE9" w:rsidRPr="00610B1B">
        <w:rPr>
          <w:rFonts w:cs="Times New Roman"/>
          <w:bCs/>
          <w:color w:val="000000" w:themeColor="text1"/>
          <w:lang w:eastAsia="en-US" w:bidi="ar-SA"/>
        </w:rPr>
        <w:t xml:space="preserve">Изграждането </w:t>
      </w:r>
      <w:r w:rsidRPr="00610B1B">
        <w:rPr>
          <w:rFonts w:cs="Times New Roman"/>
          <w:bCs/>
          <w:color w:val="000000" w:themeColor="text1"/>
          <w:lang w:eastAsia="en-US" w:bidi="ar-SA"/>
        </w:rPr>
        <w:t>на дънни съоръжения води до увеличаване на натоварването върху дънните местообитания на дълбочина до 5–7 m.</w:t>
      </w:r>
      <w:r w:rsidR="00D66FE0"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Защитата от абразия, свлачища и наводнения е осигурена, но в условията на наносен дефицит предизвиква абразия в съседни абразионни участъци – Каварна</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Албена, н. Св. Георги</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Галата, Галата</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Емине, Поморие</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w:t>
      </w:r>
      <w:r w:rsidR="0050166D" w:rsidRPr="00610B1B">
        <w:rPr>
          <w:rFonts w:cs="Times New Roman"/>
          <w:bCs/>
          <w:color w:val="000000" w:themeColor="text1"/>
          <w:lang w:eastAsia="en-US" w:bidi="ar-SA"/>
        </w:rPr>
        <w:t xml:space="preserve"> </w:t>
      </w:r>
      <w:r w:rsidRPr="00610B1B">
        <w:rPr>
          <w:rFonts w:cs="Times New Roman"/>
          <w:bCs/>
          <w:color w:val="000000" w:themeColor="text1"/>
          <w:lang w:eastAsia="en-US" w:bidi="ar-SA"/>
        </w:rPr>
        <w:t>н. Форос.</w:t>
      </w:r>
    </w:p>
    <w:p w14:paraId="6FD8B2DC" w14:textId="39F405DF" w:rsidR="0055674E" w:rsidRPr="00610B1B" w:rsidRDefault="0055674E" w:rsidP="00D32D6A">
      <w:pPr>
        <w:pStyle w:val="BodyText"/>
        <w:spacing w:before="0" w:after="120" w:line="276" w:lineRule="auto"/>
        <w:ind w:right="-153"/>
        <w:rPr>
          <w:rFonts w:cs="Times New Roman"/>
          <w:bCs/>
          <w:color w:val="000000" w:themeColor="text1"/>
          <w:lang w:eastAsia="en-US" w:bidi="ar-SA"/>
        </w:rPr>
      </w:pPr>
      <w:bookmarkStart w:id="446" w:name="__DdeLink__86_92323857"/>
      <w:r w:rsidRPr="00610B1B">
        <w:rPr>
          <w:rFonts w:cs="Times New Roman"/>
          <w:bCs/>
          <w:i/>
          <w:iCs/>
          <w:color w:val="000000" w:themeColor="text1"/>
          <w:lang w:eastAsia="en-US" w:bidi="ar-SA"/>
        </w:rPr>
        <w:lastRenderedPageBreak/>
        <w:t>Морска енергетика</w:t>
      </w:r>
      <w:r w:rsidRPr="00610B1B">
        <w:rPr>
          <w:rFonts w:cs="Times New Roman"/>
          <w:bCs/>
          <w:color w:val="000000" w:themeColor="text1"/>
          <w:lang w:eastAsia="en-US" w:bidi="ar-SA"/>
        </w:rPr>
        <w:t xml:space="preserve"> – </w:t>
      </w:r>
      <w:r w:rsidR="004D4DE9" w:rsidRPr="00610B1B">
        <w:rPr>
          <w:rFonts w:cs="Times New Roman"/>
          <w:bCs/>
          <w:color w:val="000000" w:themeColor="text1"/>
          <w:lang w:eastAsia="en-US" w:bidi="ar-SA"/>
        </w:rPr>
        <w:t xml:space="preserve">Развиват </w:t>
      </w:r>
      <w:r w:rsidRPr="00610B1B">
        <w:rPr>
          <w:rFonts w:cs="Times New Roman"/>
          <w:bCs/>
          <w:color w:val="000000" w:themeColor="text1"/>
          <w:lang w:eastAsia="en-US" w:bidi="ar-SA"/>
        </w:rPr>
        <w:t>се традиционни източници (нефт и газ) и нетрадиционни – енергия от вятъра</w:t>
      </w:r>
      <w:r w:rsidR="0050166D" w:rsidRPr="00610B1B">
        <w:rPr>
          <w:rFonts w:cs="Times New Roman"/>
          <w:bCs/>
          <w:color w:val="000000" w:themeColor="text1"/>
          <w:lang w:eastAsia="en-US" w:bidi="ar-SA"/>
        </w:rPr>
        <w:t xml:space="preserve"> и слънцето</w:t>
      </w:r>
      <w:r w:rsidRPr="00610B1B">
        <w:rPr>
          <w:rFonts w:cs="Times New Roman"/>
          <w:bCs/>
          <w:color w:val="000000" w:themeColor="text1"/>
          <w:lang w:eastAsia="en-US" w:bidi="ar-SA"/>
        </w:rPr>
        <w:t xml:space="preserve">. По-умереното икономическо развитие не позволява инвестиции в по-рискови авангардни технологии, което забавя развитието на </w:t>
      </w:r>
      <w:r w:rsidR="004D4DE9" w:rsidRPr="00610B1B">
        <w:rPr>
          <w:rFonts w:cs="Times New Roman"/>
          <w:bCs/>
          <w:color w:val="000000" w:themeColor="text1"/>
          <w:lang w:eastAsia="en-US" w:bidi="ar-SA"/>
        </w:rPr>
        <w:t xml:space="preserve">проучванията за </w:t>
      </w:r>
      <w:r w:rsidRPr="00610B1B">
        <w:rPr>
          <w:rFonts w:cs="Times New Roman"/>
          <w:bCs/>
          <w:color w:val="000000" w:themeColor="text1"/>
          <w:lang w:eastAsia="en-US" w:bidi="ar-SA"/>
        </w:rPr>
        <w:t xml:space="preserve">добив и извличане на енергията от газови </w:t>
      </w:r>
      <w:bookmarkEnd w:id="446"/>
      <w:r w:rsidRPr="00610B1B">
        <w:rPr>
          <w:rFonts w:cs="Times New Roman"/>
          <w:bCs/>
          <w:color w:val="000000" w:themeColor="text1"/>
          <w:lang w:eastAsia="en-US" w:bidi="ar-SA"/>
        </w:rPr>
        <w:t>хидрати и сероводород.</w:t>
      </w:r>
    </w:p>
    <w:p w14:paraId="67528B45" w14:textId="5A00D422" w:rsidR="0055674E" w:rsidRPr="00610B1B" w:rsidRDefault="0055674E" w:rsidP="00D32D6A">
      <w:pPr>
        <w:pStyle w:val="BodyText"/>
        <w:spacing w:before="0" w:after="120" w:line="276" w:lineRule="auto"/>
        <w:ind w:right="-153"/>
        <w:rPr>
          <w:rFonts w:cs="Times New Roman"/>
          <w:bCs/>
          <w:color w:val="000000" w:themeColor="text1"/>
          <w:lang w:eastAsia="en-US" w:bidi="ar-SA"/>
        </w:rPr>
      </w:pPr>
      <w:r w:rsidRPr="00610B1B">
        <w:rPr>
          <w:rFonts w:cs="Times New Roman"/>
          <w:bCs/>
          <w:i/>
          <w:iCs/>
          <w:color w:val="000000" w:themeColor="text1"/>
          <w:lang w:eastAsia="en-US" w:bidi="ar-SA"/>
        </w:rPr>
        <w:t>Научни изследвания</w:t>
      </w:r>
      <w:r w:rsidRPr="00610B1B">
        <w:rPr>
          <w:rFonts w:cs="Times New Roman"/>
          <w:bCs/>
          <w:color w:val="000000" w:themeColor="text1"/>
          <w:lang w:eastAsia="en-US" w:bidi="ar-SA"/>
        </w:rPr>
        <w:t xml:space="preserve"> – „Черноморският дневен ред за стратегически научни изследвания и иновации“ обединява научните усилия на страните от Черноморския регион</w:t>
      </w:r>
      <w:r w:rsidR="0050166D" w:rsidRPr="00610B1B">
        <w:rPr>
          <w:rFonts w:cs="Times New Roman"/>
          <w:bCs/>
          <w:color w:val="000000" w:themeColor="text1"/>
          <w:lang w:eastAsia="en-US" w:bidi="ar-SA"/>
        </w:rPr>
        <w:t xml:space="preserve"> и подпомага </w:t>
      </w:r>
      <w:r w:rsidRPr="00610B1B">
        <w:rPr>
          <w:rFonts w:cs="Times New Roman"/>
          <w:bCs/>
          <w:color w:val="000000" w:themeColor="text1"/>
          <w:lang w:eastAsia="en-US" w:bidi="ar-SA"/>
        </w:rPr>
        <w:t xml:space="preserve">развитието в приоритетните сектори „Рибарството и аквакултури“. Използват се нови и дистанционни методи за мониторинг на морските организми. Създаването на мрежа от свързани морски защитени територии </w:t>
      </w:r>
      <w:r w:rsidR="0050166D" w:rsidRPr="00610B1B">
        <w:rPr>
          <w:rFonts w:cs="Times New Roman"/>
          <w:bCs/>
          <w:color w:val="000000" w:themeColor="text1"/>
          <w:lang w:eastAsia="en-US" w:bidi="ar-SA"/>
        </w:rPr>
        <w:t xml:space="preserve">повишава </w:t>
      </w:r>
      <w:r w:rsidRPr="00610B1B">
        <w:rPr>
          <w:rFonts w:cs="Times New Roman"/>
          <w:bCs/>
          <w:color w:val="000000" w:themeColor="text1"/>
          <w:lang w:eastAsia="en-US" w:bidi="ar-SA"/>
        </w:rPr>
        <w:t>синергия</w:t>
      </w:r>
      <w:r w:rsidR="0050166D" w:rsidRPr="00610B1B">
        <w:rPr>
          <w:rFonts w:cs="Times New Roman"/>
          <w:bCs/>
          <w:color w:val="000000" w:themeColor="text1"/>
          <w:lang w:eastAsia="en-US" w:bidi="ar-SA"/>
        </w:rPr>
        <w:t>та</w:t>
      </w:r>
      <w:r w:rsidRPr="00610B1B">
        <w:rPr>
          <w:rFonts w:cs="Times New Roman"/>
          <w:bCs/>
          <w:color w:val="000000" w:themeColor="text1"/>
          <w:lang w:eastAsia="en-US" w:bidi="ar-SA"/>
        </w:rPr>
        <w:t xml:space="preserve"> между опазването на морската околна среда и на археологическите обекти на морското дъно. Своевременното внедряване на нови енергийни източници е възпрепятствано от недостига на ресурси за финансиране на изследователската работа и изготвянето на прототипи.</w:t>
      </w:r>
    </w:p>
    <w:p w14:paraId="64B5BEE4" w14:textId="26789558" w:rsidR="0055674E" w:rsidRPr="00610B1B" w:rsidRDefault="0055674E" w:rsidP="00D32D6A">
      <w:pPr>
        <w:pStyle w:val="BodyText"/>
        <w:spacing w:before="0" w:after="120" w:line="276" w:lineRule="auto"/>
        <w:ind w:right="-153"/>
        <w:rPr>
          <w:rFonts w:cs="Times New Roman"/>
          <w:bCs/>
          <w:color w:val="000000" w:themeColor="text1"/>
          <w:lang w:eastAsia="en-US" w:bidi="ar-SA"/>
        </w:rPr>
      </w:pPr>
      <w:r w:rsidRPr="00610B1B">
        <w:rPr>
          <w:rFonts w:cs="Times New Roman"/>
          <w:bCs/>
          <w:i/>
          <w:iCs/>
          <w:color w:val="000000" w:themeColor="text1"/>
          <w:lang w:eastAsia="en-US" w:bidi="ar-SA"/>
        </w:rPr>
        <w:t>Взаимодействие суша-море</w:t>
      </w:r>
      <w:r w:rsidR="009E6842" w:rsidRPr="00610B1B">
        <w:rPr>
          <w:rFonts w:cs="Times New Roman"/>
          <w:bCs/>
          <w:color w:val="000000" w:themeColor="text1"/>
          <w:lang w:eastAsia="en-US" w:bidi="ar-SA"/>
        </w:rPr>
        <w:t xml:space="preserve"> – </w:t>
      </w:r>
      <w:r w:rsidR="004D4DE9" w:rsidRPr="00610B1B">
        <w:rPr>
          <w:rFonts w:cs="Times New Roman"/>
          <w:bCs/>
          <w:color w:val="000000" w:themeColor="text1"/>
          <w:lang w:eastAsia="en-US" w:bidi="ar-SA"/>
        </w:rPr>
        <w:t xml:space="preserve">Изграждането </w:t>
      </w:r>
      <w:r w:rsidRPr="00610B1B">
        <w:rPr>
          <w:rFonts w:cs="Times New Roman"/>
          <w:bCs/>
          <w:color w:val="000000" w:themeColor="text1"/>
          <w:lang w:eastAsia="en-US" w:bidi="ar-SA"/>
        </w:rPr>
        <w:t xml:space="preserve">и модернизацията на пречиствателни станции за отпадъчни води допринася за намаляване на замърсяването от населените места и промишлеността. Дълбоководно заустване не е необходимо поради достатъчна степен на пречистване на отпадъчните води и намалената интензивност на летния туризъм. Развитието на екологично земеделие в прилежащите </w:t>
      </w:r>
      <w:r w:rsidR="004D4DE9" w:rsidRPr="00610B1B">
        <w:rPr>
          <w:rFonts w:cs="Times New Roman"/>
          <w:bCs/>
          <w:color w:val="000000" w:themeColor="text1"/>
          <w:lang w:eastAsia="en-US" w:bidi="ar-SA"/>
        </w:rPr>
        <w:t xml:space="preserve">крайбрежни </w:t>
      </w:r>
      <w:r w:rsidRPr="00610B1B">
        <w:rPr>
          <w:rFonts w:cs="Times New Roman"/>
          <w:bCs/>
          <w:color w:val="000000" w:themeColor="text1"/>
          <w:lang w:eastAsia="en-US" w:bidi="ar-SA"/>
        </w:rPr>
        <w:t>територии води до намаляване на антропогенната еутрофикацията и на замърсяването с пестициди на крайбрежните води.</w:t>
      </w:r>
    </w:p>
    <w:p w14:paraId="2B690F17" w14:textId="245878CB" w:rsidR="0055674E" w:rsidRPr="00610B1B" w:rsidRDefault="0055674E" w:rsidP="00D32D6A">
      <w:pPr>
        <w:pStyle w:val="BodyText"/>
        <w:spacing w:before="0" w:after="120" w:line="276" w:lineRule="auto"/>
        <w:ind w:right="-153"/>
        <w:rPr>
          <w:rStyle w:val="Heading3Char"/>
          <w:rFonts w:eastAsia="Calibri" w:cs="Times New Roman"/>
          <w:b w:val="0"/>
          <w:color w:val="000000"/>
          <w:sz w:val="24"/>
          <w:szCs w:val="24"/>
        </w:rPr>
      </w:pPr>
      <w:r w:rsidRPr="00610B1B">
        <w:rPr>
          <w:rFonts w:cs="Times New Roman"/>
          <w:bCs/>
          <w:i/>
          <w:iCs/>
          <w:color w:val="000000" w:themeColor="text1"/>
          <w:lang w:eastAsia="en-US" w:bidi="ar-SA"/>
        </w:rPr>
        <w:t>Взаимодействие море-суша</w:t>
      </w:r>
      <w:r w:rsidRPr="00610B1B">
        <w:rPr>
          <w:rFonts w:cs="Times New Roman"/>
          <w:bCs/>
          <w:color w:val="000000" w:themeColor="text1"/>
          <w:lang w:eastAsia="en-US" w:bidi="ar-SA"/>
        </w:rPr>
        <w:t xml:space="preserve"> – постигането на добро състояние на морската среда благоприятства развитието на крайбрежния и морски туризъм, рибарството и аквакултурите. Това допринася за развитието на местната икономика и съответно благоприятно въздействие върху заетостта и качеството на живот</w:t>
      </w:r>
      <w:r w:rsidRPr="00610B1B">
        <w:rPr>
          <w:rStyle w:val="Heading3Char"/>
          <w:rFonts w:eastAsia="Calibri" w:cs="Times New Roman"/>
          <w:b w:val="0"/>
          <w:color w:val="000000"/>
          <w:sz w:val="24"/>
          <w:szCs w:val="24"/>
        </w:rPr>
        <w:t xml:space="preserve"> на местното население.</w:t>
      </w:r>
    </w:p>
    <w:p w14:paraId="48388589" w14:textId="77777777" w:rsidR="00B5638E" w:rsidRPr="00610B1B" w:rsidRDefault="00B5638E" w:rsidP="00D32D6A">
      <w:pPr>
        <w:pStyle w:val="BodyText"/>
        <w:spacing w:before="0" w:after="120" w:line="276" w:lineRule="auto"/>
        <w:ind w:right="-153"/>
        <w:rPr>
          <w:rStyle w:val="Heading3Char"/>
          <w:rFonts w:eastAsia="Calibri" w:cs="Times New Roman"/>
          <w:b w:val="0"/>
          <w:color w:val="000000"/>
          <w:sz w:val="24"/>
          <w:szCs w:val="24"/>
        </w:rPr>
      </w:pPr>
    </w:p>
    <w:p w14:paraId="7874AC29" w14:textId="4B6E43D6" w:rsidR="0055674E" w:rsidRPr="00610B1B" w:rsidRDefault="0055674E" w:rsidP="00D32D6A">
      <w:pPr>
        <w:pStyle w:val="Heading3"/>
        <w:spacing w:before="0" w:line="276" w:lineRule="auto"/>
        <w:ind w:right="-153"/>
        <w:jc w:val="both"/>
        <w:rPr>
          <w:rFonts w:eastAsia="Calibri" w:cs="Times New Roman"/>
          <w:b w:val="0"/>
          <w:color w:val="000000" w:themeColor="text1"/>
          <w:sz w:val="24"/>
          <w:szCs w:val="24"/>
        </w:rPr>
      </w:pPr>
      <w:bookmarkStart w:id="447" w:name="_Toc83391422"/>
      <w:r w:rsidRPr="00610B1B">
        <w:rPr>
          <w:rFonts w:cs="Times New Roman"/>
        </w:rPr>
        <w:t>4.</w:t>
      </w:r>
      <w:r w:rsidR="009278D0" w:rsidRPr="00610B1B">
        <w:rPr>
          <w:rFonts w:cs="Times New Roman"/>
        </w:rPr>
        <w:t>3</w:t>
      </w:r>
      <w:r w:rsidRPr="00610B1B">
        <w:rPr>
          <w:rFonts w:cs="Times New Roman"/>
        </w:rPr>
        <w:t>.4. Сценарий D – Интегрирани местни, национални, регионални и общоевропейски интереси</w:t>
      </w:r>
      <w:bookmarkEnd w:id="447"/>
      <w:r w:rsidRPr="00610B1B">
        <w:rPr>
          <w:rFonts w:cs="Times New Roman"/>
        </w:rPr>
        <w:t xml:space="preserve"> </w:t>
      </w:r>
    </w:p>
    <w:p w14:paraId="2EFD93B0" w14:textId="6CD70B05"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Този сценарий има три различни обхвата за развитие: 1) балансиране на трите аспекта на устойчивото развитие (икономически, екологичен и социален) в националн</w:t>
      </w:r>
      <w:r w:rsidR="00160777" w:rsidRPr="00610B1B">
        <w:rPr>
          <w:rFonts w:ascii="Times New Roman" w:eastAsia="Calibri" w:hAnsi="Times New Roman" w:cs="Times New Roman"/>
          <w:color w:val="000000" w:themeColor="text1"/>
          <w:sz w:val="24"/>
          <w:szCs w:val="24"/>
          <w:lang w:val="bg-BG"/>
        </w:rPr>
        <w:t>ите</w:t>
      </w:r>
      <w:r w:rsidRPr="00610B1B">
        <w:rPr>
          <w:rFonts w:ascii="Times New Roman" w:eastAsia="Calibri" w:hAnsi="Times New Roman" w:cs="Times New Roman"/>
          <w:color w:val="000000" w:themeColor="text1"/>
          <w:sz w:val="24"/>
          <w:szCs w:val="24"/>
          <w:lang w:val="bg-BG"/>
        </w:rPr>
        <w:t xml:space="preserve"> морск</w:t>
      </w:r>
      <w:r w:rsidR="00160777" w:rsidRPr="00610B1B">
        <w:rPr>
          <w:rFonts w:ascii="Times New Roman" w:eastAsia="Calibri" w:hAnsi="Times New Roman" w:cs="Times New Roman"/>
          <w:color w:val="000000" w:themeColor="text1"/>
          <w:sz w:val="24"/>
          <w:szCs w:val="24"/>
          <w:lang w:val="bg-BG"/>
        </w:rPr>
        <w:t>и</w:t>
      </w:r>
      <w:r w:rsidRPr="00610B1B">
        <w:rPr>
          <w:rFonts w:ascii="Times New Roman" w:eastAsia="Calibri" w:hAnsi="Times New Roman" w:cs="Times New Roman"/>
          <w:color w:val="000000" w:themeColor="text1"/>
          <w:sz w:val="24"/>
          <w:szCs w:val="24"/>
          <w:lang w:val="bg-BG"/>
        </w:rPr>
        <w:t xml:space="preserve"> пространств</w:t>
      </w:r>
      <w:r w:rsidR="00160777" w:rsidRPr="00610B1B">
        <w:rPr>
          <w:rFonts w:ascii="Times New Roman" w:eastAsia="Calibri" w:hAnsi="Times New Roman" w:cs="Times New Roman"/>
          <w:color w:val="000000" w:themeColor="text1"/>
          <w:sz w:val="24"/>
          <w:szCs w:val="24"/>
          <w:lang w:val="bg-BG"/>
        </w:rPr>
        <w:t>а</w:t>
      </w:r>
      <w:r w:rsidRPr="00610B1B">
        <w:rPr>
          <w:rFonts w:ascii="Times New Roman" w:eastAsia="Calibri" w:hAnsi="Times New Roman" w:cs="Times New Roman"/>
          <w:color w:val="000000" w:themeColor="text1"/>
          <w:sz w:val="24"/>
          <w:szCs w:val="24"/>
          <w:lang w:val="bg-BG"/>
        </w:rPr>
        <w:t xml:space="preserve">; 2) интегрирана морска политика за устойчиво развитие в Черноморския регион, обхващаща шестте държави с излаз на Черно море – България, Румъния, Украйна, Русия, Грузия и Турция и 3) съчетаване на морското пространствено планиране с интегрираното управление на крайбрежни зони. </w:t>
      </w:r>
    </w:p>
    <w:p w14:paraId="511784E7" w14:textId="0AE3C215"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Сценарият интегрира най-добрите идеи от икономическия, екологичния и социалния сценарии. Икономическите аспекти се разгръщат на основата на повишени конкурентоспособност и добавена стойност, приложени съвременни технологии и иновации във всички морски сектори. Най-голям потенциал за развитие имат пристанищната дейност и морският транспорт, ако се реализират обновяването на пристанищата и съвременното технологично оборудване, с което да се повиши ефективността и качеството за обслужване на пътници и обработка на товари.</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 xml:space="preserve">Развитието на рибарството не може да надхвърли рамките на наличните рибни запаси и международно установените квоти, но може да бъде подпомогнато за своевременно </w:t>
      </w:r>
      <w:r w:rsidRPr="00610B1B">
        <w:rPr>
          <w:rFonts w:ascii="Times New Roman" w:eastAsia="Calibri" w:hAnsi="Times New Roman" w:cs="Times New Roman"/>
          <w:color w:val="000000" w:themeColor="text1"/>
          <w:sz w:val="24"/>
          <w:szCs w:val="24"/>
          <w:lang w:val="bg-BG"/>
        </w:rPr>
        <w:lastRenderedPageBreak/>
        <w:t>модернизиране на риболовния флот, подобряване на риболовните техники и завишаването на контрола върху тази дейност. Така ще се запази добро състояние на морската околна среда, от което зависи опазването на видовете и рибните ресурси. Разнообразяването на асортимента на аквакултурите, решаване</w:t>
      </w:r>
      <w:r w:rsidR="004D4DE9" w:rsidRPr="00610B1B">
        <w:rPr>
          <w:rFonts w:ascii="Times New Roman" w:eastAsia="Calibri" w:hAnsi="Times New Roman" w:cs="Times New Roman"/>
          <w:color w:val="000000" w:themeColor="text1"/>
          <w:sz w:val="24"/>
          <w:szCs w:val="24"/>
          <w:lang w:val="bg-BG"/>
        </w:rPr>
        <w:t>то</w:t>
      </w:r>
      <w:r w:rsidRPr="00610B1B">
        <w:rPr>
          <w:rFonts w:ascii="Times New Roman" w:eastAsia="Calibri" w:hAnsi="Times New Roman" w:cs="Times New Roman"/>
          <w:color w:val="000000" w:themeColor="text1"/>
          <w:sz w:val="24"/>
          <w:szCs w:val="24"/>
          <w:lang w:val="bg-BG"/>
        </w:rPr>
        <w:t xml:space="preserve"> на конфликтите с туристическия сектор и рекреационните морски дейности в близост до брега, повишаването на контрола върху съоръженията и обектите по време и след приключване на експлоатацията, ще увеличи значимостта и приноса на този сектор. </w:t>
      </w:r>
    </w:p>
    <w:p w14:paraId="0E527414" w14:textId="626403F3"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Туризмът, с най-високите стойности на заетост и БДС</w:t>
      </w:r>
      <w:r w:rsidR="0050166D" w:rsidRPr="00610B1B">
        <w:rPr>
          <w:rFonts w:ascii="Times New Roman" w:eastAsia="Calibri" w:hAnsi="Times New Roman" w:cs="Times New Roman"/>
          <w:color w:val="000000" w:themeColor="text1"/>
          <w:sz w:val="24"/>
          <w:szCs w:val="24"/>
          <w:lang w:val="bg-BG"/>
        </w:rPr>
        <w:t>,</w:t>
      </w:r>
      <w:r w:rsidRPr="00610B1B">
        <w:rPr>
          <w:rFonts w:ascii="Times New Roman" w:eastAsia="Calibri" w:hAnsi="Times New Roman" w:cs="Times New Roman"/>
          <w:color w:val="000000" w:themeColor="text1"/>
          <w:sz w:val="24"/>
          <w:szCs w:val="24"/>
          <w:lang w:val="bg-BG"/>
        </w:rPr>
        <w:t xml:space="preserve"> сред всички свързани с морската икономика дейности, ще оптимизира своите параметри по отношение на легловата база и урбанизираните територии в крайбрежната зона, увеличаване на асортимента на услугите и повишаване на качеството, развитие на алтернативни форми, рекреационни и спортни дейности в прилежащата акватория. Добивът на луга и лечебна кал, производството на козметични и лечебни продукти от морската вода и от солта ще привлекат интерес към съпътстващи лечебни и козметични процедури в системата на СПА туризма. </w:t>
      </w:r>
    </w:p>
    <w:p w14:paraId="0C3BD4CC"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Ще се развиват биотехнологии, свързани с морето, ще се търси по-добро и ефективно обвързване на бизнеса, научните изследвания и образованието. Ще продължават проучванията за добив на нефт и газ при засилен контрол и екологични норми, ще се развият технологиите за извличане на енергия от сероводород и добив на газохидрати от морското дъно. Ще се съхрани добивът на морска сол по традиционни способи. </w:t>
      </w:r>
    </w:p>
    <w:p w14:paraId="6E5F4C0E" w14:textId="3F92D57C"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Ще се развиват и съпътстващите морските сектори производств</w:t>
      </w:r>
      <w:r w:rsidR="00651060" w:rsidRPr="00610B1B">
        <w:rPr>
          <w:rFonts w:ascii="Times New Roman" w:eastAsia="Calibri" w:hAnsi="Times New Roman" w:cs="Times New Roman"/>
          <w:color w:val="000000" w:themeColor="text1"/>
          <w:sz w:val="24"/>
          <w:szCs w:val="24"/>
          <w:lang w:val="bg-BG"/>
        </w:rPr>
        <w:t>а</w:t>
      </w:r>
      <w:r w:rsidRPr="00610B1B">
        <w:rPr>
          <w:rFonts w:ascii="Times New Roman" w:eastAsia="Calibri" w:hAnsi="Times New Roman" w:cs="Times New Roman"/>
          <w:color w:val="000000" w:themeColor="text1"/>
          <w:sz w:val="24"/>
          <w:szCs w:val="24"/>
          <w:lang w:val="bg-BG"/>
        </w:rPr>
        <w:t xml:space="preserve"> на специализиран текстил, въжета, екипировка и облекла за водни спортове. Ще се подкрепи изследователската дейност в подводните морски пространства за по-пълно разкриване на културните ценности, останки от цивилизации и исторически събития и ще се реализират възможностите за най-доброто експониране на това богатство, удовлетворяващо разбиранията за модерна интерактивна експозиция. Военните учения и обучения в морето ще увеличат своята значимост </w:t>
      </w:r>
      <w:r w:rsidR="00651060" w:rsidRPr="00610B1B">
        <w:rPr>
          <w:rFonts w:ascii="Times New Roman" w:eastAsia="Calibri" w:hAnsi="Times New Roman" w:cs="Times New Roman"/>
          <w:color w:val="000000" w:themeColor="text1"/>
          <w:sz w:val="24"/>
          <w:szCs w:val="24"/>
          <w:lang w:val="bg-BG"/>
        </w:rPr>
        <w:t>в</w:t>
      </w:r>
      <w:r w:rsidRPr="00610B1B">
        <w:rPr>
          <w:rFonts w:ascii="Times New Roman" w:eastAsia="Calibri" w:hAnsi="Times New Roman" w:cs="Times New Roman"/>
          <w:color w:val="000000" w:themeColor="text1"/>
          <w:sz w:val="24"/>
          <w:szCs w:val="24"/>
          <w:lang w:val="bg-BG"/>
        </w:rPr>
        <w:t xml:space="preserve"> подготовката на кадри за морски изследвания, за спасяване в морето и </w:t>
      </w:r>
      <w:r w:rsidR="002A78FB" w:rsidRPr="00610B1B">
        <w:rPr>
          <w:rFonts w:ascii="Times New Roman" w:eastAsia="Calibri" w:hAnsi="Times New Roman" w:cs="Times New Roman"/>
          <w:color w:val="000000" w:themeColor="text1"/>
          <w:sz w:val="24"/>
          <w:szCs w:val="24"/>
          <w:lang w:val="bg-BG"/>
        </w:rPr>
        <w:t xml:space="preserve">за </w:t>
      </w:r>
      <w:r w:rsidRPr="00610B1B">
        <w:rPr>
          <w:rFonts w:ascii="Times New Roman" w:eastAsia="Calibri" w:hAnsi="Times New Roman" w:cs="Times New Roman"/>
          <w:color w:val="000000" w:themeColor="text1"/>
          <w:sz w:val="24"/>
          <w:szCs w:val="24"/>
          <w:lang w:val="bg-BG"/>
        </w:rPr>
        <w:t>поддържане на висока степен на сигурност при критични вълнения и бури, възпрепятстване на трафик на хора, наркотици и оръжие.</w:t>
      </w:r>
    </w:p>
    <w:p w14:paraId="58F5ACE5" w14:textId="7D4A1DCE"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Съхраняването на морската околна среда, възстановяването на нейното добро състояние </w:t>
      </w:r>
      <w:r w:rsidR="0050166D" w:rsidRPr="00610B1B">
        <w:rPr>
          <w:rFonts w:ascii="Times New Roman" w:eastAsia="Calibri" w:hAnsi="Times New Roman" w:cs="Times New Roman"/>
          <w:color w:val="000000" w:themeColor="text1"/>
          <w:sz w:val="24"/>
          <w:szCs w:val="24"/>
          <w:lang w:val="bg-BG"/>
        </w:rPr>
        <w:t xml:space="preserve">и </w:t>
      </w:r>
      <w:r w:rsidRPr="00610B1B">
        <w:rPr>
          <w:rFonts w:ascii="Times New Roman" w:eastAsia="Calibri" w:hAnsi="Times New Roman" w:cs="Times New Roman"/>
          <w:color w:val="000000" w:themeColor="text1"/>
          <w:sz w:val="24"/>
          <w:szCs w:val="24"/>
          <w:lang w:val="bg-BG"/>
        </w:rPr>
        <w:t xml:space="preserve">опазване на биоразнообразието </w:t>
      </w:r>
      <w:r w:rsidR="0050166D" w:rsidRPr="00610B1B">
        <w:rPr>
          <w:rFonts w:ascii="Times New Roman" w:eastAsia="Calibri" w:hAnsi="Times New Roman" w:cs="Times New Roman"/>
          <w:color w:val="000000" w:themeColor="text1"/>
          <w:sz w:val="24"/>
          <w:szCs w:val="24"/>
          <w:lang w:val="bg-BG"/>
        </w:rPr>
        <w:t>са</w:t>
      </w:r>
      <w:r w:rsidRPr="00610B1B">
        <w:rPr>
          <w:rFonts w:ascii="Times New Roman" w:eastAsia="Calibri" w:hAnsi="Times New Roman" w:cs="Times New Roman"/>
          <w:color w:val="000000" w:themeColor="text1"/>
          <w:sz w:val="24"/>
          <w:szCs w:val="24"/>
          <w:lang w:val="bg-BG"/>
        </w:rPr>
        <w:t xml:space="preserve"> в основата на този сценарий, защото само това ще гарантира успешното развитие на всички морски сектори. Устойчивото опазване и използване на ресурсите, намаляването на натиска от отпадъчни води, баластни води, подводен шум, инвазивни видове, замърсяване от аварии, отлагане на драгажни маси, нелегален, незаконен и нерегламентиран улов на рибни ресурси ще</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създаде условия за възстановяване на доброто екологично състояние на морската околна среда в съответствие с Морската стратегия на Р</w:t>
      </w:r>
      <w:r w:rsidR="002A78FB" w:rsidRPr="00610B1B">
        <w:rPr>
          <w:rFonts w:ascii="Times New Roman" w:eastAsia="Calibri" w:hAnsi="Times New Roman" w:cs="Times New Roman"/>
          <w:color w:val="000000" w:themeColor="text1"/>
          <w:sz w:val="24"/>
          <w:szCs w:val="24"/>
          <w:lang w:val="bg-BG"/>
        </w:rPr>
        <w:t>епублика</w:t>
      </w:r>
      <w:r w:rsidRPr="00610B1B">
        <w:rPr>
          <w:rFonts w:ascii="Times New Roman" w:eastAsia="Calibri" w:hAnsi="Times New Roman" w:cs="Times New Roman"/>
          <w:color w:val="000000" w:themeColor="text1"/>
          <w:sz w:val="24"/>
          <w:szCs w:val="24"/>
          <w:lang w:val="bg-BG"/>
        </w:rPr>
        <w:t xml:space="preserve"> България.</w:t>
      </w:r>
      <w:r w:rsidR="00C415D1" w:rsidRPr="00610B1B">
        <w:rPr>
          <w:rFonts w:ascii="Times New Roman" w:eastAsia="Calibri" w:hAnsi="Times New Roman" w:cs="Times New Roman"/>
          <w:color w:val="000000" w:themeColor="text1"/>
          <w:sz w:val="24"/>
          <w:szCs w:val="24"/>
          <w:lang w:val="bg-BG"/>
        </w:rPr>
        <w:t xml:space="preserve"> </w:t>
      </w:r>
    </w:p>
    <w:p w14:paraId="63F6B81D"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В този сценарий са заложени и необходимите предпоставки за намаляване на диспропорциите, на негативните демографски процеси, за равнопоставеност, за подпомагане на местните рибарски общности и МСП, за създаване на условия за активно и отговорно участие в разработването и прилагането на МППРБ.</w:t>
      </w:r>
    </w:p>
    <w:p w14:paraId="0B021218" w14:textId="77777777"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lastRenderedPageBreak/>
        <w:t>Факторите, стимулиращи развитието по този сценарий са основните движещи сили с политически, икономически, екологичен, технологичен и социален характер.</w:t>
      </w:r>
    </w:p>
    <w:p w14:paraId="697CE939"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Движещи сили с </w:t>
      </w:r>
      <w:r w:rsidRPr="00610B1B">
        <w:rPr>
          <w:rFonts w:ascii="Times New Roman" w:eastAsia="Calibri" w:hAnsi="Times New Roman" w:cs="Times New Roman"/>
          <w:bCs/>
          <w:i/>
          <w:color w:val="000000" w:themeColor="text1"/>
          <w:sz w:val="24"/>
          <w:szCs w:val="24"/>
          <w:lang w:val="bg-BG"/>
        </w:rPr>
        <w:t>политически</w:t>
      </w:r>
      <w:r w:rsidRPr="00610B1B">
        <w:rPr>
          <w:rFonts w:ascii="Times New Roman" w:eastAsia="Calibri" w:hAnsi="Times New Roman" w:cs="Times New Roman"/>
          <w:bCs/>
          <w:color w:val="000000" w:themeColor="text1"/>
          <w:sz w:val="24"/>
          <w:szCs w:val="24"/>
          <w:lang w:val="bg-BG"/>
        </w:rPr>
        <w:t xml:space="preserve"> характер:</w:t>
      </w:r>
    </w:p>
    <w:p w14:paraId="780C2CFC" w14:textId="7C2834C0" w:rsidR="0055674E" w:rsidRPr="00610B1B" w:rsidRDefault="0055674E" w:rsidP="00B46189">
      <w:pPr>
        <w:numPr>
          <w:ilvl w:val="0"/>
          <w:numId w:val="19"/>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Политиките на ЕС за „Син растеж“</w:t>
      </w:r>
      <w:r w:rsidRPr="00610B1B">
        <w:rPr>
          <w:rFonts w:ascii="Times New Roman" w:eastAsia="Calibri" w:hAnsi="Times New Roman" w:cs="Times New Roman"/>
          <w:bCs/>
          <w:color w:val="000000" w:themeColor="text1"/>
          <w:sz w:val="24"/>
          <w:szCs w:val="24"/>
          <w:vertAlign w:val="superscript"/>
          <w:lang w:val="bg-BG"/>
        </w:rPr>
        <w:footnoteReference w:id="173"/>
      </w:r>
      <w:r w:rsidRPr="00610B1B">
        <w:rPr>
          <w:rFonts w:ascii="Times New Roman" w:eastAsia="Calibri" w:hAnsi="Times New Roman" w:cs="Times New Roman"/>
          <w:bCs/>
          <w:color w:val="000000" w:themeColor="text1"/>
          <w:sz w:val="24"/>
          <w:szCs w:val="24"/>
          <w:lang w:val="bg-BG"/>
        </w:rPr>
        <w:t xml:space="preserve"> и „Европейски пространства за корабоплаване без бариери“</w:t>
      </w:r>
      <w:r w:rsidR="002A78FB" w:rsidRPr="00610B1B">
        <w:rPr>
          <w:rFonts w:ascii="Times New Roman" w:eastAsia="Calibri" w:hAnsi="Times New Roman" w:cs="Times New Roman"/>
          <w:bCs/>
          <w:color w:val="000000" w:themeColor="text1"/>
          <w:sz w:val="24"/>
          <w:szCs w:val="24"/>
          <w:lang w:val="bg-BG"/>
        </w:rPr>
        <w:t>, които</w:t>
      </w:r>
      <w:r w:rsidRPr="00610B1B">
        <w:rPr>
          <w:rFonts w:ascii="Times New Roman" w:eastAsia="Calibri" w:hAnsi="Times New Roman" w:cs="Times New Roman"/>
          <w:bCs/>
          <w:color w:val="000000" w:themeColor="text1"/>
          <w:sz w:val="24"/>
          <w:szCs w:val="24"/>
          <w:lang w:val="bg-BG"/>
        </w:rPr>
        <w:t xml:space="preserve"> се прилагат, паралелно с националните политики за интелигентно развитие на дейностите свързани с морето;</w:t>
      </w:r>
    </w:p>
    <w:p w14:paraId="59B9DEB5" w14:textId="4C1CC9A2" w:rsidR="00D16E58" w:rsidRPr="00610B1B" w:rsidRDefault="00D16E58" w:rsidP="00B46189">
      <w:pPr>
        <w:numPr>
          <w:ilvl w:val="0"/>
          <w:numId w:val="19"/>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Инициативата „Три морета“ за сътрудничество и интеграция на страните от региона </w:t>
      </w:r>
      <w:r w:rsidR="0050166D" w:rsidRPr="00610B1B">
        <w:rPr>
          <w:rFonts w:ascii="Times New Roman" w:eastAsia="Calibri" w:hAnsi="Times New Roman" w:cs="Times New Roman"/>
          <w:bCs/>
          <w:color w:val="000000" w:themeColor="text1"/>
          <w:sz w:val="24"/>
          <w:szCs w:val="24"/>
          <w:lang w:val="bg-BG"/>
        </w:rPr>
        <w:t>на</w:t>
      </w:r>
      <w:r w:rsidRPr="00610B1B">
        <w:rPr>
          <w:rFonts w:ascii="Times New Roman" w:eastAsia="Calibri" w:hAnsi="Times New Roman" w:cs="Times New Roman"/>
          <w:bCs/>
          <w:color w:val="000000" w:themeColor="text1"/>
          <w:sz w:val="24"/>
          <w:szCs w:val="24"/>
          <w:lang w:val="bg-BG"/>
        </w:rPr>
        <w:t xml:space="preserve"> Балтийско, Адриатическо и Черно море и създаване на по-голяма свързаност между тях в областта на енергетиката, транспорта, комуникациите, информационните технологии, бизнеса.</w:t>
      </w:r>
    </w:p>
    <w:p w14:paraId="65A270EF" w14:textId="77777777" w:rsidR="002A78FB" w:rsidRPr="00610B1B" w:rsidRDefault="0055674E" w:rsidP="00B46189">
      <w:pPr>
        <w:pStyle w:val="ListParagraph"/>
        <w:numPr>
          <w:ilvl w:val="0"/>
          <w:numId w:val="34"/>
        </w:numPr>
        <w:spacing w:after="120"/>
        <w:ind w:right="-153"/>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Националната икономическа политика, стимулираща предприемачеството, МСП и иновациите в секторите на синята икономика.</w:t>
      </w:r>
    </w:p>
    <w:p w14:paraId="15E20E28" w14:textId="64D0A062" w:rsidR="0055674E" w:rsidRPr="00610B1B" w:rsidRDefault="0055674E" w:rsidP="00B46189">
      <w:pPr>
        <w:pStyle w:val="ListParagraph"/>
        <w:numPr>
          <w:ilvl w:val="0"/>
          <w:numId w:val="34"/>
        </w:numPr>
        <w:spacing w:after="120"/>
        <w:ind w:right="-153"/>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Регионалната политика на Р. България, насочена към балансирано развитие на р</w:t>
      </w:r>
      <w:r w:rsidR="00D16E58" w:rsidRPr="00610B1B">
        <w:rPr>
          <w:rFonts w:ascii="Times New Roman" w:eastAsia="Calibri" w:hAnsi="Times New Roman" w:cs="Times New Roman"/>
          <w:bCs/>
          <w:color w:val="000000" w:themeColor="text1"/>
          <w:sz w:val="24"/>
          <w:szCs w:val="24"/>
          <w:lang w:val="bg-BG"/>
        </w:rPr>
        <w:t xml:space="preserve">егионите за планиране от ниво 2 и </w:t>
      </w:r>
      <w:r w:rsidRPr="00610B1B">
        <w:rPr>
          <w:rFonts w:ascii="Times New Roman" w:eastAsia="Calibri" w:hAnsi="Times New Roman" w:cs="Times New Roman"/>
          <w:bCs/>
          <w:color w:val="000000" w:themeColor="text1"/>
          <w:sz w:val="24"/>
          <w:szCs w:val="24"/>
          <w:lang w:val="bg-BG"/>
        </w:rPr>
        <w:t>намаляване на неравенствата между тях, между градските и селските райони, между крайбрежните големи градове и селските райони в хинтерланда.</w:t>
      </w:r>
    </w:p>
    <w:p w14:paraId="1C45DB1E" w14:textId="1B55A68C" w:rsidR="0055674E" w:rsidRPr="00610B1B" w:rsidRDefault="0055674E" w:rsidP="00B46189">
      <w:pPr>
        <w:pStyle w:val="ListParagraph"/>
        <w:numPr>
          <w:ilvl w:val="0"/>
          <w:numId w:val="34"/>
        </w:numPr>
        <w:spacing w:after="120"/>
        <w:ind w:right="-153"/>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Секторната туристическа политика с концепцията за </w:t>
      </w:r>
      <w:r w:rsidR="005D5EFC" w:rsidRPr="00610B1B">
        <w:rPr>
          <w:rFonts w:ascii="Times New Roman" w:eastAsia="Calibri" w:hAnsi="Times New Roman" w:cs="Times New Roman"/>
          <w:bCs/>
          <w:color w:val="000000" w:themeColor="text1"/>
          <w:sz w:val="24"/>
          <w:szCs w:val="24"/>
          <w:lang w:val="bg-BG"/>
        </w:rPr>
        <w:t xml:space="preserve">туризъм с по-високо качество в </w:t>
      </w:r>
      <w:r w:rsidRPr="00610B1B">
        <w:rPr>
          <w:rFonts w:ascii="Times New Roman" w:eastAsia="Calibri" w:hAnsi="Times New Roman" w:cs="Times New Roman"/>
          <w:bCs/>
          <w:color w:val="000000" w:themeColor="text1"/>
          <w:sz w:val="24"/>
          <w:szCs w:val="24"/>
          <w:lang w:val="bg-BG"/>
        </w:rPr>
        <w:t>4 сезона, предполагаща разнообразяване на предлагането и по-щадяща експлоатация на ресурсите чрез форми на културен, еко-туризъм и таласотерапия;</w:t>
      </w:r>
    </w:p>
    <w:p w14:paraId="3EF3C56C" w14:textId="77777777" w:rsidR="0055674E" w:rsidRPr="00610B1B" w:rsidRDefault="0055674E" w:rsidP="00B46189">
      <w:pPr>
        <w:numPr>
          <w:ilvl w:val="0"/>
          <w:numId w:val="36"/>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Националната политика за развитие на ВиК сектора и доизграждане на мрежите и обектите на канализацията за намаляване на натиска върху морските води.</w:t>
      </w:r>
    </w:p>
    <w:p w14:paraId="28E98A91" w14:textId="4B28A5EE" w:rsidR="0055674E" w:rsidRPr="00610B1B" w:rsidRDefault="0055674E" w:rsidP="00B46189">
      <w:pPr>
        <w:numPr>
          <w:ilvl w:val="0"/>
          <w:numId w:val="36"/>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Националната транспортна политика с идеите за интермодалност, свързаност, достъпност и мобилност по цялото </w:t>
      </w:r>
      <w:r w:rsidR="002A78FB" w:rsidRPr="00610B1B">
        <w:rPr>
          <w:rFonts w:ascii="Times New Roman" w:eastAsia="Calibri" w:hAnsi="Times New Roman" w:cs="Times New Roman"/>
          <w:bCs/>
          <w:color w:val="000000" w:themeColor="text1"/>
          <w:sz w:val="24"/>
          <w:szCs w:val="24"/>
          <w:lang w:val="bg-BG"/>
        </w:rPr>
        <w:t xml:space="preserve">Черноморско </w:t>
      </w:r>
      <w:r w:rsidRPr="00610B1B">
        <w:rPr>
          <w:rFonts w:ascii="Times New Roman" w:eastAsia="Calibri" w:hAnsi="Times New Roman" w:cs="Times New Roman"/>
          <w:bCs/>
          <w:color w:val="000000" w:themeColor="text1"/>
          <w:sz w:val="24"/>
          <w:szCs w:val="24"/>
          <w:lang w:val="bg-BG"/>
        </w:rPr>
        <w:t>крайбрежие.</w:t>
      </w:r>
    </w:p>
    <w:p w14:paraId="22759759"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Икономическите</w:t>
      </w:r>
      <w:r w:rsidRPr="00610B1B">
        <w:rPr>
          <w:rFonts w:ascii="Times New Roman" w:eastAsia="Calibri" w:hAnsi="Times New Roman" w:cs="Times New Roman"/>
          <w:bCs/>
          <w:color w:val="000000" w:themeColor="text1"/>
          <w:sz w:val="24"/>
          <w:szCs w:val="24"/>
          <w:lang w:val="bg-BG"/>
        </w:rPr>
        <w:t xml:space="preserve"> фактори и движещи сили:</w:t>
      </w:r>
    </w:p>
    <w:p w14:paraId="143BED6D" w14:textId="63D48773" w:rsidR="0055674E" w:rsidRPr="00610B1B" w:rsidRDefault="005D5EFC"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Концентрация на б</w:t>
      </w:r>
      <w:r w:rsidR="0055674E" w:rsidRPr="00610B1B">
        <w:rPr>
          <w:rFonts w:ascii="Times New Roman" w:eastAsia="Calibri" w:hAnsi="Times New Roman" w:cs="Times New Roman"/>
          <w:bCs/>
          <w:color w:val="000000" w:themeColor="text1"/>
          <w:sz w:val="24"/>
          <w:szCs w:val="24"/>
          <w:lang w:val="bg-BG"/>
        </w:rPr>
        <w:t>изнес</w:t>
      </w:r>
      <w:r w:rsidRPr="00610B1B">
        <w:rPr>
          <w:rFonts w:ascii="Times New Roman" w:eastAsia="Calibri" w:hAnsi="Times New Roman" w:cs="Times New Roman"/>
          <w:bCs/>
          <w:color w:val="000000" w:themeColor="text1"/>
          <w:sz w:val="24"/>
          <w:szCs w:val="24"/>
          <w:lang w:val="bg-BG"/>
        </w:rPr>
        <w:t>а</w:t>
      </w:r>
      <w:r w:rsidR="0055674E" w:rsidRPr="00610B1B">
        <w:rPr>
          <w:rFonts w:ascii="Times New Roman" w:eastAsia="Calibri" w:hAnsi="Times New Roman" w:cs="Times New Roman"/>
          <w:bCs/>
          <w:color w:val="000000" w:themeColor="text1"/>
          <w:sz w:val="24"/>
          <w:szCs w:val="24"/>
          <w:lang w:val="bg-BG"/>
        </w:rPr>
        <w:t xml:space="preserve"> основно в двата областни центъра (Варна и Бургас) и националните курорти, на базата на установени връзки между бизнес, образование и научни изследвания. Ще се формират морски клъстери ориентирани към стратегически мрежи, включващи експортни компании, доставчици на суровини, туристически структури, научно-изследователски центрове и доставчици на интелигентни услуги.</w:t>
      </w:r>
    </w:p>
    <w:p w14:paraId="5A103BFF"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В по-малките населени места ще се търсят възможности за коопериране и агломериране, за създаване и изпълнение на проекти с принос към няколко общини, които ще подпомогнат преодоляването на диспропорциите в развитието, достъпа до по-качествени услуги и ще предлагат по-добро качество на живот. </w:t>
      </w:r>
    </w:p>
    <w:p w14:paraId="3BDA97D4"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Мисията на Националната стратегия за устойчиво развитие на туризма за развитие и прилагане на целенасочена и последователна туристическа политика, за създаване на благоприятна политическа, правна, икономическа, екологична, </w:t>
      </w:r>
      <w:r w:rsidRPr="00610B1B">
        <w:rPr>
          <w:rFonts w:ascii="Times New Roman" w:eastAsia="Calibri" w:hAnsi="Times New Roman" w:cs="Times New Roman"/>
          <w:bCs/>
          <w:color w:val="000000" w:themeColor="text1"/>
          <w:sz w:val="24"/>
          <w:szCs w:val="24"/>
          <w:lang w:val="bg-BG"/>
        </w:rPr>
        <w:lastRenderedPageBreak/>
        <w:t xml:space="preserve">социокултурна и технологична среда за развитие на устойчив туризъм, конкурентоспособен туристически сектор и качествен туристически продукт. </w:t>
      </w:r>
    </w:p>
    <w:p w14:paraId="4BFF72F6" w14:textId="0B51163F"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Информационните и комуникационните технологии са с изявен напредък в мобилните технологии. Конкурентоспособността и развитието на почти всички сектори в сферата на морската икономика (от риболова до управлението на морския трафик), ще зависи от</w:t>
      </w:r>
      <w:r w:rsidR="00D66FE0" w:rsidRPr="00610B1B">
        <w:rPr>
          <w:rFonts w:ascii="Times New Roman" w:eastAsia="Calibri" w:hAnsi="Times New Roman" w:cs="Times New Roman"/>
          <w:bCs/>
          <w:color w:val="000000" w:themeColor="text1"/>
          <w:sz w:val="24"/>
          <w:szCs w:val="24"/>
          <w:lang w:val="bg-BG"/>
        </w:rPr>
        <w:t xml:space="preserve"> </w:t>
      </w:r>
      <w:r w:rsidRPr="00610B1B">
        <w:rPr>
          <w:rFonts w:ascii="Times New Roman" w:eastAsia="Calibri" w:hAnsi="Times New Roman" w:cs="Times New Roman"/>
          <w:bCs/>
          <w:color w:val="000000" w:themeColor="text1"/>
          <w:sz w:val="24"/>
          <w:szCs w:val="24"/>
          <w:lang w:val="bg-BG"/>
        </w:rPr>
        <w:t>предлагането на електронни услуги, от директния достъп до точна, актуална и изчерпателна информация, от предлагането на иновативни решения.</w:t>
      </w:r>
    </w:p>
    <w:p w14:paraId="21EA2421"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Доброто екологично състояние на морето ще осигурява достатъчно рибни ресурси и възможности за стабилен улов в рамките на максимално допустимите граници. Допълнителната държавна подкрепа и такава от европейските фондове ще допринесе за развитието и на преработвателната промишленост. </w:t>
      </w:r>
    </w:p>
    <w:p w14:paraId="2E78DAE2" w14:textId="77777777" w:rsidR="0055674E" w:rsidRPr="00610B1B" w:rsidRDefault="0055674E" w:rsidP="00B46189">
      <w:pPr>
        <w:numPr>
          <w:ilvl w:val="0"/>
          <w:numId w:val="20"/>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Съхранената екосистема на морето ще създаде дългосрочна и икономически обоснована среда за значими инвестиции в „зелени“ технологии като морски транспорт и енергетика.</w:t>
      </w:r>
    </w:p>
    <w:p w14:paraId="6D71E238" w14:textId="77777777" w:rsidR="0055674E" w:rsidRPr="00610B1B" w:rsidRDefault="0055674E" w:rsidP="00B46189">
      <w:pPr>
        <w:numPr>
          <w:ilvl w:val="0"/>
          <w:numId w:val="20"/>
        </w:numPr>
        <w:spacing w:after="120"/>
        <w:ind w:right="-153"/>
        <w:jc w:val="both"/>
        <w:rPr>
          <w:rFonts w:ascii="Times New Roman" w:eastAsia="Calibri" w:hAnsi="Times New Roman" w:cs="Times New Roman"/>
          <w:bCs/>
          <w:i/>
          <w:i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Обогатяването на палитрата на туристическия продукт с подходящи алтернативни, щадящи природата форми и използващи по-пълноценно местните ресурси ще привлекат нов тип туристи с по-различна култура и адекватно поведение.</w:t>
      </w:r>
    </w:p>
    <w:p w14:paraId="4500818B" w14:textId="77777777" w:rsidR="0055674E" w:rsidRPr="00610B1B" w:rsidRDefault="0055674E" w:rsidP="00D32D6A">
      <w:pPr>
        <w:spacing w:after="120"/>
        <w:ind w:right="-153"/>
        <w:jc w:val="both"/>
        <w:rPr>
          <w:rFonts w:ascii="Times New Roman" w:eastAsia="Calibri" w:hAnsi="Times New Roman" w:cs="Times New Roman"/>
          <w:bCs/>
          <w:i/>
          <w:iCs/>
          <w:color w:val="000000" w:themeColor="text1"/>
          <w:sz w:val="24"/>
          <w:szCs w:val="24"/>
          <w:lang w:val="bg-BG"/>
        </w:rPr>
      </w:pPr>
      <w:r w:rsidRPr="00610B1B">
        <w:rPr>
          <w:rFonts w:ascii="Times New Roman" w:eastAsia="Calibri" w:hAnsi="Times New Roman" w:cs="Times New Roman"/>
          <w:bCs/>
          <w:i/>
          <w:iCs/>
          <w:color w:val="000000" w:themeColor="text1"/>
          <w:sz w:val="24"/>
          <w:szCs w:val="24"/>
          <w:lang w:val="bg-BG"/>
        </w:rPr>
        <w:t xml:space="preserve">Технологични </w:t>
      </w:r>
      <w:r w:rsidRPr="00610B1B">
        <w:rPr>
          <w:rFonts w:ascii="Times New Roman" w:eastAsia="Calibri" w:hAnsi="Times New Roman" w:cs="Times New Roman"/>
          <w:bCs/>
          <w:iCs/>
          <w:color w:val="000000" w:themeColor="text1"/>
          <w:sz w:val="24"/>
          <w:szCs w:val="24"/>
          <w:lang w:val="bg-BG"/>
        </w:rPr>
        <w:t>движещи сили:</w:t>
      </w:r>
    </w:p>
    <w:p w14:paraId="3F768D6F" w14:textId="77777777" w:rsidR="0055674E" w:rsidRPr="00610B1B" w:rsidRDefault="0055674E" w:rsidP="00B46189">
      <w:pPr>
        <w:numPr>
          <w:ilvl w:val="0"/>
          <w:numId w:val="35"/>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Изследванията и иновациите са насочени предимно към природосъобразни технологии. В туризма се развиват и оползотворяват еко-иновациите, увеличава се значението и предлагането на продукти за екотуризъм и културен туризъм. Превес в транспортната модалност добиват алтернативни форми на придвижване, което не замърсява околната среда.</w:t>
      </w:r>
      <w:r w:rsidRPr="00610B1B">
        <w:rPr>
          <w:rFonts w:ascii="Times New Roman" w:eastAsia="Calibri" w:hAnsi="Times New Roman" w:cs="Times New Roman"/>
          <w:color w:val="000000" w:themeColor="text1"/>
          <w:lang w:val="bg-BG"/>
        </w:rPr>
        <w:t xml:space="preserve"> </w:t>
      </w:r>
    </w:p>
    <w:p w14:paraId="421CB04B" w14:textId="77777777" w:rsidR="0055674E" w:rsidRPr="00610B1B" w:rsidRDefault="0055674E" w:rsidP="00B46189">
      <w:pPr>
        <w:numPr>
          <w:ilvl w:val="0"/>
          <w:numId w:val="35"/>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Технологичното обновяване на пристанищата, на риболовните кораби, на инсталациите и съоръженията за отглеждане на аквакултури, за изследвания и проучвания в морето, ще открият нови ниши и нов тип работни места, ще намалят отрицателните последици от дейности в морето.</w:t>
      </w:r>
    </w:p>
    <w:p w14:paraId="61A40656" w14:textId="77777777" w:rsidR="0055674E" w:rsidRPr="00610B1B" w:rsidRDefault="0055674E" w:rsidP="00B46189">
      <w:pPr>
        <w:numPr>
          <w:ilvl w:val="0"/>
          <w:numId w:val="35"/>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Подкрепата за образованието в целия обхват от началните и основните училища до регионалните университети е база за изграждане на компетенции и умения в младите поколения, предпоставка за развитие на иновативно предприемачество по цялото крайбрежие, за повишаване на културата в използването на морето и създаване на адекватно отношение към тази изключителна ценност за България.</w:t>
      </w:r>
    </w:p>
    <w:p w14:paraId="6C93E9F4"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 xml:space="preserve">Социалните </w:t>
      </w:r>
      <w:r w:rsidRPr="00610B1B">
        <w:rPr>
          <w:rFonts w:ascii="Times New Roman" w:eastAsia="Calibri" w:hAnsi="Times New Roman" w:cs="Times New Roman"/>
          <w:bCs/>
          <w:color w:val="000000" w:themeColor="text1"/>
          <w:sz w:val="24"/>
          <w:szCs w:val="24"/>
          <w:lang w:val="bg-BG"/>
        </w:rPr>
        <w:t>движещи сили:</w:t>
      </w:r>
    </w:p>
    <w:p w14:paraId="0183383F" w14:textId="77777777"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На фона на негативните демографски прогнози в националното пространство, Варна и Бургас задържат населението си, осигурявайки достатъчна квалифицирана работна ръка за развитие на мощни индустриални центрове и сини икономики.</w:t>
      </w:r>
    </w:p>
    <w:p w14:paraId="22116D14" w14:textId="77777777"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Благодарение на постигнатия добър екологичен статус, крайбрежието ще стане атрактивно не само за рекреация, но и за заселване на хора, ценящи природните </w:t>
      </w:r>
      <w:r w:rsidRPr="00610B1B">
        <w:rPr>
          <w:rFonts w:ascii="Times New Roman" w:eastAsia="Calibri" w:hAnsi="Times New Roman" w:cs="Times New Roman"/>
          <w:bCs/>
          <w:color w:val="000000" w:themeColor="text1"/>
          <w:sz w:val="24"/>
          <w:szCs w:val="24"/>
          <w:lang w:val="bg-BG"/>
        </w:rPr>
        <w:lastRenderedPageBreak/>
        <w:t xml:space="preserve">аспекти в стандарта си на живот, с което ще се редуцират диспропорциите в разпределението на населението. </w:t>
      </w:r>
    </w:p>
    <w:p w14:paraId="119267D8" w14:textId="62005B9E"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Благодарение на общата социално-икономическа политика на държавата, демографските показатели се стабилизират и постепенно </w:t>
      </w:r>
      <w:r w:rsidR="005D5EFC" w:rsidRPr="00610B1B">
        <w:rPr>
          <w:rFonts w:ascii="Times New Roman" w:eastAsia="Calibri" w:hAnsi="Times New Roman" w:cs="Times New Roman"/>
          <w:bCs/>
          <w:color w:val="000000" w:themeColor="text1"/>
          <w:sz w:val="24"/>
          <w:szCs w:val="24"/>
          <w:lang w:val="bg-BG"/>
        </w:rPr>
        <w:t xml:space="preserve">се </w:t>
      </w:r>
      <w:r w:rsidRPr="00610B1B">
        <w:rPr>
          <w:rFonts w:ascii="Times New Roman" w:eastAsia="Calibri" w:hAnsi="Times New Roman" w:cs="Times New Roman"/>
          <w:bCs/>
          <w:color w:val="000000" w:themeColor="text1"/>
          <w:sz w:val="24"/>
          <w:szCs w:val="24"/>
          <w:lang w:val="bg-BG"/>
        </w:rPr>
        <w:t>подобр</w:t>
      </w:r>
      <w:r w:rsidR="005D5EFC" w:rsidRPr="00610B1B">
        <w:rPr>
          <w:rFonts w:ascii="Times New Roman" w:eastAsia="Calibri" w:hAnsi="Times New Roman" w:cs="Times New Roman"/>
          <w:bCs/>
          <w:color w:val="000000" w:themeColor="text1"/>
          <w:sz w:val="24"/>
          <w:szCs w:val="24"/>
          <w:lang w:val="bg-BG"/>
        </w:rPr>
        <w:t>яват</w:t>
      </w:r>
      <w:r w:rsidRPr="00610B1B">
        <w:rPr>
          <w:rFonts w:ascii="Times New Roman" w:eastAsia="Calibri" w:hAnsi="Times New Roman" w:cs="Times New Roman"/>
          <w:bCs/>
          <w:color w:val="000000" w:themeColor="text1"/>
          <w:sz w:val="24"/>
          <w:szCs w:val="24"/>
          <w:lang w:val="bg-BG"/>
        </w:rPr>
        <w:t xml:space="preserve"> – увелича</w:t>
      </w:r>
      <w:r w:rsidR="005D5EFC" w:rsidRPr="00610B1B">
        <w:rPr>
          <w:rFonts w:ascii="Times New Roman" w:eastAsia="Calibri" w:hAnsi="Times New Roman" w:cs="Times New Roman"/>
          <w:bCs/>
          <w:color w:val="000000" w:themeColor="text1"/>
          <w:sz w:val="24"/>
          <w:szCs w:val="24"/>
          <w:lang w:val="bg-BG"/>
        </w:rPr>
        <w:t xml:space="preserve">ват се </w:t>
      </w:r>
      <w:r w:rsidRPr="00610B1B">
        <w:rPr>
          <w:rFonts w:ascii="Times New Roman" w:eastAsia="Calibri" w:hAnsi="Times New Roman" w:cs="Times New Roman"/>
          <w:bCs/>
          <w:color w:val="000000" w:themeColor="text1"/>
          <w:sz w:val="24"/>
          <w:szCs w:val="24"/>
          <w:lang w:val="bg-BG"/>
        </w:rPr>
        <w:t>продължителност</w:t>
      </w:r>
      <w:r w:rsidR="005D5EFC" w:rsidRPr="00610B1B">
        <w:rPr>
          <w:rFonts w:ascii="Times New Roman" w:eastAsia="Calibri" w:hAnsi="Times New Roman" w:cs="Times New Roman"/>
          <w:bCs/>
          <w:color w:val="000000" w:themeColor="text1"/>
          <w:sz w:val="24"/>
          <w:szCs w:val="24"/>
          <w:lang w:val="bg-BG"/>
        </w:rPr>
        <w:t>та</w:t>
      </w:r>
      <w:r w:rsidRPr="00610B1B">
        <w:rPr>
          <w:rFonts w:ascii="Times New Roman" w:eastAsia="Calibri" w:hAnsi="Times New Roman" w:cs="Times New Roman"/>
          <w:bCs/>
          <w:color w:val="000000" w:themeColor="text1"/>
          <w:sz w:val="24"/>
          <w:szCs w:val="24"/>
          <w:lang w:val="bg-BG"/>
        </w:rPr>
        <w:t xml:space="preserve"> на живота </w:t>
      </w:r>
      <w:r w:rsidR="005D5EFC" w:rsidRPr="00610B1B">
        <w:rPr>
          <w:rFonts w:ascii="Times New Roman" w:eastAsia="Calibri" w:hAnsi="Times New Roman" w:cs="Times New Roman"/>
          <w:bCs/>
          <w:color w:val="000000" w:themeColor="text1"/>
          <w:sz w:val="24"/>
          <w:szCs w:val="24"/>
          <w:lang w:val="bg-BG"/>
        </w:rPr>
        <w:t>и</w:t>
      </w:r>
      <w:r w:rsidRPr="00610B1B">
        <w:rPr>
          <w:rFonts w:ascii="Times New Roman" w:eastAsia="Calibri" w:hAnsi="Times New Roman" w:cs="Times New Roman"/>
          <w:bCs/>
          <w:color w:val="000000" w:themeColor="text1"/>
          <w:sz w:val="24"/>
          <w:szCs w:val="24"/>
          <w:lang w:val="bg-BG"/>
        </w:rPr>
        <w:t xml:space="preserve"> раждаемост</w:t>
      </w:r>
      <w:r w:rsidR="005D5EFC" w:rsidRPr="00610B1B">
        <w:rPr>
          <w:rFonts w:ascii="Times New Roman" w:eastAsia="Calibri" w:hAnsi="Times New Roman" w:cs="Times New Roman"/>
          <w:bCs/>
          <w:color w:val="000000" w:themeColor="text1"/>
          <w:sz w:val="24"/>
          <w:szCs w:val="24"/>
          <w:lang w:val="bg-BG"/>
        </w:rPr>
        <w:t>та, намалява детската смъртност</w:t>
      </w:r>
      <w:r w:rsidRPr="00610B1B">
        <w:rPr>
          <w:rFonts w:ascii="Times New Roman" w:eastAsia="Calibri" w:hAnsi="Times New Roman" w:cs="Times New Roman"/>
          <w:bCs/>
          <w:color w:val="000000" w:themeColor="text1"/>
          <w:sz w:val="24"/>
          <w:szCs w:val="24"/>
          <w:lang w:val="bg-BG"/>
        </w:rPr>
        <w:t>.</w:t>
      </w:r>
    </w:p>
    <w:p w14:paraId="38A684B3" w14:textId="77777777" w:rsidR="0055674E" w:rsidRPr="00610B1B" w:rsidRDefault="0055674E" w:rsidP="00B46189">
      <w:pPr>
        <w:numPr>
          <w:ilvl w:val="0"/>
          <w:numId w:val="22"/>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Ще се съхранят, а където е възможно, ще се възродят традиционни производства и занаяти, ще се засилят фамилните връзки между поколенията и идентичността на местните общности.</w:t>
      </w:r>
    </w:p>
    <w:p w14:paraId="673DA433" w14:textId="77777777" w:rsidR="0055674E" w:rsidRPr="00610B1B" w:rsidRDefault="0055674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i/>
          <w:color w:val="000000" w:themeColor="text1"/>
          <w:sz w:val="24"/>
          <w:szCs w:val="24"/>
          <w:lang w:val="bg-BG"/>
        </w:rPr>
        <w:t>Екологични и природни</w:t>
      </w:r>
      <w:r w:rsidRPr="00610B1B">
        <w:rPr>
          <w:rFonts w:ascii="Times New Roman" w:eastAsia="Calibri" w:hAnsi="Times New Roman" w:cs="Times New Roman"/>
          <w:bCs/>
          <w:color w:val="000000" w:themeColor="text1"/>
          <w:sz w:val="24"/>
          <w:szCs w:val="24"/>
          <w:lang w:val="bg-BG"/>
        </w:rPr>
        <w:t xml:space="preserve"> условия:</w:t>
      </w:r>
    </w:p>
    <w:p w14:paraId="42D12087" w14:textId="65ADF839" w:rsidR="0055674E" w:rsidRPr="00610B1B" w:rsidRDefault="0055674E" w:rsidP="00B46189">
      <w:pPr>
        <w:pStyle w:val="ListParagraph"/>
        <w:numPr>
          <w:ilvl w:val="0"/>
          <w:numId w:val="21"/>
        </w:numPr>
        <w:spacing w:after="120"/>
        <w:ind w:right="-153"/>
        <w:contextualSpacing w:val="0"/>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Постигнато е и се поддържа добро състояние на морската среда, високо биологично разнообразие и добър консервационен статус на застрашените видове и техните местообитания.</w:t>
      </w:r>
      <w:r w:rsidR="00D66FE0" w:rsidRPr="00610B1B">
        <w:rPr>
          <w:rFonts w:ascii="Times New Roman" w:eastAsia="Calibri" w:hAnsi="Times New Roman" w:cs="Times New Roman"/>
          <w:bCs/>
          <w:color w:val="000000" w:themeColor="text1"/>
          <w:sz w:val="24"/>
          <w:szCs w:val="24"/>
          <w:lang w:val="bg-BG"/>
        </w:rPr>
        <w:t xml:space="preserve"> </w:t>
      </w:r>
      <w:r w:rsidRPr="00610B1B">
        <w:rPr>
          <w:rFonts w:ascii="Times New Roman" w:eastAsia="Calibri" w:hAnsi="Times New Roman" w:cs="Times New Roman"/>
          <w:bCs/>
          <w:color w:val="000000" w:themeColor="text1"/>
          <w:sz w:val="24"/>
          <w:szCs w:val="24"/>
          <w:lang w:val="bg-BG"/>
        </w:rPr>
        <w:t>Замърсяващите вещества са в концентрации, които не увреждат морските екосистеми.</w:t>
      </w:r>
    </w:p>
    <w:p w14:paraId="6BD9B960"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Благодарение на национални мерки и международно сътрудничество в Черноморския басейн, възможните последствия от климатичните промени по морското крайбрежие са редуцирани и са въведени адекватни мерки за адаптация.</w:t>
      </w:r>
    </w:p>
    <w:p w14:paraId="1AA98C04"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Природните ресурси на морето и крайбрежието се оползотворяват в рамките на границите за устойчиво възпроизводство и при спазването на съвременните екологични стандарти. За целта се налагат и спазват нормите за улов на риба, за максимално антропогенно натоварване на плажните ивици и др.</w:t>
      </w:r>
    </w:p>
    <w:p w14:paraId="756D3DE8" w14:textId="77777777" w:rsidR="0055674E" w:rsidRPr="00610B1B" w:rsidRDefault="0055674E" w:rsidP="00B46189">
      <w:pPr>
        <w:numPr>
          <w:ilvl w:val="0"/>
          <w:numId w:val="21"/>
        </w:num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Превантивните мерки по отношение на бреговите свлачища, абразията и ерозията се засилват, инвестициите в предотвратяване на природни бедствия и за отстраняване на щети от антропогенна дейност се увеличават. </w:t>
      </w:r>
    </w:p>
    <w:p w14:paraId="7AECDFEB" w14:textId="22A79F16" w:rsidR="0055674E" w:rsidRPr="00610B1B" w:rsidRDefault="0055674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Общата идея на сценария е да се координират всички секторни политики на морските индустрии, за да се постигне устойчиво ползване на Черно море и на екосистемните му услуги, в името на устойчивото развитие на местните общности. Първият обхват е до границите на изключителната икономическа зона на България, а вторият – целият черноморски </w:t>
      </w:r>
      <w:r w:rsidR="002A78FB" w:rsidRPr="00610B1B">
        <w:rPr>
          <w:rFonts w:ascii="Times New Roman" w:eastAsia="Calibri" w:hAnsi="Times New Roman" w:cs="Times New Roman"/>
          <w:color w:val="000000" w:themeColor="text1"/>
          <w:sz w:val="24"/>
          <w:szCs w:val="24"/>
          <w:lang w:val="bg-BG"/>
        </w:rPr>
        <w:t>регион</w:t>
      </w:r>
      <w:r w:rsidRPr="00610B1B">
        <w:rPr>
          <w:rFonts w:ascii="Times New Roman" w:eastAsia="Calibri" w:hAnsi="Times New Roman" w:cs="Times New Roman"/>
          <w:color w:val="000000" w:themeColor="text1"/>
          <w:sz w:val="24"/>
          <w:szCs w:val="24"/>
          <w:lang w:val="bg-BG"/>
        </w:rPr>
        <w:t>. Предвид пространствените ограничения на прерогативите на българския МПП и отсъствието на междудържавни спогодби в контекста на желаното развитие, този сценарий се развива само за българското морско пространство, но следвайки всички насоки на интегрираната морска политика (ИМП) на ЕС.</w:t>
      </w:r>
    </w:p>
    <w:p w14:paraId="6C573746" w14:textId="77777777" w:rsidR="0055674E" w:rsidRPr="00610B1B" w:rsidRDefault="0055674E" w:rsidP="00D32D6A">
      <w:pPr>
        <w:spacing w:after="120"/>
        <w:ind w:right="-153"/>
        <w:jc w:val="both"/>
        <w:rPr>
          <w:rFonts w:ascii="Times New Roman" w:eastAsia="Calibri" w:hAnsi="Times New Roman" w:cs="Times New Roman"/>
          <w:b/>
          <w:bCs/>
          <w:color w:val="000000" w:themeColor="text1"/>
          <w:sz w:val="24"/>
          <w:szCs w:val="24"/>
          <w:lang w:val="bg-BG"/>
        </w:rPr>
      </w:pPr>
      <w:r w:rsidRPr="00610B1B">
        <w:rPr>
          <w:rFonts w:ascii="Times New Roman" w:eastAsia="Calibri" w:hAnsi="Times New Roman" w:cs="Times New Roman"/>
          <w:b/>
          <w:bCs/>
          <w:color w:val="000000" w:themeColor="text1"/>
          <w:sz w:val="24"/>
          <w:szCs w:val="24"/>
          <w:lang w:val="bg-BG"/>
        </w:rPr>
        <w:t>Вероятни въздействия върху околната среда по сектори от морската икономика при прилагането на Сценарий D</w:t>
      </w:r>
    </w:p>
    <w:p w14:paraId="68F070D6" w14:textId="75C933FD"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cs="Times New Roman"/>
          <w:bCs/>
          <w:i/>
          <w:iCs/>
          <w:color w:val="000000" w:themeColor="text1"/>
          <w:lang w:eastAsia="en-US" w:bidi="ar-SA"/>
        </w:rPr>
        <w:t>Морски транспорт</w:t>
      </w:r>
      <w:r w:rsidRPr="00610B1B">
        <w:rPr>
          <w:rFonts w:cs="Times New Roman"/>
          <w:bCs/>
          <w:color w:val="000000" w:themeColor="text1"/>
          <w:lang w:eastAsia="en-US" w:bidi="ar-SA"/>
        </w:rPr>
        <w:t xml:space="preserve"> – </w:t>
      </w:r>
      <w:r w:rsidR="00A17F38" w:rsidRPr="00610B1B">
        <w:rPr>
          <w:rFonts w:cs="Times New Roman"/>
          <w:bCs/>
          <w:color w:val="000000" w:themeColor="text1"/>
          <w:lang w:eastAsia="en-US" w:bidi="ar-SA"/>
        </w:rPr>
        <w:t xml:space="preserve">Корабните </w:t>
      </w:r>
      <w:r w:rsidRPr="00610B1B">
        <w:rPr>
          <w:rFonts w:cs="Times New Roman"/>
          <w:bCs/>
          <w:color w:val="000000" w:themeColor="text1"/>
          <w:lang w:eastAsia="en-US" w:bidi="ar-SA"/>
        </w:rPr>
        <w:t xml:space="preserve">маршрути заобикалят изградената мрежа от представителни защитени територии, което намалява въздействието от подводния шум, нараняване или смъртност при сблъсък </w:t>
      </w:r>
      <w:r w:rsidR="002A78FB" w:rsidRPr="00610B1B">
        <w:rPr>
          <w:rFonts w:cs="Times New Roman"/>
          <w:bCs/>
          <w:color w:val="000000" w:themeColor="text1"/>
          <w:lang w:eastAsia="en-US" w:bidi="ar-SA"/>
        </w:rPr>
        <w:t>с</w:t>
      </w:r>
      <w:r w:rsidRPr="00610B1B">
        <w:rPr>
          <w:rFonts w:cs="Times New Roman"/>
          <w:bCs/>
          <w:color w:val="000000" w:themeColor="text1"/>
          <w:lang w:eastAsia="en-US" w:bidi="ar-SA"/>
        </w:rPr>
        <w:t xml:space="preserve"> морски риби и бозайници. Създаденият регистър на подводния шум, макар и необходима първа стъпка за установяване на степента на натиск върху морската среда, не е достатъчна мярка за подобряване на условията за съществуване на морските риби и бозайници. Използването по-тихите турбо-</w:t>
      </w:r>
      <w:r w:rsidRPr="00610B1B">
        <w:rPr>
          <w:rFonts w:cs="Times New Roman"/>
          <w:bCs/>
          <w:color w:val="000000" w:themeColor="text1"/>
          <w:lang w:eastAsia="en-US" w:bidi="ar-SA"/>
        </w:rPr>
        <w:lastRenderedPageBreak/>
        <w:t xml:space="preserve">електрически двигатели е потенциално решение за редуциране на подводния шум при строителството на нови кораби. </w:t>
      </w:r>
      <w:r w:rsidR="00640742" w:rsidRPr="00610B1B">
        <w:rPr>
          <w:rFonts w:cs="Times New Roman"/>
          <w:bCs/>
          <w:color w:val="000000" w:themeColor="text1"/>
          <w:lang w:eastAsia="en-US" w:bidi="ar-SA"/>
        </w:rPr>
        <w:t>Икономически най-</w:t>
      </w:r>
      <w:r w:rsidRPr="00610B1B">
        <w:rPr>
          <w:rFonts w:cs="Times New Roman"/>
          <w:bCs/>
          <w:color w:val="000000" w:themeColor="text1"/>
          <w:lang w:eastAsia="en-US" w:bidi="ar-SA"/>
        </w:rPr>
        <w:t xml:space="preserve">целесъобразната първа стъпка е оборудването на вече съществуващи търговски и военни кораби с такива двигатели. В по-дългосрочен план, съществуват възможности за синергия между корабостроенето, военноморските сили и опазването на околната среда под формата на научно-изследователски и приложни проекти за развитието на по-модерни </w:t>
      </w:r>
      <w:r w:rsidR="00A17F38" w:rsidRPr="00610B1B">
        <w:rPr>
          <w:rFonts w:cs="Times New Roman"/>
          <w:bCs/>
          <w:color w:val="000000" w:themeColor="text1"/>
          <w:lang w:eastAsia="en-US" w:bidi="ar-SA"/>
        </w:rPr>
        <w:t>двигатели</w:t>
      </w:r>
      <w:r w:rsidRPr="00610B1B">
        <w:rPr>
          <w:rFonts w:cs="Times New Roman"/>
          <w:bCs/>
          <w:color w:val="000000" w:themeColor="text1"/>
          <w:lang w:eastAsia="en-US" w:bidi="ar-SA"/>
        </w:rPr>
        <w:t>, а с увеличаване на енергийната плътност на батериите и на изцяло електрически задвижващи механизми. Това ще допринесе за възраждане на сектора „корабостроене и кораборемонт“ и постигане на добро състояние на морската среда.</w:t>
      </w:r>
    </w:p>
    <w:p w14:paraId="6B25BE0C" w14:textId="5D1B3CAE" w:rsidR="0055674E" w:rsidRPr="00610B1B" w:rsidRDefault="00DD6CD4" w:rsidP="00D32D6A">
      <w:pPr>
        <w:pStyle w:val="BodyText"/>
        <w:spacing w:before="0" w:after="120" w:line="276" w:lineRule="auto"/>
        <w:ind w:right="-153"/>
        <w:rPr>
          <w:rFonts w:eastAsia="Calibri" w:cs="Times New Roman"/>
          <w:color w:val="000000" w:themeColor="text1"/>
          <w:lang w:eastAsia="en-US" w:bidi="ar-SA"/>
        </w:rPr>
      </w:pPr>
      <w:r w:rsidRPr="00610B1B">
        <w:rPr>
          <w:rFonts w:cs="Times New Roman"/>
          <w:bCs/>
          <w:i/>
          <w:iCs/>
          <w:color w:val="000000" w:themeColor="text1"/>
          <w:lang w:eastAsia="en-US" w:bidi="ar-SA"/>
        </w:rPr>
        <w:t>Стопански риболов</w:t>
      </w:r>
      <w:r w:rsidR="0055674E" w:rsidRPr="00610B1B">
        <w:rPr>
          <w:rFonts w:cs="Times New Roman"/>
          <w:bCs/>
          <w:color w:val="000000" w:themeColor="text1"/>
          <w:lang w:eastAsia="en-US" w:bidi="ar-SA"/>
        </w:rPr>
        <w:t xml:space="preserve"> – </w:t>
      </w:r>
      <w:r w:rsidR="00A17F38" w:rsidRPr="00610B1B">
        <w:rPr>
          <w:rFonts w:cs="Times New Roman"/>
          <w:bCs/>
          <w:color w:val="000000" w:themeColor="text1"/>
          <w:lang w:eastAsia="en-US" w:bidi="ar-SA"/>
        </w:rPr>
        <w:t xml:space="preserve">Натискът </w:t>
      </w:r>
      <w:r w:rsidR="0055674E" w:rsidRPr="00610B1B">
        <w:rPr>
          <w:rFonts w:cs="Times New Roman"/>
          <w:bCs/>
          <w:color w:val="000000" w:themeColor="text1"/>
          <w:lang w:eastAsia="en-US" w:bidi="ar-SA"/>
        </w:rPr>
        <w:t>е не само в района на Варненския и Бургаския залив, но и извън тях. Издават се разрешителни само при доказано използване на щадящи околната среда методи и практики</w:t>
      </w:r>
      <w:r w:rsidR="001A625C" w:rsidRPr="00610B1B">
        <w:rPr>
          <w:rFonts w:cs="Times New Roman"/>
          <w:bCs/>
          <w:color w:val="000000" w:themeColor="text1"/>
          <w:lang w:eastAsia="en-US" w:bidi="ar-SA"/>
        </w:rPr>
        <w:t xml:space="preserve">, а </w:t>
      </w:r>
      <w:r w:rsidR="0055674E" w:rsidRPr="00610B1B">
        <w:rPr>
          <w:rFonts w:cs="Times New Roman"/>
          <w:bCs/>
          <w:color w:val="000000" w:themeColor="text1"/>
          <w:lang w:eastAsia="en-US" w:bidi="ar-SA"/>
        </w:rPr>
        <w:t>дребномащабния</w:t>
      </w:r>
      <w:r w:rsidR="001A625C" w:rsidRPr="00610B1B">
        <w:rPr>
          <w:rFonts w:cs="Times New Roman"/>
          <w:bCs/>
          <w:color w:val="000000" w:themeColor="text1"/>
          <w:lang w:eastAsia="en-US" w:bidi="ar-SA"/>
        </w:rPr>
        <w:t>т риболов е</w:t>
      </w:r>
      <w:r w:rsidR="0055674E" w:rsidRPr="00610B1B">
        <w:rPr>
          <w:rFonts w:cs="Times New Roman"/>
          <w:bCs/>
          <w:color w:val="000000" w:themeColor="text1"/>
          <w:lang w:eastAsia="en-US" w:bidi="ar-SA"/>
        </w:rPr>
        <w:t xml:space="preserve"> пространствено ограничен в крайбрежната зона и извън размножителния сезон, пролет и есен, в зависимост от вида. Част от пазарното търсене се осигурява от високо технологични морски аквакултури и биотехнологии. Възстановяването на рибните запаси допринася за възстановяването </w:t>
      </w:r>
      <w:r w:rsidR="001A625C" w:rsidRPr="00610B1B">
        <w:rPr>
          <w:rFonts w:cs="Times New Roman"/>
          <w:bCs/>
          <w:color w:val="000000" w:themeColor="text1"/>
          <w:lang w:eastAsia="en-US" w:bidi="ar-SA"/>
        </w:rPr>
        <w:t xml:space="preserve">и </w:t>
      </w:r>
      <w:r w:rsidR="0055674E" w:rsidRPr="00610B1B">
        <w:rPr>
          <w:rFonts w:cs="Times New Roman"/>
          <w:bCs/>
          <w:color w:val="000000" w:themeColor="text1"/>
          <w:lang w:eastAsia="en-US" w:bidi="ar-SA"/>
        </w:rPr>
        <w:t>на морските птици и бозайници.</w:t>
      </w:r>
    </w:p>
    <w:p w14:paraId="21F8B950" w14:textId="3BA41BA6"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cs="Times New Roman"/>
          <w:bCs/>
          <w:i/>
          <w:iCs/>
          <w:color w:val="000000" w:themeColor="text1"/>
          <w:lang w:eastAsia="en-US" w:bidi="ar-SA"/>
        </w:rPr>
        <w:t>Морски аквакултури</w:t>
      </w:r>
      <w:r w:rsidRPr="00610B1B">
        <w:rPr>
          <w:rFonts w:cs="Times New Roman"/>
          <w:bCs/>
          <w:color w:val="000000" w:themeColor="text1"/>
          <w:lang w:eastAsia="en-US" w:bidi="ar-SA"/>
        </w:rPr>
        <w:t xml:space="preserve"> - </w:t>
      </w:r>
      <w:r w:rsidR="00A17F38" w:rsidRPr="00610B1B">
        <w:rPr>
          <w:rFonts w:cs="Times New Roman"/>
          <w:bCs/>
          <w:color w:val="000000" w:themeColor="text1"/>
          <w:lang w:eastAsia="en-US" w:bidi="ar-SA"/>
        </w:rPr>
        <w:t xml:space="preserve">Развиват </w:t>
      </w:r>
      <w:r w:rsidRPr="00610B1B">
        <w:rPr>
          <w:rFonts w:cs="Times New Roman"/>
          <w:bCs/>
          <w:color w:val="000000" w:themeColor="text1"/>
          <w:lang w:eastAsia="en-US" w:bidi="ar-SA"/>
        </w:rPr>
        <w:t xml:space="preserve">се традиционните ферми за миди, както и мултитрофни аквакултури, съчетаващи рибни и нерибни видове (черупчести видове, морски водорасли) в крайбрежните води, териториалното море и изключителната икономическа зона. Това намалява зависимостта от естествените рибни запаси и допринася за тяхното възстановяване. Пазарното търсене на дънни и пелагични видове риби, които са обект на </w:t>
      </w:r>
      <w:r w:rsidR="00DD6CD4" w:rsidRPr="00610B1B">
        <w:rPr>
          <w:rFonts w:cs="Times New Roman"/>
          <w:bCs/>
          <w:color w:val="000000" w:themeColor="text1"/>
          <w:lang w:eastAsia="en-US" w:bidi="ar-SA"/>
        </w:rPr>
        <w:t>стопански риболов</w:t>
      </w:r>
      <w:r w:rsidRPr="00610B1B">
        <w:rPr>
          <w:rFonts w:cs="Times New Roman"/>
          <w:bCs/>
          <w:color w:val="000000" w:themeColor="text1"/>
          <w:lang w:eastAsia="en-US" w:bidi="ar-SA"/>
        </w:rPr>
        <w:t xml:space="preserve"> (например калкан), от една страна, и строгият контрол върху рибните запаси от друга, принуждават изнасяне на част от дейността на сушата под формата на ферми за изкуствено развъждане на калкан и други видове риби. Това създава работни места и подпомага развитието на научните изследвания в сектора „</w:t>
      </w:r>
      <w:r w:rsidR="00456EF6" w:rsidRPr="00610B1B">
        <w:rPr>
          <w:rFonts w:cs="Times New Roman"/>
          <w:bCs/>
          <w:color w:val="000000" w:themeColor="text1"/>
          <w:lang w:eastAsia="en-US" w:bidi="ar-SA"/>
        </w:rPr>
        <w:t xml:space="preserve">Рибарство </w:t>
      </w:r>
      <w:r w:rsidRPr="00610B1B">
        <w:rPr>
          <w:rFonts w:cs="Times New Roman"/>
          <w:bCs/>
          <w:color w:val="000000" w:themeColor="text1"/>
          <w:lang w:eastAsia="en-US" w:bidi="ar-SA"/>
        </w:rPr>
        <w:t>и аквакултури“. Част от рибните ларви се връщат обратно в морето и възстановяват рибните запаси. Друга част се отглеждат в плоскодънни мрежи в крайбрежната зона, с което се задоволяват изискванията на пазара. Предварителни проучвания върху ветровото вълнение и теченията позволяват разполагане на колекторите за миди и рибните ферми в открити спрямо ветровото вълнение и течения участъци от брега, с което се осигурява отделяне на отпадъчните продукти от култивацията по естествен път.</w:t>
      </w:r>
    </w:p>
    <w:p w14:paraId="5DE9FBB7" w14:textId="7C20EAD7"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cs="Times New Roman"/>
          <w:bCs/>
          <w:i/>
          <w:iCs/>
          <w:color w:val="000000" w:themeColor="text1"/>
          <w:lang w:eastAsia="en-US" w:bidi="ar-SA"/>
        </w:rPr>
        <w:t>Брегозащита</w:t>
      </w:r>
      <w:r w:rsidRPr="00610B1B">
        <w:rPr>
          <w:rFonts w:cs="Times New Roman"/>
          <w:bCs/>
          <w:color w:val="000000" w:themeColor="text1"/>
          <w:lang w:eastAsia="en-US" w:bidi="ar-SA"/>
        </w:rPr>
        <w:t xml:space="preserve"> – </w:t>
      </w:r>
      <w:r w:rsidR="00A17F38" w:rsidRPr="00610B1B">
        <w:rPr>
          <w:rFonts w:cs="Times New Roman"/>
          <w:bCs/>
          <w:color w:val="000000" w:themeColor="text1"/>
          <w:lang w:eastAsia="en-US" w:bidi="ar-SA"/>
        </w:rPr>
        <w:t xml:space="preserve">Използват </w:t>
      </w:r>
      <w:r w:rsidRPr="00610B1B">
        <w:rPr>
          <w:rFonts w:cs="Times New Roman"/>
          <w:bCs/>
          <w:color w:val="000000" w:themeColor="text1"/>
          <w:lang w:eastAsia="en-US" w:bidi="ar-SA"/>
        </w:rPr>
        <w:t>се само прекъснати схеми за брегозащита в уязвимите към абразия носови участъци. Спирането на абразията в тези участъци стабилизира плажните ивици в съседните заливни участъци поради естествения надлъжно-брегови транспорт на наноси от носовете към дъната на заливите. Познаването на биогеохимичния кръговрат в бреговата зона и прилагането му в брегозащитата намалява наносния дефицит. Използването на проницаеми вълноломи-рифове, които поддържат високопродуктивни рифообразуватели (екосистемни инженери) миди и други черупчести, помага за плажообразуване чрез фиксиране на атмосферния въглероден диоксид и превръщането му в инертен карбонатен детрит за образуване на черупчести и пясъчни плажни наноси. Чистите пристанищни акватории са източник на плажни седименти, които се използват повторно за намаляване на наносния дефицит при скалист бряг и подводен брегови склон, където твърди</w:t>
      </w:r>
      <w:r w:rsidR="00A17F38" w:rsidRPr="00610B1B">
        <w:rPr>
          <w:rFonts w:cs="Times New Roman"/>
          <w:bCs/>
          <w:color w:val="000000" w:themeColor="text1"/>
          <w:lang w:eastAsia="en-US" w:bidi="ar-SA"/>
        </w:rPr>
        <w:t>те</w:t>
      </w:r>
      <w:r w:rsidRPr="00610B1B">
        <w:rPr>
          <w:rFonts w:cs="Times New Roman"/>
          <w:bCs/>
          <w:color w:val="000000" w:themeColor="text1"/>
          <w:lang w:eastAsia="en-US" w:bidi="ar-SA"/>
        </w:rPr>
        <w:t xml:space="preserve"> брегозащитни съоръжения </w:t>
      </w:r>
      <w:r w:rsidR="00A17F38" w:rsidRPr="00610B1B">
        <w:rPr>
          <w:rFonts w:cs="Times New Roman"/>
          <w:bCs/>
          <w:color w:val="000000" w:themeColor="text1"/>
          <w:lang w:eastAsia="en-US" w:bidi="ar-SA"/>
        </w:rPr>
        <w:t>са</w:t>
      </w:r>
      <w:r w:rsidRPr="00610B1B">
        <w:rPr>
          <w:rFonts w:cs="Times New Roman"/>
          <w:bCs/>
          <w:color w:val="000000" w:themeColor="text1"/>
          <w:lang w:eastAsia="en-US" w:bidi="ar-SA"/>
        </w:rPr>
        <w:t xml:space="preserve"> екологично нецелесъобразн</w:t>
      </w:r>
      <w:r w:rsidR="00A17F38" w:rsidRPr="00610B1B">
        <w:rPr>
          <w:rFonts w:cs="Times New Roman"/>
          <w:bCs/>
          <w:color w:val="000000" w:themeColor="text1"/>
          <w:lang w:eastAsia="en-US" w:bidi="ar-SA"/>
        </w:rPr>
        <w:t>и</w:t>
      </w:r>
      <w:r w:rsidRPr="00610B1B">
        <w:rPr>
          <w:rFonts w:cs="Times New Roman"/>
          <w:bCs/>
          <w:color w:val="000000" w:themeColor="text1"/>
          <w:lang w:eastAsia="en-US" w:bidi="ar-SA"/>
        </w:rPr>
        <w:t xml:space="preserve"> поради </w:t>
      </w:r>
      <w:r w:rsidRPr="00610B1B">
        <w:rPr>
          <w:rFonts w:cs="Times New Roman"/>
          <w:bCs/>
          <w:color w:val="000000" w:themeColor="text1"/>
          <w:lang w:eastAsia="en-US" w:bidi="ar-SA"/>
        </w:rPr>
        <w:lastRenderedPageBreak/>
        <w:t>съществуването на естествени скални рифове.</w:t>
      </w:r>
    </w:p>
    <w:p w14:paraId="746A8A85" w14:textId="5660BC0F"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cs="Times New Roman"/>
          <w:bCs/>
          <w:i/>
          <w:iCs/>
          <w:color w:val="000000" w:themeColor="text1"/>
          <w:lang w:eastAsia="en-US" w:bidi="ar-SA"/>
        </w:rPr>
        <w:t>Крайбрежен и морски туризъм</w:t>
      </w:r>
      <w:r w:rsidRPr="00610B1B">
        <w:rPr>
          <w:rFonts w:cs="Times New Roman"/>
          <w:bCs/>
          <w:color w:val="000000" w:themeColor="text1"/>
          <w:lang w:eastAsia="en-US" w:bidi="ar-SA"/>
        </w:rPr>
        <w:t xml:space="preserve"> - </w:t>
      </w:r>
      <w:r w:rsidR="00A17F38" w:rsidRPr="00610B1B">
        <w:rPr>
          <w:rFonts w:cs="Times New Roman"/>
          <w:bCs/>
          <w:color w:val="000000" w:themeColor="text1"/>
          <w:lang w:eastAsia="en-US" w:bidi="ar-SA"/>
        </w:rPr>
        <w:t xml:space="preserve">Развитието </w:t>
      </w:r>
      <w:r w:rsidRPr="00610B1B">
        <w:rPr>
          <w:rFonts w:cs="Times New Roman"/>
          <w:bCs/>
          <w:color w:val="000000" w:themeColor="text1"/>
          <w:lang w:eastAsia="en-US" w:bidi="ar-SA"/>
        </w:rPr>
        <w:t xml:space="preserve">на крайбрежния и морски туризъм и в по-малките крайбрежни общини </w:t>
      </w:r>
      <w:r w:rsidR="00640742" w:rsidRPr="00610B1B">
        <w:rPr>
          <w:rFonts w:cs="Times New Roman"/>
          <w:bCs/>
          <w:color w:val="000000" w:themeColor="text1"/>
          <w:lang w:eastAsia="en-US" w:bidi="ar-SA"/>
        </w:rPr>
        <w:t>поражда интерес за</w:t>
      </w:r>
      <w:r w:rsidRPr="00610B1B">
        <w:rPr>
          <w:rFonts w:cs="Times New Roman"/>
          <w:bCs/>
          <w:color w:val="000000" w:themeColor="text1"/>
          <w:lang w:eastAsia="en-US" w:bidi="ar-SA"/>
        </w:rPr>
        <w:t xml:space="preserve"> изграждане на яхтени пристанища и брегозащитни съоръжения северно от н. Калиакра, в района на Камчия – Шкорпиловци, в райони, които все още не са засегнати от туристическа експанзия. В някои участъци естествените пясъчни дюни </w:t>
      </w:r>
      <w:r w:rsidR="00640742" w:rsidRPr="00610B1B">
        <w:rPr>
          <w:rFonts w:cs="Times New Roman"/>
          <w:bCs/>
          <w:color w:val="000000" w:themeColor="text1"/>
          <w:lang w:eastAsia="en-US" w:bidi="ar-SA"/>
        </w:rPr>
        <w:t>са</w:t>
      </w:r>
      <w:r w:rsidRPr="00610B1B">
        <w:rPr>
          <w:rFonts w:cs="Times New Roman"/>
          <w:bCs/>
          <w:color w:val="000000" w:themeColor="text1"/>
          <w:lang w:eastAsia="en-US" w:bidi="ar-SA"/>
        </w:rPr>
        <w:t xml:space="preserve"> необратимо разрушени поради икономически интереси. </w:t>
      </w:r>
      <w:r w:rsidR="00A17F38" w:rsidRPr="00610B1B">
        <w:rPr>
          <w:rFonts w:cs="Times New Roman"/>
          <w:bCs/>
          <w:color w:val="000000" w:themeColor="text1"/>
          <w:lang w:eastAsia="en-US" w:bidi="ar-SA"/>
        </w:rPr>
        <w:t xml:space="preserve">Това </w:t>
      </w:r>
      <w:r w:rsidRPr="00610B1B">
        <w:rPr>
          <w:rFonts w:cs="Times New Roman"/>
          <w:bCs/>
          <w:color w:val="000000" w:themeColor="text1"/>
          <w:lang w:eastAsia="en-US" w:bidi="ar-SA"/>
        </w:rPr>
        <w:t>влошава екологичните условия и естествената привлекателност на брега в райони за екологичен туризъм.</w:t>
      </w:r>
    </w:p>
    <w:p w14:paraId="365117DD" w14:textId="57A4283D"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eastAsia="Calibri" w:cs="Times New Roman"/>
          <w:i/>
          <w:iCs/>
          <w:color w:val="000000" w:themeColor="text1"/>
          <w:lang w:eastAsia="en-US" w:bidi="ar-SA"/>
        </w:rPr>
        <w:t>Морска енергетика</w:t>
      </w:r>
      <w:r w:rsidRPr="00610B1B">
        <w:rPr>
          <w:rFonts w:eastAsia="Calibri" w:cs="Times New Roman"/>
          <w:color w:val="000000" w:themeColor="text1"/>
          <w:lang w:eastAsia="en-US" w:bidi="ar-SA"/>
        </w:rPr>
        <w:t xml:space="preserve"> – </w:t>
      </w:r>
      <w:r w:rsidR="00A17F38" w:rsidRPr="00610B1B">
        <w:rPr>
          <w:rFonts w:eastAsia="Calibri" w:cs="Times New Roman"/>
          <w:color w:val="000000" w:themeColor="text1"/>
          <w:lang w:eastAsia="en-US" w:bidi="ar-SA"/>
        </w:rPr>
        <w:t xml:space="preserve">Насърчава </w:t>
      </w:r>
      <w:r w:rsidRPr="00610B1B">
        <w:rPr>
          <w:rFonts w:eastAsia="Calibri" w:cs="Times New Roman"/>
          <w:color w:val="000000" w:themeColor="text1"/>
          <w:lang w:eastAsia="en-US" w:bidi="ar-SA"/>
        </w:rPr>
        <w:t xml:space="preserve">се разработването на нови технологии за добив на енергия от вятъра, газовите хидрати и сероводорода. Запасите от нефт и газ се проучват, но се разглеждат като краен стратегически резерв. От една страна, това води до намаляване на натиска от проучванията за добив на нефт и газ, а от друга - до намаляване на въглеродния отпечатък на страната и смекчаване на въздействието върху измененията на климата. Сероводородът е практически неизчерпаем ресурс, който би осигурил енергийните нужди на промишлеността на </w:t>
      </w:r>
      <w:r w:rsidR="00A17F38" w:rsidRPr="00610B1B">
        <w:rPr>
          <w:rFonts w:eastAsia="Calibri" w:cs="Times New Roman"/>
          <w:color w:val="000000" w:themeColor="text1"/>
          <w:lang w:eastAsia="en-US" w:bidi="ar-SA"/>
        </w:rPr>
        <w:t xml:space="preserve">Черноморските </w:t>
      </w:r>
      <w:r w:rsidRPr="00610B1B">
        <w:rPr>
          <w:rFonts w:eastAsia="Calibri" w:cs="Times New Roman"/>
          <w:color w:val="000000" w:themeColor="text1"/>
          <w:lang w:eastAsia="en-US" w:bidi="ar-SA"/>
        </w:rPr>
        <w:t>държави.</w:t>
      </w:r>
    </w:p>
    <w:p w14:paraId="600D4363" w14:textId="22E63991"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eastAsia="Calibri" w:cs="Times New Roman"/>
          <w:i/>
          <w:iCs/>
          <w:color w:val="000000" w:themeColor="text1"/>
          <w:lang w:eastAsia="en-US" w:bidi="ar-SA"/>
        </w:rPr>
        <w:t>Научни изследвания</w:t>
      </w:r>
      <w:r w:rsidRPr="00610B1B">
        <w:rPr>
          <w:rFonts w:eastAsia="Calibri" w:cs="Times New Roman"/>
          <w:color w:val="000000" w:themeColor="text1"/>
          <w:lang w:eastAsia="en-US" w:bidi="ar-SA"/>
        </w:rPr>
        <w:t xml:space="preserve"> – „Черноморският дневен ред за стратегически научни изследвания и иновации“ обединява научните усилия на страните от Черноморския регион и </w:t>
      </w:r>
      <w:r w:rsidR="00640742" w:rsidRPr="00610B1B">
        <w:rPr>
          <w:rFonts w:eastAsia="Calibri" w:cs="Times New Roman"/>
          <w:color w:val="000000" w:themeColor="text1"/>
          <w:lang w:eastAsia="en-US" w:bidi="ar-SA"/>
        </w:rPr>
        <w:t>повишава сирнергичния ефект от прилагането им</w:t>
      </w:r>
      <w:r w:rsidRPr="00610B1B">
        <w:rPr>
          <w:rFonts w:eastAsia="Calibri" w:cs="Times New Roman"/>
          <w:color w:val="000000" w:themeColor="text1"/>
          <w:lang w:eastAsia="en-US" w:bidi="ar-SA"/>
        </w:rPr>
        <w:t xml:space="preserve">. В корабостроенето се изграждат нови, по-екологични плавателни съдове, резултат от сътрудничеството между научните институти и </w:t>
      </w:r>
      <w:r w:rsidR="00A17F38" w:rsidRPr="00610B1B">
        <w:rPr>
          <w:rFonts w:eastAsia="Calibri" w:cs="Times New Roman"/>
          <w:color w:val="000000" w:themeColor="text1"/>
          <w:lang w:eastAsia="en-US" w:bidi="ar-SA"/>
        </w:rPr>
        <w:t>бизнеса</w:t>
      </w:r>
      <w:r w:rsidR="001A625C" w:rsidRPr="00610B1B">
        <w:rPr>
          <w:rFonts w:eastAsia="Calibri" w:cs="Times New Roman"/>
          <w:color w:val="000000" w:themeColor="text1"/>
          <w:lang w:eastAsia="en-US" w:bidi="ar-SA"/>
        </w:rPr>
        <w:t>. Използват се нови, не</w:t>
      </w:r>
      <w:r w:rsidRPr="00610B1B">
        <w:rPr>
          <w:rFonts w:eastAsia="Calibri" w:cs="Times New Roman"/>
          <w:color w:val="000000" w:themeColor="text1"/>
          <w:lang w:eastAsia="en-US" w:bidi="ar-SA"/>
        </w:rPr>
        <w:t>смъртоносни и дистанционни методи за мониторинг на морски</w:t>
      </w:r>
      <w:r w:rsidR="00640742" w:rsidRPr="00610B1B">
        <w:rPr>
          <w:rFonts w:eastAsia="Calibri" w:cs="Times New Roman"/>
          <w:color w:val="000000" w:themeColor="text1"/>
          <w:lang w:eastAsia="en-US" w:bidi="ar-SA"/>
        </w:rPr>
        <w:t>те</w:t>
      </w:r>
      <w:r w:rsidRPr="00610B1B">
        <w:rPr>
          <w:rFonts w:eastAsia="Calibri" w:cs="Times New Roman"/>
          <w:color w:val="000000" w:themeColor="text1"/>
          <w:lang w:eastAsia="en-US" w:bidi="ar-SA"/>
        </w:rPr>
        <w:t xml:space="preserve"> организми. Създаването на мрежа от свързани морски защитени територии позволява синергия между опазването на морската околна среда и на археологическите обекти на морското дъно. Следвайки целите на ЕС до 2030 г. да се съкратят поне 49% от емисиите на парникови газове и да се увеличи дела на възобновяемата енергия поне до 32%, в морските пространства са реализирани научни и пилотни проекти за разработване на по-перспективните възобновяеми енергийни източници, което намалява въглеродния отпечатък от дейността.</w:t>
      </w:r>
    </w:p>
    <w:p w14:paraId="77DF1F74" w14:textId="452FF0AE"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eastAsia="Calibri" w:cs="Times New Roman"/>
          <w:i/>
          <w:iCs/>
          <w:color w:val="000000" w:themeColor="text1"/>
          <w:lang w:eastAsia="en-US" w:bidi="ar-SA"/>
        </w:rPr>
        <w:t>Взаимодействие суша-море</w:t>
      </w:r>
      <w:r w:rsidRPr="00610B1B">
        <w:rPr>
          <w:rFonts w:eastAsia="Calibri" w:cs="Times New Roman"/>
          <w:color w:val="000000" w:themeColor="text1"/>
          <w:lang w:eastAsia="en-US" w:bidi="ar-SA"/>
        </w:rPr>
        <w:t xml:space="preserve"> - </w:t>
      </w:r>
      <w:r w:rsidR="00A17F38" w:rsidRPr="00610B1B">
        <w:rPr>
          <w:rFonts w:eastAsia="Calibri" w:cs="Times New Roman"/>
          <w:color w:val="000000" w:themeColor="text1"/>
          <w:lang w:eastAsia="en-US" w:bidi="ar-SA"/>
        </w:rPr>
        <w:t xml:space="preserve">Изграждането </w:t>
      </w:r>
      <w:r w:rsidRPr="00610B1B">
        <w:rPr>
          <w:rFonts w:eastAsia="Calibri" w:cs="Times New Roman"/>
          <w:color w:val="000000" w:themeColor="text1"/>
          <w:lang w:eastAsia="en-US" w:bidi="ar-SA"/>
        </w:rPr>
        <w:t>и модернизацията на пречиствателни станции за отпадъчни води намалява замърсяването от населените места и промишлеността. Дълбоководно заустване не е необходимо, поради достатъчна степен на пречистване на отпадъчните води. Развитието на екологично земеделие в прилежащите територии намалява антропогенната еутрофикацията и замърсяването на крайбрежните води с пестициди. Премахват се препятствията по теченията на реките, с което се осигурява непрекъснатост на речните течения, миграция на преходните и сладководни видове риби и приток на наноси за плажните пясъчни ивици с теригенно подхранване.</w:t>
      </w:r>
    </w:p>
    <w:p w14:paraId="45C693F6" w14:textId="15B78501" w:rsidR="0055674E" w:rsidRPr="00610B1B" w:rsidRDefault="0055674E" w:rsidP="00D32D6A">
      <w:pPr>
        <w:pStyle w:val="BodyText"/>
        <w:spacing w:before="0" w:after="120" w:line="276" w:lineRule="auto"/>
        <w:ind w:right="-153"/>
        <w:rPr>
          <w:rFonts w:eastAsia="Calibri" w:cs="Times New Roman"/>
          <w:color w:val="000000" w:themeColor="text1"/>
          <w:lang w:eastAsia="en-US" w:bidi="ar-SA"/>
        </w:rPr>
      </w:pPr>
      <w:r w:rsidRPr="00610B1B">
        <w:rPr>
          <w:rFonts w:eastAsia="Calibri" w:cs="Times New Roman"/>
          <w:i/>
          <w:iCs/>
          <w:color w:val="000000" w:themeColor="text1"/>
          <w:lang w:eastAsia="en-US" w:bidi="ar-SA"/>
        </w:rPr>
        <w:t>Взаимодействие море-суша</w:t>
      </w:r>
      <w:r w:rsidRPr="00610B1B">
        <w:rPr>
          <w:rFonts w:eastAsia="Calibri" w:cs="Times New Roman"/>
          <w:color w:val="000000" w:themeColor="text1"/>
          <w:lang w:eastAsia="en-US" w:bidi="ar-SA"/>
        </w:rPr>
        <w:t xml:space="preserve"> – Доброто състояние на морската среда води до повишаване на приходите от морския риболов и аквакултури. Възстановяването на морските екосистемни услуги допринася за развитието на крайбрежния и морски туризъм. Птиците, хранещи се с морска риба, връщат на сушата част от фосфора отмит в морето в резултат от водната и ветрова ерозия. Повишава се биологичната продуктивност на сухоземните екосистеми и влажните зони</w:t>
      </w:r>
      <w:r w:rsidR="00B82500" w:rsidRPr="00610B1B">
        <w:rPr>
          <w:rFonts w:eastAsia="Calibri" w:cs="Times New Roman"/>
          <w:color w:val="000000" w:themeColor="text1"/>
          <w:lang w:eastAsia="en-US" w:bidi="ar-SA"/>
        </w:rPr>
        <w:t>, които са естествени складове на</w:t>
      </w:r>
      <w:r w:rsidRPr="00610B1B">
        <w:rPr>
          <w:rFonts w:eastAsia="Calibri" w:cs="Times New Roman"/>
          <w:color w:val="000000" w:themeColor="text1"/>
          <w:lang w:eastAsia="en-US" w:bidi="ar-SA"/>
        </w:rPr>
        <w:t xml:space="preserve"> атмосферен въглерод.</w:t>
      </w:r>
    </w:p>
    <w:p w14:paraId="6E2710B7" w14:textId="77777777" w:rsidR="0055674E" w:rsidRPr="00610B1B" w:rsidRDefault="0055674E" w:rsidP="00D32D6A">
      <w:pPr>
        <w:spacing w:after="120"/>
        <w:ind w:right="-153"/>
        <w:rPr>
          <w:rFonts w:ascii="Times New Roman" w:hAnsi="Times New Roman" w:cs="Times New Roman"/>
          <w:sz w:val="24"/>
          <w:szCs w:val="24"/>
          <w:lang w:val="bg-BG"/>
        </w:rPr>
      </w:pPr>
    </w:p>
    <w:p w14:paraId="7B5F5E76" w14:textId="414F3799" w:rsidR="00442579" w:rsidRPr="00610B1B" w:rsidRDefault="007F718F" w:rsidP="00D32D6A">
      <w:pPr>
        <w:pStyle w:val="Heading3"/>
        <w:spacing w:before="0" w:line="276" w:lineRule="auto"/>
        <w:ind w:right="-153"/>
        <w:rPr>
          <w:rFonts w:cs="Times New Roman"/>
        </w:rPr>
      </w:pPr>
      <w:bookmarkStart w:id="448" w:name="_Toc83391423"/>
      <w:bookmarkStart w:id="449" w:name="_Hlk46058792"/>
      <w:r w:rsidRPr="00610B1B">
        <w:rPr>
          <w:rFonts w:cs="Times New Roman"/>
        </w:rPr>
        <w:t>4.</w:t>
      </w:r>
      <w:r w:rsidR="009278D0" w:rsidRPr="00610B1B">
        <w:rPr>
          <w:rFonts w:cs="Times New Roman"/>
        </w:rPr>
        <w:t>3</w:t>
      </w:r>
      <w:r w:rsidRPr="00610B1B">
        <w:rPr>
          <w:rFonts w:cs="Times New Roman"/>
        </w:rPr>
        <w:t xml:space="preserve">.5. Избор </w:t>
      </w:r>
      <w:r w:rsidR="00442579" w:rsidRPr="00610B1B">
        <w:rPr>
          <w:rFonts w:cs="Times New Roman"/>
        </w:rPr>
        <w:t>на оптимален сценарий</w:t>
      </w:r>
      <w:bookmarkEnd w:id="448"/>
    </w:p>
    <w:p w14:paraId="1FFEDF27" w14:textId="4CCEE8B7" w:rsidR="005C4C99" w:rsidRPr="00610B1B" w:rsidRDefault="002F1FCE"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Предложените четири сценария отразяват основните цели на морския пространствен план – икономика, опазване на морската околна среда и социално сближаване. Изборът </w:t>
      </w:r>
      <w:r w:rsidR="00A17F38" w:rsidRPr="00610B1B">
        <w:rPr>
          <w:rFonts w:ascii="Times New Roman" w:eastAsia="Calibri" w:hAnsi="Times New Roman" w:cs="Times New Roman"/>
          <w:bCs/>
          <w:color w:val="000000" w:themeColor="text1"/>
          <w:sz w:val="24"/>
          <w:szCs w:val="24"/>
          <w:lang w:val="bg-BG"/>
        </w:rPr>
        <w:t>на оптимален сценарий</w:t>
      </w:r>
      <w:r w:rsidRPr="00610B1B">
        <w:rPr>
          <w:rFonts w:ascii="Times New Roman" w:eastAsia="Calibri" w:hAnsi="Times New Roman" w:cs="Times New Roman"/>
          <w:bCs/>
          <w:color w:val="000000" w:themeColor="text1"/>
          <w:sz w:val="24"/>
          <w:szCs w:val="24"/>
          <w:lang w:val="bg-BG"/>
        </w:rPr>
        <w:t xml:space="preserve"> </w:t>
      </w:r>
      <w:r w:rsidR="00442579" w:rsidRPr="00610B1B">
        <w:rPr>
          <w:rFonts w:ascii="Times New Roman" w:eastAsia="Calibri" w:hAnsi="Times New Roman" w:cs="Times New Roman"/>
          <w:bCs/>
          <w:color w:val="000000" w:themeColor="text1"/>
          <w:sz w:val="24"/>
          <w:szCs w:val="24"/>
          <w:lang w:val="bg-BG"/>
        </w:rPr>
        <w:t xml:space="preserve">се </w:t>
      </w:r>
      <w:r w:rsidRPr="00610B1B">
        <w:rPr>
          <w:rFonts w:ascii="Times New Roman" w:eastAsia="Calibri" w:hAnsi="Times New Roman" w:cs="Times New Roman"/>
          <w:bCs/>
          <w:color w:val="000000" w:themeColor="text1"/>
          <w:sz w:val="24"/>
          <w:szCs w:val="24"/>
          <w:lang w:val="bg-BG"/>
        </w:rPr>
        <w:t>подпомага от анализа и предварителната оценка на предполагаемите въздействия върху морската околна среда, биоразнообразието</w:t>
      </w:r>
      <w:r w:rsidRPr="00610B1B">
        <w:rPr>
          <w:rFonts w:ascii="Times New Roman" w:hAnsi="Times New Roman" w:cs="Times New Roman"/>
          <w:color w:val="000000" w:themeColor="text1"/>
          <w:lang w:val="bg-BG"/>
        </w:rPr>
        <w:t xml:space="preserve"> </w:t>
      </w:r>
      <w:r w:rsidRPr="00610B1B">
        <w:rPr>
          <w:rFonts w:ascii="Times New Roman" w:eastAsia="Calibri" w:hAnsi="Times New Roman" w:cs="Times New Roman"/>
          <w:bCs/>
          <w:color w:val="000000" w:themeColor="text1"/>
          <w:sz w:val="24"/>
          <w:szCs w:val="24"/>
          <w:lang w:val="bg-BG"/>
        </w:rPr>
        <w:t>и поставените под защита екоси</w:t>
      </w:r>
      <w:r w:rsidR="00B82500" w:rsidRPr="00610B1B">
        <w:rPr>
          <w:rFonts w:ascii="Times New Roman" w:eastAsia="Calibri" w:hAnsi="Times New Roman" w:cs="Times New Roman"/>
          <w:bCs/>
          <w:color w:val="000000" w:themeColor="text1"/>
          <w:sz w:val="24"/>
          <w:szCs w:val="24"/>
          <w:lang w:val="bg-BG"/>
        </w:rPr>
        <w:t>стеми, икономиката и условията з</w:t>
      </w:r>
      <w:r w:rsidRPr="00610B1B">
        <w:rPr>
          <w:rFonts w:ascii="Times New Roman" w:eastAsia="Calibri" w:hAnsi="Times New Roman" w:cs="Times New Roman"/>
          <w:bCs/>
          <w:color w:val="000000" w:themeColor="text1"/>
          <w:sz w:val="24"/>
          <w:szCs w:val="24"/>
          <w:lang w:val="bg-BG"/>
        </w:rPr>
        <w:t xml:space="preserve">а живот на местните общности. </w:t>
      </w:r>
      <w:r w:rsidR="00D30E1E" w:rsidRPr="00610B1B">
        <w:rPr>
          <w:rFonts w:ascii="Times New Roman" w:eastAsia="Calibri" w:hAnsi="Times New Roman" w:cs="Times New Roman"/>
          <w:bCs/>
          <w:color w:val="000000" w:themeColor="text1"/>
          <w:sz w:val="24"/>
          <w:szCs w:val="24"/>
          <w:lang w:val="bg-BG"/>
        </w:rPr>
        <w:t>В подкрепа на избора на най-подходящ сценарий и като инструмент за оценка на състоянието на средата по ключови елементи са използвани и възможностите за анализ на създадената за целите на плана Географска информационна система.</w:t>
      </w:r>
    </w:p>
    <w:p w14:paraId="60C7AD9F" w14:textId="491D4D0D" w:rsidR="005C4C99" w:rsidRPr="00610B1B" w:rsidRDefault="005C4C99" w:rsidP="00D32D6A">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Разработен е модел, чрез използване на GRID технология с клетки с размер 1 km х 1 km. Всички важни и основни данни за </w:t>
      </w:r>
      <w:r w:rsidR="00D30E1E" w:rsidRPr="00610B1B">
        <w:rPr>
          <w:rFonts w:ascii="Times New Roman" w:eastAsia="Calibri" w:hAnsi="Times New Roman" w:cs="Times New Roman"/>
          <w:bCs/>
          <w:color w:val="000000" w:themeColor="text1"/>
          <w:sz w:val="24"/>
          <w:szCs w:val="24"/>
          <w:lang w:val="bg-BG"/>
        </w:rPr>
        <w:t xml:space="preserve">акваторията и </w:t>
      </w:r>
      <w:r w:rsidRPr="00610B1B">
        <w:rPr>
          <w:rFonts w:ascii="Times New Roman" w:eastAsia="Calibri" w:hAnsi="Times New Roman" w:cs="Times New Roman"/>
          <w:bCs/>
          <w:color w:val="000000" w:themeColor="text1"/>
          <w:sz w:val="24"/>
          <w:szCs w:val="24"/>
          <w:lang w:val="bg-BG"/>
        </w:rPr>
        <w:t>територията, независимо от първоначалното им пространствено представяне (полигони, линии, точки, статистически данни, свързани с обект), са модифицирани и унифицирани под формата на грид представяне и данни. Тази технология е успешен инструмент за анализ на съществуващо състояние като дадености, възможности, проблеми и заплахи. Тя дава възможност и за оценка на потенциалните екологични, икономически и социални въздействия на всеки един от предложените сценарии върху развитието на отделните сектори в националните морски пространства. Използвани са и експертни мнения за степента на положително или негативно влияние на всеки от компонентите/факторите. Оценяват се всички възможни дейности, осъществявани в морските пространства по всеки един сценарий, ранжират по важност.</w:t>
      </w:r>
    </w:p>
    <w:p w14:paraId="50720DAD" w14:textId="0E1C31D6" w:rsidR="00CF5B6B" w:rsidRPr="00610B1B" w:rsidRDefault="00CF5B6B" w:rsidP="00CF5B6B">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Резултатите от разработените модели се визуализират графично </w:t>
      </w:r>
      <w:r w:rsidR="00D30E1E" w:rsidRPr="00610B1B">
        <w:rPr>
          <w:rFonts w:ascii="Times New Roman" w:eastAsia="Calibri" w:hAnsi="Times New Roman" w:cs="Times New Roman"/>
          <w:bCs/>
          <w:color w:val="000000" w:themeColor="text1"/>
          <w:sz w:val="24"/>
          <w:szCs w:val="24"/>
          <w:lang w:val="bg-BG"/>
        </w:rPr>
        <w:t xml:space="preserve">в тематични карти </w:t>
      </w:r>
      <w:r w:rsidRPr="00610B1B">
        <w:rPr>
          <w:rFonts w:ascii="Times New Roman" w:eastAsia="Calibri" w:hAnsi="Times New Roman" w:cs="Times New Roman"/>
          <w:bCs/>
          <w:color w:val="000000" w:themeColor="text1"/>
          <w:sz w:val="24"/>
          <w:szCs w:val="24"/>
          <w:lang w:val="bg-BG"/>
        </w:rPr>
        <w:t xml:space="preserve">и подпомагат определянето на конфликтните зони и зоните, подложени на най-голям натиск, както и други видове зони. </w:t>
      </w:r>
    </w:p>
    <w:p w14:paraId="42837C77" w14:textId="77777777" w:rsidR="00CF5B6B" w:rsidRPr="00610B1B" w:rsidRDefault="00CF5B6B" w:rsidP="00CF5B6B">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 xml:space="preserve">В оценката и избора на оптимален сценарий са привлечени представители на всички заинтересовани страни. Най-висока експертна оценка получава сценарий D, поради възможността за интегриране на национални, регионални и европейски ценности, приоритети и регламенти. </w:t>
      </w:r>
    </w:p>
    <w:p w14:paraId="494ABA2C" w14:textId="41CC1498" w:rsidR="00CF5B6B" w:rsidRPr="00610B1B" w:rsidRDefault="00CF5B6B" w:rsidP="00CF5B6B">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Разработеният модел на настоящия етап е използван основно за подпомагане на екипа по разработването на МППРБ за вземането на решения по определяне на приоритети</w:t>
      </w:r>
      <w:r w:rsidR="00D30E1E" w:rsidRPr="00610B1B">
        <w:rPr>
          <w:rFonts w:ascii="Times New Roman" w:eastAsia="Calibri" w:hAnsi="Times New Roman" w:cs="Times New Roman"/>
          <w:bCs/>
          <w:color w:val="000000" w:themeColor="text1"/>
          <w:sz w:val="24"/>
          <w:szCs w:val="24"/>
          <w:lang w:val="bg-BG"/>
        </w:rPr>
        <w:t xml:space="preserve"> и</w:t>
      </w:r>
      <w:r w:rsidRPr="00610B1B">
        <w:rPr>
          <w:rFonts w:ascii="Times New Roman" w:eastAsia="Calibri" w:hAnsi="Times New Roman" w:cs="Times New Roman"/>
          <w:bCs/>
          <w:color w:val="000000" w:themeColor="text1"/>
          <w:sz w:val="24"/>
          <w:szCs w:val="24"/>
          <w:lang w:val="bg-BG"/>
        </w:rPr>
        <w:t xml:space="preserve"> специфични зони. Бъдещото му по-широко прилагане е възможно след обсъждане и прецизиране.</w:t>
      </w:r>
    </w:p>
    <w:p w14:paraId="582F53E5" w14:textId="52D4F4C3" w:rsidR="00CF5B6B" w:rsidRPr="00610B1B" w:rsidRDefault="00CF5B6B" w:rsidP="00CF5B6B">
      <w:pPr>
        <w:spacing w:after="120"/>
        <w:ind w:right="-153"/>
        <w:jc w:val="both"/>
        <w:rPr>
          <w:rFonts w:ascii="Times New Roman" w:eastAsia="Calibri" w:hAnsi="Times New Roman" w:cs="Times New Roman"/>
          <w:bCs/>
          <w:color w:val="000000" w:themeColor="text1"/>
          <w:sz w:val="24"/>
          <w:szCs w:val="24"/>
          <w:lang w:val="bg-BG"/>
        </w:rPr>
      </w:pPr>
      <w:r w:rsidRPr="00610B1B">
        <w:rPr>
          <w:rFonts w:ascii="Times New Roman" w:eastAsia="Calibri" w:hAnsi="Times New Roman" w:cs="Times New Roman"/>
          <w:bCs/>
          <w:color w:val="000000" w:themeColor="text1"/>
          <w:sz w:val="24"/>
          <w:szCs w:val="24"/>
          <w:lang w:val="bg-BG"/>
        </w:rPr>
        <w:t>В следващата таблица са посочени примерни индикатори за оценка на въздействието на избран/конкретен сценарий – по видове дейности и съобразно с възможност за осигуряване на данни за проследяване на ефекта от прилагането му.</w:t>
      </w:r>
    </w:p>
    <w:p w14:paraId="07AEFE80" w14:textId="08310CE1" w:rsidR="001912E5" w:rsidRPr="00610B1B" w:rsidRDefault="00C519AD" w:rsidP="009463FB">
      <w:pPr>
        <w:spacing w:after="120" w:line="240" w:lineRule="auto"/>
        <w:ind w:right="-153"/>
        <w:jc w:val="both"/>
        <w:rPr>
          <w:rFonts w:ascii="Times New Roman" w:eastAsia="Calibri" w:hAnsi="Times New Roman" w:cs="Times New Roman"/>
          <w:bCs/>
          <w:color w:val="000000" w:themeColor="text1"/>
          <w:sz w:val="24"/>
          <w:szCs w:val="24"/>
          <w:lang w:val="bg-BG"/>
        </w:rPr>
      </w:pPr>
      <w:bookmarkStart w:id="450" w:name="_Toc83391611"/>
      <w:r w:rsidRPr="00610B1B">
        <w:rPr>
          <w:rFonts w:ascii="Times New Roman" w:hAnsi="Times New Roman" w:cs="Times New Roman"/>
          <w:sz w:val="24"/>
          <w:szCs w:val="24"/>
          <w:lang w:val="bg-BG"/>
        </w:rPr>
        <w:t xml:space="preserve">Таблица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Таблица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15</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1912E5" w:rsidRPr="00610B1B">
        <w:rPr>
          <w:rFonts w:ascii="Times New Roman" w:eastAsia="Calibri" w:hAnsi="Times New Roman" w:cs="Times New Roman"/>
          <w:bCs/>
          <w:color w:val="000000" w:themeColor="text1"/>
          <w:sz w:val="24"/>
          <w:szCs w:val="24"/>
          <w:lang w:val="bg-BG"/>
        </w:rPr>
        <w:t>Индикатори за оценка на въздействието на сценариите върху осъществяваните дейности в морските пространства</w:t>
      </w:r>
      <w:bookmarkEnd w:id="450"/>
      <w:r w:rsidR="001912E5" w:rsidRPr="00610B1B">
        <w:rPr>
          <w:rFonts w:ascii="Times New Roman" w:eastAsia="Calibri" w:hAnsi="Times New Roman" w:cs="Times New Roman"/>
          <w:bCs/>
          <w:color w:val="000000" w:themeColor="text1"/>
          <w:sz w:val="24"/>
          <w:szCs w:val="24"/>
          <w:lang w:val="bg-BG"/>
        </w:rPr>
        <w:t xml:space="preserve"> </w:t>
      </w:r>
    </w:p>
    <w:tbl>
      <w:tblPr>
        <w:tblW w:w="9684" w:type="dxa"/>
        <w:tblInd w:w="96" w:type="dxa"/>
        <w:tblBorders>
          <w:top w:val="single" w:sz="4" w:space="0" w:color="auto"/>
          <w:bottom w:val="single" w:sz="4" w:space="0" w:color="auto"/>
          <w:insideH w:val="single" w:sz="4" w:space="0" w:color="auto"/>
        </w:tblBorders>
        <w:tblLayout w:type="fixed"/>
        <w:tblCellMar>
          <w:top w:w="55" w:type="dxa"/>
          <w:left w:w="54" w:type="dxa"/>
          <w:bottom w:w="55" w:type="dxa"/>
          <w:right w:w="55" w:type="dxa"/>
        </w:tblCellMar>
        <w:tblLook w:val="0000" w:firstRow="0" w:lastRow="0" w:firstColumn="0" w:lastColumn="0" w:noHBand="0" w:noVBand="0"/>
      </w:tblPr>
      <w:tblGrid>
        <w:gridCol w:w="2172"/>
        <w:gridCol w:w="2391"/>
        <w:gridCol w:w="1684"/>
        <w:gridCol w:w="3437"/>
      </w:tblGrid>
      <w:tr w:rsidR="00442579" w:rsidRPr="00610B1B" w14:paraId="4564F520" w14:textId="77777777" w:rsidTr="005F0F25">
        <w:trPr>
          <w:tblHeader/>
        </w:trPr>
        <w:tc>
          <w:tcPr>
            <w:tcW w:w="2172" w:type="dxa"/>
            <w:shd w:val="clear" w:color="auto" w:fill="C6D9F1" w:themeFill="text2" w:themeFillTint="33"/>
            <w:tcMar>
              <w:left w:w="54" w:type="dxa"/>
            </w:tcMar>
            <w:vAlign w:val="center"/>
          </w:tcPr>
          <w:p w14:paraId="692B7FAB" w14:textId="77777777" w:rsidR="00442579" w:rsidRPr="00610B1B" w:rsidRDefault="00442579" w:rsidP="00D32D6A">
            <w:pPr>
              <w:widowControl w:val="0"/>
              <w:spacing w:after="0" w:line="240" w:lineRule="auto"/>
              <w:jc w:val="center"/>
              <w:rPr>
                <w:rFonts w:ascii="Times New Roman" w:eastAsia="Source Han Sans CN Regular" w:hAnsi="Times New Roman" w:cs="Times New Roman"/>
                <w:b/>
                <w:bCs/>
                <w:color w:val="000000" w:themeColor="text1"/>
                <w:sz w:val="20"/>
                <w:szCs w:val="20"/>
                <w:lang w:val="bg-BG" w:eastAsia="zh-CN" w:bidi="hi-IN"/>
              </w:rPr>
            </w:pPr>
            <w:r w:rsidRPr="00610B1B">
              <w:rPr>
                <w:rFonts w:ascii="Times New Roman" w:eastAsia="Source Han Sans CN Regular" w:hAnsi="Times New Roman" w:cs="Times New Roman"/>
                <w:b/>
                <w:bCs/>
                <w:color w:val="000000" w:themeColor="text1"/>
                <w:sz w:val="20"/>
                <w:szCs w:val="20"/>
                <w:lang w:val="bg-BG" w:eastAsia="zh-CN" w:bidi="hi-IN"/>
              </w:rPr>
              <w:lastRenderedPageBreak/>
              <w:t>Вид дейност/ползване на морското пространство</w:t>
            </w:r>
          </w:p>
        </w:tc>
        <w:tc>
          <w:tcPr>
            <w:tcW w:w="2391" w:type="dxa"/>
            <w:shd w:val="clear" w:color="auto" w:fill="C6D9F1" w:themeFill="text2" w:themeFillTint="33"/>
            <w:tcMar>
              <w:left w:w="54" w:type="dxa"/>
            </w:tcMar>
            <w:vAlign w:val="center"/>
          </w:tcPr>
          <w:p w14:paraId="44CDA02F" w14:textId="77777777" w:rsidR="00442579" w:rsidRPr="00610B1B" w:rsidRDefault="00442579" w:rsidP="00D32D6A">
            <w:pPr>
              <w:widowControl w:val="0"/>
              <w:spacing w:after="0" w:line="240" w:lineRule="auto"/>
              <w:jc w:val="center"/>
              <w:rPr>
                <w:rFonts w:ascii="Times New Roman" w:eastAsia="Source Han Sans CN Regular" w:hAnsi="Times New Roman" w:cs="Times New Roman"/>
                <w:b/>
                <w:bCs/>
                <w:color w:val="000000" w:themeColor="text1"/>
                <w:sz w:val="20"/>
                <w:szCs w:val="20"/>
                <w:lang w:val="bg-BG" w:eastAsia="zh-CN" w:bidi="hi-IN"/>
              </w:rPr>
            </w:pPr>
            <w:r w:rsidRPr="00610B1B">
              <w:rPr>
                <w:rFonts w:ascii="Times New Roman" w:eastAsia="Source Han Sans CN Regular" w:hAnsi="Times New Roman" w:cs="Times New Roman"/>
                <w:b/>
                <w:bCs/>
                <w:color w:val="000000" w:themeColor="text1"/>
                <w:sz w:val="20"/>
                <w:szCs w:val="20"/>
                <w:lang w:val="bg-BG" w:eastAsia="zh-CN" w:bidi="hi-IN"/>
              </w:rPr>
              <w:t>Индикатор</w:t>
            </w:r>
          </w:p>
        </w:tc>
        <w:tc>
          <w:tcPr>
            <w:tcW w:w="1684" w:type="dxa"/>
            <w:shd w:val="clear" w:color="auto" w:fill="C6D9F1" w:themeFill="text2" w:themeFillTint="33"/>
            <w:tcMar>
              <w:left w:w="54" w:type="dxa"/>
            </w:tcMar>
            <w:vAlign w:val="center"/>
          </w:tcPr>
          <w:p w14:paraId="1F86F57B" w14:textId="77777777" w:rsidR="00442579" w:rsidRPr="00610B1B" w:rsidRDefault="00442579" w:rsidP="00D32D6A">
            <w:pPr>
              <w:widowControl w:val="0"/>
              <w:spacing w:after="0" w:line="240" w:lineRule="auto"/>
              <w:jc w:val="center"/>
              <w:rPr>
                <w:rFonts w:ascii="Times New Roman" w:eastAsia="Source Han Sans CN Regular" w:hAnsi="Times New Roman" w:cs="Times New Roman"/>
                <w:b/>
                <w:bCs/>
                <w:color w:val="000000" w:themeColor="text1"/>
                <w:sz w:val="20"/>
                <w:szCs w:val="20"/>
                <w:lang w:val="bg-BG" w:eastAsia="zh-CN" w:bidi="hi-IN"/>
              </w:rPr>
            </w:pPr>
            <w:r w:rsidRPr="00610B1B">
              <w:rPr>
                <w:rFonts w:ascii="Times New Roman" w:eastAsia="Source Han Sans CN Regular" w:hAnsi="Times New Roman" w:cs="Times New Roman"/>
                <w:b/>
                <w:bCs/>
                <w:color w:val="000000" w:themeColor="text1"/>
                <w:sz w:val="20"/>
                <w:szCs w:val="20"/>
                <w:lang w:val="bg-BG" w:eastAsia="zh-CN" w:bidi="hi-IN"/>
              </w:rPr>
              <w:t>Мерна единица</w:t>
            </w:r>
          </w:p>
        </w:tc>
        <w:tc>
          <w:tcPr>
            <w:tcW w:w="3437" w:type="dxa"/>
            <w:shd w:val="clear" w:color="auto" w:fill="C6D9F1" w:themeFill="text2" w:themeFillTint="33"/>
            <w:tcMar>
              <w:left w:w="54" w:type="dxa"/>
            </w:tcMar>
            <w:vAlign w:val="center"/>
          </w:tcPr>
          <w:p w14:paraId="17843153" w14:textId="77777777" w:rsidR="00442579" w:rsidRPr="00610B1B" w:rsidRDefault="00442579" w:rsidP="00D32D6A">
            <w:pPr>
              <w:widowControl w:val="0"/>
              <w:spacing w:after="0" w:line="240" w:lineRule="auto"/>
              <w:jc w:val="center"/>
              <w:rPr>
                <w:rFonts w:ascii="Times New Roman" w:eastAsia="Source Han Sans CN Regular" w:hAnsi="Times New Roman" w:cs="Times New Roman"/>
                <w:b/>
                <w:bCs/>
                <w:color w:val="000000" w:themeColor="text1"/>
                <w:sz w:val="20"/>
                <w:szCs w:val="20"/>
                <w:lang w:val="bg-BG" w:eastAsia="zh-CN" w:bidi="hi-IN"/>
              </w:rPr>
            </w:pPr>
            <w:r w:rsidRPr="00610B1B">
              <w:rPr>
                <w:rFonts w:ascii="Times New Roman" w:eastAsia="Source Han Sans CN Regular" w:hAnsi="Times New Roman" w:cs="Times New Roman"/>
                <w:b/>
                <w:bCs/>
                <w:color w:val="000000" w:themeColor="text1"/>
                <w:sz w:val="20"/>
                <w:szCs w:val="20"/>
                <w:lang w:val="bg-BG" w:eastAsia="zh-CN" w:bidi="hi-IN"/>
              </w:rPr>
              <w:t>Налична информация</w:t>
            </w:r>
          </w:p>
        </w:tc>
      </w:tr>
      <w:tr w:rsidR="00442579" w:rsidRPr="00610B1B" w14:paraId="160EF839" w14:textId="77777777" w:rsidTr="00173C7E">
        <w:tc>
          <w:tcPr>
            <w:tcW w:w="2172" w:type="dxa"/>
            <w:shd w:val="clear" w:color="auto" w:fill="auto"/>
            <w:tcMar>
              <w:left w:w="54" w:type="dxa"/>
            </w:tcMar>
            <w:vAlign w:val="center"/>
          </w:tcPr>
          <w:p w14:paraId="4D1C9A66" w14:textId="2C1FB572" w:rsidR="00442579" w:rsidRPr="00610B1B" w:rsidRDefault="00DD6CD4"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Стопански морски риболов</w:t>
            </w:r>
          </w:p>
        </w:tc>
        <w:tc>
          <w:tcPr>
            <w:tcW w:w="2391" w:type="dxa"/>
            <w:shd w:val="clear" w:color="auto" w:fill="auto"/>
            <w:tcMar>
              <w:left w:w="54" w:type="dxa"/>
            </w:tcMar>
          </w:tcPr>
          <w:p w14:paraId="5D5C29B9"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 (риболов)</w:t>
            </w:r>
          </w:p>
          <w:p w14:paraId="33B982E9"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xml:space="preserve">Заети лица </w:t>
            </w:r>
          </w:p>
        </w:tc>
        <w:tc>
          <w:tcPr>
            <w:tcW w:w="1684" w:type="dxa"/>
            <w:shd w:val="clear" w:color="auto" w:fill="auto"/>
            <w:tcMar>
              <w:left w:w="54" w:type="dxa"/>
            </w:tcMar>
          </w:tcPr>
          <w:p w14:paraId="6EE00347"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p w14:paraId="22EAA472"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1EB36163"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tc>
        <w:tc>
          <w:tcPr>
            <w:tcW w:w="3437" w:type="dxa"/>
            <w:shd w:val="clear" w:color="auto" w:fill="auto"/>
            <w:tcMar>
              <w:left w:w="54" w:type="dxa"/>
            </w:tcMar>
          </w:tcPr>
          <w:p w14:paraId="62ABE0BD"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xml:space="preserve">EMODnet Human Activities: Vessel </w:t>
            </w:r>
          </w:p>
          <w:p w14:paraId="4874ABA8"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Density Map (Fishing)</w:t>
            </w:r>
          </w:p>
          <w:p w14:paraId="76D9A154" w14:textId="2C83C18F" w:rsidR="001912E5" w:rsidRPr="00610B1B" w:rsidRDefault="001912E5"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НСИ, БСК</w:t>
            </w:r>
          </w:p>
        </w:tc>
      </w:tr>
      <w:tr w:rsidR="00442579" w:rsidRPr="00610B1B" w14:paraId="28039AE0" w14:textId="77777777" w:rsidTr="00173C7E">
        <w:tc>
          <w:tcPr>
            <w:tcW w:w="2172" w:type="dxa"/>
            <w:shd w:val="clear" w:color="auto" w:fill="auto"/>
            <w:tcMar>
              <w:left w:w="54" w:type="dxa"/>
            </w:tcMar>
            <w:vAlign w:val="center"/>
          </w:tcPr>
          <w:p w14:paraId="57555AFA"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Морски аквакултури</w:t>
            </w:r>
          </w:p>
        </w:tc>
        <w:tc>
          <w:tcPr>
            <w:tcW w:w="2391" w:type="dxa"/>
            <w:shd w:val="clear" w:color="auto" w:fill="auto"/>
            <w:tcMar>
              <w:left w:w="54" w:type="dxa"/>
            </w:tcMar>
          </w:tcPr>
          <w:p w14:paraId="00901279"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Мидени ферми</w:t>
            </w:r>
          </w:p>
          <w:p w14:paraId="322163C8"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Заети лица</w:t>
            </w:r>
          </w:p>
        </w:tc>
        <w:tc>
          <w:tcPr>
            <w:tcW w:w="1684" w:type="dxa"/>
            <w:shd w:val="clear" w:color="auto" w:fill="auto"/>
            <w:tcMar>
              <w:left w:w="54" w:type="dxa"/>
            </w:tcMar>
          </w:tcPr>
          <w:p w14:paraId="45FDAF7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p w14:paraId="30427730"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tc>
        <w:tc>
          <w:tcPr>
            <w:tcW w:w="3437" w:type="dxa"/>
            <w:shd w:val="clear" w:color="auto" w:fill="auto"/>
            <w:tcMar>
              <w:left w:w="54" w:type="dxa"/>
            </w:tcMar>
          </w:tcPr>
          <w:p w14:paraId="3A3B799D" w14:textId="5CC7BE25"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Ползване на воден обект за други цели в Черно море (</w:t>
            </w:r>
            <w:hyperlink r:id="rId54" w:history="1">
              <w:r w:rsidR="00173C7E" w:rsidRPr="00610B1B">
                <w:rPr>
                  <w:rStyle w:val="Hyperlink"/>
                  <w:rFonts w:ascii="Times New Roman" w:eastAsia="Source Han Sans CN Regular" w:hAnsi="Times New Roman" w:cs="Times New Roman"/>
                  <w:sz w:val="20"/>
                  <w:szCs w:val="20"/>
                  <w:lang w:val="bg-BG" w:eastAsia="zh-CN" w:bidi="hi-IN"/>
                </w:rPr>
                <w:t>https://www.bsbd.org/registri/r/pvo_za_drugi_celi_black_sea.xlsx</w:t>
              </w:r>
            </w:hyperlink>
            <w:r w:rsidRPr="00610B1B">
              <w:rPr>
                <w:rFonts w:ascii="Times New Roman" w:eastAsia="Source Han Sans CN Regular" w:hAnsi="Times New Roman" w:cs="Times New Roman"/>
                <w:color w:val="000000" w:themeColor="text1"/>
                <w:sz w:val="20"/>
                <w:szCs w:val="20"/>
                <w:lang w:val="bg-BG" w:eastAsia="zh-CN" w:bidi="hi-IN"/>
              </w:rPr>
              <w:t>)</w:t>
            </w:r>
          </w:p>
          <w:p w14:paraId="00E338B8" w14:textId="5390FAC8" w:rsidR="00173C7E" w:rsidRPr="00610B1B" w:rsidRDefault="00173C7E"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ИАРА</w:t>
            </w:r>
          </w:p>
        </w:tc>
      </w:tr>
      <w:tr w:rsidR="00442579" w:rsidRPr="00610B1B" w14:paraId="3696606A" w14:textId="77777777" w:rsidTr="00173C7E">
        <w:tc>
          <w:tcPr>
            <w:tcW w:w="2172" w:type="dxa"/>
            <w:shd w:val="clear" w:color="auto" w:fill="auto"/>
            <w:tcMar>
              <w:left w:w="54" w:type="dxa"/>
            </w:tcMar>
            <w:vAlign w:val="center"/>
          </w:tcPr>
          <w:p w14:paraId="2D59476A"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Драгиране</w:t>
            </w:r>
          </w:p>
        </w:tc>
        <w:tc>
          <w:tcPr>
            <w:tcW w:w="2391" w:type="dxa"/>
            <w:shd w:val="clear" w:color="auto" w:fill="auto"/>
            <w:tcMar>
              <w:left w:w="54" w:type="dxa"/>
            </w:tcMar>
          </w:tcPr>
          <w:p w14:paraId="551569C9"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 (драгиране)</w:t>
            </w:r>
          </w:p>
        </w:tc>
        <w:tc>
          <w:tcPr>
            <w:tcW w:w="1684" w:type="dxa"/>
            <w:shd w:val="clear" w:color="auto" w:fill="auto"/>
            <w:tcMar>
              <w:left w:w="54" w:type="dxa"/>
            </w:tcMar>
          </w:tcPr>
          <w:p w14:paraId="31883606"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tc>
        <w:tc>
          <w:tcPr>
            <w:tcW w:w="3437" w:type="dxa"/>
            <w:shd w:val="clear" w:color="auto" w:fill="auto"/>
            <w:tcMar>
              <w:left w:w="54" w:type="dxa"/>
            </w:tcMar>
          </w:tcPr>
          <w:p w14:paraId="518D58D9"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Vessel Density Map (Dredging)</w:t>
            </w:r>
          </w:p>
        </w:tc>
      </w:tr>
      <w:tr w:rsidR="00442579" w:rsidRPr="00610B1B" w14:paraId="70B11850" w14:textId="77777777" w:rsidTr="00173C7E">
        <w:tc>
          <w:tcPr>
            <w:tcW w:w="2172" w:type="dxa"/>
            <w:shd w:val="clear" w:color="auto" w:fill="auto"/>
            <w:tcMar>
              <w:left w:w="54" w:type="dxa"/>
            </w:tcMar>
            <w:vAlign w:val="center"/>
          </w:tcPr>
          <w:p w14:paraId="41FD8558"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Пристанищни дейности</w:t>
            </w:r>
          </w:p>
        </w:tc>
        <w:tc>
          <w:tcPr>
            <w:tcW w:w="2391" w:type="dxa"/>
            <w:shd w:val="clear" w:color="auto" w:fill="auto"/>
            <w:tcMar>
              <w:left w:w="54" w:type="dxa"/>
            </w:tcMar>
          </w:tcPr>
          <w:p w14:paraId="35F15BB5"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 (буксири)</w:t>
            </w:r>
          </w:p>
          <w:p w14:paraId="07580753"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Обработени товари</w:t>
            </w:r>
          </w:p>
        </w:tc>
        <w:tc>
          <w:tcPr>
            <w:tcW w:w="1684" w:type="dxa"/>
            <w:shd w:val="clear" w:color="auto" w:fill="auto"/>
            <w:tcMar>
              <w:left w:w="54" w:type="dxa"/>
            </w:tcMar>
          </w:tcPr>
          <w:p w14:paraId="571DA317"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p w14:paraId="27067C14"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3ED2D31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xml:space="preserve">количество обработени товари годишно </w:t>
            </w:r>
          </w:p>
        </w:tc>
        <w:tc>
          <w:tcPr>
            <w:tcW w:w="3437" w:type="dxa"/>
            <w:shd w:val="clear" w:color="auto" w:fill="auto"/>
            <w:tcMar>
              <w:left w:w="54" w:type="dxa"/>
            </w:tcMar>
          </w:tcPr>
          <w:p w14:paraId="38FA2D85"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Vessel Density Map (Service + Tug and Towing)</w:t>
            </w:r>
          </w:p>
        </w:tc>
      </w:tr>
      <w:tr w:rsidR="00442579" w:rsidRPr="00610B1B" w14:paraId="0BB8C4DA" w14:textId="77777777" w:rsidTr="00173C7E">
        <w:tc>
          <w:tcPr>
            <w:tcW w:w="2172" w:type="dxa"/>
            <w:shd w:val="clear" w:color="auto" w:fill="auto"/>
            <w:tcMar>
              <w:left w:w="54" w:type="dxa"/>
            </w:tcMar>
            <w:vAlign w:val="center"/>
          </w:tcPr>
          <w:p w14:paraId="54FE9C76"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Морски туризъм</w:t>
            </w:r>
          </w:p>
        </w:tc>
        <w:tc>
          <w:tcPr>
            <w:tcW w:w="2391" w:type="dxa"/>
            <w:shd w:val="clear" w:color="auto" w:fill="auto"/>
            <w:tcMar>
              <w:left w:w="54" w:type="dxa"/>
            </w:tcMar>
          </w:tcPr>
          <w:p w14:paraId="46C54E2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 (ветроходни, развлекателни, високоскоростни)</w:t>
            </w:r>
          </w:p>
          <w:p w14:paraId="1A552975"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Превозени пътници</w:t>
            </w:r>
          </w:p>
        </w:tc>
        <w:tc>
          <w:tcPr>
            <w:tcW w:w="1684" w:type="dxa"/>
            <w:shd w:val="clear" w:color="auto" w:fill="auto"/>
            <w:tcMar>
              <w:left w:w="54" w:type="dxa"/>
            </w:tcMar>
          </w:tcPr>
          <w:p w14:paraId="502432D0"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p w14:paraId="17BE3014"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764732EC"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247988C3"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 пасажери/год. в хиляди</w:t>
            </w:r>
          </w:p>
        </w:tc>
        <w:tc>
          <w:tcPr>
            <w:tcW w:w="3437" w:type="dxa"/>
            <w:shd w:val="clear" w:color="auto" w:fill="auto"/>
            <w:tcMar>
              <w:left w:w="54" w:type="dxa"/>
            </w:tcMar>
          </w:tcPr>
          <w:p w14:paraId="65807296"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Vessel Density Map (Sailing + Pleasure Craft + High Speed Craft)</w:t>
            </w:r>
          </w:p>
        </w:tc>
      </w:tr>
      <w:tr w:rsidR="00442579" w:rsidRPr="00610B1B" w14:paraId="00B304D1" w14:textId="77777777" w:rsidTr="00173C7E">
        <w:tc>
          <w:tcPr>
            <w:tcW w:w="2172" w:type="dxa"/>
            <w:shd w:val="clear" w:color="auto" w:fill="auto"/>
            <w:tcMar>
              <w:left w:w="54" w:type="dxa"/>
            </w:tcMar>
            <w:vAlign w:val="center"/>
          </w:tcPr>
          <w:p w14:paraId="4A64A94D"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Крайбрежен туризъм</w:t>
            </w:r>
          </w:p>
        </w:tc>
        <w:tc>
          <w:tcPr>
            <w:tcW w:w="2391" w:type="dxa"/>
            <w:shd w:val="clear" w:color="auto" w:fill="auto"/>
            <w:tcMar>
              <w:left w:w="54" w:type="dxa"/>
            </w:tcMar>
          </w:tcPr>
          <w:p w14:paraId="12BFBB1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Зони на водите за къпане</w:t>
            </w:r>
          </w:p>
          <w:p w14:paraId="60799CE6"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Легла в зони А и Б</w:t>
            </w:r>
          </w:p>
          <w:p w14:paraId="34851632"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Посетители туристи</w:t>
            </w:r>
          </w:p>
          <w:p w14:paraId="70B1528E"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Яхтени пристанища и плажове със сертификат Син флаг</w:t>
            </w:r>
          </w:p>
        </w:tc>
        <w:tc>
          <w:tcPr>
            <w:tcW w:w="1684" w:type="dxa"/>
            <w:shd w:val="clear" w:color="auto" w:fill="auto"/>
            <w:tcMar>
              <w:left w:w="54" w:type="dxa"/>
            </w:tcMar>
          </w:tcPr>
          <w:p w14:paraId="5DB8FBFC"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p w14:paraId="1CA7C9B1"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6BF1484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p w14:paraId="226F398B"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1FFF4A50"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tc>
        <w:tc>
          <w:tcPr>
            <w:tcW w:w="3437" w:type="dxa"/>
            <w:shd w:val="clear" w:color="auto" w:fill="auto"/>
            <w:tcMar>
              <w:left w:w="54" w:type="dxa"/>
            </w:tcMar>
          </w:tcPr>
          <w:p w14:paraId="1FD2971C"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Bathing Waters</w:t>
            </w:r>
          </w:p>
          <w:p w14:paraId="6CFBE1E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1616B88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НСИ, Министерство на туризма</w:t>
            </w:r>
          </w:p>
        </w:tc>
      </w:tr>
      <w:tr w:rsidR="00442579" w:rsidRPr="00610B1B" w14:paraId="68A8C1BF" w14:textId="77777777" w:rsidTr="00173C7E">
        <w:tc>
          <w:tcPr>
            <w:tcW w:w="2172" w:type="dxa"/>
            <w:shd w:val="clear" w:color="auto" w:fill="auto"/>
            <w:tcMar>
              <w:left w:w="54" w:type="dxa"/>
            </w:tcMar>
            <w:vAlign w:val="center"/>
          </w:tcPr>
          <w:p w14:paraId="6ECC889C"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Морски транспорт – пасажери</w:t>
            </w:r>
          </w:p>
        </w:tc>
        <w:tc>
          <w:tcPr>
            <w:tcW w:w="2391" w:type="dxa"/>
            <w:shd w:val="clear" w:color="auto" w:fill="auto"/>
            <w:tcMar>
              <w:left w:w="54" w:type="dxa"/>
            </w:tcMar>
          </w:tcPr>
          <w:p w14:paraId="37A1BBD7"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 (пасажерски)</w:t>
            </w:r>
          </w:p>
        </w:tc>
        <w:tc>
          <w:tcPr>
            <w:tcW w:w="1684" w:type="dxa"/>
            <w:shd w:val="clear" w:color="auto" w:fill="auto"/>
            <w:tcMar>
              <w:left w:w="54" w:type="dxa"/>
            </w:tcMar>
          </w:tcPr>
          <w:p w14:paraId="52AFED2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tc>
        <w:tc>
          <w:tcPr>
            <w:tcW w:w="3437" w:type="dxa"/>
            <w:shd w:val="clear" w:color="auto" w:fill="auto"/>
            <w:tcMar>
              <w:left w:w="54" w:type="dxa"/>
            </w:tcMar>
          </w:tcPr>
          <w:p w14:paraId="422A37B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Vessel Density Map (Passenger)</w:t>
            </w:r>
          </w:p>
        </w:tc>
      </w:tr>
      <w:tr w:rsidR="00442579" w:rsidRPr="00610B1B" w14:paraId="45809B8F" w14:textId="77777777" w:rsidTr="00173C7E">
        <w:tc>
          <w:tcPr>
            <w:tcW w:w="2172" w:type="dxa"/>
            <w:shd w:val="clear" w:color="auto" w:fill="auto"/>
            <w:tcMar>
              <w:left w:w="54" w:type="dxa"/>
            </w:tcMar>
            <w:vAlign w:val="center"/>
          </w:tcPr>
          <w:p w14:paraId="2D1D9ACC"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Морски транспорт – товари</w:t>
            </w:r>
          </w:p>
        </w:tc>
        <w:tc>
          <w:tcPr>
            <w:tcW w:w="2391" w:type="dxa"/>
            <w:shd w:val="clear" w:color="auto" w:fill="auto"/>
            <w:tcMar>
              <w:left w:w="54" w:type="dxa"/>
            </w:tcMar>
          </w:tcPr>
          <w:p w14:paraId="63C858D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 (карго + танкери)</w:t>
            </w:r>
          </w:p>
        </w:tc>
        <w:tc>
          <w:tcPr>
            <w:tcW w:w="1684" w:type="dxa"/>
            <w:shd w:val="clear" w:color="auto" w:fill="auto"/>
            <w:tcMar>
              <w:left w:w="54" w:type="dxa"/>
            </w:tcMar>
          </w:tcPr>
          <w:p w14:paraId="18058DB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tc>
        <w:tc>
          <w:tcPr>
            <w:tcW w:w="3437" w:type="dxa"/>
            <w:shd w:val="clear" w:color="auto" w:fill="auto"/>
            <w:tcMar>
              <w:left w:w="54" w:type="dxa"/>
            </w:tcMar>
          </w:tcPr>
          <w:p w14:paraId="281B971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Vessel Density Map (Cargo + Tankers)</w:t>
            </w:r>
          </w:p>
        </w:tc>
      </w:tr>
      <w:tr w:rsidR="00442579" w:rsidRPr="00610B1B" w14:paraId="38ADABEE" w14:textId="77777777" w:rsidTr="00173C7E">
        <w:tc>
          <w:tcPr>
            <w:tcW w:w="2172" w:type="dxa"/>
            <w:shd w:val="clear" w:color="auto" w:fill="auto"/>
            <w:tcMar>
              <w:left w:w="54" w:type="dxa"/>
            </w:tcMar>
            <w:vAlign w:val="center"/>
          </w:tcPr>
          <w:p w14:paraId="71DC91FD" w14:textId="23936C34"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Военни дейности</w:t>
            </w:r>
            <w:r w:rsidR="009F3C0B" w:rsidRPr="00610B1B">
              <w:rPr>
                <w:rFonts w:ascii="Times New Roman" w:eastAsia="Source Han Sans CN Regular" w:hAnsi="Times New Roman" w:cs="Times New Roman"/>
                <w:color w:val="000000" w:themeColor="text1"/>
                <w:sz w:val="20"/>
                <w:szCs w:val="20"/>
                <w:lang w:val="bg-BG" w:eastAsia="zh-CN" w:bidi="hi-IN"/>
              </w:rPr>
              <w:t xml:space="preserve"> и учения</w:t>
            </w:r>
          </w:p>
        </w:tc>
        <w:tc>
          <w:tcPr>
            <w:tcW w:w="2391" w:type="dxa"/>
            <w:shd w:val="clear" w:color="auto" w:fill="auto"/>
            <w:tcMar>
              <w:left w:w="54" w:type="dxa"/>
            </w:tcMar>
          </w:tcPr>
          <w:p w14:paraId="35D99D55"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Плътност на корабния трафик</w:t>
            </w:r>
          </w:p>
        </w:tc>
        <w:tc>
          <w:tcPr>
            <w:tcW w:w="1684" w:type="dxa"/>
            <w:shd w:val="clear" w:color="auto" w:fill="auto"/>
            <w:tcMar>
              <w:left w:w="54" w:type="dxa"/>
            </w:tcMar>
          </w:tcPr>
          <w:p w14:paraId="78759A9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часове/km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.година</w:t>
            </w:r>
          </w:p>
        </w:tc>
        <w:tc>
          <w:tcPr>
            <w:tcW w:w="3437" w:type="dxa"/>
            <w:shd w:val="clear" w:color="auto" w:fill="auto"/>
            <w:tcMar>
              <w:left w:w="54" w:type="dxa"/>
            </w:tcMar>
          </w:tcPr>
          <w:p w14:paraId="52B9B04F"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EMODnet Human Activities: Vessel Density Map (Military)</w:t>
            </w:r>
          </w:p>
        </w:tc>
      </w:tr>
      <w:tr w:rsidR="00442579" w:rsidRPr="00C717D0" w14:paraId="6ACBF04D" w14:textId="77777777" w:rsidTr="00173C7E">
        <w:tc>
          <w:tcPr>
            <w:tcW w:w="2172" w:type="dxa"/>
            <w:shd w:val="clear" w:color="auto" w:fill="auto"/>
            <w:tcMar>
              <w:left w:w="54" w:type="dxa"/>
            </w:tcMar>
            <w:vAlign w:val="center"/>
          </w:tcPr>
          <w:p w14:paraId="79A98C25"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Добив на нефт и газ</w:t>
            </w:r>
          </w:p>
        </w:tc>
        <w:tc>
          <w:tcPr>
            <w:tcW w:w="2391" w:type="dxa"/>
            <w:shd w:val="clear" w:color="auto" w:fill="auto"/>
            <w:tcMar>
              <w:left w:w="54" w:type="dxa"/>
            </w:tcMar>
          </w:tcPr>
          <w:p w14:paraId="78725A9A" w14:textId="4322A046" w:rsidR="00442579" w:rsidRPr="00610B1B" w:rsidRDefault="00B7768B"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Концесии</w:t>
            </w:r>
          </w:p>
        </w:tc>
        <w:tc>
          <w:tcPr>
            <w:tcW w:w="1684" w:type="dxa"/>
            <w:shd w:val="clear" w:color="auto" w:fill="auto"/>
            <w:tcMar>
              <w:left w:w="54" w:type="dxa"/>
            </w:tcMar>
          </w:tcPr>
          <w:p w14:paraId="560ACD31" w14:textId="4B78CAB9"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площ (</w:t>
            </w:r>
            <w:r w:rsidR="006A30BA" w:rsidRPr="00610B1B">
              <w:rPr>
                <w:rFonts w:ascii="Times New Roman" w:eastAsia="Source Han Sans CN Regular" w:hAnsi="Times New Roman" w:cs="Times New Roman"/>
                <w:color w:val="000000" w:themeColor="text1"/>
                <w:sz w:val="20"/>
                <w:szCs w:val="20"/>
                <w:lang w:val="bg-BG" w:eastAsia="zh-CN" w:bidi="hi-IN"/>
              </w:rPr>
              <w:t>km</w:t>
            </w:r>
            <w:r w:rsidRPr="00610B1B">
              <w:rPr>
                <w:rFonts w:ascii="Times New Roman" w:eastAsia="Source Han Sans CN Regular" w:hAnsi="Times New Roman" w:cs="Times New Roman"/>
                <w:color w:val="000000" w:themeColor="text1"/>
                <w:sz w:val="20"/>
                <w:szCs w:val="20"/>
                <w:vertAlign w:val="superscript"/>
                <w:lang w:val="bg-BG" w:eastAsia="zh-CN" w:bidi="hi-IN"/>
              </w:rPr>
              <w:t>2</w:t>
            </w:r>
            <w:r w:rsidRPr="00610B1B">
              <w:rPr>
                <w:rFonts w:ascii="Times New Roman" w:eastAsia="Source Han Sans CN Regular" w:hAnsi="Times New Roman" w:cs="Times New Roman"/>
                <w:color w:val="000000" w:themeColor="text1"/>
                <w:sz w:val="20"/>
                <w:szCs w:val="20"/>
                <w:lang w:val="bg-BG" w:eastAsia="zh-CN" w:bidi="hi-IN"/>
              </w:rPr>
              <w:t>)</w:t>
            </w:r>
          </w:p>
        </w:tc>
        <w:tc>
          <w:tcPr>
            <w:tcW w:w="3437" w:type="dxa"/>
            <w:shd w:val="clear" w:color="auto" w:fill="auto"/>
            <w:tcMar>
              <w:left w:w="54" w:type="dxa"/>
            </w:tcMar>
          </w:tcPr>
          <w:p w14:paraId="776EA564" w14:textId="75D68A4C"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1"/>
                <w:szCs w:val="24"/>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Министерство на енергетиката – регистър на концесиите за добив (</w:t>
            </w:r>
            <w:hyperlink r:id="rId55" w:history="1">
              <w:r w:rsidR="00C3007B" w:rsidRPr="00610B1B">
                <w:rPr>
                  <w:rStyle w:val="Hyperlink"/>
                  <w:rFonts w:ascii="Times New Roman" w:eastAsia="Source Han Sans CN Regular" w:hAnsi="Times New Roman" w:cs="Times New Roman"/>
                  <w:sz w:val="20"/>
                  <w:szCs w:val="20"/>
                  <w:lang w:val="bg-BG" w:eastAsia="zh-CN" w:bidi="hi-IN"/>
                </w:rPr>
                <w:t>https://www.me.government.bg/bg/themes/koncesii-za-dobiv-735-406.html</w:t>
              </w:r>
            </w:hyperlink>
            <w:r w:rsidRPr="00610B1B">
              <w:rPr>
                <w:rFonts w:ascii="Times New Roman" w:eastAsia="Source Han Sans CN Regular" w:hAnsi="Times New Roman" w:cs="Times New Roman"/>
                <w:color w:val="000000" w:themeColor="text1"/>
                <w:sz w:val="20"/>
                <w:szCs w:val="20"/>
                <w:lang w:val="bg-BG" w:eastAsia="zh-CN" w:bidi="hi-IN"/>
              </w:rPr>
              <w:t>)</w:t>
            </w:r>
          </w:p>
        </w:tc>
      </w:tr>
      <w:tr w:rsidR="00442579" w:rsidRPr="00C717D0" w14:paraId="731AB7A6" w14:textId="77777777" w:rsidTr="00173C7E">
        <w:tc>
          <w:tcPr>
            <w:tcW w:w="2172" w:type="dxa"/>
            <w:shd w:val="clear" w:color="auto" w:fill="auto"/>
            <w:tcMar>
              <w:left w:w="54" w:type="dxa"/>
            </w:tcMar>
            <w:vAlign w:val="center"/>
          </w:tcPr>
          <w:p w14:paraId="2CCEA74B" w14:textId="49661F7B"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xml:space="preserve">Научни </w:t>
            </w:r>
            <w:r w:rsidR="009F3C0B" w:rsidRPr="00610B1B">
              <w:rPr>
                <w:rFonts w:ascii="Times New Roman" w:eastAsia="Source Han Sans CN Regular" w:hAnsi="Times New Roman" w:cs="Times New Roman"/>
                <w:color w:val="000000" w:themeColor="text1"/>
                <w:sz w:val="20"/>
                <w:szCs w:val="20"/>
                <w:lang w:val="bg-BG" w:eastAsia="zh-CN" w:bidi="hi-IN"/>
              </w:rPr>
              <w:t>изследвания</w:t>
            </w:r>
            <w:r w:rsidRPr="00610B1B">
              <w:rPr>
                <w:rFonts w:ascii="Times New Roman" w:eastAsia="Source Han Sans CN Regular" w:hAnsi="Times New Roman" w:cs="Times New Roman"/>
                <w:color w:val="000000" w:themeColor="text1"/>
                <w:sz w:val="20"/>
                <w:szCs w:val="20"/>
                <w:lang w:val="bg-BG" w:eastAsia="zh-CN" w:bidi="hi-IN"/>
              </w:rPr>
              <w:t xml:space="preserve"> и мониторинг</w:t>
            </w:r>
          </w:p>
        </w:tc>
        <w:tc>
          <w:tcPr>
            <w:tcW w:w="2391" w:type="dxa"/>
            <w:shd w:val="clear" w:color="auto" w:fill="auto"/>
            <w:tcMar>
              <w:left w:w="54" w:type="dxa"/>
            </w:tcMar>
          </w:tcPr>
          <w:p w14:paraId="0EF4C2B0" w14:textId="4705903F" w:rsidR="00442579" w:rsidRPr="00610B1B" w:rsidRDefault="00173C7E"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xml:space="preserve">Пунктове </w:t>
            </w:r>
            <w:r w:rsidR="00442579" w:rsidRPr="00610B1B">
              <w:rPr>
                <w:rFonts w:ascii="Times New Roman" w:eastAsia="Source Han Sans CN Regular" w:hAnsi="Times New Roman" w:cs="Times New Roman"/>
                <w:color w:val="000000" w:themeColor="text1"/>
                <w:sz w:val="20"/>
                <w:szCs w:val="20"/>
                <w:lang w:val="bg-BG" w:eastAsia="zh-CN" w:bidi="hi-IN"/>
              </w:rPr>
              <w:t>за мониторинг</w:t>
            </w:r>
          </w:p>
        </w:tc>
        <w:tc>
          <w:tcPr>
            <w:tcW w:w="1684" w:type="dxa"/>
            <w:shd w:val="clear" w:color="auto" w:fill="auto"/>
            <w:tcMar>
              <w:left w:w="54" w:type="dxa"/>
            </w:tcMar>
          </w:tcPr>
          <w:p w14:paraId="5EDD96A1"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tc>
        <w:tc>
          <w:tcPr>
            <w:tcW w:w="3437" w:type="dxa"/>
            <w:shd w:val="clear" w:color="auto" w:fill="auto"/>
            <w:tcMar>
              <w:left w:w="54" w:type="dxa"/>
            </w:tcMar>
          </w:tcPr>
          <w:p w14:paraId="75E87D45" w14:textId="4284854A" w:rsidR="00442579" w:rsidRPr="00610B1B" w:rsidRDefault="0055393F" w:rsidP="00D32D6A">
            <w:pPr>
              <w:widowControl w:val="0"/>
              <w:spacing w:after="0" w:line="240" w:lineRule="auto"/>
              <w:rPr>
                <w:rStyle w:val="Hyperlink"/>
                <w:rFonts w:ascii="Times New Roman" w:hAnsi="Times New Roman" w:cs="Times New Roman"/>
                <w:sz w:val="20"/>
                <w:szCs w:val="20"/>
                <w:lang w:val="bg-BG"/>
              </w:rPr>
            </w:pPr>
            <w:hyperlink r:id="rId56">
              <w:r w:rsidR="00442579" w:rsidRPr="00610B1B">
                <w:rPr>
                  <w:rStyle w:val="Hyperlink"/>
                  <w:rFonts w:ascii="Times New Roman" w:hAnsi="Times New Roman" w:cs="Times New Roman"/>
                  <w:sz w:val="20"/>
                  <w:szCs w:val="20"/>
                  <w:lang w:val="bg-BG"/>
                </w:rPr>
                <w:t>https://www.moew.government.bg/bg/vodi/planove-za-upravlenie/planove-za-upravlenie-na-rechnite-basejni-purb/</w:t>
              </w:r>
            </w:hyperlink>
          </w:p>
        </w:tc>
      </w:tr>
      <w:tr w:rsidR="00442579" w:rsidRPr="00610B1B" w14:paraId="4394E2D9" w14:textId="77777777" w:rsidTr="00173C7E">
        <w:tc>
          <w:tcPr>
            <w:tcW w:w="2172" w:type="dxa"/>
            <w:shd w:val="clear" w:color="auto" w:fill="auto"/>
            <w:tcMar>
              <w:left w:w="54" w:type="dxa"/>
            </w:tcMar>
            <w:vAlign w:val="center"/>
          </w:tcPr>
          <w:p w14:paraId="6AE00D25" w14:textId="35630A85" w:rsidR="00442579" w:rsidRDefault="00733364"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Pr>
                <w:rFonts w:ascii="Times New Roman" w:eastAsia="Source Han Sans CN Regular" w:hAnsi="Times New Roman" w:cs="Times New Roman"/>
                <w:color w:val="000000" w:themeColor="text1"/>
                <w:sz w:val="20"/>
                <w:szCs w:val="20"/>
                <w:lang w:val="bg-BG" w:eastAsia="zh-CN" w:bidi="hi-IN"/>
              </w:rPr>
              <w:t>Брегоукрепителни системи и съоръжения.</w:t>
            </w:r>
          </w:p>
          <w:p w14:paraId="6304579C" w14:textId="08EE06FB" w:rsidR="00733364" w:rsidRPr="00733364" w:rsidRDefault="00733364"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Pr>
                <w:rFonts w:ascii="Times New Roman" w:eastAsia="Source Han Sans CN Regular" w:hAnsi="Times New Roman" w:cs="Times New Roman"/>
                <w:color w:val="000000" w:themeColor="text1"/>
                <w:sz w:val="20"/>
                <w:szCs w:val="20"/>
                <w:lang w:val="bg-BG" w:eastAsia="zh-CN" w:bidi="hi-IN"/>
              </w:rPr>
              <w:t>Морски хидротехнически съоръжения</w:t>
            </w:r>
          </w:p>
        </w:tc>
        <w:tc>
          <w:tcPr>
            <w:tcW w:w="2391" w:type="dxa"/>
            <w:shd w:val="clear" w:color="auto" w:fill="auto"/>
            <w:tcMar>
              <w:left w:w="54" w:type="dxa"/>
            </w:tcMar>
          </w:tcPr>
          <w:p w14:paraId="6AB0C92A" w14:textId="339755ED" w:rsidR="00442579" w:rsidRDefault="00173C7E"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Брего</w:t>
            </w:r>
            <w:r w:rsidR="00733364">
              <w:rPr>
                <w:rFonts w:ascii="Times New Roman" w:eastAsia="Source Han Sans CN Regular" w:hAnsi="Times New Roman" w:cs="Times New Roman"/>
                <w:color w:val="000000" w:themeColor="text1"/>
                <w:sz w:val="20"/>
                <w:szCs w:val="20"/>
                <w:lang w:val="bg-BG" w:eastAsia="zh-CN" w:bidi="hi-IN"/>
              </w:rPr>
              <w:t>укрепителни</w:t>
            </w:r>
            <w:r w:rsidRPr="00610B1B">
              <w:rPr>
                <w:rFonts w:ascii="Times New Roman" w:eastAsia="Source Han Sans CN Regular" w:hAnsi="Times New Roman" w:cs="Times New Roman"/>
                <w:color w:val="000000" w:themeColor="text1"/>
                <w:sz w:val="20"/>
                <w:szCs w:val="20"/>
                <w:lang w:val="bg-BG" w:eastAsia="zh-CN" w:bidi="hi-IN"/>
              </w:rPr>
              <w:t xml:space="preserve"> </w:t>
            </w:r>
            <w:r w:rsidR="00442579" w:rsidRPr="00610B1B">
              <w:rPr>
                <w:rFonts w:ascii="Times New Roman" w:eastAsia="Source Han Sans CN Regular" w:hAnsi="Times New Roman" w:cs="Times New Roman"/>
                <w:color w:val="000000" w:themeColor="text1"/>
                <w:sz w:val="20"/>
                <w:szCs w:val="20"/>
                <w:lang w:val="bg-BG" w:eastAsia="zh-CN" w:bidi="hi-IN"/>
              </w:rPr>
              <w:t>съоръжения</w:t>
            </w:r>
          </w:p>
          <w:p w14:paraId="38A1E2B3" w14:textId="77B1E7B3" w:rsidR="00733364" w:rsidRPr="00D03DA8" w:rsidRDefault="00733364" w:rsidP="00D32D6A">
            <w:pPr>
              <w:widowControl w:val="0"/>
              <w:spacing w:after="0" w:line="240" w:lineRule="auto"/>
              <w:rPr>
                <w:rFonts w:ascii="Times New Roman" w:eastAsia="Source Han Sans CN Regular" w:hAnsi="Times New Roman" w:cs="Times New Roman"/>
                <w:color w:val="000000" w:themeColor="text1"/>
                <w:sz w:val="20"/>
                <w:szCs w:val="20"/>
                <w:lang w:val="en-US" w:eastAsia="zh-CN" w:bidi="hi-IN"/>
              </w:rPr>
            </w:pPr>
            <w:r>
              <w:rPr>
                <w:rFonts w:ascii="Times New Roman" w:eastAsia="Source Han Sans CN Regular" w:hAnsi="Times New Roman" w:cs="Times New Roman"/>
                <w:color w:val="000000" w:themeColor="text1"/>
                <w:sz w:val="20"/>
                <w:szCs w:val="20"/>
                <w:lang w:val="bg-BG" w:eastAsia="zh-CN" w:bidi="hi-IN"/>
              </w:rPr>
              <w:t>Хидротехнически съоръжения</w:t>
            </w:r>
          </w:p>
        </w:tc>
        <w:tc>
          <w:tcPr>
            <w:tcW w:w="1684" w:type="dxa"/>
            <w:shd w:val="clear" w:color="auto" w:fill="auto"/>
            <w:tcMar>
              <w:left w:w="54" w:type="dxa"/>
            </w:tcMar>
          </w:tcPr>
          <w:p w14:paraId="3582BD80"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tc>
        <w:tc>
          <w:tcPr>
            <w:tcW w:w="3437" w:type="dxa"/>
            <w:shd w:val="clear" w:color="auto" w:fill="auto"/>
            <w:tcMar>
              <w:left w:w="54" w:type="dxa"/>
            </w:tcMar>
          </w:tcPr>
          <w:p w14:paraId="73ACB47C" w14:textId="48EF47F4"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1"/>
                <w:szCs w:val="24"/>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EEA coastline for analysis (</w:t>
            </w:r>
            <w:hyperlink r:id="rId57">
              <w:r w:rsidRPr="00610B1B">
                <w:rPr>
                  <w:rStyle w:val="Hyperlink"/>
                  <w:rFonts w:ascii="Times New Roman" w:hAnsi="Times New Roman" w:cs="Times New Roman"/>
                  <w:sz w:val="20"/>
                  <w:szCs w:val="20"/>
                  <w:lang w:val="bg-BG"/>
                </w:rPr>
                <w:t>https://www.eea.europa.eu/data-and-maps/data/eea-coastline-for-analysis-2</w:t>
              </w:r>
            </w:hyperlink>
            <w:r w:rsidRPr="00610B1B">
              <w:rPr>
                <w:rFonts w:ascii="Times New Roman" w:eastAsia="Calibri" w:hAnsi="Times New Roman" w:cs="Times New Roman"/>
                <w:iCs/>
                <w:color w:val="000000" w:themeColor="text1"/>
                <w:sz w:val="24"/>
                <w:szCs w:val="24"/>
                <w:lang w:val="bg-BG"/>
              </w:rPr>
              <w:t>)</w:t>
            </w:r>
            <w:r w:rsidRPr="00610B1B">
              <w:rPr>
                <w:rStyle w:val="Hyperlink"/>
                <w:rFonts w:ascii="Times New Roman" w:hAnsi="Times New Roman" w:cs="Times New Roman"/>
                <w:iCs/>
                <w:lang w:val="bg-BG"/>
              </w:rPr>
              <w:t>;</w:t>
            </w:r>
            <w:r w:rsidRPr="00610B1B">
              <w:rPr>
                <w:rFonts w:ascii="Times New Roman" w:eastAsia="Source Han Sans CN Regular" w:hAnsi="Times New Roman" w:cs="Times New Roman"/>
                <w:iCs/>
                <w:color w:val="000000" w:themeColor="text1"/>
                <w:sz w:val="20"/>
                <w:szCs w:val="20"/>
                <w:lang w:val="bg-BG" w:eastAsia="zh-CN" w:bidi="hi-IN"/>
              </w:rPr>
              <w:t xml:space="preserve"> Openstreetmap </w:t>
            </w:r>
            <w:r w:rsidRPr="00610B1B">
              <w:rPr>
                <w:rStyle w:val="Hyperlink"/>
                <w:rFonts w:ascii="Times New Roman" w:hAnsi="Times New Roman" w:cs="Times New Roman"/>
                <w:iCs/>
                <w:sz w:val="20"/>
                <w:szCs w:val="20"/>
                <w:lang w:val="bg-BG"/>
              </w:rPr>
              <w:t>(</w:t>
            </w:r>
            <w:hyperlink r:id="rId58">
              <w:r w:rsidRPr="00610B1B">
                <w:rPr>
                  <w:rStyle w:val="Hyperlink"/>
                  <w:rFonts w:ascii="Times New Roman" w:hAnsi="Times New Roman" w:cs="Times New Roman"/>
                  <w:iCs/>
                  <w:sz w:val="20"/>
                  <w:szCs w:val="20"/>
                  <w:lang w:val="bg-BG"/>
                </w:rPr>
                <w:t>https://www.openstreetmap.org/</w:t>
              </w:r>
            </w:hyperlink>
            <w:r w:rsidRPr="00610B1B">
              <w:rPr>
                <w:rFonts w:ascii="Times New Roman" w:eastAsia="Source Han Sans CN Regular" w:hAnsi="Times New Roman" w:cs="Times New Roman"/>
                <w:iCs/>
                <w:color w:val="000000" w:themeColor="text1"/>
                <w:sz w:val="20"/>
                <w:szCs w:val="20"/>
                <w:lang w:val="bg-BG" w:eastAsia="zh-CN" w:bidi="hi-IN"/>
              </w:rPr>
              <w:t>)</w:t>
            </w:r>
            <w:r w:rsidR="006907C2" w:rsidRPr="00610B1B">
              <w:rPr>
                <w:rFonts w:ascii="Times New Roman" w:eastAsia="Source Han Sans CN Regular" w:hAnsi="Times New Roman" w:cs="Times New Roman"/>
                <w:iCs/>
                <w:color w:val="000000" w:themeColor="text1"/>
                <w:sz w:val="20"/>
                <w:szCs w:val="20"/>
                <w:lang w:val="bg-BG" w:eastAsia="zh-CN" w:bidi="hi-IN"/>
              </w:rPr>
              <w:t xml:space="preserve">, </w:t>
            </w:r>
            <w:r w:rsidR="006907C2" w:rsidRPr="00610B1B">
              <w:rPr>
                <w:rFonts w:ascii="Times New Roman" w:eastAsia="Source Han Sans CN Regular" w:hAnsi="Times New Roman" w:cs="Times New Roman"/>
                <w:color w:val="000000" w:themeColor="text1"/>
                <w:sz w:val="20"/>
                <w:szCs w:val="20"/>
                <w:lang w:val="bg-BG" w:eastAsia="zh-CN" w:bidi="hi-IN"/>
              </w:rPr>
              <w:t>АГКК</w:t>
            </w:r>
          </w:p>
        </w:tc>
      </w:tr>
      <w:tr w:rsidR="00442579" w:rsidRPr="00610B1B" w14:paraId="6F00C4CA" w14:textId="77777777" w:rsidTr="00173C7E">
        <w:tc>
          <w:tcPr>
            <w:tcW w:w="2172" w:type="dxa"/>
            <w:shd w:val="clear" w:color="auto" w:fill="auto"/>
            <w:tcMar>
              <w:left w:w="54" w:type="dxa"/>
            </w:tcMar>
            <w:vAlign w:val="center"/>
          </w:tcPr>
          <w:p w14:paraId="41CF6497" w14:textId="77777777" w:rsidR="00442579" w:rsidRPr="00610B1B" w:rsidRDefault="00442579" w:rsidP="00173C7E">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Социални индикатори</w:t>
            </w:r>
          </w:p>
        </w:tc>
        <w:tc>
          <w:tcPr>
            <w:tcW w:w="2391" w:type="dxa"/>
            <w:shd w:val="clear" w:color="auto" w:fill="auto"/>
            <w:tcMar>
              <w:left w:w="54" w:type="dxa"/>
            </w:tcMar>
          </w:tcPr>
          <w:p w14:paraId="4C52D2D1"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xml:space="preserve">Население в крайбрежната зона (населени места със землище на брега или в </w:t>
            </w:r>
            <w:r w:rsidRPr="00610B1B">
              <w:rPr>
                <w:rFonts w:ascii="Times New Roman" w:eastAsia="Source Han Sans CN Regular" w:hAnsi="Times New Roman" w:cs="Times New Roman"/>
                <w:color w:val="000000" w:themeColor="text1"/>
                <w:sz w:val="20"/>
                <w:szCs w:val="20"/>
                <w:lang w:val="bg-BG" w:eastAsia="zh-CN" w:bidi="hi-IN"/>
              </w:rPr>
              <w:lastRenderedPageBreak/>
              <w:t>зона Б (ЗУЧК)</w:t>
            </w:r>
          </w:p>
          <w:p w14:paraId="206E6D3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Население в големите градове</w:t>
            </w:r>
          </w:p>
          <w:p w14:paraId="6F61903A" w14:textId="2D882118"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Население с висше образование</w:t>
            </w:r>
          </w:p>
        </w:tc>
        <w:tc>
          <w:tcPr>
            <w:tcW w:w="1684" w:type="dxa"/>
            <w:shd w:val="clear" w:color="auto" w:fill="auto"/>
            <w:tcMar>
              <w:left w:w="54" w:type="dxa"/>
            </w:tcMar>
          </w:tcPr>
          <w:p w14:paraId="0CE6F151"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lastRenderedPageBreak/>
              <w:t>брой</w:t>
            </w:r>
          </w:p>
          <w:p w14:paraId="12C467CD" w14:textId="0686185A"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6160E0E7" w14:textId="1ECDC0CB" w:rsidR="00D106CF" w:rsidRPr="00610B1B" w:rsidRDefault="00D106CF"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5669F3D3" w14:textId="39BBDBD1" w:rsidR="00D106CF" w:rsidRPr="00610B1B" w:rsidRDefault="00D106CF"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76ECA58F" w14:textId="77777777" w:rsidR="00D106CF" w:rsidRPr="00610B1B" w:rsidRDefault="00D106CF"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13CEDFDE"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брой</w:t>
            </w:r>
          </w:p>
          <w:p w14:paraId="78F4F1A7" w14:textId="2E7BE09C"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67E78E7A"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p>
          <w:p w14:paraId="3951C400"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t>% от населението</w:t>
            </w:r>
          </w:p>
        </w:tc>
        <w:tc>
          <w:tcPr>
            <w:tcW w:w="3437" w:type="dxa"/>
            <w:shd w:val="clear" w:color="auto" w:fill="auto"/>
            <w:tcMar>
              <w:left w:w="54" w:type="dxa"/>
            </w:tcMar>
          </w:tcPr>
          <w:p w14:paraId="10D8FA23" w14:textId="77777777" w:rsidR="00442579" w:rsidRPr="00610B1B" w:rsidRDefault="00442579" w:rsidP="00D32D6A">
            <w:pPr>
              <w:widowControl w:val="0"/>
              <w:spacing w:after="0" w:line="240" w:lineRule="auto"/>
              <w:rPr>
                <w:rFonts w:ascii="Times New Roman" w:eastAsia="Source Han Sans CN Regular" w:hAnsi="Times New Roman" w:cs="Times New Roman"/>
                <w:color w:val="000000" w:themeColor="text1"/>
                <w:sz w:val="20"/>
                <w:szCs w:val="20"/>
                <w:lang w:val="bg-BG" w:eastAsia="zh-CN" w:bidi="hi-IN"/>
              </w:rPr>
            </w:pPr>
            <w:r w:rsidRPr="00610B1B">
              <w:rPr>
                <w:rFonts w:ascii="Times New Roman" w:eastAsia="Source Han Sans CN Regular" w:hAnsi="Times New Roman" w:cs="Times New Roman"/>
                <w:color w:val="000000" w:themeColor="text1"/>
                <w:sz w:val="20"/>
                <w:szCs w:val="20"/>
                <w:lang w:val="bg-BG" w:eastAsia="zh-CN" w:bidi="hi-IN"/>
              </w:rPr>
              <w:lastRenderedPageBreak/>
              <w:t>НСИ, Демографска статистика</w:t>
            </w:r>
          </w:p>
        </w:tc>
      </w:tr>
    </w:tbl>
    <w:p w14:paraId="5B244C55" w14:textId="77777777" w:rsidR="001912E5" w:rsidRPr="00610B1B" w:rsidRDefault="001912E5" w:rsidP="00D32D6A">
      <w:pPr>
        <w:spacing w:after="120"/>
        <w:ind w:right="-153"/>
        <w:rPr>
          <w:rFonts w:ascii="Times New Roman" w:eastAsia="Calibri" w:hAnsi="Times New Roman" w:cs="Times New Roman"/>
          <w:color w:val="000000" w:themeColor="text1"/>
          <w:sz w:val="24"/>
          <w:szCs w:val="24"/>
          <w:lang w:val="bg-BG"/>
        </w:rPr>
      </w:pPr>
    </w:p>
    <w:p w14:paraId="1DA6B164" w14:textId="77777777" w:rsidR="009907CE" w:rsidRPr="00610B1B" w:rsidRDefault="001912E5"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Допълнителна оценка е извършена и на база информацията от платформата за наблюдение на човешките дейности в морските пространства и състоянието на морската околна среда</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 xml:space="preserve">EMODnet. </w:t>
      </w:r>
    </w:p>
    <w:p w14:paraId="703184E6" w14:textId="4DD5C9AC" w:rsidR="00EA4600" w:rsidRPr="00610B1B" w:rsidRDefault="00EA4600"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br w:type="page"/>
      </w:r>
    </w:p>
    <w:p w14:paraId="453E4A06" w14:textId="4A3D8F39" w:rsidR="00442579" w:rsidRPr="00610B1B" w:rsidRDefault="007F718F" w:rsidP="00D32D6A">
      <w:pPr>
        <w:pStyle w:val="Heading1"/>
        <w:spacing w:before="0" w:line="276" w:lineRule="auto"/>
        <w:rPr>
          <w:rStyle w:val="Heading1Char"/>
          <w:rFonts w:cs="Times New Roman"/>
          <w:b/>
          <w:bCs/>
        </w:rPr>
      </w:pPr>
      <w:bookmarkStart w:id="451" w:name="_Toc83391424"/>
      <w:bookmarkEnd w:id="449"/>
      <w:r w:rsidRPr="00610B1B">
        <w:rPr>
          <w:rFonts w:cs="Times New Roman"/>
        </w:rPr>
        <w:lastRenderedPageBreak/>
        <w:t>5.</w:t>
      </w:r>
      <w:r w:rsidRPr="00610B1B">
        <w:rPr>
          <w:rFonts w:cs="Times New Roman"/>
          <w:b w:val="0"/>
          <w:bCs w:val="0"/>
        </w:rPr>
        <w:t xml:space="preserve"> </w:t>
      </w:r>
      <w:r w:rsidR="00442579" w:rsidRPr="00610B1B">
        <w:rPr>
          <w:rStyle w:val="Heading1Char"/>
          <w:rFonts w:cs="Times New Roman"/>
          <w:b/>
          <w:bCs/>
        </w:rPr>
        <w:t>ВИЗИЯ, СТРАТЕГИЧЕСКИ ЦЕЛИ И ПРИОРИТЕТИ</w:t>
      </w:r>
      <w:bookmarkEnd w:id="451"/>
      <w:r w:rsidR="00D66FE0" w:rsidRPr="00610B1B">
        <w:rPr>
          <w:rStyle w:val="Heading1Char"/>
          <w:rFonts w:cs="Times New Roman"/>
          <w:b/>
          <w:bCs/>
        </w:rPr>
        <w:t xml:space="preserve"> </w:t>
      </w:r>
    </w:p>
    <w:p w14:paraId="0C5551A0" w14:textId="16951113" w:rsidR="00442579" w:rsidRPr="00610B1B" w:rsidRDefault="007F718F" w:rsidP="00D32D6A">
      <w:pPr>
        <w:pStyle w:val="Heading2"/>
        <w:spacing w:before="0" w:line="276" w:lineRule="auto"/>
        <w:ind w:right="-153"/>
        <w:rPr>
          <w:rFonts w:cs="Times New Roman"/>
        </w:rPr>
      </w:pPr>
      <w:bookmarkStart w:id="452" w:name="_Toc83391425"/>
      <w:r w:rsidRPr="00610B1B">
        <w:rPr>
          <w:rFonts w:cs="Times New Roman"/>
        </w:rPr>
        <w:t xml:space="preserve">5.1. </w:t>
      </w:r>
      <w:r w:rsidR="00442579" w:rsidRPr="00610B1B">
        <w:rPr>
          <w:rFonts w:cs="Times New Roman"/>
        </w:rPr>
        <w:t>Визия за развитие, опазване и използване на морското пространство</w:t>
      </w:r>
      <w:bookmarkEnd w:id="452"/>
    </w:p>
    <w:p w14:paraId="06D40D40" w14:textId="4FC28C76" w:rsidR="00442579" w:rsidRPr="00610B1B" w:rsidRDefault="00A572F0"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Визията за развитие, опазване и използване на националното морско пространство се гради върху мотото на плана „</w:t>
      </w:r>
      <w:bookmarkStart w:id="453" w:name="_Hlk46663017"/>
      <w:r w:rsidRPr="00610B1B">
        <w:rPr>
          <w:rFonts w:ascii="Times New Roman" w:eastAsia="Calibri" w:hAnsi="Times New Roman" w:cs="Times New Roman"/>
          <w:b/>
          <w:bCs/>
          <w:color w:val="000000" w:themeColor="text1"/>
          <w:sz w:val="24"/>
          <w:szCs w:val="24"/>
          <w:lang w:val="bg-BG"/>
        </w:rPr>
        <w:t xml:space="preserve">Черно море – отворена врата към света, българското Черноморско крайбрежие – </w:t>
      </w:r>
      <w:r w:rsidR="00953270" w:rsidRPr="00610B1B">
        <w:rPr>
          <w:rFonts w:ascii="Times New Roman" w:eastAsia="Calibri" w:hAnsi="Times New Roman" w:cs="Times New Roman"/>
          <w:b/>
          <w:bCs/>
          <w:color w:val="000000" w:themeColor="text1"/>
          <w:sz w:val="24"/>
          <w:szCs w:val="24"/>
          <w:lang w:val="bg-BG"/>
        </w:rPr>
        <w:t>наша</w:t>
      </w:r>
      <w:r w:rsidRPr="00610B1B">
        <w:rPr>
          <w:rFonts w:ascii="Times New Roman" w:eastAsia="Calibri" w:hAnsi="Times New Roman" w:cs="Times New Roman"/>
          <w:b/>
          <w:bCs/>
          <w:color w:val="000000" w:themeColor="text1"/>
          <w:sz w:val="24"/>
          <w:szCs w:val="24"/>
          <w:lang w:val="bg-BG"/>
        </w:rPr>
        <w:t xml:space="preserve"> отговорност и </w:t>
      </w:r>
      <w:r w:rsidR="008B3B5A" w:rsidRPr="00610B1B">
        <w:rPr>
          <w:rFonts w:ascii="Times New Roman" w:eastAsia="Calibri" w:hAnsi="Times New Roman" w:cs="Times New Roman"/>
          <w:b/>
          <w:bCs/>
          <w:color w:val="000000" w:themeColor="text1"/>
          <w:sz w:val="24"/>
          <w:szCs w:val="24"/>
          <w:lang w:val="bg-BG"/>
        </w:rPr>
        <w:t xml:space="preserve">общо </w:t>
      </w:r>
      <w:r w:rsidRPr="00610B1B">
        <w:rPr>
          <w:rFonts w:ascii="Times New Roman" w:eastAsia="Calibri" w:hAnsi="Times New Roman" w:cs="Times New Roman"/>
          <w:b/>
          <w:bCs/>
          <w:color w:val="000000" w:themeColor="text1"/>
          <w:sz w:val="24"/>
          <w:szCs w:val="24"/>
          <w:lang w:val="bg-BG"/>
        </w:rPr>
        <w:t>наследство</w:t>
      </w:r>
      <w:bookmarkEnd w:id="453"/>
      <w:r w:rsidRPr="00610B1B">
        <w:rPr>
          <w:rFonts w:ascii="Times New Roman" w:eastAsia="Calibri" w:hAnsi="Times New Roman" w:cs="Times New Roman"/>
          <w:color w:val="000000" w:themeColor="text1"/>
          <w:sz w:val="24"/>
          <w:szCs w:val="24"/>
          <w:lang w:val="bg-BG"/>
        </w:rPr>
        <w:t xml:space="preserve">“, което осъществява връзките с Националната концепция за пространствено развитие за периода 2013-2025 г. и нейната Актуализация от 2019 г. Тя се изгражда в </w:t>
      </w:r>
      <w:r w:rsidR="00442579" w:rsidRPr="00610B1B">
        <w:rPr>
          <w:rFonts w:ascii="Times New Roman" w:eastAsia="Calibri" w:hAnsi="Times New Roman" w:cs="Times New Roman"/>
          <w:color w:val="000000" w:themeColor="text1"/>
          <w:sz w:val="24"/>
          <w:szCs w:val="24"/>
          <w:lang w:val="bg-BG"/>
        </w:rPr>
        <w:t>контекст</w:t>
      </w:r>
      <w:r w:rsidR="008F57C6" w:rsidRPr="00610B1B">
        <w:rPr>
          <w:rFonts w:ascii="Times New Roman" w:eastAsia="Calibri" w:hAnsi="Times New Roman" w:cs="Times New Roman"/>
          <w:color w:val="000000" w:themeColor="text1"/>
          <w:sz w:val="24"/>
          <w:szCs w:val="24"/>
          <w:lang w:val="bg-BG"/>
        </w:rPr>
        <w:t>а на</w:t>
      </w:r>
      <w:r w:rsidR="00442579" w:rsidRPr="00610B1B">
        <w:rPr>
          <w:rFonts w:ascii="Times New Roman" w:eastAsia="Calibri" w:hAnsi="Times New Roman" w:cs="Times New Roman"/>
          <w:color w:val="000000" w:themeColor="text1"/>
          <w:sz w:val="24"/>
          <w:szCs w:val="24"/>
          <w:lang w:val="bg-BG"/>
        </w:rPr>
        <w:t xml:space="preserve"> три различни мащаба:</w:t>
      </w:r>
    </w:p>
    <w:p w14:paraId="3C7A734A" w14:textId="0CA1A7CB" w:rsidR="009879BF" w:rsidRPr="00610B1B" w:rsidRDefault="00442579" w:rsidP="00B46189">
      <w:pPr>
        <w:pStyle w:val="ListParagraph"/>
        <w:numPr>
          <w:ilvl w:val="0"/>
          <w:numId w:val="28"/>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i/>
          <w:sz w:val="24"/>
          <w:szCs w:val="24"/>
          <w:lang w:val="bg-BG"/>
        </w:rPr>
        <w:t>Глобален мащаб</w:t>
      </w:r>
      <w:r w:rsidRPr="00610B1B">
        <w:rPr>
          <w:rFonts w:ascii="Times New Roman" w:eastAsia="Calibri" w:hAnsi="Times New Roman" w:cs="Times New Roman"/>
          <w:sz w:val="24"/>
          <w:szCs w:val="24"/>
          <w:lang w:val="bg-BG"/>
        </w:rPr>
        <w:t xml:space="preserve"> </w:t>
      </w:r>
      <w:r w:rsidR="009879BF" w:rsidRPr="00610B1B">
        <w:rPr>
          <w:rFonts w:ascii="Times New Roman" w:eastAsia="Calibri" w:hAnsi="Times New Roman" w:cs="Times New Roman"/>
          <w:sz w:val="24"/>
          <w:szCs w:val="24"/>
          <w:lang w:val="bg-BG"/>
        </w:rPr>
        <w:t>–</w:t>
      </w:r>
      <w:r w:rsidR="00D66FE0" w:rsidRPr="00610B1B">
        <w:rPr>
          <w:rFonts w:ascii="Times New Roman" w:eastAsia="Calibri" w:hAnsi="Times New Roman" w:cs="Times New Roman"/>
          <w:sz w:val="24"/>
          <w:szCs w:val="24"/>
          <w:lang w:val="bg-BG"/>
        </w:rPr>
        <w:t xml:space="preserve"> </w:t>
      </w:r>
      <w:r w:rsidR="009879BF" w:rsidRPr="00610B1B">
        <w:rPr>
          <w:rFonts w:ascii="Times New Roman" w:eastAsia="Calibri" w:hAnsi="Times New Roman" w:cs="Times New Roman"/>
          <w:sz w:val="24"/>
          <w:szCs w:val="24"/>
          <w:lang w:val="bg-BG"/>
        </w:rPr>
        <w:t>Цел 14 на ООН за устойчиво развитие „Съхранение и устойчиво ползване на океаните, моретата и морските ресурси за устойчиво развитие“ е основа и ориентир за глобалната визия „човек – море“. Обективната зависимост показва, че колкото по-дълго и по-добре се съхранят морските екосистеми, толкова по-дълго ще съществуват и по-добри ще са шансовете за устойчиво развитие на зависимите от морето региони и морските индустрии.</w:t>
      </w:r>
    </w:p>
    <w:p w14:paraId="5C41002B" w14:textId="17F2597E" w:rsidR="00442579" w:rsidRPr="00610B1B" w:rsidRDefault="00442579" w:rsidP="00B46189">
      <w:pPr>
        <w:numPr>
          <w:ilvl w:val="0"/>
          <w:numId w:val="28"/>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i/>
          <w:sz w:val="24"/>
          <w:szCs w:val="24"/>
          <w:lang w:val="bg-BG"/>
        </w:rPr>
        <w:t xml:space="preserve">Европейски мащаб </w:t>
      </w:r>
      <w:r w:rsidRPr="00610B1B">
        <w:rPr>
          <w:rFonts w:ascii="Times New Roman" w:eastAsia="Calibri" w:hAnsi="Times New Roman" w:cs="Times New Roman"/>
          <w:sz w:val="24"/>
          <w:szCs w:val="24"/>
          <w:lang w:val="bg-BG"/>
        </w:rPr>
        <w:t>– Интегрираната морска политика (ИМП) на ЕС представлява цялостен подход към всички политики на ЕС, свързани с моретата и океаните</w:t>
      </w:r>
      <w:r w:rsidRPr="00610B1B">
        <w:rPr>
          <w:rFonts w:ascii="Times New Roman" w:eastAsia="Calibri" w:hAnsi="Times New Roman" w:cs="Times New Roman"/>
          <w:color w:val="000000" w:themeColor="text1"/>
          <w:sz w:val="24"/>
          <w:szCs w:val="24"/>
          <w:lang w:val="bg-BG"/>
        </w:rPr>
        <w:t>. ИМП е основана на идеята, че ЕС може да извлече по-голяма полза от моретата и океаните с по-малко въздействие върху околната среда чрез координиране на своите политики. ИМП обхваща почти всички морски ползвания - рибарство и аквакултури, морско корабоплаване и пристанища, морска среда, морски изследвания, енергия от разположени в морето инсталации, корабостроене и индустрии, свързани с морето, морски надзор, морски и крайбрежен туризъм, заетост, развитие на крайбрежните региони и външни отношения в морското дело.</w:t>
      </w:r>
    </w:p>
    <w:p w14:paraId="44B04624" w14:textId="608912BA" w:rsidR="00442579" w:rsidRPr="00610B1B" w:rsidRDefault="00442579" w:rsidP="00B46189">
      <w:pPr>
        <w:numPr>
          <w:ilvl w:val="0"/>
          <w:numId w:val="28"/>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i/>
          <w:color w:val="000000" w:themeColor="text1"/>
          <w:sz w:val="24"/>
          <w:szCs w:val="24"/>
          <w:lang w:val="bg-BG"/>
        </w:rPr>
        <w:t xml:space="preserve">Национален мащаб </w:t>
      </w:r>
      <w:r w:rsidRPr="00610B1B">
        <w:rPr>
          <w:rFonts w:ascii="Times New Roman" w:eastAsia="Calibri" w:hAnsi="Times New Roman" w:cs="Times New Roman"/>
          <w:color w:val="000000" w:themeColor="text1"/>
          <w:sz w:val="24"/>
          <w:szCs w:val="24"/>
          <w:lang w:val="bg-BG"/>
        </w:rPr>
        <w:t>– конкретизира желаното състояние на морето и прилежащите пространства при ползвания</w:t>
      </w:r>
      <w:r w:rsidR="006B2463" w:rsidRPr="00610B1B">
        <w:rPr>
          <w:rFonts w:ascii="Times New Roman" w:eastAsia="Calibri" w:hAnsi="Times New Roman" w:cs="Times New Roman"/>
          <w:color w:val="000000" w:themeColor="text1"/>
          <w:sz w:val="24"/>
          <w:szCs w:val="24"/>
          <w:lang w:val="bg-BG"/>
        </w:rPr>
        <w:t>,</w:t>
      </w:r>
      <w:r w:rsidRPr="00610B1B">
        <w:rPr>
          <w:rFonts w:ascii="Times New Roman" w:eastAsia="Calibri" w:hAnsi="Times New Roman" w:cs="Times New Roman"/>
          <w:color w:val="000000" w:themeColor="text1"/>
          <w:sz w:val="24"/>
          <w:szCs w:val="24"/>
          <w:lang w:val="bg-BG"/>
        </w:rPr>
        <w:t xml:space="preserve"> съобразно избрания сценарий</w:t>
      </w:r>
      <w:r w:rsidR="00A572F0" w:rsidRPr="00610B1B">
        <w:rPr>
          <w:rFonts w:ascii="Times New Roman" w:eastAsia="Calibri" w:hAnsi="Times New Roman" w:cs="Times New Roman"/>
          <w:color w:val="000000" w:themeColor="text1"/>
          <w:sz w:val="24"/>
          <w:szCs w:val="24"/>
          <w:lang w:val="bg-BG"/>
        </w:rPr>
        <w:t xml:space="preserve">: </w:t>
      </w:r>
    </w:p>
    <w:p w14:paraId="397FA8B9" w14:textId="66F0BA27" w:rsidR="00442579" w:rsidRPr="00610B1B" w:rsidRDefault="00A572F0" w:rsidP="00B46189">
      <w:pPr>
        <w:numPr>
          <w:ilvl w:val="1"/>
          <w:numId w:val="28"/>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Ясно избрани приоритети за разв</w:t>
      </w:r>
      <w:r w:rsidR="006B2463" w:rsidRPr="00610B1B">
        <w:rPr>
          <w:rFonts w:ascii="Times New Roman" w:eastAsia="Calibri" w:hAnsi="Times New Roman" w:cs="Times New Roman"/>
          <w:color w:val="000000" w:themeColor="text1"/>
          <w:sz w:val="24"/>
          <w:szCs w:val="24"/>
          <w:lang w:val="bg-BG"/>
        </w:rPr>
        <w:t>и</w:t>
      </w:r>
      <w:r w:rsidRPr="00610B1B">
        <w:rPr>
          <w:rFonts w:ascii="Times New Roman" w:eastAsia="Calibri" w:hAnsi="Times New Roman" w:cs="Times New Roman"/>
          <w:color w:val="000000" w:themeColor="text1"/>
          <w:sz w:val="24"/>
          <w:szCs w:val="24"/>
          <w:lang w:val="bg-BG"/>
        </w:rPr>
        <w:t xml:space="preserve">тие с балансирани </w:t>
      </w:r>
      <w:r w:rsidR="00442579" w:rsidRPr="00610B1B">
        <w:rPr>
          <w:rFonts w:ascii="Times New Roman" w:eastAsia="Calibri" w:hAnsi="Times New Roman" w:cs="Times New Roman"/>
          <w:color w:val="000000" w:themeColor="text1"/>
          <w:sz w:val="24"/>
          <w:szCs w:val="24"/>
          <w:lang w:val="bg-BG"/>
        </w:rPr>
        <w:t>икономически, социални и екологични ползи, конкурентна, иновативна и устойчива морска индустрия;</w:t>
      </w:r>
    </w:p>
    <w:p w14:paraId="71788C48" w14:textId="77777777" w:rsidR="00442579" w:rsidRPr="00610B1B" w:rsidRDefault="00442579" w:rsidP="00B46189">
      <w:pPr>
        <w:numPr>
          <w:ilvl w:val="1"/>
          <w:numId w:val="28"/>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Морето запазва и подобрява екологичния си статус и биологичното си разнообразие;</w:t>
      </w:r>
    </w:p>
    <w:p w14:paraId="38AAA682" w14:textId="51BB9602" w:rsidR="00442579" w:rsidRPr="00610B1B" w:rsidRDefault="00442579" w:rsidP="00B46189">
      <w:pPr>
        <w:numPr>
          <w:ilvl w:val="1"/>
          <w:numId w:val="28"/>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Местните общности по цялото българско </w:t>
      </w:r>
      <w:r w:rsidR="00A572F0" w:rsidRPr="00610B1B">
        <w:rPr>
          <w:rFonts w:ascii="Times New Roman" w:eastAsia="Calibri" w:hAnsi="Times New Roman" w:cs="Times New Roman"/>
          <w:color w:val="000000" w:themeColor="text1"/>
          <w:sz w:val="24"/>
          <w:szCs w:val="24"/>
          <w:lang w:val="bg-BG"/>
        </w:rPr>
        <w:t xml:space="preserve">Черноморско </w:t>
      </w:r>
      <w:r w:rsidRPr="00610B1B">
        <w:rPr>
          <w:rFonts w:ascii="Times New Roman" w:eastAsia="Calibri" w:hAnsi="Times New Roman" w:cs="Times New Roman"/>
          <w:color w:val="000000" w:themeColor="text1"/>
          <w:sz w:val="24"/>
          <w:szCs w:val="24"/>
          <w:lang w:val="bg-BG"/>
        </w:rPr>
        <w:t>крайбрежие имат стабилна и равномерна заетост, повишено благосъстояние, изявена идентичност и сплотеност;</w:t>
      </w:r>
    </w:p>
    <w:p w14:paraId="05C2A8EA" w14:textId="77777777" w:rsidR="00442579" w:rsidRPr="00610B1B" w:rsidRDefault="00442579" w:rsidP="00B46189">
      <w:pPr>
        <w:numPr>
          <w:ilvl w:val="1"/>
          <w:numId w:val="28"/>
        </w:num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МППРБ е институционализиран, прилага се ефективно и осигурява безконфликтни ползвания в лимитите на устойчивите екосистемни услуги на Черно море. </w:t>
      </w:r>
    </w:p>
    <w:p w14:paraId="76326796" w14:textId="7DD3D7B1" w:rsidR="00442579" w:rsidRPr="00610B1B" w:rsidRDefault="00442579" w:rsidP="00527A14">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lastRenderedPageBreak/>
        <w:t>На тази основа, визията на МППРБ описва желания резултат от прилагането му чрез общи</w:t>
      </w:r>
      <w:r w:rsidR="007F718F" w:rsidRPr="00610B1B">
        <w:rPr>
          <w:rFonts w:ascii="Times New Roman" w:eastAsia="Calibri" w:hAnsi="Times New Roman" w:cs="Times New Roman"/>
          <w:color w:val="000000" w:themeColor="text1"/>
          <w:sz w:val="24"/>
          <w:szCs w:val="24"/>
          <w:lang w:val="bg-BG"/>
        </w:rPr>
        <w:t xml:space="preserve"> еднопосочни</w:t>
      </w:r>
      <w:r w:rsidRPr="00610B1B">
        <w:rPr>
          <w:rFonts w:ascii="Times New Roman" w:eastAsia="Calibri" w:hAnsi="Times New Roman" w:cs="Times New Roman"/>
          <w:color w:val="000000" w:themeColor="text1"/>
          <w:sz w:val="24"/>
          <w:szCs w:val="24"/>
          <w:lang w:val="bg-BG"/>
        </w:rPr>
        <w:t xml:space="preserve"> послания</w:t>
      </w:r>
      <w:r w:rsidR="009F3C0B"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Това е Визия на помирението и на баланса, отправна цел не само на МППРБ, но и на всички секторни политики с интерес в морското пространство.</w:t>
      </w:r>
      <w:r w:rsidR="00527A14" w:rsidRPr="00610B1B">
        <w:rPr>
          <w:rFonts w:ascii="Times New Roman" w:eastAsia="Calibri" w:hAnsi="Times New Roman" w:cs="Times New Roman"/>
          <w:color w:val="000000" w:themeColor="text1"/>
          <w:sz w:val="24"/>
          <w:szCs w:val="24"/>
          <w:lang w:val="bg-BG"/>
        </w:rPr>
        <w:t xml:space="preserve"> </w:t>
      </w:r>
      <w:bookmarkStart w:id="454" w:name="_Hlk46663195"/>
    </w:p>
    <w:bookmarkEnd w:id="454"/>
    <w:p w14:paraId="053B26FC" w14:textId="2452214A" w:rsidR="00F24CC3" w:rsidRPr="00610B1B" w:rsidRDefault="00F37D59"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Изборът на най-подходяща версия </w:t>
      </w:r>
      <w:r w:rsidR="00527A14" w:rsidRPr="00610B1B">
        <w:rPr>
          <w:rFonts w:ascii="Times New Roman" w:eastAsia="Calibri" w:hAnsi="Times New Roman" w:cs="Times New Roman"/>
          <w:color w:val="000000" w:themeColor="text1"/>
          <w:sz w:val="24"/>
          <w:szCs w:val="24"/>
          <w:lang w:val="bg-BG"/>
        </w:rPr>
        <w:t>премина през</w:t>
      </w:r>
      <w:r w:rsidRPr="00610B1B">
        <w:rPr>
          <w:rFonts w:ascii="Times New Roman" w:eastAsia="Calibri" w:hAnsi="Times New Roman" w:cs="Times New Roman"/>
          <w:color w:val="000000" w:themeColor="text1"/>
          <w:sz w:val="24"/>
          <w:szCs w:val="24"/>
          <w:lang w:val="bg-BG"/>
        </w:rPr>
        <w:t xml:space="preserve"> процес на консултации </w:t>
      </w:r>
      <w:r w:rsidR="006B2463" w:rsidRPr="00610B1B">
        <w:rPr>
          <w:rFonts w:ascii="Times New Roman" w:eastAsia="Calibri" w:hAnsi="Times New Roman" w:cs="Times New Roman"/>
          <w:color w:val="000000" w:themeColor="text1"/>
          <w:sz w:val="24"/>
          <w:szCs w:val="24"/>
          <w:lang w:val="bg-BG"/>
        </w:rPr>
        <w:t xml:space="preserve">с </w:t>
      </w:r>
      <w:r w:rsidRPr="00610B1B">
        <w:rPr>
          <w:rFonts w:ascii="Times New Roman" w:eastAsia="Calibri" w:hAnsi="Times New Roman" w:cs="Times New Roman"/>
          <w:color w:val="000000" w:themeColor="text1"/>
          <w:sz w:val="24"/>
          <w:szCs w:val="24"/>
          <w:lang w:val="bg-BG"/>
        </w:rPr>
        <w:t>представители на заинтересованите страни по МППРБ.</w:t>
      </w:r>
      <w:r w:rsidR="00F24CC3" w:rsidRPr="00610B1B">
        <w:rPr>
          <w:rFonts w:ascii="Times New Roman" w:hAnsi="Times New Roman" w:cs="Times New Roman"/>
          <w:lang w:val="bg-BG"/>
        </w:rPr>
        <w:t xml:space="preserve"> </w:t>
      </w:r>
      <w:r w:rsidR="00F24CC3" w:rsidRPr="00610B1B">
        <w:rPr>
          <w:rFonts w:ascii="Times New Roman" w:eastAsia="Calibri" w:hAnsi="Times New Roman" w:cs="Times New Roman"/>
          <w:color w:val="000000" w:themeColor="text1"/>
          <w:sz w:val="24"/>
          <w:szCs w:val="24"/>
          <w:lang w:val="bg-BG"/>
        </w:rPr>
        <w:t>В рамките на интердисциплинарните семинари „Синя синергия“ и „Какво бъдеще за нашето Черно море“</w:t>
      </w:r>
      <w:r w:rsidR="002D5B90" w:rsidRPr="00610B1B">
        <w:rPr>
          <w:rFonts w:ascii="Times New Roman" w:eastAsia="Calibri" w:hAnsi="Times New Roman" w:cs="Times New Roman"/>
          <w:color w:val="000000" w:themeColor="text1"/>
          <w:sz w:val="24"/>
          <w:szCs w:val="24"/>
          <w:lang w:val="bg-BG"/>
        </w:rPr>
        <w:t xml:space="preserve"> (</w:t>
      </w:r>
      <w:r w:rsidR="00F24CC3" w:rsidRPr="00610B1B">
        <w:rPr>
          <w:rFonts w:ascii="Times New Roman" w:eastAsia="Calibri" w:hAnsi="Times New Roman" w:cs="Times New Roman"/>
          <w:color w:val="000000" w:themeColor="text1"/>
          <w:sz w:val="24"/>
          <w:szCs w:val="24"/>
          <w:lang w:val="bg-BG"/>
        </w:rPr>
        <w:t>Бургас</w:t>
      </w:r>
      <w:r w:rsidR="002D5B90" w:rsidRPr="00610B1B">
        <w:rPr>
          <w:rFonts w:ascii="Times New Roman" w:eastAsia="Calibri" w:hAnsi="Times New Roman" w:cs="Times New Roman"/>
          <w:color w:val="000000" w:themeColor="text1"/>
          <w:sz w:val="24"/>
          <w:szCs w:val="24"/>
          <w:lang w:val="bg-BG"/>
        </w:rPr>
        <w:t xml:space="preserve">, </w:t>
      </w:r>
      <w:r w:rsidR="00F24CC3" w:rsidRPr="00610B1B">
        <w:rPr>
          <w:rFonts w:ascii="Times New Roman" w:eastAsia="Calibri" w:hAnsi="Times New Roman" w:cs="Times New Roman"/>
          <w:color w:val="000000" w:themeColor="text1"/>
          <w:sz w:val="24"/>
          <w:szCs w:val="24"/>
          <w:lang w:val="bg-BG"/>
        </w:rPr>
        <w:t>10</w:t>
      </w:r>
      <w:r w:rsidR="002D5B90" w:rsidRPr="00610B1B">
        <w:rPr>
          <w:rFonts w:ascii="Times New Roman" w:eastAsia="Calibri" w:hAnsi="Times New Roman" w:cs="Times New Roman"/>
          <w:color w:val="000000" w:themeColor="text1"/>
          <w:sz w:val="24"/>
          <w:szCs w:val="24"/>
          <w:lang w:val="bg-BG"/>
        </w:rPr>
        <w:t>.07.</w:t>
      </w:r>
      <w:r w:rsidR="00F24CC3" w:rsidRPr="00610B1B">
        <w:rPr>
          <w:rFonts w:ascii="Times New Roman" w:eastAsia="Calibri" w:hAnsi="Times New Roman" w:cs="Times New Roman"/>
          <w:color w:val="000000" w:themeColor="text1"/>
          <w:sz w:val="24"/>
          <w:szCs w:val="24"/>
          <w:lang w:val="bg-BG"/>
        </w:rPr>
        <w:t>2020 г</w:t>
      </w:r>
      <w:r w:rsidR="002D5B90" w:rsidRPr="00610B1B">
        <w:rPr>
          <w:rFonts w:ascii="Times New Roman" w:eastAsia="Calibri" w:hAnsi="Times New Roman" w:cs="Times New Roman"/>
          <w:color w:val="000000" w:themeColor="text1"/>
          <w:sz w:val="24"/>
          <w:szCs w:val="24"/>
          <w:lang w:val="bg-BG"/>
        </w:rPr>
        <w:t>.)</w:t>
      </w:r>
      <w:r w:rsidR="00F24CC3" w:rsidRPr="00610B1B">
        <w:rPr>
          <w:rFonts w:ascii="Times New Roman" w:eastAsia="Calibri" w:hAnsi="Times New Roman" w:cs="Times New Roman"/>
          <w:color w:val="000000" w:themeColor="text1"/>
          <w:sz w:val="24"/>
          <w:szCs w:val="24"/>
          <w:lang w:val="bg-BG"/>
        </w:rPr>
        <w:t xml:space="preserve">, </w:t>
      </w:r>
      <w:r w:rsidR="002D5B90" w:rsidRPr="00610B1B">
        <w:rPr>
          <w:rFonts w:ascii="Times New Roman" w:eastAsia="Calibri" w:hAnsi="Times New Roman" w:cs="Times New Roman"/>
          <w:color w:val="000000" w:themeColor="text1"/>
          <w:sz w:val="24"/>
          <w:szCs w:val="24"/>
          <w:lang w:val="bg-BG"/>
        </w:rPr>
        <w:t>н</w:t>
      </w:r>
      <w:r w:rsidR="00F24CC3" w:rsidRPr="00610B1B">
        <w:rPr>
          <w:rFonts w:ascii="Times New Roman" w:eastAsia="Calibri" w:hAnsi="Times New Roman" w:cs="Times New Roman"/>
          <w:color w:val="000000" w:themeColor="text1"/>
          <w:sz w:val="24"/>
          <w:szCs w:val="24"/>
          <w:lang w:val="bg-BG"/>
        </w:rPr>
        <w:t xml:space="preserve">а всички участници беше предоставена възможност за участие в </w:t>
      </w:r>
      <w:r w:rsidR="002D5B90" w:rsidRPr="00610B1B">
        <w:rPr>
          <w:rFonts w:ascii="Times New Roman" w:eastAsia="Calibri" w:hAnsi="Times New Roman" w:cs="Times New Roman"/>
          <w:color w:val="000000" w:themeColor="text1"/>
          <w:sz w:val="24"/>
          <w:szCs w:val="24"/>
          <w:lang w:val="bg-BG"/>
        </w:rPr>
        <w:t xml:space="preserve">социологическо </w:t>
      </w:r>
      <w:r w:rsidR="00F24CC3" w:rsidRPr="00610B1B">
        <w:rPr>
          <w:rFonts w:ascii="Times New Roman" w:eastAsia="Calibri" w:hAnsi="Times New Roman" w:cs="Times New Roman"/>
          <w:color w:val="000000" w:themeColor="text1"/>
          <w:sz w:val="24"/>
          <w:szCs w:val="24"/>
          <w:lang w:val="bg-BG"/>
        </w:rPr>
        <w:t>изследване</w:t>
      </w:r>
      <w:r w:rsidR="002D5B90" w:rsidRPr="00610B1B">
        <w:rPr>
          <w:rFonts w:ascii="Times New Roman" w:eastAsia="Calibri" w:hAnsi="Times New Roman" w:cs="Times New Roman"/>
          <w:color w:val="000000" w:themeColor="text1"/>
          <w:sz w:val="24"/>
          <w:szCs w:val="24"/>
          <w:lang w:val="bg-BG"/>
        </w:rPr>
        <w:t xml:space="preserve"> за </w:t>
      </w:r>
      <w:r w:rsidR="00F24CC3" w:rsidRPr="00610B1B">
        <w:rPr>
          <w:rFonts w:ascii="Times New Roman" w:eastAsia="Calibri" w:hAnsi="Times New Roman" w:cs="Times New Roman"/>
          <w:color w:val="000000" w:themeColor="text1"/>
          <w:sz w:val="24"/>
          <w:szCs w:val="24"/>
          <w:lang w:val="bg-BG"/>
        </w:rPr>
        <w:t xml:space="preserve">избор на визия на Морския пространствен план на Република България 2021-2035 с цел да се провери избраната посока на развитие и нагласите към предложенията. В социологическото проучване са се включили 37 от присъствалите на събитието експерти, което е близо ¾ от всички участници в семинарите. Най-високо са оценени обхватът и отразяването на важните за визията теми, които отговарят на разбиранията на експертите за желания образ на българското Черноморие след 15-20 години. Най-много критични оценки получават </w:t>
      </w:r>
      <w:r w:rsidR="00527A14" w:rsidRPr="00610B1B">
        <w:rPr>
          <w:rFonts w:ascii="Times New Roman" w:eastAsia="Calibri" w:hAnsi="Times New Roman" w:cs="Times New Roman"/>
          <w:color w:val="000000" w:themeColor="text1"/>
          <w:sz w:val="24"/>
          <w:szCs w:val="24"/>
          <w:lang w:val="bg-BG"/>
        </w:rPr>
        <w:t>вариантите</w:t>
      </w:r>
      <w:r w:rsidR="00F24CC3" w:rsidRPr="00610B1B">
        <w:rPr>
          <w:rFonts w:ascii="Times New Roman" w:eastAsia="Calibri" w:hAnsi="Times New Roman" w:cs="Times New Roman"/>
          <w:color w:val="000000" w:themeColor="text1"/>
          <w:sz w:val="24"/>
          <w:szCs w:val="24"/>
          <w:lang w:val="bg-BG"/>
        </w:rPr>
        <w:t xml:space="preserve"> за реалистичност и правдоподобност. </w:t>
      </w:r>
    </w:p>
    <w:p w14:paraId="360D0762" w14:textId="40FA9395" w:rsidR="00E72539" w:rsidRPr="00610B1B" w:rsidRDefault="002D5B90"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w:t>
      </w:r>
      <w:r w:rsidR="00DE7F8C" w:rsidRPr="00610B1B">
        <w:rPr>
          <w:rFonts w:ascii="Times New Roman" w:eastAsia="Calibri" w:hAnsi="Times New Roman" w:cs="Times New Roman"/>
          <w:color w:val="000000" w:themeColor="text1"/>
          <w:sz w:val="24"/>
          <w:szCs w:val="24"/>
          <w:lang w:val="bg-BG"/>
        </w:rPr>
        <w:t xml:space="preserve">роведените предварителни консултации, експертни оценки и анкетно проучване имат за цел да подпомогнат </w:t>
      </w:r>
      <w:r w:rsidRPr="00610B1B">
        <w:rPr>
          <w:rFonts w:ascii="Times New Roman" w:eastAsia="Calibri" w:hAnsi="Times New Roman" w:cs="Times New Roman"/>
          <w:color w:val="000000" w:themeColor="text1"/>
          <w:sz w:val="24"/>
          <w:szCs w:val="24"/>
          <w:lang w:val="bg-BG"/>
        </w:rPr>
        <w:t>Консултативния съвет при избора на визия</w:t>
      </w:r>
      <w:r w:rsidR="00DE7F8C"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Мненията</w:t>
      </w:r>
      <w:r w:rsidR="00DE7F8C" w:rsidRPr="00610B1B">
        <w:rPr>
          <w:rFonts w:ascii="Times New Roman" w:eastAsia="Calibri" w:hAnsi="Times New Roman" w:cs="Times New Roman"/>
          <w:color w:val="000000" w:themeColor="text1"/>
          <w:sz w:val="24"/>
          <w:szCs w:val="24"/>
          <w:lang w:val="bg-BG"/>
        </w:rPr>
        <w:t xml:space="preserve"> са разнопосочни</w:t>
      </w:r>
      <w:r w:rsidR="00DE7F8C" w:rsidRPr="00610B1B">
        <w:rPr>
          <w:rStyle w:val="FootnoteReference"/>
          <w:rFonts w:ascii="Times New Roman" w:eastAsia="Calibri" w:hAnsi="Times New Roman" w:cs="Times New Roman"/>
          <w:color w:val="000000" w:themeColor="text1"/>
          <w:sz w:val="24"/>
          <w:szCs w:val="24"/>
          <w:lang w:val="bg-BG"/>
        </w:rPr>
        <w:footnoteReference w:id="174"/>
      </w:r>
      <w:r w:rsidR="00DE7F8C" w:rsidRPr="00610B1B">
        <w:rPr>
          <w:rFonts w:ascii="Times New Roman" w:eastAsia="Calibri" w:hAnsi="Times New Roman" w:cs="Times New Roman"/>
          <w:color w:val="000000" w:themeColor="text1"/>
          <w:sz w:val="24"/>
          <w:szCs w:val="24"/>
          <w:lang w:val="bg-BG"/>
        </w:rPr>
        <w:t xml:space="preserve">, но показват ясно недостатъците, които трябва да бъдат отразени в окончателната редакция на избрания вариант. </w:t>
      </w:r>
      <w:r w:rsidR="00E72539" w:rsidRPr="00610B1B">
        <w:rPr>
          <w:rFonts w:ascii="Times New Roman" w:eastAsia="Calibri" w:hAnsi="Times New Roman" w:cs="Times New Roman"/>
          <w:color w:val="000000" w:themeColor="text1"/>
          <w:sz w:val="24"/>
          <w:szCs w:val="24"/>
          <w:lang w:val="bg-BG"/>
        </w:rPr>
        <w:t>Финализираната версия след Консултативния съвет е:</w:t>
      </w:r>
    </w:p>
    <w:p w14:paraId="62CDFA13" w14:textId="26CC135C" w:rsidR="00E72539" w:rsidRPr="00610B1B" w:rsidRDefault="00E72539" w:rsidP="003F3C59">
      <w:pPr>
        <w:pBdr>
          <w:top w:val="single" w:sz="4" w:space="1" w:color="auto"/>
          <w:left w:val="single" w:sz="4" w:space="4" w:color="auto"/>
          <w:bottom w:val="single" w:sz="4" w:space="1" w:color="auto"/>
          <w:right w:val="single" w:sz="4" w:space="4" w:color="auto"/>
        </w:pBdr>
        <w:shd w:val="clear" w:color="auto" w:fill="BEE6F0"/>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През 2035 г. в морските пространства на Република България е постигнато и се поддържа добро състояние на морската среда и богато биологично разнообразие. Най-значимите морски екосистемни услуги и културни ценности са възстановени и опазени. Морските пространства се използват от иновативна, конкурентна и устойчива Синя икономика. Морският пространствен план осигурява предвидимост и сигурност в морските пространства, координация и синергия между ползванията и намалява вредните въздействия от човешката дейност. Сътрудничеството между управлението, науката и икономиката създава нови знания и култура, услуги и биотехнологии в подкрепа на Синия растеж и подобреното благосъстояние на местните общности.</w:t>
      </w:r>
    </w:p>
    <w:p w14:paraId="708E8BA7" w14:textId="1EF00978" w:rsidR="00F37D59" w:rsidRPr="00610B1B" w:rsidRDefault="00F37D59" w:rsidP="00D32D6A">
      <w:pPr>
        <w:spacing w:after="120"/>
        <w:ind w:right="-153"/>
        <w:jc w:val="both"/>
        <w:rPr>
          <w:rFonts w:ascii="Times New Roman" w:eastAsia="Calibri" w:hAnsi="Times New Roman" w:cs="Times New Roman"/>
          <w:color w:val="000000" w:themeColor="text1"/>
          <w:sz w:val="24"/>
          <w:szCs w:val="24"/>
          <w:lang w:val="bg-BG"/>
        </w:rPr>
      </w:pPr>
    </w:p>
    <w:p w14:paraId="61B1C9F5" w14:textId="6D98ECAA" w:rsidR="00442579" w:rsidRPr="00610B1B" w:rsidRDefault="00F37D59" w:rsidP="00D32D6A">
      <w:pPr>
        <w:pStyle w:val="Heading2"/>
        <w:spacing w:before="0" w:line="276" w:lineRule="auto"/>
        <w:ind w:right="-153"/>
        <w:rPr>
          <w:rFonts w:cs="Times New Roman"/>
        </w:rPr>
      </w:pPr>
      <w:bookmarkStart w:id="455" w:name="_Toc83391426"/>
      <w:r w:rsidRPr="00610B1B">
        <w:rPr>
          <w:rFonts w:cs="Times New Roman"/>
        </w:rPr>
        <w:t xml:space="preserve">5.2. </w:t>
      </w:r>
      <w:r w:rsidR="00442579" w:rsidRPr="00610B1B">
        <w:rPr>
          <w:rFonts w:cs="Times New Roman"/>
        </w:rPr>
        <w:t>Стратегически цели</w:t>
      </w:r>
      <w:bookmarkEnd w:id="455"/>
    </w:p>
    <w:p w14:paraId="63F934ED" w14:textId="68488796" w:rsidR="00BC2B4F" w:rsidRPr="00610B1B" w:rsidRDefault="00BC2B4F"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Пакетът от стратегически цели на Морския пространствен план на Република България е разгърнат обвързано със стратегически международни, Европейски и национални документи, които определят насоките за развитие през следващите десетилетия. </w:t>
      </w:r>
    </w:p>
    <w:p w14:paraId="1F5FFCAF" w14:textId="4C4DE93A" w:rsidR="00AF4C05" w:rsidRPr="00610B1B" w:rsidRDefault="00442579"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Една от целите на ООН за устойчиво развитие е пряко свързана с обекта на МППРБ – „Съхранение и устойчиво ползване на океаните, моретата и морските ресурси за устойчиво развитие“. Смисловото тълкуване на визията води към същото обобщено послание, което е и основата за формулиране на </w:t>
      </w:r>
      <w:bookmarkStart w:id="456" w:name="_Hlk46660869"/>
      <w:r w:rsidRPr="00610B1B">
        <w:rPr>
          <w:rFonts w:ascii="Times New Roman" w:eastAsia="Calibri" w:hAnsi="Times New Roman" w:cs="Times New Roman"/>
          <w:color w:val="000000" w:themeColor="text1"/>
          <w:sz w:val="24"/>
          <w:szCs w:val="24"/>
          <w:lang w:val="bg-BG"/>
        </w:rPr>
        <w:t>Главната стратегическа цел на МППРБ:</w:t>
      </w:r>
    </w:p>
    <w:p w14:paraId="4758F0CF" w14:textId="17A3E7A8" w:rsidR="00442579" w:rsidRPr="00610B1B" w:rsidRDefault="00442579" w:rsidP="00D32D6A">
      <w:pPr>
        <w:spacing w:after="120"/>
        <w:ind w:right="-153"/>
        <w:jc w:val="both"/>
        <w:rPr>
          <w:rFonts w:ascii="Times New Roman" w:eastAsia="Calibri" w:hAnsi="Times New Roman" w:cs="Times New Roman"/>
          <w:b/>
          <w:color w:val="000000" w:themeColor="text1"/>
          <w:sz w:val="28"/>
          <w:szCs w:val="28"/>
          <w:lang w:val="bg-BG"/>
        </w:rPr>
      </w:pPr>
      <w:r w:rsidRPr="00610B1B">
        <w:rPr>
          <w:rFonts w:ascii="Times New Roman" w:eastAsia="Calibri" w:hAnsi="Times New Roman" w:cs="Times New Roman"/>
          <w:b/>
          <w:i/>
          <w:color w:val="000000" w:themeColor="text1"/>
          <w:sz w:val="28"/>
          <w:szCs w:val="28"/>
          <w:lang w:val="bg-BG"/>
        </w:rPr>
        <w:lastRenderedPageBreak/>
        <w:t>Устойчиво ползване за устойчиво развитие</w:t>
      </w:r>
      <w:r w:rsidR="00C03406" w:rsidRPr="00610B1B">
        <w:rPr>
          <w:rFonts w:ascii="Times New Roman" w:eastAsia="Calibri" w:hAnsi="Times New Roman" w:cs="Times New Roman"/>
          <w:b/>
          <w:i/>
          <w:color w:val="000000" w:themeColor="text1"/>
          <w:sz w:val="28"/>
          <w:szCs w:val="28"/>
          <w:lang w:val="bg-BG"/>
        </w:rPr>
        <w:t xml:space="preserve"> </w:t>
      </w:r>
    </w:p>
    <w:p w14:paraId="3A1B1422" w14:textId="77777777" w:rsidR="00442579" w:rsidRPr="00610B1B" w:rsidRDefault="00442579" w:rsidP="00B46189">
      <w:pPr>
        <w:pStyle w:val="ListParagraph"/>
        <w:numPr>
          <w:ilvl w:val="0"/>
          <w:numId w:val="66"/>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i/>
          <w:color w:val="000000" w:themeColor="text1"/>
          <w:sz w:val="24"/>
          <w:szCs w:val="24"/>
          <w:lang w:val="bg-BG"/>
        </w:rPr>
        <w:t>Устойчиво ползване</w:t>
      </w:r>
      <w:r w:rsidRPr="00610B1B">
        <w:rPr>
          <w:rFonts w:ascii="Times New Roman" w:eastAsia="Calibri" w:hAnsi="Times New Roman" w:cs="Times New Roman"/>
          <w:color w:val="000000" w:themeColor="text1"/>
          <w:sz w:val="24"/>
          <w:szCs w:val="24"/>
          <w:lang w:val="bg-BG"/>
        </w:rPr>
        <w:t xml:space="preserve"> на морските ресурси, за да се съхрани уязвимата екосистема на Черно море и се осигурят дълговечни условия за екосистемните му услуги.</w:t>
      </w:r>
    </w:p>
    <w:p w14:paraId="3BE03B83" w14:textId="5E6891B7" w:rsidR="00442579" w:rsidRPr="00610B1B" w:rsidRDefault="00442579" w:rsidP="00B46189">
      <w:pPr>
        <w:pStyle w:val="ListParagraph"/>
        <w:numPr>
          <w:ilvl w:val="0"/>
          <w:numId w:val="66"/>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i/>
          <w:color w:val="000000" w:themeColor="text1"/>
          <w:sz w:val="24"/>
          <w:szCs w:val="24"/>
          <w:lang w:val="bg-BG"/>
        </w:rPr>
        <w:t>Устойчиво развитие</w:t>
      </w:r>
      <w:r w:rsidRPr="00610B1B">
        <w:rPr>
          <w:rFonts w:ascii="Times New Roman" w:eastAsia="Calibri" w:hAnsi="Times New Roman" w:cs="Times New Roman"/>
          <w:color w:val="000000" w:themeColor="text1"/>
          <w:sz w:val="24"/>
          <w:szCs w:val="24"/>
          <w:lang w:val="bg-BG"/>
        </w:rPr>
        <w:t xml:space="preserve"> на местните общности (14 черноморски </w:t>
      </w:r>
      <w:r w:rsidRPr="00610B1B">
        <w:rPr>
          <w:rFonts w:ascii="Times New Roman" w:eastAsia="Calibri" w:hAnsi="Times New Roman" w:cs="Times New Roman"/>
          <w:sz w:val="24"/>
          <w:szCs w:val="24"/>
          <w:lang w:val="bg-BG"/>
        </w:rPr>
        <w:t xml:space="preserve">общини, два </w:t>
      </w:r>
      <w:r w:rsidR="00BA3583" w:rsidRPr="00610B1B">
        <w:rPr>
          <w:rFonts w:ascii="Times New Roman" w:eastAsia="Calibri" w:hAnsi="Times New Roman" w:cs="Times New Roman"/>
          <w:sz w:val="24"/>
          <w:szCs w:val="24"/>
          <w:lang w:val="bg-BG"/>
        </w:rPr>
        <w:t>региона за планиране</w:t>
      </w:r>
      <w:r w:rsidRPr="00610B1B">
        <w:rPr>
          <w:rFonts w:ascii="Times New Roman" w:eastAsia="Calibri" w:hAnsi="Times New Roman" w:cs="Times New Roman"/>
          <w:sz w:val="24"/>
          <w:szCs w:val="24"/>
          <w:lang w:val="bg-BG"/>
        </w:rPr>
        <w:t xml:space="preserve"> от ниво 2, държавата като цяло) чрез координирано управление на морските ползвания</w:t>
      </w:r>
      <w:r w:rsidR="00BC2B4F" w:rsidRPr="00610B1B">
        <w:rPr>
          <w:rFonts w:ascii="Times New Roman" w:eastAsia="Calibri" w:hAnsi="Times New Roman" w:cs="Times New Roman"/>
          <w:sz w:val="24"/>
          <w:szCs w:val="24"/>
          <w:lang w:val="bg-BG"/>
        </w:rPr>
        <w:t xml:space="preserve"> и съобразено с макростратегическите документи за развитие на региона</w:t>
      </w:r>
      <w:r w:rsidRPr="00610B1B">
        <w:rPr>
          <w:rFonts w:ascii="Times New Roman" w:eastAsia="Calibri" w:hAnsi="Times New Roman" w:cs="Times New Roman"/>
          <w:sz w:val="24"/>
          <w:szCs w:val="24"/>
          <w:lang w:val="bg-BG"/>
        </w:rPr>
        <w:t>.</w:t>
      </w:r>
    </w:p>
    <w:p w14:paraId="2457DE4B" w14:textId="4EFBB3A8" w:rsidR="00442579" w:rsidRPr="00610B1B" w:rsidRDefault="00442579"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Тази Главна</w:t>
      </w:r>
      <w:r w:rsidR="00A0799A" w:rsidRPr="00610B1B">
        <w:rPr>
          <w:rFonts w:ascii="Times New Roman" w:eastAsia="Calibri" w:hAnsi="Times New Roman" w:cs="Times New Roman"/>
          <w:color w:val="000000" w:themeColor="text1"/>
          <w:sz w:val="24"/>
          <w:szCs w:val="24"/>
          <w:lang w:val="bg-BG"/>
        </w:rPr>
        <w:t xml:space="preserve"> и </w:t>
      </w:r>
      <w:r w:rsidRPr="00610B1B">
        <w:rPr>
          <w:rFonts w:ascii="Times New Roman" w:eastAsia="Calibri" w:hAnsi="Times New Roman" w:cs="Times New Roman"/>
          <w:color w:val="000000" w:themeColor="text1"/>
          <w:sz w:val="24"/>
          <w:szCs w:val="24"/>
          <w:lang w:val="bg-BG"/>
        </w:rPr>
        <w:t>диалектична стратегическа цел се дезагрегира на 4 Стратегически цели, отразяващи най-важните аспекти, необходими за постигането й:</w:t>
      </w:r>
    </w:p>
    <w:p w14:paraId="5E806CB9" w14:textId="4CFE9863" w:rsidR="00F37D59" w:rsidRPr="00610B1B" w:rsidRDefault="00F37D59" w:rsidP="00D32D6A">
      <w:pPr>
        <w:spacing w:after="120"/>
        <w:ind w:right="-153"/>
        <w:jc w:val="both"/>
        <w:rPr>
          <w:rFonts w:ascii="Times New Roman" w:eastAsia="Calibri" w:hAnsi="Times New Roman" w:cs="Times New Roman"/>
          <w:color w:val="000000" w:themeColor="text1"/>
          <w:sz w:val="12"/>
          <w:szCs w:val="12"/>
          <w:lang w:val="bg-BG"/>
        </w:rPr>
      </w:pPr>
    </w:p>
    <w:p w14:paraId="59F7A495" w14:textId="54CDC1A7" w:rsidR="00442579" w:rsidRPr="00610B1B" w:rsidRDefault="00442579" w:rsidP="003F3C59">
      <w:pPr>
        <w:shd w:val="clear" w:color="auto" w:fill="BEE6F0"/>
        <w:spacing w:after="120"/>
        <w:ind w:right="-153"/>
        <w:jc w:val="both"/>
        <w:rPr>
          <w:rFonts w:ascii="Times New Roman" w:eastAsia="Calibri" w:hAnsi="Times New Roman" w:cs="Times New Roman"/>
          <w:b/>
          <w:color w:val="000000" w:themeColor="text1"/>
          <w:sz w:val="24"/>
          <w:szCs w:val="24"/>
          <w:lang w:val="bg-BG"/>
        </w:rPr>
      </w:pPr>
      <w:bookmarkStart w:id="457" w:name="_Hlk47885245"/>
      <w:r w:rsidRPr="00610B1B">
        <w:rPr>
          <w:rFonts w:ascii="Times New Roman" w:eastAsia="Calibri" w:hAnsi="Times New Roman" w:cs="Times New Roman"/>
          <w:b/>
          <w:color w:val="000000" w:themeColor="text1"/>
          <w:sz w:val="24"/>
          <w:szCs w:val="24"/>
          <w:lang w:val="bg-BG"/>
        </w:rPr>
        <w:t>Стратегическа</w:t>
      </w:r>
      <w:r w:rsidR="00AF4C05" w:rsidRPr="00610B1B">
        <w:rPr>
          <w:rFonts w:ascii="Times New Roman" w:eastAsia="Calibri" w:hAnsi="Times New Roman" w:cs="Times New Roman"/>
          <w:b/>
          <w:color w:val="000000" w:themeColor="text1"/>
          <w:sz w:val="24"/>
          <w:szCs w:val="24"/>
          <w:lang w:val="bg-BG"/>
        </w:rPr>
        <w:t> </w:t>
      </w:r>
      <w:r w:rsidRPr="00610B1B">
        <w:rPr>
          <w:rFonts w:ascii="Times New Roman" w:eastAsia="Calibri" w:hAnsi="Times New Roman" w:cs="Times New Roman"/>
          <w:b/>
          <w:color w:val="000000" w:themeColor="text1"/>
          <w:sz w:val="24"/>
          <w:szCs w:val="24"/>
          <w:lang w:val="bg-BG"/>
        </w:rPr>
        <w:t>цел</w:t>
      </w:r>
      <w:r w:rsidR="00AF4C05" w:rsidRPr="00610B1B">
        <w:rPr>
          <w:rFonts w:ascii="Times New Roman" w:eastAsia="Calibri" w:hAnsi="Times New Roman" w:cs="Times New Roman"/>
          <w:b/>
          <w:color w:val="000000" w:themeColor="text1"/>
          <w:sz w:val="24"/>
          <w:szCs w:val="24"/>
          <w:lang w:val="bg-BG"/>
        </w:rPr>
        <w:t> </w:t>
      </w:r>
      <w:r w:rsidRPr="00610B1B">
        <w:rPr>
          <w:rFonts w:ascii="Times New Roman" w:eastAsia="Calibri" w:hAnsi="Times New Roman" w:cs="Times New Roman"/>
          <w:b/>
          <w:color w:val="000000" w:themeColor="text1"/>
          <w:sz w:val="24"/>
          <w:szCs w:val="24"/>
          <w:lang w:val="bg-BG"/>
        </w:rPr>
        <w:t>1: Регулиране и координиране на морските ползвания</w:t>
      </w:r>
    </w:p>
    <w:p w14:paraId="079193CE" w14:textId="39E17B65" w:rsidR="000747BC" w:rsidRPr="00610B1B" w:rsidRDefault="000747BC" w:rsidP="00D32D6A">
      <w:pPr>
        <w:spacing w:after="120"/>
        <w:ind w:right="-153"/>
        <w:jc w:val="both"/>
        <w:rPr>
          <w:rFonts w:ascii="Times New Roman" w:eastAsia="Calibri" w:hAnsi="Times New Roman" w:cs="Times New Roman"/>
          <w:color w:val="FF0000"/>
          <w:sz w:val="24"/>
          <w:szCs w:val="24"/>
          <w:lang w:val="bg-BG"/>
        </w:rPr>
      </w:pPr>
      <w:r w:rsidRPr="00610B1B">
        <w:rPr>
          <w:rFonts w:ascii="Times New Roman" w:eastAsia="Calibri" w:hAnsi="Times New Roman" w:cs="Times New Roman"/>
          <w:color w:val="000000" w:themeColor="text1"/>
          <w:sz w:val="24"/>
          <w:szCs w:val="24"/>
          <w:lang w:val="bg-BG"/>
        </w:rPr>
        <w:t xml:space="preserve">Регулирането и координирането на морските ползвания е същността на МППРБ. Целта е да се осигурят </w:t>
      </w:r>
      <w:r w:rsidRPr="00610B1B">
        <w:rPr>
          <w:rFonts w:ascii="Times New Roman" w:eastAsia="Calibri" w:hAnsi="Times New Roman" w:cs="Times New Roman"/>
          <w:i/>
          <w:color w:val="000000" w:themeColor="text1"/>
          <w:sz w:val="24"/>
          <w:szCs w:val="24"/>
          <w:lang w:val="bg-BG"/>
        </w:rPr>
        <w:t>ясни граници за пределните ползвания на морски екосистемни услуги</w:t>
      </w:r>
      <w:r w:rsidRPr="00610B1B">
        <w:rPr>
          <w:rFonts w:ascii="Times New Roman" w:eastAsia="Calibri" w:hAnsi="Times New Roman" w:cs="Times New Roman"/>
          <w:color w:val="000000" w:themeColor="text1"/>
          <w:sz w:val="24"/>
          <w:szCs w:val="24"/>
          <w:lang w:val="bg-BG"/>
        </w:rPr>
        <w:t xml:space="preserve">, както и </w:t>
      </w:r>
      <w:r w:rsidRPr="00610B1B">
        <w:rPr>
          <w:rFonts w:ascii="Times New Roman" w:eastAsia="Calibri" w:hAnsi="Times New Roman" w:cs="Times New Roman"/>
          <w:i/>
          <w:color w:val="000000" w:themeColor="text1"/>
          <w:sz w:val="24"/>
          <w:szCs w:val="24"/>
          <w:lang w:val="bg-BG"/>
        </w:rPr>
        <w:t>да се избегнат конфликти</w:t>
      </w:r>
      <w:r w:rsidRPr="00610B1B">
        <w:rPr>
          <w:rFonts w:ascii="Times New Roman" w:eastAsia="Calibri" w:hAnsi="Times New Roman" w:cs="Times New Roman"/>
          <w:color w:val="000000" w:themeColor="text1"/>
          <w:sz w:val="24"/>
          <w:szCs w:val="24"/>
          <w:lang w:val="bg-BG"/>
        </w:rPr>
        <w:t xml:space="preserve"> при различните ползвания. </w:t>
      </w:r>
    </w:p>
    <w:p w14:paraId="76DFE946" w14:textId="1A47A4CA" w:rsidR="000747BC" w:rsidRPr="00610B1B" w:rsidRDefault="000747BC"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Постигането на тази цел има два аспекта – планов и приложен. Плановият ще бъде реализиран с акта на създаване на самия план. Приложният е предмет на контрол и мониторинг през целия период на действие на плановия документ. Именно приложният аспект обикновено е проблем в цялата сфера на планиране. Затова е необходима адекватна институционализация и ресурсно осигуряване на финанси и на компетенции.</w:t>
      </w:r>
    </w:p>
    <w:p w14:paraId="6A92D815" w14:textId="5C10B7ED" w:rsidR="000747BC" w:rsidRPr="00610B1B" w:rsidRDefault="000747BC"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Тази цел е първа по номерация, първа и по важност, защото ако не се постигне, всички останали стават безпредметни.</w:t>
      </w:r>
      <w:r w:rsidR="002D5B9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Ло</w:t>
      </w:r>
      <w:r w:rsidR="002D5B90" w:rsidRPr="00610B1B">
        <w:rPr>
          <w:rFonts w:ascii="Times New Roman" w:eastAsia="Calibri" w:hAnsi="Times New Roman" w:cs="Times New Roman"/>
          <w:color w:val="000000" w:themeColor="text1"/>
          <w:sz w:val="24"/>
          <w:szCs w:val="24"/>
          <w:lang w:val="bg-BG"/>
        </w:rPr>
        <w:t>г</w:t>
      </w:r>
      <w:r w:rsidRPr="00610B1B">
        <w:rPr>
          <w:rFonts w:ascii="Times New Roman" w:eastAsia="Calibri" w:hAnsi="Times New Roman" w:cs="Times New Roman"/>
          <w:color w:val="000000" w:themeColor="text1"/>
          <w:sz w:val="24"/>
          <w:szCs w:val="24"/>
          <w:lang w:val="bg-BG"/>
        </w:rPr>
        <w:t xml:space="preserve">ическата схема за постигане на Стратегическа цел 1 включва няколко последователни стъпки: 1) функционално зониране, 2) консенсус на заинтересованите страни 3) институционализация на контрола 4) мониторинг. Тези стъпки се трансформират в съответни </w:t>
      </w:r>
      <w:r w:rsidRPr="00610B1B">
        <w:rPr>
          <w:rFonts w:ascii="Times New Roman" w:eastAsia="Calibri" w:hAnsi="Times New Roman" w:cs="Times New Roman"/>
          <w:i/>
          <w:color w:val="000000" w:themeColor="text1"/>
          <w:sz w:val="24"/>
          <w:szCs w:val="24"/>
          <w:lang w:val="bg-BG"/>
        </w:rPr>
        <w:t>специфични цели</w:t>
      </w:r>
      <w:r w:rsidRPr="00610B1B">
        <w:rPr>
          <w:rFonts w:ascii="Times New Roman" w:eastAsia="Calibri" w:hAnsi="Times New Roman" w:cs="Times New Roman"/>
          <w:color w:val="000000" w:themeColor="text1"/>
          <w:sz w:val="24"/>
          <w:szCs w:val="24"/>
          <w:lang w:val="bg-BG"/>
        </w:rPr>
        <w:t>.</w:t>
      </w:r>
    </w:p>
    <w:p w14:paraId="257AC002" w14:textId="77777777" w:rsidR="000747BC" w:rsidRPr="00610B1B" w:rsidRDefault="000747BC" w:rsidP="00D32D6A">
      <w:pPr>
        <w:spacing w:after="120"/>
        <w:ind w:right="-153"/>
        <w:jc w:val="both"/>
        <w:rPr>
          <w:rFonts w:ascii="Times New Roman" w:eastAsia="Calibri" w:hAnsi="Times New Roman" w:cs="Times New Roman"/>
          <w:b/>
          <w:i/>
          <w:color w:val="000000" w:themeColor="text1"/>
          <w:sz w:val="24"/>
          <w:szCs w:val="24"/>
          <w:lang w:val="bg-BG"/>
        </w:rPr>
      </w:pPr>
      <w:r w:rsidRPr="00610B1B">
        <w:rPr>
          <w:rFonts w:ascii="Times New Roman" w:eastAsia="Calibri" w:hAnsi="Times New Roman" w:cs="Times New Roman"/>
          <w:b/>
          <w:i/>
          <w:color w:val="000000" w:themeColor="text1"/>
          <w:sz w:val="24"/>
          <w:szCs w:val="24"/>
          <w:lang w:val="bg-BG"/>
        </w:rPr>
        <w:t>Специфична цел 1.1. Функционално зониране на морското пространство</w:t>
      </w:r>
    </w:p>
    <w:p w14:paraId="7124C36C" w14:textId="4F0671D6" w:rsidR="000747BC" w:rsidRPr="00610B1B" w:rsidRDefault="000747BC"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Функционалното зониране е едновременно част от работата по създаване на МППРБ и цел на самия план. С реализирането на тази цел се създава планова основа за регулиране и координиране на функциите в морските пространства (морските ползвания). </w:t>
      </w:r>
      <w:r w:rsidR="006A51B4" w:rsidRPr="00610B1B">
        <w:rPr>
          <w:rFonts w:ascii="Times New Roman" w:eastAsia="Calibri" w:hAnsi="Times New Roman" w:cs="Times New Roman"/>
          <w:color w:val="000000" w:themeColor="text1"/>
          <w:sz w:val="24"/>
          <w:szCs w:val="24"/>
          <w:lang w:val="bg-BG"/>
        </w:rPr>
        <w:t xml:space="preserve">Реалното </w:t>
      </w:r>
      <w:r w:rsidRPr="00610B1B">
        <w:rPr>
          <w:rFonts w:ascii="Times New Roman" w:eastAsia="Calibri" w:hAnsi="Times New Roman" w:cs="Times New Roman"/>
          <w:color w:val="000000" w:themeColor="text1"/>
          <w:sz w:val="24"/>
          <w:szCs w:val="24"/>
          <w:lang w:val="bg-BG"/>
        </w:rPr>
        <w:t xml:space="preserve">зониране </w:t>
      </w:r>
      <w:r w:rsidR="006A51B4" w:rsidRPr="00610B1B">
        <w:rPr>
          <w:rFonts w:ascii="Times New Roman" w:eastAsia="Calibri" w:hAnsi="Times New Roman" w:cs="Times New Roman"/>
          <w:color w:val="000000" w:themeColor="text1"/>
          <w:sz w:val="24"/>
          <w:szCs w:val="24"/>
          <w:lang w:val="bg-BG"/>
        </w:rPr>
        <w:t xml:space="preserve">обаче </w:t>
      </w:r>
      <w:r w:rsidRPr="00610B1B">
        <w:rPr>
          <w:rFonts w:ascii="Times New Roman" w:eastAsia="Calibri" w:hAnsi="Times New Roman" w:cs="Times New Roman"/>
          <w:color w:val="000000" w:themeColor="text1"/>
          <w:sz w:val="24"/>
          <w:szCs w:val="24"/>
          <w:lang w:val="bg-BG"/>
        </w:rPr>
        <w:t xml:space="preserve">означава постигнат консенсус между заинтересованите </w:t>
      </w:r>
      <w:r w:rsidR="006A51B4" w:rsidRPr="00610B1B">
        <w:rPr>
          <w:rFonts w:ascii="Times New Roman" w:eastAsia="Calibri" w:hAnsi="Times New Roman" w:cs="Times New Roman"/>
          <w:color w:val="000000" w:themeColor="text1"/>
          <w:sz w:val="24"/>
          <w:szCs w:val="24"/>
          <w:lang w:val="bg-BG"/>
        </w:rPr>
        <w:t xml:space="preserve">страни </w:t>
      </w:r>
      <w:r w:rsidRPr="00610B1B">
        <w:rPr>
          <w:rFonts w:ascii="Times New Roman" w:eastAsia="Calibri" w:hAnsi="Times New Roman" w:cs="Times New Roman"/>
          <w:color w:val="000000" w:themeColor="text1"/>
          <w:sz w:val="24"/>
          <w:szCs w:val="24"/>
          <w:lang w:val="bg-BG"/>
        </w:rPr>
        <w:t>от морските ползвания при стриктно спазване на изискванията на ЗМПВВППРБ. Това от своя страна означава дълъг процес на съгласуване и решения на спорни въпроси чрез взаимни компромиси</w:t>
      </w:r>
      <w:r w:rsidR="00172ADA" w:rsidRPr="00610B1B">
        <w:rPr>
          <w:rFonts w:ascii="Times New Roman" w:eastAsia="Calibri" w:hAnsi="Times New Roman" w:cs="Times New Roman"/>
          <w:color w:val="000000" w:themeColor="text1"/>
          <w:sz w:val="24"/>
          <w:szCs w:val="24"/>
          <w:lang w:val="bg-BG"/>
        </w:rPr>
        <w:t>, както при разработването и одобряването на плана, така и при неговото прилагане.</w:t>
      </w:r>
      <w:r w:rsidR="00CC761E" w:rsidRPr="00610B1B">
        <w:rPr>
          <w:rFonts w:ascii="Times New Roman" w:eastAsia="Calibri" w:hAnsi="Times New Roman" w:cs="Times New Roman"/>
          <w:color w:val="000000" w:themeColor="text1"/>
          <w:sz w:val="24"/>
          <w:szCs w:val="24"/>
          <w:lang w:val="bg-BG"/>
        </w:rPr>
        <w:t xml:space="preserve"> Именно поради </w:t>
      </w:r>
      <w:r w:rsidR="009F3C0B" w:rsidRPr="00610B1B">
        <w:rPr>
          <w:rFonts w:ascii="Times New Roman" w:eastAsia="Calibri" w:hAnsi="Times New Roman" w:cs="Times New Roman"/>
          <w:color w:val="000000" w:themeColor="text1"/>
          <w:sz w:val="24"/>
          <w:szCs w:val="24"/>
          <w:lang w:val="bg-BG"/>
        </w:rPr>
        <w:t>това</w:t>
      </w:r>
      <w:r w:rsidR="00CC761E" w:rsidRPr="00610B1B">
        <w:rPr>
          <w:rFonts w:ascii="Times New Roman" w:eastAsia="Calibri" w:hAnsi="Times New Roman" w:cs="Times New Roman"/>
          <w:color w:val="000000" w:themeColor="text1"/>
          <w:sz w:val="24"/>
          <w:szCs w:val="24"/>
          <w:lang w:val="bg-BG"/>
        </w:rPr>
        <w:t xml:space="preserve"> работата по изпълнението на тази цел не може да спре до етапа на одобряване. </w:t>
      </w:r>
      <w:r w:rsidR="008A4842" w:rsidRPr="00610B1B">
        <w:rPr>
          <w:rFonts w:ascii="Times New Roman" w:eastAsia="Calibri" w:hAnsi="Times New Roman" w:cs="Times New Roman"/>
          <w:color w:val="000000" w:themeColor="text1"/>
          <w:sz w:val="24"/>
          <w:szCs w:val="24"/>
          <w:lang w:val="bg-BG"/>
        </w:rPr>
        <w:t>Тя съпътства и всички дейности, свързани с координиране на нови функции в определени за целта зони за бъдещо развитие.</w:t>
      </w:r>
    </w:p>
    <w:p w14:paraId="3E35A313" w14:textId="77777777" w:rsidR="000747BC" w:rsidRPr="00610B1B" w:rsidRDefault="000747BC"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b/>
          <w:i/>
          <w:color w:val="000000" w:themeColor="text1"/>
          <w:sz w:val="24"/>
          <w:szCs w:val="24"/>
          <w:lang w:val="bg-BG"/>
        </w:rPr>
        <w:t>Специфична цел 1.2. Постигане на консенсус между заинтересованите страни</w:t>
      </w:r>
    </w:p>
    <w:p w14:paraId="2ABDF535" w14:textId="3DBBB0EE" w:rsidR="000747BC" w:rsidRPr="00610B1B" w:rsidRDefault="00660473"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Тази специфична цел е насочена към разработване и приемане на </w:t>
      </w:r>
      <w:r w:rsidR="000747BC" w:rsidRPr="00610B1B">
        <w:rPr>
          <w:rFonts w:ascii="Times New Roman" w:eastAsia="Calibri" w:hAnsi="Times New Roman" w:cs="Times New Roman"/>
          <w:color w:val="000000" w:themeColor="text1"/>
          <w:sz w:val="24"/>
          <w:szCs w:val="24"/>
          <w:lang w:val="bg-BG"/>
        </w:rPr>
        <w:t>технология</w:t>
      </w:r>
      <w:r w:rsidRPr="00610B1B">
        <w:rPr>
          <w:rFonts w:ascii="Times New Roman" w:eastAsia="Calibri" w:hAnsi="Times New Roman" w:cs="Times New Roman"/>
          <w:color w:val="000000" w:themeColor="text1"/>
          <w:sz w:val="24"/>
          <w:szCs w:val="24"/>
          <w:lang w:val="bg-BG"/>
        </w:rPr>
        <w:t xml:space="preserve"> </w:t>
      </w:r>
      <w:r w:rsidR="000747BC" w:rsidRPr="00610B1B">
        <w:rPr>
          <w:rFonts w:ascii="Times New Roman" w:eastAsia="Calibri" w:hAnsi="Times New Roman" w:cs="Times New Roman"/>
          <w:color w:val="000000" w:themeColor="text1"/>
          <w:sz w:val="24"/>
          <w:szCs w:val="24"/>
          <w:lang w:val="bg-BG"/>
        </w:rPr>
        <w:t>на съгласуване,</w:t>
      </w:r>
      <w:r w:rsidRPr="00610B1B">
        <w:rPr>
          <w:rFonts w:ascii="Times New Roman" w:eastAsia="Calibri" w:hAnsi="Times New Roman" w:cs="Times New Roman"/>
          <w:color w:val="000000" w:themeColor="text1"/>
          <w:sz w:val="24"/>
          <w:szCs w:val="24"/>
          <w:lang w:val="bg-BG"/>
        </w:rPr>
        <w:t xml:space="preserve"> прилагане, монитор</w:t>
      </w:r>
      <w:r w:rsidR="00CC761E" w:rsidRPr="00610B1B">
        <w:rPr>
          <w:rFonts w:ascii="Times New Roman" w:eastAsia="Calibri" w:hAnsi="Times New Roman" w:cs="Times New Roman"/>
          <w:color w:val="000000" w:themeColor="text1"/>
          <w:sz w:val="24"/>
          <w:szCs w:val="24"/>
          <w:lang w:val="bg-BG"/>
        </w:rPr>
        <w:t>и</w:t>
      </w:r>
      <w:r w:rsidRPr="00610B1B">
        <w:rPr>
          <w:rFonts w:ascii="Times New Roman" w:eastAsia="Calibri" w:hAnsi="Times New Roman" w:cs="Times New Roman"/>
          <w:color w:val="000000" w:themeColor="text1"/>
          <w:sz w:val="24"/>
          <w:szCs w:val="24"/>
          <w:lang w:val="bg-BG"/>
        </w:rPr>
        <w:t xml:space="preserve">нг и контрол на изпълнението на Морския пространствен план и координирането му със секторните политики и стратегически </w:t>
      </w:r>
      <w:r w:rsidRPr="00610B1B">
        <w:rPr>
          <w:rFonts w:ascii="Times New Roman" w:eastAsia="Calibri" w:hAnsi="Times New Roman" w:cs="Times New Roman"/>
          <w:color w:val="000000" w:themeColor="text1"/>
          <w:sz w:val="24"/>
          <w:szCs w:val="24"/>
          <w:lang w:val="bg-BG"/>
        </w:rPr>
        <w:lastRenderedPageBreak/>
        <w:t>документи, свързани с морето. Това изисква координирани действия при формулирани</w:t>
      </w:r>
      <w:r w:rsidR="00D66FE0" w:rsidRPr="00610B1B">
        <w:rPr>
          <w:rFonts w:ascii="Times New Roman" w:eastAsia="Calibri" w:hAnsi="Times New Roman" w:cs="Times New Roman"/>
          <w:color w:val="000000" w:themeColor="text1"/>
          <w:sz w:val="24"/>
          <w:szCs w:val="24"/>
          <w:lang w:val="bg-BG"/>
        </w:rPr>
        <w:t xml:space="preserve"> </w:t>
      </w:r>
      <w:r w:rsidR="000747BC" w:rsidRPr="00610B1B">
        <w:rPr>
          <w:rFonts w:ascii="Times New Roman" w:eastAsia="Calibri" w:hAnsi="Times New Roman" w:cs="Times New Roman"/>
          <w:color w:val="000000" w:themeColor="text1"/>
          <w:sz w:val="24"/>
          <w:szCs w:val="24"/>
          <w:lang w:val="bg-BG"/>
        </w:rPr>
        <w:t xml:space="preserve">ясни изисквания </w:t>
      </w:r>
      <w:r w:rsidRPr="00610B1B">
        <w:rPr>
          <w:rFonts w:ascii="Times New Roman" w:eastAsia="Calibri" w:hAnsi="Times New Roman" w:cs="Times New Roman"/>
          <w:color w:val="000000" w:themeColor="text1"/>
          <w:sz w:val="24"/>
          <w:szCs w:val="24"/>
          <w:lang w:val="bg-BG"/>
        </w:rPr>
        <w:t xml:space="preserve">за внасяне на промени в действащите </w:t>
      </w:r>
      <w:r w:rsidR="00CC761E" w:rsidRPr="00610B1B">
        <w:rPr>
          <w:rFonts w:ascii="Times New Roman" w:eastAsia="Calibri" w:hAnsi="Times New Roman" w:cs="Times New Roman"/>
          <w:color w:val="000000" w:themeColor="text1"/>
          <w:sz w:val="24"/>
          <w:szCs w:val="24"/>
          <w:lang w:val="bg-BG"/>
        </w:rPr>
        <w:t xml:space="preserve">регламенти, </w:t>
      </w:r>
      <w:r w:rsidRPr="00610B1B">
        <w:rPr>
          <w:rFonts w:ascii="Times New Roman" w:eastAsia="Calibri" w:hAnsi="Times New Roman" w:cs="Times New Roman"/>
          <w:color w:val="000000" w:themeColor="text1"/>
          <w:sz w:val="24"/>
          <w:szCs w:val="24"/>
          <w:lang w:val="bg-BG"/>
        </w:rPr>
        <w:t xml:space="preserve">правила и процедури, по които работят всички заинтересовани страни, ако е необходимо. </w:t>
      </w:r>
      <w:r w:rsidR="00CC761E" w:rsidRPr="00610B1B">
        <w:rPr>
          <w:rFonts w:ascii="Times New Roman" w:eastAsia="Calibri" w:hAnsi="Times New Roman" w:cs="Times New Roman"/>
          <w:color w:val="000000" w:themeColor="text1"/>
          <w:sz w:val="24"/>
          <w:szCs w:val="24"/>
          <w:lang w:val="bg-BG"/>
        </w:rPr>
        <w:t>Така тази специфична цел, заедно с останалите с</w:t>
      </w:r>
      <w:r w:rsidR="00F357D2" w:rsidRPr="00610B1B">
        <w:rPr>
          <w:rFonts w:ascii="Times New Roman" w:eastAsia="Calibri" w:hAnsi="Times New Roman" w:cs="Times New Roman"/>
          <w:color w:val="000000" w:themeColor="text1"/>
          <w:sz w:val="24"/>
          <w:szCs w:val="24"/>
          <w:lang w:val="bg-BG"/>
        </w:rPr>
        <w:t>п</w:t>
      </w:r>
      <w:r w:rsidR="00CC761E" w:rsidRPr="00610B1B">
        <w:rPr>
          <w:rFonts w:ascii="Times New Roman" w:eastAsia="Calibri" w:hAnsi="Times New Roman" w:cs="Times New Roman"/>
          <w:color w:val="000000" w:themeColor="text1"/>
          <w:sz w:val="24"/>
          <w:szCs w:val="24"/>
          <w:lang w:val="bg-BG"/>
        </w:rPr>
        <w:t xml:space="preserve">ецифични цели към Стратегическа цел 1, е обвързана с промени в законодателната рамка при необходимост, които ще доразвият постановките на Директива 2014/89 и ЗМПВВППРБ, без да се отклоняват от общите регламенти. </w:t>
      </w:r>
    </w:p>
    <w:p w14:paraId="12B52B56" w14:textId="77777777" w:rsidR="000747BC" w:rsidRPr="00610B1B" w:rsidRDefault="000747BC"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b/>
          <w:i/>
          <w:color w:val="000000" w:themeColor="text1"/>
          <w:sz w:val="24"/>
          <w:szCs w:val="24"/>
          <w:lang w:val="bg-BG"/>
        </w:rPr>
        <w:t>Специфична цел 1.3. Институционализация на МППРБ</w:t>
      </w:r>
    </w:p>
    <w:p w14:paraId="22A95178" w14:textId="078F4BCE" w:rsidR="00ED5DA6" w:rsidRPr="00610B1B" w:rsidRDefault="00172ADA"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color w:val="000000" w:themeColor="text1"/>
          <w:sz w:val="24"/>
          <w:szCs w:val="24"/>
          <w:lang w:val="bg-BG"/>
        </w:rPr>
        <w:t xml:space="preserve">С тази специфична цел се доразвиват определените ангажименти, </w:t>
      </w:r>
      <w:r w:rsidR="00DA54EA" w:rsidRPr="00610B1B">
        <w:rPr>
          <w:rFonts w:ascii="Times New Roman" w:eastAsia="Calibri" w:hAnsi="Times New Roman" w:cs="Times New Roman"/>
          <w:color w:val="000000" w:themeColor="text1"/>
          <w:sz w:val="24"/>
          <w:szCs w:val="24"/>
          <w:lang w:val="bg-BG"/>
        </w:rPr>
        <w:t xml:space="preserve">в съответствие с </w:t>
      </w:r>
      <w:r w:rsidRPr="00610B1B">
        <w:rPr>
          <w:rFonts w:ascii="Times New Roman" w:eastAsia="Calibri" w:hAnsi="Times New Roman" w:cs="Times New Roman"/>
          <w:color w:val="000000" w:themeColor="text1"/>
          <w:sz w:val="24"/>
          <w:szCs w:val="24"/>
          <w:lang w:val="bg-BG"/>
        </w:rPr>
        <w:t xml:space="preserve">чл. 51б на ЗМПВВППРБ, </w:t>
      </w:r>
      <w:r w:rsidR="00DA54EA" w:rsidRPr="00610B1B">
        <w:rPr>
          <w:rFonts w:ascii="Times New Roman" w:eastAsia="Calibri" w:hAnsi="Times New Roman" w:cs="Times New Roman"/>
          <w:color w:val="000000" w:themeColor="text1"/>
          <w:sz w:val="24"/>
          <w:szCs w:val="24"/>
          <w:lang w:val="bg-BG"/>
        </w:rPr>
        <w:t>според</w:t>
      </w:r>
      <w:r w:rsidRPr="00610B1B">
        <w:rPr>
          <w:rFonts w:ascii="Times New Roman" w:eastAsia="Calibri" w:hAnsi="Times New Roman" w:cs="Times New Roman"/>
          <w:color w:val="000000" w:themeColor="text1"/>
          <w:sz w:val="24"/>
          <w:szCs w:val="24"/>
          <w:lang w:val="bg-BG"/>
        </w:rPr>
        <w:t xml:space="preserve"> ко</w:t>
      </w:r>
      <w:r w:rsidR="008C59C2" w:rsidRPr="00610B1B">
        <w:rPr>
          <w:rFonts w:ascii="Times New Roman" w:eastAsia="Calibri" w:hAnsi="Times New Roman" w:cs="Times New Roman"/>
          <w:color w:val="000000" w:themeColor="text1"/>
          <w:sz w:val="24"/>
          <w:szCs w:val="24"/>
          <w:lang w:val="bg-BG"/>
        </w:rPr>
        <w:t>й</w:t>
      </w:r>
      <w:r w:rsidRPr="00610B1B">
        <w:rPr>
          <w:rFonts w:ascii="Times New Roman" w:eastAsia="Calibri" w:hAnsi="Times New Roman" w:cs="Times New Roman"/>
          <w:color w:val="000000" w:themeColor="text1"/>
          <w:sz w:val="24"/>
          <w:szCs w:val="24"/>
          <w:lang w:val="bg-BG"/>
        </w:rPr>
        <w:t>то м</w:t>
      </w:r>
      <w:r w:rsidR="000747BC" w:rsidRPr="00610B1B">
        <w:rPr>
          <w:rFonts w:ascii="Times New Roman" w:eastAsia="Calibri" w:hAnsi="Times New Roman" w:cs="Times New Roman"/>
          <w:color w:val="000000" w:themeColor="text1"/>
          <w:sz w:val="24"/>
          <w:szCs w:val="24"/>
          <w:lang w:val="bg-BG"/>
        </w:rPr>
        <w:t>инистърът на регионалното развитие и благоустройството осигурява провеждането на правителствена политика, свързана с разработване и поддържане на Морския пространствен план на Република България</w:t>
      </w:r>
      <w:r w:rsidR="00DA54EA" w:rsidRPr="00610B1B">
        <w:rPr>
          <w:rFonts w:ascii="Times New Roman" w:eastAsia="Calibri" w:hAnsi="Times New Roman" w:cs="Times New Roman"/>
          <w:color w:val="000000" w:themeColor="text1"/>
          <w:sz w:val="24"/>
          <w:szCs w:val="24"/>
          <w:lang w:val="bg-BG"/>
        </w:rPr>
        <w:t xml:space="preserve">. </w:t>
      </w:r>
      <w:r w:rsidR="008C59C2" w:rsidRPr="00610B1B">
        <w:rPr>
          <w:rFonts w:ascii="Times New Roman" w:eastAsia="Calibri" w:hAnsi="Times New Roman" w:cs="Times New Roman"/>
          <w:color w:val="000000" w:themeColor="text1"/>
          <w:sz w:val="24"/>
          <w:szCs w:val="24"/>
          <w:lang w:val="bg-BG"/>
        </w:rPr>
        <w:t xml:space="preserve">Той </w:t>
      </w:r>
      <w:r w:rsidR="00DA54EA" w:rsidRPr="00610B1B">
        <w:rPr>
          <w:rFonts w:ascii="Times New Roman" w:eastAsia="Calibri" w:hAnsi="Times New Roman" w:cs="Times New Roman"/>
          <w:color w:val="000000" w:themeColor="text1"/>
          <w:sz w:val="24"/>
          <w:szCs w:val="24"/>
          <w:lang w:val="bg-BG"/>
        </w:rPr>
        <w:t>се подпомага от сформирания Консултативен съвет, в който са представени всички заинтересовани страни в сферата на морското пространствено планиране</w:t>
      </w:r>
      <w:r w:rsidR="00660473" w:rsidRPr="00610B1B">
        <w:rPr>
          <w:rFonts w:ascii="Times New Roman" w:eastAsia="Calibri" w:hAnsi="Times New Roman" w:cs="Times New Roman"/>
          <w:color w:val="000000" w:themeColor="text1"/>
          <w:sz w:val="24"/>
          <w:szCs w:val="24"/>
          <w:lang w:val="bg-BG"/>
        </w:rPr>
        <w:t xml:space="preserve"> и</w:t>
      </w:r>
      <w:r w:rsidR="00DA54EA" w:rsidRPr="00610B1B">
        <w:rPr>
          <w:rFonts w:ascii="Times New Roman" w:eastAsia="Calibri" w:hAnsi="Times New Roman" w:cs="Times New Roman"/>
          <w:color w:val="000000" w:themeColor="text1"/>
          <w:sz w:val="24"/>
          <w:szCs w:val="24"/>
          <w:lang w:val="bg-BG"/>
        </w:rPr>
        <w:t xml:space="preserve"> чиято дейност се регламентира с </w:t>
      </w:r>
      <w:bookmarkStart w:id="458" w:name="_Hlk46081709"/>
      <w:r w:rsidR="00DA54EA" w:rsidRPr="00610B1B">
        <w:rPr>
          <w:rFonts w:ascii="Times New Roman" w:eastAsia="Calibri" w:hAnsi="Times New Roman" w:cs="Times New Roman"/>
          <w:color w:val="000000" w:themeColor="text1"/>
          <w:sz w:val="24"/>
          <w:szCs w:val="24"/>
          <w:lang w:val="bg-BG"/>
        </w:rPr>
        <w:t>Правилник</w:t>
      </w:r>
      <w:r w:rsidR="00ED5DA6" w:rsidRPr="00610B1B">
        <w:rPr>
          <w:rFonts w:ascii="Times New Roman" w:eastAsia="Calibri" w:hAnsi="Times New Roman" w:cs="Times New Roman"/>
          <w:color w:val="000000" w:themeColor="text1"/>
          <w:sz w:val="24"/>
          <w:szCs w:val="24"/>
          <w:lang w:val="bg-BG"/>
        </w:rPr>
        <w:t>а, обн. ДВ бр.</w:t>
      </w:r>
      <w:r w:rsidR="00ED5DA6" w:rsidRPr="00610B1B">
        <w:rPr>
          <w:rFonts w:ascii="Times New Roman" w:hAnsi="Times New Roman" w:cs="Times New Roman"/>
          <w:color w:val="000000" w:themeColor="text1"/>
          <w:lang w:val="bg-BG"/>
        </w:rPr>
        <w:t xml:space="preserve"> </w:t>
      </w:r>
      <w:r w:rsidR="00ED5DA6" w:rsidRPr="00610B1B">
        <w:rPr>
          <w:rFonts w:ascii="Times New Roman" w:eastAsia="Calibri" w:hAnsi="Times New Roman" w:cs="Times New Roman"/>
          <w:color w:val="000000" w:themeColor="text1"/>
          <w:sz w:val="24"/>
          <w:szCs w:val="24"/>
          <w:lang w:val="bg-BG"/>
        </w:rPr>
        <w:t>79 от 25 септември 2018 г.</w:t>
      </w:r>
      <w:r w:rsidR="00D66FE0" w:rsidRPr="00610B1B">
        <w:rPr>
          <w:rFonts w:ascii="Times New Roman" w:eastAsia="Calibri" w:hAnsi="Times New Roman" w:cs="Times New Roman"/>
          <w:color w:val="000000" w:themeColor="text1"/>
          <w:sz w:val="24"/>
          <w:szCs w:val="24"/>
          <w:lang w:val="bg-BG"/>
        </w:rPr>
        <w:t xml:space="preserve"> </w:t>
      </w:r>
      <w:r w:rsidR="00B13CFC" w:rsidRPr="00610B1B">
        <w:rPr>
          <w:rFonts w:ascii="Times New Roman" w:eastAsia="Calibri" w:hAnsi="Times New Roman" w:cs="Times New Roman"/>
          <w:color w:val="000000" w:themeColor="text1"/>
          <w:sz w:val="24"/>
          <w:szCs w:val="24"/>
          <w:lang w:val="bg-BG"/>
        </w:rPr>
        <w:t xml:space="preserve">На </w:t>
      </w:r>
      <w:r w:rsidR="00ED5DA6" w:rsidRPr="00610B1B">
        <w:rPr>
          <w:rFonts w:ascii="Times New Roman" w:eastAsia="Calibri" w:hAnsi="Times New Roman" w:cs="Times New Roman"/>
          <w:color w:val="000000" w:themeColor="text1"/>
          <w:sz w:val="24"/>
          <w:szCs w:val="24"/>
          <w:lang w:val="bg-BG"/>
        </w:rPr>
        <w:t xml:space="preserve">Консултативния съвет </w:t>
      </w:r>
      <w:r w:rsidR="00B13CFC" w:rsidRPr="00610B1B">
        <w:rPr>
          <w:rFonts w:ascii="Times New Roman" w:eastAsia="Calibri" w:hAnsi="Times New Roman" w:cs="Times New Roman"/>
          <w:color w:val="000000" w:themeColor="text1"/>
          <w:sz w:val="24"/>
          <w:szCs w:val="24"/>
          <w:lang w:val="bg-BG"/>
        </w:rPr>
        <w:t xml:space="preserve">са отредени </w:t>
      </w:r>
      <w:r w:rsidR="00B13CFC" w:rsidRPr="00610B1B">
        <w:rPr>
          <w:rFonts w:ascii="Times New Roman" w:eastAsia="Calibri" w:hAnsi="Times New Roman" w:cs="Times New Roman"/>
          <w:sz w:val="24"/>
          <w:szCs w:val="24"/>
          <w:lang w:val="bg-BG"/>
        </w:rPr>
        <w:t xml:space="preserve">множество координационни, консултативни, съгласувателни и контролни функции по разработването и изпълнението на МППРБ. </w:t>
      </w:r>
    </w:p>
    <w:p w14:paraId="7A71F95D" w14:textId="037F2954" w:rsidR="004D76ED" w:rsidRPr="00610B1B" w:rsidRDefault="00B13CFC" w:rsidP="00D32D6A">
      <w:pPr>
        <w:spacing w:after="120"/>
        <w:ind w:right="-153"/>
        <w:jc w:val="both"/>
        <w:rPr>
          <w:rFonts w:ascii="Times New Roman" w:hAnsi="Times New Roman" w:cs="Times New Roman"/>
          <w:sz w:val="24"/>
          <w:szCs w:val="24"/>
          <w:lang w:val="bg-BG"/>
        </w:rPr>
      </w:pPr>
      <w:r w:rsidRPr="00610B1B">
        <w:rPr>
          <w:rFonts w:ascii="Times New Roman" w:eastAsia="Calibri" w:hAnsi="Times New Roman" w:cs="Times New Roman"/>
          <w:sz w:val="24"/>
          <w:szCs w:val="24"/>
          <w:lang w:val="bg-BG"/>
        </w:rPr>
        <w:t xml:space="preserve">Допълнителни дейности са възложени на Главна дирекция „Стратегическо планиране и програми за регионално развитие“ на МРРБ съгласно чл. 28 ал. 1 т. „м“ на Устройствения </w:t>
      </w:r>
      <w:r w:rsidR="00BA5862" w:rsidRPr="00610B1B">
        <w:rPr>
          <w:rFonts w:ascii="Times New Roman" w:eastAsia="Calibri" w:hAnsi="Times New Roman" w:cs="Times New Roman"/>
          <w:sz w:val="24"/>
          <w:szCs w:val="24"/>
          <w:lang w:val="bg-BG"/>
        </w:rPr>
        <w:t>правилник</w:t>
      </w:r>
      <w:r w:rsidRPr="00610B1B">
        <w:rPr>
          <w:rFonts w:ascii="Times New Roman" w:eastAsia="Calibri" w:hAnsi="Times New Roman" w:cs="Times New Roman"/>
          <w:sz w:val="24"/>
          <w:szCs w:val="24"/>
          <w:lang w:val="bg-BG"/>
        </w:rPr>
        <w:t xml:space="preserve"> на Министерството. Дирекцията осъществява координация и контрол по разработването, съгласуването, обсъждането и приемането на МППРБ</w:t>
      </w:r>
      <w:r w:rsidR="0015205E"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и наблюдение и контрол по неговото изпълнение. </w:t>
      </w:r>
      <w:r w:rsidR="004D76ED" w:rsidRPr="00610B1B">
        <w:rPr>
          <w:rFonts w:ascii="Times New Roman" w:eastAsia="Calibri" w:hAnsi="Times New Roman" w:cs="Times New Roman"/>
          <w:sz w:val="24"/>
          <w:szCs w:val="24"/>
          <w:lang w:val="bg-BG"/>
        </w:rPr>
        <w:t xml:space="preserve">В тези си дейности тя може да бъде подпомагана от </w:t>
      </w:r>
      <w:r w:rsidR="004D76ED" w:rsidRPr="00610B1B">
        <w:rPr>
          <w:rFonts w:ascii="Times New Roman" w:hAnsi="Times New Roman" w:cs="Times New Roman"/>
          <w:sz w:val="24"/>
          <w:szCs w:val="24"/>
          <w:lang w:val="bg-BG"/>
        </w:rPr>
        <w:t>Дирекция „Устройство на територията и административно-териториално устройство</w:t>
      </w:r>
      <w:r w:rsidR="00514936" w:rsidRPr="00610B1B">
        <w:rPr>
          <w:rFonts w:ascii="Times New Roman" w:hAnsi="Times New Roman" w:cs="Times New Roman"/>
          <w:sz w:val="24"/>
          <w:szCs w:val="24"/>
          <w:lang w:val="bg-BG"/>
        </w:rPr>
        <w:t>“, тъй като последната изготвя ста</w:t>
      </w:r>
      <w:r w:rsidR="004D76ED" w:rsidRPr="00610B1B">
        <w:rPr>
          <w:rFonts w:ascii="Times New Roman" w:hAnsi="Times New Roman" w:cs="Times New Roman"/>
          <w:sz w:val="24"/>
          <w:szCs w:val="24"/>
          <w:lang w:val="bg-BG"/>
        </w:rPr>
        <w:t>новища и съгласува проекти на устройствени планове и техни изменения съгласно Закона за устройство на територията, Закона за устройството на Черноморското крайбрежие, Закона за морските пространства, вътрешните водни пътища и пристанищата на Република България</w:t>
      </w:r>
      <w:r w:rsidR="00514936" w:rsidRPr="00610B1B">
        <w:rPr>
          <w:rFonts w:ascii="Times New Roman" w:hAnsi="Times New Roman" w:cs="Times New Roman"/>
          <w:sz w:val="24"/>
          <w:szCs w:val="24"/>
          <w:lang w:val="bg-BG"/>
        </w:rPr>
        <w:t>.</w:t>
      </w:r>
    </w:p>
    <w:p w14:paraId="3E971554" w14:textId="1545F6F9" w:rsidR="00C82519" w:rsidRPr="00610B1B" w:rsidRDefault="00C82519"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sz w:val="24"/>
          <w:szCs w:val="24"/>
          <w:lang w:val="bg-BG"/>
        </w:rPr>
        <w:t xml:space="preserve">Специфична цел 1.3. </w:t>
      </w:r>
      <w:r w:rsidR="00CC761E" w:rsidRPr="00610B1B">
        <w:rPr>
          <w:rFonts w:ascii="Times New Roman" w:eastAsia="Calibri" w:hAnsi="Times New Roman" w:cs="Times New Roman"/>
          <w:color w:val="000000" w:themeColor="text1"/>
          <w:sz w:val="24"/>
          <w:szCs w:val="24"/>
          <w:lang w:val="bg-BG"/>
        </w:rPr>
        <w:t>до</w:t>
      </w:r>
      <w:r w:rsidRPr="00610B1B">
        <w:rPr>
          <w:rFonts w:ascii="Times New Roman" w:eastAsia="Calibri" w:hAnsi="Times New Roman" w:cs="Times New Roman"/>
          <w:color w:val="000000" w:themeColor="text1"/>
          <w:sz w:val="24"/>
          <w:szCs w:val="24"/>
          <w:lang w:val="bg-BG"/>
        </w:rPr>
        <w:t>изясн</w:t>
      </w:r>
      <w:r w:rsidR="00F64178" w:rsidRPr="00610B1B">
        <w:rPr>
          <w:rFonts w:ascii="Times New Roman" w:eastAsia="Calibri" w:hAnsi="Times New Roman" w:cs="Times New Roman"/>
          <w:color w:val="000000" w:themeColor="text1"/>
          <w:sz w:val="24"/>
          <w:szCs w:val="24"/>
          <w:lang w:val="bg-BG"/>
        </w:rPr>
        <w:t>ява</w:t>
      </w:r>
      <w:r w:rsidRPr="00610B1B">
        <w:rPr>
          <w:rFonts w:ascii="Times New Roman" w:eastAsia="Calibri" w:hAnsi="Times New Roman" w:cs="Times New Roman"/>
          <w:color w:val="000000" w:themeColor="text1"/>
          <w:sz w:val="24"/>
          <w:szCs w:val="24"/>
          <w:lang w:val="bg-BG"/>
        </w:rPr>
        <w:t xml:space="preserve"> взаимодействията между тези </w:t>
      </w:r>
      <w:r w:rsidR="0015205E" w:rsidRPr="00610B1B">
        <w:rPr>
          <w:rFonts w:ascii="Times New Roman" w:eastAsia="Calibri" w:hAnsi="Times New Roman" w:cs="Times New Roman"/>
          <w:color w:val="000000" w:themeColor="text1"/>
          <w:sz w:val="24"/>
          <w:szCs w:val="24"/>
          <w:lang w:val="bg-BG"/>
        </w:rPr>
        <w:t>звена и заинтересованите страни</w:t>
      </w:r>
      <w:r w:rsidRPr="00610B1B">
        <w:rPr>
          <w:rFonts w:ascii="Times New Roman" w:eastAsia="Calibri" w:hAnsi="Times New Roman" w:cs="Times New Roman"/>
          <w:color w:val="000000" w:themeColor="text1"/>
          <w:sz w:val="24"/>
          <w:szCs w:val="24"/>
          <w:lang w:val="bg-BG"/>
        </w:rPr>
        <w:t>, регулира техните взаимоотношения и задължения и определ</w:t>
      </w:r>
      <w:r w:rsidR="00F64178" w:rsidRPr="00610B1B">
        <w:rPr>
          <w:rFonts w:ascii="Times New Roman" w:eastAsia="Calibri" w:hAnsi="Times New Roman" w:cs="Times New Roman"/>
          <w:color w:val="000000" w:themeColor="text1"/>
          <w:sz w:val="24"/>
          <w:szCs w:val="24"/>
          <w:lang w:val="bg-BG"/>
        </w:rPr>
        <w:t>я</w:t>
      </w:r>
      <w:r w:rsidRPr="00610B1B">
        <w:rPr>
          <w:rFonts w:ascii="Times New Roman" w:eastAsia="Calibri" w:hAnsi="Times New Roman" w:cs="Times New Roman"/>
          <w:color w:val="000000" w:themeColor="text1"/>
          <w:sz w:val="24"/>
          <w:szCs w:val="24"/>
          <w:lang w:val="bg-BG"/>
        </w:rPr>
        <w:t xml:space="preserve"> оперативно звено, което ще изпълнява всички необходими дейности по тези етапи в морското пространствено планиране.</w:t>
      </w:r>
      <w:r w:rsidR="0015205E" w:rsidRPr="00610B1B">
        <w:rPr>
          <w:rFonts w:ascii="Times New Roman" w:eastAsia="Calibri" w:hAnsi="Times New Roman" w:cs="Times New Roman"/>
          <w:color w:val="000000" w:themeColor="text1"/>
          <w:sz w:val="24"/>
          <w:szCs w:val="24"/>
          <w:lang w:val="bg-BG"/>
        </w:rPr>
        <w:t xml:space="preserve"> Последното е най-важната задача на тази цел, без изпълнението на която трудно може да се очаква успех.</w:t>
      </w:r>
    </w:p>
    <w:p w14:paraId="385A5ECE" w14:textId="5EC7007F" w:rsidR="0015205E" w:rsidRPr="00610B1B" w:rsidRDefault="00C82519"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Паралелно с това трябва да се доизяснят взаимоотношенията с останалите водещи институции, отговорни за морската безопасност и сигурност, за опазване на морската околна среда от замърсяване и подобряване на нейното състояние</w:t>
      </w:r>
      <w:r w:rsidR="009030B4" w:rsidRPr="00610B1B">
        <w:rPr>
          <w:rFonts w:ascii="Times New Roman" w:eastAsia="Calibri" w:hAnsi="Times New Roman" w:cs="Times New Roman"/>
          <w:color w:val="000000" w:themeColor="text1"/>
          <w:sz w:val="24"/>
          <w:szCs w:val="24"/>
          <w:lang w:val="bg-BG"/>
        </w:rPr>
        <w:t>,</w:t>
      </w:r>
      <w:r w:rsidRPr="00610B1B">
        <w:rPr>
          <w:rFonts w:ascii="Times New Roman" w:eastAsia="Calibri" w:hAnsi="Times New Roman" w:cs="Times New Roman"/>
          <w:color w:val="000000" w:themeColor="text1"/>
          <w:sz w:val="24"/>
          <w:szCs w:val="24"/>
          <w:lang w:val="bg-BG"/>
        </w:rPr>
        <w:t xml:space="preserve"> за да се координират по-добре действията им. </w:t>
      </w:r>
      <w:bookmarkEnd w:id="458"/>
      <w:r w:rsidRPr="00610B1B">
        <w:rPr>
          <w:rFonts w:ascii="Times New Roman" w:eastAsia="Calibri" w:hAnsi="Times New Roman" w:cs="Times New Roman"/>
          <w:color w:val="000000" w:themeColor="text1"/>
          <w:sz w:val="24"/>
          <w:szCs w:val="24"/>
          <w:lang w:val="bg-BG"/>
        </w:rPr>
        <w:t xml:space="preserve">Това са </w:t>
      </w:r>
      <w:r w:rsidR="0015205E" w:rsidRPr="00610B1B">
        <w:rPr>
          <w:rFonts w:ascii="Times New Roman" w:eastAsia="Calibri" w:hAnsi="Times New Roman" w:cs="Times New Roman"/>
          <w:color w:val="000000" w:themeColor="text1"/>
          <w:sz w:val="24"/>
          <w:szCs w:val="24"/>
          <w:lang w:val="bg-BG"/>
        </w:rPr>
        <w:t>14 държавни институции в областта на морската безопасност</w:t>
      </w:r>
      <w:r w:rsidR="009030B4" w:rsidRPr="00610B1B">
        <w:rPr>
          <w:rFonts w:ascii="Times New Roman" w:eastAsia="Calibri" w:hAnsi="Times New Roman" w:cs="Times New Roman"/>
          <w:color w:val="000000" w:themeColor="text1"/>
          <w:sz w:val="24"/>
          <w:szCs w:val="24"/>
          <w:lang w:val="bg-BG"/>
        </w:rPr>
        <w:t xml:space="preserve"> и сигурност</w:t>
      </w:r>
      <w:r w:rsidR="0015205E" w:rsidRPr="00610B1B">
        <w:rPr>
          <w:rFonts w:ascii="Times New Roman" w:eastAsia="Calibri" w:hAnsi="Times New Roman" w:cs="Times New Roman"/>
          <w:color w:val="000000" w:themeColor="text1"/>
          <w:sz w:val="24"/>
          <w:szCs w:val="24"/>
          <w:lang w:val="bg-BG"/>
        </w:rPr>
        <w:t xml:space="preserve"> и 12 държавни и регионални институции в сферата на опазването на морската околна среда. </w:t>
      </w:r>
    </w:p>
    <w:p w14:paraId="62A909A2" w14:textId="136B03FF" w:rsidR="00CC761E" w:rsidRPr="00610B1B" w:rsidRDefault="0015205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Най-важната част от тази институционализация остават дейностите, свързани с оперативното изпълнение и с информационното осигуряване</w:t>
      </w:r>
      <w:r w:rsidR="008A4842" w:rsidRPr="00610B1B">
        <w:rPr>
          <w:rFonts w:ascii="Times New Roman" w:eastAsia="Calibri" w:hAnsi="Times New Roman" w:cs="Times New Roman"/>
          <w:color w:val="000000" w:themeColor="text1"/>
          <w:sz w:val="24"/>
          <w:szCs w:val="24"/>
          <w:lang w:val="bg-BG"/>
        </w:rPr>
        <w:t>, които поради това</w:t>
      </w:r>
      <w:r w:rsidR="009030B4" w:rsidRPr="00610B1B">
        <w:rPr>
          <w:rFonts w:ascii="Times New Roman" w:eastAsia="Calibri" w:hAnsi="Times New Roman" w:cs="Times New Roman"/>
          <w:color w:val="000000" w:themeColor="text1"/>
          <w:sz w:val="24"/>
          <w:szCs w:val="24"/>
          <w:lang w:val="bg-BG"/>
        </w:rPr>
        <w:t>,</w:t>
      </w:r>
      <w:r w:rsidR="008A4842" w:rsidRPr="00610B1B">
        <w:rPr>
          <w:rFonts w:ascii="Times New Roman" w:eastAsia="Calibri" w:hAnsi="Times New Roman" w:cs="Times New Roman"/>
          <w:color w:val="000000" w:themeColor="text1"/>
          <w:sz w:val="24"/>
          <w:szCs w:val="24"/>
          <w:lang w:val="bg-BG"/>
        </w:rPr>
        <w:t xml:space="preserve"> че са свързани с компетенции на лица на различно подчинение, би следвало да се регламентират с акт, одобрен от Министерски съвет</w:t>
      </w:r>
      <w:r w:rsidRPr="00610B1B">
        <w:rPr>
          <w:rFonts w:ascii="Times New Roman" w:eastAsia="Calibri" w:hAnsi="Times New Roman" w:cs="Times New Roman"/>
          <w:color w:val="000000" w:themeColor="text1"/>
          <w:sz w:val="24"/>
          <w:szCs w:val="24"/>
          <w:lang w:val="bg-BG"/>
        </w:rPr>
        <w:t xml:space="preserve">. </w:t>
      </w:r>
    </w:p>
    <w:p w14:paraId="799E651D" w14:textId="433912FD" w:rsidR="00CC761E" w:rsidRPr="00610B1B" w:rsidRDefault="00CC761E" w:rsidP="00D32D6A">
      <w:pPr>
        <w:spacing w:after="120"/>
        <w:ind w:right="-153"/>
        <w:jc w:val="both"/>
        <w:rPr>
          <w:rFonts w:ascii="Times New Roman" w:eastAsia="Calibri" w:hAnsi="Times New Roman" w:cs="Times New Roman"/>
          <w:b/>
          <w:bCs/>
          <w:i/>
          <w:iCs/>
          <w:color w:val="000000" w:themeColor="text1"/>
          <w:sz w:val="24"/>
          <w:szCs w:val="24"/>
          <w:lang w:val="bg-BG"/>
        </w:rPr>
      </w:pPr>
      <w:r w:rsidRPr="00610B1B">
        <w:rPr>
          <w:rFonts w:ascii="Times New Roman" w:eastAsia="Calibri" w:hAnsi="Times New Roman" w:cs="Times New Roman"/>
          <w:b/>
          <w:bCs/>
          <w:i/>
          <w:iCs/>
          <w:color w:val="000000" w:themeColor="text1"/>
          <w:sz w:val="24"/>
          <w:szCs w:val="24"/>
          <w:lang w:val="bg-BG"/>
        </w:rPr>
        <w:lastRenderedPageBreak/>
        <w:t>Специфична цел 1.</w:t>
      </w:r>
      <w:r w:rsidR="008A4842" w:rsidRPr="00610B1B">
        <w:rPr>
          <w:rFonts w:ascii="Times New Roman" w:eastAsia="Calibri" w:hAnsi="Times New Roman" w:cs="Times New Roman"/>
          <w:b/>
          <w:bCs/>
          <w:i/>
          <w:iCs/>
          <w:color w:val="000000" w:themeColor="text1"/>
          <w:sz w:val="24"/>
          <w:szCs w:val="24"/>
          <w:lang w:val="bg-BG"/>
        </w:rPr>
        <w:t>4</w:t>
      </w:r>
      <w:r w:rsidRPr="00610B1B">
        <w:rPr>
          <w:rFonts w:ascii="Times New Roman" w:eastAsia="Calibri" w:hAnsi="Times New Roman" w:cs="Times New Roman"/>
          <w:b/>
          <w:bCs/>
          <w:i/>
          <w:iCs/>
          <w:color w:val="000000" w:themeColor="text1"/>
          <w:sz w:val="24"/>
          <w:szCs w:val="24"/>
          <w:lang w:val="bg-BG"/>
        </w:rPr>
        <w:t>. Информационно осигуряване на прилагането, мониторинга и контрола по прилагането на МППРБ</w:t>
      </w:r>
    </w:p>
    <w:p w14:paraId="61318F8B" w14:textId="77777777" w:rsidR="00CC761E" w:rsidRPr="00610B1B" w:rsidRDefault="0015205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Регламентирането на правила, по които България да има актуална, проверена, съгласувана</w:t>
      </w:r>
      <w:r w:rsidR="00B63594" w:rsidRPr="00610B1B">
        <w:rPr>
          <w:rFonts w:ascii="Times New Roman" w:eastAsia="Calibri" w:hAnsi="Times New Roman" w:cs="Times New Roman"/>
          <w:color w:val="000000" w:themeColor="text1"/>
          <w:sz w:val="24"/>
          <w:szCs w:val="24"/>
          <w:lang w:val="bg-BG"/>
        </w:rPr>
        <w:t>, надеждна</w:t>
      </w:r>
      <w:r w:rsidRPr="00610B1B">
        <w:rPr>
          <w:rFonts w:ascii="Times New Roman" w:eastAsia="Calibri" w:hAnsi="Times New Roman" w:cs="Times New Roman"/>
          <w:color w:val="000000" w:themeColor="text1"/>
          <w:sz w:val="24"/>
          <w:szCs w:val="24"/>
          <w:lang w:val="bg-BG"/>
        </w:rPr>
        <w:t xml:space="preserve"> и интегрирана информационна система за морско пространствено планиране</w:t>
      </w:r>
      <w:r w:rsidR="00B63594" w:rsidRPr="00610B1B">
        <w:rPr>
          <w:rFonts w:ascii="Times New Roman" w:eastAsia="Calibri" w:hAnsi="Times New Roman" w:cs="Times New Roman"/>
          <w:color w:val="000000" w:themeColor="text1"/>
          <w:sz w:val="24"/>
          <w:szCs w:val="24"/>
          <w:lang w:val="bg-BG"/>
        </w:rPr>
        <w:t xml:space="preserve">, </w:t>
      </w:r>
      <w:r w:rsidR="0028400F" w:rsidRPr="00610B1B">
        <w:rPr>
          <w:rFonts w:ascii="Times New Roman" w:eastAsia="Calibri" w:hAnsi="Times New Roman" w:cs="Times New Roman"/>
          <w:color w:val="000000" w:themeColor="text1"/>
          <w:sz w:val="24"/>
          <w:szCs w:val="24"/>
          <w:lang w:val="bg-BG"/>
        </w:rPr>
        <w:t>в допълнение на</w:t>
      </w:r>
      <w:r w:rsidR="00B63594" w:rsidRPr="00610B1B">
        <w:rPr>
          <w:rFonts w:ascii="Times New Roman" w:eastAsia="Calibri" w:hAnsi="Times New Roman" w:cs="Times New Roman"/>
          <w:color w:val="000000" w:themeColor="text1"/>
          <w:sz w:val="24"/>
          <w:szCs w:val="24"/>
          <w:lang w:val="bg-BG"/>
        </w:rPr>
        <w:t xml:space="preserve"> данните за страната от други Европейски платформи е най-важната задача за постигане на тази специфична цел</w:t>
      </w:r>
      <w:r w:rsidR="00CC761E" w:rsidRPr="00610B1B">
        <w:rPr>
          <w:rFonts w:ascii="Times New Roman" w:eastAsia="Calibri" w:hAnsi="Times New Roman" w:cs="Times New Roman"/>
          <w:color w:val="000000" w:themeColor="text1"/>
          <w:sz w:val="24"/>
          <w:szCs w:val="24"/>
          <w:lang w:val="bg-BG"/>
        </w:rPr>
        <w:t xml:space="preserve">. </w:t>
      </w:r>
    </w:p>
    <w:p w14:paraId="31B81086" w14:textId="20F8360C" w:rsidR="0015205E" w:rsidRPr="00610B1B" w:rsidRDefault="00CC761E"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Постоянно поддържана информация е необходима във всички етапи от разработването, мониторинга, контрола по приложението и изменението</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на МППРБ. Тя подсигурява и избраните индикатори за мониторинг, позволява да се правят анализи и сравнения с развитието на секторите в морската икономика в други струни от ЕС, за да се вземат правилни и навр</w:t>
      </w:r>
      <w:r w:rsidR="008A4842" w:rsidRPr="00610B1B">
        <w:rPr>
          <w:rFonts w:ascii="Times New Roman" w:eastAsia="Calibri" w:hAnsi="Times New Roman" w:cs="Times New Roman"/>
          <w:color w:val="000000" w:themeColor="text1"/>
          <w:sz w:val="24"/>
          <w:szCs w:val="24"/>
          <w:lang w:val="bg-BG"/>
        </w:rPr>
        <w:t>е</w:t>
      </w:r>
      <w:r w:rsidRPr="00610B1B">
        <w:rPr>
          <w:rFonts w:ascii="Times New Roman" w:eastAsia="Calibri" w:hAnsi="Times New Roman" w:cs="Times New Roman"/>
          <w:color w:val="000000" w:themeColor="text1"/>
          <w:sz w:val="24"/>
          <w:szCs w:val="24"/>
          <w:lang w:val="bg-BG"/>
        </w:rPr>
        <w:t xml:space="preserve">менни политически решения. </w:t>
      </w:r>
      <w:r w:rsidR="008A4842" w:rsidRPr="00610B1B">
        <w:rPr>
          <w:rFonts w:ascii="Times New Roman" w:eastAsia="Calibri" w:hAnsi="Times New Roman" w:cs="Times New Roman"/>
          <w:color w:val="000000" w:themeColor="text1"/>
          <w:sz w:val="24"/>
          <w:szCs w:val="24"/>
          <w:lang w:val="bg-BG"/>
        </w:rPr>
        <w:t>По този начин се</w:t>
      </w:r>
      <w:r w:rsidR="00D372F9" w:rsidRPr="00610B1B">
        <w:rPr>
          <w:rFonts w:ascii="Times New Roman" w:eastAsia="Calibri" w:hAnsi="Times New Roman" w:cs="Times New Roman"/>
          <w:color w:val="000000" w:themeColor="text1"/>
          <w:sz w:val="24"/>
          <w:szCs w:val="24"/>
          <w:lang w:val="bg-BG"/>
        </w:rPr>
        <w:t xml:space="preserve"> прилагат цялостно изискванията както на Директива 2014/89, така и на Директива 2007/2/EО за създаване на инфраструктура за пространствена информация в Европейската общност (INSPIRE), за да се удовлетворят изискванията на ЕК при оценката на морските пространствени планове. </w:t>
      </w:r>
    </w:p>
    <w:p w14:paraId="2C800661" w14:textId="77777777" w:rsidR="00F37D59" w:rsidRPr="00610B1B" w:rsidRDefault="00F37D59" w:rsidP="00D32D6A">
      <w:pPr>
        <w:spacing w:after="120"/>
        <w:ind w:right="-153"/>
        <w:jc w:val="both"/>
        <w:rPr>
          <w:rFonts w:ascii="Times New Roman" w:eastAsia="Calibri" w:hAnsi="Times New Roman" w:cs="Times New Roman"/>
          <w:color w:val="000000" w:themeColor="text1"/>
          <w:sz w:val="12"/>
          <w:szCs w:val="12"/>
          <w:lang w:val="bg-BG"/>
        </w:rPr>
      </w:pPr>
    </w:p>
    <w:p w14:paraId="0569FEE8" w14:textId="73223C8C" w:rsidR="00442579" w:rsidRPr="00610B1B" w:rsidRDefault="00442579" w:rsidP="003F3C59">
      <w:pPr>
        <w:shd w:val="clear" w:color="auto" w:fill="BEE6F0"/>
        <w:spacing w:after="120"/>
        <w:ind w:right="-153"/>
        <w:jc w:val="both"/>
        <w:rPr>
          <w:rFonts w:ascii="Times New Roman" w:eastAsia="Calibri" w:hAnsi="Times New Roman" w:cs="Times New Roman"/>
          <w:b/>
          <w:color w:val="000000" w:themeColor="text1"/>
          <w:sz w:val="24"/>
          <w:szCs w:val="24"/>
          <w:lang w:val="bg-BG"/>
        </w:rPr>
      </w:pPr>
      <w:r w:rsidRPr="00610B1B">
        <w:rPr>
          <w:rFonts w:ascii="Times New Roman" w:eastAsia="Calibri" w:hAnsi="Times New Roman" w:cs="Times New Roman"/>
          <w:b/>
          <w:color w:val="000000" w:themeColor="text1"/>
          <w:sz w:val="24"/>
          <w:szCs w:val="24"/>
          <w:lang w:val="bg-BG"/>
        </w:rPr>
        <w:t>Стратегическа</w:t>
      </w:r>
      <w:r w:rsidR="00AF4C05" w:rsidRPr="00610B1B">
        <w:rPr>
          <w:rFonts w:ascii="Times New Roman" w:eastAsia="Calibri" w:hAnsi="Times New Roman" w:cs="Times New Roman"/>
          <w:b/>
          <w:color w:val="000000" w:themeColor="text1"/>
          <w:sz w:val="24"/>
          <w:szCs w:val="24"/>
          <w:lang w:val="bg-BG"/>
        </w:rPr>
        <w:t> </w:t>
      </w:r>
      <w:r w:rsidRPr="00610B1B">
        <w:rPr>
          <w:rFonts w:ascii="Times New Roman" w:eastAsia="Calibri" w:hAnsi="Times New Roman" w:cs="Times New Roman"/>
          <w:b/>
          <w:color w:val="000000" w:themeColor="text1"/>
          <w:sz w:val="24"/>
          <w:szCs w:val="24"/>
          <w:lang w:val="bg-BG"/>
        </w:rPr>
        <w:t>цел</w:t>
      </w:r>
      <w:r w:rsidR="00AF4C05" w:rsidRPr="00610B1B">
        <w:rPr>
          <w:rFonts w:ascii="Times New Roman" w:eastAsia="Calibri" w:hAnsi="Times New Roman" w:cs="Times New Roman"/>
          <w:b/>
          <w:color w:val="000000" w:themeColor="text1"/>
          <w:sz w:val="24"/>
          <w:szCs w:val="24"/>
          <w:lang w:val="bg-BG"/>
        </w:rPr>
        <w:t> </w:t>
      </w:r>
      <w:r w:rsidRPr="00610B1B">
        <w:rPr>
          <w:rFonts w:ascii="Times New Roman" w:eastAsia="Calibri" w:hAnsi="Times New Roman" w:cs="Times New Roman"/>
          <w:b/>
          <w:color w:val="000000" w:themeColor="text1"/>
          <w:sz w:val="24"/>
          <w:szCs w:val="24"/>
          <w:lang w:val="bg-BG"/>
        </w:rPr>
        <w:t xml:space="preserve">2: Изграждане на диверсифицирана и устойчива морска икономика и жизнени териториални общности </w:t>
      </w:r>
    </w:p>
    <w:p w14:paraId="4E64AABA" w14:textId="048C9B17" w:rsidR="00442579" w:rsidRPr="00610B1B" w:rsidRDefault="005547A1"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Стратегическа цел 2</w:t>
      </w:r>
      <w:r w:rsidR="00442579" w:rsidRPr="00610B1B">
        <w:rPr>
          <w:rFonts w:ascii="Times New Roman" w:eastAsia="Calibri" w:hAnsi="Times New Roman" w:cs="Times New Roman"/>
          <w:color w:val="000000" w:themeColor="text1"/>
          <w:sz w:val="24"/>
          <w:szCs w:val="24"/>
          <w:lang w:val="bg-BG"/>
        </w:rPr>
        <w:t xml:space="preserve"> е свързана с политики за устойчиво използване на морските и крайбрежните </w:t>
      </w:r>
      <w:r w:rsidR="00BC2B4F" w:rsidRPr="00610B1B">
        <w:rPr>
          <w:rFonts w:ascii="Times New Roman" w:eastAsia="Calibri" w:hAnsi="Times New Roman" w:cs="Times New Roman"/>
          <w:color w:val="000000" w:themeColor="text1"/>
          <w:sz w:val="24"/>
          <w:szCs w:val="24"/>
          <w:lang w:val="bg-BG"/>
        </w:rPr>
        <w:t xml:space="preserve">ресурси и </w:t>
      </w:r>
      <w:r w:rsidR="0028400F" w:rsidRPr="00610B1B">
        <w:rPr>
          <w:rFonts w:ascii="Times New Roman" w:eastAsia="Calibri" w:hAnsi="Times New Roman" w:cs="Times New Roman"/>
          <w:color w:val="000000" w:themeColor="text1"/>
          <w:sz w:val="24"/>
          <w:szCs w:val="24"/>
          <w:lang w:val="bg-BG"/>
        </w:rPr>
        <w:t xml:space="preserve">екосистемни </w:t>
      </w:r>
      <w:r w:rsidR="00442579" w:rsidRPr="00610B1B">
        <w:rPr>
          <w:rFonts w:ascii="Times New Roman" w:eastAsia="Calibri" w:hAnsi="Times New Roman" w:cs="Times New Roman"/>
          <w:color w:val="000000" w:themeColor="text1"/>
          <w:sz w:val="24"/>
          <w:szCs w:val="24"/>
          <w:lang w:val="bg-BG"/>
        </w:rPr>
        <w:t>услуги на Черно море.</w:t>
      </w:r>
      <w:r w:rsidR="00D66FE0" w:rsidRPr="00610B1B">
        <w:rPr>
          <w:rFonts w:ascii="Times New Roman" w:eastAsia="Calibri" w:hAnsi="Times New Roman" w:cs="Times New Roman"/>
          <w:color w:val="000000" w:themeColor="text1"/>
          <w:sz w:val="24"/>
          <w:szCs w:val="24"/>
          <w:lang w:val="bg-BG"/>
        </w:rPr>
        <w:t xml:space="preserve"> </w:t>
      </w:r>
      <w:r w:rsidR="00442579" w:rsidRPr="00610B1B">
        <w:rPr>
          <w:rFonts w:ascii="Times New Roman" w:eastAsia="Calibri" w:hAnsi="Times New Roman" w:cs="Times New Roman"/>
          <w:color w:val="000000" w:themeColor="text1"/>
          <w:sz w:val="24"/>
          <w:szCs w:val="24"/>
          <w:lang w:val="bg-BG"/>
        </w:rPr>
        <w:t xml:space="preserve">Реализирането на потенциалните ползи ще изисква стратегии, които създават </w:t>
      </w:r>
      <w:r w:rsidR="00B7057E" w:rsidRPr="00610B1B">
        <w:rPr>
          <w:rFonts w:ascii="Times New Roman" w:eastAsia="Calibri" w:hAnsi="Times New Roman" w:cs="Times New Roman"/>
          <w:color w:val="000000" w:themeColor="text1"/>
          <w:sz w:val="24"/>
          <w:szCs w:val="24"/>
          <w:lang w:val="bg-BG"/>
        </w:rPr>
        <w:t>условия</w:t>
      </w:r>
      <w:r w:rsidR="00442579" w:rsidRPr="00610B1B">
        <w:rPr>
          <w:rFonts w:ascii="Times New Roman" w:eastAsia="Calibri" w:hAnsi="Times New Roman" w:cs="Times New Roman"/>
          <w:color w:val="000000" w:themeColor="text1"/>
          <w:sz w:val="24"/>
          <w:szCs w:val="24"/>
          <w:lang w:val="bg-BG"/>
        </w:rPr>
        <w:t xml:space="preserve"> за:</w:t>
      </w:r>
    </w:p>
    <w:p w14:paraId="06F66E00" w14:textId="77777777" w:rsidR="00442579" w:rsidRPr="00610B1B" w:rsidRDefault="00442579" w:rsidP="00B46189">
      <w:pPr>
        <w:numPr>
          <w:ilvl w:val="0"/>
          <w:numId w:val="37"/>
        </w:numPr>
        <w:spacing w:after="120"/>
        <w:ind w:left="714" w:right="-153" w:hanging="357"/>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Увеличаване на инвестициите в развитието на съществуващите сектори;</w:t>
      </w:r>
    </w:p>
    <w:p w14:paraId="36E6B3F7" w14:textId="4B7EEF03" w:rsidR="00442579" w:rsidRPr="00610B1B" w:rsidRDefault="00442579" w:rsidP="00B46189">
      <w:pPr>
        <w:numPr>
          <w:ilvl w:val="0"/>
          <w:numId w:val="37"/>
        </w:numPr>
        <w:spacing w:after="120"/>
        <w:ind w:left="714" w:right="-153" w:hanging="357"/>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Насърчаване на </w:t>
      </w:r>
      <w:r w:rsidR="00B7057E" w:rsidRPr="00610B1B">
        <w:rPr>
          <w:rFonts w:ascii="Times New Roman" w:eastAsia="Calibri" w:hAnsi="Times New Roman" w:cs="Times New Roman"/>
          <w:color w:val="000000" w:themeColor="text1"/>
          <w:sz w:val="24"/>
          <w:szCs w:val="24"/>
          <w:lang w:val="bg-BG"/>
        </w:rPr>
        <w:t>инвестиции</w:t>
      </w:r>
      <w:r w:rsidRPr="00610B1B">
        <w:rPr>
          <w:rFonts w:ascii="Times New Roman" w:eastAsia="Calibri" w:hAnsi="Times New Roman" w:cs="Times New Roman"/>
          <w:color w:val="000000" w:themeColor="text1"/>
          <w:sz w:val="24"/>
          <w:szCs w:val="24"/>
          <w:lang w:val="bg-BG"/>
        </w:rPr>
        <w:t>, иновации и технологични трансформации в подкрепа на развитието на нови и нововъзникващи сектори на синята икономика;</w:t>
      </w:r>
    </w:p>
    <w:p w14:paraId="4B92ECE3" w14:textId="4ED1996E" w:rsidR="00442579" w:rsidRPr="00610B1B" w:rsidRDefault="00442579" w:rsidP="00B46189">
      <w:pPr>
        <w:numPr>
          <w:ilvl w:val="0"/>
          <w:numId w:val="37"/>
        </w:numPr>
        <w:spacing w:after="120"/>
        <w:ind w:left="714" w:right="-153" w:hanging="357"/>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Реализиране на кръгова икономика</w:t>
      </w:r>
      <w:r w:rsidR="00BC2B4F" w:rsidRPr="00610B1B">
        <w:rPr>
          <w:rFonts w:ascii="Times New Roman" w:eastAsia="Calibri" w:hAnsi="Times New Roman" w:cs="Times New Roman"/>
          <w:color w:val="000000" w:themeColor="text1"/>
          <w:sz w:val="24"/>
          <w:szCs w:val="24"/>
          <w:lang w:val="bg-BG"/>
        </w:rPr>
        <w:t>;</w:t>
      </w:r>
    </w:p>
    <w:p w14:paraId="4973C592" w14:textId="77777777" w:rsidR="00B63594" w:rsidRPr="00610B1B" w:rsidRDefault="00442579" w:rsidP="00B46189">
      <w:pPr>
        <w:numPr>
          <w:ilvl w:val="0"/>
          <w:numId w:val="37"/>
        </w:numPr>
        <w:spacing w:after="120"/>
        <w:ind w:left="714" w:right="-153" w:hanging="357"/>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Допълнително развиване на връзки нагоре и надолу във веригите на стойността на съществуващите сектори.</w:t>
      </w:r>
    </w:p>
    <w:p w14:paraId="0B5DB9A0" w14:textId="5DB31E56" w:rsidR="00B63594" w:rsidRPr="00610B1B" w:rsidRDefault="00B635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Тази цел олицетворява желания резултат от постигане на първата „Регулиране и координиране на морските ползвания“. Институционализираната в ЗМПВВППРБ необходимост от морски пространствен план означава и намерение за насочване на публични ресурси към пространствата на морската икономика. Специфичните цели в тази сфера са:</w:t>
      </w:r>
    </w:p>
    <w:p w14:paraId="25A6F6C2" w14:textId="13F3C0F7" w:rsidR="00B63594" w:rsidRPr="00610B1B" w:rsidRDefault="00B63594" w:rsidP="00D32D6A">
      <w:pPr>
        <w:spacing w:after="120"/>
        <w:ind w:right="-153"/>
        <w:jc w:val="both"/>
        <w:rPr>
          <w:rFonts w:ascii="Times New Roman" w:eastAsia="Calibri" w:hAnsi="Times New Roman" w:cs="Times New Roman"/>
          <w:b/>
          <w:bCs/>
          <w:i/>
          <w:iCs/>
          <w:color w:val="000000" w:themeColor="text1"/>
          <w:sz w:val="24"/>
          <w:szCs w:val="24"/>
          <w:lang w:val="bg-BG"/>
        </w:rPr>
      </w:pPr>
      <w:r w:rsidRPr="00610B1B">
        <w:rPr>
          <w:rFonts w:ascii="Times New Roman" w:eastAsia="Calibri" w:hAnsi="Times New Roman" w:cs="Times New Roman"/>
          <w:b/>
          <w:bCs/>
          <w:i/>
          <w:iCs/>
          <w:color w:val="000000" w:themeColor="text1"/>
          <w:sz w:val="24"/>
          <w:szCs w:val="24"/>
          <w:lang w:val="bg-BG"/>
        </w:rPr>
        <w:t xml:space="preserve">Специфична цел 2.1. Координация на секторните политики в </w:t>
      </w:r>
      <w:r w:rsidR="00953270" w:rsidRPr="00610B1B">
        <w:rPr>
          <w:rFonts w:ascii="Times New Roman" w:eastAsia="Calibri" w:hAnsi="Times New Roman" w:cs="Times New Roman"/>
          <w:b/>
          <w:bCs/>
          <w:i/>
          <w:iCs/>
          <w:color w:val="000000" w:themeColor="text1"/>
          <w:sz w:val="24"/>
          <w:szCs w:val="24"/>
          <w:lang w:val="bg-BG"/>
        </w:rPr>
        <w:t>морската</w:t>
      </w:r>
      <w:r w:rsidRPr="00610B1B">
        <w:rPr>
          <w:rFonts w:ascii="Times New Roman" w:eastAsia="Calibri" w:hAnsi="Times New Roman" w:cs="Times New Roman"/>
          <w:b/>
          <w:bCs/>
          <w:i/>
          <w:iCs/>
          <w:color w:val="000000" w:themeColor="text1"/>
          <w:sz w:val="24"/>
          <w:szCs w:val="24"/>
          <w:lang w:val="bg-BG"/>
        </w:rPr>
        <w:t xml:space="preserve"> икономика</w:t>
      </w:r>
      <w:r w:rsidR="00953270" w:rsidRPr="00610B1B">
        <w:rPr>
          <w:rFonts w:ascii="Times New Roman" w:eastAsia="Calibri" w:hAnsi="Times New Roman" w:cs="Times New Roman"/>
          <w:b/>
          <w:bCs/>
          <w:i/>
          <w:iCs/>
          <w:color w:val="000000" w:themeColor="text1"/>
          <w:sz w:val="24"/>
          <w:szCs w:val="24"/>
          <w:lang w:val="bg-BG"/>
        </w:rPr>
        <w:t xml:space="preserve"> в подкрепа на Зелен</w:t>
      </w:r>
      <w:r w:rsidR="009030B4" w:rsidRPr="00610B1B">
        <w:rPr>
          <w:rFonts w:ascii="Times New Roman" w:eastAsia="Calibri" w:hAnsi="Times New Roman" w:cs="Times New Roman"/>
          <w:b/>
          <w:bCs/>
          <w:i/>
          <w:iCs/>
          <w:color w:val="000000" w:themeColor="text1"/>
          <w:sz w:val="24"/>
          <w:szCs w:val="24"/>
          <w:lang w:val="bg-BG"/>
        </w:rPr>
        <w:t>ата сделка</w:t>
      </w:r>
    </w:p>
    <w:p w14:paraId="11553CD5" w14:textId="5906FBF3" w:rsidR="00B63594" w:rsidRPr="00610B1B" w:rsidRDefault="00B635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В основата на тази специфична цел е координацията за постигане на синергичен ефект от въз</w:t>
      </w:r>
      <w:r w:rsidR="003416A7" w:rsidRPr="00610B1B">
        <w:rPr>
          <w:rFonts w:ascii="Times New Roman" w:eastAsia="Calibri" w:hAnsi="Times New Roman" w:cs="Times New Roman"/>
          <w:color w:val="000000" w:themeColor="text1"/>
          <w:sz w:val="24"/>
          <w:szCs w:val="24"/>
          <w:lang w:val="bg-BG"/>
        </w:rPr>
        <w:t>д</w:t>
      </w:r>
      <w:r w:rsidRPr="00610B1B">
        <w:rPr>
          <w:rFonts w:ascii="Times New Roman" w:eastAsia="Calibri" w:hAnsi="Times New Roman" w:cs="Times New Roman"/>
          <w:color w:val="000000" w:themeColor="text1"/>
          <w:sz w:val="24"/>
          <w:szCs w:val="24"/>
          <w:lang w:val="bg-BG"/>
        </w:rPr>
        <w:t>ействията на отделните секторни политики за морско дело – корабостроене и кораборем</w:t>
      </w:r>
      <w:r w:rsidR="0028400F" w:rsidRPr="00610B1B">
        <w:rPr>
          <w:rFonts w:ascii="Times New Roman" w:eastAsia="Calibri" w:hAnsi="Times New Roman" w:cs="Times New Roman"/>
          <w:color w:val="000000" w:themeColor="text1"/>
          <w:sz w:val="24"/>
          <w:szCs w:val="24"/>
          <w:lang w:val="bg-BG"/>
        </w:rPr>
        <w:t>о</w:t>
      </w:r>
      <w:r w:rsidRPr="00610B1B">
        <w:rPr>
          <w:rFonts w:ascii="Times New Roman" w:eastAsia="Calibri" w:hAnsi="Times New Roman" w:cs="Times New Roman"/>
          <w:color w:val="000000" w:themeColor="text1"/>
          <w:sz w:val="24"/>
          <w:szCs w:val="24"/>
          <w:lang w:val="bg-BG"/>
        </w:rPr>
        <w:t>нт, морски транспорт, туризъм, добив на суровини и енергия от морето, рибарство, аквакултури и др.</w:t>
      </w:r>
      <w:r w:rsidR="00953270" w:rsidRPr="00610B1B">
        <w:rPr>
          <w:rFonts w:ascii="Times New Roman" w:eastAsia="Calibri" w:hAnsi="Times New Roman" w:cs="Times New Roman"/>
          <w:color w:val="000000" w:themeColor="text1"/>
          <w:sz w:val="24"/>
          <w:szCs w:val="24"/>
          <w:lang w:val="bg-BG"/>
        </w:rPr>
        <w:t xml:space="preserve"> Всички те са обвързани с</w:t>
      </w:r>
      <w:r w:rsidR="00CF53D2" w:rsidRPr="00610B1B">
        <w:rPr>
          <w:rFonts w:ascii="Times New Roman" w:eastAsia="Calibri" w:hAnsi="Times New Roman" w:cs="Times New Roman"/>
          <w:color w:val="000000" w:themeColor="text1"/>
          <w:sz w:val="24"/>
          <w:szCs w:val="24"/>
          <w:lang w:val="bg-BG"/>
        </w:rPr>
        <w:t xml:space="preserve"> целите на Зелен</w:t>
      </w:r>
      <w:r w:rsidR="009030B4" w:rsidRPr="00610B1B">
        <w:rPr>
          <w:rFonts w:ascii="Times New Roman" w:eastAsia="Calibri" w:hAnsi="Times New Roman" w:cs="Times New Roman"/>
          <w:color w:val="000000" w:themeColor="text1"/>
          <w:sz w:val="24"/>
          <w:szCs w:val="24"/>
          <w:lang w:val="bg-BG"/>
        </w:rPr>
        <w:t>ата сделка</w:t>
      </w:r>
      <w:r w:rsidR="00CF53D2" w:rsidRPr="00610B1B">
        <w:rPr>
          <w:rFonts w:ascii="Times New Roman" w:eastAsia="Calibri" w:hAnsi="Times New Roman" w:cs="Times New Roman"/>
          <w:color w:val="000000" w:themeColor="text1"/>
          <w:sz w:val="24"/>
          <w:szCs w:val="24"/>
          <w:lang w:val="bg-BG"/>
        </w:rPr>
        <w:t>, ко</w:t>
      </w:r>
      <w:r w:rsidR="009030B4" w:rsidRPr="00610B1B">
        <w:rPr>
          <w:rFonts w:ascii="Times New Roman" w:eastAsia="Calibri" w:hAnsi="Times New Roman" w:cs="Times New Roman"/>
          <w:color w:val="000000" w:themeColor="text1"/>
          <w:sz w:val="24"/>
          <w:szCs w:val="24"/>
          <w:lang w:val="bg-BG"/>
        </w:rPr>
        <w:t>я</w:t>
      </w:r>
      <w:r w:rsidR="00CF53D2" w:rsidRPr="00610B1B">
        <w:rPr>
          <w:rFonts w:ascii="Times New Roman" w:eastAsia="Calibri" w:hAnsi="Times New Roman" w:cs="Times New Roman"/>
          <w:color w:val="000000" w:themeColor="text1"/>
          <w:sz w:val="24"/>
          <w:szCs w:val="24"/>
          <w:lang w:val="bg-BG"/>
        </w:rPr>
        <w:t>то по същество е новата стратегия за растеж и опит за интегриране на общите политики на ЕС в единен стратегически пакет за посрещане на съвременните предизвикателства.</w:t>
      </w:r>
      <w:r w:rsidR="00D66FE0" w:rsidRPr="00610B1B">
        <w:rPr>
          <w:rFonts w:ascii="Times New Roman" w:eastAsia="Calibri" w:hAnsi="Times New Roman" w:cs="Times New Roman"/>
          <w:color w:val="000000" w:themeColor="text1"/>
          <w:sz w:val="24"/>
          <w:szCs w:val="24"/>
          <w:lang w:val="bg-BG"/>
        </w:rPr>
        <w:t xml:space="preserve"> </w:t>
      </w:r>
    </w:p>
    <w:p w14:paraId="0E0B6E61" w14:textId="77777777" w:rsidR="00B63594" w:rsidRPr="00610B1B" w:rsidRDefault="00B635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lastRenderedPageBreak/>
        <w:t xml:space="preserve">И през новия програмен период 2021-2027 г., Европейският фонд за морско дело и рибарство ще бъде основен източник на публична подкрепа за морската икономика. Следва да се търсят възможности за обмен на добри практики и финансиране на проекти с цел обединяване на междусекторните политики за устойчив „син растеж“, за интегрирано управление на крайбрежните зони, за морско наблюдение, за намаляване на рисковете и повишаване на ефективността в опазването и използването на ресурсите. На практика, това са и основните насоки на Интегрираната морска политика на ЕС. </w:t>
      </w:r>
    </w:p>
    <w:p w14:paraId="67963F26" w14:textId="77777777" w:rsidR="00B63594" w:rsidRPr="00610B1B" w:rsidRDefault="00B635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Специфичната цел би била изпълнена при координирано реализиране на следните мерки:</w:t>
      </w:r>
    </w:p>
    <w:p w14:paraId="62D1A01A" w14:textId="7CF33151"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Създаване на предпоставки за растеж на устойчива синя икономика</w:t>
      </w:r>
      <w:r w:rsidR="00B0602F" w:rsidRPr="00610B1B">
        <w:rPr>
          <w:rFonts w:ascii="Times New Roman" w:eastAsia="Calibri" w:hAnsi="Times New Roman" w:cs="Times New Roman"/>
          <w:color w:val="000000" w:themeColor="text1"/>
          <w:sz w:val="24"/>
          <w:szCs w:val="24"/>
          <w:lang w:val="bg-BG"/>
        </w:rPr>
        <w:t xml:space="preserve"> и енергоефективни сектори</w:t>
      </w:r>
      <w:r w:rsidRPr="00610B1B">
        <w:rPr>
          <w:rFonts w:ascii="Times New Roman" w:eastAsia="Calibri" w:hAnsi="Times New Roman" w:cs="Times New Roman"/>
          <w:color w:val="000000" w:themeColor="text1"/>
          <w:sz w:val="24"/>
          <w:szCs w:val="24"/>
          <w:lang w:val="bg-BG"/>
        </w:rPr>
        <w:t>;</w:t>
      </w:r>
    </w:p>
    <w:p w14:paraId="4D30901A" w14:textId="77777777"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Подобряване на инфраструктурата, свързана с развитието на морската индустрия;</w:t>
      </w:r>
    </w:p>
    <w:p w14:paraId="42647B03" w14:textId="74608FBF"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Създаване и развитие на регионални клъстери на база </w:t>
      </w:r>
      <w:r w:rsidR="00CF53D2" w:rsidRPr="00610B1B">
        <w:rPr>
          <w:rFonts w:ascii="Times New Roman" w:eastAsia="Calibri" w:hAnsi="Times New Roman" w:cs="Times New Roman"/>
          <w:color w:val="000000" w:themeColor="text1"/>
          <w:sz w:val="24"/>
          <w:szCs w:val="24"/>
          <w:lang w:val="bg-BG"/>
        </w:rPr>
        <w:t xml:space="preserve">иновации в </w:t>
      </w:r>
      <w:r w:rsidRPr="00610B1B">
        <w:rPr>
          <w:rFonts w:ascii="Times New Roman" w:eastAsia="Calibri" w:hAnsi="Times New Roman" w:cs="Times New Roman"/>
          <w:color w:val="000000" w:themeColor="text1"/>
          <w:sz w:val="24"/>
          <w:szCs w:val="24"/>
          <w:lang w:val="bg-BG"/>
        </w:rPr>
        <w:t>морска</w:t>
      </w:r>
      <w:r w:rsidR="00CF53D2" w:rsidRPr="00610B1B">
        <w:rPr>
          <w:rFonts w:ascii="Times New Roman" w:eastAsia="Calibri" w:hAnsi="Times New Roman" w:cs="Times New Roman"/>
          <w:color w:val="000000" w:themeColor="text1"/>
          <w:sz w:val="24"/>
          <w:szCs w:val="24"/>
          <w:lang w:val="bg-BG"/>
        </w:rPr>
        <w:t>та</w:t>
      </w:r>
      <w:r w:rsidRPr="00610B1B">
        <w:rPr>
          <w:rFonts w:ascii="Times New Roman" w:eastAsia="Calibri" w:hAnsi="Times New Roman" w:cs="Times New Roman"/>
          <w:color w:val="000000" w:themeColor="text1"/>
          <w:sz w:val="24"/>
          <w:szCs w:val="24"/>
          <w:lang w:val="bg-BG"/>
        </w:rPr>
        <w:t xml:space="preserve"> индустрия; </w:t>
      </w:r>
    </w:p>
    <w:p w14:paraId="535E320E" w14:textId="77777777"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Стимулиране на общностите, заети с рибарство и аквакултури;</w:t>
      </w:r>
    </w:p>
    <w:p w14:paraId="41B9B55F" w14:textId="77777777"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Опазване на водните биологични ресурси чрез устойчиво/щадящо рибарство;</w:t>
      </w:r>
    </w:p>
    <w:p w14:paraId="6143A775" w14:textId="45C914DF"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Подобряване на състоянието и качеството на риболовния флот и рибарската инфраструктура (рибарски пристанища, лодкостоянки, селища), на стопанства</w:t>
      </w:r>
      <w:r w:rsidR="00CF53D2" w:rsidRPr="00610B1B">
        <w:rPr>
          <w:rFonts w:ascii="Times New Roman" w:eastAsia="Calibri" w:hAnsi="Times New Roman" w:cs="Times New Roman"/>
          <w:color w:val="000000" w:themeColor="text1"/>
          <w:sz w:val="24"/>
          <w:szCs w:val="24"/>
          <w:lang w:val="bg-BG"/>
        </w:rPr>
        <w:t>та за отглеждане на аквакултура</w:t>
      </w:r>
      <w:r w:rsidRPr="00610B1B">
        <w:rPr>
          <w:rFonts w:ascii="Times New Roman" w:eastAsia="Calibri" w:hAnsi="Times New Roman" w:cs="Times New Roman"/>
          <w:color w:val="000000" w:themeColor="text1"/>
          <w:sz w:val="24"/>
          <w:szCs w:val="24"/>
          <w:lang w:val="bg-BG"/>
        </w:rPr>
        <w:t>;</w:t>
      </w:r>
    </w:p>
    <w:p w14:paraId="6F72F358" w14:textId="77777777"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Стимулирано разработване и реализация на съвместни проекти (от научни институти и фирми), базирани на аквакултури и морски минерални ресурси;</w:t>
      </w:r>
    </w:p>
    <w:p w14:paraId="7CA02DEA" w14:textId="77777777"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color w:val="000000" w:themeColor="text1"/>
          <w:sz w:val="24"/>
          <w:szCs w:val="24"/>
          <w:lang w:val="bg-BG"/>
        </w:rPr>
        <w:t>Прилагане на екоиновативни технологии във всички сектори на морската икономика;</w:t>
      </w:r>
    </w:p>
    <w:p w14:paraId="143360F4" w14:textId="3DAE2741" w:rsidR="007F21D9"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Интегрирано управление на крайбрежната зона</w:t>
      </w:r>
      <w:r w:rsidR="00DE1E57" w:rsidRPr="00610B1B">
        <w:rPr>
          <w:rFonts w:ascii="Times New Roman" w:eastAsia="Calibri" w:hAnsi="Times New Roman" w:cs="Times New Roman"/>
          <w:sz w:val="24"/>
          <w:szCs w:val="24"/>
          <w:lang w:val="bg-BG"/>
        </w:rPr>
        <w:t xml:space="preserve"> чрез ресурсно и комуникационно обезпечаване на всички нива на планиране и управление, включващо разработване и осъществяване на подходящи и актуални мерки за достъп и опазване на средата </w:t>
      </w:r>
      <w:r w:rsidR="003C41B4" w:rsidRPr="00610B1B">
        <w:rPr>
          <w:rFonts w:ascii="Times New Roman" w:eastAsia="Calibri" w:hAnsi="Times New Roman" w:cs="Times New Roman"/>
          <w:sz w:val="24"/>
          <w:szCs w:val="24"/>
          <w:lang w:val="bg-BG"/>
        </w:rPr>
        <w:t>вкл.</w:t>
      </w:r>
      <w:r w:rsidRPr="00610B1B">
        <w:rPr>
          <w:rFonts w:ascii="Times New Roman" w:eastAsia="Calibri" w:hAnsi="Times New Roman" w:cs="Times New Roman"/>
          <w:sz w:val="24"/>
          <w:szCs w:val="24"/>
          <w:lang w:val="bg-BG"/>
        </w:rPr>
        <w:t>;</w:t>
      </w:r>
    </w:p>
    <w:p w14:paraId="3DCB5480" w14:textId="270BFC94" w:rsidR="00B63594" w:rsidRPr="00610B1B" w:rsidRDefault="00B63594" w:rsidP="00B46189">
      <w:pPr>
        <w:pStyle w:val="ListParagraph"/>
        <w:numPr>
          <w:ilvl w:val="0"/>
          <w:numId w:val="5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sz w:val="24"/>
          <w:szCs w:val="24"/>
          <w:lang w:val="bg-BG"/>
        </w:rPr>
        <w:t xml:space="preserve">Насърчаване на водено от общностите местно развитие </w:t>
      </w:r>
      <w:r w:rsidRPr="00610B1B">
        <w:rPr>
          <w:rFonts w:ascii="Times New Roman" w:eastAsia="Calibri" w:hAnsi="Times New Roman" w:cs="Times New Roman"/>
          <w:color w:val="000000" w:themeColor="text1"/>
          <w:sz w:val="24"/>
          <w:szCs w:val="24"/>
          <w:lang w:val="bg-BG"/>
        </w:rPr>
        <w:t>(ВОМР) чрез формиране на местни инициат</w:t>
      </w:r>
      <w:r w:rsidR="006746B0" w:rsidRPr="00610B1B">
        <w:rPr>
          <w:rFonts w:ascii="Times New Roman" w:eastAsia="Calibri" w:hAnsi="Times New Roman" w:cs="Times New Roman"/>
          <w:color w:val="000000" w:themeColor="text1"/>
          <w:sz w:val="24"/>
          <w:szCs w:val="24"/>
          <w:lang w:val="bg-BG"/>
        </w:rPr>
        <w:t>и</w:t>
      </w:r>
      <w:r w:rsidRPr="00610B1B">
        <w:rPr>
          <w:rFonts w:ascii="Times New Roman" w:eastAsia="Calibri" w:hAnsi="Times New Roman" w:cs="Times New Roman"/>
          <w:color w:val="000000" w:themeColor="text1"/>
          <w:sz w:val="24"/>
          <w:szCs w:val="24"/>
          <w:lang w:val="bg-BG"/>
        </w:rPr>
        <w:t>вни групи (МИГ</w:t>
      </w:r>
      <w:r w:rsidR="00CF53D2" w:rsidRPr="00610B1B">
        <w:rPr>
          <w:rFonts w:ascii="Times New Roman" w:eastAsia="Calibri" w:hAnsi="Times New Roman" w:cs="Times New Roman"/>
          <w:color w:val="000000" w:themeColor="text1"/>
          <w:sz w:val="24"/>
          <w:szCs w:val="24"/>
          <w:lang w:val="bg-BG"/>
        </w:rPr>
        <w:t xml:space="preserve"> и МИРГ</w:t>
      </w:r>
      <w:r w:rsidRPr="00610B1B">
        <w:rPr>
          <w:rFonts w:ascii="Times New Roman" w:eastAsia="Calibri" w:hAnsi="Times New Roman" w:cs="Times New Roman"/>
          <w:color w:val="000000" w:themeColor="text1"/>
          <w:sz w:val="24"/>
          <w:szCs w:val="24"/>
          <w:lang w:val="bg-BG"/>
        </w:rPr>
        <w:t>) и подкрепа на разработени от тях стратегии.</w:t>
      </w:r>
    </w:p>
    <w:p w14:paraId="3C75988E" w14:textId="2A6475D6" w:rsidR="00B63594" w:rsidRPr="00610B1B" w:rsidRDefault="00B63594"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color w:val="000000" w:themeColor="text1"/>
          <w:sz w:val="24"/>
          <w:szCs w:val="24"/>
          <w:lang w:val="bg-BG"/>
        </w:rPr>
        <w:t xml:space="preserve">Обединяваща платформа за реализиране на тази координираща цел е съвкупността от стратегически документи – морски пространствен план, интегрирани териториални стратегии, планове за интегрирано развитие на морските общини, общите устройствени планове на тези </w:t>
      </w:r>
      <w:r w:rsidRPr="00610B1B">
        <w:rPr>
          <w:rFonts w:ascii="Times New Roman" w:eastAsia="Calibri" w:hAnsi="Times New Roman" w:cs="Times New Roman"/>
          <w:sz w:val="24"/>
          <w:szCs w:val="24"/>
          <w:lang w:val="bg-BG"/>
        </w:rPr>
        <w:t>общини</w:t>
      </w:r>
      <w:r w:rsidR="00DE1E57" w:rsidRPr="00610B1B">
        <w:rPr>
          <w:rFonts w:ascii="Times New Roman" w:eastAsia="Calibri" w:hAnsi="Times New Roman" w:cs="Times New Roman"/>
          <w:sz w:val="24"/>
          <w:szCs w:val="24"/>
          <w:lang w:val="bg-BG"/>
        </w:rPr>
        <w:t>, подробните устройствени планове в обхвата на зона „А“ със специализирани проучвания и съпътстващи схеми, както и други, синхронизирани с тях актове, договори и отношения насочени към развитие, управление, ползване, достъп, контрол и опазване</w:t>
      </w:r>
      <w:r w:rsidRPr="00610B1B">
        <w:rPr>
          <w:rFonts w:ascii="Times New Roman" w:eastAsia="Calibri" w:hAnsi="Times New Roman" w:cs="Times New Roman"/>
          <w:sz w:val="24"/>
          <w:szCs w:val="24"/>
          <w:lang w:val="bg-BG"/>
        </w:rPr>
        <w:t xml:space="preserve">. </w:t>
      </w:r>
    </w:p>
    <w:p w14:paraId="066A4233" w14:textId="76134ADB" w:rsidR="00B63594" w:rsidRPr="00610B1B" w:rsidRDefault="00B635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sz w:val="24"/>
          <w:szCs w:val="24"/>
          <w:lang w:val="bg-BG"/>
        </w:rPr>
        <w:t xml:space="preserve">Постигането на „интелигентна синя икономика“ с висок принос към растежа </w:t>
      </w:r>
      <w:r w:rsidR="00B0602F" w:rsidRPr="00610B1B">
        <w:rPr>
          <w:rFonts w:ascii="Times New Roman" w:eastAsia="Calibri" w:hAnsi="Times New Roman" w:cs="Times New Roman"/>
          <w:sz w:val="24"/>
          <w:szCs w:val="24"/>
          <w:lang w:val="bg-BG"/>
        </w:rPr>
        <w:t xml:space="preserve">и енергоефективността </w:t>
      </w:r>
      <w:r w:rsidRPr="00610B1B">
        <w:rPr>
          <w:rFonts w:ascii="Times New Roman" w:eastAsia="Calibri" w:hAnsi="Times New Roman" w:cs="Times New Roman"/>
          <w:sz w:val="24"/>
          <w:szCs w:val="24"/>
          <w:lang w:val="bg-BG"/>
        </w:rPr>
        <w:t xml:space="preserve">зависи от комбинирането на политики и мерки, подкрепени както от различни публични източници, така и </w:t>
      </w:r>
      <w:r w:rsidRPr="00610B1B">
        <w:rPr>
          <w:rFonts w:ascii="Times New Roman" w:eastAsia="Calibri" w:hAnsi="Times New Roman" w:cs="Times New Roman"/>
          <w:color w:val="000000" w:themeColor="text1"/>
          <w:sz w:val="24"/>
          <w:szCs w:val="24"/>
          <w:lang w:val="bg-BG"/>
        </w:rPr>
        <w:t xml:space="preserve">от частни инвестиции. Тези съставни </w:t>
      </w:r>
      <w:r w:rsidRPr="00610B1B">
        <w:rPr>
          <w:rFonts w:ascii="Times New Roman" w:eastAsia="Calibri" w:hAnsi="Times New Roman" w:cs="Times New Roman"/>
          <w:color w:val="000000" w:themeColor="text1"/>
          <w:sz w:val="24"/>
          <w:szCs w:val="24"/>
          <w:lang w:val="bg-BG"/>
        </w:rPr>
        <w:lastRenderedPageBreak/>
        <w:t>инструменти следва да бъдат комбинирани в пакети, адресирани към съответните територии (на суша и море). Това са интегрирани териториални инвестиции (ИТИ), създадени като инструмент за ефективно съчетаване на всички възможни източници на финансиране, за да се реализират сложни многоаспектни инвестиционни програми и проекти както на сушата, така и в морето.</w:t>
      </w:r>
    </w:p>
    <w:p w14:paraId="1155C21C" w14:textId="1324A6AC" w:rsidR="006746B0" w:rsidRPr="00610B1B" w:rsidRDefault="006746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i/>
          <w:sz w:val="24"/>
          <w:szCs w:val="24"/>
          <w:lang w:val="bg-BG"/>
        </w:rPr>
        <w:t xml:space="preserve">Специфична цел 2.2. </w:t>
      </w:r>
      <w:r w:rsidR="00B0602F" w:rsidRPr="00610B1B">
        <w:rPr>
          <w:rFonts w:ascii="Times New Roman" w:eastAsia="Calibri" w:hAnsi="Times New Roman" w:cs="Times New Roman"/>
          <w:b/>
          <w:i/>
          <w:sz w:val="24"/>
          <w:szCs w:val="24"/>
          <w:lang w:val="bg-BG"/>
        </w:rPr>
        <w:t>Устойчиво р</w:t>
      </w:r>
      <w:r w:rsidRPr="00610B1B">
        <w:rPr>
          <w:rFonts w:ascii="Times New Roman" w:eastAsia="Calibri" w:hAnsi="Times New Roman" w:cs="Times New Roman"/>
          <w:b/>
          <w:i/>
          <w:sz w:val="24"/>
          <w:szCs w:val="24"/>
          <w:lang w:val="bg-BG"/>
        </w:rPr>
        <w:t xml:space="preserve">азвитие на </w:t>
      </w:r>
      <w:r w:rsidR="00B0602F" w:rsidRPr="00610B1B">
        <w:rPr>
          <w:rFonts w:ascii="Times New Roman" w:eastAsia="Calibri" w:hAnsi="Times New Roman" w:cs="Times New Roman"/>
          <w:b/>
          <w:i/>
          <w:sz w:val="24"/>
          <w:szCs w:val="24"/>
          <w:lang w:val="bg-BG"/>
        </w:rPr>
        <w:t xml:space="preserve">крайбрежния и морски </w:t>
      </w:r>
      <w:r w:rsidRPr="00610B1B">
        <w:rPr>
          <w:rFonts w:ascii="Times New Roman" w:eastAsia="Calibri" w:hAnsi="Times New Roman" w:cs="Times New Roman"/>
          <w:b/>
          <w:i/>
          <w:sz w:val="24"/>
          <w:szCs w:val="24"/>
          <w:lang w:val="bg-BG"/>
        </w:rPr>
        <w:t>туриз</w:t>
      </w:r>
      <w:r w:rsidR="00B0602F" w:rsidRPr="00610B1B">
        <w:rPr>
          <w:rFonts w:ascii="Times New Roman" w:eastAsia="Calibri" w:hAnsi="Times New Roman" w:cs="Times New Roman"/>
          <w:b/>
          <w:i/>
          <w:sz w:val="24"/>
          <w:szCs w:val="24"/>
          <w:lang w:val="bg-BG"/>
        </w:rPr>
        <w:t>ъ</w:t>
      </w:r>
      <w:r w:rsidRPr="00610B1B">
        <w:rPr>
          <w:rFonts w:ascii="Times New Roman" w:eastAsia="Calibri" w:hAnsi="Times New Roman" w:cs="Times New Roman"/>
          <w:b/>
          <w:i/>
          <w:sz w:val="24"/>
          <w:szCs w:val="24"/>
          <w:lang w:val="bg-BG"/>
        </w:rPr>
        <w:t xml:space="preserve">м </w:t>
      </w:r>
    </w:p>
    <w:p w14:paraId="1FFDF0A3" w14:textId="3055DF7B" w:rsidR="006746B0" w:rsidRPr="00610B1B" w:rsidRDefault="006746B0" w:rsidP="00D32D6A">
      <w:pPr>
        <w:spacing w:after="120"/>
        <w:ind w:right="-153"/>
        <w:jc w:val="both"/>
        <w:rPr>
          <w:rFonts w:ascii="Times New Roman" w:eastAsia="Calibri" w:hAnsi="Times New Roman" w:cs="Times New Roman"/>
          <w:sz w:val="24"/>
          <w:szCs w:val="24"/>
          <w:lang w:val="bg-BG"/>
        </w:rPr>
      </w:pPr>
      <w:r w:rsidRPr="00610B1B">
        <w:rPr>
          <w:rFonts w:ascii="Times New Roman" w:hAnsi="Times New Roman" w:cs="Times New Roman"/>
          <w:sz w:val="24"/>
          <w:szCs w:val="24"/>
          <w:lang w:val="bg-BG"/>
        </w:rPr>
        <w:t xml:space="preserve">Устойчивият туризъм се извежда като приоритет за екосистемна услуга по целия български Черноморски бряг. Необходим е постепенен обрат от масовия модел към </w:t>
      </w:r>
      <w:r w:rsidR="00B0602F" w:rsidRPr="00610B1B">
        <w:rPr>
          <w:rFonts w:ascii="Times New Roman" w:hAnsi="Times New Roman" w:cs="Times New Roman"/>
          <w:sz w:val="24"/>
          <w:szCs w:val="24"/>
          <w:lang w:val="bg-BG"/>
        </w:rPr>
        <w:t xml:space="preserve">създаден </w:t>
      </w:r>
      <w:r w:rsidRPr="00610B1B">
        <w:rPr>
          <w:rFonts w:ascii="Times New Roman" w:hAnsi="Times New Roman" w:cs="Times New Roman"/>
          <w:sz w:val="24"/>
          <w:szCs w:val="24"/>
          <w:lang w:val="bg-BG"/>
        </w:rPr>
        <w:t xml:space="preserve">по индивидуалните предпочитания модел на туристически услуги чрез пространствено, тематично и времево обогатяване на предлагането – културно наследство (включително подводно), водни спортове, балнеология, уелнес, шопинг, орнитология, голф, лов. </w:t>
      </w:r>
      <w:r w:rsidRPr="00610B1B">
        <w:rPr>
          <w:rFonts w:ascii="Times New Roman" w:eastAsia="Calibri" w:hAnsi="Times New Roman" w:cs="Times New Roman"/>
          <w:sz w:val="24"/>
          <w:szCs w:val="24"/>
          <w:lang w:val="bg-BG"/>
        </w:rPr>
        <w:t xml:space="preserve">Природното и културното наследство е едно от най-силно изразените сравнителни предимства на българските </w:t>
      </w:r>
      <w:r w:rsidR="00B0602F" w:rsidRPr="00610B1B">
        <w:rPr>
          <w:rFonts w:ascii="Times New Roman" w:eastAsia="Calibri" w:hAnsi="Times New Roman" w:cs="Times New Roman"/>
          <w:sz w:val="24"/>
          <w:szCs w:val="24"/>
          <w:lang w:val="bg-BG"/>
        </w:rPr>
        <w:t xml:space="preserve">региони </w:t>
      </w:r>
      <w:r w:rsidRPr="00610B1B">
        <w:rPr>
          <w:rFonts w:ascii="Times New Roman" w:eastAsia="Calibri" w:hAnsi="Times New Roman" w:cs="Times New Roman"/>
          <w:sz w:val="24"/>
          <w:szCs w:val="24"/>
          <w:lang w:val="bg-BG"/>
        </w:rPr>
        <w:t>в глобализиращия се свят. Разнообразяването на туристическия продукт със специфични видове туризъм и с активно включване на туристическите ресурси на хинтерланда ще допринесе за преодоляване на изразената сезонност на рекреативния морски туризъм.</w:t>
      </w:r>
    </w:p>
    <w:p w14:paraId="6247E2CB" w14:textId="49A425F0" w:rsidR="006746B0" w:rsidRPr="00610B1B" w:rsidRDefault="006746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Специфичната цел би била изпълнена при координирано реализиране на следните </w:t>
      </w:r>
      <w:r w:rsidR="00B0602F" w:rsidRPr="00610B1B">
        <w:rPr>
          <w:rFonts w:ascii="Times New Roman" w:eastAsia="Calibri" w:hAnsi="Times New Roman" w:cs="Times New Roman"/>
          <w:sz w:val="24"/>
          <w:szCs w:val="24"/>
          <w:lang w:val="bg-BG"/>
        </w:rPr>
        <w:t xml:space="preserve">по-важни </w:t>
      </w:r>
      <w:r w:rsidR="00A508F7" w:rsidRPr="00610B1B">
        <w:rPr>
          <w:rFonts w:ascii="Times New Roman" w:eastAsia="Calibri" w:hAnsi="Times New Roman" w:cs="Times New Roman"/>
          <w:sz w:val="24"/>
          <w:szCs w:val="24"/>
          <w:lang w:val="bg-BG"/>
        </w:rPr>
        <w:t xml:space="preserve">мерки </w:t>
      </w:r>
      <w:r w:rsidRPr="00610B1B">
        <w:rPr>
          <w:rFonts w:ascii="Times New Roman" w:eastAsia="Calibri" w:hAnsi="Times New Roman" w:cs="Times New Roman"/>
          <w:sz w:val="24"/>
          <w:szCs w:val="24"/>
          <w:lang w:val="bg-BG"/>
        </w:rPr>
        <w:t xml:space="preserve">със съдействието на новосъздадените органи за управление на туристическите райони (ОУТР) – Варненско </w:t>
      </w:r>
      <w:r w:rsidR="00C1799D" w:rsidRPr="00610B1B">
        <w:rPr>
          <w:rFonts w:ascii="Times New Roman" w:eastAsia="Calibri" w:hAnsi="Times New Roman" w:cs="Times New Roman"/>
          <w:sz w:val="24"/>
          <w:szCs w:val="24"/>
          <w:lang w:val="bg-BG"/>
        </w:rPr>
        <w:t xml:space="preserve">Черноморие </w:t>
      </w:r>
      <w:r w:rsidRPr="00610B1B">
        <w:rPr>
          <w:rFonts w:ascii="Times New Roman" w:eastAsia="Calibri" w:hAnsi="Times New Roman" w:cs="Times New Roman"/>
          <w:sz w:val="24"/>
          <w:szCs w:val="24"/>
          <w:lang w:val="bg-BG"/>
        </w:rPr>
        <w:t xml:space="preserve">и Бургаско </w:t>
      </w:r>
      <w:r w:rsidR="00C1799D" w:rsidRPr="00610B1B">
        <w:rPr>
          <w:rFonts w:ascii="Times New Roman" w:eastAsia="Calibri" w:hAnsi="Times New Roman" w:cs="Times New Roman"/>
          <w:sz w:val="24"/>
          <w:szCs w:val="24"/>
          <w:lang w:val="bg-BG"/>
        </w:rPr>
        <w:t>Черноморие</w:t>
      </w:r>
      <w:r w:rsidRPr="00610B1B">
        <w:rPr>
          <w:rFonts w:ascii="Times New Roman" w:eastAsia="Calibri" w:hAnsi="Times New Roman" w:cs="Times New Roman"/>
          <w:sz w:val="24"/>
          <w:szCs w:val="24"/>
          <w:lang w:val="bg-BG"/>
        </w:rPr>
        <w:t>:</w:t>
      </w:r>
    </w:p>
    <w:p w14:paraId="2C030BB4" w14:textId="77777777" w:rsidR="007C3D7E" w:rsidRPr="00610B1B" w:rsidRDefault="006746B0" w:rsidP="00B46189">
      <w:pPr>
        <w:pStyle w:val="ListParagraph"/>
        <w:numPr>
          <w:ilvl w:val="0"/>
          <w:numId w:val="51"/>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Създаване на регионални туристически продукти за двата туристически района с разпознаваеми брандове и специализации;</w:t>
      </w:r>
    </w:p>
    <w:p w14:paraId="7ED66F64" w14:textId="542F5CE2" w:rsidR="007C3D7E" w:rsidRPr="00610B1B" w:rsidRDefault="006746B0" w:rsidP="00B46189">
      <w:pPr>
        <w:pStyle w:val="ListParagraph"/>
        <w:numPr>
          <w:ilvl w:val="0"/>
          <w:numId w:val="51"/>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Мерки</w:t>
      </w:r>
      <w:r w:rsidR="00B0602F" w:rsidRPr="00610B1B">
        <w:rPr>
          <w:rFonts w:ascii="Times New Roman" w:eastAsia="Calibri" w:hAnsi="Times New Roman" w:cs="Times New Roman"/>
          <w:sz w:val="24"/>
          <w:szCs w:val="24"/>
          <w:lang w:val="bg-BG"/>
        </w:rPr>
        <w:t xml:space="preserve"> за</w:t>
      </w:r>
      <w:r w:rsidRPr="00610B1B">
        <w:rPr>
          <w:rFonts w:ascii="Times New Roman" w:eastAsia="Calibri" w:hAnsi="Times New Roman" w:cs="Times New Roman"/>
          <w:sz w:val="24"/>
          <w:szCs w:val="24"/>
          <w:lang w:val="bg-BG"/>
        </w:rPr>
        <w:t xml:space="preserve"> осезателно намаляване на сезонността в туристическия бизнес</w:t>
      </w:r>
      <w:r w:rsidR="007C3D7E" w:rsidRPr="00610B1B">
        <w:rPr>
          <w:rFonts w:ascii="Times New Roman" w:eastAsia="Calibri" w:hAnsi="Times New Roman" w:cs="Times New Roman"/>
          <w:sz w:val="24"/>
          <w:szCs w:val="24"/>
          <w:lang w:val="bg-BG"/>
        </w:rPr>
        <w:t xml:space="preserve"> и преодоляване на кризата в резултат на Covid’19</w:t>
      </w:r>
      <w:r w:rsidR="00B0602F" w:rsidRPr="00610B1B">
        <w:rPr>
          <w:rFonts w:ascii="Times New Roman" w:eastAsia="Calibri" w:hAnsi="Times New Roman" w:cs="Times New Roman"/>
          <w:sz w:val="24"/>
          <w:szCs w:val="24"/>
          <w:lang w:val="bg-BG"/>
        </w:rPr>
        <w:t xml:space="preserve">, включително чрез повишаване на санитарно-хигиенните стандарти и </w:t>
      </w:r>
      <w:r w:rsidR="00DE1E57" w:rsidRPr="00610B1B">
        <w:rPr>
          <w:rFonts w:ascii="Times New Roman" w:eastAsia="Calibri" w:hAnsi="Times New Roman" w:cs="Times New Roman"/>
          <w:sz w:val="24"/>
          <w:szCs w:val="24"/>
          <w:lang w:val="bg-BG"/>
        </w:rPr>
        <w:t xml:space="preserve">намаляване на </w:t>
      </w:r>
      <w:r w:rsidR="00B0602F" w:rsidRPr="00610B1B">
        <w:rPr>
          <w:rFonts w:ascii="Times New Roman" w:eastAsia="Calibri" w:hAnsi="Times New Roman" w:cs="Times New Roman"/>
          <w:sz w:val="24"/>
          <w:szCs w:val="24"/>
          <w:lang w:val="bg-BG"/>
        </w:rPr>
        <w:t>натовареността на средата</w:t>
      </w:r>
      <w:r w:rsidRPr="00610B1B">
        <w:rPr>
          <w:rFonts w:ascii="Times New Roman" w:eastAsia="Calibri" w:hAnsi="Times New Roman" w:cs="Times New Roman"/>
          <w:sz w:val="24"/>
          <w:szCs w:val="24"/>
          <w:lang w:val="bg-BG"/>
        </w:rPr>
        <w:t xml:space="preserve">; </w:t>
      </w:r>
    </w:p>
    <w:p w14:paraId="6307CE34" w14:textId="36DC68B8" w:rsidR="007C3D7E" w:rsidRPr="00610B1B" w:rsidRDefault="006746B0" w:rsidP="00B46189">
      <w:pPr>
        <w:pStyle w:val="ListParagraph"/>
        <w:numPr>
          <w:ilvl w:val="0"/>
          <w:numId w:val="51"/>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Предлагане на </w:t>
      </w:r>
      <w:r w:rsidR="007C3D7E" w:rsidRPr="00610B1B">
        <w:rPr>
          <w:rFonts w:ascii="Times New Roman" w:eastAsia="Calibri" w:hAnsi="Times New Roman" w:cs="Times New Roman"/>
          <w:sz w:val="24"/>
          <w:szCs w:val="24"/>
          <w:lang w:val="bg-BG"/>
        </w:rPr>
        <w:t xml:space="preserve">комбинирани </w:t>
      </w:r>
      <w:r w:rsidRPr="00610B1B">
        <w:rPr>
          <w:rFonts w:ascii="Times New Roman" w:eastAsia="Calibri" w:hAnsi="Times New Roman" w:cs="Times New Roman"/>
          <w:sz w:val="24"/>
          <w:szCs w:val="24"/>
          <w:lang w:val="bg-BG"/>
        </w:rPr>
        <w:t xml:space="preserve">туристически пакети </w:t>
      </w:r>
      <w:r w:rsidR="007C3D7E"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голф, подводна археология и яхтен туризъм, съчетани с посещения </w:t>
      </w:r>
      <w:r w:rsidR="007C3D7E" w:rsidRPr="00610B1B">
        <w:rPr>
          <w:rFonts w:ascii="Times New Roman" w:eastAsia="Calibri" w:hAnsi="Times New Roman" w:cs="Times New Roman"/>
          <w:sz w:val="24"/>
          <w:szCs w:val="24"/>
          <w:lang w:val="bg-BG"/>
        </w:rPr>
        <w:t>на</w:t>
      </w:r>
      <w:r w:rsidRPr="00610B1B">
        <w:rPr>
          <w:rFonts w:ascii="Times New Roman" w:eastAsia="Calibri" w:hAnsi="Times New Roman" w:cs="Times New Roman"/>
          <w:sz w:val="24"/>
          <w:szCs w:val="24"/>
          <w:lang w:val="bg-BG"/>
        </w:rPr>
        <w:t xml:space="preserve"> културни и природни ценности във вътрешността на страната;</w:t>
      </w:r>
    </w:p>
    <w:p w14:paraId="40AA2180" w14:textId="10D4BB65" w:rsidR="00DE1E57" w:rsidRPr="00610B1B" w:rsidRDefault="00DE1E57" w:rsidP="00136FB2">
      <w:pPr>
        <w:pStyle w:val="ListParagraph"/>
        <w:numPr>
          <w:ilvl w:val="0"/>
          <w:numId w:val="51"/>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Установяване на възможности и правила за практикуване на екстремни спортове (напр. кайт сърфиране и др.) с минимален риск за посетителите в и около зоните за къпане;</w:t>
      </w:r>
    </w:p>
    <w:p w14:paraId="0D4294C1" w14:textId="3834F780" w:rsidR="006746B0" w:rsidRPr="00610B1B" w:rsidRDefault="006746B0" w:rsidP="00B46189">
      <w:pPr>
        <w:pStyle w:val="ListParagraph"/>
        <w:numPr>
          <w:ilvl w:val="0"/>
          <w:numId w:val="51"/>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Подкрепа за съхраняване и стимулиране на фестивалите и конкурсите в двата района, които представят по уникален начин тяхната културна идентичност;</w:t>
      </w:r>
    </w:p>
    <w:p w14:paraId="22CE1062" w14:textId="395AFDE8" w:rsidR="006746B0" w:rsidRPr="00610B1B" w:rsidRDefault="006746B0" w:rsidP="00B46189">
      <w:pPr>
        <w:numPr>
          <w:ilvl w:val="0"/>
          <w:numId w:val="52"/>
        </w:num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Подобряване на инфраструктурата, обслужваща туризма</w:t>
      </w:r>
      <w:r w:rsidR="007C3D7E" w:rsidRPr="00610B1B">
        <w:rPr>
          <w:rFonts w:ascii="Times New Roman" w:eastAsia="Calibri" w:hAnsi="Times New Roman" w:cs="Times New Roman"/>
          <w:sz w:val="24"/>
          <w:szCs w:val="24"/>
          <w:lang w:val="bg-BG"/>
        </w:rPr>
        <w:t>; и</w:t>
      </w:r>
      <w:r w:rsidRPr="00610B1B">
        <w:rPr>
          <w:rFonts w:ascii="Times New Roman" w:eastAsia="Calibri" w:hAnsi="Times New Roman" w:cs="Times New Roman"/>
          <w:sz w:val="24"/>
          <w:szCs w:val="24"/>
          <w:lang w:val="bg-BG"/>
        </w:rPr>
        <w:t>зграждане на нова туристическа инфраструктура и разработване потенциала на нови дестинации (например Дуранкулашко езеро и „Шабленска тузла”);</w:t>
      </w:r>
    </w:p>
    <w:p w14:paraId="56574D3A" w14:textId="3D357401" w:rsidR="006746B0" w:rsidRPr="00610B1B" w:rsidRDefault="006746B0" w:rsidP="00B46189">
      <w:pPr>
        <w:numPr>
          <w:ilvl w:val="0"/>
          <w:numId w:val="52"/>
        </w:num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Възстановяване на местните морски пътнически превози от Бургас до Варна, </w:t>
      </w:r>
      <w:r w:rsidR="00F15077" w:rsidRPr="00610B1B">
        <w:rPr>
          <w:rFonts w:ascii="Times New Roman" w:eastAsia="Calibri" w:hAnsi="Times New Roman" w:cs="Times New Roman"/>
          <w:sz w:val="24"/>
          <w:szCs w:val="24"/>
          <w:lang w:val="bg-BG"/>
        </w:rPr>
        <w:t xml:space="preserve">Балчик, </w:t>
      </w:r>
      <w:r w:rsidRPr="00610B1B">
        <w:rPr>
          <w:rFonts w:ascii="Times New Roman" w:eastAsia="Calibri" w:hAnsi="Times New Roman" w:cs="Times New Roman"/>
          <w:sz w:val="24"/>
          <w:szCs w:val="24"/>
          <w:lang w:val="bg-BG"/>
        </w:rPr>
        <w:t>Несебър, Поморие, Черноморец</w:t>
      </w:r>
      <w:r w:rsidR="00F15077" w:rsidRPr="00610B1B">
        <w:rPr>
          <w:rFonts w:ascii="Times New Roman" w:eastAsia="Calibri" w:hAnsi="Times New Roman" w:cs="Times New Roman"/>
          <w:sz w:val="24"/>
          <w:szCs w:val="24"/>
          <w:lang w:val="bg-BG"/>
        </w:rPr>
        <w:t>,</w:t>
      </w:r>
      <w:r w:rsidRPr="00610B1B">
        <w:rPr>
          <w:rFonts w:ascii="Times New Roman" w:eastAsia="Calibri" w:hAnsi="Times New Roman" w:cs="Times New Roman"/>
          <w:sz w:val="24"/>
          <w:szCs w:val="24"/>
          <w:lang w:val="bg-BG"/>
        </w:rPr>
        <w:t xml:space="preserve"> Созопол</w:t>
      </w:r>
      <w:r w:rsidR="00F15077" w:rsidRPr="00610B1B">
        <w:rPr>
          <w:rFonts w:ascii="Times New Roman" w:eastAsia="Calibri" w:hAnsi="Times New Roman" w:cs="Times New Roman"/>
          <w:sz w:val="24"/>
          <w:szCs w:val="24"/>
          <w:lang w:val="bg-BG"/>
        </w:rPr>
        <w:t>, Ахтопол и Царево</w:t>
      </w:r>
      <w:r w:rsidRPr="00610B1B">
        <w:rPr>
          <w:rFonts w:ascii="Times New Roman" w:eastAsia="Calibri" w:hAnsi="Times New Roman" w:cs="Times New Roman"/>
          <w:sz w:val="24"/>
          <w:szCs w:val="24"/>
          <w:lang w:val="bg-BG"/>
        </w:rPr>
        <w:t xml:space="preserve"> през летния сезон;</w:t>
      </w:r>
    </w:p>
    <w:p w14:paraId="6E3A8ACD" w14:textId="77777777" w:rsidR="006746B0" w:rsidRPr="00610B1B" w:rsidRDefault="006746B0" w:rsidP="00B46189">
      <w:pPr>
        <w:numPr>
          <w:ilvl w:val="0"/>
          <w:numId w:val="52"/>
        </w:num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Увеличаване на броя, видовете и качеството на транспортните и съпътстващите ги услуги за гражданите и гостите на черноморските общини;</w:t>
      </w:r>
    </w:p>
    <w:p w14:paraId="56EBC76B" w14:textId="77777777" w:rsidR="006746B0" w:rsidRPr="00610B1B" w:rsidRDefault="006746B0" w:rsidP="00B46189">
      <w:pPr>
        <w:numPr>
          <w:ilvl w:val="0"/>
          <w:numId w:val="52"/>
        </w:num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lastRenderedPageBreak/>
        <w:t>Интеграция и концентрация на митнически, гранични, агентски, брокерски, куриерски, пощенски, финансови и културно-развлекателни, търговски и други видове услуги;</w:t>
      </w:r>
    </w:p>
    <w:p w14:paraId="08DD698D" w14:textId="01A28B00" w:rsidR="006746B0" w:rsidRPr="00610B1B" w:rsidRDefault="006746B0" w:rsidP="00B46189">
      <w:pPr>
        <w:numPr>
          <w:ilvl w:val="0"/>
          <w:numId w:val="52"/>
        </w:num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Активно въвеждане на цифрови технологии в реклам</w:t>
      </w:r>
      <w:r w:rsidR="007C3D7E" w:rsidRPr="00610B1B">
        <w:rPr>
          <w:rFonts w:ascii="Times New Roman" w:eastAsia="Calibri" w:hAnsi="Times New Roman" w:cs="Times New Roman"/>
          <w:sz w:val="24"/>
          <w:szCs w:val="24"/>
          <w:lang w:val="bg-BG"/>
        </w:rPr>
        <w:t xml:space="preserve">ата, маркетинга и </w:t>
      </w:r>
      <w:r w:rsidRPr="00610B1B">
        <w:rPr>
          <w:rFonts w:ascii="Times New Roman" w:eastAsia="Calibri" w:hAnsi="Times New Roman" w:cs="Times New Roman"/>
          <w:sz w:val="24"/>
          <w:szCs w:val="24"/>
          <w:lang w:val="bg-BG"/>
        </w:rPr>
        <w:t>развитието на туризма.</w:t>
      </w:r>
    </w:p>
    <w:p w14:paraId="3126F8A7" w14:textId="5353A87E" w:rsidR="006746B0" w:rsidRPr="00610B1B" w:rsidRDefault="00B0602F" w:rsidP="00D32D6A">
      <w:pPr>
        <w:spacing w:after="120"/>
        <w:ind w:right="-158"/>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Тези </w:t>
      </w:r>
      <w:r w:rsidR="00A508F7" w:rsidRPr="00610B1B">
        <w:rPr>
          <w:rFonts w:ascii="Times New Roman" w:eastAsia="Calibri" w:hAnsi="Times New Roman" w:cs="Times New Roman"/>
          <w:sz w:val="24"/>
          <w:szCs w:val="24"/>
          <w:lang w:val="bg-BG"/>
        </w:rPr>
        <w:t>мерки</w:t>
      </w:r>
      <w:r w:rsidRPr="00610B1B">
        <w:rPr>
          <w:rFonts w:ascii="Times New Roman" w:eastAsia="Calibri" w:hAnsi="Times New Roman" w:cs="Times New Roman"/>
          <w:sz w:val="24"/>
          <w:szCs w:val="24"/>
          <w:lang w:val="bg-BG"/>
        </w:rPr>
        <w:t xml:space="preserve"> се изпълняват паралелно и съгласувано с целите по опазване на природните и културни ценности, на ландшафта и биологичното разнообразие, с развитието на транспорта, инфраструктурата, иновациите и съвременните технологии. </w:t>
      </w:r>
    </w:p>
    <w:p w14:paraId="3F1DDB83" w14:textId="6BF717AF" w:rsidR="006746B0" w:rsidRPr="00610B1B" w:rsidRDefault="006746B0" w:rsidP="00D32D6A">
      <w:pPr>
        <w:spacing w:after="120"/>
        <w:ind w:right="-153"/>
        <w:jc w:val="both"/>
        <w:rPr>
          <w:rFonts w:ascii="Times New Roman" w:eastAsia="Calibri" w:hAnsi="Times New Roman" w:cs="Times New Roman"/>
          <w:b/>
          <w:i/>
          <w:sz w:val="24"/>
          <w:szCs w:val="24"/>
          <w:lang w:val="bg-BG"/>
        </w:rPr>
      </w:pPr>
      <w:r w:rsidRPr="00610B1B">
        <w:rPr>
          <w:rFonts w:ascii="Times New Roman" w:eastAsia="Calibri" w:hAnsi="Times New Roman" w:cs="Times New Roman"/>
          <w:b/>
          <w:i/>
          <w:sz w:val="24"/>
          <w:szCs w:val="24"/>
          <w:lang w:val="bg-BG"/>
        </w:rPr>
        <w:t xml:space="preserve">Специфична цел 2.3. Устойчиво развитие на корабоплаването и корабостроенето </w:t>
      </w:r>
    </w:p>
    <w:p w14:paraId="777AF6F2" w14:textId="390BFD7E" w:rsidR="006746B0" w:rsidRPr="00610B1B" w:rsidRDefault="006746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Морският транспорт </w:t>
      </w:r>
      <w:r w:rsidR="009B79CD" w:rsidRPr="00610B1B">
        <w:rPr>
          <w:rFonts w:ascii="Times New Roman" w:hAnsi="Times New Roman" w:cs="Times New Roman"/>
          <w:sz w:val="24"/>
          <w:szCs w:val="24"/>
          <w:lang w:val="bg-BG"/>
        </w:rPr>
        <w:t xml:space="preserve">играе съществена роля в глобалната верига на доставки, и е ключов сектор на икономиката на страната. </w:t>
      </w:r>
      <w:r w:rsidR="009B79CD" w:rsidRPr="00610B1B">
        <w:rPr>
          <w:rFonts w:ascii="Times New Roman" w:hAnsi="Times New Roman" w:cs="Times New Roman"/>
          <w:sz w:val="24"/>
          <w:szCs w:val="24"/>
          <w:lang w:val="bg-BG" w:eastAsia="bg-BG"/>
        </w:rPr>
        <w:t xml:space="preserve">Развитието на </w:t>
      </w:r>
      <w:r w:rsidR="009B79CD" w:rsidRPr="00610B1B">
        <w:rPr>
          <w:rFonts w:ascii="Times New Roman" w:hAnsi="Times New Roman" w:cs="Times New Roman"/>
          <w:b/>
          <w:bCs/>
          <w:sz w:val="24"/>
          <w:szCs w:val="24"/>
          <w:lang w:val="bg-BG" w:eastAsia="bg-BG"/>
        </w:rPr>
        <w:t>икономика</w:t>
      </w:r>
      <w:r w:rsidR="00B0602F" w:rsidRPr="00610B1B">
        <w:rPr>
          <w:rFonts w:ascii="Times New Roman" w:hAnsi="Times New Roman" w:cs="Times New Roman"/>
          <w:b/>
          <w:bCs/>
          <w:sz w:val="24"/>
          <w:szCs w:val="24"/>
          <w:lang w:val="bg-BG" w:eastAsia="bg-BG"/>
        </w:rPr>
        <w:t>та</w:t>
      </w:r>
      <w:r w:rsidR="009B79CD" w:rsidRPr="00610B1B">
        <w:rPr>
          <w:rFonts w:ascii="Times New Roman" w:hAnsi="Times New Roman" w:cs="Times New Roman"/>
          <w:b/>
          <w:bCs/>
          <w:sz w:val="24"/>
          <w:szCs w:val="24"/>
          <w:lang w:val="bg-BG" w:eastAsia="bg-BG"/>
        </w:rPr>
        <w:t>, свързана с морето</w:t>
      </w:r>
      <w:r w:rsidR="009B79CD" w:rsidRPr="00610B1B">
        <w:rPr>
          <w:rFonts w:ascii="Times New Roman" w:hAnsi="Times New Roman" w:cs="Times New Roman"/>
          <w:bCs/>
          <w:sz w:val="24"/>
          <w:szCs w:val="24"/>
          <w:lang w:val="bg-BG" w:eastAsia="bg-BG"/>
        </w:rPr>
        <w:t xml:space="preserve">, </w:t>
      </w:r>
      <w:r w:rsidR="007F1AF6" w:rsidRPr="00610B1B">
        <w:rPr>
          <w:rFonts w:ascii="Times New Roman" w:hAnsi="Times New Roman" w:cs="Times New Roman"/>
          <w:sz w:val="24"/>
          <w:szCs w:val="24"/>
          <w:lang w:val="bg-BG" w:eastAsia="bg-BG"/>
        </w:rPr>
        <w:t>е определена</w:t>
      </w:r>
      <w:r w:rsidR="009B79CD" w:rsidRPr="00610B1B">
        <w:rPr>
          <w:rFonts w:ascii="Times New Roman" w:hAnsi="Times New Roman" w:cs="Times New Roman"/>
          <w:sz w:val="24"/>
          <w:szCs w:val="24"/>
          <w:lang w:val="bg-BG" w:eastAsia="bg-BG"/>
        </w:rPr>
        <w:t xml:space="preserve"> като приоритетн</w:t>
      </w:r>
      <w:r w:rsidR="007F1AF6" w:rsidRPr="00610B1B">
        <w:rPr>
          <w:rFonts w:ascii="Times New Roman" w:hAnsi="Times New Roman" w:cs="Times New Roman"/>
          <w:sz w:val="24"/>
          <w:szCs w:val="24"/>
          <w:lang w:val="bg-BG" w:eastAsia="bg-BG"/>
        </w:rPr>
        <w:t>а</w:t>
      </w:r>
      <w:r w:rsidR="009B79CD" w:rsidRPr="00610B1B">
        <w:rPr>
          <w:rFonts w:ascii="Times New Roman" w:hAnsi="Times New Roman" w:cs="Times New Roman"/>
          <w:sz w:val="24"/>
          <w:szCs w:val="24"/>
          <w:lang w:val="bg-BG" w:eastAsia="bg-BG"/>
        </w:rPr>
        <w:t xml:space="preserve"> през програмния период 2021–2027 г. Важен фокус на подкрепата ще бъде влагането на ресурси за чистотата на морската вода, за намаляване на въглеродните емисии от корабите, за опазване на водните биологични ресурси. </w:t>
      </w:r>
      <w:r w:rsidR="007F1AF6" w:rsidRPr="00610B1B">
        <w:rPr>
          <w:rFonts w:ascii="Times New Roman" w:hAnsi="Times New Roman" w:cs="Times New Roman"/>
          <w:sz w:val="24"/>
          <w:szCs w:val="24"/>
          <w:lang w:val="bg-BG" w:eastAsia="bg-BG"/>
        </w:rPr>
        <w:t>България трябва да се върне на световната карта, като страна с</w:t>
      </w:r>
      <w:r w:rsidR="004E3310" w:rsidRPr="00610B1B">
        <w:rPr>
          <w:rFonts w:ascii="Times New Roman" w:hAnsi="Times New Roman" w:cs="Times New Roman"/>
          <w:sz w:val="24"/>
          <w:szCs w:val="24"/>
          <w:lang w:val="bg-BG" w:eastAsia="bg-BG"/>
        </w:rPr>
        <w:t>ъс</w:t>
      </w:r>
      <w:r w:rsidR="007F1AF6" w:rsidRPr="00610B1B">
        <w:rPr>
          <w:rFonts w:ascii="Times New Roman" w:hAnsi="Times New Roman" w:cs="Times New Roman"/>
          <w:sz w:val="24"/>
          <w:szCs w:val="24"/>
          <w:lang w:val="bg-BG" w:eastAsia="bg-BG"/>
        </w:rPr>
        <w:t xml:space="preserve"> 127 годишна история в корабоплаването, като в същото време, трябва да възстанови позициите си в корабостроенето.</w:t>
      </w:r>
    </w:p>
    <w:p w14:paraId="43609142" w14:textId="1525EC02" w:rsidR="006746B0" w:rsidRPr="00610B1B" w:rsidRDefault="006746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 xml:space="preserve">Постигането на тази </w:t>
      </w:r>
      <w:r w:rsidR="000F4270" w:rsidRPr="00610B1B">
        <w:rPr>
          <w:rFonts w:ascii="Times New Roman" w:eastAsia="Calibri" w:hAnsi="Times New Roman" w:cs="Times New Roman"/>
          <w:sz w:val="24"/>
          <w:szCs w:val="24"/>
          <w:lang w:val="bg-BG"/>
        </w:rPr>
        <w:t xml:space="preserve">специфична цел </w:t>
      </w:r>
      <w:r w:rsidRPr="00610B1B">
        <w:rPr>
          <w:rFonts w:ascii="Times New Roman" w:eastAsia="Calibri" w:hAnsi="Times New Roman" w:cs="Times New Roman"/>
          <w:sz w:val="24"/>
          <w:szCs w:val="24"/>
          <w:lang w:val="bg-BG"/>
        </w:rPr>
        <w:t>би се реализирало чрез</w:t>
      </w:r>
      <w:r w:rsidR="007C3D7E" w:rsidRPr="00610B1B">
        <w:rPr>
          <w:rFonts w:ascii="Times New Roman" w:eastAsia="Calibri" w:hAnsi="Times New Roman" w:cs="Times New Roman"/>
          <w:sz w:val="24"/>
          <w:szCs w:val="24"/>
          <w:lang w:val="bg-BG"/>
        </w:rPr>
        <w:t xml:space="preserve"> следните мерки</w:t>
      </w:r>
      <w:r w:rsidRPr="00610B1B">
        <w:rPr>
          <w:rFonts w:ascii="Times New Roman" w:eastAsia="Calibri" w:hAnsi="Times New Roman" w:cs="Times New Roman"/>
          <w:sz w:val="24"/>
          <w:szCs w:val="24"/>
          <w:lang w:val="bg-BG"/>
        </w:rPr>
        <w:t>:</w:t>
      </w:r>
    </w:p>
    <w:p w14:paraId="3F9E5C7F" w14:textId="76722DA7" w:rsidR="004E3310" w:rsidRPr="00610B1B" w:rsidRDefault="007F1AF6" w:rsidP="00B46189">
      <w:pPr>
        <w:pStyle w:val="ListParagraph"/>
        <w:numPr>
          <w:ilvl w:val="0"/>
          <w:numId w:val="67"/>
        </w:numPr>
        <w:spacing w:after="120"/>
        <w:ind w:right="-153"/>
        <w:contextualSpacing w:val="0"/>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t>Насочване на</w:t>
      </w:r>
      <w:r w:rsidR="00D66FE0" w:rsidRPr="00610B1B">
        <w:rPr>
          <w:rFonts w:ascii="Times New Roman" w:hAnsi="Times New Roman" w:cs="Times New Roman"/>
          <w:sz w:val="24"/>
          <w:szCs w:val="24"/>
          <w:lang w:val="bg-BG" w:eastAsia="bg-BG"/>
        </w:rPr>
        <w:t xml:space="preserve"> </w:t>
      </w:r>
      <w:r w:rsidRPr="00610B1B">
        <w:rPr>
          <w:rFonts w:ascii="Times New Roman" w:hAnsi="Times New Roman" w:cs="Times New Roman"/>
          <w:sz w:val="24"/>
          <w:szCs w:val="24"/>
          <w:lang w:val="bg-BG" w:eastAsia="bg-BG"/>
        </w:rPr>
        <w:t>усилия към</w:t>
      </w:r>
      <w:r w:rsidR="00D66FE0" w:rsidRPr="00610B1B">
        <w:rPr>
          <w:rFonts w:ascii="Times New Roman" w:hAnsi="Times New Roman" w:cs="Times New Roman"/>
          <w:sz w:val="24"/>
          <w:szCs w:val="24"/>
          <w:lang w:val="bg-BG" w:eastAsia="bg-BG"/>
        </w:rPr>
        <w:t xml:space="preserve"> </w:t>
      </w:r>
      <w:r w:rsidRPr="00610B1B">
        <w:rPr>
          <w:rFonts w:ascii="Times New Roman" w:hAnsi="Times New Roman" w:cs="Times New Roman"/>
          <w:sz w:val="24"/>
          <w:szCs w:val="24"/>
          <w:lang w:val="bg-BG" w:eastAsia="bg-BG"/>
        </w:rPr>
        <w:t xml:space="preserve">развитие на пристанищните дейности и подкрепа на </w:t>
      </w:r>
      <w:r w:rsidR="00C1799D" w:rsidRPr="00610B1B">
        <w:rPr>
          <w:rFonts w:ascii="Times New Roman" w:hAnsi="Times New Roman" w:cs="Times New Roman"/>
          <w:sz w:val="24"/>
          <w:szCs w:val="24"/>
          <w:lang w:val="bg-BG" w:eastAsia="bg-BG"/>
        </w:rPr>
        <w:t xml:space="preserve">мултимодален </w:t>
      </w:r>
      <w:r w:rsidRPr="00610B1B">
        <w:rPr>
          <w:rFonts w:ascii="Times New Roman" w:hAnsi="Times New Roman" w:cs="Times New Roman"/>
          <w:sz w:val="24"/>
          <w:szCs w:val="24"/>
          <w:lang w:val="bg-BG" w:eastAsia="bg-BG"/>
        </w:rPr>
        <w:t>транспорт (TEN-T). Реализирането на проекта за разширение и развитие на пристанищните терминали в Бургас</w:t>
      </w:r>
      <w:r w:rsidR="00B354DD" w:rsidRPr="00610B1B">
        <w:rPr>
          <w:rFonts w:ascii="Times New Roman" w:hAnsi="Times New Roman" w:cs="Times New Roman"/>
          <w:sz w:val="24"/>
          <w:szCs w:val="24"/>
          <w:lang w:val="bg-BG" w:eastAsia="bg-BG"/>
        </w:rPr>
        <w:t xml:space="preserve"> и Варна</w:t>
      </w:r>
      <w:r w:rsidRPr="00610B1B">
        <w:rPr>
          <w:rFonts w:ascii="Times New Roman" w:hAnsi="Times New Roman" w:cs="Times New Roman"/>
          <w:sz w:val="24"/>
          <w:szCs w:val="24"/>
          <w:lang w:val="bg-BG" w:eastAsia="bg-BG"/>
        </w:rPr>
        <w:t xml:space="preserve"> предвижда пълна интеграция между морски</w:t>
      </w:r>
      <w:r w:rsidR="00B354DD" w:rsidRPr="00610B1B">
        <w:rPr>
          <w:rFonts w:ascii="Times New Roman" w:hAnsi="Times New Roman" w:cs="Times New Roman"/>
          <w:sz w:val="24"/>
          <w:szCs w:val="24"/>
          <w:lang w:val="bg-BG" w:eastAsia="bg-BG"/>
        </w:rPr>
        <w:t>я, автомобилния</w:t>
      </w:r>
      <w:r w:rsidRPr="00610B1B">
        <w:rPr>
          <w:rFonts w:ascii="Times New Roman" w:hAnsi="Times New Roman" w:cs="Times New Roman"/>
          <w:sz w:val="24"/>
          <w:szCs w:val="24"/>
          <w:lang w:val="bg-BG" w:eastAsia="bg-BG"/>
        </w:rPr>
        <w:t xml:space="preserve"> и жп транспорт. </w:t>
      </w:r>
    </w:p>
    <w:p w14:paraId="53AB7ED1" w14:textId="7AE8FDF2" w:rsidR="007F1AF6" w:rsidRPr="00610B1B" w:rsidRDefault="007F1AF6" w:rsidP="00B46189">
      <w:pPr>
        <w:pStyle w:val="ListParagraph"/>
        <w:numPr>
          <w:ilvl w:val="0"/>
          <w:numId w:val="67"/>
        </w:numPr>
        <w:spacing w:after="120"/>
        <w:ind w:right="-153"/>
        <w:contextualSpacing w:val="0"/>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t xml:space="preserve">Развитието на коридора </w:t>
      </w:r>
      <w:r w:rsidRPr="00610B1B">
        <w:rPr>
          <w:rFonts w:ascii="Times New Roman" w:hAnsi="Times New Roman" w:cs="Times New Roman"/>
          <w:i/>
          <w:iCs/>
          <w:sz w:val="24"/>
          <w:szCs w:val="24"/>
          <w:lang w:val="bg-BG" w:eastAsia="bg-BG"/>
        </w:rPr>
        <w:t>Ориент/Източно–Средиземноморски</w:t>
      </w:r>
      <w:r w:rsidRPr="00610B1B">
        <w:rPr>
          <w:rFonts w:ascii="Times New Roman" w:hAnsi="Times New Roman" w:cs="Times New Roman"/>
          <w:sz w:val="24"/>
          <w:szCs w:val="24"/>
          <w:lang w:val="bg-BG" w:eastAsia="bg-BG"/>
        </w:rPr>
        <w:t>“ и неговото разширяване на изток, където прераства в ТРАСЕКА (транспортен коридор Европа–Кавказ–Азия) е от особена важност за функционирането на националната транспортна система. То е важно за управлението и разработването на потенциални пазари на източния бряг на Черно море и страните от Централна Азия и за превръщане на пристанищ</w:t>
      </w:r>
      <w:r w:rsidR="00B354DD" w:rsidRPr="00610B1B">
        <w:rPr>
          <w:rFonts w:ascii="Times New Roman" w:hAnsi="Times New Roman" w:cs="Times New Roman"/>
          <w:sz w:val="24"/>
          <w:szCs w:val="24"/>
          <w:lang w:val="bg-BG" w:eastAsia="bg-BG"/>
        </w:rPr>
        <w:t>ата Варна и</w:t>
      </w:r>
      <w:r w:rsidR="00D66FE0" w:rsidRPr="00610B1B">
        <w:rPr>
          <w:rFonts w:ascii="Times New Roman" w:hAnsi="Times New Roman" w:cs="Times New Roman"/>
          <w:sz w:val="24"/>
          <w:szCs w:val="24"/>
          <w:lang w:val="bg-BG" w:eastAsia="bg-BG"/>
        </w:rPr>
        <w:t xml:space="preserve"> </w:t>
      </w:r>
      <w:r w:rsidRPr="00610B1B">
        <w:rPr>
          <w:rFonts w:ascii="Times New Roman" w:hAnsi="Times New Roman" w:cs="Times New Roman"/>
          <w:sz w:val="24"/>
          <w:szCs w:val="24"/>
          <w:lang w:val="bg-BG" w:eastAsia="bg-BG"/>
        </w:rPr>
        <w:t xml:space="preserve">Бургас в основна връзка между континента Европа и Близкия изток. </w:t>
      </w:r>
    </w:p>
    <w:p w14:paraId="252FC3DA" w14:textId="5358859C" w:rsidR="00B354DD" w:rsidRPr="00610B1B" w:rsidRDefault="00B354DD" w:rsidP="00B46189">
      <w:pPr>
        <w:pStyle w:val="ListParagraph"/>
        <w:numPr>
          <w:ilvl w:val="0"/>
          <w:numId w:val="63"/>
        </w:numPr>
        <w:spacing w:after="120"/>
        <w:ind w:right="-153"/>
        <w:contextualSpacing w:val="0"/>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t>Активизация и технологичн</w:t>
      </w:r>
      <w:r w:rsidR="004E3310" w:rsidRPr="00610B1B">
        <w:rPr>
          <w:rFonts w:ascii="Times New Roman" w:hAnsi="Times New Roman" w:cs="Times New Roman"/>
          <w:sz w:val="24"/>
          <w:szCs w:val="24"/>
          <w:lang w:val="bg-BG" w:eastAsia="bg-BG"/>
        </w:rPr>
        <w:t xml:space="preserve">о обновяване </w:t>
      </w:r>
      <w:r w:rsidRPr="00610B1B">
        <w:rPr>
          <w:rFonts w:ascii="Times New Roman" w:hAnsi="Times New Roman" w:cs="Times New Roman"/>
          <w:sz w:val="24"/>
          <w:szCs w:val="24"/>
          <w:lang w:val="bg-BG" w:eastAsia="bg-BG"/>
        </w:rPr>
        <w:t>на основните корабостроителни</w:t>
      </w:r>
      <w:r w:rsidR="004E3310" w:rsidRPr="00610B1B">
        <w:rPr>
          <w:rFonts w:ascii="Times New Roman" w:hAnsi="Times New Roman" w:cs="Times New Roman"/>
          <w:sz w:val="24"/>
          <w:szCs w:val="24"/>
          <w:lang w:val="bg-BG" w:eastAsia="bg-BG"/>
        </w:rPr>
        <w:t xml:space="preserve"> предприятия в черноморските градове, повишаване на тяхната конкурентоспособност и адаптиране към икономическите реалности и </w:t>
      </w:r>
      <w:r w:rsidR="00B232B2" w:rsidRPr="00610B1B">
        <w:rPr>
          <w:rFonts w:ascii="Times New Roman" w:hAnsi="Times New Roman" w:cs="Times New Roman"/>
          <w:sz w:val="24"/>
          <w:szCs w:val="24"/>
          <w:lang w:val="bg-BG" w:eastAsia="bg-BG"/>
        </w:rPr>
        <w:t xml:space="preserve">бизнес </w:t>
      </w:r>
      <w:r w:rsidR="004E3310" w:rsidRPr="00610B1B">
        <w:rPr>
          <w:rFonts w:ascii="Times New Roman" w:hAnsi="Times New Roman" w:cs="Times New Roman"/>
          <w:sz w:val="24"/>
          <w:szCs w:val="24"/>
          <w:lang w:val="bg-BG" w:eastAsia="bg-BG"/>
        </w:rPr>
        <w:t>средата</w:t>
      </w:r>
      <w:r w:rsidR="004E3310" w:rsidRPr="00610B1B">
        <w:rPr>
          <w:rStyle w:val="FootnoteReference"/>
          <w:rFonts w:ascii="Times New Roman" w:hAnsi="Times New Roman" w:cs="Times New Roman"/>
          <w:sz w:val="24"/>
          <w:szCs w:val="24"/>
          <w:lang w:val="bg-BG" w:eastAsia="bg-BG"/>
        </w:rPr>
        <w:footnoteReference w:id="175"/>
      </w:r>
      <w:r w:rsidR="004E3310" w:rsidRPr="00610B1B">
        <w:rPr>
          <w:rFonts w:ascii="Times New Roman" w:hAnsi="Times New Roman" w:cs="Times New Roman"/>
          <w:sz w:val="24"/>
          <w:szCs w:val="24"/>
          <w:lang w:val="bg-BG" w:eastAsia="bg-BG"/>
        </w:rPr>
        <w:t>.</w:t>
      </w:r>
    </w:p>
    <w:p w14:paraId="65E9660F" w14:textId="18837EFD" w:rsidR="006746B0" w:rsidRPr="00610B1B" w:rsidRDefault="006746B0"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
          <w:i/>
          <w:sz w:val="24"/>
          <w:szCs w:val="24"/>
          <w:lang w:val="bg-BG"/>
        </w:rPr>
        <w:t xml:space="preserve">Специфична цел 2.4. Устойчиво развитие на сектор „Рибарство и аквакултури“ – </w:t>
      </w:r>
    </w:p>
    <w:p w14:paraId="65551B84" w14:textId="3657EE02" w:rsidR="006746B0" w:rsidRPr="00610B1B" w:rsidRDefault="007C3D7E" w:rsidP="00D32D6A">
      <w:pPr>
        <w:spacing w:after="120"/>
        <w:ind w:right="-153"/>
        <w:jc w:val="both"/>
        <w:rPr>
          <w:rFonts w:ascii="Times New Roman" w:eastAsia="Calibri" w:hAnsi="Times New Roman" w:cs="Times New Roman"/>
          <w:sz w:val="24"/>
          <w:szCs w:val="24"/>
          <w:lang w:val="bg-BG"/>
        </w:rPr>
      </w:pPr>
      <w:r w:rsidRPr="00610B1B">
        <w:rPr>
          <w:rFonts w:ascii="Times New Roman" w:eastAsia="Calibri" w:hAnsi="Times New Roman" w:cs="Times New Roman"/>
          <w:bCs/>
          <w:sz w:val="24"/>
          <w:szCs w:val="24"/>
          <w:lang w:val="bg-BG"/>
        </w:rPr>
        <w:t xml:space="preserve">Тази специфична цел е свързана с прилагането на </w:t>
      </w:r>
      <w:r w:rsidR="006746B0" w:rsidRPr="00610B1B">
        <w:rPr>
          <w:rFonts w:ascii="Times New Roman" w:eastAsia="Calibri" w:hAnsi="Times New Roman" w:cs="Times New Roman"/>
          <w:bCs/>
          <w:sz w:val="24"/>
          <w:szCs w:val="24"/>
          <w:lang w:val="bg-BG"/>
        </w:rPr>
        <w:t>Общата политика в областта на рибарството (ОПОР)</w:t>
      </w:r>
      <w:r w:rsidRPr="00610B1B">
        <w:rPr>
          <w:rFonts w:ascii="Times New Roman" w:eastAsia="Calibri" w:hAnsi="Times New Roman" w:cs="Times New Roman"/>
          <w:bCs/>
          <w:sz w:val="24"/>
          <w:szCs w:val="24"/>
          <w:lang w:val="bg-BG"/>
        </w:rPr>
        <w:t>, която</w:t>
      </w:r>
      <w:r w:rsidR="006746B0" w:rsidRPr="00610B1B">
        <w:rPr>
          <w:rFonts w:ascii="Times New Roman" w:eastAsia="Calibri" w:hAnsi="Times New Roman" w:cs="Times New Roman"/>
          <w:bCs/>
          <w:sz w:val="24"/>
          <w:szCs w:val="24"/>
          <w:lang w:val="bg-BG"/>
        </w:rPr>
        <w:t xml:space="preserve"> </w:t>
      </w:r>
      <w:r w:rsidR="006746B0" w:rsidRPr="00610B1B">
        <w:rPr>
          <w:rFonts w:ascii="Times New Roman" w:eastAsia="Calibri" w:hAnsi="Times New Roman" w:cs="Times New Roman"/>
          <w:sz w:val="24"/>
          <w:szCs w:val="24"/>
          <w:lang w:val="bg-BG"/>
        </w:rPr>
        <w:t xml:space="preserve">има за цел да гарантира, че риболовът и аквакултурата са устойчиви от екологична, икономическа и социална гледна точка и осигуряват на </w:t>
      </w:r>
      <w:r w:rsidR="006746B0" w:rsidRPr="00610B1B">
        <w:rPr>
          <w:rFonts w:ascii="Times New Roman" w:eastAsia="Calibri" w:hAnsi="Times New Roman" w:cs="Times New Roman"/>
          <w:sz w:val="24"/>
          <w:szCs w:val="24"/>
          <w:lang w:val="bg-BG"/>
        </w:rPr>
        <w:lastRenderedPageBreak/>
        <w:t>гражданите на ЕС здравословна храна</w:t>
      </w:r>
      <w:r w:rsidRPr="00610B1B">
        <w:rPr>
          <w:rFonts w:ascii="Times New Roman" w:eastAsia="Calibri" w:hAnsi="Times New Roman" w:cs="Times New Roman"/>
          <w:sz w:val="24"/>
          <w:szCs w:val="24"/>
          <w:lang w:val="bg-BG"/>
        </w:rPr>
        <w:t>, без да се застрашават рибните запаси</w:t>
      </w:r>
      <w:r w:rsidR="006746B0" w:rsidRPr="00610B1B">
        <w:rPr>
          <w:rFonts w:ascii="Times New Roman" w:eastAsia="Calibri" w:hAnsi="Times New Roman" w:cs="Times New Roman"/>
          <w:sz w:val="24"/>
          <w:szCs w:val="24"/>
          <w:lang w:val="bg-BG"/>
        </w:rPr>
        <w:t>. Чрез нея се насърчава динамичността в риболовната промишленост и се осигур</w:t>
      </w:r>
      <w:r w:rsidRPr="00610B1B">
        <w:rPr>
          <w:rFonts w:ascii="Times New Roman" w:eastAsia="Calibri" w:hAnsi="Times New Roman" w:cs="Times New Roman"/>
          <w:sz w:val="24"/>
          <w:szCs w:val="24"/>
          <w:lang w:val="bg-BG"/>
        </w:rPr>
        <w:t>ява</w:t>
      </w:r>
      <w:r w:rsidR="006746B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по-</w:t>
      </w:r>
      <w:r w:rsidR="006746B0" w:rsidRPr="00610B1B">
        <w:rPr>
          <w:rFonts w:ascii="Times New Roman" w:eastAsia="Calibri" w:hAnsi="Times New Roman" w:cs="Times New Roman"/>
          <w:sz w:val="24"/>
          <w:szCs w:val="24"/>
          <w:lang w:val="bg-BG"/>
        </w:rPr>
        <w:t>справедлив стандарт на живот за риболовните общности.</w:t>
      </w:r>
      <w:r w:rsidRPr="00610B1B">
        <w:rPr>
          <w:rFonts w:ascii="Times New Roman" w:eastAsia="Calibri" w:hAnsi="Times New Roman" w:cs="Times New Roman"/>
          <w:sz w:val="24"/>
          <w:szCs w:val="24"/>
          <w:lang w:val="bg-BG"/>
        </w:rPr>
        <w:t xml:space="preserve"> Тя</w:t>
      </w:r>
      <w:r w:rsidR="000F4270"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отразява и </w:t>
      </w:r>
      <w:r w:rsidR="000F4270" w:rsidRPr="00610B1B">
        <w:rPr>
          <w:rFonts w:ascii="Times New Roman" w:eastAsia="Calibri" w:hAnsi="Times New Roman" w:cs="Times New Roman"/>
          <w:sz w:val="24"/>
          <w:szCs w:val="24"/>
          <w:lang w:val="bg-BG"/>
        </w:rPr>
        <w:t xml:space="preserve">определените насоки за развитието на сектора в публикувания „Ситуационен анализ на </w:t>
      </w:r>
      <w:r w:rsidR="0090694C" w:rsidRPr="00610B1B">
        <w:rPr>
          <w:rFonts w:ascii="Times New Roman" w:eastAsia="Calibri" w:hAnsi="Times New Roman" w:cs="Times New Roman"/>
          <w:sz w:val="24"/>
          <w:szCs w:val="24"/>
          <w:lang w:val="bg-BG"/>
        </w:rPr>
        <w:t>състоянието на сектор „Рибарство“ в България“ (2020 г.)</w:t>
      </w:r>
      <w:r w:rsidR="0090694C" w:rsidRPr="00610B1B">
        <w:rPr>
          <w:rStyle w:val="FootnoteReference"/>
          <w:rFonts w:ascii="Times New Roman" w:eastAsia="Calibri" w:hAnsi="Times New Roman" w:cs="Times New Roman"/>
          <w:sz w:val="24"/>
          <w:szCs w:val="24"/>
          <w:lang w:val="bg-BG"/>
        </w:rPr>
        <w:footnoteReference w:id="176"/>
      </w:r>
      <w:r w:rsidR="0090694C" w:rsidRPr="00610B1B">
        <w:rPr>
          <w:rFonts w:ascii="Times New Roman" w:eastAsia="Calibri" w:hAnsi="Times New Roman" w:cs="Times New Roman"/>
          <w:sz w:val="24"/>
          <w:szCs w:val="24"/>
          <w:lang w:val="bg-BG"/>
        </w:rPr>
        <w:t xml:space="preserve">. </w:t>
      </w:r>
      <w:r w:rsidR="00B23091" w:rsidRPr="00610B1B">
        <w:rPr>
          <w:rFonts w:ascii="Times New Roman" w:eastAsia="Calibri" w:hAnsi="Times New Roman" w:cs="Times New Roman"/>
          <w:sz w:val="24"/>
          <w:szCs w:val="24"/>
          <w:lang w:val="bg-BG"/>
        </w:rPr>
        <w:t>Те</w:t>
      </w:r>
      <w:r w:rsidR="0090694C" w:rsidRPr="00610B1B">
        <w:rPr>
          <w:rFonts w:ascii="Times New Roman" w:eastAsia="Calibri" w:hAnsi="Times New Roman" w:cs="Times New Roman"/>
          <w:sz w:val="24"/>
          <w:szCs w:val="24"/>
          <w:lang w:val="bg-BG"/>
        </w:rPr>
        <w:t xml:space="preserve"> са резултат от прегледа на действащите политики, регламенти, програмни и стратегически документи в сектора и обхващат:</w:t>
      </w:r>
    </w:p>
    <w:p w14:paraId="39510606" w14:textId="77777777" w:rsidR="00C74B1F" w:rsidRPr="00610B1B" w:rsidRDefault="0090694C"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разширение и модернизация на съществуващи</w:t>
      </w:r>
      <w:r w:rsidR="00C74B1F" w:rsidRPr="00610B1B">
        <w:rPr>
          <w:rFonts w:ascii="Times New Roman" w:eastAsia="Calibri" w:hAnsi="Times New Roman" w:cs="Times New Roman"/>
          <w:sz w:val="24"/>
          <w:szCs w:val="24"/>
          <w:lang w:val="bg-BG"/>
        </w:rPr>
        <w:t xml:space="preserve">те </w:t>
      </w:r>
      <w:r w:rsidRPr="00610B1B">
        <w:rPr>
          <w:rFonts w:ascii="Times New Roman" w:eastAsia="Calibri" w:hAnsi="Times New Roman" w:cs="Times New Roman"/>
          <w:sz w:val="24"/>
          <w:szCs w:val="24"/>
          <w:lang w:val="bg-BG"/>
        </w:rPr>
        <w:t>производствени мощности и изграждане на нови,</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 xml:space="preserve">прилагащи технологии, </w:t>
      </w:r>
      <w:r w:rsidR="00C74B1F" w:rsidRPr="00610B1B">
        <w:rPr>
          <w:rFonts w:ascii="Times New Roman" w:eastAsia="Calibri" w:hAnsi="Times New Roman" w:cs="Times New Roman"/>
          <w:sz w:val="24"/>
          <w:szCs w:val="24"/>
          <w:lang w:val="bg-BG"/>
        </w:rPr>
        <w:t>съобразени с изискванията за запазване на добрия екологичен статус на морската околна среда и съхраняване на ресурсите;</w:t>
      </w:r>
    </w:p>
    <w:p w14:paraId="6B20FF24" w14:textId="77777777" w:rsidR="00C74B1F" w:rsidRPr="00610B1B" w:rsidRDefault="0090694C"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повишаване на производството на аквакултури в условията на устойчив</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растеж</w:t>
      </w:r>
      <w:r w:rsidR="00C74B1F" w:rsidRPr="00610B1B">
        <w:rPr>
          <w:rFonts w:ascii="Times New Roman" w:eastAsia="Calibri" w:hAnsi="Times New Roman" w:cs="Times New Roman"/>
          <w:sz w:val="24"/>
          <w:szCs w:val="24"/>
          <w:lang w:val="bg-BG"/>
        </w:rPr>
        <w:t xml:space="preserve"> и разнообразяване на отглежданите видове;</w:t>
      </w:r>
    </w:p>
    <w:p w14:paraId="52CBEB63" w14:textId="77777777" w:rsidR="00C74B1F" w:rsidRPr="00610B1B" w:rsidRDefault="0090694C"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увеличаване на икономическата ефективност на производството на</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аквакултури и риболова чрез директни продажби, добавена стойност,</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диверсификация на дейностите, регионално коопериране, организации на</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пазара и др.</w:t>
      </w:r>
    </w:p>
    <w:p w14:paraId="04C9544B" w14:textId="24934A8C" w:rsidR="00C74B1F" w:rsidRPr="00610B1B" w:rsidRDefault="0090694C"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прилагане принципите на устойчив риболов и опазване на околната среда</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чрез модернизиране на флота</w:t>
      </w:r>
      <w:r w:rsidR="00C74B1F" w:rsidRPr="00610B1B">
        <w:rPr>
          <w:rFonts w:ascii="Times New Roman" w:eastAsia="Calibri" w:hAnsi="Times New Roman" w:cs="Times New Roman"/>
          <w:sz w:val="24"/>
          <w:szCs w:val="24"/>
          <w:lang w:val="bg-BG"/>
        </w:rPr>
        <w:t xml:space="preserve"> и насърчаване на щадящи морската околна среда и опазването на запасите практики</w:t>
      </w:r>
      <w:r w:rsidRPr="00610B1B">
        <w:rPr>
          <w:rFonts w:ascii="Times New Roman" w:eastAsia="Calibri" w:hAnsi="Times New Roman" w:cs="Times New Roman"/>
          <w:sz w:val="24"/>
          <w:szCs w:val="24"/>
          <w:lang w:val="bg-BG"/>
        </w:rPr>
        <w:t>;</w:t>
      </w:r>
    </w:p>
    <w:p w14:paraId="64491CA2" w14:textId="77777777" w:rsidR="00C74B1F" w:rsidRPr="00610B1B" w:rsidRDefault="0090694C"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насърчаване растежа на секторите, допринасящи за синята икономика и</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стимулиране на развитието на общностите в районите с традиции в</w:t>
      </w:r>
      <w:r w:rsidR="00C74B1F"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рибарство и развиващи аквакултури в крайбрежните и вътрешните райони</w:t>
      </w:r>
      <w:r w:rsidR="00C74B1F" w:rsidRPr="00610B1B">
        <w:rPr>
          <w:rFonts w:ascii="Times New Roman" w:eastAsia="Calibri" w:hAnsi="Times New Roman" w:cs="Times New Roman"/>
          <w:sz w:val="24"/>
          <w:szCs w:val="24"/>
          <w:lang w:val="bg-BG"/>
        </w:rPr>
        <w:t>;</w:t>
      </w:r>
    </w:p>
    <w:p w14:paraId="4F52E25E" w14:textId="0E26C108" w:rsidR="006746B0" w:rsidRPr="00610B1B" w:rsidRDefault="006746B0"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преструктуриране и модернизация на риболовния флот и риболовните пристанищни съоръжения</w:t>
      </w:r>
      <w:r w:rsidR="00A508F7" w:rsidRPr="00610B1B">
        <w:rPr>
          <w:rFonts w:ascii="Times New Roman" w:eastAsia="Calibri" w:hAnsi="Times New Roman" w:cs="Times New Roman"/>
          <w:sz w:val="24"/>
          <w:szCs w:val="24"/>
          <w:lang w:val="bg-BG"/>
        </w:rPr>
        <w:t xml:space="preserve"> и инфраструктура на сектора</w:t>
      </w:r>
      <w:r w:rsidR="00C74B1F" w:rsidRPr="00610B1B">
        <w:rPr>
          <w:rFonts w:ascii="Times New Roman" w:eastAsia="Calibri" w:hAnsi="Times New Roman" w:cs="Times New Roman"/>
          <w:sz w:val="24"/>
          <w:szCs w:val="24"/>
          <w:lang w:val="bg-BG"/>
        </w:rPr>
        <w:t>;</w:t>
      </w:r>
    </w:p>
    <w:p w14:paraId="75F4E47D" w14:textId="4F4001C9" w:rsidR="006746B0" w:rsidRPr="00610B1B" w:rsidRDefault="00C74B1F" w:rsidP="00B46189">
      <w:pPr>
        <w:pStyle w:val="ListParagraph"/>
        <w:numPr>
          <w:ilvl w:val="0"/>
          <w:numId w:val="53"/>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насърчаване на връзките между дейностите в</w:t>
      </w:r>
      <w:r w:rsidR="00A508F7" w:rsidRPr="00610B1B">
        <w:rPr>
          <w:rFonts w:ascii="Times New Roman" w:eastAsia="Calibri" w:hAnsi="Times New Roman" w:cs="Times New Roman"/>
          <w:sz w:val="24"/>
          <w:szCs w:val="24"/>
          <w:lang w:val="bg-BG"/>
        </w:rPr>
        <w:t xml:space="preserve"> </w:t>
      </w:r>
      <w:r w:rsidRPr="00610B1B">
        <w:rPr>
          <w:rFonts w:ascii="Times New Roman" w:eastAsia="Calibri" w:hAnsi="Times New Roman" w:cs="Times New Roman"/>
          <w:sz w:val="24"/>
          <w:szCs w:val="24"/>
          <w:lang w:val="bg-BG"/>
        </w:rPr>
        <w:t>морето и на сушата, на тези между рибарството, аквакултурите и опазването на околната среда и биоразнообр</w:t>
      </w:r>
      <w:r w:rsidR="00A508F7" w:rsidRPr="00610B1B">
        <w:rPr>
          <w:rFonts w:ascii="Times New Roman" w:eastAsia="Calibri" w:hAnsi="Times New Roman" w:cs="Times New Roman"/>
          <w:sz w:val="24"/>
          <w:szCs w:val="24"/>
          <w:lang w:val="bg-BG"/>
        </w:rPr>
        <w:t>а</w:t>
      </w:r>
      <w:r w:rsidRPr="00610B1B">
        <w:rPr>
          <w:rFonts w:ascii="Times New Roman" w:eastAsia="Calibri" w:hAnsi="Times New Roman" w:cs="Times New Roman"/>
          <w:sz w:val="24"/>
          <w:szCs w:val="24"/>
          <w:lang w:val="bg-BG"/>
        </w:rPr>
        <w:t>зието; на връзките наука и практика.</w:t>
      </w:r>
    </w:p>
    <w:p w14:paraId="1A9F434C" w14:textId="77777777" w:rsidR="00B0139B" w:rsidRPr="00610B1B" w:rsidRDefault="00B0139B" w:rsidP="00D32D6A">
      <w:pPr>
        <w:spacing w:after="120"/>
        <w:ind w:right="-153"/>
        <w:jc w:val="both"/>
        <w:rPr>
          <w:rFonts w:ascii="Times New Roman" w:eastAsia="Calibri" w:hAnsi="Times New Roman" w:cs="Times New Roman"/>
          <w:color w:val="000000" w:themeColor="text1"/>
          <w:sz w:val="12"/>
          <w:szCs w:val="12"/>
          <w:lang w:val="bg-BG"/>
        </w:rPr>
      </w:pPr>
    </w:p>
    <w:p w14:paraId="525FB75F" w14:textId="49806F40" w:rsidR="00442579" w:rsidRPr="00610B1B" w:rsidRDefault="00442579" w:rsidP="003F3C59">
      <w:pPr>
        <w:shd w:val="clear" w:color="auto" w:fill="BEE6F0"/>
        <w:spacing w:after="120"/>
        <w:ind w:right="-153"/>
        <w:jc w:val="both"/>
        <w:rPr>
          <w:rFonts w:ascii="Times New Roman" w:eastAsia="Calibri" w:hAnsi="Times New Roman" w:cs="Times New Roman"/>
          <w:b/>
          <w:color w:val="000000" w:themeColor="text1"/>
          <w:sz w:val="24"/>
          <w:szCs w:val="24"/>
          <w:lang w:val="bg-BG"/>
        </w:rPr>
      </w:pPr>
      <w:r w:rsidRPr="00610B1B">
        <w:rPr>
          <w:rFonts w:ascii="Times New Roman" w:eastAsia="Calibri" w:hAnsi="Times New Roman" w:cs="Times New Roman"/>
          <w:b/>
          <w:color w:val="000000" w:themeColor="text1"/>
          <w:sz w:val="24"/>
          <w:szCs w:val="24"/>
          <w:lang w:val="bg-BG"/>
        </w:rPr>
        <w:t>Стратегическа</w:t>
      </w:r>
      <w:r w:rsidR="00AF4C05" w:rsidRPr="00610B1B">
        <w:rPr>
          <w:rFonts w:ascii="Times New Roman" w:eastAsia="Calibri" w:hAnsi="Times New Roman" w:cs="Times New Roman"/>
          <w:b/>
          <w:color w:val="000000" w:themeColor="text1"/>
          <w:sz w:val="24"/>
          <w:szCs w:val="24"/>
          <w:lang w:val="bg-BG"/>
        </w:rPr>
        <w:t> </w:t>
      </w:r>
      <w:r w:rsidRPr="00610B1B">
        <w:rPr>
          <w:rFonts w:ascii="Times New Roman" w:eastAsia="Calibri" w:hAnsi="Times New Roman" w:cs="Times New Roman"/>
          <w:b/>
          <w:color w:val="000000" w:themeColor="text1"/>
          <w:sz w:val="24"/>
          <w:szCs w:val="24"/>
          <w:lang w:val="bg-BG"/>
        </w:rPr>
        <w:t>цел</w:t>
      </w:r>
      <w:r w:rsidR="00AF4C05" w:rsidRPr="00610B1B">
        <w:rPr>
          <w:rFonts w:ascii="Times New Roman" w:eastAsia="Calibri" w:hAnsi="Times New Roman" w:cs="Times New Roman"/>
          <w:b/>
          <w:color w:val="000000" w:themeColor="text1"/>
          <w:sz w:val="24"/>
          <w:szCs w:val="24"/>
          <w:lang w:val="bg-BG"/>
        </w:rPr>
        <w:t> </w:t>
      </w:r>
      <w:r w:rsidRPr="00610B1B">
        <w:rPr>
          <w:rFonts w:ascii="Times New Roman" w:eastAsia="Calibri" w:hAnsi="Times New Roman" w:cs="Times New Roman"/>
          <w:b/>
          <w:color w:val="000000" w:themeColor="text1"/>
          <w:sz w:val="24"/>
          <w:szCs w:val="24"/>
          <w:lang w:val="bg-BG"/>
        </w:rPr>
        <w:t>3: Повишаване на морската култура, образование и знание</w:t>
      </w:r>
    </w:p>
    <w:p w14:paraId="341D2CF7" w14:textId="77777777" w:rsidR="003416A7" w:rsidRPr="00610B1B" w:rsidRDefault="003416A7"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 xml:space="preserve">Изграждането, поддържането и достъпът до съвременни научни инфраструктури, внедряването на нови технологии и прилагането на иновации е най-сигурният път за повишаване на конкурентоспособността на синята икономика. Този тип публични интервенции са с доказана устойчивост и способност за привличане на желани инвестиции, водещи до създаване на привлекателни работни места, задържане на човешкия капитал и генериране на регионален и национален растеж. </w:t>
      </w:r>
    </w:p>
    <w:p w14:paraId="5E52D393" w14:textId="66528244" w:rsidR="003416A7" w:rsidRPr="00610B1B" w:rsidRDefault="003416A7" w:rsidP="00D32D6A">
      <w:pPr>
        <w:spacing w:after="120"/>
        <w:ind w:right="-153"/>
        <w:jc w:val="both"/>
        <w:rPr>
          <w:rFonts w:ascii="Times New Roman" w:eastAsia="Calibri" w:hAnsi="Times New Roman" w:cs="Times New Roman"/>
          <w:color w:val="000000" w:themeColor="text1"/>
          <w:sz w:val="24"/>
          <w:szCs w:val="24"/>
          <w:lang w:val="bg-BG" w:eastAsia="bg-BG"/>
        </w:rPr>
      </w:pPr>
      <w:r w:rsidRPr="00610B1B">
        <w:rPr>
          <w:rFonts w:ascii="Times New Roman" w:eastAsia="Calibri" w:hAnsi="Times New Roman" w:cs="Times New Roman"/>
          <w:color w:val="000000" w:themeColor="text1"/>
          <w:sz w:val="24"/>
          <w:szCs w:val="24"/>
          <w:lang w:val="bg-BG"/>
        </w:rPr>
        <w:t xml:space="preserve">Реализирането на тази цел включва изграждане на база от знания и иновации за морски политики във всички сфери – морски транспорт, кораборемонт и корабостроене, рибарство, аквакултури, морски туризъм, технологии за проучване и добив на минерални ресурси. Паралелно се създават и реализират програми за екологично възпитание и знание </w:t>
      </w:r>
      <w:r w:rsidRPr="00610B1B">
        <w:rPr>
          <w:rFonts w:ascii="Times New Roman" w:eastAsia="Calibri" w:hAnsi="Times New Roman" w:cs="Times New Roman"/>
          <w:color w:val="000000" w:themeColor="text1"/>
          <w:sz w:val="24"/>
          <w:szCs w:val="24"/>
          <w:lang w:val="bg-BG"/>
        </w:rPr>
        <w:lastRenderedPageBreak/>
        <w:t xml:space="preserve">за морето както в училищата, така и в медийните среди. Чрез подходящи програми и проекти се предвижда </w:t>
      </w:r>
      <w:r w:rsidRPr="00610B1B">
        <w:rPr>
          <w:rFonts w:ascii="Times New Roman" w:eastAsia="Calibri" w:hAnsi="Times New Roman" w:cs="Times New Roman"/>
          <w:color w:val="000000" w:themeColor="text1"/>
          <w:sz w:val="24"/>
          <w:szCs w:val="24"/>
          <w:lang w:val="bg-BG" w:eastAsia="bg-BG"/>
        </w:rPr>
        <w:t>разработване на отворени системи за обучение, регулиращи професионалната подготовка според нуждите на регионалния пазар на труда, съвместно със социално-икономическите партньори.</w:t>
      </w:r>
    </w:p>
    <w:p w14:paraId="2A8B920F" w14:textId="74D584A6" w:rsidR="003416A7" w:rsidRPr="00610B1B" w:rsidRDefault="003416A7" w:rsidP="00D32D6A">
      <w:pPr>
        <w:spacing w:after="120"/>
        <w:ind w:right="-153"/>
        <w:jc w:val="both"/>
        <w:rPr>
          <w:rFonts w:ascii="Times New Roman" w:eastAsia="Calibri" w:hAnsi="Times New Roman" w:cs="Times New Roman"/>
          <w:color w:val="000000" w:themeColor="text1"/>
          <w:sz w:val="24"/>
          <w:szCs w:val="24"/>
          <w:lang w:val="bg-BG" w:eastAsia="bg-BG"/>
        </w:rPr>
      </w:pPr>
      <w:r w:rsidRPr="00610B1B">
        <w:rPr>
          <w:rFonts w:ascii="Times New Roman" w:eastAsia="Calibri" w:hAnsi="Times New Roman" w:cs="Times New Roman"/>
          <w:color w:val="000000" w:themeColor="text1"/>
          <w:sz w:val="24"/>
          <w:szCs w:val="24"/>
          <w:lang w:val="bg-BG" w:eastAsia="bg-BG"/>
        </w:rPr>
        <w:t>Основните направления в тази ‘интелигентна’ цел се изразяват в следните специфични цели:</w:t>
      </w:r>
    </w:p>
    <w:p w14:paraId="476F1341" w14:textId="77777777" w:rsidR="003416A7" w:rsidRPr="00610B1B" w:rsidRDefault="003416A7" w:rsidP="00D32D6A">
      <w:pPr>
        <w:spacing w:after="120"/>
        <w:ind w:right="-153"/>
        <w:jc w:val="both"/>
        <w:rPr>
          <w:rFonts w:ascii="Times New Roman" w:eastAsia="Calibri" w:hAnsi="Times New Roman" w:cs="Times New Roman"/>
          <w:color w:val="000000" w:themeColor="text1"/>
          <w:sz w:val="24"/>
          <w:szCs w:val="24"/>
          <w:lang w:val="bg-BG" w:eastAsia="bg-BG"/>
        </w:rPr>
      </w:pPr>
      <w:r w:rsidRPr="00610B1B">
        <w:rPr>
          <w:rFonts w:ascii="Times New Roman" w:eastAsia="Calibri" w:hAnsi="Times New Roman" w:cs="Times New Roman"/>
          <w:b/>
          <w:i/>
          <w:sz w:val="24"/>
          <w:szCs w:val="24"/>
          <w:lang w:val="bg-BG"/>
        </w:rPr>
        <w:t>Специфична цел 3.1. Развитие на научна инфраструктура и изследователски капацитет</w:t>
      </w:r>
    </w:p>
    <w:p w14:paraId="107E5F60" w14:textId="3FCF6C0B" w:rsidR="003416A7" w:rsidRPr="00610B1B" w:rsidRDefault="003416A7"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Наличието на модерна база за научно-изследователска и развойна дейност осигурява благоприятни условия за обучение и кариерно развитие на учените, както и за привличане на чуждестранни изследователи и насърчаване на мобилността. Индикативните мерки,</w:t>
      </w:r>
      <w:r w:rsidR="00A508F7" w:rsidRPr="00610B1B">
        <w:rPr>
          <w:rFonts w:ascii="Times New Roman" w:eastAsia="Calibri" w:hAnsi="Times New Roman" w:cs="Times New Roman"/>
          <w:sz w:val="24"/>
          <w:szCs w:val="24"/>
          <w:lang w:val="bg-BG" w:eastAsia="bg-BG"/>
        </w:rPr>
        <w:t xml:space="preserve"> стимулирани от инициативите и визията за развитието на научните изследвания и иновациите в Черноморския регион,</w:t>
      </w:r>
      <w:r w:rsidRPr="00610B1B">
        <w:rPr>
          <w:rFonts w:ascii="Times New Roman" w:eastAsia="Calibri" w:hAnsi="Times New Roman" w:cs="Times New Roman"/>
          <w:sz w:val="24"/>
          <w:szCs w:val="24"/>
          <w:lang w:val="bg-BG" w:eastAsia="bg-BG"/>
        </w:rPr>
        <w:t xml:space="preserve"> </w:t>
      </w:r>
      <w:r w:rsidR="00A508F7" w:rsidRPr="00610B1B">
        <w:rPr>
          <w:rFonts w:ascii="Times New Roman" w:eastAsia="Calibri" w:hAnsi="Times New Roman" w:cs="Times New Roman"/>
          <w:sz w:val="24"/>
          <w:szCs w:val="24"/>
          <w:lang w:val="bg-BG" w:eastAsia="bg-BG"/>
        </w:rPr>
        <w:t>защитени</w:t>
      </w:r>
      <w:r w:rsidRPr="00610B1B">
        <w:rPr>
          <w:rFonts w:ascii="Times New Roman" w:eastAsia="Calibri" w:hAnsi="Times New Roman" w:cs="Times New Roman"/>
          <w:sz w:val="24"/>
          <w:szCs w:val="24"/>
          <w:lang w:val="bg-BG" w:eastAsia="bg-BG"/>
        </w:rPr>
        <w:t xml:space="preserve"> от местните общности</w:t>
      </w:r>
      <w:r w:rsidR="00A508F7" w:rsidRPr="00610B1B">
        <w:rPr>
          <w:rFonts w:ascii="Times New Roman" w:eastAsia="Calibri" w:hAnsi="Times New Roman" w:cs="Times New Roman"/>
          <w:sz w:val="24"/>
          <w:szCs w:val="24"/>
          <w:lang w:val="bg-BG" w:eastAsia="bg-BG"/>
        </w:rPr>
        <w:t xml:space="preserve"> в новите стратегически документи и залегнали в ИТСР</w:t>
      </w:r>
      <w:r w:rsidRPr="00610B1B">
        <w:rPr>
          <w:rFonts w:ascii="Times New Roman" w:eastAsia="Calibri" w:hAnsi="Times New Roman" w:cs="Times New Roman"/>
          <w:sz w:val="24"/>
          <w:szCs w:val="24"/>
          <w:lang w:val="bg-BG" w:eastAsia="bg-BG"/>
        </w:rPr>
        <w:t xml:space="preserve"> включват:</w:t>
      </w:r>
    </w:p>
    <w:p w14:paraId="5B1DB0A7" w14:textId="24C9CE42" w:rsidR="003416A7" w:rsidRPr="00610B1B" w:rsidRDefault="003416A7" w:rsidP="00B46189">
      <w:pPr>
        <w:pStyle w:val="ListParagraph"/>
        <w:numPr>
          <w:ilvl w:val="0"/>
          <w:numId w:val="54"/>
        </w:numPr>
        <w:spacing w:after="120"/>
        <w:ind w:right="-153"/>
        <w:contextualSpacing w:val="0"/>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 xml:space="preserve">Създаване на два Регионални иновационни центъра (Варна и Бургас) </w:t>
      </w:r>
      <w:r w:rsidR="00A508F7" w:rsidRPr="00610B1B">
        <w:rPr>
          <w:rFonts w:ascii="Times New Roman" w:eastAsia="Calibri" w:hAnsi="Times New Roman" w:cs="Times New Roman"/>
          <w:sz w:val="24"/>
          <w:szCs w:val="24"/>
          <w:lang w:val="bg-BG" w:eastAsia="bg-BG"/>
        </w:rPr>
        <w:t>със</w:t>
      </w:r>
      <w:r w:rsidRPr="00610B1B">
        <w:rPr>
          <w:rFonts w:ascii="Times New Roman" w:eastAsia="Calibri" w:hAnsi="Times New Roman" w:cs="Times New Roman"/>
          <w:sz w:val="24"/>
          <w:szCs w:val="24"/>
          <w:lang w:val="bg-BG" w:eastAsia="bg-BG"/>
        </w:rPr>
        <w:t xml:space="preserve"> звена за върхови постижения</w:t>
      </w:r>
      <w:r w:rsidR="00A508F7" w:rsidRPr="00610B1B">
        <w:rPr>
          <w:rFonts w:ascii="Times New Roman" w:eastAsia="Calibri" w:hAnsi="Times New Roman" w:cs="Times New Roman"/>
          <w:sz w:val="24"/>
          <w:szCs w:val="24"/>
          <w:lang w:val="bg-BG" w:eastAsia="bg-BG"/>
        </w:rPr>
        <w:t xml:space="preserve"> и</w:t>
      </w:r>
      <w:r w:rsidRPr="00610B1B">
        <w:rPr>
          <w:rFonts w:ascii="Times New Roman" w:eastAsia="Calibri" w:hAnsi="Times New Roman" w:cs="Times New Roman"/>
          <w:sz w:val="24"/>
          <w:szCs w:val="24"/>
          <w:lang w:val="bg-BG" w:eastAsia="bg-BG"/>
        </w:rPr>
        <w:t xml:space="preserve"> развойна дейност и лаборатории за технологични изпитвания;</w:t>
      </w:r>
    </w:p>
    <w:p w14:paraId="1D0EDB26" w14:textId="74FB5DAC" w:rsidR="003416A7" w:rsidRPr="00610B1B" w:rsidRDefault="003416A7" w:rsidP="00B46189">
      <w:pPr>
        <w:numPr>
          <w:ilvl w:val="0"/>
          <w:numId w:val="55"/>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Създаване на „Високотехнологичен академичен център Бургас“ за изграждане на научна инфраструктура за високи технологии, биофизика и биомеханика;</w:t>
      </w:r>
    </w:p>
    <w:p w14:paraId="5DFA0A88" w14:textId="72A9BE6D" w:rsidR="003416A7" w:rsidRPr="00610B1B" w:rsidRDefault="003416A7" w:rsidP="00B46189">
      <w:pPr>
        <w:numPr>
          <w:ilvl w:val="0"/>
          <w:numId w:val="55"/>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 xml:space="preserve">Създаване на „Черноморски център за син растеж и иновации“, включващ Черноморска лаборатория за мониторинг на пластмаса, Лаборатория за приложение на нови методи и технологии в устойчивото ползване на речни и морски ресурси; </w:t>
      </w:r>
    </w:p>
    <w:p w14:paraId="41D75AEF" w14:textId="065C45BF" w:rsidR="003416A7" w:rsidRPr="00610B1B" w:rsidRDefault="003416A7" w:rsidP="00B46189">
      <w:pPr>
        <w:numPr>
          <w:ilvl w:val="0"/>
          <w:numId w:val="55"/>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Създаване на общински фондове „Наука” в общините Варна и Бургас за стимулиране на обмен на преподаватели и студенти и за разработване и внедряване на научни разработки от студенти и учени от висшите училища във Варна и Бургас;</w:t>
      </w:r>
    </w:p>
    <w:p w14:paraId="7DC84D39" w14:textId="77777777" w:rsidR="003416A7" w:rsidRPr="00610B1B" w:rsidRDefault="003416A7" w:rsidP="00B46189">
      <w:pPr>
        <w:numPr>
          <w:ilvl w:val="0"/>
          <w:numId w:val="55"/>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Създаване на мрежи (клъстери) от регионални институции, научни организации и високотехнологични предприятия за изпълнение на целеви регионални задачи и програми;</w:t>
      </w:r>
    </w:p>
    <w:p w14:paraId="08479213" w14:textId="77777777" w:rsidR="003416A7" w:rsidRPr="00610B1B" w:rsidRDefault="003416A7" w:rsidP="00B46189">
      <w:pPr>
        <w:numPr>
          <w:ilvl w:val="0"/>
          <w:numId w:val="55"/>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Стимулиране на сътрудничеството между научните организации, публичния и частния сектор на синята икономика;</w:t>
      </w:r>
    </w:p>
    <w:p w14:paraId="3CBB9AE0" w14:textId="63CEA727" w:rsidR="003416A7" w:rsidRPr="00610B1B" w:rsidRDefault="003416A7" w:rsidP="00D32D6A">
      <w:pPr>
        <w:spacing w:after="120"/>
        <w:ind w:right="-158"/>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 xml:space="preserve">Освен инвестиции в публични изследователски центрове и висши учебни заведения, свързани с научноизследователски и иновационни дейности и трансфер на иновации, в периода на действие на МППРБ ще се подкрепят: </w:t>
      </w:r>
    </w:p>
    <w:p w14:paraId="04315128" w14:textId="77777777" w:rsidR="003416A7" w:rsidRPr="00610B1B" w:rsidRDefault="003416A7" w:rsidP="00B46189">
      <w:pPr>
        <w:numPr>
          <w:ilvl w:val="0"/>
          <w:numId w:val="56"/>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Инвестиции в микро и МСП, пряко свързани с научноизследователски и иновационни дейности, включително частни изследователски центрове;</w:t>
      </w:r>
    </w:p>
    <w:p w14:paraId="73030D79" w14:textId="77777777" w:rsidR="003416A7" w:rsidRPr="00610B1B" w:rsidRDefault="003416A7" w:rsidP="00B46189">
      <w:pPr>
        <w:numPr>
          <w:ilvl w:val="0"/>
          <w:numId w:val="56"/>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Научноизследователски и иновационни дейности в микропредприятия, малки и средни предприятия, включително изграждане на мрежи (индустриални научни изследвания, експериментално развитие, проучвания за реализуемост);</w:t>
      </w:r>
    </w:p>
    <w:p w14:paraId="5728BFA9" w14:textId="3ADBE8CD" w:rsidR="003416A7" w:rsidRPr="00610B1B" w:rsidRDefault="003416A7" w:rsidP="00B46189">
      <w:pPr>
        <w:numPr>
          <w:ilvl w:val="0"/>
          <w:numId w:val="56"/>
        </w:num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lastRenderedPageBreak/>
        <w:t>Прилагането на принципите на кръговата икономика от фирми в р</w:t>
      </w:r>
      <w:r w:rsidR="00A508F7" w:rsidRPr="00610B1B">
        <w:rPr>
          <w:rFonts w:ascii="Times New Roman" w:eastAsia="Calibri" w:hAnsi="Times New Roman" w:cs="Times New Roman"/>
          <w:sz w:val="24"/>
          <w:szCs w:val="24"/>
          <w:lang w:val="bg-BG" w:eastAsia="bg-BG"/>
        </w:rPr>
        <w:t>егиона</w:t>
      </w:r>
      <w:r w:rsidRPr="00610B1B">
        <w:rPr>
          <w:rFonts w:ascii="Times New Roman" w:eastAsia="Calibri" w:hAnsi="Times New Roman" w:cs="Times New Roman"/>
          <w:sz w:val="24"/>
          <w:szCs w:val="24"/>
          <w:lang w:val="bg-BG" w:eastAsia="bg-BG"/>
        </w:rPr>
        <w:t>.</w:t>
      </w:r>
    </w:p>
    <w:p w14:paraId="514D9507" w14:textId="43D3D20D" w:rsidR="003416A7" w:rsidRPr="00610B1B" w:rsidRDefault="003416A7" w:rsidP="00D32D6A">
      <w:pPr>
        <w:spacing w:after="120"/>
        <w:ind w:right="-153"/>
        <w:jc w:val="both"/>
        <w:rPr>
          <w:rFonts w:ascii="Times New Roman" w:eastAsia="Calibri" w:hAnsi="Times New Roman" w:cs="Times New Roman"/>
          <w:b/>
          <w:i/>
          <w:sz w:val="24"/>
          <w:szCs w:val="24"/>
          <w:lang w:val="bg-BG" w:eastAsia="bg-BG"/>
        </w:rPr>
      </w:pPr>
      <w:r w:rsidRPr="00610B1B">
        <w:rPr>
          <w:rFonts w:ascii="Times New Roman" w:eastAsia="Calibri" w:hAnsi="Times New Roman" w:cs="Times New Roman"/>
          <w:b/>
          <w:i/>
          <w:sz w:val="24"/>
          <w:szCs w:val="24"/>
          <w:lang w:val="bg-BG"/>
        </w:rPr>
        <w:t xml:space="preserve">Специфична цел 3.2. </w:t>
      </w:r>
      <w:r w:rsidRPr="00610B1B">
        <w:rPr>
          <w:rFonts w:ascii="Times New Roman" w:eastAsia="Calibri" w:hAnsi="Times New Roman" w:cs="Times New Roman"/>
          <w:b/>
          <w:i/>
          <w:sz w:val="24"/>
          <w:szCs w:val="24"/>
          <w:lang w:val="bg-BG" w:eastAsia="bg-BG"/>
        </w:rPr>
        <w:t xml:space="preserve">Подобряване на връзките на образованието и научно-изследователската дейност с бизнеса </w:t>
      </w:r>
    </w:p>
    <w:p w14:paraId="302E0B19" w14:textId="67535476" w:rsidR="003416A7" w:rsidRPr="00610B1B" w:rsidRDefault="003416A7" w:rsidP="00D32D6A">
      <w:pPr>
        <w:spacing w:after="120"/>
        <w:ind w:right="-153"/>
        <w:jc w:val="both"/>
        <w:rPr>
          <w:rFonts w:ascii="Times New Roman" w:eastAsia="Calibri" w:hAnsi="Times New Roman" w:cs="Times New Roman"/>
          <w:bCs/>
          <w:iCs/>
          <w:sz w:val="24"/>
          <w:szCs w:val="24"/>
          <w:lang w:val="bg-BG" w:eastAsia="bg-BG"/>
        </w:rPr>
      </w:pPr>
      <w:r w:rsidRPr="00610B1B">
        <w:rPr>
          <w:rFonts w:ascii="Times New Roman" w:eastAsia="Calibri" w:hAnsi="Times New Roman" w:cs="Times New Roman"/>
          <w:bCs/>
          <w:iCs/>
          <w:sz w:val="24"/>
          <w:szCs w:val="24"/>
          <w:lang w:val="bg-BG" w:eastAsia="bg-BG"/>
        </w:rPr>
        <w:t xml:space="preserve">Реализирането на целта ще се постигне посредством приложението на следните мерки: </w:t>
      </w:r>
    </w:p>
    <w:p w14:paraId="03782056" w14:textId="77777777" w:rsidR="00FB7CDE" w:rsidRPr="00610B1B" w:rsidRDefault="00B232B2" w:rsidP="00B46189">
      <w:pPr>
        <w:numPr>
          <w:ilvl w:val="0"/>
          <w:numId w:val="64"/>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eastAsia="bg-BG"/>
        </w:rPr>
        <w:t xml:space="preserve">Стимулиране </w:t>
      </w:r>
      <w:r w:rsidR="00826228" w:rsidRPr="00610B1B">
        <w:rPr>
          <w:rFonts w:ascii="Times New Roman" w:hAnsi="Times New Roman" w:cs="Times New Roman"/>
          <w:sz w:val="24"/>
          <w:szCs w:val="24"/>
          <w:lang w:val="bg-BG" w:eastAsia="bg-BG"/>
        </w:rPr>
        <w:t>развитието на научно-изследователска инфраструктура и сътрудничеството между научните организации, публичния и частния сектор</w:t>
      </w:r>
      <w:r w:rsidR="00FB7CDE" w:rsidRPr="00610B1B">
        <w:rPr>
          <w:rFonts w:ascii="Times New Roman" w:hAnsi="Times New Roman" w:cs="Times New Roman"/>
          <w:sz w:val="24"/>
          <w:szCs w:val="24"/>
          <w:lang w:val="bg-BG" w:eastAsia="bg-BG"/>
        </w:rPr>
        <w:t>;</w:t>
      </w:r>
    </w:p>
    <w:p w14:paraId="0FB7A58C" w14:textId="011215B4" w:rsidR="00826228" w:rsidRPr="00610B1B" w:rsidRDefault="00FB7CDE" w:rsidP="00B46189">
      <w:pPr>
        <w:numPr>
          <w:ilvl w:val="0"/>
          <w:numId w:val="64"/>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Подкрепа </w:t>
      </w:r>
      <w:r w:rsidR="00826228" w:rsidRPr="00610B1B">
        <w:rPr>
          <w:rFonts w:ascii="Times New Roman" w:hAnsi="Times New Roman" w:cs="Times New Roman"/>
          <w:sz w:val="24"/>
          <w:szCs w:val="24"/>
          <w:lang w:val="bg-BG"/>
        </w:rPr>
        <w:t>за инвестиции в научноизследователски и иновационни дейности и насърчаване на трансфера на модерни технологии</w:t>
      </w:r>
      <w:r w:rsidRPr="00610B1B">
        <w:rPr>
          <w:rFonts w:ascii="Times New Roman" w:hAnsi="Times New Roman" w:cs="Times New Roman"/>
          <w:sz w:val="24"/>
          <w:szCs w:val="24"/>
          <w:lang w:val="bg-BG"/>
        </w:rPr>
        <w:t xml:space="preserve"> във всички сектори на синята икономика</w:t>
      </w:r>
      <w:r w:rsidR="00826228" w:rsidRPr="00610B1B">
        <w:rPr>
          <w:rFonts w:ascii="Times New Roman" w:hAnsi="Times New Roman" w:cs="Times New Roman"/>
          <w:sz w:val="24"/>
          <w:szCs w:val="24"/>
          <w:lang w:val="bg-BG"/>
        </w:rPr>
        <w:t>;</w:t>
      </w:r>
    </w:p>
    <w:p w14:paraId="621AB17D" w14:textId="77777777" w:rsidR="00B232B2" w:rsidRPr="00610B1B" w:rsidRDefault="00B232B2" w:rsidP="00B46189">
      <w:pPr>
        <w:pStyle w:val="ListParagraph"/>
        <w:numPr>
          <w:ilvl w:val="0"/>
          <w:numId w:val="65"/>
        </w:numPr>
        <w:spacing w:after="120"/>
        <w:ind w:left="709" w:right="-153"/>
        <w:contextualSpacing w:val="0"/>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Създаване </w:t>
      </w:r>
      <w:r w:rsidR="00826228" w:rsidRPr="00610B1B">
        <w:rPr>
          <w:rFonts w:ascii="Times New Roman" w:hAnsi="Times New Roman" w:cs="Times New Roman"/>
          <w:sz w:val="24"/>
          <w:szCs w:val="24"/>
          <w:lang w:val="bg-BG"/>
        </w:rPr>
        <w:t xml:space="preserve">на иновативни стартиращи предприятия, приоритетно с основна дейност във високотехнологичните или средно-високо технологичните сектори на преработващата промишленост и интензивните на знание услуги. </w:t>
      </w:r>
    </w:p>
    <w:p w14:paraId="13569A18" w14:textId="10DB1FB0" w:rsidR="00826228" w:rsidRPr="00610B1B" w:rsidRDefault="00FB7CD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Тези мерки ще бъдат стимулирани в съответствие с </w:t>
      </w:r>
      <w:r w:rsidR="00330627" w:rsidRPr="00610B1B">
        <w:rPr>
          <w:rFonts w:ascii="Times New Roman" w:hAnsi="Times New Roman" w:cs="Times New Roman"/>
          <w:sz w:val="24"/>
          <w:szCs w:val="24"/>
          <w:lang w:val="bg-BG"/>
        </w:rPr>
        <w:t xml:space="preserve">общите и регионални </w:t>
      </w:r>
      <w:r w:rsidRPr="00610B1B">
        <w:rPr>
          <w:rFonts w:ascii="Times New Roman" w:hAnsi="Times New Roman" w:cs="Times New Roman"/>
          <w:sz w:val="24"/>
          <w:szCs w:val="24"/>
          <w:lang w:val="bg-BG"/>
        </w:rPr>
        <w:t xml:space="preserve">приоритети на новата Програма „Иновации и конкурентоспособност“ (2021-2027 г.), </w:t>
      </w:r>
      <w:r w:rsidR="00826228" w:rsidRPr="00610B1B">
        <w:rPr>
          <w:rFonts w:ascii="Times New Roman" w:hAnsi="Times New Roman" w:cs="Times New Roman"/>
          <w:sz w:val="24"/>
          <w:szCs w:val="24"/>
          <w:lang w:val="bg-BG"/>
        </w:rPr>
        <w:t>Иновационната стратегия за интелигентна специализация 20</w:t>
      </w:r>
      <w:r w:rsidR="00330627" w:rsidRPr="00610B1B">
        <w:rPr>
          <w:rFonts w:ascii="Times New Roman" w:hAnsi="Times New Roman" w:cs="Times New Roman"/>
          <w:sz w:val="24"/>
          <w:szCs w:val="24"/>
          <w:lang w:val="bg-BG"/>
        </w:rPr>
        <w:t>14</w:t>
      </w:r>
      <w:r w:rsidR="00826228" w:rsidRPr="00610B1B">
        <w:rPr>
          <w:rFonts w:ascii="Times New Roman" w:hAnsi="Times New Roman" w:cs="Times New Roman"/>
          <w:sz w:val="24"/>
          <w:szCs w:val="24"/>
          <w:lang w:val="bg-BG"/>
        </w:rPr>
        <w:t>–202</w:t>
      </w:r>
      <w:r w:rsidR="00330627" w:rsidRPr="00610B1B">
        <w:rPr>
          <w:rFonts w:ascii="Times New Roman" w:hAnsi="Times New Roman" w:cs="Times New Roman"/>
          <w:sz w:val="24"/>
          <w:szCs w:val="24"/>
          <w:lang w:val="bg-BG"/>
        </w:rPr>
        <w:t xml:space="preserve">0 и </w:t>
      </w:r>
      <w:r w:rsidR="00B23091" w:rsidRPr="00610B1B">
        <w:rPr>
          <w:rFonts w:ascii="Times New Roman" w:hAnsi="Times New Roman" w:cs="Times New Roman"/>
          <w:sz w:val="24"/>
          <w:szCs w:val="24"/>
          <w:lang w:val="bg-BG"/>
        </w:rPr>
        <w:t xml:space="preserve">препоръките на </w:t>
      </w:r>
      <w:r w:rsidR="00330627" w:rsidRPr="00610B1B">
        <w:rPr>
          <w:rFonts w:ascii="Times New Roman" w:hAnsi="Times New Roman" w:cs="Times New Roman"/>
          <w:sz w:val="24"/>
          <w:szCs w:val="24"/>
          <w:lang w:val="bg-BG"/>
        </w:rPr>
        <w:t>Междинна</w:t>
      </w:r>
      <w:r w:rsidR="00B23091" w:rsidRPr="00610B1B">
        <w:rPr>
          <w:rFonts w:ascii="Times New Roman" w:hAnsi="Times New Roman" w:cs="Times New Roman"/>
          <w:sz w:val="24"/>
          <w:szCs w:val="24"/>
          <w:lang w:val="bg-BG"/>
        </w:rPr>
        <w:t>та</w:t>
      </w:r>
      <w:r w:rsidR="00DE3A13" w:rsidRPr="00610B1B">
        <w:rPr>
          <w:rFonts w:ascii="Times New Roman" w:hAnsi="Times New Roman" w:cs="Times New Roman"/>
          <w:sz w:val="24"/>
          <w:szCs w:val="24"/>
          <w:lang w:val="bg-BG"/>
        </w:rPr>
        <w:t xml:space="preserve"> ѝ</w:t>
      </w:r>
      <w:r w:rsidR="00D66FE0" w:rsidRPr="00610B1B">
        <w:rPr>
          <w:rFonts w:ascii="Times New Roman" w:hAnsi="Times New Roman" w:cs="Times New Roman"/>
          <w:sz w:val="24"/>
          <w:szCs w:val="24"/>
          <w:lang w:val="bg-BG"/>
        </w:rPr>
        <w:t xml:space="preserve"> </w:t>
      </w:r>
      <w:r w:rsidR="00330627" w:rsidRPr="00610B1B">
        <w:rPr>
          <w:rFonts w:ascii="Times New Roman" w:hAnsi="Times New Roman" w:cs="Times New Roman"/>
          <w:sz w:val="24"/>
          <w:szCs w:val="24"/>
          <w:lang w:val="bg-BG"/>
        </w:rPr>
        <w:t>оценка</w:t>
      </w:r>
      <w:r w:rsidR="00B232B2" w:rsidRPr="00610B1B">
        <w:rPr>
          <w:rStyle w:val="FootnoteReference"/>
          <w:rFonts w:ascii="Times New Roman" w:hAnsi="Times New Roman" w:cs="Times New Roman"/>
          <w:sz w:val="24"/>
          <w:szCs w:val="24"/>
          <w:lang w:val="bg-BG"/>
        </w:rPr>
        <w:footnoteReference w:id="177"/>
      </w:r>
      <w:r w:rsidR="00826228" w:rsidRPr="00610B1B">
        <w:rPr>
          <w:rFonts w:ascii="Times New Roman" w:hAnsi="Times New Roman" w:cs="Times New Roman"/>
          <w:sz w:val="24"/>
          <w:szCs w:val="24"/>
          <w:lang w:val="bg-BG"/>
        </w:rPr>
        <w:t xml:space="preserve"> </w:t>
      </w:r>
      <w:r w:rsidR="00B232B2" w:rsidRPr="00610B1B">
        <w:rPr>
          <w:rFonts w:ascii="Times New Roman" w:hAnsi="Times New Roman" w:cs="Times New Roman"/>
          <w:sz w:val="24"/>
          <w:szCs w:val="24"/>
          <w:lang w:val="bg-BG"/>
        </w:rPr>
        <w:t xml:space="preserve">и предвижданията на Национална стратегия за развитие на научните изследвания в Република България 2017–2030. </w:t>
      </w:r>
      <w:r w:rsidR="00B23091" w:rsidRPr="00610B1B">
        <w:rPr>
          <w:rFonts w:ascii="Times New Roman" w:hAnsi="Times New Roman" w:cs="Times New Roman"/>
          <w:sz w:val="24"/>
          <w:szCs w:val="24"/>
          <w:lang w:val="bg-BG"/>
        </w:rPr>
        <w:t>„</w:t>
      </w:r>
      <w:r w:rsidR="00B232B2" w:rsidRPr="00610B1B">
        <w:rPr>
          <w:rFonts w:ascii="Times New Roman" w:hAnsi="Times New Roman" w:cs="Times New Roman"/>
          <w:sz w:val="24"/>
          <w:szCs w:val="24"/>
          <w:lang w:val="bg-BG"/>
        </w:rPr>
        <w:t>По-добра наука за по-добра България</w:t>
      </w:r>
      <w:r w:rsidR="00B23091" w:rsidRPr="00610B1B">
        <w:rPr>
          <w:rFonts w:ascii="Times New Roman" w:hAnsi="Times New Roman" w:cs="Times New Roman"/>
          <w:sz w:val="24"/>
          <w:szCs w:val="24"/>
          <w:lang w:val="bg-BG"/>
        </w:rPr>
        <w:t>“</w:t>
      </w:r>
      <w:r w:rsidR="00330627" w:rsidRPr="00610B1B">
        <w:rPr>
          <w:rFonts w:ascii="Times New Roman" w:hAnsi="Times New Roman" w:cs="Times New Roman"/>
          <w:sz w:val="24"/>
          <w:szCs w:val="24"/>
          <w:lang w:val="bg-BG"/>
        </w:rPr>
        <w:t>.</w:t>
      </w:r>
      <w:r w:rsidR="00B232B2" w:rsidRPr="00610B1B">
        <w:rPr>
          <w:rStyle w:val="FootnoteReference"/>
          <w:rFonts w:ascii="Times New Roman" w:hAnsi="Times New Roman" w:cs="Times New Roman"/>
          <w:sz w:val="24"/>
          <w:szCs w:val="24"/>
          <w:lang w:val="bg-BG"/>
        </w:rPr>
        <w:footnoteReference w:id="178"/>
      </w:r>
    </w:p>
    <w:p w14:paraId="285B1732" w14:textId="77777777" w:rsidR="003416A7" w:rsidRPr="00610B1B" w:rsidRDefault="003416A7" w:rsidP="00D32D6A">
      <w:pPr>
        <w:spacing w:after="120"/>
        <w:ind w:right="-153"/>
        <w:jc w:val="both"/>
        <w:rPr>
          <w:rFonts w:ascii="Times New Roman" w:eastAsia="Calibri" w:hAnsi="Times New Roman" w:cs="Times New Roman"/>
          <w:b/>
          <w:i/>
          <w:sz w:val="24"/>
          <w:szCs w:val="24"/>
          <w:lang w:val="bg-BG" w:eastAsia="bg-BG"/>
        </w:rPr>
      </w:pPr>
      <w:r w:rsidRPr="00610B1B">
        <w:rPr>
          <w:rFonts w:ascii="Times New Roman" w:eastAsia="Calibri" w:hAnsi="Times New Roman" w:cs="Times New Roman"/>
          <w:b/>
          <w:i/>
          <w:sz w:val="24"/>
          <w:szCs w:val="24"/>
          <w:lang w:val="bg-BG"/>
        </w:rPr>
        <w:t xml:space="preserve">Специфична цел 3.3. </w:t>
      </w:r>
      <w:r w:rsidRPr="00610B1B">
        <w:rPr>
          <w:rFonts w:ascii="Times New Roman" w:eastAsia="Calibri" w:hAnsi="Times New Roman" w:cs="Times New Roman"/>
          <w:b/>
          <w:i/>
          <w:sz w:val="24"/>
          <w:szCs w:val="24"/>
          <w:lang w:val="bg-BG" w:eastAsia="bg-BG"/>
        </w:rPr>
        <w:t xml:space="preserve">Изграждане на база от знания и иновации за морска политика </w:t>
      </w:r>
    </w:p>
    <w:p w14:paraId="499590FC" w14:textId="48FCFFAC" w:rsidR="003416A7" w:rsidRPr="00610B1B" w:rsidRDefault="003416A7"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Тази цел е израз на единната европейска стратегия за мореплавателски и морски изследвания и естествено продължение на Седма рамкова програма за научни изследвания – в частта за интегриран подход към морското дело. Целта ще се реализира и чрез новата Рамковата програма за научни изследвания и технологично развитие, финансираща съвместни междусекторни проекти за иновации в синята икономика. Съществена подкрепа ще получат и научните изследвания на изменението на климата и последиците от него за морските дейности, околната среда, крайбрежните райони и островите. Базата от знания и иновации за морската политика има международен характер и е израз на европейското партньорство в морските науки с цел диалог между научната общност, синята икономика и политическите среди.</w:t>
      </w:r>
    </w:p>
    <w:p w14:paraId="2CE93610" w14:textId="7DAF9039" w:rsidR="003416A7" w:rsidRPr="00610B1B" w:rsidRDefault="003416A7"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Мерките, които съпътстват изпълнението на тази специфична цел са следните:</w:t>
      </w:r>
    </w:p>
    <w:p w14:paraId="5F331D2A" w14:textId="0B793C5E" w:rsidR="00826228" w:rsidRPr="00610B1B" w:rsidRDefault="00FB7CDE" w:rsidP="00B46189">
      <w:pPr>
        <w:numPr>
          <w:ilvl w:val="0"/>
          <w:numId w:val="65"/>
        </w:numPr>
        <w:spacing w:after="120"/>
        <w:ind w:right="-153"/>
        <w:jc w:val="both"/>
        <w:rPr>
          <w:rFonts w:ascii="Times New Roman" w:hAnsi="Times New Roman" w:cs="Times New Roman"/>
          <w:sz w:val="24"/>
          <w:szCs w:val="24"/>
          <w:lang w:val="bg-BG" w:eastAsia="bg-BG"/>
        </w:rPr>
      </w:pPr>
      <w:r w:rsidRPr="00610B1B">
        <w:rPr>
          <w:rFonts w:ascii="Times New Roman" w:hAnsi="Times New Roman" w:cs="Times New Roman"/>
          <w:sz w:val="24"/>
          <w:szCs w:val="24"/>
          <w:lang w:val="bg-BG" w:eastAsia="bg-BG"/>
        </w:rPr>
        <w:t xml:space="preserve">Валидиране </w:t>
      </w:r>
      <w:r w:rsidR="00826228" w:rsidRPr="00610B1B">
        <w:rPr>
          <w:rFonts w:ascii="Times New Roman" w:hAnsi="Times New Roman" w:cs="Times New Roman"/>
          <w:sz w:val="24"/>
          <w:szCs w:val="24"/>
          <w:lang w:val="bg-BG" w:eastAsia="bg-BG"/>
        </w:rPr>
        <w:t xml:space="preserve">на знания, умения и компетентности. </w:t>
      </w:r>
    </w:p>
    <w:p w14:paraId="533CDDE8" w14:textId="42003FF0" w:rsidR="00826228" w:rsidRPr="00610B1B" w:rsidRDefault="00F2671E" w:rsidP="00B46189">
      <w:pPr>
        <w:pStyle w:val="ListParagraph"/>
        <w:numPr>
          <w:ilvl w:val="0"/>
          <w:numId w:val="65"/>
        </w:numPr>
        <w:spacing w:after="120"/>
        <w:ind w:right="-153"/>
        <w:contextualSpacing w:val="0"/>
        <w:jc w:val="both"/>
        <w:rPr>
          <w:rFonts w:ascii="Times New Roman" w:eastAsia="Calibri" w:hAnsi="Times New Roman" w:cs="Times New Roman"/>
          <w:sz w:val="24"/>
          <w:szCs w:val="24"/>
          <w:lang w:val="bg-BG" w:eastAsia="bg-BG"/>
        </w:rPr>
      </w:pPr>
      <w:r w:rsidRPr="00610B1B">
        <w:rPr>
          <w:rFonts w:ascii="Times New Roman" w:eastAsia="Calibri" w:hAnsi="Times New Roman" w:cs="Times New Roman"/>
          <w:sz w:val="24"/>
          <w:szCs w:val="24"/>
          <w:lang w:val="bg-BG" w:eastAsia="bg-BG"/>
        </w:rPr>
        <w:t>Извеждане на национална програма „Море“</w:t>
      </w:r>
    </w:p>
    <w:p w14:paraId="09E7F9C1" w14:textId="07F2E0BD" w:rsidR="003416A7" w:rsidRPr="00610B1B" w:rsidRDefault="003416A7" w:rsidP="00D32D6A">
      <w:pPr>
        <w:spacing w:after="120"/>
        <w:ind w:right="-153"/>
        <w:jc w:val="both"/>
        <w:rPr>
          <w:rFonts w:ascii="Times New Roman" w:eastAsia="Calibri" w:hAnsi="Times New Roman" w:cs="Times New Roman"/>
          <w:b/>
          <w:i/>
          <w:sz w:val="24"/>
          <w:szCs w:val="24"/>
          <w:lang w:val="bg-BG"/>
        </w:rPr>
      </w:pPr>
      <w:r w:rsidRPr="00610B1B">
        <w:rPr>
          <w:rFonts w:ascii="Times New Roman" w:eastAsia="Calibri" w:hAnsi="Times New Roman" w:cs="Times New Roman"/>
          <w:b/>
          <w:i/>
          <w:sz w:val="24"/>
          <w:szCs w:val="24"/>
          <w:lang w:val="bg-BG"/>
        </w:rPr>
        <w:t xml:space="preserve">Специфична цел 3.4. Повишаване на екологичното възпитание и знание за морето </w:t>
      </w:r>
    </w:p>
    <w:p w14:paraId="0BA47054" w14:textId="0391E8AF" w:rsidR="003416A7" w:rsidRPr="00610B1B" w:rsidRDefault="0049452E"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Превръщането на знанията в отношение, на отношенията в </w:t>
      </w:r>
      <w:r w:rsidR="00330627" w:rsidRPr="00610B1B">
        <w:rPr>
          <w:rFonts w:ascii="Times New Roman" w:hAnsi="Times New Roman" w:cs="Times New Roman"/>
          <w:sz w:val="24"/>
          <w:szCs w:val="24"/>
          <w:lang w:val="bg-BG"/>
        </w:rPr>
        <w:t>социално поведение</w:t>
      </w:r>
      <w:r w:rsidRPr="00610B1B">
        <w:rPr>
          <w:rFonts w:ascii="Times New Roman" w:hAnsi="Times New Roman" w:cs="Times New Roman"/>
          <w:sz w:val="24"/>
          <w:szCs w:val="24"/>
          <w:lang w:val="bg-BG"/>
        </w:rPr>
        <w:t xml:space="preserve"> и оттам формирането на активна жизнена позиция на личността към околната среда се осъществява в екологичното образование</w:t>
      </w:r>
      <w:r w:rsidR="00D32A44" w:rsidRPr="00610B1B">
        <w:rPr>
          <w:rFonts w:ascii="Times New Roman" w:hAnsi="Times New Roman" w:cs="Times New Roman"/>
          <w:sz w:val="24"/>
          <w:szCs w:val="24"/>
          <w:lang w:val="bg-BG"/>
        </w:rPr>
        <w:t xml:space="preserve"> и чрез повишаване на екологичното възпитание </w:t>
      </w:r>
      <w:r w:rsidR="00D32A44" w:rsidRPr="00610B1B">
        <w:rPr>
          <w:rFonts w:ascii="Times New Roman" w:hAnsi="Times New Roman" w:cs="Times New Roman"/>
          <w:sz w:val="24"/>
          <w:szCs w:val="24"/>
          <w:lang w:val="bg-BG"/>
        </w:rPr>
        <w:lastRenderedPageBreak/>
        <w:t>и знание за морето. Процесът трябва да обхваща всички възрасти, като се започне от децата, бъдещите ползватели и пазители на морето.</w:t>
      </w:r>
    </w:p>
    <w:p w14:paraId="0F9845B0" w14:textId="36F71647" w:rsidR="00330627" w:rsidRPr="00610B1B" w:rsidRDefault="00330627" w:rsidP="00D32D6A">
      <w:pPr>
        <w:spacing w:after="120"/>
        <w:ind w:right="-153"/>
        <w:jc w:val="both"/>
        <w:rPr>
          <w:rFonts w:ascii="Times New Roman" w:eastAsia="Calibri" w:hAnsi="Times New Roman" w:cs="Times New Roman"/>
          <w:sz w:val="24"/>
          <w:szCs w:val="24"/>
          <w:lang w:val="bg-BG" w:eastAsia="bg-BG"/>
        </w:rPr>
      </w:pPr>
      <w:r w:rsidRPr="00610B1B">
        <w:rPr>
          <w:rFonts w:ascii="Times New Roman" w:hAnsi="Times New Roman" w:cs="Times New Roman"/>
          <w:sz w:val="24"/>
          <w:szCs w:val="24"/>
          <w:lang w:val="bg-BG"/>
        </w:rPr>
        <w:t>Постигането на специ</w:t>
      </w:r>
      <w:r w:rsidR="00491157" w:rsidRPr="00610B1B">
        <w:rPr>
          <w:rFonts w:ascii="Times New Roman" w:hAnsi="Times New Roman" w:cs="Times New Roman"/>
          <w:sz w:val="24"/>
          <w:szCs w:val="24"/>
          <w:lang w:val="bg-BG"/>
        </w:rPr>
        <w:t>ф</w:t>
      </w:r>
      <w:r w:rsidRPr="00610B1B">
        <w:rPr>
          <w:rFonts w:ascii="Times New Roman" w:hAnsi="Times New Roman" w:cs="Times New Roman"/>
          <w:sz w:val="24"/>
          <w:szCs w:val="24"/>
          <w:lang w:val="bg-BG"/>
        </w:rPr>
        <w:t>ичната цел се осъществява</w:t>
      </w:r>
      <w:r w:rsidR="00491157" w:rsidRPr="00610B1B">
        <w:rPr>
          <w:rFonts w:ascii="Times New Roman" w:hAnsi="Times New Roman" w:cs="Times New Roman"/>
          <w:sz w:val="24"/>
          <w:szCs w:val="24"/>
          <w:lang w:val="bg-BG"/>
        </w:rPr>
        <w:t xml:space="preserve"> с участието на всички заинтересовани страни, мерките са адресирани към всички социални и възрастови групи, прилагат</w:t>
      </w:r>
      <w:r w:rsidR="00283192" w:rsidRPr="00610B1B">
        <w:rPr>
          <w:rFonts w:ascii="Times New Roman" w:hAnsi="Times New Roman" w:cs="Times New Roman"/>
          <w:sz w:val="24"/>
          <w:szCs w:val="24"/>
          <w:lang w:val="bg-BG"/>
        </w:rPr>
        <w:t xml:space="preserve"> се</w:t>
      </w:r>
      <w:r w:rsidR="00491157" w:rsidRPr="00610B1B">
        <w:rPr>
          <w:rFonts w:ascii="Times New Roman" w:hAnsi="Times New Roman" w:cs="Times New Roman"/>
          <w:sz w:val="24"/>
          <w:szCs w:val="24"/>
          <w:lang w:val="bg-BG"/>
        </w:rPr>
        <w:t xml:space="preserve"> съвременни технологии, инструменти и платформи за обмен на знания и идеи. Те се интегрират с приоритетите и целите в политиките по опазването на околната среда, съхраняването и експонирането на културното наследство, адаптирането към изменението на климата и изграждането на устойчивата и сигурна среда на познанието.</w:t>
      </w:r>
      <w:r w:rsidR="00C415D1" w:rsidRPr="00610B1B">
        <w:rPr>
          <w:rFonts w:ascii="Times New Roman" w:hAnsi="Times New Roman" w:cs="Times New Roman"/>
          <w:sz w:val="24"/>
          <w:szCs w:val="24"/>
          <w:lang w:val="bg-BG"/>
        </w:rPr>
        <w:t xml:space="preserve"> </w:t>
      </w:r>
    </w:p>
    <w:p w14:paraId="307C117C" w14:textId="77777777" w:rsidR="00F37D59" w:rsidRPr="00610B1B" w:rsidRDefault="00F37D59" w:rsidP="00D32D6A">
      <w:pPr>
        <w:spacing w:after="120"/>
        <w:ind w:right="-153"/>
        <w:jc w:val="both"/>
        <w:rPr>
          <w:rFonts w:ascii="Times New Roman" w:eastAsia="Calibri" w:hAnsi="Times New Roman" w:cs="Times New Roman"/>
          <w:sz w:val="12"/>
          <w:szCs w:val="12"/>
          <w:lang w:val="bg-BG"/>
        </w:rPr>
      </w:pPr>
    </w:p>
    <w:p w14:paraId="5CBB4BA6" w14:textId="77777777" w:rsidR="00442579" w:rsidRPr="00610B1B" w:rsidRDefault="00442579" w:rsidP="003F3C59">
      <w:pPr>
        <w:shd w:val="clear" w:color="auto" w:fill="BEE6F0"/>
        <w:spacing w:after="120"/>
        <w:ind w:right="-153"/>
        <w:jc w:val="both"/>
        <w:rPr>
          <w:rFonts w:ascii="Times New Roman" w:eastAsia="Calibri" w:hAnsi="Times New Roman" w:cs="Times New Roman"/>
          <w:b/>
          <w:sz w:val="24"/>
          <w:szCs w:val="24"/>
          <w:lang w:val="bg-BG"/>
        </w:rPr>
      </w:pPr>
      <w:r w:rsidRPr="00610B1B">
        <w:rPr>
          <w:rFonts w:ascii="Times New Roman" w:eastAsia="Calibri" w:hAnsi="Times New Roman" w:cs="Times New Roman"/>
          <w:b/>
          <w:sz w:val="24"/>
          <w:szCs w:val="24"/>
          <w:lang w:val="bg-BG"/>
        </w:rPr>
        <w:t>Стратегическа цел 4: Международно и регионално сътрудничество за опазване и ползване на черноморските ресурси</w:t>
      </w:r>
    </w:p>
    <w:p w14:paraId="1DC90147" w14:textId="7274CED8" w:rsidR="002C575F" w:rsidRPr="00610B1B" w:rsidRDefault="002C575F" w:rsidP="00D32D6A">
      <w:pPr>
        <w:widowControl w:val="0"/>
        <w:spacing w:after="120"/>
        <w:jc w:val="both"/>
        <w:rPr>
          <w:rFonts w:ascii="Times New Roman" w:eastAsia="Times New Roman" w:hAnsi="Times New Roman" w:cs="Times New Roman"/>
          <w:sz w:val="24"/>
          <w:szCs w:val="24"/>
          <w:lang w:val="bg-BG" w:eastAsia="zh-CN" w:bidi="hi-IN"/>
        </w:rPr>
      </w:pPr>
      <w:r w:rsidRPr="00610B1B">
        <w:rPr>
          <w:rFonts w:ascii="Times New Roman" w:eastAsia="Times New Roman" w:hAnsi="Times New Roman" w:cs="Times New Roman"/>
          <w:sz w:val="24"/>
          <w:szCs w:val="24"/>
          <w:lang w:val="bg-BG" w:eastAsia="zh-CN" w:bidi="hi-IN"/>
        </w:rPr>
        <w:t>Според предложения Нулев проект на рамка за биологичното разнообразие след 2020 г. (CBD, 2020) е необходимо до 2030 г. поне 30% от сушата и морето да бъдат защитени. Европейският съюз поставя същата обща цел за опазване на биоразнообразието (</w:t>
      </w:r>
      <w:r w:rsidRPr="00610B1B">
        <w:rPr>
          <w:rFonts w:ascii="Times New Roman" w:eastAsia="Times New Roman" w:hAnsi="Times New Roman" w:cs="Times New Roman"/>
          <w:i/>
          <w:sz w:val="24"/>
          <w:szCs w:val="24"/>
          <w:lang w:val="bg-BG" w:eastAsia="zh-CN" w:bidi="hi-IN"/>
        </w:rPr>
        <w:t>EU Biodiversity Strategy for 2030</w:t>
      </w:r>
      <w:r w:rsidRPr="00610B1B">
        <w:rPr>
          <w:rFonts w:ascii="Times New Roman" w:eastAsia="Times New Roman" w:hAnsi="Times New Roman" w:cs="Times New Roman"/>
          <w:sz w:val="24"/>
          <w:szCs w:val="24"/>
          <w:lang w:val="bg-BG" w:eastAsia="zh-CN" w:bidi="hi-IN"/>
        </w:rPr>
        <w:t>, n.d.). Тази цел надгражда досега съществуващата цел 14.5 за защита на поне 10% от крайбрежните и морски пространства (United Nations, 2015). Понастоящем, около 7.8% от морските пространства на Република България се намират в защитени зони от НЕМ Натура 2000.</w:t>
      </w:r>
    </w:p>
    <w:p w14:paraId="1B97E70D" w14:textId="37462583" w:rsidR="003B6F94" w:rsidRPr="00610B1B" w:rsidRDefault="00444977" w:rsidP="00D32D6A">
      <w:pPr>
        <w:widowControl w:val="0"/>
        <w:spacing w:after="12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sz w:val="24"/>
          <w:szCs w:val="24"/>
          <w:lang w:val="bg-BG" w:eastAsia="zh-CN" w:bidi="hi-IN"/>
        </w:rPr>
        <w:t>Опазването на ресурсите и на биологичното разнообразие в Черноморския регион изисква съвместни усилия на държавите в региона и на институц</w:t>
      </w:r>
      <w:r w:rsidRPr="00610B1B">
        <w:rPr>
          <w:rFonts w:ascii="Times New Roman" w:eastAsia="Times New Roman" w:hAnsi="Times New Roman" w:cs="Times New Roman"/>
          <w:color w:val="00000A"/>
          <w:sz w:val="24"/>
          <w:szCs w:val="24"/>
          <w:lang w:val="bg-BG" w:eastAsia="zh-CN" w:bidi="hi-IN"/>
        </w:rPr>
        <w:t>иите в тях, поради което целите от тези документи са обвързани с темата за международното сътрудничество. Т</w:t>
      </w:r>
      <w:r w:rsidR="00F37D59" w:rsidRPr="00610B1B">
        <w:rPr>
          <w:rFonts w:ascii="Times New Roman" w:eastAsia="Calibri" w:hAnsi="Times New Roman" w:cs="Times New Roman"/>
          <w:color w:val="000000" w:themeColor="text1"/>
          <w:sz w:val="24"/>
          <w:szCs w:val="24"/>
          <w:lang w:val="bg-BG"/>
        </w:rPr>
        <w:t xml:space="preserve">ова сътрудничество се очаква да се задълбочи и разшири с всички страни от Черноморския регион. </w:t>
      </w:r>
      <w:r w:rsidR="003B6F94" w:rsidRPr="00610B1B">
        <w:rPr>
          <w:rFonts w:ascii="Times New Roman" w:eastAsia="Calibri" w:hAnsi="Times New Roman" w:cs="Times New Roman"/>
          <w:color w:val="000000" w:themeColor="text1"/>
          <w:sz w:val="24"/>
          <w:szCs w:val="24"/>
          <w:lang w:val="bg-BG"/>
        </w:rPr>
        <w:t xml:space="preserve">То ще следва приоритетите на изпълняваните в момента програми за </w:t>
      </w:r>
      <w:r w:rsidR="00491157" w:rsidRPr="00610B1B">
        <w:rPr>
          <w:rFonts w:ascii="Times New Roman" w:eastAsia="Calibri" w:hAnsi="Times New Roman" w:cs="Times New Roman"/>
          <w:color w:val="000000" w:themeColor="text1"/>
          <w:sz w:val="24"/>
          <w:szCs w:val="24"/>
          <w:lang w:val="bg-BG"/>
        </w:rPr>
        <w:t xml:space="preserve">Черноморския </w:t>
      </w:r>
      <w:r w:rsidR="003B6F94" w:rsidRPr="00610B1B">
        <w:rPr>
          <w:rFonts w:ascii="Times New Roman" w:eastAsia="Calibri" w:hAnsi="Times New Roman" w:cs="Times New Roman"/>
          <w:color w:val="000000" w:themeColor="text1"/>
          <w:sz w:val="24"/>
          <w:szCs w:val="24"/>
          <w:lang w:val="bg-BG"/>
        </w:rPr>
        <w:t xml:space="preserve">регион, както и документите на активните институции за коопериране в областта на инфраструктурите, научните изследвания, технологичното развитие, опазването на околната среда и иновациите. Ще се подпомагат съвместни действия за насърчаване на прехода към кръгова икономика, изграждане на капацитет на заинтересованите страни, кампании за повишаване на осведомеността за насърчаване на устойчиви практики и поведение. </w:t>
      </w:r>
    </w:p>
    <w:p w14:paraId="2D87A954" w14:textId="598980E3" w:rsidR="003B6F94" w:rsidRPr="00610B1B" w:rsidRDefault="003B6F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Пренасяйки целите на съвместната оперативна програма за трансгранично сътрудничество „Черноморски басейн 2014-2020“, МППРБ потвърждава необходимостта от насърчаване на бизнеса и предприемачеството в сферата на туризма и културата, на търговията и модернизацията на селското стопанство и свързаните сектори, на съвместния мониторинг на околната среда и управлението на морските отпадъци. Програмата е от изключителна важност за страната поради факта, че само две от шестте страни, с излаз на Черно море са членки на ЕС. Тя се изпълнява паралелно с дейностите по приложение на Рамковата директива за морска стратегия, които имат за цел подобряване на екологичния статус на морската среда.</w:t>
      </w:r>
      <w:r w:rsidR="00D66FE0" w:rsidRPr="00610B1B">
        <w:rPr>
          <w:rFonts w:ascii="Times New Roman" w:eastAsia="Calibri" w:hAnsi="Times New Roman" w:cs="Times New Roman"/>
          <w:color w:val="000000" w:themeColor="text1"/>
          <w:sz w:val="24"/>
          <w:szCs w:val="24"/>
          <w:lang w:val="bg-BG"/>
        </w:rPr>
        <w:t xml:space="preserve"> </w:t>
      </w:r>
    </w:p>
    <w:p w14:paraId="4877B98E" w14:textId="1032A85D" w:rsidR="003B6F94" w:rsidRPr="00610B1B" w:rsidRDefault="003B6F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От стратегическа важност за развитието не само на черноморското крайбрежие, но и на дълбокия хинтерланд е проектирането и изграждането на АМ „Черно море“. Предложението е тази магистрала да продължи като първокласен четирилентов път на север от Варна до Шабла с връзка към Констанца и Тулча, а на юг от Бургас – до Созопол </w:t>
      </w:r>
      <w:r w:rsidRPr="00610B1B">
        <w:rPr>
          <w:rFonts w:ascii="Times New Roman" w:eastAsia="Calibri" w:hAnsi="Times New Roman" w:cs="Times New Roman"/>
          <w:color w:val="000000" w:themeColor="text1"/>
          <w:sz w:val="24"/>
          <w:szCs w:val="24"/>
          <w:lang w:val="bg-BG"/>
        </w:rPr>
        <w:lastRenderedPageBreak/>
        <w:t>и Резово с връзка към Демиркьой и Истанбул. Така ще се подобри свързаността и ще се създадат условия за валоризиране на специфичните потенциали на черноморското крайбрежие -</w:t>
      </w:r>
      <w:r w:rsidR="00596BC1"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 xml:space="preserve">туризъм, синя индустрия, пулсиращи трудови пазари, пулсираща търговия, специфичния атрактивен ресурс на “Via Pontica”. </w:t>
      </w:r>
    </w:p>
    <w:p w14:paraId="359C4327" w14:textId="79190412" w:rsidR="003B6F94" w:rsidRPr="00610B1B" w:rsidRDefault="003B6F94" w:rsidP="00D32D6A">
      <w:pPr>
        <w:spacing w:after="120"/>
        <w:ind w:right="-153"/>
        <w:jc w:val="both"/>
        <w:rPr>
          <w:rFonts w:ascii="Times New Roman" w:eastAsia="Calibri" w:hAnsi="Times New Roman" w:cs="Times New Roman"/>
          <w:b/>
          <w:bCs/>
          <w:i/>
          <w:iCs/>
          <w:color w:val="000000" w:themeColor="text1"/>
          <w:sz w:val="24"/>
          <w:szCs w:val="24"/>
          <w:lang w:val="bg-BG"/>
        </w:rPr>
      </w:pPr>
      <w:r w:rsidRPr="00610B1B">
        <w:rPr>
          <w:rFonts w:ascii="Times New Roman" w:eastAsia="Calibri" w:hAnsi="Times New Roman" w:cs="Times New Roman"/>
          <w:b/>
          <w:bCs/>
          <w:i/>
          <w:iCs/>
          <w:color w:val="000000" w:themeColor="text1"/>
          <w:sz w:val="24"/>
          <w:szCs w:val="24"/>
          <w:lang w:val="bg-BG"/>
        </w:rPr>
        <w:t xml:space="preserve">Специфична цел 4.1. Сътрудничество за намаляване нивата на замърсителите до безвредни за морските екосистеми стойности </w:t>
      </w:r>
    </w:p>
    <w:p w14:paraId="6114B42D" w14:textId="77777777" w:rsidR="000B5FFA" w:rsidRPr="00610B1B" w:rsidRDefault="000B5FFA"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Тази специфична цел е възможно да бъде постигната посредством изпълнението на следните мерки, значителна част от които в условията на трансгранично сътрудничество:</w:t>
      </w:r>
    </w:p>
    <w:p w14:paraId="497876B1" w14:textId="01381BD3" w:rsidR="000B5FFA" w:rsidRPr="00610B1B" w:rsidRDefault="000B5FFA" w:rsidP="00B46189">
      <w:pPr>
        <w:pStyle w:val="ListParagraph"/>
        <w:numPr>
          <w:ilvl w:val="0"/>
          <w:numId w:val="68"/>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color w:val="000000" w:themeColor="text1"/>
          <w:sz w:val="24"/>
          <w:szCs w:val="24"/>
          <w:lang w:val="bg-BG"/>
        </w:rPr>
        <w:t xml:space="preserve">Намаляване на нивата на всички видове замърсители до стойности, които не са вредни за морските екосистеми, чрез предотвратяване на </w:t>
      </w:r>
      <w:r w:rsidRPr="00610B1B">
        <w:rPr>
          <w:rFonts w:ascii="Times New Roman" w:eastAsia="Calibri" w:hAnsi="Times New Roman" w:cs="Times New Roman"/>
          <w:sz w:val="24"/>
          <w:szCs w:val="24"/>
          <w:lang w:val="bg-BG"/>
        </w:rPr>
        <w:t>инциденти, съгласувано и ефективно управление на наземните източници на замърсяване и индустриалните дейности в крайбрежните зони и шелфа</w:t>
      </w:r>
      <w:r w:rsidR="00DE1E57" w:rsidRPr="00610B1B">
        <w:rPr>
          <w:rFonts w:ascii="Times New Roman" w:eastAsia="Calibri" w:hAnsi="Times New Roman" w:cs="Times New Roman"/>
          <w:sz w:val="24"/>
          <w:szCs w:val="24"/>
          <w:lang w:val="bg-BG"/>
        </w:rPr>
        <w:t xml:space="preserve"> в т.ч. ефективен контрол и постепенно ограничаване или санкциониране на дейността на обекти извън обхвата</w:t>
      </w:r>
      <w:r w:rsidR="008753B6" w:rsidRPr="00610B1B">
        <w:rPr>
          <w:rFonts w:ascii="Times New Roman" w:eastAsia="Calibri" w:hAnsi="Times New Roman" w:cs="Times New Roman"/>
          <w:sz w:val="24"/>
          <w:szCs w:val="24"/>
          <w:lang w:val="bg-BG"/>
        </w:rPr>
        <w:t xml:space="preserve"> </w:t>
      </w:r>
      <w:r w:rsidR="00DE1E57" w:rsidRPr="00610B1B">
        <w:rPr>
          <w:rFonts w:ascii="Times New Roman" w:eastAsia="Calibri" w:hAnsi="Times New Roman" w:cs="Times New Roman"/>
          <w:sz w:val="24"/>
          <w:szCs w:val="24"/>
          <w:lang w:val="bg-BG"/>
        </w:rPr>
        <w:t>на изградените канализационни системи или без адекватно функциониращи собствени пречиствателни съоръжения, както и въвеждане на иновативни санитарни решения в границите на плажовете извън зоната на концесиите;</w:t>
      </w:r>
      <w:r w:rsidR="00D66FE0" w:rsidRPr="00610B1B">
        <w:rPr>
          <w:rFonts w:ascii="Times New Roman" w:eastAsia="Calibri" w:hAnsi="Times New Roman" w:cs="Times New Roman"/>
          <w:sz w:val="24"/>
          <w:szCs w:val="24"/>
          <w:lang w:val="bg-BG"/>
        </w:rPr>
        <w:t xml:space="preserve"> </w:t>
      </w:r>
    </w:p>
    <w:p w14:paraId="383F7373" w14:textId="643284BE" w:rsidR="000B5FFA" w:rsidRPr="00610B1B" w:rsidRDefault="000B5FFA" w:rsidP="00B46189">
      <w:pPr>
        <w:pStyle w:val="ListParagraph"/>
        <w:numPr>
          <w:ilvl w:val="0"/>
          <w:numId w:val="68"/>
        </w:numPr>
        <w:spacing w:after="120"/>
        <w:ind w:right="-153"/>
        <w:contextualSpacing w:val="0"/>
        <w:jc w:val="both"/>
        <w:rPr>
          <w:rFonts w:ascii="Times New Roman" w:eastAsia="Calibri" w:hAnsi="Times New Roman" w:cs="Times New Roman"/>
          <w:sz w:val="24"/>
          <w:szCs w:val="24"/>
          <w:lang w:val="bg-BG"/>
        </w:rPr>
      </w:pPr>
      <w:r w:rsidRPr="00610B1B">
        <w:rPr>
          <w:rFonts w:ascii="Times New Roman" w:eastAsia="Calibri" w:hAnsi="Times New Roman" w:cs="Times New Roman"/>
          <w:sz w:val="24"/>
          <w:szCs w:val="24"/>
          <w:lang w:val="bg-BG"/>
        </w:rPr>
        <w:t>Значително намаляване на количествата отпадъци, постъпващи или присъстващи в морето чрез ефективен контрол на образуването на отпадъци в зоните от акваторията</w:t>
      </w:r>
      <w:r w:rsidR="00D66FE0" w:rsidRPr="00610B1B">
        <w:rPr>
          <w:rFonts w:ascii="Times New Roman" w:eastAsia="Calibri" w:hAnsi="Times New Roman" w:cs="Times New Roman"/>
          <w:sz w:val="24"/>
          <w:szCs w:val="24"/>
          <w:lang w:val="bg-BG"/>
        </w:rPr>
        <w:t xml:space="preserve"> </w:t>
      </w:r>
      <w:r w:rsidR="00372811" w:rsidRPr="00610B1B">
        <w:rPr>
          <w:rFonts w:ascii="Times New Roman" w:eastAsia="Calibri" w:hAnsi="Times New Roman" w:cs="Times New Roman"/>
          <w:sz w:val="24"/>
          <w:szCs w:val="24"/>
          <w:lang w:val="bg-BG"/>
        </w:rPr>
        <w:t xml:space="preserve">и територията </w:t>
      </w:r>
      <w:r w:rsidRPr="00610B1B">
        <w:rPr>
          <w:rFonts w:ascii="Times New Roman" w:eastAsia="Calibri" w:hAnsi="Times New Roman" w:cs="Times New Roman"/>
          <w:sz w:val="24"/>
          <w:szCs w:val="24"/>
          <w:lang w:val="bg-BG"/>
        </w:rPr>
        <w:t>на Черноморското крайбрежие;</w:t>
      </w:r>
    </w:p>
    <w:p w14:paraId="381CA1FF" w14:textId="4A57061B" w:rsidR="00372811" w:rsidRPr="00610B1B" w:rsidRDefault="000B5FFA" w:rsidP="00B46189">
      <w:pPr>
        <w:pStyle w:val="ListParagraph"/>
        <w:numPr>
          <w:ilvl w:val="0"/>
          <w:numId w:val="68"/>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sz w:val="24"/>
          <w:szCs w:val="24"/>
          <w:lang w:val="bg-BG"/>
        </w:rPr>
        <w:t>Намаляване на подводния шум чрез контрол на индустриалните дейности</w:t>
      </w:r>
      <w:r w:rsidRPr="00610B1B">
        <w:rPr>
          <w:rFonts w:ascii="Times New Roman" w:eastAsia="Calibri" w:hAnsi="Times New Roman" w:cs="Times New Roman"/>
          <w:color w:val="000000" w:themeColor="text1"/>
          <w:sz w:val="24"/>
          <w:szCs w:val="24"/>
          <w:lang w:val="bg-BG"/>
        </w:rPr>
        <w:t xml:space="preserve">, вкл. проучванията и добиването на </w:t>
      </w:r>
      <w:r w:rsidR="00283192" w:rsidRPr="00610B1B">
        <w:rPr>
          <w:rFonts w:ascii="Times New Roman" w:eastAsia="Calibri" w:hAnsi="Times New Roman" w:cs="Times New Roman"/>
          <w:color w:val="000000" w:themeColor="text1"/>
          <w:sz w:val="24"/>
          <w:szCs w:val="24"/>
          <w:lang w:val="bg-BG"/>
        </w:rPr>
        <w:t>минерални ресурси</w:t>
      </w:r>
      <w:r w:rsidRPr="00610B1B">
        <w:rPr>
          <w:rFonts w:ascii="Times New Roman" w:eastAsia="Calibri" w:hAnsi="Times New Roman" w:cs="Times New Roman"/>
          <w:color w:val="000000" w:themeColor="text1"/>
          <w:sz w:val="24"/>
          <w:szCs w:val="24"/>
          <w:lang w:val="bg-BG"/>
        </w:rPr>
        <w:t xml:space="preserve">, актуализиране на съществуващите корабни маршрути и въвеждане на “тихи зони” с ограничения за навлизане на моторни плавателни съдове, отчитайки целите </w:t>
      </w:r>
      <w:r w:rsidR="00372811" w:rsidRPr="00610B1B">
        <w:rPr>
          <w:rFonts w:ascii="Times New Roman" w:eastAsia="Calibri" w:hAnsi="Times New Roman" w:cs="Times New Roman"/>
          <w:color w:val="000000" w:themeColor="text1"/>
          <w:sz w:val="24"/>
          <w:szCs w:val="24"/>
          <w:lang w:val="bg-BG"/>
        </w:rPr>
        <w:t>на</w:t>
      </w:r>
      <w:r w:rsidRPr="00610B1B">
        <w:rPr>
          <w:rFonts w:ascii="Times New Roman" w:eastAsia="Calibri" w:hAnsi="Times New Roman" w:cs="Times New Roman"/>
          <w:color w:val="000000" w:themeColor="text1"/>
          <w:sz w:val="24"/>
          <w:szCs w:val="24"/>
          <w:lang w:val="bg-BG"/>
        </w:rPr>
        <w:t xml:space="preserve"> Рамковата директива за морска стратегия и разположението на морски</w:t>
      </w:r>
      <w:r w:rsidR="00283192" w:rsidRPr="00610B1B">
        <w:rPr>
          <w:rFonts w:ascii="Times New Roman" w:eastAsia="Calibri" w:hAnsi="Times New Roman" w:cs="Times New Roman"/>
          <w:color w:val="000000" w:themeColor="text1"/>
          <w:sz w:val="24"/>
          <w:szCs w:val="24"/>
          <w:lang w:val="bg-BG"/>
        </w:rPr>
        <w:t>те</w:t>
      </w:r>
      <w:r w:rsidRPr="00610B1B">
        <w:rPr>
          <w:rFonts w:ascii="Times New Roman" w:eastAsia="Calibri" w:hAnsi="Times New Roman" w:cs="Times New Roman"/>
          <w:color w:val="000000" w:themeColor="text1"/>
          <w:sz w:val="24"/>
          <w:szCs w:val="24"/>
          <w:lang w:val="bg-BG"/>
        </w:rPr>
        <w:t xml:space="preserve"> защитени територии.</w:t>
      </w:r>
    </w:p>
    <w:p w14:paraId="6442E977" w14:textId="6DAF8665" w:rsidR="000B5FFA" w:rsidRPr="00610B1B" w:rsidRDefault="00372811" w:rsidP="00B46189">
      <w:pPr>
        <w:pStyle w:val="ListParagraph"/>
        <w:numPr>
          <w:ilvl w:val="0"/>
          <w:numId w:val="68"/>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Определяне </w:t>
      </w:r>
      <w:r w:rsidR="000B5FFA" w:rsidRPr="00610B1B">
        <w:rPr>
          <w:rFonts w:ascii="Times New Roman" w:eastAsia="Calibri" w:hAnsi="Times New Roman" w:cs="Times New Roman"/>
          <w:color w:val="000000" w:themeColor="text1"/>
          <w:sz w:val="24"/>
          <w:szCs w:val="24"/>
          <w:lang w:val="bg-BG"/>
        </w:rPr>
        <w:t>на специализирани зони и инсталации за събиране и обезвреждане на седименти и обраствания в пристанищата, недопускане на обмен на баластни води в крайбрежните води</w:t>
      </w:r>
      <w:r w:rsidRPr="00610B1B">
        <w:rPr>
          <w:rFonts w:ascii="Times New Roman" w:eastAsia="Calibri" w:hAnsi="Times New Roman" w:cs="Times New Roman"/>
          <w:color w:val="000000" w:themeColor="text1"/>
          <w:sz w:val="24"/>
          <w:szCs w:val="24"/>
          <w:lang w:val="bg-BG"/>
        </w:rPr>
        <w:t xml:space="preserve"> за ограничаване навлизането на чужди видове</w:t>
      </w:r>
      <w:r w:rsidR="000B5FFA" w:rsidRPr="00610B1B">
        <w:rPr>
          <w:rFonts w:ascii="Times New Roman" w:eastAsia="Calibri" w:hAnsi="Times New Roman" w:cs="Times New Roman"/>
          <w:color w:val="000000" w:themeColor="text1"/>
          <w:sz w:val="24"/>
          <w:szCs w:val="24"/>
          <w:lang w:val="bg-BG"/>
        </w:rPr>
        <w:t>.</w:t>
      </w:r>
    </w:p>
    <w:p w14:paraId="23A9684E" w14:textId="39A0A492" w:rsidR="00372811" w:rsidRPr="00610B1B" w:rsidRDefault="00372811" w:rsidP="00B46189">
      <w:pPr>
        <w:pStyle w:val="ListParagraph"/>
        <w:numPr>
          <w:ilvl w:val="0"/>
          <w:numId w:val="68"/>
        </w:numPr>
        <w:spacing w:after="120"/>
        <w:ind w:right="-153"/>
        <w:contextualSpacing w:val="0"/>
        <w:jc w:val="both"/>
        <w:rPr>
          <w:rFonts w:ascii="Times New Roman" w:eastAsia="Calibri" w:hAnsi="Times New Roman" w:cs="Times New Roman"/>
          <w:b/>
          <w:bCs/>
          <w:i/>
          <w:iCs/>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Прекратяване </w:t>
      </w:r>
      <w:r w:rsidR="000B5FFA" w:rsidRPr="00610B1B">
        <w:rPr>
          <w:rFonts w:ascii="Times New Roman" w:eastAsia="Calibri" w:hAnsi="Times New Roman" w:cs="Times New Roman"/>
          <w:color w:val="000000" w:themeColor="text1"/>
          <w:sz w:val="24"/>
          <w:szCs w:val="24"/>
          <w:lang w:val="bg-BG"/>
        </w:rPr>
        <w:t>затрупването на шелфовите местообитания с драгажни маси от пристанищни дейности и използване на незамърсени наноси с подходящ гранулометричен състав за изкуствено подхранване на участъци от брега, където съществува абразия на плажните ивици поради вълново въздействие и повишаване на морското равнище.</w:t>
      </w:r>
    </w:p>
    <w:p w14:paraId="62D657DE" w14:textId="5C596EB0" w:rsidR="00372811" w:rsidRPr="00610B1B" w:rsidRDefault="00372811"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Значителна част от тези мерки ще се изпълнят посредством съвместни усилия,</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обмен на знания, добри практики и експертиза в специфичните сфери</w:t>
      </w:r>
      <w:r w:rsidR="00600C58" w:rsidRPr="00610B1B">
        <w:rPr>
          <w:rFonts w:ascii="Times New Roman" w:eastAsia="Calibri" w:hAnsi="Times New Roman" w:cs="Times New Roman"/>
          <w:color w:val="000000" w:themeColor="text1"/>
          <w:sz w:val="24"/>
          <w:szCs w:val="24"/>
          <w:lang w:val="bg-BG"/>
        </w:rPr>
        <w:t xml:space="preserve"> на действие на целите с екологична насоченост, обвързано и съгласувано с Морската стратегия и нейната Програма от мерки, без повторение и припокриване.</w:t>
      </w:r>
      <w:r w:rsidR="00D66FE0" w:rsidRPr="00610B1B">
        <w:rPr>
          <w:rFonts w:ascii="Times New Roman" w:eastAsia="Calibri" w:hAnsi="Times New Roman" w:cs="Times New Roman"/>
          <w:color w:val="000000" w:themeColor="text1"/>
          <w:sz w:val="24"/>
          <w:szCs w:val="24"/>
          <w:lang w:val="bg-BG"/>
        </w:rPr>
        <w:t xml:space="preserve"> </w:t>
      </w:r>
    </w:p>
    <w:p w14:paraId="3F642866" w14:textId="63648E06" w:rsidR="003B6F94" w:rsidRPr="00610B1B" w:rsidRDefault="003B6F94" w:rsidP="00D32D6A">
      <w:pPr>
        <w:spacing w:after="120"/>
        <w:ind w:right="-153"/>
        <w:jc w:val="both"/>
        <w:rPr>
          <w:rFonts w:ascii="Times New Roman" w:eastAsia="Calibri" w:hAnsi="Times New Roman" w:cs="Times New Roman"/>
          <w:b/>
          <w:bCs/>
          <w:i/>
          <w:iCs/>
          <w:color w:val="000000" w:themeColor="text1"/>
          <w:sz w:val="24"/>
          <w:szCs w:val="24"/>
          <w:lang w:val="bg-BG"/>
        </w:rPr>
      </w:pPr>
      <w:r w:rsidRPr="00610B1B">
        <w:rPr>
          <w:rFonts w:ascii="Times New Roman" w:eastAsia="Calibri" w:hAnsi="Times New Roman" w:cs="Times New Roman"/>
          <w:b/>
          <w:bCs/>
          <w:i/>
          <w:iCs/>
          <w:color w:val="000000" w:themeColor="text1"/>
          <w:sz w:val="24"/>
          <w:szCs w:val="24"/>
          <w:lang w:val="bg-BG"/>
        </w:rPr>
        <w:t>Специфична цел 4.2. Сътрудничество за ефективно управление на риболова и прекратяване на свръхулова</w:t>
      </w:r>
    </w:p>
    <w:p w14:paraId="3E95C039" w14:textId="29BDF56D" w:rsidR="00600C58" w:rsidRPr="00610B1B" w:rsidRDefault="00600C58"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Специфичната цел адресира опазването на един от най-важните ресурси на морето, от което зависи съхраняването на популацията на морските бозайници, на морските птици, </w:t>
      </w:r>
      <w:r w:rsidRPr="00610B1B">
        <w:rPr>
          <w:rFonts w:ascii="Times New Roman" w:eastAsia="Calibri" w:hAnsi="Times New Roman" w:cs="Times New Roman"/>
          <w:color w:val="000000" w:themeColor="text1"/>
          <w:sz w:val="24"/>
          <w:szCs w:val="24"/>
          <w:lang w:val="bg-BG"/>
        </w:rPr>
        <w:lastRenderedPageBreak/>
        <w:t xml:space="preserve">запазването на традиционния поминък за някои населени места и удовлетворяване потребностите на населението и на </w:t>
      </w:r>
      <w:r w:rsidR="00DE2EB3" w:rsidRPr="00610B1B">
        <w:rPr>
          <w:rFonts w:ascii="Times New Roman" w:eastAsia="Calibri" w:hAnsi="Times New Roman" w:cs="Times New Roman"/>
          <w:color w:val="000000" w:themeColor="text1"/>
          <w:sz w:val="24"/>
          <w:szCs w:val="24"/>
          <w:lang w:val="bg-BG"/>
        </w:rPr>
        <w:t>м</w:t>
      </w:r>
      <w:r w:rsidRPr="00610B1B">
        <w:rPr>
          <w:rFonts w:ascii="Times New Roman" w:eastAsia="Calibri" w:hAnsi="Times New Roman" w:cs="Times New Roman"/>
          <w:color w:val="000000" w:themeColor="text1"/>
          <w:sz w:val="24"/>
          <w:szCs w:val="24"/>
          <w:lang w:val="bg-BG"/>
        </w:rPr>
        <w:t xml:space="preserve">орския туризъм. Поради тази причина се предвижда до 2025 г. да бъде постигнато намаляване на натиска от развитието на сектор „Рибарство и аквакултури“ и същевременно с това, създаване на по-благоприятни условия за неговото устойчиво развитие в една по-чиста морска околна среда. </w:t>
      </w:r>
    </w:p>
    <w:p w14:paraId="274B3DE0" w14:textId="69D592D1" w:rsidR="00DE2EB3" w:rsidRPr="00610B1B" w:rsidRDefault="00DE2EB3"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Освен мерките за намаляване на натиска върху морските екосистеми и ресурси, ограничаване на замърсяването и</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подобряване на състоянието на морската околна среда</w:t>
      </w:r>
      <w:r w:rsidR="00283192" w:rsidRPr="00610B1B">
        <w:rPr>
          <w:rFonts w:ascii="Times New Roman" w:eastAsia="Calibri" w:hAnsi="Times New Roman" w:cs="Times New Roman"/>
          <w:color w:val="000000" w:themeColor="text1"/>
          <w:sz w:val="24"/>
          <w:szCs w:val="24"/>
          <w:lang w:val="bg-BG"/>
        </w:rPr>
        <w:t>,</w:t>
      </w:r>
      <w:r w:rsidRPr="00610B1B">
        <w:rPr>
          <w:rFonts w:ascii="Times New Roman" w:eastAsia="Calibri" w:hAnsi="Times New Roman" w:cs="Times New Roman"/>
          <w:color w:val="000000" w:themeColor="text1"/>
          <w:sz w:val="24"/>
          <w:szCs w:val="24"/>
          <w:lang w:val="bg-BG"/>
        </w:rPr>
        <w:t xml:space="preserve"> за постигането на тази специфична цел се предвижда още:</w:t>
      </w:r>
    </w:p>
    <w:p w14:paraId="63C25EA0" w14:textId="77777777" w:rsidR="00DE2EB3" w:rsidRPr="00610B1B" w:rsidRDefault="00DE2EB3" w:rsidP="00B46189">
      <w:pPr>
        <w:pStyle w:val="ListParagraph"/>
        <w:numPr>
          <w:ilvl w:val="0"/>
          <w:numId w:val="69"/>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Ефективен </w:t>
      </w:r>
      <w:r w:rsidR="00600C58" w:rsidRPr="00610B1B">
        <w:rPr>
          <w:rFonts w:ascii="Times New Roman" w:eastAsia="Calibri" w:hAnsi="Times New Roman" w:cs="Times New Roman"/>
          <w:color w:val="000000" w:themeColor="text1"/>
          <w:sz w:val="24"/>
          <w:szCs w:val="24"/>
          <w:lang w:val="bg-BG"/>
        </w:rPr>
        <w:t>контрол на зоните за риболов, определяне на научно обосновани квоти за експлоатираните видове и контрол на нерегламентирания риболов.</w:t>
      </w:r>
    </w:p>
    <w:p w14:paraId="1C65256C" w14:textId="77777777" w:rsidR="00DE2EB3" w:rsidRPr="00610B1B" w:rsidRDefault="00DE2EB3" w:rsidP="00B46189">
      <w:pPr>
        <w:pStyle w:val="ListParagraph"/>
        <w:numPr>
          <w:ilvl w:val="0"/>
          <w:numId w:val="69"/>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Въвеждане на </w:t>
      </w:r>
      <w:r w:rsidR="00600C58" w:rsidRPr="00610B1B">
        <w:rPr>
          <w:rFonts w:ascii="Times New Roman" w:eastAsia="Calibri" w:hAnsi="Times New Roman" w:cs="Times New Roman"/>
          <w:color w:val="000000" w:themeColor="text1"/>
          <w:sz w:val="24"/>
          <w:szCs w:val="24"/>
          <w:lang w:val="bg-BG"/>
        </w:rPr>
        <w:t xml:space="preserve">методи и критерии за оценка на допустимостта на инвестиционни предложения в зависимост от екологичния носещ капацитет на морската среда (https://www.eionet.europa.eu/gemet/bg/concept/1198). </w:t>
      </w:r>
    </w:p>
    <w:p w14:paraId="257E4428" w14:textId="6C111A36" w:rsidR="00600C58" w:rsidRPr="00610B1B" w:rsidRDefault="00DE2EB3" w:rsidP="00B46189">
      <w:pPr>
        <w:pStyle w:val="ListParagraph"/>
        <w:numPr>
          <w:ilvl w:val="0"/>
          <w:numId w:val="69"/>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Разработване и въвеждане на регламенти </w:t>
      </w:r>
      <w:r w:rsidR="00600C58" w:rsidRPr="00610B1B">
        <w:rPr>
          <w:rFonts w:ascii="Times New Roman" w:eastAsia="Calibri" w:hAnsi="Times New Roman" w:cs="Times New Roman"/>
          <w:color w:val="000000" w:themeColor="text1"/>
          <w:sz w:val="24"/>
          <w:szCs w:val="24"/>
          <w:lang w:val="bg-BG"/>
        </w:rPr>
        <w:t xml:space="preserve">за премахване на </w:t>
      </w:r>
      <w:r w:rsidRPr="00610B1B">
        <w:rPr>
          <w:rFonts w:ascii="Times New Roman" w:eastAsia="Calibri" w:hAnsi="Times New Roman" w:cs="Times New Roman"/>
          <w:color w:val="000000" w:themeColor="text1"/>
          <w:sz w:val="24"/>
          <w:szCs w:val="24"/>
          <w:lang w:val="bg-BG"/>
        </w:rPr>
        <w:t xml:space="preserve">изоставени инсталации за отглеждане на </w:t>
      </w:r>
      <w:r w:rsidR="00600C58" w:rsidRPr="00610B1B">
        <w:rPr>
          <w:rFonts w:ascii="Times New Roman" w:eastAsia="Calibri" w:hAnsi="Times New Roman" w:cs="Times New Roman"/>
          <w:color w:val="000000" w:themeColor="text1"/>
          <w:sz w:val="24"/>
          <w:szCs w:val="24"/>
          <w:lang w:val="bg-BG"/>
        </w:rPr>
        <w:t>аквакултур</w:t>
      </w:r>
      <w:r w:rsidRPr="00610B1B">
        <w:rPr>
          <w:rFonts w:ascii="Times New Roman" w:eastAsia="Calibri" w:hAnsi="Times New Roman" w:cs="Times New Roman"/>
          <w:color w:val="000000" w:themeColor="text1"/>
          <w:sz w:val="24"/>
          <w:szCs w:val="24"/>
          <w:lang w:val="bg-BG"/>
        </w:rPr>
        <w:t>и</w:t>
      </w:r>
      <w:r w:rsidR="00600C58"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 xml:space="preserve">и на даляни, </w:t>
      </w:r>
      <w:r w:rsidR="00600C58" w:rsidRPr="00610B1B">
        <w:rPr>
          <w:rFonts w:ascii="Times New Roman" w:eastAsia="Calibri" w:hAnsi="Times New Roman" w:cs="Times New Roman"/>
          <w:color w:val="000000" w:themeColor="text1"/>
          <w:sz w:val="24"/>
          <w:szCs w:val="24"/>
          <w:lang w:val="bg-BG"/>
        </w:rPr>
        <w:t>след прекратяване на дейността</w:t>
      </w:r>
      <w:r w:rsidRPr="00610B1B">
        <w:rPr>
          <w:rFonts w:ascii="Times New Roman" w:eastAsia="Calibri" w:hAnsi="Times New Roman" w:cs="Times New Roman"/>
          <w:color w:val="000000" w:themeColor="text1"/>
          <w:sz w:val="24"/>
          <w:szCs w:val="24"/>
          <w:lang w:val="bg-BG"/>
        </w:rPr>
        <w:t>,</w:t>
      </w:r>
      <w:r w:rsidR="00600C58" w:rsidRPr="00610B1B">
        <w:rPr>
          <w:rFonts w:ascii="Times New Roman" w:eastAsia="Calibri" w:hAnsi="Times New Roman" w:cs="Times New Roman"/>
          <w:color w:val="000000" w:themeColor="text1"/>
          <w:sz w:val="24"/>
          <w:szCs w:val="24"/>
          <w:lang w:val="bg-BG"/>
        </w:rPr>
        <w:t xml:space="preserve"> с цел предотвратяване на замърсяване</w:t>
      </w:r>
      <w:r w:rsidRPr="00610B1B">
        <w:rPr>
          <w:rFonts w:ascii="Times New Roman" w:eastAsia="Calibri" w:hAnsi="Times New Roman" w:cs="Times New Roman"/>
          <w:color w:val="000000" w:themeColor="text1"/>
          <w:sz w:val="24"/>
          <w:szCs w:val="24"/>
          <w:lang w:val="bg-BG"/>
        </w:rPr>
        <w:t>то</w:t>
      </w:r>
      <w:r w:rsidR="00600C58" w:rsidRPr="00610B1B">
        <w:rPr>
          <w:rFonts w:ascii="Times New Roman" w:eastAsia="Calibri" w:hAnsi="Times New Roman" w:cs="Times New Roman"/>
          <w:color w:val="000000" w:themeColor="text1"/>
          <w:sz w:val="24"/>
          <w:szCs w:val="24"/>
          <w:lang w:val="bg-BG"/>
        </w:rPr>
        <w:t xml:space="preserve"> на морската среда с </w:t>
      </w:r>
      <w:r w:rsidR="00760E2D">
        <w:rPr>
          <w:rFonts w:ascii="Times New Roman" w:eastAsia="Calibri" w:hAnsi="Times New Roman" w:cs="Times New Roman"/>
          <w:color w:val="000000" w:themeColor="text1"/>
          <w:sz w:val="24"/>
          <w:szCs w:val="24"/>
          <w:lang w:val="bg-BG"/>
        </w:rPr>
        <w:t>отпадъци</w:t>
      </w:r>
      <w:r w:rsidR="00275F94" w:rsidRPr="00610B1B">
        <w:rPr>
          <w:rFonts w:ascii="Times New Roman" w:eastAsia="Calibri" w:hAnsi="Times New Roman" w:cs="Times New Roman"/>
          <w:color w:val="000000" w:themeColor="text1"/>
          <w:sz w:val="24"/>
          <w:szCs w:val="24"/>
          <w:lang w:val="bg-BG"/>
        </w:rPr>
        <w:t xml:space="preserve"> и намаляване на риска от инциденти</w:t>
      </w:r>
      <w:r w:rsidR="00600C58" w:rsidRPr="00610B1B">
        <w:rPr>
          <w:rFonts w:ascii="Times New Roman" w:eastAsia="Calibri" w:hAnsi="Times New Roman" w:cs="Times New Roman"/>
          <w:color w:val="000000" w:themeColor="text1"/>
          <w:sz w:val="24"/>
          <w:szCs w:val="24"/>
          <w:lang w:val="bg-BG"/>
        </w:rPr>
        <w:t>.</w:t>
      </w:r>
    </w:p>
    <w:p w14:paraId="56F11DAD" w14:textId="6A21028D" w:rsidR="00DE2EB3" w:rsidRPr="00610B1B" w:rsidRDefault="00DE2EB3"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Съвместното опазване на рибните ресурси ще изисква значителни усилия от страна на черноморските държави, включително и за завишаване на контрола върху морския трафик, престоя на риболовните кораби в определени зони и дейността им.</w:t>
      </w:r>
      <w:r w:rsidR="00C415D1" w:rsidRPr="00610B1B">
        <w:rPr>
          <w:rFonts w:ascii="Times New Roman" w:eastAsia="Calibri" w:hAnsi="Times New Roman" w:cs="Times New Roman"/>
          <w:color w:val="000000" w:themeColor="text1"/>
          <w:sz w:val="24"/>
          <w:szCs w:val="24"/>
          <w:lang w:val="bg-BG"/>
        </w:rPr>
        <w:t xml:space="preserve"> </w:t>
      </w:r>
    </w:p>
    <w:p w14:paraId="51CBA103" w14:textId="629AC99D" w:rsidR="003B6F94" w:rsidRPr="00610B1B" w:rsidRDefault="003B6F94" w:rsidP="00D32D6A">
      <w:pPr>
        <w:spacing w:after="120"/>
        <w:ind w:right="-153"/>
        <w:jc w:val="both"/>
        <w:rPr>
          <w:rFonts w:ascii="Times New Roman" w:eastAsia="Calibri" w:hAnsi="Times New Roman" w:cs="Times New Roman"/>
          <w:b/>
          <w:bCs/>
          <w:i/>
          <w:iCs/>
          <w:color w:val="FF0000"/>
          <w:sz w:val="24"/>
          <w:szCs w:val="24"/>
          <w:lang w:val="bg-BG"/>
        </w:rPr>
      </w:pPr>
      <w:r w:rsidRPr="00610B1B">
        <w:rPr>
          <w:rFonts w:ascii="Times New Roman" w:eastAsia="Calibri" w:hAnsi="Times New Roman" w:cs="Times New Roman"/>
          <w:b/>
          <w:bCs/>
          <w:i/>
          <w:iCs/>
          <w:color w:val="000000" w:themeColor="text1"/>
          <w:sz w:val="24"/>
          <w:szCs w:val="24"/>
          <w:lang w:val="bg-BG"/>
        </w:rPr>
        <w:t xml:space="preserve">Специфична цел 4.3. Сътрудничество за </w:t>
      </w:r>
      <w:r w:rsidR="00CE31A6" w:rsidRPr="00610B1B">
        <w:rPr>
          <w:rFonts w:ascii="Times New Roman" w:eastAsia="Calibri" w:hAnsi="Times New Roman" w:cs="Times New Roman"/>
          <w:b/>
          <w:bCs/>
          <w:i/>
          <w:iCs/>
          <w:color w:val="000000" w:themeColor="text1"/>
          <w:sz w:val="24"/>
          <w:szCs w:val="24"/>
          <w:lang w:val="bg-BG"/>
        </w:rPr>
        <w:t>споделени</w:t>
      </w:r>
      <w:r w:rsidR="00DE2EB3" w:rsidRPr="00610B1B">
        <w:rPr>
          <w:rFonts w:ascii="Times New Roman" w:eastAsia="Calibri" w:hAnsi="Times New Roman" w:cs="Times New Roman"/>
          <w:b/>
          <w:bCs/>
          <w:i/>
          <w:iCs/>
          <w:color w:val="000000" w:themeColor="text1"/>
          <w:sz w:val="24"/>
          <w:szCs w:val="24"/>
          <w:lang w:val="bg-BG"/>
        </w:rPr>
        <w:t xml:space="preserve"> услуги</w:t>
      </w:r>
      <w:r w:rsidR="00CE31A6" w:rsidRPr="00610B1B">
        <w:rPr>
          <w:rFonts w:ascii="Times New Roman" w:eastAsia="Calibri" w:hAnsi="Times New Roman" w:cs="Times New Roman"/>
          <w:b/>
          <w:bCs/>
          <w:i/>
          <w:iCs/>
          <w:color w:val="000000" w:themeColor="text1"/>
          <w:sz w:val="24"/>
          <w:szCs w:val="24"/>
          <w:lang w:val="bg-BG"/>
        </w:rPr>
        <w:t>,</w:t>
      </w:r>
      <w:r w:rsidR="00DE2EB3" w:rsidRPr="00610B1B">
        <w:rPr>
          <w:rFonts w:ascii="Times New Roman" w:eastAsia="Calibri" w:hAnsi="Times New Roman" w:cs="Times New Roman"/>
          <w:b/>
          <w:bCs/>
          <w:i/>
          <w:iCs/>
          <w:color w:val="000000" w:themeColor="text1"/>
          <w:sz w:val="24"/>
          <w:szCs w:val="24"/>
          <w:lang w:val="bg-BG"/>
        </w:rPr>
        <w:t xml:space="preserve"> работни места</w:t>
      </w:r>
      <w:r w:rsidR="00CE31A6" w:rsidRPr="00610B1B">
        <w:rPr>
          <w:rFonts w:ascii="Times New Roman" w:eastAsia="Calibri" w:hAnsi="Times New Roman" w:cs="Times New Roman"/>
          <w:b/>
          <w:bCs/>
          <w:i/>
          <w:iCs/>
          <w:color w:val="000000" w:themeColor="text1"/>
          <w:sz w:val="24"/>
          <w:szCs w:val="24"/>
          <w:lang w:val="bg-BG"/>
        </w:rPr>
        <w:t xml:space="preserve"> и продукти</w:t>
      </w:r>
    </w:p>
    <w:p w14:paraId="3BA305A7" w14:textId="77777777" w:rsidR="0068147B" w:rsidRPr="00610B1B" w:rsidRDefault="0068147B"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Специфичната цел е инспирирана от стратегическата програма за развитие на синята икономика в страните от региона „Дневен ред за Черно море“, лансирана по време на румънското председателство през 2019 г. и подписаните декларации от предходни форуми. В нея е очертано сътрудничеството в няколко области, между които по-важните:</w:t>
      </w:r>
    </w:p>
    <w:p w14:paraId="7ED894B0" w14:textId="0FF734AC" w:rsidR="0068147B" w:rsidRPr="00610B1B" w:rsidRDefault="0068147B" w:rsidP="00B46189">
      <w:pPr>
        <w:pStyle w:val="ListParagraph"/>
        <w:numPr>
          <w:ilvl w:val="0"/>
          <w:numId w:val="7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color w:val="000000"/>
          <w:sz w:val="24"/>
          <w:szCs w:val="24"/>
          <w:bdr w:val="none" w:sz="0" w:space="0" w:color="auto" w:frame="1"/>
          <w:lang w:val="bg-BG"/>
        </w:rPr>
        <w:t>Транспортна свързаност, морски трафик и пристанищна дейности чрез разкриване на</w:t>
      </w:r>
      <w:r w:rsidR="00D66FE0" w:rsidRPr="00610B1B">
        <w:rPr>
          <w:rFonts w:ascii="Times New Roman" w:eastAsia="Times New Roman" w:hAnsi="Times New Roman" w:cs="Times New Roman"/>
          <w:color w:val="000000"/>
          <w:sz w:val="24"/>
          <w:szCs w:val="24"/>
          <w:bdr w:val="none" w:sz="0" w:space="0" w:color="auto" w:frame="1"/>
          <w:lang w:val="bg-BG"/>
        </w:rPr>
        <w:t xml:space="preserve"> </w:t>
      </w:r>
      <w:r w:rsidRPr="00610B1B">
        <w:rPr>
          <w:rFonts w:ascii="Times New Roman" w:eastAsia="Times New Roman" w:hAnsi="Times New Roman" w:cs="Times New Roman"/>
          <w:color w:val="000000"/>
          <w:sz w:val="24"/>
          <w:szCs w:val="24"/>
          <w:bdr w:val="none" w:sz="0" w:space="0" w:color="auto" w:frame="1"/>
          <w:lang w:val="bg-BG"/>
        </w:rPr>
        <w:t>нови корабоплавателни линии за товари, пътници и круизи;</w:t>
      </w:r>
    </w:p>
    <w:p w14:paraId="1FCE8E86" w14:textId="675CA9BF" w:rsidR="0068147B" w:rsidRPr="00610B1B" w:rsidRDefault="0068147B" w:rsidP="00B46189">
      <w:pPr>
        <w:pStyle w:val="ListParagraph"/>
        <w:numPr>
          <w:ilvl w:val="0"/>
          <w:numId w:val="7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color w:val="000000"/>
          <w:sz w:val="24"/>
          <w:szCs w:val="24"/>
          <w:bdr w:val="none" w:sz="0" w:space="0" w:color="auto" w:frame="1"/>
          <w:lang w:val="bg-BG"/>
        </w:rPr>
        <w:t>Стимулиране на сътрудничеството за устойчиво развитие на синята икономика чрез съвм</w:t>
      </w:r>
      <w:r w:rsidR="00B2201E" w:rsidRPr="00610B1B">
        <w:rPr>
          <w:rFonts w:ascii="Times New Roman" w:eastAsia="Times New Roman" w:hAnsi="Times New Roman" w:cs="Times New Roman"/>
          <w:color w:val="000000"/>
          <w:sz w:val="24"/>
          <w:szCs w:val="24"/>
          <w:bdr w:val="none" w:sz="0" w:space="0" w:color="auto" w:frame="1"/>
          <w:lang w:val="bg-BG"/>
        </w:rPr>
        <w:t>е</w:t>
      </w:r>
      <w:r w:rsidRPr="00610B1B">
        <w:rPr>
          <w:rFonts w:ascii="Times New Roman" w:eastAsia="Times New Roman" w:hAnsi="Times New Roman" w:cs="Times New Roman"/>
          <w:color w:val="000000"/>
          <w:sz w:val="24"/>
          <w:szCs w:val="24"/>
          <w:bdr w:val="none" w:sz="0" w:space="0" w:color="auto" w:frame="1"/>
          <w:lang w:val="bg-BG"/>
        </w:rPr>
        <w:t>стни програми и продукти в областта на крайбрежния и морски туризъм;</w:t>
      </w:r>
    </w:p>
    <w:p w14:paraId="13DF6B1B" w14:textId="268BFC89" w:rsidR="00B2201E" w:rsidRPr="00610B1B" w:rsidRDefault="0068147B" w:rsidP="00B46189">
      <w:pPr>
        <w:pStyle w:val="ListParagraph"/>
        <w:numPr>
          <w:ilvl w:val="0"/>
          <w:numId w:val="7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color w:val="000000"/>
          <w:sz w:val="24"/>
          <w:szCs w:val="24"/>
          <w:bdr w:val="none" w:sz="0" w:space="0" w:color="auto" w:frame="1"/>
          <w:lang w:val="bg-BG"/>
        </w:rPr>
        <w:t xml:space="preserve">Развитие на науките за морето и на морското образование и обучение за развиване на нови умения </w:t>
      </w:r>
      <w:r w:rsidR="00B2201E" w:rsidRPr="00610B1B">
        <w:rPr>
          <w:rFonts w:ascii="Times New Roman" w:eastAsia="Times New Roman" w:hAnsi="Times New Roman" w:cs="Times New Roman"/>
          <w:color w:val="000000"/>
          <w:sz w:val="24"/>
          <w:szCs w:val="24"/>
          <w:bdr w:val="none" w:sz="0" w:space="0" w:color="auto" w:frame="1"/>
          <w:lang w:val="bg-BG"/>
        </w:rPr>
        <w:t xml:space="preserve">и капацитет </w:t>
      </w:r>
      <w:r w:rsidRPr="00610B1B">
        <w:rPr>
          <w:rFonts w:ascii="Times New Roman" w:eastAsia="Times New Roman" w:hAnsi="Times New Roman" w:cs="Times New Roman"/>
          <w:color w:val="000000"/>
          <w:sz w:val="24"/>
          <w:szCs w:val="24"/>
          <w:bdr w:val="none" w:sz="0" w:space="0" w:color="auto" w:frame="1"/>
          <w:lang w:val="bg-BG"/>
        </w:rPr>
        <w:t xml:space="preserve">в </w:t>
      </w:r>
      <w:r w:rsidR="00B2201E" w:rsidRPr="00610B1B">
        <w:rPr>
          <w:rFonts w:ascii="Times New Roman" w:eastAsia="Times New Roman" w:hAnsi="Times New Roman" w:cs="Times New Roman"/>
          <w:color w:val="000000"/>
          <w:sz w:val="24"/>
          <w:szCs w:val="24"/>
          <w:bdr w:val="none" w:sz="0" w:space="0" w:color="auto" w:frame="1"/>
          <w:lang w:val="bg-BG"/>
        </w:rPr>
        <w:t>секторите на морската икономика;</w:t>
      </w:r>
    </w:p>
    <w:p w14:paraId="4DCC9DE5" w14:textId="77777777" w:rsidR="00B2201E" w:rsidRPr="00610B1B" w:rsidRDefault="00B2201E" w:rsidP="00B46189">
      <w:pPr>
        <w:pStyle w:val="ListParagraph"/>
        <w:numPr>
          <w:ilvl w:val="0"/>
          <w:numId w:val="7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color w:val="000000"/>
          <w:sz w:val="24"/>
          <w:szCs w:val="24"/>
          <w:bdr w:val="none" w:sz="0" w:space="0" w:color="auto" w:frame="1"/>
          <w:lang w:val="bg-BG"/>
        </w:rPr>
        <w:t xml:space="preserve">Морски </w:t>
      </w:r>
      <w:r w:rsidR="0068147B" w:rsidRPr="00610B1B">
        <w:rPr>
          <w:rFonts w:ascii="Times New Roman" w:eastAsia="Times New Roman" w:hAnsi="Times New Roman" w:cs="Times New Roman"/>
          <w:color w:val="000000"/>
          <w:sz w:val="24"/>
          <w:szCs w:val="24"/>
          <w:bdr w:val="none" w:sz="0" w:space="0" w:color="auto" w:frame="1"/>
          <w:lang w:val="bg-BG"/>
        </w:rPr>
        <w:t>изследвания и иновации</w:t>
      </w:r>
      <w:r w:rsidRPr="00610B1B">
        <w:rPr>
          <w:rFonts w:ascii="Times New Roman" w:eastAsia="Times New Roman" w:hAnsi="Times New Roman" w:cs="Times New Roman"/>
          <w:color w:val="000000"/>
          <w:sz w:val="24"/>
          <w:szCs w:val="24"/>
          <w:bdr w:val="none" w:sz="0" w:space="0" w:color="auto" w:frame="1"/>
          <w:lang w:val="bg-BG"/>
        </w:rPr>
        <w:t xml:space="preserve"> чрез обвързване на наука, бизнес и образование и използване на експертния капацитет в региона;</w:t>
      </w:r>
      <w:r w:rsidR="0068147B" w:rsidRPr="00610B1B">
        <w:rPr>
          <w:rFonts w:ascii="Times New Roman" w:eastAsia="Times New Roman" w:hAnsi="Times New Roman" w:cs="Times New Roman"/>
          <w:color w:val="000000"/>
          <w:sz w:val="24"/>
          <w:szCs w:val="24"/>
          <w:bdr w:val="none" w:sz="0" w:space="0" w:color="auto" w:frame="1"/>
          <w:lang w:val="bg-BG"/>
        </w:rPr>
        <w:t xml:space="preserve"> </w:t>
      </w:r>
    </w:p>
    <w:p w14:paraId="46363B1C" w14:textId="77777777" w:rsidR="00B2201E" w:rsidRPr="00610B1B" w:rsidRDefault="00B2201E" w:rsidP="00B46189">
      <w:pPr>
        <w:pStyle w:val="ListParagraph"/>
        <w:numPr>
          <w:ilvl w:val="0"/>
          <w:numId w:val="7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color w:val="000000"/>
          <w:sz w:val="24"/>
          <w:szCs w:val="24"/>
          <w:bdr w:val="none" w:sz="0" w:space="0" w:color="auto" w:frame="1"/>
          <w:lang w:val="bg-BG"/>
        </w:rPr>
        <w:t xml:space="preserve">Подобряване на състоянието </w:t>
      </w:r>
      <w:r w:rsidR="0068147B" w:rsidRPr="00610B1B">
        <w:rPr>
          <w:rFonts w:ascii="Times New Roman" w:eastAsia="Times New Roman" w:hAnsi="Times New Roman" w:cs="Times New Roman"/>
          <w:color w:val="000000"/>
          <w:sz w:val="24"/>
          <w:szCs w:val="24"/>
          <w:bdr w:val="none" w:sz="0" w:space="0" w:color="auto" w:frame="1"/>
          <w:lang w:val="bg-BG"/>
        </w:rPr>
        <w:t>на морската среда и координация</w:t>
      </w:r>
      <w:r w:rsidRPr="00610B1B">
        <w:rPr>
          <w:rFonts w:ascii="Times New Roman" w:eastAsia="Times New Roman" w:hAnsi="Times New Roman" w:cs="Times New Roman"/>
          <w:color w:val="000000"/>
          <w:sz w:val="24"/>
          <w:szCs w:val="24"/>
          <w:bdr w:val="none" w:sz="0" w:space="0" w:color="auto" w:frame="1"/>
          <w:lang w:val="bg-BG"/>
        </w:rPr>
        <w:t xml:space="preserve"> на действията за </w:t>
      </w:r>
      <w:r w:rsidR="0068147B" w:rsidRPr="00610B1B">
        <w:rPr>
          <w:rFonts w:ascii="Times New Roman" w:eastAsia="Times New Roman" w:hAnsi="Times New Roman" w:cs="Times New Roman"/>
          <w:color w:val="000000"/>
          <w:sz w:val="24"/>
          <w:szCs w:val="24"/>
          <w:bdr w:val="none" w:sz="0" w:space="0" w:color="auto" w:frame="1"/>
          <w:lang w:val="bg-BG"/>
        </w:rPr>
        <w:t>справяне с трансграничните екологични предизвикателства</w:t>
      </w:r>
      <w:r w:rsidRPr="00610B1B">
        <w:rPr>
          <w:rFonts w:ascii="Times New Roman" w:eastAsia="Times New Roman" w:hAnsi="Times New Roman" w:cs="Times New Roman"/>
          <w:color w:val="000000"/>
          <w:sz w:val="24"/>
          <w:szCs w:val="24"/>
          <w:bdr w:val="none" w:sz="0" w:space="0" w:color="auto" w:frame="1"/>
          <w:lang w:val="bg-BG"/>
        </w:rPr>
        <w:t xml:space="preserve"> и намаляване на </w:t>
      </w:r>
      <w:r w:rsidR="0068147B" w:rsidRPr="00610B1B">
        <w:rPr>
          <w:rFonts w:ascii="Times New Roman" w:eastAsia="Times New Roman" w:hAnsi="Times New Roman" w:cs="Times New Roman"/>
          <w:color w:val="000000"/>
          <w:sz w:val="24"/>
          <w:szCs w:val="24"/>
          <w:bdr w:val="none" w:sz="0" w:space="0" w:color="auto" w:frame="1"/>
          <w:lang w:val="bg-BG"/>
        </w:rPr>
        <w:t xml:space="preserve">пластмасовите морски отпадъци. </w:t>
      </w:r>
    </w:p>
    <w:p w14:paraId="5C94A683" w14:textId="07582D31" w:rsidR="0068147B" w:rsidRPr="00610B1B" w:rsidRDefault="00B2201E" w:rsidP="00B46189">
      <w:pPr>
        <w:pStyle w:val="ListParagraph"/>
        <w:numPr>
          <w:ilvl w:val="0"/>
          <w:numId w:val="70"/>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Times New Roman" w:hAnsi="Times New Roman" w:cs="Times New Roman"/>
          <w:color w:val="000000"/>
          <w:sz w:val="24"/>
          <w:szCs w:val="24"/>
          <w:bdr w:val="none" w:sz="0" w:space="0" w:color="auto" w:frame="1"/>
          <w:lang w:val="bg-BG"/>
        </w:rPr>
        <w:t>Съвместни н</w:t>
      </w:r>
      <w:r w:rsidR="0068147B" w:rsidRPr="00610B1B">
        <w:rPr>
          <w:rFonts w:ascii="Times New Roman" w:eastAsia="Times New Roman" w:hAnsi="Times New Roman" w:cs="Times New Roman"/>
          <w:color w:val="000000"/>
          <w:sz w:val="24"/>
          <w:szCs w:val="24"/>
          <w:bdr w:val="none" w:sz="0" w:space="0" w:color="auto" w:frame="1"/>
          <w:lang w:val="bg-BG"/>
        </w:rPr>
        <w:t xml:space="preserve">аблюдения и мониторинг на </w:t>
      </w:r>
      <w:r w:rsidRPr="00610B1B">
        <w:rPr>
          <w:rFonts w:ascii="Times New Roman" w:eastAsia="Times New Roman" w:hAnsi="Times New Roman" w:cs="Times New Roman"/>
          <w:color w:val="000000"/>
          <w:sz w:val="24"/>
          <w:szCs w:val="24"/>
          <w:bdr w:val="none" w:sz="0" w:space="0" w:color="auto" w:frame="1"/>
          <w:lang w:val="bg-BG"/>
        </w:rPr>
        <w:t>дейностите в морето</w:t>
      </w:r>
      <w:r w:rsidR="0068147B" w:rsidRPr="00610B1B">
        <w:rPr>
          <w:rFonts w:ascii="Times New Roman" w:eastAsia="Times New Roman" w:hAnsi="Times New Roman" w:cs="Times New Roman"/>
          <w:color w:val="000000"/>
          <w:sz w:val="24"/>
          <w:szCs w:val="24"/>
          <w:bdr w:val="none" w:sz="0" w:space="0" w:color="auto" w:frame="1"/>
          <w:lang w:val="bg-BG"/>
        </w:rPr>
        <w:t xml:space="preserve"> и околната среда за устойчиво използване на морските ресурси.</w:t>
      </w:r>
    </w:p>
    <w:p w14:paraId="4DC4E06E" w14:textId="28243AED" w:rsidR="0068147B" w:rsidRPr="00610B1B" w:rsidRDefault="00B2201E" w:rsidP="00D32D6A">
      <w:pPr>
        <w:spacing w:after="120"/>
        <w:ind w:right="-153"/>
        <w:jc w:val="both"/>
        <w:rPr>
          <w:rFonts w:ascii="Times New Roman" w:eastAsia="Times New Roman" w:hAnsi="Times New Roman" w:cs="Times New Roman"/>
          <w:color w:val="747474"/>
          <w:sz w:val="21"/>
          <w:szCs w:val="21"/>
          <w:lang w:val="bg-BG"/>
        </w:rPr>
      </w:pPr>
      <w:r w:rsidRPr="00610B1B">
        <w:rPr>
          <w:rFonts w:ascii="Times New Roman" w:eastAsia="Calibri" w:hAnsi="Times New Roman" w:cs="Times New Roman"/>
          <w:color w:val="000000" w:themeColor="text1"/>
          <w:sz w:val="24"/>
          <w:szCs w:val="24"/>
          <w:lang w:val="bg-BG"/>
        </w:rPr>
        <w:lastRenderedPageBreak/>
        <w:t>Изготвен</w:t>
      </w:r>
      <w:r w:rsidR="00483373" w:rsidRPr="00610B1B">
        <w:rPr>
          <w:rFonts w:ascii="Times New Roman" w:eastAsia="Calibri" w:hAnsi="Times New Roman" w:cs="Times New Roman"/>
          <w:color w:val="000000" w:themeColor="text1"/>
          <w:sz w:val="24"/>
          <w:szCs w:val="24"/>
          <w:lang w:val="bg-BG"/>
        </w:rPr>
        <w:t>а</w:t>
      </w:r>
      <w:r w:rsidRPr="00610B1B">
        <w:rPr>
          <w:rFonts w:ascii="Times New Roman" w:eastAsia="Calibri" w:hAnsi="Times New Roman" w:cs="Times New Roman"/>
          <w:color w:val="000000" w:themeColor="text1"/>
          <w:sz w:val="24"/>
          <w:szCs w:val="24"/>
          <w:lang w:val="bg-BG"/>
        </w:rPr>
        <w:t xml:space="preserve"> по подобие на макрорегионалните стратегии за Алпите, за Балтийско и за Адриатическо море, след повече от 10 години дебати за не</w:t>
      </w:r>
      <w:r w:rsidR="00483373" w:rsidRPr="00610B1B">
        <w:rPr>
          <w:rFonts w:ascii="Times New Roman" w:eastAsia="Calibri" w:hAnsi="Times New Roman" w:cs="Times New Roman"/>
          <w:color w:val="000000" w:themeColor="text1"/>
          <w:sz w:val="24"/>
          <w:szCs w:val="24"/>
          <w:lang w:val="bg-BG"/>
        </w:rPr>
        <w:t>йната</w:t>
      </w:r>
      <w:r w:rsidRPr="00610B1B">
        <w:rPr>
          <w:rFonts w:ascii="Times New Roman" w:eastAsia="Calibri" w:hAnsi="Times New Roman" w:cs="Times New Roman"/>
          <w:color w:val="000000" w:themeColor="text1"/>
          <w:sz w:val="24"/>
          <w:szCs w:val="24"/>
          <w:lang w:val="bg-BG"/>
        </w:rPr>
        <w:t xml:space="preserve"> необходимост, </w:t>
      </w:r>
      <w:r w:rsidR="00483373" w:rsidRPr="00610B1B">
        <w:rPr>
          <w:rFonts w:ascii="Times New Roman" w:eastAsia="Calibri" w:hAnsi="Times New Roman" w:cs="Times New Roman"/>
          <w:color w:val="000000" w:themeColor="text1"/>
          <w:sz w:val="24"/>
          <w:szCs w:val="24"/>
          <w:lang w:val="bg-BG"/>
        </w:rPr>
        <w:t>стратегията</w:t>
      </w:r>
      <w:r w:rsidRPr="00610B1B">
        <w:rPr>
          <w:rFonts w:ascii="Times New Roman" w:eastAsia="Calibri" w:hAnsi="Times New Roman" w:cs="Times New Roman"/>
          <w:color w:val="000000" w:themeColor="text1"/>
          <w:sz w:val="24"/>
          <w:szCs w:val="24"/>
          <w:lang w:val="bg-BG"/>
        </w:rPr>
        <w:t xml:space="preserve"> запазва водещите принципи на този вид документи: не създава нови институции; </w:t>
      </w:r>
      <w:r w:rsidR="00483373" w:rsidRPr="00610B1B">
        <w:rPr>
          <w:rFonts w:ascii="Times New Roman" w:eastAsia="Calibri" w:hAnsi="Times New Roman" w:cs="Times New Roman"/>
          <w:color w:val="000000" w:themeColor="text1"/>
          <w:sz w:val="24"/>
          <w:szCs w:val="24"/>
          <w:lang w:val="bg-BG"/>
        </w:rPr>
        <w:t xml:space="preserve">не променя законодателни рамки, </w:t>
      </w:r>
      <w:r w:rsidRPr="00610B1B">
        <w:rPr>
          <w:rFonts w:ascii="Times New Roman" w:eastAsia="Calibri" w:hAnsi="Times New Roman" w:cs="Times New Roman"/>
          <w:color w:val="000000" w:themeColor="text1"/>
          <w:sz w:val="24"/>
          <w:szCs w:val="24"/>
          <w:lang w:val="bg-BG"/>
        </w:rPr>
        <w:t>не насочва</w:t>
      </w:r>
      <w:r w:rsidR="00483373" w:rsidRPr="00610B1B">
        <w:rPr>
          <w:rFonts w:ascii="Times New Roman" w:eastAsia="Calibri" w:hAnsi="Times New Roman" w:cs="Times New Roman"/>
          <w:color w:val="000000" w:themeColor="text1"/>
          <w:sz w:val="24"/>
          <w:szCs w:val="24"/>
          <w:lang w:val="bg-BG"/>
        </w:rPr>
        <w:t xml:space="preserve"> целеви финансов ресурс. Тя подпомага решаването на общи проблеми в географски определени райони. Задължително е обвързването</w:t>
      </w:r>
      <w:r w:rsidR="00DE3A13" w:rsidRPr="00610B1B">
        <w:rPr>
          <w:rFonts w:ascii="Times New Roman" w:eastAsia="Calibri" w:hAnsi="Times New Roman" w:cs="Times New Roman"/>
          <w:color w:val="000000" w:themeColor="text1"/>
          <w:sz w:val="24"/>
          <w:szCs w:val="24"/>
          <w:lang w:val="bg-BG"/>
        </w:rPr>
        <w:t xml:space="preserve"> ѝ </w:t>
      </w:r>
      <w:r w:rsidR="00483373" w:rsidRPr="00610B1B">
        <w:rPr>
          <w:rFonts w:ascii="Times New Roman" w:eastAsia="Calibri" w:hAnsi="Times New Roman" w:cs="Times New Roman"/>
          <w:color w:val="000000" w:themeColor="text1"/>
          <w:sz w:val="24"/>
          <w:szCs w:val="24"/>
          <w:lang w:val="bg-BG"/>
        </w:rPr>
        <w:t xml:space="preserve">с Дунавската стратегия (2009 г.) и с националните стратегически документи. </w:t>
      </w:r>
    </w:p>
    <w:p w14:paraId="6ECF8B46" w14:textId="0549F049" w:rsidR="003B6F94" w:rsidRPr="00610B1B" w:rsidRDefault="003B6F94" w:rsidP="00D32D6A">
      <w:pPr>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Постигането на тези специфични цели</w:t>
      </w:r>
      <w:r w:rsidR="00D66FE0" w:rsidRPr="00610B1B">
        <w:rPr>
          <w:rFonts w:ascii="Times New Roman" w:eastAsia="Calibri" w:hAnsi="Times New Roman" w:cs="Times New Roman"/>
          <w:color w:val="000000" w:themeColor="text1"/>
          <w:sz w:val="24"/>
          <w:szCs w:val="24"/>
          <w:lang w:val="bg-BG"/>
        </w:rPr>
        <w:t xml:space="preserve"> </w:t>
      </w:r>
      <w:r w:rsidRPr="00610B1B">
        <w:rPr>
          <w:rFonts w:ascii="Times New Roman" w:eastAsia="Calibri" w:hAnsi="Times New Roman" w:cs="Times New Roman"/>
          <w:color w:val="000000" w:themeColor="text1"/>
          <w:sz w:val="24"/>
          <w:szCs w:val="24"/>
          <w:lang w:val="bg-BG"/>
        </w:rPr>
        <w:t>с очакван осезаем положителен ефект</w:t>
      </w:r>
      <w:r w:rsidR="00483373" w:rsidRPr="00610B1B">
        <w:rPr>
          <w:rFonts w:ascii="Times New Roman" w:eastAsia="Calibri" w:hAnsi="Times New Roman" w:cs="Times New Roman"/>
          <w:color w:val="000000" w:themeColor="text1"/>
          <w:sz w:val="24"/>
          <w:szCs w:val="24"/>
          <w:lang w:val="bg-BG"/>
        </w:rPr>
        <w:t xml:space="preserve"> включват</w:t>
      </w:r>
      <w:r w:rsidRPr="00610B1B">
        <w:rPr>
          <w:rFonts w:ascii="Times New Roman" w:eastAsia="Calibri" w:hAnsi="Times New Roman" w:cs="Times New Roman"/>
          <w:color w:val="000000" w:themeColor="text1"/>
          <w:sz w:val="24"/>
          <w:szCs w:val="24"/>
          <w:lang w:val="bg-BG"/>
        </w:rPr>
        <w:t>:</w:t>
      </w:r>
    </w:p>
    <w:p w14:paraId="55EBA372" w14:textId="4ADA65BE" w:rsidR="003B6F94" w:rsidRPr="00610B1B" w:rsidRDefault="003B6F94" w:rsidP="00B46189">
      <w:pPr>
        <w:pStyle w:val="ListParagraph"/>
        <w:numPr>
          <w:ilvl w:val="0"/>
          <w:numId w:val="57"/>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Инвестиране в общи продукти и услуги, свързани с историческото, природното и културното наследство, със силен акцент върху създаването на заетост за малките и семейните предприятия;</w:t>
      </w:r>
    </w:p>
    <w:p w14:paraId="4D40CCE2" w14:textId="548E764D" w:rsidR="003B6F94" w:rsidRPr="00610B1B" w:rsidRDefault="003B6F94" w:rsidP="00B46189">
      <w:pPr>
        <w:pStyle w:val="ListParagraph"/>
        <w:numPr>
          <w:ilvl w:val="0"/>
          <w:numId w:val="57"/>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Изпълнение на съвместни мерки за стимулиране на заетостта, чрез подкрепа за подходящи учебни дейности и активно включване на уязвимите групи;</w:t>
      </w:r>
    </w:p>
    <w:p w14:paraId="5AD8E24A" w14:textId="15842BAD" w:rsidR="00C534F3" w:rsidRPr="00610B1B" w:rsidRDefault="003B6F94" w:rsidP="00B46189">
      <w:pPr>
        <w:pStyle w:val="ListParagraph"/>
        <w:numPr>
          <w:ilvl w:val="0"/>
          <w:numId w:val="57"/>
        </w:numPr>
        <w:spacing w:after="120"/>
        <w:ind w:right="-153"/>
        <w:contextualSpacing w:val="0"/>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Обмен на добри практики и изпълнение на съвместни мерки, насочени към политиките за устойчив „син растеж“, за интегрирано управление на крайбрежните зони, морско наблюдение, намаляване на рисковете и повишаване на ефективността в опазването и използването на ресурсите, в съответствие със съвременните изисквания на Интегрираната морска политика на ЕС.</w:t>
      </w:r>
    </w:p>
    <w:bookmarkEnd w:id="457"/>
    <w:p w14:paraId="5E0BFBB6" w14:textId="77046B79" w:rsidR="00A10A70" w:rsidRPr="00610B1B" w:rsidRDefault="00483373" w:rsidP="00D32D6A">
      <w:pPr>
        <w:tabs>
          <w:tab w:val="left" w:pos="3330"/>
        </w:tabs>
        <w:spacing w:after="120"/>
        <w:ind w:right="-153"/>
        <w:jc w:val="both"/>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t xml:space="preserve">Част от приоритетите на „Дневен ред за Черно море“ са обхванати от специфичните цели към предходните стратегически цели. Те могат да се допълват и обновяват в съответствие с настъпили промени в условията и потребностите, </w:t>
      </w:r>
      <w:r w:rsidR="00F04B0A" w:rsidRPr="00610B1B">
        <w:rPr>
          <w:rFonts w:ascii="Times New Roman" w:eastAsia="Calibri" w:hAnsi="Times New Roman" w:cs="Times New Roman"/>
          <w:color w:val="000000" w:themeColor="text1"/>
          <w:sz w:val="24"/>
          <w:szCs w:val="24"/>
          <w:lang w:val="bg-BG"/>
        </w:rPr>
        <w:t xml:space="preserve">и отговарящи на динамичния характер на Морския пространствен план. </w:t>
      </w:r>
    </w:p>
    <w:p w14:paraId="60228F08" w14:textId="28D6025F" w:rsidR="00506859" w:rsidRPr="00610B1B" w:rsidRDefault="00506859" w:rsidP="00D32D6A">
      <w:pPr>
        <w:spacing w:after="120"/>
        <w:ind w:right="-153"/>
        <w:rPr>
          <w:rFonts w:ascii="Times New Roman" w:eastAsia="Calibri" w:hAnsi="Times New Roman" w:cs="Times New Roman"/>
          <w:color w:val="000000" w:themeColor="text1"/>
          <w:sz w:val="24"/>
          <w:szCs w:val="24"/>
          <w:lang w:val="bg-BG"/>
        </w:rPr>
      </w:pPr>
      <w:r w:rsidRPr="00610B1B">
        <w:rPr>
          <w:rFonts w:ascii="Times New Roman" w:eastAsia="Calibri" w:hAnsi="Times New Roman" w:cs="Times New Roman"/>
          <w:color w:val="000000" w:themeColor="text1"/>
          <w:sz w:val="24"/>
          <w:szCs w:val="24"/>
          <w:lang w:val="bg-BG"/>
        </w:rPr>
        <w:br w:type="page"/>
      </w:r>
    </w:p>
    <w:p w14:paraId="4B80D978" w14:textId="12EBEC50" w:rsidR="00183FEA" w:rsidRPr="00610B1B" w:rsidRDefault="007F718F" w:rsidP="00A67B42">
      <w:pPr>
        <w:pStyle w:val="Heading1"/>
        <w:rPr>
          <w:rStyle w:val="Heading1Char"/>
          <w:rFonts w:cs="Times New Roman"/>
          <w:b/>
          <w:bCs/>
        </w:rPr>
      </w:pPr>
      <w:bookmarkStart w:id="459" w:name="_Toc83391427"/>
      <w:bookmarkEnd w:id="456"/>
      <w:r w:rsidRPr="00610B1B">
        <w:rPr>
          <w:rFonts w:cs="Times New Roman"/>
        </w:rPr>
        <w:lastRenderedPageBreak/>
        <w:t xml:space="preserve">6. </w:t>
      </w:r>
      <w:r w:rsidR="0075098D" w:rsidRPr="00610B1B">
        <w:rPr>
          <w:rStyle w:val="Heading1Char"/>
          <w:rFonts w:cs="Times New Roman"/>
          <w:b/>
          <w:bCs/>
        </w:rPr>
        <w:t>ЗОНИРАНЕ НА МОРСКИТЕ ПРОСТРАНСТВА</w:t>
      </w:r>
      <w:r w:rsidR="00183FEA" w:rsidRPr="00610B1B">
        <w:rPr>
          <w:rStyle w:val="Heading1Char"/>
          <w:rFonts w:cs="Times New Roman"/>
          <w:b/>
          <w:bCs/>
        </w:rPr>
        <w:t xml:space="preserve"> И ИНТЕГРИРАНЕ НА ФУНКЦИИТЕ И ДЕЙНОСТИТЕ</w:t>
      </w:r>
      <w:bookmarkEnd w:id="459"/>
      <w:r w:rsidR="0050362A" w:rsidRPr="00610B1B">
        <w:rPr>
          <w:rStyle w:val="Heading1Char"/>
          <w:rFonts w:cs="Times New Roman"/>
          <w:b/>
          <w:bCs/>
        </w:rPr>
        <w:t xml:space="preserve"> </w:t>
      </w:r>
    </w:p>
    <w:p w14:paraId="2923A74A" w14:textId="4ADB845F" w:rsidR="00183FEA" w:rsidRPr="00610B1B" w:rsidRDefault="00F37D59" w:rsidP="00D32D6A">
      <w:pPr>
        <w:pStyle w:val="Heading2"/>
        <w:spacing w:before="0" w:line="276" w:lineRule="auto"/>
        <w:ind w:right="-153"/>
        <w:rPr>
          <w:rFonts w:cs="Times New Roman"/>
        </w:rPr>
      </w:pPr>
      <w:bookmarkStart w:id="460" w:name="_Toc83391428"/>
      <w:r w:rsidRPr="00610B1B">
        <w:rPr>
          <w:rFonts w:cs="Times New Roman"/>
        </w:rPr>
        <w:t xml:space="preserve">6.1. </w:t>
      </w:r>
      <w:r w:rsidR="00E23207" w:rsidRPr="00610B1B">
        <w:rPr>
          <w:rFonts w:cs="Times New Roman"/>
        </w:rPr>
        <w:t>Основни принципи за зониране на морското пространство</w:t>
      </w:r>
      <w:bookmarkEnd w:id="460"/>
    </w:p>
    <w:p w14:paraId="1648D27B" w14:textId="57F1BAF6" w:rsidR="005B5A56" w:rsidRPr="00610B1B" w:rsidRDefault="004A73AB" w:rsidP="00D32D6A">
      <w:pPr>
        <w:pStyle w:val="BodyText"/>
        <w:spacing w:before="0" w:after="120" w:line="276" w:lineRule="auto"/>
        <w:ind w:right="-153"/>
        <w:rPr>
          <w:rFonts w:cs="Times New Roman"/>
        </w:rPr>
      </w:pPr>
      <w:bookmarkStart w:id="461" w:name="_Hlk48383028"/>
      <w:r w:rsidRPr="00610B1B">
        <w:rPr>
          <w:rFonts w:cs="Times New Roman"/>
        </w:rPr>
        <w:t xml:space="preserve">Концепцията за мултифункционалните зони в териториалното и градското планиране </w:t>
      </w:r>
      <w:r w:rsidR="004948F8" w:rsidRPr="00610B1B">
        <w:rPr>
          <w:rFonts w:cs="Times New Roman"/>
        </w:rPr>
        <w:t xml:space="preserve">се свързва с идеите </w:t>
      </w:r>
      <w:r w:rsidRPr="00610B1B">
        <w:rPr>
          <w:rFonts w:cs="Times New Roman"/>
        </w:rPr>
        <w:t>от средата на 1960-те години</w:t>
      </w:r>
      <w:r w:rsidRPr="00610B1B">
        <w:rPr>
          <w:rStyle w:val="FootnoteReference"/>
          <w:rFonts w:cs="Times New Roman"/>
        </w:rPr>
        <w:footnoteReference w:id="179"/>
      </w:r>
      <w:r w:rsidRPr="00610B1B">
        <w:rPr>
          <w:rFonts w:cs="Times New Roman"/>
        </w:rPr>
        <w:t>, имащи за цел да повишат ефективността на използването на пространствата</w:t>
      </w:r>
      <w:r w:rsidR="00251E0D" w:rsidRPr="00610B1B">
        <w:rPr>
          <w:rFonts w:cs="Times New Roman"/>
        </w:rPr>
        <w:t>, да предложа</w:t>
      </w:r>
      <w:r w:rsidR="008D739F" w:rsidRPr="00610B1B">
        <w:rPr>
          <w:rFonts w:cs="Times New Roman"/>
        </w:rPr>
        <w:t>т икономия от мащаба и разнообразна и по-качествена среда. Макар че за морското пространствено планиране т</w:t>
      </w:r>
      <w:r w:rsidR="00480E02" w:rsidRPr="00610B1B">
        <w:rPr>
          <w:rFonts w:cs="Times New Roman"/>
        </w:rPr>
        <w:t xml:space="preserve">я </w:t>
      </w:r>
      <w:r w:rsidR="008D739F" w:rsidRPr="00610B1B">
        <w:rPr>
          <w:rFonts w:cs="Times New Roman"/>
        </w:rPr>
        <w:t xml:space="preserve">е сравнително по-нова, идеите за споделено ползване и координация на дейностите в морето за постигане на синергия преследват аналогични цели. </w:t>
      </w:r>
      <w:r w:rsidR="00480E02" w:rsidRPr="00610B1B">
        <w:rPr>
          <w:rFonts w:cs="Times New Roman"/>
        </w:rPr>
        <w:t xml:space="preserve">Те са водеща цел на тази част от работата по Морския пространствен план. </w:t>
      </w:r>
    </w:p>
    <w:p w14:paraId="2CC9F3A3" w14:textId="7D0410A4" w:rsidR="001920BC" w:rsidRPr="00610B1B" w:rsidRDefault="00275F94" w:rsidP="00D32D6A">
      <w:pPr>
        <w:pStyle w:val="BodyText"/>
        <w:spacing w:before="0" w:after="120" w:line="276" w:lineRule="auto"/>
        <w:ind w:right="-153"/>
        <w:rPr>
          <w:rFonts w:cs="Times New Roman"/>
        </w:rPr>
      </w:pPr>
      <w:r w:rsidRPr="00610B1B">
        <w:rPr>
          <w:rFonts w:cs="Times New Roman"/>
        </w:rPr>
        <w:t xml:space="preserve">Пренесени от MARSPLAN BS, дефинираните цели на </w:t>
      </w:r>
      <w:r w:rsidR="001920BC" w:rsidRPr="00610B1B">
        <w:rPr>
          <w:rFonts w:cs="Times New Roman"/>
        </w:rPr>
        <w:t xml:space="preserve">функционалното зониране </w:t>
      </w:r>
      <w:r w:rsidRPr="00610B1B">
        <w:rPr>
          <w:rFonts w:cs="Times New Roman"/>
        </w:rPr>
        <w:t>в морското пространствено планиране са насочени към:</w:t>
      </w:r>
    </w:p>
    <w:p w14:paraId="4A79F839" w14:textId="1FFF4FB4" w:rsidR="001920BC" w:rsidRPr="00610B1B" w:rsidRDefault="001920BC" w:rsidP="00C3007B">
      <w:pPr>
        <w:pStyle w:val="BodyText"/>
        <w:numPr>
          <w:ilvl w:val="0"/>
          <w:numId w:val="83"/>
        </w:numPr>
        <w:spacing w:before="0" w:after="100" w:line="276" w:lineRule="auto"/>
        <w:ind w:left="629" w:right="-153" w:hanging="357"/>
        <w:rPr>
          <w:rFonts w:cs="Times New Roman"/>
        </w:rPr>
      </w:pPr>
      <w:r w:rsidRPr="00610B1B">
        <w:rPr>
          <w:rFonts w:cs="Times New Roman"/>
        </w:rPr>
        <w:t>опазване на хабитатите, екосистемите и екологичните процеси;</w:t>
      </w:r>
    </w:p>
    <w:p w14:paraId="1D3EA788" w14:textId="1DB73800" w:rsidR="001920BC" w:rsidRPr="00610B1B" w:rsidRDefault="00275F94" w:rsidP="00C3007B">
      <w:pPr>
        <w:pStyle w:val="BodyText"/>
        <w:numPr>
          <w:ilvl w:val="0"/>
          <w:numId w:val="83"/>
        </w:numPr>
        <w:spacing w:before="0" w:after="100" w:line="276" w:lineRule="auto"/>
        <w:ind w:left="629" w:right="-153" w:hanging="357"/>
        <w:rPr>
          <w:rFonts w:cs="Times New Roman"/>
        </w:rPr>
      </w:pPr>
      <w:r w:rsidRPr="00610B1B">
        <w:rPr>
          <w:rFonts w:cs="Times New Roman"/>
        </w:rPr>
        <w:t>разделяне на</w:t>
      </w:r>
      <w:r w:rsidR="001920BC" w:rsidRPr="00610B1B">
        <w:rPr>
          <w:rFonts w:cs="Times New Roman"/>
        </w:rPr>
        <w:t xml:space="preserve"> конфликтните дейности и </w:t>
      </w:r>
      <w:r w:rsidRPr="00610B1B">
        <w:rPr>
          <w:rFonts w:cs="Times New Roman"/>
        </w:rPr>
        <w:t>обединяване на</w:t>
      </w:r>
      <w:r w:rsidR="001920BC" w:rsidRPr="00610B1B">
        <w:rPr>
          <w:rFonts w:cs="Times New Roman"/>
        </w:rPr>
        <w:t xml:space="preserve"> съвместимите човешки дейности;</w:t>
      </w:r>
    </w:p>
    <w:p w14:paraId="112641FE" w14:textId="7C70C243" w:rsidR="001920BC" w:rsidRPr="00610B1B" w:rsidRDefault="00275F94" w:rsidP="00C3007B">
      <w:pPr>
        <w:pStyle w:val="BodyText"/>
        <w:numPr>
          <w:ilvl w:val="0"/>
          <w:numId w:val="83"/>
        </w:numPr>
        <w:spacing w:before="0" w:after="100" w:line="276" w:lineRule="auto"/>
        <w:ind w:left="629" w:right="-153" w:hanging="357"/>
        <w:rPr>
          <w:rFonts w:cs="Times New Roman"/>
        </w:rPr>
      </w:pPr>
      <w:r w:rsidRPr="00610B1B">
        <w:rPr>
          <w:rFonts w:cs="Times New Roman"/>
        </w:rPr>
        <w:t>опазване на</w:t>
      </w:r>
      <w:r w:rsidR="001920BC" w:rsidRPr="00610B1B">
        <w:rPr>
          <w:rFonts w:cs="Times New Roman"/>
        </w:rPr>
        <w:t xml:space="preserve"> природните ценности на морските пространства </w:t>
      </w:r>
      <w:r w:rsidRPr="00610B1B">
        <w:rPr>
          <w:rFonts w:cs="Times New Roman"/>
        </w:rPr>
        <w:t>и</w:t>
      </w:r>
      <w:r w:rsidR="001920BC" w:rsidRPr="00610B1B">
        <w:rPr>
          <w:rFonts w:cs="Times New Roman"/>
        </w:rPr>
        <w:t xml:space="preserve"> разумно </w:t>
      </w:r>
      <w:r w:rsidRPr="00610B1B">
        <w:rPr>
          <w:rFonts w:cs="Times New Roman"/>
        </w:rPr>
        <w:t xml:space="preserve">използване на </w:t>
      </w:r>
      <w:r w:rsidR="001920BC" w:rsidRPr="00610B1B">
        <w:rPr>
          <w:rFonts w:cs="Times New Roman"/>
        </w:rPr>
        <w:t>наличните ресурси;</w:t>
      </w:r>
    </w:p>
    <w:p w14:paraId="0D45F10F" w14:textId="77777777" w:rsidR="00275F94" w:rsidRPr="00610B1B" w:rsidRDefault="001920BC" w:rsidP="00C3007B">
      <w:pPr>
        <w:pStyle w:val="BodyText"/>
        <w:numPr>
          <w:ilvl w:val="0"/>
          <w:numId w:val="83"/>
        </w:numPr>
        <w:spacing w:before="0" w:after="100" w:line="276" w:lineRule="auto"/>
        <w:ind w:left="629" w:right="-153" w:hanging="357"/>
        <w:rPr>
          <w:rFonts w:cs="Times New Roman"/>
        </w:rPr>
      </w:pPr>
      <w:r w:rsidRPr="00610B1B">
        <w:rPr>
          <w:rFonts w:cs="Times New Roman"/>
        </w:rPr>
        <w:t xml:space="preserve">разполагане на </w:t>
      </w:r>
      <w:r w:rsidR="004965FA" w:rsidRPr="00610B1B">
        <w:rPr>
          <w:rFonts w:cs="Times New Roman"/>
        </w:rPr>
        <w:t xml:space="preserve">дейностите </w:t>
      </w:r>
      <w:r w:rsidR="00275F94" w:rsidRPr="00610B1B">
        <w:rPr>
          <w:rFonts w:cs="Times New Roman"/>
        </w:rPr>
        <w:t xml:space="preserve">съобразно изискванията за </w:t>
      </w:r>
      <w:r w:rsidR="004965FA" w:rsidRPr="00610B1B">
        <w:rPr>
          <w:rFonts w:cs="Times New Roman"/>
        </w:rPr>
        <w:t>намал</w:t>
      </w:r>
      <w:r w:rsidR="00275F94" w:rsidRPr="00610B1B">
        <w:rPr>
          <w:rFonts w:cs="Times New Roman"/>
        </w:rPr>
        <w:t xml:space="preserve">яване на </w:t>
      </w:r>
      <w:r w:rsidR="004965FA" w:rsidRPr="00610B1B">
        <w:rPr>
          <w:rFonts w:cs="Times New Roman"/>
        </w:rPr>
        <w:t>вредните въздействия върху морската околна среда;</w:t>
      </w:r>
    </w:p>
    <w:p w14:paraId="35A11808" w14:textId="3846C024" w:rsidR="001920BC" w:rsidRPr="00610B1B" w:rsidRDefault="001920BC" w:rsidP="00B46189">
      <w:pPr>
        <w:pStyle w:val="BodyText"/>
        <w:numPr>
          <w:ilvl w:val="0"/>
          <w:numId w:val="83"/>
        </w:numPr>
        <w:spacing w:before="0" w:after="120" w:line="276" w:lineRule="auto"/>
        <w:ind w:right="-153"/>
        <w:rPr>
          <w:rFonts w:cs="Times New Roman"/>
        </w:rPr>
      </w:pPr>
      <w:r w:rsidRPr="00610B1B">
        <w:rPr>
          <w:rFonts w:cs="Times New Roman"/>
        </w:rPr>
        <w:t>съхран</w:t>
      </w:r>
      <w:r w:rsidR="00275F94" w:rsidRPr="00610B1B">
        <w:rPr>
          <w:rFonts w:cs="Times New Roman"/>
        </w:rPr>
        <w:t>яване на</w:t>
      </w:r>
      <w:r w:rsidRPr="00610B1B">
        <w:rPr>
          <w:rFonts w:cs="Times New Roman"/>
        </w:rPr>
        <w:t xml:space="preserve"> някои морски пространства в техния естествен вид, необезпокоявани от човешките дейности</w:t>
      </w:r>
      <w:r w:rsidR="004965FA" w:rsidRPr="00610B1B">
        <w:rPr>
          <w:rFonts w:cs="Times New Roman"/>
        </w:rPr>
        <w:t xml:space="preserve">, освен за образователни и научни цели. </w:t>
      </w:r>
    </w:p>
    <w:p w14:paraId="62720507" w14:textId="35170105" w:rsidR="0033525D" w:rsidRPr="00610B1B" w:rsidRDefault="005B5A56" w:rsidP="00D32D6A">
      <w:pPr>
        <w:pStyle w:val="BodyText"/>
        <w:spacing w:before="0" w:after="120" w:line="276" w:lineRule="auto"/>
        <w:ind w:right="-153"/>
        <w:rPr>
          <w:rFonts w:cs="Times New Roman"/>
        </w:rPr>
      </w:pPr>
      <w:r w:rsidRPr="00610B1B">
        <w:rPr>
          <w:rFonts w:cs="Times New Roman"/>
        </w:rPr>
        <w:t xml:space="preserve">При зонирането на морските пространства </w:t>
      </w:r>
      <w:r w:rsidR="00480E02" w:rsidRPr="00610B1B">
        <w:rPr>
          <w:rFonts w:cs="Times New Roman"/>
        </w:rPr>
        <w:t>нам</w:t>
      </w:r>
      <w:r w:rsidR="00F250D0" w:rsidRPr="00610B1B">
        <w:rPr>
          <w:rFonts w:cs="Times New Roman"/>
        </w:rPr>
        <w:t>ират</w:t>
      </w:r>
      <w:r w:rsidR="00480E02" w:rsidRPr="00610B1B">
        <w:rPr>
          <w:rFonts w:cs="Times New Roman"/>
        </w:rPr>
        <w:t xml:space="preserve"> приложение </w:t>
      </w:r>
      <w:r w:rsidR="00F250D0" w:rsidRPr="00610B1B">
        <w:rPr>
          <w:rFonts w:cs="Times New Roman"/>
        </w:rPr>
        <w:t xml:space="preserve">и </w:t>
      </w:r>
      <w:r w:rsidRPr="00610B1B">
        <w:rPr>
          <w:rFonts w:cs="Times New Roman"/>
        </w:rPr>
        <w:t xml:space="preserve">част от </w:t>
      </w:r>
      <w:r w:rsidR="00480E02" w:rsidRPr="00610B1B">
        <w:rPr>
          <w:rFonts w:cs="Times New Roman"/>
        </w:rPr>
        <w:t>о</w:t>
      </w:r>
      <w:r w:rsidR="008D739F" w:rsidRPr="00610B1B">
        <w:rPr>
          <w:rFonts w:cs="Times New Roman"/>
        </w:rPr>
        <w:t xml:space="preserve">сновните </w:t>
      </w:r>
      <w:r w:rsidR="008D739F" w:rsidRPr="00610B1B">
        <w:rPr>
          <w:rFonts w:cs="Times New Roman"/>
          <w:b/>
        </w:rPr>
        <w:t>прин</w:t>
      </w:r>
      <w:r w:rsidR="0033525D" w:rsidRPr="00610B1B">
        <w:rPr>
          <w:rFonts w:cs="Times New Roman"/>
          <w:b/>
        </w:rPr>
        <w:t>ципи,</w:t>
      </w:r>
      <w:r w:rsidR="0033525D" w:rsidRPr="00610B1B">
        <w:rPr>
          <w:rFonts w:cs="Times New Roman"/>
        </w:rPr>
        <w:t xml:space="preserve"> приети в План за действие за рехабилитация на Черно море пр</w:t>
      </w:r>
      <w:r w:rsidR="00DF3365" w:rsidRPr="00610B1B">
        <w:rPr>
          <w:rFonts w:cs="Times New Roman"/>
        </w:rPr>
        <w:t>е</w:t>
      </w:r>
      <w:r w:rsidR="0033525D" w:rsidRPr="00610B1B">
        <w:rPr>
          <w:rFonts w:cs="Times New Roman"/>
        </w:rPr>
        <w:t>з 1996 г. и актуализиран</w:t>
      </w:r>
      <w:r w:rsidR="00336B78" w:rsidRPr="00610B1B">
        <w:rPr>
          <w:rFonts w:cs="Times New Roman"/>
        </w:rPr>
        <w:t>и</w:t>
      </w:r>
      <w:r w:rsidR="0033525D" w:rsidRPr="00610B1B">
        <w:rPr>
          <w:rFonts w:cs="Times New Roman"/>
        </w:rPr>
        <w:t xml:space="preserve"> през 2006 г. на срещата в София</w:t>
      </w:r>
      <w:r w:rsidR="00336B78" w:rsidRPr="00610B1B">
        <w:rPr>
          <w:rFonts w:cs="Times New Roman"/>
        </w:rPr>
        <w:t>,</w:t>
      </w:r>
      <w:r w:rsidR="0033525D" w:rsidRPr="00610B1B">
        <w:rPr>
          <w:rFonts w:cs="Times New Roman"/>
        </w:rPr>
        <w:t xml:space="preserve"> </w:t>
      </w:r>
      <w:r w:rsidR="00480E02" w:rsidRPr="00610B1B">
        <w:rPr>
          <w:rFonts w:cs="Times New Roman"/>
        </w:rPr>
        <w:t xml:space="preserve">които са </w:t>
      </w:r>
      <w:r w:rsidR="008D739F" w:rsidRPr="00610B1B">
        <w:rPr>
          <w:rFonts w:cs="Times New Roman"/>
        </w:rPr>
        <w:t>запаз</w:t>
      </w:r>
      <w:r w:rsidR="00480E02" w:rsidRPr="00610B1B">
        <w:rPr>
          <w:rFonts w:cs="Times New Roman"/>
        </w:rPr>
        <w:t>или</w:t>
      </w:r>
      <w:r w:rsidR="008D739F" w:rsidRPr="00610B1B">
        <w:rPr>
          <w:rFonts w:cs="Times New Roman"/>
        </w:rPr>
        <w:t xml:space="preserve"> своята актуалност</w:t>
      </w:r>
      <w:r w:rsidR="00382FAE" w:rsidRPr="00610B1B">
        <w:rPr>
          <w:rFonts w:cs="Times New Roman"/>
        </w:rPr>
        <w:t>:</w:t>
      </w:r>
      <w:r w:rsidR="0033525D" w:rsidRPr="00610B1B">
        <w:rPr>
          <w:rStyle w:val="FootnoteReference"/>
          <w:rFonts w:cs="Times New Roman"/>
        </w:rPr>
        <w:footnoteReference w:id="180"/>
      </w:r>
    </w:p>
    <w:p w14:paraId="0C17398D" w14:textId="23ED16A7" w:rsidR="00506859" w:rsidRPr="00610B1B" w:rsidRDefault="00506859" w:rsidP="00B46189">
      <w:pPr>
        <w:pStyle w:val="BodyText"/>
        <w:numPr>
          <w:ilvl w:val="0"/>
          <w:numId w:val="58"/>
        </w:numPr>
        <w:spacing w:before="0" w:after="120" w:line="276" w:lineRule="auto"/>
        <w:ind w:right="-153"/>
        <w:rPr>
          <w:rFonts w:cs="Times New Roman"/>
        </w:rPr>
      </w:pPr>
      <w:r w:rsidRPr="00610B1B">
        <w:rPr>
          <w:rFonts w:cs="Times New Roman"/>
        </w:rPr>
        <w:t>Прилагане на концепцията за устойчиво развитие в съответствие с капацитета на Черноморските екосистеми и интересите на бъдещите поколения;</w:t>
      </w:r>
    </w:p>
    <w:p w14:paraId="598AD703" w14:textId="7F892FDD" w:rsidR="00506859" w:rsidRPr="00610B1B" w:rsidRDefault="00506859" w:rsidP="00B46189">
      <w:pPr>
        <w:pStyle w:val="BodyText"/>
        <w:numPr>
          <w:ilvl w:val="0"/>
          <w:numId w:val="58"/>
        </w:numPr>
        <w:spacing w:before="0" w:after="120" w:line="276" w:lineRule="auto"/>
        <w:ind w:right="-153"/>
        <w:rPr>
          <w:rFonts w:cs="Times New Roman"/>
        </w:rPr>
      </w:pPr>
      <w:r w:rsidRPr="00610B1B">
        <w:rPr>
          <w:rFonts w:cs="Times New Roman"/>
        </w:rPr>
        <w:t>Прилагане на превантивни мерки, когато съществува риск за здравето на хората, опасност за живите ресурси и морските екосистеми, дори и когато няма категорични доказателства</w:t>
      </w:r>
      <w:r w:rsidR="00336B78" w:rsidRPr="00610B1B">
        <w:rPr>
          <w:rFonts w:cs="Times New Roman"/>
        </w:rPr>
        <w:t>,</w:t>
      </w:r>
      <w:r w:rsidRPr="00610B1B">
        <w:rPr>
          <w:rFonts w:cs="Times New Roman"/>
        </w:rPr>
        <w:t xml:space="preserve"> </w:t>
      </w:r>
      <w:r w:rsidR="00336B78" w:rsidRPr="00610B1B">
        <w:rPr>
          <w:rFonts w:cs="Times New Roman"/>
        </w:rPr>
        <w:t>а</w:t>
      </w:r>
      <w:r w:rsidRPr="00610B1B">
        <w:rPr>
          <w:rFonts w:cs="Times New Roman"/>
        </w:rPr>
        <w:t xml:space="preserve"> информацията е ненадеждна или недостатъчна</w:t>
      </w:r>
      <w:r w:rsidR="00470C13" w:rsidRPr="00610B1B">
        <w:rPr>
          <w:rFonts w:cs="Times New Roman"/>
        </w:rPr>
        <w:t>;</w:t>
      </w:r>
    </w:p>
    <w:p w14:paraId="3D5BEA6C" w14:textId="2436DB04" w:rsidR="00470C13" w:rsidRPr="00610B1B" w:rsidRDefault="00470C13" w:rsidP="00B46189">
      <w:pPr>
        <w:pStyle w:val="BodyText"/>
        <w:numPr>
          <w:ilvl w:val="0"/>
          <w:numId w:val="58"/>
        </w:numPr>
        <w:spacing w:before="0" w:after="120" w:line="276" w:lineRule="auto"/>
        <w:ind w:right="-153"/>
        <w:rPr>
          <w:rFonts w:cs="Times New Roman"/>
        </w:rPr>
      </w:pPr>
      <w:r w:rsidRPr="00610B1B">
        <w:rPr>
          <w:rFonts w:cs="Times New Roman"/>
        </w:rPr>
        <w:t>Планиране на извънредни ситуации, прилагане на оценка на въздействието върху околната среда и стратегическа оценка, включително оценка на последствията от правителствените политики, програми и планове</w:t>
      </w:r>
      <w:r w:rsidR="00336B78" w:rsidRPr="00610B1B">
        <w:rPr>
          <w:rFonts w:cs="Times New Roman"/>
        </w:rPr>
        <w:t>,</w:t>
      </w:r>
      <w:r w:rsidRPr="00610B1B">
        <w:rPr>
          <w:rFonts w:cs="Times New Roman"/>
        </w:rPr>
        <w:t xml:space="preserve"> върху околната среда;</w:t>
      </w:r>
    </w:p>
    <w:p w14:paraId="677CF1BB" w14:textId="77777777" w:rsidR="00695BEA" w:rsidRPr="00610B1B" w:rsidRDefault="00695BEA" w:rsidP="00695BEA">
      <w:pPr>
        <w:pStyle w:val="BodyText"/>
        <w:spacing w:before="0" w:after="120" w:line="276" w:lineRule="auto"/>
        <w:ind w:right="-153"/>
        <w:rPr>
          <w:rFonts w:cs="Times New Roman"/>
        </w:rPr>
      </w:pPr>
    </w:p>
    <w:p w14:paraId="0E806FD4" w14:textId="05F3A06F" w:rsidR="00470C13" w:rsidRPr="00610B1B" w:rsidRDefault="00470C13" w:rsidP="00B46189">
      <w:pPr>
        <w:pStyle w:val="BodyText"/>
        <w:numPr>
          <w:ilvl w:val="0"/>
          <w:numId w:val="58"/>
        </w:numPr>
        <w:spacing w:before="0" w:after="120" w:line="276" w:lineRule="auto"/>
        <w:ind w:right="-153"/>
        <w:rPr>
          <w:rFonts w:cs="Times New Roman"/>
        </w:rPr>
      </w:pPr>
      <w:r w:rsidRPr="00610B1B">
        <w:rPr>
          <w:rFonts w:cs="Times New Roman"/>
        </w:rPr>
        <w:lastRenderedPageBreak/>
        <w:t>Стимулиране използването на чисти технологии,</w:t>
      </w:r>
      <w:r w:rsidR="005B5A56" w:rsidRPr="00610B1B">
        <w:rPr>
          <w:rFonts w:cs="Times New Roman"/>
        </w:rPr>
        <w:t xml:space="preserve"> чрез</w:t>
      </w:r>
      <w:r w:rsidRPr="00610B1B">
        <w:rPr>
          <w:rFonts w:cs="Times New Roman"/>
        </w:rPr>
        <w:t xml:space="preserve"> постепенно прекратяване на технологиите</w:t>
      </w:r>
      <w:r w:rsidR="00336B78" w:rsidRPr="00610B1B">
        <w:rPr>
          <w:rFonts w:cs="Times New Roman"/>
        </w:rPr>
        <w:t xml:space="preserve">, които </w:t>
      </w:r>
      <w:r w:rsidRPr="00610B1B">
        <w:rPr>
          <w:rFonts w:cs="Times New Roman"/>
        </w:rPr>
        <w:t>генерира</w:t>
      </w:r>
      <w:r w:rsidR="00336B78" w:rsidRPr="00610B1B">
        <w:rPr>
          <w:rFonts w:cs="Times New Roman"/>
        </w:rPr>
        <w:t>т</w:t>
      </w:r>
      <w:r w:rsidRPr="00610B1B">
        <w:rPr>
          <w:rFonts w:cs="Times New Roman"/>
        </w:rPr>
        <w:t xml:space="preserve"> отпадъци;</w:t>
      </w:r>
    </w:p>
    <w:p w14:paraId="270ECD99" w14:textId="7E6017BB" w:rsidR="00470C13" w:rsidRPr="00610B1B" w:rsidRDefault="00470C13" w:rsidP="00B46189">
      <w:pPr>
        <w:pStyle w:val="BodyText"/>
        <w:numPr>
          <w:ilvl w:val="0"/>
          <w:numId w:val="58"/>
        </w:numPr>
        <w:spacing w:before="0" w:after="120" w:line="276" w:lineRule="auto"/>
        <w:ind w:right="-153"/>
        <w:rPr>
          <w:rFonts w:cs="Times New Roman"/>
        </w:rPr>
      </w:pPr>
      <w:r w:rsidRPr="00610B1B">
        <w:rPr>
          <w:rFonts w:cs="Times New Roman"/>
        </w:rPr>
        <w:t>Прилагане на икономически инструменти за насърчаване на устойчиви практики и икономически стимули за въвеждане на екологични технологии и дейности;</w:t>
      </w:r>
    </w:p>
    <w:p w14:paraId="137DCA5B" w14:textId="5A2D9B9F" w:rsidR="00506859" w:rsidRPr="00610B1B" w:rsidRDefault="00336B78" w:rsidP="00B46189">
      <w:pPr>
        <w:pStyle w:val="BodyText"/>
        <w:numPr>
          <w:ilvl w:val="0"/>
          <w:numId w:val="58"/>
        </w:numPr>
        <w:spacing w:before="0" w:after="120" w:line="276" w:lineRule="auto"/>
        <w:ind w:right="-153"/>
        <w:rPr>
          <w:rFonts w:cs="Times New Roman"/>
        </w:rPr>
      </w:pPr>
      <w:r w:rsidRPr="00610B1B">
        <w:rPr>
          <w:rFonts w:cs="Times New Roman"/>
        </w:rPr>
        <w:t>Приемане на временни договорености, които улесняват възстановяването и опазването на черноморската екосистема и устойчивото управление на нейните ресурси</w:t>
      </w:r>
      <w:r w:rsidR="00060F79" w:rsidRPr="00610B1B">
        <w:rPr>
          <w:rFonts w:cs="Times New Roman"/>
        </w:rPr>
        <w:t>,</w:t>
      </w:r>
      <w:r w:rsidRPr="00610B1B">
        <w:rPr>
          <w:rFonts w:cs="Times New Roman"/>
        </w:rPr>
        <w:t xml:space="preserve"> д</w:t>
      </w:r>
      <w:r w:rsidR="00470C13" w:rsidRPr="00610B1B">
        <w:rPr>
          <w:rFonts w:cs="Times New Roman"/>
        </w:rPr>
        <w:t xml:space="preserve">о решаването на въпросите </w:t>
      </w:r>
      <w:r w:rsidRPr="00610B1B">
        <w:rPr>
          <w:rFonts w:cs="Times New Roman"/>
        </w:rPr>
        <w:t xml:space="preserve">за морските граници </w:t>
      </w:r>
      <w:r w:rsidR="00470C13" w:rsidRPr="00610B1B">
        <w:rPr>
          <w:rFonts w:cs="Times New Roman"/>
        </w:rPr>
        <w:t>в региона;</w:t>
      </w:r>
    </w:p>
    <w:p w14:paraId="60AF0131" w14:textId="76622D61" w:rsidR="00470C13" w:rsidRPr="00610B1B" w:rsidRDefault="00470C13" w:rsidP="00B46189">
      <w:pPr>
        <w:pStyle w:val="BodyText"/>
        <w:numPr>
          <w:ilvl w:val="0"/>
          <w:numId w:val="58"/>
        </w:numPr>
        <w:spacing w:before="0" w:after="120" w:line="276" w:lineRule="auto"/>
        <w:ind w:right="-153"/>
        <w:rPr>
          <w:rFonts w:cs="Times New Roman"/>
        </w:rPr>
      </w:pPr>
      <w:r w:rsidRPr="00610B1B">
        <w:rPr>
          <w:rFonts w:cs="Times New Roman"/>
        </w:rPr>
        <w:t>Насърчаване на сътрудничеството между всички държави на Черноморския басейн и по-специално между черноморските крайбрежни държави и държавите от басейна на река Дунав;</w:t>
      </w:r>
    </w:p>
    <w:p w14:paraId="2F73DBEC" w14:textId="0BE9E202" w:rsidR="00470C13" w:rsidRPr="00610B1B" w:rsidRDefault="00470C13" w:rsidP="00B46189">
      <w:pPr>
        <w:pStyle w:val="BodyText"/>
        <w:numPr>
          <w:ilvl w:val="0"/>
          <w:numId w:val="58"/>
        </w:numPr>
        <w:spacing w:before="0" w:after="120" w:line="276" w:lineRule="auto"/>
        <w:ind w:right="-153"/>
        <w:rPr>
          <w:rFonts w:cs="Times New Roman"/>
        </w:rPr>
      </w:pPr>
      <w:r w:rsidRPr="00610B1B">
        <w:rPr>
          <w:rFonts w:cs="Times New Roman"/>
        </w:rPr>
        <w:t>Насърчаване на прозрачностт</w:t>
      </w:r>
      <w:r w:rsidR="00AE376C" w:rsidRPr="00610B1B">
        <w:rPr>
          <w:rFonts w:cs="Times New Roman"/>
        </w:rPr>
        <w:t>а</w:t>
      </w:r>
      <w:r w:rsidRPr="00610B1B">
        <w:rPr>
          <w:rFonts w:cs="Times New Roman"/>
        </w:rPr>
        <w:t xml:space="preserve"> и участието на обществеността чрез широко разпространение на информация за работата за възстановяване и защита на Черно море, признаване и упражняване на правото на участие на обществеността</w:t>
      </w:r>
      <w:r w:rsidR="005E0A6E" w:rsidRPr="00610B1B">
        <w:rPr>
          <w:rFonts w:cs="Times New Roman"/>
        </w:rPr>
        <w:t xml:space="preserve"> </w:t>
      </w:r>
      <w:r w:rsidRPr="00610B1B">
        <w:rPr>
          <w:rFonts w:cs="Times New Roman"/>
        </w:rPr>
        <w:t>в процеса на вземане на решения</w:t>
      </w:r>
      <w:r w:rsidR="005B5A56" w:rsidRPr="00610B1B">
        <w:rPr>
          <w:rFonts w:cs="Times New Roman"/>
        </w:rPr>
        <w:t>;</w:t>
      </w:r>
    </w:p>
    <w:p w14:paraId="6C7F1290" w14:textId="466D4B57" w:rsidR="005B5A56" w:rsidRPr="00610B1B" w:rsidRDefault="005B5A56" w:rsidP="00B46189">
      <w:pPr>
        <w:pStyle w:val="BodyText"/>
        <w:numPr>
          <w:ilvl w:val="0"/>
          <w:numId w:val="58"/>
        </w:numPr>
        <w:spacing w:before="0" w:after="120" w:line="276" w:lineRule="auto"/>
        <w:ind w:right="-153"/>
        <w:rPr>
          <w:rFonts w:cs="Times New Roman"/>
        </w:rPr>
      </w:pPr>
      <w:r w:rsidRPr="00610B1B">
        <w:rPr>
          <w:rFonts w:cs="Times New Roman"/>
        </w:rPr>
        <w:t>Включване на въпросите за околната среда и здравето във всички политики и секторни планове – морски транспорт, туризъм, морски индустрии, рибарство и аквакултура, градоустройство.</w:t>
      </w:r>
    </w:p>
    <w:p w14:paraId="605DCC65" w14:textId="667E4E23" w:rsidR="00AE376C" w:rsidRPr="00610B1B" w:rsidRDefault="00AE376C" w:rsidP="00D32D6A">
      <w:pPr>
        <w:pStyle w:val="BodyText"/>
        <w:spacing w:before="0" w:after="120" w:line="276" w:lineRule="auto"/>
        <w:ind w:right="-153"/>
        <w:rPr>
          <w:rFonts w:cs="Times New Roman"/>
        </w:rPr>
      </w:pPr>
      <w:r w:rsidRPr="00610B1B">
        <w:rPr>
          <w:rFonts w:cs="Times New Roman"/>
        </w:rPr>
        <w:t xml:space="preserve">Към тези </w:t>
      </w:r>
      <w:r w:rsidR="00615A13" w:rsidRPr="00610B1B">
        <w:rPr>
          <w:rFonts w:cs="Times New Roman"/>
        </w:rPr>
        <w:t xml:space="preserve">общи </w:t>
      </w:r>
      <w:r w:rsidRPr="00610B1B">
        <w:rPr>
          <w:rFonts w:cs="Times New Roman"/>
        </w:rPr>
        <w:t>принципи</w:t>
      </w:r>
      <w:r w:rsidR="00615A13" w:rsidRPr="00610B1B">
        <w:rPr>
          <w:rFonts w:cs="Times New Roman"/>
        </w:rPr>
        <w:t>, засяга</w:t>
      </w:r>
      <w:r w:rsidR="006875FD" w:rsidRPr="00610B1B">
        <w:rPr>
          <w:rFonts w:cs="Times New Roman"/>
        </w:rPr>
        <w:t>щи</w:t>
      </w:r>
      <w:r w:rsidR="00615A13" w:rsidRPr="00610B1B">
        <w:rPr>
          <w:rFonts w:cs="Times New Roman"/>
        </w:rPr>
        <w:t xml:space="preserve"> различни сектори на морската икономика и всички</w:t>
      </w:r>
      <w:r w:rsidRPr="00610B1B">
        <w:rPr>
          <w:rFonts w:cs="Times New Roman"/>
        </w:rPr>
        <w:t xml:space="preserve"> </w:t>
      </w:r>
      <w:r w:rsidR="006875FD" w:rsidRPr="00610B1B">
        <w:rPr>
          <w:rFonts w:cs="Times New Roman"/>
        </w:rPr>
        <w:t xml:space="preserve">по-важни въпроси, свързани с устойчивото развитие на Черноморския регион, </w:t>
      </w:r>
      <w:r w:rsidRPr="00610B1B">
        <w:rPr>
          <w:rFonts w:cs="Times New Roman"/>
        </w:rPr>
        <w:t xml:space="preserve">следва да се добавят </w:t>
      </w:r>
      <w:r w:rsidR="006875FD" w:rsidRPr="00610B1B">
        <w:rPr>
          <w:rFonts w:cs="Times New Roman"/>
        </w:rPr>
        <w:t>още и директно насочени</w:t>
      </w:r>
      <w:r w:rsidR="005B5A56" w:rsidRPr="00610B1B">
        <w:rPr>
          <w:rFonts w:cs="Times New Roman"/>
        </w:rPr>
        <w:t>те</w:t>
      </w:r>
      <w:r w:rsidR="006875FD" w:rsidRPr="00610B1B">
        <w:rPr>
          <w:rFonts w:cs="Times New Roman"/>
        </w:rPr>
        <w:t xml:space="preserve"> към функционалното зониране</w:t>
      </w:r>
      <w:r w:rsidR="005B5A56" w:rsidRPr="00610B1B">
        <w:rPr>
          <w:rFonts w:cs="Times New Roman"/>
        </w:rPr>
        <w:t xml:space="preserve"> принципи</w:t>
      </w:r>
      <w:r w:rsidR="006875FD" w:rsidRPr="00610B1B">
        <w:rPr>
          <w:rFonts w:cs="Times New Roman"/>
        </w:rPr>
        <w:t>:</w:t>
      </w:r>
    </w:p>
    <w:p w14:paraId="3556850B" w14:textId="62F2F3FA" w:rsidR="006875FD" w:rsidRPr="00610B1B" w:rsidRDefault="003C09AE" w:rsidP="00B46189">
      <w:pPr>
        <w:pStyle w:val="BodyText"/>
        <w:numPr>
          <w:ilvl w:val="0"/>
          <w:numId w:val="59"/>
        </w:numPr>
        <w:spacing w:before="0" w:after="120" w:line="276" w:lineRule="auto"/>
        <w:ind w:right="-153"/>
        <w:rPr>
          <w:rFonts w:cs="Times New Roman"/>
        </w:rPr>
      </w:pPr>
      <w:r w:rsidRPr="00610B1B">
        <w:rPr>
          <w:rFonts w:cs="Times New Roman"/>
          <w:i/>
        </w:rPr>
        <w:t xml:space="preserve">Организационна </w:t>
      </w:r>
      <w:r w:rsidR="008D739F" w:rsidRPr="00610B1B">
        <w:rPr>
          <w:rFonts w:cs="Times New Roman"/>
          <w:i/>
        </w:rPr>
        <w:t>ефективност</w:t>
      </w:r>
      <w:r w:rsidR="008D739F" w:rsidRPr="00610B1B">
        <w:rPr>
          <w:rFonts w:cs="Times New Roman"/>
        </w:rPr>
        <w:t xml:space="preserve"> при съвместяване на фу</w:t>
      </w:r>
      <w:r w:rsidR="001807DB" w:rsidRPr="00610B1B">
        <w:rPr>
          <w:rFonts w:cs="Times New Roman"/>
        </w:rPr>
        <w:t>нкциите и</w:t>
      </w:r>
      <w:r w:rsidR="008D739F" w:rsidRPr="00610B1B">
        <w:rPr>
          <w:rFonts w:cs="Times New Roman"/>
        </w:rPr>
        <w:t xml:space="preserve"> на </w:t>
      </w:r>
      <w:r w:rsidRPr="00610B1B">
        <w:rPr>
          <w:rFonts w:cs="Times New Roman"/>
        </w:rPr>
        <w:t xml:space="preserve">логистичните, </w:t>
      </w:r>
      <w:r w:rsidR="008D739F" w:rsidRPr="00610B1B">
        <w:rPr>
          <w:rFonts w:cs="Times New Roman"/>
        </w:rPr>
        <w:t>транспортните и комуникационни</w:t>
      </w:r>
      <w:r w:rsidRPr="00610B1B">
        <w:rPr>
          <w:rFonts w:cs="Times New Roman"/>
        </w:rPr>
        <w:t>те</w:t>
      </w:r>
      <w:r w:rsidR="008D739F" w:rsidRPr="00610B1B">
        <w:rPr>
          <w:rFonts w:cs="Times New Roman"/>
        </w:rPr>
        <w:t xml:space="preserve"> потоци</w:t>
      </w:r>
      <w:r w:rsidR="006418C3" w:rsidRPr="00610B1B">
        <w:rPr>
          <w:rFonts w:cs="Times New Roman"/>
        </w:rPr>
        <w:t xml:space="preserve"> в морските пространства</w:t>
      </w:r>
      <w:r w:rsidR="001807DB" w:rsidRPr="00610B1B">
        <w:rPr>
          <w:rFonts w:cs="Times New Roman"/>
        </w:rPr>
        <w:t xml:space="preserve"> </w:t>
      </w:r>
      <w:r w:rsidRPr="00610B1B">
        <w:rPr>
          <w:rFonts w:cs="Times New Roman"/>
        </w:rPr>
        <w:t>за</w:t>
      </w:r>
      <w:r w:rsidR="001807DB" w:rsidRPr="00610B1B">
        <w:rPr>
          <w:rFonts w:cs="Times New Roman"/>
        </w:rPr>
        <w:t xml:space="preserve"> намаляване на разходите</w:t>
      </w:r>
      <w:r w:rsidRPr="00610B1B">
        <w:rPr>
          <w:rFonts w:cs="Times New Roman"/>
        </w:rPr>
        <w:t>,</w:t>
      </w:r>
      <w:r w:rsidR="001807DB" w:rsidRPr="00610B1B">
        <w:rPr>
          <w:rFonts w:cs="Times New Roman"/>
        </w:rPr>
        <w:t xml:space="preserve"> на замърсяването на околната среда и на конфликтите; </w:t>
      </w:r>
    </w:p>
    <w:p w14:paraId="07C9B360" w14:textId="4E8EECC4" w:rsidR="001807DB" w:rsidRPr="00610B1B" w:rsidRDefault="003C09AE" w:rsidP="00B46189">
      <w:pPr>
        <w:pStyle w:val="BodyText"/>
        <w:numPr>
          <w:ilvl w:val="0"/>
          <w:numId w:val="59"/>
        </w:numPr>
        <w:spacing w:before="0" w:after="120" w:line="276" w:lineRule="auto"/>
        <w:ind w:right="-153"/>
        <w:rPr>
          <w:rFonts w:cs="Times New Roman"/>
        </w:rPr>
      </w:pPr>
      <w:r w:rsidRPr="00610B1B">
        <w:rPr>
          <w:rFonts w:cs="Times New Roman"/>
          <w:i/>
        </w:rPr>
        <w:t xml:space="preserve">Технологична </w:t>
      </w:r>
      <w:r w:rsidR="001807DB" w:rsidRPr="00610B1B">
        <w:rPr>
          <w:rFonts w:cs="Times New Roman"/>
          <w:i/>
        </w:rPr>
        <w:t>ефективност</w:t>
      </w:r>
      <w:r w:rsidR="001807DB" w:rsidRPr="00610B1B">
        <w:rPr>
          <w:rFonts w:cs="Times New Roman"/>
        </w:rPr>
        <w:t xml:space="preserve"> чрез съвместяване на дейностите и операциите в морските пространства</w:t>
      </w:r>
      <w:r w:rsidR="006418C3" w:rsidRPr="00610B1B">
        <w:rPr>
          <w:rFonts w:cs="Times New Roman"/>
        </w:rPr>
        <w:t xml:space="preserve">, включително при проучвания за </w:t>
      </w:r>
      <w:r w:rsidR="005E42BA" w:rsidRPr="00610B1B">
        <w:rPr>
          <w:rFonts w:cs="Times New Roman"/>
        </w:rPr>
        <w:t>доб</w:t>
      </w:r>
      <w:r w:rsidR="00F250D0" w:rsidRPr="00610B1B">
        <w:rPr>
          <w:rFonts w:cs="Times New Roman"/>
        </w:rPr>
        <w:t>и</w:t>
      </w:r>
      <w:r w:rsidR="005E42BA" w:rsidRPr="00610B1B">
        <w:rPr>
          <w:rFonts w:cs="Times New Roman"/>
        </w:rPr>
        <w:t xml:space="preserve">в на </w:t>
      </w:r>
      <w:r w:rsidR="006418C3" w:rsidRPr="00610B1B">
        <w:rPr>
          <w:rFonts w:cs="Times New Roman"/>
        </w:rPr>
        <w:t>нефт и газ, риболов, отглеждане на аквакултури, изследване на обекти на подводното културно наследство, пристанищни дейности и др.</w:t>
      </w:r>
      <w:r w:rsidR="005E0A6E" w:rsidRPr="00610B1B">
        <w:rPr>
          <w:rFonts w:cs="Times New Roman"/>
        </w:rPr>
        <w:t>,</w:t>
      </w:r>
      <w:r w:rsidR="006418C3" w:rsidRPr="00610B1B">
        <w:rPr>
          <w:rFonts w:cs="Times New Roman"/>
        </w:rPr>
        <w:t xml:space="preserve"> с оглед намаляване на натиска върху </w:t>
      </w:r>
      <w:r w:rsidR="005E42BA" w:rsidRPr="00610B1B">
        <w:rPr>
          <w:rFonts w:cs="Times New Roman"/>
        </w:rPr>
        <w:t xml:space="preserve">морската </w:t>
      </w:r>
      <w:r w:rsidR="006418C3" w:rsidRPr="00610B1B">
        <w:rPr>
          <w:rFonts w:cs="Times New Roman"/>
        </w:rPr>
        <w:t>околна среда и бреговата зона</w:t>
      </w:r>
      <w:r w:rsidR="005B5A56" w:rsidRPr="00610B1B">
        <w:rPr>
          <w:rFonts w:cs="Times New Roman"/>
        </w:rPr>
        <w:t xml:space="preserve"> и намаляване на риска от инциденти</w:t>
      </w:r>
      <w:r w:rsidR="006418C3" w:rsidRPr="00610B1B">
        <w:rPr>
          <w:rFonts w:cs="Times New Roman"/>
        </w:rPr>
        <w:t>;</w:t>
      </w:r>
    </w:p>
    <w:p w14:paraId="0D07CF8E" w14:textId="74CCE254" w:rsidR="006418C3" w:rsidRPr="00610B1B" w:rsidRDefault="003C09AE" w:rsidP="00B46189">
      <w:pPr>
        <w:pStyle w:val="BodyText"/>
        <w:numPr>
          <w:ilvl w:val="0"/>
          <w:numId w:val="59"/>
        </w:numPr>
        <w:spacing w:before="0" w:after="120" w:line="276" w:lineRule="auto"/>
        <w:ind w:right="-153"/>
        <w:rPr>
          <w:rFonts w:cs="Times New Roman"/>
        </w:rPr>
      </w:pPr>
      <w:r w:rsidRPr="00610B1B">
        <w:rPr>
          <w:rFonts w:cs="Times New Roman"/>
          <w:i/>
        </w:rPr>
        <w:t xml:space="preserve">Функционална съвместимост </w:t>
      </w:r>
      <w:r w:rsidR="00CF3856" w:rsidRPr="00610B1B">
        <w:rPr>
          <w:rFonts w:cs="Times New Roman"/>
          <w:i/>
        </w:rPr>
        <w:t xml:space="preserve">и синергия </w:t>
      </w:r>
      <w:r w:rsidRPr="00610B1B">
        <w:rPr>
          <w:rFonts w:cs="Times New Roman"/>
        </w:rPr>
        <w:t>от безконфликтното съчетаване на взаимно допълващи се дейности</w:t>
      </w:r>
      <w:r w:rsidR="00CF3856" w:rsidRPr="00610B1B">
        <w:rPr>
          <w:rFonts w:cs="Times New Roman"/>
        </w:rPr>
        <w:t xml:space="preserve"> в морските пространства и постигане на по-висока добавена стойност и по-високо качество на морските ползвания. </w:t>
      </w:r>
    </w:p>
    <w:p w14:paraId="19FE2E59" w14:textId="5C1DEDC6" w:rsidR="006875FD" w:rsidRPr="00610B1B" w:rsidRDefault="00CF3856" w:rsidP="00D32D6A">
      <w:pPr>
        <w:pStyle w:val="BodyText"/>
        <w:spacing w:before="0" w:after="120" w:line="276" w:lineRule="auto"/>
        <w:ind w:right="-153"/>
        <w:rPr>
          <w:rFonts w:cs="Times New Roman"/>
        </w:rPr>
      </w:pPr>
      <w:r w:rsidRPr="00610B1B">
        <w:rPr>
          <w:rFonts w:cs="Times New Roman"/>
        </w:rPr>
        <w:t>В</w:t>
      </w:r>
      <w:r w:rsidR="00772A7D" w:rsidRPr="00610B1B">
        <w:rPr>
          <w:rFonts w:cs="Times New Roman"/>
        </w:rPr>
        <w:t>ъв</w:t>
      </w:r>
      <w:r w:rsidRPr="00610B1B">
        <w:rPr>
          <w:rFonts w:cs="Times New Roman"/>
        </w:rPr>
        <w:t xml:space="preserve"> функционални</w:t>
      </w:r>
      <w:r w:rsidR="00C03406" w:rsidRPr="00610B1B">
        <w:rPr>
          <w:rFonts w:cs="Times New Roman"/>
        </w:rPr>
        <w:t>те</w:t>
      </w:r>
      <w:r w:rsidRPr="00610B1B">
        <w:rPr>
          <w:rFonts w:cs="Times New Roman"/>
        </w:rPr>
        <w:t xml:space="preserve"> зони съ</w:t>
      </w:r>
      <w:r w:rsidR="00C12C3D" w:rsidRPr="00610B1B">
        <w:rPr>
          <w:rFonts w:cs="Times New Roman"/>
        </w:rPr>
        <w:t>гласно</w:t>
      </w:r>
      <w:r w:rsidRPr="00610B1B">
        <w:rPr>
          <w:rFonts w:cs="Times New Roman"/>
        </w:rPr>
        <w:t xml:space="preserve"> ЗМПВВППРБ се прилагат режимите</w:t>
      </w:r>
      <w:r w:rsidR="005E0A6E" w:rsidRPr="00610B1B">
        <w:rPr>
          <w:rFonts w:cs="Times New Roman"/>
        </w:rPr>
        <w:t xml:space="preserve">, определени от действащите общи и специализирани законови и подзаконови актове, от приети споразумения и протоколи и стратегически документи. </w:t>
      </w:r>
    </w:p>
    <w:p w14:paraId="5524072E" w14:textId="28A90D4F" w:rsidR="00D32D6A" w:rsidRPr="00610B1B" w:rsidRDefault="00D32D6A" w:rsidP="00D32D6A">
      <w:pPr>
        <w:shd w:val="clear" w:color="auto" w:fill="FFFFFF"/>
        <w:spacing w:after="120"/>
        <w:jc w:val="both"/>
        <w:rPr>
          <w:rFonts w:ascii="Times New Roman" w:eastAsia="Times New Roman" w:hAnsi="Times New Roman" w:cs="Times New Roman"/>
          <w:i/>
          <w:iCs/>
          <w:color w:val="222222"/>
          <w:sz w:val="24"/>
          <w:szCs w:val="24"/>
          <w:lang w:val="bg-BG"/>
        </w:rPr>
      </w:pPr>
    </w:p>
    <w:p w14:paraId="78705E25" w14:textId="09D8B877" w:rsidR="00140F67" w:rsidRPr="00610B1B" w:rsidRDefault="00140F67" w:rsidP="00D32D6A">
      <w:pPr>
        <w:shd w:val="clear" w:color="auto" w:fill="FFFFFF"/>
        <w:spacing w:after="120"/>
        <w:jc w:val="both"/>
        <w:rPr>
          <w:rFonts w:ascii="Times New Roman" w:eastAsia="Times New Roman" w:hAnsi="Times New Roman" w:cs="Times New Roman"/>
          <w:i/>
          <w:iCs/>
          <w:color w:val="222222"/>
          <w:sz w:val="24"/>
          <w:szCs w:val="24"/>
          <w:lang w:val="bg-BG"/>
        </w:rPr>
      </w:pPr>
    </w:p>
    <w:p w14:paraId="1D780E95" w14:textId="1E4AAA36" w:rsidR="00D32D6A" w:rsidRPr="00610B1B" w:rsidRDefault="00D32D6A" w:rsidP="00D32D6A">
      <w:pPr>
        <w:shd w:val="clear" w:color="auto" w:fill="FFFFFF"/>
        <w:spacing w:after="120"/>
        <w:jc w:val="both"/>
        <w:rPr>
          <w:rFonts w:ascii="Times New Roman" w:eastAsia="Times New Roman" w:hAnsi="Times New Roman" w:cs="Times New Roman"/>
          <w:i/>
          <w:iCs/>
          <w:color w:val="222222"/>
          <w:sz w:val="24"/>
          <w:szCs w:val="24"/>
          <w:lang w:val="bg-BG"/>
        </w:rPr>
      </w:pPr>
    </w:p>
    <w:p w14:paraId="3170A3A6" w14:textId="77777777" w:rsidR="00D32D6A" w:rsidRPr="00610B1B" w:rsidRDefault="00D32D6A" w:rsidP="00D32D6A">
      <w:pPr>
        <w:shd w:val="clear" w:color="auto" w:fill="FFFFFF"/>
        <w:spacing w:after="120"/>
        <w:jc w:val="both"/>
        <w:rPr>
          <w:rFonts w:ascii="Times New Roman" w:eastAsia="Times New Roman" w:hAnsi="Times New Roman" w:cs="Times New Roman"/>
          <w:i/>
          <w:iCs/>
          <w:color w:val="222222"/>
          <w:sz w:val="24"/>
          <w:szCs w:val="24"/>
          <w:lang w:val="bg-BG"/>
        </w:rPr>
      </w:pPr>
    </w:p>
    <w:p w14:paraId="4A3547B2" w14:textId="59B0506E" w:rsidR="00183FEA" w:rsidRPr="00610B1B" w:rsidRDefault="004B7385" w:rsidP="00D32D6A">
      <w:pPr>
        <w:pStyle w:val="Heading2"/>
        <w:numPr>
          <w:ilvl w:val="0"/>
          <w:numId w:val="0"/>
        </w:numPr>
        <w:spacing w:before="0" w:line="276" w:lineRule="auto"/>
        <w:ind w:left="576" w:right="-153" w:hanging="576"/>
        <w:rPr>
          <w:rFonts w:cs="Times New Roman"/>
        </w:rPr>
      </w:pPr>
      <w:bookmarkStart w:id="462" w:name="_Toc83391429"/>
      <w:r w:rsidRPr="00610B1B">
        <w:rPr>
          <w:rFonts w:cs="Times New Roman"/>
        </w:rPr>
        <w:lastRenderedPageBreak/>
        <w:t>6.</w:t>
      </w:r>
      <w:r w:rsidR="00DE4B4C" w:rsidRPr="00610B1B">
        <w:rPr>
          <w:rFonts w:cs="Times New Roman"/>
        </w:rPr>
        <w:t>2</w:t>
      </w:r>
      <w:r w:rsidRPr="00610B1B">
        <w:rPr>
          <w:rFonts w:cs="Times New Roman"/>
        </w:rPr>
        <w:t xml:space="preserve">. </w:t>
      </w:r>
      <w:r w:rsidR="00E85735" w:rsidRPr="00610B1B">
        <w:rPr>
          <w:rFonts w:cs="Times New Roman"/>
        </w:rPr>
        <w:t>Конфликти и синергия във функционалното зониране на морските пространства</w:t>
      </w:r>
      <w:bookmarkEnd w:id="462"/>
    </w:p>
    <w:p w14:paraId="59FF2E06" w14:textId="164E8CC2" w:rsidR="00012D1F" w:rsidRPr="00610B1B" w:rsidRDefault="00B45276" w:rsidP="00D32D6A">
      <w:pPr>
        <w:pStyle w:val="Heading3"/>
        <w:spacing w:before="0" w:line="276" w:lineRule="auto"/>
        <w:rPr>
          <w:rFonts w:cs="Times New Roman"/>
        </w:rPr>
      </w:pPr>
      <w:bookmarkStart w:id="463" w:name="_Toc83391430"/>
      <w:r w:rsidRPr="00610B1B">
        <w:rPr>
          <w:rFonts w:cs="Times New Roman"/>
        </w:rPr>
        <w:t>6.</w:t>
      </w:r>
      <w:r w:rsidR="00DE4B4C" w:rsidRPr="00610B1B">
        <w:rPr>
          <w:rFonts w:cs="Times New Roman"/>
        </w:rPr>
        <w:t>2</w:t>
      </w:r>
      <w:r w:rsidRPr="00610B1B">
        <w:rPr>
          <w:rFonts w:cs="Times New Roman"/>
        </w:rPr>
        <w:t xml:space="preserve">.1. </w:t>
      </w:r>
      <w:r w:rsidR="00012D1F" w:rsidRPr="00610B1B">
        <w:rPr>
          <w:rFonts w:cs="Times New Roman"/>
        </w:rPr>
        <w:t>Съвместими и несъвместими функции и дейности.</w:t>
      </w:r>
      <w:bookmarkEnd w:id="463"/>
    </w:p>
    <w:p w14:paraId="2D957499" w14:textId="77777777" w:rsidR="00012D1F" w:rsidRPr="00610B1B" w:rsidRDefault="00012D1F" w:rsidP="00695BEA">
      <w:pPr>
        <w:pStyle w:val="BodyText"/>
        <w:spacing w:before="0" w:after="120" w:line="240" w:lineRule="auto"/>
        <w:rPr>
          <w:rFonts w:cs="Times New Roman"/>
        </w:rPr>
      </w:pPr>
      <w:r w:rsidRPr="00610B1B">
        <w:rPr>
          <w:rFonts w:cs="Times New Roman"/>
          <w:b/>
          <w:bCs/>
        </w:rPr>
        <w:t>Морски транспорт</w:t>
      </w:r>
    </w:p>
    <w:p w14:paraId="59A6D1F2" w14:textId="7CEC2D77" w:rsidR="00012D1F" w:rsidRPr="00610B1B" w:rsidRDefault="00012D1F" w:rsidP="00D32D6A">
      <w:pPr>
        <w:pStyle w:val="BodyText"/>
        <w:spacing w:before="0" w:after="120" w:line="276" w:lineRule="auto"/>
        <w:rPr>
          <w:rFonts w:cs="Times New Roman"/>
        </w:rPr>
      </w:pPr>
      <w:r w:rsidRPr="00610B1B">
        <w:rPr>
          <w:rFonts w:cs="Times New Roman"/>
        </w:rPr>
        <w:t xml:space="preserve">Морският транспорт и </w:t>
      </w:r>
      <w:r w:rsidR="00DD6CD4" w:rsidRPr="00610B1B">
        <w:rPr>
          <w:rFonts w:cs="Times New Roman"/>
        </w:rPr>
        <w:t>стопанският риболов</w:t>
      </w:r>
      <w:r w:rsidRPr="00610B1B">
        <w:rPr>
          <w:rFonts w:cs="Times New Roman"/>
        </w:rPr>
        <w:t xml:space="preserve"> са пространствено съвместими, но при спазване на Конвенция</w:t>
      </w:r>
      <w:r w:rsidR="00D603E3" w:rsidRPr="00610B1B">
        <w:rPr>
          <w:rFonts w:cs="Times New Roman"/>
        </w:rPr>
        <w:t>та</w:t>
      </w:r>
      <w:r w:rsidRPr="00610B1B">
        <w:rPr>
          <w:rFonts w:cs="Times New Roman"/>
        </w:rPr>
        <w:t xml:space="preserve"> за международните правила за предпазване от сблъскване на море, 1972 г.</w:t>
      </w:r>
      <w:bookmarkStart w:id="464" w:name="_RefF7"/>
      <w:bookmarkEnd w:id="464"/>
      <w:r w:rsidRPr="00610B1B">
        <w:rPr>
          <w:rStyle w:val="FootnoteAnchor"/>
          <w:rFonts w:cs="Times New Roman"/>
        </w:rPr>
        <w:footnoteReference w:id="181"/>
      </w:r>
      <w:r w:rsidRPr="00610B1B">
        <w:rPr>
          <w:rFonts w:cs="Times New Roman"/>
        </w:rPr>
        <w:t xml:space="preserve">. Въздействието върху </w:t>
      </w:r>
      <w:r w:rsidR="00DD6CD4" w:rsidRPr="00610B1B">
        <w:rPr>
          <w:rFonts w:cs="Times New Roman"/>
          <w:b/>
          <w:bCs/>
        </w:rPr>
        <w:t>стопански</w:t>
      </w:r>
      <w:r w:rsidR="00173C7E" w:rsidRPr="00610B1B">
        <w:rPr>
          <w:rFonts w:cs="Times New Roman"/>
          <w:b/>
          <w:bCs/>
        </w:rPr>
        <w:t>я</w:t>
      </w:r>
      <w:r w:rsidR="00DD6CD4" w:rsidRPr="00610B1B">
        <w:rPr>
          <w:rFonts w:cs="Times New Roman"/>
          <w:b/>
          <w:bCs/>
        </w:rPr>
        <w:t xml:space="preserve"> риболов</w:t>
      </w:r>
      <w:r w:rsidRPr="00610B1B">
        <w:rPr>
          <w:rFonts w:cs="Times New Roman"/>
        </w:rPr>
        <w:t xml:space="preserve"> е непряко, в резултат от натиск върху характеристиките на морската среда. Пространственото взаимодействие между двете дейности е най-силно в</w:t>
      </w:r>
      <w:r w:rsidR="00D66FE0" w:rsidRPr="00610B1B">
        <w:rPr>
          <w:rFonts w:cs="Times New Roman"/>
        </w:rPr>
        <w:t xml:space="preserve"> </w:t>
      </w:r>
      <w:r w:rsidRPr="00610B1B">
        <w:rPr>
          <w:rFonts w:cs="Times New Roman"/>
        </w:rPr>
        <w:t xml:space="preserve">крайбрежните води, териториалното море и ИИЗ около Варненския и Бургаски залив, където зоните за корабоплаване се припокриват със зоните за </w:t>
      </w:r>
      <w:r w:rsidR="00DD6CD4" w:rsidRPr="00610B1B">
        <w:rPr>
          <w:rFonts w:cs="Times New Roman"/>
        </w:rPr>
        <w:t>стопански риболов</w:t>
      </w:r>
      <w:r w:rsidRPr="00610B1B">
        <w:rPr>
          <w:rFonts w:cs="Times New Roman"/>
        </w:rPr>
        <w:t>.</w:t>
      </w:r>
    </w:p>
    <w:p w14:paraId="6FD10BE0" w14:textId="750BD185" w:rsidR="00012D1F" w:rsidRPr="00610B1B" w:rsidRDefault="00012D1F" w:rsidP="00E750E4">
      <w:pPr>
        <w:pStyle w:val="BodyText"/>
        <w:spacing w:after="120"/>
        <w:rPr>
          <w:rFonts w:cs="Times New Roman"/>
        </w:rPr>
      </w:pPr>
      <w:r w:rsidRPr="00610B1B">
        <w:rPr>
          <w:rFonts w:cs="Times New Roman"/>
        </w:rPr>
        <w:t xml:space="preserve">Зоните за </w:t>
      </w:r>
      <w:r w:rsidR="00F250D0" w:rsidRPr="00610B1B">
        <w:rPr>
          <w:rFonts w:cs="Times New Roman"/>
        </w:rPr>
        <w:t>корабо</w:t>
      </w:r>
      <w:r w:rsidRPr="00610B1B">
        <w:rPr>
          <w:rFonts w:cs="Times New Roman"/>
        </w:rPr>
        <w:t>плаване не се припокрива</w:t>
      </w:r>
      <w:bookmarkEnd w:id="461"/>
      <w:r w:rsidRPr="00610B1B">
        <w:rPr>
          <w:rFonts w:cs="Times New Roman"/>
        </w:rPr>
        <w:t xml:space="preserve">т със зоните за развитие на </w:t>
      </w:r>
      <w:r w:rsidRPr="00610B1B">
        <w:rPr>
          <w:rFonts w:cs="Times New Roman"/>
          <w:b/>
          <w:bCs/>
        </w:rPr>
        <w:t>морските аквакултури</w:t>
      </w:r>
      <w:r w:rsidRPr="00610B1B">
        <w:rPr>
          <w:rFonts w:cs="Times New Roman"/>
        </w:rPr>
        <w:t xml:space="preserve">, </w:t>
      </w:r>
      <w:r w:rsidR="00E750E4" w:rsidRPr="00610B1B">
        <w:rPr>
          <w:rFonts w:cs="Times New Roman"/>
        </w:rPr>
        <w:t xml:space="preserve">където се извършва предимно отглеждане на миди. </w:t>
      </w:r>
      <w:r w:rsidRPr="00610B1B">
        <w:rPr>
          <w:rFonts w:cs="Times New Roman"/>
        </w:rPr>
        <w:t>Непрякото въздействие е аналогично на това върху околната среда, тъй като култивираните миди натрупват замърсители при филтрация на морската вода, което може да ги направи опасни за консумация от човека. Най-силно засегнати могат да бъдат мидените ферми в района на Бургаския залив поради пространствена близост на зоните за корабоплаване.</w:t>
      </w:r>
      <w:r w:rsidR="00822E31" w:rsidRPr="00610B1B">
        <w:rPr>
          <w:rFonts w:cs="Times New Roman"/>
        </w:rPr>
        <w:t xml:space="preserve"> БДЧР има издадени действащи разрешителни за ферми за отглеждане на риби, но тази дейност има вероятност да бъде с неблагоприятно въздействие върху околната среда. </w:t>
      </w:r>
    </w:p>
    <w:p w14:paraId="41C17DD8" w14:textId="531D4ABF" w:rsidR="00012D1F" w:rsidRPr="00610B1B" w:rsidRDefault="00012D1F" w:rsidP="00D32D6A">
      <w:pPr>
        <w:pStyle w:val="BodyText"/>
        <w:spacing w:before="0" w:after="120" w:line="276" w:lineRule="auto"/>
        <w:rPr>
          <w:rFonts w:cs="Times New Roman"/>
        </w:rPr>
      </w:pPr>
      <w:r w:rsidRPr="00610B1B">
        <w:rPr>
          <w:rFonts w:cs="Times New Roman"/>
        </w:rPr>
        <w:t xml:space="preserve">Зоните за корабоплаване се припокриват частично със зоните за развитие на </w:t>
      </w:r>
      <w:r w:rsidRPr="00610B1B">
        <w:rPr>
          <w:rFonts w:cs="Times New Roman"/>
          <w:b/>
          <w:bCs/>
        </w:rPr>
        <w:t>крайбрежния туризъм</w:t>
      </w:r>
      <w:r w:rsidRPr="00610B1B">
        <w:rPr>
          <w:rFonts w:cs="Times New Roman"/>
        </w:rPr>
        <w:t xml:space="preserve">, в зависимост от вида на морския транспорт. Плавателните средства за спорт, туризъм и развлечение, както и високоскоростните плавателни съдове, подпомагат развитието на крайбрежния и морски туризъм. Останалите видове транспорт (пътнически, търговски, риболовни, военни, гранично-полицейски и държавни кораби) се извършват извън зоните за </w:t>
      </w:r>
      <w:r w:rsidR="00112FEA" w:rsidRPr="00610B1B">
        <w:rPr>
          <w:rFonts w:cs="Times New Roman"/>
        </w:rPr>
        <w:t xml:space="preserve">морски </w:t>
      </w:r>
      <w:r w:rsidRPr="00610B1B">
        <w:rPr>
          <w:rFonts w:cs="Times New Roman"/>
        </w:rPr>
        <w:t xml:space="preserve">туризъм, поради което няма причина за несъвместимост. При тях има риск от непряко отрицателно въздействие, доколкото замърсяване с нефтопродукти, </w:t>
      </w:r>
      <w:r w:rsidR="00E06AC8">
        <w:rPr>
          <w:rFonts w:cs="Times New Roman"/>
        </w:rPr>
        <w:t>и</w:t>
      </w:r>
      <w:r w:rsidR="00EE398C">
        <w:rPr>
          <w:rFonts w:cs="Times New Roman"/>
        </w:rPr>
        <w:t xml:space="preserve"> </w:t>
      </w:r>
      <w:r w:rsidR="00760E2D">
        <w:rPr>
          <w:rFonts w:cs="Times New Roman"/>
        </w:rPr>
        <w:t>отпадъци</w:t>
      </w:r>
      <w:r w:rsidRPr="00610B1B">
        <w:rPr>
          <w:rFonts w:cs="Times New Roman"/>
        </w:rPr>
        <w:t xml:space="preserve"> може да достигне до зоните на водите за къпане и да доведе до влошаването на тяхното състояние.</w:t>
      </w:r>
    </w:p>
    <w:p w14:paraId="3705AFD8" w14:textId="17E9C071" w:rsidR="00012D1F" w:rsidRPr="00610B1B" w:rsidRDefault="00012D1F" w:rsidP="00D32D6A">
      <w:pPr>
        <w:pStyle w:val="BodyText"/>
        <w:spacing w:before="0" w:after="120" w:line="276" w:lineRule="auto"/>
        <w:rPr>
          <w:rFonts w:cs="Times New Roman"/>
        </w:rPr>
      </w:pPr>
      <w:r w:rsidRPr="00610B1B">
        <w:rPr>
          <w:rFonts w:cs="Times New Roman"/>
        </w:rPr>
        <w:t xml:space="preserve">Съществува висока степен на съвместимост между развитието на </w:t>
      </w:r>
      <w:r w:rsidRPr="00610B1B">
        <w:rPr>
          <w:rFonts w:cs="Times New Roman"/>
          <w:b/>
          <w:bCs/>
        </w:rPr>
        <w:t>техническата инфраструктура</w:t>
      </w:r>
      <w:r w:rsidRPr="00610B1B">
        <w:rPr>
          <w:rFonts w:cs="Times New Roman"/>
        </w:rPr>
        <w:t xml:space="preserve">, свързано с изграждането и модернизацията </w:t>
      </w:r>
      <w:r w:rsidR="00112FEA" w:rsidRPr="00610B1B">
        <w:rPr>
          <w:rFonts w:cs="Times New Roman"/>
        </w:rPr>
        <w:t xml:space="preserve">на </w:t>
      </w:r>
      <w:r w:rsidRPr="00610B1B">
        <w:rPr>
          <w:rFonts w:cs="Times New Roman"/>
        </w:rPr>
        <w:t>пристанища</w:t>
      </w:r>
      <w:r w:rsidR="00112FEA" w:rsidRPr="00610B1B">
        <w:rPr>
          <w:rFonts w:cs="Times New Roman"/>
        </w:rPr>
        <w:t xml:space="preserve">та </w:t>
      </w:r>
      <w:r w:rsidRPr="00610B1B">
        <w:rPr>
          <w:rFonts w:cs="Times New Roman"/>
        </w:rPr>
        <w:t>и развитието на морския транспорт. Драгирането на пристанищните акватории подобрява проходимостта на морските плавателни пътища.</w:t>
      </w:r>
    </w:p>
    <w:p w14:paraId="7037CC47" w14:textId="2D08AB3E" w:rsidR="00012D1F" w:rsidRPr="00610B1B" w:rsidRDefault="00012D1F" w:rsidP="00D32D6A">
      <w:pPr>
        <w:pStyle w:val="BodyText"/>
        <w:spacing w:before="0" w:after="120" w:line="276" w:lineRule="auto"/>
        <w:rPr>
          <w:rFonts w:cs="Times New Roman"/>
        </w:rPr>
      </w:pPr>
      <w:r w:rsidRPr="00610B1B">
        <w:rPr>
          <w:rFonts w:cs="Times New Roman"/>
        </w:rPr>
        <w:t xml:space="preserve">Морският транспорт е несъвместим със зоните за </w:t>
      </w:r>
      <w:r w:rsidRPr="00610B1B">
        <w:rPr>
          <w:rFonts w:cs="Times New Roman"/>
          <w:b/>
          <w:bCs/>
        </w:rPr>
        <w:t>проучване и добив</w:t>
      </w:r>
      <w:r w:rsidRPr="00610B1B">
        <w:rPr>
          <w:rFonts w:cs="Times New Roman"/>
        </w:rPr>
        <w:t xml:space="preserve"> на енергийни и минерални ресурси. Находищата Галата и Каварна (югоизточно от н. Галата, Варненски залив) са разположени в</w:t>
      </w:r>
      <w:r w:rsidR="000B7461" w:rsidRPr="00610B1B">
        <w:rPr>
          <w:rFonts w:cs="Times New Roman"/>
        </w:rPr>
        <w:t xml:space="preserve"> близост до съществуващата система за разделно движение, което създава рискове</w:t>
      </w:r>
      <w:r w:rsidR="00F250D0" w:rsidRPr="00610B1B">
        <w:rPr>
          <w:rFonts w:cs="Times New Roman"/>
        </w:rPr>
        <w:t>. В</w:t>
      </w:r>
      <w:r w:rsidRPr="00610B1B">
        <w:rPr>
          <w:rFonts w:cs="Times New Roman"/>
        </w:rPr>
        <w:t xml:space="preserve"> зоните около тях се забранява влизането и пребиваването на </w:t>
      </w:r>
      <w:r w:rsidRPr="00610B1B">
        <w:rPr>
          <w:rFonts w:cs="Times New Roman"/>
        </w:rPr>
        <w:lastRenderedPageBreak/>
        <w:t>плавателни съдове, освен обслужващите кораби.</w:t>
      </w:r>
      <w:bookmarkStart w:id="465" w:name="_RefF1"/>
      <w:bookmarkStart w:id="466" w:name="_RefF0"/>
      <w:bookmarkEnd w:id="465"/>
      <w:bookmarkEnd w:id="466"/>
      <w:r w:rsidRPr="00610B1B">
        <w:rPr>
          <w:rStyle w:val="FootnoteAnchor"/>
          <w:rFonts w:cs="Times New Roman"/>
        </w:rPr>
        <w:footnoteReference w:id="182"/>
      </w:r>
    </w:p>
    <w:p w14:paraId="7740E18D" w14:textId="0EA29C31" w:rsidR="00012D1F" w:rsidRPr="00610B1B" w:rsidRDefault="00CD5FED" w:rsidP="00D32D6A">
      <w:pPr>
        <w:pStyle w:val="BodyText"/>
        <w:spacing w:before="0" w:after="120" w:line="276" w:lineRule="auto"/>
        <w:rPr>
          <w:rFonts w:cs="Times New Roman"/>
        </w:rPr>
      </w:pPr>
      <w:r w:rsidRPr="00D03DA8">
        <w:rPr>
          <w:bCs/>
        </w:rPr>
        <w:t xml:space="preserve">Морският транспорт е съвместим с дейностите свързани с </w:t>
      </w:r>
      <w:r w:rsidRPr="00D03DA8">
        <w:rPr>
          <w:b/>
          <w:bCs/>
        </w:rPr>
        <w:t>военни учения</w:t>
      </w:r>
      <w:r w:rsidRPr="00D03DA8">
        <w:rPr>
          <w:bCs/>
        </w:rPr>
        <w:t>, но се налагат краткотрайни ограничения или промени, когато някой район е обявен временно за забранен или опасен за корабоплаване, с цел осигуряване на безопасност при провеждане на военни учения</w:t>
      </w:r>
      <w:r>
        <w:rPr>
          <w:bCs/>
        </w:rPr>
        <w:t>.</w:t>
      </w:r>
      <w:r w:rsidR="00012D1F" w:rsidRPr="00610B1B">
        <w:rPr>
          <w:rFonts w:cs="Times New Roman"/>
        </w:rPr>
        <w:t xml:space="preserve">Морският транспорт оказва различни видове натиск върху </w:t>
      </w:r>
      <w:r w:rsidR="00012D1F" w:rsidRPr="00610B1B">
        <w:rPr>
          <w:rFonts w:cs="Times New Roman"/>
          <w:b/>
          <w:bCs/>
        </w:rPr>
        <w:t>околната среда,</w:t>
      </w:r>
      <w:r w:rsidR="00012D1F" w:rsidRPr="00610B1B">
        <w:rPr>
          <w:rFonts w:cs="Times New Roman"/>
        </w:rPr>
        <w:t xml:space="preserve"> посочени в приложение III на РДМС</w:t>
      </w:r>
      <w:r w:rsidR="00012D1F" w:rsidRPr="00610B1B">
        <w:rPr>
          <w:rStyle w:val="FootnoteAnchor"/>
          <w:rFonts w:cs="Times New Roman"/>
        </w:rPr>
        <w:footnoteReference w:id="183"/>
      </w:r>
      <w:r w:rsidR="00012D1F" w:rsidRPr="00610B1B">
        <w:rPr>
          <w:rFonts w:cs="Times New Roman"/>
        </w:rPr>
        <w:t>:</w:t>
      </w:r>
    </w:p>
    <w:p w14:paraId="0F19DEA7" w14:textId="3479260F" w:rsidR="00012D1F" w:rsidRPr="00610B1B" w:rsidRDefault="00012D1F" w:rsidP="00B46189">
      <w:pPr>
        <w:pStyle w:val="BodyText"/>
        <w:numPr>
          <w:ilvl w:val="0"/>
          <w:numId w:val="93"/>
        </w:numPr>
        <w:spacing w:before="0" w:after="120" w:line="276" w:lineRule="auto"/>
        <w:rPr>
          <w:rFonts w:cs="Times New Roman"/>
        </w:rPr>
      </w:pPr>
      <w:r w:rsidRPr="00610B1B">
        <w:rPr>
          <w:rFonts w:cs="Times New Roman"/>
        </w:rPr>
        <w:t>пренос на инвази</w:t>
      </w:r>
      <w:r w:rsidR="00822E31" w:rsidRPr="00610B1B">
        <w:rPr>
          <w:rFonts w:cs="Times New Roman"/>
        </w:rPr>
        <w:t>вни видове</w:t>
      </w:r>
      <w:r w:rsidRPr="00610B1B">
        <w:rPr>
          <w:rFonts w:cs="Times New Roman"/>
        </w:rPr>
        <w:t xml:space="preserve"> чрез баластните води и обраствания по корпуса (дескриптор 2);</w:t>
      </w:r>
    </w:p>
    <w:p w14:paraId="6E7F6D07" w14:textId="6C2D4BC5" w:rsidR="00012D1F" w:rsidRPr="00610B1B" w:rsidRDefault="00012D1F" w:rsidP="00B46189">
      <w:pPr>
        <w:pStyle w:val="BodyText"/>
        <w:numPr>
          <w:ilvl w:val="0"/>
          <w:numId w:val="93"/>
        </w:numPr>
        <w:spacing w:before="0" w:after="120" w:line="276" w:lineRule="auto"/>
        <w:rPr>
          <w:rFonts w:cs="Times New Roman"/>
        </w:rPr>
      </w:pPr>
      <w:r w:rsidRPr="00610B1B">
        <w:rPr>
          <w:rFonts w:cs="Times New Roman"/>
        </w:rPr>
        <w:t>замърсяване с органични вещества – отпадъчни води от жилищните пространства и сервизните помещения на корабите (дескриптор 8);</w:t>
      </w:r>
    </w:p>
    <w:p w14:paraId="2986A6DF" w14:textId="77777777" w:rsidR="00012D1F" w:rsidRPr="00610B1B" w:rsidRDefault="00012D1F" w:rsidP="00B46189">
      <w:pPr>
        <w:pStyle w:val="BodyText"/>
        <w:numPr>
          <w:ilvl w:val="0"/>
          <w:numId w:val="93"/>
        </w:numPr>
        <w:spacing w:before="0" w:after="120" w:line="276" w:lineRule="auto"/>
        <w:rPr>
          <w:rFonts w:cs="Times New Roman"/>
        </w:rPr>
      </w:pPr>
      <w:r w:rsidRPr="00610B1B">
        <w:rPr>
          <w:rFonts w:cs="Times New Roman"/>
        </w:rPr>
        <w:t>замърсяване с нефтопродукти при аварии, катастрофи или незаконно изхвърляне на сантинни (смесени с нефтопродукти) води от машинните отделения;</w:t>
      </w:r>
    </w:p>
    <w:p w14:paraId="2DBC8045" w14:textId="77777777" w:rsidR="00012D1F" w:rsidRPr="00610B1B" w:rsidRDefault="00012D1F" w:rsidP="00B46189">
      <w:pPr>
        <w:pStyle w:val="BodyText"/>
        <w:numPr>
          <w:ilvl w:val="0"/>
          <w:numId w:val="93"/>
        </w:numPr>
        <w:spacing w:before="0" w:after="120" w:line="276" w:lineRule="auto"/>
        <w:rPr>
          <w:rFonts w:cs="Times New Roman"/>
        </w:rPr>
      </w:pPr>
      <w:r w:rsidRPr="00610B1B">
        <w:rPr>
          <w:rFonts w:cs="Times New Roman"/>
        </w:rPr>
        <w:t>отработените газове от двигателите (въглероден диоксид, серни и азотни оксиди) попадащи в морската среда чрез атмосферата (дескриптор 8). Намаляването на този натиск се осъществява по реда на Наредба за изискванията за качеството на течните горива, условията, реда и начина за техния контрол</w:t>
      </w:r>
      <w:r w:rsidRPr="00610B1B">
        <w:rPr>
          <w:rStyle w:val="FootnoteAnchor"/>
          <w:rFonts w:cs="Times New Roman"/>
        </w:rPr>
        <w:footnoteReference w:id="184"/>
      </w:r>
      <w:r w:rsidRPr="00610B1B">
        <w:rPr>
          <w:rFonts w:cs="Times New Roman"/>
        </w:rPr>
        <w:t>;</w:t>
      </w:r>
    </w:p>
    <w:p w14:paraId="3391A6F1" w14:textId="39FCA363" w:rsidR="00012D1F" w:rsidRPr="00610B1B" w:rsidRDefault="00E06AC8" w:rsidP="00B46189">
      <w:pPr>
        <w:pStyle w:val="BodyText"/>
        <w:numPr>
          <w:ilvl w:val="0"/>
          <w:numId w:val="93"/>
        </w:numPr>
        <w:spacing w:before="0" w:after="120" w:line="276" w:lineRule="auto"/>
        <w:rPr>
          <w:rFonts w:cs="Times New Roman"/>
        </w:rPr>
      </w:pPr>
      <w:r>
        <w:rPr>
          <w:rFonts w:cs="Times New Roman"/>
        </w:rPr>
        <w:t>отпадъци</w:t>
      </w:r>
      <w:r w:rsidR="00012D1F" w:rsidRPr="00610B1B">
        <w:rPr>
          <w:rFonts w:cs="Times New Roman"/>
        </w:rPr>
        <w:t xml:space="preserve"> – попадащи в морето при транспорт и при разсипване на насипни товари в пристанищните терминали (дескриптор 10);</w:t>
      </w:r>
    </w:p>
    <w:p w14:paraId="75BE3727" w14:textId="77777777" w:rsidR="00012D1F" w:rsidRPr="00610B1B" w:rsidRDefault="00012D1F" w:rsidP="00695BEA">
      <w:pPr>
        <w:pStyle w:val="BodyText"/>
        <w:numPr>
          <w:ilvl w:val="0"/>
          <w:numId w:val="93"/>
        </w:numPr>
        <w:spacing w:before="0" w:after="120" w:line="240" w:lineRule="auto"/>
        <w:ind w:left="714" w:hanging="357"/>
        <w:rPr>
          <w:rFonts w:cs="Times New Roman"/>
        </w:rPr>
      </w:pPr>
      <w:r w:rsidRPr="00610B1B">
        <w:rPr>
          <w:rFonts w:cs="Times New Roman"/>
        </w:rPr>
        <w:t>шумово замърсяване (дескриптор 11).</w:t>
      </w:r>
    </w:p>
    <w:p w14:paraId="1D56B793" w14:textId="7FF647F6" w:rsidR="00012D1F" w:rsidRPr="00610B1B" w:rsidRDefault="00012D1F" w:rsidP="00D32D6A">
      <w:pPr>
        <w:pStyle w:val="BodyText"/>
        <w:spacing w:before="0" w:after="120" w:line="276" w:lineRule="auto"/>
        <w:rPr>
          <w:rFonts w:cs="Times New Roman"/>
        </w:rPr>
      </w:pPr>
      <w:r w:rsidRPr="00610B1B">
        <w:rPr>
          <w:rFonts w:cs="Times New Roman"/>
        </w:rPr>
        <w:t>В района на н. Галата през 2015 и 2016 г. са установени високи концентрации на кадмий и трибутилкалаени съединения, които се използват в корабните бои срещу обраствания по корпуса и попадат в морската среда при бластирането на корабите. Поради припокриване на корабните маршрути със защитените територии има висока степен на въздействие върху защитените зони от НЕМ Натура 2000 южно и източн</w:t>
      </w:r>
      <w:r w:rsidR="00B95195" w:rsidRPr="00610B1B">
        <w:rPr>
          <w:rFonts w:cs="Times New Roman"/>
        </w:rPr>
        <w:t>о</w:t>
      </w:r>
      <w:r w:rsidRPr="00610B1B">
        <w:rPr>
          <w:rFonts w:cs="Times New Roman"/>
        </w:rPr>
        <w:t xml:space="preserve"> от н. Калиакра, и в района на Бургаския залив.</w:t>
      </w:r>
    </w:p>
    <w:p w14:paraId="22CD452A" w14:textId="06B43E4E" w:rsidR="00012D1F" w:rsidRPr="00610B1B" w:rsidRDefault="00012D1F" w:rsidP="00D32D6A">
      <w:pPr>
        <w:pStyle w:val="BodyText"/>
        <w:spacing w:before="0" w:after="120" w:line="276" w:lineRule="auto"/>
        <w:rPr>
          <w:rFonts w:cs="Times New Roman"/>
        </w:rPr>
      </w:pPr>
      <w:bookmarkStart w:id="467" w:name="_Hlk49714181"/>
      <w:r w:rsidRPr="00610B1B">
        <w:rPr>
          <w:rFonts w:cs="Times New Roman"/>
        </w:rPr>
        <w:t xml:space="preserve">Отрицателното въздействие върху </w:t>
      </w:r>
      <w:r w:rsidRPr="00610B1B">
        <w:rPr>
          <w:rFonts w:cs="Times New Roman"/>
          <w:b/>
          <w:bCs/>
        </w:rPr>
        <w:t>подводно</w:t>
      </w:r>
      <w:r w:rsidR="00B95195" w:rsidRPr="00610B1B">
        <w:rPr>
          <w:rFonts w:cs="Times New Roman"/>
          <w:b/>
          <w:bCs/>
        </w:rPr>
        <w:t>то</w:t>
      </w:r>
      <w:r w:rsidRPr="00610B1B">
        <w:rPr>
          <w:rFonts w:cs="Times New Roman"/>
          <w:b/>
          <w:bCs/>
        </w:rPr>
        <w:t xml:space="preserve"> културно наследство</w:t>
      </w:r>
      <w:r w:rsidRPr="00610B1B">
        <w:rPr>
          <w:rFonts w:cs="Times New Roman"/>
        </w:rPr>
        <w:t xml:space="preserve"> не може да се определи, но е възможно при заставане на котва да бъдат повредени подводни археологически обекти, които не са обозначени.</w:t>
      </w:r>
    </w:p>
    <w:bookmarkEnd w:id="467"/>
    <w:p w14:paraId="37E33007" w14:textId="32DE8194" w:rsidR="00012D1F" w:rsidRPr="00610B1B" w:rsidRDefault="00012D1F" w:rsidP="00D32D6A">
      <w:pPr>
        <w:pStyle w:val="BodyText"/>
        <w:spacing w:before="0" w:after="120" w:line="276" w:lineRule="auto"/>
        <w:rPr>
          <w:rFonts w:cs="Times New Roman"/>
        </w:rPr>
      </w:pPr>
      <w:r w:rsidRPr="00610B1B">
        <w:rPr>
          <w:rFonts w:cs="Times New Roman"/>
          <w:b/>
          <w:bCs/>
        </w:rPr>
        <w:t>Научните изследвания</w:t>
      </w:r>
      <w:r w:rsidRPr="00610B1B">
        <w:rPr>
          <w:rFonts w:cs="Times New Roman"/>
        </w:rPr>
        <w:t xml:space="preserve"> върху морската среда често се извършват в райони, които съвпадат със зоните за корабоплаване, но при корабоплаването има ясно установени правила за морска навигация </w:t>
      </w:r>
      <w:r w:rsidR="00B95195" w:rsidRPr="00610B1B">
        <w:rPr>
          <w:rFonts w:cs="Times New Roman"/>
        </w:rPr>
        <w:t>(</w:t>
      </w:r>
      <w:r w:rsidRPr="00610B1B">
        <w:rPr>
          <w:rFonts w:cs="Times New Roman"/>
        </w:rPr>
        <w:t>Конвенция за международните правила за предпазване от сблъскване на море, 1972 г.). Освен това, съгласно чл. 52, ал. 2 от ЗМ</w:t>
      </w:r>
      <w:r w:rsidR="00B95195" w:rsidRPr="00610B1B">
        <w:rPr>
          <w:rFonts w:cs="Times New Roman"/>
        </w:rPr>
        <w:t>П</w:t>
      </w:r>
      <w:r w:rsidRPr="00610B1B">
        <w:rPr>
          <w:rFonts w:cs="Times New Roman"/>
        </w:rPr>
        <w:t>ВВП</w:t>
      </w:r>
      <w:r w:rsidR="00B95195" w:rsidRPr="00610B1B">
        <w:rPr>
          <w:rFonts w:cs="Times New Roman"/>
        </w:rPr>
        <w:t>ПРБ</w:t>
      </w:r>
      <w:r w:rsidR="00D603E3" w:rsidRPr="00610B1B">
        <w:rPr>
          <w:rFonts w:cs="Times New Roman"/>
        </w:rPr>
        <w:t xml:space="preserve"> научните изследвания се извършват след одобрение на Министерския съвет</w:t>
      </w:r>
      <w:r w:rsidRPr="00610B1B">
        <w:rPr>
          <w:rFonts w:cs="Times New Roman"/>
        </w:rPr>
        <w:t xml:space="preserve">. Синергия се постига, когато се използва възможността морски кораби да бъдат оборудвани с ферибокс </w:t>
      </w:r>
      <w:r w:rsidRPr="00610B1B">
        <w:rPr>
          <w:rFonts w:cs="Times New Roman"/>
        </w:rPr>
        <w:lastRenderedPageBreak/>
        <w:t xml:space="preserve">системи, което осигурява по-голям пространствен и времеви обхват </w:t>
      </w:r>
      <w:r w:rsidR="00F250D0" w:rsidRPr="00610B1B">
        <w:rPr>
          <w:rFonts w:cs="Times New Roman"/>
        </w:rPr>
        <w:t xml:space="preserve">за </w:t>
      </w:r>
      <w:r w:rsidRPr="00610B1B">
        <w:rPr>
          <w:rFonts w:cs="Times New Roman"/>
        </w:rPr>
        <w:t>мониторинг на параметрите на морската околна среда (физически, химически, биологични)</w:t>
      </w:r>
      <w:r w:rsidRPr="00610B1B">
        <w:rPr>
          <w:rStyle w:val="FootnoteAnchor"/>
          <w:rFonts w:cs="Times New Roman"/>
        </w:rPr>
        <w:footnoteReference w:id="185"/>
      </w:r>
      <w:r w:rsidRPr="00610B1B">
        <w:rPr>
          <w:rFonts w:cs="Times New Roman"/>
        </w:rPr>
        <w:t>.</w:t>
      </w:r>
    </w:p>
    <w:p w14:paraId="21B6593B" w14:textId="77777777" w:rsidR="00012D1F" w:rsidRPr="00610B1B" w:rsidRDefault="00012D1F" w:rsidP="00695BEA">
      <w:pPr>
        <w:pStyle w:val="BodyText"/>
        <w:spacing w:before="0" w:after="120" w:line="240" w:lineRule="auto"/>
        <w:rPr>
          <w:rFonts w:cs="Times New Roman"/>
        </w:rPr>
      </w:pPr>
      <w:r w:rsidRPr="00610B1B">
        <w:rPr>
          <w:rFonts w:cs="Times New Roman"/>
          <w:b/>
          <w:bCs/>
        </w:rPr>
        <w:t>Рибарство</w:t>
      </w:r>
    </w:p>
    <w:p w14:paraId="6B89FA5B" w14:textId="66A5BBB6" w:rsidR="00012D1F" w:rsidRPr="00610B1B" w:rsidRDefault="00012D1F" w:rsidP="00D32D6A">
      <w:pPr>
        <w:pStyle w:val="BodyText"/>
        <w:spacing w:before="0" w:after="120" w:line="276" w:lineRule="auto"/>
        <w:rPr>
          <w:rFonts w:cs="Times New Roman"/>
        </w:rPr>
      </w:pPr>
      <w:r w:rsidRPr="00610B1B">
        <w:rPr>
          <w:rFonts w:cs="Times New Roman"/>
        </w:rPr>
        <w:t xml:space="preserve">Дейностите рибарство и </w:t>
      </w:r>
      <w:r w:rsidRPr="00610B1B">
        <w:rPr>
          <w:rFonts w:cs="Times New Roman"/>
          <w:b/>
          <w:bCs/>
        </w:rPr>
        <w:t>морските аквакултури</w:t>
      </w:r>
      <w:r w:rsidRPr="00610B1B">
        <w:rPr>
          <w:rFonts w:cs="Times New Roman"/>
        </w:rPr>
        <w:t xml:space="preserve"> са пространствено несъвместими, тъй като риболовът не се осъществява в зоните на съоръженията за аквакултури, в които други дейности не се извършват. В бъдеще, между двата вида дейности може да има функционална съвместимост, ако в морето или на сушата бъдат създадени ферми за изкуствено отглеждане на морски видове риби, които да осигуряват ларви за попълване на рибните запаси на видовете – обект на </w:t>
      </w:r>
      <w:r w:rsidR="00DD6CD4" w:rsidRPr="00610B1B">
        <w:rPr>
          <w:rFonts w:cs="Times New Roman"/>
        </w:rPr>
        <w:t>стопански риболов</w:t>
      </w:r>
      <w:r w:rsidRPr="00610B1B">
        <w:rPr>
          <w:rFonts w:cs="Times New Roman"/>
        </w:rPr>
        <w:t>.</w:t>
      </w:r>
    </w:p>
    <w:p w14:paraId="275671AB" w14:textId="451D8D0B" w:rsidR="00012D1F" w:rsidRPr="00610B1B" w:rsidRDefault="00012D1F" w:rsidP="00D32D6A">
      <w:pPr>
        <w:pStyle w:val="BodyText"/>
        <w:spacing w:before="0" w:after="120" w:line="276" w:lineRule="auto"/>
        <w:rPr>
          <w:rFonts w:cs="Times New Roman"/>
        </w:rPr>
      </w:pPr>
      <w:r w:rsidRPr="00610B1B">
        <w:rPr>
          <w:rFonts w:cs="Times New Roman"/>
        </w:rPr>
        <w:t xml:space="preserve">Между рибарството и </w:t>
      </w:r>
      <w:r w:rsidRPr="00610B1B">
        <w:rPr>
          <w:rFonts w:cs="Times New Roman"/>
          <w:b/>
          <w:bCs/>
        </w:rPr>
        <w:t>крайбрежния и морски туризъм</w:t>
      </w:r>
      <w:r w:rsidR="00D66FE0" w:rsidRPr="00610B1B">
        <w:rPr>
          <w:rFonts w:cs="Times New Roman"/>
        </w:rPr>
        <w:t xml:space="preserve"> </w:t>
      </w:r>
      <w:r w:rsidRPr="00610B1B">
        <w:rPr>
          <w:rFonts w:cs="Times New Roman"/>
        </w:rPr>
        <w:t>няма припокриване, защото морският риболов обикновено се извършва далеч от зоните на водите за къпане. Крайбрежният туризъм може да бъде причина за загуба на местообитания на някои дънни видове риби, които са обект на търговски риболов, поради отъпкване на дъното в зоните за къпане на дълбочина 0 – 1.</w:t>
      </w:r>
      <w:r w:rsidR="00F250D0" w:rsidRPr="00610B1B">
        <w:rPr>
          <w:rFonts w:cs="Times New Roman"/>
        </w:rPr>
        <w:t>5</w:t>
      </w:r>
      <w:r w:rsidRPr="00610B1B">
        <w:rPr>
          <w:rFonts w:cs="Times New Roman"/>
        </w:rPr>
        <w:t xml:space="preserve"> m. Плавателните средства за спорт, туризъм и развлечения са източник на подводен шум, свързан с избягване и промяна на разпространението на рибите. Изключение правят ветроходните плавателни средства.</w:t>
      </w:r>
    </w:p>
    <w:p w14:paraId="3A53634C" w14:textId="16ACA0EA" w:rsidR="00012D1F" w:rsidRPr="00610B1B" w:rsidRDefault="00012D1F" w:rsidP="00D32D6A">
      <w:pPr>
        <w:pStyle w:val="BodyText"/>
        <w:spacing w:before="0" w:after="120" w:line="276" w:lineRule="auto"/>
        <w:rPr>
          <w:rFonts w:cs="Times New Roman"/>
        </w:rPr>
      </w:pPr>
      <w:r w:rsidRPr="00610B1B">
        <w:rPr>
          <w:rFonts w:cs="Times New Roman"/>
        </w:rPr>
        <w:t xml:space="preserve">Съвместимостта на рибарството и съоръженията на </w:t>
      </w:r>
      <w:r w:rsidRPr="00610B1B">
        <w:rPr>
          <w:rFonts w:cs="Times New Roman"/>
          <w:b/>
          <w:bCs/>
        </w:rPr>
        <w:t>техническата инфраструктура</w:t>
      </w:r>
      <w:r w:rsidRPr="00610B1B">
        <w:rPr>
          <w:rFonts w:cs="Times New Roman"/>
        </w:rPr>
        <w:t xml:space="preserve"> зависи от вида съоръжения. Рибарските пристанища Балчик, Варна и Созопол създават условия за развитие на морски риболов, което определя и високата интензивност на </w:t>
      </w:r>
      <w:r w:rsidR="00DD6CD4" w:rsidRPr="00610B1B">
        <w:rPr>
          <w:rFonts w:cs="Times New Roman"/>
        </w:rPr>
        <w:t>стопанския риболов</w:t>
      </w:r>
      <w:r w:rsidRPr="00610B1B">
        <w:rPr>
          <w:rFonts w:cs="Times New Roman"/>
        </w:rPr>
        <w:t xml:space="preserve"> в прилежащата акватория. Дънното тралене може да доведе до повреждане или прекъсване на подводни линейни съоръжения (комуникационни кабели, тръбопроводи). Най-висок риск има за кабела KAFOS, тъй като попада в зони с плътност на корабния трафик е 0.26-3.95 часа/km</w:t>
      </w:r>
      <w:r w:rsidRPr="00610B1B">
        <w:rPr>
          <w:rFonts w:cs="Times New Roman"/>
          <w:vertAlign w:val="superscript"/>
        </w:rPr>
        <w:t>2</w:t>
      </w:r>
      <w:r w:rsidRPr="00610B1B">
        <w:rPr>
          <w:rFonts w:cs="Times New Roman"/>
        </w:rPr>
        <w:t>.година, следван от Caucasus Cable System (0.004-0.25 часа/km</w:t>
      </w:r>
      <w:r w:rsidRPr="00610B1B">
        <w:rPr>
          <w:rFonts w:cs="Times New Roman"/>
          <w:vertAlign w:val="superscript"/>
        </w:rPr>
        <w:t>2</w:t>
      </w:r>
      <w:r w:rsidRPr="00610B1B">
        <w:rPr>
          <w:rFonts w:cs="Times New Roman"/>
        </w:rPr>
        <w:t>.година) и кабела BSFOCS (0.01-014 часа/km</w:t>
      </w:r>
      <w:r w:rsidRPr="00610B1B">
        <w:rPr>
          <w:rFonts w:cs="Times New Roman"/>
          <w:vertAlign w:val="superscript"/>
        </w:rPr>
        <w:t>2</w:t>
      </w:r>
      <w:r w:rsidRPr="00610B1B">
        <w:rPr>
          <w:rFonts w:cs="Times New Roman"/>
        </w:rPr>
        <w:t>.година)</w:t>
      </w:r>
      <w:r w:rsidR="009F57D1" w:rsidRPr="00610B1B">
        <w:rPr>
          <w:rFonts w:cs="Times New Roman"/>
        </w:rPr>
        <w:t>, съгласно данните от EMOD</w:t>
      </w:r>
      <w:r w:rsidR="008D5400" w:rsidRPr="00610B1B">
        <w:rPr>
          <w:rFonts w:cs="Times New Roman"/>
        </w:rPr>
        <w:t>n</w:t>
      </w:r>
      <w:r w:rsidR="009F57D1" w:rsidRPr="00610B1B">
        <w:rPr>
          <w:rFonts w:cs="Times New Roman"/>
        </w:rPr>
        <w:t>et</w:t>
      </w:r>
      <w:r w:rsidRPr="00610B1B">
        <w:rPr>
          <w:rFonts w:cs="Times New Roman"/>
        </w:rPr>
        <w:t>.</w:t>
      </w:r>
    </w:p>
    <w:p w14:paraId="2C151A9A" w14:textId="1BD67DDB" w:rsidR="00012D1F" w:rsidRPr="00610B1B" w:rsidRDefault="00DD6CD4" w:rsidP="00D32D6A">
      <w:pPr>
        <w:pStyle w:val="BodyText"/>
        <w:spacing w:before="0" w:after="120" w:line="276" w:lineRule="auto"/>
        <w:rPr>
          <w:rFonts w:cs="Times New Roman"/>
        </w:rPr>
      </w:pPr>
      <w:bookmarkStart w:id="468" w:name="__DdeLink__95395_1312354255"/>
      <w:r w:rsidRPr="00610B1B">
        <w:rPr>
          <w:rFonts w:cs="Times New Roman"/>
        </w:rPr>
        <w:t>Стопанският риболов</w:t>
      </w:r>
      <w:r w:rsidR="00012D1F" w:rsidRPr="00610B1B">
        <w:rPr>
          <w:rFonts w:cs="Times New Roman"/>
        </w:rPr>
        <w:t xml:space="preserve"> </w:t>
      </w:r>
      <w:bookmarkEnd w:id="468"/>
      <w:r w:rsidR="00012D1F" w:rsidRPr="00610B1B">
        <w:rPr>
          <w:rFonts w:cs="Times New Roman"/>
        </w:rPr>
        <w:t xml:space="preserve">е несъвместим с дейностите за </w:t>
      </w:r>
      <w:r w:rsidR="00012D1F" w:rsidRPr="00610B1B">
        <w:rPr>
          <w:rFonts w:cs="Times New Roman"/>
          <w:b/>
          <w:bCs/>
        </w:rPr>
        <w:t>проучване и добив</w:t>
      </w:r>
      <w:r w:rsidR="00012D1F" w:rsidRPr="00610B1B">
        <w:rPr>
          <w:rFonts w:cs="Times New Roman"/>
        </w:rPr>
        <w:t xml:space="preserve"> на енергийни и минерални ресурси, тъй като в зоните за проучване и добив се забранява влизането и пребиваването на плавателни съдове</w:t>
      </w:r>
      <w:r w:rsidR="009F57D1" w:rsidRPr="00610B1B">
        <w:rPr>
          <w:rFonts w:cs="Times New Roman"/>
        </w:rPr>
        <w:t>.</w:t>
      </w:r>
    </w:p>
    <w:p w14:paraId="40AA3E11" w14:textId="6211A3B3" w:rsidR="00012D1F" w:rsidRPr="00610B1B" w:rsidRDefault="00012D1F" w:rsidP="00D32D6A">
      <w:pPr>
        <w:pStyle w:val="BodyText"/>
        <w:spacing w:before="0" w:after="120" w:line="276" w:lineRule="auto"/>
        <w:rPr>
          <w:rFonts w:cs="Times New Roman"/>
        </w:rPr>
      </w:pPr>
      <w:r w:rsidRPr="00610B1B">
        <w:rPr>
          <w:rFonts w:cs="Times New Roman"/>
        </w:rPr>
        <w:t xml:space="preserve">Дейността е несъвместима и с дейностите свързани с </w:t>
      </w:r>
      <w:r w:rsidRPr="00610B1B">
        <w:rPr>
          <w:rFonts w:cs="Times New Roman"/>
          <w:b/>
          <w:bCs/>
        </w:rPr>
        <w:t>военните учения</w:t>
      </w:r>
      <w:r w:rsidRPr="00610B1B">
        <w:rPr>
          <w:rFonts w:cs="Times New Roman"/>
        </w:rPr>
        <w:t>, тъй като зоните за военни учения са временно или постоянно затворени за морски плавателни съдове или се намират встрани от зоните за корабоплаване.</w:t>
      </w:r>
      <w:r w:rsidR="000B7461" w:rsidRPr="00610B1B">
        <w:rPr>
          <w:rFonts w:cs="Times New Roman"/>
        </w:rPr>
        <w:t xml:space="preserve"> По време на учения се налагат ограничения за риболовните кораби.</w:t>
      </w:r>
    </w:p>
    <w:p w14:paraId="5E1BEDE3" w14:textId="0803EB3A" w:rsidR="00012D1F" w:rsidRPr="00610B1B" w:rsidRDefault="00012D1F" w:rsidP="00D32D6A">
      <w:pPr>
        <w:pStyle w:val="BodyText"/>
        <w:spacing w:before="0" w:after="120" w:line="276" w:lineRule="auto"/>
        <w:rPr>
          <w:rFonts w:cs="Times New Roman"/>
        </w:rPr>
      </w:pPr>
      <w:r w:rsidRPr="00610B1B">
        <w:rPr>
          <w:rFonts w:cs="Times New Roman"/>
        </w:rPr>
        <w:t xml:space="preserve">Уловът на живи организми оказва натиск върху </w:t>
      </w:r>
      <w:r w:rsidRPr="00610B1B">
        <w:rPr>
          <w:rFonts w:cs="Times New Roman"/>
          <w:b/>
          <w:bCs/>
        </w:rPr>
        <w:t>околната среда</w:t>
      </w:r>
      <w:r w:rsidRPr="00610B1B">
        <w:rPr>
          <w:rFonts w:cs="Times New Roman"/>
        </w:rPr>
        <w:t xml:space="preserve">. От гледна точка на опазването на околната среда, двете дейности са несъвместими. Риболовните уреди улавят дънни и пелагични видове риби – обект на търговски риболов, но въздействието е по-голямо от количеството на целевия улов, тъй като в мрежите попадат случайно уловени видове риби, които не са обект на търговски риболов, птици и бозайници. Освен това, при движението си върху морското дъно, риболовните уреди нарушават структурата на субстрата. Изхвърлените и загубени риболовни уреди могат да се </w:t>
      </w:r>
      <w:r w:rsidRPr="00610B1B">
        <w:rPr>
          <w:rFonts w:cs="Times New Roman"/>
        </w:rPr>
        <w:lastRenderedPageBreak/>
        <w:t>превърнат в капан за морски организми или да причинят нараняване.</w:t>
      </w:r>
    </w:p>
    <w:p w14:paraId="708203E4" w14:textId="08EC8FF8" w:rsidR="00012D1F" w:rsidRPr="00610B1B" w:rsidRDefault="00DD6CD4" w:rsidP="00D32D6A">
      <w:pPr>
        <w:pStyle w:val="BodyText"/>
        <w:spacing w:before="0" w:after="120" w:line="276" w:lineRule="auto"/>
        <w:rPr>
          <w:rFonts w:cs="Times New Roman"/>
        </w:rPr>
      </w:pPr>
      <w:bookmarkStart w:id="469" w:name="_Hlk49714210"/>
      <w:r w:rsidRPr="00610B1B">
        <w:rPr>
          <w:rFonts w:cs="Times New Roman"/>
        </w:rPr>
        <w:t>Стопанският риболов</w:t>
      </w:r>
      <w:r w:rsidR="00012D1F" w:rsidRPr="00610B1B">
        <w:rPr>
          <w:rFonts w:cs="Times New Roman"/>
        </w:rPr>
        <w:t xml:space="preserve"> се извършва в зони с потънали археологични обекти (останки от корабокрушения) и потънали брегови линии на шелфа. Риболовните уреди могат да унищожат обекти на </w:t>
      </w:r>
      <w:r w:rsidR="00012D1F" w:rsidRPr="00610B1B">
        <w:rPr>
          <w:rFonts w:cs="Times New Roman"/>
          <w:b/>
          <w:bCs/>
        </w:rPr>
        <w:t>подводното културно наследство</w:t>
      </w:r>
      <w:r w:rsidR="00012D1F" w:rsidRPr="00610B1B">
        <w:rPr>
          <w:rFonts w:cs="Times New Roman"/>
        </w:rPr>
        <w:t>, поради което двете дейности са несъвместими.</w:t>
      </w:r>
    </w:p>
    <w:bookmarkEnd w:id="469"/>
    <w:p w14:paraId="0D9406DE" w14:textId="245F7522" w:rsidR="00175199" w:rsidRPr="00610B1B" w:rsidRDefault="00012D1F" w:rsidP="00175199">
      <w:pPr>
        <w:pStyle w:val="BodyText"/>
        <w:spacing w:after="120"/>
        <w:rPr>
          <w:rFonts w:cs="Times New Roman"/>
        </w:rPr>
      </w:pPr>
      <w:r w:rsidRPr="00610B1B">
        <w:rPr>
          <w:rFonts w:cs="Times New Roman"/>
          <w:b/>
          <w:bCs/>
        </w:rPr>
        <w:t>Научните изследвания</w:t>
      </w:r>
      <w:r w:rsidRPr="00610B1B">
        <w:rPr>
          <w:rFonts w:cs="Times New Roman"/>
        </w:rPr>
        <w:t xml:space="preserve"> </w:t>
      </w:r>
      <w:r w:rsidR="00175199" w:rsidRPr="00610B1B">
        <w:rPr>
          <w:rFonts w:cs="Times New Roman"/>
        </w:rPr>
        <w:t xml:space="preserve">на рибите и нерибните видове, обект на промишлен риболов, </w:t>
      </w:r>
      <w:r w:rsidRPr="00610B1B">
        <w:rPr>
          <w:rFonts w:cs="Times New Roman"/>
        </w:rPr>
        <w:t>са пространствено съвместими с</w:t>
      </w:r>
      <w:r w:rsidR="00173C7E" w:rsidRPr="00610B1B">
        <w:rPr>
          <w:rFonts w:cs="Times New Roman"/>
        </w:rPr>
        <w:t>ъс</w:t>
      </w:r>
      <w:r w:rsidRPr="00610B1B">
        <w:rPr>
          <w:rFonts w:cs="Times New Roman"/>
        </w:rPr>
        <w:t xml:space="preserve"> </w:t>
      </w:r>
      <w:r w:rsidR="00DD6CD4" w:rsidRPr="00610B1B">
        <w:rPr>
          <w:rFonts w:cs="Times New Roman"/>
        </w:rPr>
        <w:t>стопанския риболов</w:t>
      </w:r>
      <w:r w:rsidR="00175199" w:rsidRPr="00610B1B">
        <w:rPr>
          <w:rFonts w:cs="Times New Roman"/>
        </w:rPr>
        <w:t xml:space="preserve"> на тези видове, но степента на отрицателно въздействие (смъртност) от научните изследвания е значително по-малка, а ползите от придобитите знания допринасят за подобряване на познанията за тях. Мониторингът </w:t>
      </w:r>
      <w:r w:rsidRPr="00610B1B">
        <w:rPr>
          <w:rFonts w:cs="Times New Roman"/>
        </w:rPr>
        <w:t>на риби</w:t>
      </w:r>
      <w:r w:rsidR="00175199" w:rsidRPr="00610B1B">
        <w:rPr>
          <w:rFonts w:cs="Times New Roman"/>
        </w:rPr>
        <w:t>те</w:t>
      </w:r>
      <w:r w:rsidRPr="00610B1B">
        <w:rPr>
          <w:rFonts w:cs="Times New Roman"/>
        </w:rPr>
        <w:t xml:space="preserve">, обект на </w:t>
      </w:r>
      <w:r w:rsidR="00DD6CD4" w:rsidRPr="00610B1B">
        <w:rPr>
          <w:rFonts w:cs="Times New Roman"/>
        </w:rPr>
        <w:t>стопански риболов</w:t>
      </w:r>
      <w:r w:rsidRPr="00610B1B">
        <w:rPr>
          <w:rFonts w:cs="Times New Roman"/>
        </w:rPr>
        <w:t xml:space="preserve">, се извършва съгласно програмата за мониторинг по </w:t>
      </w:r>
      <w:r w:rsidR="00173C7E" w:rsidRPr="00610B1B">
        <w:rPr>
          <w:rFonts w:cs="Times New Roman"/>
        </w:rPr>
        <w:t xml:space="preserve">Дескриптор </w:t>
      </w:r>
      <w:r w:rsidRPr="00610B1B">
        <w:rPr>
          <w:rFonts w:cs="Times New Roman"/>
        </w:rPr>
        <w:t>3</w:t>
      </w:r>
      <w:r w:rsidR="00E750E4" w:rsidRPr="00610B1B">
        <w:rPr>
          <w:rFonts w:cs="Times New Roman"/>
        </w:rPr>
        <w:t xml:space="preserve"> - видове риби и черупкови, обект на търговски риболов</w:t>
      </w:r>
      <w:r w:rsidRPr="00610B1B">
        <w:rPr>
          <w:rFonts w:cs="Times New Roman"/>
        </w:rPr>
        <w:t xml:space="preserve"> от РДМС</w:t>
      </w:r>
      <w:r w:rsidRPr="00610B1B">
        <w:rPr>
          <w:rStyle w:val="FootnoteAnchor"/>
          <w:rFonts w:cs="Times New Roman"/>
        </w:rPr>
        <w:footnoteReference w:id="186"/>
      </w:r>
      <w:r w:rsidR="00175199" w:rsidRPr="00610B1B">
        <w:rPr>
          <w:rFonts w:cs="Times New Roman"/>
        </w:rPr>
        <w:t xml:space="preserve"> и</w:t>
      </w:r>
      <w:r w:rsidRPr="00610B1B">
        <w:rPr>
          <w:rFonts w:cs="Times New Roman"/>
        </w:rPr>
        <w:t xml:space="preserve"> включва </w:t>
      </w:r>
      <w:r w:rsidR="00175199" w:rsidRPr="00610B1B">
        <w:rPr>
          <w:rFonts w:cs="Times New Roman"/>
        </w:rPr>
        <w:t xml:space="preserve">и </w:t>
      </w:r>
      <w:r w:rsidRPr="00610B1B">
        <w:rPr>
          <w:rFonts w:cs="Times New Roman"/>
        </w:rPr>
        <w:t xml:space="preserve">риболов с научна цел. </w:t>
      </w:r>
    </w:p>
    <w:p w14:paraId="06DBCCE7" w14:textId="77777777" w:rsidR="00012D1F" w:rsidRPr="00610B1B" w:rsidRDefault="00012D1F" w:rsidP="00695BEA">
      <w:pPr>
        <w:pStyle w:val="BodyText"/>
        <w:spacing w:before="0" w:after="120" w:line="240" w:lineRule="auto"/>
        <w:rPr>
          <w:rFonts w:cs="Times New Roman"/>
        </w:rPr>
      </w:pPr>
      <w:r w:rsidRPr="00610B1B">
        <w:rPr>
          <w:rFonts w:cs="Times New Roman"/>
          <w:b/>
          <w:bCs/>
        </w:rPr>
        <w:t>Аквакултури</w:t>
      </w:r>
    </w:p>
    <w:p w14:paraId="395061EE" w14:textId="57870450" w:rsidR="00012D1F" w:rsidRPr="00610B1B" w:rsidRDefault="00012D1F" w:rsidP="00D32D6A">
      <w:pPr>
        <w:pStyle w:val="BodyText"/>
        <w:spacing w:before="0" w:after="120" w:line="276" w:lineRule="auto"/>
        <w:rPr>
          <w:rFonts w:cs="Times New Roman"/>
        </w:rPr>
      </w:pPr>
      <w:r w:rsidRPr="00610B1B">
        <w:rPr>
          <w:rFonts w:cs="Times New Roman"/>
        </w:rPr>
        <w:t xml:space="preserve">Местата на съоръженията за морски аквакултури не </w:t>
      </w:r>
      <w:r w:rsidR="0098119F" w:rsidRPr="00610B1B">
        <w:rPr>
          <w:rFonts w:cs="Times New Roman"/>
        </w:rPr>
        <w:t xml:space="preserve">се припокриват пространствено с </w:t>
      </w:r>
      <w:r w:rsidRPr="00610B1B">
        <w:rPr>
          <w:rFonts w:cs="Times New Roman"/>
          <w:b/>
          <w:bCs/>
        </w:rPr>
        <w:t>крайбрежния и морски туризъм</w:t>
      </w:r>
      <w:r w:rsidR="00634606" w:rsidRPr="00610B1B">
        <w:rPr>
          <w:rFonts w:cs="Times New Roman"/>
        </w:rPr>
        <w:t>,</w:t>
      </w:r>
      <w:r w:rsidRPr="00610B1B">
        <w:rPr>
          <w:rFonts w:cs="Times New Roman"/>
        </w:rPr>
        <w:t xml:space="preserve"> поради което няма конфликт за ползване на морското</w:t>
      </w:r>
      <w:r w:rsidR="009F57D1" w:rsidRPr="00610B1B">
        <w:rPr>
          <w:rFonts w:cs="Times New Roman"/>
        </w:rPr>
        <w:t xml:space="preserve"> пространство</w:t>
      </w:r>
      <w:r w:rsidRPr="00610B1B">
        <w:rPr>
          <w:rFonts w:cs="Times New Roman"/>
        </w:rPr>
        <w:t xml:space="preserve">. Близостта на мидените ферми може да допринесе </w:t>
      </w:r>
      <w:r w:rsidR="009F57D1" w:rsidRPr="00610B1B">
        <w:rPr>
          <w:rFonts w:cs="Times New Roman"/>
        </w:rPr>
        <w:t xml:space="preserve">за </w:t>
      </w:r>
      <w:r w:rsidRPr="00610B1B">
        <w:rPr>
          <w:rFonts w:cs="Times New Roman"/>
        </w:rPr>
        <w:t xml:space="preserve">подобряване на качеството на водата в зоните за къпане, ако производството не води до отделянето на отпадъчни води и </w:t>
      </w:r>
      <w:r w:rsidR="00760E2D">
        <w:rPr>
          <w:rFonts w:cs="Times New Roman"/>
        </w:rPr>
        <w:t>отпадъци</w:t>
      </w:r>
      <w:r w:rsidRPr="00610B1B">
        <w:rPr>
          <w:rFonts w:cs="Times New Roman"/>
        </w:rPr>
        <w:t xml:space="preserve">. Замърсяването с отпадъчни води и </w:t>
      </w:r>
      <w:r w:rsidR="00760E2D">
        <w:rPr>
          <w:rFonts w:cs="Times New Roman"/>
        </w:rPr>
        <w:t>отпадъци</w:t>
      </w:r>
      <w:r w:rsidRPr="00610B1B">
        <w:rPr>
          <w:rFonts w:cs="Times New Roman"/>
        </w:rPr>
        <w:t xml:space="preserve"> от туризма може да влош</w:t>
      </w:r>
      <w:r w:rsidR="009F57D1" w:rsidRPr="00610B1B">
        <w:rPr>
          <w:rFonts w:cs="Times New Roman"/>
        </w:rPr>
        <w:t>и</w:t>
      </w:r>
      <w:r w:rsidRPr="00610B1B">
        <w:rPr>
          <w:rFonts w:cs="Times New Roman"/>
        </w:rPr>
        <w:t xml:space="preserve"> качеството на продукцията на мидените ферми.</w:t>
      </w:r>
      <w:r w:rsidR="0098119F" w:rsidRPr="00610B1B">
        <w:rPr>
          <w:rFonts w:cs="Times New Roman"/>
        </w:rPr>
        <w:t xml:space="preserve"> Присъствието на последните в близост до плажове ограничава възможностите за водни спортове и забавления. </w:t>
      </w:r>
    </w:p>
    <w:p w14:paraId="5BC9C126" w14:textId="27142876" w:rsidR="00012D1F" w:rsidRPr="00610B1B" w:rsidRDefault="00012D1F" w:rsidP="00D32D6A">
      <w:pPr>
        <w:pStyle w:val="BodyText"/>
        <w:spacing w:before="0" w:after="120" w:line="276" w:lineRule="auto"/>
        <w:rPr>
          <w:rFonts w:cs="Times New Roman"/>
        </w:rPr>
      </w:pPr>
      <w:r w:rsidRPr="00610B1B">
        <w:rPr>
          <w:rFonts w:cs="Times New Roman"/>
        </w:rPr>
        <w:t xml:space="preserve">Няма припокриване между мидените ферми и съществуващите съоръжения на </w:t>
      </w:r>
      <w:r w:rsidRPr="00610B1B">
        <w:rPr>
          <w:rFonts w:cs="Times New Roman"/>
          <w:b/>
          <w:bCs/>
        </w:rPr>
        <w:t>техническата инфраструктура</w:t>
      </w:r>
      <w:r w:rsidRPr="00610B1B">
        <w:rPr>
          <w:rFonts w:cs="Times New Roman"/>
        </w:rPr>
        <w:t xml:space="preserve"> – буни, дамби, морски пристанища. Няма отрицателно функционално взаимодействие между буните и дамбите, от една страна, и мидените ферми, от друга. Замърсените води от някои морски пристанища могат да причинят влошаване на продукцията на мидени ферми,</w:t>
      </w:r>
      <w:r w:rsidR="00450A13" w:rsidRPr="00610B1B">
        <w:rPr>
          <w:rFonts w:cs="Times New Roman"/>
        </w:rPr>
        <w:t xml:space="preserve"> </w:t>
      </w:r>
      <w:r w:rsidRPr="00610B1B">
        <w:rPr>
          <w:rFonts w:cs="Times New Roman"/>
        </w:rPr>
        <w:t xml:space="preserve">разположени в близост (1.5-2 km). </w:t>
      </w:r>
      <w:r w:rsidR="00450A13" w:rsidRPr="00610B1B">
        <w:rPr>
          <w:rFonts w:cs="Times New Roman"/>
        </w:rPr>
        <w:t xml:space="preserve">Най-замърсени са пристанищата Варна и Бургас, единични сигнали за замърсяване последните 10 години по данни на БДЧР има за Несебър, Созопол и Царево, но броят им не омаловажава проблема. </w:t>
      </w:r>
      <w:r w:rsidRPr="00610B1B">
        <w:rPr>
          <w:rFonts w:cs="Times New Roman"/>
        </w:rPr>
        <w:t>В бъдеще може да се търси синергия между двата вида ползване под формата на изкуствени рифове, които да осигуряват развитието на високопродуктивни съобщества на миди и други видове макрозообентос, като по този начин допринасят за подобряване на качеството на морската вода.</w:t>
      </w:r>
    </w:p>
    <w:p w14:paraId="6603B8E7" w14:textId="19FEFDEA" w:rsidR="00012D1F" w:rsidRPr="00610B1B" w:rsidRDefault="00012D1F" w:rsidP="00D32D6A">
      <w:pPr>
        <w:pStyle w:val="BodyText"/>
        <w:spacing w:before="0" w:after="120" w:line="276" w:lineRule="auto"/>
        <w:rPr>
          <w:rFonts w:cs="Times New Roman"/>
        </w:rPr>
      </w:pPr>
      <w:r w:rsidRPr="00610B1B">
        <w:rPr>
          <w:rFonts w:cs="Times New Roman"/>
        </w:rPr>
        <w:t xml:space="preserve">Няма припокриване между зоните за аквакултури и зоните </w:t>
      </w:r>
      <w:r w:rsidR="009F57D1" w:rsidRPr="00610B1B">
        <w:rPr>
          <w:rFonts w:cs="Times New Roman"/>
        </w:rPr>
        <w:t xml:space="preserve">за </w:t>
      </w:r>
      <w:r w:rsidRPr="00610B1B">
        <w:rPr>
          <w:rFonts w:cs="Times New Roman"/>
          <w:b/>
          <w:bCs/>
        </w:rPr>
        <w:t>проучване и добив</w:t>
      </w:r>
      <w:r w:rsidRPr="00610B1B">
        <w:rPr>
          <w:rFonts w:cs="Times New Roman"/>
        </w:rPr>
        <w:t xml:space="preserve"> на нефт и газ, които са на значително разстояние в зоната на шелфа.</w:t>
      </w:r>
    </w:p>
    <w:p w14:paraId="37D9578D" w14:textId="4F4B1B30" w:rsidR="00012D1F" w:rsidRPr="00610B1B" w:rsidRDefault="00012D1F" w:rsidP="00D32D6A">
      <w:pPr>
        <w:pStyle w:val="BodyText"/>
        <w:spacing w:before="0" w:after="120" w:line="276" w:lineRule="auto"/>
        <w:rPr>
          <w:rFonts w:cs="Times New Roman"/>
        </w:rPr>
      </w:pPr>
      <w:r w:rsidRPr="00610B1B">
        <w:rPr>
          <w:rFonts w:cs="Times New Roman"/>
        </w:rPr>
        <w:t xml:space="preserve">Няма припокриване и оттам – несъвместимост с дейностите свързани с </w:t>
      </w:r>
      <w:r w:rsidRPr="00610B1B">
        <w:rPr>
          <w:rFonts w:cs="Times New Roman"/>
          <w:b/>
          <w:bCs/>
        </w:rPr>
        <w:t>военните учения</w:t>
      </w:r>
      <w:r w:rsidRPr="00610B1B">
        <w:rPr>
          <w:rFonts w:cs="Times New Roman"/>
        </w:rPr>
        <w:t>. Инвестиционните предложения за съоръжения за аквакултури се издават за зони, в които не се извършват военни учения.</w:t>
      </w:r>
      <w:r w:rsidR="000B7461" w:rsidRPr="00610B1B">
        <w:rPr>
          <w:rFonts w:cs="Times New Roman"/>
        </w:rPr>
        <w:t xml:space="preserve"> </w:t>
      </w:r>
    </w:p>
    <w:p w14:paraId="280089B3" w14:textId="71BD620D" w:rsidR="00012D1F" w:rsidRPr="00610B1B" w:rsidRDefault="00012D1F" w:rsidP="00D32D6A">
      <w:pPr>
        <w:pStyle w:val="BodyText"/>
        <w:spacing w:before="0" w:after="120" w:line="276" w:lineRule="auto"/>
        <w:rPr>
          <w:rFonts w:cs="Times New Roman"/>
        </w:rPr>
      </w:pPr>
      <w:r w:rsidRPr="00610B1B">
        <w:rPr>
          <w:rFonts w:cs="Times New Roman"/>
        </w:rPr>
        <w:t xml:space="preserve">Зоните за морски аквакултури се припокриват със зоните за </w:t>
      </w:r>
      <w:r w:rsidRPr="00610B1B">
        <w:rPr>
          <w:rFonts w:cs="Times New Roman"/>
          <w:b/>
          <w:bCs/>
        </w:rPr>
        <w:t>опазване на околната среда</w:t>
      </w:r>
      <w:r w:rsidRPr="00610B1B">
        <w:rPr>
          <w:rFonts w:cs="Times New Roman"/>
        </w:rPr>
        <w:t xml:space="preserve"> –защитените зони от НЕМ Натура 2000. Съгласно информацията от Регистъра на </w:t>
      </w:r>
      <w:r w:rsidRPr="00610B1B">
        <w:rPr>
          <w:rFonts w:cs="Times New Roman"/>
        </w:rPr>
        <w:lastRenderedPageBreak/>
        <w:t>разрешителните за ползване на воден обект за други цели в Черно море</w:t>
      </w:r>
      <w:r w:rsidR="00CC0CB7" w:rsidRPr="00610B1B">
        <w:rPr>
          <w:rFonts w:cs="Times New Roman"/>
        </w:rPr>
        <w:t xml:space="preserve"> </w:t>
      </w:r>
      <w:r w:rsidRPr="00610B1B">
        <w:rPr>
          <w:rFonts w:cs="Times New Roman"/>
        </w:rPr>
        <w:t>на БДЧР</w:t>
      </w:r>
      <w:r w:rsidRPr="00610B1B">
        <w:rPr>
          <w:rStyle w:val="FootnoteAnchor"/>
          <w:rFonts w:cs="Times New Roman"/>
        </w:rPr>
        <w:footnoteReference w:id="187"/>
      </w:r>
      <w:r w:rsidRPr="00610B1B">
        <w:rPr>
          <w:rFonts w:cs="Times New Roman"/>
        </w:rPr>
        <w:t xml:space="preserve">, част от мидените ферми попадат в Натура 2000. </w:t>
      </w:r>
      <w:r w:rsidR="008D5400" w:rsidRPr="00610B1B">
        <w:rPr>
          <w:rFonts w:cs="Times New Roman"/>
        </w:rPr>
        <w:t xml:space="preserve">Фермите </w:t>
      </w:r>
      <w:r w:rsidRPr="00610B1B">
        <w:rPr>
          <w:rFonts w:cs="Times New Roman"/>
        </w:rPr>
        <w:t xml:space="preserve">биха могли да осигуряват биологично пречистване чрез способността на мидите да филтрират суспендираните частици в морската вода. При образуване на твърди и </w:t>
      </w:r>
      <w:r w:rsidR="00E06AC8">
        <w:rPr>
          <w:rFonts w:cs="Times New Roman"/>
        </w:rPr>
        <w:t>отпадъци</w:t>
      </w:r>
      <w:r w:rsidR="00760E2D">
        <w:rPr>
          <w:rFonts w:cs="Times New Roman"/>
        </w:rPr>
        <w:t>отпадъци</w:t>
      </w:r>
      <w:r w:rsidRPr="00610B1B">
        <w:rPr>
          <w:rFonts w:cs="Times New Roman"/>
        </w:rPr>
        <w:t xml:space="preserve"> в резултат от производството на миди, двете дейности са несъвместими.</w:t>
      </w:r>
    </w:p>
    <w:p w14:paraId="37AF6AD3" w14:textId="77777777" w:rsidR="00012D1F" w:rsidRPr="00610B1B" w:rsidRDefault="00012D1F" w:rsidP="00D32D6A">
      <w:pPr>
        <w:pStyle w:val="BodyText"/>
        <w:spacing w:before="0" w:after="120" w:line="276" w:lineRule="auto"/>
        <w:rPr>
          <w:rFonts w:cs="Times New Roman"/>
        </w:rPr>
      </w:pPr>
      <w:bookmarkStart w:id="470" w:name="_Hlk49714259"/>
      <w:r w:rsidRPr="00610B1B">
        <w:rPr>
          <w:rFonts w:cs="Times New Roman"/>
        </w:rPr>
        <w:t xml:space="preserve">Районите на водите за отглеждане на черупкови организми се припокриват с районите на потънали археологически обекти от </w:t>
      </w:r>
      <w:r w:rsidRPr="00610B1B">
        <w:rPr>
          <w:rFonts w:cs="Times New Roman"/>
          <w:b/>
          <w:bCs/>
        </w:rPr>
        <w:t>подводното културно наследство</w:t>
      </w:r>
      <w:r w:rsidRPr="00610B1B">
        <w:rPr>
          <w:rFonts w:cs="Times New Roman"/>
        </w:rPr>
        <w:t>, но издадените до момента разрешителни показват, че инсталациите са на разстояние от откритите кораби, поради което може да се приеме, че няма взаимодействие.</w:t>
      </w:r>
    </w:p>
    <w:bookmarkEnd w:id="470"/>
    <w:p w14:paraId="5FA1EF7A" w14:textId="30E5E33C" w:rsidR="00012D1F" w:rsidRPr="00610B1B" w:rsidRDefault="00012D1F" w:rsidP="00D32D6A">
      <w:pPr>
        <w:pStyle w:val="BodyText"/>
        <w:spacing w:before="0" w:after="120" w:line="276" w:lineRule="auto"/>
        <w:rPr>
          <w:rFonts w:cs="Times New Roman"/>
        </w:rPr>
      </w:pPr>
      <w:r w:rsidRPr="00610B1B">
        <w:rPr>
          <w:rFonts w:cs="Times New Roman"/>
          <w:b/>
          <w:bCs/>
        </w:rPr>
        <w:t>Научните изследвания</w:t>
      </w:r>
      <w:r w:rsidRPr="00610B1B">
        <w:rPr>
          <w:rFonts w:cs="Times New Roman"/>
        </w:rPr>
        <w:t xml:space="preserve"> са пространствено несъвместими с морските аквакултури, тъй като в зоните на мидените ферми не се извършва мониторинг. Изключение прави собствения</w:t>
      </w:r>
      <w:r w:rsidR="0098119F" w:rsidRPr="00610B1B">
        <w:rPr>
          <w:rFonts w:cs="Times New Roman"/>
        </w:rPr>
        <w:t>т</w:t>
      </w:r>
      <w:r w:rsidRPr="00610B1B">
        <w:rPr>
          <w:rFonts w:cs="Times New Roman"/>
        </w:rPr>
        <w:t xml:space="preserve"> мониторинг на мидените ферми, определен в условията на разрешителните за аквакултури, който се извършва съгласно чл. 174 от Закона за водите и Наредба №</w:t>
      </w:r>
      <w:r w:rsidR="0098119F" w:rsidRPr="00610B1B">
        <w:rPr>
          <w:rFonts w:cs="Times New Roman"/>
        </w:rPr>
        <w:t xml:space="preserve"> </w:t>
      </w:r>
      <w:r w:rsidRPr="00610B1B">
        <w:rPr>
          <w:rFonts w:cs="Times New Roman"/>
        </w:rPr>
        <w:t>1 от 11.04.2011 г. за мониторинг на водите</w:t>
      </w:r>
      <w:r w:rsidRPr="00610B1B">
        <w:rPr>
          <w:rStyle w:val="FootnoteAnchor"/>
          <w:rFonts w:cs="Times New Roman"/>
        </w:rPr>
        <w:footnoteReference w:id="188"/>
      </w:r>
      <w:r w:rsidRPr="00610B1B">
        <w:rPr>
          <w:rFonts w:cs="Times New Roman"/>
        </w:rPr>
        <w:t xml:space="preserve"> и се взема предвид при оценка на състояние на крайбрежните морски води в Плана за управление на речните басейни (ПУРБ) 2016-2021 г.</w:t>
      </w:r>
    </w:p>
    <w:p w14:paraId="626CF874" w14:textId="77777777" w:rsidR="00012D1F" w:rsidRPr="00610B1B" w:rsidRDefault="00012D1F" w:rsidP="00695BEA">
      <w:pPr>
        <w:pStyle w:val="BodyText"/>
        <w:spacing w:before="0" w:after="120" w:line="240" w:lineRule="auto"/>
        <w:rPr>
          <w:rFonts w:cs="Times New Roman"/>
          <w:b/>
          <w:bCs/>
        </w:rPr>
      </w:pPr>
      <w:r w:rsidRPr="00610B1B">
        <w:rPr>
          <w:rFonts w:cs="Times New Roman"/>
          <w:b/>
          <w:bCs/>
        </w:rPr>
        <w:t>Туризъм</w:t>
      </w:r>
    </w:p>
    <w:p w14:paraId="098471E1" w14:textId="3911D2DA" w:rsidR="00012D1F" w:rsidRPr="00610B1B" w:rsidRDefault="00012D1F" w:rsidP="00D32D6A">
      <w:pPr>
        <w:pStyle w:val="BodyText"/>
        <w:spacing w:before="0" w:after="120" w:line="276" w:lineRule="auto"/>
        <w:rPr>
          <w:rFonts w:cs="Times New Roman"/>
        </w:rPr>
      </w:pPr>
      <w:r w:rsidRPr="00610B1B">
        <w:rPr>
          <w:rFonts w:cs="Times New Roman"/>
        </w:rPr>
        <w:t xml:space="preserve">Крайбрежният и морски туризъм зависи от създадената </w:t>
      </w:r>
      <w:r w:rsidRPr="00610B1B">
        <w:rPr>
          <w:rFonts w:cs="Times New Roman"/>
          <w:b/>
          <w:bCs/>
        </w:rPr>
        <w:t>техническа инфраструктура</w:t>
      </w:r>
      <w:r w:rsidRPr="00610B1B">
        <w:rPr>
          <w:rFonts w:cs="Times New Roman"/>
        </w:rPr>
        <w:t xml:space="preserve"> – буни, дамби, морски пристанища. Дамбите осигуряват защита на разположената на брега туристическа инфраструктура от ветровото вълнение, но правят морето недостъпно за туристите. Буните също осигуряват известна защита от ветровото вълнение и задържане на пясъка от наветрената страна. Но това е причина за подветрена ерозия на плажните ивици при недостатъчна мощност на наносния поток, поради което имат както положително, така и отрицателно въздействие върху широчината на достъпната плажна площ. Буните и дамбите променят естествения ландшафт, което прави брега по-малко привлекателен за туристите.</w:t>
      </w:r>
      <w:r w:rsidR="008D5400" w:rsidRPr="00610B1B">
        <w:rPr>
          <w:rFonts w:cs="Times New Roman"/>
        </w:rPr>
        <w:t xml:space="preserve"> Положените на морското дъно кабели нямат отрицателно въздействие върху развитието на морския туризъм.</w:t>
      </w:r>
    </w:p>
    <w:p w14:paraId="39118241" w14:textId="52F2E577" w:rsidR="00012D1F" w:rsidRPr="00610B1B" w:rsidRDefault="00012D1F" w:rsidP="00D32D6A">
      <w:pPr>
        <w:pStyle w:val="BodyText"/>
        <w:spacing w:before="0" w:after="120" w:line="276" w:lineRule="auto"/>
        <w:rPr>
          <w:rFonts w:cs="Times New Roman"/>
        </w:rPr>
      </w:pPr>
      <w:r w:rsidRPr="00610B1B">
        <w:rPr>
          <w:rFonts w:cs="Times New Roman"/>
        </w:rPr>
        <w:t xml:space="preserve">Няма припокриване между крайбрежния и морски туризъм и зоните </w:t>
      </w:r>
      <w:r w:rsidR="00737206" w:rsidRPr="00610B1B">
        <w:rPr>
          <w:rFonts w:cs="Times New Roman"/>
        </w:rPr>
        <w:t xml:space="preserve">за </w:t>
      </w:r>
      <w:r w:rsidRPr="00610B1B">
        <w:rPr>
          <w:rFonts w:cs="Times New Roman"/>
          <w:b/>
          <w:bCs/>
        </w:rPr>
        <w:t>проучване и добив</w:t>
      </w:r>
      <w:r w:rsidRPr="00610B1B">
        <w:rPr>
          <w:rFonts w:cs="Times New Roman"/>
        </w:rPr>
        <w:t xml:space="preserve"> на нефт и газ, които са на значително разстояние в зоната на шелфа. В тези зони се забранява влизането и пребиваването на плавателни съдове, освен обслужващите кораби</w:t>
      </w:r>
      <w:bookmarkStart w:id="471" w:name="_RefF11"/>
      <w:bookmarkStart w:id="472" w:name="_RefF01"/>
      <w:bookmarkEnd w:id="471"/>
      <w:bookmarkEnd w:id="472"/>
      <w:r w:rsidRPr="00610B1B">
        <w:rPr>
          <w:rFonts w:cs="Times New Roman"/>
        </w:rPr>
        <w:t>.</w:t>
      </w:r>
    </w:p>
    <w:p w14:paraId="6FBED652" w14:textId="79125846" w:rsidR="00012D1F" w:rsidRPr="00610B1B" w:rsidRDefault="00012D1F" w:rsidP="00D32D6A">
      <w:pPr>
        <w:pStyle w:val="BodyText"/>
        <w:spacing w:before="0" w:after="120" w:line="276" w:lineRule="auto"/>
        <w:rPr>
          <w:rFonts w:cs="Times New Roman"/>
        </w:rPr>
      </w:pPr>
      <w:r w:rsidRPr="00610B1B">
        <w:rPr>
          <w:rFonts w:cs="Times New Roman"/>
        </w:rPr>
        <w:t xml:space="preserve">Съществува несъвместимост между </w:t>
      </w:r>
      <w:r w:rsidRPr="00610B1B">
        <w:rPr>
          <w:rFonts w:cs="Times New Roman"/>
          <w:b/>
          <w:bCs/>
        </w:rPr>
        <w:t>военните учения</w:t>
      </w:r>
      <w:r w:rsidRPr="00610B1B">
        <w:rPr>
          <w:rFonts w:cs="Times New Roman"/>
        </w:rPr>
        <w:t xml:space="preserve"> и туризма, </w:t>
      </w:r>
      <w:r w:rsidR="008D5400" w:rsidRPr="00610B1B">
        <w:rPr>
          <w:rFonts w:cs="Times New Roman"/>
        </w:rPr>
        <w:t>поради което</w:t>
      </w:r>
      <w:r w:rsidRPr="00610B1B">
        <w:rPr>
          <w:rFonts w:cs="Times New Roman"/>
        </w:rPr>
        <w:t xml:space="preserve"> зоните, в които се извършват военни учения са временно или постоянно затворени за достъп</w:t>
      </w:r>
      <w:r w:rsidR="008D5400" w:rsidRPr="00610B1B">
        <w:rPr>
          <w:rFonts w:cs="Times New Roman"/>
        </w:rPr>
        <w:t>, за да се ограничи риска за пребиваващите в близост до тези зони</w:t>
      </w:r>
      <w:r w:rsidRPr="00610B1B">
        <w:rPr>
          <w:rFonts w:cs="Times New Roman"/>
        </w:rPr>
        <w:t>.</w:t>
      </w:r>
    </w:p>
    <w:p w14:paraId="0730F869" w14:textId="2359033B" w:rsidR="00012D1F" w:rsidRPr="00610B1B" w:rsidRDefault="00012D1F" w:rsidP="0064716E">
      <w:pPr>
        <w:pStyle w:val="BodyText"/>
        <w:spacing w:after="120"/>
        <w:rPr>
          <w:rFonts w:cs="Times New Roman"/>
          <w:color w:val="000000"/>
        </w:rPr>
      </w:pPr>
      <w:r w:rsidRPr="00610B1B">
        <w:rPr>
          <w:rFonts w:cs="Times New Roman"/>
        </w:rPr>
        <w:t xml:space="preserve">Туристическите дейности се припокриват със зоните за </w:t>
      </w:r>
      <w:r w:rsidRPr="00610B1B">
        <w:rPr>
          <w:rFonts w:cs="Times New Roman"/>
          <w:b/>
          <w:bCs/>
        </w:rPr>
        <w:t>опазване на околната среда</w:t>
      </w:r>
      <w:r w:rsidRPr="00610B1B">
        <w:rPr>
          <w:rFonts w:cs="Times New Roman"/>
        </w:rPr>
        <w:t xml:space="preserve"> –защитените зони от НЕМ Натура 2000.</w:t>
      </w:r>
      <w:r w:rsidR="00D66FE0" w:rsidRPr="00610B1B">
        <w:rPr>
          <w:rFonts w:cs="Times New Roman"/>
        </w:rPr>
        <w:t xml:space="preserve"> </w:t>
      </w:r>
      <w:r w:rsidRPr="00610B1B">
        <w:rPr>
          <w:rFonts w:cs="Times New Roman"/>
          <w:color w:val="000000"/>
        </w:rPr>
        <w:t xml:space="preserve">Населените места и селищни образувания, курортите, курортните комплекси, ваканционните селища и вилните зони по крайбрежието могат да бъдат източник на замърсяване с </w:t>
      </w:r>
      <w:r w:rsidR="008D5400" w:rsidRPr="00610B1B">
        <w:rPr>
          <w:rFonts w:cs="Times New Roman"/>
          <w:color w:val="000000"/>
        </w:rPr>
        <w:t xml:space="preserve">недобре </w:t>
      </w:r>
      <w:r w:rsidRPr="00610B1B">
        <w:rPr>
          <w:rFonts w:cs="Times New Roman"/>
          <w:color w:val="000000"/>
        </w:rPr>
        <w:t xml:space="preserve">пречистени отпадъчни </w:t>
      </w:r>
      <w:r w:rsidRPr="00610B1B">
        <w:rPr>
          <w:rFonts w:cs="Times New Roman"/>
          <w:color w:val="000000"/>
        </w:rPr>
        <w:lastRenderedPageBreak/>
        <w:t xml:space="preserve">води, въпреки че при извършване на дейности, свързани с ползване на води за заустване в повърхностен воден обект е необходимо разрешително, съгласно чл. 46, ал. 1 от Закона за водите. </w:t>
      </w:r>
      <w:r w:rsidR="008D5400" w:rsidRPr="00610B1B">
        <w:rPr>
          <w:rFonts w:cs="Times New Roman"/>
          <w:color w:val="000000"/>
        </w:rPr>
        <w:t>Съгласно П</w:t>
      </w:r>
      <w:r w:rsidRPr="00610B1B">
        <w:rPr>
          <w:rFonts w:cs="Times New Roman"/>
          <w:color w:val="000000"/>
        </w:rPr>
        <w:t>риложение III от РДМС</w:t>
      </w:r>
      <w:r w:rsidR="00AA27F1" w:rsidRPr="00610B1B">
        <w:rPr>
          <w:rFonts w:cs="Times New Roman"/>
          <w:color w:val="000000"/>
        </w:rPr>
        <w:t xml:space="preserve"> са възможни следните видове натиск</w:t>
      </w:r>
      <w:r w:rsidRPr="00610B1B">
        <w:rPr>
          <w:rFonts w:cs="Times New Roman"/>
          <w:color w:val="000000"/>
        </w:rPr>
        <w:t>: въвеждане на микробни патогени; физически смущения на морското дъно (временни или обратими) (дескриптор 6 от РДМС); въвеждане на хранителни вещества (дескриптор</w:t>
      </w:r>
      <w:r w:rsidR="00695BEA" w:rsidRPr="00610B1B">
        <w:rPr>
          <w:rFonts w:cs="Times New Roman"/>
          <w:color w:val="000000"/>
        </w:rPr>
        <w:t> </w:t>
      </w:r>
      <w:r w:rsidRPr="00610B1B">
        <w:rPr>
          <w:rFonts w:cs="Times New Roman"/>
          <w:color w:val="000000"/>
        </w:rPr>
        <w:t xml:space="preserve">5 - еутрофикация); обезпокояване на видове </w:t>
      </w:r>
      <w:r w:rsidR="00AA27F1" w:rsidRPr="00610B1B">
        <w:rPr>
          <w:rFonts w:cs="Times New Roman"/>
          <w:color w:val="000000"/>
        </w:rPr>
        <w:t>в пространствата за</w:t>
      </w:r>
      <w:r w:rsidRPr="00610B1B">
        <w:rPr>
          <w:rFonts w:cs="Times New Roman"/>
          <w:color w:val="000000"/>
        </w:rPr>
        <w:t xml:space="preserve"> размножава</w:t>
      </w:r>
      <w:r w:rsidR="00AA27F1" w:rsidRPr="00610B1B">
        <w:rPr>
          <w:rFonts w:cs="Times New Roman"/>
          <w:color w:val="000000"/>
        </w:rPr>
        <w:t>не</w:t>
      </w:r>
      <w:r w:rsidRPr="00610B1B">
        <w:rPr>
          <w:rFonts w:cs="Times New Roman"/>
          <w:color w:val="000000"/>
        </w:rPr>
        <w:t>, почив</w:t>
      </w:r>
      <w:r w:rsidR="00AA27F1" w:rsidRPr="00610B1B">
        <w:rPr>
          <w:rFonts w:cs="Times New Roman"/>
          <w:color w:val="000000"/>
        </w:rPr>
        <w:t>к</w:t>
      </w:r>
      <w:r w:rsidRPr="00610B1B">
        <w:rPr>
          <w:rFonts w:cs="Times New Roman"/>
          <w:color w:val="000000"/>
        </w:rPr>
        <w:t>а и хран</w:t>
      </w:r>
      <w:r w:rsidR="00AA27F1" w:rsidRPr="00610B1B">
        <w:rPr>
          <w:rFonts w:cs="Times New Roman"/>
          <w:color w:val="000000"/>
        </w:rPr>
        <w:t>ене</w:t>
      </w:r>
      <w:r w:rsidRPr="00610B1B">
        <w:rPr>
          <w:rFonts w:cs="Times New Roman"/>
          <w:color w:val="000000"/>
        </w:rPr>
        <w:t xml:space="preserve"> поради човешко присъствие (дескриптор 1 - биоразнообразие); въвеждане на синтетични вещества</w:t>
      </w:r>
      <w:r w:rsidR="0064716E" w:rsidRPr="00610B1B">
        <w:rPr>
          <w:rFonts w:cs="Times New Roman"/>
          <w:color w:val="000000"/>
        </w:rPr>
        <w:t>,</w:t>
      </w:r>
      <w:r w:rsidRPr="00610B1B">
        <w:rPr>
          <w:rFonts w:cs="Times New Roman"/>
          <w:color w:val="000000"/>
        </w:rPr>
        <w:t xml:space="preserve"> несинтетични вещества</w:t>
      </w:r>
      <w:r w:rsidR="0064716E" w:rsidRPr="00610B1B">
        <w:rPr>
          <w:rFonts w:cs="Times New Roman"/>
          <w:color w:val="000000"/>
        </w:rPr>
        <w:t>,</w:t>
      </w:r>
      <w:r w:rsidRPr="00610B1B">
        <w:rPr>
          <w:rFonts w:cs="Times New Roman"/>
          <w:color w:val="000000"/>
        </w:rPr>
        <w:t xml:space="preserve"> </w:t>
      </w:r>
      <w:r w:rsidR="0064716E" w:rsidRPr="00610B1B">
        <w:rPr>
          <w:rFonts w:cs="Times New Roman"/>
          <w:color w:val="000000"/>
        </w:rPr>
        <w:t xml:space="preserve">радионуклиди - дифузни източници, точкови източници, атмосферни отлагания и случаи на интензивно замърсяване </w:t>
      </w:r>
      <w:r w:rsidRPr="00610B1B">
        <w:rPr>
          <w:rFonts w:cs="Times New Roman"/>
          <w:color w:val="000000"/>
        </w:rPr>
        <w:t>(дескриптор 8 – замърсители в морската среда); въвеждане на органични вещества; въвеждане на отпадъци (включително микроотпадъци) (дескриптор</w:t>
      </w:r>
      <w:r w:rsidR="00695BEA" w:rsidRPr="00610B1B">
        <w:rPr>
          <w:rFonts w:cs="Times New Roman"/>
          <w:color w:val="000000"/>
        </w:rPr>
        <w:t> </w:t>
      </w:r>
      <w:r w:rsidRPr="00610B1B">
        <w:rPr>
          <w:rFonts w:cs="Times New Roman"/>
          <w:color w:val="000000"/>
        </w:rPr>
        <w:t>10</w:t>
      </w:r>
      <w:r w:rsidR="00695BEA" w:rsidRPr="00610B1B">
        <w:rPr>
          <w:rFonts w:cs="Times New Roman"/>
          <w:color w:val="000000"/>
        </w:rPr>
        <w:t> </w:t>
      </w:r>
      <w:r w:rsidRPr="00610B1B">
        <w:rPr>
          <w:rFonts w:cs="Times New Roman"/>
          <w:color w:val="000000"/>
        </w:rPr>
        <w:t xml:space="preserve">- морски отпадъци). Освен това плавателните средства за спорт, туризъм и развлечение са източник на </w:t>
      </w:r>
      <w:r w:rsidR="003C41B4" w:rsidRPr="00610B1B">
        <w:rPr>
          <w:rFonts w:cs="Times New Roman"/>
        </w:rPr>
        <w:t>антропогенен</w:t>
      </w:r>
      <w:r w:rsidR="0064716E" w:rsidRPr="00610B1B">
        <w:rPr>
          <w:rFonts w:cs="Times New Roman"/>
        </w:rPr>
        <w:t xml:space="preserve"> звук (импулсен или постоянен)</w:t>
      </w:r>
      <w:r w:rsidR="0064716E" w:rsidRPr="00610B1B">
        <w:rPr>
          <w:rFonts w:cs="Times New Roman"/>
          <w:color w:val="000000"/>
        </w:rPr>
        <w:t xml:space="preserve"> </w:t>
      </w:r>
      <w:r w:rsidRPr="00610B1B">
        <w:rPr>
          <w:rFonts w:cs="Times New Roman"/>
          <w:color w:val="000000"/>
        </w:rPr>
        <w:t>(дескриптор 11) за морските риби и бозайници.</w:t>
      </w:r>
    </w:p>
    <w:p w14:paraId="7CB687EB" w14:textId="77777777" w:rsidR="00012D1F" w:rsidRPr="00610B1B" w:rsidRDefault="00012D1F" w:rsidP="00D32D6A">
      <w:pPr>
        <w:pStyle w:val="BodyText"/>
        <w:spacing w:before="0" w:after="120" w:line="276" w:lineRule="auto"/>
        <w:rPr>
          <w:rFonts w:cs="Times New Roman"/>
        </w:rPr>
      </w:pPr>
      <w:bookmarkStart w:id="473" w:name="_Hlk49714298"/>
      <w:r w:rsidRPr="00610B1B">
        <w:rPr>
          <w:rFonts w:cs="Times New Roman"/>
        </w:rPr>
        <w:t xml:space="preserve">Дейностите на морския туризъм са съвместими с дейностите по опазване на потънали археологически обекти от </w:t>
      </w:r>
      <w:r w:rsidRPr="00610B1B">
        <w:rPr>
          <w:rFonts w:cs="Times New Roman"/>
          <w:b/>
          <w:bCs/>
        </w:rPr>
        <w:t>подводното културно наследство</w:t>
      </w:r>
      <w:r w:rsidRPr="00610B1B">
        <w:rPr>
          <w:rFonts w:cs="Times New Roman"/>
        </w:rPr>
        <w:t>.</w:t>
      </w:r>
    </w:p>
    <w:bookmarkEnd w:id="473"/>
    <w:p w14:paraId="01892FEC" w14:textId="77777777" w:rsidR="00012D1F" w:rsidRPr="00610B1B" w:rsidRDefault="00012D1F" w:rsidP="00D32D6A">
      <w:pPr>
        <w:pStyle w:val="BodyText"/>
        <w:spacing w:before="0" w:after="120" w:line="276" w:lineRule="auto"/>
        <w:rPr>
          <w:rFonts w:cs="Times New Roman"/>
        </w:rPr>
      </w:pPr>
      <w:r w:rsidRPr="00610B1B">
        <w:rPr>
          <w:rFonts w:cs="Times New Roman"/>
          <w:b/>
          <w:bCs/>
        </w:rPr>
        <w:t>Научните изследвания</w:t>
      </w:r>
      <w:r w:rsidRPr="00610B1B">
        <w:rPr>
          <w:rFonts w:cs="Times New Roman"/>
        </w:rPr>
        <w:t xml:space="preserve"> са пространствено съвместими с морския туризъм, тъй като морският туризъм не затруднява мониторинга, въпреки че в някои случаи дейностите се припокриват, особено при изследване на крайбрежните дънни местообитания.</w:t>
      </w:r>
    </w:p>
    <w:p w14:paraId="0700136E" w14:textId="77777777" w:rsidR="00012D1F" w:rsidRPr="00610B1B" w:rsidRDefault="00012D1F" w:rsidP="00695BEA">
      <w:pPr>
        <w:pStyle w:val="BodyText"/>
        <w:spacing w:before="0" w:after="120" w:line="240" w:lineRule="auto"/>
        <w:rPr>
          <w:rFonts w:cs="Times New Roman"/>
          <w:b/>
          <w:bCs/>
        </w:rPr>
      </w:pPr>
      <w:r w:rsidRPr="00610B1B">
        <w:rPr>
          <w:rFonts w:cs="Times New Roman"/>
          <w:b/>
          <w:bCs/>
        </w:rPr>
        <w:t>Техническа инфраструктура</w:t>
      </w:r>
    </w:p>
    <w:p w14:paraId="28F61A43" w14:textId="77777777" w:rsidR="00012D1F" w:rsidRPr="00610B1B" w:rsidRDefault="00012D1F" w:rsidP="00D32D6A">
      <w:pPr>
        <w:pStyle w:val="BodyText"/>
        <w:spacing w:before="0" w:after="120" w:line="276" w:lineRule="auto"/>
        <w:rPr>
          <w:rFonts w:cs="Times New Roman"/>
        </w:rPr>
      </w:pPr>
      <w:r w:rsidRPr="00610B1B">
        <w:rPr>
          <w:rFonts w:cs="Times New Roman"/>
        </w:rPr>
        <w:t xml:space="preserve">Техническата инфраструктура (пристанища, брегозащитни съоръжения, подводни комуникационни кабели) не се припокрива със съществуващите съоръжения за </w:t>
      </w:r>
      <w:r w:rsidRPr="00610B1B">
        <w:rPr>
          <w:rFonts w:cs="Times New Roman"/>
          <w:b/>
          <w:bCs/>
        </w:rPr>
        <w:t>проучване и добив</w:t>
      </w:r>
      <w:r w:rsidRPr="00610B1B">
        <w:rPr>
          <w:rFonts w:cs="Times New Roman"/>
        </w:rPr>
        <w:t xml:space="preserve"> на нефт и газ, поради което няма несъвместимост.</w:t>
      </w:r>
    </w:p>
    <w:p w14:paraId="045A3D45" w14:textId="4F946094" w:rsidR="00012D1F" w:rsidRPr="00610B1B" w:rsidRDefault="00012D1F" w:rsidP="00D32D6A">
      <w:pPr>
        <w:pStyle w:val="BodyText"/>
        <w:spacing w:before="0" w:after="120" w:line="276" w:lineRule="auto"/>
        <w:rPr>
          <w:rFonts w:cs="Times New Roman"/>
        </w:rPr>
      </w:pPr>
      <w:r w:rsidRPr="00610B1B">
        <w:rPr>
          <w:rFonts w:cs="Times New Roman"/>
        </w:rPr>
        <w:t xml:space="preserve">Обектите на техническата инфраструктура са извън зони за </w:t>
      </w:r>
      <w:r w:rsidRPr="00610B1B">
        <w:rPr>
          <w:rFonts w:cs="Times New Roman"/>
          <w:b/>
          <w:bCs/>
        </w:rPr>
        <w:t>военни учения</w:t>
      </w:r>
      <w:r w:rsidRPr="00610B1B">
        <w:rPr>
          <w:rFonts w:cs="Times New Roman"/>
        </w:rPr>
        <w:t xml:space="preserve"> или са съвместими, когато са предназначени </w:t>
      </w:r>
      <w:r w:rsidR="00737206" w:rsidRPr="00610B1B">
        <w:rPr>
          <w:rFonts w:cs="Times New Roman"/>
        </w:rPr>
        <w:t>з</w:t>
      </w:r>
      <w:r w:rsidRPr="00610B1B">
        <w:rPr>
          <w:rFonts w:cs="Times New Roman"/>
        </w:rPr>
        <w:t>а обекти на отбраната (например военни пристанища).</w:t>
      </w:r>
    </w:p>
    <w:p w14:paraId="14ED2F63" w14:textId="2A229369" w:rsidR="00012D1F" w:rsidRPr="00610B1B" w:rsidRDefault="00012D1F" w:rsidP="00695BEA">
      <w:pPr>
        <w:pStyle w:val="BodyText"/>
        <w:spacing w:before="0" w:after="0" w:line="276" w:lineRule="auto"/>
        <w:rPr>
          <w:rFonts w:cs="Times New Roman"/>
        </w:rPr>
      </w:pPr>
      <w:r w:rsidRPr="00610B1B">
        <w:rPr>
          <w:rFonts w:cs="Times New Roman"/>
        </w:rPr>
        <w:t xml:space="preserve">В зоните за </w:t>
      </w:r>
      <w:r w:rsidRPr="00610B1B">
        <w:rPr>
          <w:rFonts w:cs="Times New Roman"/>
          <w:b/>
          <w:bCs/>
        </w:rPr>
        <w:t>опазване на околната среда</w:t>
      </w:r>
      <w:r w:rsidRPr="00610B1B">
        <w:rPr>
          <w:rFonts w:cs="Times New Roman"/>
        </w:rPr>
        <w:t xml:space="preserve"> – защитените зони от НЕМ Натура 2000 с морска акватория, са изградени различни съоръжения на техническата инфраструктура</w:t>
      </w:r>
      <w:r w:rsidR="00695BEA" w:rsidRPr="00610B1B">
        <w:rPr>
          <w:rFonts w:cs="Times New Roman"/>
        </w:rPr>
        <w:t> </w:t>
      </w:r>
      <w:r w:rsidRPr="00610B1B">
        <w:rPr>
          <w:rFonts w:cs="Times New Roman"/>
        </w:rPr>
        <w:t>– буни, дамби, пристанища, подводни комуникационни кабели.</w:t>
      </w:r>
      <w:r w:rsidR="00D66FE0" w:rsidRPr="00610B1B">
        <w:rPr>
          <w:rFonts w:cs="Times New Roman"/>
        </w:rPr>
        <w:t xml:space="preserve"> </w:t>
      </w:r>
      <w:r w:rsidRPr="00610B1B">
        <w:rPr>
          <w:rFonts w:cs="Times New Roman"/>
          <w:color w:val="000000"/>
        </w:rPr>
        <w:t xml:space="preserve">На сушата има пречиствателни станции за отпадъчни води, които заустват в повърхностни водни обекти или в морето. Приложими са следните видове натиск от </w:t>
      </w:r>
      <w:r w:rsidR="00AA27F1" w:rsidRPr="00610B1B">
        <w:rPr>
          <w:rFonts w:cs="Times New Roman"/>
          <w:color w:val="000000"/>
        </w:rPr>
        <w:t xml:space="preserve">Приложение </w:t>
      </w:r>
      <w:r w:rsidRPr="00610B1B">
        <w:rPr>
          <w:rFonts w:cs="Times New Roman"/>
          <w:color w:val="000000"/>
        </w:rPr>
        <w:t>III от РДМС:</w:t>
      </w:r>
    </w:p>
    <w:p w14:paraId="6A3FA458" w14:textId="74DCFA0A" w:rsidR="00012D1F" w:rsidRPr="00610B1B" w:rsidRDefault="00B24CAE" w:rsidP="00B46189">
      <w:pPr>
        <w:pStyle w:val="BodyText"/>
        <w:numPr>
          <w:ilvl w:val="0"/>
          <w:numId w:val="82"/>
        </w:numPr>
        <w:spacing w:before="0" w:after="120" w:line="276" w:lineRule="auto"/>
        <w:rPr>
          <w:rFonts w:cs="Times New Roman"/>
        </w:rPr>
      </w:pPr>
      <w:r w:rsidRPr="00610B1B">
        <w:rPr>
          <w:rFonts w:cs="Times New Roman"/>
        </w:rPr>
        <w:t>При з</w:t>
      </w:r>
      <w:r w:rsidR="00012D1F" w:rsidRPr="00610B1B">
        <w:rPr>
          <w:rFonts w:cs="Times New Roman"/>
        </w:rPr>
        <w:t xml:space="preserve">аустване на непречистени отпадъчни води – </w:t>
      </w:r>
      <w:r w:rsidR="003D460D" w:rsidRPr="00610B1B">
        <w:rPr>
          <w:rFonts w:cs="Times New Roman"/>
        </w:rPr>
        <w:t>обогатяване с</w:t>
      </w:r>
      <w:r w:rsidR="00D66FE0" w:rsidRPr="00610B1B">
        <w:rPr>
          <w:rFonts w:cs="Times New Roman"/>
        </w:rPr>
        <w:t xml:space="preserve"> </w:t>
      </w:r>
      <w:r w:rsidR="00012D1F" w:rsidRPr="00610B1B">
        <w:rPr>
          <w:rFonts w:cs="Times New Roman"/>
        </w:rPr>
        <w:t>хранителни вещества</w:t>
      </w:r>
      <w:r w:rsidR="003D460D" w:rsidRPr="00610B1B">
        <w:rPr>
          <w:rFonts w:cs="Times New Roman"/>
        </w:rPr>
        <w:t xml:space="preserve"> и органична маса</w:t>
      </w:r>
      <w:r w:rsidR="00012D1F" w:rsidRPr="00610B1B">
        <w:rPr>
          <w:rFonts w:cs="Times New Roman"/>
        </w:rPr>
        <w:t xml:space="preserve"> (дескриптор 5 – еутрофикация); </w:t>
      </w:r>
      <w:r w:rsidRPr="00610B1B">
        <w:rPr>
          <w:rFonts w:cs="Times New Roman"/>
        </w:rPr>
        <w:t>замърсяване с опасни вещества</w:t>
      </w:r>
      <w:r w:rsidR="00D66FE0" w:rsidRPr="00610B1B">
        <w:rPr>
          <w:rFonts w:cs="Times New Roman"/>
        </w:rPr>
        <w:t xml:space="preserve"> </w:t>
      </w:r>
      <w:r w:rsidR="00012D1F" w:rsidRPr="00610B1B">
        <w:rPr>
          <w:rFonts w:cs="Times New Roman"/>
        </w:rPr>
        <w:t xml:space="preserve">(дескриптор 8 – замърсители в морската среда); </w:t>
      </w:r>
      <w:r w:rsidRPr="00610B1B">
        <w:rPr>
          <w:rFonts w:cs="Times New Roman"/>
        </w:rPr>
        <w:t>и други физически смущения, причиняващи замърсяване с морски отпадъци, вкл.</w:t>
      </w:r>
      <w:r w:rsidR="00D66FE0" w:rsidRPr="00610B1B">
        <w:rPr>
          <w:rFonts w:cs="Times New Roman"/>
        </w:rPr>
        <w:t xml:space="preserve"> </w:t>
      </w:r>
      <w:r w:rsidR="00012D1F" w:rsidRPr="00610B1B">
        <w:rPr>
          <w:rFonts w:cs="Times New Roman"/>
        </w:rPr>
        <w:t>микроотпадъци</w:t>
      </w:r>
      <w:r w:rsidR="00695BEA" w:rsidRPr="00610B1B">
        <w:rPr>
          <w:rFonts w:cs="Times New Roman"/>
        </w:rPr>
        <w:t> </w:t>
      </w:r>
      <w:r w:rsidR="00012D1F" w:rsidRPr="00610B1B">
        <w:rPr>
          <w:rFonts w:cs="Times New Roman"/>
          <w:color w:val="000000"/>
        </w:rPr>
        <w:t>(дескриптор 10 - морски отпадъци).</w:t>
      </w:r>
    </w:p>
    <w:p w14:paraId="7FCE662D" w14:textId="6E121B50" w:rsidR="00737206" w:rsidRPr="00610B1B" w:rsidRDefault="00B24CAE" w:rsidP="00B46189">
      <w:pPr>
        <w:pStyle w:val="BodyText"/>
        <w:numPr>
          <w:ilvl w:val="0"/>
          <w:numId w:val="82"/>
        </w:numPr>
        <w:spacing w:before="0" w:after="120" w:line="276" w:lineRule="auto"/>
        <w:rPr>
          <w:rFonts w:cs="Times New Roman"/>
        </w:rPr>
      </w:pPr>
      <w:r w:rsidRPr="00610B1B">
        <w:rPr>
          <w:rFonts w:cs="Times New Roman"/>
        </w:rPr>
        <w:t>При и</w:t>
      </w:r>
      <w:r w:rsidR="00012D1F" w:rsidRPr="00610B1B">
        <w:rPr>
          <w:rFonts w:cs="Times New Roman"/>
        </w:rPr>
        <w:t>зграждане на морски хидротехнически съоръжения – физическ</w:t>
      </w:r>
      <w:r w:rsidRPr="00610B1B">
        <w:rPr>
          <w:rFonts w:cs="Times New Roman"/>
        </w:rPr>
        <w:t>и</w:t>
      </w:r>
      <w:r w:rsidR="00012D1F" w:rsidRPr="00610B1B">
        <w:rPr>
          <w:rFonts w:cs="Times New Roman"/>
        </w:rPr>
        <w:t xml:space="preserve"> загуб</w:t>
      </w:r>
      <w:r w:rsidRPr="00610B1B">
        <w:rPr>
          <w:rFonts w:cs="Times New Roman"/>
        </w:rPr>
        <w:t>и, поради затрупване или запечатване</w:t>
      </w:r>
      <w:r w:rsidR="00012D1F" w:rsidRPr="00610B1B">
        <w:rPr>
          <w:rFonts w:cs="Times New Roman"/>
        </w:rPr>
        <w:t xml:space="preserve"> (дескриптор 6 от РДМС</w:t>
      </w:r>
      <w:r w:rsidR="003D460D" w:rsidRPr="00610B1B">
        <w:rPr>
          <w:rFonts w:cs="Times New Roman"/>
        </w:rPr>
        <w:t xml:space="preserve"> – Дънни местообитания</w:t>
      </w:r>
      <w:r w:rsidR="00012D1F" w:rsidRPr="00610B1B">
        <w:rPr>
          <w:rFonts w:cs="Times New Roman"/>
        </w:rPr>
        <w:t xml:space="preserve">), включително промяна на естествения субстрат (например пясъчен) с изкуствен (бетон); </w:t>
      </w:r>
      <w:r w:rsidRPr="00610B1B">
        <w:rPr>
          <w:rFonts w:cs="Times New Roman"/>
        </w:rPr>
        <w:t xml:space="preserve">Намеса </w:t>
      </w:r>
      <w:r w:rsidR="00012D1F" w:rsidRPr="00610B1B">
        <w:rPr>
          <w:rFonts w:cs="Times New Roman"/>
        </w:rPr>
        <w:t xml:space="preserve">в хидроложки </w:t>
      </w:r>
      <w:r w:rsidRPr="00610B1B">
        <w:rPr>
          <w:rFonts w:cs="Times New Roman"/>
        </w:rPr>
        <w:t>процеси</w:t>
      </w:r>
      <w:r w:rsidR="00012D1F" w:rsidRPr="00610B1B">
        <w:rPr>
          <w:rFonts w:cs="Times New Roman"/>
        </w:rPr>
        <w:t xml:space="preserve"> (дескриптор 7 от </w:t>
      </w:r>
      <w:r w:rsidR="00012D1F" w:rsidRPr="00610B1B">
        <w:rPr>
          <w:rFonts w:cs="Times New Roman"/>
        </w:rPr>
        <w:lastRenderedPageBreak/>
        <w:t>РДМС</w:t>
      </w:r>
      <w:r w:rsidR="003D460D" w:rsidRPr="00610B1B">
        <w:rPr>
          <w:rFonts w:cs="Times New Roman"/>
        </w:rPr>
        <w:t xml:space="preserve"> Изменения на хидрографските условия</w:t>
      </w:r>
      <w:r w:rsidR="00012D1F" w:rsidRPr="00610B1B">
        <w:rPr>
          <w:rFonts w:cs="Times New Roman"/>
        </w:rPr>
        <w:t>) във връзка с промяна на контура на брегов</w:t>
      </w:r>
      <w:r w:rsidR="00737206" w:rsidRPr="00610B1B">
        <w:rPr>
          <w:rFonts w:cs="Times New Roman"/>
        </w:rPr>
        <w:t>ата</w:t>
      </w:r>
      <w:r w:rsidR="00012D1F" w:rsidRPr="00610B1B">
        <w:rPr>
          <w:rFonts w:cs="Times New Roman"/>
        </w:rPr>
        <w:t xml:space="preserve"> линия, което води до промяна в наносния транспорт, задържане на наноси</w:t>
      </w:r>
      <w:r w:rsidR="00D66FE0" w:rsidRPr="00610B1B">
        <w:rPr>
          <w:rFonts w:cs="Times New Roman"/>
        </w:rPr>
        <w:t xml:space="preserve"> </w:t>
      </w:r>
      <w:r w:rsidR="00012D1F" w:rsidRPr="00610B1B">
        <w:rPr>
          <w:rFonts w:cs="Times New Roman"/>
        </w:rPr>
        <w:t>в наветрената страна на буните и при недостиг на наноси – подветрена абразия.</w:t>
      </w:r>
    </w:p>
    <w:p w14:paraId="17997207" w14:textId="17F61D6B" w:rsidR="00012D1F" w:rsidRPr="00610B1B" w:rsidRDefault="00D50BAF" w:rsidP="00B46189">
      <w:pPr>
        <w:pStyle w:val="BodyText"/>
        <w:numPr>
          <w:ilvl w:val="0"/>
          <w:numId w:val="82"/>
        </w:numPr>
        <w:spacing w:before="0" w:after="120" w:line="276" w:lineRule="auto"/>
        <w:rPr>
          <w:rFonts w:cs="Times New Roman"/>
        </w:rPr>
      </w:pPr>
      <w:r w:rsidRPr="00610B1B">
        <w:rPr>
          <w:rFonts w:cs="Times New Roman"/>
        </w:rPr>
        <w:t>При и</w:t>
      </w:r>
      <w:r w:rsidR="00012D1F" w:rsidRPr="00610B1B">
        <w:rPr>
          <w:rFonts w:cs="Times New Roman"/>
        </w:rPr>
        <w:t xml:space="preserve">зграждане на съоръжения </w:t>
      </w:r>
      <w:r w:rsidR="00737206" w:rsidRPr="00610B1B">
        <w:rPr>
          <w:rFonts w:cs="Times New Roman"/>
        </w:rPr>
        <w:t>з</w:t>
      </w:r>
      <w:r w:rsidR="00012D1F" w:rsidRPr="00610B1B">
        <w:rPr>
          <w:rFonts w:cs="Times New Roman"/>
        </w:rPr>
        <w:t xml:space="preserve">а добив на нефт и газ в морето – въпреки че изградените в морето съоръжения не попадат в защитени зони от НЕМ Натура 2000, проучването и добива на морски енергийни ресурси са свързани с физически </w:t>
      </w:r>
      <w:r w:rsidR="003F0443" w:rsidRPr="00610B1B">
        <w:rPr>
          <w:rFonts w:cs="Times New Roman"/>
        </w:rPr>
        <w:t xml:space="preserve">щети </w:t>
      </w:r>
      <w:r w:rsidR="00012D1F" w:rsidRPr="00610B1B">
        <w:rPr>
          <w:rFonts w:cs="Times New Roman"/>
        </w:rPr>
        <w:t>(временни или обратими</w:t>
      </w:r>
      <w:r w:rsidR="003F0443" w:rsidRPr="00610B1B">
        <w:rPr>
          <w:rFonts w:cs="Times New Roman"/>
        </w:rPr>
        <w:t xml:space="preserve"> промени върху морското дъно</w:t>
      </w:r>
      <w:r w:rsidR="00012D1F" w:rsidRPr="00610B1B">
        <w:rPr>
          <w:rFonts w:cs="Times New Roman"/>
        </w:rPr>
        <w:t>) (дескриптор 6</w:t>
      </w:r>
      <w:r w:rsidR="003D460D" w:rsidRPr="00610B1B">
        <w:rPr>
          <w:rFonts w:cs="Times New Roman"/>
        </w:rPr>
        <w:t xml:space="preserve"> </w:t>
      </w:r>
      <w:r w:rsidRPr="00610B1B">
        <w:rPr>
          <w:rFonts w:cs="Times New Roman"/>
        </w:rPr>
        <w:t xml:space="preserve">- </w:t>
      </w:r>
      <w:r w:rsidR="003D460D" w:rsidRPr="00610B1B">
        <w:rPr>
          <w:rFonts w:cs="Times New Roman"/>
        </w:rPr>
        <w:t>Дънни местообитания</w:t>
      </w:r>
      <w:r w:rsidR="00012D1F" w:rsidRPr="00610B1B">
        <w:rPr>
          <w:rFonts w:cs="Times New Roman"/>
        </w:rPr>
        <w:t xml:space="preserve">) и </w:t>
      </w:r>
      <w:r w:rsidR="003F0443" w:rsidRPr="00610B1B">
        <w:rPr>
          <w:rFonts w:cs="Times New Roman"/>
        </w:rPr>
        <w:t>други физически смущения,</w:t>
      </w:r>
      <w:r w:rsidR="00D66FE0" w:rsidRPr="00610B1B">
        <w:rPr>
          <w:rFonts w:cs="Times New Roman"/>
        </w:rPr>
        <w:t xml:space="preserve"> </w:t>
      </w:r>
      <w:r w:rsidR="003F0443" w:rsidRPr="00610B1B">
        <w:rPr>
          <w:rFonts w:cs="Times New Roman"/>
        </w:rPr>
        <w:t xml:space="preserve">между които въздействия като </w:t>
      </w:r>
      <w:r w:rsidR="00012D1F" w:rsidRPr="00610B1B">
        <w:rPr>
          <w:rFonts w:cs="Times New Roman"/>
        </w:rPr>
        <w:t>подводен шум (дескриптор 11</w:t>
      </w:r>
      <w:r w:rsidR="003D460D" w:rsidRPr="00610B1B">
        <w:rPr>
          <w:rFonts w:cs="Times New Roman"/>
        </w:rPr>
        <w:t xml:space="preserve"> </w:t>
      </w:r>
      <w:r w:rsidRPr="00610B1B">
        <w:rPr>
          <w:rFonts w:cs="Times New Roman"/>
        </w:rPr>
        <w:t xml:space="preserve">- </w:t>
      </w:r>
      <w:r w:rsidR="003D460D" w:rsidRPr="00610B1B">
        <w:rPr>
          <w:rFonts w:cs="Times New Roman"/>
        </w:rPr>
        <w:t>Подводен шум</w:t>
      </w:r>
      <w:r w:rsidR="00012D1F" w:rsidRPr="00610B1B">
        <w:rPr>
          <w:rFonts w:cs="Times New Roman"/>
        </w:rPr>
        <w:t>).</w:t>
      </w:r>
    </w:p>
    <w:p w14:paraId="74B82F43" w14:textId="6848AA8A" w:rsidR="00012D1F" w:rsidRPr="00610B1B" w:rsidRDefault="00012D1F" w:rsidP="00D32D6A">
      <w:pPr>
        <w:pStyle w:val="BodyText"/>
        <w:spacing w:before="0" w:after="120" w:line="276" w:lineRule="auto"/>
        <w:rPr>
          <w:rFonts w:cs="Times New Roman"/>
        </w:rPr>
      </w:pPr>
      <w:bookmarkStart w:id="474" w:name="_Hlk49714325"/>
      <w:r w:rsidRPr="00610B1B">
        <w:rPr>
          <w:rFonts w:cs="Times New Roman"/>
        </w:rPr>
        <w:t xml:space="preserve">Районите с техническа инфраструктура не се припокриват с районите на потънали археологически обекти от </w:t>
      </w:r>
      <w:r w:rsidRPr="00610B1B">
        <w:rPr>
          <w:rFonts w:cs="Times New Roman"/>
          <w:b/>
          <w:bCs/>
        </w:rPr>
        <w:t>подводното културно наследство</w:t>
      </w:r>
      <w:r w:rsidRPr="00610B1B">
        <w:rPr>
          <w:rFonts w:cs="Times New Roman"/>
        </w:rPr>
        <w:t xml:space="preserve">, поради което може да се приеме, че </w:t>
      </w:r>
      <w:r w:rsidR="00AA27F1" w:rsidRPr="00610B1B">
        <w:rPr>
          <w:rFonts w:cs="Times New Roman"/>
        </w:rPr>
        <w:t>няма</w:t>
      </w:r>
      <w:r w:rsidRPr="00610B1B">
        <w:rPr>
          <w:rFonts w:cs="Times New Roman"/>
        </w:rPr>
        <w:t xml:space="preserve"> несъвместимост.</w:t>
      </w:r>
      <w:r w:rsidR="0098119F" w:rsidRPr="00610B1B">
        <w:rPr>
          <w:rFonts w:cs="Times New Roman"/>
        </w:rPr>
        <w:t xml:space="preserve"> Изключения правят трасетата на подводни кабели и проводи, положени на морското дъно.</w:t>
      </w:r>
    </w:p>
    <w:bookmarkEnd w:id="474"/>
    <w:p w14:paraId="58FA0A6F" w14:textId="77777777" w:rsidR="00012D1F" w:rsidRPr="00610B1B" w:rsidRDefault="00012D1F" w:rsidP="00D32D6A">
      <w:pPr>
        <w:pStyle w:val="BodyText"/>
        <w:spacing w:before="0" w:after="120" w:line="276" w:lineRule="auto"/>
        <w:rPr>
          <w:rFonts w:cs="Times New Roman"/>
        </w:rPr>
      </w:pPr>
      <w:r w:rsidRPr="00610B1B">
        <w:rPr>
          <w:rFonts w:cs="Times New Roman"/>
          <w:b/>
          <w:bCs/>
        </w:rPr>
        <w:t>Научните изследвания</w:t>
      </w:r>
      <w:r w:rsidRPr="00610B1B">
        <w:rPr>
          <w:rFonts w:cs="Times New Roman"/>
        </w:rPr>
        <w:t xml:space="preserve"> често се извършват в близост до съоръжения от морската техническа инфраструктура, но двете дейности не са пространствено несъвместими.</w:t>
      </w:r>
    </w:p>
    <w:p w14:paraId="0B6F3026" w14:textId="77777777" w:rsidR="00012D1F" w:rsidRPr="00610B1B" w:rsidRDefault="00012D1F" w:rsidP="00D32D6A">
      <w:pPr>
        <w:pStyle w:val="BodyText"/>
        <w:spacing w:before="0" w:after="120" w:line="276" w:lineRule="auto"/>
        <w:rPr>
          <w:rFonts w:cs="Times New Roman"/>
          <w:b/>
          <w:bCs/>
        </w:rPr>
      </w:pPr>
      <w:r w:rsidRPr="00610B1B">
        <w:rPr>
          <w:rFonts w:cs="Times New Roman"/>
          <w:b/>
          <w:bCs/>
        </w:rPr>
        <w:t>Проучване и добив</w:t>
      </w:r>
    </w:p>
    <w:p w14:paraId="4396E3E4" w14:textId="4D4463C4" w:rsidR="00012D1F" w:rsidRPr="00610B1B" w:rsidRDefault="00012D1F" w:rsidP="00D32D6A">
      <w:pPr>
        <w:pStyle w:val="BodyText"/>
        <w:spacing w:before="0" w:after="120" w:line="276" w:lineRule="auto"/>
        <w:rPr>
          <w:rFonts w:cs="Times New Roman"/>
        </w:rPr>
      </w:pPr>
      <w:r w:rsidRPr="00610B1B">
        <w:rPr>
          <w:rFonts w:cs="Times New Roman"/>
        </w:rPr>
        <w:t xml:space="preserve">Дейностите за проучване и добив не се извършват в райони, предвидени за </w:t>
      </w:r>
      <w:r w:rsidRPr="00610B1B">
        <w:rPr>
          <w:rFonts w:cs="Times New Roman"/>
          <w:b/>
          <w:bCs/>
        </w:rPr>
        <w:t>военни учения</w:t>
      </w:r>
      <w:r w:rsidR="00737206" w:rsidRPr="00610B1B">
        <w:rPr>
          <w:rFonts w:cs="Times New Roman"/>
        </w:rPr>
        <w:t>,</w:t>
      </w:r>
      <w:r w:rsidRPr="00610B1B">
        <w:rPr>
          <w:rFonts w:cs="Times New Roman"/>
        </w:rPr>
        <w:t xml:space="preserve"> поради което между двата вида дейности не съществуват конфликти за ползване на морските пространства.</w:t>
      </w:r>
    </w:p>
    <w:p w14:paraId="0EB1839D" w14:textId="2A5F62CE" w:rsidR="00012D1F" w:rsidRPr="00610B1B" w:rsidRDefault="00012D1F" w:rsidP="00D32D6A">
      <w:pPr>
        <w:pStyle w:val="BodyText"/>
        <w:spacing w:before="0" w:after="120" w:line="276" w:lineRule="auto"/>
        <w:rPr>
          <w:rFonts w:cs="Times New Roman"/>
        </w:rPr>
      </w:pPr>
      <w:r w:rsidRPr="00610B1B">
        <w:rPr>
          <w:rFonts w:cs="Times New Roman"/>
        </w:rPr>
        <w:t xml:space="preserve">В зоните за </w:t>
      </w:r>
      <w:r w:rsidRPr="00610B1B">
        <w:rPr>
          <w:rFonts w:cs="Times New Roman"/>
          <w:b/>
          <w:bCs/>
        </w:rPr>
        <w:t>опазване на околната среда</w:t>
      </w:r>
      <w:r w:rsidRPr="00610B1B">
        <w:rPr>
          <w:rFonts w:cs="Times New Roman"/>
        </w:rPr>
        <w:t xml:space="preserve"> – в защитените зони от НЕМ Натура 2000 с морска акватория, са изградени съоръжения за проучване и добив на нефт – Дуранкулак (защитени местности Дуранкулак и Дур</w:t>
      </w:r>
      <w:r w:rsidR="003C41B4" w:rsidRPr="00610B1B">
        <w:rPr>
          <w:rFonts w:cs="Times New Roman"/>
          <w:lang w:val="en-US"/>
        </w:rPr>
        <w:t>a</w:t>
      </w:r>
      <w:r w:rsidRPr="00610B1B">
        <w:rPr>
          <w:rFonts w:cs="Times New Roman"/>
        </w:rPr>
        <w:t>нкулашко езеро), Тюленово (защитени местности Калиакра и Комплекс Калиакра) и Българево (защитени местности Калиакра, Комплекс Калиакра, Белите скали).</w:t>
      </w:r>
      <w:r w:rsidR="00D66FE0" w:rsidRPr="00610B1B">
        <w:rPr>
          <w:rFonts w:cs="Times New Roman"/>
        </w:rPr>
        <w:t xml:space="preserve"> </w:t>
      </w:r>
      <w:r w:rsidRPr="00610B1B">
        <w:rPr>
          <w:rFonts w:cs="Times New Roman"/>
          <w:color w:val="000000"/>
        </w:rPr>
        <w:t>Съществува риск от интензивно замърсяване при аварии (дескриптори 8 и 9 от РДМС). Във водните тела има точки на заустване на отпадъчни води на съответните находища. Крайбрежните водни тела от н. Дуранкулак до н. Шабла и от Камен бряг до н. Калиакра не постигат добро химично състояние през 2015 и 2016 г.</w:t>
      </w:r>
    </w:p>
    <w:p w14:paraId="4B12D316" w14:textId="77777777" w:rsidR="00012D1F" w:rsidRPr="00610B1B" w:rsidRDefault="00012D1F" w:rsidP="00D32D6A">
      <w:pPr>
        <w:pStyle w:val="BodyText"/>
        <w:spacing w:before="0" w:after="120" w:line="276" w:lineRule="auto"/>
        <w:rPr>
          <w:rFonts w:cs="Times New Roman"/>
        </w:rPr>
      </w:pPr>
      <w:r w:rsidRPr="00610B1B">
        <w:rPr>
          <w:rFonts w:cs="Times New Roman"/>
        </w:rPr>
        <w:t xml:space="preserve">Районите с проучване и добив на нефт и газ в морето не се припокриват с районите на обекти от </w:t>
      </w:r>
      <w:r w:rsidRPr="00610B1B">
        <w:rPr>
          <w:rFonts w:cs="Times New Roman"/>
          <w:b/>
          <w:bCs/>
        </w:rPr>
        <w:t>подводното културно наследство</w:t>
      </w:r>
      <w:r w:rsidRPr="00610B1B">
        <w:rPr>
          <w:rFonts w:cs="Times New Roman"/>
        </w:rPr>
        <w:t>, поради което може да се приеме, че не съществува несъвместимост.</w:t>
      </w:r>
    </w:p>
    <w:p w14:paraId="2C38BD8C" w14:textId="23DD641F" w:rsidR="00012D1F" w:rsidRPr="00610B1B" w:rsidRDefault="00012D1F" w:rsidP="00D32D6A">
      <w:pPr>
        <w:pStyle w:val="BodyText"/>
        <w:spacing w:before="0" w:after="120" w:line="276" w:lineRule="auto"/>
        <w:rPr>
          <w:rFonts w:cs="Times New Roman"/>
        </w:rPr>
      </w:pPr>
      <w:r w:rsidRPr="00610B1B">
        <w:rPr>
          <w:rFonts w:cs="Times New Roman"/>
          <w:b/>
          <w:bCs/>
        </w:rPr>
        <w:t>Научните изследвания</w:t>
      </w:r>
      <w:r w:rsidRPr="00610B1B">
        <w:rPr>
          <w:rFonts w:cs="Times New Roman"/>
        </w:rPr>
        <w:t xml:space="preserve"> на морската среда не се извършват в близост до зоните за </w:t>
      </w:r>
      <w:r w:rsidRPr="00610B1B">
        <w:rPr>
          <w:rFonts w:cs="Times New Roman"/>
          <w:b/>
          <w:bCs/>
        </w:rPr>
        <w:t>проучване и добив</w:t>
      </w:r>
      <w:r w:rsidRPr="00610B1B">
        <w:rPr>
          <w:rFonts w:cs="Times New Roman"/>
        </w:rPr>
        <w:t>, тъй като в зоните около тях се забранява влизането и пребиваването на плавателни съдове, освен обслужващите кораби.</w:t>
      </w:r>
    </w:p>
    <w:p w14:paraId="7F56C3BD" w14:textId="77777777" w:rsidR="00695BEA" w:rsidRPr="00610B1B" w:rsidRDefault="00695BEA" w:rsidP="00D32D6A">
      <w:pPr>
        <w:pStyle w:val="BodyText"/>
        <w:spacing w:before="0" w:after="120" w:line="276" w:lineRule="auto"/>
        <w:rPr>
          <w:rFonts w:cs="Times New Roman"/>
        </w:rPr>
      </w:pPr>
    </w:p>
    <w:p w14:paraId="17CC7370" w14:textId="77777777" w:rsidR="00012D1F" w:rsidRPr="00610B1B" w:rsidRDefault="00012D1F" w:rsidP="00695BEA">
      <w:pPr>
        <w:pStyle w:val="BodyText"/>
        <w:spacing w:before="0" w:after="120" w:line="240" w:lineRule="auto"/>
        <w:rPr>
          <w:rFonts w:cs="Times New Roman"/>
          <w:b/>
          <w:bCs/>
        </w:rPr>
      </w:pPr>
      <w:r w:rsidRPr="00610B1B">
        <w:rPr>
          <w:rFonts w:cs="Times New Roman"/>
          <w:b/>
          <w:bCs/>
        </w:rPr>
        <w:t>Военни учения</w:t>
      </w:r>
    </w:p>
    <w:p w14:paraId="19753F6B" w14:textId="29748F43" w:rsidR="00012D1F" w:rsidRPr="00610B1B" w:rsidRDefault="00012D1F" w:rsidP="00D32D6A">
      <w:pPr>
        <w:pStyle w:val="BodyText"/>
        <w:spacing w:before="0" w:after="120" w:line="276" w:lineRule="auto"/>
        <w:rPr>
          <w:rFonts w:cs="Times New Roman"/>
        </w:rPr>
      </w:pPr>
      <w:r w:rsidRPr="00610B1B">
        <w:rPr>
          <w:rFonts w:cs="Times New Roman"/>
        </w:rPr>
        <w:t xml:space="preserve">В зоните за </w:t>
      </w:r>
      <w:r w:rsidRPr="00610B1B">
        <w:rPr>
          <w:rFonts w:cs="Times New Roman"/>
          <w:b/>
          <w:bCs/>
        </w:rPr>
        <w:t>опазване на околната среда</w:t>
      </w:r>
      <w:r w:rsidRPr="00610B1B">
        <w:rPr>
          <w:rFonts w:cs="Times New Roman"/>
        </w:rPr>
        <w:t xml:space="preserve"> </w:t>
      </w:r>
      <w:r w:rsidRPr="00610B1B">
        <w:rPr>
          <w:rFonts w:cs="Times New Roman"/>
          <w:color w:val="000000"/>
        </w:rPr>
        <w:t>не съществуват забрани за провеждане на военни учения в защитените зони от НЕМ Натура 2000, но съгласно Директива 92/43/ЕИО</w:t>
      </w:r>
      <w:r w:rsidR="00D66FE0" w:rsidRPr="00610B1B">
        <w:rPr>
          <w:rFonts w:cs="Times New Roman"/>
          <w:color w:val="000000"/>
        </w:rPr>
        <w:t xml:space="preserve"> </w:t>
      </w:r>
      <w:r w:rsidRPr="00610B1B">
        <w:rPr>
          <w:rFonts w:cs="Times New Roman"/>
          <w:color w:val="000000"/>
        </w:rPr>
        <w:t xml:space="preserve">за опазване на естествените местообитания и на дивата флора и фауна от </w:t>
      </w:r>
      <w:r w:rsidRPr="00610B1B">
        <w:rPr>
          <w:rFonts w:cs="Times New Roman"/>
          <w:color w:val="000000"/>
        </w:rPr>
        <w:lastRenderedPageBreak/>
        <w:t xml:space="preserve">държавите членки се изисква да </w:t>
      </w:r>
      <w:r w:rsidR="00737206" w:rsidRPr="00610B1B">
        <w:rPr>
          <w:rFonts w:cs="Times New Roman"/>
          <w:color w:val="000000"/>
        </w:rPr>
        <w:t xml:space="preserve">се </w:t>
      </w:r>
      <w:r w:rsidRPr="00610B1B">
        <w:rPr>
          <w:rFonts w:cs="Times New Roman"/>
          <w:color w:val="000000"/>
        </w:rPr>
        <w:t>избягва</w:t>
      </w:r>
      <w:r w:rsidR="00737206" w:rsidRPr="00610B1B">
        <w:rPr>
          <w:rFonts w:cs="Times New Roman"/>
          <w:color w:val="000000"/>
        </w:rPr>
        <w:t xml:space="preserve"> </w:t>
      </w:r>
      <w:r w:rsidRPr="00610B1B">
        <w:rPr>
          <w:rFonts w:cs="Times New Roman"/>
          <w:color w:val="000000"/>
        </w:rPr>
        <w:t>влошаване на</w:t>
      </w:r>
      <w:r w:rsidR="00D66FE0" w:rsidRPr="00610B1B">
        <w:rPr>
          <w:rFonts w:cs="Times New Roman"/>
          <w:color w:val="000000"/>
        </w:rPr>
        <w:t xml:space="preserve"> </w:t>
      </w:r>
      <w:r w:rsidRPr="00610B1B">
        <w:rPr>
          <w:rFonts w:cs="Times New Roman"/>
          <w:color w:val="000000"/>
        </w:rPr>
        <w:t>състоянието на</w:t>
      </w:r>
      <w:r w:rsidR="00D66FE0" w:rsidRPr="00610B1B">
        <w:rPr>
          <w:rFonts w:cs="Times New Roman"/>
          <w:color w:val="000000"/>
        </w:rPr>
        <w:t xml:space="preserve"> </w:t>
      </w:r>
      <w:r w:rsidRPr="00610B1B">
        <w:rPr>
          <w:rFonts w:cs="Times New Roman"/>
          <w:color w:val="000000"/>
        </w:rPr>
        <w:t>естествените местообитания, както и значително обезпокояване на видовете, за които са определени тези територии. При провеждане на учения и бойни стрелби в организационните указания се включва приложение по опазване и възстановяване на околната среда и се извършва оценка на вероятното екологично въздействие на планираните мероприятия по подготовка на силите, съгласно чл. 341 от Корабен устав на военноморските сили на Република България</w:t>
      </w:r>
      <w:r w:rsidRPr="00610B1B">
        <w:rPr>
          <w:rStyle w:val="FootnoteAnchor"/>
          <w:rFonts w:cs="Times New Roman"/>
          <w:color w:val="000000"/>
        </w:rPr>
        <w:footnoteReference w:id="189"/>
      </w:r>
      <w:r w:rsidRPr="00610B1B">
        <w:rPr>
          <w:rFonts w:cs="Times New Roman"/>
          <w:color w:val="000000"/>
        </w:rPr>
        <w:t>.</w:t>
      </w:r>
    </w:p>
    <w:p w14:paraId="420EBA65" w14:textId="495C6B4E" w:rsidR="00012D1F" w:rsidRPr="00610B1B" w:rsidRDefault="00012D1F" w:rsidP="00D32D6A">
      <w:pPr>
        <w:pStyle w:val="BodyText"/>
        <w:spacing w:before="0" w:after="120" w:line="276" w:lineRule="auto"/>
        <w:rPr>
          <w:rFonts w:cs="Times New Roman"/>
        </w:rPr>
      </w:pPr>
      <w:bookmarkStart w:id="475" w:name="_Hlk49714349"/>
      <w:r w:rsidRPr="00610B1B">
        <w:rPr>
          <w:rFonts w:cs="Times New Roman"/>
        </w:rPr>
        <w:t xml:space="preserve">Няма информация за припокриване на районите за военни учения в морето с районите на потънали археологически обекти от </w:t>
      </w:r>
      <w:r w:rsidRPr="00610B1B">
        <w:rPr>
          <w:rFonts w:cs="Times New Roman"/>
          <w:b/>
          <w:bCs/>
        </w:rPr>
        <w:t>подводното културно наследство</w:t>
      </w:r>
      <w:r w:rsidRPr="00610B1B">
        <w:rPr>
          <w:rFonts w:cs="Times New Roman"/>
        </w:rPr>
        <w:t>, поради което може да се приеме, че не съществува несъвместимост.</w:t>
      </w:r>
      <w:r w:rsidR="00196EE1" w:rsidRPr="00610B1B">
        <w:rPr>
          <w:rFonts w:cs="Times New Roman"/>
        </w:rPr>
        <w:t xml:space="preserve"> Изключение правят само районите, които могат да бъдат обявявани като временно опасни за корабоплаване. </w:t>
      </w:r>
    </w:p>
    <w:p w14:paraId="4A119C51" w14:textId="77777777" w:rsidR="00012D1F" w:rsidRPr="00610B1B" w:rsidRDefault="00012D1F" w:rsidP="00D32D6A">
      <w:pPr>
        <w:pStyle w:val="BodyText"/>
        <w:spacing w:before="0" w:after="120" w:line="276" w:lineRule="auto"/>
        <w:rPr>
          <w:rFonts w:cs="Times New Roman"/>
        </w:rPr>
      </w:pPr>
      <w:bookmarkStart w:id="476" w:name="_RefF12"/>
      <w:bookmarkStart w:id="477" w:name="_RefF02"/>
      <w:bookmarkEnd w:id="475"/>
      <w:bookmarkEnd w:id="476"/>
      <w:bookmarkEnd w:id="477"/>
      <w:r w:rsidRPr="00610B1B">
        <w:rPr>
          <w:rFonts w:cs="Times New Roman"/>
          <w:b/>
          <w:bCs/>
        </w:rPr>
        <w:t>Научните изследвания</w:t>
      </w:r>
      <w:r w:rsidRPr="00610B1B">
        <w:rPr>
          <w:rFonts w:cs="Times New Roman"/>
        </w:rPr>
        <w:t xml:space="preserve"> на морската среда не съвпадат по време и място със зоните за военни учения, поради което може да се приеме, че между тях няма конфликт за ползване.</w:t>
      </w:r>
    </w:p>
    <w:p w14:paraId="20A6B149" w14:textId="77777777" w:rsidR="00012D1F" w:rsidRPr="00610B1B" w:rsidRDefault="00012D1F" w:rsidP="00695BEA">
      <w:pPr>
        <w:pStyle w:val="BodyText"/>
        <w:spacing w:before="0" w:after="120" w:line="240" w:lineRule="auto"/>
        <w:rPr>
          <w:rFonts w:cs="Times New Roman"/>
          <w:b/>
          <w:bCs/>
        </w:rPr>
      </w:pPr>
      <w:r w:rsidRPr="00610B1B">
        <w:rPr>
          <w:rFonts w:cs="Times New Roman"/>
          <w:b/>
          <w:bCs/>
        </w:rPr>
        <w:t>Опазване на околната среда</w:t>
      </w:r>
    </w:p>
    <w:p w14:paraId="35EBF98A" w14:textId="7659A436" w:rsidR="00012D1F" w:rsidRPr="00610B1B" w:rsidRDefault="00012D1F" w:rsidP="00D32D6A">
      <w:pPr>
        <w:pStyle w:val="BodyText"/>
        <w:spacing w:before="0" w:after="120" w:line="276" w:lineRule="auto"/>
        <w:rPr>
          <w:rFonts w:cs="Times New Roman"/>
        </w:rPr>
      </w:pPr>
      <w:r w:rsidRPr="00610B1B">
        <w:rPr>
          <w:rFonts w:cs="Times New Roman"/>
        </w:rPr>
        <w:t xml:space="preserve">Зоните за опазване на околната среда от НЕМ Натура 2000 са съвместими с опазването на потънали археологически обекти от </w:t>
      </w:r>
      <w:r w:rsidRPr="00610B1B">
        <w:rPr>
          <w:rFonts w:cs="Times New Roman"/>
          <w:b/>
          <w:bCs/>
        </w:rPr>
        <w:t>подводното културно наследство</w:t>
      </w:r>
      <w:r w:rsidRPr="00610B1B">
        <w:rPr>
          <w:rFonts w:cs="Times New Roman"/>
        </w:rPr>
        <w:t>, тъй като дават възможност за прилагане на общи мерки. Например, въвеждането на забрана за тралене дава възможност за опазване на потънали археологични обект</w:t>
      </w:r>
      <w:r w:rsidR="00196EE1" w:rsidRPr="00610B1B">
        <w:rPr>
          <w:rFonts w:cs="Times New Roman"/>
        </w:rPr>
        <w:t>и</w:t>
      </w:r>
      <w:r w:rsidRPr="00610B1B">
        <w:rPr>
          <w:rFonts w:cs="Times New Roman"/>
        </w:rPr>
        <w:t>, които могат да бъдат засегнати от риболова.</w:t>
      </w:r>
    </w:p>
    <w:p w14:paraId="38D0E991" w14:textId="74E69AAE" w:rsidR="00012D1F" w:rsidRPr="00610B1B" w:rsidRDefault="00012D1F" w:rsidP="00D32D6A">
      <w:pPr>
        <w:pStyle w:val="BodyText"/>
        <w:spacing w:before="0" w:after="120" w:line="276" w:lineRule="auto"/>
        <w:rPr>
          <w:rFonts w:cs="Times New Roman"/>
        </w:rPr>
      </w:pPr>
      <w:bookmarkStart w:id="478" w:name="_RefF121"/>
      <w:bookmarkStart w:id="479" w:name="_RefF021"/>
      <w:bookmarkStart w:id="480" w:name="__DdeLink__251_147844175"/>
      <w:bookmarkEnd w:id="478"/>
      <w:bookmarkEnd w:id="479"/>
      <w:r w:rsidRPr="00610B1B">
        <w:rPr>
          <w:rFonts w:cs="Times New Roman"/>
          <w:b/>
          <w:bCs/>
        </w:rPr>
        <w:t>Научните изследвания</w:t>
      </w:r>
      <w:bookmarkEnd w:id="480"/>
      <w:r w:rsidRPr="00610B1B">
        <w:rPr>
          <w:rFonts w:cs="Times New Roman"/>
        </w:rPr>
        <w:t xml:space="preserve"> на морската среда са съвместими, тъй като се извършват с цел опазване на околната среда съгласно директивите за водите и биоразнообразие</w:t>
      </w:r>
      <w:r w:rsidR="00AA27F1" w:rsidRPr="00610B1B">
        <w:rPr>
          <w:rFonts w:cs="Times New Roman"/>
        </w:rPr>
        <w:t>то</w:t>
      </w:r>
      <w:r w:rsidR="00196EE1" w:rsidRPr="00610B1B">
        <w:rPr>
          <w:rFonts w:cs="Times New Roman"/>
        </w:rPr>
        <w:t>,</w:t>
      </w:r>
      <w:r w:rsidRPr="00610B1B">
        <w:rPr>
          <w:rFonts w:cs="Times New Roman"/>
        </w:rPr>
        <w:t xml:space="preserve"> </w:t>
      </w:r>
      <w:r w:rsidR="00450A13" w:rsidRPr="00610B1B">
        <w:rPr>
          <w:rFonts w:cs="Times New Roman"/>
        </w:rPr>
        <w:t>транспонирани</w:t>
      </w:r>
      <w:r w:rsidRPr="00610B1B">
        <w:rPr>
          <w:rFonts w:cs="Times New Roman"/>
        </w:rPr>
        <w:t xml:space="preserve"> в националното законодателство чрез Закона за водите, Закона за опазване на околната среда, </w:t>
      </w:r>
      <w:r w:rsidR="00196EE1" w:rsidRPr="00610B1B">
        <w:rPr>
          <w:rFonts w:cs="Times New Roman"/>
        </w:rPr>
        <w:t xml:space="preserve">Закона за защитените територии, </w:t>
      </w:r>
      <w:r w:rsidRPr="00610B1B">
        <w:rPr>
          <w:rFonts w:cs="Times New Roman"/>
        </w:rPr>
        <w:t>Закона за биологичното разнообразие</w:t>
      </w:r>
      <w:r w:rsidR="00196EE1" w:rsidRPr="00610B1B">
        <w:rPr>
          <w:rFonts w:cs="Times New Roman"/>
        </w:rPr>
        <w:t>, Наредбата за опазване на околната среда в морските води</w:t>
      </w:r>
      <w:r w:rsidRPr="00610B1B">
        <w:rPr>
          <w:rFonts w:cs="Times New Roman"/>
        </w:rPr>
        <w:t xml:space="preserve"> и други закони и подзаконови актове.</w:t>
      </w:r>
    </w:p>
    <w:p w14:paraId="419D2FA0" w14:textId="77777777" w:rsidR="00012D1F" w:rsidRPr="00610B1B" w:rsidRDefault="00012D1F" w:rsidP="00695BEA">
      <w:pPr>
        <w:pStyle w:val="BodyText"/>
        <w:spacing w:before="0" w:after="120" w:line="240" w:lineRule="auto"/>
        <w:rPr>
          <w:rFonts w:cs="Times New Roman"/>
        </w:rPr>
      </w:pPr>
      <w:r w:rsidRPr="00610B1B">
        <w:rPr>
          <w:rFonts w:cs="Times New Roman"/>
          <w:b/>
          <w:bCs/>
        </w:rPr>
        <w:t>Подводно културно наследство</w:t>
      </w:r>
    </w:p>
    <w:p w14:paraId="408CE46B" w14:textId="77777777" w:rsidR="000B7461" w:rsidRPr="00610B1B" w:rsidRDefault="00012D1F" w:rsidP="00D32D6A">
      <w:pPr>
        <w:pStyle w:val="BodyText"/>
        <w:spacing w:before="0" w:after="120" w:line="276" w:lineRule="auto"/>
        <w:rPr>
          <w:rFonts w:cs="Times New Roman"/>
        </w:rPr>
      </w:pPr>
      <w:bookmarkStart w:id="481" w:name="_RefF1211"/>
      <w:bookmarkStart w:id="482" w:name="_RefF0211"/>
      <w:bookmarkEnd w:id="481"/>
      <w:bookmarkEnd w:id="482"/>
      <w:r w:rsidRPr="00610B1B">
        <w:rPr>
          <w:rFonts w:cs="Times New Roman"/>
          <w:b/>
          <w:bCs/>
        </w:rPr>
        <w:t>Научните изследвания</w:t>
      </w:r>
      <w:r w:rsidRPr="00610B1B">
        <w:rPr>
          <w:rFonts w:cs="Times New Roman"/>
        </w:rPr>
        <w:t xml:space="preserve"> на морската среда използват методи, които позволяват откриване, заснемане и обозначаване на географските координати на обекти от </w:t>
      </w:r>
      <w:r w:rsidRPr="00610B1B">
        <w:rPr>
          <w:rFonts w:cs="Times New Roman"/>
          <w:b/>
          <w:bCs/>
        </w:rPr>
        <w:t>подводното културно наследство</w:t>
      </w:r>
      <w:r w:rsidRPr="00610B1B">
        <w:rPr>
          <w:rFonts w:cs="Times New Roman"/>
        </w:rPr>
        <w:t>. Поради това двата вида дейности са съвместими. При дънното тралене с цел научен риболов е възможно както откриването, така и увреждането на потънали археологически обекти. При извършване на този вид дейност е необходимо отчитане на местоположението на тези обекти с цел тяхното опазване.</w:t>
      </w:r>
    </w:p>
    <w:p w14:paraId="2B33EECA" w14:textId="22CCB777" w:rsidR="000B7461" w:rsidRPr="00610B1B" w:rsidRDefault="000B7461" w:rsidP="00D32D6A">
      <w:pPr>
        <w:pStyle w:val="BodyText"/>
        <w:spacing w:before="0" w:after="120" w:line="276" w:lineRule="auto"/>
        <w:rPr>
          <w:rFonts w:cs="Times New Roman"/>
        </w:rPr>
      </w:pPr>
      <w:r w:rsidRPr="00610B1B">
        <w:rPr>
          <w:rFonts w:cs="Times New Roman"/>
        </w:rPr>
        <w:t xml:space="preserve">Подводното културно наследство е заплашено от инвестиционни и икономически дейности, които имат пряко физическо въздействие върху морското дъно или променят средата, в която подводното културно наследство се е запазило. Най-общо заплахите за подводното културно наследство с пряко въздействие са: изграждане на съоръжения (пристанища, буни, тръбопроводи, засипване на крайбрежие, брегоукрепване, изкуствени рифове, инсталации за аквакултури и други съоръжения); драгажни работи </w:t>
      </w:r>
      <w:r w:rsidRPr="00610B1B">
        <w:rPr>
          <w:rFonts w:cs="Times New Roman"/>
        </w:rPr>
        <w:lastRenderedPageBreak/>
        <w:t>и изхвърляне/депониране на драгажни маси; проучване и добив на полезни изкопаеми (инертни материали, нефт, газ, газови хидрати, други); добив на морски организми чрез тралене, събиране на рапани и миди; търговска експлоатация на подводно културно наследство (търсене и вадене на „съкровища“ и товари на кораби, вадене на скрап;</w:t>
      </w:r>
      <w:r w:rsidR="00D66FE0" w:rsidRPr="00610B1B">
        <w:rPr>
          <w:rFonts w:cs="Times New Roman"/>
        </w:rPr>
        <w:t xml:space="preserve"> </w:t>
      </w:r>
      <w:r w:rsidRPr="00610B1B">
        <w:rPr>
          <w:rFonts w:cs="Times New Roman"/>
        </w:rPr>
        <w:t xml:space="preserve">иманярство и събиране на сувенири и подводна туристическа дейност. </w:t>
      </w:r>
    </w:p>
    <w:p w14:paraId="51EAD4F1" w14:textId="33F0F3B4" w:rsidR="000B7461" w:rsidRPr="00610B1B" w:rsidRDefault="00391F0A" w:rsidP="00695BEA">
      <w:pPr>
        <w:pStyle w:val="BodyText"/>
        <w:spacing w:before="0" w:after="0" w:line="276" w:lineRule="auto"/>
        <w:rPr>
          <w:rFonts w:cs="Times New Roman"/>
        </w:rPr>
      </w:pPr>
      <w:r w:rsidRPr="00610B1B">
        <w:rPr>
          <w:rFonts w:cs="Times New Roman"/>
        </w:rPr>
        <w:t xml:space="preserve">Непрякото </w:t>
      </w:r>
      <w:r w:rsidR="000B7461" w:rsidRPr="00610B1B">
        <w:rPr>
          <w:rFonts w:cs="Times New Roman"/>
        </w:rPr>
        <w:t xml:space="preserve">въздействие върху подводно културно наследство чрез промяна на физическата средата </w:t>
      </w:r>
      <w:r w:rsidRPr="00610B1B">
        <w:rPr>
          <w:rFonts w:cs="Times New Roman"/>
        </w:rPr>
        <w:t xml:space="preserve">се проявява в резултат от замърсяване на средата, от </w:t>
      </w:r>
      <w:r w:rsidR="000B7461" w:rsidRPr="00610B1B">
        <w:rPr>
          <w:rFonts w:cs="Times New Roman"/>
        </w:rPr>
        <w:t>изграждане</w:t>
      </w:r>
      <w:r w:rsidRPr="00610B1B">
        <w:rPr>
          <w:rFonts w:cs="Times New Roman"/>
        </w:rPr>
        <w:t>то</w:t>
      </w:r>
      <w:r w:rsidR="000B7461" w:rsidRPr="00610B1B">
        <w:rPr>
          <w:rFonts w:cs="Times New Roman"/>
        </w:rPr>
        <w:t xml:space="preserve"> на съоръжения и </w:t>
      </w:r>
      <w:r w:rsidRPr="00610B1B">
        <w:rPr>
          <w:rFonts w:cs="Times New Roman"/>
        </w:rPr>
        <w:t>от някои</w:t>
      </w:r>
      <w:r w:rsidR="000B7461" w:rsidRPr="00610B1B">
        <w:rPr>
          <w:rFonts w:cs="Times New Roman"/>
        </w:rPr>
        <w:t xml:space="preserve"> </w:t>
      </w:r>
      <w:r w:rsidRPr="00610B1B">
        <w:rPr>
          <w:rFonts w:cs="Times New Roman"/>
        </w:rPr>
        <w:t xml:space="preserve">антропогенни </w:t>
      </w:r>
      <w:r w:rsidR="000B7461" w:rsidRPr="00610B1B">
        <w:rPr>
          <w:rFonts w:cs="Times New Roman"/>
        </w:rPr>
        <w:t>дейности</w:t>
      </w:r>
      <w:r w:rsidRPr="00610B1B">
        <w:rPr>
          <w:rFonts w:cs="Times New Roman"/>
        </w:rPr>
        <w:t xml:space="preserve">. Изградените буни и брегозащитни съоръжения променят движението на седиментите, което </w:t>
      </w:r>
      <w:r w:rsidR="000B7461" w:rsidRPr="00610B1B">
        <w:rPr>
          <w:rFonts w:cs="Times New Roman"/>
        </w:rPr>
        <w:t>нарушава средата, в която има съхранено подводно културно наследство</w:t>
      </w:r>
      <w:r w:rsidRPr="00610B1B">
        <w:rPr>
          <w:rFonts w:cs="Times New Roman"/>
        </w:rPr>
        <w:t>. Разширяването и модернизирането на пристанищата създава риск за подводните археологически обекти. Дори презастрояването на Слънчев бряг и Св. Влас променят рамката, в която се експонира старинния град Несебър.</w:t>
      </w:r>
    </w:p>
    <w:p w14:paraId="14A1A3BB" w14:textId="52453BCF" w:rsidR="00391F0A" w:rsidRPr="00610B1B" w:rsidRDefault="00391F0A" w:rsidP="00695BEA">
      <w:pPr>
        <w:pStyle w:val="BodyText"/>
        <w:spacing w:before="0" w:after="0" w:line="240" w:lineRule="auto"/>
        <w:rPr>
          <w:rFonts w:cs="Times New Roman"/>
        </w:rPr>
      </w:pPr>
    </w:p>
    <w:p w14:paraId="7BCFCBEA" w14:textId="21C09E05" w:rsidR="00292AFC" w:rsidRPr="00610B1B" w:rsidRDefault="002722B7" w:rsidP="00D32D6A">
      <w:pPr>
        <w:pStyle w:val="Heading3"/>
        <w:spacing w:before="0" w:line="276" w:lineRule="auto"/>
        <w:rPr>
          <w:rFonts w:cs="Times New Roman"/>
        </w:rPr>
      </w:pPr>
      <w:bookmarkStart w:id="483" w:name="_Toc83391431"/>
      <w:r w:rsidRPr="00610B1B">
        <w:rPr>
          <w:rFonts w:cs="Times New Roman"/>
        </w:rPr>
        <w:t>6.</w:t>
      </w:r>
      <w:r w:rsidR="00DE4B4C" w:rsidRPr="00610B1B">
        <w:rPr>
          <w:rFonts w:cs="Times New Roman"/>
        </w:rPr>
        <w:t>2</w:t>
      </w:r>
      <w:r w:rsidRPr="00610B1B">
        <w:rPr>
          <w:rFonts w:cs="Times New Roman"/>
        </w:rPr>
        <w:t>.2. Взаимодействия земя-</w:t>
      </w:r>
      <w:r w:rsidR="003547AA" w:rsidRPr="00610B1B">
        <w:rPr>
          <w:rFonts w:cs="Times New Roman"/>
        </w:rPr>
        <w:t>море</w:t>
      </w:r>
      <w:r w:rsidRPr="00610B1B">
        <w:rPr>
          <w:rFonts w:cs="Times New Roman"/>
        </w:rPr>
        <w:t xml:space="preserve"> и </w:t>
      </w:r>
      <w:r w:rsidR="003547AA" w:rsidRPr="00610B1B">
        <w:rPr>
          <w:rFonts w:cs="Times New Roman"/>
        </w:rPr>
        <w:t>море</w:t>
      </w:r>
      <w:r w:rsidRPr="00610B1B">
        <w:rPr>
          <w:rFonts w:cs="Times New Roman"/>
        </w:rPr>
        <w:t>-земя и идентифицирани конфликтни точки и зони на крайбрежието</w:t>
      </w:r>
      <w:bookmarkEnd w:id="483"/>
    </w:p>
    <w:p w14:paraId="5C4A8DAB" w14:textId="754ACB8B" w:rsidR="003547AA" w:rsidRPr="00610B1B" w:rsidRDefault="00292AFC" w:rsidP="00695BEA">
      <w:pPr>
        <w:pStyle w:val="BodyText"/>
        <w:spacing w:before="0" w:after="60" w:line="276" w:lineRule="auto"/>
        <w:rPr>
          <w:rFonts w:cs="Times New Roman"/>
          <w:color w:val="000000" w:themeColor="text1"/>
        </w:rPr>
      </w:pPr>
      <w:r w:rsidRPr="00610B1B">
        <w:rPr>
          <w:rFonts w:cs="Times New Roman"/>
          <w:color w:val="000000" w:themeColor="text1"/>
        </w:rPr>
        <w:t>Взаимодействията земя-</w:t>
      </w:r>
      <w:r w:rsidR="003547AA" w:rsidRPr="00610B1B">
        <w:rPr>
          <w:rFonts w:cs="Times New Roman"/>
          <w:color w:val="000000" w:themeColor="text1"/>
        </w:rPr>
        <w:t>море</w:t>
      </w:r>
      <w:r w:rsidRPr="00610B1B">
        <w:rPr>
          <w:rFonts w:cs="Times New Roman"/>
          <w:color w:val="000000" w:themeColor="text1"/>
        </w:rPr>
        <w:t xml:space="preserve"> и </w:t>
      </w:r>
      <w:r w:rsidR="003547AA" w:rsidRPr="00610B1B">
        <w:rPr>
          <w:rFonts w:cs="Times New Roman"/>
          <w:color w:val="000000" w:themeColor="text1"/>
        </w:rPr>
        <w:t>море</w:t>
      </w:r>
      <w:r w:rsidRPr="00610B1B">
        <w:rPr>
          <w:rFonts w:cs="Times New Roman"/>
          <w:color w:val="000000" w:themeColor="text1"/>
        </w:rPr>
        <w:t xml:space="preserve">-земя са изследвани паралелно с анализа на всички компоненти на морската среда и на ползванията, които се осъществяват на брега и в морските пространства. Отчетена е необходимостта от идентифициране и анализиране на взаимодействията между </w:t>
      </w:r>
      <w:r w:rsidR="003547AA" w:rsidRPr="00610B1B">
        <w:rPr>
          <w:rFonts w:cs="Times New Roman"/>
          <w:color w:val="000000" w:themeColor="text1"/>
        </w:rPr>
        <w:t xml:space="preserve">отделните </w:t>
      </w:r>
      <w:r w:rsidRPr="00610B1B">
        <w:rPr>
          <w:rFonts w:cs="Times New Roman"/>
          <w:color w:val="000000" w:themeColor="text1"/>
        </w:rPr>
        <w:t>ползванията и между ползванията и околната среда, както и на въздействията на отделните природни фактори и ресурси и на човешките дейности. Използваните методологии следват добрите практики</w:t>
      </w:r>
      <w:r w:rsidRPr="00610B1B">
        <w:rPr>
          <w:rStyle w:val="FootnoteReference"/>
          <w:rFonts w:cs="Times New Roman"/>
          <w:color w:val="000000" w:themeColor="text1"/>
        </w:rPr>
        <w:footnoteReference w:id="190"/>
      </w:r>
      <w:r w:rsidRPr="00610B1B">
        <w:rPr>
          <w:rFonts w:cs="Times New Roman"/>
          <w:color w:val="000000" w:themeColor="text1"/>
        </w:rPr>
        <w:t xml:space="preserve"> и опита от приключили проекти</w:t>
      </w:r>
      <w:r w:rsidR="003547AA" w:rsidRPr="00610B1B">
        <w:rPr>
          <w:rFonts w:cs="Times New Roman"/>
          <w:color w:val="000000" w:themeColor="text1"/>
        </w:rPr>
        <w:t xml:space="preserve"> и показват следното:</w:t>
      </w:r>
    </w:p>
    <w:p w14:paraId="015E28D3" w14:textId="77777777" w:rsidR="0062582C" w:rsidRPr="00610B1B" w:rsidRDefault="003547AA" w:rsidP="00695BEA">
      <w:pPr>
        <w:pStyle w:val="BodyText"/>
        <w:numPr>
          <w:ilvl w:val="0"/>
          <w:numId w:val="78"/>
        </w:numPr>
        <w:spacing w:before="0" w:after="80" w:line="276" w:lineRule="auto"/>
        <w:ind w:left="714" w:hanging="357"/>
        <w:rPr>
          <w:rFonts w:cs="Times New Roman"/>
          <w:color w:val="000000" w:themeColor="text1"/>
        </w:rPr>
      </w:pPr>
      <w:r w:rsidRPr="00610B1B">
        <w:rPr>
          <w:rFonts w:cs="Times New Roman"/>
          <w:color w:val="000000" w:themeColor="text1"/>
        </w:rPr>
        <w:t xml:space="preserve">За да бъдат приложени в морския пространствен план, взаимодействията между земята и морето </w:t>
      </w:r>
      <w:r w:rsidR="0062582C" w:rsidRPr="00610B1B">
        <w:rPr>
          <w:rFonts w:cs="Times New Roman"/>
          <w:color w:val="000000" w:themeColor="text1"/>
        </w:rPr>
        <w:t>се съобразяват с</w:t>
      </w:r>
      <w:r w:rsidRPr="00610B1B">
        <w:rPr>
          <w:rFonts w:cs="Times New Roman"/>
          <w:color w:val="000000" w:themeColor="text1"/>
        </w:rPr>
        <w:t xml:space="preserve"> обхвата, целите и контекста на самия план;</w:t>
      </w:r>
    </w:p>
    <w:p w14:paraId="3B44CAD8" w14:textId="7C7F85D6" w:rsidR="003547AA" w:rsidRPr="00610B1B" w:rsidRDefault="003547AA" w:rsidP="00695BEA">
      <w:pPr>
        <w:pStyle w:val="BodyText"/>
        <w:numPr>
          <w:ilvl w:val="0"/>
          <w:numId w:val="78"/>
        </w:numPr>
        <w:spacing w:before="0" w:after="80" w:line="276" w:lineRule="auto"/>
        <w:ind w:left="714" w:hanging="357"/>
        <w:rPr>
          <w:rFonts w:cs="Times New Roman"/>
          <w:color w:val="000000" w:themeColor="text1"/>
        </w:rPr>
      </w:pPr>
      <w:r w:rsidRPr="00610B1B">
        <w:rPr>
          <w:rFonts w:cs="Times New Roman"/>
          <w:color w:val="000000" w:themeColor="text1"/>
        </w:rPr>
        <w:t>Тези взаимодействия са динамични и зависят както от природни и антропогенни фактори, така и от географските</w:t>
      </w:r>
      <w:r w:rsidR="00D66FE0" w:rsidRPr="00610B1B">
        <w:rPr>
          <w:rFonts w:cs="Times New Roman"/>
          <w:color w:val="000000" w:themeColor="text1"/>
        </w:rPr>
        <w:t xml:space="preserve"> </w:t>
      </w:r>
      <w:r w:rsidRPr="00610B1B">
        <w:rPr>
          <w:rFonts w:cs="Times New Roman"/>
          <w:color w:val="000000" w:themeColor="text1"/>
        </w:rPr>
        <w:t xml:space="preserve">характеристики на </w:t>
      </w:r>
      <w:r w:rsidR="0062582C" w:rsidRPr="00610B1B">
        <w:rPr>
          <w:rFonts w:cs="Times New Roman"/>
          <w:color w:val="000000" w:themeColor="text1"/>
        </w:rPr>
        <w:t>района</w:t>
      </w:r>
      <w:r w:rsidRPr="00610B1B">
        <w:rPr>
          <w:rFonts w:cs="Times New Roman"/>
          <w:color w:val="000000" w:themeColor="text1"/>
        </w:rPr>
        <w:t>, в ко</w:t>
      </w:r>
      <w:r w:rsidR="0062582C" w:rsidRPr="00610B1B">
        <w:rPr>
          <w:rFonts w:cs="Times New Roman"/>
          <w:color w:val="000000" w:themeColor="text1"/>
        </w:rPr>
        <w:t>й</w:t>
      </w:r>
      <w:r w:rsidRPr="00610B1B">
        <w:rPr>
          <w:rFonts w:cs="Times New Roman"/>
          <w:color w:val="000000" w:themeColor="text1"/>
        </w:rPr>
        <w:t>то се изследват</w:t>
      </w:r>
      <w:r w:rsidR="00826726" w:rsidRPr="00610B1B">
        <w:rPr>
          <w:rFonts w:cs="Times New Roman"/>
          <w:color w:val="000000" w:themeColor="text1"/>
        </w:rPr>
        <w:t>, затова се различават във всеки залив и участък от крайбрежието</w:t>
      </w:r>
      <w:r w:rsidR="0062582C" w:rsidRPr="00610B1B">
        <w:rPr>
          <w:rFonts w:cs="Times New Roman"/>
          <w:color w:val="000000" w:themeColor="text1"/>
        </w:rPr>
        <w:t>;</w:t>
      </w:r>
    </w:p>
    <w:p w14:paraId="4BE24BDB" w14:textId="2D5D669A" w:rsidR="0062582C" w:rsidRPr="00610B1B" w:rsidRDefault="0062582C" w:rsidP="00695BEA">
      <w:pPr>
        <w:pStyle w:val="BodyText"/>
        <w:numPr>
          <w:ilvl w:val="0"/>
          <w:numId w:val="78"/>
        </w:numPr>
        <w:spacing w:before="0" w:after="80" w:line="276" w:lineRule="auto"/>
        <w:ind w:left="714" w:hanging="357"/>
        <w:rPr>
          <w:rFonts w:cs="Times New Roman"/>
          <w:color w:val="000000" w:themeColor="text1"/>
        </w:rPr>
      </w:pPr>
      <w:r w:rsidRPr="00610B1B">
        <w:rPr>
          <w:rFonts w:cs="Times New Roman"/>
          <w:color w:val="000000" w:themeColor="text1"/>
        </w:rPr>
        <w:t>За да се направи обобщена оценка на взаимодействията земя-море и море-земя трябва да се систематизират най-характерните от тях, въз основа на различните им проявления в отделни участъци от крайбрежието;</w:t>
      </w:r>
    </w:p>
    <w:p w14:paraId="7335E77A" w14:textId="02D7A7B8" w:rsidR="0062582C" w:rsidRPr="00610B1B" w:rsidRDefault="0062582C" w:rsidP="00B46189">
      <w:pPr>
        <w:pStyle w:val="BodyText"/>
        <w:numPr>
          <w:ilvl w:val="0"/>
          <w:numId w:val="78"/>
        </w:numPr>
        <w:spacing w:before="0" w:after="120" w:line="276" w:lineRule="auto"/>
        <w:rPr>
          <w:rFonts w:cs="Times New Roman"/>
          <w:color w:val="000000" w:themeColor="text1"/>
        </w:rPr>
      </w:pPr>
      <w:r w:rsidRPr="00610B1B">
        <w:rPr>
          <w:rFonts w:cs="Times New Roman"/>
          <w:color w:val="000000" w:themeColor="text1"/>
        </w:rPr>
        <w:t>Тази обобщена оценка не може да бъде базирана само и единствено на резултати и данни от научни и приложни изследвания, тя трябва да бъде допълнена от знанието на представителите на заинтересовани</w:t>
      </w:r>
      <w:r w:rsidR="00826726" w:rsidRPr="00610B1B">
        <w:rPr>
          <w:rFonts w:cs="Times New Roman"/>
          <w:color w:val="000000" w:themeColor="text1"/>
        </w:rPr>
        <w:t>те</w:t>
      </w:r>
      <w:r w:rsidRPr="00610B1B">
        <w:rPr>
          <w:rFonts w:cs="Times New Roman"/>
          <w:color w:val="000000" w:themeColor="text1"/>
        </w:rPr>
        <w:t xml:space="preserve"> страни и от знанието на местните общности, натрупано през годините от наблюдението на тези взаимодействия и въздействия. </w:t>
      </w:r>
    </w:p>
    <w:p w14:paraId="62B8DC1A" w14:textId="060DA08F" w:rsidR="00225F69" w:rsidRPr="00610B1B" w:rsidRDefault="0062582C" w:rsidP="00D32D6A">
      <w:pPr>
        <w:pStyle w:val="BodyText"/>
        <w:spacing w:before="0" w:after="120" w:line="276" w:lineRule="auto"/>
        <w:rPr>
          <w:rFonts w:cs="Times New Roman"/>
          <w:color w:val="000000" w:themeColor="text1"/>
        </w:rPr>
      </w:pPr>
      <w:r w:rsidRPr="00610B1B">
        <w:rPr>
          <w:rFonts w:cs="Times New Roman"/>
          <w:color w:val="000000" w:themeColor="text1"/>
        </w:rPr>
        <w:t xml:space="preserve">Изследване </w:t>
      </w:r>
      <w:r w:rsidR="0013343B" w:rsidRPr="00610B1B">
        <w:rPr>
          <w:rFonts w:cs="Times New Roman"/>
          <w:color w:val="000000" w:themeColor="text1"/>
        </w:rPr>
        <w:t>на взаимодействията земя-суша и суша-земя на база взаимодействията между отделните човешки дейности и между тях и морската околна среда е извършено за Бургаския залив по проект Cross</w:t>
      </w:r>
      <w:r w:rsidR="003C41B4" w:rsidRPr="00AC64E1">
        <w:rPr>
          <w:rFonts w:cs="Times New Roman"/>
          <w:color w:val="000000" w:themeColor="text1"/>
        </w:rPr>
        <w:t>-</w:t>
      </w:r>
      <w:r w:rsidR="0013343B" w:rsidRPr="00610B1B">
        <w:rPr>
          <w:rFonts w:cs="Times New Roman"/>
          <w:color w:val="000000" w:themeColor="text1"/>
        </w:rPr>
        <w:t xml:space="preserve">border maritime spatial planning in the Black Sea – Romania and Bulgaria (MARSPLAN-BS) EASME/EMFF/2014/1.2.1.5/2/SI2.707672 MSP </w:t>
      </w:r>
      <w:r w:rsidR="0013343B" w:rsidRPr="00610B1B">
        <w:rPr>
          <w:rFonts w:cs="Times New Roman"/>
          <w:color w:val="000000" w:themeColor="text1"/>
        </w:rPr>
        <w:lastRenderedPageBreak/>
        <w:t>LOT 1/Black Sea/MARSPLAN BS в периода 2016-2017 г.</w:t>
      </w:r>
      <w:r w:rsidR="00D66FE0" w:rsidRPr="00610B1B">
        <w:rPr>
          <w:rFonts w:cs="Times New Roman"/>
          <w:color w:val="000000" w:themeColor="text1"/>
        </w:rPr>
        <w:t xml:space="preserve"> </w:t>
      </w:r>
      <w:r w:rsidR="0013343B" w:rsidRPr="00610B1B">
        <w:rPr>
          <w:rFonts w:cs="Times New Roman"/>
          <w:color w:val="000000" w:themeColor="text1"/>
        </w:rPr>
        <w:t>от екипа на проекта под ръководството на експертите от Института по океанология при БАН</w:t>
      </w:r>
      <w:r w:rsidR="00826726" w:rsidRPr="00610B1B">
        <w:rPr>
          <w:rStyle w:val="FootnoteReference"/>
          <w:rFonts w:cs="Times New Roman"/>
          <w:color w:val="000000" w:themeColor="text1"/>
        </w:rPr>
        <w:footnoteReference w:id="191"/>
      </w:r>
      <w:r w:rsidR="0013343B" w:rsidRPr="00610B1B">
        <w:rPr>
          <w:rFonts w:cs="Times New Roman"/>
          <w:color w:val="000000" w:themeColor="text1"/>
        </w:rPr>
        <w:t>. По аналогичен начин оценка на тези взаимодействия се изследват и във втората фаза на този проект MARSPLAN BS II</w:t>
      </w:r>
      <w:r w:rsidR="00D66FE0" w:rsidRPr="00610B1B">
        <w:rPr>
          <w:rFonts w:cs="Times New Roman"/>
          <w:color w:val="000000" w:themeColor="text1"/>
        </w:rPr>
        <w:t xml:space="preserve"> </w:t>
      </w:r>
      <w:r w:rsidR="0013343B" w:rsidRPr="00610B1B">
        <w:rPr>
          <w:rFonts w:cs="Times New Roman"/>
          <w:color w:val="000000" w:themeColor="text1"/>
        </w:rPr>
        <w:t xml:space="preserve">за участъка </w:t>
      </w:r>
      <w:r w:rsidR="001D6B42" w:rsidRPr="00610B1B">
        <w:rPr>
          <w:rFonts w:cs="Times New Roman"/>
          <w:color w:val="000000" w:themeColor="text1"/>
        </w:rPr>
        <w:t>между Каварна/</w:t>
      </w:r>
      <w:r w:rsidR="0013343B" w:rsidRPr="00610B1B">
        <w:rPr>
          <w:rFonts w:cs="Times New Roman"/>
          <w:color w:val="000000" w:themeColor="text1"/>
        </w:rPr>
        <w:t xml:space="preserve">Шабла </w:t>
      </w:r>
      <w:r w:rsidR="001D6B42" w:rsidRPr="00610B1B">
        <w:rPr>
          <w:rFonts w:cs="Times New Roman"/>
          <w:color w:val="000000" w:themeColor="text1"/>
        </w:rPr>
        <w:t>и</w:t>
      </w:r>
      <w:r w:rsidR="0013343B" w:rsidRPr="00610B1B">
        <w:rPr>
          <w:rFonts w:cs="Times New Roman"/>
          <w:color w:val="000000" w:themeColor="text1"/>
        </w:rPr>
        <w:t xml:space="preserve"> Констанца. </w:t>
      </w:r>
    </w:p>
    <w:p w14:paraId="5BCAE494" w14:textId="77777777" w:rsidR="00826726" w:rsidRPr="00610B1B" w:rsidRDefault="00826726" w:rsidP="00D32D6A">
      <w:pPr>
        <w:pStyle w:val="BodyText"/>
        <w:spacing w:before="0" w:after="120" w:line="276" w:lineRule="auto"/>
        <w:rPr>
          <w:rFonts w:cs="Times New Roman"/>
          <w:color w:val="000000" w:themeColor="text1"/>
        </w:rPr>
      </w:pPr>
      <w:r w:rsidRPr="00610B1B">
        <w:rPr>
          <w:rFonts w:cs="Times New Roman"/>
          <w:color w:val="000000" w:themeColor="text1"/>
        </w:rPr>
        <w:t xml:space="preserve">Главна цел на изследването на взаимодействията земя-море и море-земя е да идентифицира основните конфликти и конфликтни зони, „горещите точки“ по крайбрежието и да предложи възможни мерки за намаляването им. </w:t>
      </w:r>
    </w:p>
    <w:p w14:paraId="2D133CC3" w14:textId="77258FF4" w:rsidR="00B70ED4" w:rsidRPr="00610B1B" w:rsidRDefault="001D6B42" w:rsidP="00D32D6A">
      <w:pPr>
        <w:pStyle w:val="BodyText"/>
        <w:spacing w:before="0" w:after="120" w:line="276" w:lineRule="auto"/>
        <w:rPr>
          <w:rFonts w:cs="Times New Roman"/>
          <w:color w:val="000000" w:themeColor="text1"/>
        </w:rPr>
      </w:pPr>
      <w:r w:rsidRPr="00610B1B">
        <w:rPr>
          <w:rFonts w:cs="Times New Roman"/>
          <w:color w:val="000000" w:themeColor="text1"/>
        </w:rPr>
        <w:t>Най-типичните</w:t>
      </w:r>
      <w:r w:rsidR="00D66FE0" w:rsidRPr="00610B1B">
        <w:rPr>
          <w:rFonts w:cs="Times New Roman"/>
          <w:color w:val="000000" w:themeColor="text1"/>
        </w:rPr>
        <w:t xml:space="preserve"> </w:t>
      </w:r>
      <w:r w:rsidRPr="00610B1B">
        <w:rPr>
          <w:rFonts w:cs="Times New Roman"/>
          <w:color w:val="000000" w:themeColor="text1"/>
        </w:rPr>
        <w:t>взаимодействия между отделните ползвания в морските пространства и на брега и между тях и околната среда са систематизирани в следващата таблица</w:t>
      </w:r>
      <w:r w:rsidR="002939EC" w:rsidRPr="00610B1B">
        <w:rPr>
          <w:rFonts w:cs="Times New Roman"/>
          <w:color w:val="000000" w:themeColor="text1"/>
        </w:rPr>
        <w:t>, като е използвано предложеното ръководство на Европейската комисия в неговата дигитална версия</w:t>
      </w:r>
      <w:r w:rsidR="00622D3E" w:rsidRPr="00610B1B">
        <w:rPr>
          <w:rFonts w:cs="Times New Roman"/>
          <w:color w:val="000000" w:themeColor="text1"/>
        </w:rPr>
        <w:t>.</w:t>
      </w:r>
      <w:r w:rsidR="00622D3E" w:rsidRPr="00610B1B">
        <w:rPr>
          <w:rStyle w:val="FootnoteReference"/>
          <w:rFonts w:cs="Times New Roman"/>
          <w:color w:val="000000" w:themeColor="text1"/>
        </w:rPr>
        <w:footnoteReference w:id="192"/>
      </w:r>
      <w:r w:rsidRPr="00610B1B">
        <w:rPr>
          <w:rFonts w:cs="Times New Roman"/>
          <w:color w:val="000000" w:themeColor="text1"/>
        </w:rPr>
        <w:t>:</w:t>
      </w:r>
    </w:p>
    <w:p w14:paraId="2BB80E67" w14:textId="459478E2" w:rsidR="00A7683E" w:rsidRPr="00610B1B" w:rsidRDefault="00C519AD" w:rsidP="00D32D6A">
      <w:pPr>
        <w:pStyle w:val="BodyText"/>
        <w:spacing w:before="0" w:after="120" w:line="276" w:lineRule="auto"/>
        <w:rPr>
          <w:rFonts w:cs="Times New Roman"/>
          <w:color w:val="000000" w:themeColor="text1"/>
        </w:rPr>
      </w:pPr>
      <w:bookmarkStart w:id="484" w:name="_Toc83391612"/>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16</w:t>
      </w:r>
      <w:r w:rsidRPr="00610B1B">
        <w:rPr>
          <w:rFonts w:cs="Times New Roman"/>
        </w:rPr>
        <w:fldChar w:fldCharType="end"/>
      </w:r>
      <w:r w:rsidRPr="00610B1B">
        <w:rPr>
          <w:rFonts w:cs="Times New Roman"/>
        </w:rPr>
        <w:t xml:space="preserve">: </w:t>
      </w:r>
      <w:r w:rsidR="00D52898" w:rsidRPr="00610B1B">
        <w:rPr>
          <w:rFonts w:cs="Times New Roman"/>
          <w:color w:val="000000" w:themeColor="text1"/>
        </w:rPr>
        <w:t>Взаимодействия и въздействия на секторите в морските пространства и крайбрежната зона</w:t>
      </w:r>
      <w:bookmarkEnd w:id="484"/>
      <w:r w:rsidR="00D66FE0" w:rsidRPr="00610B1B">
        <w:rPr>
          <w:rFonts w:cs="Times New Roman"/>
          <w:color w:val="000000" w:themeColor="text1"/>
        </w:rPr>
        <w:t xml:space="preserve"> </w:t>
      </w:r>
    </w:p>
    <w:tbl>
      <w:tblPr>
        <w:tblStyle w:val="TableGrid"/>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413"/>
        <w:gridCol w:w="1984"/>
        <w:gridCol w:w="1866"/>
        <w:gridCol w:w="1820"/>
        <w:gridCol w:w="1934"/>
      </w:tblGrid>
      <w:tr w:rsidR="00BF79BE" w:rsidRPr="00610B1B" w14:paraId="79B8BE59" w14:textId="77777777" w:rsidTr="00ED74EC">
        <w:trPr>
          <w:tblHeader/>
        </w:trPr>
        <w:tc>
          <w:tcPr>
            <w:tcW w:w="1413" w:type="dxa"/>
            <w:vMerge w:val="restart"/>
            <w:shd w:val="clear" w:color="auto" w:fill="C6D9F1" w:themeFill="text2" w:themeFillTint="33"/>
            <w:vAlign w:val="center"/>
          </w:tcPr>
          <w:p w14:paraId="70EA2A91" w14:textId="77777777" w:rsidR="00B70ED4" w:rsidRPr="00610B1B" w:rsidRDefault="00B70ED4" w:rsidP="00ED74EC">
            <w:pPr>
              <w:pStyle w:val="BodyText"/>
              <w:spacing w:before="0" w:after="0" w:line="240" w:lineRule="auto"/>
              <w:jc w:val="center"/>
              <w:rPr>
                <w:rFonts w:cs="Times New Roman"/>
                <w:b/>
                <w:bCs/>
                <w:sz w:val="22"/>
                <w:szCs w:val="22"/>
              </w:rPr>
            </w:pPr>
            <w:r w:rsidRPr="00610B1B">
              <w:rPr>
                <w:rFonts w:cs="Times New Roman"/>
                <w:b/>
                <w:bCs/>
                <w:sz w:val="22"/>
                <w:szCs w:val="22"/>
              </w:rPr>
              <w:t>Ползвания</w:t>
            </w:r>
          </w:p>
        </w:tc>
        <w:tc>
          <w:tcPr>
            <w:tcW w:w="7604" w:type="dxa"/>
            <w:gridSpan w:val="4"/>
            <w:shd w:val="clear" w:color="auto" w:fill="C6D9F1" w:themeFill="text2" w:themeFillTint="33"/>
            <w:vAlign w:val="center"/>
          </w:tcPr>
          <w:p w14:paraId="626FE533" w14:textId="77777777" w:rsidR="00B70ED4" w:rsidRPr="00610B1B" w:rsidRDefault="00B70ED4" w:rsidP="00ED74EC">
            <w:pPr>
              <w:pStyle w:val="BodyText"/>
              <w:spacing w:before="0" w:after="0" w:line="240" w:lineRule="auto"/>
              <w:jc w:val="center"/>
              <w:rPr>
                <w:rFonts w:cs="Times New Roman"/>
                <w:b/>
                <w:bCs/>
                <w:sz w:val="22"/>
                <w:szCs w:val="22"/>
              </w:rPr>
            </w:pPr>
            <w:r w:rsidRPr="00610B1B">
              <w:rPr>
                <w:rFonts w:cs="Times New Roman"/>
                <w:b/>
                <w:bCs/>
                <w:sz w:val="22"/>
                <w:szCs w:val="22"/>
              </w:rPr>
              <w:t>Взаимодействия и въздействия</w:t>
            </w:r>
          </w:p>
        </w:tc>
      </w:tr>
      <w:tr w:rsidR="00BF79BE" w:rsidRPr="00610B1B" w14:paraId="064995C1" w14:textId="77777777" w:rsidTr="00ED74EC">
        <w:trPr>
          <w:tblHeader/>
        </w:trPr>
        <w:tc>
          <w:tcPr>
            <w:tcW w:w="1413" w:type="dxa"/>
            <w:vMerge/>
            <w:shd w:val="clear" w:color="auto" w:fill="C6D9F1" w:themeFill="text2" w:themeFillTint="33"/>
            <w:vAlign w:val="center"/>
          </w:tcPr>
          <w:p w14:paraId="41BF06CB" w14:textId="77777777" w:rsidR="00B70ED4" w:rsidRPr="00610B1B" w:rsidRDefault="00B70ED4" w:rsidP="00ED74EC">
            <w:pPr>
              <w:pStyle w:val="BodyText"/>
              <w:spacing w:before="0" w:after="0" w:line="240" w:lineRule="auto"/>
              <w:jc w:val="center"/>
              <w:rPr>
                <w:rFonts w:cs="Times New Roman"/>
                <w:b/>
                <w:bCs/>
                <w:sz w:val="22"/>
                <w:szCs w:val="22"/>
              </w:rPr>
            </w:pPr>
          </w:p>
        </w:tc>
        <w:tc>
          <w:tcPr>
            <w:tcW w:w="1984" w:type="dxa"/>
            <w:shd w:val="clear" w:color="auto" w:fill="C6D9F1" w:themeFill="text2" w:themeFillTint="33"/>
            <w:vAlign w:val="center"/>
          </w:tcPr>
          <w:p w14:paraId="0D7E32B2" w14:textId="4E6848F3" w:rsidR="00B70ED4" w:rsidRPr="00610B1B" w:rsidRDefault="00B70ED4" w:rsidP="00ED74EC">
            <w:pPr>
              <w:pStyle w:val="BodyText"/>
              <w:spacing w:before="0" w:after="0" w:line="240" w:lineRule="auto"/>
              <w:jc w:val="center"/>
              <w:rPr>
                <w:rFonts w:cs="Times New Roman"/>
                <w:b/>
                <w:bCs/>
                <w:sz w:val="22"/>
                <w:szCs w:val="22"/>
              </w:rPr>
            </w:pPr>
            <w:r w:rsidRPr="00610B1B">
              <w:rPr>
                <w:rFonts w:cs="Times New Roman"/>
                <w:b/>
                <w:bCs/>
                <w:sz w:val="22"/>
                <w:szCs w:val="22"/>
              </w:rPr>
              <w:t>Екологични</w:t>
            </w:r>
          </w:p>
        </w:tc>
        <w:tc>
          <w:tcPr>
            <w:tcW w:w="1866" w:type="dxa"/>
            <w:shd w:val="clear" w:color="auto" w:fill="C6D9F1" w:themeFill="text2" w:themeFillTint="33"/>
            <w:vAlign w:val="center"/>
          </w:tcPr>
          <w:p w14:paraId="3D6B8831" w14:textId="02713C26" w:rsidR="00B70ED4" w:rsidRPr="00610B1B" w:rsidRDefault="00B70ED4" w:rsidP="00ED74EC">
            <w:pPr>
              <w:pStyle w:val="BodyText"/>
              <w:spacing w:before="0" w:after="0" w:line="240" w:lineRule="auto"/>
              <w:jc w:val="center"/>
              <w:rPr>
                <w:rFonts w:cs="Times New Roman"/>
                <w:b/>
                <w:bCs/>
                <w:sz w:val="22"/>
                <w:szCs w:val="22"/>
              </w:rPr>
            </w:pPr>
            <w:r w:rsidRPr="00610B1B">
              <w:rPr>
                <w:rFonts w:cs="Times New Roman"/>
                <w:b/>
                <w:bCs/>
                <w:sz w:val="22"/>
                <w:szCs w:val="22"/>
              </w:rPr>
              <w:t>Икономически</w:t>
            </w:r>
          </w:p>
        </w:tc>
        <w:tc>
          <w:tcPr>
            <w:tcW w:w="1820" w:type="dxa"/>
            <w:shd w:val="clear" w:color="auto" w:fill="C6D9F1" w:themeFill="text2" w:themeFillTint="33"/>
            <w:vAlign w:val="center"/>
          </w:tcPr>
          <w:p w14:paraId="61549C1C" w14:textId="46A5B425" w:rsidR="00B70ED4" w:rsidRPr="00610B1B" w:rsidRDefault="00B70ED4" w:rsidP="00ED74EC">
            <w:pPr>
              <w:pStyle w:val="BodyText"/>
              <w:spacing w:before="0" w:after="0" w:line="240" w:lineRule="auto"/>
              <w:jc w:val="center"/>
              <w:rPr>
                <w:rFonts w:cs="Times New Roman"/>
                <w:b/>
                <w:bCs/>
                <w:sz w:val="22"/>
                <w:szCs w:val="22"/>
              </w:rPr>
            </w:pPr>
            <w:r w:rsidRPr="00610B1B">
              <w:rPr>
                <w:rFonts w:cs="Times New Roman"/>
                <w:b/>
                <w:bCs/>
                <w:sz w:val="22"/>
                <w:szCs w:val="22"/>
              </w:rPr>
              <w:t>Социални</w:t>
            </w:r>
          </w:p>
        </w:tc>
        <w:tc>
          <w:tcPr>
            <w:tcW w:w="1934" w:type="dxa"/>
            <w:shd w:val="clear" w:color="auto" w:fill="C6D9F1" w:themeFill="text2" w:themeFillTint="33"/>
            <w:vAlign w:val="center"/>
          </w:tcPr>
          <w:p w14:paraId="58747216" w14:textId="77C1A8A5" w:rsidR="00B70ED4" w:rsidRPr="00610B1B" w:rsidRDefault="00B70ED4" w:rsidP="00ED74EC">
            <w:pPr>
              <w:pStyle w:val="BodyText"/>
              <w:spacing w:before="0" w:after="0" w:line="240" w:lineRule="auto"/>
              <w:jc w:val="center"/>
              <w:rPr>
                <w:rFonts w:cs="Times New Roman"/>
                <w:b/>
                <w:bCs/>
                <w:sz w:val="22"/>
                <w:szCs w:val="22"/>
              </w:rPr>
            </w:pPr>
            <w:r w:rsidRPr="00610B1B">
              <w:rPr>
                <w:rFonts w:cs="Times New Roman"/>
                <w:b/>
                <w:bCs/>
                <w:sz w:val="22"/>
                <w:szCs w:val="22"/>
              </w:rPr>
              <w:t>Технологични</w:t>
            </w:r>
          </w:p>
        </w:tc>
      </w:tr>
      <w:tr w:rsidR="00AB2DBE" w:rsidRPr="00C717D0" w14:paraId="00527E4F" w14:textId="77777777" w:rsidTr="006F5FF5">
        <w:tc>
          <w:tcPr>
            <w:tcW w:w="1413" w:type="dxa"/>
            <w:vMerge w:val="restart"/>
            <w:shd w:val="clear" w:color="auto" w:fill="DBE5F1" w:themeFill="accent1" w:themeFillTint="33"/>
            <w:vAlign w:val="center"/>
          </w:tcPr>
          <w:p w14:paraId="30057CE0" w14:textId="4E215202" w:rsidR="00AB2DBE" w:rsidRPr="00610B1B" w:rsidRDefault="00391F0A"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Морски транспорт, п</w:t>
            </w:r>
            <w:r w:rsidR="00AB2DBE" w:rsidRPr="00610B1B">
              <w:rPr>
                <w:rFonts w:cs="Times New Roman"/>
                <w:color w:val="000000" w:themeColor="text1"/>
                <w:sz w:val="20"/>
                <w:szCs w:val="20"/>
              </w:rPr>
              <w:t>ристанища</w:t>
            </w:r>
          </w:p>
        </w:tc>
        <w:tc>
          <w:tcPr>
            <w:tcW w:w="1984" w:type="dxa"/>
          </w:tcPr>
          <w:p w14:paraId="5D947317" w14:textId="7B7A398F"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Нарушаване и унищожаване на морски видове и хабитати при драгиране</w:t>
            </w:r>
          </w:p>
        </w:tc>
        <w:tc>
          <w:tcPr>
            <w:tcW w:w="1866" w:type="dxa"/>
            <w:shd w:val="clear" w:color="auto" w:fill="BEE6F0"/>
          </w:tcPr>
          <w:p w14:paraId="231031C4" w14:textId="5339B25A"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Стимулиране развитието на съпътстващ пристанищната дейност бизнес</w:t>
            </w:r>
          </w:p>
        </w:tc>
        <w:tc>
          <w:tcPr>
            <w:tcW w:w="1820" w:type="dxa"/>
            <w:shd w:val="clear" w:color="auto" w:fill="BEE6F0"/>
          </w:tcPr>
          <w:p w14:paraId="3F520212" w14:textId="1EB99998"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Създаване на заетост и работни места</w:t>
            </w:r>
          </w:p>
        </w:tc>
        <w:tc>
          <w:tcPr>
            <w:tcW w:w="1934" w:type="dxa"/>
            <w:shd w:val="clear" w:color="auto" w:fill="BEE6F0"/>
          </w:tcPr>
          <w:p w14:paraId="48264C86" w14:textId="26DF705D"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Подобряване на връзките с наземната инфраструктура</w:t>
            </w:r>
          </w:p>
        </w:tc>
      </w:tr>
      <w:tr w:rsidR="00AB2DBE" w:rsidRPr="00C717D0" w14:paraId="2F5B355B" w14:textId="77777777" w:rsidTr="006F5FF5">
        <w:tc>
          <w:tcPr>
            <w:tcW w:w="1413" w:type="dxa"/>
            <w:vMerge/>
            <w:shd w:val="clear" w:color="auto" w:fill="DBE5F1" w:themeFill="accent1" w:themeFillTint="33"/>
          </w:tcPr>
          <w:p w14:paraId="74DE7A46" w14:textId="77777777" w:rsidR="00AB2DBE" w:rsidRPr="00610B1B" w:rsidRDefault="00AB2DBE" w:rsidP="00D32D6A">
            <w:pPr>
              <w:pStyle w:val="BodyText"/>
              <w:spacing w:before="0" w:after="0" w:line="240" w:lineRule="auto"/>
              <w:jc w:val="left"/>
              <w:rPr>
                <w:rFonts w:cs="Times New Roman"/>
                <w:color w:val="000000" w:themeColor="text1"/>
                <w:sz w:val="20"/>
                <w:szCs w:val="20"/>
              </w:rPr>
            </w:pPr>
          </w:p>
        </w:tc>
        <w:tc>
          <w:tcPr>
            <w:tcW w:w="1984" w:type="dxa"/>
          </w:tcPr>
          <w:p w14:paraId="1605CC1D" w14:textId="50DA41A6"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Замърсяване, подводен шум</w:t>
            </w:r>
          </w:p>
        </w:tc>
        <w:tc>
          <w:tcPr>
            <w:tcW w:w="1866" w:type="dxa"/>
            <w:shd w:val="clear" w:color="auto" w:fill="BEE6F0"/>
          </w:tcPr>
          <w:p w14:paraId="77743199" w14:textId="3819ADB8"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Стимулиране развитието на морския туризъм</w:t>
            </w:r>
          </w:p>
        </w:tc>
        <w:tc>
          <w:tcPr>
            <w:tcW w:w="1820" w:type="dxa"/>
            <w:shd w:val="clear" w:color="auto" w:fill="BEE6F0"/>
          </w:tcPr>
          <w:p w14:paraId="3F9FBC35" w14:textId="2239CFF4"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Повишаване на доходите</w:t>
            </w:r>
          </w:p>
        </w:tc>
        <w:tc>
          <w:tcPr>
            <w:tcW w:w="1934" w:type="dxa"/>
            <w:shd w:val="clear" w:color="auto" w:fill="BEE6F0"/>
          </w:tcPr>
          <w:p w14:paraId="6E042062" w14:textId="04E54CD5"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Разширяване на националната транспортна мрежа</w:t>
            </w:r>
          </w:p>
        </w:tc>
      </w:tr>
      <w:tr w:rsidR="00AB2DBE" w:rsidRPr="00C717D0" w14:paraId="7F84179C" w14:textId="77777777" w:rsidTr="006F5FF5">
        <w:tc>
          <w:tcPr>
            <w:tcW w:w="1413" w:type="dxa"/>
            <w:vMerge/>
            <w:shd w:val="clear" w:color="auto" w:fill="DBE5F1" w:themeFill="accent1" w:themeFillTint="33"/>
          </w:tcPr>
          <w:p w14:paraId="67501438" w14:textId="77777777" w:rsidR="00AB2DBE" w:rsidRPr="00610B1B" w:rsidRDefault="00AB2DBE" w:rsidP="00D32D6A">
            <w:pPr>
              <w:pStyle w:val="BodyText"/>
              <w:spacing w:before="0" w:after="0" w:line="240" w:lineRule="auto"/>
              <w:jc w:val="left"/>
              <w:rPr>
                <w:rFonts w:cs="Times New Roman"/>
                <w:color w:val="000000" w:themeColor="text1"/>
                <w:sz w:val="20"/>
                <w:szCs w:val="20"/>
              </w:rPr>
            </w:pPr>
          </w:p>
        </w:tc>
        <w:tc>
          <w:tcPr>
            <w:tcW w:w="1984" w:type="dxa"/>
          </w:tcPr>
          <w:p w14:paraId="0624990A" w14:textId="62CBCD63"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Пренос на инвазивни видове</w:t>
            </w:r>
          </w:p>
        </w:tc>
        <w:tc>
          <w:tcPr>
            <w:tcW w:w="1866" w:type="dxa"/>
            <w:shd w:val="clear" w:color="auto" w:fill="BEE6F0"/>
          </w:tcPr>
          <w:p w14:paraId="450FCF4D" w14:textId="34F36F5D"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Развитие на интермодални терминали</w:t>
            </w:r>
          </w:p>
        </w:tc>
        <w:tc>
          <w:tcPr>
            <w:tcW w:w="1820" w:type="dxa"/>
            <w:shd w:val="clear" w:color="auto" w:fill="BEE6F0"/>
          </w:tcPr>
          <w:p w14:paraId="0A909F6F" w14:textId="6D0E1196" w:rsidR="00AB2DBE" w:rsidRPr="00610B1B" w:rsidRDefault="00AB2D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Подобряване на достъпа до публични зони</w:t>
            </w:r>
          </w:p>
        </w:tc>
        <w:tc>
          <w:tcPr>
            <w:tcW w:w="1934" w:type="dxa"/>
          </w:tcPr>
          <w:p w14:paraId="69410C5C" w14:textId="14F8E533" w:rsidR="00AB2DBE" w:rsidRPr="00610B1B" w:rsidRDefault="00885C17"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Риск от разрушаване на подводна ТИ при заставане на котва</w:t>
            </w:r>
          </w:p>
        </w:tc>
      </w:tr>
      <w:tr w:rsidR="0025746D" w:rsidRPr="00C717D0" w14:paraId="06C9C411" w14:textId="77777777" w:rsidTr="001E3FED">
        <w:tc>
          <w:tcPr>
            <w:tcW w:w="1413" w:type="dxa"/>
            <w:vMerge/>
            <w:shd w:val="clear" w:color="auto" w:fill="DBE5F1" w:themeFill="accent1" w:themeFillTint="33"/>
          </w:tcPr>
          <w:p w14:paraId="62112C8B"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47E6A9F6" w14:textId="7A040C49"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Увеличаване на обслужващия трафик, замърсяване на въздуха, шум</w:t>
            </w:r>
          </w:p>
        </w:tc>
        <w:tc>
          <w:tcPr>
            <w:tcW w:w="1866" w:type="dxa"/>
          </w:tcPr>
          <w:p w14:paraId="7713178F"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820" w:type="dxa"/>
          </w:tcPr>
          <w:p w14:paraId="327BB6F2"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34" w:type="dxa"/>
          </w:tcPr>
          <w:p w14:paraId="4F262E44" w14:textId="14AA5466" w:rsidR="0025746D" w:rsidRPr="00610B1B" w:rsidRDefault="00E779AD" w:rsidP="00D32D6A">
            <w:pPr>
              <w:pStyle w:val="BodyText"/>
              <w:spacing w:before="0" w:after="0" w:line="240" w:lineRule="auto"/>
              <w:jc w:val="left"/>
              <w:rPr>
                <w:rFonts w:cs="Times New Roman"/>
                <w:color w:val="000000" w:themeColor="text1"/>
                <w:sz w:val="20"/>
                <w:szCs w:val="20"/>
              </w:rPr>
            </w:pPr>
            <w:r w:rsidRPr="00610B1B">
              <w:rPr>
                <w:rFonts w:cs="Times New Roman"/>
                <w:sz w:val="20"/>
                <w:szCs w:val="20"/>
              </w:rPr>
              <w:t>Риск от</w:t>
            </w:r>
            <w:r w:rsidR="0025746D" w:rsidRPr="00610B1B">
              <w:rPr>
                <w:rFonts w:cs="Times New Roman"/>
                <w:sz w:val="20"/>
                <w:szCs w:val="20"/>
              </w:rPr>
              <w:t xml:space="preserve"> инциденти по сигурността и безопасността</w:t>
            </w:r>
            <w:r w:rsidRPr="00610B1B">
              <w:rPr>
                <w:rFonts w:cs="Times New Roman"/>
                <w:sz w:val="20"/>
                <w:szCs w:val="20"/>
              </w:rPr>
              <w:t xml:space="preserve"> поради близостта на СРД до брега</w:t>
            </w:r>
          </w:p>
        </w:tc>
      </w:tr>
      <w:tr w:rsidR="0025746D" w:rsidRPr="00C717D0" w14:paraId="5DE5A326" w14:textId="77777777" w:rsidTr="001E3FED">
        <w:tc>
          <w:tcPr>
            <w:tcW w:w="1413" w:type="dxa"/>
            <w:vMerge/>
            <w:shd w:val="clear" w:color="auto" w:fill="DBE5F1" w:themeFill="accent1" w:themeFillTint="33"/>
          </w:tcPr>
          <w:p w14:paraId="26FE0D28"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7B4B7D10" w14:textId="63FDC38F"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Повишен риск от инциденти </w:t>
            </w:r>
          </w:p>
        </w:tc>
        <w:tc>
          <w:tcPr>
            <w:tcW w:w="1866" w:type="dxa"/>
          </w:tcPr>
          <w:p w14:paraId="1A09BE3C"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820" w:type="dxa"/>
          </w:tcPr>
          <w:p w14:paraId="02D3BB2C"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34" w:type="dxa"/>
          </w:tcPr>
          <w:p w14:paraId="0FC04361" w14:textId="767F263D" w:rsidR="0025746D"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Ограничаване на трафика по време на подводни проучвания на </w:t>
            </w:r>
            <w:r w:rsidR="0005678A" w:rsidRPr="00610B1B">
              <w:rPr>
                <w:rFonts w:cs="Times New Roman"/>
                <w:color w:val="000000" w:themeColor="text1"/>
                <w:sz w:val="20"/>
                <w:szCs w:val="20"/>
              </w:rPr>
              <w:t>НКЦ</w:t>
            </w:r>
          </w:p>
        </w:tc>
      </w:tr>
      <w:tr w:rsidR="0025746D" w:rsidRPr="00C717D0" w14:paraId="4AC2654C" w14:textId="77777777" w:rsidTr="006F5FF5">
        <w:tc>
          <w:tcPr>
            <w:tcW w:w="1413" w:type="dxa"/>
            <w:vMerge w:val="restart"/>
            <w:shd w:val="clear" w:color="auto" w:fill="DBE5F1" w:themeFill="accent1" w:themeFillTint="33"/>
            <w:vAlign w:val="center"/>
          </w:tcPr>
          <w:p w14:paraId="3BCA76D1" w14:textId="681AB068"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Рибарство</w:t>
            </w:r>
          </w:p>
        </w:tc>
        <w:tc>
          <w:tcPr>
            <w:tcW w:w="1984" w:type="dxa"/>
          </w:tcPr>
          <w:p w14:paraId="613D0D5C" w14:textId="0AB27F23"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Въздействия върху рибните запаси от улов над допустимите квоти и под допустимите размери/зрялост</w:t>
            </w:r>
          </w:p>
        </w:tc>
        <w:tc>
          <w:tcPr>
            <w:tcW w:w="1866" w:type="dxa"/>
            <w:shd w:val="clear" w:color="auto" w:fill="BEE6F0"/>
          </w:tcPr>
          <w:p w14:paraId="7E366FAA" w14:textId="33DCE8C8"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Стимулиране на съпътстващи преработвателни предприятия</w:t>
            </w:r>
          </w:p>
        </w:tc>
        <w:tc>
          <w:tcPr>
            <w:tcW w:w="1820" w:type="dxa"/>
            <w:shd w:val="clear" w:color="auto" w:fill="BEE6F0"/>
          </w:tcPr>
          <w:p w14:paraId="0966C685" w14:textId="397A82C6"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Създаване на работни места и заетост</w:t>
            </w:r>
          </w:p>
        </w:tc>
        <w:tc>
          <w:tcPr>
            <w:tcW w:w="1934" w:type="dxa"/>
            <w:shd w:val="clear" w:color="auto" w:fill="BEE6F0"/>
          </w:tcPr>
          <w:p w14:paraId="46DA963C" w14:textId="0513F1AB"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Подобряване на връзките с обслужващата наземна транспортна инфраструктура</w:t>
            </w:r>
          </w:p>
        </w:tc>
      </w:tr>
      <w:tr w:rsidR="0025746D" w:rsidRPr="00C717D0" w14:paraId="6D881851" w14:textId="77777777" w:rsidTr="006F5FF5">
        <w:tc>
          <w:tcPr>
            <w:tcW w:w="1413" w:type="dxa"/>
            <w:vMerge/>
            <w:shd w:val="clear" w:color="auto" w:fill="DBE5F1" w:themeFill="accent1" w:themeFillTint="33"/>
          </w:tcPr>
          <w:p w14:paraId="4EAB0149"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115D39F2" w14:textId="10396722"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Намаляване на биологичната продуктивност и оттам въздействия върху приходи, работни места и др.</w:t>
            </w:r>
          </w:p>
        </w:tc>
        <w:tc>
          <w:tcPr>
            <w:tcW w:w="1866" w:type="dxa"/>
            <w:shd w:val="clear" w:color="auto" w:fill="BEE6F0"/>
          </w:tcPr>
          <w:p w14:paraId="4084A605" w14:textId="38DF4853"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Стимулиране развитието на</w:t>
            </w:r>
            <w:r w:rsidR="00D66FE0" w:rsidRPr="00610B1B">
              <w:rPr>
                <w:rFonts w:cs="Times New Roman"/>
                <w:color w:val="000000" w:themeColor="text1"/>
                <w:sz w:val="20"/>
                <w:szCs w:val="20"/>
              </w:rPr>
              <w:t xml:space="preserve"> </w:t>
            </w:r>
            <w:r w:rsidRPr="00610B1B">
              <w:rPr>
                <w:rFonts w:cs="Times New Roman"/>
                <w:color w:val="000000" w:themeColor="text1"/>
                <w:sz w:val="20"/>
                <w:szCs w:val="20"/>
              </w:rPr>
              <w:t>дейности по веригата на доставките</w:t>
            </w:r>
          </w:p>
        </w:tc>
        <w:tc>
          <w:tcPr>
            <w:tcW w:w="1820" w:type="dxa"/>
            <w:shd w:val="clear" w:color="auto" w:fill="BEE6F0"/>
          </w:tcPr>
          <w:p w14:paraId="3BE1F4FE" w14:textId="2BF7ABD7"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Приходи от дейност в сектора</w:t>
            </w:r>
          </w:p>
        </w:tc>
        <w:tc>
          <w:tcPr>
            <w:tcW w:w="1934" w:type="dxa"/>
            <w:shd w:val="clear" w:color="auto" w:fill="BEE6F0"/>
          </w:tcPr>
          <w:p w14:paraId="668092AE" w14:textId="53832DE7"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Технологични връзки с преработващи предприятия</w:t>
            </w:r>
          </w:p>
        </w:tc>
      </w:tr>
      <w:tr w:rsidR="0025746D" w:rsidRPr="00C717D0" w14:paraId="60B67F59" w14:textId="77777777" w:rsidTr="006F5FF5">
        <w:tc>
          <w:tcPr>
            <w:tcW w:w="1413" w:type="dxa"/>
            <w:vMerge/>
            <w:shd w:val="clear" w:color="auto" w:fill="DBE5F1" w:themeFill="accent1" w:themeFillTint="33"/>
          </w:tcPr>
          <w:p w14:paraId="1A320DCF"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0D487773" w14:textId="794842E3"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Замърсяване на </w:t>
            </w:r>
            <w:r w:rsidRPr="00610B1B">
              <w:rPr>
                <w:rFonts w:cs="Times New Roman"/>
                <w:color w:val="000000" w:themeColor="text1"/>
                <w:sz w:val="20"/>
                <w:szCs w:val="20"/>
              </w:rPr>
              <w:lastRenderedPageBreak/>
              <w:t xml:space="preserve">околната среда от изоставени </w:t>
            </w:r>
            <w:r w:rsidR="00173C7E" w:rsidRPr="00610B1B">
              <w:rPr>
                <w:rFonts w:cs="Times New Roman"/>
                <w:color w:val="000000" w:themeColor="text1"/>
                <w:sz w:val="20"/>
                <w:szCs w:val="20"/>
              </w:rPr>
              <w:t>аквакултурни стопанства</w:t>
            </w:r>
            <w:r w:rsidRPr="00610B1B">
              <w:rPr>
                <w:rFonts w:cs="Times New Roman"/>
                <w:color w:val="000000" w:themeColor="text1"/>
                <w:sz w:val="20"/>
                <w:szCs w:val="20"/>
              </w:rPr>
              <w:t xml:space="preserve"> и конфликти с водните спортове и морски туризъм</w:t>
            </w:r>
          </w:p>
        </w:tc>
        <w:tc>
          <w:tcPr>
            <w:tcW w:w="1866" w:type="dxa"/>
          </w:tcPr>
          <w:p w14:paraId="301B2190" w14:textId="5BB594BD"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Намаляване на </w:t>
            </w:r>
            <w:r w:rsidRPr="00610B1B">
              <w:rPr>
                <w:rFonts w:cs="Times New Roman"/>
                <w:color w:val="000000" w:themeColor="text1"/>
                <w:sz w:val="20"/>
                <w:szCs w:val="20"/>
              </w:rPr>
              <w:lastRenderedPageBreak/>
              <w:t>възможностите за любителски риболов и въздействие върху туризма</w:t>
            </w:r>
          </w:p>
        </w:tc>
        <w:tc>
          <w:tcPr>
            <w:tcW w:w="1820" w:type="dxa"/>
            <w:shd w:val="clear" w:color="auto" w:fill="BEE6F0"/>
          </w:tcPr>
          <w:p w14:paraId="1BE3604A" w14:textId="6BC0A087"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Съхраняване на </w:t>
            </w:r>
            <w:r w:rsidRPr="00610B1B">
              <w:rPr>
                <w:rFonts w:cs="Times New Roman"/>
                <w:color w:val="000000" w:themeColor="text1"/>
                <w:sz w:val="20"/>
                <w:szCs w:val="20"/>
              </w:rPr>
              <w:lastRenderedPageBreak/>
              <w:t>традиционния поминък</w:t>
            </w:r>
          </w:p>
        </w:tc>
        <w:tc>
          <w:tcPr>
            <w:tcW w:w="1934" w:type="dxa"/>
            <w:shd w:val="clear" w:color="auto" w:fill="BEE6F0"/>
          </w:tcPr>
          <w:p w14:paraId="7CF1BB97" w14:textId="13E77C98" w:rsidR="0025746D" w:rsidRPr="00610B1B" w:rsidRDefault="0005678A"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Изграждане </w:t>
            </w:r>
            <w:r w:rsidR="0025746D" w:rsidRPr="00610B1B">
              <w:rPr>
                <w:rFonts w:cs="Times New Roman"/>
                <w:color w:val="000000" w:themeColor="text1"/>
                <w:sz w:val="20"/>
                <w:szCs w:val="20"/>
              </w:rPr>
              <w:t xml:space="preserve">от </w:t>
            </w:r>
            <w:r w:rsidR="0025746D" w:rsidRPr="00610B1B">
              <w:rPr>
                <w:rFonts w:cs="Times New Roman"/>
                <w:color w:val="000000" w:themeColor="text1"/>
                <w:sz w:val="20"/>
                <w:szCs w:val="20"/>
              </w:rPr>
              <w:lastRenderedPageBreak/>
              <w:t>съпътстваща инфраструктура за обработка и съхранение на улова</w:t>
            </w:r>
          </w:p>
        </w:tc>
      </w:tr>
      <w:tr w:rsidR="0025746D" w:rsidRPr="00C717D0" w14:paraId="561A97B5" w14:textId="77777777" w:rsidTr="001E3FED">
        <w:tc>
          <w:tcPr>
            <w:tcW w:w="1413" w:type="dxa"/>
            <w:vMerge/>
            <w:shd w:val="clear" w:color="auto" w:fill="DBE5F1" w:themeFill="accent1" w:themeFillTint="33"/>
          </w:tcPr>
          <w:p w14:paraId="6A62A7B5"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65C8C988" w14:textId="2E2B5A92"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Нарушаване на морското дъно при риболов с придънни средства</w:t>
            </w:r>
          </w:p>
        </w:tc>
        <w:tc>
          <w:tcPr>
            <w:tcW w:w="1866" w:type="dxa"/>
          </w:tcPr>
          <w:p w14:paraId="62E84D22"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820" w:type="dxa"/>
          </w:tcPr>
          <w:p w14:paraId="04E3EC52"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34" w:type="dxa"/>
          </w:tcPr>
          <w:p w14:paraId="36EDA689"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r>
      <w:tr w:rsidR="0025746D" w:rsidRPr="00C717D0" w14:paraId="6537481B" w14:textId="77777777" w:rsidTr="006F5FF5">
        <w:tc>
          <w:tcPr>
            <w:tcW w:w="1413" w:type="dxa"/>
            <w:vMerge w:val="restart"/>
            <w:shd w:val="clear" w:color="auto" w:fill="DBE5F1" w:themeFill="accent1" w:themeFillTint="33"/>
            <w:vAlign w:val="center"/>
          </w:tcPr>
          <w:p w14:paraId="72938F8D" w14:textId="0240363B"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Аквакултури</w:t>
            </w:r>
          </w:p>
        </w:tc>
        <w:tc>
          <w:tcPr>
            <w:tcW w:w="1984" w:type="dxa"/>
          </w:tcPr>
          <w:p w14:paraId="21F70D9C" w14:textId="039CF959"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Промени в качеството на водите</w:t>
            </w:r>
          </w:p>
        </w:tc>
        <w:tc>
          <w:tcPr>
            <w:tcW w:w="1866" w:type="dxa"/>
            <w:shd w:val="clear" w:color="auto" w:fill="BEE6F0"/>
          </w:tcPr>
          <w:p w14:paraId="1DD1D70A" w14:textId="71E71534"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Стимулиране на съпътстващи преработвателни предприятия</w:t>
            </w:r>
          </w:p>
        </w:tc>
        <w:tc>
          <w:tcPr>
            <w:tcW w:w="1820" w:type="dxa"/>
            <w:shd w:val="clear" w:color="auto" w:fill="BEE6F0"/>
          </w:tcPr>
          <w:p w14:paraId="16336B69" w14:textId="5A24C21D"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Създаване на работни места и заетост</w:t>
            </w:r>
          </w:p>
        </w:tc>
        <w:tc>
          <w:tcPr>
            <w:tcW w:w="1934" w:type="dxa"/>
            <w:shd w:val="clear" w:color="auto" w:fill="BEE6F0"/>
          </w:tcPr>
          <w:p w14:paraId="4DAC4747" w14:textId="43DF225E" w:rsidR="0025746D" w:rsidRPr="00610B1B" w:rsidRDefault="0005678A"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Изграждане </w:t>
            </w:r>
            <w:r w:rsidR="0025746D" w:rsidRPr="00610B1B">
              <w:rPr>
                <w:rFonts w:cs="Times New Roman"/>
                <w:color w:val="000000" w:themeColor="text1"/>
                <w:sz w:val="20"/>
                <w:szCs w:val="20"/>
              </w:rPr>
              <w:t>на връзки с наземния транспорт</w:t>
            </w:r>
          </w:p>
        </w:tc>
      </w:tr>
      <w:tr w:rsidR="0025746D" w:rsidRPr="00610B1B" w14:paraId="2097A1E4" w14:textId="77777777" w:rsidTr="006F5FF5">
        <w:tc>
          <w:tcPr>
            <w:tcW w:w="1413" w:type="dxa"/>
            <w:vMerge/>
            <w:shd w:val="clear" w:color="auto" w:fill="DBE5F1" w:themeFill="accent1" w:themeFillTint="33"/>
          </w:tcPr>
          <w:p w14:paraId="27C79746"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2F032DC6" w14:textId="6FC3E65F"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Визуални промени в ландшафта от присъствието на инсталациите</w:t>
            </w:r>
          </w:p>
        </w:tc>
        <w:tc>
          <w:tcPr>
            <w:tcW w:w="1866" w:type="dxa"/>
          </w:tcPr>
          <w:p w14:paraId="27FFDA80" w14:textId="682397CF"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Конкуре</w:t>
            </w:r>
            <w:r w:rsidR="00622D3E" w:rsidRPr="00610B1B">
              <w:rPr>
                <w:rFonts w:cs="Times New Roman"/>
                <w:color w:val="000000" w:themeColor="text1"/>
                <w:sz w:val="20"/>
                <w:szCs w:val="20"/>
              </w:rPr>
              <w:t>н</w:t>
            </w:r>
            <w:r w:rsidRPr="00610B1B">
              <w:rPr>
                <w:rFonts w:cs="Times New Roman"/>
                <w:color w:val="000000" w:themeColor="text1"/>
                <w:sz w:val="20"/>
                <w:szCs w:val="20"/>
              </w:rPr>
              <w:t>тност с</w:t>
            </w:r>
            <w:r w:rsidR="00D66FE0" w:rsidRPr="00610B1B">
              <w:rPr>
                <w:rFonts w:cs="Times New Roman"/>
                <w:color w:val="000000" w:themeColor="text1"/>
                <w:sz w:val="20"/>
                <w:szCs w:val="20"/>
              </w:rPr>
              <w:t xml:space="preserve"> </w:t>
            </w:r>
            <w:r w:rsidRPr="00610B1B">
              <w:rPr>
                <w:rFonts w:cs="Times New Roman"/>
                <w:color w:val="000000" w:themeColor="text1"/>
                <w:sz w:val="20"/>
                <w:szCs w:val="20"/>
              </w:rPr>
              <w:t>риболова в акваториите</w:t>
            </w:r>
            <w:r w:rsidR="00622D3E" w:rsidRPr="00610B1B">
              <w:rPr>
                <w:rFonts w:cs="Times New Roman"/>
                <w:color w:val="000000" w:themeColor="text1"/>
                <w:sz w:val="20"/>
                <w:szCs w:val="20"/>
              </w:rPr>
              <w:t>,</w:t>
            </w:r>
            <w:r w:rsidRPr="00610B1B">
              <w:rPr>
                <w:rFonts w:cs="Times New Roman"/>
                <w:color w:val="000000" w:themeColor="text1"/>
                <w:sz w:val="20"/>
                <w:szCs w:val="20"/>
              </w:rPr>
              <w:t xml:space="preserve"> заети от инсталации</w:t>
            </w:r>
          </w:p>
        </w:tc>
        <w:tc>
          <w:tcPr>
            <w:tcW w:w="1820" w:type="dxa"/>
            <w:shd w:val="clear" w:color="auto" w:fill="BEE6F0"/>
          </w:tcPr>
          <w:p w14:paraId="1D6E249D" w14:textId="470235CC"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Приходи от дейност в сектора</w:t>
            </w:r>
          </w:p>
        </w:tc>
        <w:tc>
          <w:tcPr>
            <w:tcW w:w="1934" w:type="dxa"/>
            <w:shd w:val="clear" w:color="auto" w:fill="BEE6F0"/>
          </w:tcPr>
          <w:p w14:paraId="257F52C9" w14:textId="565063BB"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Връзки с преработващи предприятия</w:t>
            </w:r>
          </w:p>
        </w:tc>
      </w:tr>
      <w:tr w:rsidR="0025746D" w:rsidRPr="00C717D0" w14:paraId="76B3F5CD" w14:textId="77777777" w:rsidTr="006F5FF5">
        <w:tc>
          <w:tcPr>
            <w:tcW w:w="1413" w:type="dxa"/>
            <w:vMerge/>
            <w:shd w:val="clear" w:color="auto" w:fill="DBE5F1" w:themeFill="accent1" w:themeFillTint="33"/>
          </w:tcPr>
          <w:p w14:paraId="234E03BE"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984" w:type="dxa"/>
          </w:tcPr>
          <w:p w14:paraId="02F2570F" w14:textId="18B42F4C"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Замърсяване на морските пространства с изоставени инсталации</w:t>
            </w:r>
          </w:p>
        </w:tc>
        <w:tc>
          <w:tcPr>
            <w:tcW w:w="1866" w:type="dxa"/>
          </w:tcPr>
          <w:p w14:paraId="2602956B" w14:textId="77777777" w:rsidR="0025746D" w:rsidRPr="00610B1B" w:rsidRDefault="0025746D" w:rsidP="00D32D6A">
            <w:pPr>
              <w:pStyle w:val="BodyText"/>
              <w:spacing w:before="0" w:after="0" w:line="240" w:lineRule="auto"/>
              <w:jc w:val="left"/>
              <w:rPr>
                <w:rFonts w:cs="Times New Roman"/>
                <w:color w:val="000000" w:themeColor="text1"/>
                <w:sz w:val="20"/>
                <w:szCs w:val="20"/>
              </w:rPr>
            </w:pPr>
          </w:p>
        </w:tc>
        <w:tc>
          <w:tcPr>
            <w:tcW w:w="1820" w:type="dxa"/>
          </w:tcPr>
          <w:p w14:paraId="4C2B01D7" w14:textId="071F1577" w:rsidR="0025746D" w:rsidRPr="00610B1B" w:rsidRDefault="0025746D"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Ограничаване на възможностите за водни спортове</w:t>
            </w:r>
          </w:p>
        </w:tc>
        <w:tc>
          <w:tcPr>
            <w:tcW w:w="1934" w:type="dxa"/>
            <w:shd w:val="clear" w:color="auto" w:fill="BEE6F0"/>
          </w:tcPr>
          <w:p w14:paraId="28F26907" w14:textId="05D32B10" w:rsidR="0025746D" w:rsidRPr="00610B1B" w:rsidRDefault="001552E0"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Интегрирано </w:t>
            </w:r>
            <w:r w:rsidR="0025746D" w:rsidRPr="00610B1B">
              <w:rPr>
                <w:rFonts w:cs="Times New Roman"/>
                <w:color w:val="000000" w:themeColor="text1"/>
                <w:sz w:val="20"/>
                <w:szCs w:val="20"/>
              </w:rPr>
              <w:t>управление на водите в близост до урбанизирани територии</w:t>
            </w:r>
          </w:p>
        </w:tc>
      </w:tr>
      <w:tr w:rsidR="00BF79BE" w:rsidRPr="00C717D0" w14:paraId="167C3F85" w14:textId="77777777" w:rsidTr="006F5FF5">
        <w:tc>
          <w:tcPr>
            <w:tcW w:w="1413" w:type="dxa"/>
            <w:vMerge w:val="restart"/>
            <w:shd w:val="clear" w:color="auto" w:fill="DBE5F1" w:themeFill="accent1" w:themeFillTint="33"/>
            <w:vAlign w:val="center"/>
          </w:tcPr>
          <w:p w14:paraId="3AB805E8" w14:textId="2B57815A"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Туризъм и водни спортове</w:t>
            </w:r>
          </w:p>
        </w:tc>
        <w:tc>
          <w:tcPr>
            <w:tcW w:w="1984" w:type="dxa"/>
          </w:tcPr>
          <w:p w14:paraId="40C777BD" w14:textId="5EFADCF6"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Замърсяване на околната среда (води, въздух, шум, отпадъци) от повишен туристически натиск</w:t>
            </w:r>
          </w:p>
        </w:tc>
        <w:tc>
          <w:tcPr>
            <w:tcW w:w="1866" w:type="dxa"/>
            <w:shd w:val="clear" w:color="auto" w:fill="BEE6F0"/>
          </w:tcPr>
          <w:p w14:paraId="3F495B10" w14:textId="395BFC0C"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Развитие на съпътстващи туризма </w:t>
            </w:r>
            <w:r w:rsidR="00622D3E" w:rsidRPr="00610B1B">
              <w:rPr>
                <w:rFonts w:cs="Times New Roman"/>
                <w:color w:val="000000" w:themeColor="text1"/>
                <w:sz w:val="20"/>
                <w:szCs w:val="20"/>
              </w:rPr>
              <w:t xml:space="preserve">производства и </w:t>
            </w:r>
            <w:r w:rsidRPr="00610B1B">
              <w:rPr>
                <w:rFonts w:cs="Times New Roman"/>
                <w:color w:val="000000" w:themeColor="text1"/>
                <w:sz w:val="20"/>
                <w:szCs w:val="20"/>
              </w:rPr>
              <w:t>дейности</w:t>
            </w:r>
          </w:p>
        </w:tc>
        <w:tc>
          <w:tcPr>
            <w:tcW w:w="1820" w:type="dxa"/>
          </w:tcPr>
          <w:p w14:paraId="7C3740A3" w14:textId="0B714BEC"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Ограничен достъп до бреговата ивица от изградени затворени комплекси</w:t>
            </w:r>
          </w:p>
        </w:tc>
        <w:tc>
          <w:tcPr>
            <w:tcW w:w="1934" w:type="dxa"/>
            <w:shd w:val="clear" w:color="auto" w:fill="BEE6F0"/>
          </w:tcPr>
          <w:p w14:paraId="6EB7A685" w14:textId="50D36EB8"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Технологично обслужване</w:t>
            </w:r>
            <w:r w:rsidR="00D66FE0" w:rsidRPr="00610B1B">
              <w:rPr>
                <w:rFonts w:cs="Times New Roman"/>
                <w:color w:val="000000" w:themeColor="text1"/>
                <w:sz w:val="20"/>
                <w:szCs w:val="20"/>
              </w:rPr>
              <w:t xml:space="preserve"> </w:t>
            </w:r>
            <w:r w:rsidRPr="00610B1B">
              <w:rPr>
                <w:rFonts w:cs="Times New Roman"/>
                <w:color w:val="000000" w:themeColor="text1"/>
                <w:sz w:val="20"/>
                <w:szCs w:val="20"/>
              </w:rPr>
              <w:t>и обвързване на</w:t>
            </w:r>
            <w:r w:rsidR="00D66FE0" w:rsidRPr="00610B1B">
              <w:rPr>
                <w:rFonts w:cs="Times New Roman"/>
                <w:color w:val="000000" w:themeColor="text1"/>
                <w:sz w:val="20"/>
                <w:szCs w:val="20"/>
              </w:rPr>
              <w:t xml:space="preserve"> </w:t>
            </w:r>
            <w:r w:rsidRPr="00610B1B">
              <w:rPr>
                <w:rFonts w:cs="Times New Roman"/>
                <w:color w:val="000000" w:themeColor="text1"/>
                <w:sz w:val="20"/>
                <w:szCs w:val="20"/>
              </w:rPr>
              <w:t>морския туризъм с крайбрежния</w:t>
            </w:r>
          </w:p>
        </w:tc>
      </w:tr>
      <w:tr w:rsidR="00BF79BE" w:rsidRPr="00C717D0" w14:paraId="16F719B9" w14:textId="77777777" w:rsidTr="006F5FF5">
        <w:tc>
          <w:tcPr>
            <w:tcW w:w="1413" w:type="dxa"/>
            <w:vMerge/>
            <w:shd w:val="clear" w:color="auto" w:fill="DBE5F1" w:themeFill="accent1" w:themeFillTint="33"/>
          </w:tcPr>
          <w:p w14:paraId="1D150234" w14:textId="77777777" w:rsidR="00BF79BE" w:rsidRPr="00610B1B" w:rsidRDefault="00BF79BE" w:rsidP="00D32D6A">
            <w:pPr>
              <w:pStyle w:val="BodyText"/>
              <w:spacing w:before="0" w:after="0" w:line="240" w:lineRule="auto"/>
              <w:jc w:val="left"/>
              <w:rPr>
                <w:rFonts w:cs="Times New Roman"/>
                <w:color w:val="000000" w:themeColor="text1"/>
                <w:sz w:val="20"/>
                <w:szCs w:val="20"/>
              </w:rPr>
            </w:pPr>
          </w:p>
        </w:tc>
        <w:tc>
          <w:tcPr>
            <w:tcW w:w="1984" w:type="dxa"/>
          </w:tcPr>
          <w:p w14:paraId="4A02415C" w14:textId="2A4208A1"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Променена динамиката на брега и пренос на седименти поради множество изградени яхтени пристанища и стоянки</w:t>
            </w:r>
          </w:p>
        </w:tc>
        <w:tc>
          <w:tcPr>
            <w:tcW w:w="1866" w:type="dxa"/>
            <w:shd w:val="clear" w:color="auto" w:fill="BEE6F0"/>
          </w:tcPr>
          <w:p w14:paraId="5392304D" w14:textId="327254E5" w:rsidR="00BF79BE" w:rsidRPr="00610B1B" w:rsidRDefault="001552E0"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Съчетаване </w:t>
            </w:r>
            <w:r w:rsidR="00BF79BE" w:rsidRPr="00610B1B">
              <w:rPr>
                <w:rFonts w:cs="Times New Roman"/>
                <w:color w:val="000000" w:themeColor="text1"/>
                <w:sz w:val="20"/>
                <w:szCs w:val="20"/>
              </w:rPr>
              <w:t>на туристически маршрути и атракции на брега и в акваторията на база културно наследство</w:t>
            </w:r>
          </w:p>
        </w:tc>
        <w:tc>
          <w:tcPr>
            <w:tcW w:w="1820" w:type="dxa"/>
            <w:shd w:val="clear" w:color="auto" w:fill="BEE6F0"/>
          </w:tcPr>
          <w:p w14:paraId="2A53D78F" w14:textId="7538B70F" w:rsidR="00BF79BE" w:rsidRPr="00610B1B" w:rsidRDefault="00BF79BE"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Разкриване на работни места и повишаване на заетостта</w:t>
            </w:r>
          </w:p>
        </w:tc>
        <w:tc>
          <w:tcPr>
            <w:tcW w:w="1934" w:type="dxa"/>
            <w:shd w:val="clear" w:color="auto" w:fill="BEE6F0"/>
          </w:tcPr>
          <w:p w14:paraId="6D815DC4" w14:textId="210799A9" w:rsidR="00BF79BE" w:rsidRPr="00610B1B" w:rsidRDefault="001552E0" w:rsidP="00D32D6A">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Използване </w:t>
            </w:r>
            <w:r w:rsidR="00BF79BE" w:rsidRPr="00610B1B">
              <w:rPr>
                <w:rFonts w:cs="Times New Roman"/>
                <w:color w:val="000000" w:themeColor="text1"/>
                <w:sz w:val="20"/>
                <w:szCs w:val="20"/>
              </w:rPr>
              <w:t>на съвременни технологии за разкриване на подводното културно наследство</w:t>
            </w:r>
          </w:p>
        </w:tc>
      </w:tr>
      <w:tr w:rsidR="00F80626" w:rsidRPr="00C717D0" w14:paraId="13D19ACC" w14:textId="77777777" w:rsidTr="006F5FF5">
        <w:tc>
          <w:tcPr>
            <w:tcW w:w="1413" w:type="dxa"/>
            <w:vMerge/>
            <w:shd w:val="clear" w:color="auto" w:fill="DBE5F1" w:themeFill="accent1" w:themeFillTint="33"/>
          </w:tcPr>
          <w:p w14:paraId="73238E59"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tcPr>
          <w:p w14:paraId="3618F11B" w14:textId="7EC1269F"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Унищожаване на дюнни образувания и загуба на ценни псамофитни видове и местообитания</w:t>
            </w:r>
          </w:p>
        </w:tc>
        <w:tc>
          <w:tcPr>
            <w:tcW w:w="1866" w:type="dxa"/>
            <w:shd w:val="clear" w:color="auto" w:fill="BEE6F0"/>
          </w:tcPr>
          <w:p w14:paraId="75E66D8D" w14:textId="52F3A915"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Обогатяване на предлагането чрез използване на продукти от морето в СПА туризма</w:t>
            </w:r>
          </w:p>
        </w:tc>
        <w:tc>
          <w:tcPr>
            <w:tcW w:w="1820" w:type="dxa"/>
            <w:shd w:val="clear" w:color="auto" w:fill="BEE6F0"/>
          </w:tcPr>
          <w:p w14:paraId="2405A4C6" w14:textId="68AA6644"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Повишени приходи от туристическа дейност за местните общности</w:t>
            </w:r>
          </w:p>
        </w:tc>
        <w:tc>
          <w:tcPr>
            <w:tcW w:w="1934" w:type="dxa"/>
            <w:shd w:val="clear" w:color="auto" w:fill="BEE6F0"/>
          </w:tcPr>
          <w:p w14:paraId="078EFECC" w14:textId="6C221E29"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Съвременни биотехнологии във фармацевтичната и козметичната индустрия</w:t>
            </w:r>
          </w:p>
        </w:tc>
      </w:tr>
      <w:tr w:rsidR="00F80626" w:rsidRPr="00C717D0" w14:paraId="211ACDD4" w14:textId="77777777" w:rsidTr="00136FB2">
        <w:tc>
          <w:tcPr>
            <w:tcW w:w="1413" w:type="dxa"/>
            <w:vMerge/>
            <w:shd w:val="clear" w:color="auto" w:fill="DBE5F1" w:themeFill="accent1" w:themeFillTint="33"/>
          </w:tcPr>
          <w:p w14:paraId="1DF319B4"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tcPr>
          <w:p w14:paraId="122DCE3C" w14:textId="60902120" w:rsidR="00F80626" w:rsidRPr="00610B1B" w:rsidRDefault="00F80626" w:rsidP="00F80626">
            <w:pPr>
              <w:pStyle w:val="BodyText"/>
              <w:spacing w:before="0" w:after="0" w:line="240" w:lineRule="auto"/>
              <w:jc w:val="left"/>
              <w:rPr>
                <w:rFonts w:cs="Times New Roman"/>
                <w:sz w:val="20"/>
                <w:szCs w:val="20"/>
              </w:rPr>
            </w:pPr>
            <w:r w:rsidRPr="00610B1B">
              <w:rPr>
                <w:rFonts w:cs="Times New Roman"/>
                <w:sz w:val="20"/>
                <w:szCs w:val="20"/>
              </w:rPr>
              <w:t xml:space="preserve">Свръхурбанизация, небалансирано застрояване, разпръснати селищни елементи, концентрация и висока интензивност в и около зона „А“ с вредни въздействия върху околната среда, инфраструктурата и </w:t>
            </w:r>
            <w:r w:rsidRPr="00610B1B">
              <w:rPr>
                <w:rFonts w:cs="Times New Roman"/>
                <w:sz w:val="20"/>
                <w:szCs w:val="20"/>
              </w:rPr>
              <w:lastRenderedPageBreak/>
              <w:t>удовлетвореността от контакта с крайбрежието и морските пространства.</w:t>
            </w:r>
          </w:p>
        </w:tc>
        <w:tc>
          <w:tcPr>
            <w:tcW w:w="1866" w:type="dxa"/>
            <w:shd w:val="clear" w:color="auto" w:fill="auto"/>
          </w:tcPr>
          <w:p w14:paraId="024D7DFC" w14:textId="1453C0AA"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820" w:type="dxa"/>
            <w:shd w:val="clear" w:color="auto" w:fill="auto"/>
          </w:tcPr>
          <w:p w14:paraId="71E6EA23" w14:textId="2ECA7576"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34" w:type="dxa"/>
            <w:shd w:val="clear" w:color="auto" w:fill="auto"/>
          </w:tcPr>
          <w:p w14:paraId="42B12665" w14:textId="2808EAFD" w:rsidR="00F80626" w:rsidRPr="00610B1B" w:rsidRDefault="00F80626" w:rsidP="00F80626">
            <w:pPr>
              <w:pStyle w:val="BodyText"/>
              <w:spacing w:before="0" w:after="0" w:line="240" w:lineRule="auto"/>
              <w:jc w:val="left"/>
              <w:rPr>
                <w:rFonts w:cs="Times New Roman"/>
                <w:color w:val="000000" w:themeColor="text1"/>
                <w:sz w:val="20"/>
                <w:szCs w:val="20"/>
              </w:rPr>
            </w:pPr>
          </w:p>
        </w:tc>
      </w:tr>
      <w:tr w:rsidR="00F80626" w:rsidRPr="00C717D0" w14:paraId="5EBDC936" w14:textId="77777777" w:rsidTr="006F5FF5">
        <w:tc>
          <w:tcPr>
            <w:tcW w:w="1413" w:type="dxa"/>
            <w:vMerge w:val="restart"/>
            <w:shd w:val="clear" w:color="auto" w:fill="DBE5F1" w:themeFill="accent1" w:themeFillTint="33"/>
            <w:vAlign w:val="center"/>
          </w:tcPr>
          <w:p w14:paraId="4716759B" w14:textId="26CA59D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Техническа инфраструктура</w:t>
            </w:r>
          </w:p>
        </w:tc>
        <w:tc>
          <w:tcPr>
            <w:tcW w:w="1984" w:type="dxa"/>
          </w:tcPr>
          <w:p w14:paraId="43AA984B" w14:textId="2861D44B"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Деградация или загуба на хабитати от изграждането на подводната инфраструктура</w:t>
            </w:r>
          </w:p>
        </w:tc>
        <w:tc>
          <w:tcPr>
            <w:tcW w:w="1866" w:type="dxa"/>
            <w:shd w:val="clear" w:color="auto" w:fill="BEE6F0"/>
          </w:tcPr>
          <w:p w14:paraId="02A15F0D" w14:textId="2F6C474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Подобряване обслужването на крайбрежната инфраструктура и обекти</w:t>
            </w:r>
          </w:p>
        </w:tc>
        <w:tc>
          <w:tcPr>
            <w:tcW w:w="1820" w:type="dxa"/>
            <w:shd w:val="clear" w:color="auto" w:fill="BEE6F0"/>
          </w:tcPr>
          <w:p w14:paraId="03C8151F" w14:textId="353CE667"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Създаване на работни места и заетост по време на изграждане/полагане на кабели/проводи</w:t>
            </w:r>
          </w:p>
        </w:tc>
        <w:tc>
          <w:tcPr>
            <w:tcW w:w="1934" w:type="dxa"/>
            <w:shd w:val="clear" w:color="auto" w:fill="BEE6F0"/>
          </w:tcPr>
          <w:p w14:paraId="2DDEFDDD" w14:textId="64222495"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Връзки с наземната техническа инфраструктура</w:t>
            </w:r>
          </w:p>
        </w:tc>
      </w:tr>
      <w:tr w:rsidR="00F80626" w:rsidRPr="00C717D0" w14:paraId="0348AB1C" w14:textId="77777777" w:rsidTr="006F5FF5">
        <w:tc>
          <w:tcPr>
            <w:tcW w:w="1413" w:type="dxa"/>
            <w:vMerge/>
            <w:shd w:val="clear" w:color="auto" w:fill="DBE5F1" w:themeFill="accent1" w:themeFillTint="33"/>
          </w:tcPr>
          <w:p w14:paraId="3C4D5219"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tcPr>
          <w:p w14:paraId="7D536384" w14:textId="76224744"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Риск от разрушаване на културни ценности на морското дъно</w:t>
            </w:r>
          </w:p>
        </w:tc>
        <w:tc>
          <w:tcPr>
            <w:tcW w:w="1866" w:type="dxa"/>
          </w:tcPr>
          <w:p w14:paraId="031DC860"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820" w:type="dxa"/>
          </w:tcPr>
          <w:p w14:paraId="289CC373"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34" w:type="dxa"/>
            <w:shd w:val="clear" w:color="auto" w:fill="BEE6F0"/>
          </w:tcPr>
          <w:p w14:paraId="2102CB94" w14:textId="18D43E20"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Стимулиране технологичното обновяване на пристанищата</w:t>
            </w:r>
          </w:p>
        </w:tc>
      </w:tr>
      <w:tr w:rsidR="00F80626" w:rsidRPr="00C717D0" w14:paraId="240BB6C6" w14:textId="77777777" w:rsidTr="001E3FED">
        <w:tc>
          <w:tcPr>
            <w:tcW w:w="1413" w:type="dxa"/>
            <w:shd w:val="clear" w:color="auto" w:fill="DBE5F1" w:themeFill="accent1" w:themeFillTint="33"/>
          </w:tcPr>
          <w:p w14:paraId="22FC3D57" w14:textId="7A4BC62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Проучване и добив на неживи ресурси</w:t>
            </w:r>
          </w:p>
        </w:tc>
        <w:tc>
          <w:tcPr>
            <w:tcW w:w="1984" w:type="dxa"/>
          </w:tcPr>
          <w:p w14:paraId="41C9FB36" w14:textId="2AC45562"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Потенциален риск от замърсяване с нефтопродукти, разрушаване на морското дъно, подводен шум.</w:t>
            </w:r>
          </w:p>
        </w:tc>
        <w:tc>
          <w:tcPr>
            <w:tcW w:w="1866" w:type="dxa"/>
          </w:tcPr>
          <w:p w14:paraId="7CB720D4"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820" w:type="dxa"/>
          </w:tcPr>
          <w:p w14:paraId="18735988"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34" w:type="dxa"/>
            <w:shd w:val="clear" w:color="auto" w:fill="auto"/>
          </w:tcPr>
          <w:p w14:paraId="1C3E7B45"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r>
      <w:tr w:rsidR="00F80626" w:rsidRPr="00C717D0" w14:paraId="3DF25967" w14:textId="77777777" w:rsidTr="006F5FF5">
        <w:tc>
          <w:tcPr>
            <w:tcW w:w="1413" w:type="dxa"/>
            <w:vMerge w:val="restart"/>
            <w:shd w:val="clear" w:color="auto" w:fill="DBE5F1" w:themeFill="accent1" w:themeFillTint="33"/>
            <w:vAlign w:val="center"/>
          </w:tcPr>
          <w:p w14:paraId="539AF2D1" w14:textId="0E69464D"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Военни учения</w:t>
            </w:r>
          </w:p>
        </w:tc>
        <w:tc>
          <w:tcPr>
            <w:tcW w:w="1984" w:type="dxa"/>
          </w:tcPr>
          <w:p w14:paraId="7A621683" w14:textId="1437C4B9"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Замърсяване на околната среда, повишен подводен шум</w:t>
            </w:r>
          </w:p>
        </w:tc>
        <w:tc>
          <w:tcPr>
            <w:tcW w:w="1866" w:type="dxa"/>
          </w:tcPr>
          <w:p w14:paraId="20069095" w14:textId="085B44CF"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Ограничаване на възможностите за риболов в зоните със забрани за ползване</w:t>
            </w:r>
          </w:p>
        </w:tc>
        <w:tc>
          <w:tcPr>
            <w:tcW w:w="1820" w:type="dxa"/>
          </w:tcPr>
          <w:p w14:paraId="36E57AAC" w14:textId="5C2986C5"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Конфликт със зоните за туризъм и рекреация по време на учения</w:t>
            </w:r>
          </w:p>
        </w:tc>
        <w:tc>
          <w:tcPr>
            <w:tcW w:w="1934" w:type="dxa"/>
            <w:shd w:val="clear" w:color="auto" w:fill="BEE6F0"/>
          </w:tcPr>
          <w:p w14:paraId="1C9FEA75" w14:textId="7EFA0FBF"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Логистични връзки с бреговата инфраструктура – пристанища, котвени стоянки, полигони и др.</w:t>
            </w:r>
          </w:p>
        </w:tc>
      </w:tr>
      <w:tr w:rsidR="00F80626" w:rsidRPr="00C717D0" w14:paraId="2BCD2546" w14:textId="77777777" w:rsidTr="001E3FED">
        <w:tc>
          <w:tcPr>
            <w:tcW w:w="1413" w:type="dxa"/>
            <w:vMerge/>
            <w:shd w:val="clear" w:color="auto" w:fill="DBE5F1" w:themeFill="accent1" w:themeFillTint="33"/>
            <w:vAlign w:val="center"/>
          </w:tcPr>
          <w:p w14:paraId="5B14631B"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tcPr>
          <w:p w14:paraId="382AF812" w14:textId="183E2F1D"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Несъвместимост със зоните за отглеждане на аквакултури</w:t>
            </w:r>
          </w:p>
        </w:tc>
        <w:tc>
          <w:tcPr>
            <w:tcW w:w="1866" w:type="dxa"/>
          </w:tcPr>
          <w:p w14:paraId="637BAEA4"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820" w:type="dxa"/>
          </w:tcPr>
          <w:p w14:paraId="1AE7BD32" w14:textId="562F1805"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Близостта на СРД до райони за военни учения -предпоставка за възникване на инциденти по сигурността и безопасността</w:t>
            </w:r>
          </w:p>
        </w:tc>
        <w:tc>
          <w:tcPr>
            <w:tcW w:w="1934" w:type="dxa"/>
          </w:tcPr>
          <w:p w14:paraId="4751E50E" w14:textId="45D32279"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Припокриване на зоните с различни режими на ползване</w:t>
            </w:r>
          </w:p>
        </w:tc>
      </w:tr>
      <w:tr w:rsidR="00F80626" w:rsidRPr="00C717D0" w14:paraId="71342EEC" w14:textId="77777777" w:rsidTr="006F5FF5">
        <w:tc>
          <w:tcPr>
            <w:tcW w:w="1413" w:type="dxa"/>
            <w:vMerge w:val="restart"/>
            <w:shd w:val="clear" w:color="auto" w:fill="DBE5F1" w:themeFill="accent1" w:themeFillTint="33"/>
            <w:vAlign w:val="center"/>
          </w:tcPr>
          <w:p w14:paraId="1B6B0F0F" w14:textId="6A89F46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Културно наследство</w:t>
            </w:r>
          </w:p>
        </w:tc>
        <w:tc>
          <w:tcPr>
            <w:tcW w:w="1984" w:type="dxa"/>
          </w:tcPr>
          <w:p w14:paraId="752D7761" w14:textId="71BBFC97"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Минимални отрицателни въздействия около НКЦ в ареала на брега и попадащи в защитени зони - замърсяване на средата в резултат на увеличен туристически поток. </w:t>
            </w:r>
          </w:p>
        </w:tc>
        <w:tc>
          <w:tcPr>
            <w:tcW w:w="1866" w:type="dxa"/>
            <w:shd w:val="clear" w:color="auto" w:fill="BEE6F0"/>
          </w:tcPr>
          <w:p w14:paraId="6C49C8A2" w14:textId="7DA84462"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Силен фактор за развитие на културния туризъм, благодарение на който последният би могъл да повиши приноса си към БВП</w:t>
            </w:r>
          </w:p>
        </w:tc>
        <w:tc>
          <w:tcPr>
            <w:tcW w:w="1820" w:type="dxa"/>
            <w:shd w:val="clear" w:color="auto" w:fill="BEE6F0"/>
          </w:tcPr>
          <w:p w14:paraId="65A2ED8E" w14:textId="0B3FE5AE"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Нови работни места в целогодишен културен туризъм, който предоставя възможност и за взаимодействие на локално, общинско и областно ниво. </w:t>
            </w:r>
          </w:p>
        </w:tc>
        <w:tc>
          <w:tcPr>
            <w:tcW w:w="1934" w:type="dxa"/>
            <w:shd w:val="clear" w:color="auto" w:fill="BEE6F0"/>
          </w:tcPr>
          <w:p w14:paraId="3680406C" w14:textId="64566A0E"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Използване на съвременни технологии за експониране на подводното културно наследство</w:t>
            </w:r>
          </w:p>
        </w:tc>
      </w:tr>
      <w:tr w:rsidR="00F80626" w:rsidRPr="00C717D0" w14:paraId="3FC44213" w14:textId="77777777" w:rsidTr="006F5FF5">
        <w:tc>
          <w:tcPr>
            <w:tcW w:w="1413" w:type="dxa"/>
            <w:vMerge/>
            <w:shd w:val="clear" w:color="auto" w:fill="DBE5F1" w:themeFill="accent1" w:themeFillTint="33"/>
          </w:tcPr>
          <w:p w14:paraId="01270F7F"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tcPr>
          <w:p w14:paraId="528A1E5A" w14:textId="2A6C3F8D"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Слаба вероятност от замърсяване на морската вода вследствие интензивен туристически интерес към подводното наследство, когато то бъде експонирано.</w:t>
            </w:r>
          </w:p>
        </w:tc>
        <w:tc>
          <w:tcPr>
            <w:tcW w:w="1866" w:type="dxa"/>
          </w:tcPr>
          <w:p w14:paraId="17BB4AC6" w14:textId="686C66F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Необходимост от инфраструктурни намеси, целящи социализиране на НКЦ и прилежащите му пространства.</w:t>
            </w:r>
          </w:p>
        </w:tc>
        <w:tc>
          <w:tcPr>
            <w:tcW w:w="1820" w:type="dxa"/>
            <w:shd w:val="clear" w:color="auto" w:fill="BEE6F0"/>
          </w:tcPr>
          <w:p w14:paraId="07305856" w14:textId="21B7767D"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Повишаване нивото на обща култура и придобиване на научно познание, както на местните жители, така и на туристите</w:t>
            </w:r>
          </w:p>
        </w:tc>
        <w:tc>
          <w:tcPr>
            <w:tcW w:w="1934" w:type="dxa"/>
            <w:shd w:val="clear" w:color="auto" w:fill="BEE6F0"/>
          </w:tcPr>
          <w:p w14:paraId="64B99CE1" w14:textId="17AB758B"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Прилагане на нови технологии в обекти обслужващи КН в неговия широк диапазон - материално, нематериално, движимо и недвижимо, на сушата и под вода</w:t>
            </w:r>
          </w:p>
        </w:tc>
      </w:tr>
      <w:tr w:rsidR="00F80626" w:rsidRPr="00C717D0" w14:paraId="0CF2EB22" w14:textId="77777777" w:rsidTr="006F5FF5">
        <w:tc>
          <w:tcPr>
            <w:tcW w:w="1413" w:type="dxa"/>
            <w:vMerge/>
            <w:shd w:val="clear" w:color="auto" w:fill="DBE5F1" w:themeFill="accent1" w:themeFillTint="33"/>
          </w:tcPr>
          <w:p w14:paraId="1704454C"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tcPr>
          <w:p w14:paraId="07CD1E6F" w14:textId="57D3D3A1"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Навлизане в горски </w:t>
            </w:r>
            <w:r w:rsidRPr="00610B1B">
              <w:rPr>
                <w:rFonts w:cs="Times New Roman"/>
                <w:color w:val="000000" w:themeColor="text1"/>
                <w:sz w:val="20"/>
                <w:szCs w:val="20"/>
              </w:rPr>
              <w:lastRenderedPageBreak/>
              <w:t xml:space="preserve">територии за належащи археологически проучвания на НКЦ, необходими за последващи дейности по опазване на обектите. </w:t>
            </w:r>
          </w:p>
          <w:p w14:paraId="19E32EAE" w14:textId="2DBB5688"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Регулируем процес при синхронизация на ЗКН с другите нормативни актове</w:t>
            </w:r>
          </w:p>
        </w:tc>
        <w:tc>
          <w:tcPr>
            <w:tcW w:w="1866" w:type="dxa"/>
            <w:shd w:val="clear" w:color="auto" w:fill="BEE6F0"/>
          </w:tcPr>
          <w:p w14:paraId="3B829A49" w14:textId="33D707F6"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Силно </w:t>
            </w:r>
            <w:r w:rsidRPr="00610B1B">
              <w:rPr>
                <w:rFonts w:cs="Times New Roman"/>
                <w:color w:val="000000" w:themeColor="text1"/>
                <w:sz w:val="20"/>
                <w:szCs w:val="20"/>
              </w:rPr>
              <w:lastRenderedPageBreak/>
              <w:t xml:space="preserve">взаимодействие между обектите на суша и под вода, с положителен ефект в съпътстващи сфери - морски атракционен транспорт, риболов и др. </w:t>
            </w:r>
          </w:p>
        </w:tc>
        <w:tc>
          <w:tcPr>
            <w:tcW w:w="1820" w:type="dxa"/>
            <w:shd w:val="clear" w:color="auto" w:fill="BEE6F0"/>
          </w:tcPr>
          <w:p w14:paraId="1C65AA87" w14:textId="313BE6CE"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Развитие на </w:t>
            </w:r>
            <w:r w:rsidRPr="00610B1B">
              <w:rPr>
                <w:rFonts w:cs="Times New Roman"/>
                <w:color w:val="000000" w:themeColor="text1"/>
                <w:sz w:val="20"/>
                <w:szCs w:val="20"/>
              </w:rPr>
              <w:lastRenderedPageBreak/>
              <w:t>научна дейност за проучване и изучаване на културното наследство под вода, предполагаща привличане на специалисти от различни области, които да работят на място и през четирите сезона.</w:t>
            </w:r>
          </w:p>
        </w:tc>
        <w:tc>
          <w:tcPr>
            <w:tcW w:w="1934" w:type="dxa"/>
            <w:shd w:val="clear" w:color="auto" w:fill="BEE6F0"/>
          </w:tcPr>
          <w:p w14:paraId="034BC5E1" w14:textId="0EC9FDE1"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Изграждане на </w:t>
            </w:r>
            <w:r w:rsidRPr="00610B1B">
              <w:rPr>
                <w:rFonts w:cs="Times New Roman"/>
                <w:color w:val="000000" w:themeColor="text1"/>
                <w:sz w:val="20"/>
                <w:szCs w:val="20"/>
              </w:rPr>
              <w:lastRenderedPageBreak/>
              <w:t>високо-технологичен научен център за изследване на обектите на културното наследство в най- широк диапазон, както и на всички други аспекти, дали отражение върху тяхното възникване.</w:t>
            </w:r>
          </w:p>
        </w:tc>
      </w:tr>
      <w:tr w:rsidR="00F80626" w:rsidRPr="00C717D0" w14:paraId="3B1BDC6D" w14:textId="77777777" w:rsidTr="006F5FF5">
        <w:tc>
          <w:tcPr>
            <w:tcW w:w="1413" w:type="dxa"/>
            <w:vMerge/>
            <w:shd w:val="clear" w:color="auto" w:fill="DBE5F1" w:themeFill="accent1" w:themeFillTint="33"/>
          </w:tcPr>
          <w:p w14:paraId="2386039C"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shd w:val="clear" w:color="auto" w:fill="BEE6F0"/>
          </w:tcPr>
          <w:p w14:paraId="67454957" w14:textId="556C433B"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Допълнителен положителен ефект и синергия със защитата на природните ценности при ограничаване на дейностите за опазване на НКЦ.</w:t>
            </w:r>
          </w:p>
        </w:tc>
        <w:tc>
          <w:tcPr>
            <w:tcW w:w="1866" w:type="dxa"/>
            <w:shd w:val="clear" w:color="auto" w:fill="BEE6F0"/>
          </w:tcPr>
          <w:p w14:paraId="681B8E5B" w14:textId="4B004FB8"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Налагане на България като качествена туристическа дестинация и взаимно допълване на ползите от опазването на НКЦ на сушата и под вода. </w:t>
            </w:r>
          </w:p>
        </w:tc>
        <w:tc>
          <w:tcPr>
            <w:tcW w:w="1820" w:type="dxa"/>
            <w:shd w:val="clear" w:color="auto" w:fill="BEE6F0"/>
          </w:tcPr>
          <w:p w14:paraId="04312DA7" w14:textId="02DABD1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Интегрирани работни места – на сушата и в морето по опазване на НКЦ.</w:t>
            </w:r>
          </w:p>
        </w:tc>
        <w:tc>
          <w:tcPr>
            <w:tcW w:w="1934" w:type="dxa"/>
            <w:shd w:val="clear" w:color="auto" w:fill="BEE6F0"/>
          </w:tcPr>
          <w:p w14:paraId="6DB1050E" w14:textId="68B11656"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Необходимост от инвестиции в съвременни технологии, съоръжения и апаратура за подводни изследвания.</w:t>
            </w:r>
          </w:p>
        </w:tc>
      </w:tr>
      <w:tr w:rsidR="00F80626" w:rsidRPr="00C717D0" w14:paraId="6C6E8149" w14:textId="77777777" w:rsidTr="006F5FF5">
        <w:tc>
          <w:tcPr>
            <w:tcW w:w="1413" w:type="dxa"/>
            <w:vMerge w:val="restart"/>
            <w:shd w:val="clear" w:color="auto" w:fill="DBE5F1" w:themeFill="accent1" w:themeFillTint="33"/>
            <w:vAlign w:val="center"/>
          </w:tcPr>
          <w:p w14:paraId="171F5CBE" w14:textId="6169C2F7"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Опазване на околната среда</w:t>
            </w:r>
          </w:p>
        </w:tc>
        <w:tc>
          <w:tcPr>
            <w:tcW w:w="1984" w:type="dxa"/>
            <w:shd w:val="clear" w:color="auto" w:fill="BEE6F0"/>
          </w:tcPr>
          <w:p w14:paraId="2935B1E7" w14:textId="269CBDA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Подпомагане прилагането на Програмата от мерки към МС и подобряване състоянието на морската околна среда в съответствие с РДВ, РДМС, ДБР.</w:t>
            </w:r>
          </w:p>
        </w:tc>
        <w:tc>
          <w:tcPr>
            <w:tcW w:w="1866" w:type="dxa"/>
            <w:shd w:val="clear" w:color="auto" w:fill="BEE6F0"/>
          </w:tcPr>
          <w:p w14:paraId="0BF6AC55" w14:textId="46CECE93"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Възстановяване на екосистемни услуги с принос към БВП</w:t>
            </w:r>
          </w:p>
        </w:tc>
        <w:tc>
          <w:tcPr>
            <w:tcW w:w="1820" w:type="dxa"/>
            <w:shd w:val="clear" w:color="auto" w:fill="BEE6F0"/>
          </w:tcPr>
          <w:p w14:paraId="113E0250" w14:textId="2115F6EA"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Повишаване на екологичната култура и отношение към морето чрез подходящи публични събития, съпътстващи обсъждането на МППРБ</w:t>
            </w:r>
          </w:p>
        </w:tc>
        <w:tc>
          <w:tcPr>
            <w:tcW w:w="1934" w:type="dxa"/>
            <w:shd w:val="clear" w:color="auto" w:fill="BEE6F0"/>
          </w:tcPr>
          <w:p w14:paraId="12EB6AD7" w14:textId="2FDA5BE1" w:rsidR="00F80626" w:rsidRPr="00610B1B" w:rsidRDefault="00F80626" w:rsidP="00F80626">
            <w:pPr>
              <w:pStyle w:val="BodyText"/>
              <w:spacing w:before="0" w:after="0" w:line="240" w:lineRule="auto"/>
              <w:jc w:val="left"/>
              <w:rPr>
                <w:rFonts w:cs="Times New Roman"/>
                <w:color w:val="000000" w:themeColor="text1"/>
                <w:sz w:val="20"/>
                <w:szCs w:val="20"/>
              </w:rPr>
            </w:pPr>
          </w:p>
        </w:tc>
      </w:tr>
      <w:tr w:rsidR="00F80626" w:rsidRPr="00C717D0" w14:paraId="78027D28" w14:textId="77777777" w:rsidTr="006F5FF5">
        <w:tc>
          <w:tcPr>
            <w:tcW w:w="1413" w:type="dxa"/>
            <w:vMerge/>
            <w:shd w:val="clear" w:color="auto" w:fill="DBE5F1" w:themeFill="accent1" w:themeFillTint="33"/>
          </w:tcPr>
          <w:p w14:paraId="000345A6"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shd w:val="clear" w:color="auto" w:fill="BEE6F0"/>
          </w:tcPr>
          <w:p w14:paraId="1893B245" w14:textId="111747EE"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Подобряване на ефективността на брегозащитните съоръжения </w:t>
            </w:r>
          </w:p>
        </w:tc>
        <w:tc>
          <w:tcPr>
            <w:tcW w:w="1866" w:type="dxa"/>
            <w:shd w:val="clear" w:color="auto" w:fill="BEE6F0"/>
          </w:tcPr>
          <w:p w14:paraId="752AC70C" w14:textId="229FD4BE"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Положителен ефект от приложени научни изследвания на морето и взаимодействията с крайбрежната зона</w:t>
            </w:r>
          </w:p>
        </w:tc>
        <w:tc>
          <w:tcPr>
            <w:tcW w:w="1820" w:type="dxa"/>
            <w:shd w:val="clear" w:color="auto" w:fill="BEE6F0"/>
          </w:tcPr>
          <w:p w14:paraId="0523180D" w14:textId="68B14148"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Завишен интерес към нови дейности от местните общности и бизнеса, свързани с опазването на морската околна среда</w:t>
            </w:r>
          </w:p>
        </w:tc>
        <w:tc>
          <w:tcPr>
            <w:tcW w:w="1934" w:type="dxa"/>
            <w:shd w:val="clear" w:color="auto" w:fill="BEE6F0"/>
          </w:tcPr>
          <w:p w14:paraId="2E5E702F" w14:textId="132334ED"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Прилагане на нови методи в брегозащитата и брегоукрепването.</w:t>
            </w:r>
          </w:p>
        </w:tc>
      </w:tr>
      <w:tr w:rsidR="00F80626" w:rsidRPr="00C717D0" w14:paraId="415D93F3" w14:textId="77777777" w:rsidTr="006F5FF5">
        <w:tc>
          <w:tcPr>
            <w:tcW w:w="1413" w:type="dxa"/>
            <w:vMerge/>
            <w:shd w:val="clear" w:color="auto" w:fill="DBE5F1" w:themeFill="accent1" w:themeFillTint="33"/>
          </w:tcPr>
          <w:p w14:paraId="44E86AA9"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shd w:val="clear" w:color="auto" w:fill="BEE6F0"/>
          </w:tcPr>
          <w:p w14:paraId="2350C125" w14:textId="3218964E"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Подобряване състоянието на дънните местообитания, в резултат на екологично обосновани методи и схема за брегозащита</w:t>
            </w:r>
          </w:p>
        </w:tc>
        <w:tc>
          <w:tcPr>
            <w:tcW w:w="1866" w:type="dxa"/>
            <w:shd w:val="clear" w:color="auto" w:fill="BEE6F0"/>
          </w:tcPr>
          <w:p w14:paraId="6C0E638F" w14:textId="4A7064E3"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Намаляване на разходите за отстраняване на щети от свлачища, ерозионни и абразионни процеси</w:t>
            </w:r>
          </w:p>
        </w:tc>
        <w:tc>
          <w:tcPr>
            <w:tcW w:w="1820" w:type="dxa"/>
            <w:shd w:val="clear" w:color="auto" w:fill="BEE6F0"/>
          </w:tcPr>
          <w:p w14:paraId="7F0E4AD9" w14:textId="1ED1DE44"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Подобряване на ефективността в опазването на критичната инфраструктура.</w:t>
            </w:r>
          </w:p>
        </w:tc>
        <w:tc>
          <w:tcPr>
            <w:tcW w:w="1934" w:type="dxa"/>
            <w:shd w:val="clear" w:color="auto" w:fill="BEE6F0"/>
          </w:tcPr>
          <w:p w14:paraId="625A683B" w14:textId="5FBE0C35"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Повишаване на контрола и намаляване на натиска от стопански риболов, чрез нови технологии за отчитане на движението и дейността на риболовните кораби. </w:t>
            </w:r>
          </w:p>
        </w:tc>
      </w:tr>
      <w:tr w:rsidR="00F80626" w:rsidRPr="00C717D0" w14:paraId="2D8795C6" w14:textId="77777777" w:rsidTr="006F5FF5">
        <w:tc>
          <w:tcPr>
            <w:tcW w:w="1413" w:type="dxa"/>
            <w:vMerge/>
            <w:shd w:val="clear" w:color="auto" w:fill="DBE5F1" w:themeFill="accent1" w:themeFillTint="33"/>
          </w:tcPr>
          <w:p w14:paraId="30E85473"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shd w:val="clear" w:color="auto" w:fill="BEE6F0"/>
          </w:tcPr>
          <w:p w14:paraId="5BFC7E1E" w14:textId="725C2A73"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Намаляване на нивата на замърсяване до </w:t>
            </w:r>
            <w:r w:rsidRPr="00610B1B">
              <w:rPr>
                <w:rFonts w:cs="Times New Roman"/>
                <w:color w:val="000000" w:themeColor="text1"/>
                <w:sz w:val="20"/>
                <w:szCs w:val="20"/>
              </w:rPr>
              <w:lastRenderedPageBreak/>
              <w:t xml:space="preserve">допустимите за морските екосистеми стойности чрез завишен контрол върху дейностите в крайбрежната зона и в акваторията. </w:t>
            </w:r>
          </w:p>
        </w:tc>
        <w:tc>
          <w:tcPr>
            <w:tcW w:w="1866" w:type="dxa"/>
            <w:shd w:val="clear" w:color="auto" w:fill="BEE6F0"/>
          </w:tcPr>
          <w:p w14:paraId="007F2389" w14:textId="51AD4270"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Намаляване на разходите за отстраняване на </w:t>
            </w:r>
            <w:r w:rsidRPr="00610B1B">
              <w:rPr>
                <w:rFonts w:cs="Times New Roman"/>
                <w:color w:val="000000" w:themeColor="text1"/>
                <w:sz w:val="20"/>
                <w:szCs w:val="20"/>
              </w:rPr>
              <w:lastRenderedPageBreak/>
              <w:t>стари и нововъзникнали замърсявания на морската околна среда и прилежащата крайбрежна зона.</w:t>
            </w:r>
          </w:p>
        </w:tc>
        <w:tc>
          <w:tcPr>
            <w:tcW w:w="1820" w:type="dxa"/>
            <w:shd w:val="clear" w:color="auto" w:fill="BEE6F0"/>
          </w:tcPr>
          <w:p w14:paraId="2883020F" w14:textId="675E9783"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Ефективно и интегрирано управление на </w:t>
            </w:r>
            <w:r w:rsidRPr="00610B1B">
              <w:rPr>
                <w:rFonts w:cs="Times New Roman"/>
                <w:color w:val="000000" w:themeColor="text1"/>
                <w:sz w:val="20"/>
                <w:szCs w:val="20"/>
              </w:rPr>
              <w:lastRenderedPageBreak/>
              <w:t xml:space="preserve">морски и крайбрежни местообитания, с принос към биологичното разнообразие и екосистемните услуги. </w:t>
            </w:r>
          </w:p>
        </w:tc>
        <w:tc>
          <w:tcPr>
            <w:tcW w:w="1934" w:type="dxa"/>
            <w:shd w:val="clear" w:color="auto" w:fill="BEE6F0"/>
          </w:tcPr>
          <w:p w14:paraId="44F2B146" w14:textId="02141739"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lastRenderedPageBreak/>
              <w:t xml:space="preserve">Повишаване на интереса към научни изследвания </w:t>
            </w:r>
            <w:r w:rsidRPr="00610B1B">
              <w:rPr>
                <w:rFonts w:cs="Times New Roman"/>
                <w:color w:val="000000" w:themeColor="text1"/>
                <w:sz w:val="20"/>
                <w:szCs w:val="20"/>
              </w:rPr>
              <w:lastRenderedPageBreak/>
              <w:t>за управление на отпадъците в морската среда.</w:t>
            </w:r>
          </w:p>
        </w:tc>
      </w:tr>
      <w:tr w:rsidR="00F80626" w:rsidRPr="00C717D0" w14:paraId="1C52DD19" w14:textId="77777777" w:rsidTr="006F5FF5">
        <w:tc>
          <w:tcPr>
            <w:tcW w:w="1413" w:type="dxa"/>
            <w:vMerge/>
            <w:shd w:val="clear" w:color="auto" w:fill="DBE5F1" w:themeFill="accent1" w:themeFillTint="33"/>
          </w:tcPr>
          <w:p w14:paraId="13EEE872"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84" w:type="dxa"/>
            <w:shd w:val="clear" w:color="auto" w:fill="BEE6F0"/>
          </w:tcPr>
          <w:p w14:paraId="4F580C18" w14:textId="03A83F43"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 xml:space="preserve">Намаляване нивата на подводния шум в защитените зони чрез регулиране на трафика и насочване към избрани корабни маршрути и обособяване на „тихи зони“. </w:t>
            </w:r>
          </w:p>
        </w:tc>
        <w:tc>
          <w:tcPr>
            <w:tcW w:w="1866" w:type="dxa"/>
            <w:shd w:val="clear" w:color="auto" w:fill="BEE6F0"/>
          </w:tcPr>
          <w:p w14:paraId="7FD4D4C6" w14:textId="28F91843" w:rsidR="00F80626" w:rsidRPr="00610B1B" w:rsidRDefault="00F80626" w:rsidP="00F80626">
            <w:pPr>
              <w:pStyle w:val="BodyText"/>
              <w:spacing w:before="0" w:after="0" w:line="240" w:lineRule="auto"/>
              <w:jc w:val="left"/>
              <w:rPr>
                <w:rFonts w:cs="Times New Roman"/>
                <w:color w:val="000000" w:themeColor="text1"/>
                <w:sz w:val="20"/>
                <w:szCs w:val="20"/>
              </w:rPr>
            </w:pPr>
            <w:r w:rsidRPr="00610B1B">
              <w:rPr>
                <w:rFonts w:cs="Times New Roman"/>
                <w:color w:val="000000" w:themeColor="text1"/>
                <w:sz w:val="20"/>
                <w:szCs w:val="20"/>
              </w:rPr>
              <w:t>Въвеждане на принципите на кръговата икономика в секторите на морската икономика.</w:t>
            </w:r>
          </w:p>
        </w:tc>
        <w:tc>
          <w:tcPr>
            <w:tcW w:w="1820" w:type="dxa"/>
            <w:shd w:val="clear" w:color="auto" w:fill="auto"/>
          </w:tcPr>
          <w:p w14:paraId="22F3AAE4"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c>
          <w:tcPr>
            <w:tcW w:w="1934" w:type="dxa"/>
            <w:shd w:val="clear" w:color="auto" w:fill="auto"/>
          </w:tcPr>
          <w:p w14:paraId="78EFA326" w14:textId="77777777" w:rsidR="00F80626" w:rsidRPr="00610B1B" w:rsidRDefault="00F80626" w:rsidP="00F80626">
            <w:pPr>
              <w:pStyle w:val="BodyText"/>
              <w:spacing w:before="0" w:after="0" w:line="240" w:lineRule="auto"/>
              <w:jc w:val="left"/>
              <w:rPr>
                <w:rFonts w:cs="Times New Roman"/>
                <w:color w:val="000000" w:themeColor="text1"/>
                <w:sz w:val="20"/>
                <w:szCs w:val="20"/>
              </w:rPr>
            </w:pPr>
          </w:p>
        </w:tc>
      </w:tr>
    </w:tbl>
    <w:p w14:paraId="1F54AE32" w14:textId="7F52C4FC" w:rsidR="00633377" w:rsidRPr="00610B1B" w:rsidRDefault="00633377" w:rsidP="006543DF">
      <w:pPr>
        <w:pStyle w:val="BodyText"/>
        <w:spacing w:before="120" w:after="120" w:line="276" w:lineRule="auto"/>
        <w:rPr>
          <w:rFonts w:cs="Times New Roman"/>
        </w:rPr>
      </w:pPr>
      <w:r w:rsidRPr="00610B1B">
        <w:rPr>
          <w:rFonts w:cs="Times New Roman"/>
          <w:noProof/>
          <w:lang w:eastAsia="bg-BG" w:bidi="ar-SA"/>
        </w:rPr>
        <mc:AlternateContent>
          <mc:Choice Requires="wps">
            <w:drawing>
              <wp:anchor distT="0" distB="0" distL="114300" distR="114300" simplePos="0" relativeHeight="251724800" behindDoc="0" locked="0" layoutInCell="1" allowOverlap="1" wp14:anchorId="5E313FB3" wp14:editId="454600F9">
                <wp:simplePos x="0" y="0"/>
                <wp:positionH relativeFrom="column">
                  <wp:posOffset>0</wp:posOffset>
                </wp:positionH>
                <wp:positionV relativeFrom="paragraph">
                  <wp:posOffset>80010</wp:posOffset>
                </wp:positionV>
                <wp:extent cx="914400" cy="190500"/>
                <wp:effectExtent l="0" t="0" r="19050" b="19050"/>
                <wp:wrapSquare wrapText="bothSides"/>
                <wp:docPr id="11" name="Rectangle 11"/>
                <wp:cNvGraphicFramePr/>
                <a:graphic xmlns:a="http://schemas.openxmlformats.org/drawingml/2006/main">
                  <a:graphicData uri="http://schemas.microsoft.com/office/word/2010/wordprocessingShape">
                    <wps:wsp>
                      <wps:cNvSpPr/>
                      <wps:spPr>
                        <a:xfrm>
                          <a:off x="0" y="0"/>
                          <a:ext cx="914400" cy="190500"/>
                        </a:xfrm>
                        <a:prstGeom prst="rect">
                          <a:avLst/>
                        </a:prstGeom>
                        <a:solidFill>
                          <a:srgbClr val="BEE6F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770C89" id="Rectangle 11" o:spid="_x0000_s1026" style="position:absolute;margin-left:0;margin-top:6.3pt;width:1in;height:1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" fillcolor="#bee6f0" strokecolor="black [3213]" strokeweight=".25pt">
                <w10:wrap type="square"/>
              </v:rect>
            </w:pict>
          </mc:Fallback>
        </mc:AlternateContent>
      </w:r>
      <w:r w:rsidRPr="00610B1B">
        <w:rPr>
          <w:rFonts w:cs="Times New Roman"/>
        </w:rPr>
        <w:t xml:space="preserve">Потенциални положителни взаимодействия и въздействия </w:t>
      </w:r>
    </w:p>
    <w:p w14:paraId="7F512354" w14:textId="2FAF04A5" w:rsidR="00B0678F" w:rsidRPr="00610B1B" w:rsidRDefault="00FB2A12" w:rsidP="00D32D6A">
      <w:pPr>
        <w:pStyle w:val="Default"/>
        <w:spacing w:after="120" w:line="276" w:lineRule="auto"/>
        <w:jc w:val="both"/>
        <w:rPr>
          <w:rFonts w:cs="Times New Roman"/>
          <w:lang w:val="bg-BG"/>
        </w:rPr>
      </w:pPr>
      <w:r w:rsidRPr="00610B1B">
        <w:rPr>
          <w:rFonts w:cs="Times New Roman"/>
          <w:lang w:val="bg-BG"/>
        </w:rPr>
        <w:t>Систематизирането на най-</w:t>
      </w:r>
      <w:r w:rsidR="00633377" w:rsidRPr="00610B1B">
        <w:rPr>
          <w:rFonts w:cs="Times New Roman"/>
          <w:lang w:val="bg-BG"/>
        </w:rPr>
        <w:t>характерните</w:t>
      </w:r>
      <w:r w:rsidRPr="00610B1B">
        <w:rPr>
          <w:rFonts w:cs="Times New Roman"/>
          <w:lang w:val="bg-BG"/>
        </w:rPr>
        <w:t xml:space="preserve"> взаимодействия и потенциални въздействия от развитието на различните ползвания в морето</w:t>
      </w:r>
      <w:r w:rsidR="00633377" w:rsidRPr="00610B1B">
        <w:rPr>
          <w:rFonts w:cs="Times New Roman"/>
          <w:lang w:val="bg-BG"/>
        </w:rPr>
        <w:t xml:space="preserve"> показва, че най-неблагоприятни са екологичните въздействия, които въпреки вложените усилия</w:t>
      </w:r>
      <w:r w:rsidR="00B0678F" w:rsidRPr="00610B1B">
        <w:rPr>
          <w:rFonts w:cs="Times New Roman"/>
          <w:lang w:val="bg-BG"/>
        </w:rPr>
        <w:t xml:space="preserve"> и </w:t>
      </w:r>
      <w:r w:rsidR="00BA5862" w:rsidRPr="00610B1B">
        <w:rPr>
          <w:rFonts w:cs="Times New Roman"/>
          <w:lang w:val="bg-BG"/>
        </w:rPr>
        <w:t>инвестиции</w:t>
      </w:r>
      <w:r w:rsidR="00633377" w:rsidRPr="00610B1B">
        <w:rPr>
          <w:rFonts w:cs="Times New Roman"/>
          <w:lang w:val="bg-BG"/>
        </w:rPr>
        <w:t xml:space="preserve"> и реализираните проекти от различни институции и подразделения на Министерството на околната среда и водите, </w:t>
      </w:r>
      <w:r w:rsidR="00B0678F" w:rsidRPr="00610B1B">
        <w:rPr>
          <w:rFonts w:cs="Times New Roman"/>
          <w:lang w:val="bg-BG"/>
        </w:rPr>
        <w:t xml:space="preserve">от общините и от бизнеса, </w:t>
      </w:r>
      <w:r w:rsidR="00633377" w:rsidRPr="00610B1B">
        <w:rPr>
          <w:rFonts w:cs="Times New Roman"/>
          <w:lang w:val="bg-BG"/>
        </w:rPr>
        <w:t xml:space="preserve">все още трудно постигат </w:t>
      </w:r>
      <w:r w:rsidR="0016487D" w:rsidRPr="00610B1B">
        <w:rPr>
          <w:rFonts w:cs="Times New Roman"/>
          <w:lang w:val="bg-BG"/>
        </w:rPr>
        <w:t>желаното</w:t>
      </w:r>
      <w:r w:rsidR="00633377" w:rsidRPr="00610B1B">
        <w:rPr>
          <w:rFonts w:cs="Times New Roman"/>
          <w:lang w:val="bg-BG"/>
        </w:rPr>
        <w:t xml:space="preserve"> </w:t>
      </w:r>
      <w:r w:rsidR="0016487D" w:rsidRPr="00610B1B">
        <w:rPr>
          <w:rFonts w:cs="Times New Roman"/>
          <w:lang w:val="bg-BG"/>
        </w:rPr>
        <w:t xml:space="preserve">добро </w:t>
      </w:r>
      <w:r w:rsidR="00633377" w:rsidRPr="00610B1B">
        <w:rPr>
          <w:rFonts w:cs="Times New Roman"/>
          <w:lang w:val="bg-BG"/>
        </w:rPr>
        <w:t xml:space="preserve">състояние на морската околна среда по някои от наблюдаваните показатели. Именно поради тази причина, всички предложения за различни ползвания в Морския пространствен план трябва да отговарят на екологичните изисквания за щадящо използване на морските ресурси, ограничаване на замърсяванията от дейността и намаляване на конфликтите между несъвместими дейности, които биха довели до необратими увреждания. </w:t>
      </w:r>
    </w:p>
    <w:p w14:paraId="3A217AD8" w14:textId="72761AAD" w:rsidR="00ED74EC" w:rsidRPr="00610B1B" w:rsidRDefault="00633377" w:rsidP="00ED74EC">
      <w:pPr>
        <w:pStyle w:val="Default"/>
        <w:spacing w:after="120" w:line="276" w:lineRule="auto"/>
        <w:jc w:val="both"/>
        <w:rPr>
          <w:rFonts w:cs="Times New Roman"/>
          <w:lang w:val="bg-BG"/>
        </w:rPr>
      </w:pPr>
      <w:r w:rsidRPr="00610B1B">
        <w:rPr>
          <w:rFonts w:cs="Times New Roman"/>
          <w:lang w:val="bg-BG"/>
        </w:rPr>
        <w:t>С най-голям положителен принос</w:t>
      </w:r>
      <w:r w:rsidR="00B0678F" w:rsidRPr="00610B1B">
        <w:rPr>
          <w:rFonts w:cs="Times New Roman"/>
          <w:lang w:val="bg-BG"/>
        </w:rPr>
        <w:t xml:space="preserve"> са </w:t>
      </w:r>
      <w:r w:rsidR="003F68E4" w:rsidRPr="00610B1B">
        <w:rPr>
          <w:rFonts w:cs="Times New Roman"/>
          <w:lang w:val="bg-BG"/>
        </w:rPr>
        <w:t xml:space="preserve">съвременните </w:t>
      </w:r>
      <w:r w:rsidR="00B0678F" w:rsidRPr="00610B1B">
        <w:rPr>
          <w:rFonts w:cs="Times New Roman"/>
          <w:lang w:val="bg-BG"/>
        </w:rPr>
        <w:t>технологи</w:t>
      </w:r>
      <w:r w:rsidR="003F68E4" w:rsidRPr="00610B1B">
        <w:rPr>
          <w:rFonts w:cs="Times New Roman"/>
          <w:lang w:val="bg-BG"/>
        </w:rPr>
        <w:t>и и иновациите в секторите на морската икономика, с които се очаква да бъдат решени значителна част от проблемите в морската околна среда.</w:t>
      </w:r>
      <w:r w:rsidR="00D66FE0" w:rsidRPr="00610B1B">
        <w:rPr>
          <w:rFonts w:cs="Times New Roman"/>
          <w:lang w:val="bg-BG"/>
        </w:rPr>
        <w:t xml:space="preserve"> </w:t>
      </w:r>
    </w:p>
    <w:p w14:paraId="13503D71" w14:textId="0851D4F9" w:rsidR="00ED74EC" w:rsidRPr="00610B1B" w:rsidRDefault="00ED74EC" w:rsidP="00ED74EC">
      <w:pPr>
        <w:pStyle w:val="BodyText"/>
        <w:rPr>
          <w:rFonts w:cs="Times New Roman"/>
        </w:rPr>
      </w:pPr>
    </w:p>
    <w:p w14:paraId="48836E8D" w14:textId="7E34242C" w:rsidR="00DE4B4C" w:rsidRPr="00610B1B" w:rsidRDefault="00DE4B4C" w:rsidP="00D32D6A">
      <w:pPr>
        <w:pStyle w:val="Heading2"/>
        <w:numPr>
          <w:ilvl w:val="0"/>
          <w:numId w:val="0"/>
        </w:numPr>
        <w:spacing w:before="0" w:line="276" w:lineRule="auto"/>
        <w:ind w:left="576" w:right="-153" w:hanging="576"/>
        <w:rPr>
          <w:rFonts w:cs="Times New Roman"/>
        </w:rPr>
      </w:pPr>
      <w:bookmarkStart w:id="485" w:name="_Toc83391432"/>
      <w:bookmarkStart w:id="486" w:name="_Hlk47268483"/>
      <w:r w:rsidRPr="00610B1B">
        <w:rPr>
          <w:rFonts w:cs="Times New Roman"/>
        </w:rPr>
        <w:t>6.3. Зониране на морските пространства</w:t>
      </w:r>
      <w:bookmarkEnd w:id="485"/>
    </w:p>
    <w:p w14:paraId="7534E3CC" w14:textId="728CB4B8" w:rsidR="00DE4B4C" w:rsidRPr="00610B1B" w:rsidRDefault="00DE4B4C"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Cs/>
          <w:color w:val="000000" w:themeColor="text1"/>
          <w:sz w:val="24"/>
          <w:szCs w:val="24"/>
          <w:lang w:val="bg-BG" w:eastAsia="bg-BG"/>
        </w:rPr>
        <w:t xml:space="preserve">Съгласно чл. </w:t>
      </w:r>
      <w:r w:rsidRPr="00C717D0">
        <w:rPr>
          <w:rFonts w:ascii="Times New Roman" w:eastAsia="Times New Roman" w:hAnsi="Times New Roman" w:cs="Times New Roman"/>
          <w:bCs/>
          <w:sz w:val="24"/>
          <w:szCs w:val="24"/>
          <w:lang w:val="bg-BG" w:eastAsia="bg-BG"/>
        </w:rPr>
        <w:t>51</w:t>
      </w:r>
      <w:r w:rsidR="004D4C1F" w:rsidRPr="00C717D0">
        <w:rPr>
          <w:rFonts w:ascii="Times New Roman" w:eastAsia="Times New Roman" w:hAnsi="Times New Roman" w:cs="Times New Roman"/>
          <w:bCs/>
          <w:sz w:val="24"/>
          <w:szCs w:val="24"/>
          <w:lang w:val="bg-BG" w:eastAsia="bg-BG"/>
        </w:rPr>
        <w:t>в</w:t>
      </w:r>
      <w:r w:rsidRPr="00610B1B">
        <w:rPr>
          <w:rFonts w:ascii="Times New Roman" w:eastAsia="Times New Roman" w:hAnsi="Times New Roman" w:cs="Times New Roman"/>
          <w:bCs/>
          <w:color w:val="000000" w:themeColor="text1"/>
          <w:sz w:val="24"/>
          <w:szCs w:val="24"/>
          <w:lang w:val="bg-BG" w:eastAsia="bg-BG"/>
        </w:rPr>
        <w:t xml:space="preserve"> ал. 4 от Закона за морските пространства, вътрешните водни пътища и пристанищата на Република България с Морския пространствен план се определят</w:t>
      </w:r>
      <w:r w:rsidR="00D66FE0" w:rsidRPr="00610B1B">
        <w:rPr>
          <w:rFonts w:ascii="Times New Roman" w:eastAsia="Times New Roman" w:hAnsi="Times New Roman" w:cs="Times New Roman"/>
          <w:bCs/>
          <w:color w:val="000000" w:themeColor="text1"/>
          <w:sz w:val="24"/>
          <w:szCs w:val="24"/>
          <w:lang w:val="bg-BG" w:eastAsia="bg-BG"/>
        </w:rPr>
        <w:t xml:space="preserve"> </w:t>
      </w:r>
      <w:r w:rsidRPr="00610B1B">
        <w:rPr>
          <w:rFonts w:ascii="Times New Roman" w:eastAsia="Times New Roman" w:hAnsi="Times New Roman" w:cs="Times New Roman"/>
          <w:bCs/>
          <w:color w:val="000000" w:themeColor="text1"/>
          <w:sz w:val="24"/>
          <w:szCs w:val="24"/>
          <w:lang w:val="bg-BG" w:eastAsia="bg-BG"/>
        </w:rPr>
        <w:t>следните видове зони</w:t>
      </w:r>
      <w:r w:rsidRPr="00610B1B">
        <w:rPr>
          <w:rFonts w:ascii="Times New Roman" w:eastAsia="Times New Roman" w:hAnsi="Times New Roman" w:cs="Times New Roman"/>
          <w:color w:val="000000" w:themeColor="text1"/>
          <w:sz w:val="24"/>
          <w:szCs w:val="24"/>
          <w:lang w:val="bg-BG" w:eastAsia="bg-BG"/>
        </w:rPr>
        <w:t>:</w:t>
      </w:r>
    </w:p>
    <w:p w14:paraId="188D90F0" w14:textId="233DBC1E" w:rsidR="003C16C6" w:rsidRPr="00610B1B" w:rsidRDefault="00DE4B4C" w:rsidP="00977026">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 xml:space="preserve">Зони за движение в морските пространства </w:t>
      </w:r>
    </w:p>
    <w:p w14:paraId="5E9F6BDD" w14:textId="5B52BE75"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Зони за риболов и отглеждане на аквакултури</w:t>
      </w:r>
    </w:p>
    <w:p w14:paraId="24F9DCE5" w14:textId="35A7EFB9"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Зони за туристически и рекреационни дейности</w:t>
      </w:r>
    </w:p>
    <w:p w14:paraId="209C0E57" w14:textId="4478C5DE"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Зони за научноизследователска дейност</w:t>
      </w:r>
    </w:p>
    <w:p w14:paraId="1DDEEE95" w14:textId="2224289C"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Защитени зони и защитени територии от НЕМ</w:t>
      </w:r>
    </w:p>
    <w:p w14:paraId="0C738ED7" w14:textId="2EE537DE"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lastRenderedPageBreak/>
        <w:t>Зони за опазване на културното наследство</w:t>
      </w:r>
    </w:p>
    <w:p w14:paraId="483B973C" w14:textId="6FA6D463"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Зони за подводни линейни обекти на техническата инфраструктура</w:t>
      </w:r>
    </w:p>
    <w:p w14:paraId="3125BD6D" w14:textId="149FEA60"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Зони за проучване, разработване и използване на природни ресурси</w:t>
      </w:r>
    </w:p>
    <w:p w14:paraId="0FE0D644" w14:textId="79A806A6" w:rsidR="00DE4B4C" w:rsidRPr="00610B1B" w:rsidRDefault="00DE4B4C"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Зони за военни учения</w:t>
      </w:r>
    </w:p>
    <w:p w14:paraId="3E140823" w14:textId="77777777" w:rsidR="009907CE" w:rsidRPr="00610B1B" w:rsidRDefault="009907CE" w:rsidP="00B46189">
      <w:pPr>
        <w:numPr>
          <w:ilvl w:val="0"/>
          <w:numId w:val="74"/>
        </w:numPr>
        <w:shd w:val="clear" w:color="auto" w:fill="FFFFFF"/>
        <w:spacing w:after="120"/>
        <w:ind w:left="714" w:hanging="357"/>
        <w:rPr>
          <w:rFonts w:ascii="Times New Roman" w:eastAsia="Times New Roman" w:hAnsi="Times New Roman" w:cs="Times New Roman"/>
          <w:color w:val="000000" w:themeColor="text1"/>
          <w:sz w:val="24"/>
          <w:szCs w:val="24"/>
          <w:lang w:val="bg-BG" w:eastAsia="bg-BG"/>
        </w:rPr>
      </w:pPr>
    </w:p>
    <w:p w14:paraId="3F88B61C" w14:textId="77777777" w:rsidR="00DE4B4C" w:rsidRPr="00610B1B" w:rsidRDefault="00DE4B4C"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Дейностите и ползванията на ресурси в тези зони трябва да се съобразят и с разположението на</w:t>
      </w:r>
      <w:r w:rsidRPr="00610B1B">
        <w:rPr>
          <w:rFonts w:ascii="Times New Roman" w:hAnsi="Times New Roman" w:cs="Times New Roman"/>
          <w:color w:val="000000" w:themeColor="text1"/>
          <w:lang w:val="bg-BG"/>
        </w:rPr>
        <w:t xml:space="preserve"> </w:t>
      </w:r>
      <w:r w:rsidRPr="00610B1B">
        <w:rPr>
          <w:rFonts w:ascii="Times New Roman" w:hAnsi="Times New Roman" w:cs="Times New Roman"/>
          <w:color w:val="000000" w:themeColor="text1"/>
          <w:sz w:val="24"/>
          <w:szCs w:val="24"/>
          <w:lang w:val="bg-BG"/>
        </w:rPr>
        <w:t>инсталациите и съоръженията, свързани с корабоплаването и за проучване, разработване и използване на минералните и енергийните ресурси.</w:t>
      </w:r>
    </w:p>
    <w:p w14:paraId="47E80634" w14:textId="7BDCB6B9" w:rsidR="00DE4B4C" w:rsidRPr="00610B1B" w:rsidRDefault="00DE4B4C"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Тези зони могат да бъдат обединени в две големи групи – зони, в които действат постоянни забрани за корабоплаване, за заставане на котва, за риболов, тралене, драгиране и други дейности</w:t>
      </w:r>
      <w:r w:rsidR="0016487D" w:rsidRPr="00610B1B">
        <w:rPr>
          <w:rFonts w:ascii="Times New Roman" w:eastAsia="Times New Roman" w:hAnsi="Times New Roman" w:cs="Times New Roman"/>
          <w:color w:val="000000" w:themeColor="text1"/>
          <w:sz w:val="24"/>
          <w:szCs w:val="24"/>
          <w:lang w:val="bg-BG" w:eastAsia="bg-BG"/>
        </w:rPr>
        <w:t>,</w:t>
      </w:r>
      <w:r w:rsidRPr="00610B1B">
        <w:rPr>
          <w:rFonts w:ascii="Times New Roman" w:eastAsia="Times New Roman" w:hAnsi="Times New Roman" w:cs="Times New Roman"/>
          <w:color w:val="000000" w:themeColor="text1"/>
          <w:sz w:val="24"/>
          <w:szCs w:val="24"/>
          <w:lang w:val="bg-BG" w:eastAsia="bg-BG"/>
        </w:rPr>
        <w:t xml:space="preserve"> и зони, в които тези забрани са временни, налагат се в различно време от годината, в различни зони, а пространствените и времеви координати се </w:t>
      </w:r>
      <w:r w:rsidR="00BA5862" w:rsidRPr="00610B1B">
        <w:rPr>
          <w:rFonts w:ascii="Times New Roman" w:eastAsia="Times New Roman" w:hAnsi="Times New Roman" w:cs="Times New Roman"/>
          <w:color w:val="000000" w:themeColor="text1"/>
          <w:sz w:val="24"/>
          <w:szCs w:val="24"/>
          <w:lang w:val="bg-BG" w:eastAsia="bg-BG"/>
        </w:rPr>
        <w:t>оповестяват</w:t>
      </w:r>
      <w:r w:rsidRPr="00610B1B">
        <w:rPr>
          <w:rFonts w:ascii="Times New Roman" w:eastAsia="Times New Roman" w:hAnsi="Times New Roman" w:cs="Times New Roman"/>
          <w:color w:val="000000" w:themeColor="text1"/>
          <w:sz w:val="24"/>
          <w:szCs w:val="24"/>
          <w:lang w:val="bg-BG" w:eastAsia="bg-BG"/>
        </w:rPr>
        <w:t xml:space="preserve"> своевременно, в съответствие с установените международни правила</w:t>
      </w:r>
      <w:r w:rsidR="0016487D" w:rsidRPr="00610B1B">
        <w:rPr>
          <w:rFonts w:ascii="Times New Roman" w:eastAsia="Times New Roman" w:hAnsi="Times New Roman" w:cs="Times New Roman"/>
          <w:color w:val="000000" w:themeColor="text1"/>
          <w:sz w:val="24"/>
          <w:szCs w:val="24"/>
          <w:lang w:val="bg-BG" w:eastAsia="bg-BG"/>
        </w:rPr>
        <w:t>.</w:t>
      </w:r>
      <w:r w:rsidRPr="00610B1B">
        <w:rPr>
          <w:rFonts w:ascii="Times New Roman" w:eastAsia="Times New Roman" w:hAnsi="Times New Roman" w:cs="Times New Roman"/>
          <w:color w:val="000000" w:themeColor="text1"/>
          <w:sz w:val="24"/>
          <w:szCs w:val="24"/>
          <w:lang w:val="bg-BG" w:eastAsia="bg-BG"/>
        </w:rPr>
        <w:t xml:space="preserve"> </w:t>
      </w:r>
    </w:p>
    <w:p w14:paraId="2B42C6E4" w14:textId="61AE19A8" w:rsidR="00DE4B4C" w:rsidRPr="00610B1B" w:rsidRDefault="00DE4B4C"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Проектът BALANCE</w:t>
      </w:r>
      <w:r w:rsidRPr="00610B1B">
        <w:rPr>
          <w:rStyle w:val="FootnoteReference"/>
          <w:rFonts w:ascii="Times New Roman" w:eastAsia="Times New Roman" w:hAnsi="Times New Roman" w:cs="Times New Roman"/>
          <w:color w:val="000000" w:themeColor="text1"/>
          <w:sz w:val="24"/>
          <w:szCs w:val="24"/>
          <w:lang w:val="bg-BG" w:eastAsia="bg-BG"/>
        </w:rPr>
        <w:footnoteReference w:id="193"/>
      </w:r>
      <w:r w:rsidRPr="00610B1B">
        <w:rPr>
          <w:rFonts w:ascii="Times New Roman" w:eastAsia="Times New Roman" w:hAnsi="Times New Roman" w:cs="Times New Roman"/>
          <w:color w:val="000000" w:themeColor="text1"/>
          <w:sz w:val="24"/>
          <w:szCs w:val="24"/>
          <w:lang w:val="bg-BG" w:eastAsia="bg-BG"/>
        </w:rPr>
        <w:t xml:space="preserve"> анализира международната практика и предлага систематизирането на различните ползвания на морските пространства в 4 </w:t>
      </w:r>
      <w:r w:rsidR="0016487D" w:rsidRPr="00610B1B">
        <w:rPr>
          <w:rFonts w:ascii="Times New Roman" w:eastAsia="Times New Roman" w:hAnsi="Times New Roman" w:cs="Times New Roman"/>
          <w:color w:val="000000" w:themeColor="text1"/>
          <w:sz w:val="24"/>
          <w:szCs w:val="24"/>
          <w:lang w:val="bg-BG" w:eastAsia="bg-BG"/>
        </w:rPr>
        <w:t xml:space="preserve">вида </w:t>
      </w:r>
      <w:r w:rsidRPr="00610B1B">
        <w:rPr>
          <w:rFonts w:ascii="Times New Roman" w:eastAsia="Times New Roman" w:hAnsi="Times New Roman" w:cs="Times New Roman"/>
          <w:color w:val="000000" w:themeColor="text1"/>
          <w:sz w:val="24"/>
          <w:szCs w:val="24"/>
          <w:lang w:val="bg-BG" w:eastAsia="bg-BG"/>
        </w:rPr>
        <w:t>зони:</w:t>
      </w:r>
    </w:p>
    <w:p w14:paraId="3BD4F60A" w14:textId="6A80F65B" w:rsidR="00DE4B4C" w:rsidRPr="00610B1B" w:rsidRDefault="00DE4B4C" w:rsidP="00B46189">
      <w:pPr>
        <w:pStyle w:val="ListParagraph"/>
        <w:numPr>
          <w:ilvl w:val="0"/>
          <w:numId w:val="76"/>
        </w:numPr>
        <w:shd w:val="clear" w:color="auto" w:fill="FFFFFF"/>
        <w:spacing w:after="120"/>
        <w:contextualSpacing w:val="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
          <w:bCs/>
          <w:color w:val="000000" w:themeColor="text1"/>
          <w:sz w:val="24"/>
          <w:szCs w:val="24"/>
          <w:lang w:val="bg-BG" w:eastAsia="bg-BG"/>
        </w:rPr>
        <w:t>Зона за общо ползване</w:t>
      </w:r>
      <w:r w:rsidRPr="00610B1B">
        <w:rPr>
          <w:rFonts w:ascii="Times New Roman" w:eastAsia="Times New Roman" w:hAnsi="Times New Roman" w:cs="Times New Roman"/>
          <w:color w:val="000000" w:themeColor="text1"/>
          <w:sz w:val="24"/>
          <w:szCs w:val="24"/>
          <w:lang w:val="bg-BG" w:eastAsia="bg-BG"/>
        </w:rPr>
        <w:t> (General Use Zone)</w:t>
      </w:r>
      <w:r w:rsidR="00140F67" w:rsidRPr="00610B1B">
        <w:rPr>
          <w:rFonts w:ascii="Times New Roman" w:eastAsia="Times New Roman" w:hAnsi="Times New Roman" w:cs="Times New Roman"/>
          <w:color w:val="000000" w:themeColor="text1"/>
          <w:sz w:val="24"/>
          <w:szCs w:val="24"/>
          <w:lang w:val="bg-BG" w:eastAsia="bg-BG"/>
        </w:rPr>
        <w:t xml:space="preserve"> – </w:t>
      </w:r>
      <w:r w:rsidRPr="00610B1B">
        <w:rPr>
          <w:rFonts w:ascii="Times New Roman" w:eastAsia="Times New Roman" w:hAnsi="Times New Roman" w:cs="Times New Roman"/>
          <w:color w:val="000000" w:themeColor="text1"/>
          <w:sz w:val="24"/>
          <w:szCs w:val="24"/>
          <w:lang w:val="bg-BG" w:eastAsia="bg-BG"/>
        </w:rPr>
        <w:t>с най-голям обхват, позволени са повечето човешки дейности</w:t>
      </w:r>
    </w:p>
    <w:p w14:paraId="73EFB5F8" w14:textId="22722EF2" w:rsidR="00DE4B4C" w:rsidRPr="00610B1B" w:rsidRDefault="00DE4B4C" w:rsidP="00B46189">
      <w:pPr>
        <w:pStyle w:val="ListParagraph"/>
        <w:numPr>
          <w:ilvl w:val="0"/>
          <w:numId w:val="76"/>
        </w:numPr>
        <w:shd w:val="clear" w:color="auto" w:fill="FFFFFF"/>
        <w:spacing w:after="120"/>
        <w:contextualSpacing w:val="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
          <w:bCs/>
          <w:color w:val="000000" w:themeColor="text1"/>
          <w:sz w:val="24"/>
          <w:szCs w:val="24"/>
          <w:lang w:val="bg-BG" w:eastAsia="bg-BG"/>
        </w:rPr>
        <w:t>Зона с целево управление</w:t>
      </w:r>
      <w:r w:rsidRPr="00610B1B">
        <w:rPr>
          <w:rFonts w:ascii="Times New Roman" w:eastAsia="Times New Roman" w:hAnsi="Times New Roman" w:cs="Times New Roman"/>
          <w:color w:val="000000" w:themeColor="text1"/>
          <w:sz w:val="24"/>
          <w:szCs w:val="24"/>
          <w:lang w:val="bg-BG" w:eastAsia="bg-BG"/>
        </w:rPr>
        <w:t> (Targeted Management Zone)</w:t>
      </w:r>
      <w:r w:rsidR="00140F67" w:rsidRPr="00610B1B">
        <w:rPr>
          <w:rFonts w:ascii="Times New Roman" w:eastAsia="Times New Roman" w:hAnsi="Times New Roman" w:cs="Times New Roman"/>
          <w:color w:val="000000" w:themeColor="text1"/>
          <w:sz w:val="24"/>
          <w:szCs w:val="24"/>
          <w:lang w:val="bg-BG" w:eastAsia="bg-BG"/>
        </w:rPr>
        <w:t xml:space="preserve"> – </w:t>
      </w:r>
      <w:r w:rsidRPr="00610B1B">
        <w:rPr>
          <w:rFonts w:ascii="Times New Roman" w:eastAsia="Times New Roman" w:hAnsi="Times New Roman" w:cs="Times New Roman"/>
          <w:color w:val="000000" w:themeColor="text1"/>
          <w:sz w:val="24"/>
          <w:szCs w:val="24"/>
          <w:lang w:val="bg-BG" w:eastAsia="bg-BG"/>
        </w:rPr>
        <w:t>зона с ограничения с цел опазване на околната среда или културното наследство (Например зони по Натура 2000), където някои дейности са забранени, или разрешени въз основа на разрешително.</w:t>
      </w:r>
    </w:p>
    <w:p w14:paraId="4E24F137" w14:textId="6D7BA0D9" w:rsidR="00DE4B4C" w:rsidRPr="00610B1B" w:rsidRDefault="00DE4B4C" w:rsidP="00B46189">
      <w:pPr>
        <w:pStyle w:val="ListParagraph"/>
        <w:numPr>
          <w:ilvl w:val="0"/>
          <w:numId w:val="76"/>
        </w:numPr>
        <w:shd w:val="clear" w:color="auto" w:fill="FFFFFF"/>
        <w:spacing w:after="120"/>
        <w:contextualSpacing w:val="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
          <w:bCs/>
          <w:color w:val="000000" w:themeColor="text1"/>
          <w:sz w:val="24"/>
          <w:szCs w:val="24"/>
          <w:lang w:val="bg-BG" w:eastAsia="bg-BG"/>
        </w:rPr>
        <w:t>Зона за изключително ползване</w:t>
      </w:r>
      <w:r w:rsidRPr="00610B1B">
        <w:rPr>
          <w:rFonts w:ascii="Times New Roman" w:eastAsia="Times New Roman" w:hAnsi="Times New Roman" w:cs="Times New Roman"/>
          <w:color w:val="000000" w:themeColor="text1"/>
          <w:sz w:val="24"/>
          <w:szCs w:val="24"/>
          <w:lang w:val="bg-BG" w:eastAsia="bg-BG"/>
        </w:rPr>
        <w:t> (Exclusive Use Zone)</w:t>
      </w:r>
      <w:r w:rsidR="00140F67" w:rsidRPr="00610B1B">
        <w:rPr>
          <w:rFonts w:ascii="Times New Roman" w:eastAsia="Times New Roman" w:hAnsi="Times New Roman" w:cs="Times New Roman"/>
          <w:color w:val="000000" w:themeColor="text1"/>
          <w:sz w:val="24"/>
          <w:szCs w:val="24"/>
          <w:lang w:val="bg-BG" w:eastAsia="bg-BG"/>
        </w:rPr>
        <w:t xml:space="preserve"> – </w:t>
      </w:r>
      <w:r w:rsidRPr="00610B1B">
        <w:rPr>
          <w:rFonts w:ascii="Times New Roman" w:eastAsia="Times New Roman" w:hAnsi="Times New Roman" w:cs="Times New Roman"/>
          <w:color w:val="000000" w:themeColor="text1"/>
          <w:sz w:val="24"/>
          <w:szCs w:val="24"/>
          <w:lang w:val="bg-BG" w:eastAsia="bg-BG"/>
        </w:rPr>
        <w:t>само за 1 вид дейност, например мидени ферми</w:t>
      </w:r>
    </w:p>
    <w:p w14:paraId="7A46AA36" w14:textId="537E2A5E" w:rsidR="00DE4B4C" w:rsidRPr="00610B1B" w:rsidRDefault="00DE4B4C" w:rsidP="00B46189">
      <w:pPr>
        <w:pStyle w:val="ListParagraph"/>
        <w:numPr>
          <w:ilvl w:val="0"/>
          <w:numId w:val="76"/>
        </w:numPr>
        <w:shd w:val="clear" w:color="auto" w:fill="FFFFFF"/>
        <w:spacing w:after="120"/>
        <w:contextualSpacing w:val="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
          <w:bCs/>
          <w:color w:val="000000" w:themeColor="text1"/>
          <w:sz w:val="24"/>
          <w:szCs w:val="24"/>
          <w:lang w:val="bg-BG" w:eastAsia="bg-BG"/>
        </w:rPr>
        <w:t>Зона с ограничен достъп</w:t>
      </w:r>
      <w:r w:rsidRPr="00610B1B">
        <w:rPr>
          <w:rFonts w:ascii="Times New Roman" w:eastAsia="Times New Roman" w:hAnsi="Times New Roman" w:cs="Times New Roman"/>
          <w:color w:val="000000" w:themeColor="text1"/>
          <w:sz w:val="24"/>
          <w:szCs w:val="24"/>
          <w:lang w:val="bg-BG" w:eastAsia="bg-BG"/>
        </w:rPr>
        <w:t> (Restricted Access Zone)</w:t>
      </w:r>
      <w:r w:rsidR="00140F67" w:rsidRPr="00610B1B">
        <w:rPr>
          <w:rFonts w:ascii="Times New Roman" w:eastAsia="Times New Roman" w:hAnsi="Times New Roman" w:cs="Times New Roman"/>
          <w:color w:val="000000" w:themeColor="text1"/>
          <w:sz w:val="24"/>
          <w:szCs w:val="24"/>
          <w:lang w:val="bg-BG" w:eastAsia="bg-BG"/>
        </w:rPr>
        <w:t xml:space="preserve"> – </w:t>
      </w:r>
      <w:r w:rsidRPr="00610B1B">
        <w:rPr>
          <w:rFonts w:ascii="Times New Roman" w:eastAsia="Times New Roman" w:hAnsi="Times New Roman" w:cs="Times New Roman"/>
          <w:color w:val="000000" w:themeColor="text1"/>
          <w:sz w:val="24"/>
          <w:szCs w:val="24"/>
          <w:lang w:val="bg-BG" w:eastAsia="bg-BG"/>
        </w:rPr>
        <w:t>например зони за военни учения.</w:t>
      </w:r>
    </w:p>
    <w:p w14:paraId="03FCD4A7" w14:textId="21890E0B" w:rsidR="00DE4B4C" w:rsidRPr="00610B1B" w:rsidRDefault="00DE4B4C"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В тази класификация частично се застъпват изискванията към зоните от втора, трета и четвърта група. В световната практика се предлагат и друг вид зони, като например „тихи зони“, с оглед необходимостта от намаляване на подводния шум и на неговите вредни въздействия върху морската фауна (Австралия)</w:t>
      </w:r>
      <w:r w:rsidRPr="00610B1B">
        <w:rPr>
          <w:rStyle w:val="FootnoteReference"/>
          <w:rFonts w:ascii="Times New Roman" w:eastAsia="Times New Roman" w:hAnsi="Times New Roman" w:cs="Times New Roman"/>
          <w:color w:val="000000" w:themeColor="text1"/>
          <w:sz w:val="24"/>
          <w:szCs w:val="24"/>
          <w:lang w:val="bg-BG" w:eastAsia="bg-BG"/>
        </w:rPr>
        <w:footnoteReference w:id="194"/>
      </w:r>
      <w:r w:rsidRPr="00610B1B">
        <w:rPr>
          <w:rFonts w:ascii="Times New Roman" w:eastAsia="Times New Roman" w:hAnsi="Times New Roman" w:cs="Times New Roman"/>
          <w:color w:val="000000" w:themeColor="text1"/>
          <w:sz w:val="24"/>
          <w:szCs w:val="24"/>
          <w:lang w:val="bg-BG" w:eastAsia="bg-BG"/>
        </w:rPr>
        <w:t>. В други, като например Морския пространствен план на Полша, се предлагат и т.нар. „бели зони“, в които се резервират морски пространства за бъдещо ползване.</w:t>
      </w:r>
      <w:r w:rsidRPr="00610B1B">
        <w:rPr>
          <w:rStyle w:val="FootnoteReference"/>
          <w:rFonts w:ascii="Times New Roman" w:eastAsia="Times New Roman" w:hAnsi="Times New Roman" w:cs="Times New Roman"/>
          <w:color w:val="000000" w:themeColor="text1"/>
          <w:sz w:val="24"/>
          <w:szCs w:val="24"/>
          <w:lang w:val="bg-BG" w:eastAsia="bg-BG"/>
        </w:rPr>
        <w:footnoteReference w:id="195"/>
      </w:r>
    </w:p>
    <w:p w14:paraId="21EC81FB" w14:textId="77777777" w:rsidR="009907CE" w:rsidRPr="00610B1B" w:rsidRDefault="009907CE"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p>
    <w:p w14:paraId="1576C80A" w14:textId="6B694920" w:rsidR="00DE4B4C" w:rsidRPr="00610B1B" w:rsidRDefault="00DE4B4C" w:rsidP="00D32D6A">
      <w:pPr>
        <w:shd w:val="clear" w:color="auto" w:fill="FFFFFF"/>
        <w:spacing w:after="120"/>
        <w:jc w:val="both"/>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color w:val="000000" w:themeColor="text1"/>
          <w:sz w:val="24"/>
          <w:szCs w:val="24"/>
          <w:lang w:val="bg-BG" w:eastAsia="bg-BG"/>
        </w:rPr>
        <w:t xml:space="preserve">За целите на Морския пространствен план на Република </w:t>
      </w:r>
      <w:r w:rsidR="00D50057" w:rsidRPr="00610B1B">
        <w:rPr>
          <w:rFonts w:ascii="Times New Roman" w:eastAsia="Times New Roman" w:hAnsi="Times New Roman" w:cs="Times New Roman"/>
          <w:color w:val="000000" w:themeColor="text1"/>
          <w:sz w:val="24"/>
          <w:szCs w:val="24"/>
          <w:lang w:val="bg-BG" w:eastAsia="bg-BG"/>
        </w:rPr>
        <w:t>България</w:t>
      </w:r>
      <w:r w:rsidRPr="00610B1B">
        <w:rPr>
          <w:rFonts w:ascii="Times New Roman" w:eastAsia="Times New Roman" w:hAnsi="Times New Roman" w:cs="Times New Roman"/>
          <w:color w:val="000000" w:themeColor="text1"/>
          <w:sz w:val="24"/>
          <w:szCs w:val="24"/>
          <w:lang w:val="bg-BG" w:eastAsia="bg-BG"/>
        </w:rPr>
        <w:t xml:space="preserve"> се предлага групирането на функциите и ползванията в четири вида зони, а именно: </w:t>
      </w:r>
    </w:p>
    <w:tbl>
      <w:tblPr>
        <w:tblStyle w:val="TableGrid"/>
        <w:tblW w:w="6836" w:type="dxa"/>
        <w:tblInd w:w="6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5419"/>
      </w:tblGrid>
      <w:tr w:rsidR="00765BE6" w:rsidRPr="00C717D0" w14:paraId="4080FAEB" w14:textId="77777777" w:rsidTr="00765BE6">
        <w:tc>
          <w:tcPr>
            <w:tcW w:w="1417" w:type="dxa"/>
            <w:vAlign w:val="center"/>
          </w:tcPr>
          <w:p w14:paraId="4573D009" w14:textId="2FCA9992"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hAnsi="Times New Roman" w:cs="Times New Roman"/>
                <w:noProof/>
                <w:lang w:val="bg-BG" w:eastAsia="bg-BG"/>
              </w:rPr>
              <w:lastRenderedPageBreak/>
              <w:drawing>
                <wp:inline distT="0" distB="0" distL="0" distR="0" wp14:anchorId="63EF7FAF" wp14:editId="46F3B058">
                  <wp:extent cx="641237" cy="313675"/>
                  <wp:effectExtent l="0" t="0" r="698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59" cstate="print">
                            <a:extLst>
                              <a:ext uri="{28A0092B-C50C-407E-A947-70E740481C1C}">
                                <a14:useLocalDpi xmlns:a14="http://schemas.microsoft.com/office/drawing/2010/main" val="0"/>
                              </a:ext>
                            </a:extLst>
                          </a:blip>
                          <a:srcRect l="2486" r="71678"/>
                          <a:stretch/>
                        </pic:blipFill>
                        <pic:spPr bwMode="auto">
                          <a:xfrm>
                            <a:off x="0" y="0"/>
                            <a:ext cx="641267" cy="313690"/>
                          </a:xfrm>
                          <a:prstGeom prst="rect">
                            <a:avLst/>
                          </a:prstGeom>
                          <a:ln>
                            <a:noFill/>
                          </a:ln>
                          <a:extLst>
                            <a:ext uri="{53640926-AAD7-44D8-BBD7-CCE9431645EC}">
                              <a14:shadowObscured xmlns:a14="http://schemas.microsoft.com/office/drawing/2010/main"/>
                            </a:ext>
                          </a:extLst>
                        </pic:spPr>
                      </pic:pic>
                    </a:graphicData>
                  </a:graphic>
                </wp:inline>
              </w:drawing>
            </w:r>
            <w:r w:rsidRPr="00610B1B">
              <w:rPr>
                <w:rFonts w:ascii="Times New Roman" w:eastAsia="Times New Roman" w:hAnsi="Times New Roman" w:cs="Times New Roman"/>
                <w:color w:val="000000" w:themeColor="text1"/>
                <w:sz w:val="24"/>
                <w:szCs w:val="24"/>
                <w:lang w:val="bg-BG" w:eastAsia="bg-BG"/>
              </w:rPr>
              <w:t xml:space="preserve"> </w:t>
            </w:r>
          </w:p>
        </w:tc>
        <w:tc>
          <w:tcPr>
            <w:tcW w:w="5419" w:type="dxa"/>
            <w:vAlign w:val="center"/>
          </w:tcPr>
          <w:p w14:paraId="0700B088" w14:textId="3923C2E4"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Cs/>
                <w:color w:val="000000" w:themeColor="text1"/>
                <w:sz w:val="24"/>
                <w:szCs w:val="24"/>
                <w:lang w:val="bg-BG" w:eastAsia="bg-BG"/>
              </w:rPr>
              <w:t>Зони със забрана за ползване</w:t>
            </w:r>
            <w:r w:rsidR="00D66FE0" w:rsidRPr="00610B1B">
              <w:rPr>
                <w:rFonts w:ascii="Times New Roman" w:eastAsia="Times New Roman" w:hAnsi="Times New Roman" w:cs="Times New Roman"/>
                <w:color w:val="000000" w:themeColor="text1"/>
                <w:sz w:val="24"/>
                <w:szCs w:val="24"/>
                <w:lang w:val="bg-BG" w:eastAsia="bg-BG"/>
              </w:rPr>
              <w:t xml:space="preserve"> </w:t>
            </w:r>
          </w:p>
        </w:tc>
      </w:tr>
      <w:tr w:rsidR="00765BE6" w:rsidRPr="00C717D0" w14:paraId="7E505533" w14:textId="77777777" w:rsidTr="00765BE6">
        <w:tc>
          <w:tcPr>
            <w:tcW w:w="1417" w:type="dxa"/>
            <w:vAlign w:val="center"/>
          </w:tcPr>
          <w:p w14:paraId="7FC538DB" w14:textId="0A723D99"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hAnsi="Times New Roman" w:cs="Times New Roman"/>
                <w:noProof/>
                <w:lang w:val="bg-BG" w:eastAsia="bg-BG"/>
              </w:rPr>
              <w:drawing>
                <wp:inline distT="0" distB="0" distL="0" distR="0" wp14:anchorId="20193CDE" wp14:editId="03A7F57E">
                  <wp:extent cx="639227" cy="316865"/>
                  <wp:effectExtent l="0" t="0" r="8890" b="698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60" cstate="print">
                            <a:extLst>
                              <a:ext uri="{28A0092B-C50C-407E-A947-70E740481C1C}">
                                <a14:useLocalDpi xmlns:a14="http://schemas.microsoft.com/office/drawing/2010/main" val="0"/>
                              </a:ext>
                            </a:extLst>
                          </a:blip>
                          <a:srcRect l="1812" r="77538"/>
                          <a:stretch/>
                        </pic:blipFill>
                        <pic:spPr bwMode="auto">
                          <a:xfrm>
                            <a:off x="0" y="0"/>
                            <a:ext cx="639483" cy="316992"/>
                          </a:xfrm>
                          <a:prstGeom prst="rect">
                            <a:avLst/>
                          </a:prstGeom>
                          <a:ln>
                            <a:noFill/>
                          </a:ln>
                          <a:extLst>
                            <a:ext uri="{53640926-AAD7-44D8-BBD7-CCE9431645EC}">
                              <a14:shadowObscured xmlns:a14="http://schemas.microsoft.com/office/drawing/2010/main"/>
                            </a:ext>
                          </a:extLst>
                        </pic:spPr>
                      </pic:pic>
                    </a:graphicData>
                  </a:graphic>
                </wp:inline>
              </w:drawing>
            </w:r>
          </w:p>
        </w:tc>
        <w:tc>
          <w:tcPr>
            <w:tcW w:w="5419" w:type="dxa"/>
            <w:vAlign w:val="center"/>
          </w:tcPr>
          <w:p w14:paraId="4C23390C" w14:textId="664F5F22"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Cs/>
                <w:color w:val="000000" w:themeColor="text1"/>
                <w:sz w:val="24"/>
                <w:szCs w:val="24"/>
                <w:lang w:val="bg-BG" w:eastAsia="bg-BG"/>
              </w:rPr>
              <w:t>Зони със специфичен режим на опазване</w:t>
            </w:r>
          </w:p>
        </w:tc>
      </w:tr>
      <w:tr w:rsidR="00765BE6" w:rsidRPr="00610B1B" w14:paraId="26CCAE78" w14:textId="77777777" w:rsidTr="00765BE6">
        <w:tc>
          <w:tcPr>
            <w:tcW w:w="1417" w:type="dxa"/>
            <w:vAlign w:val="center"/>
          </w:tcPr>
          <w:p w14:paraId="6A4CB7D0" w14:textId="5BB1DBF7"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hAnsi="Times New Roman" w:cs="Times New Roman"/>
                <w:noProof/>
                <w:lang w:val="bg-BG" w:eastAsia="bg-BG"/>
              </w:rPr>
              <w:drawing>
                <wp:inline distT="0" distB="0" distL="0" distR="0" wp14:anchorId="16241F78" wp14:editId="17D83499">
                  <wp:extent cx="662407" cy="316865"/>
                  <wp:effectExtent l="0" t="0" r="4445" b="698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61" cstate="print">
                            <a:extLst>
                              <a:ext uri="{28A0092B-C50C-407E-A947-70E740481C1C}">
                                <a14:useLocalDpi xmlns:a14="http://schemas.microsoft.com/office/drawing/2010/main" val="0"/>
                              </a:ext>
                            </a:extLst>
                          </a:blip>
                          <a:srcRect l="1526" r="67766"/>
                          <a:stretch/>
                        </pic:blipFill>
                        <pic:spPr bwMode="auto">
                          <a:xfrm>
                            <a:off x="0" y="0"/>
                            <a:ext cx="662673" cy="316992"/>
                          </a:xfrm>
                          <a:prstGeom prst="rect">
                            <a:avLst/>
                          </a:prstGeom>
                          <a:ln>
                            <a:noFill/>
                          </a:ln>
                          <a:extLst>
                            <a:ext uri="{53640926-AAD7-44D8-BBD7-CCE9431645EC}">
                              <a14:shadowObscured xmlns:a14="http://schemas.microsoft.com/office/drawing/2010/main"/>
                            </a:ext>
                          </a:extLst>
                        </pic:spPr>
                      </pic:pic>
                    </a:graphicData>
                  </a:graphic>
                </wp:inline>
              </w:drawing>
            </w:r>
          </w:p>
        </w:tc>
        <w:tc>
          <w:tcPr>
            <w:tcW w:w="5419" w:type="dxa"/>
            <w:vAlign w:val="center"/>
          </w:tcPr>
          <w:p w14:paraId="1C348B32" w14:textId="16872186"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Cs/>
                <w:color w:val="000000" w:themeColor="text1"/>
                <w:sz w:val="24"/>
                <w:szCs w:val="24"/>
                <w:lang w:val="bg-BG" w:eastAsia="bg-BG"/>
              </w:rPr>
              <w:t>Мултифункционални зони</w:t>
            </w:r>
          </w:p>
        </w:tc>
      </w:tr>
      <w:tr w:rsidR="00765BE6" w:rsidRPr="00610B1B" w14:paraId="2ECA1AF7" w14:textId="77777777" w:rsidTr="00765BE6">
        <w:tc>
          <w:tcPr>
            <w:tcW w:w="1417" w:type="dxa"/>
            <w:vAlign w:val="center"/>
          </w:tcPr>
          <w:p w14:paraId="6B5652CF" w14:textId="1659A5F0"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hAnsi="Times New Roman" w:cs="Times New Roman"/>
                <w:noProof/>
                <w:lang w:val="bg-BG" w:eastAsia="bg-BG"/>
              </w:rPr>
              <w:drawing>
                <wp:inline distT="0" distB="0" distL="0" distR="0" wp14:anchorId="083FB5AB" wp14:editId="05A5ABFB">
                  <wp:extent cx="623887" cy="313690"/>
                  <wp:effectExtent l="0" t="0" r="508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62" cstate="print">
                            <a:extLst>
                              <a:ext uri="{28A0092B-C50C-407E-A947-70E740481C1C}">
                                <a14:useLocalDpi xmlns:a14="http://schemas.microsoft.com/office/drawing/2010/main" val="0"/>
                              </a:ext>
                            </a:extLst>
                          </a:blip>
                          <a:srcRect l="1083" r="70545"/>
                          <a:stretch/>
                        </pic:blipFill>
                        <pic:spPr bwMode="auto">
                          <a:xfrm>
                            <a:off x="0" y="0"/>
                            <a:ext cx="624392" cy="313944"/>
                          </a:xfrm>
                          <a:prstGeom prst="rect">
                            <a:avLst/>
                          </a:prstGeom>
                          <a:ln>
                            <a:noFill/>
                          </a:ln>
                          <a:extLst>
                            <a:ext uri="{53640926-AAD7-44D8-BBD7-CCE9431645EC}">
                              <a14:shadowObscured xmlns:a14="http://schemas.microsoft.com/office/drawing/2010/main"/>
                            </a:ext>
                          </a:extLst>
                        </pic:spPr>
                      </pic:pic>
                    </a:graphicData>
                  </a:graphic>
                </wp:inline>
              </w:drawing>
            </w:r>
            <w:r w:rsidRPr="00610B1B">
              <w:rPr>
                <w:rFonts w:ascii="Times New Roman" w:eastAsia="Times New Roman" w:hAnsi="Times New Roman" w:cs="Times New Roman"/>
                <w:color w:val="000000" w:themeColor="text1"/>
                <w:sz w:val="24"/>
                <w:szCs w:val="24"/>
                <w:lang w:val="bg-BG" w:eastAsia="bg-BG"/>
              </w:rPr>
              <w:t xml:space="preserve"> </w:t>
            </w:r>
          </w:p>
        </w:tc>
        <w:tc>
          <w:tcPr>
            <w:tcW w:w="5419" w:type="dxa"/>
            <w:vAlign w:val="center"/>
          </w:tcPr>
          <w:p w14:paraId="69B3B8EC" w14:textId="51FDA073" w:rsidR="00765BE6" w:rsidRPr="00610B1B" w:rsidRDefault="00765BE6" w:rsidP="00765BE6">
            <w:pPr>
              <w:rPr>
                <w:rFonts w:ascii="Times New Roman" w:eastAsia="Times New Roman" w:hAnsi="Times New Roman" w:cs="Times New Roman"/>
                <w:color w:val="000000" w:themeColor="text1"/>
                <w:sz w:val="24"/>
                <w:szCs w:val="24"/>
                <w:lang w:val="bg-BG" w:eastAsia="bg-BG"/>
              </w:rPr>
            </w:pPr>
            <w:r w:rsidRPr="00610B1B">
              <w:rPr>
                <w:rFonts w:ascii="Times New Roman" w:eastAsia="Times New Roman" w:hAnsi="Times New Roman" w:cs="Times New Roman"/>
                <w:bCs/>
                <w:color w:val="000000" w:themeColor="text1"/>
                <w:sz w:val="24"/>
                <w:szCs w:val="24"/>
                <w:lang w:val="bg-BG" w:eastAsia="bg-BG"/>
              </w:rPr>
              <w:t>Зони за бъдещо ползване</w:t>
            </w:r>
          </w:p>
        </w:tc>
      </w:tr>
    </w:tbl>
    <w:p w14:paraId="66CDA8E8" w14:textId="1CB7F9ED" w:rsidR="00DE4B4C" w:rsidRPr="00610B1B" w:rsidRDefault="00DE4B4C" w:rsidP="00765BE6">
      <w:pPr>
        <w:pStyle w:val="BodyText"/>
        <w:spacing w:before="120" w:after="120" w:line="276" w:lineRule="auto"/>
        <w:rPr>
          <w:rFonts w:cs="Times New Roman"/>
          <w:color w:val="000000" w:themeColor="text1"/>
        </w:rPr>
      </w:pPr>
      <w:r w:rsidRPr="00610B1B">
        <w:rPr>
          <w:rFonts w:cs="Times New Roman"/>
          <w:color w:val="000000" w:themeColor="text1"/>
        </w:rPr>
        <w:t xml:space="preserve">За всяка от тези зони се систематизират режимите, които трябва да бъдат спазвани и правилата на взаимодействие с други функции и дейности. Отчитайки динамичния характер на средата и на документа Морски пространствен план, това зониране също има динамичен характер </w:t>
      </w:r>
      <w:r w:rsidR="0016487D" w:rsidRPr="00610B1B">
        <w:rPr>
          <w:rFonts w:cs="Times New Roman"/>
          <w:color w:val="000000" w:themeColor="text1"/>
        </w:rPr>
        <w:t>за</w:t>
      </w:r>
      <w:r w:rsidRPr="00610B1B">
        <w:rPr>
          <w:rFonts w:cs="Times New Roman"/>
          <w:color w:val="000000" w:themeColor="text1"/>
        </w:rPr>
        <w:t xml:space="preserve"> отразяване на промени, при изменение на условията на средата, технологиите, националните или секторните приоритети и потребности.</w:t>
      </w:r>
    </w:p>
    <w:p w14:paraId="7AD5BE3E" w14:textId="77777777" w:rsidR="00DE4B4C" w:rsidRPr="00610B1B" w:rsidRDefault="00DE4B4C" w:rsidP="00D32D6A">
      <w:pPr>
        <w:pStyle w:val="BodyText"/>
        <w:spacing w:before="0" w:after="120" w:line="276" w:lineRule="auto"/>
        <w:rPr>
          <w:rFonts w:cs="Times New Roman"/>
          <w:color w:val="000000" w:themeColor="text1"/>
        </w:rPr>
      </w:pPr>
    </w:p>
    <w:p w14:paraId="74F05B4A" w14:textId="54931BB2" w:rsidR="00DE4B4C" w:rsidRPr="00610B1B" w:rsidRDefault="00DE4B4C" w:rsidP="00D32D6A">
      <w:pPr>
        <w:pStyle w:val="Heading3"/>
        <w:spacing w:before="0" w:line="276" w:lineRule="auto"/>
        <w:rPr>
          <w:rFonts w:cs="Times New Roman"/>
        </w:rPr>
      </w:pPr>
      <w:bookmarkStart w:id="487" w:name="_Toc83391433"/>
      <w:r w:rsidRPr="00610B1B">
        <w:rPr>
          <w:rFonts w:cs="Times New Roman"/>
        </w:rPr>
        <w:t>6.3.1. Зони със забрана за ползване</w:t>
      </w:r>
      <w:bookmarkEnd w:id="487"/>
    </w:p>
    <w:p w14:paraId="43EB0F02" w14:textId="7768148F"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В групата на зоните със забрана за ползване (Ззп) попадат онези зони, при които е възможна само една единствена функция, поради законови забрани и несъвместимост с останалите функции и ползвания на морските пространства, поради риск за безопасността, сигурността, живота и здравето на хората, опасност от инциденти и повреди на важна инфраструктура или на културни ценности.</w:t>
      </w:r>
      <w:r w:rsidR="00D66FE0" w:rsidRPr="00610B1B">
        <w:rPr>
          <w:rFonts w:cs="Times New Roman"/>
          <w:iCs/>
          <w:color w:val="000000" w:themeColor="text1"/>
        </w:rPr>
        <w:t xml:space="preserve"> </w:t>
      </w:r>
      <w:r w:rsidRPr="00610B1B">
        <w:rPr>
          <w:rFonts w:cs="Times New Roman"/>
          <w:iCs/>
          <w:color w:val="000000" w:themeColor="text1"/>
        </w:rPr>
        <w:t>В тази група се включват зоните за военни учения и обучения, зоните със забрани за корабоплаване, за заставане на котва, а също така и зоните с подводни линейни обекти на техническата инфраструктура, които има потенциална опасност да бъдат засегнати от други дейности на морското дъно. При функционалното зониране на морските пространства са отчетени двата вида зони – с постоянно</w:t>
      </w:r>
      <w:r w:rsidR="0067505D" w:rsidRPr="00610B1B">
        <w:rPr>
          <w:rFonts w:cs="Times New Roman"/>
          <w:iCs/>
          <w:color w:val="000000" w:themeColor="text1"/>
        </w:rPr>
        <w:t xml:space="preserve"> </w:t>
      </w:r>
      <w:r w:rsidRPr="00610B1B">
        <w:rPr>
          <w:rFonts w:cs="Times New Roman"/>
          <w:iCs/>
          <w:color w:val="000000" w:themeColor="text1"/>
        </w:rPr>
        <w:t xml:space="preserve">действаща забрана за ползване и временна забрана за ползване. В тези зони се забраняват дейности, които могат да въздействат на целостта на шелфа (например заставане на котва, дънно тралене и др. подобни дейности), при които е възможно въздействие върху морското дъно. </w:t>
      </w:r>
    </w:p>
    <w:p w14:paraId="56AC5AE3" w14:textId="6C0A249F" w:rsidR="00CD5FED" w:rsidRPr="00CD5FED" w:rsidRDefault="00CD5FED" w:rsidP="00D32D6A">
      <w:pPr>
        <w:pStyle w:val="BodyText"/>
        <w:spacing w:before="0" w:after="120" w:line="276" w:lineRule="auto"/>
        <w:rPr>
          <w:rFonts w:cs="Times New Roman"/>
          <w:color w:val="000000" w:themeColor="text1"/>
        </w:rPr>
      </w:pPr>
      <w:r w:rsidRPr="00D03DA8">
        <w:rPr>
          <w:bCs/>
        </w:rPr>
        <w:t>Районите</w:t>
      </w:r>
      <w:r>
        <w:rPr>
          <w:bCs/>
        </w:rPr>
        <w:t>,</w:t>
      </w:r>
      <w:r w:rsidRPr="00D03DA8">
        <w:rPr>
          <w:bCs/>
        </w:rPr>
        <w:t xml:space="preserve"> използвани за подготовка на въоръжените сили се обявяват за „временно опасни за корабоплаване райони“</w:t>
      </w:r>
      <w:r>
        <w:rPr>
          <w:bCs/>
        </w:rPr>
        <w:t>,</w:t>
      </w:r>
      <w:r w:rsidRPr="00D03DA8">
        <w:rPr>
          <w:bCs/>
        </w:rPr>
        <w:t xml:space="preserve"> когато са извън териториално море и за „временно забранени за корабоплаване райони“, когато са в териториално море и вътрешните морски води. Ограничението се въвежда за период от време. Отговорната за това институция е Хидрографската служба от състава на Военноморските сили. Обявяването става с възприетия в корабоплаването формат на НАВИМ (Navigational Warning).“</w:t>
      </w:r>
    </w:p>
    <w:p w14:paraId="70492BB1" w14:textId="1262222A"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Основни цели:</w:t>
      </w:r>
      <w:r w:rsidRPr="00610B1B">
        <w:rPr>
          <w:rFonts w:cs="Times New Roman"/>
          <w:iCs/>
          <w:color w:val="000000" w:themeColor="text1"/>
        </w:rPr>
        <w:t xml:space="preserve"> Гарантиране на суверенитета, безопасността и сигурността в морските пространства на Република България и опазване на изградената подводна техническа инфраструктура, съоръженията и оборудването от увреждане.</w:t>
      </w:r>
      <w:r w:rsidR="00D66FE0" w:rsidRPr="00610B1B">
        <w:rPr>
          <w:rFonts w:cs="Times New Roman"/>
          <w:iCs/>
          <w:color w:val="000000" w:themeColor="text1"/>
        </w:rPr>
        <w:t xml:space="preserve"> </w:t>
      </w:r>
    </w:p>
    <w:p w14:paraId="421E1578" w14:textId="77777777" w:rsidR="00DE4B4C" w:rsidRPr="00610B1B" w:rsidRDefault="00DE4B4C" w:rsidP="00D32D6A">
      <w:pPr>
        <w:pStyle w:val="BodyText"/>
        <w:spacing w:before="0" w:after="120" w:line="276" w:lineRule="auto"/>
        <w:rPr>
          <w:rFonts w:cs="Times New Roman"/>
          <w:i/>
          <w:color w:val="000000" w:themeColor="text1"/>
        </w:rPr>
      </w:pPr>
      <w:r w:rsidRPr="00610B1B">
        <w:rPr>
          <w:rFonts w:cs="Times New Roman"/>
          <w:i/>
          <w:color w:val="000000" w:themeColor="text1"/>
        </w:rPr>
        <w:t>Режими на ползване:</w:t>
      </w:r>
      <w:r w:rsidRPr="00610B1B">
        <w:rPr>
          <w:rFonts w:cs="Times New Roman"/>
        </w:rPr>
        <w:t xml:space="preserve"> Режимите на ползване се определят съобразно международното морско право, действащото национално законодателство, целите за дългосрочно устойчиво развитие и интегрирано опазване на морската околна среда. </w:t>
      </w:r>
    </w:p>
    <w:p w14:paraId="172A734A" w14:textId="77777777" w:rsidR="00DE4B4C" w:rsidRPr="00610B1B" w:rsidRDefault="00DE4B4C" w:rsidP="00D32D6A">
      <w:pPr>
        <w:pStyle w:val="BodyText"/>
        <w:spacing w:before="0" w:after="120" w:line="276" w:lineRule="auto"/>
        <w:rPr>
          <w:rFonts w:cs="Times New Roman"/>
          <w:i/>
          <w:color w:val="000000" w:themeColor="text1"/>
        </w:rPr>
      </w:pPr>
      <w:r w:rsidRPr="00610B1B">
        <w:rPr>
          <w:rFonts w:cs="Times New Roman"/>
          <w:i/>
          <w:color w:val="000000" w:themeColor="text1"/>
        </w:rPr>
        <w:t>Забранени дейности:</w:t>
      </w:r>
    </w:p>
    <w:p w14:paraId="5295976D" w14:textId="1C99B835" w:rsidR="00DE4B4C" w:rsidRPr="00610B1B" w:rsidRDefault="00AF508B" w:rsidP="00D32D6A">
      <w:pPr>
        <w:pStyle w:val="BodyText"/>
        <w:spacing w:before="0" w:after="120" w:line="276" w:lineRule="auto"/>
        <w:rPr>
          <w:rFonts w:cs="Times New Roman"/>
          <w:iCs/>
          <w:color w:val="000000" w:themeColor="text1"/>
        </w:rPr>
      </w:pPr>
      <w:r w:rsidRPr="00610B1B">
        <w:rPr>
          <w:rFonts w:cs="Times New Roman"/>
          <w:i/>
          <w:color w:val="000000" w:themeColor="text1"/>
        </w:rPr>
        <w:t>Корабоп</w:t>
      </w:r>
      <w:r w:rsidR="00DE4B4C" w:rsidRPr="00610B1B">
        <w:rPr>
          <w:rFonts w:cs="Times New Roman"/>
          <w:i/>
          <w:color w:val="000000" w:themeColor="text1"/>
        </w:rPr>
        <w:t>лаване</w:t>
      </w:r>
      <w:r w:rsidR="00DE4B4C" w:rsidRPr="00610B1B">
        <w:rPr>
          <w:rFonts w:cs="Times New Roman"/>
          <w:iCs/>
          <w:color w:val="000000" w:themeColor="text1"/>
        </w:rPr>
        <w:t xml:space="preserve"> – извън Системата за разделно движение във вътрешните морски води и </w:t>
      </w:r>
      <w:r w:rsidR="00DE4B4C" w:rsidRPr="00610B1B">
        <w:rPr>
          <w:rFonts w:cs="Times New Roman"/>
          <w:iCs/>
          <w:color w:val="000000" w:themeColor="text1"/>
        </w:rPr>
        <w:lastRenderedPageBreak/>
        <w:t>териториалното море, в зоните на котвените стоянки, платформи за проучване и добив на нефт и газ, в обявените постоянно действащи полигони за подготовка на водолази на военноморските сили, в отредени за научни изследвания на морската среда полигони и платформи и в съответствие с Конвенцията по морско право, с Конвенцията за международните правила за предпазване от сблъскване на море, 1972 г. (COLREG) (ДВ, бр. 17</w:t>
      </w:r>
      <w:r w:rsidRPr="00610B1B">
        <w:rPr>
          <w:rFonts w:cs="Times New Roman"/>
          <w:iCs/>
          <w:color w:val="000000" w:themeColor="text1"/>
        </w:rPr>
        <w:t>/</w:t>
      </w:r>
      <w:r w:rsidR="00DE4B4C" w:rsidRPr="00610B1B">
        <w:rPr>
          <w:rFonts w:cs="Times New Roman"/>
          <w:iCs/>
          <w:color w:val="000000" w:themeColor="text1"/>
        </w:rPr>
        <w:t>2003 г.), със Закона за морските пространства, вътрешните водни пътища и пристанищата на Република България и съотносимите подзаконови актове.</w:t>
      </w:r>
    </w:p>
    <w:p w14:paraId="4FDF1D9E" w14:textId="0A548689"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Заставане на котва</w:t>
      </w:r>
      <w:r w:rsidRPr="00610B1B">
        <w:rPr>
          <w:rFonts w:cs="Times New Roman"/>
          <w:iCs/>
          <w:color w:val="000000" w:themeColor="text1"/>
        </w:rPr>
        <w:t xml:space="preserve"> – извън определените райони/полигони на котвените стоянки във Варненския залив/Варненското езеро, вкл. по един южно от нос Галата, североизточно от устието на р. Камчия и южно от пристанище</w:t>
      </w:r>
      <w:r w:rsidR="004F541A">
        <w:rPr>
          <w:rFonts w:cs="Times New Roman"/>
          <w:iCs/>
          <w:color w:val="000000" w:themeColor="text1"/>
        </w:rPr>
        <w:t>н терминал</w:t>
      </w:r>
      <w:r w:rsidRPr="00610B1B">
        <w:rPr>
          <w:rFonts w:cs="Times New Roman"/>
          <w:iCs/>
          <w:color w:val="000000" w:themeColor="text1"/>
        </w:rPr>
        <w:t xml:space="preserve"> Балчик;</w:t>
      </w:r>
      <w:r w:rsidRPr="00610B1B">
        <w:rPr>
          <w:rFonts w:cs="Times New Roman"/>
        </w:rPr>
        <w:t xml:space="preserve"> </w:t>
      </w:r>
      <w:r w:rsidRPr="00610B1B">
        <w:rPr>
          <w:rFonts w:cs="Times New Roman"/>
          <w:iCs/>
          <w:color w:val="000000" w:themeColor="text1"/>
        </w:rPr>
        <w:t>районите/полигони на котвените стоянки към Бургаските пристанища вкл. предназначените за танкери места и за корабите, посещаващи пристанище</w:t>
      </w:r>
      <w:r w:rsidR="004F541A">
        <w:rPr>
          <w:rFonts w:cs="Times New Roman"/>
          <w:iCs/>
          <w:color w:val="000000" w:themeColor="text1"/>
        </w:rPr>
        <w:t>н терминал</w:t>
      </w:r>
      <w:r w:rsidRPr="00610B1B">
        <w:rPr>
          <w:rFonts w:cs="Times New Roman"/>
          <w:iCs/>
          <w:color w:val="000000" w:themeColor="text1"/>
        </w:rPr>
        <w:t xml:space="preserve"> Несебър; не по-близо от </w:t>
      </w:r>
      <w:r w:rsidR="00D735AF" w:rsidRPr="00610B1B">
        <w:rPr>
          <w:rFonts w:cs="Times New Roman"/>
          <w:iCs/>
          <w:color w:val="000000" w:themeColor="text1"/>
        </w:rPr>
        <w:t>5</w:t>
      </w:r>
      <w:r w:rsidRPr="00610B1B">
        <w:rPr>
          <w:rFonts w:cs="Times New Roman"/>
          <w:iCs/>
          <w:color w:val="000000" w:themeColor="text1"/>
        </w:rPr>
        <w:t xml:space="preserve">00 метра от подводните линейни обекти на техническата инфраструктура, в малки участъци от пясъчни дъна на дълбочини между 2 и 8 метра, където </w:t>
      </w:r>
      <w:r w:rsidR="00D50057" w:rsidRPr="00610B1B">
        <w:rPr>
          <w:rFonts w:cs="Times New Roman"/>
          <w:iCs/>
          <w:color w:val="000000" w:themeColor="text1"/>
        </w:rPr>
        <w:t>присъстват</w:t>
      </w:r>
      <w:r w:rsidRPr="00610B1B">
        <w:rPr>
          <w:rFonts w:cs="Times New Roman"/>
          <w:iCs/>
          <w:color w:val="000000" w:themeColor="text1"/>
        </w:rPr>
        <w:t xml:space="preserve"> екосистемите на морските треви Zostera – важни местообитания, предмет на национално и европейско опазване, определени с плановете за управление на защитените зони по Натура 2000.</w:t>
      </w:r>
    </w:p>
    <w:p w14:paraId="3D801B41" w14:textId="77777777"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Водолазна дейност и подготовка</w:t>
      </w:r>
      <w:r w:rsidRPr="00610B1B">
        <w:rPr>
          <w:rFonts w:cs="Times New Roman"/>
          <w:iCs/>
          <w:color w:val="000000" w:themeColor="text1"/>
        </w:rPr>
        <w:t xml:space="preserve"> – в акваторията на пристанищата, с изключение на случаите за поддръжка на кораби и инфраструктура, в районите на потънали военни обекти, в районите на археологически обекти вкл. и в процес на проучване, без специално разрешение от Центъра за подводна археология, а в случаите с райони, отдадени на концесия и без съгласие на концесионера, както и в съответствие с изискванията на Наредба № 7-Н от 12 юни 2008 г. за извършване на водолазна и друга подводна дейност.</w:t>
      </w:r>
      <w:r w:rsidRPr="00610B1B">
        <w:rPr>
          <w:rStyle w:val="FootnoteReference"/>
          <w:rFonts w:cs="Times New Roman"/>
          <w:iCs/>
          <w:color w:val="000000" w:themeColor="text1"/>
        </w:rPr>
        <w:footnoteReference w:id="196"/>
      </w:r>
    </w:p>
    <w:p w14:paraId="76A252D1" w14:textId="3120803E"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Риболов с придънни средства</w:t>
      </w:r>
      <w:r w:rsidRPr="00610B1B">
        <w:rPr>
          <w:rFonts w:cs="Times New Roman"/>
          <w:iCs/>
          <w:color w:val="000000" w:themeColor="text1"/>
        </w:rPr>
        <w:t xml:space="preserve"> – в зоните на преминаване на проводи и кабели на подводна техническа инфраструктура; наличие на подводна археология и/или ценни и чувствителни дънни екосистеми; </w:t>
      </w:r>
      <w:bookmarkStart w:id="488" w:name="_Hlk47197667"/>
      <w:r w:rsidRPr="00610B1B">
        <w:rPr>
          <w:rFonts w:cs="Times New Roman"/>
          <w:iCs/>
          <w:color w:val="000000" w:themeColor="text1"/>
        </w:rPr>
        <w:t xml:space="preserve">в райони не по-близо от </w:t>
      </w:r>
      <w:r w:rsidR="00D735AF" w:rsidRPr="00610B1B">
        <w:rPr>
          <w:rFonts w:cs="Times New Roman"/>
          <w:iCs/>
          <w:color w:val="000000" w:themeColor="text1"/>
        </w:rPr>
        <w:t>5</w:t>
      </w:r>
      <w:r w:rsidRPr="00610B1B">
        <w:rPr>
          <w:rFonts w:cs="Times New Roman"/>
          <w:iCs/>
          <w:color w:val="000000" w:themeColor="text1"/>
        </w:rPr>
        <w:t>00 метра от подводните линейни обекти на техническата инфраструктура, в съответствие с изискванията на Закона за морските пространства, вътрешните водни пътища и пристанищата на Република България, Конвенцията за опазване на подводното културно наследство и съотносимите подзаконови актове;</w:t>
      </w:r>
    </w:p>
    <w:bookmarkEnd w:id="488"/>
    <w:p w14:paraId="4C5023B2" w14:textId="7FB403FB"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Драгиране</w:t>
      </w:r>
      <w:r w:rsidR="00140F67" w:rsidRPr="00610B1B">
        <w:rPr>
          <w:rFonts w:eastAsia="Times New Roman" w:cs="Times New Roman"/>
          <w:color w:val="000000" w:themeColor="text1"/>
          <w:lang w:eastAsia="bg-BG"/>
        </w:rPr>
        <w:t xml:space="preserve"> – </w:t>
      </w:r>
      <w:r w:rsidRPr="00610B1B">
        <w:rPr>
          <w:rFonts w:cs="Times New Roman"/>
          <w:iCs/>
          <w:color w:val="000000" w:themeColor="text1"/>
        </w:rPr>
        <w:t>в зоните на преминаване на проводи и кабели на подводна техническа инфраструктура; наличие на подводна археология и/или ценни и чувствителни дънни екосистеми;</w:t>
      </w:r>
      <w:r w:rsidRPr="00610B1B">
        <w:rPr>
          <w:rFonts w:cs="Times New Roman"/>
        </w:rPr>
        <w:t xml:space="preserve"> </w:t>
      </w:r>
      <w:r w:rsidRPr="00610B1B">
        <w:rPr>
          <w:rFonts w:cs="Times New Roman"/>
          <w:iCs/>
          <w:color w:val="000000" w:themeColor="text1"/>
        </w:rPr>
        <w:t xml:space="preserve">в райони не по-близо от </w:t>
      </w:r>
      <w:r w:rsidR="00D735AF" w:rsidRPr="00610B1B">
        <w:rPr>
          <w:rFonts w:cs="Times New Roman"/>
          <w:iCs/>
          <w:color w:val="000000" w:themeColor="text1"/>
        </w:rPr>
        <w:t>5</w:t>
      </w:r>
      <w:r w:rsidRPr="00610B1B">
        <w:rPr>
          <w:rFonts w:cs="Times New Roman"/>
          <w:iCs/>
          <w:color w:val="000000" w:themeColor="text1"/>
        </w:rPr>
        <w:t>00 метра от подводните линейни обекти на техническата инфраструктура;</w:t>
      </w:r>
      <w:r w:rsidRPr="00610B1B">
        <w:rPr>
          <w:rFonts w:cs="Times New Roman"/>
        </w:rPr>
        <w:t xml:space="preserve"> </w:t>
      </w:r>
      <w:r w:rsidRPr="00610B1B">
        <w:rPr>
          <w:rFonts w:cs="Times New Roman"/>
          <w:iCs/>
          <w:color w:val="000000" w:themeColor="text1"/>
        </w:rPr>
        <w:t>в съответствие с изискванията на Закона за морските пространства, вътрешните водни пътища и пристанищата на Република България, Конвенцията за опазване на подводното културно наследство и съотносимите подзаконови актове.</w:t>
      </w:r>
    </w:p>
    <w:p w14:paraId="39764299" w14:textId="013509A1"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Взривове</w:t>
      </w:r>
      <w:r w:rsidRPr="00610B1B">
        <w:rPr>
          <w:rFonts w:cs="Times New Roman"/>
          <w:iCs/>
          <w:color w:val="000000" w:themeColor="text1"/>
        </w:rPr>
        <w:t xml:space="preserve"> – в райони/полигони със съществуващ риск от взривяване на останали мини от военните действия в Черно море, в близост до зоните за преминаване на подводната</w:t>
      </w:r>
      <w:r w:rsidR="00D66FE0" w:rsidRPr="00610B1B">
        <w:rPr>
          <w:rFonts w:cs="Times New Roman"/>
          <w:iCs/>
          <w:color w:val="000000" w:themeColor="text1"/>
        </w:rPr>
        <w:t xml:space="preserve"> </w:t>
      </w:r>
      <w:r w:rsidRPr="00610B1B">
        <w:rPr>
          <w:rFonts w:cs="Times New Roman"/>
          <w:iCs/>
          <w:color w:val="000000" w:themeColor="text1"/>
        </w:rPr>
        <w:t>техническа инфраструктура, до подводна археология или до морски защитени обекти.</w:t>
      </w:r>
    </w:p>
    <w:p w14:paraId="08E5C6BF" w14:textId="507B8183"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lastRenderedPageBreak/>
        <w:t>Водни спортове и развлечения</w:t>
      </w:r>
      <w:r w:rsidRPr="00610B1B">
        <w:rPr>
          <w:rFonts w:cs="Times New Roman"/>
          <w:iCs/>
          <w:color w:val="000000" w:themeColor="text1"/>
        </w:rPr>
        <w:t xml:space="preserve"> – плаване на по-малко от </w:t>
      </w:r>
      <w:bookmarkStart w:id="489" w:name="_Hlk47191592"/>
      <w:r w:rsidRPr="00610B1B">
        <w:rPr>
          <w:rFonts w:cs="Times New Roman"/>
          <w:iCs/>
          <w:color w:val="000000" w:themeColor="text1"/>
        </w:rPr>
        <w:t>200 метра навътре в морето от обозначената зона за санитарна охрана и къпане, съгласно одобрената специализирана схема на прилежащата акватория на охраняемите морски плажове и по-малко от 300 метра от брега при неохраняеми плажове, в съответствие със Закона за устройство на Черноморското крайбрежие, Наредбата № 14 за курортните ресурси, курортните местности и курортите</w:t>
      </w:r>
      <w:r w:rsidRPr="00610B1B">
        <w:rPr>
          <w:rStyle w:val="FootnoteReference"/>
          <w:rFonts w:cs="Times New Roman"/>
          <w:iCs/>
          <w:color w:val="000000" w:themeColor="text1"/>
        </w:rPr>
        <w:footnoteReference w:id="197"/>
      </w:r>
      <w:r w:rsidRPr="00610B1B">
        <w:rPr>
          <w:rFonts w:cs="Times New Roman"/>
          <w:iCs/>
          <w:color w:val="000000" w:themeColor="text1"/>
        </w:rPr>
        <w:t xml:space="preserve"> и Наредбата за плаването и граничния режим във вътрешните морски води, в териториалното море и във вътрешните водни пътища на Република България на български и чуждестранни яхти, лодки и други плавателни средства за спорт, туризъм и развлечение, както и извършване на водноатракционни услуги с тях.</w:t>
      </w:r>
      <w:r w:rsidRPr="00610B1B">
        <w:rPr>
          <w:rStyle w:val="FootnoteReference"/>
          <w:rFonts w:cs="Times New Roman"/>
          <w:iCs/>
          <w:color w:val="000000" w:themeColor="text1"/>
        </w:rPr>
        <w:footnoteReference w:id="198"/>
      </w:r>
      <w:r w:rsidR="00D66FE0" w:rsidRPr="00610B1B">
        <w:rPr>
          <w:rFonts w:cs="Times New Roman"/>
          <w:iCs/>
          <w:color w:val="000000" w:themeColor="text1"/>
        </w:rPr>
        <w:t xml:space="preserve"> </w:t>
      </w:r>
    </w:p>
    <w:p w14:paraId="2D246F95" w14:textId="77777777" w:rsidR="00695BEA" w:rsidRPr="00610B1B" w:rsidRDefault="00695BEA" w:rsidP="00D32D6A">
      <w:pPr>
        <w:pStyle w:val="BodyText"/>
        <w:spacing w:before="0" w:after="120" w:line="276" w:lineRule="auto"/>
        <w:rPr>
          <w:rFonts w:cs="Times New Roman"/>
          <w:iCs/>
          <w:color w:val="000000" w:themeColor="text1"/>
        </w:rPr>
      </w:pPr>
    </w:p>
    <w:p w14:paraId="732184E8" w14:textId="757B1FDC" w:rsidR="00DE4B4C" w:rsidRPr="00610B1B" w:rsidRDefault="00DE4B4C" w:rsidP="00D32D6A">
      <w:pPr>
        <w:pStyle w:val="Heading3"/>
        <w:spacing w:before="0" w:line="276" w:lineRule="auto"/>
        <w:rPr>
          <w:rFonts w:cs="Times New Roman"/>
        </w:rPr>
      </w:pPr>
      <w:bookmarkStart w:id="490" w:name="_Toc83391434"/>
      <w:bookmarkEnd w:id="489"/>
      <w:r w:rsidRPr="00610B1B">
        <w:rPr>
          <w:rFonts w:cs="Times New Roman"/>
        </w:rPr>
        <w:t>6.3.2. Зони със специфичен режим на опазване</w:t>
      </w:r>
      <w:bookmarkEnd w:id="490"/>
    </w:p>
    <w:p w14:paraId="67F4A11B" w14:textId="77013D7C"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 xml:space="preserve">Зоните със специфичен режим на </w:t>
      </w:r>
      <w:r w:rsidR="002F26AA" w:rsidRPr="00610B1B">
        <w:rPr>
          <w:rFonts w:cs="Times New Roman"/>
          <w:iCs/>
          <w:color w:val="000000" w:themeColor="text1"/>
        </w:rPr>
        <w:t>опазване</w:t>
      </w:r>
      <w:r w:rsidRPr="00610B1B">
        <w:rPr>
          <w:rFonts w:cs="Times New Roman"/>
          <w:iCs/>
          <w:color w:val="000000" w:themeColor="text1"/>
        </w:rPr>
        <w:t xml:space="preserve"> (Зср) обхващат</w:t>
      </w:r>
      <w:r w:rsidR="00D66FE0" w:rsidRPr="00610B1B">
        <w:rPr>
          <w:rFonts w:cs="Times New Roman"/>
          <w:iCs/>
          <w:color w:val="000000" w:themeColor="text1"/>
        </w:rPr>
        <w:t xml:space="preserve"> </w:t>
      </w:r>
      <w:r w:rsidRPr="00610B1B">
        <w:rPr>
          <w:rFonts w:cs="Times New Roman"/>
          <w:iCs/>
          <w:color w:val="000000" w:themeColor="text1"/>
        </w:rPr>
        <w:t xml:space="preserve">морски защитени зони и защитени територии от Националната екологична мрежа и зоните за опазване на културното наследство. Към тях се включват и зоните, предложени от Института по Океанология и Института за биоразнообразие и екосистемни изследвания на БАН, които приоритетно </w:t>
      </w:r>
      <w:r w:rsidR="00AF508B" w:rsidRPr="00610B1B">
        <w:rPr>
          <w:rFonts w:cs="Times New Roman"/>
          <w:iCs/>
          <w:color w:val="000000" w:themeColor="text1"/>
        </w:rPr>
        <w:t xml:space="preserve">се </w:t>
      </w:r>
      <w:r w:rsidRPr="00610B1B">
        <w:rPr>
          <w:rFonts w:cs="Times New Roman"/>
          <w:iCs/>
          <w:color w:val="000000" w:themeColor="text1"/>
        </w:rPr>
        <w:t>използва</w:t>
      </w:r>
      <w:r w:rsidR="00AF508B" w:rsidRPr="00610B1B">
        <w:rPr>
          <w:rFonts w:cs="Times New Roman"/>
          <w:iCs/>
          <w:color w:val="000000" w:themeColor="text1"/>
        </w:rPr>
        <w:t>т</w:t>
      </w:r>
      <w:r w:rsidRPr="00610B1B">
        <w:rPr>
          <w:rFonts w:cs="Times New Roman"/>
          <w:iCs/>
          <w:color w:val="000000" w:themeColor="text1"/>
        </w:rPr>
        <w:t xml:space="preserve"> за проучване и мониторинг на състоянието на морската околна среда</w:t>
      </w:r>
      <w:r w:rsidR="00AF508B" w:rsidRPr="00610B1B">
        <w:rPr>
          <w:rFonts w:cs="Times New Roman"/>
          <w:iCs/>
          <w:color w:val="000000" w:themeColor="text1"/>
        </w:rPr>
        <w:t xml:space="preserve"> от научни институти и центрове и са</w:t>
      </w:r>
      <w:r w:rsidRPr="00610B1B">
        <w:rPr>
          <w:rFonts w:cs="Times New Roman"/>
          <w:iCs/>
          <w:color w:val="000000" w:themeColor="text1"/>
        </w:rPr>
        <w:t xml:space="preserve"> разположени в близост до изследователските им бази на българското Черноморско крайбрежие. </w:t>
      </w:r>
    </w:p>
    <w:p w14:paraId="2ED56725" w14:textId="7ED29B7B"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 xml:space="preserve">Основни цели: </w:t>
      </w:r>
      <w:r w:rsidRPr="00610B1B">
        <w:rPr>
          <w:rFonts w:cs="Times New Roman"/>
          <w:iCs/>
          <w:color w:val="000000" w:themeColor="text1"/>
        </w:rPr>
        <w:t>Съхраняване и проучване на природни и културни ценности, което да увеличи знанието на настоящите и бъдещите поколения за тяхната значимост и принос към биологичното разнообразие в морските пространства на Европа, към световната</w:t>
      </w:r>
      <w:r w:rsidR="00D66FE0" w:rsidRPr="00610B1B">
        <w:rPr>
          <w:rFonts w:cs="Times New Roman"/>
          <w:iCs/>
          <w:color w:val="000000" w:themeColor="text1"/>
        </w:rPr>
        <w:t xml:space="preserve"> </w:t>
      </w:r>
      <w:r w:rsidRPr="00610B1B">
        <w:rPr>
          <w:rFonts w:cs="Times New Roman"/>
          <w:iCs/>
          <w:color w:val="000000" w:themeColor="text1"/>
        </w:rPr>
        <w:t>и националната история.</w:t>
      </w:r>
    </w:p>
    <w:p w14:paraId="4BE2C437" w14:textId="73E675DF"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 xml:space="preserve">Режими на ползване: </w:t>
      </w:r>
      <w:r w:rsidRPr="00610B1B">
        <w:rPr>
          <w:rFonts w:cs="Times New Roman"/>
          <w:iCs/>
          <w:color w:val="000000" w:themeColor="text1"/>
        </w:rPr>
        <w:t>Режимите за достъп и ползване на защитени зони и защитени територии от НЕМ се определят в съответствие с техния статут, решението</w:t>
      </w:r>
      <w:r w:rsidR="00AF508B" w:rsidRPr="00610B1B">
        <w:rPr>
          <w:rFonts w:cs="Times New Roman"/>
          <w:iCs/>
          <w:color w:val="000000" w:themeColor="text1"/>
        </w:rPr>
        <w:t>/заповедта</w:t>
      </w:r>
      <w:r w:rsidRPr="00610B1B">
        <w:rPr>
          <w:rFonts w:cs="Times New Roman"/>
          <w:iCs/>
          <w:color w:val="000000" w:themeColor="text1"/>
        </w:rPr>
        <w:t xml:space="preserve"> за обявяването им и ограниченията съгласно стандартните формуляри. Те се съобразяват с международните конвенции, ратифицирани от Р. България, Директивите на Европейския съюз за местообитанията и за птиците, националните законови и подзаконови актове</w:t>
      </w:r>
      <w:r w:rsidR="00AF508B" w:rsidRPr="00610B1B">
        <w:rPr>
          <w:rFonts w:cs="Times New Roman"/>
          <w:iCs/>
          <w:color w:val="000000" w:themeColor="text1"/>
        </w:rPr>
        <w:t xml:space="preserve"> и с Плановете за управление, където такива са изготвени и одобрени</w:t>
      </w:r>
      <w:r w:rsidRPr="00610B1B">
        <w:rPr>
          <w:rFonts w:cs="Times New Roman"/>
          <w:iCs/>
          <w:color w:val="000000" w:themeColor="text1"/>
        </w:rPr>
        <w:t xml:space="preserve">. </w:t>
      </w:r>
    </w:p>
    <w:p w14:paraId="558E60A6" w14:textId="77777777" w:rsidR="00DE4B4C" w:rsidRPr="00610B1B" w:rsidRDefault="00DE4B4C" w:rsidP="00D32D6A">
      <w:pPr>
        <w:pStyle w:val="BodyText"/>
        <w:spacing w:before="0" w:after="120" w:line="276" w:lineRule="auto"/>
        <w:rPr>
          <w:rFonts w:cs="Times New Roman"/>
          <w:i/>
          <w:color w:val="000000" w:themeColor="text1"/>
        </w:rPr>
      </w:pPr>
      <w:r w:rsidRPr="00610B1B">
        <w:rPr>
          <w:rFonts w:cs="Times New Roman"/>
          <w:i/>
          <w:color w:val="000000" w:themeColor="text1"/>
        </w:rPr>
        <w:t>Забранени дейности:</w:t>
      </w:r>
    </w:p>
    <w:p w14:paraId="4C74BF2E" w14:textId="77777777" w:rsidR="00AF508B"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В зоните със специфичен режим на опазване на природни ценности (Зср-НЕМ) се прилагат изискванията на Директива</w:t>
      </w:r>
      <w:r w:rsidRPr="00610B1B">
        <w:rPr>
          <w:rFonts w:cs="Times New Roman"/>
        </w:rPr>
        <w:t xml:space="preserve"> </w:t>
      </w:r>
      <w:r w:rsidRPr="00610B1B">
        <w:rPr>
          <w:rFonts w:cs="Times New Roman"/>
          <w:iCs/>
          <w:color w:val="000000" w:themeColor="text1"/>
        </w:rPr>
        <w:t xml:space="preserve">2009/147/ЕО на Европейския парламент и на Съвета относно опазването на дивите птици (SPA) и Директива 92/43/ЕИО на Съвета за опазване на естествените местообитания и на дивата флора и фауна (SCI), на Закона за опазване на околната среда, Закона за биологичното разнообразие, Закона за защитените територии, Наредбата за опазване на околната среда в морските води и други съотносими подзаконови актове. </w:t>
      </w:r>
    </w:p>
    <w:p w14:paraId="521EA502" w14:textId="4D1BC915"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 xml:space="preserve">В тези зони се забранява: добив на пясък, чакъл или камък; добив на миди, рапани и риболов чрез дънно тралене; драгиране и депониране на драгажни маси; </w:t>
      </w:r>
      <w:r w:rsidRPr="00610B1B">
        <w:rPr>
          <w:rFonts w:cs="Times New Roman"/>
          <w:iCs/>
          <w:color w:val="000000" w:themeColor="text1"/>
        </w:rPr>
        <w:lastRenderedPageBreak/>
        <w:t>пребаластирането на кораби в морските пространства в зоната; изграждането на изкуствени подводни рифове и острови върху местообитанията, предмет на опазване; търсенето и проучването на полезни изкопаеми.</w:t>
      </w:r>
    </w:p>
    <w:p w14:paraId="7CAD1C5C" w14:textId="4829B976"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Във всяка зона се налагат забраните, определени в Плановете за управление на съответната защитена територия или защитена зона, а при липса на такъв, от</w:t>
      </w:r>
      <w:r w:rsidR="00D66FE0" w:rsidRPr="00610B1B">
        <w:rPr>
          <w:rFonts w:cs="Times New Roman"/>
          <w:iCs/>
          <w:color w:val="000000" w:themeColor="text1"/>
        </w:rPr>
        <w:t xml:space="preserve"> </w:t>
      </w:r>
      <w:r w:rsidRPr="00610B1B">
        <w:rPr>
          <w:rFonts w:cs="Times New Roman"/>
          <w:iCs/>
          <w:color w:val="000000" w:themeColor="text1"/>
        </w:rPr>
        <w:t>заповедите за обявяване, обнародвани в Държавен вестник, или съгласно Стандартния формуляр Натура 2000 от регистъра на защитените територии и защитените зони в България.</w:t>
      </w:r>
      <w:r w:rsidRPr="00610B1B">
        <w:rPr>
          <w:rStyle w:val="FootnoteReference"/>
          <w:rFonts w:cs="Times New Roman"/>
          <w:iCs/>
          <w:color w:val="000000" w:themeColor="text1"/>
        </w:rPr>
        <w:footnoteReference w:id="199"/>
      </w:r>
      <w:r w:rsidR="00D66FE0" w:rsidRPr="00610B1B">
        <w:rPr>
          <w:rFonts w:cs="Times New Roman"/>
          <w:iCs/>
          <w:color w:val="000000" w:themeColor="text1"/>
        </w:rPr>
        <w:t xml:space="preserve"> </w:t>
      </w:r>
    </w:p>
    <w:p w14:paraId="1825DF13" w14:textId="77777777"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В зоните със специфичен режим за опазване на културните ценности (Зср-КИН) се прилагат изискванията на Конвенцията за опазване на подводното културно наследство и принципите, описани в приложените Правила относно намесите в подводното културно наследство, Закона за културното наследство и Плановете за опазване и управление, където съществуват. Забраните в тези зони обхващат: проучвания, които има вероятност да увредят морското дъно или местообитанията на неговите обитатели; тралене, драгиране и риболов с придънни средства; депониране на драгажна маса; водолазна дейност, освен тази за целите на проучването и опазването на културните ценности; търсене и проучване на полезни изкопаеми; заставане на котва.</w:t>
      </w:r>
    </w:p>
    <w:p w14:paraId="7FEB93DF" w14:textId="2DE6002A"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 xml:space="preserve"> В тази категория следва да се включат и охранителните зони на Несебър и Созопол с широчина от 1 km, както и други подобни с широчина 500 m, отразени в приетите</w:t>
      </w:r>
      <w:r w:rsidR="00D66FE0" w:rsidRPr="00610B1B">
        <w:rPr>
          <w:rFonts w:cs="Times New Roman"/>
          <w:iCs/>
          <w:color w:val="000000" w:themeColor="text1"/>
        </w:rPr>
        <w:t xml:space="preserve"> </w:t>
      </w:r>
      <w:r w:rsidRPr="00610B1B">
        <w:rPr>
          <w:rFonts w:cs="Times New Roman"/>
          <w:iCs/>
          <w:color w:val="000000" w:themeColor="text1"/>
        </w:rPr>
        <w:t>или в процедура по приемане Общи устройствени планове на крайбрежните общини.</w:t>
      </w:r>
    </w:p>
    <w:p w14:paraId="6BA1057A" w14:textId="77777777" w:rsidR="00695BEA" w:rsidRPr="00610B1B" w:rsidRDefault="00695BEA" w:rsidP="00D32D6A">
      <w:pPr>
        <w:pStyle w:val="BodyText"/>
        <w:spacing w:before="0" w:after="120" w:line="276" w:lineRule="auto"/>
        <w:rPr>
          <w:rFonts w:cs="Times New Roman"/>
          <w:iCs/>
          <w:color w:val="000000" w:themeColor="text1"/>
        </w:rPr>
      </w:pPr>
    </w:p>
    <w:p w14:paraId="65828E9F" w14:textId="58FD8210" w:rsidR="00DE4B4C" w:rsidRPr="00610B1B" w:rsidRDefault="00DE4B4C" w:rsidP="00D32D6A">
      <w:pPr>
        <w:pStyle w:val="Heading3"/>
        <w:spacing w:before="0" w:line="276" w:lineRule="auto"/>
        <w:rPr>
          <w:rFonts w:cs="Times New Roman"/>
        </w:rPr>
      </w:pPr>
      <w:bookmarkStart w:id="491" w:name="_Toc83391435"/>
      <w:r w:rsidRPr="00610B1B">
        <w:rPr>
          <w:rFonts w:cs="Times New Roman"/>
        </w:rPr>
        <w:t>6.3.3. Мултифункционални зони</w:t>
      </w:r>
      <w:bookmarkEnd w:id="491"/>
    </w:p>
    <w:p w14:paraId="5CA65C67" w14:textId="5963E93C"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 xml:space="preserve">Мултифункционалните зони </w:t>
      </w:r>
      <w:r w:rsidR="008371A2" w:rsidRPr="00610B1B">
        <w:rPr>
          <w:rFonts w:cs="Times New Roman"/>
          <w:iCs/>
          <w:color w:val="000000" w:themeColor="text1"/>
        </w:rPr>
        <w:t xml:space="preserve">(Змф) </w:t>
      </w:r>
      <w:r w:rsidRPr="00610B1B">
        <w:rPr>
          <w:rFonts w:cs="Times New Roman"/>
          <w:iCs/>
          <w:color w:val="000000" w:themeColor="text1"/>
        </w:rPr>
        <w:t xml:space="preserve">отговарят на използваните в други страни „зони за общо ползване“, в които се съчетават безконфликтно няколко различни съвместими функции в определеното морско пространство. По същество и в момента почти всички национални морски пространства съчетават няколко функции, с изключение за зоните със забранен достъп. Възможни са всякакви съчетания с изключение на такива, със специфични законово регламентирани ограничения. Ограниченията, с които се съобразява интегрирането на функциите в тези зони са общи, произтичащи от международното и европейско право и от националната правна уредба, и специфични, които са свързани с развитие на отделни сектори на морската икономика. </w:t>
      </w:r>
    </w:p>
    <w:p w14:paraId="7533B1CF" w14:textId="1E85DEA2"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Възможни съчетания в Морския пространствен план на Република България 2021-2035 са зони за опазване на културното наследство и туризъм, зони за опазване на културното наследство и морски защитени зони от екологичната мрежа Натура 2000, или съчетание на трите функции, при съобразяване със специфичните ограничения и охранителните зони на културните ценности, ограничителните режими на защитените зони от заповедите на обявяването им. Логично е научноизследователската дейност да се съчетава със защитените зони,</w:t>
      </w:r>
      <w:r w:rsidRPr="00610B1B">
        <w:rPr>
          <w:rFonts w:cs="Times New Roman"/>
        </w:rPr>
        <w:t xml:space="preserve"> с изключение на </w:t>
      </w:r>
      <w:r w:rsidR="003C41B4" w:rsidRPr="00610B1B">
        <w:rPr>
          <w:rFonts w:cs="Times New Roman"/>
          <w:iCs/>
          <w:color w:val="000000" w:themeColor="text1"/>
        </w:rPr>
        <w:t>научноизследователския</w:t>
      </w:r>
      <w:r w:rsidRPr="00610B1B">
        <w:rPr>
          <w:rFonts w:cs="Times New Roman"/>
          <w:iCs/>
          <w:color w:val="000000" w:themeColor="text1"/>
        </w:rPr>
        <w:t xml:space="preserve"> риболов с ‘бийм трал’, и с опазване и проучване на културното наследство на брега и под вода, при същите условия. </w:t>
      </w:r>
    </w:p>
    <w:p w14:paraId="5B393C99" w14:textId="44892CB5"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lastRenderedPageBreak/>
        <w:t xml:space="preserve">Основни цели: </w:t>
      </w:r>
      <w:r w:rsidRPr="00610B1B">
        <w:rPr>
          <w:rFonts w:cs="Times New Roman"/>
          <w:iCs/>
          <w:color w:val="000000" w:themeColor="text1"/>
        </w:rPr>
        <w:t>Безконфликтно съчетаване на съвместими функции за по-ефективно използване на морските пространства; постигане на положителна синергия и икономия на пространство и от мащаба</w:t>
      </w:r>
      <w:r w:rsidR="00F561A8" w:rsidRPr="00610B1B">
        <w:rPr>
          <w:rFonts w:cs="Times New Roman"/>
          <w:iCs/>
          <w:color w:val="000000" w:themeColor="text1"/>
        </w:rPr>
        <w:t>;</w:t>
      </w:r>
      <w:r w:rsidRPr="00610B1B">
        <w:rPr>
          <w:rFonts w:cs="Times New Roman"/>
          <w:iCs/>
          <w:color w:val="000000" w:themeColor="text1"/>
        </w:rPr>
        <w:t xml:space="preserve"> и по-добро координиране на секторните политики, свързани с морето.</w:t>
      </w:r>
    </w:p>
    <w:p w14:paraId="3DD690B9" w14:textId="77777777" w:rsidR="00DE4B4C" w:rsidRPr="00610B1B" w:rsidRDefault="00DE4B4C" w:rsidP="00D32D6A">
      <w:pPr>
        <w:pStyle w:val="BodyText"/>
        <w:spacing w:before="0" w:after="120" w:line="276" w:lineRule="auto"/>
        <w:rPr>
          <w:rFonts w:cs="Times New Roman"/>
          <w:i/>
          <w:color w:val="000000" w:themeColor="text1"/>
        </w:rPr>
      </w:pPr>
      <w:r w:rsidRPr="00610B1B">
        <w:rPr>
          <w:rFonts w:cs="Times New Roman"/>
          <w:i/>
          <w:color w:val="000000" w:themeColor="text1"/>
        </w:rPr>
        <w:t>Режими на ползване:</w:t>
      </w:r>
    </w:p>
    <w:p w14:paraId="6B7AEC8F" w14:textId="77777777"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Режимите на ползване на мултифункционалните зони се определят от възможните съчетания, в основата на които могат да бъдат следните дейности:</w:t>
      </w:r>
    </w:p>
    <w:p w14:paraId="65D2249B" w14:textId="7FB095A9" w:rsidR="00DE4B4C" w:rsidRPr="00610B1B" w:rsidRDefault="000B7E9C" w:rsidP="00D32D6A">
      <w:pPr>
        <w:pStyle w:val="BodyText"/>
        <w:spacing w:before="0" w:after="120" w:line="276" w:lineRule="auto"/>
        <w:rPr>
          <w:rFonts w:cs="Times New Roman"/>
          <w:iCs/>
          <w:color w:val="000000" w:themeColor="text1"/>
        </w:rPr>
      </w:pPr>
      <w:r w:rsidRPr="00610B1B">
        <w:rPr>
          <w:rFonts w:cs="Times New Roman"/>
          <w:i/>
          <w:color w:val="000000" w:themeColor="text1"/>
        </w:rPr>
        <w:t>Морски транспорт</w:t>
      </w:r>
      <w:r w:rsidR="00DE4B4C" w:rsidRPr="00610B1B">
        <w:rPr>
          <w:rFonts w:cs="Times New Roman"/>
          <w:i/>
          <w:color w:val="000000" w:themeColor="text1"/>
        </w:rPr>
        <w:t xml:space="preserve"> и риболов</w:t>
      </w:r>
      <w:r w:rsidRPr="00610B1B">
        <w:rPr>
          <w:rFonts w:cs="Times New Roman"/>
          <w:iCs/>
          <w:color w:val="000000" w:themeColor="text1"/>
        </w:rPr>
        <w:t xml:space="preserve"> (Змф-Мтр</w:t>
      </w:r>
      <w:r w:rsidR="00DE4B4C" w:rsidRPr="00610B1B">
        <w:rPr>
          <w:rFonts w:cs="Times New Roman"/>
          <w:iCs/>
          <w:color w:val="000000" w:themeColor="text1"/>
        </w:rPr>
        <w:t>,</w:t>
      </w:r>
      <w:r w:rsidRPr="00610B1B">
        <w:rPr>
          <w:rFonts w:cs="Times New Roman"/>
          <w:iCs/>
          <w:color w:val="000000" w:themeColor="text1"/>
        </w:rPr>
        <w:t xml:space="preserve"> </w:t>
      </w:r>
      <w:r w:rsidR="00DE4B4C" w:rsidRPr="00610B1B">
        <w:rPr>
          <w:rFonts w:cs="Times New Roman"/>
          <w:iCs/>
          <w:color w:val="000000" w:themeColor="text1"/>
        </w:rPr>
        <w:t>Р) – За безконфликтното им съчетаване се спазват изискванията на Конвенцията на Организацията на обединените нации по морско право, на Закона за морските пространства, вътрешните водни пътища и пристанищата на Република България, ограниченията на Системата за разделно движение, Закона за рибарството и аквакултурите. Риболовът се осъществява по начин, който гарантира опазването на биоразнообразието и рибните ресурси и спазването на правилата за любителския риболов, рибностопанските дейности и отглеждането на аквакултури и други морски организми.</w:t>
      </w:r>
      <w:r w:rsidR="00C415D1" w:rsidRPr="00610B1B">
        <w:rPr>
          <w:rFonts w:cs="Times New Roman"/>
          <w:iCs/>
          <w:color w:val="000000" w:themeColor="text1"/>
        </w:rPr>
        <w:t xml:space="preserve"> </w:t>
      </w:r>
    </w:p>
    <w:p w14:paraId="49D3357C" w14:textId="41F908E0" w:rsidR="00DE4B4C" w:rsidRPr="00610B1B" w:rsidRDefault="000B7E9C" w:rsidP="00D32D6A">
      <w:pPr>
        <w:pStyle w:val="BodyText"/>
        <w:spacing w:before="0" w:after="120" w:line="276" w:lineRule="auto"/>
        <w:rPr>
          <w:rFonts w:cs="Times New Roman"/>
          <w:iCs/>
          <w:color w:val="000000" w:themeColor="text1"/>
        </w:rPr>
      </w:pPr>
      <w:r w:rsidRPr="00610B1B">
        <w:rPr>
          <w:rFonts w:cs="Times New Roman"/>
          <w:i/>
          <w:color w:val="000000" w:themeColor="text1"/>
        </w:rPr>
        <w:t>Морски транспорт</w:t>
      </w:r>
      <w:r w:rsidR="00DE4B4C" w:rsidRPr="00610B1B">
        <w:rPr>
          <w:rFonts w:cs="Times New Roman"/>
          <w:i/>
          <w:color w:val="000000" w:themeColor="text1"/>
        </w:rPr>
        <w:t>, риболов и туризъм</w:t>
      </w:r>
      <w:r w:rsidRPr="00610B1B">
        <w:rPr>
          <w:rFonts w:cs="Times New Roman"/>
          <w:iCs/>
          <w:color w:val="000000" w:themeColor="text1"/>
        </w:rPr>
        <w:t xml:space="preserve"> (Змф-Мтр</w:t>
      </w:r>
      <w:r w:rsidR="00DE4B4C" w:rsidRPr="00610B1B">
        <w:rPr>
          <w:rFonts w:cs="Times New Roman"/>
          <w:iCs/>
          <w:color w:val="000000" w:themeColor="text1"/>
        </w:rPr>
        <w:t>,</w:t>
      </w:r>
      <w:r w:rsidRPr="00610B1B">
        <w:rPr>
          <w:rFonts w:cs="Times New Roman"/>
          <w:iCs/>
          <w:color w:val="000000" w:themeColor="text1"/>
        </w:rPr>
        <w:t xml:space="preserve"> </w:t>
      </w:r>
      <w:r w:rsidR="00DE4B4C" w:rsidRPr="00610B1B">
        <w:rPr>
          <w:rFonts w:cs="Times New Roman"/>
          <w:iCs/>
          <w:color w:val="000000" w:themeColor="text1"/>
        </w:rPr>
        <w:t>Р,</w:t>
      </w:r>
      <w:r w:rsidRPr="00610B1B">
        <w:rPr>
          <w:rFonts w:cs="Times New Roman"/>
          <w:iCs/>
          <w:color w:val="000000" w:themeColor="text1"/>
        </w:rPr>
        <w:t xml:space="preserve"> </w:t>
      </w:r>
      <w:r w:rsidR="00DE4B4C" w:rsidRPr="00610B1B">
        <w:rPr>
          <w:rFonts w:cs="Times New Roman"/>
          <w:iCs/>
          <w:color w:val="000000" w:themeColor="text1"/>
        </w:rPr>
        <w:t>Т) – При допълване на още една дейност – туризъм, съответно се увеличават правилата, които трябва да бъдат спазвани с оглед опазване на морската среда и биоразнообразието в нея, на рибните ресурси, и същевременно</w:t>
      </w:r>
      <w:r w:rsidR="00D66FE0" w:rsidRPr="00610B1B">
        <w:rPr>
          <w:rFonts w:cs="Times New Roman"/>
          <w:iCs/>
          <w:color w:val="000000" w:themeColor="text1"/>
        </w:rPr>
        <w:t xml:space="preserve"> </w:t>
      </w:r>
      <w:r w:rsidR="00DE4B4C" w:rsidRPr="00610B1B">
        <w:rPr>
          <w:rFonts w:cs="Times New Roman"/>
          <w:iCs/>
          <w:color w:val="000000" w:themeColor="text1"/>
        </w:rPr>
        <w:t>с това, намиране на баланс между тези дейност за дългосрочното им устойчиво развитие и обогатяване на дейностите в сферата на туризма.</w:t>
      </w:r>
    </w:p>
    <w:p w14:paraId="46B7B475" w14:textId="7462AEB6"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Туризъм и културно наследство</w:t>
      </w:r>
      <w:r w:rsidRPr="00610B1B">
        <w:rPr>
          <w:rFonts w:cs="Times New Roman"/>
          <w:iCs/>
          <w:color w:val="000000" w:themeColor="text1"/>
        </w:rPr>
        <w:t xml:space="preserve"> (Змф-Т,</w:t>
      </w:r>
      <w:r w:rsidR="000B7E9C" w:rsidRPr="00610B1B">
        <w:rPr>
          <w:rFonts w:cs="Times New Roman"/>
          <w:iCs/>
          <w:color w:val="000000" w:themeColor="text1"/>
        </w:rPr>
        <w:t xml:space="preserve"> </w:t>
      </w:r>
      <w:r w:rsidRPr="00610B1B">
        <w:rPr>
          <w:rFonts w:cs="Times New Roman"/>
          <w:iCs/>
          <w:color w:val="000000" w:themeColor="text1"/>
        </w:rPr>
        <w:t>КИН) – Съчетаването на тези две дейности се осъществява в условията на преимуществено опазване на целостта на културните ценности и съблюдаване на правилата за безопасност на туристите.</w:t>
      </w:r>
    </w:p>
    <w:p w14:paraId="1092C140" w14:textId="7FA1E6DF"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Научни изследвания, културно наследство, защитени територии и защитени зони</w:t>
      </w:r>
      <w:r w:rsidRPr="00610B1B">
        <w:rPr>
          <w:rFonts w:cs="Times New Roman"/>
          <w:iCs/>
          <w:color w:val="000000" w:themeColor="text1"/>
        </w:rPr>
        <w:t xml:space="preserve"> (Змф-НИ, КИН, НЕМ) – Логичното съчетаване на тези три дейности създава условия за синергия, за икономия от мащаба и интегриране на финансови източници и ресурси за провеждане на научни изследвания в зони с различен статут, степен и специфика на защита, с различна значимост и достъпност.</w:t>
      </w:r>
      <w:r w:rsidR="00D66FE0" w:rsidRPr="00610B1B">
        <w:rPr>
          <w:rFonts w:cs="Times New Roman"/>
          <w:iCs/>
          <w:color w:val="000000" w:themeColor="text1"/>
        </w:rPr>
        <w:t xml:space="preserve"> </w:t>
      </w:r>
    </w:p>
    <w:p w14:paraId="690C786F" w14:textId="2544CB03"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Възможни са и други съчетания в отделни участъци и райони от морските пространства, които вероятно ще се увеличават в бъдеще, повишавайки синергич</w:t>
      </w:r>
      <w:r w:rsidR="00D50057" w:rsidRPr="00610B1B">
        <w:rPr>
          <w:rFonts w:cs="Times New Roman"/>
          <w:iCs/>
          <w:color w:val="000000" w:themeColor="text1"/>
        </w:rPr>
        <w:t>н</w:t>
      </w:r>
      <w:r w:rsidRPr="00610B1B">
        <w:rPr>
          <w:rFonts w:cs="Times New Roman"/>
          <w:iCs/>
          <w:color w:val="000000" w:themeColor="text1"/>
        </w:rPr>
        <w:t>ия ефект от използването на ресурсите на Черно море. Всички те се осъществяват, отчитайки съотносимото законодателство, обхващащо общи и специфични международни, европейски и национални актове</w:t>
      </w:r>
      <w:r w:rsidR="00F561A8" w:rsidRPr="00610B1B">
        <w:rPr>
          <w:rFonts w:cs="Times New Roman"/>
          <w:iCs/>
          <w:color w:val="000000" w:themeColor="text1"/>
        </w:rPr>
        <w:t xml:space="preserve"> и се развиват паралелно с увеличаване на научните изследвания и знанията за морето</w:t>
      </w:r>
      <w:r w:rsidRPr="00610B1B">
        <w:rPr>
          <w:rFonts w:cs="Times New Roman"/>
          <w:iCs/>
          <w:color w:val="000000" w:themeColor="text1"/>
        </w:rPr>
        <w:t>.</w:t>
      </w:r>
    </w:p>
    <w:p w14:paraId="1E751F68" w14:textId="77777777" w:rsidR="00DE4B4C" w:rsidRPr="00610B1B" w:rsidRDefault="00DE4B4C" w:rsidP="00D32D6A">
      <w:pPr>
        <w:pStyle w:val="BodyText"/>
        <w:spacing w:before="0" w:after="120" w:line="276" w:lineRule="auto"/>
        <w:rPr>
          <w:rFonts w:cs="Times New Roman"/>
          <w:iCs/>
          <w:color w:val="000000" w:themeColor="text1"/>
        </w:rPr>
      </w:pPr>
    </w:p>
    <w:p w14:paraId="0E428D89" w14:textId="2C0DB9A3" w:rsidR="00DE4B4C" w:rsidRPr="00610B1B" w:rsidRDefault="00DE4B4C" w:rsidP="00D32D6A">
      <w:pPr>
        <w:pStyle w:val="Heading3"/>
        <w:spacing w:before="0" w:line="276" w:lineRule="auto"/>
        <w:rPr>
          <w:rFonts w:cs="Times New Roman"/>
        </w:rPr>
      </w:pPr>
      <w:bookmarkStart w:id="492" w:name="_Toc83391436"/>
      <w:r w:rsidRPr="00610B1B">
        <w:rPr>
          <w:rFonts w:cs="Times New Roman"/>
        </w:rPr>
        <w:t>6.3.4. Зони за бъдещи ползвания</w:t>
      </w:r>
      <w:bookmarkEnd w:id="492"/>
    </w:p>
    <w:p w14:paraId="2A3C6F74" w14:textId="6B0B1DD4"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 xml:space="preserve">Определянето на такива зони </w:t>
      </w:r>
      <w:r w:rsidR="008371A2" w:rsidRPr="00610B1B">
        <w:rPr>
          <w:rFonts w:cs="Times New Roman"/>
          <w:iCs/>
          <w:color w:val="000000" w:themeColor="text1"/>
        </w:rPr>
        <w:t xml:space="preserve">(Збп) </w:t>
      </w:r>
      <w:r w:rsidRPr="00610B1B">
        <w:rPr>
          <w:rFonts w:cs="Times New Roman"/>
          <w:iCs/>
          <w:color w:val="000000" w:themeColor="text1"/>
        </w:rPr>
        <w:t xml:space="preserve">се налага поради идентифицираните пропуски в познанието за отдалечените части от акваторията и морските пространства, в които по-големите дълбочини изискват специфични технологии и оборудване и значителен ресурс за научни изследвания, които впоследствие обосновават ползвания със значение </w:t>
      </w:r>
      <w:r w:rsidRPr="00610B1B">
        <w:rPr>
          <w:rFonts w:cs="Times New Roman"/>
          <w:iCs/>
          <w:color w:val="000000" w:themeColor="text1"/>
        </w:rPr>
        <w:lastRenderedPageBreak/>
        <w:t xml:space="preserve">за знанието и за синята икономика. </w:t>
      </w:r>
      <w:r w:rsidR="00F561A8" w:rsidRPr="00610B1B">
        <w:rPr>
          <w:rFonts w:cs="Times New Roman"/>
          <w:iCs/>
          <w:color w:val="000000" w:themeColor="text1"/>
        </w:rPr>
        <w:t>П</w:t>
      </w:r>
      <w:r w:rsidRPr="00610B1B">
        <w:rPr>
          <w:rFonts w:cs="Times New Roman"/>
          <w:iCs/>
          <w:color w:val="000000" w:themeColor="text1"/>
        </w:rPr>
        <w:t xml:space="preserve">одобни проучвания се осъществяват в колаборация с различни научни институции, големи компании и международни организации. Поради ограничената информация за потенциала на подобни зони в момента са идентифицирани само такива, които могат да съчетаят и друг вид мащабни научно-изследователски проекти. Те се нуждаят от прецизиране в процеса на публичните консултации. </w:t>
      </w:r>
    </w:p>
    <w:p w14:paraId="6B8C6ED5" w14:textId="4DDD0EED"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
          <w:color w:val="000000" w:themeColor="text1"/>
        </w:rPr>
        <w:t xml:space="preserve">Основни цели: </w:t>
      </w:r>
      <w:r w:rsidRPr="00610B1B">
        <w:rPr>
          <w:rFonts w:cs="Times New Roman"/>
          <w:iCs/>
          <w:color w:val="000000" w:themeColor="text1"/>
        </w:rPr>
        <w:t>Разкриване на потенциала на морските пространства извън обхвата на териториалното море и прилежащата зона за допълване на знанието и пълноценно използване на ресурсите</w:t>
      </w:r>
      <w:r w:rsidR="00F561A8" w:rsidRPr="00610B1B">
        <w:rPr>
          <w:rFonts w:cs="Times New Roman"/>
          <w:iCs/>
          <w:color w:val="000000" w:themeColor="text1"/>
        </w:rPr>
        <w:t xml:space="preserve"> на Черно море</w:t>
      </w:r>
      <w:r w:rsidRPr="00610B1B">
        <w:rPr>
          <w:rFonts w:cs="Times New Roman"/>
          <w:iCs/>
          <w:color w:val="000000" w:themeColor="text1"/>
        </w:rPr>
        <w:t xml:space="preserve">. </w:t>
      </w:r>
    </w:p>
    <w:p w14:paraId="0584DC57" w14:textId="77777777" w:rsidR="00DE4B4C" w:rsidRPr="00610B1B" w:rsidRDefault="00DE4B4C" w:rsidP="00D32D6A">
      <w:pPr>
        <w:pStyle w:val="BodyText"/>
        <w:spacing w:before="0" w:after="120" w:line="276" w:lineRule="auto"/>
        <w:rPr>
          <w:rFonts w:cs="Times New Roman"/>
          <w:i/>
          <w:color w:val="000000" w:themeColor="text1"/>
        </w:rPr>
      </w:pPr>
      <w:r w:rsidRPr="00610B1B">
        <w:rPr>
          <w:rFonts w:cs="Times New Roman"/>
          <w:i/>
          <w:color w:val="000000" w:themeColor="text1"/>
        </w:rPr>
        <w:t>Режими на ползване:</w:t>
      </w:r>
    </w:p>
    <w:p w14:paraId="5505ABED" w14:textId="35130C7D" w:rsidR="00DE4B4C" w:rsidRPr="00610B1B" w:rsidRDefault="00DE4B4C" w:rsidP="00D32D6A">
      <w:pPr>
        <w:pStyle w:val="BodyText"/>
        <w:spacing w:before="0" w:after="120" w:line="276" w:lineRule="auto"/>
        <w:rPr>
          <w:rFonts w:cs="Times New Roman"/>
          <w:iCs/>
          <w:color w:val="000000" w:themeColor="text1"/>
        </w:rPr>
      </w:pPr>
      <w:r w:rsidRPr="00610B1B">
        <w:rPr>
          <w:rFonts w:cs="Times New Roman"/>
          <w:iCs/>
          <w:color w:val="000000" w:themeColor="text1"/>
        </w:rPr>
        <w:t>Достъпа до тези зони и режимите за ползване се осъществяват в съответствие с международните конвенции и протоколи, Европейските регламенти и Директиви</w:t>
      </w:r>
      <w:r w:rsidR="00F561A8" w:rsidRPr="00610B1B">
        <w:rPr>
          <w:rFonts w:cs="Times New Roman"/>
          <w:iCs/>
          <w:color w:val="000000" w:themeColor="text1"/>
        </w:rPr>
        <w:t>,</w:t>
      </w:r>
      <w:r w:rsidRPr="00610B1B">
        <w:rPr>
          <w:rFonts w:cs="Times New Roman"/>
          <w:iCs/>
          <w:color w:val="000000" w:themeColor="text1"/>
        </w:rPr>
        <w:t xml:space="preserve"> свързани с опазване на морската среда, на водите, на биоразнообразието и на създаване на рамка за морско пространствено планиране, със Закона за морските пространства, вътрешните водни пътища и пристанищата на Република България</w:t>
      </w:r>
      <w:r w:rsidR="008E6E49" w:rsidRPr="00610B1B">
        <w:rPr>
          <w:rFonts w:cs="Times New Roman"/>
          <w:iCs/>
          <w:color w:val="000000" w:themeColor="text1"/>
        </w:rPr>
        <w:t>, Закона за водите, Закона за опазване на околн</w:t>
      </w:r>
      <w:r w:rsidR="00F561A8" w:rsidRPr="00610B1B">
        <w:rPr>
          <w:rFonts w:cs="Times New Roman"/>
          <w:iCs/>
          <w:color w:val="000000" w:themeColor="text1"/>
        </w:rPr>
        <w:t>а</w:t>
      </w:r>
      <w:r w:rsidR="008E6E49" w:rsidRPr="00610B1B">
        <w:rPr>
          <w:rFonts w:cs="Times New Roman"/>
          <w:iCs/>
          <w:color w:val="000000" w:themeColor="text1"/>
        </w:rPr>
        <w:t>та среда, Закона за рибарството и аквакултурите</w:t>
      </w:r>
      <w:r w:rsidRPr="00610B1B">
        <w:rPr>
          <w:rFonts w:cs="Times New Roman"/>
          <w:iCs/>
          <w:color w:val="000000" w:themeColor="text1"/>
        </w:rPr>
        <w:t xml:space="preserve"> и свързаните с </w:t>
      </w:r>
      <w:r w:rsidR="008E6E49" w:rsidRPr="00610B1B">
        <w:rPr>
          <w:rFonts w:cs="Times New Roman"/>
          <w:iCs/>
          <w:color w:val="000000" w:themeColor="text1"/>
        </w:rPr>
        <w:t>тях</w:t>
      </w:r>
      <w:r w:rsidRPr="00610B1B">
        <w:rPr>
          <w:rFonts w:cs="Times New Roman"/>
          <w:iCs/>
          <w:color w:val="000000" w:themeColor="text1"/>
        </w:rPr>
        <w:t xml:space="preserve"> подзаконови актове.</w:t>
      </w:r>
      <w:r w:rsidR="00D66FE0" w:rsidRPr="00610B1B">
        <w:rPr>
          <w:rFonts w:cs="Times New Roman"/>
          <w:iCs/>
          <w:color w:val="000000" w:themeColor="text1"/>
        </w:rPr>
        <w:t xml:space="preserve"> </w:t>
      </w:r>
      <w:r w:rsidR="008E6E49" w:rsidRPr="00610B1B">
        <w:rPr>
          <w:rFonts w:cs="Times New Roman"/>
          <w:iCs/>
          <w:color w:val="000000" w:themeColor="text1"/>
        </w:rPr>
        <w:t>Интегрирането на функциите за бъдещи ползвания отчита и резултатите от анализа на съвместимите и несъвместими функции и дейности, описани подробно в част 6.2.1.</w:t>
      </w:r>
    </w:p>
    <w:p w14:paraId="24EA1490" w14:textId="5688C2A0" w:rsidR="000B7E9C" w:rsidRPr="00610B1B" w:rsidRDefault="000B7E9C" w:rsidP="00D32D6A">
      <w:pPr>
        <w:pStyle w:val="BodyText"/>
        <w:spacing w:before="0" w:after="120" w:line="276" w:lineRule="auto"/>
        <w:rPr>
          <w:rFonts w:cs="Times New Roman"/>
          <w:iCs/>
          <w:color w:val="000000" w:themeColor="text1"/>
        </w:rPr>
      </w:pPr>
    </w:p>
    <w:p w14:paraId="6B2E05A0" w14:textId="06EBFEB9" w:rsidR="000B7E9C" w:rsidRPr="00610B1B" w:rsidRDefault="000B7E9C" w:rsidP="009D32BB">
      <w:pPr>
        <w:pStyle w:val="Heading2"/>
        <w:spacing w:before="0" w:line="276" w:lineRule="auto"/>
        <w:ind w:right="-329"/>
        <w:rPr>
          <w:rFonts w:cs="Times New Roman"/>
        </w:rPr>
      </w:pPr>
      <w:bookmarkStart w:id="493" w:name="_Toc83391437"/>
      <w:bookmarkStart w:id="494" w:name="_Hlk49348355"/>
      <w:r w:rsidRPr="00610B1B">
        <w:rPr>
          <w:rFonts w:cs="Times New Roman"/>
        </w:rPr>
        <w:t>6.4. Предвидени ползвания и дейности в морските пространства</w:t>
      </w:r>
      <w:bookmarkEnd w:id="493"/>
    </w:p>
    <w:p w14:paraId="2697BE60" w14:textId="37935A0E" w:rsidR="000B7E9C" w:rsidRPr="00610B1B" w:rsidRDefault="000B7E9C" w:rsidP="00D32D6A">
      <w:pPr>
        <w:pStyle w:val="BodyText"/>
        <w:spacing w:before="0" w:after="120" w:line="276" w:lineRule="auto"/>
        <w:rPr>
          <w:rFonts w:cs="Times New Roman"/>
          <w:iCs/>
          <w:color w:val="000000" w:themeColor="text1"/>
        </w:rPr>
      </w:pPr>
      <w:r w:rsidRPr="00610B1B">
        <w:rPr>
          <w:rFonts w:cs="Times New Roman"/>
          <w:iCs/>
          <w:color w:val="000000" w:themeColor="text1"/>
        </w:rPr>
        <w:t>В допълнение на предложените възможности за безконфликтно съчетаване на съвместими функции и дейности в Морския пространствен план на Република България за периода 2021–2035 г. са направени още предложения, свързани с отделни сектори на морската икономика</w:t>
      </w:r>
      <w:r w:rsidR="008F79D5" w:rsidRPr="00610B1B">
        <w:rPr>
          <w:rFonts w:cs="Times New Roman"/>
          <w:iCs/>
          <w:color w:val="000000" w:themeColor="text1"/>
        </w:rPr>
        <w:t>.</w:t>
      </w:r>
      <w:r w:rsidR="00620E54" w:rsidRPr="00610B1B">
        <w:rPr>
          <w:rFonts w:cs="Times New Roman"/>
          <w:iCs/>
          <w:color w:val="000000" w:themeColor="text1"/>
        </w:rPr>
        <w:t xml:space="preserve"> Тези предложения са базирани на резултатите от анализ</w:t>
      </w:r>
      <w:r w:rsidR="00F561A8" w:rsidRPr="00610B1B">
        <w:rPr>
          <w:rFonts w:cs="Times New Roman"/>
          <w:iCs/>
          <w:color w:val="000000" w:themeColor="text1"/>
        </w:rPr>
        <w:t>а</w:t>
      </w:r>
      <w:r w:rsidR="00620E54" w:rsidRPr="00610B1B">
        <w:rPr>
          <w:rFonts w:cs="Times New Roman"/>
          <w:iCs/>
          <w:color w:val="000000" w:themeColor="text1"/>
        </w:rPr>
        <w:t xml:space="preserve"> на състоянието на морската околна среда, на морските ресурси, на ползванията в морето и на </w:t>
      </w:r>
      <w:r w:rsidR="00305B8C" w:rsidRPr="00610B1B">
        <w:rPr>
          <w:rFonts w:cs="Times New Roman"/>
          <w:iCs/>
          <w:color w:val="000000" w:themeColor="text1"/>
        </w:rPr>
        <w:t xml:space="preserve">установените тенденции в </w:t>
      </w:r>
      <w:r w:rsidR="00620E54" w:rsidRPr="00610B1B">
        <w:rPr>
          <w:rFonts w:cs="Times New Roman"/>
          <w:iCs/>
          <w:color w:val="000000" w:themeColor="text1"/>
        </w:rPr>
        <w:t xml:space="preserve">развитието на секторите на морската икономика. </w:t>
      </w:r>
    </w:p>
    <w:p w14:paraId="6528D9EB" w14:textId="57825CCD" w:rsidR="000B7E9C"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Мтр</w:t>
      </w:r>
      <w:r w:rsidR="00140F67" w:rsidRPr="00610B1B">
        <w:rPr>
          <w:rFonts w:eastAsia="Times New Roman" w:cs="Times New Roman"/>
          <w:color w:val="000000" w:themeColor="text1"/>
          <w:lang w:eastAsia="bg-BG"/>
        </w:rPr>
        <w:t xml:space="preserve"> – </w:t>
      </w:r>
      <w:r w:rsidR="000B7E9C" w:rsidRPr="00610B1B">
        <w:rPr>
          <w:rFonts w:cs="Times New Roman"/>
          <w:iCs/>
          <w:color w:val="000000" w:themeColor="text1"/>
        </w:rPr>
        <w:t>Морски транспорт</w:t>
      </w:r>
    </w:p>
    <w:p w14:paraId="177EF1CB" w14:textId="171B3797" w:rsidR="00111A5D" w:rsidRPr="00111A5D" w:rsidRDefault="00111A5D" w:rsidP="00111A5D">
      <w:pPr>
        <w:pStyle w:val="BodyText"/>
        <w:spacing w:before="0" w:after="120" w:line="276" w:lineRule="auto"/>
        <w:rPr>
          <w:rFonts w:cs="Times New Roman"/>
          <w:iCs/>
          <w:color w:val="000000" w:themeColor="text1"/>
        </w:rPr>
      </w:pPr>
      <w:r w:rsidRPr="00111A5D">
        <w:rPr>
          <w:rFonts w:cs="Times New Roman"/>
          <w:iCs/>
          <w:color w:val="000000" w:themeColor="text1"/>
        </w:rPr>
        <w:t xml:space="preserve">Те са съобразени оптимално с наличните морски защитени зони и защитени територии с цел да се избегнат рисковете от замърсяване от преминаващите кораби и намаляване на подводния шум. Съществуващите морски транспортни коридори отговарят на изискванията и прилагат режими на ползване в съответствие с Конвенцията на ООН по морско право (UNCLOS), Конвенцията за международните правила за предпазване от сблъскване на море ( </w:t>
      </w:r>
      <w:r w:rsidR="002218E6" w:rsidRPr="00C717D0">
        <w:rPr>
          <w:color w:val="000000"/>
          <w:lang w:val="en-US" w:eastAsia="en-US" w:bidi="en-US"/>
        </w:rPr>
        <w:t>COLREG</w:t>
      </w:r>
      <w:r w:rsidR="002218E6" w:rsidRPr="00FE1308">
        <w:rPr>
          <w:color w:val="000000"/>
          <w:lang w:eastAsia="en-US" w:bidi="en-US"/>
        </w:rPr>
        <w:t>,</w:t>
      </w:r>
      <w:r w:rsidR="002218E6" w:rsidRPr="00111A5D">
        <w:rPr>
          <w:rFonts w:cs="Times New Roman"/>
          <w:iCs/>
          <w:color w:val="000000" w:themeColor="text1"/>
        </w:rPr>
        <w:t xml:space="preserve"> </w:t>
      </w:r>
      <w:r w:rsidRPr="00111A5D">
        <w:rPr>
          <w:rFonts w:cs="Times New Roman"/>
          <w:iCs/>
          <w:color w:val="000000" w:themeColor="text1"/>
        </w:rPr>
        <w:t>1972), ЗМПВВППРБ и всички останали по-важни и съотносими нормативни актове</w:t>
      </w:r>
      <w:r w:rsidRPr="00D03DA8">
        <w:rPr>
          <w:rFonts w:cs="Times New Roman"/>
          <w:iCs/>
          <w:color w:val="000000" w:themeColor="text1"/>
        </w:rPr>
        <w:t>.</w:t>
      </w:r>
    </w:p>
    <w:p w14:paraId="596D7DEB" w14:textId="4D145371" w:rsidR="008F79D5" w:rsidRPr="00610B1B" w:rsidRDefault="008F79D5" w:rsidP="00D32D6A">
      <w:pPr>
        <w:pStyle w:val="BodyText"/>
        <w:spacing w:before="0" w:after="120" w:line="276" w:lineRule="auto"/>
        <w:rPr>
          <w:rFonts w:cs="Times New Roman"/>
          <w:iCs/>
          <w:color w:val="000000" w:themeColor="text1"/>
        </w:rPr>
      </w:pPr>
      <w:r w:rsidRPr="00610B1B">
        <w:rPr>
          <w:rFonts w:cs="Times New Roman"/>
          <w:b/>
          <w:bCs/>
          <w:iCs/>
          <w:color w:val="000000" w:themeColor="text1"/>
        </w:rPr>
        <w:t xml:space="preserve">Р </w:t>
      </w:r>
      <w:r w:rsidRPr="00610B1B">
        <w:rPr>
          <w:rFonts w:cs="Times New Roman"/>
          <w:iCs/>
          <w:color w:val="000000" w:themeColor="text1"/>
        </w:rPr>
        <w:t>– Риболов</w:t>
      </w:r>
    </w:p>
    <w:p w14:paraId="12A137E5" w14:textId="45B632EE" w:rsidR="00964B3A" w:rsidRPr="00610B1B" w:rsidRDefault="008F79D5"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Районите и полигоните за извършване на дейността са съобразени с особеностите на динамичните рибни ресурси и с идентифицираните райони за движение и риболов на риболовните съдове по данни от VMS за периода </w:t>
      </w:r>
      <w:r w:rsidR="00964B3A" w:rsidRPr="00610B1B">
        <w:rPr>
          <w:rFonts w:cs="Times New Roman"/>
          <w:iCs/>
          <w:color w:val="000000" w:themeColor="text1"/>
        </w:rPr>
        <w:t>2014-</w:t>
      </w:r>
      <w:r w:rsidRPr="00610B1B">
        <w:rPr>
          <w:rFonts w:cs="Times New Roman"/>
          <w:iCs/>
          <w:color w:val="000000" w:themeColor="text1"/>
        </w:rPr>
        <w:t>2019 г.</w:t>
      </w:r>
      <w:r w:rsidR="00D66FE0" w:rsidRPr="00610B1B">
        <w:rPr>
          <w:rFonts w:cs="Times New Roman"/>
          <w:iCs/>
          <w:color w:val="000000" w:themeColor="text1"/>
        </w:rPr>
        <w:t xml:space="preserve"> </w:t>
      </w:r>
      <w:r w:rsidRPr="00610B1B">
        <w:rPr>
          <w:rFonts w:cs="Times New Roman"/>
          <w:iCs/>
          <w:color w:val="000000" w:themeColor="text1"/>
        </w:rPr>
        <w:t>Те са съобразени</w:t>
      </w:r>
      <w:r w:rsidR="00D66FE0" w:rsidRPr="00610B1B">
        <w:rPr>
          <w:rFonts w:cs="Times New Roman"/>
          <w:iCs/>
          <w:color w:val="000000" w:themeColor="text1"/>
        </w:rPr>
        <w:t xml:space="preserve"> </w:t>
      </w:r>
      <w:r w:rsidRPr="00610B1B">
        <w:rPr>
          <w:rFonts w:cs="Times New Roman"/>
          <w:iCs/>
          <w:color w:val="000000" w:themeColor="text1"/>
        </w:rPr>
        <w:t xml:space="preserve">с изискванията на РДВ, РДМС, Закона за рибарството и аквакултурите, ЗМПВВППРБ, Закона за водите, Наредбата за опазване на околната среда на морските води и други </w:t>
      </w:r>
      <w:r w:rsidRPr="00610B1B">
        <w:rPr>
          <w:rFonts w:cs="Times New Roman"/>
          <w:iCs/>
          <w:color w:val="000000" w:themeColor="text1"/>
        </w:rPr>
        <w:lastRenderedPageBreak/>
        <w:t xml:space="preserve">действащи законови и подзаконови актове. </w:t>
      </w:r>
    </w:p>
    <w:p w14:paraId="58848573" w14:textId="2F179C3B" w:rsidR="008F79D5" w:rsidRPr="00610B1B" w:rsidRDefault="003B3046" w:rsidP="00A50A50">
      <w:pPr>
        <w:pStyle w:val="BodyText"/>
        <w:spacing w:before="0" w:after="120" w:line="276" w:lineRule="auto"/>
        <w:rPr>
          <w:rFonts w:cs="Times New Roman"/>
          <w:iCs/>
          <w:color w:val="000000" w:themeColor="text1"/>
        </w:rPr>
      </w:pPr>
      <w:r w:rsidRPr="00610B1B">
        <w:rPr>
          <w:rFonts w:cs="Times New Roman"/>
          <w:iCs/>
          <w:color w:val="000000" w:themeColor="text1"/>
        </w:rPr>
        <w:t>Зоните за опазване на стопански ценни видове риби и други водни организми по чл. 119а от Закона за водите се припокриват със Защитените зони от НЕМ Натура 2000 в крайбрежните морски води.</w:t>
      </w:r>
      <w:r w:rsidR="008F79D5" w:rsidRPr="00610B1B">
        <w:rPr>
          <w:rFonts w:cs="Times New Roman"/>
          <w:iCs/>
          <w:color w:val="000000" w:themeColor="text1"/>
        </w:rPr>
        <w:t xml:space="preserve"> Любителският риболов се осъществява предимно в зоната до 3 морски мили от брега, а стопанският - извън тази зона и в гр</w:t>
      </w:r>
      <w:r w:rsidRPr="00610B1B">
        <w:rPr>
          <w:rFonts w:cs="Times New Roman"/>
          <w:iCs/>
          <w:color w:val="000000" w:themeColor="text1"/>
        </w:rPr>
        <w:t>аниците на териториалното море. Със Заповед № РД 09-69/01.02.2019 г. на министъра на земеделието</w:t>
      </w:r>
      <w:r w:rsidR="00F82F66" w:rsidRPr="00610B1B">
        <w:rPr>
          <w:rFonts w:cs="Times New Roman"/>
          <w:iCs/>
          <w:color w:val="000000" w:themeColor="text1"/>
        </w:rPr>
        <w:t>,</w:t>
      </w:r>
      <w:r w:rsidRPr="00610B1B">
        <w:rPr>
          <w:rFonts w:cs="Times New Roman"/>
          <w:iCs/>
          <w:color w:val="000000" w:themeColor="text1"/>
        </w:rPr>
        <w:t xml:space="preserve"> храните</w:t>
      </w:r>
      <w:r w:rsidR="00F82F66" w:rsidRPr="00610B1B">
        <w:rPr>
          <w:rFonts w:cs="Times New Roman"/>
          <w:iCs/>
          <w:color w:val="000000" w:themeColor="text1"/>
        </w:rPr>
        <w:t xml:space="preserve"> и горите</w:t>
      </w:r>
      <w:r w:rsidRPr="00610B1B">
        <w:rPr>
          <w:rFonts w:cs="Times New Roman"/>
          <w:iCs/>
          <w:color w:val="000000" w:themeColor="text1"/>
        </w:rPr>
        <w:t xml:space="preserve"> се забранява стопански риболов в Черно море в акваторията на пристанищата с отдалеченост до 1 морска миля от бреговата линия, с изключение на зоните за действие на специализиран риболовен уред (далян). Забранява се стопански риболов с всякакъв вид тралиращи уреди (с изключение на пелагични тралове в периода 15 септември до 15 декември) в крайбрежните зони на разстояние до 3 морски мили от бреговата линия от н. Сиврибурун до р. Резовска, както и в радиус от 500 m от вливащите се в Черно море реки. </w:t>
      </w:r>
      <w:r w:rsidR="008F79D5" w:rsidRPr="00610B1B">
        <w:rPr>
          <w:rFonts w:cs="Times New Roman"/>
          <w:iCs/>
          <w:color w:val="000000" w:themeColor="text1"/>
        </w:rPr>
        <w:t>Предвид намалелият брой риболовни кораби, малките им габарити а оттам и ограничената зона за риболов</w:t>
      </w:r>
      <w:r w:rsidR="00964B3A" w:rsidRPr="00610B1B">
        <w:rPr>
          <w:rFonts w:cs="Times New Roman"/>
          <w:iCs/>
          <w:color w:val="000000" w:themeColor="text1"/>
        </w:rPr>
        <w:t>,</w:t>
      </w:r>
      <w:r w:rsidR="008F79D5" w:rsidRPr="00610B1B">
        <w:rPr>
          <w:rFonts w:cs="Times New Roman"/>
          <w:iCs/>
          <w:color w:val="000000" w:themeColor="text1"/>
        </w:rPr>
        <w:t xml:space="preserve"> в плана се препоръчват стимули за развитие на дейността, технологично обновяване на корабите, модернизиране на рибарските пристанища и на обслужващата ги инфраструктура. </w:t>
      </w:r>
    </w:p>
    <w:p w14:paraId="52331BBD" w14:textId="29D08A37" w:rsidR="00E374C2" w:rsidRPr="00610B1B" w:rsidRDefault="00E374C2" w:rsidP="00A50A50">
      <w:pPr>
        <w:widowControl w:val="0"/>
        <w:spacing w:after="120"/>
        <w:jc w:val="both"/>
        <w:rPr>
          <w:rFonts w:ascii="Times New Roman" w:eastAsia="Source Han Sans CN Regular" w:hAnsi="Times New Roman" w:cs="Times New Roman"/>
          <w:iCs/>
          <w:color w:val="000000"/>
          <w:sz w:val="24"/>
          <w:szCs w:val="24"/>
          <w:lang w:val="bg-BG" w:eastAsia="zh-CN" w:bidi="hi-IN"/>
        </w:rPr>
      </w:pPr>
      <w:r w:rsidRPr="00610B1B">
        <w:rPr>
          <w:rFonts w:ascii="Times New Roman" w:eastAsia="Source Han Sans CN Regular" w:hAnsi="Times New Roman" w:cs="Times New Roman"/>
          <w:iCs/>
          <w:color w:val="000000"/>
          <w:sz w:val="24"/>
          <w:szCs w:val="24"/>
          <w:lang w:val="bg-BG" w:eastAsia="zh-CN" w:bidi="hi-IN"/>
        </w:rPr>
        <w:t>Разполагането на стационарните уреди (даляните) се извършва при съглас</w:t>
      </w:r>
      <w:r w:rsidRPr="00111A5D">
        <w:rPr>
          <w:rFonts w:ascii="Times New Roman" w:eastAsia="Source Han Sans CN Regular" w:hAnsi="Times New Roman" w:cs="Times New Roman"/>
          <w:iCs/>
          <w:color w:val="000000"/>
          <w:sz w:val="24"/>
          <w:szCs w:val="24"/>
          <w:lang w:val="bg-BG" w:eastAsia="zh-CN" w:bidi="hi-IN"/>
        </w:rPr>
        <w:t xml:space="preserve">уване с </w:t>
      </w:r>
      <w:r w:rsidR="00111A5D" w:rsidRPr="00D03DA8">
        <w:rPr>
          <w:rFonts w:ascii="Times New Roman" w:eastAsia="Source Han Sans CN Regular" w:hAnsi="Times New Roman" w:cs="Times New Roman"/>
          <w:bCs/>
          <w:iCs/>
          <w:color w:val="000000"/>
          <w:sz w:val="24"/>
          <w:szCs w:val="24"/>
          <w:lang w:val="bg-BG" w:eastAsia="zh-CN" w:bidi="hi-IN"/>
        </w:rPr>
        <w:t>ИАМА, МО и други ведомства и институции.</w:t>
      </w:r>
      <w:r w:rsidR="00111A5D" w:rsidRPr="00111A5D">
        <w:rPr>
          <w:rFonts w:ascii="Times New Roman" w:eastAsia="Source Han Sans CN Regular" w:hAnsi="Times New Roman" w:cs="Times New Roman"/>
          <w:bCs/>
          <w:i/>
          <w:iCs/>
          <w:color w:val="000000"/>
          <w:sz w:val="24"/>
          <w:szCs w:val="24"/>
          <w:lang w:val="bg-BG" w:eastAsia="zh-CN" w:bidi="hi-IN"/>
        </w:rPr>
        <w:t xml:space="preserve"> </w:t>
      </w:r>
      <w:r w:rsidRPr="00610B1B">
        <w:rPr>
          <w:rFonts w:ascii="Times New Roman" w:eastAsia="Source Han Sans CN Regular" w:hAnsi="Times New Roman" w:cs="Times New Roman"/>
          <w:iCs/>
          <w:color w:val="000000"/>
          <w:sz w:val="24"/>
          <w:szCs w:val="24"/>
          <w:lang w:val="bg-BG" w:eastAsia="zh-CN" w:bidi="hi-IN"/>
        </w:rPr>
        <w:t xml:space="preserve">МППРБ предвижда ревизия на действащите съоръжения, разположени в акваторията и премахване на изоставените и неизползвани даляни. Забрана за тралене е предложена в защитените зони с цел опазване на дънните местообитания и екосистеми и в зоните с културно наследство под вода, около трасетата на подводните кабели и проводи по морското дъно и в районите, определени като забранени за риболов с придънни средства (Зз). </w:t>
      </w:r>
    </w:p>
    <w:p w14:paraId="0DBBFD27" w14:textId="3E35FB67" w:rsidR="00E374C2" w:rsidRPr="00610B1B" w:rsidRDefault="00E374C2" w:rsidP="00A50A50">
      <w:pPr>
        <w:widowControl w:val="0"/>
        <w:spacing w:after="120"/>
        <w:jc w:val="both"/>
        <w:rPr>
          <w:rFonts w:ascii="Times New Roman" w:eastAsia="Source Han Sans CN Regular" w:hAnsi="Times New Roman" w:cs="Times New Roman"/>
          <w:iCs/>
          <w:color w:val="000000"/>
          <w:sz w:val="24"/>
          <w:szCs w:val="24"/>
          <w:lang w:val="bg-BG" w:eastAsia="zh-CN" w:bidi="hi-IN"/>
        </w:rPr>
      </w:pPr>
      <w:r w:rsidRPr="00610B1B">
        <w:rPr>
          <w:rFonts w:ascii="Times New Roman" w:eastAsia="Source Han Sans CN Regular" w:hAnsi="Times New Roman" w:cs="Times New Roman"/>
          <w:iCs/>
          <w:color w:val="000000"/>
          <w:sz w:val="24"/>
          <w:szCs w:val="24"/>
          <w:lang w:val="bg-BG" w:eastAsia="zh-CN" w:bidi="hi-IN"/>
        </w:rPr>
        <w:t xml:space="preserve">Режимите в районите за риболов се съобразяват ежегодно с регламентите на ЕС за определяне на възможностите за риболов и групи рибни запаси, приложими в Черно море относно квотираните видове риби (цаца и калкан). Временните забрани се определят в съответствие </w:t>
      </w:r>
      <w:r w:rsidR="00964B3A" w:rsidRPr="00610B1B">
        <w:rPr>
          <w:rFonts w:ascii="Times New Roman" w:eastAsia="Source Han Sans CN Regular" w:hAnsi="Times New Roman" w:cs="Times New Roman"/>
          <w:iCs/>
          <w:color w:val="000000"/>
          <w:sz w:val="24"/>
          <w:szCs w:val="24"/>
          <w:lang w:val="bg-BG" w:eastAsia="zh-CN" w:bidi="hi-IN"/>
        </w:rPr>
        <w:t xml:space="preserve">с </w:t>
      </w:r>
      <w:r w:rsidRPr="00610B1B">
        <w:rPr>
          <w:rFonts w:ascii="Times New Roman" w:eastAsia="Source Han Sans CN Regular" w:hAnsi="Times New Roman" w:cs="Times New Roman"/>
          <w:iCs/>
          <w:color w:val="000000"/>
          <w:sz w:val="24"/>
          <w:szCs w:val="24"/>
          <w:lang w:val="bg-BG" w:eastAsia="zh-CN" w:bidi="hi-IN"/>
        </w:rPr>
        <w:t>чл. 30, ал. 3, т. 1 на Закона за рибарството и аквакултурите (ЗРА) от министъра на земеделието</w:t>
      </w:r>
      <w:r w:rsidR="00964B3A" w:rsidRPr="00610B1B">
        <w:rPr>
          <w:rFonts w:ascii="Times New Roman" w:eastAsia="Source Han Sans CN Regular" w:hAnsi="Times New Roman" w:cs="Times New Roman"/>
          <w:iCs/>
          <w:color w:val="000000"/>
          <w:sz w:val="24"/>
          <w:szCs w:val="24"/>
          <w:lang w:val="bg-BG" w:eastAsia="zh-CN" w:bidi="hi-IN"/>
        </w:rPr>
        <w:t>,</w:t>
      </w:r>
      <w:r w:rsidRPr="00610B1B">
        <w:rPr>
          <w:rFonts w:ascii="Times New Roman" w:eastAsia="Source Han Sans CN Regular" w:hAnsi="Times New Roman" w:cs="Times New Roman"/>
          <w:iCs/>
          <w:color w:val="000000"/>
          <w:sz w:val="24"/>
          <w:szCs w:val="24"/>
          <w:lang w:val="bg-BG" w:eastAsia="zh-CN" w:bidi="hi-IN"/>
        </w:rPr>
        <w:t xml:space="preserve"> храните</w:t>
      </w:r>
      <w:r w:rsidR="00964B3A" w:rsidRPr="00610B1B">
        <w:rPr>
          <w:rFonts w:ascii="Times New Roman" w:eastAsia="Source Han Sans CN Regular" w:hAnsi="Times New Roman" w:cs="Times New Roman"/>
          <w:iCs/>
          <w:color w:val="000000"/>
          <w:sz w:val="24"/>
          <w:szCs w:val="24"/>
          <w:lang w:val="bg-BG" w:eastAsia="zh-CN" w:bidi="hi-IN"/>
        </w:rPr>
        <w:t xml:space="preserve"> и горите,</w:t>
      </w:r>
      <w:r w:rsidRPr="00610B1B">
        <w:rPr>
          <w:rFonts w:ascii="Times New Roman" w:eastAsia="Source Han Sans CN Regular" w:hAnsi="Times New Roman" w:cs="Times New Roman"/>
          <w:iCs/>
          <w:color w:val="000000"/>
          <w:sz w:val="24"/>
          <w:szCs w:val="24"/>
          <w:lang w:val="bg-BG" w:eastAsia="zh-CN" w:bidi="hi-IN"/>
        </w:rPr>
        <w:t xml:space="preserve"> съгласувано с министъра на околната среда и водите</w:t>
      </w:r>
      <w:r w:rsidR="00964B3A" w:rsidRPr="00610B1B">
        <w:rPr>
          <w:rFonts w:ascii="Times New Roman" w:eastAsia="Source Han Sans CN Regular" w:hAnsi="Times New Roman" w:cs="Times New Roman"/>
          <w:iCs/>
          <w:color w:val="000000"/>
          <w:sz w:val="24"/>
          <w:szCs w:val="24"/>
          <w:lang w:val="bg-BG" w:eastAsia="zh-CN" w:bidi="hi-IN"/>
        </w:rPr>
        <w:t>,</w:t>
      </w:r>
      <w:r w:rsidRPr="00610B1B">
        <w:rPr>
          <w:rFonts w:ascii="Times New Roman" w:eastAsia="Source Han Sans CN Regular" w:hAnsi="Times New Roman" w:cs="Times New Roman"/>
          <w:iCs/>
          <w:color w:val="000000"/>
          <w:sz w:val="24"/>
          <w:szCs w:val="24"/>
          <w:lang w:val="bg-BG" w:eastAsia="zh-CN" w:bidi="hi-IN"/>
        </w:rPr>
        <w:t xml:space="preserve"> с цел опазване на популациите от риба и други водни организми.</w:t>
      </w:r>
      <w:r w:rsidR="00D66FE0" w:rsidRPr="00610B1B">
        <w:rPr>
          <w:rFonts w:ascii="Times New Roman" w:eastAsia="Source Han Sans CN Regular" w:hAnsi="Times New Roman" w:cs="Times New Roman"/>
          <w:iCs/>
          <w:color w:val="000000"/>
          <w:sz w:val="24"/>
          <w:szCs w:val="24"/>
          <w:lang w:val="bg-BG" w:eastAsia="zh-CN" w:bidi="hi-IN"/>
        </w:rPr>
        <w:t xml:space="preserve"> </w:t>
      </w:r>
    </w:p>
    <w:p w14:paraId="4176CD25" w14:textId="3BBCF193"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b/>
          <w:bCs/>
          <w:iCs/>
          <w:color w:val="000000" w:themeColor="text1"/>
        </w:rPr>
        <w:t>А</w:t>
      </w:r>
      <w:r w:rsidR="00140F67" w:rsidRPr="00610B1B">
        <w:rPr>
          <w:rFonts w:eastAsia="Times New Roman" w:cs="Times New Roman"/>
          <w:color w:val="000000" w:themeColor="text1"/>
          <w:lang w:eastAsia="bg-BG"/>
        </w:rPr>
        <w:t xml:space="preserve"> – </w:t>
      </w:r>
      <w:r w:rsidRPr="00610B1B">
        <w:rPr>
          <w:rFonts w:cs="Times New Roman"/>
          <w:iCs/>
          <w:color w:val="000000" w:themeColor="text1"/>
        </w:rPr>
        <w:t>Аквакултури</w:t>
      </w:r>
    </w:p>
    <w:p w14:paraId="05A8E015" w14:textId="40C5F405" w:rsidR="008F79D5" w:rsidRPr="00610B1B" w:rsidRDefault="008F79D5" w:rsidP="00A50A50">
      <w:pPr>
        <w:pStyle w:val="BodyText"/>
        <w:spacing w:before="0" w:after="120" w:line="276" w:lineRule="auto"/>
        <w:rPr>
          <w:rFonts w:cs="Times New Roman"/>
          <w:iCs/>
        </w:rPr>
      </w:pPr>
      <w:r w:rsidRPr="00610B1B">
        <w:rPr>
          <w:rFonts w:cs="Times New Roman"/>
          <w:iCs/>
          <w:color w:val="000000" w:themeColor="text1"/>
        </w:rPr>
        <w:t xml:space="preserve">Районите и полигоните за монтаж на съоръжения за отглеждане на аквакултури се съобразяват със схемата на БДЧР, изготвена в съответствие с </w:t>
      </w:r>
      <w:r w:rsidR="003B3046" w:rsidRPr="00610B1B">
        <w:rPr>
          <w:rFonts w:cs="Times New Roman"/>
          <w:iCs/>
          <w:color w:val="000000" w:themeColor="text1"/>
        </w:rPr>
        <w:t xml:space="preserve">Инструкция № 1 от 12 октомври 2004 г. за идентифициране на водите във водните обекти или части от тях за обитаване от риби и районите с крайбрежни морски води за развъждане на черупкови организми (Обн. ДВ. бр. 96/29.10.2004 г.). </w:t>
      </w:r>
      <w:r w:rsidRPr="00610B1B">
        <w:rPr>
          <w:rFonts w:cs="Times New Roman"/>
          <w:iCs/>
          <w:color w:val="000000" w:themeColor="text1"/>
        </w:rPr>
        <w:t xml:space="preserve">При съвместяването с други функции и дейности в морските пространства се спазват изискванията на РДВ, РДМС, Закона за рибарството и аквакултурите, Наредба № 37 от 10 ноември 2008 г. за ползването на язовирите - държавна собственост, в рибностопанско отношение и правилата за извършване на стопански, любителски риболов и аквакултури в обектите - държавна собственост по чл. 3, ал. 1 от Закона за рибарството и аквакултурите, Наредба № 18 от 4 ноември 2016 г. за съдържанието на технологичното описание и технологичната схема </w:t>
      </w:r>
      <w:r w:rsidRPr="00610B1B">
        <w:rPr>
          <w:rFonts w:cs="Times New Roman"/>
          <w:iCs/>
          <w:color w:val="000000" w:themeColor="text1"/>
        </w:rPr>
        <w:lastRenderedPageBreak/>
        <w:t xml:space="preserve">на производство на аквакултури и други специфични за сектора законови и подзаконови актове. </w:t>
      </w:r>
    </w:p>
    <w:p w14:paraId="3AA93EBA" w14:textId="00248BE8" w:rsidR="008F79D5" w:rsidRPr="00610B1B" w:rsidRDefault="008F79D5" w:rsidP="00A50A50">
      <w:pPr>
        <w:pStyle w:val="BodyText"/>
        <w:spacing w:before="0" w:after="120" w:line="276" w:lineRule="auto"/>
        <w:rPr>
          <w:rFonts w:cs="Times New Roman"/>
          <w:iCs/>
        </w:rPr>
      </w:pPr>
      <w:r w:rsidRPr="00610B1B">
        <w:rPr>
          <w:rFonts w:cs="Times New Roman"/>
          <w:iCs/>
        </w:rPr>
        <w:t xml:space="preserve">На този етап не се предвиждат нови съоръжения за отглеждане на морски аквакултури, освен съществуващите, макар че е заложено разнообразяване на отглежданите видове. Нови съоръжения могат да бъдат инсталирани само в </w:t>
      </w:r>
      <w:r w:rsidR="00D50BAF" w:rsidRPr="00610B1B">
        <w:rPr>
          <w:rFonts w:cs="Times New Roman"/>
          <w:iCs/>
        </w:rPr>
        <w:t xml:space="preserve">съгласувани </w:t>
      </w:r>
      <w:r w:rsidRPr="00610B1B">
        <w:rPr>
          <w:rFonts w:cs="Times New Roman"/>
          <w:iCs/>
        </w:rPr>
        <w:t xml:space="preserve">от БДЧР места в съответствие с актуализираната схема, която се подготвя. </w:t>
      </w:r>
    </w:p>
    <w:p w14:paraId="09D828C9" w14:textId="1C1B6DB9"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iCs/>
        </w:rPr>
        <w:t xml:space="preserve">Отглеждането на риба като аквакултура се препоръчва да става само в прилежащите крайбрежни зони, за да се избегне риска от замърсяване на морските води и промяна на условията на средата. Планът препоръчва премахване на изоставените инсталации </w:t>
      </w:r>
      <w:r w:rsidRPr="00610B1B">
        <w:rPr>
          <w:rFonts w:cs="Times New Roman"/>
          <w:iCs/>
          <w:color w:val="000000" w:themeColor="text1"/>
        </w:rPr>
        <w:t>за отглеждане на аквакултури, за да се преустанови замърсяването на околната среда с пластмасови остатъци от съоръженията.</w:t>
      </w:r>
      <w:r w:rsidR="00D66FE0" w:rsidRPr="00610B1B">
        <w:rPr>
          <w:rFonts w:cs="Times New Roman"/>
          <w:iCs/>
          <w:color w:val="000000" w:themeColor="text1"/>
        </w:rPr>
        <w:t xml:space="preserve"> </w:t>
      </w:r>
    </w:p>
    <w:p w14:paraId="44A157DF" w14:textId="07B42230"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b/>
          <w:bCs/>
          <w:iCs/>
          <w:color w:val="000000" w:themeColor="text1"/>
        </w:rPr>
        <w:t>Т</w:t>
      </w:r>
      <w:r w:rsidR="00140F67" w:rsidRPr="00610B1B">
        <w:rPr>
          <w:rFonts w:eastAsia="Times New Roman" w:cs="Times New Roman"/>
          <w:color w:val="000000" w:themeColor="text1"/>
          <w:lang w:eastAsia="bg-BG"/>
        </w:rPr>
        <w:t xml:space="preserve"> – </w:t>
      </w:r>
      <w:r w:rsidRPr="00610B1B">
        <w:rPr>
          <w:rFonts w:cs="Times New Roman"/>
          <w:iCs/>
          <w:color w:val="000000" w:themeColor="text1"/>
        </w:rPr>
        <w:t>Крайбрежен и морски туризъм</w:t>
      </w:r>
    </w:p>
    <w:p w14:paraId="7CB4F055" w14:textId="40531F98"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Поради свръхзастрояването на българското Черноморско крайбрежие, отчетено във всички документи, свързани с регионално и градско развитие и туристическо планиране, </w:t>
      </w:r>
      <w:r w:rsidR="00964B3A" w:rsidRPr="00610B1B">
        <w:rPr>
          <w:rFonts w:cs="Times New Roman"/>
          <w:iCs/>
          <w:color w:val="000000" w:themeColor="text1"/>
        </w:rPr>
        <w:t xml:space="preserve">както и поради обхвата на </w:t>
      </w:r>
      <w:r w:rsidRPr="00610B1B">
        <w:rPr>
          <w:rFonts w:cs="Times New Roman"/>
          <w:iCs/>
          <w:color w:val="000000" w:themeColor="text1"/>
        </w:rPr>
        <w:t>МППРБ</w:t>
      </w:r>
      <w:r w:rsidR="00964B3A" w:rsidRPr="00610B1B">
        <w:rPr>
          <w:rFonts w:cs="Times New Roman"/>
          <w:iCs/>
          <w:color w:val="000000" w:themeColor="text1"/>
        </w:rPr>
        <w:t>, в него</w:t>
      </w:r>
      <w:r w:rsidRPr="00610B1B">
        <w:rPr>
          <w:rFonts w:cs="Times New Roman"/>
          <w:iCs/>
          <w:color w:val="000000" w:themeColor="text1"/>
        </w:rPr>
        <w:t xml:space="preserve"> не се предвижда разширяване на курортно-туристическата база. Изискванията за по-високи здравно-хигиенни стандарти на местата за настаняване, хранене и атракции по повод Covid’19 наложи да се намали използваемия капацитет на обектите, комплексите, на плаж</w:t>
      </w:r>
      <w:r w:rsidR="00964B3A" w:rsidRPr="00610B1B">
        <w:rPr>
          <w:rFonts w:cs="Times New Roman"/>
          <w:iCs/>
          <w:color w:val="000000" w:themeColor="text1"/>
        </w:rPr>
        <w:t xml:space="preserve">овете </w:t>
      </w:r>
      <w:r w:rsidRPr="00610B1B">
        <w:rPr>
          <w:rFonts w:cs="Times New Roman"/>
          <w:iCs/>
          <w:color w:val="000000" w:themeColor="text1"/>
        </w:rPr>
        <w:t>и на прилежащите морски води за къпане. Това предполага по-щадящо използване на курортните ресурси, по-висок стандарт в обектите на туризма и по-безопасни условия за туристите и персонала. Устройството на териториите на курортните комплекси, на вилните селища и зони и</w:t>
      </w:r>
      <w:r w:rsidR="00D22EE5" w:rsidRPr="00610B1B">
        <w:rPr>
          <w:rFonts w:cs="Times New Roman"/>
          <w:iCs/>
          <w:color w:val="000000" w:themeColor="text1"/>
        </w:rPr>
        <w:t xml:space="preserve"> на рекреационните обекти за кра</w:t>
      </w:r>
      <w:r w:rsidRPr="00610B1B">
        <w:rPr>
          <w:rFonts w:cs="Times New Roman"/>
          <w:iCs/>
          <w:color w:val="000000" w:themeColor="text1"/>
        </w:rPr>
        <w:t>йбрежен туризъм (Тк) се осъществява в съответствие със ЗУТ, ЗУЧК, Наредба № 7 от 2003 г. за правила и нормативи за устройство на отделните видове територии и устройствени зони и Наредба № 14 от 3 август 1987 г. за курортните ресурси, курортните местности и курортите</w:t>
      </w:r>
      <w:r w:rsidR="00F95668" w:rsidRPr="00610B1B">
        <w:rPr>
          <w:rFonts w:cs="Times New Roman"/>
          <w:iCs/>
          <w:color w:val="000000" w:themeColor="text1"/>
        </w:rPr>
        <w:t xml:space="preserve"> и не е обект на МППРБ</w:t>
      </w:r>
      <w:r w:rsidRPr="00610B1B">
        <w:rPr>
          <w:rFonts w:cs="Times New Roman"/>
          <w:iCs/>
          <w:color w:val="000000" w:themeColor="text1"/>
        </w:rPr>
        <w:t>. Приоритетно в документите, уреждащи развитието на крайбрежните територии се предвижда изграждане</w:t>
      </w:r>
      <w:r w:rsidR="00D66FE0" w:rsidRPr="00610B1B">
        <w:rPr>
          <w:rFonts w:cs="Times New Roman"/>
          <w:iCs/>
          <w:color w:val="000000" w:themeColor="text1"/>
        </w:rPr>
        <w:t xml:space="preserve"> </w:t>
      </w:r>
      <w:r w:rsidRPr="00610B1B">
        <w:rPr>
          <w:rFonts w:cs="Times New Roman"/>
          <w:iCs/>
          <w:color w:val="000000" w:themeColor="text1"/>
        </w:rPr>
        <w:t>на необходимата техническа инфраструктура за да се преодолеят проблемите, произтичащи от незавършени проекти за пречистване на отпадъчни води или от претоварена инфраструктура.</w:t>
      </w:r>
      <w:r w:rsidR="00D66FE0" w:rsidRPr="00610B1B">
        <w:rPr>
          <w:rFonts w:cs="Times New Roman"/>
          <w:iCs/>
          <w:color w:val="000000" w:themeColor="text1"/>
        </w:rPr>
        <w:t xml:space="preserve"> </w:t>
      </w:r>
      <w:r w:rsidRPr="00610B1B">
        <w:rPr>
          <w:rFonts w:cs="Times New Roman"/>
          <w:iCs/>
          <w:color w:val="000000" w:themeColor="text1"/>
        </w:rPr>
        <w:t xml:space="preserve">Съгласно изискванията на ЗУТ и ЗУЧК в ОУП на крайбрежните общини задължително се показват и устройствени режими за прилежащата акватория. За да бъдат представени по единни </w:t>
      </w:r>
      <w:r w:rsidR="00F95668" w:rsidRPr="00610B1B">
        <w:rPr>
          <w:rFonts w:cs="Times New Roman"/>
          <w:iCs/>
          <w:color w:val="000000" w:themeColor="text1"/>
        </w:rPr>
        <w:t>стандарти</w:t>
      </w:r>
      <w:r w:rsidRPr="00610B1B">
        <w:rPr>
          <w:rFonts w:cs="Times New Roman"/>
          <w:iCs/>
          <w:color w:val="000000" w:themeColor="text1"/>
        </w:rPr>
        <w:t xml:space="preserve"> е необходимо МРРБ да направи допълнение и изменение на ЗУЧК и Наредба № 8 за обема и съдържанието на устройствените планове. </w:t>
      </w:r>
    </w:p>
    <w:p w14:paraId="4474E36A" w14:textId="3868E3F7"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iCs/>
          <w:color w:val="000000" w:themeColor="text1"/>
        </w:rPr>
        <w:t>За морския туризъм (Тм) се предвижда оптимално съгласуване с останалите дейности, които се осъществяват в крайбрежните води за къпане с цел опазване от замърсяване и безконфликтно и безопасно съвместяване на водни спортове (плуване, гребане, ветроходство, водни ски, уинд</w:t>
      </w:r>
      <w:r w:rsidR="007C0C9F" w:rsidRPr="00610B1B">
        <w:rPr>
          <w:rFonts w:cs="Times New Roman"/>
          <w:iCs/>
          <w:color w:val="000000" w:themeColor="text1"/>
        </w:rPr>
        <w:t>с</w:t>
      </w:r>
      <w:r w:rsidRPr="00610B1B">
        <w:rPr>
          <w:rFonts w:cs="Times New Roman"/>
          <w:iCs/>
          <w:color w:val="000000" w:themeColor="text1"/>
        </w:rPr>
        <w:t>ъ</w:t>
      </w:r>
      <w:r w:rsidR="007C0C9F" w:rsidRPr="00610B1B">
        <w:rPr>
          <w:rFonts w:cs="Times New Roman"/>
          <w:iCs/>
          <w:color w:val="000000" w:themeColor="text1"/>
        </w:rPr>
        <w:t>р</w:t>
      </w:r>
      <w:r w:rsidRPr="00610B1B">
        <w:rPr>
          <w:rFonts w:cs="Times New Roman"/>
          <w:iCs/>
          <w:color w:val="000000" w:themeColor="text1"/>
        </w:rPr>
        <w:t>финг и кайтсърфинг, гмуркане и др.), атракции и забавления във водата. Някои от тези дейности попадат в акваториалните части на крайбрежни защитени зони, но се предвижда това да бъдат само онези дейности, които не нанасят щети върху природни и културни ценности – плуване, гмуркане и подводни наблюдения.</w:t>
      </w:r>
      <w:r w:rsidR="00D66FE0" w:rsidRPr="00610B1B">
        <w:rPr>
          <w:rFonts w:cs="Times New Roman"/>
          <w:iCs/>
          <w:color w:val="000000" w:themeColor="text1"/>
        </w:rPr>
        <w:t xml:space="preserve"> </w:t>
      </w:r>
    </w:p>
    <w:p w14:paraId="53454122" w14:textId="7A8370C2"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iCs/>
          <w:color w:val="000000" w:themeColor="text1"/>
        </w:rPr>
        <w:lastRenderedPageBreak/>
        <w:t>Обогатяването на предлаганите туристически дейности и атракции е предвидено да се осъществи на основата на съчетаване на природни и културни ценности</w:t>
      </w:r>
      <w:r w:rsidR="00D66FE0" w:rsidRPr="00610B1B">
        <w:rPr>
          <w:rFonts w:cs="Times New Roman"/>
          <w:iCs/>
          <w:color w:val="000000" w:themeColor="text1"/>
        </w:rPr>
        <w:t xml:space="preserve"> </w:t>
      </w:r>
      <w:r w:rsidRPr="00610B1B">
        <w:rPr>
          <w:rFonts w:cs="Times New Roman"/>
          <w:iCs/>
          <w:color w:val="000000" w:themeColor="text1"/>
        </w:rPr>
        <w:t xml:space="preserve">и развитие на културен туризъм, включително и чрез експониране на културните ценности под вода. Допълнително предимство на българските курорти се предвижда да се осигури от по-пълноценното използване на съществуващите курортни ресурси със значителен потенциал – минерални води, морска вода, морска луга и лечебна кал. </w:t>
      </w:r>
    </w:p>
    <w:p w14:paraId="63D969A5" w14:textId="0A869A69" w:rsidR="008F79D5" w:rsidRPr="00610B1B" w:rsidRDefault="008F79D5"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Разположението на яхтените пристанища на българското </w:t>
      </w:r>
      <w:r w:rsidR="00F95668" w:rsidRPr="00610B1B">
        <w:rPr>
          <w:rFonts w:cs="Times New Roman"/>
          <w:iCs/>
          <w:color w:val="000000" w:themeColor="text1"/>
        </w:rPr>
        <w:t xml:space="preserve">Черноморско </w:t>
      </w:r>
      <w:r w:rsidRPr="00610B1B">
        <w:rPr>
          <w:rFonts w:cs="Times New Roman"/>
          <w:iCs/>
          <w:color w:val="000000" w:themeColor="text1"/>
        </w:rPr>
        <w:t xml:space="preserve">крайбрежие изисква добро дългосрочно планиране и приоритетно развитие на онези пристанища, обслужващи туристическия сектор, които имат по-голям капацитет и подходяща акватория с необходимите характеристики за този вид спорт и туризъм. Това може да се осъществи след изследване на морската динамика и промените в бреговата линия и настъпилите промени през последното десетилетие, заедно с видимите въздействия върху процесите на брега и в морето. </w:t>
      </w:r>
    </w:p>
    <w:p w14:paraId="53D4C288" w14:textId="146FD137" w:rsidR="00733CD9" w:rsidRPr="00610B1B" w:rsidRDefault="007C026D" w:rsidP="0074287E">
      <w:pPr>
        <w:pStyle w:val="BodyText"/>
        <w:spacing w:before="0" w:after="120" w:line="276" w:lineRule="auto"/>
        <w:rPr>
          <w:rFonts w:cs="Times New Roman"/>
          <w:iCs/>
        </w:rPr>
      </w:pPr>
      <w:r w:rsidRPr="00610B1B">
        <w:rPr>
          <w:rFonts w:cs="Times New Roman"/>
          <w:b/>
          <w:iCs/>
          <w:color w:val="000000" w:themeColor="text1"/>
        </w:rPr>
        <w:t>Вс</w:t>
      </w:r>
      <w:r w:rsidR="00733CD9" w:rsidRPr="00610B1B">
        <w:rPr>
          <w:rFonts w:cs="Times New Roman"/>
          <w:b/>
          <w:iCs/>
          <w:color w:val="000000" w:themeColor="text1"/>
        </w:rPr>
        <w:t>А</w:t>
      </w:r>
      <w:r w:rsidR="00733CD9" w:rsidRPr="00610B1B">
        <w:rPr>
          <w:rFonts w:cs="Times New Roman"/>
          <w:iCs/>
          <w:color w:val="000000" w:themeColor="text1"/>
        </w:rPr>
        <w:t xml:space="preserve"> –</w:t>
      </w:r>
      <w:r w:rsidR="00F63700" w:rsidRPr="00610B1B">
        <w:rPr>
          <w:rFonts w:cs="Times New Roman"/>
          <w:iCs/>
          <w:color w:val="000000" w:themeColor="text1"/>
        </w:rPr>
        <w:t xml:space="preserve"> Водни </w:t>
      </w:r>
      <w:r w:rsidR="00733CD9" w:rsidRPr="00610B1B">
        <w:rPr>
          <w:rFonts w:cs="Times New Roman"/>
          <w:iCs/>
          <w:color w:val="000000" w:themeColor="text1"/>
        </w:rPr>
        <w:t xml:space="preserve">спортове и </w:t>
      </w:r>
      <w:r w:rsidR="00733CD9" w:rsidRPr="00610B1B">
        <w:rPr>
          <w:rFonts w:cs="Times New Roman"/>
          <w:iCs/>
        </w:rPr>
        <w:t>атракции</w:t>
      </w:r>
    </w:p>
    <w:p w14:paraId="184DAB95" w14:textId="7CB64F66" w:rsidR="001E2ED7" w:rsidRPr="00C717D0" w:rsidRDefault="00977430" w:rsidP="00A50A50">
      <w:pPr>
        <w:pStyle w:val="BodyText"/>
        <w:spacing w:before="0" w:after="120" w:line="276" w:lineRule="auto"/>
        <w:rPr>
          <w:rFonts w:cs="Times New Roman"/>
          <w:iCs/>
          <w:color w:val="FF0000"/>
        </w:rPr>
      </w:pPr>
      <w:r w:rsidRPr="00610B1B">
        <w:rPr>
          <w:rFonts w:cs="Times New Roman"/>
          <w:iCs/>
        </w:rPr>
        <w:t xml:space="preserve">Полигоните за водни спортове и атракции </w:t>
      </w:r>
      <w:r w:rsidR="00164B8D" w:rsidRPr="00610B1B">
        <w:rPr>
          <w:rFonts w:cs="Times New Roman"/>
          <w:iCs/>
        </w:rPr>
        <w:t>са разположени пред големите к</w:t>
      </w:r>
      <w:r w:rsidR="007B3AAC" w:rsidRPr="00610B1B">
        <w:rPr>
          <w:rFonts w:cs="Times New Roman"/>
          <w:iCs/>
        </w:rPr>
        <w:t>у</w:t>
      </w:r>
      <w:r w:rsidR="00164B8D" w:rsidRPr="00610B1B">
        <w:rPr>
          <w:rFonts w:cs="Times New Roman"/>
          <w:iCs/>
        </w:rPr>
        <w:t>р</w:t>
      </w:r>
      <w:r w:rsidR="007B3AAC" w:rsidRPr="00610B1B">
        <w:rPr>
          <w:rFonts w:cs="Times New Roman"/>
          <w:iCs/>
        </w:rPr>
        <w:t>о</w:t>
      </w:r>
      <w:r w:rsidR="00164B8D" w:rsidRPr="00610B1B">
        <w:rPr>
          <w:rFonts w:cs="Times New Roman"/>
          <w:iCs/>
        </w:rPr>
        <w:t>ртни комплекси и плажове по българското Че</w:t>
      </w:r>
      <w:r w:rsidR="007B3AAC" w:rsidRPr="00610B1B">
        <w:rPr>
          <w:rFonts w:cs="Times New Roman"/>
          <w:iCs/>
        </w:rPr>
        <w:t>р</w:t>
      </w:r>
      <w:r w:rsidR="00164B8D" w:rsidRPr="00610B1B">
        <w:rPr>
          <w:rFonts w:cs="Times New Roman"/>
          <w:iCs/>
        </w:rPr>
        <w:t>н</w:t>
      </w:r>
      <w:r w:rsidR="007B3AAC" w:rsidRPr="00610B1B">
        <w:rPr>
          <w:rFonts w:cs="Times New Roman"/>
          <w:iCs/>
        </w:rPr>
        <w:t>о</w:t>
      </w:r>
      <w:r w:rsidR="00164B8D" w:rsidRPr="00610B1B">
        <w:rPr>
          <w:rFonts w:cs="Times New Roman"/>
          <w:iCs/>
        </w:rPr>
        <w:t xml:space="preserve">морско крайбрежие, </w:t>
      </w:r>
      <w:r w:rsidR="007C026D" w:rsidRPr="00610B1B">
        <w:rPr>
          <w:rFonts w:cs="Times New Roman"/>
          <w:iCs/>
        </w:rPr>
        <w:t>а новите зони се определят от кмета на общината или областния управител съобразно чл. 41, ал. 3 на Закона за водите, след съгласуване с директора на РЗИ и директора на БДЧР, съгласно чл. 24., ал. 1 от Наредба № 5 от 30 май 2008 г. за управление качеството на водите за къпане</w:t>
      </w:r>
      <w:r w:rsidR="00164B8D" w:rsidRPr="00610B1B">
        <w:rPr>
          <w:rFonts w:cs="Times New Roman"/>
          <w:iCs/>
        </w:rPr>
        <w:t xml:space="preserve">. </w:t>
      </w:r>
      <w:r w:rsidR="001E2ED7" w:rsidRPr="00610B1B">
        <w:rPr>
          <w:rFonts w:cs="Times New Roman"/>
          <w:iCs/>
        </w:rPr>
        <w:t>Опазването им се осъществява по силата на РДВ</w:t>
      </w:r>
      <w:r w:rsidR="000A32C6" w:rsidRPr="00610B1B">
        <w:rPr>
          <w:rFonts w:cs="Times New Roman"/>
          <w:iCs/>
        </w:rPr>
        <w:t>,</w:t>
      </w:r>
      <w:r w:rsidR="001E2ED7" w:rsidRPr="00610B1B">
        <w:rPr>
          <w:rFonts w:cs="Times New Roman"/>
          <w:iCs/>
        </w:rPr>
        <w:t xml:space="preserve"> РДМС, </w:t>
      </w:r>
      <w:r w:rsidR="004D4C1F" w:rsidRPr="00C717D0">
        <w:rPr>
          <w:rFonts w:cs="Times New Roman"/>
          <w:iCs/>
        </w:rPr>
        <w:t>Ди</w:t>
      </w:r>
      <w:r w:rsidR="004D4C1F" w:rsidRPr="002A3A27">
        <w:rPr>
          <w:rFonts w:cs="Times New Roman"/>
          <w:iCs/>
        </w:rPr>
        <w:t>ректива 2006/7/ЕО</w:t>
      </w:r>
      <w:r w:rsidR="006D3B6E" w:rsidRPr="002A3A27">
        <w:rPr>
          <w:rFonts w:cs="Times New Roman"/>
          <w:iCs/>
        </w:rPr>
        <w:t xml:space="preserve"> на Европейския парламент и на Съвета от 15 февруари 2006 година за управление качеството на водите за къпане и за отмяна на Директива 76/160/ЕИО“</w:t>
      </w:r>
      <w:r w:rsidR="006D3B6E" w:rsidRPr="00C717D0">
        <w:rPr>
          <w:rFonts w:cs="Times New Roman"/>
          <w:iCs/>
        </w:rPr>
        <w:t xml:space="preserve">, </w:t>
      </w:r>
      <w:r w:rsidR="001E2ED7" w:rsidRPr="00610B1B">
        <w:rPr>
          <w:rFonts w:cs="Times New Roman"/>
          <w:iCs/>
        </w:rPr>
        <w:t>Закона за водите, Наредбата за опазване на околната среда в морските води, Наредба № 14</w:t>
      </w:r>
      <w:r w:rsidR="001E2ED7" w:rsidRPr="00610B1B">
        <w:rPr>
          <w:rFonts w:cs="Times New Roman"/>
        </w:rPr>
        <w:t xml:space="preserve"> </w:t>
      </w:r>
      <w:r w:rsidR="001E2ED7" w:rsidRPr="00610B1B">
        <w:rPr>
          <w:rFonts w:cs="Times New Roman"/>
          <w:iCs/>
        </w:rPr>
        <w:t xml:space="preserve">от 3 август 1987 г. за курортните ресурси, курортните местности и курортите, Наредба № 6 от 9 ноември 2000 </w:t>
      </w:r>
      <w:r w:rsidR="00686D51" w:rsidRPr="00610B1B">
        <w:rPr>
          <w:rFonts w:cs="Times New Roman"/>
          <w:iCs/>
        </w:rPr>
        <w:t>г</w:t>
      </w:r>
      <w:r w:rsidR="001E2ED7" w:rsidRPr="00610B1B">
        <w:rPr>
          <w:rFonts w:cs="Times New Roman"/>
          <w:iCs/>
        </w:rPr>
        <w:t xml:space="preserve">. </w:t>
      </w:r>
      <w:r w:rsidR="00686D51" w:rsidRPr="00610B1B">
        <w:rPr>
          <w:rFonts w:cs="Times New Roman"/>
          <w:iCs/>
        </w:rPr>
        <w:t>за емисионнит</w:t>
      </w:r>
      <w:r w:rsidR="000A32C6" w:rsidRPr="00610B1B">
        <w:rPr>
          <w:rFonts w:cs="Times New Roman"/>
          <w:iCs/>
        </w:rPr>
        <w:t>е</w:t>
      </w:r>
      <w:r w:rsidR="00686D51" w:rsidRPr="00610B1B">
        <w:rPr>
          <w:rFonts w:cs="Times New Roman"/>
          <w:iCs/>
        </w:rPr>
        <w:t xml:space="preserve"> норми за допустимото съдържание на вредни и опасни вещества в отпадъчните води, зауствани във водни обекти. </w:t>
      </w:r>
    </w:p>
    <w:p w14:paraId="0DB31475" w14:textId="03435BDC" w:rsidR="000B7E9C" w:rsidRPr="00610B1B" w:rsidRDefault="001E2ED7" w:rsidP="00A50A50">
      <w:pPr>
        <w:pStyle w:val="BodyText"/>
        <w:spacing w:before="0" w:after="120" w:line="276" w:lineRule="auto"/>
        <w:rPr>
          <w:rFonts w:cs="Times New Roman"/>
          <w:iCs/>
        </w:rPr>
      </w:pPr>
      <w:r w:rsidRPr="00610B1B">
        <w:rPr>
          <w:rFonts w:cs="Times New Roman"/>
          <w:iCs/>
        </w:rPr>
        <w:t xml:space="preserve">Най-важният проблем е намаляване на замърсяването </w:t>
      </w:r>
      <w:r w:rsidR="00686D51" w:rsidRPr="00610B1B">
        <w:rPr>
          <w:rFonts w:cs="Times New Roman"/>
          <w:iCs/>
        </w:rPr>
        <w:t xml:space="preserve">от отпадъчни води, от аварии и инциденти, от изоставени </w:t>
      </w:r>
      <w:r w:rsidR="008F79D5" w:rsidRPr="00610B1B">
        <w:rPr>
          <w:rFonts w:cs="Times New Roman"/>
          <w:iCs/>
        </w:rPr>
        <w:t>ф</w:t>
      </w:r>
      <w:r w:rsidR="00686D51" w:rsidRPr="00610B1B">
        <w:rPr>
          <w:rFonts w:cs="Times New Roman"/>
          <w:iCs/>
        </w:rPr>
        <w:t>ерми за отглеждане на аквакултури и</w:t>
      </w:r>
      <w:r w:rsidR="00A50A50" w:rsidRPr="00610B1B">
        <w:rPr>
          <w:rFonts w:cs="Times New Roman"/>
          <w:iCs/>
        </w:rPr>
        <w:t xml:space="preserve"> даляни в близост до плажове на </w:t>
      </w:r>
      <w:r w:rsidR="00686D51" w:rsidRPr="00610B1B">
        <w:rPr>
          <w:rFonts w:cs="Times New Roman"/>
          <w:iCs/>
        </w:rPr>
        <w:t>курортни комплекси и зони.</w:t>
      </w:r>
      <w:r w:rsidR="00D66FE0" w:rsidRPr="00610B1B">
        <w:rPr>
          <w:rFonts w:cs="Times New Roman"/>
          <w:iCs/>
        </w:rPr>
        <w:t xml:space="preserve"> </w:t>
      </w:r>
      <w:r w:rsidR="002230BB" w:rsidRPr="00610B1B">
        <w:rPr>
          <w:rFonts w:cs="Times New Roman"/>
          <w:iCs/>
        </w:rPr>
        <w:t xml:space="preserve">За предотвратяване на инциденти в зоните за отдих и водни спортове ясно се разграничават пространствата за водни спортове от тези за къпане. </w:t>
      </w:r>
    </w:p>
    <w:p w14:paraId="74110CE4" w14:textId="4A617A06" w:rsidR="000B7E9C" w:rsidRPr="00610B1B" w:rsidRDefault="003233AE" w:rsidP="00A50A50">
      <w:pPr>
        <w:pStyle w:val="BodyText"/>
        <w:spacing w:before="0" w:after="120" w:line="276" w:lineRule="auto"/>
        <w:rPr>
          <w:rFonts w:cs="Times New Roman"/>
          <w:iCs/>
          <w:color w:val="000000" w:themeColor="text1"/>
        </w:rPr>
      </w:pPr>
      <w:r w:rsidRPr="00610B1B">
        <w:rPr>
          <w:rFonts w:cs="Times New Roman"/>
          <w:b/>
          <w:iCs/>
        </w:rPr>
        <w:t>ИКТ</w:t>
      </w:r>
      <w:r w:rsidRPr="00610B1B">
        <w:rPr>
          <w:rFonts w:cs="Times New Roman"/>
          <w:iCs/>
        </w:rPr>
        <w:t xml:space="preserve"> </w:t>
      </w:r>
      <w:r w:rsidR="009031A0" w:rsidRPr="00610B1B">
        <w:rPr>
          <w:rFonts w:cs="Times New Roman"/>
          <w:iCs/>
        </w:rPr>
        <w:t>–</w:t>
      </w:r>
      <w:r w:rsidRPr="00610B1B">
        <w:rPr>
          <w:rFonts w:cs="Times New Roman"/>
          <w:iCs/>
        </w:rPr>
        <w:t xml:space="preserve"> </w:t>
      </w:r>
      <w:r w:rsidR="000B7E9C" w:rsidRPr="00610B1B">
        <w:rPr>
          <w:rFonts w:cs="Times New Roman"/>
          <w:iCs/>
        </w:rPr>
        <w:t xml:space="preserve">Информационни и комуникационни технологии </w:t>
      </w:r>
      <w:r w:rsidR="000B7E9C" w:rsidRPr="00610B1B">
        <w:rPr>
          <w:rFonts w:cs="Times New Roman"/>
          <w:iCs/>
          <w:color w:val="000000" w:themeColor="text1"/>
        </w:rPr>
        <w:t>и подводна инфраструктура</w:t>
      </w:r>
    </w:p>
    <w:p w14:paraId="680558C4" w14:textId="77777777" w:rsidR="00B86940" w:rsidRPr="00610B1B" w:rsidRDefault="00686D51" w:rsidP="00A50A50">
      <w:pPr>
        <w:pStyle w:val="BodyText"/>
        <w:spacing w:before="0" w:after="120" w:line="276" w:lineRule="auto"/>
        <w:rPr>
          <w:rFonts w:cs="Times New Roman"/>
          <w:iCs/>
          <w:color w:val="000000" w:themeColor="text1"/>
        </w:rPr>
      </w:pPr>
      <w:r w:rsidRPr="00610B1B">
        <w:rPr>
          <w:rFonts w:cs="Times New Roman"/>
          <w:iCs/>
          <w:color w:val="000000" w:themeColor="text1"/>
        </w:rPr>
        <w:t>Съществуващите линейни обекти, положени на дъното на Черно море, удовлетворява</w:t>
      </w:r>
      <w:r w:rsidR="00097679" w:rsidRPr="00610B1B">
        <w:rPr>
          <w:rFonts w:cs="Times New Roman"/>
          <w:iCs/>
          <w:color w:val="000000" w:themeColor="text1"/>
        </w:rPr>
        <w:t>т</w:t>
      </w:r>
      <w:r w:rsidRPr="00610B1B">
        <w:rPr>
          <w:rFonts w:cs="Times New Roman"/>
          <w:iCs/>
          <w:color w:val="000000" w:themeColor="text1"/>
        </w:rPr>
        <w:t xml:space="preserve"> изискванията на информационните и комуникационните технологии</w:t>
      </w:r>
      <w:r w:rsidR="00B86940" w:rsidRPr="00610B1B">
        <w:rPr>
          <w:rFonts w:cs="Times New Roman"/>
          <w:iCs/>
          <w:color w:val="000000" w:themeColor="text1"/>
        </w:rPr>
        <w:t>,</w:t>
      </w:r>
      <w:r w:rsidRPr="00610B1B">
        <w:rPr>
          <w:rFonts w:cs="Times New Roman"/>
          <w:iCs/>
          <w:color w:val="000000" w:themeColor="text1"/>
        </w:rPr>
        <w:t xml:space="preserve"> изградени </w:t>
      </w:r>
      <w:r w:rsidR="00B86940" w:rsidRPr="00610B1B">
        <w:rPr>
          <w:rFonts w:cs="Times New Roman"/>
          <w:iCs/>
          <w:color w:val="000000" w:themeColor="text1"/>
        </w:rPr>
        <w:t xml:space="preserve">са </w:t>
      </w:r>
      <w:r w:rsidRPr="00610B1B">
        <w:rPr>
          <w:rFonts w:cs="Times New Roman"/>
          <w:iCs/>
          <w:color w:val="000000" w:themeColor="text1"/>
        </w:rPr>
        <w:t xml:space="preserve">и се поддържат съгласно предписанията за различните видове </w:t>
      </w:r>
      <w:r w:rsidR="00B86940" w:rsidRPr="00610B1B">
        <w:rPr>
          <w:rFonts w:cs="Times New Roman"/>
          <w:iCs/>
          <w:color w:val="000000" w:themeColor="text1"/>
        </w:rPr>
        <w:t>инфраструктура</w:t>
      </w:r>
      <w:r w:rsidR="00097679" w:rsidRPr="00610B1B">
        <w:rPr>
          <w:rFonts w:cs="Times New Roman"/>
          <w:iCs/>
          <w:color w:val="000000" w:themeColor="text1"/>
        </w:rPr>
        <w:t>. Съо</w:t>
      </w:r>
      <w:r w:rsidR="000A32C6" w:rsidRPr="00610B1B">
        <w:rPr>
          <w:rFonts w:cs="Times New Roman"/>
          <w:iCs/>
          <w:color w:val="000000" w:themeColor="text1"/>
        </w:rPr>
        <w:t>б</w:t>
      </w:r>
      <w:r w:rsidR="00097679" w:rsidRPr="00610B1B">
        <w:rPr>
          <w:rFonts w:cs="Times New Roman"/>
          <w:iCs/>
          <w:color w:val="000000" w:themeColor="text1"/>
        </w:rPr>
        <w:t xml:space="preserve">разени са с изискванията на </w:t>
      </w:r>
      <w:r w:rsidR="00010904" w:rsidRPr="00610B1B">
        <w:rPr>
          <w:rFonts w:cs="Times New Roman"/>
          <w:iCs/>
          <w:color w:val="000000" w:themeColor="text1"/>
        </w:rPr>
        <w:t xml:space="preserve">Конвенцията на </w:t>
      </w:r>
      <w:r w:rsidR="007B5113" w:rsidRPr="00610B1B">
        <w:rPr>
          <w:rFonts w:cs="Times New Roman"/>
          <w:iCs/>
          <w:color w:val="000000" w:themeColor="text1"/>
        </w:rPr>
        <w:t>ООН</w:t>
      </w:r>
      <w:r w:rsidR="00010904" w:rsidRPr="00610B1B">
        <w:rPr>
          <w:rFonts w:cs="Times New Roman"/>
          <w:iCs/>
          <w:color w:val="000000" w:themeColor="text1"/>
        </w:rPr>
        <w:t xml:space="preserve"> по морско право</w:t>
      </w:r>
      <w:r w:rsidR="000A32C6" w:rsidRPr="00610B1B">
        <w:rPr>
          <w:rFonts w:cs="Times New Roman"/>
          <w:iCs/>
          <w:color w:val="000000" w:themeColor="text1"/>
        </w:rPr>
        <w:t xml:space="preserve">, </w:t>
      </w:r>
      <w:r w:rsidR="007B5113" w:rsidRPr="00610B1B">
        <w:rPr>
          <w:rFonts w:cs="Times New Roman"/>
          <w:iCs/>
          <w:color w:val="000000" w:themeColor="text1"/>
        </w:rPr>
        <w:t>З</w:t>
      </w:r>
      <w:r w:rsidR="00A51C36" w:rsidRPr="00610B1B">
        <w:rPr>
          <w:rFonts w:cs="Times New Roman"/>
          <w:iCs/>
          <w:color w:val="000000" w:themeColor="text1"/>
        </w:rPr>
        <w:t xml:space="preserve">МПВВППРБ и </w:t>
      </w:r>
      <w:r w:rsidR="00097679" w:rsidRPr="00610B1B">
        <w:rPr>
          <w:rFonts w:cs="Times New Roman"/>
          <w:iCs/>
          <w:color w:val="000000" w:themeColor="text1"/>
        </w:rPr>
        <w:t>Закона за устройство на територията</w:t>
      </w:r>
      <w:r w:rsidR="00A51C36" w:rsidRPr="00610B1B">
        <w:rPr>
          <w:rFonts w:cs="Times New Roman"/>
          <w:iCs/>
          <w:color w:val="000000" w:themeColor="text1"/>
        </w:rPr>
        <w:t xml:space="preserve">. </w:t>
      </w:r>
    </w:p>
    <w:p w14:paraId="1CCFB63D" w14:textId="6ECDE7C1" w:rsidR="000B7E9C" w:rsidRPr="00610B1B" w:rsidRDefault="00010904"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На този етап на разработване на МППРБ страната ни няма планове за изграждане на нови линейни обекти на дъното на Черно море. В случай на поява на интерес за подобна инициатива от регионален мащаб се спазват изискванията на </w:t>
      </w:r>
      <w:r w:rsidR="007B5113" w:rsidRPr="00610B1B">
        <w:rPr>
          <w:rFonts w:cs="Times New Roman"/>
          <w:iCs/>
          <w:color w:val="000000" w:themeColor="text1"/>
        </w:rPr>
        <w:t>действащите международни споразумения</w:t>
      </w:r>
      <w:r w:rsidR="00A51C36" w:rsidRPr="00610B1B">
        <w:rPr>
          <w:rFonts w:cs="Times New Roman"/>
          <w:iCs/>
          <w:color w:val="000000" w:themeColor="text1"/>
        </w:rPr>
        <w:t xml:space="preserve"> и нормативна</w:t>
      </w:r>
      <w:r w:rsidR="00B86940" w:rsidRPr="00610B1B">
        <w:rPr>
          <w:rFonts w:cs="Times New Roman"/>
          <w:iCs/>
          <w:color w:val="000000" w:themeColor="text1"/>
        </w:rPr>
        <w:t>та</w:t>
      </w:r>
      <w:r w:rsidR="00A51C36" w:rsidRPr="00610B1B">
        <w:rPr>
          <w:rFonts w:cs="Times New Roman"/>
          <w:iCs/>
          <w:color w:val="000000" w:themeColor="text1"/>
        </w:rPr>
        <w:t xml:space="preserve"> уредба за </w:t>
      </w:r>
      <w:r w:rsidR="00D735AF" w:rsidRPr="00610B1B">
        <w:rPr>
          <w:rFonts w:cs="Times New Roman"/>
          <w:iCs/>
          <w:color w:val="000000" w:themeColor="text1"/>
        </w:rPr>
        <w:t>500</w:t>
      </w:r>
      <w:r w:rsidR="00A51C36" w:rsidRPr="00610B1B">
        <w:rPr>
          <w:rFonts w:cs="Times New Roman"/>
          <w:iCs/>
          <w:color w:val="000000" w:themeColor="text1"/>
        </w:rPr>
        <w:t xml:space="preserve"> m сервитут около </w:t>
      </w:r>
      <w:r w:rsidR="00A51C36" w:rsidRPr="00610B1B">
        <w:rPr>
          <w:rFonts w:cs="Times New Roman"/>
          <w:iCs/>
          <w:color w:val="000000" w:themeColor="text1"/>
        </w:rPr>
        <w:lastRenderedPageBreak/>
        <w:t>подводните проводи.</w:t>
      </w:r>
      <w:r w:rsidR="007C026D" w:rsidRPr="00610B1B">
        <w:rPr>
          <w:rFonts w:cs="Times New Roman"/>
          <w:iCs/>
          <w:color w:val="000000" w:themeColor="text1"/>
        </w:rPr>
        <w:t xml:space="preserve"> (Приложение</w:t>
      </w:r>
      <w:r w:rsidR="00D66FE0" w:rsidRPr="00610B1B">
        <w:rPr>
          <w:rFonts w:cs="Times New Roman"/>
          <w:iCs/>
          <w:color w:val="000000" w:themeColor="text1"/>
        </w:rPr>
        <w:t xml:space="preserve"> </w:t>
      </w:r>
      <w:r w:rsidR="007C026D" w:rsidRPr="00610B1B">
        <w:rPr>
          <w:rFonts w:cs="Times New Roman"/>
          <w:iCs/>
          <w:color w:val="000000" w:themeColor="text1"/>
        </w:rPr>
        <w:t>към чл. 7. Максимални размери на сервитутните ивици на физическа инфраструктура за разполагане на електронни съобщителни мрежи, Наредба № 6 от 13 юни 2019 г. за сервитутите, които възникват в полза на операторите на електронни съобщителни мрежи по Закона за електронните съобщителни мрежи и физическа инфраструктура)</w:t>
      </w:r>
      <w:r w:rsidR="00A51C36" w:rsidRPr="00610B1B">
        <w:rPr>
          <w:rFonts w:cs="Times New Roman"/>
          <w:iCs/>
          <w:color w:val="000000" w:themeColor="text1"/>
        </w:rPr>
        <w:t xml:space="preserve"> По трасето на кабелите не се допуска дънно тралене, драгиране или депониране на драгажна маса.</w:t>
      </w:r>
    </w:p>
    <w:p w14:paraId="79A05513" w14:textId="4DB61E13" w:rsidR="000B7E9C"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КК</w:t>
      </w:r>
      <w:r w:rsidR="00140F67" w:rsidRPr="00610B1B">
        <w:rPr>
          <w:rFonts w:eastAsia="Times New Roman" w:cs="Times New Roman"/>
          <w:color w:val="000000" w:themeColor="text1"/>
          <w:lang w:eastAsia="bg-BG"/>
        </w:rPr>
        <w:t xml:space="preserve"> – </w:t>
      </w:r>
      <w:r w:rsidR="000B7E9C" w:rsidRPr="00610B1B">
        <w:rPr>
          <w:rFonts w:cs="Times New Roman"/>
          <w:iCs/>
          <w:color w:val="000000" w:themeColor="text1"/>
        </w:rPr>
        <w:t>Кораборемонт и корабостроене</w:t>
      </w:r>
    </w:p>
    <w:p w14:paraId="55A4A40E" w14:textId="22117183" w:rsidR="00454E79" w:rsidRPr="00610B1B" w:rsidRDefault="00305B8C"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Преструктурирането на сектора през последните две десетилетия намира отражение и в предвижданията за следващите 15 години. Ще се запазят тенденциите за развитие на онези сегменти, които са свързани предимно с рекреационната индустрия и водните спортове и строителство на плавателни съдове за отдих. Паралелно с това се очаква да се развият онези сектори, които изискват високо квалифицирана работна ръка като производство на модерни енергоефективни двигатели, на уреди и апарати за измерване, изпитване и навигация. </w:t>
      </w:r>
    </w:p>
    <w:p w14:paraId="5F4D60F2" w14:textId="13D2F5FC" w:rsidR="00620E54" w:rsidRPr="00610B1B" w:rsidRDefault="00305B8C" w:rsidP="00A50A50">
      <w:pPr>
        <w:pStyle w:val="BodyText"/>
        <w:spacing w:before="0" w:after="120" w:line="276" w:lineRule="auto"/>
        <w:rPr>
          <w:rFonts w:cs="Times New Roman"/>
          <w:iCs/>
          <w:color w:val="000000" w:themeColor="text1"/>
        </w:rPr>
      </w:pPr>
      <w:r w:rsidRPr="00610B1B">
        <w:rPr>
          <w:rFonts w:cs="Times New Roman"/>
          <w:iCs/>
          <w:color w:val="000000" w:themeColor="text1"/>
        </w:rPr>
        <w:t>Това развитие е свързано предимно с ефективно използване на терените, в които извършват дейността си действащите фирми в Бургас, Варна, Белослав, Аксаково, Несебър, Поморие, Созопол, Ахтопол и Царево</w:t>
      </w:r>
      <w:r w:rsidR="00454E79" w:rsidRPr="00610B1B">
        <w:rPr>
          <w:rFonts w:cs="Times New Roman"/>
          <w:iCs/>
          <w:color w:val="000000" w:themeColor="text1"/>
        </w:rPr>
        <w:t xml:space="preserve"> в съответствие с изискванията на ЗУТ, ЗУЧК и ЗМПВВППРБ</w:t>
      </w:r>
      <w:r w:rsidRPr="00610B1B">
        <w:rPr>
          <w:rFonts w:cs="Times New Roman"/>
          <w:iCs/>
          <w:color w:val="000000" w:themeColor="text1"/>
        </w:rPr>
        <w:t>. Акваториалните части, в които извършват част от операциите си кораборемонтните и корабостроителните заводи също следва да бъдат реновирани и разширени при необходимост в съответствие с изискванията на ЗМПВВППРБ.</w:t>
      </w:r>
    </w:p>
    <w:p w14:paraId="62187D64" w14:textId="1F74F6CD" w:rsidR="000B7E9C"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ПП</w:t>
      </w:r>
      <w:r w:rsidR="00140F67" w:rsidRPr="00610B1B">
        <w:rPr>
          <w:rFonts w:eastAsia="Times New Roman" w:cs="Times New Roman"/>
          <w:color w:val="000000" w:themeColor="text1"/>
          <w:lang w:eastAsia="bg-BG"/>
        </w:rPr>
        <w:t xml:space="preserve"> – </w:t>
      </w:r>
      <w:r w:rsidR="000B7E9C" w:rsidRPr="00610B1B">
        <w:rPr>
          <w:rFonts w:cs="Times New Roman"/>
          <w:iCs/>
          <w:color w:val="000000" w:themeColor="text1"/>
        </w:rPr>
        <w:t>Пристанища и пристанищна дейност</w:t>
      </w:r>
    </w:p>
    <w:p w14:paraId="2B941127" w14:textId="57CC8702" w:rsidR="004C69F9" w:rsidRPr="00610B1B" w:rsidRDefault="004C69F9"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Предвижданията за българските пристанища са свързани с необходимостта от тяхната модернизация и технологично обновяване на съпътстващата инфраструктура, за да могат да поемат основните си функции като важни портали на източната граница на ЕС и в Черноморския регион. </w:t>
      </w:r>
      <w:r w:rsidR="00F40F71" w:rsidRPr="00610B1B">
        <w:rPr>
          <w:rFonts w:cs="Times New Roman"/>
          <w:iCs/>
          <w:color w:val="000000" w:themeColor="text1"/>
        </w:rPr>
        <w:t>Те ще отразят и последните промени, внесени за обсъждане в българския парламент за подобряване на управлението им</w:t>
      </w:r>
      <w:r w:rsidR="00675515" w:rsidRPr="00610B1B">
        <w:rPr>
          <w:rFonts w:cs="Times New Roman"/>
          <w:iCs/>
          <w:color w:val="000000" w:themeColor="text1"/>
        </w:rPr>
        <w:t xml:space="preserve"> и прилагане на Регламент (ЕС) 2017/352 относно пристанищните услуги</w:t>
      </w:r>
      <w:r w:rsidR="00F40F71" w:rsidRPr="00610B1B">
        <w:rPr>
          <w:rFonts w:cs="Times New Roman"/>
          <w:iCs/>
          <w:color w:val="000000" w:themeColor="text1"/>
        </w:rPr>
        <w:t xml:space="preserve">. </w:t>
      </w:r>
      <w:r w:rsidRPr="00610B1B">
        <w:rPr>
          <w:rFonts w:cs="Times New Roman"/>
          <w:iCs/>
          <w:color w:val="000000" w:themeColor="text1"/>
        </w:rPr>
        <w:t>В условията на последвалата пандемията икономическа криза, която засегна сериозно пристанищата и пристанищната дейност в ц</w:t>
      </w:r>
      <w:r w:rsidR="0003451C" w:rsidRPr="00610B1B">
        <w:rPr>
          <w:rFonts w:cs="Times New Roman"/>
          <w:iCs/>
          <w:color w:val="000000" w:themeColor="text1"/>
        </w:rPr>
        <w:t>e</w:t>
      </w:r>
      <w:r w:rsidRPr="00610B1B">
        <w:rPr>
          <w:rFonts w:cs="Times New Roman"/>
          <w:iCs/>
          <w:color w:val="000000" w:themeColor="text1"/>
        </w:rPr>
        <w:t>л</w:t>
      </w:r>
      <w:r w:rsidR="0003451C" w:rsidRPr="00610B1B">
        <w:rPr>
          <w:rFonts w:cs="Times New Roman"/>
          <w:iCs/>
          <w:color w:val="000000" w:themeColor="text1"/>
        </w:rPr>
        <w:t>ия</w:t>
      </w:r>
      <w:r w:rsidRPr="00610B1B">
        <w:rPr>
          <w:rFonts w:cs="Times New Roman"/>
          <w:iCs/>
          <w:color w:val="000000" w:themeColor="text1"/>
        </w:rPr>
        <w:t xml:space="preserve"> свят, е трудно да се правят </w:t>
      </w:r>
      <w:r w:rsidR="00F40F71" w:rsidRPr="00610B1B">
        <w:rPr>
          <w:rFonts w:cs="Times New Roman"/>
          <w:iCs/>
          <w:color w:val="000000" w:themeColor="text1"/>
        </w:rPr>
        <w:t xml:space="preserve">точни </w:t>
      </w:r>
      <w:r w:rsidRPr="00610B1B">
        <w:rPr>
          <w:rFonts w:cs="Times New Roman"/>
          <w:iCs/>
          <w:color w:val="000000" w:themeColor="text1"/>
        </w:rPr>
        <w:t>предвиждания за ръста на</w:t>
      </w:r>
      <w:r w:rsidRPr="00610B1B">
        <w:rPr>
          <w:rFonts w:cs="Times New Roman"/>
        </w:rPr>
        <w:t xml:space="preserve"> </w:t>
      </w:r>
      <w:r w:rsidRPr="00610B1B">
        <w:rPr>
          <w:rFonts w:cs="Times New Roman"/>
          <w:iCs/>
          <w:color w:val="000000" w:themeColor="text1"/>
        </w:rPr>
        <w:t>превозите на пасажери и товари</w:t>
      </w:r>
      <w:r w:rsidR="00F40F71" w:rsidRPr="00610B1B">
        <w:rPr>
          <w:rFonts w:cs="Times New Roman"/>
          <w:iCs/>
          <w:color w:val="000000" w:themeColor="text1"/>
        </w:rPr>
        <w:t>, от което зависи и обхвата на дейностите по модернизацията им</w:t>
      </w:r>
      <w:r w:rsidRPr="00610B1B">
        <w:rPr>
          <w:rFonts w:cs="Times New Roman"/>
          <w:iCs/>
          <w:color w:val="000000" w:themeColor="text1"/>
        </w:rPr>
        <w:t>. Ясно е обаче</w:t>
      </w:r>
      <w:r w:rsidR="0003451C" w:rsidRPr="00610B1B">
        <w:rPr>
          <w:rFonts w:cs="Times New Roman"/>
          <w:iCs/>
          <w:color w:val="000000" w:themeColor="text1"/>
        </w:rPr>
        <w:t>,</w:t>
      </w:r>
      <w:r w:rsidRPr="00610B1B">
        <w:rPr>
          <w:rFonts w:cs="Times New Roman"/>
          <w:iCs/>
          <w:color w:val="000000" w:themeColor="text1"/>
        </w:rPr>
        <w:t xml:space="preserve"> че е необходимо да се инвестира в специализацията на отделните терминали за пренос на различни товари – течни, насипни, контейне</w:t>
      </w:r>
      <w:r w:rsidR="0003451C" w:rsidRPr="00610B1B">
        <w:rPr>
          <w:rFonts w:cs="Times New Roman"/>
          <w:iCs/>
          <w:color w:val="000000" w:themeColor="text1"/>
        </w:rPr>
        <w:t>р</w:t>
      </w:r>
      <w:r w:rsidR="00D735AF" w:rsidRPr="00610B1B">
        <w:rPr>
          <w:rFonts w:cs="Times New Roman"/>
          <w:iCs/>
          <w:color w:val="000000" w:themeColor="text1"/>
        </w:rPr>
        <w:t>н</w:t>
      </w:r>
      <w:r w:rsidR="0003451C" w:rsidRPr="00610B1B">
        <w:rPr>
          <w:rFonts w:cs="Times New Roman"/>
          <w:iCs/>
          <w:color w:val="000000" w:themeColor="text1"/>
        </w:rPr>
        <w:t xml:space="preserve">и, което да </w:t>
      </w:r>
      <w:r w:rsidR="00F40F71" w:rsidRPr="00610B1B">
        <w:rPr>
          <w:rFonts w:cs="Times New Roman"/>
          <w:iCs/>
          <w:color w:val="000000" w:themeColor="text1"/>
        </w:rPr>
        <w:t>пов</w:t>
      </w:r>
      <w:r w:rsidR="00D735AF" w:rsidRPr="00610B1B">
        <w:rPr>
          <w:rFonts w:cs="Times New Roman"/>
          <w:iCs/>
          <w:color w:val="000000" w:themeColor="text1"/>
        </w:rPr>
        <w:t>и</w:t>
      </w:r>
      <w:r w:rsidR="00F40F71" w:rsidRPr="00610B1B">
        <w:rPr>
          <w:rFonts w:cs="Times New Roman"/>
          <w:iCs/>
          <w:color w:val="000000" w:themeColor="text1"/>
        </w:rPr>
        <w:t>ши тяхната</w:t>
      </w:r>
      <w:r w:rsidR="0003451C" w:rsidRPr="00610B1B">
        <w:rPr>
          <w:rFonts w:cs="Times New Roman"/>
          <w:iCs/>
          <w:color w:val="000000" w:themeColor="text1"/>
        </w:rPr>
        <w:t xml:space="preserve"> конкурентоспособн</w:t>
      </w:r>
      <w:r w:rsidR="00F40F71" w:rsidRPr="00610B1B">
        <w:rPr>
          <w:rFonts w:cs="Times New Roman"/>
          <w:iCs/>
          <w:color w:val="000000" w:themeColor="text1"/>
        </w:rPr>
        <w:t xml:space="preserve">ост </w:t>
      </w:r>
      <w:r w:rsidR="0003451C" w:rsidRPr="00610B1B">
        <w:rPr>
          <w:rFonts w:cs="Times New Roman"/>
          <w:iCs/>
          <w:color w:val="000000" w:themeColor="text1"/>
        </w:rPr>
        <w:t xml:space="preserve">в </w:t>
      </w:r>
      <w:r w:rsidR="00F40F71" w:rsidRPr="00610B1B">
        <w:rPr>
          <w:rFonts w:cs="Times New Roman"/>
          <w:iCs/>
          <w:color w:val="000000" w:themeColor="text1"/>
        </w:rPr>
        <w:t xml:space="preserve">Черноморския </w:t>
      </w:r>
      <w:r w:rsidR="0003451C" w:rsidRPr="00610B1B">
        <w:rPr>
          <w:rFonts w:cs="Times New Roman"/>
          <w:iCs/>
          <w:color w:val="000000" w:themeColor="text1"/>
        </w:rPr>
        <w:t>регион.</w:t>
      </w:r>
      <w:r w:rsidRPr="00610B1B">
        <w:rPr>
          <w:rFonts w:cs="Times New Roman"/>
          <w:iCs/>
          <w:color w:val="000000" w:themeColor="text1"/>
        </w:rPr>
        <w:t xml:space="preserve"> </w:t>
      </w:r>
      <w:r w:rsidR="0003451C" w:rsidRPr="00610B1B">
        <w:rPr>
          <w:rFonts w:cs="Times New Roman"/>
          <w:iCs/>
          <w:color w:val="000000" w:themeColor="text1"/>
        </w:rPr>
        <w:t xml:space="preserve">Обновяването на пристанищата </w:t>
      </w:r>
      <w:r w:rsidR="00F40F71" w:rsidRPr="00610B1B">
        <w:rPr>
          <w:rFonts w:cs="Times New Roman"/>
          <w:iCs/>
          <w:color w:val="000000" w:themeColor="text1"/>
        </w:rPr>
        <w:t>и технологичното им оборудване, което ще</w:t>
      </w:r>
      <w:r w:rsidR="0003451C" w:rsidRPr="00610B1B">
        <w:rPr>
          <w:rFonts w:cs="Times New Roman"/>
          <w:iCs/>
          <w:color w:val="000000" w:themeColor="text1"/>
        </w:rPr>
        <w:t xml:space="preserve"> направи пристанищните дейности по-устойчиви, по-ефективни и по-сигурни</w:t>
      </w:r>
      <w:r w:rsidR="00F40F71" w:rsidRPr="00610B1B">
        <w:rPr>
          <w:rFonts w:cs="Times New Roman"/>
          <w:iCs/>
          <w:color w:val="000000" w:themeColor="text1"/>
        </w:rPr>
        <w:t>, ще ги свърже с логистичните коридори и зони на страната и с интермодалните центрове</w:t>
      </w:r>
      <w:r w:rsidR="00D735AF" w:rsidRPr="00610B1B">
        <w:rPr>
          <w:rFonts w:cs="Times New Roman"/>
          <w:iCs/>
          <w:color w:val="000000" w:themeColor="text1"/>
        </w:rPr>
        <w:t>,</w:t>
      </w:r>
      <w:r w:rsidR="00F40F71" w:rsidRPr="00610B1B">
        <w:rPr>
          <w:rFonts w:cs="Times New Roman"/>
          <w:iCs/>
          <w:color w:val="000000" w:themeColor="text1"/>
        </w:rPr>
        <w:t xml:space="preserve"> ще се осъществява в съответствие със ЗУТ и ЗМПВВППРБ. </w:t>
      </w:r>
    </w:p>
    <w:p w14:paraId="64520A20" w14:textId="2650C409" w:rsidR="00F40F71" w:rsidRPr="00610B1B" w:rsidRDefault="00F40F71" w:rsidP="00A50A50">
      <w:pPr>
        <w:pStyle w:val="BodyText"/>
        <w:spacing w:before="0" w:after="120" w:line="276" w:lineRule="auto"/>
        <w:rPr>
          <w:rFonts w:cs="Times New Roman"/>
          <w:iCs/>
          <w:color w:val="000000" w:themeColor="text1"/>
        </w:rPr>
      </w:pPr>
      <w:r w:rsidRPr="00610B1B">
        <w:rPr>
          <w:rFonts w:cs="Times New Roman"/>
          <w:iCs/>
          <w:color w:val="000000" w:themeColor="text1"/>
        </w:rPr>
        <w:t>По отношение на акваторията се предвиждат ограничаване на разширяването на терминалите във Варненското езеро и изпълнение на заложените проекти за двете най-големи пристанища – Варна и Бургас, свързано и с драгиране.</w:t>
      </w:r>
      <w:r w:rsidR="007C5993" w:rsidRPr="00610B1B">
        <w:rPr>
          <w:rFonts w:cs="Times New Roman"/>
          <w:iCs/>
          <w:color w:val="000000" w:themeColor="text1"/>
        </w:rPr>
        <w:t xml:space="preserve"> В тази връзка МППРБ предвижда проучване на възможностите за ограничаване преноса на седименти от </w:t>
      </w:r>
      <w:r w:rsidR="007C5993" w:rsidRPr="00610B1B">
        <w:rPr>
          <w:rFonts w:cs="Times New Roman"/>
          <w:iCs/>
          <w:color w:val="000000" w:themeColor="text1"/>
        </w:rPr>
        <w:lastRenderedPageBreak/>
        <w:t>Провадийска река и от запълненото хвостохранилище на „Солвей соди“ АД.</w:t>
      </w:r>
    </w:p>
    <w:p w14:paraId="420A5024" w14:textId="2C768A65" w:rsidR="00D1295D" w:rsidRPr="00610B1B" w:rsidRDefault="007C5993"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Допълнително съгласуване се налага и на проекта за удължаване на кейовата стена на </w:t>
      </w:r>
      <w:r w:rsidR="005851CE" w:rsidRPr="00C717D0">
        <w:rPr>
          <w:lang w:bidi="bg-BG"/>
        </w:rPr>
        <w:t>пристанищен терминал „ТЕЦ - Езерово</w:t>
      </w:r>
      <w:r w:rsidR="005851CE" w:rsidRPr="00C717D0">
        <w:rPr>
          <w:color w:val="000000"/>
          <w:lang w:bidi="bg-BG"/>
        </w:rPr>
        <w:t xml:space="preserve">“ </w:t>
      </w:r>
      <w:r w:rsidR="004C69F9" w:rsidRPr="00610B1B">
        <w:rPr>
          <w:rFonts w:cs="Times New Roman"/>
          <w:iCs/>
          <w:color w:val="000000" w:themeColor="text1"/>
        </w:rPr>
        <w:t xml:space="preserve">с около 200 метра, </w:t>
      </w:r>
      <w:r w:rsidRPr="00610B1B">
        <w:rPr>
          <w:rFonts w:cs="Times New Roman"/>
          <w:iCs/>
          <w:color w:val="000000" w:themeColor="text1"/>
        </w:rPr>
        <w:t>което</w:t>
      </w:r>
      <w:r w:rsidR="004C69F9" w:rsidRPr="00610B1B">
        <w:rPr>
          <w:rFonts w:cs="Times New Roman"/>
          <w:iCs/>
          <w:color w:val="000000" w:themeColor="text1"/>
        </w:rPr>
        <w:t xml:space="preserve"> не </w:t>
      </w:r>
      <w:r w:rsidRPr="00610B1B">
        <w:rPr>
          <w:rStyle w:val="Absatz-Standardschriftart"/>
          <w:rFonts w:cs="Times New Roman"/>
        </w:rPr>
        <w:t>създава</w:t>
      </w:r>
      <w:r w:rsidRPr="00610B1B">
        <w:rPr>
          <w:rFonts w:cs="Times New Roman"/>
          <w:iCs/>
          <w:color w:val="000000" w:themeColor="text1"/>
        </w:rPr>
        <w:t xml:space="preserve"> рискове за </w:t>
      </w:r>
      <w:r w:rsidR="004C69F9" w:rsidRPr="00610B1B">
        <w:rPr>
          <w:rFonts w:cs="Times New Roman"/>
          <w:iCs/>
          <w:color w:val="000000" w:themeColor="text1"/>
        </w:rPr>
        <w:t>корабоплаването</w:t>
      </w:r>
      <w:r w:rsidRPr="00610B1B">
        <w:rPr>
          <w:rFonts w:cs="Times New Roman"/>
          <w:iCs/>
          <w:color w:val="000000" w:themeColor="text1"/>
        </w:rPr>
        <w:t xml:space="preserve">, но създава риск за унищожаване на </w:t>
      </w:r>
      <w:r w:rsidR="00D1295D" w:rsidRPr="00610B1B">
        <w:rPr>
          <w:rFonts w:cs="Times New Roman"/>
          <w:iCs/>
          <w:color w:val="000000" w:themeColor="text1"/>
        </w:rPr>
        <w:t>подводно културно историческо наследство.</w:t>
      </w:r>
    </w:p>
    <w:p w14:paraId="41E0C412" w14:textId="6D932BF5" w:rsidR="00733CD9" w:rsidRPr="00610B1B" w:rsidRDefault="00733CD9" w:rsidP="00A50A50">
      <w:pPr>
        <w:pStyle w:val="BodyText"/>
        <w:spacing w:before="0" w:after="120" w:line="276" w:lineRule="auto"/>
        <w:rPr>
          <w:rFonts w:cs="Times New Roman"/>
          <w:iCs/>
          <w:color w:val="000000" w:themeColor="text1"/>
        </w:rPr>
      </w:pPr>
      <w:r w:rsidRPr="00610B1B">
        <w:rPr>
          <w:rFonts w:cs="Times New Roman"/>
          <w:b/>
          <w:iCs/>
          <w:color w:val="000000" w:themeColor="text1"/>
        </w:rPr>
        <w:t>Кст</w:t>
      </w:r>
      <w:r w:rsidRPr="00610B1B">
        <w:rPr>
          <w:rFonts w:cs="Times New Roman"/>
          <w:iCs/>
          <w:color w:val="000000" w:themeColor="text1"/>
        </w:rPr>
        <w:t xml:space="preserve"> – Котвени стоянки</w:t>
      </w:r>
    </w:p>
    <w:p w14:paraId="5EFFE289" w14:textId="77777777" w:rsidR="0061525D" w:rsidRPr="00610B1B" w:rsidRDefault="00D63242"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Полигоните за котвени стоянки обхващат система от защитени от опасни направления на вятъра котвени места, разположени на подходящи дълбочини. Те са във функционална зависимост от схемата за разделно движение и препоръчаните пътища. Заемането на котвено място става след санкция на ИА „Морска администрация”. Забранено е заставането на котва в девиационните полигони. На корабите на рейд се забранява да стоят на борд с изключение на бункеровчици и при оказване на помощ, да качват лица без разрешение на ГКПП, да изхвърлят зад борд всякакви отпадъци, да сменят позициите си без разрешение на рейдовия пост. Забранено е използването на корабните спасителни лодки за снемане и качване на пасажери. </w:t>
      </w:r>
    </w:p>
    <w:p w14:paraId="4F4068ED" w14:textId="542B2441" w:rsidR="00D63242" w:rsidRPr="00610B1B" w:rsidRDefault="00D63242" w:rsidP="00A50A50">
      <w:pPr>
        <w:pStyle w:val="BodyText"/>
        <w:spacing w:before="0" w:after="120" w:line="276" w:lineRule="auto"/>
        <w:rPr>
          <w:rFonts w:cs="Times New Roman"/>
          <w:iCs/>
          <w:color w:val="000000" w:themeColor="text1"/>
        </w:rPr>
      </w:pPr>
      <w:r w:rsidRPr="00610B1B">
        <w:rPr>
          <w:rFonts w:cs="Times New Roman"/>
          <w:iCs/>
          <w:color w:val="000000" w:themeColor="text1"/>
        </w:rPr>
        <w:t>Съществуващите котвени стоянки са определени в съответствие с изискванията на международното морско право</w:t>
      </w:r>
      <w:r w:rsidR="004F541A">
        <w:rPr>
          <w:rFonts w:cs="Times New Roman"/>
          <w:iCs/>
          <w:color w:val="000000" w:themeColor="text1"/>
        </w:rPr>
        <w:t xml:space="preserve"> и </w:t>
      </w:r>
      <w:r w:rsidRPr="00610B1B">
        <w:rPr>
          <w:rFonts w:cs="Times New Roman"/>
          <w:iCs/>
          <w:color w:val="000000" w:themeColor="text1"/>
        </w:rPr>
        <w:t xml:space="preserve">ЗМПВВППРБ </w:t>
      </w:r>
      <w:r w:rsidR="00963B36" w:rsidRPr="00610B1B">
        <w:rPr>
          <w:rFonts w:cs="Times New Roman"/>
          <w:iCs/>
          <w:color w:val="000000" w:themeColor="text1"/>
        </w:rPr>
        <w:t>със Задължителните правила за морските пристанища на Република България</w:t>
      </w:r>
      <w:r w:rsidR="00963B36" w:rsidRPr="00610B1B">
        <w:rPr>
          <w:rStyle w:val="FootnoteReference"/>
          <w:rFonts w:cs="Times New Roman"/>
          <w:iCs/>
          <w:color w:val="000000" w:themeColor="text1"/>
        </w:rPr>
        <w:footnoteReference w:id="200"/>
      </w:r>
      <w:r w:rsidR="004F541A">
        <w:rPr>
          <w:rFonts w:cs="Times New Roman"/>
          <w:iCs/>
          <w:color w:val="000000" w:themeColor="text1"/>
        </w:rPr>
        <w:t>.</w:t>
      </w:r>
      <w:r w:rsidR="00963B36" w:rsidRPr="00610B1B">
        <w:rPr>
          <w:rFonts w:cs="Times New Roman"/>
          <w:iCs/>
          <w:color w:val="000000" w:themeColor="text1"/>
        </w:rPr>
        <w:t xml:space="preserve"> </w:t>
      </w:r>
    </w:p>
    <w:p w14:paraId="2227AE93" w14:textId="02E779F8" w:rsidR="000B7E9C"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ПД</w:t>
      </w:r>
      <w:r w:rsidR="00140F67" w:rsidRPr="00610B1B">
        <w:rPr>
          <w:rFonts w:eastAsia="Times New Roman" w:cs="Times New Roman"/>
          <w:color w:val="000000" w:themeColor="text1"/>
          <w:lang w:eastAsia="bg-BG"/>
        </w:rPr>
        <w:t xml:space="preserve"> – </w:t>
      </w:r>
      <w:r w:rsidR="000B7E9C" w:rsidRPr="00610B1B">
        <w:rPr>
          <w:rFonts w:cs="Times New Roman"/>
          <w:iCs/>
          <w:color w:val="000000" w:themeColor="text1"/>
        </w:rPr>
        <w:t>Проучване и добив на неживи ресурси</w:t>
      </w:r>
    </w:p>
    <w:p w14:paraId="508FB458" w14:textId="4576BFC7" w:rsidR="0061525D" w:rsidRPr="00610B1B" w:rsidRDefault="00FB556F" w:rsidP="00A50A50">
      <w:pPr>
        <w:pStyle w:val="BodyText"/>
        <w:spacing w:before="0" w:after="120" w:line="276" w:lineRule="auto"/>
        <w:rPr>
          <w:rFonts w:cs="Times New Roman"/>
          <w:iCs/>
          <w:color w:val="000000" w:themeColor="text1"/>
        </w:rPr>
      </w:pPr>
      <w:r w:rsidRPr="00610B1B">
        <w:rPr>
          <w:rFonts w:cs="Times New Roman"/>
          <w:iCs/>
          <w:color w:val="000000" w:themeColor="text1"/>
        </w:rPr>
        <w:t>В тази група попадат всички райони и полигони, предвидени за проучване и добив на нефт, газ и други минерални ресурси, в очертаните блокове за търсене</w:t>
      </w:r>
      <w:r w:rsidR="0061525D" w:rsidRPr="00610B1B">
        <w:rPr>
          <w:rFonts w:cs="Times New Roman"/>
          <w:iCs/>
          <w:color w:val="000000" w:themeColor="text1"/>
        </w:rPr>
        <w:t>,</w:t>
      </w:r>
      <w:r w:rsidRPr="00610B1B">
        <w:rPr>
          <w:rFonts w:cs="Times New Roman"/>
          <w:iCs/>
          <w:color w:val="000000" w:themeColor="text1"/>
        </w:rPr>
        <w:t xml:space="preserve"> проучване и </w:t>
      </w:r>
      <w:r w:rsidR="0061525D" w:rsidRPr="00610B1B">
        <w:rPr>
          <w:rFonts w:cs="Times New Roman"/>
          <w:iCs/>
          <w:color w:val="000000" w:themeColor="text1"/>
        </w:rPr>
        <w:t xml:space="preserve">отдаване на концесия, </w:t>
      </w:r>
      <w:r w:rsidRPr="00610B1B">
        <w:rPr>
          <w:rFonts w:cs="Times New Roman"/>
          <w:iCs/>
          <w:color w:val="000000" w:themeColor="text1"/>
        </w:rPr>
        <w:t>в съответствие с изискванията на ЗМПВВППРБ, Закона за концесиите, Закона за устройство на Черноморското крайбрежие. Предвиждат се 500 m охранителни зони около инсталираните в акваторията платформи</w:t>
      </w:r>
      <w:r w:rsidR="007C026D" w:rsidRPr="00610B1B">
        <w:rPr>
          <w:rFonts w:cs="Times New Roman"/>
          <w:iCs/>
          <w:color w:val="000000" w:themeColor="text1"/>
        </w:rPr>
        <w:t>, съгл. чл. 19, ал. 1 от Наредба за изискванията за предотвратяване на аварии при търсене и проучване или проучване, или добив на подземни богатства - нефт и природен газ, в териториалното море, континенталния шелф и в изключителната икономическа зона на Република България в Черно море, (Обн. ДВ. бр. 103/27.12.2016 г.)</w:t>
      </w:r>
      <w:r w:rsidRPr="00610B1B">
        <w:rPr>
          <w:rFonts w:cs="Times New Roman"/>
          <w:iCs/>
          <w:color w:val="000000" w:themeColor="text1"/>
        </w:rPr>
        <w:t xml:space="preserve">. В тези райони/полигони се забранява корабоплаването, риболова, научните изследвания. </w:t>
      </w:r>
    </w:p>
    <w:p w14:paraId="3B0B858C" w14:textId="7681466D" w:rsidR="003233AE" w:rsidRPr="00610B1B" w:rsidRDefault="00FB556F" w:rsidP="00A50A50">
      <w:pPr>
        <w:pStyle w:val="BodyText"/>
        <w:spacing w:before="0" w:after="120" w:line="276" w:lineRule="auto"/>
        <w:rPr>
          <w:rFonts w:cs="Times New Roman"/>
          <w:iCs/>
          <w:color w:val="000000" w:themeColor="text1"/>
        </w:rPr>
      </w:pPr>
      <w:r w:rsidRPr="00610B1B">
        <w:rPr>
          <w:rFonts w:cs="Times New Roman"/>
          <w:iCs/>
          <w:color w:val="000000" w:themeColor="text1"/>
        </w:rPr>
        <w:t>Последни проучвания и примери от добри практики показват възможностите за използването на тези съоръжения за отг</w:t>
      </w:r>
      <w:r w:rsidR="0061525D" w:rsidRPr="00610B1B">
        <w:rPr>
          <w:rFonts w:cs="Times New Roman"/>
          <w:iCs/>
          <w:color w:val="000000" w:themeColor="text1"/>
        </w:rPr>
        <w:t>л</w:t>
      </w:r>
      <w:r w:rsidRPr="00610B1B">
        <w:rPr>
          <w:rFonts w:cs="Times New Roman"/>
          <w:iCs/>
          <w:color w:val="000000" w:themeColor="text1"/>
        </w:rPr>
        <w:t xml:space="preserve">еждане на аквакултури. МППРБ предлага координиране на тези дейности с научните изследвания, с които ще се подпомогне процеса на наблюдение на качествата на морската околна среда в близост до местата, в риск от производствени аварии и замърсявания. </w:t>
      </w:r>
    </w:p>
    <w:p w14:paraId="20FF1890" w14:textId="79B88E3E" w:rsidR="003233AE"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ДД</w:t>
      </w:r>
      <w:r w:rsidRPr="00610B1B">
        <w:rPr>
          <w:rFonts w:cs="Times New Roman"/>
          <w:iCs/>
          <w:color w:val="000000" w:themeColor="text1"/>
        </w:rPr>
        <w:t xml:space="preserve"> – Депониране на драгажна маса</w:t>
      </w:r>
    </w:p>
    <w:p w14:paraId="3835E6CC" w14:textId="6F20C441" w:rsidR="00733CD9" w:rsidRPr="00610B1B" w:rsidRDefault="00887EDB" w:rsidP="00A50A50">
      <w:pPr>
        <w:pStyle w:val="BodyText"/>
        <w:spacing w:before="0" w:after="120" w:line="276" w:lineRule="auto"/>
        <w:rPr>
          <w:rFonts w:cs="Times New Roman"/>
          <w:iCs/>
          <w:color w:val="000000" w:themeColor="text1"/>
        </w:rPr>
      </w:pPr>
      <w:r w:rsidRPr="00610B1B">
        <w:rPr>
          <w:rFonts w:cs="Times New Roman"/>
          <w:iCs/>
          <w:color w:val="000000" w:themeColor="text1"/>
        </w:rPr>
        <w:t>Към момента на завършване на МППРБ не са подадени заявки за необходимост от предвиждане на нови места за депониране на драгажна маса. При реализирането на проектите за удълбочаване на Канал 1 и Канал 2</w:t>
      </w:r>
      <w:r w:rsidR="00A51C36" w:rsidRPr="00610B1B">
        <w:rPr>
          <w:rFonts w:cs="Times New Roman"/>
          <w:iCs/>
          <w:color w:val="000000" w:themeColor="text1"/>
        </w:rPr>
        <w:t xml:space="preserve"> с около 2 m</w:t>
      </w:r>
      <w:r w:rsidRPr="00610B1B">
        <w:rPr>
          <w:rFonts w:cs="Times New Roman"/>
          <w:iCs/>
          <w:color w:val="000000" w:themeColor="text1"/>
        </w:rPr>
        <w:t>, свързващи терминал Варна Запад</w:t>
      </w:r>
      <w:r w:rsidR="00A51C36" w:rsidRPr="00610B1B">
        <w:rPr>
          <w:rFonts w:cs="Times New Roman"/>
          <w:iCs/>
          <w:color w:val="000000" w:themeColor="text1"/>
        </w:rPr>
        <w:t xml:space="preserve"> в пристанище Варна и за удължаване на к</w:t>
      </w:r>
      <w:r w:rsidRPr="00610B1B">
        <w:rPr>
          <w:rFonts w:cs="Times New Roman"/>
          <w:iCs/>
          <w:color w:val="000000" w:themeColor="text1"/>
        </w:rPr>
        <w:t>ейовите стени</w:t>
      </w:r>
      <w:r w:rsidR="00B06F36" w:rsidRPr="00610B1B">
        <w:rPr>
          <w:rFonts w:cs="Times New Roman"/>
          <w:iCs/>
          <w:color w:val="000000" w:themeColor="text1"/>
        </w:rPr>
        <w:t>,</w:t>
      </w:r>
      <w:r w:rsidRPr="00610B1B">
        <w:rPr>
          <w:rFonts w:cs="Times New Roman"/>
          <w:iCs/>
          <w:color w:val="000000" w:themeColor="text1"/>
        </w:rPr>
        <w:t xml:space="preserve"> за доизграждане на жп </w:t>
      </w:r>
      <w:r w:rsidRPr="00610B1B">
        <w:rPr>
          <w:rFonts w:cs="Times New Roman"/>
          <w:iCs/>
          <w:color w:val="000000" w:themeColor="text1"/>
        </w:rPr>
        <w:lastRenderedPageBreak/>
        <w:t>инфраструктура</w:t>
      </w:r>
      <w:r w:rsidR="00A51C36" w:rsidRPr="00610B1B">
        <w:rPr>
          <w:rFonts w:cs="Times New Roman"/>
          <w:iCs/>
          <w:color w:val="000000" w:themeColor="text1"/>
        </w:rPr>
        <w:t xml:space="preserve"> на пристанище Бургас и драгирането на акватория</w:t>
      </w:r>
      <w:r w:rsidR="00B06F36" w:rsidRPr="00610B1B">
        <w:rPr>
          <w:rFonts w:cs="Times New Roman"/>
          <w:iCs/>
          <w:color w:val="000000" w:themeColor="text1"/>
        </w:rPr>
        <w:t>та</w:t>
      </w:r>
      <w:r w:rsidR="00A51C36" w:rsidRPr="00610B1B">
        <w:rPr>
          <w:rFonts w:cs="Times New Roman"/>
          <w:iCs/>
          <w:color w:val="000000" w:themeColor="text1"/>
        </w:rPr>
        <w:t xml:space="preserve"> </w:t>
      </w:r>
      <w:r w:rsidRPr="00610B1B">
        <w:rPr>
          <w:rFonts w:cs="Times New Roman"/>
          <w:iCs/>
          <w:color w:val="000000" w:themeColor="text1"/>
        </w:rPr>
        <w:t>и зоната за маневриране,</w:t>
      </w:r>
      <w:r w:rsidR="00A51C36" w:rsidRPr="00610B1B">
        <w:rPr>
          <w:rFonts w:cs="Times New Roman"/>
          <w:iCs/>
          <w:color w:val="000000" w:themeColor="text1"/>
        </w:rPr>
        <w:t xml:space="preserve"> депонирането на изчислената драгажна маса е съобразено с изискванията на компетентните институции. </w:t>
      </w:r>
      <w:r w:rsidR="00B06F36" w:rsidRPr="00610B1B">
        <w:rPr>
          <w:rFonts w:cs="Times New Roman"/>
          <w:iCs/>
          <w:color w:val="000000" w:themeColor="text1"/>
        </w:rPr>
        <w:t>Разположението на полигоните за депониране на драгажна маса запазват местата си пре</w:t>
      </w:r>
      <w:r w:rsidR="0061525D" w:rsidRPr="00610B1B">
        <w:rPr>
          <w:rFonts w:cs="Times New Roman"/>
          <w:iCs/>
          <w:color w:val="000000" w:themeColor="text1"/>
        </w:rPr>
        <w:t>д</w:t>
      </w:r>
      <w:r w:rsidR="00B06F36" w:rsidRPr="00610B1B">
        <w:rPr>
          <w:rFonts w:cs="Times New Roman"/>
          <w:iCs/>
          <w:color w:val="000000" w:themeColor="text1"/>
        </w:rPr>
        <w:t xml:space="preserve"> Бургаски</w:t>
      </w:r>
      <w:r w:rsidR="00B02A7D" w:rsidRPr="00610B1B">
        <w:rPr>
          <w:rFonts w:cs="Times New Roman"/>
          <w:iCs/>
          <w:color w:val="000000" w:themeColor="text1"/>
        </w:rPr>
        <w:t>я</w:t>
      </w:r>
      <w:r w:rsidR="00B06F36" w:rsidRPr="00610B1B">
        <w:rPr>
          <w:rFonts w:cs="Times New Roman"/>
          <w:iCs/>
          <w:color w:val="000000" w:themeColor="text1"/>
        </w:rPr>
        <w:t xml:space="preserve"> и пред Варненския залив и във Варненското езеро. </w:t>
      </w:r>
    </w:p>
    <w:p w14:paraId="4591116F" w14:textId="55128793" w:rsidR="003233AE"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НИ</w:t>
      </w:r>
      <w:r w:rsidRPr="00610B1B">
        <w:rPr>
          <w:rFonts w:cs="Times New Roman"/>
          <w:iCs/>
          <w:color w:val="000000" w:themeColor="text1"/>
        </w:rPr>
        <w:t xml:space="preserve"> – </w:t>
      </w:r>
      <w:r w:rsidR="00733CD9" w:rsidRPr="00610B1B">
        <w:rPr>
          <w:rFonts w:cs="Times New Roman"/>
          <w:iCs/>
          <w:color w:val="000000" w:themeColor="text1"/>
        </w:rPr>
        <w:t>Научно</w:t>
      </w:r>
      <w:r w:rsidRPr="00610B1B">
        <w:rPr>
          <w:rFonts w:cs="Times New Roman"/>
          <w:iCs/>
          <w:color w:val="000000" w:themeColor="text1"/>
        </w:rPr>
        <w:t>-изследователска дейност</w:t>
      </w:r>
    </w:p>
    <w:p w14:paraId="668D9132" w14:textId="0ECA8D97" w:rsidR="00792FA7" w:rsidRPr="00610B1B" w:rsidRDefault="00B06F36" w:rsidP="00A50A50">
      <w:pPr>
        <w:pStyle w:val="BodyText"/>
        <w:spacing w:before="0" w:after="120" w:line="276" w:lineRule="auto"/>
        <w:rPr>
          <w:rFonts w:cs="Times New Roman"/>
          <w:bCs/>
          <w:iCs/>
          <w:color w:val="000000" w:themeColor="text1"/>
        </w:rPr>
      </w:pPr>
      <w:r w:rsidRPr="00610B1B">
        <w:rPr>
          <w:rFonts w:cs="Times New Roman"/>
          <w:bCs/>
          <w:iCs/>
          <w:color w:val="000000" w:themeColor="text1"/>
        </w:rPr>
        <w:t>Ра</w:t>
      </w:r>
      <w:r w:rsidR="00B848A8" w:rsidRPr="00610B1B">
        <w:rPr>
          <w:rFonts w:cs="Times New Roman"/>
          <w:bCs/>
          <w:iCs/>
          <w:color w:val="000000" w:themeColor="text1"/>
        </w:rPr>
        <w:t>йоните за провеждане на научни изследвания са разположени в близост до бреговата линия и до базите на институтите на БАН</w:t>
      </w:r>
      <w:r w:rsidR="00F876FC" w:rsidRPr="00610B1B">
        <w:rPr>
          <w:rFonts w:cs="Times New Roman"/>
          <w:bCs/>
          <w:iCs/>
          <w:color w:val="000000" w:themeColor="text1"/>
        </w:rPr>
        <w:t>,</w:t>
      </w:r>
      <w:r w:rsidR="00D66FE0" w:rsidRPr="00610B1B">
        <w:rPr>
          <w:rFonts w:cs="Times New Roman"/>
          <w:bCs/>
          <w:iCs/>
          <w:color w:val="000000" w:themeColor="text1"/>
        </w:rPr>
        <w:t xml:space="preserve"> </w:t>
      </w:r>
      <w:r w:rsidR="00F876FC" w:rsidRPr="00610B1B">
        <w:rPr>
          <w:rFonts w:cs="Times New Roman"/>
          <w:bCs/>
          <w:iCs/>
          <w:color w:val="000000" w:themeColor="text1"/>
        </w:rPr>
        <w:t>СУ „Св. Климент Охридски“, на МК и МОН,</w:t>
      </w:r>
      <w:r w:rsidR="00B848A8" w:rsidRPr="00610B1B">
        <w:rPr>
          <w:rFonts w:cs="Times New Roman"/>
          <w:bCs/>
          <w:iCs/>
          <w:color w:val="000000" w:themeColor="text1"/>
        </w:rPr>
        <w:t xml:space="preserve"> както и такива, отдалечени от крайбрежието и свързани с дълбоководната зона и отдалечените части на шелфа, където е необходимо да се допълнят знанията и данните за съществуващите там природни компоненти на средата и недостатъчно изследвани екосистеми. </w:t>
      </w:r>
    </w:p>
    <w:p w14:paraId="42E7FDED" w14:textId="0FAB4601" w:rsidR="00B06F36" w:rsidRPr="00610B1B" w:rsidRDefault="00B848A8" w:rsidP="00A50A50">
      <w:pPr>
        <w:pStyle w:val="BodyText"/>
        <w:spacing w:before="0" w:after="120" w:line="276" w:lineRule="auto"/>
        <w:rPr>
          <w:rFonts w:cs="Times New Roman"/>
          <w:bCs/>
          <w:iCs/>
          <w:color w:val="000000" w:themeColor="text1"/>
        </w:rPr>
      </w:pPr>
      <w:r w:rsidRPr="00610B1B">
        <w:rPr>
          <w:rFonts w:cs="Times New Roman"/>
          <w:bCs/>
          <w:iCs/>
          <w:color w:val="000000" w:themeColor="text1"/>
        </w:rPr>
        <w:t xml:space="preserve">Полигоните за подобна дейност са </w:t>
      </w:r>
      <w:r w:rsidR="00EB2995" w:rsidRPr="00610B1B">
        <w:rPr>
          <w:rFonts w:cs="Times New Roman"/>
          <w:bCs/>
          <w:iCs/>
          <w:color w:val="000000" w:themeColor="text1"/>
        </w:rPr>
        <w:t>свързани предимно с дейността на</w:t>
      </w:r>
      <w:r w:rsidRPr="00610B1B">
        <w:rPr>
          <w:rFonts w:cs="Times New Roman"/>
          <w:bCs/>
          <w:iCs/>
          <w:color w:val="000000" w:themeColor="text1"/>
        </w:rPr>
        <w:t xml:space="preserve"> Института по океанология</w:t>
      </w:r>
      <w:r w:rsidR="00EB2995" w:rsidRPr="00610B1B">
        <w:rPr>
          <w:rFonts w:cs="Times New Roman"/>
          <w:bCs/>
          <w:iCs/>
          <w:color w:val="000000" w:themeColor="text1"/>
        </w:rPr>
        <w:t>,</w:t>
      </w:r>
      <w:r w:rsidR="00D66FE0" w:rsidRPr="00610B1B">
        <w:rPr>
          <w:rFonts w:cs="Times New Roman"/>
          <w:bCs/>
          <w:iCs/>
          <w:color w:val="000000" w:themeColor="text1"/>
        </w:rPr>
        <w:t xml:space="preserve"> </w:t>
      </w:r>
      <w:r w:rsidRPr="00610B1B">
        <w:rPr>
          <w:rFonts w:cs="Times New Roman"/>
          <w:bCs/>
          <w:iCs/>
          <w:color w:val="000000" w:themeColor="text1"/>
        </w:rPr>
        <w:t>Института по</w:t>
      </w:r>
      <w:r w:rsidR="00EB2995" w:rsidRPr="00610B1B">
        <w:rPr>
          <w:rFonts w:cs="Times New Roman"/>
          <w:bCs/>
          <w:iCs/>
          <w:color w:val="000000" w:themeColor="text1"/>
        </w:rPr>
        <w:t xml:space="preserve"> биоразнообразие и екосистемни услуги</w:t>
      </w:r>
      <w:r w:rsidRPr="00610B1B">
        <w:rPr>
          <w:rFonts w:cs="Times New Roman"/>
          <w:bCs/>
          <w:iCs/>
          <w:color w:val="000000" w:themeColor="text1"/>
        </w:rPr>
        <w:t xml:space="preserve"> </w:t>
      </w:r>
      <w:r w:rsidR="00EB2995" w:rsidRPr="00610B1B">
        <w:rPr>
          <w:rFonts w:cs="Times New Roman"/>
          <w:bCs/>
          <w:iCs/>
          <w:color w:val="000000" w:themeColor="text1"/>
        </w:rPr>
        <w:t>и на Националния институт по метеорология и хидрология на Б</w:t>
      </w:r>
      <w:r w:rsidRPr="00610B1B">
        <w:rPr>
          <w:rFonts w:cs="Times New Roman"/>
          <w:bCs/>
          <w:iCs/>
          <w:color w:val="000000" w:themeColor="text1"/>
        </w:rPr>
        <w:t>АН</w:t>
      </w:r>
      <w:r w:rsidR="00EB2995" w:rsidRPr="00610B1B">
        <w:rPr>
          <w:rFonts w:cs="Times New Roman"/>
          <w:bCs/>
          <w:iCs/>
          <w:color w:val="000000" w:themeColor="text1"/>
        </w:rPr>
        <w:t>.</w:t>
      </w:r>
      <w:r w:rsidR="0033348A" w:rsidRPr="00610B1B">
        <w:rPr>
          <w:rFonts w:cs="Times New Roman"/>
          <w:bCs/>
          <w:iCs/>
          <w:color w:val="000000" w:themeColor="text1"/>
        </w:rPr>
        <w:t xml:space="preserve"> Тези райони и полигони се съчетават безконфликтно със защитените зони и със зоните за опазване на подводното културно наследство.</w:t>
      </w:r>
    </w:p>
    <w:p w14:paraId="6E408691" w14:textId="4730E3BE" w:rsidR="003233AE"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КИН</w:t>
      </w:r>
      <w:r w:rsidRPr="00610B1B">
        <w:rPr>
          <w:rFonts w:cs="Times New Roman"/>
          <w:iCs/>
          <w:color w:val="000000" w:themeColor="text1"/>
        </w:rPr>
        <w:t xml:space="preserve"> – </w:t>
      </w:r>
      <w:r w:rsidR="00733CD9" w:rsidRPr="00610B1B">
        <w:rPr>
          <w:rFonts w:cs="Times New Roman"/>
          <w:iCs/>
          <w:color w:val="000000" w:themeColor="text1"/>
        </w:rPr>
        <w:t xml:space="preserve">Културно </w:t>
      </w:r>
      <w:r w:rsidRPr="00610B1B">
        <w:rPr>
          <w:rFonts w:cs="Times New Roman"/>
          <w:iCs/>
          <w:color w:val="000000" w:themeColor="text1"/>
        </w:rPr>
        <w:t>наследство, вкл. под вода</w:t>
      </w:r>
    </w:p>
    <w:p w14:paraId="114D88CC" w14:textId="4F7B28B1" w:rsidR="00FB556F" w:rsidRPr="00610B1B" w:rsidRDefault="00FB556F" w:rsidP="00A50A50">
      <w:pPr>
        <w:pStyle w:val="BodyText"/>
        <w:spacing w:before="0" w:after="120" w:line="276" w:lineRule="auto"/>
        <w:rPr>
          <w:rFonts w:cs="Times New Roman"/>
          <w:iCs/>
          <w:color w:val="000000" w:themeColor="text1"/>
        </w:rPr>
      </w:pPr>
      <w:r w:rsidRPr="00610B1B">
        <w:rPr>
          <w:rFonts w:cs="Times New Roman"/>
          <w:iCs/>
          <w:color w:val="000000" w:themeColor="text1"/>
        </w:rPr>
        <w:t>На основание на аналитичната част на МППРБ за съществуващите НКЦ с категория „световно” и „национално” значение, разположени както на сушата, в зони „А” и „Б” от ЗУЧК, така и под вода, които са неделима</w:t>
      </w:r>
      <w:r w:rsidR="0033348A" w:rsidRPr="00610B1B">
        <w:rPr>
          <w:rFonts w:cs="Times New Roman"/>
          <w:iCs/>
          <w:color w:val="000000" w:themeColor="text1"/>
        </w:rPr>
        <w:t xml:space="preserve">, </w:t>
      </w:r>
      <w:r w:rsidRPr="00610B1B">
        <w:rPr>
          <w:rFonts w:cs="Times New Roman"/>
          <w:iCs/>
          <w:color w:val="000000" w:themeColor="text1"/>
        </w:rPr>
        <w:t>смислова и функционална част от наземните такива</w:t>
      </w:r>
      <w:r w:rsidR="0033348A" w:rsidRPr="00610B1B">
        <w:rPr>
          <w:rFonts w:cs="Times New Roman"/>
          <w:iCs/>
          <w:color w:val="000000" w:themeColor="text1"/>
        </w:rPr>
        <w:t xml:space="preserve"> по протежение на </w:t>
      </w:r>
      <w:r w:rsidRPr="00610B1B">
        <w:rPr>
          <w:rFonts w:cs="Times New Roman"/>
          <w:iCs/>
          <w:color w:val="000000" w:themeColor="text1"/>
        </w:rPr>
        <w:t>Черноморското крайбрежие, от север на юг, се оформят следните ареали с концентрация на обекти на недвижимо културно наследство:</w:t>
      </w:r>
      <w:r w:rsidR="0033348A" w:rsidRPr="00610B1B">
        <w:rPr>
          <w:rFonts w:cs="Times New Roman"/>
          <w:iCs/>
          <w:color w:val="000000" w:themeColor="text1"/>
        </w:rPr>
        <w:t xml:space="preserve"> </w:t>
      </w:r>
      <w:r w:rsidR="00792FA7" w:rsidRPr="00610B1B">
        <w:rPr>
          <w:rFonts w:cs="Times New Roman"/>
          <w:iCs/>
          <w:color w:val="000000" w:themeColor="text1"/>
        </w:rPr>
        <w:t>1</w:t>
      </w:r>
      <w:r w:rsidR="0033348A" w:rsidRPr="00610B1B">
        <w:rPr>
          <w:rFonts w:cs="Times New Roman"/>
          <w:iCs/>
          <w:color w:val="000000" w:themeColor="text1"/>
        </w:rPr>
        <w:t xml:space="preserve">) </w:t>
      </w:r>
      <w:r w:rsidRPr="00610B1B">
        <w:rPr>
          <w:rFonts w:cs="Times New Roman"/>
          <w:iCs/>
          <w:color w:val="000000" w:themeColor="text1"/>
        </w:rPr>
        <w:t>А</w:t>
      </w:r>
      <w:r w:rsidR="0033348A" w:rsidRPr="00610B1B">
        <w:rPr>
          <w:rFonts w:cs="Times New Roman"/>
          <w:iCs/>
          <w:color w:val="000000" w:themeColor="text1"/>
        </w:rPr>
        <w:t>реал</w:t>
      </w:r>
      <w:r w:rsidR="00D66FE0" w:rsidRPr="00610B1B">
        <w:rPr>
          <w:rFonts w:cs="Times New Roman"/>
          <w:iCs/>
          <w:color w:val="000000" w:themeColor="text1"/>
        </w:rPr>
        <w:t xml:space="preserve"> </w:t>
      </w:r>
      <w:r w:rsidRPr="00610B1B">
        <w:rPr>
          <w:rFonts w:cs="Times New Roman"/>
          <w:iCs/>
          <w:color w:val="000000" w:themeColor="text1"/>
        </w:rPr>
        <w:t>Дуранкулак</w:t>
      </w:r>
      <w:r w:rsidR="0033348A" w:rsidRPr="00610B1B">
        <w:rPr>
          <w:rFonts w:cs="Times New Roman"/>
          <w:iCs/>
          <w:color w:val="000000" w:themeColor="text1"/>
        </w:rPr>
        <w:t xml:space="preserve"> </w:t>
      </w:r>
      <w:r w:rsidRPr="00610B1B">
        <w:rPr>
          <w:rFonts w:cs="Times New Roman"/>
          <w:iCs/>
          <w:color w:val="000000" w:themeColor="text1"/>
        </w:rPr>
        <w:t>-</w:t>
      </w:r>
      <w:r w:rsidR="0033348A" w:rsidRPr="00610B1B">
        <w:rPr>
          <w:rFonts w:cs="Times New Roman"/>
          <w:iCs/>
          <w:color w:val="000000" w:themeColor="text1"/>
        </w:rPr>
        <w:t xml:space="preserve"> </w:t>
      </w:r>
      <w:r w:rsidRPr="00610B1B">
        <w:rPr>
          <w:rFonts w:cs="Times New Roman"/>
          <w:iCs/>
          <w:color w:val="000000" w:themeColor="text1"/>
        </w:rPr>
        <w:t>Шабла - Яйлата – Калиакра</w:t>
      </w:r>
      <w:r w:rsidR="0033348A" w:rsidRPr="00610B1B">
        <w:rPr>
          <w:rFonts w:cs="Times New Roman"/>
          <w:iCs/>
          <w:color w:val="000000" w:themeColor="text1"/>
        </w:rPr>
        <w:t xml:space="preserve">; </w:t>
      </w:r>
      <w:r w:rsidR="00792FA7" w:rsidRPr="00610B1B">
        <w:rPr>
          <w:rFonts w:cs="Times New Roman"/>
          <w:iCs/>
          <w:color w:val="000000" w:themeColor="text1"/>
        </w:rPr>
        <w:t>2</w:t>
      </w:r>
      <w:r w:rsidR="0033348A" w:rsidRPr="00610B1B">
        <w:rPr>
          <w:rFonts w:cs="Times New Roman"/>
          <w:iCs/>
          <w:color w:val="000000" w:themeColor="text1"/>
        </w:rPr>
        <w:t xml:space="preserve">) Ареал Варна и езерата; </w:t>
      </w:r>
      <w:r w:rsidR="00792FA7" w:rsidRPr="00610B1B">
        <w:rPr>
          <w:rFonts w:cs="Times New Roman"/>
          <w:iCs/>
          <w:color w:val="000000" w:themeColor="text1"/>
        </w:rPr>
        <w:t>3</w:t>
      </w:r>
      <w:r w:rsidR="0033348A" w:rsidRPr="00610B1B">
        <w:rPr>
          <w:rFonts w:cs="Times New Roman"/>
          <w:iCs/>
          <w:color w:val="000000" w:themeColor="text1"/>
        </w:rPr>
        <w:t xml:space="preserve">) Ареал Старинен град Несебър и </w:t>
      </w:r>
      <w:r w:rsidR="00792FA7" w:rsidRPr="00610B1B">
        <w:rPr>
          <w:rFonts w:cs="Times New Roman"/>
          <w:iCs/>
          <w:color w:val="000000" w:themeColor="text1"/>
        </w:rPr>
        <w:t>4</w:t>
      </w:r>
      <w:r w:rsidR="0033348A" w:rsidRPr="00610B1B">
        <w:rPr>
          <w:rFonts w:cs="Times New Roman"/>
          <w:iCs/>
          <w:color w:val="000000" w:themeColor="text1"/>
        </w:rPr>
        <w:t xml:space="preserve">) Ареал Атия – Созопол – Приморско. </w:t>
      </w:r>
    </w:p>
    <w:p w14:paraId="2571DC34" w14:textId="00731B89" w:rsidR="00FB556F" w:rsidRPr="00610B1B" w:rsidRDefault="00FB556F" w:rsidP="00A50A50">
      <w:pPr>
        <w:pStyle w:val="BodyText"/>
        <w:spacing w:before="0" w:after="120" w:line="276" w:lineRule="auto"/>
        <w:rPr>
          <w:rFonts w:cs="Times New Roman"/>
          <w:iCs/>
          <w:color w:val="000000" w:themeColor="text1"/>
        </w:rPr>
      </w:pPr>
      <w:r w:rsidRPr="00610B1B">
        <w:rPr>
          <w:rFonts w:cs="Times New Roman"/>
          <w:iCs/>
          <w:color w:val="000000" w:themeColor="text1"/>
        </w:rPr>
        <w:t>Предвид уникалната стойност на обектите НКЦ, както и потенциала</w:t>
      </w:r>
      <w:r w:rsidR="00792FA7" w:rsidRPr="00610B1B">
        <w:rPr>
          <w:rFonts w:cs="Times New Roman"/>
          <w:iCs/>
          <w:color w:val="000000" w:themeColor="text1"/>
        </w:rPr>
        <w:t>,</w:t>
      </w:r>
      <w:r w:rsidRPr="00610B1B">
        <w:rPr>
          <w:rFonts w:cs="Times New Roman"/>
          <w:iCs/>
          <w:color w:val="000000" w:themeColor="text1"/>
        </w:rPr>
        <w:t xml:space="preserve"> който носят за развитие на културен туризъм </w:t>
      </w:r>
      <w:r w:rsidR="00792FA7" w:rsidRPr="00610B1B">
        <w:rPr>
          <w:rFonts w:cs="Times New Roman"/>
          <w:iCs/>
          <w:color w:val="000000" w:themeColor="text1"/>
        </w:rPr>
        <w:t>с</w:t>
      </w:r>
      <w:r w:rsidRPr="00610B1B">
        <w:rPr>
          <w:rFonts w:cs="Times New Roman"/>
          <w:iCs/>
          <w:color w:val="000000" w:themeColor="text1"/>
        </w:rPr>
        <w:t xml:space="preserve"> високо качество, МППРБ предлага изграждане на пет обекта, които да обслужват КН </w:t>
      </w:r>
      <w:r w:rsidR="00792FA7" w:rsidRPr="00610B1B">
        <w:rPr>
          <w:rFonts w:cs="Times New Roman"/>
          <w:iCs/>
          <w:color w:val="000000" w:themeColor="text1"/>
        </w:rPr>
        <w:t>като адекватна на изискванията на ХХІ век</w:t>
      </w:r>
      <w:r w:rsidRPr="00610B1B">
        <w:rPr>
          <w:rFonts w:cs="Times New Roman"/>
          <w:iCs/>
          <w:color w:val="000000" w:themeColor="text1"/>
        </w:rPr>
        <w:t xml:space="preserve"> туристическа инфраструктура. Обектите са:</w:t>
      </w:r>
      <w:r w:rsidR="0033348A" w:rsidRPr="00610B1B">
        <w:rPr>
          <w:rFonts w:cs="Times New Roman"/>
          <w:iCs/>
          <w:color w:val="000000" w:themeColor="text1"/>
        </w:rPr>
        <w:t xml:space="preserve"> </w:t>
      </w:r>
      <w:r w:rsidRPr="00610B1B">
        <w:rPr>
          <w:rFonts w:cs="Times New Roman"/>
          <w:iCs/>
          <w:color w:val="000000" w:themeColor="text1"/>
        </w:rPr>
        <w:t>1.</w:t>
      </w:r>
      <w:r w:rsidR="0033348A" w:rsidRPr="00610B1B">
        <w:rPr>
          <w:rFonts w:cs="Times New Roman"/>
          <w:iCs/>
          <w:color w:val="000000" w:themeColor="text1"/>
        </w:rPr>
        <w:t xml:space="preserve">) </w:t>
      </w:r>
      <w:r w:rsidRPr="00610B1B">
        <w:rPr>
          <w:rFonts w:cs="Times New Roman"/>
          <w:iCs/>
          <w:color w:val="000000" w:themeColor="text1"/>
        </w:rPr>
        <w:t>Интерпретационен комплекс с интерактивен музей в ареала на Археологически комплекс „Дуранкулашко езеро“;</w:t>
      </w:r>
      <w:r w:rsidR="0033348A" w:rsidRPr="00610B1B">
        <w:rPr>
          <w:rFonts w:cs="Times New Roman"/>
          <w:iCs/>
          <w:color w:val="000000" w:themeColor="text1"/>
        </w:rPr>
        <w:t xml:space="preserve"> 2) </w:t>
      </w:r>
      <w:r w:rsidRPr="00610B1B">
        <w:rPr>
          <w:rFonts w:cs="Times New Roman"/>
          <w:iCs/>
          <w:color w:val="000000" w:themeColor="text1"/>
        </w:rPr>
        <w:t>Интерпретационен комплекс с интерактивен музей в ареала обхваща</w:t>
      </w:r>
      <w:r w:rsidR="0033348A" w:rsidRPr="00610B1B">
        <w:rPr>
          <w:rFonts w:cs="Times New Roman"/>
          <w:iCs/>
          <w:color w:val="000000" w:themeColor="text1"/>
        </w:rPr>
        <w:t>щ</w:t>
      </w:r>
      <w:r w:rsidRPr="00610B1B">
        <w:rPr>
          <w:rFonts w:cs="Times New Roman"/>
          <w:iCs/>
          <w:color w:val="000000" w:themeColor="text1"/>
        </w:rPr>
        <w:t xml:space="preserve"> Бегликташ – Маслен нос</w:t>
      </w:r>
      <w:r w:rsidR="00551B98" w:rsidRPr="00610B1B">
        <w:rPr>
          <w:rFonts w:cs="Times New Roman"/>
          <w:iCs/>
          <w:color w:val="000000" w:themeColor="text1"/>
        </w:rPr>
        <w:t xml:space="preserve">, извън </w:t>
      </w:r>
      <w:r w:rsidR="00B02A7D" w:rsidRPr="00610B1B">
        <w:rPr>
          <w:rFonts w:cs="Times New Roman"/>
          <w:iCs/>
          <w:color w:val="000000" w:themeColor="text1"/>
        </w:rPr>
        <w:t>границите</w:t>
      </w:r>
      <w:r w:rsidR="00551B98" w:rsidRPr="00610B1B">
        <w:rPr>
          <w:rFonts w:cs="Times New Roman"/>
          <w:iCs/>
          <w:color w:val="000000" w:themeColor="text1"/>
        </w:rPr>
        <w:t xml:space="preserve"> на защитените територии в района;</w:t>
      </w:r>
      <w:r w:rsidR="0033348A" w:rsidRPr="00610B1B">
        <w:rPr>
          <w:rFonts w:cs="Times New Roman"/>
          <w:iCs/>
          <w:color w:val="000000" w:themeColor="text1"/>
        </w:rPr>
        <w:t xml:space="preserve"> 3) </w:t>
      </w:r>
      <w:r w:rsidRPr="00610B1B">
        <w:rPr>
          <w:rFonts w:cs="Times New Roman"/>
          <w:iCs/>
          <w:color w:val="000000" w:themeColor="text1"/>
        </w:rPr>
        <w:t>Реконструкция и адаптация на сградата на Рибарското училище в Созопол за нуждите на музей и с експониране</w:t>
      </w:r>
      <w:r w:rsidR="00D66FE0" w:rsidRPr="00610B1B">
        <w:rPr>
          <w:rFonts w:cs="Times New Roman"/>
          <w:iCs/>
          <w:color w:val="000000" w:themeColor="text1"/>
        </w:rPr>
        <w:t xml:space="preserve"> </w:t>
      </w:r>
      <w:r w:rsidRPr="00610B1B">
        <w:rPr>
          <w:rFonts w:cs="Times New Roman"/>
          <w:iCs/>
          <w:color w:val="000000" w:themeColor="text1"/>
        </w:rPr>
        <w:t>in situ на НКЦ</w:t>
      </w:r>
      <w:r w:rsidR="0033348A" w:rsidRPr="00610B1B">
        <w:rPr>
          <w:rFonts w:cs="Times New Roman"/>
          <w:iCs/>
          <w:color w:val="000000" w:themeColor="text1"/>
        </w:rPr>
        <w:t>,</w:t>
      </w:r>
      <w:r w:rsidR="00D66FE0" w:rsidRPr="00610B1B">
        <w:rPr>
          <w:rFonts w:cs="Times New Roman"/>
          <w:iCs/>
          <w:color w:val="000000" w:themeColor="text1"/>
        </w:rPr>
        <w:t xml:space="preserve"> </w:t>
      </w:r>
      <w:r w:rsidRPr="00610B1B">
        <w:rPr>
          <w:rFonts w:cs="Times New Roman"/>
          <w:iCs/>
          <w:color w:val="000000" w:themeColor="text1"/>
        </w:rPr>
        <w:t>попадащи в неговия ареал;</w:t>
      </w:r>
      <w:r w:rsidR="0033348A" w:rsidRPr="00610B1B">
        <w:rPr>
          <w:rFonts w:cs="Times New Roman"/>
          <w:iCs/>
          <w:color w:val="000000" w:themeColor="text1"/>
        </w:rPr>
        <w:t xml:space="preserve"> 4) </w:t>
      </w:r>
      <w:r w:rsidRPr="00610B1B">
        <w:rPr>
          <w:rFonts w:cs="Times New Roman"/>
          <w:iCs/>
          <w:color w:val="000000" w:themeColor="text1"/>
        </w:rPr>
        <w:t>Създаване на археологическа рекреационна зона в източната част на Старинен град Несебър, на база диалог за споделено ползване;</w:t>
      </w:r>
      <w:r w:rsidR="0033348A" w:rsidRPr="00610B1B">
        <w:rPr>
          <w:rFonts w:cs="Times New Roman"/>
          <w:iCs/>
          <w:color w:val="000000" w:themeColor="text1"/>
        </w:rPr>
        <w:t xml:space="preserve"> и </w:t>
      </w:r>
      <w:r w:rsidRPr="00610B1B">
        <w:rPr>
          <w:rFonts w:cs="Times New Roman"/>
          <w:iCs/>
          <w:color w:val="000000" w:themeColor="text1"/>
        </w:rPr>
        <w:t>5</w:t>
      </w:r>
      <w:r w:rsidR="0033348A" w:rsidRPr="00610B1B">
        <w:rPr>
          <w:rFonts w:cs="Times New Roman"/>
          <w:iCs/>
          <w:color w:val="000000" w:themeColor="text1"/>
        </w:rPr>
        <w:t>)</w:t>
      </w:r>
      <w:r w:rsidR="00792FA7" w:rsidRPr="00610B1B">
        <w:rPr>
          <w:rFonts w:cs="Times New Roman"/>
          <w:iCs/>
          <w:color w:val="000000" w:themeColor="text1"/>
        </w:rPr>
        <w:t xml:space="preserve"> </w:t>
      </w:r>
      <w:r w:rsidRPr="00610B1B">
        <w:rPr>
          <w:rFonts w:cs="Times New Roman"/>
          <w:iCs/>
          <w:color w:val="000000" w:themeColor="text1"/>
        </w:rPr>
        <w:t>Създаване на археологически парк с посетителски център в зоната на раннохристиянски манастир в м.</w:t>
      </w:r>
      <w:r w:rsidR="0033348A" w:rsidRPr="00610B1B">
        <w:rPr>
          <w:rFonts w:cs="Times New Roman"/>
          <w:iCs/>
          <w:color w:val="000000" w:themeColor="text1"/>
        </w:rPr>
        <w:t xml:space="preserve"> </w:t>
      </w:r>
      <w:r w:rsidRPr="00610B1B">
        <w:rPr>
          <w:rFonts w:cs="Times New Roman"/>
          <w:iCs/>
          <w:color w:val="000000" w:themeColor="text1"/>
        </w:rPr>
        <w:t>Джанавара, Варна</w:t>
      </w:r>
      <w:r w:rsidR="0033348A" w:rsidRPr="00610B1B">
        <w:rPr>
          <w:rFonts w:cs="Times New Roman"/>
          <w:iCs/>
          <w:color w:val="000000" w:themeColor="text1"/>
        </w:rPr>
        <w:t>.</w:t>
      </w:r>
    </w:p>
    <w:p w14:paraId="60CF93F7" w14:textId="08DAF13D" w:rsidR="0033348A" w:rsidRPr="00610B1B" w:rsidRDefault="00FB556F"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Наред с изграждане на новите обекти </w:t>
      </w:r>
      <w:r w:rsidR="0033348A" w:rsidRPr="00610B1B">
        <w:rPr>
          <w:rFonts w:cs="Times New Roman"/>
          <w:iCs/>
          <w:color w:val="000000" w:themeColor="text1"/>
        </w:rPr>
        <w:t>е предвидено</w:t>
      </w:r>
      <w:r w:rsidRPr="00610B1B">
        <w:rPr>
          <w:rFonts w:cs="Times New Roman"/>
          <w:iCs/>
          <w:color w:val="000000" w:themeColor="text1"/>
        </w:rPr>
        <w:t xml:space="preserve"> провеждане на КРР дейности за опазване на съответните НКЦ, както и такива по тяхната социализация, управление и популяризиране. Предлага се МК </w:t>
      </w:r>
      <w:r w:rsidR="00B02A7D" w:rsidRPr="00610B1B">
        <w:rPr>
          <w:rFonts w:cs="Times New Roman"/>
          <w:iCs/>
          <w:color w:val="000000" w:themeColor="text1"/>
        </w:rPr>
        <w:t xml:space="preserve">да </w:t>
      </w:r>
      <w:r w:rsidRPr="00610B1B">
        <w:rPr>
          <w:rFonts w:cs="Times New Roman"/>
          <w:iCs/>
          <w:color w:val="000000" w:themeColor="text1"/>
        </w:rPr>
        <w:t xml:space="preserve">инициира междуведомствен диалог </w:t>
      </w:r>
      <w:r w:rsidR="00B02A7D" w:rsidRPr="00610B1B">
        <w:rPr>
          <w:rFonts w:cs="Times New Roman"/>
          <w:iCs/>
          <w:color w:val="000000" w:themeColor="text1"/>
        </w:rPr>
        <w:t>за</w:t>
      </w:r>
      <w:r w:rsidRPr="00610B1B">
        <w:rPr>
          <w:rFonts w:cs="Times New Roman"/>
          <w:iCs/>
          <w:color w:val="000000" w:themeColor="text1"/>
        </w:rPr>
        <w:t xml:space="preserve"> приемане на решение за приоритетно целево финансиране, използвайки европейски финансови </w:t>
      </w:r>
      <w:r w:rsidRPr="00610B1B">
        <w:rPr>
          <w:rFonts w:cs="Times New Roman"/>
          <w:iCs/>
          <w:color w:val="000000" w:themeColor="text1"/>
        </w:rPr>
        <w:lastRenderedPageBreak/>
        <w:t>механизми за хоризонт 2035 г.</w:t>
      </w:r>
      <w:r w:rsidR="0033348A" w:rsidRPr="00610B1B">
        <w:rPr>
          <w:rFonts w:cs="Times New Roman"/>
          <w:iCs/>
          <w:color w:val="000000" w:themeColor="text1"/>
        </w:rPr>
        <w:t xml:space="preserve"> </w:t>
      </w:r>
    </w:p>
    <w:p w14:paraId="32A5A90F" w14:textId="1E7ECBDD" w:rsidR="00B633FB" w:rsidRPr="00610B1B" w:rsidRDefault="00B633FB" w:rsidP="00A50A50">
      <w:pPr>
        <w:pStyle w:val="BodyText"/>
        <w:spacing w:before="0" w:after="120" w:line="276" w:lineRule="auto"/>
        <w:rPr>
          <w:rFonts w:cs="Times New Roman"/>
          <w:iCs/>
          <w:color w:val="000000" w:themeColor="text1"/>
        </w:rPr>
      </w:pPr>
      <w:r w:rsidRPr="00610B1B">
        <w:rPr>
          <w:rFonts w:cs="Times New Roman"/>
          <w:iCs/>
          <w:color w:val="000000" w:themeColor="text1"/>
        </w:rPr>
        <w:t>Около Старинен град Несебър и около Созопол са предвидени охранителни зони с широчина от 1 km, а около другите обекти НКЦ, включително и на тези под вода – охранителни зони от 500 m</w:t>
      </w:r>
      <w:r w:rsidR="005660C9" w:rsidRPr="00610B1B">
        <w:rPr>
          <w:rFonts w:cs="Times New Roman"/>
          <w:iCs/>
          <w:color w:val="000000" w:themeColor="text1"/>
        </w:rPr>
        <w:t>.</w:t>
      </w:r>
    </w:p>
    <w:p w14:paraId="015F9842" w14:textId="29B853B4" w:rsidR="005660C9" w:rsidRPr="00610B1B" w:rsidRDefault="005660C9"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Предложеният културен маршрут в прилежащата крайбрежна зона следва трасето на транснационалния </w:t>
      </w:r>
      <w:r w:rsidR="00431AD9" w:rsidRPr="00610B1B">
        <w:rPr>
          <w:rFonts w:cs="Times New Roman"/>
          <w:iCs/>
          <w:color w:val="000000" w:themeColor="text1"/>
        </w:rPr>
        <w:t xml:space="preserve">културен </w:t>
      </w:r>
      <w:r w:rsidRPr="00610B1B">
        <w:rPr>
          <w:rFonts w:cs="Times New Roman"/>
          <w:iCs/>
          <w:color w:val="000000" w:themeColor="text1"/>
        </w:rPr>
        <w:t>коридор „Виа Понтика“</w:t>
      </w:r>
      <w:r w:rsidR="00431AD9" w:rsidRPr="00610B1B">
        <w:rPr>
          <w:rFonts w:cs="Times New Roman"/>
          <w:iCs/>
          <w:color w:val="000000" w:themeColor="text1"/>
        </w:rPr>
        <w:t xml:space="preserve">, чиято цел е да обвърже най-важните културни ценности по крайбрежието на съседните страни в региона и тези в акваторията. </w:t>
      </w:r>
    </w:p>
    <w:p w14:paraId="786483B6" w14:textId="145D0F36" w:rsidR="003233AE" w:rsidRPr="00610B1B" w:rsidRDefault="0033348A"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Всички предвидени </w:t>
      </w:r>
      <w:r w:rsidR="00B633FB" w:rsidRPr="00610B1B">
        <w:rPr>
          <w:rFonts w:cs="Times New Roman"/>
          <w:iCs/>
          <w:color w:val="000000" w:themeColor="text1"/>
        </w:rPr>
        <w:t xml:space="preserve">дейности за проучване и опазване на </w:t>
      </w:r>
      <w:r w:rsidRPr="00610B1B">
        <w:rPr>
          <w:rFonts w:cs="Times New Roman"/>
          <w:iCs/>
          <w:color w:val="000000" w:themeColor="text1"/>
        </w:rPr>
        <w:t>обекти</w:t>
      </w:r>
      <w:r w:rsidR="00B633FB" w:rsidRPr="00610B1B">
        <w:rPr>
          <w:rFonts w:cs="Times New Roman"/>
          <w:iCs/>
          <w:color w:val="000000" w:themeColor="text1"/>
        </w:rPr>
        <w:t>те</w:t>
      </w:r>
      <w:r w:rsidRPr="00610B1B">
        <w:rPr>
          <w:rFonts w:cs="Times New Roman"/>
          <w:iCs/>
          <w:color w:val="000000" w:themeColor="text1"/>
        </w:rPr>
        <w:t xml:space="preserve"> следват изискванията на </w:t>
      </w:r>
      <w:r w:rsidR="00704345" w:rsidRPr="00610B1B">
        <w:rPr>
          <w:rFonts w:cs="Times New Roman"/>
          <w:iCs/>
          <w:color w:val="000000" w:themeColor="text1"/>
        </w:rPr>
        <w:t xml:space="preserve">Конвенцията за опазване на подводното културно наследство, </w:t>
      </w:r>
      <w:r w:rsidRPr="00610B1B">
        <w:rPr>
          <w:rFonts w:cs="Times New Roman"/>
          <w:iCs/>
          <w:color w:val="000000" w:themeColor="text1"/>
        </w:rPr>
        <w:t>ЗУТ, ЗУЧК, ЗКН</w:t>
      </w:r>
      <w:r w:rsidR="00704345" w:rsidRPr="00610B1B">
        <w:rPr>
          <w:rFonts w:cs="Times New Roman"/>
          <w:iCs/>
          <w:color w:val="000000" w:themeColor="text1"/>
        </w:rPr>
        <w:t xml:space="preserve">. </w:t>
      </w:r>
      <w:r w:rsidR="00FB556F" w:rsidRPr="00610B1B">
        <w:rPr>
          <w:rFonts w:cs="Times New Roman"/>
          <w:iCs/>
          <w:color w:val="000000" w:themeColor="text1"/>
        </w:rPr>
        <w:t>И</w:t>
      </w:r>
      <w:r w:rsidR="00704345" w:rsidRPr="00610B1B">
        <w:rPr>
          <w:rFonts w:cs="Times New Roman"/>
          <w:iCs/>
          <w:color w:val="000000" w:themeColor="text1"/>
        </w:rPr>
        <w:t>з</w:t>
      </w:r>
      <w:r w:rsidR="00FB556F" w:rsidRPr="00610B1B">
        <w:rPr>
          <w:rFonts w:cs="Times New Roman"/>
          <w:iCs/>
          <w:color w:val="000000" w:themeColor="text1"/>
        </w:rPr>
        <w:t xml:space="preserve">граждането </w:t>
      </w:r>
      <w:r w:rsidR="00704345" w:rsidRPr="00610B1B">
        <w:rPr>
          <w:rFonts w:cs="Times New Roman"/>
          <w:iCs/>
          <w:color w:val="000000" w:themeColor="text1"/>
        </w:rPr>
        <w:t>им</w:t>
      </w:r>
      <w:r w:rsidR="00FB556F" w:rsidRPr="00610B1B">
        <w:rPr>
          <w:rFonts w:cs="Times New Roman"/>
          <w:iCs/>
          <w:color w:val="000000" w:themeColor="text1"/>
        </w:rPr>
        <w:t xml:space="preserve"> в крайбрежната зона се очаква да активира целогодишен културен туризъм, както по Черноморското крайбрежие, в направлението бряг–море, така и във вътрешността на България.</w:t>
      </w:r>
      <w:r w:rsidR="00B633FB" w:rsidRPr="00610B1B">
        <w:rPr>
          <w:rFonts w:cs="Times New Roman"/>
          <w:iCs/>
          <w:color w:val="000000" w:themeColor="text1"/>
        </w:rPr>
        <w:t xml:space="preserve"> В тях се забранява драгирането и депонирането на драгажна маса, траленето и риболова с придънни средства.</w:t>
      </w:r>
    </w:p>
    <w:p w14:paraId="1AE12E5B" w14:textId="4146F0BB" w:rsidR="003233AE" w:rsidRPr="00610B1B" w:rsidRDefault="003233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НЕМ</w:t>
      </w:r>
      <w:r w:rsidRPr="00610B1B">
        <w:rPr>
          <w:rFonts w:cs="Times New Roman"/>
          <w:iCs/>
          <w:color w:val="000000" w:themeColor="text1"/>
        </w:rPr>
        <w:t xml:space="preserve"> – Национална екологична мрежа (SCI</w:t>
      </w:r>
      <w:r w:rsidR="00EB2995" w:rsidRPr="00610B1B">
        <w:rPr>
          <w:rFonts w:cs="Times New Roman"/>
          <w:iCs/>
          <w:color w:val="000000" w:themeColor="text1"/>
        </w:rPr>
        <w:t>,</w:t>
      </w:r>
      <w:r w:rsidR="00B848A8" w:rsidRPr="00610B1B">
        <w:rPr>
          <w:rFonts w:cs="Times New Roman"/>
          <w:iCs/>
          <w:color w:val="000000" w:themeColor="text1"/>
        </w:rPr>
        <w:t xml:space="preserve"> </w:t>
      </w:r>
      <w:r w:rsidRPr="00610B1B">
        <w:rPr>
          <w:rFonts w:cs="Times New Roman"/>
          <w:iCs/>
          <w:color w:val="000000" w:themeColor="text1"/>
        </w:rPr>
        <w:t>SPA</w:t>
      </w:r>
      <w:r w:rsidR="00EB2995" w:rsidRPr="00610B1B">
        <w:rPr>
          <w:rFonts w:cs="Times New Roman"/>
          <w:iCs/>
          <w:color w:val="000000" w:themeColor="text1"/>
        </w:rPr>
        <w:t xml:space="preserve"> и МРА</w:t>
      </w:r>
      <w:r w:rsidRPr="00610B1B">
        <w:rPr>
          <w:rFonts w:cs="Times New Roman"/>
          <w:iCs/>
          <w:color w:val="000000" w:themeColor="text1"/>
        </w:rPr>
        <w:t>)</w:t>
      </w:r>
    </w:p>
    <w:p w14:paraId="54727AC9" w14:textId="77777777" w:rsidR="00A50A50" w:rsidRPr="00610B1B" w:rsidRDefault="00EB2995"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В зоните за опазване на природните ценности – местообитания на ценни видове и екосистеми се прилагат онези режими, които са предвидени за съответната защитена територия или защитена зона съгласно </w:t>
      </w:r>
      <w:r w:rsidR="00B02A7D" w:rsidRPr="00610B1B">
        <w:rPr>
          <w:rFonts w:cs="Times New Roman"/>
          <w:iCs/>
          <w:color w:val="000000" w:themeColor="text1"/>
        </w:rPr>
        <w:t xml:space="preserve">Конвенцията за биологичното разнообразие, </w:t>
      </w:r>
      <w:r w:rsidRPr="00610B1B">
        <w:rPr>
          <w:rFonts w:cs="Times New Roman"/>
          <w:iCs/>
          <w:color w:val="000000" w:themeColor="text1"/>
        </w:rPr>
        <w:t xml:space="preserve">Директивата за местообитанията, Директивата за опазване на биологичното разнообразие, Закона за защитените територии, Закона за биологичното разнообразие, заповедите за обявяване, стандартните формуляри Натура 2000, съответните Планове за управление, когато има изготвени такива. </w:t>
      </w:r>
    </w:p>
    <w:p w14:paraId="70AE7D6E" w14:textId="161AB1D3" w:rsidR="00551B98" w:rsidRPr="00610B1B" w:rsidRDefault="0018632B"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Забранява се </w:t>
      </w:r>
      <w:r w:rsidR="00EB2995" w:rsidRPr="00610B1B">
        <w:rPr>
          <w:rFonts w:cs="Times New Roman"/>
          <w:iCs/>
          <w:color w:val="000000" w:themeColor="text1"/>
        </w:rPr>
        <w:t>драгирането и дънното тралене, прокарване на линейни обекти на подводната инфраструктура през защитената територия или защитена зона, увреждане на морското дъно.</w:t>
      </w:r>
      <w:r w:rsidR="00551FA6" w:rsidRPr="00610B1B">
        <w:rPr>
          <w:rFonts w:cs="Times New Roman"/>
          <w:iCs/>
          <w:color w:val="000000" w:themeColor="text1"/>
        </w:rPr>
        <w:t xml:space="preserve"> </w:t>
      </w:r>
      <w:r w:rsidR="00551B98" w:rsidRPr="00610B1B">
        <w:rPr>
          <w:rFonts w:cs="Times New Roman"/>
          <w:iCs/>
          <w:color w:val="000000" w:themeColor="text1"/>
        </w:rPr>
        <w:t>Специално внимание се отделя на акваториалните части на резерват Калиакра, защитена местност Остров Св.</w:t>
      </w:r>
      <w:r w:rsidRPr="00610B1B">
        <w:rPr>
          <w:rFonts w:cs="Times New Roman"/>
          <w:iCs/>
          <w:color w:val="000000" w:themeColor="text1"/>
        </w:rPr>
        <w:t xml:space="preserve"> Св</w:t>
      </w:r>
      <w:r w:rsidR="00551B98" w:rsidRPr="00610B1B">
        <w:rPr>
          <w:rFonts w:cs="Times New Roman"/>
          <w:iCs/>
          <w:color w:val="000000" w:themeColor="text1"/>
        </w:rPr>
        <w:t>. Иван и Петър, Змийски остров</w:t>
      </w:r>
      <w:r w:rsidR="00B02A7D" w:rsidRPr="00610B1B">
        <w:rPr>
          <w:rFonts w:cs="Times New Roman"/>
          <w:iCs/>
          <w:color w:val="000000" w:themeColor="text1"/>
        </w:rPr>
        <w:t xml:space="preserve"> - </w:t>
      </w:r>
      <w:r w:rsidR="00551B98" w:rsidRPr="00610B1B">
        <w:rPr>
          <w:rFonts w:cs="Times New Roman"/>
          <w:iCs/>
          <w:color w:val="000000" w:themeColor="text1"/>
        </w:rPr>
        <w:t>част от резерват Ропотамо</w:t>
      </w:r>
      <w:r w:rsidRPr="00610B1B">
        <w:rPr>
          <w:rFonts w:cs="Times New Roman"/>
          <w:iCs/>
          <w:color w:val="000000" w:themeColor="text1"/>
        </w:rPr>
        <w:t>,</w:t>
      </w:r>
      <w:r w:rsidR="00551B98" w:rsidRPr="00610B1B">
        <w:rPr>
          <w:rFonts w:cs="Times New Roman"/>
          <w:iCs/>
          <w:color w:val="000000" w:themeColor="text1"/>
        </w:rPr>
        <w:t xml:space="preserve"> и защитената местност Кокетрайс. За тях са предвидени 500 m охранителни зони. За последната </w:t>
      </w:r>
      <w:r w:rsidRPr="00610B1B">
        <w:rPr>
          <w:rFonts w:cs="Times New Roman"/>
          <w:iCs/>
          <w:color w:val="000000" w:themeColor="text1"/>
        </w:rPr>
        <w:t>с</w:t>
      </w:r>
      <w:r w:rsidR="00551B98" w:rsidRPr="00610B1B">
        <w:rPr>
          <w:rFonts w:cs="Times New Roman"/>
          <w:iCs/>
          <w:color w:val="000000" w:themeColor="text1"/>
        </w:rPr>
        <w:t>е предви</w:t>
      </w:r>
      <w:r w:rsidRPr="00610B1B">
        <w:rPr>
          <w:rFonts w:cs="Times New Roman"/>
          <w:iCs/>
          <w:color w:val="000000" w:themeColor="text1"/>
        </w:rPr>
        <w:t>жда</w:t>
      </w:r>
      <w:r w:rsidR="00551B98" w:rsidRPr="00610B1B">
        <w:rPr>
          <w:rFonts w:cs="Times New Roman"/>
          <w:iCs/>
          <w:color w:val="000000" w:themeColor="text1"/>
        </w:rPr>
        <w:t xml:space="preserve"> разширение в източна посока до границите на защитената зона „Емине-Иракли“</w:t>
      </w:r>
      <w:r w:rsidR="00D66FE0" w:rsidRPr="00610B1B">
        <w:rPr>
          <w:rFonts w:cs="Times New Roman"/>
          <w:iCs/>
          <w:color w:val="000000" w:themeColor="text1"/>
        </w:rPr>
        <w:t xml:space="preserve"> </w:t>
      </w:r>
      <w:r w:rsidR="00551B98" w:rsidRPr="00610B1B">
        <w:rPr>
          <w:rFonts w:cs="Times New Roman"/>
          <w:iCs/>
          <w:color w:val="000000" w:themeColor="text1"/>
        </w:rPr>
        <w:t>(BG 0001004), в която попада.</w:t>
      </w:r>
      <w:r w:rsidR="00D66FE0" w:rsidRPr="00610B1B">
        <w:rPr>
          <w:rFonts w:cs="Times New Roman"/>
          <w:iCs/>
          <w:color w:val="000000" w:themeColor="text1"/>
        </w:rPr>
        <w:t xml:space="preserve"> </w:t>
      </w:r>
    </w:p>
    <w:p w14:paraId="2934239D" w14:textId="048C1246" w:rsidR="00A50A50" w:rsidRDefault="00A50A50"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В тези зони </w:t>
      </w:r>
      <w:r w:rsidRPr="00610B1B">
        <w:rPr>
          <w:rFonts w:cs="Times New Roman"/>
          <w:b/>
          <w:iCs/>
          <w:color w:val="000000" w:themeColor="text1"/>
        </w:rPr>
        <w:t xml:space="preserve">не се предвиждат нови дейности. </w:t>
      </w:r>
      <w:r w:rsidRPr="00610B1B">
        <w:rPr>
          <w:rFonts w:cs="Times New Roman"/>
          <w:iCs/>
          <w:color w:val="000000" w:themeColor="text1"/>
        </w:rPr>
        <w:t>Запазени са само онези съществуващи д</w:t>
      </w:r>
      <w:r w:rsidR="0074287E" w:rsidRPr="00610B1B">
        <w:rPr>
          <w:rFonts w:cs="Times New Roman"/>
          <w:iCs/>
          <w:color w:val="000000" w:themeColor="text1"/>
        </w:rPr>
        <w:t>e</w:t>
      </w:r>
      <w:r w:rsidRPr="00610B1B">
        <w:rPr>
          <w:rFonts w:cs="Times New Roman"/>
          <w:iCs/>
          <w:color w:val="000000" w:themeColor="text1"/>
        </w:rPr>
        <w:t xml:space="preserve">йности, които няма да доведат до увреждане на местообитанията, обект на опазване, и до промени в състоянието на морската среда, от които зависи биологичното разнообразие. Премахват се </w:t>
      </w:r>
      <w:r w:rsidR="00253E20" w:rsidRPr="00610B1B">
        <w:rPr>
          <w:rFonts w:cs="Times New Roman"/>
          <w:iCs/>
          <w:color w:val="000000" w:themeColor="text1"/>
        </w:rPr>
        <w:t xml:space="preserve">изоставени </w:t>
      </w:r>
      <w:r w:rsidRPr="00610B1B">
        <w:rPr>
          <w:rFonts w:cs="Times New Roman"/>
          <w:iCs/>
          <w:color w:val="000000" w:themeColor="text1"/>
        </w:rPr>
        <w:t>стационарни инсталации за риболов и отглеждане на аквакултури след преустановяване на дейността</w:t>
      </w:r>
      <w:r w:rsidR="00253E20" w:rsidRPr="00610B1B">
        <w:rPr>
          <w:rFonts w:cs="Times New Roman"/>
          <w:iCs/>
          <w:color w:val="000000" w:themeColor="text1"/>
        </w:rPr>
        <w:t>,</w:t>
      </w:r>
      <w:r w:rsidRPr="00610B1B">
        <w:rPr>
          <w:rFonts w:cs="Times New Roman"/>
          <w:iCs/>
          <w:color w:val="000000" w:themeColor="text1"/>
        </w:rPr>
        <w:t xml:space="preserve"> с цел отстраняване на вредни въздействия върху околната среда</w:t>
      </w:r>
      <w:r w:rsidR="00253E20" w:rsidRPr="00610B1B">
        <w:rPr>
          <w:rFonts w:cs="Times New Roman"/>
          <w:iCs/>
          <w:color w:val="000000" w:themeColor="text1"/>
        </w:rPr>
        <w:t xml:space="preserve"> и намаляване на риска за морски риби и птици и за туристи.</w:t>
      </w:r>
    </w:p>
    <w:p w14:paraId="08D8711F" w14:textId="0CFCCFB7" w:rsidR="00116E1E" w:rsidRPr="00AC64E1" w:rsidRDefault="00116E1E" w:rsidP="00AC64E1">
      <w:pPr>
        <w:jc w:val="both"/>
        <w:rPr>
          <w:rFonts w:ascii="Times New Roman" w:eastAsia="Source Han Sans CN Regular" w:hAnsi="Times New Roman" w:cs="Times New Roman"/>
          <w:b/>
          <w:iCs/>
          <w:color w:val="000000" w:themeColor="text1"/>
          <w:sz w:val="24"/>
          <w:szCs w:val="24"/>
          <w:lang w:val="bg-BG" w:eastAsia="zh-CN" w:bidi="hi-IN"/>
        </w:rPr>
      </w:pPr>
      <w:r w:rsidRPr="00AC64E1">
        <w:rPr>
          <w:rFonts w:ascii="Times New Roman" w:eastAsia="Source Han Sans CN Regular" w:hAnsi="Times New Roman" w:cs="Times New Roman"/>
          <w:b/>
          <w:iCs/>
          <w:color w:val="000000" w:themeColor="text1"/>
          <w:sz w:val="24"/>
          <w:szCs w:val="24"/>
          <w:lang w:val="bg-BG" w:eastAsia="zh-CN" w:bidi="hi-IN"/>
        </w:rPr>
        <w:t xml:space="preserve">В МППРБ се предлагат </w:t>
      </w:r>
      <w:r w:rsidR="00052A22">
        <w:rPr>
          <w:rFonts w:ascii="Times New Roman" w:eastAsia="Source Han Sans CN Regular" w:hAnsi="Times New Roman" w:cs="Times New Roman"/>
          <w:b/>
          <w:iCs/>
          <w:color w:val="000000" w:themeColor="text1"/>
          <w:sz w:val="24"/>
          <w:szCs w:val="24"/>
          <w:lang w:val="bg-BG" w:eastAsia="zh-CN" w:bidi="hi-IN"/>
        </w:rPr>
        <w:t xml:space="preserve">като подходящи </w:t>
      </w:r>
      <w:r w:rsidR="00D23904" w:rsidRPr="00AC64E1">
        <w:rPr>
          <w:rFonts w:ascii="Times New Roman" w:eastAsia="Source Han Sans CN Regular" w:hAnsi="Times New Roman" w:cs="Times New Roman"/>
          <w:b/>
          <w:iCs/>
          <w:color w:val="000000" w:themeColor="text1"/>
          <w:sz w:val="24"/>
          <w:szCs w:val="24"/>
          <w:lang w:val="bg-BG" w:eastAsia="zh-CN" w:bidi="hi-IN"/>
        </w:rPr>
        <w:t>следните две акватории, в рамките на които да бъ</w:t>
      </w:r>
      <w:r w:rsidR="00D02DCB">
        <w:rPr>
          <w:rFonts w:ascii="Times New Roman" w:eastAsia="Source Han Sans CN Regular" w:hAnsi="Times New Roman" w:cs="Times New Roman"/>
          <w:b/>
          <w:iCs/>
          <w:color w:val="000000" w:themeColor="text1"/>
          <w:sz w:val="24"/>
          <w:szCs w:val="24"/>
          <w:lang w:val="bg-BG" w:eastAsia="zh-CN" w:bidi="hi-IN"/>
        </w:rPr>
        <w:t>дат из</w:t>
      </w:r>
      <w:r w:rsidR="00D23904" w:rsidRPr="00AC64E1">
        <w:rPr>
          <w:rFonts w:ascii="Times New Roman" w:eastAsia="Source Han Sans CN Regular" w:hAnsi="Times New Roman" w:cs="Times New Roman"/>
          <w:b/>
          <w:iCs/>
          <w:color w:val="000000" w:themeColor="text1"/>
          <w:sz w:val="24"/>
          <w:szCs w:val="24"/>
          <w:lang w:val="bg-BG" w:eastAsia="zh-CN" w:bidi="hi-IN"/>
        </w:rPr>
        <w:t>с</w:t>
      </w:r>
      <w:r w:rsidR="00D02DCB">
        <w:rPr>
          <w:rFonts w:ascii="Times New Roman" w:eastAsia="Source Han Sans CN Regular" w:hAnsi="Times New Roman" w:cs="Times New Roman"/>
          <w:b/>
          <w:iCs/>
          <w:color w:val="000000" w:themeColor="text1"/>
          <w:sz w:val="24"/>
          <w:szCs w:val="24"/>
          <w:lang w:val="bg-BG" w:eastAsia="zh-CN" w:bidi="hi-IN"/>
        </w:rPr>
        <w:t>л</w:t>
      </w:r>
      <w:r w:rsidR="00D23904" w:rsidRPr="00AC64E1">
        <w:rPr>
          <w:rFonts w:ascii="Times New Roman" w:eastAsia="Source Han Sans CN Regular" w:hAnsi="Times New Roman" w:cs="Times New Roman"/>
          <w:b/>
          <w:iCs/>
          <w:color w:val="000000" w:themeColor="text1"/>
          <w:sz w:val="24"/>
          <w:szCs w:val="24"/>
          <w:lang w:val="bg-BG" w:eastAsia="zh-CN" w:bidi="hi-IN"/>
        </w:rPr>
        <w:t>едвани райони подходящи за защита</w:t>
      </w:r>
      <w:r w:rsidRPr="00AC64E1">
        <w:rPr>
          <w:rFonts w:ascii="Times New Roman" w:eastAsia="Source Han Sans CN Regular" w:hAnsi="Times New Roman" w:cs="Times New Roman"/>
          <w:b/>
          <w:iCs/>
          <w:color w:val="000000" w:themeColor="text1"/>
          <w:sz w:val="24"/>
          <w:szCs w:val="24"/>
          <w:lang w:val="bg-BG" w:eastAsia="zh-CN" w:bidi="hi-IN"/>
        </w:rPr>
        <w:t xml:space="preserve">, </w:t>
      </w:r>
      <w:r w:rsidR="00D23904" w:rsidRPr="00AC64E1">
        <w:rPr>
          <w:rFonts w:ascii="Times New Roman" w:eastAsia="Source Han Sans CN Regular" w:hAnsi="Times New Roman" w:cs="Times New Roman"/>
          <w:b/>
          <w:iCs/>
          <w:color w:val="000000" w:themeColor="text1"/>
          <w:sz w:val="24"/>
          <w:szCs w:val="24"/>
          <w:lang w:val="bg-BG" w:eastAsia="zh-CN" w:bidi="hi-IN"/>
        </w:rPr>
        <w:t>които биха допринесли</w:t>
      </w:r>
      <w:r w:rsidRPr="00AC64E1">
        <w:rPr>
          <w:rFonts w:ascii="Times New Roman" w:eastAsia="Source Han Sans CN Regular" w:hAnsi="Times New Roman" w:cs="Times New Roman"/>
          <w:b/>
          <w:iCs/>
          <w:color w:val="000000" w:themeColor="text1"/>
          <w:sz w:val="24"/>
          <w:szCs w:val="24"/>
          <w:lang w:val="bg-BG" w:eastAsia="zh-CN" w:bidi="hi-IN"/>
        </w:rPr>
        <w:t xml:space="preserve"> за изпълнение на целите на </w:t>
      </w:r>
      <w:r w:rsidR="00661C06" w:rsidRPr="00AC64E1">
        <w:rPr>
          <w:rFonts w:ascii="Times New Roman" w:eastAsia="Source Han Sans CN Regular" w:hAnsi="Times New Roman" w:cs="Times New Roman"/>
          <w:b/>
          <w:iCs/>
          <w:color w:val="000000" w:themeColor="text1"/>
          <w:sz w:val="24"/>
          <w:szCs w:val="24"/>
          <w:lang w:val="bg-BG" w:eastAsia="zh-CN" w:bidi="hi-IN"/>
        </w:rPr>
        <w:t>Стратегията за биологично разнообразие за 2030 г. :</w:t>
      </w:r>
    </w:p>
    <w:p w14:paraId="7278722C" w14:textId="4B8BA8B5" w:rsidR="00116E1E" w:rsidRPr="00AC64E1" w:rsidRDefault="00661C06" w:rsidP="00AC64E1">
      <w:pPr>
        <w:spacing w:after="0"/>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t xml:space="preserve">1. </w:t>
      </w:r>
      <w:r w:rsidR="00116E1E" w:rsidRPr="00AC64E1">
        <w:rPr>
          <w:rFonts w:ascii="Times New Roman" w:eastAsia="Source Han Sans CN Regular" w:hAnsi="Times New Roman" w:cs="Times New Roman"/>
          <w:iCs/>
          <w:color w:val="000000" w:themeColor="text1"/>
          <w:sz w:val="24"/>
          <w:szCs w:val="24"/>
          <w:lang w:val="bg-BG" w:eastAsia="zh-CN" w:bidi="hi-IN"/>
        </w:rPr>
        <w:t xml:space="preserve">Акваторията и крайбрежието  между н. Хумата - Маслен нос - местност Перла  </w:t>
      </w:r>
    </w:p>
    <w:p w14:paraId="11C0FFDE" w14:textId="0DBF97C7" w:rsidR="00116E1E" w:rsidRPr="00AC64E1" w:rsidRDefault="00661C06" w:rsidP="00AC64E1">
      <w:pPr>
        <w:spacing w:after="0"/>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lastRenderedPageBreak/>
        <w:t xml:space="preserve">2. </w:t>
      </w:r>
      <w:r w:rsidR="00116E1E" w:rsidRPr="00AC64E1">
        <w:rPr>
          <w:rFonts w:ascii="Times New Roman" w:eastAsia="Source Han Sans CN Regular" w:hAnsi="Times New Roman" w:cs="Times New Roman"/>
          <w:iCs/>
          <w:color w:val="000000" w:themeColor="text1"/>
          <w:sz w:val="24"/>
          <w:szCs w:val="24"/>
          <w:lang w:val="bg-BG" w:eastAsia="zh-CN" w:bidi="hi-IN"/>
        </w:rPr>
        <w:t xml:space="preserve">Акваторията и крайбрежие  между с. Синеморец и р. Резовска </w:t>
      </w:r>
    </w:p>
    <w:p w14:paraId="7C45E1F3" w14:textId="3861904A" w:rsidR="00116E1E" w:rsidRPr="00AC64E1" w:rsidRDefault="00D1437C" w:rsidP="00116E1E">
      <w:pPr>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t xml:space="preserve">Това са </w:t>
      </w:r>
      <w:r w:rsidR="00D23904" w:rsidRPr="00AC64E1">
        <w:rPr>
          <w:rFonts w:ascii="Times New Roman" w:eastAsia="Source Han Sans CN Regular" w:hAnsi="Times New Roman" w:cs="Times New Roman"/>
          <w:iCs/>
          <w:color w:val="000000" w:themeColor="text1"/>
          <w:sz w:val="24"/>
          <w:szCs w:val="24"/>
          <w:lang w:val="bg-BG" w:eastAsia="zh-CN" w:bidi="hi-IN"/>
        </w:rPr>
        <w:t xml:space="preserve">райони </w:t>
      </w:r>
      <w:r w:rsidR="00116E1E" w:rsidRPr="00AC64E1">
        <w:rPr>
          <w:rFonts w:ascii="Times New Roman" w:eastAsia="Source Han Sans CN Regular" w:hAnsi="Times New Roman" w:cs="Times New Roman"/>
          <w:iCs/>
          <w:color w:val="000000" w:themeColor="text1"/>
          <w:sz w:val="24"/>
          <w:szCs w:val="24"/>
          <w:lang w:val="bg-BG" w:eastAsia="zh-CN" w:bidi="hi-IN"/>
        </w:rPr>
        <w:t>с високо биоразнообразие и най-добре запазени типични черноморски дънни местообитания , както на скални рифове( местообитания 1170: съобщества на кафяви макроводорасли Cystoseira, и на червените Phyllophora crispa, дълбоководни рифове със черна мида M. galloprovincialis и др.) и на меко дъно ( местообитания 1110 на безгръбначни)</w:t>
      </w:r>
      <w:r w:rsidR="00035509" w:rsidRPr="00AC64E1">
        <w:rPr>
          <w:rFonts w:ascii="Times New Roman" w:eastAsia="Source Han Sans CN Regular" w:hAnsi="Times New Roman" w:cs="Times New Roman"/>
          <w:iCs/>
          <w:color w:val="000000" w:themeColor="text1"/>
          <w:sz w:val="24"/>
          <w:szCs w:val="24"/>
          <w:lang w:val="bg-BG" w:eastAsia="zh-CN" w:bidi="hi-IN"/>
        </w:rPr>
        <w:t>.</w:t>
      </w:r>
      <w:r w:rsidR="00116E1E" w:rsidRPr="00AC64E1">
        <w:rPr>
          <w:rFonts w:ascii="Times New Roman" w:eastAsia="Source Han Sans CN Regular" w:hAnsi="Times New Roman" w:cs="Times New Roman"/>
          <w:iCs/>
          <w:color w:val="000000" w:themeColor="text1"/>
          <w:sz w:val="24"/>
          <w:szCs w:val="24"/>
          <w:lang w:val="bg-BG" w:eastAsia="zh-CN" w:bidi="hi-IN"/>
        </w:rPr>
        <w:t xml:space="preserve"> </w:t>
      </w:r>
      <w:r w:rsidR="00035509" w:rsidRPr="00AC64E1">
        <w:rPr>
          <w:rFonts w:ascii="Times New Roman" w:eastAsia="Source Han Sans CN Regular" w:hAnsi="Times New Roman" w:cs="Times New Roman"/>
          <w:iCs/>
          <w:color w:val="000000" w:themeColor="text1"/>
          <w:sz w:val="24"/>
          <w:szCs w:val="24"/>
          <w:lang w:val="bg-BG" w:eastAsia="zh-CN" w:bidi="hi-IN"/>
        </w:rPr>
        <w:t>Д</w:t>
      </w:r>
      <w:r w:rsidR="00116E1E" w:rsidRPr="00AC64E1">
        <w:rPr>
          <w:rFonts w:ascii="Times New Roman" w:eastAsia="Source Han Sans CN Regular" w:hAnsi="Times New Roman" w:cs="Times New Roman"/>
          <w:iCs/>
          <w:color w:val="000000" w:themeColor="text1"/>
          <w:sz w:val="24"/>
          <w:szCs w:val="24"/>
          <w:lang w:val="bg-BG" w:eastAsia="zh-CN" w:bidi="hi-IN"/>
        </w:rPr>
        <w:t xml:space="preserve">вете зони са с постоянно присъствие и трите вида черноморски делфини - афала, обикновен делфин и муткур.  Зоните са предпочитани от мигриращи видове риби по нашето Черноморие през пролетния и есенния сезон. Богатото разнообразие от рибни ресурси в районите привлича и множество морски птици в района. </w:t>
      </w:r>
    </w:p>
    <w:p w14:paraId="574E5385" w14:textId="3F92F89C" w:rsidR="00116E1E" w:rsidRPr="00AC64E1" w:rsidRDefault="00116E1E" w:rsidP="00116E1E">
      <w:pPr>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t xml:space="preserve">Екологичното състояние на тези </w:t>
      </w:r>
      <w:r w:rsidR="001223CA" w:rsidRPr="00AC64E1">
        <w:rPr>
          <w:rFonts w:ascii="Times New Roman" w:eastAsia="Source Han Sans CN Regular" w:hAnsi="Times New Roman" w:cs="Times New Roman"/>
          <w:iCs/>
          <w:color w:val="000000" w:themeColor="text1"/>
          <w:sz w:val="24"/>
          <w:szCs w:val="24"/>
          <w:lang w:val="bg-BG" w:eastAsia="zh-CN" w:bidi="hi-IN"/>
        </w:rPr>
        <w:t>ареали</w:t>
      </w:r>
      <w:r w:rsidRPr="00AC64E1">
        <w:rPr>
          <w:rFonts w:ascii="Times New Roman" w:eastAsia="Source Han Sans CN Regular" w:hAnsi="Times New Roman" w:cs="Times New Roman"/>
          <w:iCs/>
          <w:color w:val="000000" w:themeColor="text1"/>
          <w:sz w:val="24"/>
          <w:szCs w:val="24"/>
          <w:lang w:val="bg-BG" w:eastAsia="zh-CN" w:bidi="hi-IN"/>
        </w:rPr>
        <w:t xml:space="preserve"> консистентно е възможно най-доброто по методите за оценка по РДВ и РДМС в последните 10 години. Последните проучвания на дънни екосистеми в тези зони са проведени през 2018 г. </w:t>
      </w:r>
      <w:r w:rsidR="00035509" w:rsidRPr="00AC64E1">
        <w:rPr>
          <w:rFonts w:ascii="Times New Roman" w:eastAsia="Source Han Sans CN Regular" w:hAnsi="Times New Roman" w:cs="Times New Roman"/>
          <w:iCs/>
          <w:color w:val="000000" w:themeColor="text1"/>
          <w:sz w:val="24"/>
          <w:szCs w:val="24"/>
          <w:lang w:val="bg-BG" w:eastAsia="zh-CN" w:bidi="hi-IN"/>
        </w:rPr>
        <w:t>о</w:t>
      </w:r>
      <w:r w:rsidRPr="00AC64E1">
        <w:rPr>
          <w:rFonts w:ascii="Times New Roman" w:eastAsia="Source Han Sans CN Regular" w:hAnsi="Times New Roman" w:cs="Times New Roman"/>
          <w:iCs/>
          <w:color w:val="000000" w:themeColor="text1"/>
          <w:sz w:val="24"/>
          <w:szCs w:val="24"/>
          <w:lang w:val="bg-BG" w:eastAsia="zh-CN" w:bidi="hi-IN"/>
        </w:rPr>
        <w:t xml:space="preserve">т екип на ИБЕИ (ИО-БАН, 2018) , и на ИО-БАН за отдалечените от брега местообитания на меко дъно ( ИО-БАН, 2021) </w:t>
      </w:r>
      <w:r w:rsidR="00035509" w:rsidRPr="00AC64E1">
        <w:rPr>
          <w:rFonts w:ascii="Times New Roman" w:eastAsia="Source Han Sans CN Regular" w:hAnsi="Times New Roman" w:cs="Times New Roman"/>
          <w:iCs/>
          <w:color w:val="000000" w:themeColor="text1"/>
          <w:sz w:val="24"/>
          <w:szCs w:val="24"/>
          <w:lang w:val="bg-BG" w:eastAsia="zh-CN" w:bidi="hi-IN"/>
        </w:rPr>
        <w:t xml:space="preserve">и </w:t>
      </w:r>
      <w:r w:rsidRPr="00AC64E1">
        <w:rPr>
          <w:rFonts w:ascii="Times New Roman" w:eastAsia="Source Han Sans CN Regular" w:hAnsi="Times New Roman" w:cs="Times New Roman"/>
          <w:iCs/>
          <w:color w:val="000000" w:themeColor="text1"/>
          <w:sz w:val="24"/>
          <w:szCs w:val="24"/>
          <w:lang w:val="bg-BG" w:eastAsia="zh-CN" w:bidi="hi-IN"/>
        </w:rPr>
        <w:t xml:space="preserve">потвърждават тези наблюдения.  </w:t>
      </w:r>
    </w:p>
    <w:p w14:paraId="72E70136" w14:textId="77777777" w:rsidR="00116E1E" w:rsidRPr="00AC64E1" w:rsidRDefault="00116E1E" w:rsidP="00AC64E1">
      <w:pPr>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t>Районът южно от Синеморец е слабо проучен и поради много доброто си екологично състояние и близостта си до Босфора и турското Черноморско крайбрежие,  има потенциал да съдържа неописвани за българското Черноморие видове макроводорасли, безгръбначни и риби.</w:t>
      </w:r>
    </w:p>
    <w:p w14:paraId="2326640A" w14:textId="77777777" w:rsidR="00116E1E" w:rsidRPr="00AC64E1" w:rsidRDefault="00116E1E" w:rsidP="00AC64E1">
      <w:pPr>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t xml:space="preserve">Обявяването на тези райони за ‘защитени територии’ с по-строга степен на защита от Натура зоните , в чийто обхват попадат , може да изиграе роля в изграждането на ‘ядро’  с по-строга защита (ограничен или никакъв риболов, ограничаване на антропогенни дейности)на защитените зони, което е доказано ползотворна практика за опазване на популациите на морски риби и безгръбначни с позитивен ефект за намиращите се в съседство акватории, с преки ползи за местните рибари и туризма. </w:t>
      </w:r>
    </w:p>
    <w:p w14:paraId="12D88B02" w14:textId="666E1743" w:rsidR="00116E1E" w:rsidRPr="00AC64E1" w:rsidRDefault="001223CA" w:rsidP="00AC64E1">
      <w:pPr>
        <w:jc w:val="both"/>
        <w:rPr>
          <w:rFonts w:ascii="Times New Roman" w:eastAsia="Source Han Sans CN Regular" w:hAnsi="Times New Roman" w:cs="Times New Roman"/>
          <w:iCs/>
          <w:color w:val="000000" w:themeColor="text1"/>
          <w:sz w:val="24"/>
          <w:szCs w:val="24"/>
          <w:lang w:val="bg-BG" w:eastAsia="zh-CN" w:bidi="hi-IN"/>
        </w:rPr>
      </w:pPr>
      <w:r w:rsidRPr="00AC64E1">
        <w:rPr>
          <w:rFonts w:ascii="Times New Roman" w:eastAsia="Source Han Sans CN Regular" w:hAnsi="Times New Roman" w:cs="Times New Roman"/>
          <w:iCs/>
          <w:color w:val="000000" w:themeColor="text1"/>
          <w:sz w:val="24"/>
          <w:szCs w:val="24"/>
          <w:lang w:val="bg-BG" w:eastAsia="zh-CN" w:bidi="hi-IN"/>
        </w:rPr>
        <w:t>Евентуалното създаване</w:t>
      </w:r>
      <w:r w:rsidR="00116E1E" w:rsidRPr="00AC64E1">
        <w:rPr>
          <w:rFonts w:ascii="Times New Roman" w:eastAsia="Source Han Sans CN Regular" w:hAnsi="Times New Roman" w:cs="Times New Roman"/>
          <w:iCs/>
          <w:color w:val="000000" w:themeColor="text1"/>
          <w:sz w:val="24"/>
          <w:szCs w:val="24"/>
          <w:lang w:val="bg-BG" w:eastAsia="zh-CN" w:bidi="hi-IN"/>
        </w:rPr>
        <w:t xml:space="preserve"> на ‘мрежа’ от свързани морски защитени територии и зони, намиращи се на подходящо разстояние едни от други, между които да има обмен на пропагули на растения, ларви и мигриращи индивиди безгръбначни и риби, е в основата на създаване на добре функциониращо ‘опазване’ на морското биоразнообразие и ресурси. Проучвания на мрежите от защитени територии в Черно море  са идентифицирали нуждата от създаване на такива свързани зони по южното ни Черноморско крайбрежие и преките ползи за опазване на биоразнообразието и екосистемните услуги предоставени от морските екосистеми</w:t>
      </w:r>
      <w:r w:rsidR="00035509" w:rsidRPr="00AC64E1">
        <w:rPr>
          <w:rFonts w:ascii="Times New Roman" w:eastAsia="Source Han Sans CN Regular" w:hAnsi="Times New Roman" w:cs="Times New Roman"/>
          <w:iCs/>
          <w:color w:val="000000" w:themeColor="text1"/>
          <w:sz w:val="24"/>
          <w:szCs w:val="24"/>
          <w:lang w:val="bg-BG" w:eastAsia="zh-CN" w:bidi="hi-IN"/>
        </w:rPr>
        <w:t>.</w:t>
      </w:r>
      <w:r w:rsidR="00116E1E" w:rsidRPr="00AC64E1">
        <w:rPr>
          <w:rFonts w:ascii="Times New Roman" w:eastAsia="Source Han Sans CN Regular" w:hAnsi="Times New Roman" w:cs="Times New Roman"/>
          <w:iCs/>
          <w:color w:val="000000" w:themeColor="text1"/>
          <w:sz w:val="24"/>
          <w:szCs w:val="24"/>
          <w:lang w:val="bg-BG" w:eastAsia="zh-CN" w:bidi="hi-IN"/>
        </w:rPr>
        <w:t xml:space="preserve"> По този начин ще се избегне поддържането на добре запазени, но изолирани от останалите подходящи за развитие на същите видове и съобщества по черноморското ни крайбрежие. От друга страна, разширението на зоните към дълбоководна част ще осигури адекватна среда за първоначално развитие и миграция на видовe.</w:t>
      </w:r>
    </w:p>
    <w:p w14:paraId="1859881F" w14:textId="77777777" w:rsidR="00116E1E" w:rsidRPr="00AC64E1" w:rsidRDefault="00116E1E" w:rsidP="00116E1E">
      <w:pPr>
        <w:rPr>
          <w:lang w:val="bg-BG"/>
        </w:rPr>
      </w:pPr>
      <w:r w:rsidRPr="00AC64E1">
        <w:rPr>
          <w:lang w:val="bg-BG"/>
        </w:rPr>
        <w:t xml:space="preserve"> </w:t>
      </w:r>
    </w:p>
    <w:p w14:paraId="0CA5B1EB" w14:textId="77777777" w:rsidR="00116E1E" w:rsidRPr="00610B1B" w:rsidRDefault="00116E1E" w:rsidP="00A50A50">
      <w:pPr>
        <w:pStyle w:val="BodyText"/>
        <w:spacing w:before="0" w:after="120" w:line="276" w:lineRule="auto"/>
        <w:rPr>
          <w:rFonts w:cs="Times New Roman"/>
          <w:iCs/>
          <w:color w:val="000000" w:themeColor="text1"/>
        </w:rPr>
      </w:pPr>
    </w:p>
    <w:p w14:paraId="2ADAAD7F" w14:textId="5C893035" w:rsidR="00457CAE" w:rsidRPr="00610B1B" w:rsidRDefault="00457CAE" w:rsidP="00A50A50">
      <w:pPr>
        <w:pStyle w:val="BodyText"/>
        <w:spacing w:before="0" w:after="120" w:line="276" w:lineRule="auto"/>
        <w:rPr>
          <w:rFonts w:cs="Times New Roman"/>
          <w:iCs/>
          <w:color w:val="000000" w:themeColor="text1"/>
        </w:rPr>
      </w:pPr>
      <w:r w:rsidRPr="00610B1B">
        <w:rPr>
          <w:rFonts w:cs="Times New Roman"/>
          <w:b/>
          <w:iCs/>
          <w:color w:val="000000" w:themeColor="text1"/>
        </w:rPr>
        <w:t xml:space="preserve">Зк </w:t>
      </w:r>
      <w:r w:rsidRPr="00610B1B">
        <w:rPr>
          <w:rFonts w:cs="Times New Roman"/>
          <w:iCs/>
          <w:color w:val="000000" w:themeColor="text1"/>
        </w:rPr>
        <w:t>– Райони забранени за корабоплаване</w:t>
      </w:r>
    </w:p>
    <w:p w14:paraId="160B55EC" w14:textId="06A88BAE" w:rsidR="00457CAE" w:rsidRPr="00610B1B" w:rsidRDefault="00E80E6D" w:rsidP="00A50A50">
      <w:pPr>
        <w:pStyle w:val="BodyText"/>
        <w:spacing w:before="0" w:after="120" w:line="276" w:lineRule="auto"/>
        <w:rPr>
          <w:rFonts w:cs="Times New Roman"/>
          <w:iCs/>
          <w:color w:val="000000" w:themeColor="text1"/>
        </w:rPr>
      </w:pPr>
      <w:r w:rsidRPr="00610B1B">
        <w:rPr>
          <w:rFonts w:cs="Times New Roman"/>
          <w:iCs/>
          <w:color w:val="000000" w:themeColor="text1"/>
        </w:rPr>
        <w:lastRenderedPageBreak/>
        <w:t xml:space="preserve">Районите забранени за корабоплаване са два вида – с постоянна забрана и с временна забрана. Първите са онези райони, в които налаганите ограничения са в постоянни граници, докато вторите се определят за всеки конкретен случай и съответните забрани се оповестяват в Известията за мореплавателите. </w:t>
      </w:r>
      <w:r w:rsidR="00B633FB" w:rsidRPr="00610B1B">
        <w:rPr>
          <w:rFonts w:cs="Times New Roman"/>
          <w:iCs/>
          <w:color w:val="000000" w:themeColor="text1"/>
        </w:rPr>
        <w:t xml:space="preserve">Този ограничителен режим се налага поради необходимостта от намаляване на риска за здравето и живота на хората при провеждане на обучения и учения. </w:t>
      </w:r>
    </w:p>
    <w:p w14:paraId="5667EDA8" w14:textId="26709B7A" w:rsidR="00457CAE" w:rsidRPr="00610B1B" w:rsidRDefault="00457C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Зз</w:t>
      </w:r>
      <w:r w:rsidR="00887EDB" w:rsidRPr="00610B1B">
        <w:rPr>
          <w:rFonts w:cs="Times New Roman"/>
          <w:iCs/>
          <w:color w:val="000000" w:themeColor="text1"/>
        </w:rPr>
        <w:t xml:space="preserve"> – Ра</w:t>
      </w:r>
      <w:r w:rsidRPr="00610B1B">
        <w:rPr>
          <w:rFonts w:cs="Times New Roman"/>
          <w:iCs/>
          <w:color w:val="000000" w:themeColor="text1"/>
        </w:rPr>
        <w:t>йони забранени за заставане на котва, риболов с придънни средства, за подводни и драгажни работи, за тралене и взривове</w:t>
      </w:r>
    </w:p>
    <w:p w14:paraId="592DCADA" w14:textId="1460F77C" w:rsidR="00457CAE" w:rsidRPr="00610B1B" w:rsidRDefault="00B848A8"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Тези райони са </w:t>
      </w:r>
      <w:r w:rsidR="00887EDB" w:rsidRPr="00610B1B">
        <w:rPr>
          <w:rFonts w:cs="Times New Roman"/>
          <w:iCs/>
          <w:color w:val="000000" w:themeColor="text1"/>
        </w:rPr>
        <w:t>разположени във вътрешните води или териториалното море на Република България. В тях е забранено заставането на котва, риболов с придънни средства, подводни и драгажни работи, придънно тралене и подводни взривове, поради някоя от следните причини:</w:t>
      </w:r>
      <w:r w:rsidRPr="00610B1B">
        <w:rPr>
          <w:rFonts w:cs="Times New Roman"/>
          <w:iCs/>
          <w:color w:val="000000" w:themeColor="text1"/>
        </w:rPr>
        <w:t xml:space="preserve"> i) </w:t>
      </w:r>
      <w:r w:rsidR="00887EDB" w:rsidRPr="00610B1B">
        <w:rPr>
          <w:rFonts w:cs="Times New Roman"/>
          <w:iCs/>
          <w:color w:val="000000" w:themeColor="text1"/>
        </w:rPr>
        <w:t>наличие на инфраструктура, съоръжения и оборудване, които могат да бъдат увредени;</w:t>
      </w:r>
      <w:r w:rsidRPr="00610B1B">
        <w:rPr>
          <w:rFonts w:cs="Times New Roman"/>
          <w:iCs/>
          <w:color w:val="000000" w:themeColor="text1"/>
        </w:rPr>
        <w:t xml:space="preserve"> ii) </w:t>
      </w:r>
      <w:r w:rsidR="00887EDB" w:rsidRPr="00610B1B">
        <w:rPr>
          <w:rFonts w:cs="Times New Roman"/>
          <w:iCs/>
          <w:color w:val="000000" w:themeColor="text1"/>
        </w:rPr>
        <w:t>наличие на потънали военни кораби;</w:t>
      </w:r>
      <w:r w:rsidRPr="00610B1B">
        <w:rPr>
          <w:rFonts w:cs="Times New Roman"/>
          <w:iCs/>
          <w:color w:val="000000" w:themeColor="text1"/>
        </w:rPr>
        <w:t xml:space="preserve"> iii) </w:t>
      </w:r>
      <w:r w:rsidR="00887EDB" w:rsidRPr="00610B1B">
        <w:rPr>
          <w:rFonts w:cs="Times New Roman"/>
          <w:iCs/>
          <w:color w:val="000000" w:themeColor="text1"/>
        </w:rPr>
        <w:t>наличие на исторически и археологически обекти;</w:t>
      </w:r>
      <w:r w:rsidRPr="00610B1B">
        <w:rPr>
          <w:rFonts w:cs="Times New Roman"/>
          <w:iCs/>
          <w:color w:val="000000" w:themeColor="text1"/>
        </w:rPr>
        <w:t xml:space="preserve"> iv) </w:t>
      </w:r>
      <w:r w:rsidR="00887EDB" w:rsidRPr="00610B1B">
        <w:rPr>
          <w:rFonts w:cs="Times New Roman"/>
          <w:iCs/>
          <w:color w:val="000000" w:themeColor="text1"/>
        </w:rPr>
        <w:t>необходимост от защита на природното богатство</w:t>
      </w:r>
      <w:r w:rsidRPr="00610B1B">
        <w:rPr>
          <w:rFonts w:cs="Times New Roman"/>
          <w:iCs/>
          <w:color w:val="000000" w:themeColor="text1"/>
        </w:rPr>
        <w:t xml:space="preserve"> от посочените дейности</w:t>
      </w:r>
      <w:r w:rsidR="00887EDB" w:rsidRPr="00610B1B">
        <w:rPr>
          <w:rFonts w:cs="Times New Roman"/>
          <w:iCs/>
          <w:color w:val="000000" w:themeColor="text1"/>
        </w:rPr>
        <w:t>;</w:t>
      </w:r>
      <w:r w:rsidRPr="00610B1B">
        <w:rPr>
          <w:rFonts w:cs="Times New Roman"/>
          <w:iCs/>
          <w:color w:val="000000" w:themeColor="text1"/>
        </w:rPr>
        <w:t xml:space="preserve"> v) </w:t>
      </w:r>
      <w:r w:rsidR="00887EDB" w:rsidRPr="00610B1B">
        <w:rPr>
          <w:rFonts w:cs="Times New Roman"/>
          <w:iCs/>
          <w:color w:val="000000" w:themeColor="text1"/>
        </w:rPr>
        <w:t>наличие на рискови фактори (например стари минни заграждения или изхвърлени в морето боеприпаси), които представляват заплаха за провеждащите изброените по-горе дейности и водят до неприемливо ниво на риска.</w:t>
      </w:r>
    </w:p>
    <w:p w14:paraId="3AE2B886" w14:textId="0EB67C96" w:rsidR="00792FA7" w:rsidRPr="00610B1B" w:rsidRDefault="00792FA7" w:rsidP="00A50A50">
      <w:pPr>
        <w:pStyle w:val="BodyText"/>
        <w:spacing w:before="0" w:after="120" w:line="276" w:lineRule="auto"/>
        <w:rPr>
          <w:rFonts w:cs="Times New Roman"/>
          <w:iCs/>
          <w:color w:val="000000" w:themeColor="text1"/>
        </w:rPr>
      </w:pPr>
      <w:r w:rsidRPr="00610B1B">
        <w:rPr>
          <w:rFonts w:cs="Times New Roman"/>
          <w:b/>
          <w:iCs/>
          <w:color w:val="000000" w:themeColor="text1"/>
        </w:rPr>
        <w:t>ВУ</w:t>
      </w:r>
      <w:r w:rsidRPr="00610B1B">
        <w:rPr>
          <w:rFonts w:cs="Times New Roman"/>
          <w:iCs/>
          <w:color w:val="000000" w:themeColor="text1"/>
        </w:rPr>
        <w:t xml:space="preserve"> – Постоянни действащи полигони за </w:t>
      </w:r>
      <w:r w:rsidR="006543DF" w:rsidRPr="00610B1B">
        <w:rPr>
          <w:rFonts w:cs="Times New Roman"/>
          <w:iCs/>
          <w:color w:val="000000" w:themeColor="text1"/>
        </w:rPr>
        <w:t xml:space="preserve">военни учения и </w:t>
      </w:r>
      <w:r w:rsidRPr="00610B1B">
        <w:rPr>
          <w:rFonts w:cs="Times New Roman"/>
          <w:iCs/>
          <w:color w:val="000000" w:themeColor="text1"/>
        </w:rPr>
        <w:t>подготовка на водолази</w:t>
      </w:r>
    </w:p>
    <w:p w14:paraId="26CDC459" w14:textId="0BDC448B" w:rsidR="00792FA7" w:rsidRPr="00610B1B" w:rsidRDefault="00792FA7"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В МППРБ като постоянни са определени само границите на полигоните за подготовка на водолази от Военноморските сили, а границите на другите райони за такива дейности се определят за времето на използването им, като се ограничава режима на корабоплаване в тях по реда на Наредба № Н-7 от 12 юни 2008 г. за извършване на водолазна и друга подводна дейност. Съгласно тази наредба водолазните работи са: i) аварийно-спасителни; ii) корабни водолазни работи за оглед, експертиза, почистване и отстраняване на повреди по подводната част на корпуса на кораб или в наводнени корабни отсеци; iii) подводно-технически водолазни работи; iv) съдоподемни работи; v) специални работи за търсене, изваждане или унищожаване на боеприпаси; vi) за обезпечаване на научни изследвания и изпитвания; </w:t>
      </w:r>
      <w:r w:rsidR="00B633FB" w:rsidRPr="00610B1B">
        <w:rPr>
          <w:rFonts w:cs="Times New Roman"/>
          <w:iCs/>
          <w:color w:val="000000" w:themeColor="text1"/>
        </w:rPr>
        <w:t>и</w:t>
      </w:r>
      <w:r w:rsidRPr="00610B1B">
        <w:rPr>
          <w:rFonts w:cs="Times New Roman"/>
          <w:iCs/>
          <w:color w:val="000000" w:themeColor="text1"/>
        </w:rPr>
        <w:t xml:space="preserve"> vii) за улов и култивиране на риба и морски организми.</w:t>
      </w:r>
    </w:p>
    <w:p w14:paraId="3EF251BD" w14:textId="3BF8F9D1" w:rsidR="00792FA7" w:rsidRPr="00610B1B" w:rsidRDefault="00792FA7" w:rsidP="00A50A50">
      <w:pPr>
        <w:pStyle w:val="BodyText"/>
        <w:spacing w:before="0" w:after="120" w:line="276" w:lineRule="auto"/>
        <w:rPr>
          <w:rFonts w:cs="Times New Roman"/>
          <w:iCs/>
          <w:color w:val="000000" w:themeColor="text1"/>
        </w:rPr>
      </w:pPr>
      <w:r w:rsidRPr="00610B1B">
        <w:rPr>
          <w:rFonts w:cs="Times New Roman"/>
          <w:iCs/>
          <w:color w:val="000000" w:themeColor="text1"/>
        </w:rPr>
        <w:t>Същата наредба определя, че спорт, туризъм и развлечение, при които се използва водолазна екипировка и оборудване са водолазна дейност, а не работа. На основание чл. 3 (1), т. 2а на Наредбата водолазна или друга подводна дейност се забраняват в районите, обхванати от системата за движение.</w:t>
      </w:r>
      <w:r w:rsidR="00B633FB" w:rsidRPr="00610B1B">
        <w:rPr>
          <w:rFonts w:cs="Times New Roman"/>
          <w:iCs/>
          <w:color w:val="000000" w:themeColor="text1"/>
        </w:rPr>
        <w:t xml:space="preserve"> Изключения се допускат в случаите, когато се налага оглед на подводната част на плавателните съдове или извършване на ремонт. </w:t>
      </w:r>
    </w:p>
    <w:p w14:paraId="71369D78" w14:textId="77777777" w:rsidR="00792FA7" w:rsidRPr="00610B1B" w:rsidRDefault="00792FA7" w:rsidP="00A50A50">
      <w:pPr>
        <w:pStyle w:val="BodyText"/>
        <w:spacing w:before="0" w:after="120" w:line="276" w:lineRule="auto"/>
        <w:rPr>
          <w:rFonts w:cs="Times New Roman"/>
          <w:iCs/>
          <w:color w:val="000000" w:themeColor="text1"/>
        </w:rPr>
      </w:pPr>
      <w:r w:rsidRPr="00610B1B">
        <w:rPr>
          <w:rFonts w:cs="Times New Roman"/>
          <w:iCs/>
          <w:color w:val="000000" w:themeColor="text1"/>
        </w:rPr>
        <w:t>Другите райони за водолазна и подводна работа или дейност се обявяват в „Известие до мореплавателите“ от Хидрографска служба на Военноморските сили по ред, определен в Наредба № Н-7 от 12 юни 2008 г. за извършване на водолазна и друга подводна дейност. Тези райони не са с постоянни граници.</w:t>
      </w:r>
    </w:p>
    <w:p w14:paraId="3488CA84" w14:textId="79C5B843" w:rsidR="00457CAE" w:rsidRPr="00610B1B" w:rsidRDefault="00457C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Звз</w:t>
      </w:r>
      <w:r w:rsidRPr="00610B1B">
        <w:rPr>
          <w:rFonts w:cs="Times New Roman"/>
          <w:iCs/>
          <w:color w:val="000000" w:themeColor="text1"/>
        </w:rPr>
        <w:t xml:space="preserve"> - </w:t>
      </w:r>
      <w:r w:rsidR="00207E29" w:rsidRPr="00610B1B">
        <w:rPr>
          <w:rFonts w:cs="Times New Roman"/>
          <w:iCs/>
          <w:color w:val="000000" w:themeColor="text1"/>
        </w:rPr>
        <w:t>В</w:t>
      </w:r>
      <w:r w:rsidRPr="00610B1B">
        <w:rPr>
          <w:rFonts w:cs="Times New Roman"/>
          <w:iCs/>
          <w:color w:val="000000" w:themeColor="text1"/>
        </w:rPr>
        <w:t>ременно забранени за корабоплаване</w:t>
      </w:r>
      <w:r w:rsidR="00207E29" w:rsidRPr="00610B1B">
        <w:rPr>
          <w:rFonts w:cs="Times New Roman"/>
          <w:iCs/>
          <w:color w:val="000000" w:themeColor="text1"/>
        </w:rPr>
        <w:t xml:space="preserve"> райони</w:t>
      </w:r>
    </w:p>
    <w:p w14:paraId="63E291A9" w14:textId="5FAEFEBE" w:rsidR="0006067C" w:rsidRPr="00610B1B" w:rsidRDefault="00207E29" w:rsidP="00A50A50">
      <w:pPr>
        <w:pStyle w:val="BodyText"/>
        <w:spacing w:before="0" w:after="120" w:line="276" w:lineRule="auto"/>
        <w:rPr>
          <w:rFonts w:cs="Times New Roman"/>
          <w:bCs/>
          <w:iCs/>
          <w:color w:val="000000" w:themeColor="text1"/>
        </w:rPr>
      </w:pPr>
      <w:r w:rsidRPr="00610B1B">
        <w:rPr>
          <w:rFonts w:cs="Times New Roman"/>
          <w:bCs/>
          <w:iCs/>
          <w:color w:val="000000" w:themeColor="text1"/>
        </w:rPr>
        <w:t xml:space="preserve">Тези </w:t>
      </w:r>
      <w:r w:rsidR="00E14FE4" w:rsidRPr="00610B1B">
        <w:rPr>
          <w:rFonts w:cs="Times New Roman"/>
          <w:bCs/>
          <w:iCs/>
          <w:color w:val="000000" w:themeColor="text1"/>
        </w:rPr>
        <w:t>военни полигони</w:t>
      </w:r>
      <w:r w:rsidRPr="00610B1B">
        <w:rPr>
          <w:rFonts w:cs="Times New Roman"/>
          <w:bCs/>
          <w:iCs/>
          <w:color w:val="000000" w:themeColor="text1"/>
        </w:rPr>
        <w:t xml:space="preserve"> </w:t>
      </w:r>
      <w:r w:rsidR="00956133" w:rsidRPr="00610B1B">
        <w:rPr>
          <w:rFonts w:cs="Times New Roman"/>
          <w:bCs/>
          <w:iCs/>
          <w:color w:val="000000" w:themeColor="text1"/>
        </w:rPr>
        <w:t xml:space="preserve">традиционно </w:t>
      </w:r>
      <w:r w:rsidR="00E14FE4" w:rsidRPr="00610B1B">
        <w:rPr>
          <w:rFonts w:cs="Times New Roman"/>
          <w:bCs/>
          <w:iCs/>
          <w:color w:val="000000" w:themeColor="text1"/>
        </w:rPr>
        <w:t xml:space="preserve">се </w:t>
      </w:r>
      <w:r w:rsidR="00956133" w:rsidRPr="00610B1B">
        <w:rPr>
          <w:rFonts w:cs="Times New Roman"/>
          <w:bCs/>
          <w:iCs/>
          <w:color w:val="000000" w:themeColor="text1"/>
        </w:rPr>
        <w:t>използва</w:t>
      </w:r>
      <w:r w:rsidR="00E14FE4" w:rsidRPr="00610B1B">
        <w:rPr>
          <w:rFonts w:cs="Times New Roman"/>
          <w:bCs/>
          <w:iCs/>
          <w:color w:val="000000" w:themeColor="text1"/>
        </w:rPr>
        <w:t>т за</w:t>
      </w:r>
      <w:r w:rsidR="00956133" w:rsidRPr="00610B1B">
        <w:rPr>
          <w:rFonts w:cs="Times New Roman"/>
          <w:bCs/>
          <w:iCs/>
          <w:color w:val="000000" w:themeColor="text1"/>
        </w:rPr>
        <w:t xml:space="preserve"> провеждане на мащабни учения на въоръжени форми</w:t>
      </w:r>
      <w:r w:rsidR="00CE1E29" w:rsidRPr="00610B1B">
        <w:rPr>
          <w:rFonts w:cs="Times New Roman"/>
          <w:bCs/>
          <w:iCs/>
          <w:color w:val="000000" w:themeColor="text1"/>
        </w:rPr>
        <w:t>рования, с международно участие</w:t>
      </w:r>
      <w:r w:rsidR="00F55BCD" w:rsidRPr="00610B1B">
        <w:rPr>
          <w:rFonts w:cs="Times New Roman"/>
          <w:bCs/>
          <w:iCs/>
          <w:color w:val="000000" w:themeColor="text1"/>
        </w:rPr>
        <w:t xml:space="preserve"> и за подготовка на ВМС</w:t>
      </w:r>
      <w:r w:rsidR="00CE1E29" w:rsidRPr="00610B1B">
        <w:rPr>
          <w:rFonts w:cs="Times New Roman"/>
          <w:bCs/>
          <w:iCs/>
          <w:color w:val="000000" w:themeColor="text1"/>
        </w:rPr>
        <w:t xml:space="preserve">. </w:t>
      </w:r>
      <w:r w:rsidR="00F55BCD" w:rsidRPr="00610B1B">
        <w:rPr>
          <w:rFonts w:cs="Times New Roman"/>
          <w:bCs/>
          <w:iCs/>
          <w:color w:val="000000" w:themeColor="text1"/>
        </w:rPr>
        <w:t xml:space="preserve">Когато са </w:t>
      </w:r>
      <w:r w:rsidR="00F55BCD" w:rsidRPr="00610B1B">
        <w:rPr>
          <w:rFonts w:cs="Times New Roman"/>
          <w:bCs/>
          <w:iCs/>
          <w:color w:val="000000" w:themeColor="text1"/>
        </w:rPr>
        <w:lastRenderedPageBreak/>
        <w:t xml:space="preserve">в териториалното море и вътрешните води </w:t>
      </w:r>
      <w:r w:rsidR="0006067C" w:rsidRPr="00610B1B">
        <w:rPr>
          <w:rFonts w:cs="Times New Roman"/>
          <w:bCs/>
          <w:iCs/>
          <w:color w:val="000000" w:themeColor="text1"/>
        </w:rPr>
        <w:t xml:space="preserve">на Република България </w:t>
      </w:r>
      <w:r w:rsidR="00F55BCD" w:rsidRPr="00610B1B">
        <w:rPr>
          <w:rFonts w:cs="Times New Roman"/>
          <w:bCs/>
          <w:iCs/>
          <w:color w:val="000000" w:themeColor="text1"/>
        </w:rPr>
        <w:t xml:space="preserve">в </w:t>
      </w:r>
      <w:r w:rsidR="00CE1E29" w:rsidRPr="00610B1B">
        <w:rPr>
          <w:rFonts w:cs="Times New Roman"/>
          <w:bCs/>
          <w:iCs/>
          <w:color w:val="000000" w:themeColor="text1"/>
        </w:rPr>
        <w:t>тях</w:t>
      </w:r>
      <w:r w:rsidRPr="00610B1B">
        <w:rPr>
          <w:rFonts w:cs="Times New Roman"/>
          <w:bCs/>
          <w:iCs/>
          <w:color w:val="000000" w:themeColor="text1"/>
        </w:rPr>
        <w:t xml:space="preserve"> временно се забраняват дейности, които застраша</w:t>
      </w:r>
      <w:r w:rsidR="00C92E2E" w:rsidRPr="00610B1B">
        <w:rPr>
          <w:rFonts w:cs="Times New Roman"/>
          <w:bCs/>
          <w:iCs/>
          <w:color w:val="000000" w:themeColor="text1"/>
        </w:rPr>
        <w:t>ва</w:t>
      </w:r>
      <w:r w:rsidRPr="00610B1B">
        <w:rPr>
          <w:rFonts w:cs="Times New Roman"/>
          <w:bCs/>
          <w:iCs/>
          <w:color w:val="000000" w:themeColor="text1"/>
        </w:rPr>
        <w:t>т човешки</w:t>
      </w:r>
      <w:r w:rsidR="00C92E2E" w:rsidRPr="00610B1B">
        <w:rPr>
          <w:rFonts w:cs="Times New Roman"/>
          <w:bCs/>
          <w:iCs/>
          <w:color w:val="000000" w:themeColor="text1"/>
        </w:rPr>
        <w:t>я</w:t>
      </w:r>
      <w:r w:rsidRPr="00610B1B">
        <w:rPr>
          <w:rFonts w:cs="Times New Roman"/>
          <w:bCs/>
          <w:iCs/>
          <w:color w:val="000000" w:themeColor="text1"/>
        </w:rPr>
        <w:t xml:space="preserve"> живот.</w:t>
      </w:r>
      <w:r w:rsidR="00D66FE0" w:rsidRPr="00610B1B">
        <w:rPr>
          <w:rFonts w:cs="Times New Roman"/>
          <w:bCs/>
          <w:iCs/>
          <w:color w:val="000000" w:themeColor="text1"/>
        </w:rPr>
        <w:t xml:space="preserve"> </w:t>
      </w:r>
    </w:p>
    <w:p w14:paraId="4A4CBB12" w14:textId="0C38D29C" w:rsidR="00457CAE" w:rsidRPr="00610B1B" w:rsidRDefault="00457CAE" w:rsidP="00A50A50">
      <w:pPr>
        <w:pStyle w:val="BodyText"/>
        <w:spacing w:before="0" w:after="120" w:line="276" w:lineRule="auto"/>
        <w:rPr>
          <w:rFonts w:cs="Times New Roman"/>
          <w:iCs/>
          <w:color w:val="000000" w:themeColor="text1"/>
        </w:rPr>
      </w:pPr>
      <w:r w:rsidRPr="00610B1B">
        <w:rPr>
          <w:rFonts w:cs="Times New Roman"/>
          <w:b/>
          <w:iCs/>
          <w:color w:val="000000" w:themeColor="text1"/>
        </w:rPr>
        <w:t>Зво</w:t>
      </w:r>
      <w:r w:rsidRPr="00610B1B">
        <w:rPr>
          <w:rFonts w:cs="Times New Roman"/>
          <w:iCs/>
          <w:color w:val="000000" w:themeColor="text1"/>
        </w:rPr>
        <w:t xml:space="preserve"> –</w:t>
      </w:r>
      <w:r w:rsidR="00207E29" w:rsidRPr="00610B1B">
        <w:rPr>
          <w:rFonts w:cs="Times New Roman"/>
          <w:iCs/>
          <w:color w:val="000000" w:themeColor="text1"/>
        </w:rPr>
        <w:t xml:space="preserve"> В</w:t>
      </w:r>
      <w:r w:rsidRPr="00610B1B">
        <w:rPr>
          <w:rFonts w:cs="Times New Roman"/>
          <w:iCs/>
          <w:color w:val="000000" w:themeColor="text1"/>
        </w:rPr>
        <w:t>ременно опасни за корабоплаване</w:t>
      </w:r>
      <w:r w:rsidR="00207E29" w:rsidRPr="00610B1B">
        <w:rPr>
          <w:rFonts w:cs="Times New Roman"/>
          <w:iCs/>
          <w:color w:val="000000" w:themeColor="text1"/>
        </w:rPr>
        <w:t xml:space="preserve"> райони</w:t>
      </w:r>
    </w:p>
    <w:p w14:paraId="7AF45FB8" w14:textId="2E46F7A9" w:rsidR="00CE1E29" w:rsidRPr="00610B1B" w:rsidRDefault="00CE1E29" w:rsidP="00A50A50">
      <w:pPr>
        <w:pStyle w:val="BodyText"/>
        <w:spacing w:before="0" w:after="120" w:line="276" w:lineRule="auto"/>
        <w:rPr>
          <w:rFonts w:cs="Times New Roman"/>
          <w:iCs/>
          <w:color w:val="000000" w:themeColor="text1"/>
        </w:rPr>
      </w:pPr>
      <w:r w:rsidRPr="00610B1B">
        <w:rPr>
          <w:rFonts w:cs="Times New Roman"/>
          <w:iCs/>
          <w:color w:val="000000" w:themeColor="text1"/>
        </w:rPr>
        <w:t>Районите, които са временно опасни за корабоплаване</w:t>
      </w:r>
      <w:r w:rsidR="0006067C" w:rsidRPr="00610B1B">
        <w:rPr>
          <w:rFonts w:cs="Times New Roman"/>
          <w:iCs/>
          <w:color w:val="000000" w:themeColor="text1"/>
        </w:rPr>
        <w:t xml:space="preserve"> са извън териториалното море</w:t>
      </w:r>
      <w:r w:rsidR="009240AB">
        <w:rPr>
          <w:rFonts w:cs="Times New Roman"/>
          <w:iCs/>
          <w:color w:val="000000" w:themeColor="text1"/>
        </w:rPr>
        <w:t>.</w:t>
      </w:r>
    </w:p>
    <w:p w14:paraId="18FC9A3B" w14:textId="77777777" w:rsidR="00A50A50" w:rsidRPr="00610B1B" w:rsidRDefault="001430C2" w:rsidP="00A50A50">
      <w:pPr>
        <w:pStyle w:val="BodyText"/>
        <w:spacing w:before="0" w:after="120" w:line="276" w:lineRule="auto"/>
        <w:rPr>
          <w:rFonts w:cs="Times New Roman"/>
          <w:iCs/>
          <w:color w:val="000000" w:themeColor="text1"/>
        </w:rPr>
      </w:pPr>
      <w:r w:rsidRPr="00610B1B">
        <w:rPr>
          <w:rFonts w:cs="Times New Roman"/>
          <w:iCs/>
          <w:color w:val="000000" w:themeColor="text1"/>
        </w:rPr>
        <w:t>Съчетаването на посочените по-горе дейности и ползвания на морските пространства се осъществява при спазване на международни</w:t>
      </w:r>
      <w:r w:rsidR="0018632B" w:rsidRPr="00610B1B">
        <w:rPr>
          <w:rFonts w:cs="Times New Roman"/>
          <w:iCs/>
          <w:color w:val="000000" w:themeColor="text1"/>
        </w:rPr>
        <w:t>те</w:t>
      </w:r>
      <w:r w:rsidRPr="00610B1B">
        <w:rPr>
          <w:rFonts w:cs="Times New Roman"/>
          <w:iCs/>
          <w:color w:val="000000" w:themeColor="text1"/>
        </w:rPr>
        <w:t xml:space="preserve"> конвенции и морско</w:t>
      </w:r>
      <w:r w:rsidR="0018632B" w:rsidRPr="00610B1B">
        <w:rPr>
          <w:rFonts w:cs="Times New Roman"/>
          <w:iCs/>
          <w:color w:val="000000" w:themeColor="text1"/>
        </w:rPr>
        <w:t>то</w:t>
      </w:r>
      <w:r w:rsidRPr="00610B1B">
        <w:rPr>
          <w:rFonts w:cs="Times New Roman"/>
          <w:iCs/>
          <w:color w:val="000000" w:themeColor="text1"/>
        </w:rPr>
        <w:t xml:space="preserve"> право, на действащата в страната нормативна уредба и прилагане на принципите на функционалното зониране</w:t>
      </w:r>
      <w:r w:rsidR="00CE1E29" w:rsidRPr="00610B1B">
        <w:rPr>
          <w:rFonts w:cs="Times New Roman"/>
          <w:iCs/>
          <w:color w:val="000000" w:themeColor="text1"/>
        </w:rPr>
        <w:t xml:space="preserve"> за безконфликтното им интегриране в морските пространства. </w:t>
      </w:r>
    </w:p>
    <w:p w14:paraId="16DD08DF" w14:textId="64BAFFF9" w:rsidR="001430C2" w:rsidRPr="00610B1B" w:rsidRDefault="00CE1E29" w:rsidP="00A50A50">
      <w:pPr>
        <w:pStyle w:val="BodyText"/>
        <w:spacing w:before="0" w:after="120" w:line="276" w:lineRule="auto"/>
        <w:rPr>
          <w:rFonts w:cs="Times New Roman"/>
          <w:iCs/>
          <w:color w:val="000000" w:themeColor="text1"/>
        </w:rPr>
      </w:pPr>
      <w:r w:rsidRPr="00610B1B">
        <w:rPr>
          <w:rFonts w:cs="Times New Roman"/>
          <w:iCs/>
          <w:color w:val="000000" w:themeColor="text1"/>
        </w:rPr>
        <w:t xml:space="preserve">За по-прецизното функционално зониране се препоръчват две зони за по-детайлна разработка, които да обхващат морските пространства с най-голяма концентрация на дейности, генериращи най-много потенциали конфликти и въздействия – около Варненски и Бургаски залив. В същото време, тъй като страната няма изготвена концепция или схема за Интегрирано управление на крайбрежни зони, се предлага съвместяването на функциите по дължина на бреговата линия да се осъществява на база детайлна схема в зоната от 3 морски мили на прилежащата на брега акватория. </w:t>
      </w:r>
    </w:p>
    <w:p w14:paraId="10D7744A" w14:textId="77777777" w:rsidR="000B7E9C" w:rsidRPr="00610B1B" w:rsidRDefault="000B7E9C" w:rsidP="00D32D6A">
      <w:pPr>
        <w:pStyle w:val="BodyText"/>
        <w:spacing w:before="0" w:after="120" w:line="276" w:lineRule="auto"/>
        <w:rPr>
          <w:rFonts w:cs="Times New Roman"/>
          <w:iCs/>
          <w:color w:val="000000" w:themeColor="text1"/>
        </w:rPr>
      </w:pPr>
    </w:p>
    <w:p w14:paraId="49D307C4" w14:textId="77777777" w:rsidR="000B7E9C" w:rsidRPr="00610B1B" w:rsidRDefault="000B7E9C" w:rsidP="00D32D6A">
      <w:pPr>
        <w:pStyle w:val="BodyText"/>
        <w:spacing w:before="0" w:after="120" w:line="276" w:lineRule="auto"/>
        <w:rPr>
          <w:rFonts w:cs="Times New Roman"/>
          <w:iCs/>
          <w:color w:val="000000" w:themeColor="text1"/>
        </w:rPr>
      </w:pPr>
    </w:p>
    <w:bookmarkEnd w:id="486"/>
    <w:p w14:paraId="78EE6A07" w14:textId="155184C4" w:rsidR="00622D3E" w:rsidRPr="00610B1B" w:rsidRDefault="00622D3E" w:rsidP="00D32D6A">
      <w:pPr>
        <w:spacing w:after="120"/>
        <w:rPr>
          <w:rFonts w:ascii="Times New Roman" w:hAnsi="Times New Roman" w:cs="Times New Roman"/>
          <w:color w:val="000000"/>
          <w:sz w:val="24"/>
          <w:szCs w:val="24"/>
          <w:lang w:val="bg-BG"/>
        </w:rPr>
      </w:pPr>
      <w:r w:rsidRPr="00610B1B">
        <w:rPr>
          <w:rFonts w:ascii="Times New Roman" w:hAnsi="Times New Roman" w:cs="Times New Roman"/>
          <w:lang w:val="bg-BG"/>
        </w:rPr>
        <w:br w:type="page"/>
      </w:r>
    </w:p>
    <w:p w14:paraId="790C5698" w14:textId="6804E6EE" w:rsidR="00C71E82" w:rsidRPr="00610B1B" w:rsidRDefault="00F37D59" w:rsidP="00D32D6A">
      <w:pPr>
        <w:pStyle w:val="Heading1"/>
        <w:spacing w:before="0" w:line="276" w:lineRule="auto"/>
        <w:rPr>
          <w:rFonts w:cs="Times New Roman"/>
        </w:rPr>
      </w:pPr>
      <w:bookmarkStart w:id="495" w:name="_Toc83391438"/>
      <w:bookmarkStart w:id="496" w:name="_Hlk47797136"/>
      <w:bookmarkStart w:id="497" w:name="_Hlk46100162"/>
      <w:bookmarkEnd w:id="494"/>
      <w:r w:rsidRPr="00610B1B">
        <w:rPr>
          <w:rFonts w:cs="Times New Roman"/>
        </w:rPr>
        <w:lastRenderedPageBreak/>
        <w:t xml:space="preserve">7. </w:t>
      </w:r>
      <w:r w:rsidR="00C71E82" w:rsidRPr="00610B1B">
        <w:rPr>
          <w:rFonts w:cs="Times New Roman"/>
        </w:rPr>
        <w:t>ПРИЛАГАНЕ НА ПЛАНА И ОЦЕНКА НА РЕЗУЛТАТИТЕ</w:t>
      </w:r>
      <w:bookmarkEnd w:id="495"/>
      <w:r w:rsidR="005D1FF6" w:rsidRPr="00610B1B">
        <w:rPr>
          <w:rFonts w:cs="Times New Roman"/>
        </w:rPr>
        <w:t xml:space="preserve"> </w:t>
      </w:r>
    </w:p>
    <w:p w14:paraId="69630ABD" w14:textId="4D75B9FD" w:rsidR="0059309D" w:rsidRPr="00610B1B" w:rsidRDefault="00F37D59" w:rsidP="00D32D6A">
      <w:pPr>
        <w:pStyle w:val="Heading2"/>
        <w:keepLines/>
        <w:tabs>
          <w:tab w:val="left" w:pos="3600"/>
        </w:tabs>
        <w:spacing w:before="0" w:line="276" w:lineRule="auto"/>
        <w:ind w:left="578" w:right="-153" w:hanging="578"/>
        <w:rPr>
          <w:rFonts w:cs="Times New Roman"/>
        </w:rPr>
      </w:pPr>
      <w:bookmarkStart w:id="498" w:name="_Toc83391439"/>
      <w:r w:rsidRPr="00610B1B">
        <w:rPr>
          <w:rFonts w:cs="Times New Roman"/>
        </w:rPr>
        <w:t xml:space="preserve">7.1. </w:t>
      </w:r>
      <w:r w:rsidR="0059309D" w:rsidRPr="00610B1B">
        <w:rPr>
          <w:rFonts w:cs="Times New Roman"/>
        </w:rPr>
        <w:t>Отговорности, роля на държавните и регионални</w:t>
      </w:r>
      <w:r w:rsidR="00B0133C" w:rsidRPr="00610B1B">
        <w:rPr>
          <w:rFonts w:cs="Times New Roman"/>
        </w:rPr>
        <w:t xml:space="preserve"> </w:t>
      </w:r>
      <w:r w:rsidR="00B0139B" w:rsidRPr="00610B1B">
        <w:rPr>
          <w:rFonts w:cs="Times New Roman"/>
        </w:rPr>
        <w:t>и</w:t>
      </w:r>
      <w:r w:rsidR="0059309D" w:rsidRPr="00610B1B">
        <w:rPr>
          <w:rFonts w:cs="Times New Roman"/>
        </w:rPr>
        <w:t>нституции, местните власти и общности</w:t>
      </w:r>
      <w:bookmarkEnd w:id="498"/>
    </w:p>
    <w:p w14:paraId="386CFE25" w14:textId="38C7F827" w:rsidR="00C24484" w:rsidRPr="00610B1B" w:rsidRDefault="00714646" w:rsidP="00D32D6A">
      <w:pPr>
        <w:pStyle w:val="BodyText"/>
        <w:spacing w:before="0" w:after="120" w:line="276" w:lineRule="auto"/>
        <w:rPr>
          <w:rFonts w:cs="Times New Roman"/>
        </w:rPr>
      </w:pPr>
      <w:r w:rsidRPr="00610B1B">
        <w:rPr>
          <w:rFonts w:cs="Times New Roman"/>
        </w:rPr>
        <w:t>Основните институции, ангажирани с въ</w:t>
      </w:r>
      <w:r w:rsidR="00210FAA" w:rsidRPr="00610B1B">
        <w:rPr>
          <w:rFonts w:cs="Times New Roman"/>
        </w:rPr>
        <w:t>з</w:t>
      </w:r>
      <w:r w:rsidRPr="00610B1B">
        <w:rPr>
          <w:rFonts w:cs="Times New Roman"/>
        </w:rPr>
        <w:t xml:space="preserve">лагането, разработването, актуализирането, прилагането на плана и оценката на напредъка и въздействията, изграждат институционалната рамка </w:t>
      </w:r>
      <w:r w:rsidR="00A959A4" w:rsidRPr="00610B1B">
        <w:rPr>
          <w:rFonts w:cs="Times New Roman"/>
        </w:rPr>
        <w:t>н</w:t>
      </w:r>
      <w:r w:rsidRPr="00610B1B">
        <w:rPr>
          <w:rFonts w:cs="Times New Roman"/>
        </w:rPr>
        <w:t>а Морския пространствен план на Република България, опи</w:t>
      </w:r>
      <w:r w:rsidR="00EE0185" w:rsidRPr="00610B1B">
        <w:rPr>
          <w:rFonts w:cs="Times New Roman"/>
        </w:rPr>
        <w:t>сана във въвеждащата част 1.1.2,</w:t>
      </w:r>
      <w:r w:rsidRPr="00610B1B">
        <w:rPr>
          <w:rFonts w:cs="Times New Roman"/>
        </w:rPr>
        <w:t xml:space="preserve"> илюстрира сложната институционална рамка и различните връзки и взаимодействия, необходими за успешното постигане на поставените стратегически цели на плана. </w:t>
      </w:r>
    </w:p>
    <w:p w14:paraId="200BA910" w14:textId="20FF85EB" w:rsidR="00415B20" w:rsidRPr="00610B1B" w:rsidRDefault="00714646" w:rsidP="00D32D6A">
      <w:pPr>
        <w:pStyle w:val="BodyText"/>
        <w:spacing w:before="0" w:after="120" w:line="276" w:lineRule="auto"/>
        <w:rPr>
          <w:rFonts w:cs="Times New Roman"/>
        </w:rPr>
      </w:pPr>
      <w:r w:rsidRPr="00610B1B">
        <w:rPr>
          <w:rFonts w:cs="Times New Roman"/>
        </w:rPr>
        <w:t>Законът за морските пространства, вътрешните водни пътища и пристанищата на Република България не регламентира подробно всички отговорности</w:t>
      </w:r>
      <w:r w:rsidR="00B37E06" w:rsidRPr="00610B1B">
        <w:rPr>
          <w:rFonts w:cs="Times New Roman"/>
        </w:rPr>
        <w:t xml:space="preserve"> и на този етап липсва аналогична Наредба по подобие на тази към Морската стратегия</w:t>
      </w:r>
      <w:r w:rsidR="00415B20" w:rsidRPr="00610B1B">
        <w:rPr>
          <w:rStyle w:val="FootnoteReference"/>
          <w:rFonts w:cs="Times New Roman"/>
        </w:rPr>
        <w:footnoteReference w:id="201"/>
      </w:r>
      <w:r w:rsidR="00415B20" w:rsidRPr="00610B1B">
        <w:rPr>
          <w:rFonts w:cs="Times New Roman"/>
        </w:rPr>
        <w:t xml:space="preserve">. Последната има за цел да съгласува различните политики, споразумения и законодателни мерки, чието въздействие е насочено </w:t>
      </w:r>
      <w:r w:rsidR="00A959A4" w:rsidRPr="00610B1B">
        <w:rPr>
          <w:rFonts w:cs="Times New Roman"/>
        </w:rPr>
        <w:t>към</w:t>
      </w:r>
      <w:r w:rsidR="00415B20" w:rsidRPr="00610B1B">
        <w:rPr>
          <w:rFonts w:cs="Times New Roman"/>
        </w:rPr>
        <w:t xml:space="preserve"> морската околна среда и в които се включва опазването на отделните</w:t>
      </w:r>
      <w:r w:rsidR="00DE3A13" w:rsidRPr="00610B1B">
        <w:rPr>
          <w:rFonts w:cs="Times New Roman"/>
        </w:rPr>
        <w:t xml:space="preserve"> ѝ </w:t>
      </w:r>
      <w:r w:rsidR="00415B20" w:rsidRPr="00610B1B">
        <w:rPr>
          <w:rFonts w:cs="Times New Roman"/>
        </w:rPr>
        <w:t xml:space="preserve">компоненти. </w:t>
      </w:r>
    </w:p>
    <w:p w14:paraId="5174A0AD" w14:textId="22FD76C5" w:rsidR="00DA00DC" w:rsidRPr="00610B1B" w:rsidRDefault="00DA00DC" w:rsidP="00D32D6A">
      <w:pPr>
        <w:pStyle w:val="BodyText"/>
        <w:spacing w:before="0" w:after="120" w:line="276" w:lineRule="auto"/>
        <w:rPr>
          <w:rFonts w:cs="Times New Roman"/>
        </w:rPr>
      </w:pPr>
      <w:r w:rsidRPr="00610B1B">
        <w:rPr>
          <w:rFonts w:cs="Times New Roman"/>
        </w:rPr>
        <w:t xml:space="preserve">Компетентните органи по </w:t>
      </w:r>
      <w:r w:rsidR="00B37E06" w:rsidRPr="00610B1B">
        <w:rPr>
          <w:rFonts w:cs="Times New Roman"/>
        </w:rPr>
        <w:t xml:space="preserve">прилагането на </w:t>
      </w:r>
      <w:r w:rsidR="00415B20" w:rsidRPr="00610B1B">
        <w:rPr>
          <w:rFonts w:cs="Times New Roman"/>
        </w:rPr>
        <w:t>Морския пространствен план на Република България</w:t>
      </w:r>
      <w:r w:rsidR="00216DEF" w:rsidRPr="00610B1B">
        <w:rPr>
          <w:rFonts w:cs="Times New Roman"/>
        </w:rPr>
        <w:t>,</w:t>
      </w:r>
      <w:r w:rsidR="00B37E06" w:rsidRPr="00610B1B">
        <w:rPr>
          <w:rFonts w:cs="Times New Roman"/>
        </w:rPr>
        <w:t xml:space="preserve"> наблюдението на изпълнението на предложените мерки за опазване на околната среда в морските води</w:t>
      </w:r>
      <w:r w:rsidR="00415B20" w:rsidRPr="00610B1B">
        <w:rPr>
          <w:rFonts w:cs="Times New Roman"/>
        </w:rPr>
        <w:t xml:space="preserve"> и координирането на секторните политики са </w:t>
      </w:r>
      <w:r w:rsidRPr="00610B1B">
        <w:rPr>
          <w:rFonts w:cs="Times New Roman"/>
        </w:rPr>
        <w:t>Министерският съвет, министърът на регионалното развитие и благоустройството, министърът на околната среда и водите, министърът на транспорта и съобщенията, министърът на земеделието, министърът на културата, министърът на отбраната, министр</w:t>
      </w:r>
      <w:r w:rsidR="00110503" w:rsidRPr="00610B1B">
        <w:rPr>
          <w:rFonts w:cs="Times New Roman"/>
        </w:rPr>
        <w:t xml:space="preserve">ите </w:t>
      </w:r>
      <w:r w:rsidRPr="00610B1B">
        <w:rPr>
          <w:rFonts w:cs="Times New Roman"/>
        </w:rPr>
        <w:t>на вътрешните и на външните работи, министърът на икономиката, министърът на туризма, министърът на здравеопазването, директор</w:t>
      </w:r>
      <w:r w:rsidR="00A959A4" w:rsidRPr="00610B1B">
        <w:rPr>
          <w:rFonts w:cs="Times New Roman"/>
        </w:rPr>
        <w:t>ите</w:t>
      </w:r>
      <w:r w:rsidRPr="00610B1B">
        <w:rPr>
          <w:rFonts w:cs="Times New Roman"/>
        </w:rPr>
        <w:t xml:space="preserve"> на Басейнова дирекция за Черноморския район</w:t>
      </w:r>
      <w:r w:rsidR="00216DEF" w:rsidRPr="00610B1B">
        <w:rPr>
          <w:rFonts w:cs="Times New Roman"/>
        </w:rPr>
        <w:t>, на ИА „Морска администрация“</w:t>
      </w:r>
      <w:r w:rsidR="00A959A4" w:rsidRPr="00610B1B">
        <w:rPr>
          <w:rFonts w:cs="Times New Roman"/>
        </w:rPr>
        <w:t>, на ДП „Пристан</w:t>
      </w:r>
      <w:r w:rsidR="00D50057" w:rsidRPr="00610B1B">
        <w:rPr>
          <w:rFonts w:cs="Times New Roman"/>
        </w:rPr>
        <w:t>и</w:t>
      </w:r>
      <w:r w:rsidR="00A959A4" w:rsidRPr="00610B1B">
        <w:rPr>
          <w:rFonts w:cs="Times New Roman"/>
        </w:rPr>
        <w:t>щна инфраструктура“</w:t>
      </w:r>
      <w:r w:rsidRPr="00610B1B">
        <w:rPr>
          <w:rFonts w:cs="Times New Roman"/>
        </w:rPr>
        <w:t xml:space="preserve"> </w:t>
      </w:r>
      <w:r w:rsidR="00A959A4" w:rsidRPr="00610B1B">
        <w:rPr>
          <w:rFonts w:cs="Times New Roman"/>
        </w:rPr>
        <w:t xml:space="preserve">и на ИА „Рибарство и аквакултури“ </w:t>
      </w:r>
      <w:r w:rsidRPr="00610B1B">
        <w:rPr>
          <w:rFonts w:cs="Times New Roman"/>
        </w:rPr>
        <w:t xml:space="preserve">или оправомощени от тях длъжностни лица. </w:t>
      </w:r>
    </w:p>
    <w:p w14:paraId="6468184B" w14:textId="70E61555" w:rsidR="00001D34" w:rsidRPr="00610B1B" w:rsidRDefault="00DA00DC" w:rsidP="00D32D6A">
      <w:pPr>
        <w:pStyle w:val="BodyText"/>
        <w:spacing w:before="0" w:after="120" w:line="276" w:lineRule="auto"/>
        <w:rPr>
          <w:rFonts w:cs="Times New Roman"/>
        </w:rPr>
      </w:pPr>
      <w:r w:rsidRPr="00610B1B">
        <w:rPr>
          <w:rFonts w:cs="Times New Roman"/>
        </w:rPr>
        <w:t>Техните правомощия и ангажименти</w:t>
      </w:r>
      <w:r w:rsidR="00EE0185" w:rsidRPr="00610B1B">
        <w:rPr>
          <w:rFonts w:cs="Times New Roman"/>
        </w:rPr>
        <w:t>, свързани с морското пространствено планиране,</w:t>
      </w:r>
      <w:r w:rsidRPr="00610B1B">
        <w:rPr>
          <w:rFonts w:cs="Times New Roman"/>
        </w:rPr>
        <w:t xml:space="preserve"> са систематизирани от действащите зако</w:t>
      </w:r>
      <w:r w:rsidR="00C416DC" w:rsidRPr="00610B1B">
        <w:rPr>
          <w:rFonts w:cs="Times New Roman"/>
        </w:rPr>
        <w:t>н</w:t>
      </w:r>
      <w:r w:rsidRPr="00610B1B">
        <w:rPr>
          <w:rFonts w:cs="Times New Roman"/>
        </w:rPr>
        <w:t xml:space="preserve">ови и подзаконови актове и съответните устройствени </w:t>
      </w:r>
      <w:r w:rsidR="00EE0185" w:rsidRPr="00610B1B">
        <w:rPr>
          <w:rFonts w:cs="Times New Roman"/>
        </w:rPr>
        <w:t>правилници в следващата таблица. В нея не е включен най-важният ангажимент на институциите по прилагането на Морския пространствен план на Република България</w:t>
      </w:r>
      <w:r w:rsidR="00D66FE0" w:rsidRPr="00610B1B">
        <w:rPr>
          <w:rFonts w:cs="Times New Roman"/>
        </w:rPr>
        <w:t xml:space="preserve"> </w:t>
      </w:r>
      <w:r w:rsidR="00EE0185" w:rsidRPr="00610B1B">
        <w:rPr>
          <w:rFonts w:cs="Times New Roman"/>
        </w:rPr>
        <w:t xml:space="preserve">2021-2035 г., което е свързано с начините на събирането и актуализирането на необходимата информация, което ще трябва да се регламентира с акт на Министерски съвет. </w:t>
      </w:r>
    </w:p>
    <w:p w14:paraId="6F410058" w14:textId="77777777" w:rsidR="00001D34" w:rsidRPr="00610B1B" w:rsidRDefault="00001D34" w:rsidP="00D32D6A">
      <w:pPr>
        <w:spacing w:after="120"/>
        <w:rPr>
          <w:rFonts w:ascii="Times New Roman" w:hAnsi="Times New Roman" w:cs="Times New Roman"/>
          <w:lang w:val="bg-BG"/>
        </w:rPr>
      </w:pPr>
      <w:r w:rsidRPr="00610B1B">
        <w:rPr>
          <w:rFonts w:ascii="Times New Roman" w:hAnsi="Times New Roman" w:cs="Times New Roman"/>
          <w:lang w:val="bg-BG"/>
        </w:rPr>
        <w:br w:type="page"/>
      </w:r>
    </w:p>
    <w:p w14:paraId="6EA7E121" w14:textId="77777777" w:rsidR="00001D34" w:rsidRPr="00610B1B" w:rsidRDefault="00001D34" w:rsidP="00D32D6A">
      <w:pPr>
        <w:spacing w:after="120"/>
        <w:rPr>
          <w:rFonts w:ascii="Times New Roman" w:hAnsi="Times New Roman" w:cs="Times New Roman"/>
          <w:lang w:val="bg-BG"/>
        </w:rPr>
        <w:sectPr w:rsidR="00001D34" w:rsidRPr="00610B1B" w:rsidSect="00DA01CC">
          <w:headerReference w:type="default" r:id="rId63"/>
          <w:footerReference w:type="default" r:id="rId64"/>
          <w:pgSz w:w="11907" w:h="16839" w:code="9"/>
          <w:pgMar w:top="1134" w:right="1440" w:bottom="1440" w:left="1440" w:header="708" w:footer="708" w:gutter="0"/>
          <w:pgNumType w:start="1"/>
          <w:cols w:space="708"/>
          <w:docGrid w:linePitch="360"/>
        </w:sectPr>
      </w:pPr>
    </w:p>
    <w:p w14:paraId="514ADA82" w14:textId="174047B2" w:rsidR="00415B20" w:rsidRPr="00610B1B" w:rsidRDefault="00C519AD" w:rsidP="00566CC3">
      <w:pPr>
        <w:pStyle w:val="BodyText"/>
        <w:spacing w:before="0" w:after="120" w:line="240" w:lineRule="auto"/>
        <w:rPr>
          <w:rFonts w:cs="Times New Roman"/>
        </w:rPr>
      </w:pPr>
      <w:bookmarkStart w:id="499" w:name="_Toc83391613"/>
      <w:r w:rsidRPr="00610B1B">
        <w:rPr>
          <w:rFonts w:cs="Times New Roman"/>
        </w:rPr>
        <w:lastRenderedPageBreak/>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17</w:t>
      </w:r>
      <w:r w:rsidRPr="00610B1B">
        <w:rPr>
          <w:rFonts w:cs="Times New Roman"/>
        </w:rPr>
        <w:fldChar w:fldCharType="end"/>
      </w:r>
      <w:r w:rsidRPr="00610B1B">
        <w:rPr>
          <w:rFonts w:cs="Times New Roman"/>
        </w:rPr>
        <w:t>: Отговорности на компетентните органи по прилагането на Морския пространствен план на Република България</w:t>
      </w:r>
      <w:bookmarkEnd w:id="499"/>
    </w:p>
    <w:tbl>
      <w:tblPr>
        <w:tblStyle w:val="TableGrid"/>
        <w:tblW w:w="10065" w:type="dxa"/>
        <w:tblInd w:w="-426"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126"/>
        <w:gridCol w:w="4396"/>
        <w:gridCol w:w="3543"/>
      </w:tblGrid>
      <w:tr w:rsidR="00760598" w:rsidRPr="00610B1B" w14:paraId="5B8C1B7A" w14:textId="77777777" w:rsidTr="003D7D4A">
        <w:trPr>
          <w:tblHeader/>
        </w:trPr>
        <w:tc>
          <w:tcPr>
            <w:tcW w:w="2126" w:type="dxa"/>
            <w:shd w:val="clear" w:color="auto" w:fill="72DBE0"/>
            <w:vAlign w:val="center"/>
          </w:tcPr>
          <w:p w14:paraId="798007FA" w14:textId="77777777" w:rsidR="00210FAA" w:rsidRPr="00610B1B" w:rsidRDefault="00210FAA" w:rsidP="009D32BB">
            <w:pPr>
              <w:pStyle w:val="BodyText"/>
              <w:spacing w:before="0" w:after="0" w:line="240" w:lineRule="auto"/>
              <w:jc w:val="center"/>
              <w:rPr>
                <w:rFonts w:cs="Times New Roman"/>
                <w:b/>
                <w:bCs/>
                <w:color w:val="0F243E" w:themeColor="text2" w:themeShade="80"/>
                <w:sz w:val="22"/>
                <w:szCs w:val="22"/>
              </w:rPr>
            </w:pPr>
            <w:r w:rsidRPr="00610B1B">
              <w:rPr>
                <w:rFonts w:cs="Times New Roman"/>
                <w:b/>
                <w:bCs/>
                <w:color w:val="0F243E" w:themeColor="text2" w:themeShade="80"/>
                <w:sz w:val="22"/>
                <w:szCs w:val="22"/>
              </w:rPr>
              <w:t>Институция</w:t>
            </w:r>
          </w:p>
        </w:tc>
        <w:tc>
          <w:tcPr>
            <w:tcW w:w="4396" w:type="dxa"/>
            <w:shd w:val="clear" w:color="auto" w:fill="72DBE0"/>
          </w:tcPr>
          <w:p w14:paraId="19F79D62" w14:textId="6E182B0C" w:rsidR="00210FAA" w:rsidRPr="00610B1B" w:rsidRDefault="00210FAA" w:rsidP="00D32D6A">
            <w:pPr>
              <w:pStyle w:val="BodyText"/>
              <w:spacing w:before="0" w:after="0" w:line="240" w:lineRule="auto"/>
              <w:jc w:val="center"/>
              <w:rPr>
                <w:rFonts w:cs="Times New Roman"/>
                <w:b/>
                <w:bCs/>
                <w:color w:val="0F243E" w:themeColor="text2" w:themeShade="80"/>
                <w:sz w:val="22"/>
                <w:szCs w:val="22"/>
              </w:rPr>
            </w:pPr>
            <w:r w:rsidRPr="00610B1B">
              <w:rPr>
                <w:rFonts w:cs="Times New Roman"/>
                <w:b/>
                <w:bCs/>
                <w:color w:val="0F243E" w:themeColor="text2" w:themeShade="80"/>
                <w:sz w:val="22"/>
                <w:szCs w:val="22"/>
              </w:rPr>
              <w:t>Отговорности</w:t>
            </w:r>
          </w:p>
        </w:tc>
        <w:tc>
          <w:tcPr>
            <w:tcW w:w="3543" w:type="dxa"/>
            <w:shd w:val="clear" w:color="auto" w:fill="72DBE0"/>
          </w:tcPr>
          <w:p w14:paraId="4B5D7631" w14:textId="77777777" w:rsidR="00210FAA" w:rsidRPr="00610B1B" w:rsidRDefault="00210FAA" w:rsidP="00D32D6A">
            <w:pPr>
              <w:pStyle w:val="BodyText"/>
              <w:spacing w:before="0" w:after="0" w:line="240" w:lineRule="auto"/>
              <w:jc w:val="center"/>
              <w:rPr>
                <w:rFonts w:cs="Times New Roman"/>
                <w:b/>
                <w:bCs/>
                <w:color w:val="0F243E" w:themeColor="text2" w:themeShade="80"/>
                <w:sz w:val="22"/>
                <w:szCs w:val="22"/>
              </w:rPr>
            </w:pPr>
            <w:r w:rsidRPr="00610B1B">
              <w:rPr>
                <w:rFonts w:cs="Times New Roman"/>
                <w:b/>
                <w:bCs/>
                <w:color w:val="0F243E" w:themeColor="text2" w:themeShade="80"/>
                <w:sz w:val="22"/>
                <w:szCs w:val="22"/>
              </w:rPr>
              <w:t>Основание</w:t>
            </w:r>
          </w:p>
        </w:tc>
      </w:tr>
      <w:tr w:rsidR="007A436D" w:rsidRPr="00610B1B" w14:paraId="301029C4" w14:textId="77777777" w:rsidTr="009D32BB">
        <w:tc>
          <w:tcPr>
            <w:tcW w:w="10065" w:type="dxa"/>
            <w:gridSpan w:val="3"/>
            <w:shd w:val="clear" w:color="auto" w:fill="B8CCE4" w:themeFill="accent1" w:themeFillTint="66"/>
            <w:vAlign w:val="center"/>
          </w:tcPr>
          <w:p w14:paraId="7ED442B6" w14:textId="69772AE3" w:rsidR="007A436D" w:rsidRPr="00610B1B" w:rsidRDefault="007A436D" w:rsidP="009D32BB">
            <w:pPr>
              <w:pStyle w:val="BodyText"/>
              <w:spacing w:before="0" w:after="0" w:line="240" w:lineRule="auto"/>
              <w:jc w:val="center"/>
              <w:rPr>
                <w:rFonts w:cs="Times New Roman"/>
                <w:sz w:val="20"/>
                <w:szCs w:val="20"/>
              </w:rPr>
            </w:pPr>
            <w:r w:rsidRPr="00610B1B">
              <w:rPr>
                <w:rFonts w:cs="Times New Roman"/>
                <w:b/>
                <w:bCs/>
                <w:sz w:val="20"/>
                <w:szCs w:val="20"/>
              </w:rPr>
              <w:t>Национално ниво</w:t>
            </w:r>
          </w:p>
        </w:tc>
      </w:tr>
      <w:tr w:rsidR="00D41A32" w:rsidRPr="00C717D0" w14:paraId="29526497" w14:textId="77777777" w:rsidTr="009D32BB">
        <w:tc>
          <w:tcPr>
            <w:tcW w:w="2126" w:type="dxa"/>
            <w:vMerge w:val="restart"/>
            <w:vAlign w:val="center"/>
          </w:tcPr>
          <w:p w14:paraId="05C5F4EA" w14:textId="448E256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Министерски съвет</w:t>
            </w:r>
          </w:p>
        </w:tc>
        <w:tc>
          <w:tcPr>
            <w:tcW w:w="4396" w:type="dxa"/>
          </w:tcPr>
          <w:p w14:paraId="16516005" w14:textId="6C8B8EC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Одобрява Морския пространствен план на Република България и неговите изменения по доклад на Министъра на регионалното развитие и благоустройството</w:t>
            </w:r>
          </w:p>
        </w:tc>
        <w:tc>
          <w:tcPr>
            <w:tcW w:w="3543" w:type="dxa"/>
          </w:tcPr>
          <w:p w14:paraId="4ADD5D55" w14:textId="387024EF" w:rsidR="00D41A32" w:rsidRPr="00610B1B" w:rsidRDefault="00D41A32" w:rsidP="00343A67">
            <w:pPr>
              <w:pStyle w:val="BodyText"/>
              <w:spacing w:before="0" w:after="0" w:line="240" w:lineRule="auto"/>
              <w:jc w:val="left"/>
              <w:rPr>
                <w:rFonts w:cs="Times New Roman"/>
                <w:sz w:val="20"/>
                <w:szCs w:val="20"/>
              </w:rPr>
            </w:pPr>
            <w:r w:rsidRPr="00610B1B">
              <w:rPr>
                <w:rFonts w:cs="Times New Roman"/>
                <w:sz w:val="20"/>
                <w:szCs w:val="20"/>
              </w:rPr>
              <w:t>ЗМПВВППРБ, обн. ДВ бр. 12/11.02.2000 г., изм</w:t>
            </w:r>
            <w:r w:rsidR="00343A67" w:rsidRPr="00610B1B">
              <w:rPr>
                <w:rFonts w:cs="Times New Roman"/>
                <w:sz w:val="20"/>
                <w:szCs w:val="20"/>
              </w:rPr>
              <w:t>.</w:t>
            </w:r>
            <w:r w:rsidRPr="00610B1B">
              <w:rPr>
                <w:rFonts w:cs="Times New Roman"/>
                <w:sz w:val="20"/>
                <w:szCs w:val="20"/>
              </w:rPr>
              <w:t xml:space="preserve"> ДВ бр. </w:t>
            </w:r>
            <w:r w:rsidR="00343A67" w:rsidRPr="00610B1B">
              <w:rPr>
                <w:rFonts w:cs="Times New Roman"/>
                <w:sz w:val="20"/>
                <w:szCs w:val="20"/>
              </w:rPr>
              <w:t>17/26.02.2021</w:t>
            </w:r>
            <w:r w:rsidRPr="00610B1B">
              <w:rPr>
                <w:rFonts w:cs="Times New Roman"/>
                <w:sz w:val="20"/>
                <w:szCs w:val="20"/>
              </w:rPr>
              <w:t xml:space="preserve"> г., чл. 51е, ал. 1</w:t>
            </w:r>
          </w:p>
        </w:tc>
      </w:tr>
      <w:tr w:rsidR="00D41A32" w:rsidRPr="00610B1B" w14:paraId="77F938E7" w14:textId="77777777" w:rsidTr="009D32BB">
        <w:tc>
          <w:tcPr>
            <w:tcW w:w="2126" w:type="dxa"/>
            <w:vMerge/>
            <w:vAlign w:val="center"/>
          </w:tcPr>
          <w:p w14:paraId="1154DA0B"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F3D8972" w14:textId="3A6BE0D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Приема Морската стратегия с Програма от мерки и техните актуализации по предложение на Министъра на околната среда и водите;</w:t>
            </w:r>
          </w:p>
        </w:tc>
        <w:tc>
          <w:tcPr>
            <w:tcW w:w="3543" w:type="dxa"/>
          </w:tcPr>
          <w:p w14:paraId="76CED61E" w14:textId="49ABCDC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Наредба за опазване на околната среда в морските води, обн. ДВ бр. 94/30.11.2010 г., изм. и доп. ДВ бр. 14/18.02.2020 г. </w:t>
            </w:r>
          </w:p>
        </w:tc>
      </w:tr>
      <w:tr w:rsidR="00D41A32" w:rsidRPr="00610B1B" w14:paraId="573C8EB0" w14:textId="77777777" w:rsidTr="009D32BB">
        <w:tc>
          <w:tcPr>
            <w:tcW w:w="2126" w:type="dxa"/>
            <w:vMerge/>
            <w:vAlign w:val="center"/>
          </w:tcPr>
          <w:p w14:paraId="54D1A889"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A3B6AF7" w14:textId="2FBAB36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Определя държавната политика за отрасъла водоснабдяване и канализация (ВиК) като част от водостопанската политика на страната и Националната стратегия за управление и развитие на водния сектор в Република България.</w:t>
            </w:r>
          </w:p>
        </w:tc>
        <w:tc>
          <w:tcPr>
            <w:tcW w:w="3543" w:type="dxa"/>
          </w:tcPr>
          <w:p w14:paraId="67B4DE79"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Чл. 10а ал. 1 от Закона за водите, </w:t>
            </w:r>
          </w:p>
          <w:p w14:paraId="24832C05" w14:textId="20C7B8A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Обн. ДВ. бр.67/27.07.1999 г., изм. ДВ бр. 52/09.06.2020 г.</w:t>
            </w:r>
          </w:p>
        </w:tc>
      </w:tr>
      <w:tr w:rsidR="00D41A32" w:rsidRPr="00610B1B" w14:paraId="6A5C3DDD" w14:textId="77777777" w:rsidTr="009D32BB">
        <w:tc>
          <w:tcPr>
            <w:tcW w:w="2126" w:type="dxa"/>
            <w:vMerge/>
            <w:vAlign w:val="center"/>
          </w:tcPr>
          <w:p w14:paraId="16463278"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E0AD7CC" w14:textId="0F80B350"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Приема Стратегия за развитие и управление на водоснабдяването и канализацията в Република България за период не по-малък от 10 години.</w:t>
            </w:r>
          </w:p>
        </w:tc>
        <w:tc>
          <w:tcPr>
            <w:tcW w:w="3543" w:type="dxa"/>
          </w:tcPr>
          <w:p w14:paraId="0A1E5AB4"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10а ал. 2 от Закона за водите,</w:t>
            </w:r>
          </w:p>
          <w:p w14:paraId="21057B69" w14:textId="498A526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 Обн. ДВ. бр.67/27.07.1999 г., изм. ДВ бр. 52/09.06.2020 г.</w:t>
            </w:r>
          </w:p>
        </w:tc>
      </w:tr>
      <w:tr w:rsidR="00D41A32" w:rsidRPr="00610B1B" w14:paraId="1B56A03A" w14:textId="77777777" w:rsidTr="009D32BB">
        <w:tc>
          <w:tcPr>
            <w:tcW w:w="2126" w:type="dxa"/>
            <w:vMerge/>
            <w:vAlign w:val="center"/>
          </w:tcPr>
          <w:p w14:paraId="4B2DB97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4304440" w14:textId="5A43A0B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Приема Национална стратегия за адаптация към изменението на климата и План за действие по доклад на Министъра на околната среда и водите</w:t>
            </w:r>
          </w:p>
        </w:tc>
        <w:tc>
          <w:tcPr>
            <w:tcW w:w="3543" w:type="dxa"/>
          </w:tcPr>
          <w:p w14:paraId="3AB70C10" w14:textId="577C455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Чл.9 ал. 3 от Закона за ограничаване изменението на климата, обн. ДВ. бр. 22/11.03.2014, изм. и доп. ДВ бр. 25/20.03.2020 г. </w:t>
            </w:r>
          </w:p>
        </w:tc>
      </w:tr>
      <w:tr w:rsidR="00D41A32" w:rsidRPr="00610B1B" w14:paraId="1BAE51C5" w14:textId="77777777" w:rsidTr="009D32BB">
        <w:tc>
          <w:tcPr>
            <w:tcW w:w="2126" w:type="dxa"/>
            <w:vMerge/>
            <w:vAlign w:val="center"/>
          </w:tcPr>
          <w:p w14:paraId="3A92572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B25A851" w14:textId="72B987D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Издава разрешения за научни изследвания в континенталния шелф и ИИЗ на Р. България </w:t>
            </w:r>
          </w:p>
        </w:tc>
        <w:tc>
          <w:tcPr>
            <w:tcW w:w="3543" w:type="dxa"/>
          </w:tcPr>
          <w:p w14:paraId="0EB6F3A9" w14:textId="7F61ACBD" w:rsidR="00D41A32" w:rsidRPr="00610B1B" w:rsidRDefault="00D41A32" w:rsidP="00343A67">
            <w:pPr>
              <w:pStyle w:val="BodyText"/>
              <w:spacing w:before="0" w:after="0" w:line="240" w:lineRule="auto"/>
              <w:jc w:val="left"/>
              <w:rPr>
                <w:rFonts w:cs="Times New Roman"/>
                <w:sz w:val="20"/>
                <w:szCs w:val="20"/>
              </w:rPr>
            </w:pPr>
            <w:r w:rsidRPr="00610B1B">
              <w:rPr>
                <w:rFonts w:cs="Times New Roman"/>
                <w:sz w:val="20"/>
                <w:szCs w:val="20"/>
              </w:rPr>
              <w:t>ЗМПВВППРБ, обн. ДВ бр. 12/11.02.2000,</w:t>
            </w:r>
            <w:r w:rsidR="00D66FE0" w:rsidRPr="00610B1B">
              <w:rPr>
                <w:rFonts w:cs="Times New Roman"/>
                <w:sz w:val="20"/>
                <w:szCs w:val="20"/>
              </w:rPr>
              <w:t xml:space="preserve"> </w:t>
            </w:r>
            <w:r w:rsidRPr="00610B1B">
              <w:rPr>
                <w:rFonts w:cs="Times New Roman"/>
                <w:sz w:val="20"/>
                <w:szCs w:val="20"/>
              </w:rPr>
              <w:t xml:space="preserve">изм. </w:t>
            </w:r>
            <w:r w:rsidR="00343A67" w:rsidRPr="00610B1B">
              <w:rPr>
                <w:rFonts w:cs="Times New Roman"/>
                <w:sz w:val="20"/>
                <w:szCs w:val="20"/>
              </w:rPr>
              <w:t xml:space="preserve">ДВ </w:t>
            </w:r>
            <w:r w:rsidRPr="00610B1B">
              <w:rPr>
                <w:rFonts w:cs="Times New Roman"/>
                <w:sz w:val="20"/>
                <w:szCs w:val="20"/>
              </w:rPr>
              <w:t xml:space="preserve">бр. </w:t>
            </w:r>
            <w:r w:rsidR="00343A67" w:rsidRPr="00610B1B">
              <w:rPr>
                <w:rFonts w:cs="Times New Roman"/>
                <w:sz w:val="20"/>
                <w:szCs w:val="20"/>
              </w:rPr>
              <w:t xml:space="preserve">17/26.02.2021 г. </w:t>
            </w:r>
          </w:p>
        </w:tc>
      </w:tr>
      <w:tr w:rsidR="00D41A32" w:rsidRPr="00C717D0" w14:paraId="0A5D5F15" w14:textId="77777777" w:rsidTr="009D32BB">
        <w:tc>
          <w:tcPr>
            <w:tcW w:w="2126" w:type="dxa"/>
            <w:vMerge/>
            <w:vAlign w:val="center"/>
          </w:tcPr>
          <w:p w14:paraId="1312632E"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3739242" w14:textId="60D6D49B"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Издава разрешения за търсене и проучване и за проучване на нефт и/или природен газ или разрешение за търсене и проучване и за проучване на подземни богатства в континенталния шелф и в ИИЗ на Черно море по предложение на министъра на енергетиката.</w:t>
            </w:r>
          </w:p>
        </w:tc>
        <w:tc>
          <w:tcPr>
            <w:tcW w:w="3543" w:type="dxa"/>
          </w:tcPr>
          <w:p w14:paraId="43BED0CF" w14:textId="294C124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подземните богатства, обн. ДВ бр. 23/12.03.1999 г., доп. ДВ бр. 98/27.11.2018 г.</w:t>
            </w:r>
          </w:p>
        </w:tc>
      </w:tr>
      <w:tr w:rsidR="00D41A32" w:rsidRPr="00610B1B" w14:paraId="3EF20CBB" w14:textId="77777777" w:rsidTr="009D32BB">
        <w:tc>
          <w:tcPr>
            <w:tcW w:w="2126" w:type="dxa"/>
            <w:vMerge/>
            <w:vAlign w:val="center"/>
          </w:tcPr>
          <w:p w14:paraId="2CF967B8"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70CBBF5" w14:textId="4F40BE3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Приема планове за опазване и управление (ПОУ) на недвижими културни ценности (НКЦ).</w:t>
            </w:r>
          </w:p>
        </w:tc>
        <w:tc>
          <w:tcPr>
            <w:tcW w:w="3543" w:type="dxa"/>
          </w:tcPr>
          <w:p w14:paraId="3E939619" w14:textId="7F0F9B7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 12 ал.3</w:t>
            </w:r>
          </w:p>
        </w:tc>
      </w:tr>
      <w:tr w:rsidR="00D41A32" w:rsidRPr="00C717D0" w14:paraId="395681F4" w14:textId="77777777" w:rsidTr="009D32BB">
        <w:tc>
          <w:tcPr>
            <w:tcW w:w="2126" w:type="dxa"/>
            <w:vMerge/>
            <w:vAlign w:val="center"/>
          </w:tcPr>
          <w:p w14:paraId="623B8B7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21636F84" w14:textId="24F68FC3"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Приема наредба за ползването на повърхностните води</w:t>
            </w:r>
          </w:p>
        </w:tc>
        <w:tc>
          <w:tcPr>
            <w:tcW w:w="3543" w:type="dxa"/>
            <w:shd w:val="clear" w:color="auto" w:fill="auto"/>
          </w:tcPr>
          <w:p w14:paraId="7EB9CF66" w14:textId="20E6B8A4"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бр.67/27.07.1999 г., изм. ДВ бр. 52/09.06.2020 г., </w:t>
            </w:r>
            <w:r w:rsidR="003C41B4" w:rsidRPr="00610B1B">
              <w:rPr>
                <w:rFonts w:eastAsiaTheme="minorEastAsia" w:cs="Times New Roman"/>
                <w:bCs/>
                <w:sz w:val="20"/>
                <w:szCs w:val="20"/>
              </w:rPr>
              <w:t>чл.</w:t>
            </w:r>
            <w:r w:rsidRPr="00610B1B">
              <w:rPr>
                <w:rFonts w:eastAsiaTheme="minorEastAsia" w:cs="Times New Roman"/>
                <w:bCs/>
                <w:sz w:val="20"/>
                <w:szCs w:val="20"/>
              </w:rPr>
              <w:t xml:space="preserve"> 135, ал. 1, т. 1а</w:t>
            </w:r>
          </w:p>
        </w:tc>
      </w:tr>
      <w:tr w:rsidR="00D41A32" w:rsidRPr="00C717D0" w14:paraId="7DD360E5" w14:textId="77777777" w:rsidTr="009D32BB">
        <w:tc>
          <w:tcPr>
            <w:tcW w:w="2126" w:type="dxa"/>
            <w:vMerge/>
            <w:vAlign w:val="center"/>
          </w:tcPr>
          <w:p w14:paraId="0783162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4AF4A051" w14:textId="73145A9C"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Приема наредба за опазване на околната среда в морските води.</w:t>
            </w:r>
          </w:p>
        </w:tc>
        <w:tc>
          <w:tcPr>
            <w:tcW w:w="3543" w:type="dxa"/>
            <w:shd w:val="clear" w:color="auto" w:fill="auto"/>
          </w:tcPr>
          <w:p w14:paraId="25B72356" w14:textId="5CF54CE6"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бр.67/27.07.1999 г., изм. ДВ бр. 52/09.06.2020 г., </w:t>
            </w:r>
            <w:r w:rsidR="003C41B4" w:rsidRPr="00610B1B">
              <w:rPr>
                <w:rFonts w:eastAsiaTheme="minorEastAsia" w:cs="Times New Roman"/>
                <w:bCs/>
                <w:sz w:val="20"/>
                <w:szCs w:val="20"/>
              </w:rPr>
              <w:t>чл.</w:t>
            </w:r>
            <w:r w:rsidRPr="00610B1B">
              <w:rPr>
                <w:rFonts w:eastAsiaTheme="minorEastAsia" w:cs="Times New Roman"/>
                <w:bCs/>
                <w:sz w:val="20"/>
                <w:szCs w:val="20"/>
              </w:rPr>
              <w:t xml:space="preserve"> 135, ал. 1, т. 19</w:t>
            </w:r>
          </w:p>
        </w:tc>
      </w:tr>
      <w:tr w:rsidR="00D41A32" w:rsidRPr="00610B1B" w14:paraId="0CF31924" w14:textId="77777777" w:rsidTr="009D32BB">
        <w:tc>
          <w:tcPr>
            <w:tcW w:w="2126" w:type="dxa"/>
            <w:vMerge/>
            <w:vAlign w:val="center"/>
          </w:tcPr>
          <w:p w14:paraId="4DFE7F8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76EC8FD" w14:textId="622C4E7C"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Определя с наредба изискванията за предотвратяване на аварии при търсене, проучване и добив на подземни богатства в континенталния шелф и в ИИЗ на Р. България в Черно море.</w:t>
            </w:r>
          </w:p>
        </w:tc>
        <w:tc>
          <w:tcPr>
            <w:tcW w:w="3543" w:type="dxa"/>
            <w:shd w:val="clear" w:color="auto" w:fill="auto"/>
          </w:tcPr>
          <w:p w14:paraId="7AB81E09" w14:textId="77777777" w:rsidR="00D41A32" w:rsidRPr="00610B1B" w:rsidRDefault="00D41A32" w:rsidP="00D41A32">
            <w:pPr>
              <w:pStyle w:val="BodyText"/>
              <w:spacing w:before="0" w:after="0" w:line="240" w:lineRule="auto"/>
              <w:jc w:val="left"/>
              <w:rPr>
                <w:rFonts w:eastAsiaTheme="minorEastAsia" w:cs="Times New Roman"/>
                <w:bCs/>
                <w:sz w:val="20"/>
                <w:szCs w:val="20"/>
              </w:rPr>
            </w:pPr>
            <w:r w:rsidRPr="00610B1B">
              <w:rPr>
                <w:rFonts w:eastAsiaTheme="minorEastAsia" w:cs="Times New Roman"/>
                <w:bCs/>
                <w:sz w:val="20"/>
                <w:szCs w:val="20"/>
              </w:rPr>
              <w:t>Закон за подземните богатства,</w:t>
            </w:r>
          </w:p>
          <w:p w14:paraId="30216A2D" w14:textId="04654193"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Обн. ДВ бр.</w:t>
            </w:r>
            <w:r w:rsidRPr="00610B1B">
              <w:rPr>
                <w:rFonts w:cs="Times New Roman"/>
                <w:sz w:val="20"/>
                <w:szCs w:val="20"/>
              </w:rPr>
              <w:t xml:space="preserve">23/12.03.1999, доп. ДВ бр. No 98/27.11.2018, </w:t>
            </w:r>
            <w:r w:rsidRPr="00610B1B">
              <w:rPr>
                <w:rFonts w:eastAsiaTheme="minorEastAsia" w:cs="Times New Roman"/>
                <w:bCs/>
                <w:sz w:val="20"/>
                <w:szCs w:val="20"/>
              </w:rPr>
              <w:t>чл. 77а</w:t>
            </w:r>
          </w:p>
        </w:tc>
      </w:tr>
      <w:tr w:rsidR="00D41A32" w:rsidRPr="00C717D0" w14:paraId="59D5119E" w14:textId="77777777" w:rsidTr="009D32BB">
        <w:tc>
          <w:tcPr>
            <w:tcW w:w="2126" w:type="dxa"/>
            <w:vMerge/>
            <w:vAlign w:val="center"/>
          </w:tcPr>
          <w:p w14:paraId="4B23AF9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31397D5" w14:textId="438179E4"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Приема плановете за управление на речните басейни (ПУРБ) и плановете за управление на риска от наводнения (ПУРН) и национални програми за изпълнението им</w:t>
            </w:r>
          </w:p>
        </w:tc>
        <w:tc>
          <w:tcPr>
            <w:tcW w:w="3543" w:type="dxa"/>
            <w:shd w:val="clear" w:color="auto" w:fill="auto"/>
          </w:tcPr>
          <w:p w14:paraId="11B4A2C5" w14:textId="512D2CB0"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 67/27.07.1999 г., изм. ДВ бр. </w:t>
            </w:r>
            <w:r w:rsidRPr="00610B1B">
              <w:rPr>
                <w:rFonts w:cs="Times New Roman"/>
                <w:sz w:val="20"/>
                <w:szCs w:val="20"/>
              </w:rPr>
              <w:t xml:space="preserve">52/9.06.2020, </w:t>
            </w:r>
            <w:r w:rsidRPr="00610B1B">
              <w:rPr>
                <w:rFonts w:eastAsiaTheme="minorEastAsia" w:cs="Times New Roman"/>
                <w:bCs/>
                <w:sz w:val="20"/>
                <w:szCs w:val="20"/>
              </w:rPr>
              <w:t>чл. 151, ал. 1, (т. 1 к)</w:t>
            </w:r>
          </w:p>
        </w:tc>
      </w:tr>
      <w:tr w:rsidR="00D41A32" w:rsidRPr="00610B1B" w14:paraId="5D192F1E" w14:textId="77777777" w:rsidTr="009D32BB">
        <w:tc>
          <w:tcPr>
            <w:tcW w:w="2126" w:type="dxa"/>
            <w:vMerge w:val="restart"/>
            <w:vAlign w:val="center"/>
          </w:tcPr>
          <w:p w14:paraId="45E1B038" w14:textId="79B728A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регионалното развитие и благоустройството (МРРБ)</w:t>
            </w:r>
          </w:p>
        </w:tc>
        <w:tc>
          <w:tcPr>
            <w:tcW w:w="4396" w:type="dxa"/>
          </w:tcPr>
          <w:p w14:paraId="7E323646" w14:textId="6EF0D205"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Министърът или упълномощен от него зам. министър осъществява общото ръководство и координация на дейността по морско пространствено планиране</w:t>
            </w:r>
            <w:r w:rsidR="00D66FE0" w:rsidRPr="00610B1B">
              <w:rPr>
                <w:rFonts w:cs="Times New Roman"/>
                <w:sz w:val="20"/>
                <w:szCs w:val="20"/>
              </w:rPr>
              <w:t xml:space="preserve"> </w:t>
            </w:r>
            <w:r w:rsidRPr="00610B1B">
              <w:rPr>
                <w:rFonts w:cs="Times New Roman"/>
                <w:sz w:val="20"/>
                <w:szCs w:val="20"/>
              </w:rPr>
              <w:t>и отговаря за изработването и поддържането на МППРБ.</w:t>
            </w:r>
          </w:p>
        </w:tc>
        <w:tc>
          <w:tcPr>
            <w:tcW w:w="3543" w:type="dxa"/>
            <w:vMerge w:val="restart"/>
          </w:tcPr>
          <w:p w14:paraId="675904C7" w14:textId="0ED0FB4E" w:rsidR="00D41A32" w:rsidRPr="00610B1B" w:rsidRDefault="00D41A32" w:rsidP="00343A67">
            <w:pPr>
              <w:pStyle w:val="BodyText"/>
              <w:spacing w:before="0" w:after="0" w:line="240" w:lineRule="auto"/>
              <w:rPr>
                <w:rFonts w:cs="Times New Roman"/>
                <w:sz w:val="20"/>
                <w:szCs w:val="20"/>
              </w:rPr>
            </w:pPr>
            <w:r w:rsidRPr="00610B1B">
              <w:rPr>
                <w:rFonts w:cs="Times New Roman"/>
                <w:sz w:val="20"/>
                <w:szCs w:val="20"/>
              </w:rPr>
              <w:t>ЗМПВВППРБ,</w:t>
            </w:r>
            <w:r w:rsidR="00D66FE0" w:rsidRPr="00610B1B">
              <w:rPr>
                <w:rFonts w:cs="Times New Roman"/>
                <w:sz w:val="20"/>
                <w:szCs w:val="20"/>
              </w:rPr>
              <w:t xml:space="preserve"> </w:t>
            </w:r>
            <w:r w:rsidRPr="00610B1B">
              <w:rPr>
                <w:rFonts w:eastAsiaTheme="minorEastAsia" w:cs="Times New Roman"/>
                <w:bCs/>
                <w:sz w:val="20"/>
                <w:szCs w:val="20"/>
              </w:rPr>
              <w:t>Обн. ДВ бр.</w:t>
            </w:r>
            <w:r w:rsidR="00D66FE0" w:rsidRPr="00610B1B">
              <w:rPr>
                <w:rFonts w:eastAsiaTheme="minorEastAsia" w:cs="Times New Roman"/>
                <w:bCs/>
                <w:sz w:val="20"/>
                <w:szCs w:val="20"/>
              </w:rPr>
              <w:t xml:space="preserve"> </w:t>
            </w:r>
            <w:r w:rsidRPr="00610B1B">
              <w:rPr>
                <w:rFonts w:cs="Times New Roman"/>
                <w:sz w:val="20"/>
                <w:szCs w:val="20"/>
              </w:rPr>
              <w:t>12/11.02.2000, изм. ДВ бр.</w:t>
            </w:r>
            <w:r w:rsidR="00343A67" w:rsidRPr="00610B1B">
              <w:rPr>
                <w:rFonts w:cs="Times New Roman"/>
                <w:sz w:val="20"/>
                <w:szCs w:val="20"/>
              </w:rPr>
              <w:t xml:space="preserve"> 17</w:t>
            </w:r>
            <w:r w:rsidRPr="00610B1B">
              <w:rPr>
                <w:rFonts w:cs="Times New Roman"/>
                <w:sz w:val="20"/>
                <w:szCs w:val="20"/>
              </w:rPr>
              <w:t>/</w:t>
            </w:r>
            <w:r w:rsidR="00343A67" w:rsidRPr="00610B1B">
              <w:rPr>
                <w:rFonts w:cs="Times New Roman"/>
                <w:sz w:val="20"/>
                <w:szCs w:val="20"/>
              </w:rPr>
              <w:t>26.02.2021</w:t>
            </w:r>
            <w:r w:rsidRPr="00610B1B">
              <w:rPr>
                <w:rFonts w:cs="Times New Roman"/>
                <w:sz w:val="20"/>
                <w:szCs w:val="20"/>
              </w:rPr>
              <w:t>, чл. 51б ал. 1</w:t>
            </w:r>
          </w:p>
        </w:tc>
      </w:tr>
      <w:tr w:rsidR="00D41A32" w:rsidRPr="00C717D0" w14:paraId="66E8A519" w14:textId="77777777" w:rsidTr="009D32BB">
        <w:tc>
          <w:tcPr>
            <w:tcW w:w="2126" w:type="dxa"/>
            <w:vMerge/>
            <w:vAlign w:val="center"/>
          </w:tcPr>
          <w:p w14:paraId="54551D08"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047AA20" w14:textId="1C80699E"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Изпълнява процедурите по чл. 87 на ЗООС като възложител на МППРБ.</w:t>
            </w:r>
          </w:p>
        </w:tc>
        <w:tc>
          <w:tcPr>
            <w:tcW w:w="3543" w:type="dxa"/>
            <w:vMerge/>
          </w:tcPr>
          <w:p w14:paraId="38566EE2"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12F9E165" w14:textId="77777777" w:rsidTr="009D32BB">
        <w:tc>
          <w:tcPr>
            <w:tcW w:w="2126" w:type="dxa"/>
            <w:vMerge/>
            <w:vAlign w:val="center"/>
          </w:tcPr>
          <w:p w14:paraId="3F2227B0"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C59703E" w14:textId="0E734BC8"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Организира осъществяването на наблюдение и </w:t>
            </w:r>
            <w:r w:rsidRPr="00610B1B">
              <w:rPr>
                <w:rFonts w:cs="Times New Roman"/>
                <w:sz w:val="20"/>
                <w:szCs w:val="20"/>
              </w:rPr>
              <w:lastRenderedPageBreak/>
              <w:t>контрол по прилагането на МППРБ</w:t>
            </w:r>
          </w:p>
        </w:tc>
        <w:tc>
          <w:tcPr>
            <w:tcW w:w="3543" w:type="dxa"/>
            <w:vMerge/>
          </w:tcPr>
          <w:p w14:paraId="2E33C42E"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7F4AABA2" w14:textId="77777777" w:rsidTr="009D32BB">
        <w:tc>
          <w:tcPr>
            <w:tcW w:w="2126" w:type="dxa"/>
            <w:vMerge/>
            <w:vAlign w:val="center"/>
          </w:tcPr>
          <w:p w14:paraId="38AD400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97E1093" w14:textId="3A5F17A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Изпраща копие от одобрения план и от неговите изменения на Европейската комисия и на държавите от Черноморския регион в тримесечен срок от обнародването на решението по ал. 1.</w:t>
            </w:r>
          </w:p>
        </w:tc>
        <w:tc>
          <w:tcPr>
            <w:tcW w:w="3543" w:type="dxa"/>
          </w:tcPr>
          <w:p w14:paraId="244ED4E9"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18F1C9B3" w14:textId="77777777" w:rsidTr="009D32BB">
        <w:tc>
          <w:tcPr>
            <w:tcW w:w="2126" w:type="dxa"/>
            <w:vMerge/>
            <w:vAlign w:val="center"/>
          </w:tcPr>
          <w:p w14:paraId="6DCB37C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827B6B8" w14:textId="6ECCD53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Осъществява държавната политика в отрасъл ВиК на национално ниво, разработва и предлага на МС Стратегия за развитие и управление на водоснабдяването и канализацията в Р. България, координира и контролира изпълнението ѝ.</w:t>
            </w:r>
          </w:p>
        </w:tc>
        <w:tc>
          <w:tcPr>
            <w:tcW w:w="3543" w:type="dxa"/>
          </w:tcPr>
          <w:p w14:paraId="16997A34" w14:textId="01D0D24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Закон за водите,</w:t>
            </w:r>
            <w:r w:rsidRPr="00610B1B">
              <w:rPr>
                <w:rFonts w:eastAsiaTheme="minorEastAsia" w:cs="Times New Roman"/>
                <w:bCs/>
                <w:sz w:val="20"/>
                <w:szCs w:val="20"/>
              </w:rPr>
              <w:t xml:space="preserve"> Обн. ДВ бр. 67/27.07.1999 г., изм. ДВ бр. </w:t>
            </w:r>
            <w:r w:rsidRPr="00610B1B">
              <w:rPr>
                <w:rFonts w:cs="Times New Roman"/>
                <w:sz w:val="20"/>
                <w:szCs w:val="20"/>
              </w:rPr>
              <w:t>52/9.06.2020, чл. 10б ал. 1</w:t>
            </w:r>
          </w:p>
        </w:tc>
      </w:tr>
      <w:tr w:rsidR="00D41A32" w:rsidRPr="00C717D0" w14:paraId="4D8E3AEB" w14:textId="77777777" w:rsidTr="009D32BB">
        <w:tc>
          <w:tcPr>
            <w:tcW w:w="2126" w:type="dxa"/>
            <w:vMerge/>
            <w:vAlign w:val="center"/>
          </w:tcPr>
          <w:p w14:paraId="546CA599"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6719B4D3" w14:textId="2F976ACC" w:rsidR="00D41A32" w:rsidRPr="00610B1B" w:rsidRDefault="00D41A32" w:rsidP="00D41A32">
            <w:pPr>
              <w:pStyle w:val="BodyText"/>
              <w:spacing w:before="0" w:after="0" w:line="240" w:lineRule="auto"/>
              <w:jc w:val="left"/>
              <w:rPr>
                <w:rFonts w:cs="Times New Roman"/>
                <w:sz w:val="20"/>
                <w:szCs w:val="20"/>
              </w:rPr>
            </w:pPr>
            <w:r w:rsidRPr="00610B1B">
              <w:rPr>
                <w:rFonts w:cs="Times New Roman"/>
                <w:bCs/>
                <w:sz w:val="20"/>
                <w:szCs w:val="20"/>
              </w:rPr>
              <w:t>Отговаря за устройственото планиране на Черноморското крайбрежие и частта от акваторията на Черно море в приложното поле на ЗУЧК;</w:t>
            </w:r>
          </w:p>
        </w:tc>
        <w:tc>
          <w:tcPr>
            <w:tcW w:w="3543" w:type="dxa"/>
            <w:shd w:val="clear" w:color="auto" w:fill="auto"/>
          </w:tcPr>
          <w:p w14:paraId="603ADF1D" w14:textId="4C8F96C9" w:rsidR="00D41A32" w:rsidRPr="00610B1B" w:rsidRDefault="00D41A32" w:rsidP="00D41A32">
            <w:pPr>
              <w:pStyle w:val="BodyText"/>
              <w:spacing w:before="0" w:after="0" w:line="240" w:lineRule="auto"/>
              <w:rPr>
                <w:rFonts w:cs="Times New Roman"/>
                <w:sz w:val="20"/>
                <w:szCs w:val="20"/>
              </w:rPr>
            </w:pPr>
            <w:r w:rsidRPr="00610B1B">
              <w:rPr>
                <w:rFonts w:cs="Times New Roman"/>
                <w:bCs/>
                <w:sz w:val="20"/>
                <w:szCs w:val="20"/>
              </w:rPr>
              <w:t>ЗУТ чл. 124 ал. 2, ЗУЧК, Наредба за опазване на околната среда в морските води, чл. 3, ал. 8, т. 1</w:t>
            </w:r>
          </w:p>
        </w:tc>
      </w:tr>
      <w:tr w:rsidR="00D41A32" w:rsidRPr="00C717D0" w14:paraId="76120E09" w14:textId="77777777" w:rsidTr="009D32BB">
        <w:tc>
          <w:tcPr>
            <w:tcW w:w="2126" w:type="dxa"/>
            <w:vMerge w:val="restart"/>
            <w:vAlign w:val="center"/>
          </w:tcPr>
          <w:p w14:paraId="4DE5D3AD" w14:textId="1E184E9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Консултативен съвет към Министъра на РРБ</w:t>
            </w:r>
          </w:p>
        </w:tc>
        <w:tc>
          <w:tcPr>
            <w:tcW w:w="4396" w:type="dxa"/>
          </w:tcPr>
          <w:p w14:paraId="04F67F86" w14:textId="1327EE70"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 xml:space="preserve">Осъществява координация и взема решения за визията, рамката, текстовото и графичното съдържание на Морския пространствен план на Република България (МППРБ) </w:t>
            </w:r>
          </w:p>
        </w:tc>
        <w:tc>
          <w:tcPr>
            <w:tcW w:w="3543" w:type="dxa"/>
          </w:tcPr>
          <w:p w14:paraId="652E2F68"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Правилник за функциите, задачите и състава на консултативния съвет по въпросите на морското пространствено планиране към министъра на регионалното развитие и благоустройството. </w:t>
            </w:r>
          </w:p>
          <w:p w14:paraId="7F86EBD4" w14:textId="37DDA52A"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 xml:space="preserve">Обн. ДВ бр. 79/25.09.2018 г., чл. 3 </w:t>
            </w:r>
          </w:p>
        </w:tc>
      </w:tr>
      <w:tr w:rsidR="00D41A32" w:rsidRPr="00610B1B" w14:paraId="54332CBA" w14:textId="77777777" w:rsidTr="009D32BB">
        <w:tc>
          <w:tcPr>
            <w:tcW w:w="2126" w:type="dxa"/>
            <w:vMerge/>
            <w:vAlign w:val="center"/>
          </w:tcPr>
          <w:p w14:paraId="3EC14F5E"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90EB08D" w14:textId="7DF2F5D5"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Съдейства за определяне на пространственото и времевото разпределение на осъществяваните и на бъдещите дейности по използването на морските пространства, съобразено с Морската стратегия на Република България, с изключение на дейностите по отбраната или националната сигурност на страната.</w:t>
            </w:r>
          </w:p>
        </w:tc>
        <w:tc>
          <w:tcPr>
            <w:tcW w:w="3543" w:type="dxa"/>
          </w:tcPr>
          <w:p w14:paraId="6397DE2C" w14:textId="609D2E4F"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Чл. 4 на същия правилник</w:t>
            </w:r>
          </w:p>
        </w:tc>
      </w:tr>
      <w:tr w:rsidR="00D41A32" w:rsidRPr="00610B1B" w14:paraId="46FFC244" w14:textId="77777777" w:rsidTr="009D32BB">
        <w:tc>
          <w:tcPr>
            <w:tcW w:w="2126" w:type="dxa"/>
            <w:vMerge/>
            <w:vAlign w:val="center"/>
          </w:tcPr>
          <w:p w14:paraId="02B8CD9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6B4AE58" w14:textId="6CCDE097"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Подпомага използването на най-добри налични данни, в това число пространствени, за разработването на МППРБ.</w:t>
            </w:r>
          </w:p>
        </w:tc>
        <w:tc>
          <w:tcPr>
            <w:tcW w:w="3543" w:type="dxa"/>
          </w:tcPr>
          <w:p w14:paraId="5C912330" w14:textId="56BDC09D"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Чл. 5 на същия правилник</w:t>
            </w:r>
          </w:p>
        </w:tc>
      </w:tr>
      <w:tr w:rsidR="00D41A32" w:rsidRPr="00610B1B" w14:paraId="42699390" w14:textId="77777777" w:rsidTr="009D32BB">
        <w:tc>
          <w:tcPr>
            <w:tcW w:w="2126" w:type="dxa"/>
            <w:vMerge/>
            <w:vAlign w:val="center"/>
          </w:tcPr>
          <w:p w14:paraId="6DF8A44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6C25017" w14:textId="312DF692"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Съветът и неговите членове, съобразно своите компетенции и правомощия консултират дейността на администрациите, заинтересованите страни и други структури на управление, относно осъществяването на морското пространствено планиране и прилагането на МППРБ.</w:t>
            </w:r>
          </w:p>
        </w:tc>
        <w:tc>
          <w:tcPr>
            <w:tcW w:w="3543" w:type="dxa"/>
          </w:tcPr>
          <w:p w14:paraId="17877393" w14:textId="4F8F00FA"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Чл. 6 на същия правилник</w:t>
            </w:r>
          </w:p>
        </w:tc>
      </w:tr>
      <w:tr w:rsidR="00D41A32" w:rsidRPr="00610B1B" w14:paraId="2AB0A987" w14:textId="77777777" w:rsidTr="009D32BB">
        <w:tc>
          <w:tcPr>
            <w:tcW w:w="2126" w:type="dxa"/>
            <w:vMerge/>
            <w:vAlign w:val="center"/>
          </w:tcPr>
          <w:p w14:paraId="362211D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5413A54C" w14:textId="4B59004D"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Подпомага министъра на регионалното развитие и благоустройството при консултациите с останалите черноморски страни.</w:t>
            </w:r>
          </w:p>
        </w:tc>
        <w:tc>
          <w:tcPr>
            <w:tcW w:w="3543" w:type="dxa"/>
          </w:tcPr>
          <w:p w14:paraId="10B92AEE" w14:textId="0020E339"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Чл. 7 на същия правилник</w:t>
            </w:r>
          </w:p>
        </w:tc>
      </w:tr>
      <w:tr w:rsidR="00D41A32" w:rsidRPr="00610B1B" w14:paraId="25A0C559" w14:textId="77777777" w:rsidTr="009D32BB">
        <w:tc>
          <w:tcPr>
            <w:tcW w:w="2126" w:type="dxa"/>
            <w:vMerge/>
            <w:vAlign w:val="center"/>
          </w:tcPr>
          <w:p w14:paraId="01B3DDB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C4DE449" w14:textId="306D6BD5"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Съгласува проекта на МППРБ преди приемането му от Националния експертен съвет по устройство на територията и регионална политика и преди одобряването му с решение на Министерския съвет.</w:t>
            </w:r>
          </w:p>
        </w:tc>
        <w:tc>
          <w:tcPr>
            <w:tcW w:w="3543" w:type="dxa"/>
          </w:tcPr>
          <w:p w14:paraId="033BBBD0" w14:textId="585A12E2"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Чл. 8 на същия правилник</w:t>
            </w:r>
          </w:p>
        </w:tc>
      </w:tr>
      <w:tr w:rsidR="00D41A32" w:rsidRPr="00610B1B" w14:paraId="41414D00" w14:textId="77777777" w:rsidTr="009D32BB">
        <w:tc>
          <w:tcPr>
            <w:tcW w:w="2126" w:type="dxa"/>
            <w:vMerge/>
            <w:vAlign w:val="center"/>
          </w:tcPr>
          <w:p w14:paraId="7A40F82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97C891F" w14:textId="70CE8665" w:rsidR="00D41A32" w:rsidRPr="00610B1B" w:rsidRDefault="00D41A32" w:rsidP="00D41A32">
            <w:pPr>
              <w:pStyle w:val="BodyText"/>
              <w:spacing w:before="0" w:after="0" w:line="240" w:lineRule="auto"/>
              <w:jc w:val="left"/>
              <w:rPr>
                <w:rFonts w:cs="Times New Roman"/>
                <w:bCs/>
                <w:sz w:val="20"/>
                <w:szCs w:val="20"/>
              </w:rPr>
            </w:pPr>
            <w:r w:rsidRPr="00610B1B">
              <w:rPr>
                <w:rFonts w:cs="Times New Roman"/>
                <w:sz w:val="20"/>
                <w:szCs w:val="20"/>
              </w:rPr>
              <w:t>Наблюдава и анализира хода на разработването и изпълнението на МППРБ и дава необходимите предложения за актуализирането му.</w:t>
            </w:r>
          </w:p>
        </w:tc>
        <w:tc>
          <w:tcPr>
            <w:tcW w:w="3543" w:type="dxa"/>
          </w:tcPr>
          <w:p w14:paraId="29A53079" w14:textId="384959B5" w:rsidR="00D41A32" w:rsidRPr="00610B1B" w:rsidRDefault="00D41A32" w:rsidP="00D41A32">
            <w:pPr>
              <w:pStyle w:val="BodyText"/>
              <w:spacing w:before="0" w:after="0" w:line="240" w:lineRule="auto"/>
              <w:rPr>
                <w:rFonts w:cs="Times New Roman"/>
                <w:bCs/>
                <w:sz w:val="20"/>
                <w:szCs w:val="20"/>
              </w:rPr>
            </w:pPr>
            <w:r w:rsidRPr="00610B1B">
              <w:rPr>
                <w:rFonts w:cs="Times New Roman"/>
                <w:sz w:val="20"/>
                <w:szCs w:val="20"/>
              </w:rPr>
              <w:t>Чл. 9 на същия правилник</w:t>
            </w:r>
          </w:p>
        </w:tc>
      </w:tr>
      <w:tr w:rsidR="00D41A32" w:rsidRPr="00610B1B" w14:paraId="00987F2D" w14:textId="77777777" w:rsidTr="009D32BB">
        <w:tc>
          <w:tcPr>
            <w:tcW w:w="2126" w:type="dxa"/>
            <w:vAlign w:val="center"/>
          </w:tcPr>
          <w:p w14:paraId="2D786718" w14:textId="53A6EB9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Национален експертен съвет по устройство на територията и регионалната политика (НЕСУТРП)</w:t>
            </w:r>
          </w:p>
        </w:tc>
        <w:tc>
          <w:tcPr>
            <w:tcW w:w="4396" w:type="dxa"/>
          </w:tcPr>
          <w:p w14:paraId="7F17CD25" w14:textId="08281546"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Организира разглеждането, приема МППРБ и неговите изменения и изготвя Протокол от заседанието на съвета. </w:t>
            </w:r>
          </w:p>
        </w:tc>
        <w:tc>
          <w:tcPr>
            <w:tcW w:w="3543" w:type="dxa"/>
          </w:tcPr>
          <w:p w14:paraId="4F2604F1" w14:textId="284F5EDB"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ЗМПВВППРБ, чл. 51е ал. 1</w:t>
            </w:r>
          </w:p>
        </w:tc>
      </w:tr>
      <w:tr w:rsidR="00D41A32" w:rsidRPr="00610B1B" w14:paraId="2B4354AC" w14:textId="77777777" w:rsidTr="009D32BB">
        <w:tc>
          <w:tcPr>
            <w:tcW w:w="2126" w:type="dxa"/>
            <w:vMerge w:val="restart"/>
            <w:vAlign w:val="center"/>
          </w:tcPr>
          <w:p w14:paraId="352AF46E" w14:textId="7915D34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ГД „Стратегическо планиране и </w:t>
            </w:r>
            <w:r w:rsidRPr="00610B1B">
              <w:rPr>
                <w:rFonts w:cs="Times New Roman"/>
                <w:sz w:val="20"/>
                <w:szCs w:val="20"/>
              </w:rPr>
              <w:lastRenderedPageBreak/>
              <w:t>програми за регионално развитие“ (ГД „СППРР“)</w:t>
            </w:r>
          </w:p>
        </w:tc>
        <w:tc>
          <w:tcPr>
            <w:tcW w:w="4396" w:type="dxa"/>
          </w:tcPr>
          <w:p w14:paraId="4BEFEE43" w14:textId="2B53B46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lastRenderedPageBreak/>
              <w:t xml:space="preserve">Координира и контролира дейностите по морското пространствено планиране и </w:t>
            </w:r>
            <w:r w:rsidRPr="00610B1B">
              <w:rPr>
                <w:rFonts w:cs="Times New Roman"/>
                <w:sz w:val="20"/>
                <w:szCs w:val="20"/>
              </w:rPr>
              <w:lastRenderedPageBreak/>
              <w:t>разработването на МППРБ, осъществява наблюдение и контрол на МППРБ, внася МППРБ за приемане от Националния експертен съвет по устройство на територията и регионална политика и подготвя документите за одобряване от Министерския съвет.</w:t>
            </w:r>
            <w:r w:rsidR="00D66FE0" w:rsidRPr="00610B1B">
              <w:rPr>
                <w:rFonts w:cs="Times New Roman"/>
                <w:sz w:val="20"/>
                <w:szCs w:val="20"/>
              </w:rPr>
              <w:t xml:space="preserve"> </w:t>
            </w:r>
            <w:r w:rsidRPr="00610B1B">
              <w:rPr>
                <w:rFonts w:cs="Times New Roman"/>
                <w:sz w:val="20"/>
                <w:szCs w:val="20"/>
              </w:rPr>
              <w:t>Провежда обществено обсъждане на МППРБ и консултации по Стратегическата екологична оценка и/или оценка за съвместимост, следи за публикуването и актуализирането на МППРБ на страницата на МРРБ.</w:t>
            </w:r>
          </w:p>
        </w:tc>
        <w:tc>
          <w:tcPr>
            <w:tcW w:w="3543" w:type="dxa"/>
            <w:vMerge w:val="restart"/>
          </w:tcPr>
          <w:p w14:paraId="20E91D75"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 xml:space="preserve">Устройствен правилник на Министерството на регионалното </w:t>
            </w:r>
            <w:r w:rsidRPr="00610B1B">
              <w:rPr>
                <w:rFonts w:cs="Times New Roman"/>
                <w:sz w:val="20"/>
                <w:szCs w:val="20"/>
              </w:rPr>
              <w:lastRenderedPageBreak/>
              <w:t>развитие и благоустройството</w:t>
            </w:r>
          </w:p>
          <w:p w14:paraId="4E94530F" w14:textId="2A1BC65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Обн. ДВ. бр. 68/22.08.2017 г., изм. и доп. ДВ. бр. 57/26.06.2020 г. </w:t>
            </w:r>
          </w:p>
        </w:tc>
      </w:tr>
      <w:tr w:rsidR="00D41A32" w:rsidRPr="00C717D0" w14:paraId="70784587" w14:textId="77777777" w:rsidTr="009D32BB">
        <w:tc>
          <w:tcPr>
            <w:tcW w:w="2126" w:type="dxa"/>
            <w:vMerge/>
            <w:vAlign w:val="center"/>
          </w:tcPr>
          <w:p w14:paraId="2AAF926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C9136E4" w14:textId="7E0E4BC5"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Координира съгласуването на МППРБ с останалите черноморски страни</w:t>
            </w:r>
          </w:p>
        </w:tc>
        <w:tc>
          <w:tcPr>
            <w:tcW w:w="3543" w:type="dxa"/>
            <w:vMerge/>
          </w:tcPr>
          <w:p w14:paraId="59F393C1"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615D8742" w14:textId="77777777" w:rsidTr="009D32BB">
        <w:tc>
          <w:tcPr>
            <w:tcW w:w="2126" w:type="dxa"/>
            <w:vMerge/>
            <w:vAlign w:val="center"/>
          </w:tcPr>
          <w:p w14:paraId="28DEB7C5"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33CCEF2" w14:textId="3F02BD5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Провежда обществено обсъждане на МППРБ и консултациите по стратегическа екологична оценка и/или оценка за съвместимост.</w:t>
            </w:r>
          </w:p>
        </w:tc>
        <w:tc>
          <w:tcPr>
            <w:tcW w:w="3543" w:type="dxa"/>
            <w:vMerge/>
          </w:tcPr>
          <w:p w14:paraId="4EDBCD3D"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403B38C3" w14:textId="77777777" w:rsidTr="009D32BB">
        <w:tc>
          <w:tcPr>
            <w:tcW w:w="2126" w:type="dxa"/>
            <w:vMerge/>
            <w:vAlign w:val="center"/>
          </w:tcPr>
          <w:p w14:paraId="1A72946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8B4568A" w14:textId="63A29674"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Следи за публикуването и актуализирането на МППРБ на страницата на МРРБ.</w:t>
            </w:r>
          </w:p>
        </w:tc>
        <w:tc>
          <w:tcPr>
            <w:tcW w:w="3543" w:type="dxa"/>
            <w:vMerge/>
          </w:tcPr>
          <w:p w14:paraId="7968B02A"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10329406" w14:textId="77777777" w:rsidTr="009D32BB">
        <w:tc>
          <w:tcPr>
            <w:tcW w:w="2126" w:type="dxa"/>
            <w:vMerge/>
            <w:vAlign w:val="center"/>
          </w:tcPr>
          <w:p w14:paraId="448D928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63ABDC7" w14:textId="735CE8A9"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Изпълнява функциите на секретариат на Консултативния съвет по въпросите на морското пространствено планиране в съответствие с Устройствения правилник на МРРБ и с Правилника за дейността на Консултативния съвет, чл. 15 ал. 2.</w:t>
            </w:r>
          </w:p>
        </w:tc>
        <w:tc>
          <w:tcPr>
            <w:tcW w:w="3543" w:type="dxa"/>
          </w:tcPr>
          <w:p w14:paraId="0547F6FC"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Правилник за функциите, задачите и състава на Консултативния съвет по въпросите на морското пространствено планиране към министъра на регионалното развитие и благоустройството. </w:t>
            </w:r>
          </w:p>
          <w:p w14:paraId="168F3D62" w14:textId="74807276" w:rsidR="00D41A32" w:rsidRPr="00610B1B" w:rsidRDefault="00D41A32" w:rsidP="009907CE">
            <w:pPr>
              <w:pStyle w:val="BodyText"/>
              <w:spacing w:before="0" w:after="0" w:line="240" w:lineRule="auto"/>
              <w:ind w:right="-259"/>
              <w:jc w:val="left"/>
              <w:rPr>
                <w:rFonts w:cs="Times New Roman"/>
                <w:sz w:val="20"/>
                <w:szCs w:val="20"/>
              </w:rPr>
            </w:pPr>
            <w:r w:rsidRPr="00610B1B">
              <w:rPr>
                <w:rFonts w:cs="Times New Roman"/>
                <w:sz w:val="20"/>
                <w:szCs w:val="20"/>
              </w:rPr>
              <w:t>Обн. ДВ</w:t>
            </w:r>
            <w:r w:rsidR="00C415D1" w:rsidRPr="00610B1B">
              <w:rPr>
                <w:rFonts w:cs="Times New Roman"/>
                <w:sz w:val="20"/>
                <w:szCs w:val="20"/>
              </w:rPr>
              <w:t xml:space="preserve"> </w:t>
            </w:r>
            <w:r w:rsidRPr="00610B1B">
              <w:rPr>
                <w:rFonts w:cs="Times New Roman"/>
                <w:sz w:val="20"/>
                <w:szCs w:val="20"/>
              </w:rPr>
              <w:t xml:space="preserve">бр. 79/25.09.2018 г., чл. 15 ал. 1 </w:t>
            </w:r>
          </w:p>
        </w:tc>
      </w:tr>
      <w:tr w:rsidR="00D41A32" w:rsidRPr="00610B1B" w14:paraId="1863FF99" w14:textId="77777777" w:rsidTr="009D32BB">
        <w:tc>
          <w:tcPr>
            <w:tcW w:w="2126" w:type="dxa"/>
            <w:vMerge w:val="restart"/>
            <w:vAlign w:val="center"/>
          </w:tcPr>
          <w:p w14:paraId="2E740BD3" w14:textId="0FAAA8AA"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Дирекция "Устройство на територията и административно-териториално устройство" </w:t>
            </w:r>
          </w:p>
        </w:tc>
        <w:tc>
          <w:tcPr>
            <w:tcW w:w="4396" w:type="dxa"/>
          </w:tcPr>
          <w:p w14:paraId="34F66EBA" w14:textId="1153C74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Подпомага министъра при осъществяването на политиката по устройство на територията в неговата компетентност съгласно ЗУТ, ЗУЧК, ЗМПВВППРБ.</w:t>
            </w:r>
          </w:p>
        </w:tc>
        <w:tc>
          <w:tcPr>
            <w:tcW w:w="3543" w:type="dxa"/>
            <w:vMerge w:val="restart"/>
          </w:tcPr>
          <w:p w14:paraId="6D029D93" w14:textId="142F26E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Чл. 32 на Устройствения правилник на МРРБ, </w:t>
            </w:r>
            <w:r w:rsidRPr="00610B1B">
              <w:rPr>
                <w:rFonts w:eastAsiaTheme="minorEastAsia" w:cs="Times New Roman"/>
                <w:bCs/>
                <w:sz w:val="20"/>
                <w:szCs w:val="20"/>
              </w:rPr>
              <w:t>Обн. ДВ бр.</w:t>
            </w:r>
            <w:r w:rsidR="00D66FE0" w:rsidRPr="00610B1B">
              <w:rPr>
                <w:rFonts w:eastAsiaTheme="minorEastAsia" w:cs="Times New Roman"/>
                <w:bCs/>
                <w:sz w:val="20"/>
                <w:szCs w:val="20"/>
              </w:rPr>
              <w:t xml:space="preserve"> </w:t>
            </w:r>
            <w:r w:rsidRPr="00610B1B">
              <w:rPr>
                <w:rFonts w:cs="Times New Roman"/>
                <w:sz w:val="20"/>
                <w:szCs w:val="20"/>
              </w:rPr>
              <w:t>68/22.08.2017, изм. и доп. ДВ бр. 57/26.06.2020</w:t>
            </w:r>
          </w:p>
        </w:tc>
      </w:tr>
      <w:tr w:rsidR="00D41A32" w:rsidRPr="00C717D0" w14:paraId="0970A877" w14:textId="77777777" w:rsidTr="009D32BB">
        <w:tc>
          <w:tcPr>
            <w:tcW w:w="2126" w:type="dxa"/>
            <w:vMerge/>
            <w:vAlign w:val="center"/>
          </w:tcPr>
          <w:p w14:paraId="0A97827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173E5D1" w14:textId="462FB14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Изготвя становища и съгласува проекти на устройствени планове и техни изменения съгласно ЗУТ, ЗУЧК, ЗМПВВППРБ.</w:t>
            </w:r>
          </w:p>
        </w:tc>
        <w:tc>
          <w:tcPr>
            <w:tcW w:w="3543" w:type="dxa"/>
            <w:vMerge/>
          </w:tcPr>
          <w:p w14:paraId="064468AF"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0148A3EF" w14:textId="77777777" w:rsidTr="009D32BB">
        <w:tc>
          <w:tcPr>
            <w:tcW w:w="2126" w:type="dxa"/>
            <w:vMerge/>
            <w:vAlign w:val="center"/>
          </w:tcPr>
          <w:p w14:paraId="2E40835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BFC93B9" w14:textId="59AFD88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Организира и осигурява дейността на Националния експертен съвет по устройство на територията и регионална политика (НЕСУТРП) за разглеждане на проекти на общи и подробни устройствени планове, на проект на МППРБ и неговите изменения, както и специфични правила и нормативи към тях съгласно ЗУТ, ЗУЧК, ЗМПВВППРБ</w:t>
            </w:r>
          </w:p>
        </w:tc>
        <w:tc>
          <w:tcPr>
            <w:tcW w:w="3543" w:type="dxa"/>
            <w:vMerge/>
          </w:tcPr>
          <w:p w14:paraId="23BC1399"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292B3D0E" w14:textId="77777777" w:rsidTr="009D32BB">
        <w:tc>
          <w:tcPr>
            <w:tcW w:w="2126" w:type="dxa"/>
            <w:vMerge w:val="restart"/>
            <w:vAlign w:val="center"/>
          </w:tcPr>
          <w:p w14:paraId="090F2B6B" w14:textId="70C2167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Дирекция "</w:t>
            </w:r>
            <w:r w:rsidR="00B8047B">
              <w:rPr>
                <w:rFonts w:cs="Times New Roman"/>
                <w:sz w:val="20"/>
                <w:szCs w:val="20"/>
              </w:rPr>
              <w:t xml:space="preserve">Водоснабдяване и канализация </w:t>
            </w:r>
            <w:r w:rsidRPr="00610B1B">
              <w:rPr>
                <w:rFonts w:cs="Times New Roman"/>
                <w:sz w:val="20"/>
                <w:szCs w:val="20"/>
              </w:rPr>
              <w:t xml:space="preserve"> и благоустройствени дейности" </w:t>
            </w:r>
          </w:p>
        </w:tc>
        <w:tc>
          <w:tcPr>
            <w:tcW w:w="4396" w:type="dxa"/>
          </w:tcPr>
          <w:p w14:paraId="2601635E" w14:textId="46E6209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Осъществява комплекс от дейности за регистриране и мониторинг на свлачищни райони на територията на Р.България и на абразионните и ерозионните процеси по Черноморското и Дунавското крайбрежие и за превенция на застрашени или засегнати от тях урбанизирани територии чрез държавните дружества за геозащита.</w:t>
            </w:r>
          </w:p>
        </w:tc>
        <w:tc>
          <w:tcPr>
            <w:tcW w:w="3543" w:type="dxa"/>
            <w:vMerge w:val="restart"/>
          </w:tcPr>
          <w:p w14:paraId="1E4DC92B" w14:textId="60E3D3B3" w:rsidR="00D41A32" w:rsidRPr="00610B1B" w:rsidRDefault="00D41A32" w:rsidP="007D1ED8">
            <w:pPr>
              <w:pStyle w:val="BodyText"/>
              <w:spacing w:before="0" w:after="0" w:line="240" w:lineRule="auto"/>
              <w:ind w:right="-103"/>
              <w:jc w:val="left"/>
              <w:rPr>
                <w:rFonts w:cs="Times New Roman"/>
                <w:sz w:val="20"/>
                <w:szCs w:val="20"/>
              </w:rPr>
            </w:pPr>
            <w:r w:rsidRPr="00610B1B">
              <w:rPr>
                <w:rFonts w:cs="Times New Roman"/>
                <w:sz w:val="20"/>
                <w:szCs w:val="20"/>
              </w:rPr>
              <w:t>Чл. 35 на Устройствения правилник на МРРБ,</w:t>
            </w:r>
            <w:r w:rsidRPr="00610B1B">
              <w:rPr>
                <w:rFonts w:eastAsiaTheme="minorEastAsia" w:cs="Times New Roman"/>
                <w:bCs/>
                <w:sz w:val="20"/>
                <w:szCs w:val="20"/>
              </w:rPr>
              <w:t xml:space="preserve"> Обн. ДВ бр.</w:t>
            </w:r>
            <w:r w:rsidR="00D66FE0" w:rsidRPr="00610B1B">
              <w:rPr>
                <w:rFonts w:eastAsiaTheme="minorEastAsia" w:cs="Times New Roman"/>
                <w:bCs/>
                <w:sz w:val="20"/>
                <w:szCs w:val="20"/>
              </w:rPr>
              <w:t xml:space="preserve"> </w:t>
            </w:r>
            <w:r w:rsidRPr="00610B1B">
              <w:rPr>
                <w:rFonts w:cs="Times New Roman"/>
                <w:sz w:val="20"/>
                <w:szCs w:val="20"/>
              </w:rPr>
              <w:t xml:space="preserve">68/22.08.2017, </w:t>
            </w:r>
            <w:r w:rsidR="007D1ED8" w:rsidRPr="00DB09F3">
              <w:rPr>
                <w:sz w:val="22"/>
                <w:szCs w:val="22"/>
              </w:rPr>
              <w:t>изм. и доп. ДВ бр. 9/27.01.2023 г.</w:t>
            </w:r>
          </w:p>
        </w:tc>
      </w:tr>
      <w:tr w:rsidR="00D41A32" w:rsidRPr="00C717D0" w14:paraId="49515041" w14:textId="77777777" w:rsidTr="009D32BB">
        <w:tc>
          <w:tcPr>
            <w:tcW w:w="2126" w:type="dxa"/>
            <w:vMerge/>
            <w:vAlign w:val="center"/>
          </w:tcPr>
          <w:p w14:paraId="78F1E7B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353D303" w14:textId="43E950D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Създава и поддържа регистър на свлачищните райони в страната и на районите с абразионни и ерозионни процеси по Черноморското и Дунавското крайбрежие и извършва координация между отделните ведомства за ограничаване на свлачищата на територията на Република България и за предотвратяване на аварии и щети.</w:t>
            </w:r>
          </w:p>
        </w:tc>
        <w:tc>
          <w:tcPr>
            <w:tcW w:w="3543" w:type="dxa"/>
            <w:vMerge/>
          </w:tcPr>
          <w:p w14:paraId="71D31173"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2564943D" w14:textId="77777777" w:rsidTr="009D32BB">
        <w:tc>
          <w:tcPr>
            <w:tcW w:w="2126" w:type="dxa"/>
            <w:vMerge w:val="restart"/>
            <w:vAlign w:val="center"/>
          </w:tcPr>
          <w:p w14:paraId="00692621" w14:textId="2859E96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Дирекция „Управление на териториалното </w:t>
            </w:r>
            <w:r w:rsidRPr="00610B1B">
              <w:rPr>
                <w:rFonts w:cs="Times New Roman"/>
                <w:sz w:val="20"/>
                <w:szCs w:val="20"/>
              </w:rPr>
              <w:lastRenderedPageBreak/>
              <w:t>сътрудничество“</w:t>
            </w:r>
          </w:p>
        </w:tc>
        <w:tc>
          <w:tcPr>
            <w:tcW w:w="4396" w:type="dxa"/>
          </w:tcPr>
          <w:p w14:paraId="60796AEC" w14:textId="45556F20"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lastRenderedPageBreak/>
              <w:t xml:space="preserve">Изпълнява функциите на: </w:t>
            </w:r>
          </w:p>
          <w:p w14:paraId="745ACE48" w14:textId="666AA606" w:rsidR="00D41A32" w:rsidRPr="00610B1B" w:rsidRDefault="00D41A32" w:rsidP="00D41A32">
            <w:pPr>
              <w:pStyle w:val="BodyText"/>
              <w:numPr>
                <w:ilvl w:val="0"/>
                <w:numId w:val="80"/>
              </w:numPr>
              <w:spacing w:before="0" w:after="0" w:line="240" w:lineRule="auto"/>
              <w:ind w:left="267" w:hanging="267"/>
              <w:rPr>
                <w:rFonts w:cs="Times New Roman"/>
                <w:sz w:val="20"/>
                <w:szCs w:val="20"/>
              </w:rPr>
            </w:pPr>
            <w:r w:rsidRPr="00610B1B">
              <w:rPr>
                <w:rFonts w:cs="Times New Roman"/>
                <w:sz w:val="20"/>
                <w:szCs w:val="20"/>
              </w:rPr>
              <w:t xml:space="preserve">Управляващ орган на програмите за ТГС по Инструмента за предприсъединителна помощ </w:t>
            </w:r>
            <w:r w:rsidRPr="00610B1B">
              <w:rPr>
                <w:rFonts w:cs="Times New Roman"/>
                <w:sz w:val="20"/>
                <w:szCs w:val="20"/>
              </w:rPr>
              <w:lastRenderedPageBreak/>
              <w:t>2014-2020 между Р. България и Р. Турция.</w:t>
            </w:r>
          </w:p>
          <w:p w14:paraId="066DD5D8" w14:textId="5AA8195C" w:rsidR="00D41A32" w:rsidRPr="00610B1B" w:rsidRDefault="00D41A32" w:rsidP="00D41A32">
            <w:pPr>
              <w:pStyle w:val="BodyText"/>
              <w:numPr>
                <w:ilvl w:val="0"/>
                <w:numId w:val="80"/>
              </w:numPr>
              <w:spacing w:before="0" w:after="0" w:line="240" w:lineRule="auto"/>
              <w:ind w:left="267" w:hanging="267"/>
              <w:rPr>
                <w:rFonts w:cs="Times New Roman"/>
                <w:sz w:val="20"/>
                <w:szCs w:val="20"/>
              </w:rPr>
            </w:pPr>
            <w:r w:rsidRPr="00610B1B">
              <w:rPr>
                <w:rFonts w:cs="Times New Roman"/>
                <w:sz w:val="20"/>
                <w:szCs w:val="20"/>
              </w:rPr>
              <w:t xml:space="preserve">Национален орган за програмите за ТГС по вътрешните граници на ЕС 2014-2020 между </w:t>
            </w:r>
            <w:r w:rsidR="001A48C4">
              <w:rPr>
                <w:rFonts w:cs="Times New Roman"/>
                <w:sz w:val="20"/>
                <w:szCs w:val="20"/>
              </w:rPr>
              <w:t>Румъния</w:t>
            </w:r>
            <w:r w:rsidRPr="00610B1B">
              <w:rPr>
                <w:rFonts w:cs="Times New Roman"/>
                <w:sz w:val="20"/>
                <w:szCs w:val="20"/>
              </w:rPr>
              <w:t xml:space="preserve"> и Р. България.</w:t>
            </w:r>
          </w:p>
          <w:p w14:paraId="5CE86E4B" w14:textId="7066B532" w:rsidR="00D41A32" w:rsidRPr="00610B1B" w:rsidRDefault="00D41A32" w:rsidP="00D41A32">
            <w:pPr>
              <w:pStyle w:val="BodyText"/>
              <w:numPr>
                <w:ilvl w:val="0"/>
                <w:numId w:val="80"/>
              </w:numPr>
              <w:spacing w:before="0" w:after="0" w:line="240" w:lineRule="auto"/>
              <w:ind w:left="267" w:hanging="267"/>
              <w:rPr>
                <w:rFonts w:cs="Times New Roman"/>
                <w:sz w:val="20"/>
                <w:szCs w:val="20"/>
              </w:rPr>
            </w:pPr>
            <w:r w:rsidRPr="00610B1B">
              <w:rPr>
                <w:rFonts w:cs="Times New Roman"/>
                <w:sz w:val="20"/>
                <w:szCs w:val="20"/>
              </w:rPr>
              <w:t>Национален орган и Информационно звено по Съвместната оперативна програма за трансгранично сътрудничество Черноморски басейн 2014 2020;</w:t>
            </w:r>
          </w:p>
        </w:tc>
        <w:tc>
          <w:tcPr>
            <w:tcW w:w="3543" w:type="dxa"/>
          </w:tcPr>
          <w:p w14:paraId="5BDC16D3" w14:textId="7EFFBA1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 xml:space="preserve">Устройствен правилник на МРРБ чл. 29 ал. 1, </w:t>
            </w:r>
            <w:r w:rsidRPr="00610B1B">
              <w:rPr>
                <w:rFonts w:eastAsiaTheme="minorEastAsia" w:cs="Times New Roman"/>
                <w:bCs/>
                <w:sz w:val="20"/>
                <w:szCs w:val="20"/>
              </w:rPr>
              <w:t>Обн. ДВ бр.</w:t>
            </w:r>
            <w:r w:rsidR="00D66FE0" w:rsidRPr="00610B1B">
              <w:rPr>
                <w:rFonts w:eastAsiaTheme="minorEastAsia" w:cs="Times New Roman"/>
                <w:bCs/>
                <w:sz w:val="20"/>
                <w:szCs w:val="20"/>
              </w:rPr>
              <w:t xml:space="preserve"> </w:t>
            </w:r>
            <w:r w:rsidRPr="00610B1B">
              <w:rPr>
                <w:rFonts w:cs="Times New Roman"/>
                <w:sz w:val="20"/>
                <w:szCs w:val="20"/>
              </w:rPr>
              <w:t>68/22.08.2017, изм. и доп. ДВ бр. 57/26.06.2020</w:t>
            </w:r>
          </w:p>
        </w:tc>
      </w:tr>
      <w:tr w:rsidR="00D41A32" w:rsidRPr="00C717D0" w14:paraId="16FEB6E0" w14:textId="77777777" w:rsidTr="009D32BB">
        <w:tc>
          <w:tcPr>
            <w:tcW w:w="2126" w:type="dxa"/>
            <w:vMerge/>
            <w:vAlign w:val="center"/>
          </w:tcPr>
          <w:p w14:paraId="7257EFCE"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297AAFF" w14:textId="7C4B40D1"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Същите функции и ангажименти по разработването на програмите за следващия програмен период 2021-2027 г.</w:t>
            </w:r>
          </w:p>
        </w:tc>
        <w:tc>
          <w:tcPr>
            <w:tcW w:w="3543" w:type="dxa"/>
          </w:tcPr>
          <w:p w14:paraId="7F87C788"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63D2C0EE" w14:textId="77777777" w:rsidTr="009D32BB">
        <w:tc>
          <w:tcPr>
            <w:tcW w:w="2126" w:type="dxa"/>
            <w:vMerge w:val="restart"/>
            <w:vAlign w:val="center"/>
          </w:tcPr>
          <w:p w14:paraId="0B7BE79E" w14:textId="4CE6234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Агенция по геодезия, картография и кадастър</w:t>
            </w:r>
            <w:r w:rsidR="00D66FE0" w:rsidRPr="00610B1B">
              <w:rPr>
                <w:rFonts w:cs="Times New Roman"/>
                <w:sz w:val="20"/>
                <w:szCs w:val="20"/>
              </w:rPr>
              <w:t xml:space="preserve"> </w:t>
            </w:r>
            <w:r w:rsidRPr="00610B1B">
              <w:rPr>
                <w:rFonts w:cs="Times New Roman"/>
                <w:sz w:val="20"/>
                <w:szCs w:val="20"/>
              </w:rPr>
              <w:t>(АГКК)</w:t>
            </w:r>
          </w:p>
        </w:tc>
        <w:tc>
          <w:tcPr>
            <w:tcW w:w="4396" w:type="dxa"/>
          </w:tcPr>
          <w:p w14:paraId="2B714595" w14:textId="1F4C6117" w:rsidR="00D41A32" w:rsidRPr="00610B1B" w:rsidRDefault="00D41A32" w:rsidP="00D41A32">
            <w:pPr>
              <w:rPr>
                <w:rFonts w:ascii="Times New Roman" w:eastAsia="Source Han Sans CN Regular" w:hAnsi="Times New Roman" w:cs="Times New Roman"/>
                <w:sz w:val="20"/>
                <w:szCs w:val="20"/>
                <w:lang w:val="bg-BG" w:eastAsia="zh-CN" w:bidi="hi-IN"/>
              </w:rPr>
            </w:pPr>
            <w:r w:rsidRPr="00610B1B">
              <w:rPr>
                <w:rFonts w:ascii="Times New Roman" w:eastAsia="Source Han Sans CN Regular" w:hAnsi="Times New Roman" w:cs="Times New Roman"/>
                <w:sz w:val="20"/>
                <w:szCs w:val="20"/>
                <w:lang w:val="bg-BG" w:eastAsia="zh-CN" w:bidi="hi-IN"/>
              </w:rPr>
              <w:t>Изпълнителният директор на АГКК организира и координира дейностите по създаването и поддържането на специализираните карти и регистри на обектите по чл. 6, ал. 4 и 5 ЗУЧК.</w:t>
            </w:r>
          </w:p>
        </w:tc>
        <w:tc>
          <w:tcPr>
            <w:tcW w:w="3543" w:type="dxa"/>
          </w:tcPr>
          <w:p w14:paraId="33872CE9" w14:textId="6F8B2B9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Агенцията по геодезия, картография и кадастър, Обн. ДВ. бр.76/30.09.2016 г., изм. и доп. ДВ. бр. 54/16.06.2020 г. чл. 4 ал. 1 т.10</w:t>
            </w:r>
          </w:p>
        </w:tc>
      </w:tr>
      <w:tr w:rsidR="00D41A32" w:rsidRPr="00C717D0" w14:paraId="2467080B" w14:textId="77777777" w:rsidTr="009D32BB">
        <w:tc>
          <w:tcPr>
            <w:tcW w:w="2126" w:type="dxa"/>
            <w:vMerge/>
            <w:vAlign w:val="center"/>
          </w:tcPr>
          <w:p w14:paraId="041485D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25EB2B7" w14:textId="310BA056" w:rsidR="00D41A32" w:rsidRPr="00610B1B" w:rsidRDefault="00D41A32" w:rsidP="00D41A32">
            <w:pPr>
              <w:rPr>
                <w:rFonts w:ascii="Times New Roman" w:eastAsia="Source Han Sans CN Regular" w:hAnsi="Times New Roman" w:cs="Times New Roman"/>
                <w:sz w:val="20"/>
                <w:szCs w:val="20"/>
                <w:lang w:val="bg-BG" w:eastAsia="zh-CN" w:bidi="hi-IN"/>
              </w:rPr>
            </w:pPr>
            <w:r w:rsidRPr="00610B1B">
              <w:rPr>
                <w:rFonts w:ascii="Times New Roman" w:eastAsia="Source Han Sans CN Regular" w:hAnsi="Times New Roman" w:cs="Times New Roman"/>
                <w:sz w:val="20"/>
                <w:szCs w:val="20"/>
                <w:lang w:val="bg-BG" w:eastAsia="zh-CN" w:bidi="hi-IN"/>
              </w:rPr>
              <w:t>Организира и контролира изграждането и поддържането на инфраструктура за пространствени данни в изпълнение на ангажиментите на АГКК съгласно Закона за достъп до пространствени данни и Директива 2007/2/ЕО на Европейския парламент и на Съвета за създаване на инфраструктура за пространствена информация в Европейската общност (INSPIRE).</w:t>
            </w:r>
          </w:p>
        </w:tc>
        <w:tc>
          <w:tcPr>
            <w:tcW w:w="3543" w:type="dxa"/>
          </w:tcPr>
          <w:p w14:paraId="25FADFC3" w14:textId="1280D35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17 т. 11 на същия правилник</w:t>
            </w:r>
          </w:p>
        </w:tc>
      </w:tr>
      <w:tr w:rsidR="00D41A32" w:rsidRPr="00C717D0" w14:paraId="7F086BA8" w14:textId="77777777" w:rsidTr="009D32BB">
        <w:tc>
          <w:tcPr>
            <w:tcW w:w="2126" w:type="dxa"/>
            <w:vMerge/>
            <w:vAlign w:val="center"/>
          </w:tcPr>
          <w:p w14:paraId="65D7879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87A1855" w14:textId="3D08F774" w:rsidR="00D41A32" w:rsidRPr="00610B1B" w:rsidRDefault="00D41A32" w:rsidP="00D41A32">
            <w:pPr>
              <w:rPr>
                <w:rFonts w:ascii="Times New Roman" w:eastAsia="Source Han Sans CN Regular" w:hAnsi="Times New Roman" w:cs="Times New Roman"/>
                <w:sz w:val="20"/>
                <w:szCs w:val="20"/>
                <w:lang w:val="bg-BG" w:eastAsia="zh-CN" w:bidi="hi-IN"/>
              </w:rPr>
            </w:pPr>
            <w:r w:rsidRPr="00610B1B">
              <w:rPr>
                <w:rFonts w:ascii="Times New Roman" w:eastAsia="Source Han Sans CN Regular" w:hAnsi="Times New Roman" w:cs="Times New Roman"/>
                <w:sz w:val="20"/>
                <w:szCs w:val="20"/>
                <w:lang w:val="bg-BG" w:eastAsia="zh-CN" w:bidi="hi-IN"/>
              </w:rPr>
              <w:t>Организира и контролира създаването на метаданни с определено съдържание за масивите от пространствени данни и услуги, попадащи в приложното поле на Директива 2007/2/ЕО.</w:t>
            </w:r>
          </w:p>
        </w:tc>
        <w:tc>
          <w:tcPr>
            <w:tcW w:w="3543" w:type="dxa"/>
          </w:tcPr>
          <w:p w14:paraId="1F04323F" w14:textId="4D40491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17 т. 12 на същия правилник</w:t>
            </w:r>
          </w:p>
        </w:tc>
      </w:tr>
      <w:tr w:rsidR="00D41A32" w:rsidRPr="00C717D0" w14:paraId="59C0A542" w14:textId="77777777" w:rsidTr="009D32BB">
        <w:tc>
          <w:tcPr>
            <w:tcW w:w="2126" w:type="dxa"/>
            <w:vMerge/>
            <w:vAlign w:val="center"/>
          </w:tcPr>
          <w:p w14:paraId="0E27C326"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6765250" w14:textId="04046506" w:rsidR="00D41A32" w:rsidRPr="00610B1B" w:rsidRDefault="00D41A32" w:rsidP="00D41A32">
            <w:pPr>
              <w:rPr>
                <w:rFonts w:ascii="Times New Roman" w:eastAsia="Source Han Sans CN Regular" w:hAnsi="Times New Roman" w:cs="Times New Roman"/>
                <w:sz w:val="20"/>
                <w:szCs w:val="20"/>
                <w:lang w:val="bg-BG" w:eastAsia="zh-CN" w:bidi="hi-IN"/>
              </w:rPr>
            </w:pPr>
            <w:r w:rsidRPr="00610B1B">
              <w:rPr>
                <w:rFonts w:ascii="Times New Roman" w:eastAsia="Source Han Sans CN Regular" w:hAnsi="Times New Roman" w:cs="Times New Roman"/>
                <w:sz w:val="20"/>
                <w:szCs w:val="20"/>
                <w:lang w:val="bg-BG" w:eastAsia="zh-CN" w:bidi="hi-IN"/>
              </w:rPr>
              <w:t>Организира и контролира осигуряването на оперативна съвместимост и хармонизация на масивите от пространствени данни и свързаните с тях услуги.</w:t>
            </w:r>
          </w:p>
        </w:tc>
        <w:tc>
          <w:tcPr>
            <w:tcW w:w="3543" w:type="dxa"/>
          </w:tcPr>
          <w:p w14:paraId="244081CF" w14:textId="46AA54E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17 т. 13 на същия правилник</w:t>
            </w:r>
          </w:p>
        </w:tc>
      </w:tr>
      <w:tr w:rsidR="00D41A32" w:rsidRPr="00C717D0" w14:paraId="0120AC90" w14:textId="77777777" w:rsidTr="009D32BB">
        <w:tc>
          <w:tcPr>
            <w:tcW w:w="2126" w:type="dxa"/>
            <w:vMerge w:val="restart"/>
            <w:vAlign w:val="center"/>
          </w:tcPr>
          <w:p w14:paraId="0BFB63C6" w14:textId="4AFA87C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околната среда и водите (МОСВ)</w:t>
            </w:r>
          </w:p>
        </w:tc>
        <w:tc>
          <w:tcPr>
            <w:tcW w:w="4396" w:type="dxa"/>
          </w:tcPr>
          <w:p w14:paraId="462F4E2A" w14:textId="7AA9680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Министърът на околната среда и водите</w:t>
            </w:r>
            <w:r w:rsidR="00D66FE0" w:rsidRPr="00610B1B">
              <w:rPr>
                <w:rFonts w:cs="Times New Roman"/>
                <w:sz w:val="20"/>
                <w:szCs w:val="20"/>
              </w:rPr>
              <w:t xml:space="preserve"> </w:t>
            </w:r>
            <w:r w:rsidRPr="00610B1B">
              <w:rPr>
                <w:rFonts w:cs="Times New Roman"/>
                <w:sz w:val="20"/>
                <w:szCs w:val="20"/>
              </w:rPr>
              <w:t>ръководи чрез Изпълнителната агенция по околна среда (ИАОС) Националната система за мониторинг на околната среда.</w:t>
            </w:r>
          </w:p>
        </w:tc>
        <w:tc>
          <w:tcPr>
            <w:tcW w:w="3543" w:type="dxa"/>
            <w:vMerge w:val="restart"/>
          </w:tcPr>
          <w:p w14:paraId="1FD673AE" w14:textId="4706DD7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Устройствен правилник на Министерството на околната среда и водите, обн. ДВ бр. 80/06.10.2017 г. изм. и доп. ДВ бр. 54/16.06.2020 г. чл. 3 ал. 1 </w:t>
            </w:r>
          </w:p>
        </w:tc>
      </w:tr>
      <w:tr w:rsidR="00D41A32" w:rsidRPr="00C717D0" w14:paraId="2133422F" w14:textId="77777777" w:rsidTr="009D32BB">
        <w:tc>
          <w:tcPr>
            <w:tcW w:w="2126" w:type="dxa"/>
            <w:vMerge/>
            <w:vAlign w:val="center"/>
          </w:tcPr>
          <w:p w14:paraId="703DFB5E"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4E13252" w14:textId="66C17194"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Ежегодно внася в МС доклад за състоянието на околната среда, който след приемането му се публикува като Национален доклад за състоянието и опазването на околната среда.</w:t>
            </w:r>
          </w:p>
        </w:tc>
        <w:tc>
          <w:tcPr>
            <w:tcW w:w="3543" w:type="dxa"/>
            <w:vMerge/>
          </w:tcPr>
          <w:p w14:paraId="1E54404B"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4169A39F" w14:textId="77777777" w:rsidTr="009D32BB">
        <w:tc>
          <w:tcPr>
            <w:tcW w:w="2126" w:type="dxa"/>
            <w:vMerge/>
            <w:vAlign w:val="center"/>
          </w:tcPr>
          <w:p w14:paraId="32821BD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471F4B2" w14:textId="41D24F7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Осъществява държавната политика за постигане и поддържане на добро състояние на околната среда в морските води. </w:t>
            </w:r>
          </w:p>
        </w:tc>
        <w:tc>
          <w:tcPr>
            <w:tcW w:w="3543" w:type="dxa"/>
            <w:vMerge w:val="restart"/>
          </w:tcPr>
          <w:p w14:paraId="62C52D59" w14:textId="50F467C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Наредба за опазване на околната среда в морските води, обн. ДВ бр. 94/30.11.2010 г., изм. и доп. ДВ. бр.14/18.02. 2020 г.</w:t>
            </w:r>
          </w:p>
        </w:tc>
      </w:tr>
      <w:tr w:rsidR="00D41A32" w:rsidRPr="00C717D0" w14:paraId="3B6A5EAD" w14:textId="77777777" w:rsidTr="009D32BB">
        <w:tc>
          <w:tcPr>
            <w:tcW w:w="2126" w:type="dxa"/>
            <w:vMerge/>
            <w:vAlign w:val="center"/>
          </w:tcPr>
          <w:p w14:paraId="76358C3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F5231D0" w14:textId="5DFB6C8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Ръководи сътрудничеството и координацията с другите държави в рамките на водосборния басейн на Черно море и морския подрегион Егейско море и Леванта.</w:t>
            </w:r>
          </w:p>
        </w:tc>
        <w:tc>
          <w:tcPr>
            <w:tcW w:w="3543" w:type="dxa"/>
            <w:vMerge/>
          </w:tcPr>
          <w:p w14:paraId="0F4DEC2E"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59B5407E" w14:textId="77777777" w:rsidTr="009D32BB">
        <w:tc>
          <w:tcPr>
            <w:tcW w:w="2126" w:type="dxa"/>
            <w:vMerge/>
            <w:vAlign w:val="center"/>
          </w:tcPr>
          <w:p w14:paraId="41FA43F6"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90E1C98" w14:textId="1F3D748A"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Съвместно с </w:t>
            </w:r>
            <w:r w:rsidR="004E6C8D">
              <w:rPr>
                <w:rFonts w:eastAsiaTheme="minorEastAsia" w:cs="Times New Roman"/>
                <w:bCs/>
                <w:sz w:val="20"/>
                <w:szCs w:val="20"/>
              </w:rPr>
              <w:t>МТС</w:t>
            </w:r>
            <w:r w:rsidRPr="00610B1B">
              <w:rPr>
                <w:rFonts w:eastAsiaTheme="minorEastAsia" w:cs="Times New Roman"/>
                <w:bCs/>
                <w:sz w:val="20"/>
                <w:szCs w:val="20"/>
              </w:rPr>
              <w:t xml:space="preserve"> упражнява контрол за спазване на мерките за предотвратяване на аварии, изливане на нефт и други замърсители, както и за своевременно отстраняване на последствията от тях при извършване на проучвателни, сондажни и други дейности по разработването и използването на природните ресурси.</w:t>
            </w:r>
          </w:p>
        </w:tc>
        <w:tc>
          <w:tcPr>
            <w:tcW w:w="3543" w:type="dxa"/>
            <w:shd w:val="clear" w:color="auto" w:fill="auto"/>
          </w:tcPr>
          <w:p w14:paraId="6D6BC018" w14:textId="13B2B927"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Закон за морските пространства, вътрешните водни пътища и пристанищата на Република България, Обн. ДВ. бр.12/11 .02.2000 г.,</w:t>
            </w:r>
            <w:r w:rsidR="008753B6" w:rsidRPr="00610B1B">
              <w:rPr>
                <w:rFonts w:eastAsiaTheme="minorEastAsia" w:cs="Times New Roman"/>
                <w:bCs/>
                <w:sz w:val="20"/>
                <w:szCs w:val="20"/>
              </w:rPr>
              <w:t xml:space="preserve"> </w:t>
            </w:r>
            <w:r w:rsidR="00343A67" w:rsidRPr="00610B1B">
              <w:rPr>
                <w:rFonts w:eastAsiaTheme="minorEastAsia" w:cs="Times New Roman"/>
                <w:bCs/>
                <w:sz w:val="20"/>
                <w:szCs w:val="20"/>
              </w:rPr>
              <w:t xml:space="preserve">изм. ДВ бр. 17/26.02.2021 г., </w:t>
            </w:r>
            <w:r w:rsidRPr="00610B1B">
              <w:rPr>
                <w:rFonts w:eastAsiaTheme="minorEastAsia" w:cs="Times New Roman"/>
                <w:bCs/>
                <w:sz w:val="20"/>
                <w:szCs w:val="20"/>
              </w:rPr>
              <w:t>чл. 90, ал. 1</w:t>
            </w:r>
          </w:p>
        </w:tc>
      </w:tr>
      <w:tr w:rsidR="00D41A32" w:rsidRPr="00C717D0" w14:paraId="1801010C" w14:textId="77777777" w:rsidTr="009D32BB">
        <w:tc>
          <w:tcPr>
            <w:tcW w:w="2126" w:type="dxa"/>
            <w:vMerge/>
            <w:vAlign w:val="center"/>
          </w:tcPr>
          <w:p w14:paraId="73BE2459"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608572DA" w14:textId="0BFE1A2B"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Чрез своите специализирани териториални звена упражнява контрол върху бреговите </w:t>
            </w:r>
            <w:r w:rsidRPr="00610B1B">
              <w:rPr>
                <w:rFonts w:eastAsiaTheme="minorEastAsia" w:cs="Times New Roman"/>
                <w:bCs/>
                <w:sz w:val="20"/>
                <w:szCs w:val="20"/>
              </w:rPr>
              <w:lastRenderedPageBreak/>
              <w:t>източници на замърсяване.</w:t>
            </w:r>
          </w:p>
        </w:tc>
        <w:tc>
          <w:tcPr>
            <w:tcW w:w="3543" w:type="dxa"/>
            <w:shd w:val="clear" w:color="auto" w:fill="auto"/>
          </w:tcPr>
          <w:p w14:paraId="7A93ED3C" w14:textId="68C6CAD7"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lastRenderedPageBreak/>
              <w:t xml:space="preserve">Закон за морските пространства, вътрешните водни пътища и </w:t>
            </w:r>
            <w:r w:rsidRPr="00610B1B">
              <w:rPr>
                <w:rFonts w:eastAsiaTheme="minorEastAsia" w:cs="Times New Roman"/>
                <w:bCs/>
                <w:sz w:val="20"/>
                <w:szCs w:val="20"/>
              </w:rPr>
              <w:lastRenderedPageBreak/>
              <w:t>пристанищата на Република България, Обн. ДВ. бр.12/11.02.2000 г., чл. 90, ал. 2</w:t>
            </w:r>
          </w:p>
        </w:tc>
      </w:tr>
      <w:tr w:rsidR="00D41A32" w:rsidRPr="00610B1B" w14:paraId="0ED5A607" w14:textId="77777777" w:rsidTr="009D32BB">
        <w:tc>
          <w:tcPr>
            <w:tcW w:w="2126" w:type="dxa"/>
            <w:vMerge/>
            <w:vAlign w:val="center"/>
          </w:tcPr>
          <w:p w14:paraId="5C212185"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7E0FC095" w14:textId="16008FB6"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Издава наредба за управление качеството на водите за къпане съвместно с министъра на здравеопазването.</w:t>
            </w:r>
          </w:p>
        </w:tc>
        <w:tc>
          <w:tcPr>
            <w:tcW w:w="3543" w:type="dxa"/>
            <w:shd w:val="clear" w:color="auto" w:fill="auto"/>
          </w:tcPr>
          <w:p w14:paraId="3D5C0918" w14:textId="17B340FE"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 67/27.07.1999 г., изм. ДВ бр. </w:t>
            </w:r>
            <w:r w:rsidRPr="00610B1B">
              <w:rPr>
                <w:rFonts w:cs="Times New Roman"/>
                <w:sz w:val="20"/>
                <w:szCs w:val="20"/>
              </w:rPr>
              <w:t>52/9.06.2020,</w:t>
            </w:r>
            <w:r w:rsidRPr="00610B1B">
              <w:rPr>
                <w:rFonts w:eastAsiaTheme="minorEastAsia" w:cs="Times New Roman"/>
                <w:bCs/>
                <w:sz w:val="20"/>
                <w:szCs w:val="20"/>
              </w:rPr>
              <w:t xml:space="preserve"> </w:t>
            </w:r>
            <w:r w:rsidR="003C41B4" w:rsidRPr="00610B1B">
              <w:rPr>
                <w:rFonts w:eastAsiaTheme="minorEastAsia" w:cs="Times New Roman"/>
                <w:bCs/>
                <w:sz w:val="20"/>
                <w:szCs w:val="20"/>
              </w:rPr>
              <w:t>чл.</w:t>
            </w:r>
            <w:r w:rsidRPr="00610B1B">
              <w:rPr>
                <w:rFonts w:eastAsiaTheme="minorEastAsia" w:cs="Times New Roman"/>
                <w:bCs/>
                <w:sz w:val="20"/>
                <w:szCs w:val="20"/>
              </w:rPr>
              <w:t xml:space="preserve"> 135, ал. 1, т. 7</w:t>
            </w:r>
          </w:p>
        </w:tc>
      </w:tr>
      <w:tr w:rsidR="00D41A32" w:rsidRPr="00610B1B" w14:paraId="2A4647DE" w14:textId="77777777" w:rsidTr="009D32BB">
        <w:tc>
          <w:tcPr>
            <w:tcW w:w="2126" w:type="dxa"/>
            <w:vMerge/>
            <w:vAlign w:val="center"/>
          </w:tcPr>
          <w:p w14:paraId="5190C25C"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97D3709" w14:textId="13AC84F0"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Издава наредба за качеството на водите за обитаване от риби и черупкови организми съвместно с министъра на здравеопазването и министъра на земеделието</w:t>
            </w:r>
            <w:r w:rsidR="00D4336B">
              <w:rPr>
                <w:rFonts w:eastAsiaTheme="minorEastAsia" w:cs="Times New Roman"/>
                <w:bCs/>
                <w:sz w:val="20"/>
                <w:szCs w:val="20"/>
              </w:rPr>
              <w:t>.</w:t>
            </w:r>
          </w:p>
        </w:tc>
        <w:tc>
          <w:tcPr>
            <w:tcW w:w="3543" w:type="dxa"/>
            <w:shd w:val="clear" w:color="auto" w:fill="auto"/>
          </w:tcPr>
          <w:p w14:paraId="13B53887" w14:textId="5ED8DBA6"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 67/27.07.1999 г., изм. ДВ бр. </w:t>
            </w:r>
            <w:r w:rsidRPr="00610B1B">
              <w:rPr>
                <w:rFonts w:cs="Times New Roman"/>
                <w:sz w:val="20"/>
                <w:szCs w:val="20"/>
              </w:rPr>
              <w:t>52/9.06.2020,</w:t>
            </w:r>
            <w:r w:rsidRPr="00610B1B">
              <w:rPr>
                <w:rFonts w:eastAsiaTheme="minorEastAsia" w:cs="Times New Roman"/>
                <w:bCs/>
                <w:sz w:val="20"/>
                <w:szCs w:val="20"/>
              </w:rPr>
              <w:t xml:space="preserve"> </w:t>
            </w:r>
            <w:r w:rsidR="003C41B4" w:rsidRPr="00610B1B">
              <w:rPr>
                <w:rFonts w:eastAsiaTheme="minorEastAsia" w:cs="Times New Roman"/>
                <w:bCs/>
                <w:sz w:val="20"/>
                <w:szCs w:val="20"/>
              </w:rPr>
              <w:t>чл.</w:t>
            </w:r>
            <w:r w:rsidRPr="00610B1B">
              <w:rPr>
                <w:rFonts w:eastAsiaTheme="minorEastAsia" w:cs="Times New Roman"/>
                <w:bCs/>
                <w:sz w:val="20"/>
                <w:szCs w:val="20"/>
              </w:rPr>
              <w:t xml:space="preserve"> 135, ал. 1, т. 8</w:t>
            </w:r>
          </w:p>
        </w:tc>
      </w:tr>
      <w:tr w:rsidR="00D41A32" w:rsidRPr="00610B1B" w14:paraId="4963222B" w14:textId="77777777" w:rsidTr="009D32BB">
        <w:tc>
          <w:tcPr>
            <w:tcW w:w="2126" w:type="dxa"/>
            <w:vMerge/>
            <w:vAlign w:val="center"/>
          </w:tcPr>
          <w:p w14:paraId="6D5D818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74034AD" w14:textId="0065FD17"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Издава наредба за характеризиране на повърхностните води;</w:t>
            </w:r>
          </w:p>
        </w:tc>
        <w:tc>
          <w:tcPr>
            <w:tcW w:w="3543" w:type="dxa"/>
            <w:shd w:val="clear" w:color="auto" w:fill="auto"/>
          </w:tcPr>
          <w:p w14:paraId="35318FB7" w14:textId="45F8AFF6"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 67/27.07.1999 г., изм. ДВ бр. </w:t>
            </w:r>
            <w:r w:rsidRPr="00610B1B">
              <w:rPr>
                <w:rFonts w:cs="Times New Roman"/>
                <w:sz w:val="20"/>
                <w:szCs w:val="20"/>
              </w:rPr>
              <w:t>52/9.06.2020,</w:t>
            </w:r>
            <w:r w:rsidRPr="00610B1B">
              <w:rPr>
                <w:rFonts w:eastAsiaTheme="minorEastAsia" w:cs="Times New Roman"/>
                <w:bCs/>
                <w:sz w:val="20"/>
                <w:szCs w:val="20"/>
              </w:rPr>
              <w:t xml:space="preserve"> </w:t>
            </w:r>
            <w:r w:rsidR="003C41B4" w:rsidRPr="00610B1B">
              <w:rPr>
                <w:rFonts w:eastAsiaTheme="minorEastAsia" w:cs="Times New Roman"/>
                <w:bCs/>
                <w:sz w:val="20"/>
                <w:szCs w:val="20"/>
              </w:rPr>
              <w:t>чл.</w:t>
            </w:r>
            <w:r w:rsidRPr="00610B1B">
              <w:rPr>
                <w:rFonts w:eastAsiaTheme="minorEastAsia" w:cs="Times New Roman"/>
                <w:bCs/>
                <w:sz w:val="20"/>
                <w:szCs w:val="20"/>
              </w:rPr>
              <w:t xml:space="preserve"> 135, ал. 1, т. 9</w:t>
            </w:r>
          </w:p>
        </w:tc>
      </w:tr>
      <w:tr w:rsidR="00D41A32" w:rsidRPr="00610B1B" w14:paraId="5C30701F" w14:textId="77777777" w:rsidTr="009D32BB">
        <w:tc>
          <w:tcPr>
            <w:tcW w:w="2126" w:type="dxa"/>
            <w:vMerge/>
            <w:vAlign w:val="center"/>
          </w:tcPr>
          <w:p w14:paraId="69B3853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270AED85" w14:textId="13A42B76"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Издава наредба за разрешителните за заустване на отпадъчни води във водни обекти и определяне на индивидуалните емисионни ограничения на точкови източници на замърсяване.</w:t>
            </w:r>
          </w:p>
        </w:tc>
        <w:tc>
          <w:tcPr>
            <w:tcW w:w="3543" w:type="dxa"/>
            <w:shd w:val="clear" w:color="auto" w:fill="auto"/>
          </w:tcPr>
          <w:p w14:paraId="6946CCEC" w14:textId="249200AD"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водите, Обн. ДВ. бр.67/27.07.1999 г., изм. ДВ бр. </w:t>
            </w:r>
            <w:r w:rsidRPr="00610B1B">
              <w:rPr>
                <w:rFonts w:cs="Times New Roman"/>
                <w:sz w:val="20"/>
                <w:szCs w:val="20"/>
              </w:rPr>
              <w:t>52/9.06.2020,</w:t>
            </w:r>
            <w:r w:rsidRPr="00610B1B">
              <w:rPr>
                <w:rFonts w:eastAsiaTheme="minorEastAsia" w:cs="Times New Roman"/>
                <w:bCs/>
                <w:sz w:val="20"/>
                <w:szCs w:val="20"/>
              </w:rPr>
              <w:t xml:space="preserve"> </w:t>
            </w:r>
            <w:r w:rsidR="003C41B4" w:rsidRPr="00610B1B">
              <w:rPr>
                <w:rFonts w:eastAsiaTheme="minorEastAsia" w:cs="Times New Roman"/>
                <w:bCs/>
                <w:sz w:val="20"/>
                <w:szCs w:val="20"/>
              </w:rPr>
              <w:t>чл.</w:t>
            </w:r>
            <w:r w:rsidRPr="00610B1B">
              <w:rPr>
                <w:rFonts w:eastAsiaTheme="minorEastAsia" w:cs="Times New Roman"/>
                <w:bCs/>
                <w:sz w:val="20"/>
                <w:szCs w:val="20"/>
              </w:rPr>
              <w:t xml:space="preserve"> 135, ал. 1, т. 13</w:t>
            </w:r>
          </w:p>
        </w:tc>
      </w:tr>
      <w:tr w:rsidR="00D41A32" w:rsidRPr="00610B1B" w14:paraId="72E7E64C" w14:textId="77777777" w:rsidTr="009D32BB">
        <w:trPr>
          <w:trHeight w:val="944"/>
        </w:trPr>
        <w:tc>
          <w:tcPr>
            <w:tcW w:w="2126" w:type="dxa"/>
            <w:vMerge/>
            <w:vAlign w:val="center"/>
          </w:tcPr>
          <w:p w14:paraId="1FE639CE"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5E444E6E" w14:textId="672BA6C3" w:rsidR="00D41A32" w:rsidRPr="00610B1B" w:rsidRDefault="00D41A32" w:rsidP="00D41A32">
            <w:pPr>
              <w:pStyle w:val="BodyText"/>
              <w:spacing w:before="0" w:after="0" w:line="240" w:lineRule="auto"/>
              <w:rPr>
                <w:rFonts w:cs="Times New Roman"/>
                <w:sz w:val="20"/>
                <w:szCs w:val="20"/>
              </w:rPr>
            </w:pPr>
            <w:r w:rsidRPr="00610B1B">
              <w:rPr>
                <w:rFonts w:cs="Times New Roman"/>
                <w:bCs/>
                <w:sz w:val="20"/>
                <w:szCs w:val="20"/>
              </w:rPr>
              <w:t>Заповед за обявяване на защитени територии и защитени зони.</w:t>
            </w:r>
          </w:p>
        </w:tc>
        <w:tc>
          <w:tcPr>
            <w:tcW w:w="3543" w:type="dxa"/>
            <w:shd w:val="clear" w:color="auto" w:fill="auto"/>
          </w:tcPr>
          <w:p w14:paraId="071BF40B"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bCs/>
                <w:sz w:val="20"/>
                <w:szCs w:val="20"/>
              </w:rPr>
              <w:t>Закон за защитените територии, Обн. ДВ. бр.133/11.11.1998 г., чл. 39, ал. 1</w:t>
            </w:r>
          </w:p>
          <w:p w14:paraId="7D81AD72" w14:textId="566DF740"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Закон за биологичното разнообразие, Обн. ДВ бр.77/9.08.2002 г., чл.10, ал. 1</w:t>
            </w:r>
          </w:p>
        </w:tc>
      </w:tr>
      <w:tr w:rsidR="00D41A32" w:rsidRPr="00C717D0" w14:paraId="7A6445B7" w14:textId="77777777" w:rsidTr="009D32BB">
        <w:tc>
          <w:tcPr>
            <w:tcW w:w="2126" w:type="dxa"/>
            <w:vMerge/>
            <w:vAlign w:val="center"/>
          </w:tcPr>
          <w:p w14:paraId="772C8CA2"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031C1E30" w14:textId="63353C50"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МОСВ организира и ръководи дейностите по отстраняването на навлезли в страната неместни видове, които биха застрашили естествени природни местообитания или местни видове от дивата флора и фауна.</w:t>
            </w:r>
          </w:p>
        </w:tc>
        <w:tc>
          <w:tcPr>
            <w:tcW w:w="3543" w:type="dxa"/>
            <w:shd w:val="clear" w:color="auto" w:fill="auto"/>
          </w:tcPr>
          <w:p w14:paraId="1FC590F4" w14:textId="77777777"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Закон за биологичното разнообразие, Обн. ДВ. бр.77/09. 08.2002 г.</w:t>
            </w:r>
            <w:r w:rsidRPr="00610B1B">
              <w:rPr>
                <w:rFonts w:cs="Times New Roman"/>
                <w:sz w:val="20"/>
                <w:szCs w:val="20"/>
              </w:rPr>
              <w:t xml:space="preserve"> , </w:t>
            </w:r>
          </w:p>
          <w:p w14:paraId="68BECA50" w14:textId="7956B62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изм. ДВ бр. 98/27.11.2018</w:t>
            </w:r>
            <w:r w:rsidRPr="00610B1B">
              <w:rPr>
                <w:rFonts w:eastAsiaTheme="minorEastAsia" w:cs="Times New Roman"/>
                <w:bCs/>
                <w:sz w:val="20"/>
                <w:szCs w:val="20"/>
              </w:rPr>
              <w:t xml:space="preserve">, </w:t>
            </w:r>
            <w:r w:rsidRPr="00610B1B">
              <w:rPr>
                <w:rFonts w:cs="Times New Roman"/>
                <w:sz w:val="20"/>
                <w:szCs w:val="20"/>
              </w:rPr>
              <w:t>чл. 67а</w:t>
            </w:r>
          </w:p>
        </w:tc>
      </w:tr>
      <w:tr w:rsidR="00D41A32" w:rsidRPr="00C717D0" w14:paraId="746592D8" w14:textId="77777777" w:rsidTr="009D32BB">
        <w:tc>
          <w:tcPr>
            <w:tcW w:w="2126" w:type="dxa"/>
            <w:vMerge/>
            <w:vAlign w:val="center"/>
          </w:tcPr>
          <w:p w14:paraId="4FC5C71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7174950C" w14:textId="5C74A482"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МОСВ, МЗ</w:t>
            </w:r>
            <w:r w:rsidR="000A6746">
              <w:rPr>
                <w:rFonts w:eastAsiaTheme="minorEastAsia" w:cs="Times New Roman"/>
                <w:bCs/>
                <w:sz w:val="20"/>
                <w:szCs w:val="20"/>
              </w:rPr>
              <w:t>м</w:t>
            </w:r>
            <w:r w:rsidRPr="00610B1B">
              <w:rPr>
                <w:rFonts w:eastAsiaTheme="minorEastAsia" w:cs="Times New Roman"/>
                <w:bCs/>
                <w:sz w:val="20"/>
                <w:szCs w:val="20"/>
              </w:rPr>
              <w:t>, общините, физическите и юридическите лица - собственици и ползватели на горски територии, земи и водни площи в НЕМ, осъществяват тяхното стопанисване и охрана съгласно разпоредбите на този закон и другите специални закони.</w:t>
            </w:r>
          </w:p>
        </w:tc>
        <w:tc>
          <w:tcPr>
            <w:tcW w:w="3543" w:type="dxa"/>
            <w:shd w:val="clear" w:color="auto" w:fill="auto"/>
          </w:tcPr>
          <w:p w14:paraId="2086F4AF" w14:textId="2F6AC8CA"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биологичното разнообразие, Обн. ДВ. бр.77/09. 08.2002 г., </w:t>
            </w:r>
            <w:r w:rsidRPr="00610B1B">
              <w:rPr>
                <w:rFonts w:cs="Times New Roman"/>
                <w:sz w:val="20"/>
                <w:szCs w:val="20"/>
              </w:rPr>
              <w:t xml:space="preserve">изм. ДВ бр. 98/27.11.2018, </w:t>
            </w:r>
            <w:r w:rsidRPr="00610B1B">
              <w:rPr>
                <w:rFonts w:eastAsiaTheme="minorEastAsia" w:cs="Times New Roman"/>
                <w:bCs/>
                <w:sz w:val="20"/>
                <w:szCs w:val="20"/>
              </w:rPr>
              <w:t>чл. 119, ал. 1</w:t>
            </w:r>
          </w:p>
        </w:tc>
      </w:tr>
      <w:tr w:rsidR="00D41A32" w:rsidRPr="00610B1B" w14:paraId="39832AF6" w14:textId="77777777" w:rsidTr="009D32BB">
        <w:tc>
          <w:tcPr>
            <w:tcW w:w="2126" w:type="dxa"/>
            <w:vMerge/>
            <w:vAlign w:val="center"/>
          </w:tcPr>
          <w:p w14:paraId="6988226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269DA2D7" w14:textId="01D7E759"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Контролът по опазването на биологичното разнообразие на рибните ресурси се упражнява от министъра на околната среда и водите и от министъра на земеделието</w:t>
            </w:r>
            <w:r w:rsidR="00D4336B">
              <w:rPr>
                <w:rFonts w:eastAsiaTheme="minorEastAsia" w:cs="Times New Roman"/>
                <w:bCs/>
                <w:sz w:val="20"/>
                <w:szCs w:val="20"/>
              </w:rPr>
              <w:t>.</w:t>
            </w:r>
          </w:p>
        </w:tc>
        <w:tc>
          <w:tcPr>
            <w:tcW w:w="3543" w:type="dxa"/>
            <w:shd w:val="clear" w:color="auto" w:fill="auto"/>
          </w:tcPr>
          <w:p w14:paraId="087CDEFC" w14:textId="628FB838"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Закон за рибарството и аквакултурите, Обн. ДВ. бр.</w:t>
            </w:r>
            <w:r w:rsidR="00D66FE0" w:rsidRPr="00610B1B">
              <w:rPr>
                <w:rFonts w:eastAsiaTheme="minorEastAsia" w:cs="Times New Roman"/>
                <w:bCs/>
                <w:sz w:val="20"/>
                <w:szCs w:val="20"/>
              </w:rPr>
              <w:t xml:space="preserve"> </w:t>
            </w:r>
            <w:r w:rsidRPr="00610B1B">
              <w:rPr>
                <w:rFonts w:cs="Times New Roman"/>
                <w:sz w:val="20"/>
                <w:szCs w:val="20"/>
              </w:rPr>
              <w:t>41/24.04.2001,</w:t>
            </w:r>
            <w:r w:rsidR="00D66FE0" w:rsidRPr="00610B1B">
              <w:rPr>
                <w:rFonts w:cs="Times New Roman"/>
                <w:sz w:val="20"/>
                <w:szCs w:val="20"/>
              </w:rPr>
              <w:t xml:space="preserve"> </w:t>
            </w:r>
            <w:r w:rsidRPr="00610B1B">
              <w:rPr>
                <w:rFonts w:cs="Times New Roman"/>
                <w:sz w:val="20"/>
                <w:szCs w:val="20"/>
              </w:rPr>
              <w:t xml:space="preserve">изм. ДВ бр. 52/09.06.2020, </w:t>
            </w:r>
            <w:r w:rsidRPr="00610B1B">
              <w:rPr>
                <w:rFonts w:eastAsiaTheme="minorEastAsia" w:cs="Times New Roman"/>
                <w:bCs/>
                <w:sz w:val="20"/>
                <w:szCs w:val="20"/>
              </w:rPr>
              <w:t>чл. 9, ал. 1</w:t>
            </w:r>
          </w:p>
        </w:tc>
      </w:tr>
      <w:tr w:rsidR="00D41A32" w:rsidRPr="00610B1B" w14:paraId="4B394366" w14:textId="77777777" w:rsidTr="009D32BB">
        <w:tc>
          <w:tcPr>
            <w:tcW w:w="2126" w:type="dxa"/>
            <w:vMerge/>
            <w:vAlign w:val="center"/>
          </w:tcPr>
          <w:p w14:paraId="0DF6E9EC"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5478BB9B" w14:textId="1B0C20E2"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Чрез своите специализирани териториални звена упражнява контрол върху бреговите източници на замърсяване.</w:t>
            </w:r>
          </w:p>
        </w:tc>
        <w:tc>
          <w:tcPr>
            <w:tcW w:w="3543" w:type="dxa"/>
            <w:shd w:val="clear" w:color="auto" w:fill="auto"/>
          </w:tcPr>
          <w:p w14:paraId="36C1FDFA" w14:textId="28F1192F"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ЗМПВВППРБ, Обн. ДВ. бр. 12/11.02.2000 г.,</w:t>
            </w:r>
            <w:r w:rsidR="00343A67" w:rsidRPr="00610B1B">
              <w:rPr>
                <w:rFonts w:eastAsiaTheme="minorEastAsia" w:cs="Times New Roman"/>
                <w:bCs/>
                <w:sz w:val="20"/>
                <w:szCs w:val="20"/>
              </w:rPr>
              <w:t xml:space="preserve"> изм. ДВ бр. 17/26.02.2021 г.,</w:t>
            </w:r>
            <w:r w:rsidRPr="00610B1B">
              <w:rPr>
                <w:rFonts w:eastAsiaTheme="minorEastAsia" w:cs="Times New Roman"/>
                <w:bCs/>
                <w:sz w:val="20"/>
                <w:szCs w:val="20"/>
              </w:rPr>
              <w:t xml:space="preserve"> чл. 90, ал. 2</w:t>
            </w:r>
          </w:p>
        </w:tc>
      </w:tr>
      <w:tr w:rsidR="00D41A32" w:rsidRPr="00610B1B" w14:paraId="6FD107CC" w14:textId="77777777" w:rsidTr="009D32BB">
        <w:tc>
          <w:tcPr>
            <w:tcW w:w="2126" w:type="dxa"/>
            <w:vAlign w:val="center"/>
          </w:tcPr>
          <w:p w14:paraId="41BA256A" w14:textId="50DFD44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Изпълнителна агенция по околна среда</w:t>
            </w:r>
          </w:p>
        </w:tc>
        <w:tc>
          <w:tcPr>
            <w:tcW w:w="4396" w:type="dxa"/>
          </w:tcPr>
          <w:p w14:paraId="1D3A2F5F" w14:textId="09248B5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Извършва на национално ниво анализ на качеството и оценка на данните от мониторинга на водите, включително от мониторинга на морската околна среда.</w:t>
            </w:r>
          </w:p>
        </w:tc>
        <w:tc>
          <w:tcPr>
            <w:tcW w:w="3543" w:type="dxa"/>
          </w:tcPr>
          <w:p w14:paraId="5C381D83" w14:textId="1FA7A36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ИАОС, обн. ДВ бр. 62/10.08.2010 г., Чл. 17. т.10.</w:t>
            </w:r>
          </w:p>
        </w:tc>
      </w:tr>
      <w:tr w:rsidR="00D41A32" w:rsidRPr="00610B1B" w14:paraId="5EC8D782" w14:textId="77777777" w:rsidTr="009D32BB">
        <w:tc>
          <w:tcPr>
            <w:tcW w:w="2126" w:type="dxa"/>
            <w:vMerge w:val="restart"/>
            <w:vAlign w:val="center"/>
          </w:tcPr>
          <w:p w14:paraId="7045A18C" w14:textId="7FC794BC" w:rsidR="00D41A32" w:rsidRPr="00610B1B" w:rsidRDefault="004E6C8D" w:rsidP="00D41A32">
            <w:pPr>
              <w:pStyle w:val="BodyText"/>
              <w:spacing w:before="0" w:after="0" w:line="240" w:lineRule="auto"/>
              <w:jc w:val="left"/>
              <w:rPr>
                <w:rFonts w:cs="Times New Roman"/>
                <w:sz w:val="20"/>
                <w:szCs w:val="20"/>
              </w:rPr>
            </w:pPr>
            <w:r>
              <w:rPr>
                <w:rFonts w:cs="Times New Roman"/>
                <w:sz w:val="20"/>
                <w:szCs w:val="20"/>
              </w:rPr>
              <w:t>Министерство на транспорта и съобщенията</w:t>
            </w:r>
            <w:r w:rsidR="00D41A32" w:rsidRPr="00610B1B">
              <w:rPr>
                <w:rFonts w:cs="Times New Roman"/>
                <w:sz w:val="20"/>
                <w:szCs w:val="20"/>
              </w:rPr>
              <w:t xml:space="preserve"> (</w:t>
            </w:r>
            <w:r>
              <w:rPr>
                <w:rFonts w:cs="Times New Roman"/>
                <w:sz w:val="20"/>
                <w:szCs w:val="20"/>
              </w:rPr>
              <w:t>МТС</w:t>
            </w:r>
            <w:r w:rsidR="00D41A32" w:rsidRPr="00610B1B">
              <w:rPr>
                <w:rFonts w:cs="Times New Roman"/>
                <w:sz w:val="20"/>
                <w:szCs w:val="20"/>
              </w:rPr>
              <w:t>)</w:t>
            </w:r>
          </w:p>
        </w:tc>
        <w:tc>
          <w:tcPr>
            <w:tcW w:w="4396" w:type="dxa"/>
          </w:tcPr>
          <w:p w14:paraId="3A535B24" w14:textId="3FAF6E5D"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Министърът разработва и внася в МС стратегия за преструктуриране и развитие на транспорта, вкл. морския транспорт</w:t>
            </w:r>
          </w:p>
        </w:tc>
        <w:tc>
          <w:tcPr>
            <w:tcW w:w="3543" w:type="dxa"/>
            <w:vMerge w:val="restart"/>
          </w:tcPr>
          <w:p w14:paraId="3DFD6DC0" w14:textId="19362F5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Министерство на транспорта</w:t>
            </w:r>
            <w:r w:rsidR="004E6C8D">
              <w:rPr>
                <w:rFonts w:cs="Times New Roman"/>
                <w:sz w:val="20"/>
                <w:szCs w:val="20"/>
              </w:rPr>
              <w:t xml:space="preserve"> </w:t>
            </w:r>
            <w:r w:rsidRPr="00610B1B">
              <w:rPr>
                <w:rFonts w:cs="Times New Roman"/>
                <w:sz w:val="20"/>
                <w:szCs w:val="20"/>
              </w:rPr>
              <w:t xml:space="preserve">и съобщенията. Обн. ДВ бр. 78/02.10.2009 г., </w:t>
            </w:r>
            <w:r w:rsidR="004E6C8D" w:rsidRPr="00D03DA8">
              <w:rPr>
                <w:rFonts w:cs="Times New Roman"/>
                <w:sz w:val="20"/>
                <w:szCs w:val="20"/>
              </w:rPr>
              <w:t>изм. и доп., ДВ бр.38/20.05.2022 г.</w:t>
            </w:r>
          </w:p>
          <w:p w14:paraId="2ADC417B" w14:textId="24E1CF4B" w:rsidR="00D41A32" w:rsidRPr="00610B1B" w:rsidRDefault="00D41A32" w:rsidP="00343A67">
            <w:pPr>
              <w:pStyle w:val="BodyText"/>
              <w:spacing w:before="120" w:after="0" w:line="240" w:lineRule="auto"/>
              <w:jc w:val="left"/>
              <w:rPr>
                <w:rFonts w:cs="Times New Roman"/>
                <w:sz w:val="20"/>
                <w:szCs w:val="20"/>
              </w:rPr>
            </w:pPr>
            <w:r w:rsidRPr="00610B1B">
              <w:rPr>
                <w:rFonts w:cs="Times New Roman"/>
                <w:sz w:val="20"/>
                <w:szCs w:val="20"/>
              </w:rPr>
              <w:t>ЗМПВВППРБ,</w:t>
            </w:r>
            <w:r w:rsidR="00343A67" w:rsidRPr="00610B1B">
              <w:rPr>
                <w:rFonts w:cs="Times New Roman"/>
                <w:sz w:val="20"/>
                <w:szCs w:val="20"/>
              </w:rPr>
              <w:t xml:space="preserve"> обн. ДВ бр. 12/11.02.2000 г., изм. ДВ бр. 17/26.02.2021 г.,</w:t>
            </w:r>
            <w:r w:rsidR="008753B6" w:rsidRPr="00610B1B">
              <w:rPr>
                <w:rFonts w:cs="Times New Roman"/>
                <w:sz w:val="20"/>
                <w:szCs w:val="20"/>
              </w:rPr>
              <w:t xml:space="preserve"> </w:t>
            </w:r>
            <w:r w:rsidRPr="00610B1B">
              <w:rPr>
                <w:rFonts w:cs="Times New Roman"/>
                <w:sz w:val="20"/>
                <w:szCs w:val="20"/>
              </w:rPr>
              <w:t>чл. 62</w:t>
            </w:r>
          </w:p>
        </w:tc>
      </w:tr>
      <w:tr w:rsidR="00D41A32" w:rsidRPr="00C717D0" w14:paraId="516D82F8" w14:textId="77777777" w:rsidTr="009D32BB">
        <w:tc>
          <w:tcPr>
            <w:tcW w:w="2126" w:type="dxa"/>
            <w:vMerge/>
            <w:vAlign w:val="center"/>
          </w:tcPr>
          <w:p w14:paraId="2E4EC23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E7C941D" w14:textId="5B35357E"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Създава условия за безопасност в търговското корабоплаване. Организира и контролира технически разследването на произшествия в морските пространства и поддържа система за задължително и доброволно докладване на произшествия в морските пространства.</w:t>
            </w:r>
          </w:p>
        </w:tc>
        <w:tc>
          <w:tcPr>
            <w:tcW w:w="3543" w:type="dxa"/>
            <w:vMerge/>
          </w:tcPr>
          <w:p w14:paraId="2C4AECDC"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45EB79EB" w14:textId="77777777" w:rsidTr="009D32BB">
        <w:tc>
          <w:tcPr>
            <w:tcW w:w="2126" w:type="dxa"/>
            <w:vMerge/>
            <w:vAlign w:val="center"/>
          </w:tcPr>
          <w:p w14:paraId="0FA6B3DB"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94E81C6" w14:textId="7C524EAD"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Съгласува определените от директора на БДЧР райони за изхвърляне на земни маси и дънни утайки в морските пространства на страната.</w:t>
            </w:r>
          </w:p>
        </w:tc>
        <w:tc>
          <w:tcPr>
            <w:tcW w:w="3543" w:type="dxa"/>
            <w:vMerge/>
          </w:tcPr>
          <w:p w14:paraId="23D538A9"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0E2C7E14" w14:textId="77777777" w:rsidTr="009D32BB">
        <w:tc>
          <w:tcPr>
            <w:tcW w:w="2126" w:type="dxa"/>
            <w:vMerge/>
            <w:vAlign w:val="center"/>
          </w:tcPr>
          <w:p w14:paraId="639D94C0"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2F606743" w14:textId="4EC2859A"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При повреда, авария или друго морско произшествие в морските пространства на </w:t>
            </w:r>
            <w:r w:rsidRPr="00610B1B">
              <w:rPr>
                <w:rFonts w:eastAsiaTheme="minorEastAsia" w:cs="Times New Roman"/>
                <w:bCs/>
                <w:sz w:val="20"/>
                <w:szCs w:val="20"/>
              </w:rPr>
              <w:lastRenderedPageBreak/>
              <w:t xml:space="preserve">страната, което създава опасност от замърсяване на морската среда или крайбрежието, както и за увреждане на свързаните с тях интереси, </w:t>
            </w:r>
            <w:r w:rsidR="004E6C8D">
              <w:rPr>
                <w:rFonts w:eastAsiaTheme="minorEastAsia" w:cs="Times New Roman"/>
                <w:bCs/>
                <w:sz w:val="20"/>
                <w:szCs w:val="20"/>
              </w:rPr>
              <w:t>МТС</w:t>
            </w:r>
            <w:r w:rsidRPr="00610B1B">
              <w:rPr>
                <w:rFonts w:eastAsiaTheme="minorEastAsia" w:cs="Times New Roman"/>
                <w:bCs/>
                <w:sz w:val="20"/>
                <w:szCs w:val="20"/>
              </w:rPr>
              <w:t xml:space="preserve"> със съдействието на заинтересуваните ведомства и организации предприема необходимите мерки за предотвратяване, ограничаване и отстраняване на опасността</w:t>
            </w:r>
            <w:r w:rsidRPr="00610B1B">
              <w:rPr>
                <w:rFonts w:cs="Times New Roman"/>
              </w:rPr>
              <w:t xml:space="preserve"> </w:t>
            </w:r>
            <w:r w:rsidRPr="00610B1B">
              <w:rPr>
                <w:rFonts w:eastAsiaTheme="minorEastAsia" w:cs="Times New Roman"/>
                <w:bCs/>
                <w:sz w:val="20"/>
                <w:szCs w:val="20"/>
              </w:rPr>
              <w:t>в съответствие с Националния план за защита при бедствия.</w:t>
            </w:r>
          </w:p>
        </w:tc>
        <w:tc>
          <w:tcPr>
            <w:tcW w:w="3543" w:type="dxa"/>
            <w:vMerge/>
            <w:shd w:val="clear" w:color="auto" w:fill="auto"/>
          </w:tcPr>
          <w:p w14:paraId="20664331"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44B924B1" w14:textId="77777777" w:rsidTr="009D32BB">
        <w:tc>
          <w:tcPr>
            <w:tcW w:w="2126" w:type="dxa"/>
            <w:vAlign w:val="center"/>
          </w:tcPr>
          <w:p w14:paraId="1046E855" w14:textId="58DC6333" w:rsidR="00D41A32" w:rsidRPr="00610B1B" w:rsidRDefault="006D3B6E" w:rsidP="00D41A32">
            <w:pPr>
              <w:pStyle w:val="BodyText"/>
              <w:spacing w:before="0" w:after="0" w:line="240" w:lineRule="auto"/>
              <w:jc w:val="left"/>
              <w:rPr>
                <w:rFonts w:cs="Times New Roman"/>
                <w:sz w:val="20"/>
                <w:szCs w:val="20"/>
              </w:rPr>
            </w:pPr>
            <w:r w:rsidRPr="00887A42">
              <w:rPr>
                <w:rFonts w:cs="Times New Roman"/>
                <w:sz w:val="20"/>
                <w:szCs w:val="20"/>
              </w:rPr>
              <w:t xml:space="preserve">Национален борд за </w:t>
            </w:r>
            <w:r w:rsidR="00D41A32" w:rsidRPr="00610B1B">
              <w:rPr>
                <w:rFonts w:cs="Times New Roman"/>
                <w:sz w:val="20"/>
                <w:szCs w:val="20"/>
              </w:rPr>
              <w:t>разследване на произшествия във</w:t>
            </w:r>
          </w:p>
          <w:p w14:paraId="7E2A4A40" w14:textId="5383E744" w:rsidR="00D41A32" w:rsidRDefault="00D41A32" w:rsidP="00D41A32">
            <w:pPr>
              <w:pStyle w:val="BodyText"/>
              <w:spacing w:before="0" w:after="0" w:line="240" w:lineRule="auto"/>
              <w:jc w:val="left"/>
              <w:rPr>
                <w:rFonts w:cs="Times New Roman"/>
                <w:sz w:val="20"/>
                <w:szCs w:val="20"/>
              </w:rPr>
            </w:pPr>
            <w:r w:rsidRPr="00610B1B">
              <w:rPr>
                <w:rFonts w:cs="Times New Roman"/>
                <w:sz w:val="20"/>
                <w:szCs w:val="20"/>
              </w:rPr>
              <w:t>въздушния, водния и железопътния транспорт</w:t>
            </w:r>
          </w:p>
          <w:p w14:paraId="76ABE2DE" w14:textId="15FC5750" w:rsidR="006D3B6E" w:rsidRPr="00610B1B" w:rsidRDefault="006D3B6E" w:rsidP="00D41A32">
            <w:pPr>
              <w:pStyle w:val="BodyText"/>
              <w:spacing w:before="0" w:after="0" w:line="240" w:lineRule="auto"/>
              <w:jc w:val="left"/>
              <w:rPr>
                <w:rFonts w:cs="Times New Roman"/>
                <w:sz w:val="20"/>
                <w:szCs w:val="20"/>
              </w:rPr>
            </w:pPr>
          </w:p>
        </w:tc>
        <w:tc>
          <w:tcPr>
            <w:tcW w:w="4396" w:type="dxa"/>
          </w:tcPr>
          <w:p w14:paraId="3B2B63CC" w14:textId="1030B35C" w:rsidR="00D41A32" w:rsidRPr="00610B1B" w:rsidRDefault="00D41A32" w:rsidP="003C41B4">
            <w:pPr>
              <w:pStyle w:val="BodyText"/>
              <w:spacing w:before="0" w:after="0" w:line="240" w:lineRule="auto"/>
              <w:jc w:val="left"/>
              <w:rPr>
                <w:rFonts w:cs="Times New Roman"/>
                <w:sz w:val="20"/>
                <w:szCs w:val="20"/>
              </w:rPr>
            </w:pPr>
            <w:r w:rsidRPr="00610B1B">
              <w:rPr>
                <w:rFonts w:cs="Times New Roman"/>
                <w:sz w:val="20"/>
                <w:szCs w:val="20"/>
              </w:rPr>
              <w:t>Изпълнява държавни функции по независимото разследване на произшествия в морските пространства; организира и извършва разследване на произшествието; поддържа система за докладване при възникване на произшествия, води архив и поддържа база данни, като се ръководи от препоръките на ММО и на ЕС, заложени в техните актове за разследването на морските произшествия;</w:t>
            </w:r>
          </w:p>
        </w:tc>
        <w:tc>
          <w:tcPr>
            <w:tcW w:w="3543" w:type="dxa"/>
            <w:vMerge/>
          </w:tcPr>
          <w:p w14:paraId="0AA05A69"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054DA450" w14:textId="77777777" w:rsidTr="009D32BB">
        <w:tc>
          <w:tcPr>
            <w:tcW w:w="2126" w:type="dxa"/>
            <w:vMerge w:val="restart"/>
            <w:vAlign w:val="center"/>
          </w:tcPr>
          <w:p w14:paraId="0F049388" w14:textId="77777777" w:rsidR="00106945"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Изпълнителна агенция „Морска администрация“ </w:t>
            </w:r>
          </w:p>
          <w:p w14:paraId="64A9B4E1" w14:textId="5E6976E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(ИАМА)</w:t>
            </w:r>
          </w:p>
        </w:tc>
        <w:tc>
          <w:tcPr>
            <w:tcW w:w="4396" w:type="dxa"/>
          </w:tcPr>
          <w:p w14:paraId="5D8D1233" w14:textId="1F3E4E2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Изпълнява регулаторни и контролни функции на държавата в областта на пристанищата.</w:t>
            </w:r>
          </w:p>
        </w:tc>
        <w:tc>
          <w:tcPr>
            <w:tcW w:w="3543" w:type="dxa"/>
          </w:tcPr>
          <w:p w14:paraId="08000F0A" w14:textId="05DA357C" w:rsidR="00D41A32" w:rsidRPr="00610B1B" w:rsidRDefault="00D41A32" w:rsidP="00343A67">
            <w:pPr>
              <w:pStyle w:val="BodyText"/>
              <w:spacing w:before="0" w:after="0" w:line="240" w:lineRule="auto"/>
              <w:jc w:val="left"/>
              <w:rPr>
                <w:rFonts w:cs="Times New Roman"/>
                <w:sz w:val="20"/>
                <w:szCs w:val="20"/>
              </w:rPr>
            </w:pPr>
            <w:r w:rsidRPr="00610B1B">
              <w:rPr>
                <w:rFonts w:cs="Times New Roman"/>
                <w:sz w:val="20"/>
                <w:szCs w:val="20"/>
              </w:rPr>
              <w:t xml:space="preserve">ЗМПВВППРБ, </w:t>
            </w:r>
            <w:r w:rsidR="00343A67" w:rsidRPr="00610B1B">
              <w:rPr>
                <w:rFonts w:cs="Times New Roman"/>
                <w:sz w:val="20"/>
                <w:szCs w:val="20"/>
              </w:rPr>
              <w:t>обн. ДВ. бр. 12/11.02.2000 г., изм. ДВ бр. 17/26.02.2021 г.,</w:t>
            </w:r>
            <w:r w:rsidR="008753B6" w:rsidRPr="00610B1B">
              <w:rPr>
                <w:rFonts w:cs="Times New Roman"/>
                <w:sz w:val="20"/>
                <w:szCs w:val="20"/>
              </w:rPr>
              <w:t xml:space="preserve"> </w:t>
            </w:r>
            <w:r w:rsidRPr="00610B1B">
              <w:rPr>
                <w:rFonts w:cs="Times New Roman"/>
                <w:sz w:val="20"/>
                <w:szCs w:val="20"/>
              </w:rPr>
              <w:t xml:space="preserve">чл. 115к ал. 2 </w:t>
            </w:r>
          </w:p>
        </w:tc>
      </w:tr>
      <w:tr w:rsidR="00D41A32" w:rsidRPr="00610B1B" w14:paraId="0A79779A" w14:textId="77777777" w:rsidTr="009D32BB">
        <w:tc>
          <w:tcPr>
            <w:tcW w:w="2126" w:type="dxa"/>
            <w:vMerge/>
            <w:vAlign w:val="center"/>
          </w:tcPr>
          <w:p w14:paraId="024D1250" w14:textId="59F8FD46"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1C432BE" w14:textId="5E8F3C2B"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Организира и координира дейности по осигуряване безопасността на корабоплаването в морските пространства и упражнява контрол за: а) спазване на условията за безопасност на корабоплаването; б) предоставяне на</w:t>
            </w:r>
            <w:r w:rsidR="00D66FE0" w:rsidRPr="00610B1B">
              <w:rPr>
                <w:rFonts w:cs="Times New Roman"/>
                <w:sz w:val="20"/>
                <w:szCs w:val="20"/>
              </w:rPr>
              <w:t xml:space="preserve"> </w:t>
            </w:r>
            <w:r w:rsidRPr="00610B1B">
              <w:rPr>
                <w:rFonts w:cs="Times New Roman"/>
                <w:sz w:val="20"/>
                <w:szCs w:val="20"/>
              </w:rPr>
              <w:t>услуги по управление на трафика и информационното обслужване на корабоплаването в морските пространства; в) спазване на изискванията за качество на корабните горива; г) спазването на условията на труд и живот на моряците; д) изпълнение на изискванията за правата на пътниците, пътуващи по море и отговорността на превозвачите в случай на произшествия.</w:t>
            </w:r>
          </w:p>
        </w:tc>
        <w:tc>
          <w:tcPr>
            <w:tcW w:w="3543" w:type="dxa"/>
            <w:vMerge w:val="restart"/>
          </w:tcPr>
          <w:p w14:paraId="01CA7697"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ИАМА, обн. ДВ бр. 33/08.05.2015 г., изм. ДВ. бр.70/24.08.2018 г.</w:t>
            </w:r>
          </w:p>
          <w:p w14:paraId="4F3437CD" w14:textId="392E4160" w:rsidR="00D41A32" w:rsidRPr="00610B1B" w:rsidRDefault="00D41A32" w:rsidP="00D41A32">
            <w:pPr>
              <w:pStyle w:val="BodyText"/>
              <w:spacing w:before="0" w:after="0" w:line="240" w:lineRule="auto"/>
              <w:jc w:val="left"/>
              <w:rPr>
                <w:rFonts w:cs="Times New Roman"/>
                <w:sz w:val="20"/>
                <w:szCs w:val="20"/>
              </w:rPr>
            </w:pPr>
          </w:p>
          <w:p w14:paraId="3E8EDE5C" w14:textId="47B569AE" w:rsidR="00D349E6" w:rsidRPr="00610B1B" w:rsidRDefault="00D349E6" w:rsidP="00D41A32">
            <w:pPr>
              <w:pStyle w:val="BodyText"/>
              <w:spacing w:before="0" w:after="0" w:line="240" w:lineRule="auto"/>
              <w:jc w:val="left"/>
              <w:rPr>
                <w:rFonts w:cs="Times New Roman"/>
                <w:sz w:val="20"/>
                <w:szCs w:val="20"/>
              </w:rPr>
            </w:pPr>
            <w:r w:rsidRPr="00610B1B">
              <w:rPr>
                <w:rFonts w:cs="Times New Roman"/>
                <w:sz w:val="20"/>
                <w:szCs w:val="20"/>
              </w:rPr>
              <w:t>Кодекс на търговското корабоплаване, обн. ДВ бр. 55/14.07.1970</w:t>
            </w:r>
            <w:r w:rsidR="00343A67" w:rsidRPr="00610B1B">
              <w:rPr>
                <w:rFonts w:cs="Times New Roman"/>
                <w:sz w:val="20"/>
                <w:szCs w:val="20"/>
              </w:rPr>
              <w:t xml:space="preserve"> </w:t>
            </w:r>
            <w:r w:rsidRPr="00610B1B">
              <w:rPr>
                <w:rFonts w:cs="Times New Roman"/>
                <w:sz w:val="20"/>
                <w:szCs w:val="20"/>
              </w:rPr>
              <w:t>г.,</w:t>
            </w:r>
            <w:r w:rsidR="00343A67" w:rsidRPr="00610B1B">
              <w:rPr>
                <w:rFonts w:cs="Times New Roman"/>
                <w:sz w:val="20"/>
                <w:szCs w:val="20"/>
              </w:rPr>
              <w:t xml:space="preserve"> изм. и доп. ДВ бр. 108/22.12.2020 г.</w:t>
            </w:r>
          </w:p>
          <w:p w14:paraId="06FB0B92" w14:textId="77777777" w:rsidR="00D349E6" w:rsidRPr="00610B1B" w:rsidRDefault="00D349E6" w:rsidP="00D41A32">
            <w:pPr>
              <w:pStyle w:val="BodyText"/>
              <w:spacing w:before="0" w:after="0" w:line="240" w:lineRule="auto"/>
              <w:jc w:val="left"/>
              <w:rPr>
                <w:rFonts w:cs="Times New Roman"/>
                <w:sz w:val="20"/>
                <w:szCs w:val="20"/>
              </w:rPr>
            </w:pPr>
          </w:p>
          <w:p w14:paraId="214D8F1D" w14:textId="71D60FC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ЗМПВВППРБ,</w:t>
            </w:r>
            <w:r w:rsidR="00343A67" w:rsidRPr="00610B1B">
              <w:rPr>
                <w:rFonts w:cs="Times New Roman"/>
                <w:sz w:val="20"/>
                <w:szCs w:val="20"/>
              </w:rPr>
              <w:t xml:space="preserve"> обн. ДВ. бр. 12/11.02.2000 г., изм. ДВ бр. 17/26.02.2021 г., </w:t>
            </w:r>
            <w:r w:rsidRPr="00610B1B">
              <w:rPr>
                <w:rFonts w:cs="Times New Roman"/>
                <w:sz w:val="20"/>
                <w:szCs w:val="20"/>
              </w:rPr>
              <w:t>чл. 58</w:t>
            </w:r>
          </w:p>
          <w:p w14:paraId="37781BA2" w14:textId="77777777" w:rsidR="00D41A32" w:rsidRPr="00610B1B" w:rsidRDefault="00D41A32" w:rsidP="00D41A32">
            <w:pPr>
              <w:pStyle w:val="BodyText"/>
              <w:spacing w:before="0" w:after="0" w:line="240" w:lineRule="auto"/>
              <w:jc w:val="left"/>
              <w:rPr>
                <w:rFonts w:cs="Times New Roman"/>
                <w:sz w:val="20"/>
                <w:szCs w:val="20"/>
              </w:rPr>
            </w:pPr>
          </w:p>
          <w:p w14:paraId="15C8F65D" w14:textId="77777777" w:rsidR="00D41A32" w:rsidRPr="00610B1B" w:rsidRDefault="00D41A32" w:rsidP="00D41A32">
            <w:pPr>
              <w:pStyle w:val="BodyText"/>
              <w:spacing w:before="0" w:after="0" w:line="240" w:lineRule="auto"/>
              <w:jc w:val="left"/>
              <w:rPr>
                <w:rFonts w:cs="Times New Roman"/>
                <w:sz w:val="20"/>
                <w:szCs w:val="20"/>
              </w:rPr>
            </w:pPr>
          </w:p>
          <w:p w14:paraId="599FFF76" w14:textId="77777777" w:rsidR="00D41A32" w:rsidRPr="00610B1B" w:rsidRDefault="00D41A32" w:rsidP="00D41A32">
            <w:pPr>
              <w:pStyle w:val="BodyText"/>
              <w:spacing w:before="0" w:after="0" w:line="240" w:lineRule="auto"/>
              <w:jc w:val="left"/>
              <w:rPr>
                <w:rFonts w:cs="Times New Roman"/>
                <w:sz w:val="20"/>
                <w:szCs w:val="20"/>
              </w:rPr>
            </w:pPr>
          </w:p>
          <w:p w14:paraId="6A183C1D" w14:textId="77777777" w:rsidR="00D41A32" w:rsidRPr="00610B1B" w:rsidRDefault="00D41A32" w:rsidP="00D41A32">
            <w:pPr>
              <w:pStyle w:val="BodyText"/>
              <w:spacing w:before="0" w:after="0" w:line="240" w:lineRule="auto"/>
              <w:jc w:val="left"/>
              <w:rPr>
                <w:rFonts w:cs="Times New Roman"/>
                <w:sz w:val="20"/>
                <w:szCs w:val="20"/>
              </w:rPr>
            </w:pPr>
          </w:p>
          <w:p w14:paraId="3EC7141B" w14:textId="77777777" w:rsidR="00D41A32" w:rsidRPr="00610B1B" w:rsidRDefault="00D41A32" w:rsidP="00D41A32">
            <w:pPr>
              <w:pStyle w:val="BodyText"/>
              <w:spacing w:before="0" w:after="0" w:line="240" w:lineRule="auto"/>
              <w:jc w:val="left"/>
              <w:rPr>
                <w:rFonts w:cs="Times New Roman"/>
                <w:sz w:val="20"/>
                <w:szCs w:val="20"/>
              </w:rPr>
            </w:pPr>
          </w:p>
          <w:p w14:paraId="765B150A" w14:textId="77777777" w:rsidR="00D41A32" w:rsidRPr="00610B1B" w:rsidRDefault="00D41A32" w:rsidP="00D41A32">
            <w:pPr>
              <w:pStyle w:val="BodyText"/>
              <w:spacing w:before="0" w:after="0" w:line="240" w:lineRule="auto"/>
              <w:jc w:val="left"/>
              <w:rPr>
                <w:rFonts w:cs="Times New Roman"/>
                <w:sz w:val="20"/>
                <w:szCs w:val="20"/>
              </w:rPr>
            </w:pPr>
          </w:p>
          <w:p w14:paraId="1F431A8B" w14:textId="77777777" w:rsidR="00D41A32" w:rsidRPr="00610B1B" w:rsidRDefault="00D41A32" w:rsidP="00D41A32">
            <w:pPr>
              <w:pStyle w:val="BodyText"/>
              <w:spacing w:before="0" w:after="0" w:line="240" w:lineRule="auto"/>
              <w:jc w:val="left"/>
              <w:rPr>
                <w:rFonts w:cs="Times New Roman"/>
                <w:sz w:val="20"/>
                <w:szCs w:val="20"/>
              </w:rPr>
            </w:pPr>
          </w:p>
          <w:p w14:paraId="6C5E0E5A" w14:textId="77777777" w:rsidR="00D41A32" w:rsidRPr="00610B1B" w:rsidRDefault="00D41A32" w:rsidP="00D41A32">
            <w:pPr>
              <w:pStyle w:val="BodyText"/>
              <w:spacing w:before="0" w:after="0" w:line="240" w:lineRule="auto"/>
              <w:jc w:val="left"/>
              <w:rPr>
                <w:rFonts w:cs="Times New Roman"/>
                <w:sz w:val="20"/>
                <w:szCs w:val="20"/>
              </w:rPr>
            </w:pPr>
          </w:p>
          <w:p w14:paraId="6F5973F3" w14:textId="77777777" w:rsidR="00D41A32" w:rsidRPr="00610B1B" w:rsidRDefault="00D41A32" w:rsidP="00D41A32">
            <w:pPr>
              <w:pStyle w:val="BodyText"/>
              <w:spacing w:before="0" w:after="0" w:line="240" w:lineRule="auto"/>
              <w:jc w:val="left"/>
              <w:rPr>
                <w:rFonts w:cs="Times New Roman"/>
                <w:sz w:val="20"/>
                <w:szCs w:val="20"/>
              </w:rPr>
            </w:pPr>
          </w:p>
          <w:p w14:paraId="55C228C9" w14:textId="77777777" w:rsidR="00D41A32" w:rsidRPr="00610B1B" w:rsidRDefault="00D41A32" w:rsidP="00D41A32">
            <w:pPr>
              <w:pStyle w:val="BodyText"/>
              <w:spacing w:before="0" w:after="0" w:line="240" w:lineRule="auto"/>
              <w:jc w:val="left"/>
              <w:rPr>
                <w:rFonts w:cs="Times New Roman"/>
                <w:sz w:val="20"/>
                <w:szCs w:val="20"/>
              </w:rPr>
            </w:pPr>
          </w:p>
          <w:p w14:paraId="14A39C6F" w14:textId="77777777" w:rsidR="00D41A32" w:rsidRPr="00610B1B" w:rsidRDefault="00D41A32" w:rsidP="00D41A32">
            <w:pPr>
              <w:pStyle w:val="BodyText"/>
              <w:spacing w:before="0" w:after="0" w:line="240" w:lineRule="auto"/>
              <w:jc w:val="left"/>
              <w:rPr>
                <w:rFonts w:cs="Times New Roman"/>
                <w:sz w:val="20"/>
                <w:szCs w:val="20"/>
              </w:rPr>
            </w:pPr>
          </w:p>
          <w:p w14:paraId="63B51A00" w14:textId="77777777" w:rsidR="00D41A32" w:rsidRPr="00610B1B" w:rsidRDefault="00D41A32" w:rsidP="00D41A32">
            <w:pPr>
              <w:pStyle w:val="BodyText"/>
              <w:spacing w:before="0" w:after="0" w:line="240" w:lineRule="auto"/>
              <w:jc w:val="left"/>
              <w:rPr>
                <w:rFonts w:cs="Times New Roman"/>
                <w:sz w:val="20"/>
                <w:szCs w:val="20"/>
              </w:rPr>
            </w:pPr>
          </w:p>
          <w:p w14:paraId="35B35D60" w14:textId="77777777" w:rsidR="00D41A32" w:rsidRPr="00610B1B" w:rsidRDefault="00D41A32" w:rsidP="00D41A32">
            <w:pPr>
              <w:pStyle w:val="BodyText"/>
              <w:spacing w:before="0" w:after="0" w:line="240" w:lineRule="auto"/>
              <w:jc w:val="left"/>
              <w:rPr>
                <w:rFonts w:cs="Times New Roman"/>
                <w:sz w:val="20"/>
                <w:szCs w:val="20"/>
              </w:rPr>
            </w:pPr>
          </w:p>
          <w:p w14:paraId="3D11EA84" w14:textId="77777777" w:rsidR="00D41A32" w:rsidRPr="00610B1B" w:rsidRDefault="00D41A32" w:rsidP="00D41A32">
            <w:pPr>
              <w:pStyle w:val="BodyText"/>
              <w:spacing w:before="0" w:after="0" w:line="240" w:lineRule="auto"/>
              <w:jc w:val="left"/>
              <w:rPr>
                <w:rFonts w:cs="Times New Roman"/>
                <w:sz w:val="20"/>
                <w:szCs w:val="20"/>
              </w:rPr>
            </w:pPr>
          </w:p>
          <w:p w14:paraId="735E9E18" w14:textId="77777777" w:rsidR="00D41A32" w:rsidRPr="00610B1B" w:rsidRDefault="00D41A32" w:rsidP="00D41A32">
            <w:pPr>
              <w:pStyle w:val="BodyText"/>
              <w:spacing w:before="0" w:after="0" w:line="240" w:lineRule="auto"/>
              <w:jc w:val="left"/>
              <w:rPr>
                <w:rFonts w:cs="Times New Roman"/>
                <w:sz w:val="20"/>
                <w:szCs w:val="20"/>
              </w:rPr>
            </w:pPr>
          </w:p>
          <w:p w14:paraId="0FE3FE40" w14:textId="77777777" w:rsidR="00D41A32" w:rsidRPr="00610B1B" w:rsidRDefault="00D41A32" w:rsidP="00D41A32">
            <w:pPr>
              <w:pStyle w:val="BodyText"/>
              <w:spacing w:before="0" w:after="0" w:line="240" w:lineRule="auto"/>
              <w:jc w:val="left"/>
              <w:rPr>
                <w:rFonts w:cs="Times New Roman"/>
                <w:sz w:val="20"/>
                <w:szCs w:val="20"/>
              </w:rPr>
            </w:pPr>
          </w:p>
          <w:p w14:paraId="389D96B9" w14:textId="77777777" w:rsidR="00D41A32" w:rsidRPr="00610B1B" w:rsidRDefault="00D41A32" w:rsidP="00D41A32">
            <w:pPr>
              <w:pStyle w:val="BodyText"/>
              <w:spacing w:before="0" w:after="0" w:line="240" w:lineRule="auto"/>
              <w:jc w:val="left"/>
              <w:rPr>
                <w:rFonts w:cs="Times New Roman"/>
                <w:sz w:val="20"/>
                <w:szCs w:val="20"/>
              </w:rPr>
            </w:pPr>
          </w:p>
          <w:p w14:paraId="10ABF6E6" w14:textId="77777777" w:rsidR="00D41A32" w:rsidRPr="00610B1B" w:rsidRDefault="00D41A32" w:rsidP="00D41A32">
            <w:pPr>
              <w:pStyle w:val="BodyText"/>
              <w:spacing w:before="0" w:after="0" w:line="240" w:lineRule="auto"/>
              <w:jc w:val="left"/>
              <w:rPr>
                <w:rFonts w:cs="Times New Roman"/>
                <w:sz w:val="20"/>
                <w:szCs w:val="20"/>
              </w:rPr>
            </w:pPr>
          </w:p>
          <w:p w14:paraId="302B982B" w14:textId="77777777" w:rsidR="00D41A32" w:rsidRPr="00610B1B" w:rsidRDefault="00D41A32" w:rsidP="00D41A32">
            <w:pPr>
              <w:pStyle w:val="BodyText"/>
              <w:spacing w:before="0" w:after="0" w:line="240" w:lineRule="auto"/>
              <w:jc w:val="left"/>
              <w:rPr>
                <w:rFonts w:cs="Times New Roman"/>
                <w:sz w:val="20"/>
                <w:szCs w:val="20"/>
              </w:rPr>
            </w:pPr>
          </w:p>
          <w:p w14:paraId="13796F75" w14:textId="77777777" w:rsidR="00D41A32" w:rsidRPr="00610B1B" w:rsidRDefault="00D41A32" w:rsidP="00D41A32">
            <w:pPr>
              <w:pStyle w:val="BodyText"/>
              <w:spacing w:before="0" w:after="0" w:line="240" w:lineRule="auto"/>
              <w:jc w:val="left"/>
              <w:rPr>
                <w:rFonts w:cs="Times New Roman"/>
                <w:sz w:val="20"/>
                <w:szCs w:val="20"/>
              </w:rPr>
            </w:pPr>
          </w:p>
          <w:p w14:paraId="3EDB9F42" w14:textId="34B59A1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Наредба за опазването на околната среда в морските води, обн. ДВ бр. 94/30.11.2010 г. изм. и доп. ДВ бр. 14/18.02.2020 г. </w:t>
            </w:r>
          </w:p>
        </w:tc>
      </w:tr>
      <w:tr w:rsidR="00D41A32" w:rsidRPr="00C717D0" w14:paraId="1AC8D8D8" w14:textId="77777777" w:rsidTr="009D32BB">
        <w:tc>
          <w:tcPr>
            <w:tcW w:w="2126" w:type="dxa"/>
            <w:vMerge/>
            <w:vAlign w:val="center"/>
          </w:tcPr>
          <w:p w14:paraId="13EDB9A5"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1F7A9FD" w14:textId="2CC9BE8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Издава „Известие до корабоводителите“ съгл. чл. 4 от ЗМПВВППРБ и оповестява измененията в навигационната обстановка и специалните временни предписания за осигуряване безопасността на корабоплаването по вътрешните водни пътища на Р. България;</w:t>
            </w:r>
          </w:p>
        </w:tc>
        <w:tc>
          <w:tcPr>
            <w:tcW w:w="3543" w:type="dxa"/>
            <w:vMerge/>
          </w:tcPr>
          <w:p w14:paraId="3541077B"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6D8F920E" w14:textId="77777777" w:rsidTr="009D32BB">
        <w:tc>
          <w:tcPr>
            <w:tcW w:w="2126" w:type="dxa"/>
            <w:vMerge/>
            <w:vAlign w:val="center"/>
          </w:tcPr>
          <w:p w14:paraId="34FEB14C"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9E48A86" w14:textId="1929C546" w:rsidR="00D41A32" w:rsidRPr="00610B1B" w:rsidRDefault="00D41A32" w:rsidP="00343A67">
            <w:pPr>
              <w:pStyle w:val="BodyText"/>
              <w:spacing w:before="0" w:after="0" w:line="240" w:lineRule="auto"/>
              <w:jc w:val="left"/>
              <w:rPr>
                <w:rFonts w:cs="Times New Roman"/>
                <w:sz w:val="20"/>
                <w:szCs w:val="20"/>
              </w:rPr>
            </w:pPr>
            <w:r w:rsidRPr="00610B1B">
              <w:rPr>
                <w:rFonts w:cs="Times New Roman"/>
                <w:sz w:val="20"/>
                <w:szCs w:val="20"/>
              </w:rPr>
              <w:t xml:space="preserve">Упражнява държавен екологичен контрол на корабоплаването за предотвратяване замърсяването от кораби съгл. чл. </w:t>
            </w:r>
            <w:r w:rsidR="00106945" w:rsidRPr="00610B1B">
              <w:rPr>
                <w:rFonts w:cs="Times New Roman"/>
                <w:sz w:val="20"/>
                <w:szCs w:val="20"/>
              </w:rPr>
              <w:t xml:space="preserve">362в от Кодекса </w:t>
            </w:r>
            <w:r w:rsidR="00F249B9" w:rsidRPr="00610B1B">
              <w:rPr>
                <w:rFonts w:cs="Times New Roman"/>
                <w:sz w:val="20"/>
                <w:szCs w:val="20"/>
              </w:rPr>
              <w:t>на Търговското корабоплаване</w:t>
            </w:r>
            <w:r w:rsidR="00343A67" w:rsidRPr="00610B1B">
              <w:rPr>
                <w:rFonts w:cs="Times New Roman"/>
                <w:sz w:val="20"/>
                <w:szCs w:val="20"/>
              </w:rPr>
              <w:t xml:space="preserve">; Съвместно с МОСВ контролира </w:t>
            </w:r>
            <w:r w:rsidR="003C41B4" w:rsidRPr="00610B1B">
              <w:rPr>
                <w:rFonts w:cs="Times New Roman"/>
                <w:sz w:val="20"/>
                <w:szCs w:val="20"/>
              </w:rPr>
              <w:t>спазването</w:t>
            </w:r>
            <w:r w:rsidR="00343A67" w:rsidRPr="00610B1B">
              <w:rPr>
                <w:rFonts w:cs="Times New Roman"/>
                <w:sz w:val="20"/>
                <w:szCs w:val="20"/>
              </w:rPr>
              <w:t xml:space="preserve"> на предвидените мерки за отстраняване на последствията от проучвателни, сондажни и други дейности по разработва е използване на природни ресурси в морските пространства, съгл. чл. 58</w:t>
            </w:r>
            <w:r w:rsidR="008753B6" w:rsidRPr="00610B1B">
              <w:rPr>
                <w:rFonts w:cs="Times New Roman"/>
                <w:sz w:val="20"/>
                <w:szCs w:val="20"/>
              </w:rPr>
              <w:t xml:space="preserve"> </w:t>
            </w:r>
            <w:r w:rsidR="00343A67" w:rsidRPr="00610B1B">
              <w:rPr>
                <w:rFonts w:cs="Times New Roman"/>
                <w:sz w:val="20"/>
                <w:szCs w:val="20"/>
              </w:rPr>
              <w:t xml:space="preserve">ал. 1 </w:t>
            </w:r>
            <w:r w:rsidRPr="00610B1B">
              <w:rPr>
                <w:rFonts w:cs="Times New Roman"/>
                <w:sz w:val="20"/>
                <w:szCs w:val="20"/>
              </w:rPr>
              <w:t>на ЗМПВВППРБ.</w:t>
            </w:r>
          </w:p>
        </w:tc>
        <w:tc>
          <w:tcPr>
            <w:tcW w:w="3543" w:type="dxa"/>
            <w:vMerge/>
          </w:tcPr>
          <w:p w14:paraId="3FA30F52"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4FF19E4C" w14:textId="77777777" w:rsidTr="009D32BB">
        <w:tc>
          <w:tcPr>
            <w:tcW w:w="2126" w:type="dxa"/>
            <w:vMerge/>
            <w:vAlign w:val="center"/>
          </w:tcPr>
          <w:p w14:paraId="3A1FC9CB"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08D482F" w14:textId="0D213E4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Осъществява контрола върху замърсяването от кораби и използването на морската среда за навигационни и транспортни цели.</w:t>
            </w:r>
          </w:p>
        </w:tc>
        <w:tc>
          <w:tcPr>
            <w:tcW w:w="3543" w:type="dxa"/>
            <w:vMerge/>
          </w:tcPr>
          <w:p w14:paraId="7717324D"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135E348C" w14:textId="77777777" w:rsidTr="009D32BB">
        <w:tc>
          <w:tcPr>
            <w:tcW w:w="2126" w:type="dxa"/>
            <w:vMerge/>
            <w:vAlign w:val="center"/>
          </w:tcPr>
          <w:p w14:paraId="2E3AD8C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29C043F" w14:textId="099DA1C4"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Организира и координира търсене и спасяване на търпящи бедствие хора, кораби и самолети в българския морски отговорен район.</w:t>
            </w:r>
          </w:p>
        </w:tc>
        <w:tc>
          <w:tcPr>
            <w:tcW w:w="3543" w:type="dxa"/>
            <w:vMerge/>
          </w:tcPr>
          <w:p w14:paraId="565B9B35"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6F487399" w14:textId="77777777" w:rsidTr="009D32BB">
        <w:tc>
          <w:tcPr>
            <w:tcW w:w="2126" w:type="dxa"/>
            <w:vMerge/>
            <w:vAlign w:val="center"/>
          </w:tcPr>
          <w:p w14:paraId="439810F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BD0E293" w14:textId="207C93B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Подпомага министъра при съгласуването на документи за отреждане на земни и водни участъци за извършване на строителство по </w:t>
            </w:r>
            <w:r w:rsidRPr="00610B1B">
              <w:rPr>
                <w:rFonts w:cs="Times New Roman"/>
                <w:sz w:val="20"/>
                <w:szCs w:val="20"/>
              </w:rPr>
              <w:lastRenderedPageBreak/>
              <w:t>крайбрежието на Черно море, във вътрешните води и в териториалното море, както и в зоните на действие на средствата за навигационно осигуряване, включително на проекти на ПУП и на ИП за изграждане на нови или разширение на съществуващи подводни линейни обекти на техническата инфраструктура;</w:t>
            </w:r>
          </w:p>
        </w:tc>
        <w:tc>
          <w:tcPr>
            <w:tcW w:w="3543" w:type="dxa"/>
            <w:vMerge/>
          </w:tcPr>
          <w:p w14:paraId="5790F65F"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25DB0E21" w14:textId="77777777" w:rsidTr="009D32BB">
        <w:tc>
          <w:tcPr>
            <w:tcW w:w="2126" w:type="dxa"/>
            <w:vMerge/>
            <w:vAlign w:val="center"/>
          </w:tcPr>
          <w:p w14:paraId="16B21CF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A0D88FE" w14:textId="2B01710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Осигурява технически и организационно дейността по разглеждане, приемане и одобряване на генералните планове на пристанищата за обществен транспорт, на ПУП за изграждане на нови, разширения и реконструкция на съществуващи пристанища.</w:t>
            </w:r>
          </w:p>
        </w:tc>
        <w:tc>
          <w:tcPr>
            <w:tcW w:w="3543" w:type="dxa"/>
            <w:vMerge/>
          </w:tcPr>
          <w:p w14:paraId="044D55A3"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1020EF05" w14:textId="77777777" w:rsidTr="009D32BB">
        <w:tc>
          <w:tcPr>
            <w:tcW w:w="2126" w:type="dxa"/>
            <w:vAlign w:val="center"/>
          </w:tcPr>
          <w:p w14:paraId="7E64AAA8" w14:textId="770276F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ДП „Пристанищна инфраструктура“</w:t>
            </w:r>
          </w:p>
        </w:tc>
        <w:tc>
          <w:tcPr>
            <w:tcW w:w="4396" w:type="dxa"/>
          </w:tcPr>
          <w:p w14:paraId="1CE8E4B5" w14:textId="77777777" w:rsidR="00D41A32" w:rsidRPr="00610B1B" w:rsidRDefault="00D41A32" w:rsidP="005C2AA5">
            <w:pPr>
              <w:pStyle w:val="BodyText"/>
              <w:spacing w:before="60" w:after="0" w:line="240" w:lineRule="auto"/>
              <w:rPr>
                <w:rFonts w:cs="Times New Roman"/>
                <w:sz w:val="20"/>
                <w:szCs w:val="20"/>
              </w:rPr>
            </w:pPr>
            <w:r w:rsidRPr="00610B1B">
              <w:rPr>
                <w:rFonts w:cs="Times New Roman"/>
                <w:sz w:val="20"/>
                <w:szCs w:val="20"/>
              </w:rPr>
              <w:t xml:space="preserve">Изпълнява дейности по </w:t>
            </w:r>
          </w:p>
          <w:p w14:paraId="16B1324E" w14:textId="77777777" w:rsidR="005C2AA5"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изграждане на пристанища и пристанищни терминали - държавна собственост, както и реконструкция, рехабилитация и поддържане на пристанищните терминали - държавна собственост, от пристанищата за обществен транспорт, освен в случаите, когато това е възложено на концесионер или на еднолично търговско дружество с държавно участие в капитала; съгласувано с министъра на околната среда и водите;</w:t>
            </w:r>
          </w:p>
          <w:p w14:paraId="324C0990" w14:textId="77777777" w:rsidR="005C2AA5"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управление на държавната собственост в пристанищата за обществен транспорт и обезпечаване на достъп до пристанищата по чл. 93, т. 1 - 4;</w:t>
            </w:r>
          </w:p>
          <w:p w14:paraId="3B6362BC"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поддържане на съществуващите и изграждане на нови подходни канали, пристанищни акватории, морски депа за изхвърляне на драгажна маса, вълноломи, защитни съоръжения, мрежи и съоръжения на общата техническа инфраструктура, вкл. инфраструктура за достъп, в пристанищата по чл. 106а и в пристанищата за обществен транспорт - държавна собственост, съгласувано с министъра на околната среда и водите;</w:t>
            </w:r>
          </w:p>
          <w:p w14:paraId="4EDDD465"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навигационно осигуряване на корабоплаването в териториалното море, вътрешните морски води, каналите и акваторията на пристанищата, освен в случаите, в които това е възложено на МО;</w:t>
            </w:r>
          </w:p>
          <w:p w14:paraId="3F5DED9D"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определяне, събиране и разходване на пристанищните такси по чл. 103в, ал. 1 и чл. 109а, ал. 3;</w:t>
            </w:r>
          </w:p>
          <w:p w14:paraId="45A75C79"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изготвяне, поддържане и съхраняване на регистър, съдържащ данни за пристанищната инфраструктура - държавна собственост;</w:t>
            </w:r>
          </w:p>
          <w:p w14:paraId="52ADAE46" w14:textId="418B4A76"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 xml:space="preserve">подпомагане министъра на транспорта и съобщенията </w:t>
            </w:r>
            <w:r w:rsidR="0088200F" w:rsidRPr="00610B1B">
              <w:rPr>
                <w:rFonts w:cs="Times New Roman"/>
                <w:sz w:val="20"/>
                <w:szCs w:val="20"/>
              </w:rPr>
              <w:t>в</w:t>
            </w:r>
            <w:r w:rsidRPr="00610B1B">
              <w:rPr>
                <w:rFonts w:cs="Times New Roman"/>
                <w:sz w:val="20"/>
                <w:szCs w:val="20"/>
              </w:rPr>
              <w:t xml:space="preserve"> контрола по изпълнението на концесионните договори и договорите с едноличните търговски дружества за извършване на пристанищни услуги и на дейности по чл. 116а, ал. 1;</w:t>
            </w:r>
          </w:p>
          <w:p w14:paraId="409C2F1C" w14:textId="2F79F1F9"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 xml:space="preserve">организиране набирането, поддържането в </w:t>
            </w:r>
            <w:r w:rsidRPr="00610B1B">
              <w:rPr>
                <w:rFonts w:cs="Times New Roman"/>
                <w:sz w:val="20"/>
                <w:szCs w:val="20"/>
              </w:rPr>
              <w:lastRenderedPageBreak/>
              <w:t>актуално състояние и предоставянето на специализирани данни за обектите по чл. 32, ал. 1, т. 1 от З</w:t>
            </w:r>
            <w:r w:rsidR="00A67B98" w:rsidRPr="00610B1B">
              <w:rPr>
                <w:rFonts w:cs="Times New Roman"/>
                <w:sz w:val="20"/>
                <w:szCs w:val="20"/>
              </w:rPr>
              <w:t>КИР</w:t>
            </w:r>
            <w:r w:rsidRPr="00610B1B">
              <w:rPr>
                <w:rFonts w:cs="Times New Roman"/>
                <w:sz w:val="20"/>
                <w:szCs w:val="20"/>
              </w:rPr>
              <w:t xml:space="preserve"> и създаването на специализирани карти, регистри и информационни системи, за пристанищата по чл. 106а и за пристанищата за обществен транспорт или терминали от такива пристанища, държавна собственост;</w:t>
            </w:r>
          </w:p>
          <w:p w14:paraId="6ABF6A89" w14:textId="632E0270"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сключване на договори с пристанищни оператори за извършване на пристанищни услуги по приемане и обработване на отпадъци от корабоплавателна дейност;</w:t>
            </w:r>
          </w:p>
          <w:p w14:paraId="4C779C64"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изграждане и поддържане на съоръженията, обслужващи системата за контрол на движението на корабите и за информация и българската речна информационна система;</w:t>
            </w:r>
          </w:p>
          <w:p w14:paraId="103BD0AD"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предоставяне на услуги чрез Световната морска система за бедствия и безопасност;</w:t>
            </w:r>
            <w:r w:rsidR="0088200F" w:rsidRPr="00610B1B">
              <w:rPr>
                <w:rFonts w:cs="Times New Roman"/>
                <w:sz w:val="20"/>
                <w:szCs w:val="20"/>
              </w:rPr>
              <w:t xml:space="preserve"> </w:t>
            </w:r>
            <w:r w:rsidRPr="00610B1B">
              <w:rPr>
                <w:rFonts w:cs="Times New Roman"/>
                <w:sz w:val="20"/>
                <w:szCs w:val="20"/>
              </w:rPr>
              <w:t>предоставяне на далекосъобщителни услуги кораб-бряг и бряг-кораб;</w:t>
            </w:r>
          </w:p>
          <w:p w14:paraId="7E192497"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предоставяне на услуги по управление на трафика и информационно обслужване на корабоплаването и предоставяне на речни информационни услуги на корабния трафик;</w:t>
            </w:r>
          </w:p>
          <w:p w14:paraId="57FAE022"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предоставяне на хидрометеорологична информация;</w:t>
            </w:r>
          </w:p>
          <w:p w14:paraId="0A61C0FB"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отговорност за наличието, изпълнението и поддържането на плановете за сигурност на пристанищата по чл. 106а;</w:t>
            </w:r>
          </w:p>
          <w:p w14:paraId="658DC0FC"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съпътстващи дейности по чл. 116а в пристанищата за обществен транспорт и терминалите от такива пристанища, които са държавна собственост;</w:t>
            </w:r>
          </w:p>
          <w:p w14:paraId="7658AF39" w14:textId="77777777" w:rsidR="0088200F"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поддържане на сили и средства за участие в спасителни и неотложни аварийно-възстановителни работи, извършвани в акваториите на пристанищата по чл. 106а и на пристанищата за обществен транспорт - държавна собственост, в съответствие с Националния план за защита при бедствия;</w:t>
            </w:r>
          </w:p>
          <w:p w14:paraId="76F3FB98" w14:textId="33EF172C" w:rsidR="00D41A32" w:rsidRPr="00610B1B" w:rsidRDefault="005C2AA5" w:rsidP="0088200F">
            <w:pPr>
              <w:pStyle w:val="BodyText"/>
              <w:numPr>
                <w:ilvl w:val="0"/>
                <w:numId w:val="81"/>
              </w:numPr>
              <w:tabs>
                <w:tab w:val="left" w:pos="453"/>
              </w:tabs>
              <w:spacing w:before="60" w:after="0" w:line="240" w:lineRule="auto"/>
              <w:ind w:left="170" w:hanging="284"/>
              <w:jc w:val="left"/>
              <w:rPr>
                <w:rFonts w:cs="Times New Roman"/>
                <w:sz w:val="20"/>
                <w:szCs w:val="20"/>
              </w:rPr>
            </w:pPr>
            <w:r w:rsidRPr="00610B1B">
              <w:rPr>
                <w:rFonts w:cs="Times New Roman"/>
                <w:sz w:val="20"/>
                <w:szCs w:val="20"/>
              </w:rPr>
              <w:t>изграждане, поддържане и администриране на национална система за електронен обмен на информация в пристанищата за обществен транспорт.</w:t>
            </w:r>
          </w:p>
        </w:tc>
        <w:tc>
          <w:tcPr>
            <w:tcW w:w="3543" w:type="dxa"/>
          </w:tcPr>
          <w:p w14:paraId="17EB56C5" w14:textId="2CBE23F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 xml:space="preserve">ЗМПВВППРБ, </w:t>
            </w:r>
            <w:r w:rsidR="0066785F" w:rsidRPr="00610B1B">
              <w:rPr>
                <w:rFonts w:cs="Times New Roman"/>
                <w:sz w:val="20"/>
                <w:szCs w:val="20"/>
              </w:rPr>
              <w:t xml:space="preserve">изм. и доп. ДВ бр. 104/08.12.2020 г., изм. ДВ бр. 17/26.02.2021 г. </w:t>
            </w:r>
            <w:r w:rsidRPr="00610B1B">
              <w:rPr>
                <w:rFonts w:cs="Times New Roman"/>
                <w:sz w:val="20"/>
                <w:szCs w:val="20"/>
              </w:rPr>
              <w:t xml:space="preserve">чл. 115м ал. 1 т. </w:t>
            </w:r>
            <w:r w:rsidR="0066785F" w:rsidRPr="00610B1B">
              <w:rPr>
                <w:rFonts w:cs="Times New Roman"/>
                <w:sz w:val="20"/>
                <w:szCs w:val="20"/>
              </w:rPr>
              <w:t>1-20</w:t>
            </w:r>
          </w:p>
          <w:p w14:paraId="0907ED22" w14:textId="4949A1A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18C30CC5" w14:textId="77777777" w:rsidTr="009D32BB">
        <w:tc>
          <w:tcPr>
            <w:tcW w:w="2126" w:type="dxa"/>
            <w:shd w:val="clear" w:color="auto" w:fill="auto"/>
            <w:vAlign w:val="center"/>
          </w:tcPr>
          <w:p w14:paraId="2C78F88A" w14:textId="52070C1E"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Дирекция „Ръководство на корабния трафик - Черно море“</w:t>
            </w:r>
          </w:p>
        </w:tc>
        <w:tc>
          <w:tcPr>
            <w:tcW w:w="4396" w:type="dxa"/>
            <w:shd w:val="clear" w:color="auto" w:fill="auto"/>
          </w:tcPr>
          <w:p w14:paraId="37E3818D" w14:textId="2CD2D944"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Изпълнява функции по повишаването на безопасността и ефективността на корабоплаването, опазването на човешкия живот на море и защитата на околната среда и прилежащата брегова ивица от вредни въздействия от корабоплаването и информационно обслужване на морския транспорт</w:t>
            </w:r>
          </w:p>
        </w:tc>
        <w:tc>
          <w:tcPr>
            <w:tcW w:w="3543" w:type="dxa"/>
            <w:shd w:val="clear" w:color="auto" w:fill="auto"/>
          </w:tcPr>
          <w:p w14:paraId="2DEDD9A3" w14:textId="498A155B"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Правилник за устройството, функциите и дейността на Държавно предприятие „Пристанищна инфраструктура“, чл. 33, ал. 2</w:t>
            </w:r>
          </w:p>
        </w:tc>
      </w:tr>
      <w:tr w:rsidR="00D41A32" w:rsidRPr="00610B1B" w14:paraId="4B1297C6" w14:textId="77777777" w:rsidTr="009D32BB">
        <w:tc>
          <w:tcPr>
            <w:tcW w:w="2126" w:type="dxa"/>
            <w:vMerge w:val="restart"/>
            <w:vAlign w:val="center"/>
          </w:tcPr>
          <w:p w14:paraId="53E9F782" w14:textId="695CED0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земеделието (МЗ</w:t>
            </w:r>
            <w:r w:rsidR="000A6746">
              <w:rPr>
                <w:rFonts w:cs="Times New Roman"/>
                <w:sz w:val="20"/>
                <w:szCs w:val="20"/>
              </w:rPr>
              <w:t>м</w:t>
            </w:r>
            <w:r w:rsidRPr="00610B1B">
              <w:rPr>
                <w:rFonts w:cs="Times New Roman"/>
                <w:sz w:val="20"/>
                <w:szCs w:val="20"/>
              </w:rPr>
              <w:t>)</w:t>
            </w:r>
          </w:p>
        </w:tc>
        <w:tc>
          <w:tcPr>
            <w:tcW w:w="4396" w:type="dxa"/>
          </w:tcPr>
          <w:p w14:paraId="51C91948" w14:textId="2CFEA54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Министърът на земеделието, съгласувано с министъра на околната среда и водите определя временни забрани за стопански и любителски риболов във водни обекти или отделни зони от тях за опазване на популациите от риба и други </w:t>
            </w:r>
            <w:r w:rsidRPr="00610B1B">
              <w:rPr>
                <w:rFonts w:cs="Times New Roman"/>
                <w:sz w:val="20"/>
                <w:szCs w:val="20"/>
              </w:rPr>
              <w:lastRenderedPageBreak/>
              <w:t>водни организми.</w:t>
            </w:r>
            <w:r w:rsidR="00D66FE0" w:rsidRPr="00610B1B">
              <w:rPr>
                <w:rFonts w:cs="Times New Roman"/>
                <w:sz w:val="20"/>
                <w:szCs w:val="20"/>
              </w:rPr>
              <w:t xml:space="preserve"> </w:t>
            </w:r>
          </w:p>
        </w:tc>
        <w:tc>
          <w:tcPr>
            <w:tcW w:w="3543" w:type="dxa"/>
          </w:tcPr>
          <w:p w14:paraId="2ADBBDF1" w14:textId="3D5E040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 xml:space="preserve">Закон за рибарството и аквакултурите, обн. ДВ бр. 41/24.04.2001 г., изм. и доп. ДВ бр. 52/09.06.2020 г., чл. 30 ал. 3 т. 1 </w:t>
            </w:r>
          </w:p>
        </w:tc>
      </w:tr>
      <w:tr w:rsidR="00D41A32" w:rsidRPr="00610B1B" w14:paraId="3C5B7FB0" w14:textId="77777777" w:rsidTr="009D32BB">
        <w:tc>
          <w:tcPr>
            <w:tcW w:w="2126" w:type="dxa"/>
            <w:vMerge/>
            <w:vAlign w:val="center"/>
          </w:tcPr>
          <w:p w14:paraId="192CB06D" w14:textId="568CCE1F"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27902BD" w14:textId="401745F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Министърът на земеделиеторъководи, координира и контролира осъществяването на държавната политика в областта на ….. рибарството и аквакултурите и провежда държавната политика за безопасността на храните в съответствие с действащото законодателство.</w:t>
            </w:r>
          </w:p>
        </w:tc>
        <w:tc>
          <w:tcPr>
            <w:tcW w:w="3543" w:type="dxa"/>
            <w:vMerge w:val="restart"/>
          </w:tcPr>
          <w:p w14:paraId="6BCFF765"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Министерството на земеделието, храните и горите, обн., ДВ, бр. 82/18.10.2019 г.</w:t>
            </w:r>
          </w:p>
          <w:p w14:paraId="2452CC10" w14:textId="77777777" w:rsidR="00D41A32" w:rsidRPr="00610B1B" w:rsidRDefault="00D41A32" w:rsidP="00D41A32">
            <w:pPr>
              <w:pStyle w:val="BodyText"/>
              <w:spacing w:before="0" w:after="0" w:line="240" w:lineRule="auto"/>
              <w:jc w:val="left"/>
              <w:rPr>
                <w:rFonts w:cs="Times New Roman"/>
                <w:sz w:val="20"/>
                <w:szCs w:val="20"/>
              </w:rPr>
            </w:pPr>
          </w:p>
          <w:p w14:paraId="576AEEE4" w14:textId="176B4AB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рибарството и аквакултурите, обн. ДВ бр. 41/24.04.2001 г., изм. и доп. ДВ бр. 52/09.06.2020 г.</w:t>
            </w:r>
          </w:p>
        </w:tc>
      </w:tr>
      <w:tr w:rsidR="00D41A32" w:rsidRPr="00C717D0" w14:paraId="4B8678D6" w14:textId="77777777" w:rsidTr="009D32BB">
        <w:tc>
          <w:tcPr>
            <w:tcW w:w="2126" w:type="dxa"/>
            <w:vMerge/>
            <w:vAlign w:val="center"/>
          </w:tcPr>
          <w:p w14:paraId="35ACAD35"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C7D9B1A" w14:textId="5E779CF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Издава наредба за управлението на риболовния флот.</w:t>
            </w:r>
          </w:p>
        </w:tc>
        <w:tc>
          <w:tcPr>
            <w:tcW w:w="3543" w:type="dxa"/>
            <w:vMerge/>
          </w:tcPr>
          <w:p w14:paraId="39B40DE9"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76B765C8" w14:textId="77777777" w:rsidTr="009D32BB">
        <w:tc>
          <w:tcPr>
            <w:tcW w:w="2126" w:type="dxa"/>
            <w:vMerge/>
            <w:vAlign w:val="center"/>
          </w:tcPr>
          <w:p w14:paraId="3F85E208"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E3D1657" w14:textId="7F5ED15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Организира, координира и контролира дейностите, свързани с Политиката по безопасност на храните и Общата политика в областта на рибарството на ЕС.</w:t>
            </w:r>
          </w:p>
        </w:tc>
        <w:tc>
          <w:tcPr>
            <w:tcW w:w="3543" w:type="dxa"/>
            <w:vMerge/>
          </w:tcPr>
          <w:p w14:paraId="588EBB61"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3B8FC210" w14:textId="77777777" w:rsidTr="009D32BB">
        <w:tc>
          <w:tcPr>
            <w:tcW w:w="2126" w:type="dxa"/>
            <w:vMerge/>
            <w:vAlign w:val="center"/>
          </w:tcPr>
          <w:p w14:paraId="472025C6"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755F040" w14:textId="507F9FAD"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По предложение на изп. директор на ИАРА променя със заповед началната дата, крайната дата или увеличава сроковете на забраната по Приложение № 1 с до 30 дни при нетипични промени в климатичните условия, влияещи на развитието на рибните ресурси.</w:t>
            </w:r>
          </w:p>
        </w:tc>
        <w:tc>
          <w:tcPr>
            <w:tcW w:w="3543" w:type="dxa"/>
            <w:shd w:val="clear" w:color="auto" w:fill="auto"/>
          </w:tcPr>
          <w:p w14:paraId="76EEA07D" w14:textId="463952B4"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рибарството и аквакултурите, обн. ДВ бр. 41/24.04.2001 г., </w:t>
            </w:r>
            <w:r w:rsidRPr="00610B1B">
              <w:rPr>
                <w:rFonts w:cs="Times New Roman"/>
                <w:sz w:val="20"/>
                <w:szCs w:val="20"/>
              </w:rPr>
              <w:t xml:space="preserve">изм. и доп. ДВ бр. 52/09.06.2020 г. </w:t>
            </w:r>
            <w:r w:rsidRPr="00610B1B">
              <w:rPr>
                <w:rFonts w:eastAsiaTheme="minorEastAsia" w:cs="Times New Roman"/>
                <w:bCs/>
                <w:sz w:val="20"/>
                <w:szCs w:val="20"/>
              </w:rPr>
              <w:t>чл. 32, ал. 2</w:t>
            </w:r>
          </w:p>
        </w:tc>
      </w:tr>
      <w:tr w:rsidR="00D41A32" w:rsidRPr="00610B1B" w14:paraId="52DE8E89" w14:textId="77777777" w:rsidTr="009D32BB">
        <w:tc>
          <w:tcPr>
            <w:tcW w:w="2126" w:type="dxa"/>
            <w:vMerge/>
            <w:vAlign w:val="center"/>
          </w:tcPr>
          <w:p w14:paraId="2663916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54CECC2D" w14:textId="6ED6A542"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След съгласуване с министъра на околната среда и водите, министърът на ЗХГ издава разрешително за улов за научноизследователски цели на видовете риби по приложение № 4 от Закона за биологичното разнообразие.</w:t>
            </w:r>
          </w:p>
        </w:tc>
        <w:tc>
          <w:tcPr>
            <w:tcW w:w="3543" w:type="dxa"/>
            <w:shd w:val="clear" w:color="auto" w:fill="auto"/>
          </w:tcPr>
          <w:p w14:paraId="1C7BC26D" w14:textId="073C31A6"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Закон за рибарството и аквакултурите, обн. ДВ бр. 41/24.04.2001 г., </w:t>
            </w:r>
            <w:r w:rsidRPr="00610B1B">
              <w:rPr>
                <w:rFonts w:cs="Times New Roman"/>
                <w:sz w:val="20"/>
                <w:szCs w:val="20"/>
              </w:rPr>
              <w:t xml:space="preserve">изм. и доп. ДВ бр. 52/09.06.2020 г. </w:t>
            </w:r>
            <w:r w:rsidRPr="00610B1B">
              <w:rPr>
                <w:rFonts w:eastAsiaTheme="minorEastAsia" w:cs="Times New Roman"/>
                <w:bCs/>
                <w:sz w:val="20"/>
                <w:szCs w:val="20"/>
              </w:rPr>
              <w:t>чл. 40, ал. 2</w:t>
            </w:r>
          </w:p>
        </w:tc>
      </w:tr>
      <w:tr w:rsidR="00D41A32" w:rsidRPr="00610B1B" w14:paraId="7D1127A6" w14:textId="77777777" w:rsidTr="009D32BB">
        <w:tc>
          <w:tcPr>
            <w:tcW w:w="2126" w:type="dxa"/>
            <w:vAlign w:val="center"/>
          </w:tcPr>
          <w:p w14:paraId="18AE37A3" w14:textId="1FE639E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Дирекция „Морско дело и рибарство“ </w:t>
            </w:r>
          </w:p>
        </w:tc>
        <w:tc>
          <w:tcPr>
            <w:tcW w:w="4396" w:type="dxa"/>
          </w:tcPr>
          <w:p w14:paraId="6E991505" w14:textId="1377272A"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Изпълнява функциите на Управляващ орган на Програмата за морско дело и рибарство 2014 – 2020 г. (ПМДР), организира, координира и участва в изготвянето, актуализирането, изпълнението, наблюдението и оценката на ПМДР 2014-2020 г.</w:t>
            </w:r>
          </w:p>
        </w:tc>
        <w:tc>
          <w:tcPr>
            <w:tcW w:w="3543" w:type="dxa"/>
          </w:tcPr>
          <w:p w14:paraId="01C8527D" w14:textId="393808A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рибарството и аквакултурите, обн. ДВ бр. 41/24.04.2001 г.</w:t>
            </w:r>
            <w:r w:rsidRPr="00610B1B">
              <w:rPr>
                <w:rFonts w:eastAsiaTheme="minorEastAsia" w:cs="Times New Roman"/>
                <w:bCs/>
                <w:sz w:val="20"/>
                <w:szCs w:val="20"/>
              </w:rPr>
              <w:t xml:space="preserve">, </w:t>
            </w:r>
            <w:r w:rsidRPr="00610B1B">
              <w:rPr>
                <w:rFonts w:cs="Times New Roman"/>
                <w:sz w:val="20"/>
                <w:szCs w:val="20"/>
              </w:rPr>
              <w:t xml:space="preserve">изм. и доп. ДВ бр. 52/09.06.2020 г. Чл. 39 </w:t>
            </w:r>
          </w:p>
        </w:tc>
      </w:tr>
      <w:tr w:rsidR="00D41A32" w:rsidRPr="00610B1B" w14:paraId="4096EB79" w14:textId="77777777" w:rsidTr="009D32BB">
        <w:tc>
          <w:tcPr>
            <w:tcW w:w="2126" w:type="dxa"/>
            <w:vMerge w:val="restart"/>
            <w:vAlign w:val="center"/>
          </w:tcPr>
          <w:p w14:paraId="40AE89B4" w14:textId="207858A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Дирекция „Обща политика в областта на рибарството“:</w:t>
            </w:r>
          </w:p>
        </w:tc>
        <w:tc>
          <w:tcPr>
            <w:tcW w:w="4396" w:type="dxa"/>
          </w:tcPr>
          <w:p w14:paraId="02E5A3B3" w14:textId="18862EA8"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Разработва и участва в разработването на стратегии, програми и проекти за развитие на рибарството и опазване на рибните ресурси.</w:t>
            </w:r>
          </w:p>
        </w:tc>
        <w:tc>
          <w:tcPr>
            <w:tcW w:w="3543" w:type="dxa"/>
          </w:tcPr>
          <w:p w14:paraId="3F258480"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рибарството и аквакултурите, обн. ДВ бр. 41/24.04.2001 г.,</w:t>
            </w:r>
            <w:r w:rsidRPr="00610B1B">
              <w:rPr>
                <w:rFonts w:eastAsiaTheme="minorEastAsia" w:cs="Times New Roman"/>
                <w:bCs/>
                <w:sz w:val="20"/>
                <w:szCs w:val="20"/>
              </w:rPr>
              <w:t xml:space="preserve"> </w:t>
            </w:r>
            <w:r w:rsidRPr="00610B1B">
              <w:rPr>
                <w:rFonts w:cs="Times New Roman"/>
                <w:sz w:val="20"/>
                <w:szCs w:val="20"/>
              </w:rPr>
              <w:t>изм. и доп. ДВ бр. 52/09.06.2020 г , Чл. 40</w:t>
            </w:r>
          </w:p>
          <w:p w14:paraId="3EC5AD52" w14:textId="49543942" w:rsidR="00695BEA" w:rsidRPr="00610B1B" w:rsidRDefault="00695BEA" w:rsidP="00D41A32">
            <w:pPr>
              <w:pStyle w:val="BodyText"/>
              <w:spacing w:before="0" w:after="0" w:line="240" w:lineRule="auto"/>
              <w:jc w:val="left"/>
              <w:rPr>
                <w:rFonts w:cs="Times New Roman"/>
                <w:sz w:val="20"/>
                <w:szCs w:val="20"/>
              </w:rPr>
            </w:pPr>
          </w:p>
        </w:tc>
      </w:tr>
      <w:tr w:rsidR="00D41A32" w:rsidRPr="00610B1B" w14:paraId="1C1A5BCB" w14:textId="77777777" w:rsidTr="009D32BB">
        <w:tc>
          <w:tcPr>
            <w:tcW w:w="2126" w:type="dxa"/>
            <w:vMerge/>
            <w:vAlign w:val="center"/>
          </w:tcPr>
          <w:p w14:paraId="07F5D2A5"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0AC4235" w14:textId="7C0D6C2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Изпълнява функциите на секретариат и организира дейността на постоянната комисия по чл. 10, ал. 7 от Закона за рибарството и аквакултурите.</w:t>
            </w:r>
          </w:p>
          <w:p w14:paraId="7C9EC49A" w14:textId="56AA2BD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Изпълнява функциите на секретариат и организира дейността на Консултативния съвет по рибарство, създаден към министъра.</w:t>
            </w:r>
          </w:p>
        </w:tc>
        <w:tc>
          <w:tcPr>
            <w:tcW w:w="3543" w:type="dxa"/>
          </w:tcPr>
          <w:p w14:paraId="107ED3F3"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рибарството и аквакултурите, обн. ДВ бр. 41/24.04.2001 г.,</w:t>
            </w:r>
            <w:r w:rsidRPr="00610B1B">
              <w:rPr>
                <w:rFonts w:eastAsiaTheme="minorEastAsia" w:cs="Times New Roman"/>
                <w:bCs/>
                <w:sz w:val="20"/>
                <w:szCs w:val="20"/>
              </w:rPr>
              <w:t xml:space="preserve"> </w:t>
            </w:r>
            <w:r w:rsidRPr="00610B1B">
              <w:rPr>
                <w:rFonts w:cs="Times New Roman"/>
                <w:sz w:val="20"/>
                <w:szCs w:val="20"/>
              </w:rPr>
              <w:t>изм. и доп. ДВ бр. 52/09.06.2020 г</w:t>
            </w:r>
          </w:p>
          <w:p w14:paraId="71E93EC7" w14:textId="6C95BDC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40 т.10 и 11</w:t>
            </w:r>
          </w:p>
        </w:tc>
      </w:tr>
      <w:tr w:rsidR="00D41A32" w:rsidRPr="00610B1B" w14:paraId="31D36736" w14:textId="77777777" w:rsidTr="009D32BB">
        <w:tc>
          <w:tcPr>
            <w:tcW w:w="2126" w:type="dxa"/>
            <w:vMerge w:val="restart"/>
            <w:vAlign w:val="center"/>
          </w:tcPr>
          <w:p w14:paraId="1814BA64" w14:textId="2A4EECF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ИА „Рибарство и аквакултури“</w:t>
            </w:r>
          </w:p>
        </w:tc>
        <w:tc>
          <w:tcPr>
            <w:tcW w:w="4396" w:type="dxa"/>
          </w:tcPr>
          <w:p w14:paraId="6E3F4373" w14:textId="3AFA790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Осъществява дейностите, свързани с прилагането на политиката в областта на рибарството в рамките на ОПОР, държавния надзор, контрола върху риболовните дейности в рибностопански води и обекти.</w:t>
            </w:r>
          </w:p>
        </w:tc>
        <w:tc>
          <w:tcPr>
            <w:tcW w:w="3543" w:type="dxa"/>
          </w:tcPr>
          <w:p w14:paraId="0C0B8AAB" w14:textId="2B190DA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Устройствен правилник на Изпълнителната агенция по Рибарство и аквакултури, Обн. ДВ. бр.41/01.06.2010 г., изм. и доп. ДВ. бр.20/10.03.2020 г. </w:t>
            </w:r>
          </w:p>
        </w:tc>
      </w:tr>
      <w:tr w:rsidR="00D41A32" w:rsidRPr="00C717D0" w14:paraId="3ACCC3E9" w14:textId="77777777" w:rsidTr="009D32BB">
        <w:tc>
          <w:tcPr>
            <w:tcW w:w="2126" w:type="dxa"/>
            <w:vMerge/>
            <w:vAlign w:val="center"/>
          </w:tcPr>
          <w:p w14:paraId="18EA661E"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35C4FBB" w14:textId="5A76415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Изпълнява самостоятелно или с други органи и/или организации проекти и програми в областта на рибарството и аквакултурите, финансирани със средства от ЕС или от други международни източници, вкл. такива, в които българската страна участва със свои ресурси.</w:t>
            </w:r>
          </w:p>
        </w:tc>
        <w:tc>
          <w:tcPr>
            <w:tcW w:w="3543" w:type="dxa"/>
          </w:tcPr>
          <w:p w14:paraId="376BBA09"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6FFED9EF" w14:textId="77777777" w:rsidTr="009D32BB">
        <w:tc>
          <w:tcPr>
            <w:tcW w:w="2126" w:type="dxa"/>
            <w:vMerge/>
            <w:vAlign w:val="center"/>
          </w:tcPr>
          <w:p w14:paraId="59A23E8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045319C" w14:textId="4255544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Изп. директор издава заповед за местоположението и зоните на действие на специализираните уреди за стопански риболов и техните основни технически параметри, съгласувано с ръководителите на териториалните звена на ИА „Морска </w:t>
            </w:r>
            <w:r w:rsidRPr="00610B1B">
              <w:rPr>
                <w:rFonts w:cs="Times New Roman"/>
                <w:sz w:val="20"/>
                <w:szCs w:val="20"/>
              </w:rPr>
              <w:lastRenderedPageBreak/>
              <w:t>администрация“ и на военноморските бази на Българската армия за специализирани уреди във водите на Черно море.</w:t>
            </w:r>
          </w:p>
        </w:tc>
        <w:tc>
          <w:tcPr>
            <w:tcW w:w="3543" w:type="dxa"/>
          </w:tcPr>
          <w:p w14:paraId="398CF77A"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48BBF412" w14:textId="77777777" w:rsidTr="009D32BB">
        <w:tc>
          <w:tcPr>
            <w:tcW w:w="2126" w:type="dxa"/>
            <w:vMerge/>
            <w:vAlign w:val="center"/>
          </w:tcPr>
          <w:p w14:paraId="5BC51EE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43FDBF0" w14:textId="22C4513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Заедно с БАБХ и ИА „Морска администрация“ осъществяват съвместна дейност по регистрацията и контрола на риболовните кораби. Води регистър на риболовните кораби.</w:t>
            </w:r>
          </w:p>
        </w:tc>
        <w:tc>
          <w:tcPr>
            <w:tcW w:w="3543" w:type="dxa"/>
          </w:tcPr>
          <w:p w14:paraId="10E5535E"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5756D6A2" w14:textId="77777777" w:rsidTr="009D32BB">
        <w:tc>
          <w:tcPr>
            <w:tcW w:w="2126" w:type="dxa"/>
            <w:vMerge/>
            <w:vAlign w:val="center"/>
          </w:tcPr>
          <w:p w14:paraId="0EB103C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7EA2A3E" w14:textId="3AAE51E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Осъществява при необходимост съвместна дейност с ГД „Гранична полиция“, с Агенция "Митници" и с всички служби, осъществяващи задължителен граничен контрол, за наблюдение и контрол на риболовните кораби, риболова и рибно-стопанските дейности в граничната зона, в зоните на граничните контролно-пропускателни пунктове, пристанищата, вътрешните морски води, териториалното море, прилежащата зона, континенталния шелф и ИИЗ, при внос и износ на риба, рибни продукти и аквакултури.</w:t>
            </w:r>
          </w:p>
        </w:tc>
        <w:tc>
          <w:tcPr>
            <w:tcW w:w="3543" w:type="dxa"/>
          </w:tcPr>
          <w:p w14:paraId="2D6358EA"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2813E5D2" w14:textId="77777777" w:rsidTr="009D32BB">
        <w:tc>
          <w:tcPr>
            <w:tcW w:w="2126" w:type="dxa"/>
            <w:vMerge w:val="restart"/>
            <w:vAlign w:val="center"/>
          </w:tcPr>
          <w:p w14:paraId="0ECAD55D" w14:textId="5588F4C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културата (МК)</w:t>
            </w:r>
          </w:p>
        </w:tc>
        <w:tc>
          <w:tcPr>
            <w:tcW w:w="4396" w:type="dxa"/>
          </w:tcPr>
          <w:p w14:paraId="1667FB1F" w14:textId="2CEC53E9"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Министърът на културата прави предложения за вписване на недвижими културни ценности в Списъка на световното наследство; предоставя статут на недвижими културни ценности; издава разрешения за извършване на теренни археологически проучвания; мониторинг на недвижими културни ценности; </w:t>
            </w:r>
          </w:p>
        </w:tc>
        <w:tc>
          <w:tcPr>
            <w:tcW w:w="3543" w:type="dxa"/>
          </w:tcPr>
          <w:p w14:paraId="2E199FCA" w14:textId="1F3BC3D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чл.14 ал. 1, т.1</w:t>
            </w:r>
          </w:p>
        </w:tc>
      </w:tr>
      <w:tr w:rsidR="00D41A32" w:rsidRPr="00610B1B" w14:paraId="7B4A3708" w14:textId="77777777" w:rsidTr="009D32BB">
        <w:tc>
          <w:tcPr>
            <w:tcW w:w="2126" w:type="dxa"/>
            <w:vMerge/>
            <w:vAlign w:val="center"/>
          </w:tcPr>
          <w:p w14:paraId="320E648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D336189" w14:textId="50A2F9E5"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Възлага и приема планове за опазване и управление на недвижими културни ценности</w:t>
            </w:r>
          </w:p>
        </w:tc>
        <w:tc>
          <w:tcPr>
            <w:tcW w:w="3543" w:type="dxa"/>
            <w:vMerge w:val="restart"/>
          </w:tcPr>
          <w:p w14:paraId="6731C472" w14:textId="4AAEF7F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чл.14 ал. 1, т.9</w:t>
            </w:r>
          </w:p>
        </w:tc>
      </w:tr>
      <w:tr w:rsidR="00D41A32" w:rsidRPr="00C717D0" w14:paraId="75B43398" w14:textId="77777777" w:rsidTr="009D32BB">
        <w:tc>
          <w:tcPr>
            <w:tcW w:w="2126" w:type="dxa"/>
            <w:vMerge/>
            <w:vAlign w:val="center"/>
          </w:tcPr>
          <w:p w14:paraId="58C81CD6"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0071A82" w14:textId="444BD5C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Отговаря за опазване на културното наследство, свързано с българската история и култура, извън територията на Република България;</w:t>
            </w:r>
          </w:p>
        </w:tc>
        <w:tc>
          <w:tcPr>
            <w:tcW w:w="3543" w:type="dxa"/>
            <w:vMerge/>
          </w:tcPr>
          <w:p w14:paraId="7B909BC1"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4A134DA3" w14:textId="77777777" w:rsidTr="009D32BB">
        <w:tc>
          <w:tcPr>
            <w:tcW w:w="2126" w:type="dxa"/>
            <w:vMerge/>
            <w:vAlign w:val="center"/>
          </w:tcPr>
          <w:p w14:paraId="6945E09C"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8C6BC28" w14:textId="55AD777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Изпълнява правомощията на концедент при възлагане на концесии за недвижими културни ценности - държавна собственост</w:t>
            </w:r>
          </w:p>
        </w:tc>
        <w:tc>
          <w:tcPr>
            <w:tcW w:w="3543" w:type="dxa"/>
          </w:tcPr>
          <w:p w14:paraId="3B2D0B32" w14:textId="1D58EF14" w:rsidR="00695BEA" w:rsidRPr="00610B1B" w:rsidRDefault="00D41A32" w:rsidP="00695BEA">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чл.14 ал. 1, т.10</w:t>
            </w:r>
          </w:p>
        </w:tc>
      </w:tr>
      <w:tr w:rsidR="00D41A32" w:rsidRPr="00610B1B" w14:paraId="2578ADC5" w14:textId="77777777" w:rsidTr="009D32BB">
        <w:tc>
          <w:tcPr>
            <w:tcW w:w="2126" w:type="dxa"/>
            <w:vMerge w:val="restart"/>
            <w:vAlign w:val="center"/>
          </w:tcPr>
          <w:p w14:paraId="06352BE5" w14:textId="6BA057E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Център за подводна археология</w:t>
            </w:r>
          </w:p>
        </w:tc>
        <w:tc>
          <w:tcPr>
            <w:tcW w:w="4396" w:type="dxa"/>
          </w:tcPr>
          <w:p w14:paraId="40E19428" w14:textId="7E0B4E2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Издирва, изучава, идентифицира, опазва и представя културни ценности, открити под вода, с познавателна, образователна и естетическа цел; координира дейностите по управлението и изследването на подводното археологическо наследство;</w:t>
            </w:r>
          </w:p>
        </w:tc>
        <w:tc>
          <w:tcPr>
            <w:tcW w:w="3543" w:type="dxa"/>
          </w:tcPr>
          <w:p w14:paraId="28FDA391" w14:textId="7C88042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 22, т. 2, т.3</w:t>
            </w:r>
          </w:p>
        </w:tc>
      </w:tr>
      <w:tr w:rsidR="00D41A32" w:rsidRPr="00610B1B" w14:paraId="50006472" w14:textId="77777777" w:rsidTr="009D32BB">
        <w:tc>
          <w:tcPr>
            <w:tcW w:w="2126" w:type="dxa"/>
            <w:vMerge/>
            <w:vAlign w:val="center"/>
          </w:tcPr>
          <w:p w14:paraId="0A03D61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5038ED32" w14:textId="5C49DDF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Поддържа регистър на подводните културни ценности.</w:t>
            </w:r>
          </w:p>
        </w:tc>
        <w:tc>
          <w:tcPr>
            <w:tcW w:w="3543" w:type="dxa"/>
          </w:tcPr>
          <w:p w14:paraId="32F083E3" w14:textId="4583F74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чл.22, т.4</w:t>
            </w:r>
          </w:p>
        </w:tc>
      </w:tr>
      <w:tr w:rsidR="00D41A32" w:rsidRPr="00610B1B" w14:paraId="6AECBEED" w14:textId="77777777" w:rsidTr="009D32BB">
        <w:tc>
          <w:tcPr>
            <w:tcW w:w="2126" w:type="dxa"/>
            <w:vMerge w:val="restart"/>
            <w:vAlign w:val="center"/>
          </w:tcPr>
          <w:p w14:paraId="484E5961" w14:textId="49A62EE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Национален институт за недвижимо културно наследство (НИНКН)</w:t>
            </w:r>
          </w:p>
        </w:tc>
        <w:tc>
          <w:tcPr>
            <w:tcW w:w="4396" w:type="dxa"/>
          </w:tcPr>
          <w:p w14:paraId="00C7C6EB" w14:textId="3D55121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Извършва дейност в областта на опазване на недвижимото културно наследство, вкл.</w:t>
            </w:r>
            <w:r w:rsidR="00D66FE0" w:rsidRPr="00610B1B">
              <w:rPr>
                <w:rFonts w:cs="Times New Roman"/>
                <w:sz w:val="20"/>
                <w:szCs w:val="20"/>
              </w:rPr>
              <w:t xml:space="preserve"> </w:t>
            </w:r>
            <w:r w:rsidRPr="00610B1B">
              <w:rPr>
                <w:rFonts w:cs="Times New Roman"/>
                <w:sz w:val="20"/>
                <w:szCs w:val="20"/>
              </w:rPr>
              <w:t>научноизследователска дейност по издирване и изучаване на недвижимото културно наследство.</w:t>
            </w:r>
          </w:p>
        </w:tc>
        <w:tc>
          <w:tcPr>
            <w:tcW w:w="3543" w:type="dxa"/>
          </w:tcPr>
          <w:p w14:paraId="0B26CF56" w14:textId="664B94A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чл.18</w:t>
            </w:r>
          </w:p>
        </w:tc>
      </w:tr>
      <w:tr w:rsidR="00D41A32" w:rsidRPr="00610B1B" w14:paraId="302B63E8" w14:textId="77777777" w:rsidTr="009D32BB">
        <w:tc>
          <w:tcPr>
            <w:tcW w:w="2126" w:type="dxa"/>
            <w:vMerge/>
            <w:vAlign w:val="center"/>
          </w:tcPr>
          <w:p w14:paraId="40B4CC8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3179954" w14:textId="58DA2844"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Води публичен регистър на</w:t>
            </w:r>
            <w:r w:rsidR="00D66FE0" w:rsidRPr="00610B1B">
              <w:rPr>
                <w:rFonts w:cs="Times New Roman"/>
                <w:sz w:val="20"/>
                <w:szCs w:val="20"/>
              </w:rPr>
              <w:t xml:space="preserve"> </w:t>
            </w:r>
            <w:r w:rsidRPr="00610B1B">
              <w:rPr>
                <w:rFonts w:cs="Times New Roman"/>
                <w:sz w:val="20"/>
                <w:szCs w:val="20"/>
              </w:rPr>
              <w:t>НКЦ и поддържа национален документален архивен фонд, включително в електронен вид и организира информационен център; поддържа и развива информационна система за недвижимото културно наследство;</w:t>
            </w:r>
          </w:p>
        </w:tc>
        <w:tc>
          <w:tcPr>
            <w:tcW w:w="3543" w:type="dxa"/>
          </w:tcPr>
          <w:p w14:paraId="6B622B7E" w14:textId="2D1212E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 19, ал 1, т. 6</w:t>
            </w:r>
          </w:p>
        </w:tc>
      </w:tr>
      <w:tr w:rsidR="00D41A32" w:rsidRPr="00610B1B" w14:paraId="6E2BBDF0" w14:textId="77777777" w:rsidTr="009D32BB">
        <w:tc>
          <w:tcPr>
            <w:tcW w:w="2126" w:type="dxa"/>
            <w:vMerge/>
            <w:vAlign w:val="center"/>
          </w:tcPr>
          <w:p w14:paraId="1DF6FE29"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7812DCF" w14:textId="3444D7D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Създава и поддържа специализирана карта и регистри по смисъла на чл. 32, ал. 1, т. 2 от ЗКИР на недвижимото културно наследство;</w:t>
            </w:r>
          </w:p>
        </w:tc>
        <w:tc>
          <w:tcPr>
            <w:tcW w:w="3543" w:type="dxa"/>
          </w:tcPr>
          <w:p w14:paraId="21C7198B" w14:textId="2A0600C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културното наследство, обн. ДВ бр. 19/13.03.2009 г., изм. и доп. ДВ бр. 44/13.05.2020 г., чл. 19, ал 1, т. 7</w:t>
            </w:r>
          </w:p>
        </w:tc>
      </w:tr>
      <w:tr w:rsidR="00D41A32" w:rsidRPr="00610B1B" w14:paraId="1739D0F1" w14:textId="77777777" w:rsidTr="009D32BB">
        <w:tc>
          <w:tcPr>
            <w:tcW w:w="2126" w:type="dxa"/>
            <w:vMerge w:val="restart"/>
            <w:vAlign w:val="center"/>
          </w:tcPr>
          <w:p w14:paraId="1B7E421F" w14:textId="5A2800D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Министерство на </w:t>
            </w:r>
            <w:r w:rsidRPr="00610B1B">
              <w:rPr>
                <w:rFonts w:cs="Times New Roman"/>
                <w:sz w:val="20"/>
                <w:szCs w:val="20"/>
              </w:rPr>
              <w:lastRenderedPageBreak/>
              <w:t>туризма (МТ)</w:t>
            </w:r>
          </w:p>
        </w:tc>
        <w:tc>
          <w:tcPr>
            <w:tcW w:w="4396" w:type="dxa"/>
          </w:tcPr>
          <w:p w14:paraId="55BB4E2A" w14:textId="5DA09A59"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lastRenderedPageBreak/>
              <w:t xml:space="preserve">Министърът на туризма ръководи, координира и </w:t>
            </w:r>
            <w:r w:rsidRPr="00610B1B">
              <w:rPr>
                <w:rFonts w:cs="Times New Roman"/>
                <w:sz w:val="20"/>
                <w:szCs w:val="20"/>
              </w:rPr>
              <w:lastRenderedPageBreak/>
              <w:t>контролира осъществяването на държавната политика в областта на туризма, определя стратегическите цели и приоритети, организира и координира разработването на стратегии и програми за постигането им и осъществява контрола върху изпълнението им.</w:t>
            </w:r>
          </w:p>
        </w:tc>
        <w:tc>
          <w:tcPr>
            <w:tcW w:w="3543" w:type="dxa"/>
            <w:vMerge w:val="restart"/>
          </w:tcPr>
          <w:p w14:paraId="0DB29639" w14:textId="3AE4B0A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 xml:space="preserve">Устройствен правилник на </w:t>
            </w:r>
            <w:r w:rsidRPr="00610B1B">
              <w:rPr>
                <w:rFonts w:cs="Times New Roman"/>
                <w:sz w:val="20"/>
                <w:szCs w:val="20"/>
              </w:rPr>
              <w:lastRenderedPageBreak/>
              <w:t>Министерството на туризма, обн. ДВ бр. 108/30.12.2014 г., изм. и доп. ДВ. бр.108/29.12.2018 г.</w:t>
            </w:r>
          </w:p>
        </w:tc>
      </w:tr>
      <w:tr w:rsidR="00D41A32" w:rsidRPr="00C717D0" w14:paraId="51C63353" w14:textId="77777777" w:rsidTr="009D32BB">
        <w:tc>
          <w:tcPr>
            <w:tcW w:w="2126" w:type="dxa"/>
            <w:vMerge/>
            <w:vAlign w:val="center"/>
          </w:tcPr>
          <w:p w14:paraId="71A1212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D81C230" w14:textId="7B98EE8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Разработва и контролира изпълнението на Националната стратегия за устойчиво развитие на туризма и на стратегии за развитие на отделни видове туризъм, краткосрочни програми и планове за прилагането им. </w:t>
            </w:r>
          </w:p>
        </w:tc>
        <w:tc>
          <w:tcPr>
            <w:tcW w:w="3543" w:type="dxa"/>
            <w:vMerge/>
          </w:tcPr>
          <w:p w14:paraId="0603905F"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19480D17" w14:textId="77777777" w:rsidTr="009D32BB">
        <w:tc>
          <w:tcPr>
            <w:tcW w:w="2126" w:type="dxa"/>
            <w:vMerge/>
            <w:vAlign w:val="center"/>
          </w:tcPr>
          <w:p w14:paraId="29B7ECF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00AFD3A" w14:textId="099CA6D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Възлага изготвянето и поддържането на Национален туристически регистър с местата за настаняване в категориите</w:t>
            </w:r>
            <w:r w:rsidR="00D66FE0" w:rsidRPr="00610B1B">
              <w:rPr>
                <w:rFonts w:cs="Times New Roman"/>
                <w:sz w:val="20"/>
                <w:szCs w:val="20"/>
              </w:rPr>
              <w:t xml:space="preserve"> </w:t>
            </w:r>
            <w:r w:rsidRPr="00610B1B">
              <w:rPr>
                <w:rFonts w:cs="Times New Roman"/>
                <w:sz w:val="20"/>
                <w:szCs w:val="20"/>
              </w:rPr>
              <w:t>с повече от 3 звезди, заведенията за хранене и развлечения, туроператори и туристически агенти, туристически сдружения и Регистър на туристическите атракции.</w:t>
            </w:r>
          </w:p>
        </w:tc>
        <w:tc>
          <w:tcPr>
            <w:tcW w:w="3543" w:type="dxa"/>
            <w:vMerge/>
          </w:tcPr>
          <w:p w14:paraId="10A15BB6"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3A50350B" w14:textId="77777777" w:rsidTr="009D32BB">
        <w:tc>
          <w:tcPr>
            <w:tcW w:w="2126" w:type="dxa"/>
            <w:vMerge/>
            <w:vAlign w:val="center"/>
          </w:tcPr>
          <w:p w14:paraId="560C6B72"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582DD3D" w14:textId="0AAE3C5F" w:rsidR="00D41A32" w:rsidRPr="00610B1B" w:rsidRDefault="00D41A32" w:rsidP="00D41A32">
            <w:pPr>
              <w:pStyle w:val="BodyText"/>
              <w:spacing w:before="0" w:after="0" w:line="240" w:lineRule="auto"/>
              <w:jc w:val="left"/>
              <w:rPr>
                <w:rFonts w:cs="Times New Roman"/>
                <w:sz w:val="20"/>
                <w:szCs w:val="20"/>
              </w:rPr>
            </w:pPr>
            <w:r w:rsidRPr="00610B1B">
              <w:rPr>
                <w:rFonts w:cs="Times New Roman"/>
                <w:bCs/>
                <w:sz w:val="20"/>
                <w:szCs w:val="20"/>
              </w:rPr>
              <w:t>Организира и осъществява дейностите по предоставяне на концесии на морските плажове или отдаването им под наем;</w:t>
            </w:r>
          </w:p>
        </w:tc>
        <w:tc>
          <w:tcPr>
            <w:tcW w:w="3543" w:type="dxa"/>
            <w:shd w:val="clear" w:color="auto" w:fill="auto"/>
          </w:tcPr>
          <w:p w14:paraId="786E4B6B" w14:textId="70FDB827" w:rsidR="00D41A32" w:rsidRPr="00610B1B" w:rsidRDefault="00D41A32" w:rsidP="00D41A32">
            <w:pPr>
              <w:pStyle w:val="BodyText"/>
              <w:spacing w:before="0" w:after="0" w:line="240" w:lineRule="auto"/>
              <w:jc w:val="left"/>
              <w:rPr>
                <w:rFonts w:cs="Times New Roman"/>
                <w:sz w:val="20"/>
                <w:szCs w:val="20"/>
              </w:rPr>
            </w:pPr>
            <w:r w:rsidRPr="00610B1B">
              <w:rPr>
                <w:rFonts w:cs="Times New Roman"/>
                <w:bCs/>
                <w:sz w:val="20"/>
                <w:szCs w:val="20"/>
              </w:rPr>
              <w:t xml:space="preserve">Наредба за опазване на околната среда в морските води, Обн. ДВ. бр. 94/30.11.2010 г., </w:t>
            </w:r>
            <w:r w:rsidR="003C41B4" w:rsidRPr="00610B1B">
              <w:rPr>
                <w:rFonts w:cs="Times New Roman"/>
                <w:bCs/>
                <w:sz w:val="20"/>
                <w:szCs w:val="20"/>
              </w:rPr>
              <w:t>чл.</w:t>
            </w:r>
            <w:r w:rsidRPr="00610B1B">
              <w:rPr>
                <w:rFonts w:cs="Times New Roman"/>
                <w:bCs/>
                <w:sz w:val="20"/>
                <w:szCs w:val="20"/>
              </w:rPr>
              <w:t xml:space="preserve"> 3, ал. 13, т.1</w:t>
            </w:r>
          </w:p>
        </w:tc>
      </w:tr>
      <w:tr w:rsidR="00D41A32" w:rsidRPr="00610B1B" w14:paraId="23962F2C" w14:textId="77777777" w:rsidTr="009D32BB">
        <w:tc>
          <w:tcPr>
            <w:tcW w:w="2126" w:type="dxa"/>
            <w:vMerge w:val="restart"/>
            <w:vAlign w:val="center"/>
          </w:tcPr>
          <w:p w14:paraId="7597DFF7" w14:textId="6F49A75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Дирекция „Туристическа политика“</w:t>
            </w:r>
          </w:p>
        </w:tc>
        <w:tc>
          <w:tcPr>
            <w:tcW w:w="4396" w:type="dxa"/>
          </w:tcPr>
          <w:p w14:paraId="5E780F66" w14:textId="275E262B"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Участва в разработването на концепция за туристическо райониране на страната и подпомага регионализирането на туристическия продукт.</w:t>
            </w:r>
          </w:p>
        </w:tc>
        <w:tc>
          <w:tcPr>
            <w:tcW w:w="3543" w:type="dxa"/>
            <w:vMerge w:val="restart"/>
          </w:tcPr>
          <w:p w14:paraId="3EF3A1E2" w14:textId="453C99E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21 на Устройствения правилник на Министерството на туризма, обн. ДВ бр. 108/30.12.2014 г., изм. и доп. ДВ. бр.108/29.12.2018 г.</w:t>
            </w:r>
          </w:p>
        </w:tc>
      </w:tr>
      <w:tr w:rsidR="00D41A32" w:rsidRPr="00610B1B" w14:paraId="7C9F56D7" w14:textId="77777777" w:rsidTr="009D32BB">
        <w:tc>
          <w:tcPr>
            <w:tcW w:w="2126" w:type="dxa"/>
            <w:vMerge/>
            <w:vAlign w:val="center"/>
          </w:tcPr>
          <w:p w14:paraId="7CEAD40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5CCA94C8" w14:textId="24BB2A9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Осигурява организирането и административно-техническото обслужване на</w:t>
            </w:r>
          </w:p>
          <w:p w14:paraId="57D5F234" w14:textId="78F52455"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Националния съвет по туризъм.</w:t>
            </w:r>
          </w:p>
        </w:tc>
        <w:tc>
          <w:tcPr>
            <w:tcW w:w="3543" w:type="dxa"/>
            <w:vMerge/>
          </w:tcPr>
          <w:p w14:paraId="45B99BEB"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7E60681C" w14:textId="77777777" w:rsidTr="009D32BB">
        <w:tc>
          <w:tcPr>
            <w:tcW w:w="2126" w:type="dxa"/>
            <w:vAlign w:val="center"/>
          </w:tcPr>
          <w:p w14:paraId="18AA588A" w14:textId="45C4721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Дирекция „Управление на морските плажове“</w:t>
            </w:r>
          </w:p>
        </w:tc>
        <w:tc>
          <w:tcPr>
            <w:tcW w:w="4396" w:type="dxa"/>
          </w:tcPr>
          <w:p w14:paraId="4C38B189"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Организира и осъществява концесионната политика и дейностите по предоставяне на концесии на морски плажове по реда на ЗУЧК и ЗК, както и процедурите по отдаване под наем на плажовете, които не се отдават на концесия.</w:t>
            </w:r>
          </w:p>
          <w:p w14:paraId="2CAC6A6A" w14:textId="77777777" w:rsidR="00695BEA" w:rsidRPr="00610B1B" w:rsidRDefault="00695BEA" w:rsidP="00D41A32">
            <w:pPr>
              <w:pStyle w:val="BodyText"/>
              <w:spacing w:before="0" w:after="0" w:line="240" w:lineRule="auto"/>
              <w:jc w:val="left"/>
              <w:rPr>
                <w:rFonts w:cs="Times New Roman"/>
                <w:sz w:val="20"/>
                <w:szCs w:val="20"/>
              </w:rPr>
            </w:pPr>
          </w:p>
          <w:p w14:paraId="5A136200" w14:textId="35FFAD69" w:rsidR="00695BEA" w:rsidRPr="00610B1B" w:rsidRDefault="00695BEA" w:rsidP="00D41A32">
            <w:pPr>
              <w:pStyle w:val="BodyText"/>
              <w:spacing w:before="0" w:after="0" w:line="240" w:lineRule="auto"/>
              <w:jc w:val="left"/>
              <w:rPr>
                <w:rFonts w:cs="Times New Roman"/>
                <w:sz w:val="20"/>
                <w:szCs w:val="20"/>
              </w:rPr>
            </w:pPr>
          </w:p>
        </w:tc>
        <w:tc>
          <w:tcPr>
            <w:tcW w:w="3543" w:type="dxa"/>
          </w:tcPr>
          <w:p w14:paraId="34A378DC" w14:textId="3BEDC6A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24а на Устройствения правилник на Министерството на туризма, обн. ДВ бр. 108/30.12.2014 г., изм. и доп. ДВ. бр.108/29.12.2018 г.</w:t>
            </w:r>
          </w:p>
        </w:tc>
      </w:tr>
      <w:tr w:rsidR="00D41A32" w:rsidRPr="00610B1B" w14:paraId="03D6C33F" w14:textId="77777777" w:rsidTr="009D32BB">
        <w:tc>
          <w:tcPr>
            <w:tcW w:w="2126" w:type="dxa"/>
            <w:vMerge w:val="restart"/>
            <w:vAlign w:val="center"/>
          </w:tcPr>
          <w:p w14:paraId="2E8CEA1C" w14:textId="68F6C4C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здравеопазването (МЗ)</w:t>
            </w:r>
          </w:p>
        </w:tc>
        <w:tc>
          <w:tcPr>
            <w:tcW w:w="4396" w:type="dxa"/>
          </w:tcPr>
          <w:p w14:paraId="6EFDEF36" w14:textId="6F94688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Министърът на здравеопазването ръководи и чрез регионалните инспекции за опазване и контрол на общественото здраве провежда мониторинг на водите за къпане в крайбрежните морски води на Черно море</w:t>
            </w:r>
          </w:p>
        </w:tc>
        <w:tc>
          <w:tcPr>
            <w:tcW w:w="3543" w:type="dxa"/>
          </w:tcPr>
          <w:p w14:paraId="1ECEEFEB" w14:textId="6292388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Наредба за опазване на околната среда в морските води, обн. ДВ бр. 94/30.11.2010 г. изм. и доп. ДВ бр. 14/18.02.2020 г.</w:t>
            </w:r>
          </w:p>
        </w:tc>
      </w:tr>
      <w:tr w:rsidR="00D41A32" w:rsidRPr="00C717D0" w14:paraId="44F49374" w14:textId="77777777" w:rsidTr="009D32BB">
        <w:tc>
          <w:tcPr>
            <w:tcW w:w="2126" w:type="dxa"/>
            <w:vMerge/>
            <w:vAlign w:val="center"/>
          </w:tcPr>
          <w:p w14:paraId="08FCFD64" w14:textId="65EDA599"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A95FC8D" w14:textId="5AA22098"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Главният държавен здравен инспектор организира, координира и ръководи на национално ниво държавния здравен контрол по чл. 15 от Закона за здравето във връзка със: спазване и изпълнение на установените с нормативен акт здравни изисквания за продуктите и стоките със значение за здравето на човека, дейностите със значение за здравето на човека, факторите на жизнената среда; </w:t>
            </w:r>
          </w:p>
          <w:p w14:paraId="6C9199B3" w14:textId="48B1D9B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Организира и ръководи профилактичните и противоепидемичните дейности при бедствия, аварии и катастрофи;</w:t>
            </w:r>
          </w:p>
        </w:tc>
        <w:tc>
          <w:tcPr>
            <w:tcW w:w="3543" w:type="dxa"/>
          </w:tcPr>
          <w:p w14:paraId="68E76DE8"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здравето, обн. ДВ бр. 70/10.08.2004 г., изм. ДВ бр. 67/28.07.2020 г.</w:t>
            </w:r>
          </w:p>
          <w:p w14:paraId="1170468F" w14:textId="7777777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и </w:t>
            </w:r>
          </w:p>
          <w:p w14:paraId="28C266F5" w14:textId="1B4F974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Министерство на здравеопазването, в сила от 01.04.2019 г.</w:t>
            </w:r>
          </w:p>
        </w:tc>
      </w:tr>
      <w:tr w:rsidR="00D41A32" w:rsidRPr="00610B1B" w14:paraId="6B529D0B" w14:textId="77777777" w:rsidTr="009D32BB">
        <w:tc>
          <w:tcPr>
            <w:tcW w:w="2126" w:type="dxa"/>
            <w:vMerge w:val="restart"/>
            <w:vAlign w:val="center"/>
          </w:tcPr>
          <w:p w14:paraId="1EEE992D"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икономиката (МИ)</w:t>
            </w:r>
          </w:p>
          <w:p w14:paraId="2DB3D586" w14:textId="427708D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Дирекция „Икономическа политика“</w:t>
            </w:r>
          </w:p>
        </w:tc>
        <w:tc>
          <w:tcPr>
            <w:tcW w:w="4396" w:type="dxa"/>
            <w:shd w:val="clear" w:color="auto" w:fill="auto"/>
          </w:tcPr>
          <w:p w14:paraId="671344BA" w14:textId="39070A64" w:rsidR="00D41A32" w:rsidRPr="00610B1B" w:rsidRDefault="00D41A32" w:rsidP="00D41A32">
            <w:pPr>
              <w:pStyle w:val="BodyText"/>
              <w:spacing w:before="0" w:after="0" w:line="240" w:lineRule="auto"/>
              <w:rPr>
                <w:rFonts w:cs="Times New Roman"/>
                <w:sz w:val="20"/>
                <w:szCs w:val="20"/>
              </w:rPr>
            </w:pPr>
            <w:r w:rsidRPr="00610B1B">
              <w:rPr>
                <w:rFonts w:cs="Times New Roman"/>
                <w:bCs/>
                <w:sz w:val="20"/>
                <w:szCs w:val="20"/>
              </w:rPr>
              <w:t xml:space="preserve">Министърът на икономиката участва в провеждането на държавната политика по отношение на икономическите субекти, за насърчаване на енергийната ефективност и използването на възобновяеми енергийни източници (ВЕИ), както и осъществява взаимодействие с МОСВ по отношение на </w:t>
            </w:r>
            <w:r w:rsidRPr="00610B1B">
              <w:rPr>
                <w:rFonts w:cs="Times New Roman"/>
                <w:bCs/>
                <w:sz w:val="20"/>
                <w:szCs w:val="20"/>
              </w:rPr>
              <w:lastRenderedPageBreak/>
              <w:t>дейности по опазване на околната среда и ограничаване на изменението на климата.</w:t>
            </w:r>
          </w:p>
        </w:tc>
        <w:tc>
          <w:tcPr>
            <w:tcW w:w="3543" w:type="dxa"/>
            <w:shd w:val="clear" w:color="auto" w:fill="auto"/>
          </w:tcPr>
          <w:p w14:paraId="6940859C" w14:textId="0B823B3D" w:rsidR="00D41A32" w:rsidRPr="00610B1B" w:rsidRDefault="00D41A32" w:rsidP="00D41A32">
            <w:pPr>
              <w:pStyle w:val="BodyText"/>
              <w:spacing w:before="0" w:after="0" w:line="240" w:lineRule="auto"/>
              <w:jc w:val="left"/>
              <w:rPr>
                <w:rFonts w:cs="Times New Roman"/>
                <w:sz w:val="20"/>
                <w:szCs w:val="20"/>
              </w:rPr>
            </w:pPr>
            <w:r w:rsidRPr="00610B1B">
              <w:rPr>
                <w:rFonts w:cs="Times New Roman"/>
                <w:bCs/>
                <w:sz w:val="20"/>
                <w:szCs w:val="20"/>
              </w:rPr>
              <w:lastRenderedPageBreak/>
              <w:t xml:space="preserve">Наредба за опазване на околната среда в морските води, Обн. ДВ. бр. 94/30.11.2010 г., </w:t>
            </w:r>
            <w:r w:rsidRPr="00610B1B">
              <w:rPr>
                <w:rFonts w:cs="Times New Roman"/>
                <w:sz w:val="20"/>
                <w:szCs w:val="20"/>
              </w:rPr>
              <w:t>изм. и доп. ДВ бр. 14/18.02.2020 г.</w:t>
            </w:r>
            <w:r w:rsidRPr="00610B1B">
              <w:rPr>
                <w:rFonts w:cs="Times New Roman"/>
                <w:bCs/>
                <w:sz w:val="20"/>
                <w:szCs w:val="20"/>
              </w:rPr>
              <w:t xml:space="preserve"> </w:t>
            </w:r>
            <w:r w:rsidR="003C41B4" w:rsidRPr="00610B1B">
              <w:rPr>
                <w:rFonts w:cs="Times New Roman"/>
                <w:bCs/>
                <w:sz w:val="20"/>
                <w:szCs w:val="20"/>
              </w:rPr>
              <w:t>чл.</w:t>
            </w:r>
            <w:r w:rsidRPr="00610B1B">
              <w:rPr>
                <w:rFonts w:cs="Times New Roman"/>
                <w:bCs/>
                <w:sz w:val="20"/>
                <w:szCs w:val="20"/>
              </w:rPr>
              <w:t xml:space="preserve"> 3, ал. 9, т. 1</w:t>
            </w:r>
          </w:p>
        </w:tc>
      </w:tr>
      <w:tr w:rsidR="00D41A32" w:rsidRPr="00C717D0" w14:paraId="0A4D1B72" w14:textId="77777777" w:rsidTr="009D32BB">
        <w:tc>
          <w:tcPr>
            <w:tcW w:w="2126" w:type="dxa"/>
            <w:vMerge/>
            <w:vAlign w:val="center"/>
          </w:tcPr>
          <w:p w14:paraId="10F4AEA0" w14:textId="00357C4F"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717542B" w14:textId="7227140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Разработва и участва в осъществяването на Иновационната стратегия за интелигентна специализация на Република България 2014 – 2020 г. и в разработването, организира, координира и участва в провеждането на политиката по отношение на МСП и предприемачеството, както и в прилагането на клъстерната политика в икономиката.</w:t>
            </w:r>
          </w:p>
          <w:p w14:paraId="15DBFA75" w14:textId="3503913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Разработва Националната стратегия за насърчаване на МСП и програми за прилагането ѝ.</w:t>
            </w:r>
          </w:p>
        </w:tc>
        <w:tc>
          <w:tcPr>
            <w:tcW w:w="3543" w:type="dxa"/>
          </w:tcPr>
          <w:p w14:paraId="0315976F" w14:textId="7777777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Устройствен правилник на Министерство на икономиката (МИ)</w:t>
            </w:r>
          </w:p>
          <w:p w14:paraId="3324152D" w14:textId="50173EE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обн., ДВ, бр. 108 от 30.12.2014, изм. бр. 42 от 28.05.2019 г, чл. 26</w:t>
            </w:r>
            <w:r w:rsidR="00D66FE0" w:rsidRPr="00610B1B">
              <w:rPr>
                <w:rFonts w:cs="Times New Roman"/>
                <w:sz w:val="20"/>
                <w:szCs w:val="20"/>
              </w:rPr>
              <w:t xml:space="preserve"> </w:t>
            </w:r>
          </w:p>
        </w:tc>
      </w:tr>
      <w:tr w:rsidR="00D41A32" w:rsidRPr="00C717D0" w14:paraId="326872A0" w14:textId="77777777" w:rsidTr="009D32BB">
        <w:tc>
          <w:tcPr>
            <w:tcW w:w="2126" w:type="dxa"/>
            <w:vAlign w:val="center"/>
          </w:tcPr>
          <w:p w14:paraId="083659FC" w14:textId="28388C23" w:rsidR="00D41A32" w:rsidRPr="00610B1B" w:rsidRDefault="00D41A32" w:rsidP="00AC1887">
            <w:pPr>
              <w:pStyle w:val="BodyText"/>
              <w:spacing w:before="0" w:after="0" w:line="240" w:lineRule="auto"/>
              <w:ind w:left="-112" w:right="-104"/>
              <w:jc w:val="left"/>
              <w:rPr>
                <w:rFonts w:cs="Times New Roman"/>
                <w:sz w:val="20"/>
                <w:szCs w:val="20"/>
              </w:rPr>
            </w:pPr>
            <w:r w:rsidRPr="00610B1B">
              <w:rPr>
                <w:rFonts w:cs="Times New Roman"/>
                <w:sz w:val="20"/>
                <w:szCs w:val="20"/>
              </w:rPr>
              <w:t>ГД „Европейски фондове за конкурентоспособност“</w:t>
            </w:r>
          </w:p>
        </w:tc>
        <w:tc>
          <w:tcPr>
            <w:tcW w:w="4396" w:type="dxa"/>
          </w:tcPr>
          <w:p w14:paraId="2826BADE" w14:textId="097E093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Изпълнява функциите на управляващ орган на ОП „Иновации и конкурентоспособност“ 2014 – 2020 г. и на управляващ орган на Оперативна програма „Инициатива за малки и средни предприятия“ 2014-2020 г.</w:t>
            </w:r>
          </w:p>
        </w:tc>
        <w:tc>
          <w:tcPr>
            <w:tcW w:w="3543" w:type="dxa"/>
          </w:tcPr>
          <w:p w14:paraId="19A7985B" w14:textId="7777777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Устройствен правилник на Министерство на икономиката (МИ)</w:t>
            </w:r>
          </w:p>
          <w:p w14:paraId="70DB9177" w14:textId="4D8C88E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обн., ДВ, бр. 108 от 30.12.2014, изм. бр. 42 от 28.05.2019 г, чл. 30 </w:t>
            </w:r>
          </w:p>
        </w:tc>
      </w:tr>
      <w:tr w:rsidR="00D41A32" w:rsidRPr="00610B1B" w14:paraId="786048F5" w14:textId="77777777" w:rsidTr="009D32BB">
        <w:tc>
          <w:tcPr>
            <w:tcW w:w="2126" w:type="dxa"/>
            <w:vMerge w:val="restart"/>
            <w:vAlign w:val="center"/>
          </w:tcPr>
          <w:p w14:paraId="2155CB52" w14:textId="683DFA4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енергетиката (МЕ)</w:t>
            </w:r>
          </w:p>
        </w:tc>
        <w:tc>
          <w:tcPr>
            <w:tcW w:w="4396" w:type="dxa"/>
          </w:tcPr>
          <w:p w14:paraId="7365D1C4" w14:textId="7D5B3C24"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Насърчава производството и потреблението на енергия от възобновяеми източници (ВЕИ) и от алтернативни енергийни източници в морската околна среда.</w:t>
            </w:r>
          </w:p>
        </w:tc>
        <w:tc>
          <w:tcPr>
            <w:tcW w:w="3543" w:type="dxa"/>
          </w:tcPr>
          <w:p w14:paraId="242D4943" w14:textId="620B015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Наредба за опазване на околната среда в морските води, обн. ДВ бр. 94/30.11.2010 г. изм. и доп. ДВ бр. 14/18.02.2020 г. </w:t>
            </w:r>
            <w:r w:rsidR="003C41B4" w:rsidRPr="00610B1B">
              <w:rPr>
                <w:rFonts w:cs="Times New Roman"/>
                <w:bCs/>
                <w:sz w:val="20"/>
                <w:szCs w:val="20"/>
              </w:rPr>
              <w:t>чл.</w:t>
            </w:r>
            <w:r w:rsidRPr="00610B1B">
              <w:rPr>
                <w:rFonts w:cs="Times New Roman"/>
                <w:bCs/>
                <w:sz w:val="20"/>
                <w:szCs w:val="20"/>
              </w:rPr>
              <w:t xml:space="preserve"> 3, ал. 12, т. 1</w:t>
            </w:r>
          </w:p>
        </w:tc>
      </w:tr>
      <w:tr w:rsidR="00D41A32" w:rsidRPr="00C717D0" w14:paraId="52DA145C" w14:textId="77777777" w:rsidTr="009D32BB">
        <w:tc>
          <w:tcPr>
            <w:tcW w:w="2126" w:type="dxa"/>
            <w:vMerge/>
            <w:vAlign w:val="center"/>
          </w:tcPr>
          <w:p w14:paraId="28AA463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753DEE2" w14:textId="2E161FD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Министърът на енергетиката издава разрешения за търсене и проучване и за проучване, след одобрение от Министерския съвет.</w:t>
            </w:r>
          </w:p>
        </w:tc>
        <w:tc>
          <w:tcPr>
            <w:tcW w:w="3543" w:type="dxa"/>
            <w:vMerge w:val="restart"/>
          </w:tcPr>
          <w:p w14:paraId="579A3B19" w14:textId="79EEB2D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подземните богатства, обн. ДВ бр. 23/12.03.1999 г., доп. ДВ бр. 98/27.11.2018 г.</w:t>
            </w:r>
          </w:p>
        </w:tc>
      </w:tr>
      <w:tr w:rsidR="00D41A32" w:rsidRPr="00C717D0" w14:paraId="7EE63B39" w14:textId="77777777" w:rsidTr="009D32BB">
        <w:tc>
          <w:tcPr>
            <w:tcW w:w="2126" w:type="dxa"/>
            <w:vMerge/>
            <w:vAlign w:val="center"/>
          </w:tcPr>
          <w:p w14:paraId="115EAF3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873B31A" w14:textId="657984F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Министърът съставя и води Национален баланс на запасите и ресурсите на подземни богатства;</w:t>
            </w:r>
            <w:r w:rsidR="00D66FE0" w:rsidRPr="00610B1B">
              <w:rPr>
                <w:rFonts w:cs="Times New Roman"/>
                <w:sz w:val="20"/>
                <w:szCs w:val="20"/>
              </w:rPr>
              <w:t xml:space="preserve"> </w:t>
            </w:r>
            <w:r w:rsidRPr="00610B1B">
              <w:rPr>
                <w:rFonts w:cs="Times New Roman"/>
                <w:sz w:val="20"/>
                <w:szCs w:val="20"/>
              </w:rPr>
              <w:t>специализирани карта и регистър на находищата на подземните богатства и регистър на откритията.</w:t>
            </w:r>
          </w:p>
        </w:tc>
        <w:tc>
          <w:tcPr>
            <w:tcW w:w="3543" w:type="dxa"/>
            <w:vMerge/>
          </w:tcPr>
          <w:p w14:paraId="09AAF784"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61EDA3A3" w14:textId="77777777" w:rsidTr="009D32BB">
        <w:tc>
          <w:tcPr>
            <w:tcW w:w="2126" w:type="dxa"/>
            <w:vMerge/>
            <w:vAlign w:val="center"/>
          </w:tcPr>
          <w:p w14:paraId="55BF9B3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2B347AE" w14:textId="1E5E2A7D" w:rsidR="00695BEA" w:rsidRPr="00610B1B" w:rsidRDefault="00D41A32" w:rsidP="00AC1887">
            <w:pPr>
              <w:pStyle w:val="BodyText"/>
              <w:spacing w:before="0" w:after="0" w:line="240" w:lineRule="auto"/>
              <w:rPr>
                <w:rFonts w:cs="Times New Roman"/>
                <w:sz w:val="20"/>
                <w:szCs w:val="20"/>
              </w:rPr>
            </w:pPr>
            <w:r w:rsidRPr="00610B1B">
              <w:rPr>
                <w:rFonts w:cs="Times New Roman"/>
                <w:sz w:val="20"/>
                <w:szCs w:val="20"/>
              </w:rPr>
              <w:t>Подпомага изпълнението на мерки в морската икономика, с които да се постигнат целите на Интегрирания план в областта на енергетиката и климата на Република България (2021-2030 г.)</w:t>
            </w:r>
          </w:p>
        </w:tc>
        <w:tc>
          <w:tcPr>
            <w:tcW w:w="3543" w:type="dxa"/>
          </w:tcPr>
          <w:p w14:paraId="22D1B3DB" w14:textId="1C74F81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ИПЕК 2021-2030 г.</w:t>
            </w:r>
          </w:p>
        </w:tc>
      </w:tr>
      <w:tr w:rsidR="00D41A32" w:rsidRPr="00610B1B" w14:paraId="2604D12F" w14:textId="77777777" w:rsidTr="009D32BB">
        <w:tc>
          <w:tcPr>
            <w:tcW w:w="2126" w:type="dxa"/>
            <w:vMerge/>
            <w:vAlign w:val="center"/>
          </w:tcPr>
          <w:p w14:paraId="18119C49"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76A55576" w14:textId="7C45F59F" w:rsidR="00D41A32" w:rsidRPr="00610B1B" w:rsidRDefault="00D41A32" w:rsidP="00D41A32">
            <w:pPr>
              <w:pStyle w:val="BodyText"/>
              <w:spacing w:before="0" w:after="0" w:line="240" w:lineRule="auto"/>
              <w:rPr>
                <w:rFonts w:cs="Times New Roman"/>
                <w:sz w:val="20"/>
                <w:szCs w:val="20"/>
              </w:rPr>
            </w:pPr>
            <w:r w:rsidRPr="00610B1B">
              <w:rPr>
                <w:rFonts w:cs="Times New Roman"/>
                <w:bCs/>
                <w:sz w:val="20"/>
                <w:szCs w:val="20"/>
              </w:rPr>
              <w:t>Прави оценка на наличния капацитет за съхранение на въглероден диоксид на територията на Р. България, в континенталния шелф и в ИИЗ на Черно море или на отделни части от нея и прави предложения пред Министерския съвет за одобряване на разрешения за проучване и на разрешения за съхранение на въглероден диоксид в земните недра.</w:t>
            </w:r>
          </w:p>
        </w:tc>
        <w:tc>
          <w:tcPr>
            <w:tcW w:w="3543" w:type="dxa"/>
            <w:shd w:val="clear" w:color="auto" w:fill="auto"/>
          </w:tcPr>
          <w:p w14:paraId="3FCC91DE" w14:textId="5EDC98F3" w:rsidR="00D41A32" w:rsidRPr="00610B1B" w:rsidRDefault="00D41A32" w:rsidP="00D41A32">
            <w:pPr>
              <w:pStyle w:val="BodyText"/>
              <w:spacing w:before="0" w:after="0" w:line="240" w:lineRule="auto"/>
              <w:jc w:val="left"/>
              <w:rPr>
                <w:rFonts w:cs="Times New Roman"/>
                <w:sz w:val="20"/>
                <w:szCs w:val="20"/>
              </w:rPr>
            </w:pPr>
            <w:r w:rsidRPr="00610B1B">
              <w:rPr>
                <w:rFonts w:cs="Times New Roman"/>
                <w:bCs/>
                <w:sz w:val="20"/>
                <w:szCs w:val="20"/>
              </w:rPr>
              <w:t xml:space="preserve">Наредба за опазване на околната среда в морските води, Обн. ДВ. бр. 94/30.11.2010г., </w:t>
            </w:r>
            <w:r w:rsidRPr="00610B1B">
              <w:rPr>
                <w:rFonts w:cs="Times New Roman"/>
                <w:sz w:val="20"/>
                <w:szCs w:val="20"/>
              </w:rPr>
              <w:t>изм. и доп. ДВ бр. 14/18.02.2020 г.</w:t>
            </w:r>
            <w:r w:rsidR="00D66FE0" w:rsidRPr="00610B1B">
              <w:rPr>
                <w:rFonts w:cs="Times New Roman"/>
                <w:bCs/>
                <w:sz w:val="20"/>
                <w:szCs w:val="20"/>
              </w:rPr>
              <w:t xml:space="preserve"> </w:t>
            </w:r>
            <w:r w:rsidR="003C41B4" w:rsidRPr="00610B1B">
              <w:rPr>
                <w:rFonts w:cs="Times New Roman"/>
                <w:bCs/>
                <w:sz w:val="20"/>
                <w:szCs w:val="20"/>
              </w:rPr>
              <w:t>чл.</w:t>
            </w:r>
            <w:r w:rsidRPr="00610B1B">
              <w:rPr>
                <w:rFonts w:cs="Times New Roman"/>
                <w:bCs/>
                <w:sz w:val="20"/>
                <w:szCs w:val="20"/>
              </w:rPr>
              <w:t xml:space="preserve"> 3, ал. 12, т. 2</w:t>
            </w:r>
          </w:p>
        </w:tc>
      </w:tr>
      <w:tr w:rsidR="00D41A32" w:rsidRPr="00610B1B" w14:paraId="78181C5F" w14:textId="77777777" w:rsidTr="009D32BB">
        <w:tc>
          <w:tcPr>
            <w:tcW w:w="2126" w:type="dxa"/>
            <w:vMerge w:val="restart"/>
            <w:vAlign w:val="center"/>
          </w:tcPr>
          <w:p w14:paraId="5D094FCD" w14:textId="4CC495A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отбраната (МО)</w:t>
            </w:r>
          </w:p>
        </w:tc>
        <w:tc>
          <w:tcPr>
            <w:tcW w:w="4396" w:type="dxa"/>
            <w:vMerge w:val="restart"/>
          </w:tcPr>
          <w:p w14:paraId="4947624F" w14:textId="57E334B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При осъществяване на отбраната на страната режимът на плаване на корабите в териториалното море, вътрешните води, пристанищата и рейдовете се определя с акт на министъра на отбраната след съгласуване с министъра на транспорта и съобщенията и с министъра на вътрешните работи.</w:t>
            </w:r>
          </w:p>
        </w:tc>
        <w:tc>
          <w:tcPr>
            <w:tcW w:w="3543" w:type="dxa"/>
          </w:tcPr>
          <w:p w14:paraId="52934DAF" w14:textId="4FE480C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отбраната и въоръжените сили на България, обн. ДВ бр. изм</w:t>
            </w:r>
            <w:r w:rsidR="003C41B4" w:rsidRPr="00390518">
              <w:rPr>
                <w:rFonts w:cs="Times New Roman"/>
                <w:sz w:val="20"/>
                <w:szCs w:val="20"/>
              </w:rPr>
              <w:t>.</w:t>
            </w:r>
            <w:r w:rsidRPr="00610B1B">
              <w:rPr>
                <w:rFonts w:cs="Times New Roman"/>
                <w:sz w:val="20"/>
                <w:szCs w:val="20"/>
              </w:rPr>
              <w:t xml:space="preserve"> и доп. ДВ бр. 35/12.05.2009 г., изм. бр. 69/04.08.2020 г., чл. 131 ал. 2</w:t>
            </w:r>
          </w:p>
        </w:tc>
      </w:tr>
      <w:tr w:rsidR="00D41A32" w:rsidRPr="00C717D0" w14:paraId="3AB336B7" w14:textId="77777777" w:rsidTr="009D32BB">
        <w:tc>
          <w:tcPr>
            <w:tcW w:w="2126" w:type="dxa"/>
            <w:vMerge/>
            <w:vAlign w:val="center"/>
          </w:tcPr>
          <w:p w14:paraId="2F48722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vMerge/>
          </w:tcPr>
          <w:p w14:paraId="0951378A" w14:textId="77777777" w:rsidR="00D41A32" w:rsidRPr="00610B1B" w:rsidRDefault="00D41A32" w:rsidP="00D41A32">
            <w:pPr>
              <w:pStyle w:val="BodyText"/>
              <w:spacing w:before="0" w:after="0" w:line="240" w:lineRule="auto"/>
              <w:rPr>
                <w:rFonts w:cs="Times New Roman"/>
                <w:sz w:val="20"/>
                <w:szCs w:val="20"/>
              </w:rPr>
            </w:pPr>
          </w:p>
        </w:tc>
        <w:tc>
          <w:tcPr>
            <w:tcW w:w="3543" w:type="dxa"/>
          </w:tcPr>
          <w:p w14:paraId="0BCC6108" w14:textId="6AEAC68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Министерството на отбраната, обн., ДВ, бр. 8/28.01.2014 г., изм. и доп., бр. 106/21.12.2018 г.</w:t>
            </w:r>
          </w:p>
        </w:tc>
      </w:tr>
      <w:tr w:rsidR="00D41A32" w:rsidRPr="00610B1B" w14:paraId="5D33AA57" w14:textId="77777777" w:rsidTr="009D32BB">
        <w:tc>
          <w:tcPr>
            <w:tcW w:w="2126" w:type="dxa"/>
            <w:vMerge/>
            <w:vAlign w:val="center"/>
          </w:tcPr>
          <w:p w14:paraId="7F9960D6"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3A2500B5" w14:textId="5970C28D"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Министърът организира дейността по опазване и възстановяване на околната среда в районите на дислокация на военните формирования и в местата на провеждане на учения и мероприятия, свързани с отбраната на страната</w:t>
            </w:r>
          </w:p>
        </w:tc>
        <w:tc>
          <w:tcPr>
            <w:tcW w:w="3543" w:type="dxa"/>
            <w:shd w:val="clear" w:color="auto" w:fill="auto"/>
          </w:tcPr>
          <w:p w14:paraId="3898E91C" w14:textId="0C2C948E"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Закон за отбраната и въоръжените сили на България, обн. ДВ бр. изм</w:t>
            </w:r>
            <w:r w:rsidR="003C41B4" w:rsidRPr="00390518">
              <w:rPr>
                <w:rFonts w:eastAsiaTheme="minorEastAsia" w:cs="Times New Roman"/>
                <w:bCs/>
                <w:sz w:val="20"/>
                <w:szCs w:val="20"/>
              </w:rPr>
              <w:t>.</w:t>
            </w:r>
            <w:r w:rsidRPr="00610B1B">
              <w:rPr>
                <w:rFonts w:eastAsiaTheme="minorEastAsia" w:cs="Times New Roman"/>
                <w:bCs/>
                <w:sz w:val="20"/>
                <w:szCs w:val="20"/>
              </w:rPr>
              <w:t xml:space="preserve"> и доп. ДВ бр. 35/12.05.2009 г., изм. бр. 69/04.08.2020 г., чл. 26 ал. 17</w:t>
            </w:r>
          </w:p>
        </w:tc>
      </w:tr>
      <w:tr w:rsidR="00D41A32" w:rsidRPr="00C717D0" w14:paraId="54CB2B59" w14:textId="77777777" w:rsidTr="009D32BB">
        <w:tc>
          <w:tcPr>
            <w:tcW w:w="2126" w:type="dxa"/>
            <w:vMerge w:val="restart"/>
            <w:vAlign w:val="center"/>
          </w:tcPr>
          <w:p w14:paraId="40FF0803" w14:textId="21CA845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Военноморски сили (ВМС)</w:t>
            </w:r>
          </w:p>
        </w:tc>
        <w:tc>
          <w:tcPr>
            <w:tcW w:w="4396" w:type="dxa"/>
          </w:tcPr>
          <w:p w14:paraId="12E33276" w14:textId="7D06836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Защитават интересите на Р.България в морските пространства, гарантират нейния морски суверенитет и подготвят формирования за </w:t>
            </w:r>
            <w:r w:rsidRPr="00610B1B">
              <w:rPr>
                <w:rFonts w:cs="Times New Roman"/>
                <w:sz w:val="20"/>
                <w:szCs w:val="20"/>
              </w:rPr>
              <w:lastRenderedPageBreak/>
              <w:t xml:space="preserve">участие в подкрепа на международния мир и сигурност и за оказване помощ на населението при бедствия, аварии и катастрофи. </w:t>
            </w:r>
          </w:p>
        </w:tc>
        <w:tc>
          <w:tcPr>
            <w:tcW w:w="3543" w:type="dxa"/>
            <w:vMerge w:val="restart"/>
          </w:tcPr>
          <w:p w14:paraId="28FDF51C" w14:textId="254BCBA7" w:rsidR="004D4768" w:rsidRPr="00610B1B" w:rsidRDefault="004D4768" w:rsidP="004D4768">
            <w:pPr>
              <w:pStyle w:val="BodyText"/>
              <w:spacing w:before="0" w:after="0" w:line="240" w:lineRule="auto"/>
              <w:jc w:val="left"/>
              <w:rPr>
                <w:rFonts w:cs="Times New Roman"/>
                <w:sz w:val="20"/>
                <w:szCs w:val="20"/>
              </w:rPr>
            </w:pPr>
            <w:r w:rsidRPr="00610B1B">
              <w:rPr>
                <w:rFonts w:cs="Times New Roman"/>
                <w:sz w:val="20"/>
                <w:szCs w:val="20"/>
              </w:rPr>
              <w:lastRenderedPageBreak/>
              <w:t>Закон за отбраната и въоръжените сили на България, обн. ДВ бр. изм</w:t>
            </w:r>
            <w:r w:rsidR="003C41B4" w:rsidRPr="00390518">
              <w:rPr>
                <w:rFonts w:cs="Times New Roman"/>
                <w:sz w:val="20"/>
                <w:szCs w:val="20"/>
              </w:rPr>
              <w:t>.</w:t>
            </w:r>
            <w:r w:rsidRPr="00610B1B">
              <w:rPr>
                <w:rFonts w:cs="Times New Roman"/>
                <w:sz w:val="20"/>
                <w:szCs w:val="20"/>
              </w:rPr>
              <w:t xml:space="preserve"> и доп. ДВ бр. 35/12.05.2009 г., изм. бр. </w:t>
            </w:r>
            <w:r w:rsidRPr="00610B1B">
              <w:rPr>
                <w:rFonts w:cs="Times New Roman"/>
                <w:sz w:val="20"/>
                <w:szCs w:val="20"/>
              </w:rPr>
              <w:lastRenderedPageBreak/>
              <w:t>69/04.08.2020 г.,</w:t>
            </w:r>
          </w:p>
          <w:p w14:paraId="31138467" w14:textId="31B10033" w:rsidR="004D4768" w:rsidRPr="00610B1B" w:rsidRDefault="004D4768" w:rsidP="004D4768">
            <w:pPr>
              <w:pStyle w:val="BodyText"/>
              <w:spacing w:before="0" w:after="0" w:line="240" w:lineRule="auto"/>
              <w:jc w:val="left"/>
              <w:rPr>
                <w:rFonts w:cs="Times New Roman"/>
                <w:sz w:val="20"/>
                <w:szCs w:val="20"/>
              </w:rPr>
            </w:pPr>
            <w:r w:rsidRPr="00610B1B">
              <w:rPr>
                <w:rFonts w:cs="Times New Roman"/>
                <w:sz w:val="20"/>
                <w:szCs w:val="20"/>
              </w:rPr>
              <w:t>НАРЕДБА № Н-8</w:t>
            </w:r>
            <w:r w:rsidRPr="00610B1B">
              <w:rPr>
                <w:rFonts w:cs="Times New Roman"/>
              </w:rPr>
              <w:t xml:space="preserve"> </w:t>
            </w:r>
            <w:r w:rsidRPr="00610B1B">
              <w:rPr>
                <w:rFonts w:cs="Times New Roman"/>
                <w:sz w:val="20"/>
                <w:szCs w:val="20"/>
              </w:rPr>
              <w:t>от 9 март 2011 г. за режима на корабоплаване в териториалното море, вътрешните води, пристанищата и рейдовете при осъществяване отбраната на страната</w:t>
            </w:r>
          </w:p>
        </w:tc>
      </w:tr>
      <w:tr w:rsidR="00D41A32" w:rsidRPr="00C717D0" w14:paraId="4B826BAF" w14:textId="77777777" w:rsidTr="009D32BB">
        <w:tc>
          <w:tcPr>
            <w:tcW w:w="2126" w:type="dxa"/>
            <w:vMerge/>
            <w:vAlign w:val="center"/>
          </w:tcPr>
          <w:p w14:paraId="6B04558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052E2A8" w14:textId="6E4512C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Участват и в други дейности, свързани с опазване на околната среда в морски води, в контрола върху движението на лодки, яхти и други съдове за рекреационни дейности, върху риболова и др. </w:t>
            </w:r>
          </w:p>
        </w:tc>
        <w:tc>
          <w:tcPr>
            <w:tcW w:w="3543" w:type="dxa"/>
            <w:vMerge/>
          </w:tcPr>
          <w:p w14:paraId="26CE182E" w14:textId="77777777" w:rsidR="00D41A32" w:rsidRPr="00610B1B" w:rsidRDefault="00D41A32" w:rsidP="00D41A32">
            <w:pPr>
              <w:pStyle w:val="BodyText"/>
              <w:spacing w:before="0" w:after="0" w:line="240" w:lineRule="auto"/>
              <w:jc w:val="left"/>
              <w:rPr>
                <w:rFonts w:cs="Times New Roman"/>
                <w:sz w:val="20"/>
                <w:szCs w:val="20"/>
              </w:rPr>
            </w:pPr>
          </w:p>
        </w:tc>
      </w:tr>
      <w:tr w:rsidR="00D41A32" w:rsidRPr="00610B1B" w14:paraId="541F5771" w14:textId="77777777" w:rsidTr="009D32BB">
        <w:tc>
          <w:tcPr>
            <w:tcW w:w="2126" w:type="dxa"/>
            <w:vAlign w:val="center"/>
          </w:tcPr>
          <w:p w14:paraId="5F429F1E" w14:textId="6F295F4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Хидрографска служба</w:t>
            </w:r>
          </w:p>
        </w:tc>
        <w:tc>
          <w:tcPr>
            <w:tcW w:w="4396" w:type="dxa"/>
          </w:tcPr>
          <w:p w14:paraId="19DF1E5D" w14:textId="3C77C28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Измерва дълбочини в териториалното море и вътрешните води с картографска цел. </w:t>
            </w:r>
          </w:p>
        </w:tc>
        <w:tc>
          <w:tcPr>
            <w:tcW w:w="3543" w:type="dxa"/>
          </w:tcPr>
          <w:p w14:paraId="1F9C8ECF" w14:textId="1ABA5E0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ЗМПВВППРРБ, чл. 61</w:t>
            </w:r>
          </w:p>
        </w:tc>
      </w:tr>
      <w:tr w:rsidR="00D41A32" w:rsidRPr="00610B1B" w14:paraId="3BBFC058" w14:textId="77777777" w:rsidTr="009D32BB">
        <w:tc>
          <w:tcPr>
            <w:tcW w:w="2126" w:type="dxa"/>
            <w:vMerge w:val="restart"/>
            <w:vAlign w:val="center"/>
          </w:tcPr>
          <w:p w14:paraId="2E2AA1F7" w14:textId="0A1212EA"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вътрешните работи (МВР) ГД „Гранична полиция“</w:t>
            </w:r>
          </w:p>
        </w:tc>
        <w:tc>
          <w:tcPr>
            <w:tcW w:w="4396" w:type="dxa"/>
          </w:tcPr>
          <w:p w14:paraId="34944F08" w14:textId="5C144661"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ГДГП извършва наблюдение на границата, противодейства на незаконната миграция, контрабандата и трафика на хора.</w:t>
            </w:r>
          </w:p>
        </w:tc>
        <w:tc>
          <w:tcPr>
            <w:tcW w:w="3543" w:type="dxa"/>
            <w:vMerge w:val="restart"/>
          </w:tcPr>
          <w:p w14:paraId="5A83CD74"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Правилник за устройството и дейността на Министерството на вътрешните работи</w:t>
            </w:r>
          </w:p>
          <w:p w14:paraId="38A8B8A1" w14:textId="0D6DC0D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Обн. ДВ. бр. 60/22.07.2014 г., изм. и доп. ДВ. бр. 48/26.05.2020 г.</w:t>
            </w:r>
          </w:p>
        </w:tc>
      </w:tr>
      <w:tr w:rsidR="00D41A32" w:rsidRPr="00C717D0" w14:paraId="1A09E8D8" w14:textId="77777777" w:rsidTr="009D32BB">
        <w:tc>
          <w:tcPr>
            <w:tcW w:w="2126" w:type="dxa"/>
            <w:vMerge/>
            <w:vAlign w:val="center"/>
          </w:tcPr>
          <w:p w14:paraId="7C1D3262"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722DB88" w14:textId="411E03C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Осигурява превенция, предотвратяване, пресичане и разкриване</w:t>
            </w:r>
            <w:r w:rsidR="00D66FE0" w:rsidRPr="00610B1B">
              <w:rPr>
                <w:rFonts w:cs="Times New Roman"/>
                <w:sz w:val="20"/>
                <w:szCs w:val="20"/>
              </w:rPr>
              <w:t xml:space="preserve"> </w:t>
            </w:r>
            <w:r w:rsidRPr="00610B1B">
              <w:rPr>
                <w:rFonts w:cs="Times New Roman"/>
                <w:sz w:val="20"/>
                <w:szCs w:val="20"/>
              </w:rPr>
              <w:t xml:space="preserve">и разследване на престъпления. </w:t>
            </w:r>
          </w:p>
        </w:tc>
        <w:tc>
          <w:tcPr>
            <w:tcW w:w="3543" w:type="dxa"/>
            <w:vMerge/>
          </w:tcPr>
          <w:p w14:paraId="5F4CA2AE"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2442035B" w14:textId="77777777" w:rsidTr="009D32BB">
        <w:tc>
          <w:tcPr>
            <w:tcW w:w="2126" w:type="dxa"/>
            <w:vMerge/>
            <w:vAlign w:val="center"/>
          </w:tcPr>
          <w:p w14:paraId="1EBACB92"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F205935" w14:textId="10DCF18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Поставя и поддържа в изправност граничните знаци, обозначава граничната линия на държавната граница, не допуска разрушаване, изместване или други действия по нея.</w:t>
            </w:r>
          </w:p>
        </w:tc>
        <w:tc>
          <w:tcPr>
            <w:tcW w:w="3543" w:type="dxa"/>
            <w:vMerge/>
          </w:tcPr>
          <w:p w14:paraId="170B36CD"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1A6EF20B" w14:textId="77777777" w:rsidTr="009D32BB">
        <w:tc>
          <w:tcPr>
            <w:tcW w:w="2126" w:type="dxa"/>
            <w:vMerge/>
            <w:vAlign w:val="center"/>
          </w:tcPr>
          <w:p w14:paraId="3393DBC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A62C6FE" w14:textId="0A545EE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Изработва карти и друга документация на държавната граница и поддържа геодезическо-картографски фонд.</w:t>
            </w:r>
          </w:p>
        </w:tc>
        <w:tc>
          <w:tcPr>
            <w:tcW w:w="3543" w:type="dxa"/>
            <w:vMerge/>
          </w:tcPr>
          <w:p w14:paraId="4A78E17A"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49F1DC3F" w14:textId="77777777" w:rsidTr="009D32BB">
        <w:tc>
          <w:tcPr>
            <w:tcW w:w="2126" w:type="dxa"/>
            <w:vMerge/>
            <w:vAlign w:val="center"/>
          </w:tcPr>
          <w:p w14:paraId="385DC48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00489821" w14:textId="3F594495"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Събира, обработва, анализира, съхранява, използва и предоставя информация по направленията на дейности, обменя информация и взаимодейства с други структури на МВР, органи на държавна власт и на местно самоуправление, юридически лица и граждани и полицейски служби на други държави.</w:t>
            </w:r>
          </w:p>
        </w:tc>
        <w:tc>
          <w:tcPr>
            <w:tcW w:w="3543" w:type="dxa"/>
            <w:vMerge/>
          </w:tcPr>
          <w:p w14:paraId="7C00E8DA"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2057F697" w14:textId="77777777" w:rsidTr="009D32BB">
        <w:tc>
          <w:tcPr>
            <w:tcW w:w="2126" w:type="dxa"/>
            <w:vMerge w:val="restart"/>
            <w:vAlign w:val="center"/>
          </w:tcPr>
          <w:p w14:paraId="025EBF89" w14:textId="41B56A3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външните работи (МВнР)</w:t>
            </w:r>
          </w:p>
        </w:tc>
        <w:tc>
          <w:tcPr>
            <w:tcW w:w="4396" w:type="dxa"/>
          </w:tcPr>
          <w:p w14:paraId="07E6A90A" w14:textId="06CD9DD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Министърът на външните работи подпомага министрите на околната среда и водите и на регионалното развитие и благоустройството при осъществяването на сътрудничество и координация във връзка с оценка на въздействието в трансграничен контекст със страните от Черноморския регион.</w:t>
            </w:r>
          </w:p>
        </w:tc>
        <w:tc>
          <w:tcPr>
            <w:tcW w:w="3543" w:type="dxa"/>
          </w:tcPr>
          <w:p w14:paraId="36EF95F0"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03DB17DB" w14:textId="77777777" w:rsidTr="009D32BB">
        <w:tc>
          <w:tcPr>
            <w:tcW w:w="2126" w:type="dxa"/>
            <w:vMerge/>
            <w:vAlign w:val="center"/>
          </w:tcPr>
          <w:p w14:paraId="02A56160" w14:textId="2D9B8120"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D954DA9" w14:textId="72BD60B1"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Министърът на външните работи подпомага министъра на околната среда и водите при осъществяването на сътрудничество и координация във връзка с разработването и изпълнението на морските стратегии на международно ниво, включително изпращане на информация до ЕК по прилагането на наредбата.</w:t>
            </w:r>
          </w:p>
        </w:tc>
        <w:tc>
          <w:tcPr>
            <w:tcW w:w="3543" w:type="dxa"/>
          </w:tcPr>
          <w:p w14:paraId="03D0FF34" w14:textId="5D4F4FA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Наредба за опазването на околната среда в морските води, обн. ДВ бр. 94/30.11.2010 г. изм. и доп. ДВ бр. 14/18.02.2020 г.</w:t>
            </w:r>
          </w:p>
        </w:tc>
      </w:tr>
      <w:tr w:rsidR="00D41A32" w:rsidRPr="00610B1B" w14:paraId="09AF8E20" w14:textId="77777777" w:rsidTr="009D32BB">
        <w:tc>
          <w:tcPr>
            <w:tcW w:w="2126" w:type="dxa"/>
            <w:vMerge w:val="restart"/>
            <w:vAlign w:val="center"/>
          </w:tcPr>
          <w:p w14:paraId="5D137EC6" w14:textId="1DA9A6C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труда и социалната политика (МТСП)</w:t>
            </w:r>
          </w:p>
        </w:tc>
        <w:tc>
          <w:tcPr>
            <w:tcW w:w="4396" w:type="dxa"/>
          </w:tcPr>
          <w:p w14:paraId="4FF35A74" w14:textId="3B8800FD"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Министърът на труда и социалната политика ръководи, координира и контролира осъществяването на държавната политика в областта на доходите и жизненото равнище, социалното осигуряване, защитата при безработица и насърчаване на заетостта, пазара на труда, трудовата миграция и свободното движение на работници, безопасността и здравето при работа, социалните инвестиции, социалната закрила, социалното включване, подкрепата на децата и семейството, демографското развитие, интеграцията на хората с увреждания, равните възможности и антидискриминацията. </w:t>
            </w:r>
          </w:p>
        </w:tc>
        <w:tc>
          <w:tcPr>
            <w:tcW w:w="3543" w:type="dxa"/>
          </w:tcPr>
          <w:p w14:paraId="45E1FCE4" w14:textId="76DAF8E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Устройствен правилник на МТСП, обн. ДВ бр. 91/17.11.2009 г., изм. и доп. ДВ бр. 16/22.02.2019 г. , чл. 3 ал. 1 </w:t>
            </w:r>
          </w:p>
        </w:tc>
      </w:tr>
      <w:tr w:rsidR="00D41A32" w:rsidRPr="00610B1B" w14:paraId="137CE1A0" w14:textId="77777777" w:rsidTr="009D32BB">
        <w:tc>
          <w:tcPr>
            <w:tcW w:w="2126" w:type="dxa"/>
            <w:vMerge/>
            <w:vAlign w:val="center"/>
          </w:tcPr>
          <w:p w14:paraId="0AA471E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61B25061" w14:textId="0991385B"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Издава удостоверения на физически и </w:t>
            </w:r>
            <w:r w:rsidRPr="00610B1B">
              <w:rPr>
                <w:rFonts w:cs="Times New Roman"/>
                <w:sz w:val="20"/>
                <w:szCs w:val="20"/>
              </w:rPr>
              <w:lastRenderedPageBreak/>
              <w:t>юридически лица за регистрация за извършване на посредническа дейност по наемане на работа на български граждани в страната и в чужбина и за моряци;</w:t>
            </w:r>
          </w:p>
        </w:tc>
        <w:tc>
          <w:tcPr>
            <w:tcW w:w="3543" w:type="dxa"/>
          </w:tcPr>
          <w:p w14:paraId="10C2928D" w14:textId="1FCB3D2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lastRenderedPageBreak/>
              <w:t xml:space="preserve">Устройствен правилник на МТСП, </w:t>
            </w:r>
            <w:r w:rsidRPr="00610B1B">
              <w:rPr>
                <w:rFonts w:cs="Times New Roman"/>
                <w:sz w:val="20"/>
                <w:szCs w:val="20"/>
              </w:rPr>
              <w:lastRenderedPageBreak/>
              <w:t xml:space="preserve">обн. ДВ бр. 91/17.11.2009 г., изм. и доп. ДВ бр. 16/22.02.2019 г. , чл. 4 т. 17 </w:t>
            </w:r>
          </w:p>
        </w:tc>
      </w:tr>
      <w:tr w:rsidR="00D41A32" w:rsidRPr="00C717D0" w14:paraId="4356C024" w14:textId="77777777" w:rsidTr="009D32BB">
        <w:tc>
          <w:tcPr>
            <w:tcW w:w="2126" w:type="dxa"/>
            <w:vMerge w:val="restart"/>
            <w:vAlign w:val="center"/>
          </w:tcPr>
          <w:p w14:paraId="4BC3447A" w14:textId="3935AD0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Министерство на образованието и науката (МОН)</w:t>
            </w:r>
          </w:p>
        </w:tc>
        <w:tc>
          <w:tcPr>
            <w:tcW w:w="4396" w:type="dxa"/>
          </w:tcPr>
          <w:p w14:paraId="1D26EC0A" w14:textId="796A9E3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Самостоятелно и съвместно с други министерства осъществява политиката за подготовка на кадри в граждански специалности и във военни специалности.</w:t>
            </w:r>
          </w:p>
        </w:tc>
        <w:tc>
          <w:tcPr>
            <w:tcW w:w="3543" w:type="dxa"/>
          </w:tcPr>
          <w:p w14:paraId="793A0ECD" w14:textId="4A56325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висшето образование, Закон за развитие на академичния състав, Закон за отбраната и въоръжените сили</w:t>
            </w:r>
          </w:p>
        </w:tc>
      </w:tr>
      <w:tr w:rsidR="00D41A32" w:rsidRPr="00610B1B" w14:paraId="2A3DE699" w14:textId="77777777" w:rsidTr="009D32BB">
        <w:tc>
          <w:tcPr>
            <w:tcW w:w="2126" w:type="dxa"/>
            <w:vMerge/>
            <w:vAlign w:val="center"/>
          </w:tcPr>
          <w:p w14:paraId="69B6D54C"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2621ABDD" w14:textId="7FCD968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Подпомага взаимодействието между образователните и научноизследователските институции за изследвания в областта на морските технологии и иновации.</w:t>
            </w:r>
          </w:p>
        </w:tc>
        <w:tc>
          <w:tcPr>
            <w:tcW w:w="3543" w:type="dxa"/>
          </w:tcPr>
          <w:p w14:paraId="74CAFC4C" w14:textId="1525B5C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Дневен ред Черно море</w:t>
            </w:r>
          </w:p>
        </w:tc>
      </w:tr>
      <w:tr w:rsidR="00D41A32" w:rsidRPr="00610B1B" w14:paraId="2441351C" w14:textId="77777777" w:rsidTr="009D32BB">
        <w:tc>
          <w:tcPr>
            <w:tcW w:w="2126" w:type="dxa"/>
            <w:vMerge w:val="restart"/>
            <w:vAlign w:val="center"/>
          </w:tcPr>
          <w:p w14:paraId="09AD3DF4" w14:textId="6B937EC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Министерство на младежта и спорта (ММС)</w:t>
            </w:r>
          </w:p>
        </w:tc>
        <w:tc>
          <w:tcPr>
            <w:tcW w:w="4396" w:type="dxa"/>
          </w:tcPr>
          <w:p w14:paraId="562E7702" w14:textId="0348627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Министърът на младежта и спорта разработва и внася за одобряване от Министерския съвет Националната стратегия за развитие на физическата активност, физическото възпитание, спорта и спортно-туристическата дейност, утвърждава програми за нейното изпълнение във взаимодействие с държавните и местните органи и спортни и други организации.</w:t>
            </w:r>
          </w:p>
        </w:tc>
        <w:tc>
          <w:tcPr>
            <w:tcW w:w="3543" w:type="dxa"/>
          </w:tcPr>
          <w:p w14:paraId="4F986400" w14:textId="57F27DB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 на Министерството на младежта и спорта, обн. ДВ бр. 62/12.07.2013 г.</w:t>
            </w:r>
            <w:r w:rsidR="00D66FE0" w:rsidRPr="00610B1B">
              <w:rPr>
                <w:rFonts w:cs="Times New Roman"/>
                <w:sz w:val="20"/>
                <w:szCs w:val="20"/>
              </w:rPr>
              <w:t xml:space="preserve"> </w:t>
            </w:r>
            <w:r w:rsidRPr="00610B1B">
              <w:rPr>
                <w:rFonts w:cs="Times New Roman"/>
                <w:sz w:val="20"/>
                <w:szCs w:val="20"/>
              </w:rPr>
              <w:t>изм. и доп. ДВ. бр.46/19.05.2020 г.</w:t>
            </w:r>
          </w:p>
        </w:tc>
      </w:tr>
      <w:tr w:rsidR="00D41A32" w:rsidRPr="00C717D0" w14:paraId="702DD91F" w14:textId="77777777" w:rsidTr="009D32BB">
        <w:tc>
          <w:tcPr>
            <w:tcW w:w="2126" w:type="dxa"/>
            <w:vMerge/>
            <w:vAlign w:val="center"/>
          </w:tcPr>
          <w:p w14:paraId="2111B5A1" w14:textId="21154356"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F719DA8" w14:textId="1BB6C72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Подпомага развитието на водните спортове, свързани с акваторията на Черно море.</w:t>
            </w:r>
          </w:p>
        </w:tc>
        <w:tc>
          <w:tcPr>
            <w:tcW w:w="3543" w:type="dxa"/>
          </w:tcPr>
          <w:p w14:paraId="04BA0A68"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308D3A28" w14:textId="77777777" w:rsidTr="009D32BB">
        <w:tc>
          <w:tcPr>
            <w:tcW w:w="2126" w:type="dxa"/>
            <w:vMerge w:val="restart"/>
            <w:vAlign w:val="center"/>
          </w:tcPr>
          <w:p w14:paraId="2053FBEE" w14:textId="3378C5F4"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Национален център за териториално развитие ЕАД (НЦТР)</w:t>
            </w:r>
          </w:p>
        </w:tc>
        <w:tc>
          <w:tcPr>
            <w:tcW w:w="4396" w:type="dxa"/>
          </w:tcPr>
          <w:p w14:paraId="50F4ABE2" w14:textId="5F7024A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Разработва Морски пространствен план на Република България.</w:t>
            </w:r>
          </w:p>
        </w:tc>
        <w:tc>
          <w:tcPr>
            <w:tcW w:w="3543" w:type="dxa"/>
          </w:tcPr>
          <w:p w14:paraId="5572CF72"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29661613" w14:textId="77777777" w:rsidTr="009D32BB">
        <w:tc>
          <w:tcPr>
            <w:tcW w:w="2126" w:type="dxa"/>
            <w:vMerge/>
            <w:vAlign w:val="center"/>
          </w:tcPr>
          <w:p w14:paraId="741C44A4"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B824C6C" w14:textId="7D49C93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Събира и поддържа информацията за нуждите на морското пространствено планиране. </w:t>
            </w:r>
          </w:p>
        </w:tc>
        <w:tc>
          <w:tcPr>
            <w:tcW w:w="3543" w:type="dxa"/>
          </w:tcPr>
          <w:p w14:paraId="50BACD62"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42FA2B1E" w14:textId="77777777" w:rsidTr="009D32BB">
        <w:tc>
          <w:tcPr>
            <w:tcW w:w="2126" w:type="dxa"/>
            <w:vMerge/>
            <w:vAlign w:val="center"/>
          </w:tcPr>
          <w:p w14:paraId="4E367A0C"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AF50EAE" w14:textId="1E3F447B"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 възлагане на Министъра на регионалното развитие и благоустройството извършва изменения и актуализации на МППРБ.</w:t>
            </w:r>
          </w:p>
        </w:tc>
        <w:tc>
          <w:tcPr>
            <w:tcW w:w="3543" w:type="dxa"/>
          </w:tcPr>
          <w:p w14:paraId="4640E767"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6DD2C27E" w14:textId="77777777" w:rsidTr="009D32BB">
        <w:tc>
          <w:tcPr>
            <w:tcW w:w="10065" w:type="dxa"/>
            <w:gridSpan w:val="3"/>
            <w:shd w:val="clear" w:color="auto" w:fill="B8CCE4" w:themeFill="accent1" w:themeFillTint="66"/>
            <w:vAlign w:val="center"/>
          </w:tcPr>
          <w:p w14:paraId="6E7DDEA1" w14:textId="1AFA979A" w:rsidR="00D41A32" w:rsidRPr="00610B1B" w:rsidRDefault="00D41A32" w:rsidP="00D41A32">
            <w:pPr>
              <w:pStyle w:val="BodyText"/>
              <w:spacing w:before="0" w:after="0" w:line="240" w:lineRule="auto"/>
              <w:jc w:val="center"/>
              <w:rPr>
                <w:rFonts w:cs="Times New Roman"/>
                <w:b/>
                <w:bCs/>
                <w:sz w:val="20"/>
                <w:szCs w:val="20"/>
              </w:rPr>
            </w:pPr>
            <w:r w:rsidRPr="00610B1B">
              <w:rPr>
                <w:rFonts w:cs="Times New Roman"/>
                <w:b/>
                <w:bCs/>
                <w:sz w:val="20"/>
                <w:szCs w:val="20"/>
              </w:rPr>
              <w:t>Регионално ниво</w:t>
            </w:r>
          </w:p>
        </w:tc>
      </w:tr>
      <w:tr w:rsidR="00D41A32" w:rsidRPr="00610B1B" w14:paraId="67D9408C" w14:textId="77777777" w:rsidTr="00695BEA">
        <w:tc>
          <w:tcPr>
            <w:tcW w:w="2126" w:type="dxa"/>
            <w:vMerge w:val="restart"/>
            <w:vAlign w:val="center"/>
          </w:tcPr>
          <w:p w14:paraId="34DECE93" w14:textId="62EEFCEC" w:rsidR="00D41A32" w:rsidRPr="00610B1B" w:rsidRDefault="00D41A32" w:rsidP="00695BEA">
            <w:pPr>
              <w:pStyle w:val="BodyText"/>
              <w:spacing w:before="0" w:after="0" w:line="240" w:lineRule="auto"/>
              <w:jc w:val="left"/>
              <w:rPr>
                <w:rFonts w:cs="Times New Roman"/>
                <w:sz w:val="20"/>
                <w:szCs w:val="20"/>
              </w:rPr>
            </w:pPr>
            <w:r w:rsidRPr="00610B1B">
              <w:rPr>
                <w:rFonts w:cs="Times New Roman"/>
                <w:sz w:val="20"/>
                <w:szCs w:val="20"/>
              </w:rPr>
              <w:t>Басейнова дирекция „Черноморски район“ (БДЧР)</w:t>
            </w:r>
          </w:p>
        </w:tc>
        <w:tc>
          <w:tcPr>
            <w:tcW w:w="4396" w:type="dxa"/>
          </w:tcPr>
          <w:p w14:paraId="62A7ADA6" w14:textId="0CC1212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Директорът на БДЧР организира изпълнението и съгласуването на Програмата от мерки към Морската стратегия, анализира данните от мониторинга и подготвя оценката за състоянието на околната среда в морските води. </w:t>
            </w:r>
          </w:p>
        </w:tc>
        <w:tc>
          <w:tcPr>
            <w:tcW w:w="3543" w:type="dxa"/>
            <w:vMerge w:val="restart"/>
          </w:tcPr>
          <w:p w14:paraId="55BDA7BF" w14:textId="681BA95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Наредба за опазване на околната среда в морските води, обн. ДВ бр. 94/30.11.2010 г., изм. и доп. ДВ бр. 14/18.02.2020 г. </w:t>
            </w:r>
          </w:p>
        </w:tc>
      </w:tr>
      <w:tr w:rsidR="00D41A32" w:rsidRPr="00C717D0" w14:paraId="14A0CE19" w14:textId="77777777" w:rsidTr="009D32BB">
        <w:tc>
          <w:tcPr>
            <w:tcW w:w="2126" w:type="dxa"/>
            <w:vMerge/>
            <w:vAlign w:val="center"/>
          </w:tcPr>
          <w:p w14:paraId="032B6FF0"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471E949" w14:textId="357DC33E"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Осъществява координацията между институции, юридически и физически лица при разработване на морската стратегия и програмата от мерки.</w:t>
            </w:r>
          </w:p>
        </w:tc>
        <w:tc>
          <w:tcPr>
            <w:tcW w:w="3543" w:type="dxa"/>
            <w:vMerge/>
          </w:tcPr>
          <w:p w14:paraId="110F579D"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7B677D04" w14:textId="77777777" w:rsidTr="009D32BB">
        <w:tc>
          <w:tcPr>
            <w:tcW w:w="2126" w:type="dxa"/>
            <w:vMerge/>
            <w:vAlign w:val="center"/>
          </w:tcPr>
          <w:p w14:paraId="16396FF8"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4892A0D" w14:textId="4D9A229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Предоставя информация и подпомага</w:t>
            </w:r>
            <w:r w:rsidR="00D66FE0" w:rsidRPr="00610B1B">
              <w:rPr>
                <w:rFonts w:cs="Times New Roman"/>
                <w:sz w:val="20"/>
                <w:szCs w:val="20"/>
              </w:rPr>
              <w:t xml:space="preserve"> </w:t>
            </w:r>
            <w:r w:rsidRPr="00610B1B">
              <w:rPr>
                <w:rFonts w:cs="Times New Roman"/>
                <w:sz w:val="20"/>
                <w:szCs w:val="20"/>
              </w:rPr>
              <w:t>процеса на разработване, поддържане и приложение на НМППРБ</w:t>
            </w:r>
          </w:p>
        </w:tc>
        <w:tc>
          <w:tcPr>
            <w:tcW w:w="3543" w:type="dxa"/>
          </w:tcPr>
          <w:p w14:paraId="0D1F0DF7"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68EEC961" w14:textId="77777777" w:rsidTr="009D32BB">
        <w:tc>
          <w:tcPr>
            <w:tcW w:w="2126" w:type="dxa"/>
            <w:vMerge/>
            <w:vAlign w:val="center"/>
          </w:tcPr>
          <w:p w14:paraId="32F5EF1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FE2F378" w14:textId="426B697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Директорът на БДЧР издава разрешителни за ползване на водни обекти - вътрешните морски води или териториалното море, след съгласие на министъра на отбраната и на министъра на транспорта и съобщенията.</w:t>
            </w:r>
          </w:p>
        </w:tc>
        <w:tc>
          <w:tcPr>
            <w:tcW w:w="3543" w:type="dxa"/>
          </w:tcPr>
          <w:p w14:paraId="60A30474"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7D065EA9" w14:textId="77777777" w:rsidTr="009D32BB">
        <w:tc>
          <w:tcPr>
            <w:tcW w:w="2126" w:type="dxa"/>
            <w:vMerge/>
            <w:vAlign w:val="center"/>
          </w:tcPr>
          <w:p w14:paraId="35DC26DF"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59CC110D" w14:textId="41282F1B"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Определя водите за обитаване от риби и черупкови организми</w:t>
            </w:r>
          </w:p>
        </w:tc>
        <w:tc>
          <w:tcPr>
            <w:tcW w:w="3543" w:type="dxa"/>
            <w:shd w:val="clear" w:color="auto" w:fill="auto"/>
          </w:tcPr>
          <w:p w14:paraId="393C22AC" w14:textId="77777777"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Наредба № 4 от 20 октомври 2000 г. за качеството на водите за рибовъдство и за развъждане на черупкови организми</w:t>
            </w:r>
          </w:p>
          <w:p w14:paraId="04B709FA" w14:textId="54D5CF81"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Инструкция № 1 от 12 октомври 2004</w:t>
            </w:r>
            <w:r w:rsidR="00AC1887" w:rsidRPr="00610B1B">
              <w:rPr>
                <w:rFonts w:eastAsiaTheme="minorEastAsia" w:cs="Times New Roman"/>
                <w:bCs/>
                <w:sz w:val="20"/>
                <w:szCs w:val="20"/>
              </w:rPr>
              <w:t> </w:t>
            </w:r>
            <w:r w:rsidRPr="00610B1B">
              <w:rPr>
                <w:rFonts w:eastAsiaTheme="minorEastAsia" w:cs="Times New Roman"/>
                <w:bCs/>
                <w:sz w:val="20"/>
                <w:szCs w:val="20"/>
              </w:rPr>
              <w:t>г. за идентифициране на водите във водните обекти или части от тях за обитаване от риби и районите с крайбрежни морски води за развъждане на черупкови организми</w:t>
            </w:r>
          </w:p>
        </w:tc>
      </w:tr>
      <w:tr w:rsidR="00D41A32" w:rsidRPr="00C717D0" w14:paraId="54A046FB" w14:textId="77777777" w:rsidTr="009D32BB">
        <w:tc>
          <w:tcPr>
            <w:tcW w:w="2126" w:type="dxa"/>
            <w:vMerge/>
            <w:vAlign w:val="center"/>
          </w:tcPr>
          <w:p w14:paraId="70591D39" w14:textId="34C7414D"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25C2F63D" w14:textId="3C2975EC"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 xml:space="preserve">Разработва Плана за управление на речния басейн; предварителната оценка и Плана за </w:t>
            </w:r>
            <w:r w:rsidRPr="00610B1B">
              <w:rPr>
                <w:rFonts w:eastAsiaTheme="minorEastAsia" w:cs="Times New Roman"/>
                <w:bCs/>
                <w:sz w:val="20"/>
                <w:szCs w:val="20"/>
              </w:rPr>
              <w:lastRenderedPageBreak/>
              <w:t>управление на риска от наводнения</w:t>
            </w:r>
          </w:p>
        </w:tc>
        <w:tc>
          <w:tcPr>
            <w:tcW w:w="3543" w:type="dxa"/>
            <w:vMerge w:val="restart"/>
            <w:shd w:val="clear" w:color="auto" w:fill="auto"/>
          </w:tcPr>
          <w:p w14:paraId="63B41C0B" w14:textId="77777777"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lastRenderedPageBreak/>
              <w:t xml:space="preserve">Правилник за дейността, организацията на работа и състав на </w:t>
            </w:r>
            <w:r w:rsidRPr="00610B1B">
              <w:rPr>
                <w:rFonts w:eastAsiaTheme="minorEastAsia" w:cs="Times New Roman"/>
                <w:bCs/>
                <w:sz w:val="20"/>
                <w:szCs w:val="20"/>
              </w:rPr>
              <w:lastRenderedPageBreak/>
              <w:t>басейновите дирекции, Обн. ДВ. бр.7/21.01.2011 г.</w:t>
            </w:r>
          </w:p>
          <w:p w14:paraId="436D569B" w14:textId="5EFF45F4"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321E900C" w14:textId="77777777" w:rsidTr="009D32BB">
        <w:tc>
          <w:tcPr>
            <w:tcW w:w="2126" w:type="dxa"/>
            <w:vMerge/>
            <w:vAlign w:val="center"/>
          </w:tcPr>
          <w:p w14:paraId="7EEA7FC9"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05354C0B" w14:textId="57276637"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Планира и участва в провеждането на мониторинга на водите</w:t>
            </w:r>
          </w:p>
        </w:tc>
        <w:tc>
          <w:tcPr>
            <w:tcW w:w="3543" w:type="dxa"/>
            <w:vMerge/>
            <w:shd w:val="clear" w:color="auto" w:fill="auto"/>
          </w:tcPr>
          <w:p w14:paraId="68B2E596" w14:textId="44A6170C"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49880DC8" w14:textId="77777777" w:rsidTr="009D32BB">
        <w:tc>
          <w:tcPr>
            <w:tcW w:w="2126" w:type="dxa"/>
            <w:vMerge/>
            <w:vAlign w:val="center"/>
          </w:tcPr>
          <w:p w14:paraId="7B34A10A"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2D12EE86" w14:textId="67714022"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Поддържа специализирани бази данни, карти, регистри и информационна система за водите и води регистри</w:t>
            </w:r>
          </w:p>
        </w:tc>
        <w:tc>
          <w:tcPr>
            <w:tcW w:w="3543" w:type="dxa"/>
            <w:vMerge/>
            <w:shd w:val="clear" w:color="auto" w:fill="auto"/>
          </w:tcPr>
          <w:p w14:paraId="4A55681D" w14:textId="3F271B9A"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009C1F8F" w14:textId="77777777" w:rsidTr="009D32BB">
        <w:tc>
          <w:tcPr>
            <w:tcW w:w="2126" w:type="dxa"/>
            <w:vMerge/>
            <w:vAlign w:val="center"/>
          </w:tcPr>
          <w:p w14:paraId="72BAEBB1"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07F0DADE" w14:textId="25D0ABF4"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Извършва оценката на състоянието на водните тела</w:t>
            </w:r>
          </w:p>
        </w:tc>
        <w:tc>
          <w:tcPr>
            <w:tcW w:w="3543" w:type="dxa"/>
            <w:vMerge/>
            <w:shd w:val="clear" w:color="auto" w:fill="auto"/>
          </w:tcPr>
          <w:p w14:paraId="3E0929FA" w14:textId="0752FC56" w:rsidR="00D41A32" w:rsidRPr="00610B1B" w:rsidRDefault="00D41A32" w:rsidP="00D41A32">
            <w:pPr>
              <w:pStyle w:val="BodyText"/>
              <w:spacing w:before="0" w:after="0" w:line="240" w:lineRule="auto"/>
              <w:jc w:val="left"/>
              <w:rPr>
                <w:rFonts w:cs="Times New Roman"/>
                <w:sz w:val="20"/>
                <w:szCs w:val="20"/>
              </w:rPr>
            </w:pPr>
          </w:p>
        </w:tc>
      </w:tr>
      <w:tr w:rsidR="00D41A32" w:rsidRPr="00C717D0" w14:paraId="5F5EB22E" w14:textId="77777777" w:rsidTr="009D32BB">
        <w:tc>
          <w:tcPr>
            <w:tcW w:w="2126" w:type="dxa"/>
            <w:vMerge w:val="restart"/>
            <w:vAlign w:val="center"/>
          </w:tcPr>
          <w:p w14:paraId="5C5D59A1" w14:textId="43FF163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Регионална инспекция по околна среда (РИОСВ Варна и Бургас) </w:t>
            </w:r>
          </w:p>
        </w:tc>
        <w:tc>
          <w:tcPr>
            <w:tcW w:w="4396" w:type="dxa"/>
          </w:tcPr>
          <w:p w14:paraId="044467C2" w14:textId="3EBACC40"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Осъществяват превантивен, текущ и последващ контрол по отношение на компонентите и факторите на околната среда.</w:t>
            </w:r>
          </w:p>
        </w:tc>
        <w:tc>
          <w:tcPr>
            <w:tcW w:w="3543" w:type="dxa"/>
          </w:tcPr>
          <w:p w14:paraId="4F4D3107"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7144277B" w14:textId="77777777" w:rsidTr="009D32BB">
        <w:tc>
          <w:tcPr>
            <w:tcW w:w="2126" w:type="dxa"/>
            <w:vMerge/>
            <w:vAlign w:val="center"/>
          </w:tcPr>
          <w:p w14:paraId="06942A80"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7D2F37AE" w14:textId="0FE0846E"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Участват в процеса на подготовка, разработване, консултиране и одобряване на общите устройствени планове на общините. </w:t>
            </w:r>
          </w:p>
        </w:tc>
        <w:tc>
          <w:tcPr>
            <w:tcW w:w="3543" w:type="dxa"/>
          </w:tcPr>
          <w:p w14:paraId="1777FD7B" w14:textId="3DA88829"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ЗУТ, ЗУЧК</w:t>
            </w:r>
          </w:p>
        </w:tc>
      </w:tr>
      <w:tr w:rsidR="00D41A32" w:rsidRPr="00C717D0" w14:paraId="2C6B8D9A" w14:textId="77777777" w:rsidTr="009D32BB">
        <w:tc>
          <w:tcPr>
            <w:tcW w:w="2126" w:type="dxa"/>
            <w:vMerge w:val="restart"/>
            <w:vAlign w:val="center"/>
          </w:tcPr>
          <w:p w14:paraId="49848EAE" w14:textId="45C9155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Регионална здравна инспекция (РЗИ Добрич, Варна и Бургас)</w:t>
            </w:r>
          </w:p>
        </w:tc>
        <w:tc>
          <w:tcPr>
            <w:tcW w:w="4396" w:type="dxa"/>
          </w:tcPr>
          <w:p w14:paraId="7D627675" w14:textId="7DCDECF0"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Извършват контрол на водите за къпане в крайбрежните морски води на Черно море и предоставят информация за тяхното качество.</w:t>
            </w:r>
            <w:r w:rsidR="00D66FE0" w:rsidRPr="00610B1B">
              <w:rPr>
                <w:rFonts w:cs="Times New Roman"/>
                <w:sz w:val="20"/>
                <w:szCs w:val="20"/>
              </w:rPr>
              <w:t xml:space="preserve"> </w:t>
            </w:r>
          </w:p>
        </w:tc>
        <w:tc>
          <w:tcPr>
            <w:tcW w:w="3543" w:type="dxa"/>
          </w:tcPr>
          <w:p w14:paraId="11895FF2"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Наредба за опазване на околната среда в морските води, обн. ДВ бр. 94/30.11.2010 г., изм. и доп. ДВ бр. 14/18.02.2020 г. </w:t>
            </w:r>
          </w:p>
          <w:p w14:paraId="4567711F" w14:textId="5E327A5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Наредба № 5 от 30 май 2008 г. за управление качеството на водите за къпане, Обн. ДВ. бр. 53/10.06.2008 г., чл. 6</w:t>
            </w:r>
          </w:p>
        </w:tc>
      </w:tr>
      <w:tr w:rsidR="00D41A32" w:rsidRPr="00610B1B" w14:paraId="42050B13" w14:textId="77777777" w:rsidTr="009D32BB">
        <w:tc>
          <w:tcPr>
            <w:tcW w:w="2126" w:type="dxa"/>
            <w:vMerge/>
            <w:vAlign w:val="center"/>
          </w:tcPr>
          <w:p w14:paraId="515F7217"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55A8C1E2" w14:textId="574F338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Контролират спазването на изискванията за опазването на курортните ресурси – лечебна кал, минерални води, морски води за къпане.</w:t>
            </w:r>
          </w:p>
        </w:tc>
        <w:tc>
          <w:tcPr>
            <w:tcW w:w="3543" w:type="dxa"/>
          </w:tcPr>
          <w:p w14:paraId="4622D9A9" w14:textId="66280F7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Наредба № 14 за опазване на курортните ресурси, курортните местности и курортите, обн. ДВ бр. 79/13.10.1987 г., изм. и доп. ДВ бр. 70/10.08.2004 г.</w:t>
            </w:r>
          </w:p>
        </w:tc>
      </w:tr>
      <w:tr w:rsidR="00D41A32" w:rsidRPr="00C717D0" w14:paraId="1D5ECA81" w14:textId="77777777" w:rsidTr="009D32BB">
        <w:tc>
          <w:tcPr>
            <w:tcW w:w="2126" w:type="dxa"/>
            <w:vMerge/>
            <w:vAlign w:val="center"/>
          </w:tcPr>
          <w:p w14:paraId="50FF716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shd w:val="clear" w:color="auto" w:fill="auto"/>
          </w:tcPr>
          <w:p w14:paraId="7F464449" w14:textId="6A1E6C87" w:rsidR="00D41A32" w:rsidRPr="00610B1B" w:rsidRDefault="00D41A32" w:rsidP="00D41A32">
            <w:pPr>
              <w:pStyle w:val="BodyText"/>
              <w:spacing w:before="0" w:after="0" w:line="240" w:lineRule="auto"/>
              <w:jc w:val="left"/>
              <w:rPr>
                <w:rFonts w:cs="Times New Roman"/>
                <w:bCs/>
                <w:sz w:val="20"/>
                <w:szCs w:val="20"/>
              </w:rPr>
            </w:pPr>
            <w:r w:rsidRPr="00610B1B">
              <w:rPr>
                <w:rFonts w:eastAsiaTheme="minorEastAsia" w:cs="Times New Roman"/>
                <w:bCs/>
                <w:sz w:val="20"/>
                <w:szCs w:val="20"/>
              </w:rPr>
              <w:t>Директорът на РЗИ ежегодно преди началото на сезона за къпане идентифицира всички зони за къпане, намиращи се на контролираната от него територия, и определя продължителността на сезона за къпане.</w:t>
            </w:r>
          </w:p>
          <w:p w14:paraId="72ADD59A" w14:textId="77777777" w:rsidR="00D41A32" w:rsidRPr="00610B1B" w:rsidRDefault="00D41A32" w:rsidP="00D41A32">
            <w:pPr>
              <w:pStyle w:val="BodyText"/>
              <w:spacing w:before="0" w:after="0" w:line="240" w:lineRule="auto"/>
              <w:rPr>
                <w:rFonts w:cs="Times New Roman"/>
                <w:sz w:val="20"/>
                <w:szCs w:val="20"/>
              </w:rPr>
            </w:pPr>
          </w:p>
        </w:tc>
        <w:tc>
          <w:tcPr>
            <w:tcW w:w="3543" w:type="dxa"/>
            <w:shd w:val="clear" w:color="auto" w:fill="auto"/>
          </w:tcPr>
          <w:p w14:paraId="11E871B4" w14:textId="2EA79EF9"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Наредба № 5 от 30 май 2008 г. за управление качеството на водите за къпане, Обн. ДВ. бр. 53/10.06.2008 г., чл. 5</w:t>
            </w:r>
          </w:p>
        </w:tc>
      </w:tr>
      <w:tr w:rsidR="00D41A32" w:rsidRPr="00C717D0" w14:paraId="06EE2C21" w14:textId="77777777" w:rsidTr="009D32BB">
        <w:tc>
          <w:tcPr>
            <w:tcW w:w="2126" w:type="dxa"/>
            <w:vAlign w:val="center"/>
          </w:tcPr>
          <w:p w14:paraId="43383413" w14:textId="52F60A8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Регионален съвет за развитие (РСР на СИР и ЮИР за планиране от ниво 2)</w:t>
            </w:r>
          </w:p>
        </w:tc>
        <w:tc>
          <w:tcPr>
            <w:tcW w:w="4396" w:type="dxa"/>
          </w:tcPr>
          <w:p w14:paraId="5E32A49B" w14:textId="1FAE155B"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РСР приемат Интегрирани териториални стратегии за развитие на двата района и участват в процеса на консултации на Морския пространствен план.</w:t>
            </w:r>
            <w:r w:rsidR="00D66FE0" w:rsidRPr="00610B1B">
              <w:rPr>
                <w:rFonts w:cs="Times New Roman"/>
                <w:sz w:val="20"/>
                <w:szCs w:val="20"/>
              </w:rPr>
              <w:t xml:space="preserve"> </w:t>
            </w:r>
          </w:p>
        </w:tc>
        <w:tc>
          <w:tcPr>
            <w:tcW w:w="3543" w:type="dxa"/>
          </w:tcPr>
          <w:p w14:paraId="57E1A7C6" w14:textId="2D117BD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Правилник за приложение на Закона за регионалното развитие, проект 2020</w:t>
            </w:r>
          </w:p>
        </w:tc>
      </w:tr>
      <w:tr w:rsidR="00D41A32" w:rsidRPr="00C717D0" w14:paraId="21282222" w14:textId="77777777" w:rsidTr="009D32BB">
        <w:tc>
          <w:tcPr>
            <w:tcW w:w="2126" w:type="dxa"/>
            <w:vAlign w:val="center"/>
          </w:tcPr>
          <w:p w14:paraId="0B4AA892" w14:textId="2A5157B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Геозащита ЕООД</w:t>
            </w:r>
            <w:r w:rsidR="007D1ED8">
              <w:rPr>
                <w:rFonts w:cs="Times New Roman"/>
                <w:sz w:val="20"/>
                <w:szCs w:val="20"/>
              </w:rPr>
              <w:t xml:space="preserve"> -</w:t>
            </w:r>
            <w:r w:rsidRPr="00610B1B">
              <w:rPr>
                <w:rFonts w:cs="Times New Roman"/>
                <w:sz w:val="20"/>
                <w:szCs w:val="20"/>
              </w:rPr>
              <w:t>Варна</w:t>
            </w:r>
          </w:p>
        </w:tc>
        <w:tc>
          <w:tcPr>
            <w:tcW w:w="4396" w:type="dxa"/>
          </w:tcPr>
          <w:p w14:paraId="366D2CEA" w14:textId="77777777" w:rsidR="007D1ED8" w:rsidRPr="007D1ED8" w:rsidRDefault="007D1ED8" w:rsidP="007D1ED8">
            <w:pPr>
              <w:pStyle w:val="BodyText"/>
              <w:spacing w:after="0" w:line="240" w:lineRule="auto"/>
              <w:rPr>
                <w:rFonts w:cs="Times New Roman"/>
                <w:sz w:val="20"/>
                <w:szCs w:val="20"/>
              </w:rPr>
            </w:pPr>
            <w:r w:rsidRPr="007D1ED8">
              <w:rPr>
                <w:rFonts w:cs="Times New Roman"/>
                <w:sz w:val="20"/>
                <w:szCs w:val="20"/>
              </w:rPr>
              <w:t>Извършва изследване и проучване на свлачищни процеси на територията на Република България, абразионни процеси по Черноморското крайбрежие и ерозионни процеси по Дунавското крайбрежие; проектиране, инвестиране, строителство и експлоатация на геозащитни съоръжения и мероприятия; превантивна и контролна дейност.</w:t>
            </w:r>
          </w:p>
          <w:p w14:paraId="1560EE7F" w14:textId="77777777" w:rsidR="007D1ED8" w:rsidRPr="007D1ED8" w:rsidRDefault="007D1ED8" w:rsidP="007D1ED8">
            <w:pPr>
              <w:pStyle w:val="BodyText"/>
              <w:spacing w:after="0" w:line="240" w:lineRule="auto"/>
              <w:rPr>
                <w:rFonts w:cs="Times New Roman"/>
                <w:sz w:val="20"/>
                <w:szCs w:val="20"/>
              </w:rPr>
            </w:pPr>
            <w:r w:rsidRPr="007D1ED8">
              <w:rPr>
                <w:rFonts w:cs="Times New Roman"/>
                <w:sz w:val="20"/>
                <w:szCs w:val="20"/>
              </w:rPr>
              <w:t>Консултантска и инженерингова дейност, свързана със свлачищни, абразионни и ерозионни процеси и други неблагоприятни физико-геоложки и техогенни процеси.“</w:t>
            </w:r>
          </w:p>
          <w:p w14:paraId="795C5289" w14:textId="77777777" w:rsidR="007D1ED8" w:rsidRDefault="007D1ED8" w:rsidP="007D1ED8">
            <w:pPr>
              <w:pStyle w:val="BodyText"/>
              <w:spacing w:before="0" w:after="0" w:line="240" w:lineRule="auto"/>
              <w:jc w:val="left"/>
              <w:rPr>
                <w:rFonts w:cs="Times New Roman"/>
                <w:sz w:val="20"/>
                <w:szCs w:val="20"/>
              </w:rPr>
            </w:pPr>
            <w:r w:rsidRPr="007D1ED8">
              <w:rPr>
                <w:rFonts w:cs="Times New Roman"/>
                <w:sz w:val="20"/>
                <w:szCs w:val="20"/>
              </w:rPr>
              <w:t>Проучва и проектира морски хидротехнически съоръжения и укрепителни противосвлачищни и противоабразионни мероприятия на Черноморското крайбрежие.</w:t>
            </w:r>
          </w:p>
          <w:p w14:paraId="4A31AD39" w14:textId="270FFD98" w:rsidR="00D41A32" w:rsidRPr="00610B1B" w:rsidRDefault="00D41A32" w:rsidP="00D41A32">
            <w:pPr>
              <w:pStyle w:val="BodyText"/>
              <w:spacing w:before="0" w:after="0" w:line="240" w:lineRule="auto"/>
              <w:jc w:val="left"/>
              <w:rPr>
                <w:rFonts w:cs="Times New Roman"/>
                <w:sz w:val="20"/>
                <w:szCs w:val="20"/>
              </w:rPr>
            </w:pPr>
          </w:p>
        </w:tc>
        <w:tc>
          <w:tcPr>
            <w:tcW w:w="3543" w:type="dxa"/>
          </w:tcPr>
          <w:p w14:paraId="6ECF48C8"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0D4392FE" w14:textId="77777777" w:rsidTr="009D32BB">
        <w:tc>
          <w:tcPr>
            <w:tcW w:w="10065" w:type="dxa"/>
            <w:gridSpan w:val="3"/>
            <w:shd w:val="clear" w:color="auto" w:fill="B8CCE4" w:themeFill="accent1" w:themeFillTint="66"/>
            <w:vAlign w:val="center"/>
          </w:tcPr>
          <w:p w14:paraId="50BD67CA" w14:textId="20C5F335" w:rsidR="00D41A32" w:rsidRPr="00610B1B" w:rsidRDefault="00D41A32" w:rsidP="00D41A32">
            <w:pPr>
              <w:pStyle w:val="BodyText"/>
              <w:spacing w:before="0" w:after="0" w:line="240" w:lineRule="auto"/>
              <w:jc w:val="center"/>
              <w:rPr>
                <w:rFonts w:cs="Times New Roman"/>
                <w:b/>
                <w:bCs/>
                <w:sz w:val="20"/>
                <w:szCs w:val="20"/>
              </w:rPr>
            </w:pPr>
            <w:r w:rsidRPr="00610B1B">
              <w:rPr>
                <w:rFonts w:cs="Times New Roman"/>
                <w:b/>
                <w:bCs/>
                <w:sz w:val="20"/>
                <w:szCs w:val="20"/>
              </w:rPr>
              <w:t>Научноизследователски и образователни институции</w:t>
            </w:r>
          </w:p>
        </w:tc>
      </w:tr>
      <w:tr w:rsidR="00D41A32" w:rsidRPr="00C717D0" w14:paraId="2D91E0F0" w14:textId="77777777" w:rsidTr="009D32BB">
        <w:tc>
          <w:tcPr>
            <w:tcW w:w="2126" w:type="dxa"/>
            <w:vAlign w:val="center"/>
          </w:tcPr>
          <w:p w14:paraId="2C86301D" w14:textId="4A19E57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ВВМУ</w:t>
            </w:r>
          </w:p>
        </w:tc>
        <w:tc>
          <w:tcPr>
            <w:tcW w:w="4396" w:type="dxa"/>
          </w:tcPr>
          <w:p w14:paraId="32F0A346" w14:textId="3F2881B2"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Подготовка на кадри за военноморските сили</w:t>
            </w:r>
            <w:r w:rsidR="004D4768" w:rsidRPr="00610B1B">
              <w:rPr>
                <w:rFonts w:cs="Times New Roman"/>
                <w:sz w:val="20"/>
                <w:szCs w:val="20"/>
              </w:rPr>
              <w:t xml:space="preserve"> и морската транспортна система, научни изследвания.</w:t>
            </w:r>
          </w:p>
        </w:tc>
        <w:tc>
          <w:tcPr>
            <w:tcW w:w="3543" w:type="dxa"/>
          </w:tcPr>
          <w:p w14:paraId="7E605388" w14:textId="77777777" w:rsidR="004D4768" w:rsidRPr="00610B1B" w:rsidRDefault="004D4768" w:rsidP="004D4768">
            <w:pPr>
              <w:pStyle w:val="BodyText"/>
              <w:spacing w:before="0"/>
              <w:rPr>
                <w:rFonts w:cs="Times New Roman"/>
                <w:sz w:val="20"/>
                <w:szCs w:val="20"/>
              </w:rPr>
            </w:pPr>
            <w:r w:rsidRPr="00610B1B">
              <w:rPr>
                <w:rFonts w:cs="Times New Roman"/>
                <w:sz w:val="20"/>
                <w:szCs w:val="20"/>
              </w:rPr>
              <w:t xml:space="preserve">Правилник за устройството и дейността на Висшето военноморско </w:t>
            </w:r>
            <w:r w:rsidRPr="00610B1B">
              <w:rPr>
                <w:rFonts w:cs="Times New Roman"/>
                <w:sz w:val="20"/>
                <w:szCs w:val="20"/>
              </w:rPr>
              <w:lastRenderedPageBreak/>
              <w:t>училище "Никола Йонков Вапцаров". Издаден от министъра на отбраната</w:t>
            </w:r>
          </w:p>
          <w:p w14:paraId="54B48CFE" w14:textId="50718191" w:rsidR="00D41A32" w:rsidRPr="00610B1B" w:rsidRDefault="004D4768" w:rsidP="004D4768">
            <w:pPr>
              <w:pStyle w:val="BodyText"/>
              <w:spacing w:before="0" w:after="0" w:line="240" w:lineRule="auto"/>
              <w:rPr>
                <w:rFonts w:cs="Times New Roman"/>
                <w:sz w:val="20"/>
                <w:szCs w:val="20"/>
              </w:rPr>
            </w:pPr>
            <w:r w:rsidRPr="00610B1B">
              <w:rPr>
                <w:rFonts w:cs="Times New Roman"/>
                <w:sz w:val="20"/>
                <w:szCs w:val="20"/>
              </w:rPr>
              <w:t>Обн. ДВ. бр.92 от 6 Ноември 2018г., изм. и доп. ДВ. бр.106 от 15 Декември 2020 г.</w:t>
            </w:r>
          </w:p>
        </w:tc>
      </w:tr>
      <w:tr w:rsidR="00D41A32" w:rsidRPr="00610B1B" w14:paraId="38F2F1E0" w14:textId="77777777" w:rsidTr="009D32BB">
        <w:tc>
          <w:tcPr>
            <w:tcW w:w="2126" w:type="dxa"/>
            <w:vMerge w:val="restart"/>
            <w:vAlign w:val="center"/>
          </w:tcPr>
          <w:p w14:paraId="3ADF1BF4" w14:textId="6CBC96C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ИО-БАН</w:t>
            </w:r>
          </w:p>
        </w:tc>
        <w:tc>
          <w:tcPr>
            <w:tcW w:w="4396" w:type="dxa"/>
          </w:tcPr>
          <w:p w14:paraId="1C402600" w14:textId="725C8262"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Извършва мониторинг на морската околна среда по утвърдени от министъра на околната среда и водите програми за мониторинг. </w:t>
            </w:r>
          </w:p>
        </w:tc>
        <w:tc>
          <w:tcPr>
            <w:tcW w:w="3543" w:type="dxa"/>
          </w:tcPr>
          <w:p w14:paraId="53753784"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РДМС,</w:t>
            </w:r>
          </w:p>
          <w:p w14:paraId="63FE96FA" w14:textId="52DFAB0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Наредба за опазване на околната среда в морските води, обн. ДВ бр. 94/30.11.2010 г., изм. и доп. ДВ бр. 14/18.02.2020 г. </w:t>
            </w:r>
          </w:p>
        </w:tc>
      </w:tr>
      <w:tr w:rsidR="00D41A32" w:rsidRPr="00610B1B" w14:paraId="3D9AA59B" w14:textId="77777777" w:rsidTr="009D32BB">
        <w:tc>
          <w:tcPr>
            <w:tcW w:w="2126" w:type="dxa"/>
            <w:vMerge/>
            <w:vAlign w:val="center"/>
          </w:tcPr>
          <w:p w14:paraId="643D4425" w14:textId="70F7C7E5"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1D6C2FC3" w14:textId="78F038F4"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Всеки институт на БАН в рамките на своята компетентност предоставя събраната информация и резултатите от проведени изследвания, финансирани от ДБ на Р.България или със средства по програми на ЕС за целите на морското пространствено планиране.</w:t>
            </w:r>
          </w:p>
        </w:tc>
        <w:tc>
          <w:tcPr>
            <w:tcW w:w="3543" w:type="dxa"/>
          </w:tcPr>
          <w:p w14:paraId="48E01E7C" w14:textId="77777777"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Директива INSPIRE,</w:t>
            </w:r>
          </w:p>
          <w:p w14:paraId="5A710A07" w14:textId="58FE6A1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Закон за достъп до обществена информация, обн. ДВ бр. 55/07.07.2000 г., изм. и доп. ДВ бр. 17/26.02.2019 г.</w:t>
            </w:r>
          </w:p>
        </w:tc>
      </w:tr>
      <w:tr w:rsidR="00D41A32" w:rsidRPr="00C717D0" w14:paraId="3B6768A1" w14:textId="77777777" w:rsidTr="009D32BB">
        <w:tc>
          <w:tcPr>
            <w:tcW w:w="2126" w:type="dxa"/>
            <w:vMerge w:val="restart"/>
            <w:vAlign w:val="center"/>
          </w:tcPr>
          <w:p w14:paraId="4BDBA95B" w14:textId="377E71AF"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ИБЕИ-БАН</w:t>
            </w:r>
          </w:p>
        </w:tc>
        <w:tc>
          <w:tcPr>
            <w:tcW w:w="4396" w:type="dxa"/>
          </w:tcPr>
          <w:p w14:paraId="44FCDC81" w14:textId="0057AE7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Осъществява научни изследвания в областта на теоретичните и приложните аспекти на екологията, биоразнообразието, опазването на околната среда и устойчивото ползване на биологичните ресурси.</w:t>
            </w:r>
          </w:p>
        </w:tc>
        <w:tc>
          <w:tcPr>
            <w:tcW w:w="3543" w:type="dxa"/>
            <w:vMerge w:val="restart"/>
          </w:tcPr>
          <w:p w14:paraId="33A4268B" w14:textId="180B4092" w:rsidR="00D41A32" w:rsidRPr="00610B1B" w:rsidRDefault="00DB227B" w:rsidP="00D41A32">
            <w:pPr>
              <w:pStyle w:val="BodyText"/>
              <w:spacing w:before="0" w:after="0" w:line="240" w:lineRule="auto"/>
              <w:rPr>
                <w:rFonts w:cs="Times New Roman"/>
                <w:sz w:val="20"/>
                <w:szCs w:val="20"/>
              </w:rPr>
            </w:pPr>
            <w:hyperlink r:id="rId65" w:history="1">
              <w:r w:rsidR="00D41A32" w:rsidRPr="00610B1B">
                <w:rPr>
                  <w:rStyle w:val="Hyperlink"/>
                  <w:rFonts w:cs="Times New Roman"/>
                  <w:color w:val="auto"/>
                  <w:sz w:val="20"/>
                  <w:szCs w:val="20"/>
                </w:rPr>
                <w:t>http://www.iber.bas.bg/?q=bg/node/1</w:t>
              </w:r>
            </w:hyperlink>
            <w:r w:rsidR="00D41A32" w:rsidRPr="00610B1B">
              <w:rPr>
                <w:rFonts w:cs="Times New Roman"/>
                <w:sz w:val="20"/>
                <w:szCs w:val="20"/>
              </w:rPr>
              <w:t xml:space="preserve"> </w:t>
            </w:r>
          </w:p>
        </w:tc>
      </w:tr>
      <w:tr w:rsidR="00D41A32" w:rsidRPr="00C717D0" w14:paraId="25BF08EC" w14:textId="77777777" w:rsidTr="009D32BB">
        <w:tc>
          <w:tcPr>
            <w:tcW w:w="2126" w:type="dxa"/>
            <w:vMerge/>
            <w:vAlign w:val="center"/>
          </w:tcPr>
          <w:p w14:paraId="2DB6B568"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555A3497" w14:textId="4707F27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Осигурява научна информация, оказва методична помощ на държавните институции и структурите на гражданското общество, и представя страната в Европейското изследователско пространство в областите на неговата компетентност.</w:t>
            </w:r>
          </w:p>
        </w:tc>
        <w:tc>
          <w:tcPr>
            <w:tcW w:w="3543" w:type="dxa"/>
            <w:vMerge/>
          </w:tcPr>
          <w:p w14:paraId="00A06E95" w14:textId="77777777" w:rsidR="00D41A32" w:rsidRPr="00610B1B" w:rsidRDefault="00D41A32" w:rsidP="00D41A32">
            <w:pPr>
              <w:pStyle w:val="BodyText"/>
              <w:spacing w:before="0" w:after="0" w:line="240" w:lineRule="auto"/>
              <w:rPr>
                <w:rFonts w:cs="Times New Roman"/>
                <w:sz w:val="20"/>
                <w:szCs w:val="20"/>
              </w:rPr>
            </w:pPr>
          </w:p>
        </w:tc>
      </w:tr>
      <w:tr w:rsidR="00D41A32" w:rsidRPr="00C717D0" w14:paraId="0D6273D9" w14:textId="77777777" w:rsidTr="009D32BB">
        <w:tc>
          <w:tcPr>
            <w:tcW w:w="2126" w:type="dxa"/>
            <w:vAlign w:val="center"/>
          </w:tcPr>
          <w:p w14:paraId="408B701B" w14:textId="77BB2E13"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НИМХ</w:t>
            </w:r>
          </w:p>
        </w:tc>
        <w:tc>
          <w:tcPr>
            <w:tcW w:w="4396" w:type="dxa"/>
            <w:shd w:val="clear" w:color="auto" w:fill="auto"/>
          </w:tcPr>
          <w:p w14:paraId="2F542CA3" w14:textId="27C20BCC"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Изпълнява национални дейности както следва:</w:t>
            </w:r>
          </w:p>
          <w:p w14:paraId="4B4133FE" w14:textId="77777777" w:rsidR="00D41A32" w:rsidRPr="00610B1B" w:rsidRDefault="00D41A32" w:rsidP="00D41A32">
            <w:pPr>
              <w:pStyle w:val="BodyText"/>
              <w:spacing w:before="0" w:after="0" w:line="240" w:lineRule="auto"/>
              <w:jc w:val="left"/>
              <w:rPr>
                <w:rFonts w:cs="Times New Roman"/>
                <w:sz w:val="20"/>
                <w:szCs w:val="20"/>
              </w:rPr>
            </w:pPr>
            <w:r w:rsidRPr="00610B1B">
              <w:rPr>
                <w:rFonts w:eastAsiaTheme="minorEastAsia" w:cs="Times New Roman"/>
                <w:bCs/>
                <w:sz w:val="20"/>
                <w:szCs w:val="20"/>
              </w:rPr>
              <w:t>ал. 1, т. 6. научноизследователска, научноприложна и оперативна дейност, свързана с моделиране на метеорологичните и хидрологичните процеси и явления и разпространението на замърсители в атмосферата и морето;</w:t>
            </w:r>
          </w:p>
          <w:p w14:paraId="40588AEF" w14:textId="72559DAE"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ал 2, т. 3. Осигурява специализирана морска прогноза за корабоплаването в район Juliette (Западно Черно море) съгласно Международната конвенция за безопасност на човешкия живот на море (SOLAS).</w:t>
            </w:r>
          </w:p>
        </w:tc>
        <w:tc>
          <w:tcPr>
            <w:tcW w:w="3543" w:type="dxa"/>
            <w:shd w:val="clear" w:color="auto" w:fill="auto"/>
          </w:tcPr>
          <w:p w14:paraId="1FD6C579" w14:textId="45CD0673" w:rsidR="00D41A32" w:rsidRPr="00610B1B" w:rsidRDefault="00D41A32" w:rsidP="00D41A32">
            <w:pPr>
              <w:pStyle w:val="BodyText"/>
              <w:spacing w:before="0" w:after="0" w:line="240" w:lineRule="auto"/>
              <w:rPr>
                <w:rFonts w:cs="Times New Roman"/>
                <w:sz w:val="20"/>
                <w:szCs w:val="20"/>
              </w:rPr>
            </w:pPr>
            <w:r w:rsidRPr="00610B1B">
              <w:rPr>
                <w:rFonts w:eastAsiaTheme="minorEastAsia" w:cs="Times New Roman"/>
                <w:bCs/>
                <w:sz w:val="20"/>
                <w:szCs w:val="20"/>
              </w:rPr>
              <w:t>Правилник за устройството и дейността на Националния институт по метеорология и хидрология, Обн. ДВ. бр. 6/18.01.2019 г. чл. 4</w:t>
            </w:r>
          </w:p>
        </w:tc>
      </w:tr>
      <w:tr w:rsidR="00D41A32" w:rsidRPr="00C717D0" w14:paraId="735AA7F6" w14:textId="77777777" w:rsidTr="009D32BB">
        <w:tc>
          <w:tcPr>
            <w:tcW w:w="2126" w:type="dxa"/>
            <w:vAlign w:val="center"/>
          </w:tcPr>
          <w:p w14:paraId="5C657B84" w14:textId="043EBB9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ИГГГ-БАН</w:t>
            </w:r>
          </w:p>
        </w:tc>
        <w:tc>
          <w:tcPr>
            <w:tcW w:w="4396" w:type="dxa"/>
          </w:tcPr>
          <w:p w14:paraId="21D585E4"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Провежда фундаментални и приложни изследвания в областта на геофизиката, сеизмологията, сеизмичната механика, сеизмичното инженерство, геодезията и географията. </w:t>
            </w:r>
          </w:p>
          <w:p w14:paraId="3C406E77" w14:textId="31804B4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Извършва научно-оперативно обслужване на държавата и обществото с мониторингова и експертна информация и подготовка на специалисти.</w:t>
            </w:r>
          </w:p>
        </w:tc>
        <w:tc>
          <w:tcPr>
            <w:tcW w:w="3543" w:type="dxa"/>
          </w:tcPr>
          <w:p w14:paraId="0EDA9A35" w14:textId="02B8F0C4" w:rsidR="00D41A32" w:rsidRPr="00610B1B" w:rsidRDefault="00DB227B" w:rsidP="00D41A32">
            <w:pPr>
              <w:pStyle w:val="BodyText"/>
              <w:spacing w:before="0" w:after="0" w:line="240" w:lineRule="auto"/>
              <w:rPr>
                <w:rFonts w:cs="Times New Roman"/>
                <w:sz w:val="20"/>
                <w:szCs w:val="20"/>
              </w:rPr>
            </w:pPr>
            <w:hyperlink r:id="rId66" w:history="1">
              <w:r w:rsidR="00D41A32" w:rsidRPr="00610B1B">
                <w:rPr>
                  <w:rStyle w:val="Hyperlink"/>
                  <w:rFonts w:cs="Times New Roman"/>
                  <w:color w:val="auto"/>
                  <w:sz w:val="20"/>
                  <w:szCs w:val="20"/>
                </w:rPr>
                <w:t>http://www.niggg.bas.bg/</w:t>
              </w:r>
            </w:hyperlink>
            <w:r w:rsidR="00D41A32" w:rsidRPr="00610B1B">
              <w:rPr>
                <w:rFonts w:cs="Times New Roman"/>
                <w:sz w:val="20"/>
                <w:szCs w:val="20"/>
              </w:rPr>
              <w:t xml:space="preserve"> </w:t>
            </w:r>
          </w:p>
        </w:tc>
      </w:tr>
      <w:tr w:rsidR="00D41A32" w:rsidRPr="00C717D0" w14:paraId="3A634555" w14:textId="77777777" w:rsidTr="009D32BB">
        <w:tc>
          <w:tcPr>
            <w:tcW w:w="2126" w:type="dxa"/>
            <w:vMerge w:val="restart"/>
            <w:vAlign w:val="center"/>
          </w:tcPr>
          <w:p w14:paraId="02E1C329" w14:textId="5E8E6EC5"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НАИМ-БАН</w:t>
            </w:r>
          </w:p>
        </w:tc>
        <w:tc>
          <w:tcPr>
            <w:tcW w:w="4396" w:type="dxa"/>
          </w:tcPr>
          <w:p w14:paraId="2A089B97" w14:textId="797FA85D"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Цялостно ръководство и координация в методическо отношение на теренната археологическа дейност в Р. България. Изследва и проучва археологическото наследство, вкл. и това под вода.</w:t>
            </w:r>
          </w:p>
        </w:tc>
        <w:tc>
          <w:tcPr>
            <w:tcW w:w="3543" w:type="dxa"/>
            <w:vMerge w:val="restart"/>
          </w:tcPr>
          <w:p w14:paraId="2745C354" w14:textId="0BF94CDF" w:rsidR="00D41A32" w:rsidRPr="00610B1B" w:rsidRDefault="00DB227B" w:rsidP="00D41A32">
            <w:pPr>
              <w:pStyle w:val="BodyText"/>
              <w:spacing w:before="0" w:after="0" w:line="240" w:lineRule="auto"/>
              <w:rPr>
                <w:rFonts w:cs="Times New Roman"/>
                <w:sz w:val="20"/>
                <w:szCs w:val="20"/>
              </w:rPr>
            </w:pPr>
            <w:hyperlink r:id="rId67" w:history="1">
              <w:r w:rsidR="00D41A32" w:rsidRPr="00610B1B">
                <w:rPr>
                  <w:rStyle w:val="Hyperlink"/>
                  <w:rFonts w:cs="Times New Roman"/>
                  <w:color w:val="auto"/>
                  <w:sz w:val="20"/>
                  <w:szCs w:val="20"/>
                </w:rPr>
                <w:t>http://naim.bg/bg/content/category/100/32/</w:t>
              </w:r>
            </w:hyperlink>
            <w:r w:rsidR="00D41A32" w:rsidRPr="00610B1B">
              <w:rPr>
                <w:rFonts w:cs="Times New Roman"/>
                <w:sz w:val="20"/>
                <w:szCs w:val="20"/>
              </w:rPr>
              <w:t xml:space="preserve"> </w:t>
            </w:r>
          </w:p>
        </w:tc>
      </w:tr>
      <w:tr w:rsidR="00D41A32" w:rsidRPr="00C717D0" w14:paraId="243B64AD" w14:textId="77777777" w:rsidTr="009D32BB">
        <w:tc>
          <w:tcPr>
            <w:tcW w:w="2126" w:type="dxa"/>
            <w:vMerge/>
            <w:vAlign w:val="center"/>
          </w:tcPr>
          <w:p w14:paraId="76629BB3"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3FFC205B" w14:textId="4F8F041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Създава и поддържа Автоматизирана</w:t>
            </w:r>
            <w:r w:rsidR="00D66FE0" w:rsidRPr="00610B1B">
              <w:rPr>
                <w:rFonts w:cs="Times New Roman"/>
                <w:sz w:val="20"/>
                <w:szCs w:val="20"/>
              </w:rPr>
              <w:t xml:space="preserve"> </w:t>
            </w:r>
            <w:r w:rsidRPr="00610B1B">
              <w:rPr>
                <w:rFonts w:cs="Times New Roman"/>
                <w:sz w:val="20"/>
                <w:szCs w:val="20"/>
              </w:rPr>
              <w:t>информационна</w:t>
            </w:r>
            <w:r w:rsidR="00D66FE0" w:rsidRPr="00610B1B">
              <w:rPr>
                <w:rFonts w:cs="Times New Roman"/>
                <w:sz w:val="20"/>
                <w:szCs w:val="20"/>
              </w:rPr>
              <w:t xml:space="preserve"> </w:t>
            </w:r>
            <w:r w:rsidRPr="00610B1B">
              <w:rPr>
                <w:rFonts w:cs="Times New Roman"/>
                <w:sz w:val="20"/>
                <w:szCs w:val="20"/>
              </w:rPr>
              <w:t>система</w:t>
            </w:r>
            <w:r w:rsidR="00D66FE0" w:rsidRPr="00610B1B">
              <w:rPr>
                <w:rFonts w:cs="Times New Roman"/>
                <w:sz w:val="20"/>
                <w:szCs w:val="20"/>
              </w:rPr>
              <w:t xml:space="preserve"> </w:t>
            </w:r>
            <w:r w:rsidRPr="00610B1B">
              <w:rPr>
                <w:rFonts w:cs="Times New Roman"/>
                <w:sz w:val="20"/>
                <w:szCs w:val="20"/>
              </w:rPr>
              <w:t>„Археологическа</w:t>
            </w:r>
            <w:r w:rsidR="00D66FE0" w:rsidRPr="00610B1B">
              <w:rPr>
                <w:rFonts w:cs="Times New Roman"/>
                <w:sz w:val="20"/>
                <w:szCs w:val="20"/>
              </w:rPr>
              <w:t xml:space="preserve"> </w:t>
            </w:r>
            <w:r w:rsidRPr="00610B1B">
              <w:rPr>
                <w:rFonts w:cs="Times New Roman"/>
                <w:sz w:val="20"/>
                <w:szCs w:val="20"/>
              </w:rPr>
              <w:t>карта</w:t>
            </w:r>
            <w:r w:rsidR="00D66FE0" w:rsidRPr="00610B1B">
              <w:rPr>
                <w:rFonts w:cs="Times New Roman"/>
                <w:sz w:val="20"/>
                <w:szCs w:val="20"/>
              </w:rPr>
              <w:t xml:space="preserve"> </w:t>
            </w:r>
            <w:r w:rsidRPr="00610B1B">
              <w:rPr>
                <w:rFonts w:cs="Times New Roman"/>
                <w:sz w:val="20"/>
                <w:szCs w:val="20"/>
              </w:rPr>
              <w:t>на България“ (АИС „АКБ“)</w:t>
            </w:r>
          </w:p>
        </w:tc>
        <w:tc>
          <w:tcPr>
            <w:tcW w:w="3543" w:type="dxa"/>
            <w:vMerge/>
          </w:tcPr>
          <w:p w14:paraId="4672267D"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6F1A3F71" w14:textId="77777777" w:rsidTr="009D32BB">
        <w:tc>
          <w:tcPr>
            <w:tcW w:w="2126" w:type="dxa"/>
            <w:vAlign w:val="center"/>
          </w:tcPr>
          <w:p w14:paraId="64CF6FC7" w14:textId="72FE7F0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УАСГ</w:t>
            </w:r>
          </w:p>
        </w:tc>
        <w:tc>
          <w:tcPr>
            <w:tcW w:w="4396" w:type="dxa"/>
          </w:tcPr>
          <w:p w14:paraId="05001F6E" w14:textId="14D7F34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Подготовка на кадри в областта на урбанизма, архитектурата и строителството, транспорта, </w:t>
            </w:r>
            <w:r w:rsidRPr="00610B1B">
              <w:rPr>
                <w:rFonts w:cs="Times New Roman"/>
                <w:sz w:val="20"/>
                <w:szCs w:val="20"/>
              </w:rPr>
              <w:lastRenderedPageBreak/>
              <w:t>хидротехническото строителство, управление на водите, геодезия и картография, ГИС</w:t>
            </w:r>
          </w:p>
        </w:tc>
        <w:tc>
          <w:tcPr>
            <w:tcW w:w="3543" w:type="dxa"/>
          </w:tcPr>
          <w:p w14:paraId="4912F9C1" w14:textId="6E731D8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Закон за висшето образование,</w:t>
            </w:r>
            <w:r w:rsidR="00D66FE0" w:rsidRPr="00610B1B">
              <w:rPr>
                <w:rFonts w:cs="Times New Roman"/>
                <w:sz w:val="20"/>
                <w:szCs w:val="20"/>
              </w:rPr>
              <w:t xml:space="preserve"> </w:t>
            </w:r>
            <w:r w:rsidRPr="00610B1B">
              <w:rPr>
                <w:rFonts w:cs="Times New Roman"/>
                <w:sz w:val="20"/>
                <w:szCs w:val="20"/>
              </w:rPr>
              <w:t xml:space="preserve">Обн. ДВ бр. 112/27.12.1995 г. изм. и доп. </w:t>
            </w:r>
            <w:r w:rsidRPr="00610B1B">
              <w:rPr>
                <w:rFonts w:cs="Times New Roman"/>
                <w:sz w:val="20"/>
                <w:szCs w:val="20"/>
              </w:rPr>
              <w:lastRenderedPageBreak/>
              <w:t>ДВ бр. 17/25.02.2020 г.</w:t>
            </w:r>
          </w:p>
          <w:p w14:paraId="70C27548" w14:textId="780445D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Устройствен правилник</w:t>
            </w:r>
          </w:p>
        </w:tc>
      </w:tr>
      <w:tr w:rsidR="00D41A32" w:rsidRPr="00610B1B" w14:paraId="4A41A968" w14:textId="77777777" w:rsidTr="009D32BB">
        <w:tc>
          <w:tcPr>
            <w:tcW w:w="2126" w:type="dxa"/>
            <w:vAlign w:val="center"/>
          </w:tcPr>
          <w:p w14:paraId="105267E0" w14:textId="03DBA6F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lastRenderedPageBreak/>
              <w:t>ТУ Варна</w:t>
            </w:r>
          </w:p>
        </w:tc>
        <w:tc>
          <w:tcPr>
            <w:tcW w:w="4396" w:type="dxa"/>
          </w:tcPr>
          <w:p w14:paraId="4467C428" w14:textId="45467E18"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Подготовка на кадри, научни изследвания</w:t>
            </w:r>
          </w:p>
        </w:tc>
        <w:tc>
          <w:tcPr>
            <w:tcW w:w="3543" w:type="dxa"/>
          </w:tcPr>
          <w:p w14:paraId="5BDD0CD2" w14:textId="669AF4A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Устройствен правилник</w:t>
            </w:r>
          </w:p>
        </w:tc>
      </w:tr>
      <w:tr w:rsidR="00D41A32" w:rsidRPr="00C717D0" w14:paraId="28222066" w14:textId="77777777" w:rsidTr="009D32BB">
        <w:tc>
          <w:tcPr>
            <w:tcW w:w="2126" w:type="dxa"/>
            <w:vAlign w:val="center"/>
          </w:tcPr>
          <w:p w14:paraId="6ACA6139" w14:textId="1476597E"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ТУ София</w:t>
            </w:r>
          </w:p>
        </w:tc>
        <w:tc>
          <w:tcPr>
            <w:tcW w:w="4396" w:type="dxa"/>
          </w:tcPr>
          <w:p w14:paraId="7100B300" w14:textId="3E5D3A36"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Подготовка на кадри, научни изследвания</w:t>
            </w:r>
          </w:p>
        </w:tc>
        <w:tc>
          <w:tcPr>
            <w:tcW w:w="3543" w:type="dxa"/>
          </w:tcPr>
          <w:p w14:paraId="42E00B66" w14:textId="3761024C"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https://tu-sofia.bg/kcfinder/upload/files/Pravilnik_TU_12_2017.pdf</w:t>
            </w:r>
          </w:p>
        </w:tc>
      </w:tr>
      <w:tr w:rsidR="00D41A32" w:rsidRPr="00C717D0" w14:paraId="0CF3F10B" w14:textId="77777777" w:rsidTr="009D32BB">
        <w:tc>
          <w:tcPr>
            <w:tcW w:w="2126" w:type="dxa"/>
            <w:vAlign w:val="center"/>
          </w:tcPr>
          <w:p w14:paraId="42C18FD0" w14:textId="6D23FDA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Тракийски университет </w:t>
            </w:r>
            <w:r w:rsidR="00774CD7" w:rsidRPr="00610B1B">
              <w:rPr>
                <w:rFonts w:cs="Times New Roman"/>
                <w:sz w:val="20"/>
                <w:szCs w:val="20"/>
              </w:rPr>
              <w:t>–</w:t>
            </w:r>
            <w:r w:rsidR="00D66FE0" w:rsidRPr="00610B1B">
              <w:rPr>
                <w:rFonts w:cs="Times New Roman"/>
                <w:sz w:val="20"/>
                <w:szCs w:val="20"/>
              </w:rPr>
              <w:t xml:space="preserve"> </w:t>
            </w:r>
            <w:r w:rsidRPr="00610B1B">
              <w:rPr>
                <w:rFonts w:cs="Times New Roman"/>
                <w:sz w:val="20"/>
                <w:szCs w:val="20"/>
              </w:rPr>
              <w:t>Стара</w:t>
            </w:r>
            <w:r w:rsidR="00774CD7" w:rsidRPr="00610B1B">
              <w:rPr>
                <w:rFonts w:cs="Times New Roman"/>
                <w:sz w:val="20"/>
                <w:szCs w:val="20"/>
              </w:rPr>
              <w:t> </w:t>
            </w:r>
            <w:r w:rsidRPr="00610B1B">
              <w:rPr>
                <w:rFonts w:cs="Times New Roman"/>
                <w:sz w:val="20"/>
                <w:szCs w:val="20"/>
              </w:rPr>
              <w:t>Загора</w:t>
            </w:r>
          </w:p>
        </w:tc>
        <w:tc>
          <w:tcPr>
            <w:tcW w:w="4396" w:type="dxa"/>
          </w:tcPr>
          <w:p w14:paraId="16B6F6D5" w14:textId="74098F4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Подготовка на кадри в областта на Рибарството и аквакултурите</w:t>
            </w:r>
          </w:p>
        </w:tc>
        <w:tc>
          <w:tcPr>
            <w:tcW w:w="3543" w:type="dxa"/>
          </w:tcPr>
          <w:p w14:paraId="0427FBCF" w14:textId="77777777" w:rsidR="00D41A32" w:rsidRPr="00610B1B" w:rsidRDefault="00D41A32" w:rsidP="00D41A32">
            <w:pPr>
              <w:pStyle w:val="BodyText"/>
              <w:spacing w:before="0" w:after="0" w:line="240" w:lineRule="auto"/>
              <w:rPr>
                <w:rFonts w:cs="Times New Roman"/>
                <w:sz w:val="20"/>
                <w:szCs w:val="20"/>
              </w:rPr>
            </w:pPr>
          </w:p>
        </w:tc>
      </w:tr>
      <w:tr w:rsidR="00D41A32" w:rsidRPr="00610B1B" w14:paraId="0A074542" w14:textId="77777777" w:rsidTr="009D32BB">
        <w:tc>
          <w:tcPr>
            <w:tcW w:w="10065" w:type="dxa"/>
            <w:gridSpan w:val="3"/>
            <w:shd w:val="clear" w:color="auto" w:fill="B8CCE4" w:themeFill="accent1" w:themeFillTint="66"/>
            <w:vAlign w:val="center"/>
          </w:tcPr>
          <w:p w14:paraId="4EFAE3F0" w14:textId="16FD2357" w:rsidR="00D41A32" w:rsidRPr="00610B1B" w:rsidRDefault="00D41A32" w:rsidP="00D41A32">
            <w:pPr>
              <w:pStyle w:val="BodyText"/>
              <w:spacing w:before="0" w:after="0" w:line="240" w:lineRule="auto"/>
              <w:jc w:val="center"/>
              <w:rPr>
                <w:rFonts w:cs="Times New Roman"/>
                <w:b/>
                <w:bCs/>
                <w:sz w:val="20"/>
                <w:szCs w:val="20"/>
              </w:rPr>
            </w:pPr>
            <w:r w:rsidRPr="00610B1B">
              <w:rPr>
                <w:rFonts w:cs="Times New Roman"/>
                <w:b/>
                <w:bCs/>
                <w:sz w:val="20"/>
                <w:szCs w:val="20"/>
              </w:rPr>
              <w:t>Областно ниво</w:t>
            </w:r>
          </w:p>
        </w:tc>
      </w:tr>
      <w:tr w:rsidR="00D41A32" w:rsidRPr="00C717D0" w14:paraId="118EF47B" w14:textId="77777777" w:rsidTr="009D32BB">
        <w:tc>
          <w:tcPr>
            <w:tcW w:w="2126" w:type="dxa"/>
            <w:vAlign w:val="center"/>
          </w:tcPr>
          <w:p w14:paraId="7561CCC2" w14:textId="1FEF7880"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Областна администрация, Добрич, Варна и Бургас</w:t>
            </w:r>
          </w:p>
        </w:tc>
        <w:tc>
          <w:tcPr>
            <w:tcW w:w="4396" w:type="dxa"/>
          </w:tcPr>
          <w:p w14:paraId="43F91C19" w14:textId="785035EF"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Участват в процеса на съгласуване на ОУПО на черноморските общини преди обнародването на решенията за одобряването им в Държавен вестник.</w:t>
            </w:r>
          </w:p>
        </w:tc>
        <w:tc>
          <w:tcPr>
            <w:tcW w:w="3543" w:type="dxa"/>
          </w:tcPr>
          <w:p w14:paraId="46B7BB08" w14:textId="5B000E7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Закон за устройство на територията, обн. ДВ бр. 1./02.01.2000 г., изм.</w:t>
            </w:r>
            <w:r w:rsidR="00D66FE0" w:rsidRPr="00610B1B">
              <w:rPr>
                <w:rFonts w:cs="Times New Roman"/>
                <w:sz w:val="20"/>
                <w:szCs w:val="20"/>
              </w:rPr>
              <w:t xml:space="preserve"> </w:t>
            </w:r>
            <w:r w:rsidRPr="00610B1B">
              <w:rPr>
                <w:rFonts w:cs="Times New Roman"/>
                <w:sz w:val="20"/>
                <w:szCs w:val="20"/>
              </w:rPr>
              <w:t>ДВ.</w:t>
            </w:r>
            <w:r w:rsidRPr="00610B1B">
              <w:rPr>
                <w:rFonts w:cs="Times New Roman"/>
                <w:sz w:val="20"/>
                <w:szCs w:val="20"/>
                <w:shd w:val="clear" w:color="auto" w:fill="FEFEFE"/>
              </w:rPr>
              <w:t xml:space="preserve">бр.107 от 18.12.2020г., </w:t>
            </w:r>
            <w:r w:rsidRPr="00610B1B">
              <w:rPr>
                <w:rFonts w:cs="Times New Roman"/>
                <w:sz w:val="20"/>
                <w:szCs w:val="20"/>
              </w:rPr>
              <w:t xml:space="preserve">ЗУЧК. </w:t>
            </w:r>
          </w:p>
        </w:tc>
      </w:tr>
      <w:tr w:rsidR="00D41A32" w:rsidRPr="00C717D0" w14:paraId="7EB15BA9" w14:textId="77777777" w:rsidTr="009D32BB">
        <w:tc>
          <w:tcPr>
            <w:tcW w:w="2126" w:type="dxa"/>
            <w:vAlign w:val="center"/>
          </w:tcPr>
          <w:p w14:paraId="030101AC" w14:textId="52472AF9"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Областен съвет за развитие</w:t>
            </w:r>
          </w:p>
        </w:tc>
        <w:tc>
          <w:tcPr>
            <w:tcW w:w="4396" w:type="dxa"/>
          </w:tcPr>
          <w:p w14:paraId="58A9D10A" w14:textId="36C9B6A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Приема решения за сключване на споразумения за сътрудничество с други области в страната и извън нея за осъществяване на съвместни дейности по регионалното развитие и териториалното сътрудничество. </w:t>
            </w:r>
          </w:p>
        </w:tc>
        <w:tc>
          <w:tcPr>
            <w:tcW w:w="3543" w:type="dxa"/>
          </w:tcPr>
          <w:p w14:paraId="05C55743" w14:textId="4CF8A0B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Правилник за прилагане на Закона за регионалното развитие, проект 2020 г.</w:t>
            </w:r>
          </w:p>
        </w:tc>
      </w:tr>
      <w:tr w:rsidR="00D41A32" w:rsidRPr="00610B1B" w14:paraId="58AD76E8" w14:textId="77777777" w:rsidTr="009D32BB">
        <w:tc>
          <w:tcPr>
            <w:tcW w:w="10065" w:type="dxa"/>
            <w:gridSpan w:val="3"/>
            <w:shd w:val="clear" w:color="auto" w:fill="B8CCE4" w:themeFill="accent1" w:themeFillTint="66"/>
            <w:vAlign w:val="center"/>
          </w:tcPr>
          <w:p w14:paraId="5F6FA22D" w14:textId="785C1237" w:rsidR="00D41A32" w:rsidRPr="00610B1B" w:rsidRDefault="00D41A32" w:rsidP="00D41A32">
            <w:pPr>
              <w:pStyle w:val="BodyText"/>
              <w:spacing w:before="0" w:after="0" w:line="240" w:lineRule="auto"/>
              <w:jc w:val="center"/>
              <w:rPr>
                <w:rFonts w:cs="Times New Roman"/>
                <w:b/>
                <w:bCs/>
                <w:sz w:val="20"/>
                <w:szCs w:val="20"/>
              </w:rPr>
            </w:pPr>
            <w:r w:rsidRPr="00610B1B">
              <w:rPr>
                <w:rFonts w:cs="Times New Roman"/>
                <w:b/>
                <w:bCs/>
                <w:sz w:val="20"/>
                <w:szCs w:val="20"/>
              </w:rPr>
              <w:t>Общинско ниво</w:t>
            </w:r>
          </w:p>
        </w:tc>
      </w:tr>
      <w:tr w:rsidR="00D41A32" w:rsidRPr="00610B1B" w14:paraId="43E1E5AA" w14:textId="77777777" w:rsidTr="009D32BB">
        <w:tc>
          <w:tcPr>
            <w:tcW w:w="2126" w:type="dxa"/>
            <w:vMerge w:val="restart"/>
            <w:vAlign w:val="center"/>
          </w:tcPr>
          <w:p w14:paraId="34F26B6B" w14:textId="1A1619C1"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Общинска администрация, Черноморски общини</w:t>
            </w:r>
          </w:p>
        </w:tc>
        <w:tc>
          <w:tcPr>
            <w:tcW w:w="4396" w:type="dxa"/>
          </w:tcPr>
          <w:p w14:paraId="530FC694" w14:textId="4C5FB7D6"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Общинските администрации в 14-те Черноморски общини подпомагат изработването на проектите за общи устройствени планове на селищно образувание с национално значение и на общините по Закона за устройството на Черноморското крайбрежие в съответствие със заповедта на министъра на регионалното развитие и благоустройството и участват в процеса на съгласуването им.</w:t>
            </w:r>
          </w:p>
        </w:tc>
        <w:tc>
          <w:tcPr>
            <w:tcW w:w="3543" w:type="dxa"/>
          </w:tcPr>
          <w:p w14:paraId="1F420C63" w14:textId="53A7649A"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 xml:space="preserve">Наредба за опазване на околната среда в морските води, обн. ДВ бр. 94/30.11.2010 г., изм. и доп. ДВ бр. 14/18.02.2020 г. </w:t>
            </w:r>
          </w:p>
        </w:tc>
      </w:tr>
      <w:tr w:rsidR="00D41A32" w:rsidRPr="00610B1B" w14:paraId="7009D0AF" w14:textId="77777777" w:rsidTr="009D32BB">
        <w:tc>
          <w:tcPr>
            <w:tcW w:w="2126" w:type="dxa"/>
            <w:vMerge/>
            <w:vAlign w:val="center"/>
          </w:tcPr>
          <w:p w14:paraId="303711DD" w14:textId="77777777" w:rsidR="00D41A32" w:rsidRPr="00610B1B" w:rsidRDefault="00D41A32" w:rsidP="00D41A32">
            <w:pPr>
              <w:pStyle w:val="BodyText"/>
              <w:spacing w:before="0" w:after="0" w:line="240" w:lineRule="auto"/>
              <w:jc w:val="left"/>
              <w:rPr>
                <w:rFonts w:cs="Times New Roman"/>
                <w:sz w:val="20"/>
                <w:szCs w:val="20"/>
              </w:rPr>
            </w:pPr>
          </w:p>
        </w:tc>
        <w:tc>
          <w:tcPr>
            <w:tcW w:w="4396" w:type="dxa"/>
          </w:tcPr>
          <w:p w14:paraId="4BB5213A" w14:textId="015FEAEC"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Участват в процеса на подготовка, разработване, консултиране и одобряване на Подробните устройствени планове/Генерални и Парцеларни планове на пристанищата.</w:t>
            </w:r>
          </w:p>
        </w:tc>
        <w:tc>
          <w:tcPr>
            <w:tcW w:w="3543" w:type="dxa"/>
          </w:tcPr>
          <w:p w14:paraId="2DCF74DD"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Чл. 10а ал. 1 от Закона за водите, </w:t>
            </w:r>
          </w:p>
          <w:p w14:paraId="7EC89505" w14:textId="0AC303B3" w:rsidR="00D41A32" w:rsidRPr="00610B1B" w:rsidRDefault="00D41A32" w:rsidP="00D41A32">
            <w:pPr>
              <w:pStyle w:val="BodyText"/>
              <w:spacing w:before="0" w:after="0" w:line="240" w:lineRule="auto"/>
              <w:rPr>
                <w:rFonts w:cs="Times New Roman"/>
                <w:sz w:val="20"/>
                <w:szCs w:val="20"/>
              </w:rPr>
            </w:pPr>
            <w:r w:rsidRPr="00610B1B">
              <w:rPr>
                <w:rFonts w:cs="Times New Roman"/>
                <w:sz w:val="20"/>
                <w:szCs w:val="20"/>
              </w:rPr>
              <w:t>Обн. ДВ. бр.67/27.07.1999 г., изм. ДВ бр. 52/09.06.2020 г.</w:t>
            </w:r>
          </w:p>
        </w:tc>
      </w:tr>
      <w:tr w:rsidR="00D41A32" w:rsidRPr="00610B1B" w14:paraId="6EB83701" w14:textId="77777777" w:rsidTr="009D32BB">
        <w:tc>
          <w:tcPr>
            <w:tcW w:w="2126" w:type="dxa"/>
            <w:vAlign w:val="center"/>
          </w:tcPr>
          <w:p w14:paraId="519A2CF9" w14:textId="5B653B9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Общински съвет</w:t>
            </w:r>
          </w:p>
        </w:tc>
        <w:tc>
          <w:tcPr>
            <w:tcW w:w="4396" w:type="dxa"/>
          </w:tcPr>
          <w:p w14:paraId="22BC350F" w14:textId="53AC579A"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Одобрява Общи и Подробни устройствени планове, свързани с устройство на територията и парцеларни планове на акваторията и ТИ. </w:t>
            </w:r>
          </w:p>
        </w:tc>
        <w:tc>
          <w:tcPr>
            <w:tcW w:w="3543" w:type="dxa"/>
          </w:tcPr>
          <w:p w14:paraId="02FE69A6" w14:textId="77777777"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Чл. 10а ал. 2 от Закона за водите,</w:t>
            </w:r>
          </w:p>
          <w:p w14:paraId="294C49CE" w14:textId="7527A632" w:rsidR="00D41A32" w:rsidRPr="00610B1B" w:rsidRDefault="00D41A32" w:rsidP="00D41A32">
            <w:pPr>
              <w:pStyle w:val="BodyText"/>
              <w:spacing w:before="0" w:after="0" w:line="240" w:lineRule="auto"/>
              <w:jc w:val="left"/>
              <w:rPr>
                <w:rFonts w:cs="Times New Roman"/>
                <w:sz w:val="20"/>
                <w:szCs w:val="20"/>
              </w:rPr>
            </w:pPr>
            <w:r w:rsidRPr="00610B1B">
              <w:rPr>
                <w:rFonts w:cs="Times New Roman"/>
                <w:sz w:val="20"/>
                <w:szCs w:val="20"/>
              </w:rPr>
              <w:t xml:space="preserve"> Обн. ДВ. бр.67/27.07.1999 г., изм. ДВ бр. 52/09.06.2020 г.</w:t>
            </w:r>
          </w:p>
        </w:tc>
      </w:tr>
    </w:tbl>
    <w:bookmarkEnd w:id="496"/>
    <w:p w14:paraId="2EDA6E07" w14:textId="77777777" w:rsidR="009F4237" w:rsidRPr="00610B1B" w:rsidRDefault="00A85910" w:rsidP="009F4237">
      <w:pPr>
        <w:pStyle w:val="BodyText"/>
        <w:spacing w:before="120" w:after="120" w:line="276" w:lineRule="auto"/>
        <w:rPr>
          <w:rFonts w:cs="Times New Roman"/>
        </w:rPr>
      </w:pPr>
      <w:r w:rsidRPr="00610B1B">
        <w:rPr>
          <w:rFonts w:cs="Times New Roman"/>
          <w:i/>
          <w:iCs/>
        </w:rPr>
        <w:t>Забележка</w:t>
      </w:r>
      <w:r w:rsidRPr="00610B1B">
        <w:rPr>
          <w:rFonts w:cs="Times New Roman"/>
        </w:rPr>
        <w:t xml:space="preserve">: В таблицата са систематизирани само най-важните правомощия и задължения на институциите и администрациите на национално, регионално, областно и общинско равнище, свързани с морското пространствено планиране. </w:t>
      </w:r>
    </w:p>
    <w:p w14:paraId="179FE8E0" w14:textId="6ABD6819" w:rsidR="0059309D" w:rsidRPr="00610B1B" w:rsidRDefault="00DE4B4C" w:rsidP="009F4237">
      <w:pPr>
        <w:pStyle w:val="Heading2"/>
        <w:rPr>
          <w:rFonts w:cs="Times New Roman"/>
        </w:rPr>
      </w:pPr>
      <w:r w:rsidRPr="00610B1B">
        <w:rPr>
          <w:rFonts w:cs="Times New Roman"/>
        </w:rPr>
        <w:br w:type="page"/>
      </w:r>
      <w:bookmarkStart w:id="500" w:name="_Toc83391440"/>
      <w:r w:rsidR="00F37D59" w:rsidRPr="00610B1B">
        <w:rPr>
          <w:rFonts w:cs="Times New Roman"/>
        </w:rPr>
        <w:lastRenderedPageBreak/>
        <w:t xml:space="preserve">7.2. </w:t>
      </w:r>
      <w:r w:rsidR="0059309D" w:rsidRPr="00610B1B">
        <w:rPr>
          <w:rFonts w:cs="Times New Roman"/>
        </w:rPr>
        <w:t>Поддържане, актуализиране и изменение на МППРБ</w:t>
      </w:r>
      <w:bookmarkEnd w:id="500"/>
    </w:p>
    <w:p w14:paraId="1CED5017" w14:textId="77777777" w:rsidR="0031677A" w:rsidRPr="00610B1B" w:rsidRDefault="0031677A" w:rsidP="0031677A">
      <w:pPr>
        <w:pStyle w:val="BodyText"/>
        <w:spacing w:after="120"/>
        <w:ind w:right="-153"/>
        <w:rPr>
          <w:rFonts w:cs="Times New Roman"/>
        </w:rPr>
      </w:pPr>
      <w:bookmarkStart w:id="501" w:name="_Hlk48404828"/>
      <w:r w:rsidRPr="00610B1B">
        <w:rPr>
          <w:rFonts w:cs="Times New Roman"/>
        </w:rPr>
        <w:t xml:space="preserve">Съгласно чл. 51е ал. 1 на ЗМПВВППРБ Морският пространствен план на Република България се приема от Националния експертен съвет по устройство на територията и регионална политика и се одобрява с решение на Министерския съвет по доклад на Министъра на регионалното развитие и благоустройството. </w:t>
      </w:r>
    </w:p>
    <w:p w14:paraId="57264EC8" w14:textId="77777777" w:rsidR="0031677A" w:rsidRPr="00610B1B" w:rsidRDefault="0031677A" w:rsidP="0031677A">
      <w:pPr>
        <w:pStyle w:val="BodyText"/>
        <w:spacing w:after="120"/>
        <w:ind w:right="-153"/>
        <w:rPr>
          <w:rFonts w:cs="Times New Roman"/>
        </w:rPr>
      </w:pPr>
      <w:r w:rsidRPr="00610B1B">
        <w:rPr>
          <w:rFonts w:cs="Times New Roman"/>
        </w:rPr>
        <w:t xml:space="preserve">Той подлежи на преразглеждане на всеки 10 години, следователно Министърът на регионалното развитие и благоустройството следва да възложи тази задача не по-късно от 2029 г. </w:t>
      </w:r>
    </w:p>
    <w:p w14:paraId="73A932FB" w14:textId="05DD56E7" w:rsidR="0031677A" w:rsidRPr="00610B1B" w:rsidRDefault="0031677A" w:rsidP="0031677A">
      <w:pPr>
        <w:pStyle w:val="BodyText"/>
        <w:spacing w:after="120"/>
        <w:ind w:right="-153"/>
        <w:rPr>
          <w:rFonts w:cs="Times New Roman"/>
        </w:rPr>
      </w:pPr>
      <w:r w:rsidRPr="00610B1B">
        <w:rPr>
          <w:rFonts w:cs="Times New Roman"/>
        </w:rPr>
        <w:t>Законът позволява морският пространствен план на Република България да бъде преразгледан и извън срока, ако настъпят съществени промени в обществено-икономическите условия, при които е бил одобрен.</w:t>
      </w:r>
      <w:r w:rsidR="00D66FE0" w:rsidRPr="00610B1B">
        <w:rPr>
          <w:rFonts w:cs="Times New Roman"/>
        </w:rPr>
        <w:t xml:space="preserve"> </w:t>
      </w:r>
      <w:r w:rsidRPr="00610B1B">
        <w:rPr>
          <w:rFonts w:cs="Times New Roman"/>
        </w:rPr>
        <w:t>Неговото изменение се възлага и изпълнява при условията на неговото създаване като се прилагат разпоредбите на ал. 1 от чл. 51е и чл. 51д.</w:t>
      </w:r>
    </w:p>
    <w:p w14:paraId="3D15CFB4" w14:textId="307EB182" w:rsidR="0031677A" w:rsidRPr="00610B1B" w:rsidRDefault="0031677A" w:rsidP="0031677A">
      <w:pPr>
        <w:pStyle w:val="BodyText"/>
        <w:spacing w:after="120"/>
        <w:ind w:right="-153"/>
        <w:rPr>
          <w:rFonts w:cs="Times New Roman"/>
        </w:rPr>
      </w:pPr>
      <w:r w:rsidRPr="00610B1B">
        <w:rPr>
          <w:rFonts w:cs="Times New Roman"/>
        </w:rPr>
        <w:t>Поддържането на Морския пространствен план на Република България се осъществява от неговия изпълнител – Националния център за териториално развитие ЕАД.</w:t>
      </w:r>
      <w:r w:rsidR="00D66FE0" w:rsidRPr="00610B1B">
        <w:rPr>
          <w:rFonts w:cs="Times New Roman"/>
        </w:rPr>
        <w:t xml:space="preserve"> </w:t>
      </w:r>
      <w:r w:rsidRPr="00610B1B">
        <w:rPr>
          <w:rFonts w:cs="Times New Roman"/>
        </w:rPr>
        <w:t xml:space="preserve">Експертният екип ще работи съвместно с всички заинтересовани страни, които трябва да предоставят актуалната информация, събирана за Европейските институции, и за целите на морското пространствено планиране в България. </w:t>
      </w:r>
    </w:p>
    <w:p w14:paraId="0B025DA7" w14:textId="77777777" w:rsidR="007D045E" w:rsidRPr="00610B1B" w:rsidRDefault="0031677A" w:rsidP="0031677A">
      <w:pPr>
        <w:pStyle w:val="BodyText"/>
        <w:spacing w:after="120"/>
        <w:ind w:right="-153"/>
        <w:rPr>
          <w:rFonts w:cs="Times New Roman"/>
        </w:rPr>
      </w:pPr>
      <w:r w:rsidRPr="00610B1B">
        <w:rPr>
          <w:rFonts w:cs="Times New Roman"/>
        </w:rPr>
        <w:t xml:space="preserve">Съгласно ЗООС и Решението на Компетентния орган по Екологичната оценка на МППРБ - Министерството на околната среда и водите, доклади за прилагането на Морския пространствен план, отразяващи напредъка по постигането на поставените цели в документа ще се изготвят на две години от Министъра на регионалното развитие и благоустройството със съдействието на всички заинтересовани страни и на Консултативния съвет. В тези доклади ще се отразява и връзката на плана с Морската стратегия и Програмата от мерки към нея, както и с всички останали национални стратегически документи в секторите, свързани с морските пространства на Република България. </w:t>
      </w:r>
    </w:p>
    <w:p w14:paraId="64508310" w14:textId="091D20D5" w:rsidR="00AE3125" w:rsidRPr="00610B1B" w:rsidRDefault="00DC54A6" w:rsidP="0031677A">
      <w:pPr>
        <w:pStyle w:val="BodyText"/>
        <w:spacing w:after="120"/>
        <w:ind w:right="-153"/>
        <w:rPr>
          <w:rFonts w:cs="Times New Roman"/>
        </w:rPr>
      </w:pPr>
      <w:r w:rsidRPr="00610B1B">
        <w:rPr>
          <w:rFonts w:cs="Times New Roman"/>
        </w:rPr>
        <w:t>Поддържането на М</w:t>
      </w:r>
      <w:r w:rsidR="00AE3125" w:rsidRPr="00610B1B">
        <w:rPr>
          <w:rFonts w:cs="Times New Roman"/>
        </w:rPr>
        <w:t xml:space="preserve">орския пространствен план на Република България 2021-2035 г. обхваща </w:t>
      </w:r>
      <w:r w:rsidRPr="00610B1B">
        <w:rPr>
          <w:rFonts w:cs="Times New Roman"/>
        </w:rPr>
        <w:t xml:space="preserve">проследяването на промените на всички негови </w:t>
      </w:r>
      <w:r w:rsidR="00D12A42" w:rsidRPr="00610B1B">
        <w:rPr>
          <w:rFonts w:cs="Times New Roman"/>
        </w:rPr>
        <w:t>компоненти</w:t>
      </w:r>
      <w:r w:rsidR="00AE3125" w:rsidRPr="00610B1B">
        <w:rPr>
          <w:rFonts w:cs="Times New Roman"/>
        </w:rPr>
        <w:t>:</w:t>
      </w:r>
      <w:r w:rsidR="00AE3125" w:rsidRPr="00610B1B">
        <w:rPr>
          <w:rFonts w:cs="Times New Roman"/>
        </w:rPr>
        <w:tab/>
      </w:r>
    </w:p>
    <w:p w14:paraId="3DC06590" w14:textId="4E3B3D64" w:rsidR="00890297" w:rsidRPr="00610B1B" w:rsidRDefault="00AE3125" w:rsidP="00B46189">
      <w:pPr>
        <w:pStyle w:val="BodyText"/>
        <w:numPr>
          <w:ilvl w:val="0"/>
          <w:numId w:val="101"/>
        </w:numPr>
        <w:spacing w:after="120"/>
        <w:ind w:right="-153"/>
        <w:rPr>
          <w:rFonts w:cs="Times New Roman"/>
        </w:rPr>
      </w:pPr>
      <w:r w:rsidRPr="00610B1B">
        <w:rPr>
          <w:rFonts w:cs="Times New Roman"/>
        </w:rPr>
        <w:t>Текстова част, съдържаща</w:t>
      </w:r>
      <w:r w:rsidR="00697416" w:rsidRPr="00610B1B">
        <w:rPr>
          <w:rFonts w:cs="Times New Roman"/>
        </w:rPr>
        <w:t>:</w:t>
      </w:r>
      <w:r w:rsidRPr="00610B1B">
        <w:rPr>
          <w:rFonts w:cs="Times New Roman"/>
        </w:rPr>
        <w:t xml:space="preserve"> анализи на нормативната уредба, на текущото състояние на компонентите на средата, прогнози и сценарии за развитие на морските пространства и дейностите, осъществявани в тях, стратегически пакет от визия, стратегически и специфични цели, функционално зониране, режими и ограничения</w:t>
      </w:r>
      <w:r w:rsidR="00890297" w:rsidRPr="00610B1B">
        <w:rPr>
          <w:rFonts w:cs="Times New Roman"/>
        </w:rPr>
        <w:t xml:space="preserve"> </w:t>
      </w:r>
      <w:r w:rsidRPr="00610B1B">
        <w:rPr>
          <w:rFonts w:cs="Times New Roman"/>
        </w:rPr>
        <w:t>в ползване</w:t>
      </w:r>
      <w:r w:rsidR="00890297" w:rsidRPr="00610B1B">
        <w:rPr>
          <w:rFonts w:cs="Times New Roman"/>
        </w:rPr>
        <w:t>то</w:t>
      </w:r>
      <w:r w:rsidRPr="00610B1B">
        <w:rPr>
          <w:rFonts w:cs="Times New Roman"/>
        </w:rPr>
        <w:t xml:space="preserve"> на </w:t>
      </w:r>
      <w:r w:rsidR="00890297" w:rsidRPr="00610B1B">
        <w:rPr>
          <w:rFonts w:cs="Times New Roman"/>
        </w:rPr>
        <w:t xml:space="preserve">морските </w:t>
      </w:r>
      <w:r w:rsidR="009E01EF" w:rsidRPr="00610B1B">
        <w:rPr>
          <w:rFonts w:cs="Times New Roman"/>
        </w:rPr>
        <w:t>пространства</w:t>
      </w:r>
      <w:r w:rsidRPr="00610B1B">
        <w:rPr>
          <w:rFonts w:cs="Times New Roman"/>
        </w:rPr>
        <w:t xml:space="preserve"> в обхвата на МППРБ</w:t>
      </w:r>
      <w:r w:rsidR="00890297" w:rsidRPr="00610B1B">
        <w:rPr>
          <w:rFonts w:cs="Times New Roman"/>
        </w:rPr>
        <w:t xml:space="preserve"> и препоръки към участващите институции в прилагането на плана</w:t>
      </w:r>
      <w:r w:rsidRPr="00610B1B">
        <w:rPr>
          <w:rFonts w:cs="Times New Roman"/>
        </w:rPr>
        <w:t>;</w:t>
      </w:r>
    </w:p>
    <w:p w14:paraId="1D998F8A" w14:textId="6E1C5CF4" w:rsidR="00890297" w:rsidRPr="00610B1B" w:rsidRDefault="00AE3125" w:rsidP="00B46189">
      <w:pPr>
        <w:pStyle w:val="BodyText"/>
        <w:numPr>
          <w:ilvl w:val="0"/>
          <w:numId w:val="101"/>
        </w:numPr>
        <w:spacing w:after="120"/>
        <w:ind w:right="-153"/>
        <w:rPr>
          <w:rFonts w:cs="Times New Roman"/>
        </w:rPr>
      </w:pPr>
      <w:r w:rsidRPr="00610B1B">
        <w:rPr>
          <w:rFonts w:cs="Times New Roman"/>
        </w:rPr>
        <w:t>Тематични карти и графични материали, резултат от анализите, илюстриращи състояние</w:t>
      </w:r>
      <w:r w:rsidR="00890297" w:rsidRPr="00610B1B">
        <w:rPr>
          <w:rFonts w:cs="Times New Roman"/>
        </w:rPr>
        <w:t>то</w:t>
      </w:r>
      <w:r w:rsidRPr="00610B1B">
        <w:rPr>
          <w:rFonts w:cs="Times New Roman"/>
        </w:rPr>
        <w:t xml:space="preserve"> и прогнози</w:t>
      </w:r>
      <w:r w:rsidR="00890297" w:rsidRPr="00610B1B">
        <w:rPr>
          <w:rFonts w:cs="Times New Roman"/>
        </w:rPr>
        <w:t>те</w:t>
      </w:r>
      <w:r w:rsidRPr="00610B1B">
        <w:rPr>
          <w:rFonts w:cs="Times New Roman"/>
        </w:rPr>
        <w:t xml:space="preserve"> за развитие, включително и</w:t>
      </w:r>
      <w:r w:rsidR="00890297" w:rsidRPr="00610B1B">
        <w:rPr>
          <w:rFonts w:cs="Times New Roman"/>
        </w:rPr>
        <w:t xml:space="preserve"> </w:t>
      </w:r>
      <w:r w:rsidRPr="00610B1B">
        <w:rPr>
          <w:rFonts w:cs="Times New Roman"/>
        </w:rPr>
        <w:t>графични изображения на МППРБ</w:t>
      </w:r>
      <w:r w:rsidR="00890297" w:rsidRPr="00610B1B">
        <w:rPr>
          <w:rFonts w:cs="Times New Roman"/>
        </w:rPr>
        <w:t>, синтезиращ</w:t>
      </w:r>
      <w:r w:rsidR="00697416" w:rsidRPr="00610B1B">
        <w:rPr>
          <w:rFonts w:cs="Times New Roman"/>
        </w:rPr>
        <w:t>и</w:t>
      </w:r>
      <w:r w:rsidR="00890297" w:rsidRPr="00610B1B">
        <w:rPr>
          <w:rFonts w:cs="Times New Roman"/>
        </w:rPr>
        <w:t xml:space="preserve"> всички по-важни предвиждания в секторите на синята икономика, осъществяващи де</w:t>
      </w:r>
      <w:r w:rsidR="00697416" w:rsidRPr="00610B1B">
        <w:rPr>
          <w:rFonts w:cs="Times New Roman"/>
        </w:rPr>
        <w:t>й</w:t>
      </w:r>
      <w:r w:rsidR="00890297" w:rsidRPr="00610B1B">
        <w:rPr>
          <w:rFonts w:cs="Times New Roman"/>
        </w:rPr>
        <w:t xml:space="preserve">ността си в националните морски пространства на </w:t>
      </w:r>
      <w:r w:rsidR="00890297" w:rsidRPr="00610B1B">
        <w:rPr>
          <w:rFonts w:cs="Times New Roman"/>
        </w:rPr>
        <w:lastRenderedPageBreak/>
        <w:t>принципите на устойчивото развитие</w:t>
      </w:r>
      <w:r w:rsidRPr="00610B1B">
        <w:rPr>
          <w:rFonts w:cs="Times New Roman"/>
        </w:rPr>
        <w:t>;</w:t>
      </w:r>
    </w:p>
    <w:p w14:paraId="2CDD0D29" w14:textId="3C8F78B2" w:rsidR="00890297" w:rsidRPr="00610B1B" w:rsidRDefault="00890297" w:rsidP="00B46189">
      <w:pPr>
        <w:pStyle w:val="BodyText"/>
        <w:numPr>
          <w:ilvl w:val="0"/>
          <w:numId w:val="101"/>
        </w:numPr>
        <w:spacing w:after="120"/>
        <w:ind w:right="-153"/>
        <w:rPr>
          <w:rFonts w:cs="Times New Roman"/>
        </w:rPr>
      </w:pPr>
      <w:r w:rsidRPr="00610B1B">
        <w:rPr>
          <w:rFonts w:cs="Times New Roman"/>
        </w:rPr>
        <w:t>Екологична оценка на МППРБ, разработена съгласно действащото законодателство и обхващаща текущото състояние на компонентите и факторите на морската околна среда и прилежащата крайбрежна зона, оценка на потенциалните въздействия на предвижданията на плана</w:t>
      </w:r>
      <w:r w:rsidR="00CE28E6" w:rsidRPr="00610B1B">
        <w:rPr>
          <w:rFonts w:cs="Times New Roman"/>
        </w:rPr>
        <w:t>,</w:t>
      </w:r>
      <w:r w:rsidRPr="00610B1B">
        <w:rPr>
          <w:rFonts w:cs="Times New Roman"/>
        </w:rPr>
        <w:t xml:space="preserve"> </w:t>
      </w:r>
      <w:r w:rsidR="00697416" w:rsidRPr="00610B1B">
        <w:rPr>
          <w:rFonts w:cs="Times New Roman"/>
        </w:rPr>
        <w:t xml:space="preserve">необходимите </w:t>
      </w:r>
      <w:r w:rsidRPr="00610B1B">
        <w:rPr>
          <w:rFonts w:cs="Times New Roman"/>
        </w:rPr>
        <w:t>мерки за намаляване на негативните въздействия или пълното им отстраняване, вк</w:t>
      </w:r>
      <w:r w:rsidR="00697416" w:rsidRPr="00610B1B">
        <w:rPr>
          <w:rFonts w:cs="Times New Roman"/>
        </w:rPr>
        <w:t>л</w:t>
      </w:r>
      <w:r w:rsidRPr="00610B1B">
        <w:rPr>
          <w:rFonts w:cs="Times New Roman"/>
        </w:rPr>
        <w:t>ючително и на тези в трансграничен контекст</w:t>
      </w:r>
      <w:r w:rsidR="009F4237" w:rsidRPr="00610B1B">
        <w:rPr>
          <w:rFonts w:cs="Times New Roman"/>
        </w:rPr>
        <w:t xml:space="preserve"> – проследяване и докладване на изпълнението на мерките</w:t>
      </w:r>
      <w:r w:rsidRPr="00610B1B">
        <w:rPr>
          <w:rFonts w:cs="Times New Roman"/>
        </w:rPr>
        <w:t>;</w:t>
      </w:r>
    </w:p>
    <w:p w14:paraId="4A79924B" w14:textId="77777777" w:rsidR="00890297" w:rsidRPr="00610B1B" w:rsidRDefault="00AE3125" w:rsidP="00B46189">
      <w:pPr>
        <w:pStyle w:val="BodyText"/>
        <w:numPr>
          <w:ilvl w:val="0"/>
          <w:numId w:val="101"/>
        </w:numPr>
        <w:spacing w:after="120"/>
        <w:ind w:right="-153"/>
        <w:rPr>
          <w:rFonts w:cs="Times New Roman"/>
        </w:rPr>
      </w:pPr>
      <w:r w:rsidRPr="00610B1B">
        <w:rPr>
          <w:rFonts w:cs="Times New Roman"/>
        </w:rPr>
        <w:t xml:space="preserve">ГИС база данни – пространствена информация за обектите в </w:t>
      </w:r>
      <w:r w:rsidR="00890297" w:rsidRPr="00610B1B">
        <w:rPr>
          <w:rFonts w:cs="Times New Roman"/>
        </w:rPr>
        <w:t xml:space="preserve">обхвата </w:t>
      </w:r>
      <w:r w:rsidRPr="00610B1B">
        <w:rPr>
          <w:rFonts w:cs="Times New Roman"/>
        </w:rPr>
        <w:t xml:space="preserve">на </w:t>
      </w:r>
      <w:r w:rsidR="00890297" w:rsidRPr="00610B1B">
        <w:rPr>
          <w:rFonts w:cs="Times New Roman"/>
        </w:rPr>
        <w:t>МППРБ</w:t>
      </w:r>
      <w:r w:rsidRPr="00610B1B">
        <w:rPr>
          <w:rFonts w:cs="Times New Roman"/>
        </w:rPr>
        <w:t>, граници, очертания и характеристики на обектите в цифров вид с координати в референтна координатна система;</w:t>
      </w:r>
    </w:p>
    <w:p w14:paraId="15410690" w14:textId="0E10C730" w:rsidR="00AE3125" w:rsidRPr="00610B1B" w:rsidRDefault="00AE3125" w:rsidP="00B46189">
      <w:pPr>
        <w:pStyle w:val="BodyText"/>
        <w:numPr>
          <w:ilvl w:val="0"/>
          <w:numId w:val="101"/>
        </w:numPr>
        <w:spacing w:after="120"/>
        <w:ind w:right="-153"/>
        <w:rPr>
          <w:rFonts w:cs="Times New Roman"/>
        </w:rPr>
      </w:pPr>
      <w:r w:rsidRPr="00610B1B">
        <w:rPr>
          <w:rFonts w:cs="Times New Roman"/>
        </w:rPr>
        <w:t>Информационна платформа, която обединява останалите компоненти на плана</w:t>
      </w:r>
      <w:r w:rsidR="00D12A42" w:rsidRPr="00610B1B">
        <w:rPr>
          <w:rFonts w:cs="Times New Roman"/>
        </w:rPr>
        <w:t>,</w:t>
      </w:r>
      <w:r w:rsidRPr="00610B1B">
        <w:rPr>
          <w:rFonts w:cs="Times New Roman"/>
        </w:rPr>
        <w:t xml:space="preserve"> предоставя уеб услуги с информация за обектите на МППРБ</w:t>
      </w:r>
      <w:r w:rsidR="00D12A42" w:rsidRPr="00610B1B">
        <w:rPr>
          <w:rFonts w:cs="Times New Roman"/>
        </w:rPr>
        <w:t xml:space="preserve"> и служи за координиране на секторните политики, за прилагането и наблюдението на приложението на плана</w:t>
      </w:r>
      <w:r w:rsidRPr="00610B1B">
        <w:rPr>
          <w:rFonts w:cs="Times New Roman"/>
        </w:rPr>
        <w:t>.</w:t>
      </w:r>
    </w:p>
    <w:p w14:paraId="557600E1" w14:textId="11145633" w:rsidR="00697416" w:rsidRPr="00610B1B" w:rsidRDefault="00AE3125" w:rsidP="00AE3125">
      <w:pPr>
        <w:pStyle w:val="BodyText"/>
        <w:spacing w:before="0" w:after="120" w:line="276" w:lineRule="auto"/>
        <w:ind w:right="-153"/>
        <w:rPr>
          <w:rFonts w:cs="Times New Roman"/>
        </w:rPr>
      </w:pPr>
      <w:r w:rsidRPr="00610B1B">
        <w:rPr>
          <w:rFonts w:cs="Times New Roman"/>
        </w:rPr>
        <w:t xml:space="preserve">В този контекст поддържането на МППРБ обхваща актуализиране на всеки един от изброените компоненти, в резултат на настъпили изменения в нормативната база, отговорностите на компетентните органи и предоставяната от тях информация, в данните за обектите на плана. </w:t>
      </w:r>
    </w:p>
    <w:p w14:paraId="55BCB436" w14:textId="77777777" w:rsidR="009F4237" w:rsidRPr="00610B1B" w:rsidRDefault="00697416" w:rsidP="00697416">
      <w:pPr>
        <w:pStyle w:val="BodyText"/>
        <w:spacing w:before="0" w:after="120" w:line="276" w:lineRule="auto"/>
        <w:ind w:right="-153"/>
        <w:rPr>
          <w:rFonts w:cs="Times New Roman"/>
        </w:rPr>
      </w:pPr>
      <w:r w:rsidRPr="00610B1B">
        <w:rPr>
          <w:rFonts w:cs="Times New Roman"/>
        </w:rPr>
        <w:t>Методиката за поддържане и актуализация на МППРБ ще се разглежда в два аспекта</w:t>
      </w:r>
      <w:r w:rsidR="00CE28E6" w:rsidRPr="00610B1B">
        <w:rPr>
          <w:rFonts w:cs="Times New Roman"/>
        </w:rPr>
        <w:t>:</w:t>
      </w:r>
      <w:r w:rsidR="009F4237" w:rsidRPr="00610B1B">
        <w:rPr>
          <w:rFonts w:cs="Times New Roman"/>
        </w:rPr>
        <w:t xml:space="preserve"> </w:t>
      </w:r>
      <w:r w:rsidRPr="00610B1B">
        <w:rPr>
          <w:rFonts w:cs="Times New Roman"/>
        </w:rPr>
        <w:t xml:space="preserve">а) институционален, установяващ връзка между отделните компетентни органи и б) технически, който реализира технологията на актуализация на данните и предоставяне на информация за обектите на плана. </w:t>
      </w:r>
    </w:p>
    <w:p w14:paraId="434BC29D" w14:textId="5D50E9F8" w:rsidR="00697416" w:rsidRPr="00610B1B" w:rsidRDefault="00697416" w:rsidP="00697416">
      <w:pPr>
        <w:pStyle w:val="BodyText"/>
        <w:spacing w:before="0" w:after="120" w:line="276" w:lineRule="auto"/>
        <w:ind w:right="-153"/>
        <w:rPr>
          <w:rFonts w:cs="Times New Roman"/>
        </w:rPr>
      </w:pPr>
      <w:r w:rsidRPr="00610B1B">
        <w:rPr>
          <w:rFonts w:cs="Times New Roman"/>
        </w:rPr>
        <w:t>В т</w:t>
      </w:r>
      <w:r w:rsidR="00DC54A6" w:rsidRPr="00610B1B">
        <w:rPr>
          <w:rFonts w:cs="Times New Roman"/>
        </w:rPr>
        <w:t xml:space="preserve">ози контекст </w:t>
      </w:r>
      <w:r w:rsidRPr="00610B1B">
        <w:rPr>
          <w:rFonts w:cs="Times New Roman"/>
        </w:rPr>
        <w:t>НЦТР играе важна роля в реализацията на връзката между компетентните органи, поддържащи и предоставящи информация за обектите на плана и поддържане на компонентите на МППРБ в актуално състояние.</w:t>
      </w:r>
    </w:p>
    <w:p w14:paraId="6755BCB3" w14:textId="638705FF" w:rsidR="00697416" w:rsidRPr="00610B1B" w:rsidRDefault="00584435" w:rsidP="00697416">
      <w:pPr>
        <w:pStyle w:val="BodyText"/>
        <w:spacing w:before="0" w:after="120" w:line="276" w:lineRule="auto"/>
        <w:ind w:right="-153"/>
        <w:rPr>
          <w:rFonts w:cs="Times New Roman"/>
        </w:rPr>
      </w:pPr>
      <w:bookmarkStart w:id="502" w:name="_Toc83391614"/>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18</w:t>
      </w:r>
      <w:r w:rsidRPr="00610B1B">
        <w:rPr>
          <w:rFonts w:cs="Times New Roman"/>
        </w:rPr>
        <w:fldChar w:fldCharType="end"/>
      </w:r>
      <w:r w:rsidRPr="00610B1B">
        <w:rPr>
          <w:rFonts w:cs="Times New Roman"/>
        </w:rPr>
        <w:t xml:space="preserve">: </w:t>
      </w:r>
      <w:r w:rsidR="00697416" w:rsidRPr="00610B1B">
        <w:rPr>
          <w:rFonts w:cs="Times New Roman"/>
        </w:rPr>
        <w:t>Връзка между настъпили изменения, компетентни органи и дейностите, изпълнявани в НЦТР</w:t>
      </w:r>
      <w:bookmarkEnd w:id="502"/>
    </w:p>
    <w:tbl>
      <w:tblPr>
        <w:tblStyle w:val="TableGrid"/>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40"/>
        <w:gridCol w:w="3544"/>
      </w:tblGrid>
      <w:tr w:rsidR="00697416" w:rsidRPr="00610B1B" w14:paraId="5AE7B3B2" w14:textId="77777777" w:rsidTr="00774CD7">
        <w:trPr>
          <w:trHeight w:val="420"/>
          <w:tblHeader/>
        </w:trPr>
        <w:tc>
          <w:tcPr>
            <w:tcW w:w="2605" w:type="dxa"/>
            <w:tcBorders>
              <w:top w:val="single" w:sz="4" w:space="0" w:color="auto"/>
              <w:bottom w:val="single" w:sz="4" w:space="0" w:color="auto"/>
            </w:tcBorders>
            <w:shd w:val="clear" w:color="auto" w:fill="72DBE0"/>
            <w:vAlign w:val="center"/>
          </w:tcPr>
          <w:p w14:paraId="5F34FD36" w14:textId="77777777" w:rsidR="00697416" w:rsidRPr="00610B1B" w:rsidRDefault="00697416" w:rsidP="00366AFE">
            <w:pPr>
              <w:pStyle w:val="BodyText"/>
              <w:spacing w:before="0" w:after="0" w:line="240" w:lineRule="auto"/>
              <w:ind w:right="-153"/>
              <w:jc w:val="center"/>
              <w:rPr>
                <w:rFonts w:cs="Times New Roman"/>
                <w:b/>
                <w:bCs/>
                <w:sz w:val="20"/>
                <w:szCs w:val="20"/>
              </w:rPr>
            </w:pPr>
            <w:r w:rsidRPr="00610B1B">
              <w:rPr>
                <w:rFonts w:cs="Times New Roman"/>
                <w:b/>
                <w:bCs/>
                <w:sz w:val="20"/>
                <w:szCs w:val="20"/>
              </w:rPr>
              <w:t>Настъпили изменения</w:t>
            </w:r>
          </w:p>
        </w:tc>
        <w:tc>
          <w:tcPr>
            <w:tcW w:w="2640" w:type="dxa"/>
            <w:tcBorders>
              <w:top w:val="single" w:sz="4" w:space="0" w:color="auto"/>
              <w:bottom w:val="single" w:sz="4" w:space="0" w:color="auto"/>
            </w:tcBorders>
            <w:shd w:val="clear" w:color="auto" w:fill="72DBE0"/>
            <w:vAlign w:val="center"/>
          </w:tcPr>
          <w:p w14:paraId="0EE2E6D3" w14:textId="2396F2C4" w:rsidR="00697416" w:rsidRPr="00610B1B" w:rsidRDefault="00697416" w:rsidP="00366AFE">
            <w:pPr>
              <w:pStyle w:val="BodyText"/>
              <w:spacing w:before="0" w:after="0" w:line="240" w:lineRule="auto"/>
              <w:ind w:right="-153"/>
              <w:jc w:val="center"/>
              <w:rPr>
                <w:rFonts w:cs="Times New Roman"/>
                <w:b/>
                <w:bCs/>
                <w:sz w:val="20"/>
                <w:szCs w:val="20"/>
              </w:rPr>
            </w:pPr>
            <w:r w:rsidRPr="00610B1B">
              <w:rPr>
                <w:rFonts w:cs="Times New Roman"/>
                <w:b/>
                <w:bCs/>
                <w:sz w:val="20"/>
                <w:szCs w:val="20"/>
              </w:rPr>
              <w:t xml:space="preserve">Отговорност </w:t>
            </w:r>
            <w:r w:rsidR="007D045E" w:rsidRPr="00610B1B">
              <w:rPr>
                <w:rFonts w:cs="Times New Roman"/>
                <w:b/>
                <w:bCs/>
                <w:sz w:val="20"/>
                <w:szCs w:val="20"/>
              </w:rPr>
              <w:t>/</w:t>
            </w:r>
            <w:r w:rsidR="00366AFE" w:rsidRPr="00610B1B">
              <w:rPr>
                <w:rFonts w:cs="Times New Roman"/>
                <w:b/>
                <w:bCs/>
                <w:sz w:val="20"/>
                <w:szCs w:val="20"/>
              </w:rPr>
              <w:br/>
            </w:r>
            <w:r w:rsidRPr="00610B1B">
              <w:rPr>
                <w:rFonts w:cs="Times New Roman"/>
                <w:b/>
                <w:bCs/>
                <w:sz w:val="20"/>
                <w:szCs w:val="20"/>
              </w:rPr>
              <w:t>компетентен орган</w:t>
            </w:r>
          </w:p>
        </w:tc>
        <w:tc>
          <w:tcPr>
            <w:tcW w:w="3544" w:type="dxa"/>
            <w:tcBorders>
              <w:top w:val="single" w:sz="4" w:space="0" w:color="auto"/>
              <w:bottom w:val="single" w:sz="4" w:space="0" w:color="auto"/>
            </w:tcBorders>
            <w:shd w:val="clear" w:color="auto" w:fill="72DBE0"/>
            <w:vAlign w:val="center"/>
          </w:tcPr>
          <w:p w14:paraId="31BDD6D7" w14:textId="77777777" w:rsidR="00697416" w:rsidRPr="00610B1B" w:rsidRDefault="00697416" w:rsidP="00366AFE">
            <w:pPr>
              <w:pStyle w:val="BodyText"/>
              <w:spacing w:before="0" w:after="0" w:line="240" w:lineRule="auto"/>
              <w:ind w:right="-153"/>
              <w:jc w:val="center"/>
              <w:rPr>
                <w:rFonts w:cs="Times New Roman"/>
                <w:b/>
                <w:bCs/>
                <w:sz w:val="20"/>
                <w:szCs w:val="20"/>
              </w:rPr>
            </w:pPr>
            <w:r w:rsidRPr="00610B1B">
              <w:rPr>
                <w:rFonts w:cs="Times New Roman"/>
                <w:b/>
                <w:bCs/>
                <w:sz w:val="20"/>
                <w:szCs w:val="20"/>
              </w:rPr>
              <w:t>Дейност на НЦТР</w:t>
            </w:r>
          </w:p>
        </w:tc>
      </w:tr>
      <w:tr w:rsidR="00697416" w:rsidRPr="00C717D0" w14:paraId="6B56FDEB" w14:textId="77777777" w:rsidTr="00537D06">
        <w:tc>
          <w:tcPr>
            <w:tcW w:w="2605" w:type="dxa"/>
            <w:tcBorders>
              <w:top w:val="single" w:sz="4" w:space="0" w:color="auto"/>
              <w:bottom w:val="single" w:sz="4" w:space="0" w:color="auto"/>
            </w:tcBorders>
            <w:vAlign w:val="center"/>
          </w:tcPr>
          <w:p w14:paraId="05E59958" w14:textId="77777777" w:rsidR="00697416" w:rsidRPr="00610B1B" w:rsidRDefault="00697416" w:rsidP="00537D06">
            <w:pPr>
              <w:pStyle w:val="BodyText"/>
              <w:spacing w:before="0" w:after="60" w:line="276" w:lineRule="auto"/>
              <w:ind w:right="-153"/>
              <w:jc w:val="left"/>
              <w:rPr>
                <w:rFonts w:cs="Times New Roman"/>
                <w:sz w:val="20"/>
                <w:szCs w:val="20"/>
              </w:rPr>
            </w:pPr>
            <w:r w:rsidRPr="00610B1B">
              <w:rPr>
                <w:rFonts w:cs="Times New Roman"/>
                <w:sz w:val="20"/>
                <w:szCs w:val="20"/>
              </w:rPr>
              <w:t xml:space="preserve">Данни </w:t>
            </w:r>
          </w:p>
        </w:tc>
        <w:tc>
          <w:tcPr>
            <w:tcW w:w="2640" w:type="dxa"/>
            <w:tcBorders>
              <w:top w:val="single" w:sz="4" w:space="0" w:color="auto"/>
              <w:bottom w:val="single" w:sz="4" w:space="0" w:color="auto"/>
            </w:tcBorders>
          </w:tcPr>
          <w:p w14:paraId="54388B1A" w14:textId="6C9DE2D7" w:rsidR="00697416" w:rsidRPr="00610B1B" w:rsidRDefault="00697416" w:rsidP="0031677A">
            <w:pPr>
              <w:pStyle w:val="BodyText"/>
              <w:spacing w:before="0" w:after="60" w:line="276" w:lineRule="auto"/>
              <w:ind w:right="-153"/>
              <w:jc w:val="left"/>
              <w:rPr>
                <w:rFonts w:cs="Times New Roman"/>
                <w:sz w:val="20"/>
                <w:szCs w:val="20"/>
              </w:rPr>
            </w:pPr>
            <w:r w:rsidRPr="00610B1B">
              <w:rPr>
                <w:rFonts w:cs="Times New Roman"/>
                <w:sz w:val="20"/>
                <w:szCs w:val="20"/>
              </w:rPr>
              <w:t>Публикува резултати от регулярни изследвани</w:t>
            </w:r>
            <w:r w:rsidR="007D045E" w:rsidRPr="00610B1B">
              <w:rPr>
                <w:rFonts w:cs="Times New Roman"/>
                <w:sz w:val="20"/>
                <w:szCs w:val="20"/>
              </w:rPr>
              <w:t>я, мониторинг</w:t>
            </w:r>
            <w:r w:rsidRPr="00610B1B">
              <w:rPr>
                <w:rFonts w:cs="Times New Roman"/>
                <w:sz w:val="20"/>
                <w:szCs w:val="20"/>
              </w:rPr>
              <w:t xml:space="preserve"> и контрол;</w:t>
            </w:r>
            <w:r w:rsidR="00D66FE0" w:rsidRPr="00610B1B">
              <w:rPr>
                <w:rFonts w:cs="Times New Roman"/>
                <w:sz w:val="20"/>
                <w:szCs w:val="20"/>
              </w:rPr>
              <w:t xml:space="preserve"> </w:t>
            </w:r>
          </w:p>
        </w:tc>
        <w:tc>
          <w:tcPr>
            <w:tcW w:w="3544" w:type="dxa"/>
            <w:tcBorders>
              <w:top w:val="single" w:sz="4" w:space="0" w:color="auto"/>
              <w:bottom w:val="single" w:sz="4" w:space="0" w:color="auto"/>
            </w:tcBorders>
          </w:tcPr>
          <w:p w14:paraId="183D3EE3" w14:textId="77777777" w:rsidR="00697416" w:rsidRPr="00610B1B" w:rsidRDefault="00697416" w:rsidP="00B46189">
            <w:pPr>
              <w:pStyle w:val="BodyText"/>
              <w:numPr>
                <w:ilvl w:val="0"/>
                <w:numId w:val="100"/>
              </w:numPr>
              <w:spacing w:before="0" w:after="60" w:line="276" w:lineRule="auto"/>
              <w:ind w:left="357" w:right="-153"/>
              <w:jc w:val="left"/>
              <w:rPr>
                <w:rFonts w:cs="Times New Roman"/>
                <w:sz w:val="20"/>
                <w:szCs w:val="20"/>
              </w:rPr>
            </w:pPr>
            <w:r w:rsidRPr="00610B1B">
              <w:rPr>
                <w:rFonts w:cs="Times New Roman"/>
                <w:sz w:val="20"/>
                <w:szCs w:val="20"/>
              </w:rPr>
              <w:t>Следи за публикувани нови данни за обектите;</w:t>
            </w:r>
          </w:p>
          <w:p w14:paraId="00A24729" w14:textId="77777777" w:rsidR="00697416" w:rsidRPr="00610B1B" w:rsidRDefault="00697416" w:rsidP="00B46189">
            <w:pPr>
              <w:pStyle w:val="BodyText"/>
              <w:numPr>
                <w:ilvl w:val="0"/>
                <w:numId w:val="100"/>
              </w:numPr>
              <w:spacing w:before="0" w:after="60" w:line="276" w:lineRule="auto"/>
              <w:ind w:left="357" w:right="-153"/>
              <w:jc w:val="left"/>
              <w:rPr>
                <w:rFonts w:cs="Times New Roman"/>
                <w:sz w:val="20"/>
                <w:szCs w:val="20"/>
              </w:rPr>
            </w:pPr>
            <w:r w:rsidRPr="00610B1B">
              <w:rPr>
                <w:rFonts w:cs="Times New Roman"/>
                <w:sz w:val="20"/>
                <w:szCs w:val="20"/>
              </w:rPr>
              <w:t>Изисква и получава необходимите данни посредством:</w:t>
            </w:r>
          </w:p>
          <w:p w14:paraId="6C90A850" w14:textId="77777777" w:rsidR="00697416" w:rsidRPr="00610B1B" w:rsidRDefault="00697416" w:rsidP="0031677A">
            <w:pPr>
              <w:pStyle w:val="BodyText"/>
              <w:spacing w:before="0" w:after="60" w:line="276" w:lineRule="auto"/>
              <w:ind w:left="357" w:right="-153"/>
              <w:jc w:val="left"/>
              <w:rPr>
                <w:rFonts w:cs="Times New Roman"/>
                <w:sz w:val="20"/>
                <w:szCs w:val="20"/>
              </w:rPr>
            </w:pPr>
            <w:r w:rsidRPr="00610B1B">
              <w:rPr>
                <w:rFonts w:cs="Times New Roman"/>
                <w:sz w:val="20"/>
                <w:szCs w:val="20"/>
              </w:rPr>
              <w:t>а) файлов обмен;</w:t>
            </w:r>
          </w:p>
          <w:p w14:paraId="0495FCA7" w14:textId="21960CB3" w:rsidR="00697416" w:rsidRPr="00610B1B" w:rsidRDefault="00697416" w:rsidP="0031677A">
            <w:pPr>
              <w:pStyle w:val="BodyText"/>
              <w:spacing w:before="0" w:after="60" w:line="276" w:lineRule="auto"/>
              <w:ind w:left="357" w:right="-153"/>
              <w:jc w:val="left"/>
              <w:rPr>
                <w:rFonts w:cs="Times New Roman"/>
                <w:sz w:val="20"/>
                <w:szCs w:val="20"/>
              </w:rPr>
            </w:pPr>
            <w:r w:rsidRPr="00610B1B">
              <w:rPr>
                <w:rFonts w:cs="Times New Roman"/>
                <w:sz w:val="20"/>
                <w:szCs w:val="20"/>
              </w:rPr>
              <w:t>б) уеб услуга по</w:t>
            </w:r>
            <w:r w:rsidR="00D66FE0" w:rsidRPr="00610B1B">
              <w:rPr>
                <w:rFonts w:cs="Times New Roman"/>
                <w:sz w:val="20"/>
                <w:szCs w:val="20"/>
              </w:rPr>
              <w:t xml:space="preserve"> </w:t>
            </w:r>
            <w:r w:rsidRPr="00610B1B">
              <w:rPr>
                <w:rFonts w:cs="Times New Roman"/>
                <w:sz w:val="20"/>
                <w:szCs w:val="20"/>
              </w:rPr>
              <w:t xml:space="preserve">определен от компетентния орган адрес; </w:t>
            </w:r>
          </w:p>
          <w:p w14:paraId="356AD729" w14:textId="77777777" w:rsidR="009907CE" w:rsidRPr="00610B1B" w:rsidRDefault="00697416" w:rsidP="00B46189">
            <w:pPr>
              <w:pStyle w:val="BodyText"/>
              <w:numPr>
                <w:ilvl w:val="0"/>
                <w:numId w:val="100"/>
              </w:numPr>
              <w:spacing w:before="0" w:after="60" w:line="276" w:lineRule="auto"/>
              <w:ind w:left="357" w:right="-153"/>
              <w:jc w:val="left"/>
              <w:rPr>
                <w:rFonts w:cs="Times New Roman"/>
                <w:sz w:val="20"/>
                <w:szCs w:val="20"/>
              </w:rPr>
            </w:pPr>
            <w:r w:rsidRPr="00610B1B">
              <w:rPr>
                <w:rFonts w:cs="Times New Roman"/>
                <w:sz w:val="20"/>
                <w:szCs w:val="20"/>
              </w:rPr>
              <w:t>Актуализира компонентите на плана, съобразно получените нови данни;</w:t>
            </w:r>
          </w:p>
          <w:p w14:paraId="090A4DCA" w14:textId="13EE3B6F" w:rsidR="00697416" w:rsidRPr="00610B1B" w:rsidRDefault="00697416" w:rsidP="009907CE">
            <w:pPr>
              <w:pStyle w:val="BodyText"/>
              <w:spacing w:before="0" w:after="60" w:line="276" w:lineRule="auto"/>
              <w:ind w:right="-153"/>
              <w:jc w:val="left"/>
              <w:rPr>
                <w:rFonts w:cs="Times New Roman"/>
                <w:sz w:val="20"/>
                <w:szCs w:val="20"/>
              </w:rPr>
            </w:pPr>
            <w:r w:rsidRPr="00610B1B">
              <w:rPr>
                <w:rFonts w:cs="Times New Roman"/>
                <w:sz w:val="20"/>
                <w:szCs w:val="20"/>
              </w:rPr>
              <w:t xml:space="preserve"> </w:t>
            </w:r>
          </w:p>
        </w:tc>
      </w:tr>
      <w:tr w:rsidR="00697416" w:rsidRPr="00C717D0" w14:paraId="23F6EBFB" w14:textId="77777777" w:rsidTr="00537D06">
        <w:tc>
          <w:tcPr>
            <w:tcW w:w="2605" w:type="dxa"/>
            <w:tcBorders>
              <w:top w:val="single" w:sz="4" w:space="0" w:color="auto"/>
              <w:bottom w:val="single" w:sz="4" w:space="0" w:color="auto"/>
            </w:tcBorders>
            <w:vAlign w:val="center"/>
          </w:tcPr>
          <w:p w14:paraId="035821C7" w14:textId="77777777" w:rsidR="00697416" w:rsidRPr="00610B1B" w:rsidRDefault="00697416" w:rsidP="00537D06">
            <w:pPr>
              <w:pStyle w:val="BodyText"/>
              <w:spacing w:before="0" w:after="60" w:line="276" w:lineRule="auto"/>
              <w:ind w:right="-153"/>
              <w:jc w:val="left"/>
              <w:rPr>
                <w:rFonts w:cs="Times New Roman"/>
                <w:sz w:val="20"/>
                <w:szCs w:val="20"/>
              </w:rPr>
            </w:pPr>
            <w:r w:rsidRPr="00610B1B">
              <w:rPr>
                <w:rFonts w:cs="Times New Roman"/>
                <w:sz w:val="20"/>
                <w:szCs w:val="20"/>
              </w:rPr>
              <w:lastRenderedPageBreak/>
              <w:t>Услуги с данни</w:t>
            </w:r>
          </w:p>
        </w:tc>
        <w:tc>
          <w:tcPr>
            <w:tcW w:w="2640" w:type="dxa"/>
            <w:tcBorders>
              <w:top w:val="single" w:sz="4" w:space="0" w:color="auto"/>
              <w:bottom w:val="single" w:sz="4" w:space="0" w:color="auto"/>
            </w:tcBorders>
          </w:tcPr>
          <w:p w14:paraId="67147714" w14:textId="77777777" w:rsidR="00697416" w:rsidRPr="00610B1B" w:rsidRDefault="00697416" w:rsidP="0031677A">
            <w:pPr>
              <w:pStyle w:val="BodyText"/>
              <w:spacing w:before="0" w:after="60" w:line="276" w:lineRule="auto"/>
              <w:ind w:right="-153"/>
              <w:jc w:val="left"/>
              <w:rPr>
                <w:rFonts w:cs="Times New Roman"/>
                <w:sz w:val="20"/>
                <w:szCs w:val="20"/>
              </w:rPr>
            </w:pPr>
            <w:r w:rsidRPr="00610B1B">
              <w:rPr>
                <w:rFonts w:cs="Times New Roman"/>
                <w:sz w:val="20"/>
                <w:szCs w:val="20"/>
              </w:rPr>
              <w:t>Публикува нови услуги с информация за обектите на МППРБ.</w:t>
            </w:r>
          </w:p>
        </w:tc>
        <w:tc>
          <w:tcPr>
            <w:tcW w:w="3544" w:type="dxa"/>
            <w:tcBorders>
              <w:top w:val="single" w:sz="4" w:space="0" w:color="auto"/>
              <w:bottom w:val="single" w:sz="4" w:space="0" w:color="auto"/>
            </w:tcBorders>
          </w:tcPr>
          <w:p w14:paraId="1729256A" w14:textId="77777777" w:rsidR="00697416" w:rsidRPr="00610B1B" w:rsidRDefault="00697416" w:rsidP="00B46189">
            <w:pPr>
              <w:pStyle w:val="BodyText"/>
              <w:numPr>
                <w:ilvl w:val="0"/>
                <w:numId w:val="100"/>
              </w:numPr>
              <w:spacing w:before="0" w:after="60" w:line="276" w:lineRule="auto"/>
              <w:ind w:left="357" w:right="-153"/>
              <w:jc w:val="left"/>
              <w:rPr>
                <w:rFonts w:cs="Times New Roman"/>
                <w:sz w:val="20"/>
                <w:szCs w:val="20"/>
              </w:rPr>
            </w:pPr>
            <w:r w:rsidRPr="00610B1B">
              <w:rPr>
                <w:rFonts w:cs="Times New Roman"/>
                <w:sz w:val="20"/>
                <w:szCs w:val="20"/>
              </w:rPr>
              <w:t>Използва публикуваните от компетентния орган услуги, като осигурява достъп до тях през информационната платформа на плана;</w:t>
            </w:r>
          </w:p>
          <w:p w14:paraId="208D239C" w14:textId="77777777" w:rsidR="00697416" w:rsidRPr="00610B1B" w:rsidRDefault="00697416" w:rsidP="00B46189">
            <w:pPr>
              <w:pStyle w:val="BodyText"/>
              <w:numPr>
                <w:ilvl w:val="0"/>
                <w:numId w:val="100"/>
              </w:numPr>
              <w:spacing w:before="0" w:after="60" w:line="276" w:lineRule="auto"/>
              <w:ind w:left="357" w:right="-153"/>
              <w:jc w:val="left"/>
              <w:rPr>
                <w:rFonts w:cs="Times New Roman"/>
                <w:sz w:val="20"/>
                <w:szCs w:val="20"/>
              </w:rPr>
            </w:pPr>
            <w:r w:rsidRPr="00610B1B">
              <w:rPr>
                <w:rFonts w:cs="Times New Roman"/>
                <w:sz w:val="20"/>
                <w:szCs w:val="20"/>
              </w:rPr>
              <w:t>Поддържа и развива информационната платформа на плана, като:</w:t>
            </w:r>
          </w:p>
          <w:p w14:paraId="619BD1D1" w14:textId="77777777" w:rsidR="00697416" w:rsidRPr="00610B1B" w:rsidRDefault="00697416" w:rsidP="0031677A">
            <w:pPr>
              <w:pStyle w:val="BodyText"/>
              <w:spacing w:before="0" w:after="60" w:line="276" w:lineRule="auto"/>
              <w:ind w:left="357" w:right="-153"/>
              <w:jc w:val="left"/>
              <w:rPr>
                <w:rFonts w:cs="Times New Roman"/>
                <w:sz w:val="20"/>
                <w:szCs w:val="20"/>
              </w:rPr>
            </w:pPr>
            <w:r w:rsidRPr="00610B1B">
              <w:rPr>
                <w:rFonts w:cs="Times New Roman"/>
                <w:sz w:val="20"/>
                <w:szCs w:val="20"/>
              </w:rPr>
              <w:t>а) актуализира текстовата част, тематичните карти и ГИС базата данни на МППРБ;</w:t>
            </w:r>
          </w:p>
          <w:p w14:paraId="31CD16F8" w14:textId="3EFD55AD" w:rsidR="00697416" w:rsidRPr="00610B1B" w:rsidRDefault="00697416" w:rsidP="0031677A">
            <w:pPr>
              <w:pStyle w:val="BodyText"/>
              <w:spacing w:before="0" w:after="60" w:line="276" w:lineRule="auto"/>
              <w:ind w:left="357" w:right="-153"/>
              <w:jc w:val="left"/>
              <w:rPr>
                <w:rFonts w:cs="Times New Roman"/>
                <w:sz w:val="20"/>
                <w:szCs w:val="20"/>
              </w:rPr>
            </w:pPr>
            <w:r w:rsidRPr="00610B1B">
              <w:rPr>
                <w:rFonts w:cs="Times New Roman"/>
                <w:sz w:val="20"/>
                <w:szCs w:val="20"/>
              </w:rPr>
              <w:t>б) разработва и предоставя нови услуги и функции на информационната платформа;</w:t>
            </w:r>
          </w:p>
        </w:tc>
      </w:tr>
      <w:tr w:rsidR="0074647C" w:rsidRPr="00C717D0" w14:paraId="309EA45A" w14:textId="77777777" w:rsidTr="00537D06">
        <w:tc>
          <w:tcPr>
            <w:tcW w:w="2605" w:type="dxa"/>
            <w:tcBorders>
              <w:top w:val="single" w:sz="4" w:space="0" w:color="auto"/>
              <w:bottom w:val="single" w:sz="4" w:space="0" w:color="auto"/>
            </w:tcBorders>
            <w:vAlign w:val="center"/>
          </w:tcPr>
          <w:p w14:paraId="48A4CC8B" w14:textId="34FC839E" w:rsidR="0074647C" w:rsidRPr="00610B1B" w:rsidRDefault="0074647C" w:rsidP="00537D06">
            <w:pPr>
              <w:pStyle w:val="BodyText"/>
              <w:spacing w:before="0" w:after="60" w:line="276" w:lineRule="auto"/>
              <w:ind w:right="-153"/>
              <w:jc w:val="left"/>
              <w:rPr>
                <w:rFonts w:cs="Times New Roman"/>
                <w:sz w:val="20"/>
                <w:szCs w:val="20"/>
              </w:rPr>
            </w:pPr>
            <w:r w:rsidRPr="00610B1B">
              <w:rPr>
                <w:rFonts w:cs="Times New Roman"/>
                <w:sz w:val="20"/>
                <w:szCs w:val="20"/>
              </w:rPr>
              <w:t>Други дейности</w:t>
            </w:r>
          </w:p>
        </w:tc>
        <w:tc>
          <w:tcPr>
            <w:tcW w:w="2640" w:type="dxa"/>
            <w:tcBorders>
              <w:top w:val="single" w:sz="4" w:space="0" w:color="auto"/>
              <w:bottom w:val="single" w:sz="4" w:space="0" w:color="auto"/>
            </w:tcBorders>
          </w:tcPr>
          <w:p w14:paraId="53E87FDB" w14:textId="77777777" w:rsidR="0074647C" w:rsidRPr="00610B1B" w:rsidRDefault="0074647C" w:rsidP="0031677A">
            <w:pPr>
              <w:pStyle w:val="BodyText"/>
              <w:spacing w:before="0" w:after="60" w:line="276" w:lineRule="auto"/>
              <w:ind w:right="-153"/>
              <w:jc w:val="left"/>
              <w:rPr>
                <w:rFonts w:cs="Times New Roman"/>
                <w:sz w:val="20"/>
                <w:szCs w:val="20"/>
              </w:rPr>
            </w:pPr>
            <w:r w:rsidRPr="00610B1B">
              <w:rPr>
                <w:rFonts w:cs="Times New Roman"/>
                <w:sz w:val="20"/>
                <w:szCs w:val="20"/>
              </w:rPr>
              <w:t>Подготвя и публикува информация за промените в секторите, свързани с морското пространствено планиране</w:t>
            </w:r>
          </w:p>
          <w:p w14:paraId="0BE51F66" w14:textId="77777777" w:rsidR="007D045E" w:rsidRPr="00610B1B" w:rsidRDefault="007D045E" w:rsidP="0031677A">
            <w:pPr>
              <w:pStyle w:val="BodyText"/>
              <w:spacing w:before="0" w:after="60" w:line="276" w:lineRule="auto"/>
              <w:ind w:right="-153"/>
              <w:jc w:val="left"/>
              <w:rPr>
                <w:rFonts w:cs="Times New Roman"/>
                <w:sz w:val="20"/>
                <w:szCs w:val="20"/>
              </w:rPr>
            </w:pPr>
          </w:p>
          <w:p w14:paraId="7547D845" w14:textId="3201F21E" w:rsidR="007D045E" w:rsidRPr="00610B1B" w:rsidRDefault="007D045E" w:rsidP="0031677A">
            <w:pPr>
              <w:pStyle w:val="BodyText"/>
              <w:spacing w:before="0" w:after="60" w:line="276" w:lineRule="auto"/>
              <w:ind w:right="-153"/>
              <w:jc w:val="left"/>
              <w:rPr>
                <w:rFonts w:cs="Times New Roman"/>
                <w:sz w:val="20"/>
                <w:szCs w:val="20"/>
              </w:rPr>
            </w:pPr>
            <w:r w:rsidRPr="00610B1B">
              <w:rPr>
                <w:rFonts w:cs="Times New Roman"/>
                <w:sz w:val="20"/>
                <w:szCs w:val="20"/>
              </w:rPr>
              <w:t>Подпомага МРРБ и Консултативния съвет при изготвянето на докладите за проследяване на резултатите от прилагането на МППРБ</w:t>
            </w:r>
          </w:p>
        </w:tc>
        <w:tc>
          <w:tcPr>
            <w:tcW w:w="3544" w:type="dxa"/>
            <w:tcBorders>
              <w:top w:val="single" w:sz="4" w:space="0" w:color="auto"/>
              <w:bottom w:val="single" w:sz="4" w:space="0" w:color="auto"/>
            </w:tcBorders>
          </w:tcPr>
          <w:p w14:paraId="6040CA52" w14:textId="728C5154" w:rsidR="0074647C" w:rsidRPr="00610B1B" w:rsidRDefault="0074647C" w:rsidP="00B46189">
            <w:pPr>
              <w:pStyle w:val="BodyText"/>
              <w:numPr>
                <w:ilvl w:val="0"/>
                <w:numId w:val="100"/>
              </w:numPr>
              <w:spacing w:before="0" w:after="60" w:line="276" w:lineRule="auto"/>
              <w:ind w:left="357" w:right="-153"/>
              <w:jc w:val="left"/>
              <w:rPr>
                <w:rFonts w:cs="Times New Roman"/>
                <w:sz w:val="20"/>
                <w:szCs w:val="20"/>
              </w:rPr>
            </w:pPr>
            <w:r w:rsidRPr="00610B1B">
              <w:rPr>
                <w:rFonts w:cs="Times New Roman"/>
                <w:sz w:val="20"/>
                <w:szCs w:val="20"/>
              </w:rPr>
              <w:t xml:space="preserve">Събира, организира и поддържа графичната и текстова информация за дейностите, които се очаква да окажат въздействие върху морската околна среда и върху мотивите за </w:t>
            </w:r>
            <w:r w:rsidR="009E01EF" w:rsidRPr="00610B1B">
              <w:rPr>
                <w:rFonts w:cs="Times New Roman"/>
                <w:sz w:val="20"/>
                <w:szCs w:val="20"/>
              </w:rPr>
              <w:t>изменение</w:t>
            </w:r>
            <w:r w:rsidR="00D66FE0" w:rsidRPr="00610B1B">
              <w:rPr>
                <w:rFonts w:cs="Times New Roman"/>
                <w:sz w:val="20"/>
                <w:szCs w:val="20"/>
              </w:rPr>
              <w:t xml:space="preserve"> </w:t>
            </w:r>
            <w:r w:rsidRPr="00610B1B">
              <w:rPr>
                <w:rFonts w:cs="Times New Roman"/>
                <w:sz w:val="20"/>
                <w:szCs w:val="20"/>
              </w:rPr>
              <w:t>на МППРБ.</w:t>
            </w:r>
          </w:p>
        </w:tc>
      </w:tr>
      <w:bookmarkEnd w:id="501"/>
    </w:tbl>
    <w:p w14:paraId="6703AD86" w14:textId="03097F0C" w:rsidR="00864D42" w:rsidRPr="00610B1B" w:rsidRDefault="00864D42" w:rsidP="00D32D6A">
      <w:pPr>
        <w:pStyle w:val="BodyText"/>
        <w:spacing w:before="0" w:after="120" w:line="276" w:lineRule="auto"/>
        <w:ind w:right="-153"/>
        <w:rPr>
          <w:rFonts w:cs="Times New Roman"/>
        </w:rPr>
      </w:pPr>
    </w:p>
    <w:p w14:paraId="2ECC79E9" w14:textId="72B8DF8C" w:rsidR="00471EF8" w:rsidRPr="00610B1B" w:rsidRDefault="00471EF8" w:rsidP="00D32D6A">
      <w:pPr>
        <w:pStyle w:val="Heading2"/>
        <w:spacing w:before="0" w:line="276" w:lineRule="auto"/>
        <w:ind w:right="-153"/>
        <w:rPr>
          <w:rStyle w:val="Heading2Char"/>
          <w:rFonts w:cs="Times New Roman"/>
          <w:b/>
          <w:bCs/>
        </w:rPr>
      </w:pPr>
      <w:bookmarkStart w:id="503" w:name="_Toc83391441"/>
      <w:r w:rsidRPr="00610B1B">
        <w:rPr>
          <w:rStyle w:val="Heading2Char"/>
          <w:rFonts w:cs="Times New Roman"/>
          <w:b/>
          <w:bCs/>
        </w:rPr>
        <w:t>7.3. Препоръки към институциите по прилагането на МППРБ</w:t>
      </w:r>
      <w:bookmarkEnd w:id="503"/>
    </w:p>
    <w:p w14:paraId="45D7FFC7" w14:textId="50CD1BEE" w:rsidR="00FA7D60" w:rsidRPr="00610B1B" w:rsidRDefault="00FA7D60" w:rsidP="00D32D6A">
      <w:pPr>
        <w:pStyle w:val="Default"/>
        <w:spacing w:after="120" w:line="276" w:lineRule="auto"/>
        <w:jc w:val="both"/>
        <w:rPr>
          <w:rFonts w:cs="Times New Roman"/>
          <w:lang w:val="bg-BG"/>
        </w:rPr>
      </w:pPr>
      <w:r w:rsidRPr="00610B1B">
        <w:rPr>
          <w:rFonts w:cs="Times New Roman"/>
          <w:lang w:val="bg-BG"/>
        </w:rPr>
        <w:t>Препоръките към институциите по прилагане на МППРБ отчитат сложната институционална рамка, динамичната среда, в ко</w:t>
      </w:r>
      <w:r w:rsidR="00A02128" w:rsidRPr="00610B1B">
        <w:rPr>
          <w:rFonts w:cs="Times New Roman"/>
          <w:lang w:val="bg-BG"/>
        </w:rPr>
        <w:t>и</w:t>
      </w:r>
      <w:r w:rsidRPr="00610B1B">
        <w:rPr>
          <w:rFonts w:cs="Times New Roman"/>
          <w:lang w:val="bg-BG"/>
        </w:rPr>
        <w:t>то ангажираните и компетентни органи изпълняват своите правомощия и разнообразието от функции и дейности, които се изпълняват в морските пространства. Те са систематизирани по ведомства и сектори в следв</w:t>
      </w:r>
      <w:r w:rsidR="00A02128" w:rsidRPr="00610B1B">
        <w:rPr>
          <w:rFonts w:cs="Times New Roman"/>
          <w:lang w:val="bg-BG"/>
        </w:rPr>
        <w:t>а</w:t>
      </w:r>
      <w:r w:rsidRPr="00610B1B">
        <w:rPr>
          <w:rFonts w:cs="Times New Roman"/>
          <w:lang w:val="bg-BG"/>
        </w:rPr>
        <w:t xml:space="preserve">щата таблица и са фокусирани върху приоритетите, които съпътстват прилагането на плана. </w:t>
      </w:r>
    </w:p>
    <w:p w14:paraId="1431BD41" w14:textId="01C1E9D7" w:rsidR="00FA7D60" w:rsidRPr="00610B1B" w:rsidRDefault="00FA7D60" w:rsidP="00D32D6A">
      <w:pPr>
        <w:pStyle w:val="Default"/>
        <w:spacing w:after="120" w:line="276" w:lineRule="auto"/>
        <w:jc w:val="both"/>
        <w:rPr>
          <w:rFonts w:cs="Times New Roman"/>
          <w:lang w:val="bg-BG"/>
        </w:rPr>
      </w:pPr>
    </w:p>
    <w:p w14:paraId="06F923EA" w14:textId="77777777" w:rsidR="00FA7D60" w:rsidRPr="00610B1B" w:rsidRDefault="00FA7D60" w:rsidP="00D32D6A">
      <w:pPr>
        <w:spacing w:after="120"/>
        <w:rPr>
          <w:rFonts w:ascii="Times New Roman" w:hAnsi="Times New Roman" w:cs="Times New Roman"/>
          <w:lang w:val="bg-BG"/>
        </w:rPr>
      </w:pPr>
    </w:p>
    <w:p w14:paraId="73789DA5" w14:textId="548C5C9B" w:rsidR="00C519AD" w:rsidRPr="00610B1B" w:rsidRDefault="00C519AD" w:rsidP="00D32D6A">
      <w:pPr>
        <w:spacing w:after="120"/>
        <w:rPr>
          <w:rFonts w:ascii="Times New Roman" w:hAnsi="Times New Roman" w:cs="Times New Roman"/>
          <w:lang w:val="bg-BG"/>
        </w:rPr>
        <w:sectPr w:rsidR="00C519AD" w:rsidRPr="00610B1B" w:rsidSect="002E413F">
          <w:pgSz w:w="11907" w:h="16839" w:code="9"/>
          <w:pgMar w:top="1134" w:right="1440" w:bottom="1440" w:left="1440" w:header="708" w:footer="708" w:gutter="0"/>
          <w:cols w:space="708"/>
          <w:docGrid w:linePitch="360"/>
        </w:sectPr>
      </w:pPr>
    </w:p>
    <w:p w14:paraId="6387CCF8" w14:textId="5EAF73D9" w:rsidR="00601EFD" w:rsidRPr="00610B1B" w:rsidRDefault="00C519AD" w:rsidP="00D32D6A">
      <w:pPr>
        <w:spacing w:after="120"/>
        <w:rPr>
          <w:rFonts w:ascii="Times New Roman" w:hAnsi="Times New Roman" w:cs="Times New Roman"/>
          <w:sz w:val="20"/>
          <w:szCs w:val="20"/>
          <w:lang w:val="bg-BG"/>
        </w:rPr>
      </w:pPr>
      <w:bookmarkStart w:id="504" w:name="_Toc83391615"/>
      <w:r w:rsidRPr="00610B1B">
        <w:rPr>
          <w:rFonts w:ascii="Times New Roman" w:hAnsi="Times New Roman" w:cs="Times New Roman"/>
          <w:sz w:val="24"/>
          <w:szCs w:val="24"/>
          <w:lang w:val="bg-BG"/>
        </w:rPr>
        <w:lastRenderedPageBreak/>
        <w:t xml:space="preserve">Таблица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Таблица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19</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w:t>
      </w:r>
      <w:r w:rsidR="00962DE7" w:rsidRPr="00610B1B">
        <w:rPr>
          <w:rFonts w:ascii="Times New Roman" w:hAnsi="Times New Roman" w:cs="Times New Roman"/>
          <w:sz w:val="24"/>
          <w:szCs w:val="24"/>
          <w:lang w:val="bg-BG"/>
        </w:rPr>
        <w:t xml:space="preserve"> Препоръки към институциите по прилагане на МППРБ</w:t>
      </w:r>
      <w:bookmarkEnd w:id="504"/>
    </w:p>
    <w:tbl>
      <w:tblPr>
        <w:tblStyle w:val="TableGrid"/>
        <w:tblW w:w="15098" w:type="dxa"/>
        <w:tblInd w:w="-284"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426"/>
        <w:gridCol w:w="2693"/>
        <w:gridCol w:w="5387"/>
        <w:gridCol w:w="1984"/>
        <w:gridCol w:w="3232"/>
        <w:gridCol w:w="1376"/>
      </w:tblGrid>
      <w:tr w:rsidR="001E3FED" w:rsidRPr="00610B1B" w14:paraId="22C6D97F" w14:textId="77777777" w:rsidTr="00774CD7">
        <w:trPr>
          <w:trHeight w:val="237"/>
          <w:tblHeader/>
        </w:trPr>
        <w:tc>
          <w:tcPr>
            <w:tcW w:w="3119" w:type="dxa"/>
            <w:gridSpan w:val="2"/>
            <w:shd w:val="clear" w:color="auto" w:fill="72DBE0"/>
            <w:vAlign w:val="center"/>
          </w:tcPr>
          <w:p w14:paraId="31F400B5" w14:textId="77777777" w:rsidR="001E3FED" w:rsidRPr="00610B1B" w:rsidRDefault="001E3FED" w:rsidP="00D32D6A">
            <w:pPr>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Дейности</w:t>
            </w:r>
          </w:p>
        </w:tc>
        <w:tc>
          <w:tcPr>
            <w:tcW w:w="5387" w:type="dxa"/>
            <w:shd w:val="clear" w:color="auto" w:fill="72DBE0"/>
            <w:vAlign w:val="center"/>
          </w:tcPr>
          <w:p w14:paraId="78CBE19D" w14:textId="77777777" w:rsidR="001E3FED" w:rsidRPr="00610B1B" w:rsidRDefault="001E3FED" w:rsidP="00D32D6A">
            <w:pPr>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Препоръки</w:t>
            </w:r>
          </w:p>
        </w:tc>
        <w:tc>
          <w:tcPr>
            <w:tcW w:w="1984" w:type="dxa"/>
            <w:shd w:val="clear" w:color="auto" w:fill="72DBE0"/>
            <w:vAlign w:val="center"/>
          </w:tcPr>
          <w:p w14:paraId="409B3746" w14:textId="77777777" w:rsidR="001E3FED" w:rsidRPr="00610B1B" w:rsidRDefault="001E3FED" w:rsidP="00D32D6A">
            <w:pPr>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Институция</w:t>
            </w:r>
          </w:p>
        </w:tc>
        <w:tc>
          <w:tcPr>
            <w:tcW w:w="3232" w:type="dxa"/>
            <w:shd w:val="clear" w:color="auto" w:fill="72DBE0"/>
            <w:vAlign w:val="center"/>
          </w:tcPr>
          <w:p w14:paraId="1DA4605C" w14:textId="77777777" w:rsidR="001E3FED" w:rsidRPr="00610B1B" w:rsidRDefault="001E3FED" w:rsidP="00D32D6A">
            <w:pPr>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Мотиви</w:t>
            </w:r>
          </w:p>
        </w:tc>
        <w:tc>
          <w:tcPr>
            <w:tcW w:w="1376" w:type="dxa"/>
            <w:shd w:val="clear" w:color="auto" w:fill="72DBE0"/>
            <w:vAlign w:val="center"/>
          </w:tcPr>
          <w:p w14:paraId="46115A6D" w14:textId="77777777" w:rsidR="001E3FED" w:rsidRPr="00610B1B" w:rsidRDefault="001E3FED" w:rsidP="00D32D6A">
            <w:pPr>
              <w:jc w:val="center"/>
              <w:rPr>
                <w:rFonts w:ascii="Times New Roman" w:hAnsi="Times New Roman" w:cs="Times New Roman"/>
                <w:b/>
                <w:sz w:val="20"/>
                <w:szCs w:val="20"/>
                <w:lang w:val="bg-BG"/>
              </w:rPr>
            </w:pPr>
            <w:r w:rsidRPr="00610B1B">
              <w:rPr>
                <w:rFonts w:ascii="Times New Roman" w:hAnsi="Times New Roman" w:cs="Times New Roman"/>
                <w:b/>
                <w:sz w:val="20"/>
                <w:szCs w:val="20"/>
                <w:lang w:val="bg-BG"/>
              </w:rPr>
              <w:t>Срок за изпълнение</w:t>
            </w:r>
          </w:p>
        </w:tc>
      </w:tr>
      <w:tr w:rsidR="00C519AD" w:rsidRPr="00610B1B" w14:paraId="2754A1BF" w14:textId="77777777" w:rsidTr="00537D06">
        <w:tc>
          <w:tcPr>
            <w:tcW w:w="426" w:type="dxa"/>
            <w:vMerge w:val="restart"/>
            <w:vAlign w:val="center"/>
          </w:tcPr>
          <w:p w14:paraId="4192A511"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1</w:t>
            </w:r>
          </w:p>
        </w:tc>
        <w:tc>
          <w:tcPr>
            <w:tcW w:w="2693" w:type="dxa"/>
            <w:vMerge w:val="restart"/>
            <w:vAlign w:val="center"/>
          </w:tcPr>
          <w:p w14:paraId="31D36567"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Морски транспорт </w:t>
            </w:r>
          </w:p>
        </w:tc>
        <w:tc>
          <w:tcPr>
            <w:tcW w:w="5387" w:type="dxa"/>
          </w:tcPr>
          <w:p w14:paraId="15E5ED4C" w14:textId="5DBE48D3" w:rsidR="00C519AD" w:rsidRPr="00610B1B" w:rsidRDefault="00C519AD" w:rsidP="009E604E">
            <w:pPr>
              <w:pStyle w:val="ListParagraph"/>
              <w:numPr>
                <w:ilvl w:val="1"/>
                <w:numId w:val="102"/>
              </w:numPr>
              <w:tabs>
                <w:tab w:val="left" w:pos="310"/>
                <w:tab w:val="left" w:pos="452"/>
              </w:tabs>
              <w:rPr>
                <w:rFonts w:ascii="Times New Roman" w:hAnsi="Times New Roman" w:cs="Times New Roman"/>
                <w:sz w:val="20"/>
                <w:szCs w:val="20"/>
                <w:lang w:val="bg-BG"/>
              </w:rPr>
            </w:pPr>
            <w:r w:rsidRPr="00610B1B">
              <w:rPr>
                <w:rFonts w:ascii="Times New Roman" w:hAnsi="Times New Roman" w:cs="Times New Roman"/>
                <w:sz w:val="20"/>
                <w:szCs w:val="20"/>
                <w:lang w:val="bg-BG"/>
              </w:rPr>
              <w:t>Проучване за промени на СРД, междуведомствено съгласуване</w:t>
            </w:r>
          </w:p>
        </w:tc>
        <w:tc>
          <w:tcPr>
            <w:tcW w:w="1984" w:type="dxa"/>
          </w:tcPr>
          <w:p w14:paraId="30CD3E06"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ИАМА, МО, ВВМУ, </w:t>
            </w:r>
          </w:p>
        </w:tc>
        <w:tc>
          <w:tcPr>
            <w:tcW w:w="3232" w:type="dxa"/>
          </w:tcPr>
          <w:p w14:paraId="4CD1359C"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Доказана потребност от отдалечаване от бреговата линия</w:t>
            </w:r>
          </w:p>
        </w:tc>
        <w:tc>
          <w:tcPr>
            <w:tcW w:w="1376" w:type="dxa"/>
            <w:vAlign w:val="center"/>
          </w:tcPr>
          <w:p w14:paraId="11027BD0"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67CF9100" w14:textId="77777777" w:rsidTr="00537D06">
        <w:tc>
          <w:tcPr>
            <w:tcW w:w="426" w:type="dxa"/>
            <w:vMerge/>
            <w:vAlign w:val="center"/>
          </w:tcPr>
          <w:p w14:paraId="74CDE54A"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9E23DF9" w14:textId="77777777" w:rsidR="00C519AD" w:rsidRPr="00610B1B" w:rsidRDefault="00C519AD" w:rsidP="00537D06">
            <w:pPr>
              <w:rPr>
                <w:rFonts w:ascii="Times New Roman" w:hAnsi="Times New Roman" w:cs="Times New Roman"/>
                <w:sz w:val="20"/>
                <w:szCs w:val="20"/>
                <w:lang w:val="bg-BG"/>
              </w:rPr>
            </w:pPr>
          </w:p>
        </w:tc>
        <w:tc>
          <w:tcPr>
            <w:tcW w:w="5387" w:type="dxa"/>
          </w:tcPr>
          <w:p w14:paraId="17703720" w14:textId="3B041627" w:rsidR="00C519AD" w:rsidRPr="00610B1B" w:rsidRDefault="00C519AD" w:rsidP="00D32D6A">
            <w:pPr>
              <w:pStyle w:val="ListParagraph"/>
              <w:ind w:left="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1.2.</w:t>
            </w:r>
            <w:r w:rsidR="009E604E"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Извеждане на интензивния трафик от защитените зони и защитените морски територии</w:t>
            </w:r>
          </w:p>
        </w:tc>
        <w:tc>
          <w:tcPr>
            <w:tcW w:w="1984" w:type="dxa"/>
          </w:tcPr>
          <w:p w14:paraId="46FF8CE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ИАМА, МО</w:t>
            </w:r>
          </w:p>
        </w:tc>
        <w:tc>
          <w:tcPr>
            <w:tcW w:w="3232" w:type="dxa"/>
          </w:tcPr>
          <w:p w14:paraId="54CD88A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Намаляване на натиска върху чувствителни и ценни екосистеми </w:t>
            </w:r>
          </w:p>
        </w:tc>
        <w:tc>
          <w:tcPr>
            <w:tcW w:w="1376" w:type="dxa"/>
            <w:vAlign w:val="center"/>
          </w:tcPr>
          <w:p w14:paraId="6C006FD8"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7C301231" w14:textId="77777777" w:rsidTr="00537D06">
        <w:tc>
          <w:tcPr>
            <w:tcW w:w="426" w:type="dxa"/>
            <w:vMerge/>
            <w:vAlign w:val="center"/>
          </w:tcPr>
          <w:p w14:paraId="20FA9D9F"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497D9076" w14:textId="77777777" w:rsidR="00C519AD" w:rsidRPr="00610B1B" w:rsidRDefault="00C519AD" w:rsidP="00537D06">
            <w:pPr>
              <w:rPr>
                <w:rFonts w:ascii="Times New Roman" w:hAnsi="Times New Roman" w:cs="Times New Roman"/>
                <w:sz w:val="20"/>
                <w:szCs w:val="20"/>
                <w:lang w:val="bg-BG"/>
              </w:rPr>
            </w:pPr>
          </w:p>
        </w:tc>
        <w:tc>
          <w:tcPr>
            <w:tcW w:w="5387" w:type="dxa"/>
          </w:tcPr>
          <w:p w14:paraId="711BE571" w14:textId="67D084C1" w:rsidR="00C519AD" w:rsidRPr="00610B1B" w:rsidRDefault="00C519AD" w:rsidP="00D32D6A">
            <w:pPr>
              <w:pStyle w:val="ListParagraph"/>
              <w:ind w:left="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1.3.</w:t>
            </w:r>
            <w:r w:rsidR="009E604E"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Засилен контрол по стриктно спазване на Международната конвенция за контрол и управление на корабните баластни води и седименти (Ратифицирана със закон, ДВ,</w:t>
            </w:r>
            <w:r w:rsidR="003C41B4" w:rsidRPr="00E63187">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бр. 28 от 2018 г.)</w:t>
            </w:r>
          </w:p>
        </w:tc>
        <w:tc>
          <w:tcPr>
            <w:tcW w:w="1984" w:type="dxa"/>
          </w:tcPr>
          <w:p w14:paraId="563E1370"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ИАМА</w:t>
            </w:r>
          </w:p>
        </w:tc>
        <w:tc>
          <w:tcPr>
            <w:tcW w:w="3232" w:type="dxa"/>
          </w:tcPr>
          <w:p w14:paraId="267CA567"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Намаляване на замърсяването на морската среда </w:t>
            </w:r>
          </w:p>
        </w:tc>
        <w:tc>
          <w:tcPr>
            <w:tcW w:w="1376" w:type="dxa"/>
            <w:vAlign w:val="center"/>
          </w:tcPr>
          <w:p w14:paraId="16E2219C"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2307C473" w14:textId="77777777" w:rsidTr="00537D06">
        <w:tc>
          <w:tcPr>
            <w:tcW w:w="426" w:type="dxa"/>
            <w:vMerge/>
            <w:vAlign w:val="center"/>
          </w:tcPr>
          <w:p w14:paraId="5B36EEAA"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656EDC2D" w14:textId="77777777" w:rsidR="00C519AD" w:rsidRPr="00610B1B" w:rsidRDefault="00C519AD" w:rsidP="00537D06">
            <w:pPr>
              <w:rPr>
                <w:rFonts w:ascii="Times New Roman" w:hAnsi="Times New Roman" w:cs="Times New Roman"/>
                <w:sz w:val="20"/>
                <w:szCs w:val="20"/>
                <w:lang w:val="bg-BG"/>
              </w:rPr>
            </w:pPr>
          </w:p>
        </w:tc>
        <w:tc>
          <w:tcPr>
            <w:tcW w:w="5387" w:type="dxa"/>
          </w:tcPr>
          <w:p w14:paraId="2887DC60" w14:textId="77777777" w:rsidR="00C519AD" w:rsidRPr="00610B1B" w:rsidRDefault="009E604E" w:rsidP="00B46189">
            <w:pPr>
              <w:pStyle w:val="ListParagraph"/>
              <w:numPr>
                <w:ilvl w:val="1"/>
                <w:numId w:val="85"/>
              </w:numPr>
              <w:pBdr>
                <w:bottom w:val="single" w:sz="6" w:space="1" w:color="auto"/>
              </w:pBdr>
              <w:tabs>
                <w:tab w:val="left" w:pos="310"/>
              </w:tabs>
              <w:ind w:left="0" w:firstLine="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 </w:t>
            </w:r>
            <w:r w:rsidR="00C519AD" w:rsidRPr="00610B1B">
              <w:rPr>
                <w:rFonts w:ascii="Times New Roman" w:hAnsi="Times New Roman" w:cs="Times New Roman"/>
                <w:sz w:val="20"/>
                <w:szCs w:val="20"/>
                <w:lang w:val="bg-BG"/>
              </w:rPr>
              <w:t>Привличане на международен транзитен трафик за увеличаване обема на морските превози.</w:t>
            </w:r>
          </w:p>
          <w:p w14:paraId="6901A42E" w14:textId="6B333DAD" w:rsidR="00B9407E" w:rsidRPr="00610B1B" w:rsidRDefault="00B9407E" w:rsidP="00B9407E">
            <w:pPr>
              <w:tabs>
                <w:tab w:val="left" w:pos="310"/>
              </w:tabs>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1.5. </w:t>
            </w:r>
            <w:r w:rsidRPr="00610B1B">
              <w:rPr>
                <w:rFonts w:ascii="Times New Roman" w:hAnsi="Times New Roman" w:cs="Times New Roman"/>
                <w:sz w:val="20"/>
                <w:szCs w:val="20"/>
                <w:lang w:val="bg-BG" w:bidi="bg-BG"/>
              </w:rPr>
              <w:t>Да се предприемат необходимите действия за осигуряване на операции от българска страна в българското черноморско крайбрежие и в открито море чрез оборудване със спасителни плавателни съдове и кадри</w:t>
            </w:r>
          </w:p>
        </w:tc>
        <w:tc>
          <w:tcPr>
            <w:tcW w:w="1984" w:type="dxa"/>
          </w:tcPr>
          <w:p w14:paraId="2F1D2552" w14:textId="77777777" w:rsidR="00C519AD" w:rsidRPr="00610B1B" w:rsidRDefault="00C519AD" w:rsidP="00D32D6A">
            <w:pPr>
              <w:rPr>
                <w:rFonts w:ascii="Times New Roman" w:hAnsi="Times New Roman" w:cs="Times New Roman"/>
                <w:sz w:val="20"/>
                <w:szCs w:val="20"/>
                <w:lang w:val="bg-BG"/>
              </w:rPr>
            </w:pPr>
          </w:p>
          <w:p w14:paraId="4A754421" w14:textId="77777777" w:rsidR="00B9407E" w:rsidRPr="00610B1B" w:rsidRDefault="00B9407E" w:rsidP="00D32D6A">
            <w:pPr>
              <w:rPr>
                <w:rFonts w:ascii="Times New Roman" w:hAnsi="Times New Roman" w:cs="Times New Roman"/>
                <w:sz w:val="20"/>
                <w:szCs w:val="20"/>
                <w:lang w:val="bg-BG"/>
              </w:rPr>
            </w:pPr>
          </w:p>
          <w:p w14:paraId="57B014D8" w14:textId="77777777" w:rsidR="00B9407E" w:rsidRPr="00610B1B" w:rsidRDefault="00B9407E" w:rsidP="00D32D6A">
            <w:pPr>
              <w:rPr>
                <w:rFonts w:ascii="Times New Roman" w:hAnsi="Times New Roman" w:cs="Times New Roman"/>
                <w:sz w:val="20"/>
                <w:szCs w:val="20"/>
                <w:lang w:val="bg-BG"/>
              </w:rPr>
            </w:pPr>
          </w:p>
          <w:p w14:paraId="7F045FE2" w14:textId="7BED4B49" w:rsidR="00B9407E" w:rsidRPr="00610B1B" w:rsidRDefault="00B9407E"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МВР</w:t>
            </w:r>
          </w:p>
        </w:tc>
        <w:tc>
          <w:tcPr>
            <w:tcW w:w="3232" w:type="dxa"/>
          </w:tcPr>
          <w:p w14:paraId="6FE80375"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Повишаване на икономическата активност</w:t>
            </w:r>
          </w:p>
          <w:p w14:paraId="5DEB414D" w14:textId="77777777" w:rsidR="00B9407E" w:rsidRPr="00610B1B" w:rsidRDefault="00B9407E" w:rsidP="00D32D6A">
            <w:pPr>
              <w:rPr>
                <w:rFonts w:ascii="Times New Roman" w:hAnsi="Times New Roman" w:cs="Times New Roman"/>
                <w:sz w:val="20"/>
                <w:szCs w:val="20"/>
                <w:lang w:val="bg-BG"/>
              </w:rPr>
            </w:pPr>
          </w:p>
          <w:p w14:paraId="65DF65DF" w14:textId="74503A63" w:rsidR="00B9407E" w:rsidRPr="00610B1B" w:rsidRDefault="00B9407E"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Спасяване на бедстващи хора и плавателни съдове</w:t>
            </w:r>
          </w:p>
        </w:tc>
        <w:tc>
          <w:tcPr>
            <w:tcW w:w="1376" w:type="dxa"/>
            <w:vAlign w:val="center"/>
          </w:tcPr>
          <w:p w14:paraId="4654171E"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2030E0C4" w14:textId="77777777" w:rsidTr="00537D06">
        <w:tc>
          <w:tcPr>
            <w:tcW w:w="426" w:type="dxa"/>
            <w:vMerge w:val="restart"/>
            <w:vAlign w:val="center"/>
          </w:tcPr>
          <w:p w14:paraId="7C082E7D"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w:t>
            </w:r>
          </w:p>
        </w:tc>
        <w:tc>
          <w:tcPr>
            <w:tcW w:w="2693" w:type="dxa"/>
            <w:vMerge w:val="restart"/>
            <w:vAlign w:val="center"/>
          </w:tcPr>
          <w:p w14:paraId="60EC72E2"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Рибарство </w:t>
            </w:r>
          </w:p>
        </w:tc>
        <w:tc>
          <w:tcPr>
            <w:tcW w:w="5387" w:type="dxa"/>
          </w:tcPr>
          <w:p w14:paraId="6A004382" w14:textId="4E95940D" w:rsidR="00C519AD" w:rsidRPr="00610B1B" w:rsidRDefault="00D14B5D" w:rsidP="00D14B5D">
            <w:pPr>
              <w:pStyle w:val="ListParagraph"/>
              <w:tabs>
                <w:tab w:val="left" w:pos="310"/>
              </w:tabs>
              <w:ind w:left="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2.1. </w:t>
            </w:r>
            <w:r w:rsidR="00C519AD" w:rsidRPr="00610B1B">
              <w:rPr>
                <w:rFonts w:ascii="Times New Roman" w:hAnsi="Times New Roman" w:cs="Times New Roman"/>
                <w:sz w:val="20"/>
                <w:szCs w:val="20"/>
                <w:lang w:val="bg-BG"/>
              </w:rPr>
              <w:t>Определяне на зони за опазване на рибните запаси в допълнение на тези в границите на защитените морски територии и защитени зони</w:t>
            </w:r>
          </w:p>
        </w:tc>
        <w:tc>
          <w:tcPr>
            <w:tcW w:w="1984" w:type="dxa"/>
          </w:tcPr>
          <w:p w14:paraId="272AB249" w14:textId="5F98BF5D"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ИАРА</w:t>
            </w:r>
            <w:r w:rsidR="00DD6CD4" w:rsidRPr="00610B1B">
              <w:rPr>
                <w:rFonts w:ascii="Times New Roman" w:hAnsi="Times New Roman" w:cs="Times New Roman"/>
                <w:sz w:val="20"/>
                <w:szCs w:val="20"/>
                <w:lang w:val="bg-BG"/>
              </w:rPr>
              <w:t xml:space="preserve">, </w:t>
            </w:r>
            <w:r w:rsidR="009802E0" w:rsidRPr="00610B1B">
              <w:rPr>
                <w:rFonts w:ascii="Times New Roman" w:hAnsi="Times New Roman" w:cs="Times New Roman"/>
                <w:sz w:val="20"/>
                <w:szCs w:val="20"/>
                <w:lang w:val="bg-BG"/>
              </w:rPr>
              <w:t>БДЧР</w:t>
            </w:r>
          </w:p>
        </w:tc>
        <w:tc>
          <w:tcPr>
            <w:tcW w:w="3232" w:type="dxa"/>
          </w:tcPr>
          <w:p w14:paraId="2C066F1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Необходимост от увеличаване на рибните ресурси</w:t>
            </w:r>
          </w:p>
        </w:tc>
        <w:tc>
          <w:tcPr>
            <w:tcW w:w="1376" w:type="dxa"/>
            <w:vAlign w:val="center"/>
          </w:tcPr>
          <w:p w14:paraId="0DE18826"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7535DC51" w14:textId="77777777" w:rsidTr="00537D06">
        <w:tc>
          <w:tcPr>
            <w:tcW w:w="426" w:type="dxa"/>
            <w:vMerge/>
            <w:vAlign w:val="center"/>
          </w:tcPr>
          <w:p w14:paraId="0E2B7335"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33EF6DFB" w14:textId="77777777" w:rsidR="00C519AD" w:rsidRPr="00610B1B" w:rsidRDefault="00C519AD" w:rsidP="00537D06">
            <w:pPr>
              <w:rPr>
                <w:rFonts w:ascii="Times New Roman" w:hAnsi="Times New Roman" w:cs="Times New Roman"/>
                <w:sz w:val="20"/>
                <w:szCs w:val="20"/>
                <w:lang w:val="bg-BG"/>
              </w:rPr>
            </w:pPr>
          </w:p>
        </w:tc>
        <w:tc>
          <w:tcPr>
            <w:tcW w:w="5387" w:type="dxa"/>
          </w:tcPr>
          <w:p w14:paraId="5F577286" w14:textId="51077F32" w:rsidR="00C519AD" w:rsidRPr="00610B1B" w:rsidRDefault="00D14B5D" w:rsidP="00D14B5D">
            <w:pPr>
              <w:pStyle w:val="ListParagraph"/>
              <w:tabs>
                <w:tab w:val="left" w:pos="310"/>
              </w:tabs>
              <w:ind w:left="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2.2. </w:t>
            </w:r>
            <w:r w:rsidR="009F4237" w:rsidRPr="00610B1B">
              <w:rPr>
                <w:rFonts w:ascii="Times New Roman" w:hAnsi="Times New Roman" w:cs="Times New Roman"/>
                <w:sz w:val="20"/>
                <w:szCs w:val="20"/>
                <w:lang w:val="bg-BG"/>
              </w:rPr>
              <w:t>Предвиждане на</w:t>
            </w:r>
            <w:r w:rsidR="00C519AD" w:rsidRPr="00610B1B">
              <w:rPr>
                <w:rFonts w:ascii="Times New Roman" w:hAnsi="Times New Roman" w:cs="Times New Roman"/>
                <w:sz w:val="20"/>
                <w:szCs w:val="20"/>
                <w:lang w:val="bg-BG"/>
              </w:rPr>
              <w:t xml:space="preserve"> мерки за осигуряване на условия за устойчив риболов чрез компенсиране на загубите от пандемията Covid 19</w:t>
            </w:r>
          </w:p>
          <w:p w14:paraId="27A78E43" w14:textId="7809FB6F" w:rsidR="00EF39A1" w:rsidRPr="00610B1B" w:rsidRDefault="001773B3" w:rsidP="00D14B5D">
            <w:pPr>
              <w:pStyle w:val="ListParagraph"/>
              <w:tabs>
                <w:tab w:val="left" w:pos="310"/>
              </w:tabs>
              <w:ind w:left="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w:t>
            </w:r>
          </w:p>
          <w:p w14:paraId="38723ACA" w14:textId="42AD5078" w:rsidR="00BA01CF" w:rsidRPr="00610B1B" w:rsidRDefault="00BA01CF" w:rsidP="00BA01CF">
            <w:pPr>
              <w:pStyle w:val="ListParagraph"/>
              <w:pBdr>
                <w:bottom w:val="single" w:sz="6" w:space="1" w:color="auto"/>
              </w:pBdr>
              <w:tabs>
                <w:tab w:val="left" w:pos="310"/>
              </w:tabs>
              <w:ind w:left="0"/>
              <w:contextualSpacing w:val="0"/>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rPr>
              <w:t xml:space="preserve">2.3. </w:t>
            </w:r>
            <w:r w:rsidRPr="00610B1B">
              <w:rPr>
                <w:rFonts w:ascii="Times New Roman" w:hAnsi="Times New Roman" w:cs="Times New Roman"/>
                <w:sz w:val="20"/>
                <w:szCs w:val="20"/>
                <w:lang w:val="bg-BG" w:bidi="bg-BG"/>
              </w:rPr>
              <w:t>Отчитане на  нивата на приулов на екземпляри от видовете птици, тясно свързани с морска среда (среден корморан, средиземноморски буревестник, чайки и рибарки),</w:t>
            </w:r>
          </w:p>
          <w:p w14:paraId="0DF4F2C6" w14:textId="09124DFB" w:rsidR="00B3557F" w:rsidRPr="00610B1B" w:rsidRDefault="00B3557F" w:rsidP="00BA01CF">
            <w:pPr>
              <w:pStyle w:val="ListParagraph"/>
              <w:pBdr>
                <w:bottom w:val="single" w:sz="6" w:space="1" w:color="auto"/>
              </w:pBdr>
              <w:tabs>
                <w:tab w:val="left" w:pos="310"/>
              </w:tabs>
              <w:ind w:left="0"/>
              <w:contextualSpacing w:val="0"/>
              <w:jc w:val="both"/>
              <w:rPr>
                <w:rFonts w:ascii="Times New Roman" w:hAnsi="Times New Roman" w:cs="Times New Roman"/>
                <w:sz w:val="20"/>
                <w:szCs w:val="20"/>
                <w:lang w:val="bg-BG" w:bidi="bg-BG"/>
              </w:rPr>
            </w:pPr>
          </w:p>
          <w:p w14:paraId="1E464491" w14:textId="77777777" w:rsidR="00B3557F" w:rsidRPr="00610B1B" w:rsidRDefault="00B3557F" w:rsidP="00BA01CF">
            <w:pPr>
              <w:pStyle w:val="ListParagraph"/>
              <w:pBdr>
                <w:bottom w:val="single" w:sz="6" w:space="1" w:color="auto"/>
              </w:pBdr>
              <w:tabs>
                <w:tab w:val="left" w:pos="310"/>
              </w:tabs>
              <w:ind w:left="0"/>
              <w:contextualSpacing w:val="0"/>
              <w:jc w:val="both"/>
              <w:rPr>
                <w:rFonts w:ascii="Times New Roman" w:hAnsi="Times New Roman" w:cs="Times New Roman"/>
                <w:sz w:val="20"/>
                <w:szCs w:val="20"/>
                <w:lang w:val="bg-BG" w:bidi="bg-BG"/>
              </w:rPr>
            </w:pPr>
          </w:p>
          <w:p w14:paraId="7FEDEA6B" w14:textId="2BBBC1CC" w:rsidR="001773B3" w:rsidRPr="00610B1B" w:rsidRDefault="001773B3" w:rsidP="001773B3">
            <w:pPr>
              <w:pStyle w:val="Bodytext22"/>
              <w:shd w:val="clear" w:color="auto" w:fill="auto"/>
              <w:tabs>
                <w:tab w:val="left" w:pos="1022"/>
              </w:tabs>
              <w:spacing w:before="0" w:after="0" w:line="277" w:lineRule="exact"/>
              <w:ind w:firstLine="0"/>
              <w:rPr>
                <w:color w:val="000000"/>
                <w:sz w:val="20"/>
                <w:szCs w:val="20"/>
                <w:lang w:val="bg-BG" w:eastAsia="bg-BG" w:bidi="bg-BG"/>
              </w:rPr>
            </w:pPr>
            <w:r w:rsidRPr="00610B1B">
              <w:rPr>
                <w:sz w:val="20"/>
                <w:szCs w:val="20"/>
                <w:lang w:val="bg-BG" w:bidi="bg-BG"/>
              </w:rPr>
              <w:t xml:space="preserve">2.4. </w:t>
            </w:r>
            <w:r w:rsidRPr="00610B1B">
              <w:rPr>
                <w:color w:val="000000"/>
                <w:sz w:val="20"/>
                <w:szCs w:val="20"/>
                <w:lang w:val="bg-BG" w:eastAsia="bg-BG" w:bidi="bg-BG"/>
              </w:rPr>
              <w:t>С цел подобряване на природозащитното състояние на морските бозайници, да се сведе до минимум приулов на китоподобни в даляни и мрежи, които не са снабдени с пингъри (ултразвукови устройства, прогонващи делфини).</w:t>
            </w:r>
          </w:p>
          <w:p w14:paraId="5D067B63" w14:textId="20F095C5" w:rsidR="00EB1AF3" w:rsidRPr="00610B1B" w:rsidRDefault="00EB1AF3" w:rsidP="001773B3">
            <w:pPr>
              <w:pStyle w:val="Bodytext22"/>
              <w:shd w:val="clear" w:color="auto" w:fill="auto"/>
              <w:tabs>
                <w:tab w:val="left" w:pos="1022"/>
              </w:tabs>
              <w:spacing w:before="0" w:after="0" w:line="277" w:lineRule="exact"/>
              <w:ind w:firstLine="0"/>
              <w:rPr>
                <w:sz w:val="20"/>
                <w:szCs w:val="20"/>
                <w:lang w:val="bg-BG"/>
              </w:rPr>
            </w:pPr>
            <w:r w:rsidRPr="00610B1B">
              <w:rPr>
                <w:color w:val="000000"/>
                <w:sz w:val="20"/>
                <w:szCs w:val="20"/>
                <w:lang w:val="bg-BG" w:eastAsia="bg-BG" w:bidi="bg-BG"/>
              </w:rPr>
              <w:t>-----------------------------------------------------------------------------</w:t>
            </w:r>
          </w:p>
          <w:p w14:paraId="008A2AF4" w14:textId="77777777" w:rsidR="001773B3" w:rsidRPr="00610B1B" w:rsidRDefault="00EB1AF3" w:rsidP="00BA01CF">
            <w:pPr>
              <w:pStyle w:val="ListParagraph"/>
              <w:tabs>
                <w:tab w:val="left" w:pos="310"/>
              </w:tabs>
              <w:ind w:left="0"/>
              <w:contextualSpacing w:val="0"/>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rPr>
              <w:lastRenderedPageBreak/>
              <w:t xml:space="preserve">2.5. </w:t>
            </w:r>
            <w:r w:rsidRPr="00610B1B">
              <w:rPr>
                <w:rFonts w:ascii="Times New Roman" w:hAnsi="Times New Roman" w:cs="Times New Roman"/>
                <w:sz w:val="20"/>
                <w:szCs w:val="20"/>
                <w:lang w:val="bg-BG" w:bidi="bg-BG"/>
              </w:rPr>
              <w:t>Да се предвиди възможност за временно и динамично обособяване на зони забранени за риболов.</w:t>
            </w:r>
          </w:p>
          <w:p w14:paraId="0D025BCD" w14:textId="77777777" w:rsidR="00434676" w:rsidRPr="00610B1B" w:rsidRDefault="00434676" w:rsidP="00BA01CF">
            <w:pPr>
              <w:pStyle w:val="ListParagraph"/>
              <w:tabs>
                <w:tab w:val="left" w:pos="310"/>
              </w:tabs>
              <w:ind w:left="0"/>
              <w:contextualSpacing w:val="0"/>
              <w:jc w:val="both"/>
              <w:rPr>
                <w:rFonts w:ascii="Times New Roman" w:hAnsi="Times New Roman" w:cs="Times New Roman"/>
                <w:sz w:val="20"/>
                <w:szCs w:val="20"/>
                <w:lang w:val="bg-BG" w:bidi="bg-BG"/>
              </w:rPr>
            </w:pPr>
          </w:p>
          <w:p w14:paraId="48204893" w14:textId="77777777" w:rsidR="00434676" w:rsidRPr="00610B1B" w:rsidRDefault="00434676" w:rsidP="00BA01CF">
            <w:pPr>
              <w:pStyle w:val="ListParagraph"/>
              <w:tabs>
                <w:tab w:val="left" w:pos="310"/>
              </w:tabs>
              <w:ind w:left="0"/>
              <w:contextualSpacing w:val="0"/>
              <w:jc w:val="both"/>
              <w:rPr>
                <w:rFonts w:ascii="Times New Roman" w:hAnsi="Times New Roman" w:cs="Times New Roman"/>
                <w:sz w:val="20"/>
                <w:szCs w:val="20"/>
                <w:lang w:val="bg-BG" w:bidi="bg-BG"/>
              </w:rPr>
            </w:pPr>
          </w:p>
          <w:p w14:paraId="525504F2" w14:textId="77777777" w:rsidR="00434676" w:rsidRPr="00610B1B" w:rsidRDefault="00434676" w:rsidP="00BA01CF">
            <w:pPr>
              <w:pStyle w:val="ListParagraph"/>
              <w:tabs>
                <w:tab w:val="left" w:pos="310"/>
              </w:tabs>
              <w:ind w:left="0"/>
              <w:contextualSpacing w:val="0"/>
              <w:jc w:val="both"/>
              <w:rPr>
                <w:rFonts w:ascii="Times New Roman" w:hAnsi="Times New Roman" w:cs="Times New Roman"/>
                <w:sz w:val="20"/>
                <w:szCs w:val="20"/>
                <w:lang w:val="bg-BG" w:bidi="bg-BG"/>
              </w:rPr>
            </w:pPr>
          </w:p>
          <w:p w14:paraId="2B9BC3EF" w14:textId="77777777" w:rsidR="00434676" w:rsidRPr="00610B1B" w:rsidRDefault="00434676" w:rsidP="00BA01CF">
            <w:pPr>
              <w:pStyle w:val="ListParagraph"/>
              <w:tabs>
                <w:tab w:val="left" w:pos="310"/>
              </w:tabs>
              <w:ind w:left="0"/>
              <w:contextualSpacing w:val="0"/>
              <w:jc w:val="both"/>
              <w:rPr>
                <w:rFonts w:ascii="Times New Roman" w:hAnsi="Times New Roman" w:cs="Times New Roman"/>
                <w:sz w:val="20"/>
                <w:szCs w:val="20"/>
                <w:lang w:val="bg-BG" w:bidi="bg-BG"/>
              </w:rPr>
            </w:pPr>
          </w:p>
          <w:p w14:paraId="6A45771D" w14:textId="77777777" w:rsidR="00434676" w:rsidRPr="00610B1B" w:rsidRDefault="00434676" w:rsidP="00BA01CF">
            <w:pPr>
              <w:pStyle w:val="ListParagraph"/>
              <w:pBdr>
                <w:bottom w:val="single" w:sz="6" w:space="1" w:color="auto"/>
              </w:pBdr>
              <w:tabs>
                <w:tab w:val="left" w:pos="310"/>
              </w:tabs>
              <w:ind w:left="0"/>
              <w:contextualSpacing w:val="0"/>
              <w:jc w:val="both"/>
              <w:rPr>
                <w:rFonts w:ascii="Times New Roman" w:hAnsi="Times New Roman" w:cs="Times New Roman"/>
                <w:sz w:val="20"/>
                <w:szCs w:val="20"/>
                <w:lang w:val="bg-BG" w:bidi="bg-BG"/>
              </w:rPr>
            </w:pPr>
          </w:p>
          <w:p w14:paraId="035AF2BB" w14:textId="38E3EDB8" w:rsidR="00434676" w:rsidRPr="00610B1B" w:rsidRDefault="00434676" w:rsidP="00BA01CF">
            <w:pPr>
              <w:pStyle w:val="ListParagraph"/>
              <w:tabs>
                <w:tab w:val="left" w:pos="310"/>
              </w:tabs>
              <w:ind w:left="0"/>
              <w:contextualSpacing w:val="0"/>
              <w:jc w:val="both"/>
              <w:rPr>
                <w:rFonts w:ascii="Times New Roman" w:hAnsi="Times New Roman" w:cs="Times New Roman"/>
                <w:sz w:val="20"/>
                <w:szCs w:val="20"/>
                <w:lang w:val="bg-BG"/>
              </w:rPr>
            </w:pPr>
            <w:r w:rsidRPr="00610B1B">
              <w:rPr>
                <w:rFonts w:ascii="Times New Roman" w:hAnsi="Times New Roman" w:cs="Times New Roman"/>
                <w:sz w:val="20"/>
                <w:szCs w:val="20"/>
                <w:lang w:val="bg-BG" w:bidi="bg-BG"/>
              </w:rPr>
              <w:t xml:space="preserve">2.6. </w:t>
            </w:r>
            <w:r w:rsidRPr="00E63187">
              <w:rPr>
                <w:rFonts w:ascii="Times New Roman" w:hAnsi="Times New Roman" w:cs="Times New Roman"/>
                <w:sz w:val="20"/>
                <w:szCs w:val="20"/>
                <w:lang w:val="bg-BG" w:bidi="bg-BG"/>
              </w:rPr>
              <w:t>За намаляване на натиска от инвазивни видове с все по нарастваща редукция на</w:t>
            </w:r>
            <w:r w:rsidRPr="00610B1B">
              <w:rPr>
                <w:rFonts w:ascii="Times New Roman" w:hAnsi="Times New Roman" w:cs="Times New Roman"/>
                <w:sz w:val="20"/>
                <w:szCs w:val="20"/>
                <w:lang w:val="bg-BG" w:bidi="bg-BG"/>
              </w:rPr>
              <w:t xml:space="preserve"> </w:t>
            </w:r>
            <w:r w:rsidRPr="00E63187">
              <w:rPr>
                <w:rFonts w:ascii="Times New Roman" w:hAnsi="Times New Roman" w:cs="Times New Roman"/>
                <w:sz w:val="20"/>
                <w:szCs w:val="20"/>
                <w:lang w:val="bg-BG" w:bidi="bg-BG"/>
              </w:rPr>
              <w:t>популацията на риби да се провежда ежегоден мониторинг върху вида, числеността и</w:t>
            </w:r>
            <w:r w:rsidRPr="00610B1B">
              <w:rPr>
                <w:rFonts w:ascii="Times New Roman" w:hAnsi="Times New Roman" w:cs="Times New Roman"/>
                <w:sz w:val="20"/>
                <w:szCs w:val="20"/>
                <w:lang w:val="bg-BG" w:bidi="bg-BG"/>
              </w:rPr>
              <w:t xml:space="preserve"> </w:t>
            </w:r>
            <w:r w:rsidRPr="00E63187">
              <w:rPr>
                <w:rFonts w:ascii="Times New Roman" w:hAnsi="Times New Roman" w:cs="Times New Roman"/>
                <w:sz w:val="20"/>
                <w:szCs w:val="20"/>
                <w:lang w:val="bg-BG" w:bidi="bg-BG"/>
              </w:rPr>
              <w:t>териториалното разпространение на инвазивните видове като се изпълняват мерките за</w:t>
            </w:r>
            <w:r w:rsidRPr="00610B1B">
              <w:rPr>
                <w:rFonts w:ascii="Times New Roman" w:hAnsi="Times New Roman" w:cs="Times New Roman"/>
                <w:sz w:val="20"/>
                <w:szCs w:val="20"/>
                <w:lang w:val="bg-BG" w:bidi="bg-BG"/>
              </w:rPr>
              <w:t xml:space="preserve"> </w:t>
            </w:r>
            <w:r w:rsidRPr="00E63187">
              <w:rPr>
                <w:rFonts w:ascii="Times New Roman" w:hAnsi="Times New Roman" w:cs="Times New Roman"/>
                <w:sz w:val="20"/>
                <w:szCs w:val="20"/>
                <w:lang w:val="bg-BG" w:bidi="bg-BG"/>
              </w:rPr>
              <w:t>обработка на корабите в българското морско пространство</w:t>
            </w:r>
          </w:p>
        </w:tc>
        <w:tc>
          <w:tcPr>
            <w:tcW w:w="1984" w:type="dxa"/>
          </w:tcPr>
          <w:p w14:paraId="6013EF82" w14:textId="2B806EC9"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МЗ</w:t>
            </w:r>
            <w:r w:rsidR="000A6746">
              <w:rPr>
                <w:rFonts w:ascii="Times New Roman" w:hAnsi="Times New Roman" w:cs="Times New Roman"/>
                <w:sz w:val="20"/>
                <w:szCs w:val="20"/>
                <w:lang w:val="bg-BG"/>
              </w:rPr>
              <w:t>м</w:t>
            </w:r>
            <w:r w:rsidR="00DD6CD4" w:rsidRPr="00610B1B">
              <w:rPr>
                <w:rFonts w:ascii="Times New Roman" w:hAnsi="Times New Roman" w:cs="Times New Roman"/>
                <w:sz w:val="20"/>
                <w:szCs w:val="20"/>
                <w:lang w:val="bg-BG"/>
              </w:rPr>
              <w:t>,</w:t>
            </w:r>
            <w:r w:rsidRPr="00610B1B">
              <w:rPr>
                <w:rFonts w:ascii="Times New Roman" w:hAnsi="Times New Roman" w:cs="Times New Roman"/>
                <w:sz w:val="20"/>
                <w:szCs w:val="20"/>
                <w:lang w:val="bg-BG"/>
              </w:rPr>
              <w:t xml:space="preserve"> ИАРА</w:t>
            </w:r>
          </w:p>
          <w:p w14:paraId="3E517A23" w14:textId="77777777" w:rsidR="00BA01CF" w:rsidRPr="00610B1B" w:rsidRDefault="00BA01CF" w:rsidP="00D32D6A">
            <w:pPr>
              <w:rPr>
                <w:rFonts w:ascii="Times New Roman" w:hAnsi="Times New Roman" w:cs="Times New Roman"/>
                <w:sz w:val="20"/>
                <w:szCs w:val="20"/>
                <w:lang w:val="bg-BG"/>
              </w:rPr>
            </w:pPr>
          </w:p>
          <w:p w14:paraId="39783078" w14:textId="77777777" w:rsidR="00BA01CF" w:rsidRPr="00610B1B" w:rsidRDefault="00BA01CF" w:rsidP="00D32D6A">
            <w:pPr>
              <w:rPr>
                <w:rFonts w:ascii="Times New Roman" w:hAnsi="Times New Roman" w:cs="Times New Roman"/>
                <w:sz w:val="20"/>
                <w:szCs w:val="20"/>
                <w:lang w:val="bg-BG"/>
              </w:rPr>
            </w:pPr>
          </w:p>
          <w:p w14:paraId="1D932B90" w14:textId="77777777" w:rsidR="00EF39A1" w:rsidRPr="00610B1B" w:rsidRDefault="00EF39A1" w:rsidP="00D32D6A">
            <w:pPr>
              <w:rPr>
                <w:rFonts w:ascii="Times New Roman" w:hAnsi="Times New Roman" w:cs="Times New Roman"/>
                <w:sz w:val="20"/>
                <w:szCs w:val="20"/>
                <w:lang w:val="bg-BG"/>
              </w:rPr>
            </w:pPr>
          </w:p>
          <w:p w14:paraId="76C906FF" w14:textId="2A82AA73" w:rsidR="00BA01CF" w:rsidRPr="00610B1B" w:rsidRDefault="00BA01CF"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 ИАРА</w:t>
            </w:r>
          </w:p>
          <w:p w14:paraId="71D1C9FA" w14:textId="183E719C" w:rsidR="00B3557F" w:rsidRPr="00610B1B" w:rsidRDefault="00B3557F" w:rsidP="00D32D6A">
            <w:pPr>
              <w:rPr>
                <w:rFonts w:ascii="Times New Roman" w:hAnsi="Times New Roman" w:cs="Times New Roman"/>
                <w:sz w:val="20"/>
                <w:szCs w:val="20"/>
                <w:lang w:val="bg-BG"/>
              </w:rPr>
            </w:pPr>
          </w:p>
          <w:p w14:paraId="2E9935D4" w14:textId="46B2DCC8" w:rsidR="00B3557F" w:rsidRPr="00610B1B" w:rsidRDefault="00B3557F" w:rsidP="00D32D6A">
            <w:pPr>
              <w:rPr>
                <w:rFonts w:ascii="Times New Roman" w:hAnsi="Times New Roman" w:cs="Times New Roman"/>
                <w:sz w:val="20"/>
                <w:szCs w:val="20"/>
                <w:lang w:val="bg-BG"/>
              </w:rPr>
            </w:pPr>
          </w:p>
          <w:p w14:paraId="56CCCB88" w14:textId="09A9094F" w:rsidR="00B3557F" w:rsidRPr="00610B1B" w:rsidRDefault="00B3557F" w:rsidP="00D32D6A">
            <w:pPr>
              <w:rPr>
                <w:rFonts w:ascii="Times New Roman" w:hAnsi="Times New Roman" w:cs="Times New Roman"/>
                <w:sz w:val="20"/>
                <w:szCs w:val="20"/>
                <w:lang w:val="bg-BG"/>
              </w:rPr>
            </w:pPr>
          </w:p>
          <w:p w14:paraId="34D6DA91" w14:textId="318BAF5D" w:rsidR="00B3557F" w:rsidRPr="00610B1B" w:rsidRDefault="00B3557F" w:rsidP="00D32D6A">
            <w:pPr>
              <w:rPr>
                <w:rFonts w:ascii="Times New Roman" w:hAnsi="Times New Roman" w:cs="Times New Roman"/>
                <w:sz w:val="20"/>
                <w:szCs w:val="20"/>
                <w:lang w:val="bg-BG"/>
              </w:rPr>
            </w:pPr>
          </w:p>
          <w:p w14:paraId="56D34F96" w14:textId="03A10E4E" w:rsidR="00B3557F" w:rsidRPr="00610B1B" w:rsidRDefault="00B3557F" w:rsidP="00D32D6A">
            <w:pPr>
              <w:rPr>
                <w:rFonts w:ascii="Times New Roman" w:hAnsi="Times New Roman" w:cs="Times New Roman"/>
                <w:sz w:val="20"/>
                <w:szCs w:val="20"/>
                <w:lang w:val="bg-BG"/>
              </w:rPr>
            </w:pPr>
          </w:p>
          <w:p w14:paraId="42AC8772" w14:textId="54379F3A" w:rsidR="00B3557F" w:rsidRPr="00610B1B" w:rsidRDefault="00B3557F" w:rsidP="00B3557F">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 ИАРА</w:t>
            </w:r>
          </w:p>
          <w:p w14:paraId="74E44D89" w14:textId="757F6459" w:rsidR="00EB1AF3" w:rsidRPr="00610B1B" w:rsidRDefault="00EB1AF3" w:rsidP="00B3557F">
            <w:pPr>
              <w:rPr>
                <w:rFonts w:ascii="Times New Roman" w:hAnsi="Times New Roman" w:cs="Times New Roman"/>
                <w:sz w:val="20"/>
                <w:szCs w:val="20"/>
                <w:lang w:val="bg-BG"/>
              </w:rPr>
            </w:pPr>
          </w:p>
          <w:p w14:paraId="3339939B" w14:textId="42E08317" w:rsidR="00EB1AF3" w:rsidRPr="00610B1B" w:rsidRDefault="00EB1AF3" w:rsidP="00B3557F">
            <w:pPr>
              <w:rPr>
                <w:rFonts w:ascii="Times New Roman" w:hAnsi="Times New Roman" w:cs="Times New Roman"/>
                <w:sz w:val="20"/>
                <w:szCs w:val="20"/>
                <w:lang w:val="bg-BG"/>
              </w:rPr>
            </w:pPr>
          </w:p>
          <w:p w14:paraId="3A11E4C5" w14:textId="5B82241E" w:rsidR="00EB1AF3" w:rsidRPr="00610B1B" w:rsidRDefault="00EB1AF3" w:rsidP="00B3557F">
            <w:pPr>
              <w:rPr>
                <w:rFonts w:ascii="Times New Roman" w:hAnsi="Times New Roman" w:cs="Times New Roman"/>
                <w:sz w:val="20"/>
                <w:szCs w:val="20"/>
                <w:lang w:val="bg-BG"/>
              </w:rPr>
            </w:pPr>
          </w:p>
          <w:p w14:paraId="2AB088D6" w14:textId="517E4FD6" w:rsidR="00EB1AF3" w:rsidRPr="00610B1B" w:rsidRDefault="00EB1AF3" w:rsidP="00B3557F">
            <w:pPr>
              <w:rPr>
                <w:rFonts w:ascii="Times New Roman" w:hAnsi="Times New Roman" w:cs="Times New Roman"/>
                <w:sz w:val="20"/>
                <w:szCs w:val="20"/>
                <w:lang w:val="bg-BG"/>
              </w:rPr>
            </w:pPr>
          </w:p>
          <w:p w14:paraId="75C99344" w14:textId="51237F54" w:rsidR="00EB1AF3" w:rsidRPr="00610B1B" w:rsidRDefault="00EB1AF3" w:rsidP="00B3557F">
            <w:pPr>
              <w:rPr>
                <w:rFonts w:ascii="Times New Roman" w:hAnsi="Times New Roman" w:cs="Times New Roman"/>
                <w:sz w:val="20"/>
                <w:szCs w:val="20"/>
                <w:lang w:val="bg-BG"/>
              </w:rPr>
            </w:pPr>
          </w:p>
          <w:p w14:paraId="59D89B72" w14:textId="271ABE21" w:rsidR="00EB1AF3" w:rsidRPr="00610B1B" w:rsidRDefault="00EB1AF3" w:rsidP="00B3557F">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lastRenderedPageBreak/>
              <w:t>МОСВ, МЗ</w:t>
            </w:r>
            <w:r w:rsidR="00083FA4">
              <w:rPr>
                <w:rFonts w:ascii="Times New Roman" w:hAnsi="Times New Roman" w:cs="Times New Roman"/>
                <w:sz w:val="20"/>
                <w:szCs w:val="20"/>
                <w:lang w:val="bg-BG" w:bidi="bg-BG"/>
              </w:rPr>
              <w:t>м</w:t>
            </w:r>
            <w:r w:rsidRPr="00610B1B">
              <w:rPr>
                <w:rFonts w:ascii="Times New Roman" w:hAnsi="Times New Roman" w:cs="Times New Roman"/>
                <w:sz w:val="20"/>
                <w:szCs w:val="20"/>
                <w:lang w:val="bg-BG" w:bidi="bg-BG"/>
              </w:rPr>
              <w:t>, ИАРА, (ИРР), ИО-БАН</w:t>
            </w:r>
          </w:p>
          <w:p w14:paraId="54AE6D86" w14:textId="77777777" w:rsidR="00B3557F" w:rsidRPr="00610B1B" w:rsidRDefault="00B3557F" w:rsidP="00D32D6A">
            <w:pPr>
              <w:rPr>
                <w:rFonts w:ascii="Times New Roman" w:hAnsi="Times New Roman" w:cs="Times New Roman"/>
                <w:sz w:val="20"/>
                <w:szCs w:val="20"/>
                <w:lang w:val="bg-BG"/>
              </w:rPr>
            </w:pPr>
          </w:p>
          <w:p w14:paraId="3E403B94" w14:textId="77777777" w:rsidR="00B3557F" w:rsidRPr="00610B1B" w:rsidRDefault="00B3557F" w:rsidP="00D32D6A">
            <w:pPr>
              <w:rPr>
                <w:rFonts w:ascii="Times New Roman" w:hAnsi="Times New Roman" w:cs="Times New Roman"/>
                <w:sz w:val="20"/>
                <w:szCs w:val="20"/>
                <w:lang w:val="bg-BG"/>
              </w:rPr>
            </w:pPr>
          </w:p>
          <w:p w14:paraId="7BD37F3E" w14:textId="77777777" w:rsidR="00B3557F" w:rsidRPr="00610B1B" w:rsidRDefault="00B3557F" w:rsidP="00D32D6A">
            <w:pPr>
              <w:rPr>
                <w:rFonts w:ascii="Times New Roman" w:hAnsi="Times New Roman" w:cs="Times New Roman"/>
                <w:sz w:val="20"/>
                <w:szCs w:val="20"/>
                <w:lang w:val="bg-BG"/>
              </w:rPr>
            </w:pPr>
          </w:p>
          <w:p w14:paraId="6079A575" w14:textId="77777777" w:rsidR="00B3557F" w:rsidRPr="00610B1B" w:rsidRDefault="00B3557F" w:rsidP="00D32D6A">
            <w:pPr>
              <w:rPr>
                <w:rFonts w:ascii="Times New Roman" w:hAnsi="Times New Roman" w:cs="Times New Roman"/>
                <w:sz w:val="20"/>
                <w:szCs w:val="20"/>
                <w:lang w:val="bg-BG"/>
              </w:rPr>
            </w:pPr>
          </w:p>
          <w:p w14:paraId="211A279C" w14:textId="77777777" w:rsidR="00B3557F" w:rsidRPr="00610B1B" w:rsidRDefault="00B3557F" w:rsidP="00D32D6A">
            <w:pPr>
              <w:rPr>
                <w:rFonts w:ascii="Times New Roman" w:hAnsi="Times New Roman" w:cs="Times New Roman"/>
                <w:sz w:val="20"/>
                <w:szCs w:val="20"/>
                <w:lang w:val="bg-BG"/>
              </w:rPr>
            </w:pPr>
          </w:p>
          <w:p w14:paraId="56941A0A" w14:textId="01E99A89" w:rsidR="00434676" w:rsidRPr="00610B1B" w:rsidRDefault="00434676" w:rsidP="00434676">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t>МОСВ, МЗ</w:t>
            </w:r>
            <w:r w:rsidR="00083FA4">
              <w:rPr>
                <w:rFonts w:ascii="Times New Roman" w:hAnsi="Times New Roman" w:cs="Times New Roman"/>
                <w:sz w:val="20"/>
                <w:szCs w:val="20"/>
                <w:lang w:val="bg-BG" w:bidi="bg-BG"/>
              </w:rPr>
              <w:t>м</w:t>
            </w:r>
            <w:r w:rsidRPr="00610B1B">
              <w:rPr>
                <w:rFonts w:ascii="Times New Roman" w:hAnsi="Times New Roman" w:cs="Times New Roman"/>
                <w:sz w:val="20"/>
                <w:szCs w:val="20"/>
                <w:lang w:val="bg-BG" w:bidi="bg-BG"/>
              </w:rPr>
              <w:t>, ИАРА, (ИРР), ИО-БАН</w:t>
            </w:r>
          </w:p>
          <w:p w14:paraId="38371DF1" w14:textId="77777777" w:rsidR="00B3557F" w:rsidRPr="00610B1B" w:rsidRDefault="00B3557F" w:rsidP="00D32D6A">
            <w:pPr>
              <w:rPr>
                <w:rFonts w:ascii="Times New Roman" w:hAnsi="Times New Roman" w:cs="Times New Roman"/>
                <w:sz w:val="20"/>
                <w:szCs w:val="20"/>
                <w:lang w:val="bg-BG"/>
              </w:rPr>
            </w:pPr>
          </w:p>
          <w:p w14:paraId="531E9A6B" w14:textId="05F5AD14" w:rsidR="00B3557F" w:rsidRPr="00610B1B" w:rsidRDefault="00B3557F" w:rsidP="00D32D6A">
            <w:pPr>
              <w:rPr>
                <w:rFonts w:ascii="Times New Roman" w:hAnsi="Times New Roman" w:cs="Times New Roman"/>
                <w:sz w:val="20"/>
                <w:szCs w:val="20"/>
                <w:lang w:val="bg-BG"/>
              </w:rPr>
            </w:pPr>
          </w:p>
        </w:tc>
        <w:tc>
          <w:tcPr>
            <w:tcW w:w="3232" w:type="dxa"/>
          </w:tcPr>
          <w:p w14:paraId="1937BC73" w14:textId="03E257C2"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Да се намали натискът от бракониерство и нерегистриран </w:t>
            </w:r>
            <w:r w:rsidR="00BA01CF"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улов</w:t>
            </w:r>
            <w:r w:rsidR="00EF39A1" w:rsidRPr="00610B1B">
              <w:rPr>
                <w:rFonts w:ascii="Times New Roman" w:hAnsi="Times New Roman" w:cs="Times New Roman"/>
                <w:sz w:val="20"/>
                <w:szCs w:val="20"/>
                <w:lang w:val="bg-BG"/>
              </w:rPr>
              <w:t xml:space="preserve">                                                                  </w:t>
            </w:r>
          </w:p>
          <w:p w14:paraId="497E061E" w14:textId="77777777" w:rsidR="00BA01CF" w:rsidRPr="00610B1B" w:rsidRDefault="00BA01CF" w:rsidP="00D32D6A">
            <w:pPr>
              <w:rPr>
                <w:rFonts w:ascii="Times New Roman" w:hAnsi="Times New Roman" w:cs="Times New Roman"/>
                <w:sz w:val="20"/>
                <w:szCs w:val="20"/>
                <w:lang w:val="bg-BG"/>
              </w:rPr>
            </w:pPr>
          </w:p>
          <w:p w14:paraId="77B36FE1" w14:textId="1C14BBE3" w:rsidR="00BA01CF" w:rsidRPr="00610B1B" w:rsidRDefault="00EF39A1" w:rsidP="00BA01CF">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t>Щ</w:t>
            </w:r>
            <w:r w:rsidR="00BA01CF" w:rsidRPr="00610B1B">
              <w:rPr>
                <w:rFonts w:ascii="Times New Roman" w:hAnsi="Times New Roman" w:cs="Times New Roman"/>
                <w:sz w:val="20"/>
                <w:szCs w:val="20"/>
                <w:lang w:val="bg-BG" w:bidi="bg-BG"/>
              </w:rPr>
              <w:t>е спомогне за изпълнение на България на международните договори, свързани с опазване на биологичното разнообразие в морските екосистеми</w:t>
            </w:r>
          </w:p>
          <w:p w14:paraId="564CBB68" w14:textId="77777777" w:rsidR="00BA01CF" w:rsidRPr="00610B1B" w:rsidRDefault="00BA01CF" w:rsidP="00D32D6A">
            <w:pPr>
              <w:rPr>
                <w:rFonts w:ascii="Times New Roman" w:hAnsi="Times New Roman" w:cs="Times New Roman"/>
                <w:sz w:val="20"/>
                <w:szCs w:val="20"/>
                <w:lang w:val="bg-BG"/>
              </w:rPr>
            </w:pPr>
          </w:p>
          <w:p w14:paraId="45656BFC" w14:textId="77777777" w:rsidR="00B3557F" w:rsidRPr="00610B1B" w:rsidRDefault="00B3557F"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Защита на китоподобните и увеличаване на популацията им</w:t>
            </w:r>
          </w:p>
          <w:p w14:paraId="2EA99374" w14:textId="77777777" w:rsidR="005F3062" w:rsidRPr="00610B1B" w:rsidRDefault="005F3062" w:rsidP="00D32D6A">
            <w:pPr>
              <w:rPr>
                <w:rFonts w:ascii="Times New Roman" w:hAnsi="Times New Roman" w:cs="Times New Roman"/>
                <w:sz w:val="20"/>
                <w:szCs w:val="20"/>
                <w:lang w:val="bg-BG"/>
              </w:rPr>
            </w:pPr>
          </w:p>
          <w:p w14:paraId="703CEFA7" w14:textId="77777777" w:rsidR="005F3062" w:rsidRPr="00610B1B" w:rsidRDefault="005F3062" w:rsidP="00D32D6A">
            <w:pPr>
              <w:rPr>
                <w:rFonts w:ascii="Times New Roman" w:hAnsi="Times New Roman" w:cs="Times New Roman"/>
                <w:sz w:val="20"/>
                <w:szCs w:val="20"/>
                <w:lang w:val="bg-BG"/>
              </w:rPr>
            </w:pPr>
          </w:p>
          <w:p w14:paraId="05A985C0" w14:textId="77777777" w:rsidR="005F3062" w:rsidRPr="00610B1B" w:rsidRDefault="005F3062" w:rsidP="00D32D6A">
            <w:pPr>
              <w:rPr>
                <w:rFonts w:ascii="Times New Roman" w:hAnsi="Times New Roman" w:cs="Times New Roman"/>
                <w:sz w:val="20"/>
                <w:szCs w:val="20"/>
                <w:lang w:val="bg-BG"/>
              </w:rPr>
            </w:pPr>
          </w:p>
          <w:p w14:paraId="77720D34" w14:textId="77777777" w:rsidR="005F3062" w:rsidRPr="00610B1B" w:rsidRDefault="005F3062" w:rsidP="00D32D6A">
            <w:pPr>
              <w:rPr>
                <w:rFonts w:ascii="Times New Roman" w:hAnsi="Times New Roman" w:cs="Times New Roman"/>
                <w:sz w:val="20"/>
                <w:szCs w:val="20"/>
                <w:lang w:val="bg-BG"/>
              </w:rPr>
            </w:pPr>
          </w:p>
          <w:p w14:paraId="4D19D2D6" w14:textId="77777777" w:rsidR="005F3062" w:rsidRPr="00610B1B" w:rsidRDefault="005F3062" w:rsidP="00D32D6A">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lastRenderedPageBreak/>
              <w:t>Възстановяване на запасите и временна защита на определени акватории(напр. за хвърляне на хайвер) и  силно положително въздействие върху хабитати и биоразнообразие,</w:t>
            </w:r>
          </w:p>
          <w:p w14:paraId="6E35F4D2" w14:textId="77777777" w:rsidR="00434676" w:rsidRPr="00610B1B" w:rsidRDefault="00434676" w:rsidP="00D32D6A">
            <w:pPr>
              <w:rPr>
                <w:rFonts w:ascii="Times New Roman" w:hAnsi="Times New Roman" w:cs="Times New Roman"/>
                <w:sz w:val="20"/>
                <w:szCs w:val="20"/>
                <w:lang w:val="bg-BG" w:bidi="bg-BG"/>
              </w:rPr>
            </w:pPr>
          </w:p>
          <w:p w14:paraId="5816D456" w14:textId="5D73698C" w:rsidR="00434676" w:rsidRPr="00610B1B" w:rsidRDefault="0077603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t>Н</w:t>
            </w:r>
            <w:r w:rsidR="00434676" w:rsidRPr="00E63187">
              <w:rPr>
                <w:rFonts w:ascii="Times New Roman" w:hAnsi="Times New Roman" w:cs="Times New Roman"/>
                <w:sz w:val="20"/>
                <w:szCs w:val="20"/>
                <w:lang w:val="bg-BG" w:bidi="bg-BG"/>
              </w:rPr>
              <w:t>амаляване на натиска от инвазивни видове</w:t>
            </w:r>
          </w:p>
        </w:tc>
        <w:tc>
          <w:tcPr>
            <w:tcW w:w="1376" w:type="dxa"/>
            <w:vAlign w:val="center"/>
          </w:tcPr>
          <w:p w14:paraId="7EDCBC6F" w14:textId="7E6307AF" w:rsidR="00C519AD" w:rsidRPr="00610B1B" w:rsidRDefault="00F4426F" w:rsidP="00BA01CF">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          </w:t>
            </w:r>
            <w:r w:rsidR="00EF39A1" w:rsidRPr="00610B1B">
              <w:rPr>
                <w:rFonts w:ascii="Times New Roman" w:hAnsi="Times New Roman" w:cs="Times New Roman"/>
                <w:sz w:val="20"/>
                <w:szCs w:val="20"/>
                <w:lang w:val="bg-BG"/>
              </w:rPr>
              <w:t>2024</w:t>
            </w:r>
          </w:p>
        </w:tc>
      </w:tr>
      <w:tr w:rsidR="00DD6CD4" w:rsidRPr="00610B1B" w14:paraId="32713BF3" w14:textId="77777777" w:rsidTr="00537D06">
        <w:tc>
          <w:tcPr>
            <w:tcW w:w="426" w:type="dxa"/>
            <w:vMerge w:val="restart"/>
            <w:vAlign w:val="center"/>
          </w:tcPr>
          <w:p w14:paraId="5B3790AD" w14:textId="427B86D5" w:rsidR="00DD6CD4" w:rsidRPr="00610B1B" w:rsidRDefault="00DD6CD4"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3</w:t>
            </w:r>
          </w:p>
        </w:tc>
        <w:tc>
          <w:tcPr>
            <w:tcW w:w="2693" w:type="dxa"/>
            <w:vMerge w:val="restart"/>
            <w:vAlign w:val="center"/>
          </w:tcPr>
          <w:p w14:paraId="7DB61389" w14:textId="422EF9C3" w:rsidR="00DD6CD4" w:rsidRPr="00610B1B" w:rsidRDefault="00DD6CD4"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Аквакултура</w:t>
            </w:r>
          </w:p>
        </w:tc>
        <w:tc>
          <w:tcPr>
            <w:tcW w:w="5387" w:type="dxa"/>
          </w:tcPr>
          <w:p w14:paraId="4D18750A" w14:textId="057ED2A8" w:rsidR="00DD6CD4" w:rsidRPr="00610B1B" w:rsidRDefault="00DD6CD4" w:rsidP="00D14B5D">
            <w:pPr>
              <w:pStyle w:val="ListParagraph"/>
              <w:tabs>
                <w:tab w:val="left" w:pos="310"/>
              </w:tabs>
              <w:ind w:left="0"/>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3.1. Актуализиране на изискванията за определяне на зоните с условия, подходящи за развитие на морски аквакултури</w:t>
            </w:r>
          </w:p>
        </w:tc>
        <w:tc>
          <w:tcPr>
            <w:tcW w:w="1984" w:type="dxa"/>
          </w:tcPr>
          <w:p w14:paraId="3E4EEDA7" w14:textId="5059A148"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tc>
        <w:tc>
          <w:tcPr>
            <w:tcW w:w="3232" w:type="dxa"/>
          </w:tcPr>
          <w:p w14:paraId="75000485" w14:textId="5A0DE915" w:rsidR="00DD6CD4" w:rsidRPr="00610B1B" w:rsidRDefault="00DD6CD4" w:rsidP="00D32D6A">
            <w:pPr>
              <w:rPr>
                <w:rFonts w:ascii="Times New Roman" w:hAnsi="Times New Roman" w:cs="Times New Roman"/>
                <w:lang w:val="bg-BG"/>
              </w:rPr>
            </w:pPr>
            <w:r w:rsidRPr="00610B1B">
              <w:rPr>
                <w:rFonts w:ascii="Times New Roman" w:hAnsi="Times New Roman" w:cs="Times New Roman"/>
                <w:sz w:val="20"/>
                <w:szCs w:val="20"/>
                <w:lang w:val="bg-BG"/>
              </w:rPr>
              <w:t>Създаване на ясни правила за развитие на сектор Аквакултури</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обосновани на екологични критерии.</w:t>
            </w:r>
          </w:p>
        </w:tc>
        <w:tc>
          <w:tcPr>
            <w:tcW w:w="1376" w:type="dxa"/>
            <w:vAlign w:val="center"/>
          </w:tcPr>
          <w:p w14:paraId="1CBA4EE4" w14:textId="64BDF00D" w:rsidR="00DD6CD4" w:rsidRPr="00610B1B" w:rsidRDefault="00DD6CD4"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2021</w:t>
            </w:r>
          </w:p>
        </w:tc>
      </w:tr>
      <w:tr w:rsidR="00DD6CD4" w:rsidRPr="00610B1B" w14:paraId="470D4E9C" w14:textId="77777777" w:rsidTr="00537D06">
        <w:tc>
          <w:tcPr>
            <w:tcW w:w="426" w:type="dxa"/>
            <w:vMerge/>
            <w:vAlign w:val="center"/>
          </w:tcPr>
          <w:p w14:paraId="2E520224" w14:textId="54D31FE5" w:rsidR="00DD6CD4" w:rsidRPr="00610B1B" w:rsidRDefault="00DD6CD4" w:rsidP="00537D06">
            <w:pPr>
              <w:jc w:val="center"/>
              <w:rPr>
                <w:rFonts w:ascii="Times New Roman" w:hAnsi="Times New Roman" w:cs="Times New Roman"/>
                <w:sz w:val="20"/>
                <w:szCs w:val="20"/>
                <w:lang w:val="bg-BG"/>
              </w:rPr>
            </w:pPr>
          </w:p>
        </w:tc>
        <w:tc>
          <w:tcPr>
            <w:tcW w:w="2693" w:type="dxa"/>
            <w:vMerge/>
            <w:vAlign w:val="center"/>
          </w:tcPr>
          <w:p w14:paraId="1B28FC84" w14:textId="09A60C35" w:rsidR="00DD6CD4" w:rsidRPr="00610B1B" w:rsidRDefault="00DD6CD4" w:rsidP="00537D06">
            <w:pPr>
              <w:rPr>
                <w:rFonts w:ascii="Times New Roman" w:hAnsi="Times New Roman" w:cs="Times New Roman"/>
                <w:sz w:val="20"/>
                <w:szCs w:val="20"/>
                <w:lang w:val="bg-BG"/>
              </w:rPr>
            </w:pPr>
          </w:p>
        </w:tc>
        <w:tc>
          <w:tcPr>
            <w:tcW w:w="5387" w:type="dxa"/>
          </w:tcPr>
          <w:p w14:paraId="0E6C1AD7" w14:textId="4A35B02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3.2. Завишаване на контрола върху действително използваната акватория за отглеждане на аквакултури</w:t>
            </w:r>
          </w:p>
        </w:tc>
        <w:tc>
          <w:tcPr>
            <w:tcW w:w="1984" w:type="dxa"/>
          </w:tcPr>
          <w:p w14:paraId="644E5723" w14:textId="7777777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ИАРА</w:t>
            </w:r>
          </w:p>
          <w:p w14:paraId="2C71B9ED" w14:textId="7777777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tc>
        <w:tc>
          <w:tcPr>
            <w:tcW w:w="3232" w:type="dxa"/>
          </w:tcPr>
          <w:p w14:paraId="21F67544" w14:textId="7777777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Необходимост от точно спазване на площта в обхвата на разрешителното за водоползване</w:t>
            </w:r>
          </w:p>
        </w:tc>
        <w:tc>
          <w:tcPr>
            <w:tcW w:w="1376" w:type="dxa"/>
            <w:vAlign w:val="center"/>
          </w:tcPr>
          <w:p w14:paraId="06FD8614" w14:textId="77777777" w:rsidR="00DD6CD4" w:rsidRPr="00610B1B" w:rsidRDefault="00DD6CD4"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DD6CD4" w:rsidRPr="00610B1B" w14:paraId="2712479A" w14:textId="77777777" w:rsidTr="00537D06">
        <w:tc>
          <w:tcPr>
            <w:tcW w:w="426" w:type="dxa"/>
            <w:vMerge/>
            <w:vAlign w:val="center"/>
          </w:tcPr>
          <w:p w14:paraId="648D89FD" w14:textId="77777777" w:rsidR="00DD6CD4" w:rsidRPr="00610B1B" w:rsidRDefault="00DD6CD4" w:rsidP="00537D06">
            <w:pPr>
              <w:jc w:val="center"/>
              <w:rPr>
                <w:rFonts w:ascii="Times New Roman" w:hAnsi="Times New Roman" w:cs="Times New Roman"/>
                <w:sz w:val="20"/>
                <w:szCs w:val="20"/>
                <w:lang w:val="bg-BG"/>
              </w:rPr>
            </w:pPr>
          </w:p>
        </w:tc>
        <w:tc>
          <w:tcPr>
            <w:tcW w:w="2693" w:type="dxa"/>
            <w:vMerge/>
            <w:vAlign w:val="center"/>
          </w:tcPr>
          <w:p w14:paraId="24F3AE84" w14:textId="77777777" w:rsidR="00DD6CD4" w:rsidRPr="00610B1B" w:rsidRDefault="00DD6CD4" w:rsidP="00537D06">
            <w:pPr>
              <w:rPr>
                <w:rFonts w:ascii="Times New Roman" w:hAnsi="Times New Roman" w:cs="Times New Roman"/>
                <w:sz w:val="20"/>
                <w:szCs w:val="20"/>
                <w:lang w:val="bg-BG"/>
              </w:rPr>
            </w:pPr>
          </w:p>
        </w:tc>
        <w:tc>
          <w:tcPr>
            <w:tcW w:w="5387" w:type="dxa"/>
          </w:tcPr>
          <w:p w14:paraId="337ABE3E" w14:textId="7AF1BB3B" w:rsidR="00DD6CD4" w:rsidRPr="00610B1B" w:rsidRDefault="00DD6CD4" w:rsidP="00D32D6A">
            <w:pPr>
              <w:rPr>
                <w:rFonts w:ascii="Times New Roman" w:hAnsi="Times New Roman" w:cs="Times New Roman"/>
                <w:lang w:val="bg-BG"/>
              </w:rPr>
            </w:pPr>
            <w:r w:rsidRPr="00610B1B">
              <w:rPr>
                <w:rFonts w:ascii="Times New Roman" w:hAnsi="Times New Roman" w:cs="Times New Roman"/>
                <w:sz w:val="20"/>
                <w:szCs w:val="20"/>
                <w:lang w:val="bg-BG"/>
              </w:rPr>
              <w:t>3.3. Обезпечаване на</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ефективен контрол за недопускане на замърсяване</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и увреждане</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на морската среда</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от съоръжения за аквакултури</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след изтичане</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срока на действие</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на</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разрешителното, издадено по реда на Закона за водите.</w:t>
            </w:r>
          </w:p>
        </w:tc>
        <w:tc>
          <w:tcPr>
            <w:tcW w:w="1984" w:type="dxa"/>
          </w:tcPr>
          <w:p w14:paraId="06E12486" w14:textId="7BE926A9"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ИАРА, БДЧР</w:t>
            </w:r>
          </w:p>
        </w:tc>
        <w:tc>
          <w:tcPr>
            <w:tcW w:w="3232" w:type="dxa"/>
          </w:tcPr>
          <w:p w14:paraId="0642CD8C" w14:textId="7777777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Прекратяване на вредни въздействия и замърсяване на морската околна среда</w:t>
            </w:r>
          </w:p>
        </w:tc>
        <w:tc>
          <w:tcPr>
            <w:tcW w:w="1376" w:type="dxa"/>
            <w:vAlign w:val="center"/>
          </w:tcPr>
          <w:p w14:paraId="4BD4356C" w14:textId="77777777" w:rsidR="00DD6CD4" w:rsidRPr="00610B1B" w:rsidRDefault="00DD6CD4"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DD6CD4" w:rsidRPr="00610B1B" w14:paraId="0F4B01C1" w14:textId="77777777" w:rsidTr="001B46F3">
        <w:trPr>
          <w:trHeight w:val="1298"/>
        </w:trPr>
        <w:tc>
          <w:tcPr>
            <w:tcW w:w="426" w:type="dxa"/>
            <w:vMerge/>
            <w:vAlign w:val="center"/>
          </w:tcPr>
          <w:p w14:paraId="0351B0D9" w14:textId="77777777" w:rsidR="00DD6CD4" w:rsidRPr="00610B1B" w:rsidRDefault="00DD6CD4" w:rsidP="00537D06">
            <w:pPr>
              <w:jc w:val="center"/>
              <w:rPr>
                <w:rFonts w:ascii="Times New Roman" w:hAnsi="Times New Roman" w:cs="Times New Roman"/>
                <w:sz w:val="20"/>
                <w:szCs w:val="20"/>
                <w:lang w:val="bg-BG"/>
              </w:rPr>
            </w:pPr>
          </w:p>
        </w:tc>
        <w:tc>
          <w:tcPr>
            <w:tcW w:w="2693" w:type="dxa"/>
            <w:vMerge/>
            <w:vAlign w:val="center"/>
          </w:tcPr>
          <w:p w14:paraId="6FFA1666" w14:textId="77777777" w:rsidR="00DD6CD4" w:rsidRPr="00610B1B" w:rsidRDefault="00DD6CD4" w:rsidP="00537D06">
            <w:pPr>
              <w:rPr>
                <w:rFonts w:ascii="Times New Roman" w:hAnsi="Times New Roman" w:cs="Times New Roman"/>
                <w:sz w:val="20"/>
                <w:szCs w:val="20"/>
                <w:lang w:val="bg-BG"/>
              </w:rPr>
            </w:pPr>
          </w:p>
        </w:tc>
        <w:tc>
          <w:tcPr>
            <w:tcW w:w="5387" w:type="dxa"/>
          </w:tcPr>
          <w:p w14:paraId="73A0BF93" w14:textId="77777777" w:rsidR="00DD6CD4" w:rsidRPr="00610B1B" w:rsidRDefault="00DD6CD4" w:rsidP="001B46F3">
            <w:pPr>
              <w:pBdr>
                <w:bottom w:val="single" w:sz="6" w:space="1" w:color="auto"/>
              </w:pBdr>
              <w:spacing w:line="259" w:lineRule="auto"/>
              <w:rPr>
                <w:rFonts w:ascii="Times New Roman" w:hAnsi="Times New Roman" w:cs="Times New Roman"/>
                <w:sz w:val="20"/>
                <w:szCs w:val="20"/>
                <w:lang w:val="bg-BG"/>
              </w:rPr>
            </w:pPr>
            <w:r w:rsidRPr="00610B1B">
              <w:rPr>
                <w:rFonts w:ascii="Times New Roman" w:hAnsi="Times New Roman" w:cs="Times New Roman"/>
                <w:sz w:val="20"/>
                <w:szCs w:val="20"/>
                <w:lang w:val="bg-BG"/>
              </w:rPr>
              <w:t>3.4. Недопускане изграждането на ферми за отглеждане на риба в акваторията на Черно море</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при неспазване предвидените</w:t>
            </w:r>
            <w:r w:rsidR="00C415D1"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условия</w:t>
            </w:r>
            <w:r w:rsidR="00187F5C"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в разрешителното за ползване на воден обект при реализиране на инвестиционното намерение</w:t>
            </w:r>
            <w:r w:rsidR="00187F5C" w:rsidRPr="00610B1B">
              <w:rPr>
                <w:rFonts w:ascii="Times New Roman" w:hAnsi="Times New Roman" w:cs="Times New Roman"/>
                <w:sz w:val="20"/>
                <w:szCs w:val="20"/>
                <w:lang w:val="bg-BG"/>
              </w:rPr>
              <w:t xml:space="preserve"> или на изискванията на Закона за рибарството и аквакултурите.</w:t>
            </w:r>
            <w:r w:rsidR="008753B6" w:rsidRPr="00610B1B">
              <w:rPr>
                <w:rFonts w:ascii="Times New Roman" w:hAnsi="Times New Roman" w:cs="Times New Roman"/>
                <w:sz w:val="20"/>
                <w:szCs w:val="20"/>
                <w:lang w:val="bg-BG"/>
              </w:rPr>
              <w:t xml:space="preserve"> </w:t>
            </w:r>
          </w:p>
          <w:p w14:paraId="683A2F48" w14:textId="18CBB521" w:rsidR="00B96A2C" w:rsidRPr="00610B1B" w:rsidRDefault="00B96A2C" w:rsidP="001B46F3">
            <w:pPr>
              <w:spacing w:line="259" w:lineRule="auto"/>
              <w:rPr>
                <w:rFonts w:ascii="Times New Roman" w:hAnsi="Times New Roman" w:cs="Times New Roman"/>
                <w:sz w:val="20"/>
                <w:szCs w:val="20"/>
                <w:lang w:val="bg-BG"/>
              </w:rPr>
            </w:pPr>
            <w:r w:rsidRPr="00E63187">
              <w:rPr>
                <w:rFonts w:ascii="Times New Roman" w:hAnsi="Times New Roman" w:cs="Times New Roman"/>
                <w:sz w:val="20"/>
                <w:szCs w:val="20"/>
                <w:lang w:val="bg-BG"/>
              </w:rPr>
              <w:t>3</w:t>
            </w:r>
            <w:r w:rsidRPr="00610B1B">
              <w:rPr>
                <w:rFonts w:ascii="Times New Roman" w:hAnsi="Times New Roman" w:cs="Times New Roman"/>
                <w:sz w:val="20"/>
                <w:szCs w:val="20"/>
                <w:lang w:val="bg-BG"/>
              </w:rPr>
              <w:t xml:space="preserve">.5. </w:t>
            </w:r>
            <w:r w:rsidRPr="00610B1B">
              <w:rPr>
                <w:rFonts w:ascii="Times New Roman" w:hAnsi="Times New Roman" w:cs="Times New Roman"/>
                <w:sz w:val="20"/>
                <w:szCs w:val="20"/>
                <w:lang w:val="bg-BG" w:bidi="bg-BG"/>
              </w:rPr>
              <w:t>При реализиране на проекти/проектни предложения по МППРБ да се предвиди съобразяване със съществуващото национално законодателство по отношение на инвазивни чужди видове и неместни видове</w:t>
            </w:r>
          </w:p>
        </w:tc>
        <w:tc>
          <w:tcPr>
            <w:tcW w:w="1984" w:type="dxa"/>
          </w:tcPr>
          <w:p w14:paraId="0FDE2C94" w14:textId="7777777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p w14:paraId="773940FB" w14:textId="77777777" w:rsidR="00B96A2C" w:rsidRPr="00610B1B" w:rsidRDefault="00B96A2C" w:rsidP="00D32D6A">
            <w:pPr>
              <w:rPr>
                <w:rFonts w:ascii="Times New Roman" w:hAnsi="Times New Roman" w:cs="Times New Roman"/>
                <w:sz w:val="20"/>
                <w:szCs w:val="20"/>
                <w:lang w:val="bg-BG"/>
              </w:rPr>
            </w:pPr>
          </w:p>
          <w:p w14:paraId="1F7BB6AA" w14:textId="77777777" w:rsidR="00B96A2C" w:rsidRPr="00610B1B" w:rsidRDefault="00B96A2C" w:rsidP="00D32D6A">
            <w:pPr>
              <w:rPr>
                <w:rFonts w:ascii="Times New Roman" w:hAnsi="Times New Roman" w:cs="Times New Roman"/>
                <w:sz w:val="20"/>
                <w:szCs w:val="20"/>
                <w:lang w:val="bg-BG"/>
              </w:rPr>
            </w:pPr>
          </w:p>
          <w:p w14:paraId="7AC5E718" w14:textId="77777777" w:rsidR="00B96A2C" w:rsidRPr="00610B1B" w:rsidRDefault="00B96A2C" w:rsidP="00D32D6A">
            <w:pPr>
              <w:rPr>
                <w:rFonts w:ascii="Times New Roman" w:hAnsi="Times New Roman" w:cs="Times New Roman"/>
                <w:sz w:val="20"/>
                <w:szCs w:val="20"/>
                <w:lang w:val="bg-BG"/>
              </w:rPr>
            </w:pPr>
          </w:p>
          <w:p w14:paraId="3FEE6F7B" w14:textId="77777777" w:rsidR="00B96A2C" w:rsidRPr="00610B1B" w:rsidRDefault="00B96A2C" w:rsidP="00D32D6A">
            <w:pPr>
              <w:rPr>
                <w:rFonts w:ascii="Times New Roman" w:hAnsi="Times New Roman" w:cs="Times New Roman"/>
                <w:sz w:val="20"/>
                <w:szCs w:val="20"/>
                <w:lang w:val="bg-BG"/>
              </w:rPr>
            </w:pPr>
          </w:p>
          <w:p w14:paraId="23FA6501" w14:textId="77777777" w:rsidR="00B96A2C" w:rsidRPr="00610B1B" w:rsidRDefault="00B96A2C" w:rsidP="00D32D6A">
            <w:pPr>
              <w:rPr>
                <w:rFonts w:ascii="Times New Roman" w:hAnsi="Times New Roman" w:cs="Times New Roman"/>
                <w:sz w:val="20"/>
                <w:szCs w:val="20"/>
                <w:lang w:val="bg-BG"/>
              </w:rPr>
            </w:pPr>
          </w:p>
          <w:p w14:paraId="2ECBB862" w14:textId="77777777" w:rsidR="00B96A2C" w:rsidRPr="00610B1B" w:rsidRDefault="00B96A2C" w:rsidP="00D32D6A">
            <w:pPr>
              <w:rPr>
                <w:rFonts w:ascii="Times New Roman" w:hAnsi="Times New Roman" w:cs="Times New Roman"/>
                <w:sz w:val="20"/>
                <w:szCs w:val="20"/>
                <w:lang w:val="bg-BG"/>
              </w:rPr>
            </w:pPr>
          </w:p>
          <w:p w14:paraId="1B34C10A" w14:textId="1FBF5081" w:rsidR="00B96A2C" w:rsidRPr="00610B1B" w:rsidRDefault="00B96A2C"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МОСВ, РИОСВ</w:t>
            </w:r>
          </w:p>
        </w:tc>
        <w:tc>
          <w:tcPr>
            <w:tcW w:w="3232" w:type="dxa"/>
          </w:tcPr>
          <w:p w14:paraId="14157D8E" w14:textId="77777777" w:rsidR="00DD6CD4" w:rsidRPr="00610B1B" w:rsidRDefault="00DD6CD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Ограничаване на замърсяването и измененията на локалните екосистеми</w:t>
            </w:r>
          </w:p>
          <w:p w14:paraId="667B4F5D" w14:textId="77777777" w:rsidR="00B96A2C" w:rsidRPr="00610B1B" w:rsidRDefault="00B96A2C" w:rsidP="00D32D6A">
            <w:pPr>
              <w:rPr>
                <w:rFonts w:ascii="Times New Roman" w:hAnsi="Times New Roman" w:cs="Times New Roman"/>
                <w:sz w:val="20"/>
                <w:szCs w:val="20"/>
                <w:lang w:val="bg-BG"/>
              </w:rPr>
            </w:pPr>
          </w:p>
          <w:p w14:paraId="601049D4" w14:textId="77777777" w:rsidR="00B96A2C" w:rsidRPr="00610B1B" w:rsidRDefault="00B96A2C" w:rsidP="00D32D6A">
            <w:pPr>
              <w:rPr>
                <w:rFonts w:ascii="Times New Roman" w:hAnsi="Times New Roman" w:cs="Times New Roman"/>
                <w:sz w:val="20"/>
                <w:szCs w:val="20"/>
                <w:lang w:val="bg-BG"/>
              </w:rPr>
            </w:pPr>
          </w:p>
          <w:p w14:paraId="05BE80A1" w14:textId="77777777" w:rsidR="00B96A2C" w:rsidRPr="00610B1B" w:rsidRDefault="00B96A2C" w:rsidP="00D32D6A">
            <w:pPr>
              <w:rPr>
                <w:rFonts w:ascii="Times New Roman" w:hAnsi="Times New Roman" w:cs="Times New Roman"/>
                <w:sz w:val="20"/>
                <w:szCs w:val="20"/>
                <w:lang w:val="bg-BG"/>
              </w:rPr>
            </w:pPr>
          </w:p>
          <w:p w14:paraId="14590F07" w14:textId="77777777" w:rsidR="00B96A2C" w:rsidRPr="00610B1B" w:rsidRDefault="00B96A2C" w:rsidP="00D32D6A">
            <w:pPr>
              <w:rPr>
                <w:rFonts w:ascii="Times New Roman" w:hAnsi="Times New Roman" w:cs="Times New Roman"/>
                <w:sz w:val="20"/>
                <w:szCs w:val="20"/>
                <w:lang w:val="bg-BG"/>
              </w:rPr>
            </w:pPr>
          </w:p>
          <w:p w14:paraId="51DE54FA" w14:textId="57D9E9CC" w:rsidR="00B96A2C" w:rsidRPr="00610B1B" w:rsidRDefault="00B96A2C"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Недопускане на масовото разпространение на инвазивни и неместни видове</w:t>
            </w:r>
          </w:p>
        </w:tc>
        <w:tc>
          <w:tcPr>
            <w:tcW w:w="1376" w:type="dxa"/>
            <w:vAlign w:val="center"/>
          </w:tcPr>
          <w:p w14:paraId="596EEB70" w14:textId="0D1D30EE" w:rsidR="00DD6CD4" w:rsidRPr="00610B1B" w:rsidRDefault="00DD6CD4"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2027</w:t>
            </w:r>
          </w:p>
        </w:tc>
      </w:tr>
      <w:tr w:rsidR="00C519AD" w:rsidRPr="00610B1B" w14:paraId="0441DD20" w14:textId="77777777" w:rsidTr="00537D06">
        <w:tc>
          <w:tcPr>
            <w:tcW w:w="426" w:type="dxa"/>
            <w:vMerge w:val="restart"/>
            <w:vAlign w:val="center"/>
          </w:tcPr>
          <w:p w14:paraId="4B8F0954"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4</w:t>
            </w:r>
          </w:p>
        </w:tc>
        <w:tc>
          <w:tcPr>
            <w:tcW w:w="2693" w:type="dxa"/>
            <w:vMerge w:val="restart"/>
            <w:vAlign w:val="center"/>
          </w:tcPr>
          <w:p w14:paraId="4965A88B"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Крайбрежен и морски туризъм</w:t>
            </w:r>
          </w:p>
        </w:tc>
        <w:tc>
          <w:tcPr>
            <w:tcW w:w="5387" w:type="dxa"/>
          </w:tcPr>
          <w:p w14:paraId="5BFFABD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4.1. Да се предвидят стимули за диверсифициране на туристическия продукт и удължаване на активния сезон</w:t>
            </w:r>
          </w:p>
        </w:tc>
        <w:tc>
          <w:tcPr>
            <w:tcW w:w="1984" w:type="dxa"/>
          </w:tcPr>
          <w:p w14:paraId="7A70650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МТ, ОУТР Варна, ОУТР Бургас, МРРБ, общински администрации</w:t>
            </w:r>
          </w:p>
        </w:tc>
        <w:tc>
          <w:tcPr>
            <w:tcW w:w="3232" w:type="dxa"/>
          </w:tcPr>
          <w:p w14:paraId="44E04BB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Необходимост от конкретни действия за развитие на туризма в 4 сезона</w:t>
            </w:r>
          </w:p>
        </w:tc>
        <w:tc>
          <w:tcPr>
            <w:tcW w:w="1376" w:type="dxa"/>
            <w:vAlign w:val="center"/>
          </w:tcPr>
          <w:p w14:paraId="6BC51EF7"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32D24BE6" w14:textId="77777777" w:rsidTr="00537D06">
        <w:tc>
          <w:tcPr>
            <w:tcW w:w="426" w:type="dxa"/>
            <w:vMerge/>
            <w:vAlign w:val="center"/>
          </w:tcPr>
          <w:p w14:paraId="6DCCBD9C"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6292F139" w14:textId="77777777" w:rsidR="00C519AD" w:rsidRPr="00610B1B" w:rsidRDefault="00C519AD" w:rsidP="00537D06">
            <w:pPr>
              <w:rPr>
                <w:rFonts w:ascii="Times New Roman" w:hAnsi="Times New Roman" w:cs="Times New Roman"/>
                <w:sz w:val="20"/>
                <w:szCs w:val="20"/>
                <w:lang w:val="bg-BG"/>
              </w:rPr>
            </w:pPr>
          </w:p>
        </w:tc>
        <w:tc>
          <w:tcPr>
            <w:tcW w:w="5387" w:type="dxa"/>
          </w:tcPr>
          <w:p w14:paraId="3A3CF2BF" w14:textId="06577DB1" w:rsidR="00C519AD" w:rsidRPr="00610B1B" w:rsidRDefault="00C519AD" w:rsidP="00D32D6A">
            <w:pPr>
              <w:ind w:left="26" w:hanging="25"/>
              <w:rPr>
                <w:rFonts w:ascii="Times New Roman" w:hAnsi="Times New Roman" w:cs="Times New Roman"/>
                <w:sz w:val="20"/>
                <w:szCs w:val="20"/>
                <w:lang w:val="bg-BG"/>
              </w:rPr>
            </w:pPr>
            <w:r w:rsidRPr="00610B1B">
              <w:rPr>
                <w:rFonts w:ascii="Times New Roman" w:hAnsi="Times New Roman" w:cs="Times New Roman"/>
                <w:sz w:val="20"/>
                <w:szCs w:val="20"/>
                <w:lang w:val="bg-BG"/>
              </w:rPr>
              <w:t>4.2.</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Организиране на конкурс за „tailor made” предлагане извън традиционния сезон, по подобие на „син флаг“ за чисти и безопасни плажове.</w:t>
            </w:r>
          </w:p>
        </w:tc>
        <w:tc>
          <w:tcPr>
            <w:tcW w:w="1984" w:type="dxa"/>
          </w:tcPr>
          <w:p w14:paraId="4F395776"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МТ, ОУТР Варна, ОУТР Бургас, МРРБ, общински администрации</w:t>
            </w:r>
          </w:p>
        </w:tc>
        <w:tc>
          <w:tcPr>
            <w:tcW w:w="3232" w:type="dxa"/>
          </w:tcPr>
          <w:p w14:paraId="65DD2E0B"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Необходимост от ефективно използване на изградената база по Черноморското крайбрежие чрез удължаване на туристическия сезон. </w:t>
            </w:r>
          </w:p>
        </w:tc>
        <w:tc>
          <w:tcPr>
            <w:tcW w:w="1376" w:type="dxa"/>
            <w:vAlign w:val="center"/>
          </w:tcPr>
          <w:p w14:paraId="713C5693" w14:textId="61AD42C2"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256715B0" w14:textId="77777777" w:rsidTr="00537D06">
        <w:tc>
          <w:tcPr>
            <w:tcW w:w="426" w:type="dxa"/>
            <w:vMerge/>
            <w:vAlign w:val="center"/>
          </w:tcPr>
          <w:p w14:paraId="48B69231"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F134143" w14:textId="77777777" w:rsidR="00C519AD" w:rsidRPr="00610B1B" w:rsidRDefault="00C519AD" w:rsidP="00537D06">
            <w:pPr>
              <w:rPr>
                <w:rFonts w:ascii="Times New Roman" w:hAnsi="Times New Roman" w:cs="Times New Roman"/>
                <w:sz w:val="20"/>
                <w:szCs w:val="20"/>
                <w:lang w:val="bg-BG"/>
              </w:rPr>
            </w:pPr>
          </w:p>
        </w:tc>
        <w:tc>
          <w:tcPr>
            <w:tcW w:w="5387" w:type="dxa"/>
          </w:tcPr>
          <w:p w14:paraId="40BB6A8D" w14:textId="222D8332" w:rsidR="00C519AD" w:rsidRPr="00610B1B" w:rsidRDefault="00C519AD" w:rsidP="00D32D6A">
            <w:pPr>
              <w:ind w:left="26" w:hanging="25"/>
              <w:rPr>
                <w:rFonts w:ascii="Times New Roman" w:hAnsi="Times New Roman" w:cs="Times New Roman"/>
                <w:sz w:val="20"/>
                <w:szCs w:val="20"/>
                <w:lang w:val="bg-BG"/>
              </w:rPr>
            </w:pPr>
            <w:r w:rsidRPr="00610B1B">
              <w:rPr>
                <w:rFonts w:ascii="Times New Roman" w:hAnsi="Times New Roman" w:cs="Times New Roman"/>
                <w:sz w:val="20"/>
                <w:szCs w:val="20"/>
                <w:lang w:val="bg-BG"/>
              </w:rPr>
              <w:t>4.3. Спиране на усвояването на нови терени за изграждане на туристическа суперструктура</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 xml:space="preserve">посредством изменение в ЗУЧК </w:t>
            </w:r>
          </w:p>
        </w:tc>
        <w:tc>
          <w:tcPr>
            <w:tcW w:w="1984" w:type="dxa"/>
          </w:tcPr>
          <w:p w14:paraId="70F37A70"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МТ, МОСВ, общински администрации</w:t>
            </w:r>
          </w:p>
        </w:tc>
        <w:tc>
          <w:tcPr>
            <w:tcW w:w="3232" w:type="dxa"/>
          </w:tcPr>
          <w:p w14:paraId="47AD0503"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Ограничаване на свръхзастрояването и преминаване от количествено към качествено развитие</w:t>
            </w:r>
          </w:p>
        </w:tc>
        <w:tc>
          <w:tcPr>
            <w:tcW w:w="1376" w:type="dxa"/>
            <w:vAlign w:val="center"/>
          </w:tcPr>
          <w:p w14:paraId="53A61456"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7DC6EC6B" w14:textId="77777777" w:rsidTr="00537D06">
        <w:tc>
          <w:tcPr>
            <w:tcW w:w="426" w:type="dxa"/>
            <w:vMerge/>
            <w:vAlign w:val="center"/>
          </w:tcPr>
          <w:p w14:paraId="7EB7D0BC"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6CCFA74B" w14:textId="77777777" w:rsidR="00C519AD" w:rsidRPr="00610B1B" w:rsidRDefault="00C519AD" w:rsidP="00537D06">
            <w:pPr>
              <w:rPr>
                <w:rFonts w:ascii="Times New Roman" w:hAnsi="Times New Roman" w:cs="Times New Roman"/>
                <w:sz w:val="20"/>
                <w:szCs w:val="20"/>
                <w:lang w:val="bg-BG"/>
              </w:rPr>
            </w:pPr>
          </w:p>
        </w:tc>
        <w:tc>
          <w:tcPr>
            <w:tcW w:w="5387" w:type="dxa"/>
          </w:tcPr>
          <w:p w14:paraId="7551D0C5" w14:textId="77777777" w:rsidR="00C519AD" w:rsidRPr="00610B1B" w:rsidRDefault="00C519AD" w:rsidP="00D32D6A">
            <w:pPr>
              <w:ind w:left="26" w:hanging="25"/>
              <w:rPr>
                <w:rFonts w:ascii="Times New Roman" w:hAnsi="Times New Roman" w:cs="Times New Roman"/>
                <w:sz w:val="20"/>
                <w:szCs w:val="20"/>
                <w:lang w:val="bg-BG"/>
              </w:rPr>
            </w:pPr>
            <w:r w:rsidRPr="00610B1B">
              <w:rPr>
                <w:rFonts w:ascii="Times New Roman" w:hAnsi="Times New Roman" w:cs="Times New Roman"/>
                <w:sz w:val="20"/>
                <w:szCs w:val="20"/>
                <w:lang w:val="bg-BG"/>
              </w:rPr>
              <w:t>4.4. Междуведомствен диалог за създаване на адекватна туристическа инфраструктура, обслужваща културното наследство по Черноморското крайбрежие, с цел развитие на целогодишен културен туризъм</w:t>
            </w:r>
          </w:p>
        </w:tc>
        <w:tc>
          <w:tcPr>
            <w:tcW w:w="1984" w:type="dxa"/>
          </w:tcPr>
          <w:p w14:paraId="5EC2FE6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w:t>
            </w:r>
          </w:p>
          <w:p w14:paraId="79A620A9" w14:textId="7926E231"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МТ, МВР, МЗ</w:t>
            </w:r>
            <w:r w:rsidR="000A6746">
              <w:rPr>
                <w:rFonts w:ascii="Times New Roman" w:hAnsi="Times New Roman" w:cs="Times New Roman"/>
                <w:sz w:val="20"/>
                <w:szCs w:val="20"/>
                <w:lang w:val="bg-BG"/>
              </w:rPr>
              <w:t>м</w:t>
            </w:r>
          </w:p>
        </w:tc>
        <w:tc>
          <w:tcPr>
            <w:tcW w:w="3232" w:type="dxa"/>
          </w:tcPr>
          <w:p w14:paraId="753FE78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Обогатяване на туристическия продукт на Черноморското крайбрежие</w:t>
            </w:r>
          </w:p>
        </w:tc>
        <w:tc>
          <w:tcPr>
            <w:tcW w:w="1376" w:type="dxa"/>
            <w:vAlign w:val="center"/>
          </w:tcPr>
          <w:p w14:paraId="2FA23B3A"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66252365" w14:textId="77777777" w:rsidTr="00537D06">
        <w:tc>
          <w:tcPr>
            <w:tcW w:w="426" w:type="dxa"/>
            <w:vMerge/>
            <w:vAlign w:val="center"/>
          </w:tcPr>
          <w:p w14:paraId="5368C898"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75E455A5" w14:textId="77777777" w:rsidR="00C519AD" w:rsidRPr="00610B1B" w:rsidRDefault="00C519AD" w:rsidP="00537D06">
            <w:pPr>
              <w:rPr>
                <w:rFonts w:ascii="Times New Roman" w:hAnsi="Times New Roman" w:cs="Times New Roman"/>
                <w:sz w:val="20"/>
                <w:szCs w:val="20"/>
                <w:lang w:val="bg-BG"/>
              </w:rPr>
            </w:pPr>
          </w:p>
        </w:tc>
        <w:tc>
          <w:tcPr>
            <w:tcW w:w="5387" w:type="dxa"/>
          </w:tcPr>
          <w:p w14:paraId="1791F3C8" w14:textId="5541F9BA" w:rsidR="00C519AD" w:rsidRPr="00610B1B" w:rsidRDefault="009E604E" w:rsidP="00B46189">
            <w:pPr>
              <w:pStyle w:val="ListParagraph"/>
              <w:numPr>
                <w:ilvl w:val="1"/>
                <w:numId w:val="88"/>
              </w:numPr>
              <w:tabs>
                <w:tab w:val="left" w:pos="310"/>
              </w:tabs>
              <w:ind w:left="26" w:hanging="25"/>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 </w:t>
            </w:r>
            <w:r w:rsidR="00C519AD" w:rsidRPr="00610B1B">
              <w:rPr>
                <w:rFonts w:ascii="Times New Roman" w:hAnsi="Times New Roman" w:cs="Times New Roman"/>
                <w:sz w:val="20"/>
                <w:szCs w:val="20"/>
                <w:lang w:val="bg-BG"/>
              </w:rPr>
              <w:t>Популяризиране на обектите НКЦ в зони „А” и „Б” съгл. ЗУЧК и приоритетно включване в тематични туристически пакети, обвързващи рекреационния и културен туризъм</w:t>
            </w:r>
          </w:p>
          <w:p w14:paraId="5F1625A4" w14:textId="6F431ADB" w:rsidR="00990859" w:rsidRPr="00610B1B" w:rsidRDefault="00990859" w:rsidP="00990859">
            <w:pPr>
              <w:tabs>
                <w:tab w:val="left" w:pos="310"/>
              </w:tabs>
              <w:ind w:left="1"/>
              <w:rPr>
                <w:rFonts w:ascii="Times New Roman" w:hAnsi="Times New Roman" w:cs="Times New Roman"/>
                <w:sz w:val="20"/>
                <w:szCs w:val="20"/>
                <w:lang w:val="bg-BG"/>
              </w:rPr>
            </w:pPr>
            <w:r w:rsidRPr="00610B1B">
              <w:rPr>
                <w:rFonts w:ascii="Times New Roman" w:hAnsi="Times New Roman" w:cs="Times New Roman"/>
                <w:sz w:val="20"/>
                <w:szCs w:val="20"/>
                <w:lang w:val="bg-BG"/>
              </w:rPr>
              <w:t>---------------------------------------------------------------------------</w:t>
            </w:r>
          </w:p>
          <w:p w14:paraId="53B68065" w14:textId="48EFBA86" w:rsidR="00990859" w:rsidRPr="00610B1B" w:rsidRDefault="00990859" w:rsidP="00990859">
            <w:pPr>
              <w:tabs>
                <w:tab w:val="left" w:pos="310"/>
              </w:tabs>
              <w:jc w:val="both"/>
              <w:rPr>
                <w:rFonts w:ascii="Times New Roman" w:hAnsi="Times New Roman" w:cs="Times New Roman"/>
                <w:sz w:val="20"/>
                <w:szCs w:val="20"/>
                <w:lang w:val="bg-BG"/>
              </w:rPr>
            </w:pPr>
            <w:r w:rsidRPr="00610B1B">
              <w:rPr>
                <w:rFonts w:ascii="Times New Roman" w:hAnsi="Times New Roman" w:cs="Times New Roman"/>
                <w:sz w:val="20"/>
                <w:szCs w:val="20"/>
                <w:lang w:val="bg-BG"/>
              </w:rPr>
              <w:t>4.6. Разработване на единна стратегия за културен туризъм по крайбрежието в двататуристически района – Варненско и Бургаско Черноморие, с участието на всички заинтересовани страни: МТ и създадените центрове за организация и управление на туристическия район (ОУТР), морските общини и др. Диверсификация на дестинациите/услугите на културен туризъм и засилване на нетрадиционни такива (подводен туризъм, кулинарен туризъм и др.).</w:t>
            </w:r>
          </w:p>
        </w:tc>
        <w:tc>
          <w:tcPr>
            <w:tcW w:w="1984" w:type="dxa"/>
          </w:tcPr>
          <w:p w14:paraId="1B687A6F"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МТ</w:t>
            </w:r>
          </w:p>
          <w:p w14:paraId="152D6E5F"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АБТТА</w:t>
            </w:r>
          </w:p>
          <w:p w14:paraId="31F4D9F6" w14:textId="77777777" w:rsidR="00990859" w:rsidRPr="00610B1B" w:rsidRDefault="00990859" w:rsidP="00D32D6A">
            <w:pPr>
              <w:rPr>
                <w:rFonts w:ascii="Times New Roman" w:hAnsi="Times New Roman" w:cs="Times New Roman"/>
                <w:sz w:val="20"/>
                <w:szCs w:val="20"/>
                <w:lang w:val="bg-BG"/>
              </w:rPr>
            </w:pPr>
          </w:p>
          <w:p w14:paraId="3EFE7EBE" w14:textId="77777777" w:rsidR="00990859" w:rsidRPr="00610B1B" w:rsidRDefault="00990859" w:rsidP="00D32D6A">
            <w:pPr>
              <w:rPr>
                <w:rFonts w:ascii="Times New Roman" w:hAnsi="Times New Roman" w:cs="Times New Roman"/>
                <w:sz w:val="20"/>
                <w:szCs w:val="20"/>
                <w:lang w:val="bg-BG"/>
              </w:rPr>
            </w:pPr>
          </w:p>
          <w:p w14:paraId="72D54EC1" w14:textId="77777777" w:rsidR="00990859" w:rsidRPr="00610B1B" w:rsidRDefault="00990859" w:rsidP="00D32D6A">
            <w:pPr>
              <w:rPr>
                <w:rFonts w:ascii="Times New Roman" w:hAnsi="Times New Roman" w:cs="Times New Roman"/>
                <w:sz w:val="20"/>
                <w:szCs w:val="20"/>
                <w:lang w:val="bg-BG"/>
              </w:rPr>
            </w:pPr>
          </w:p>
          <w:p w14:paraId="7C3B2431" w14:textId="77777777" w:rsidR="00990859" w:rsidRPr="00610B1B" w:rsidRDefault="00990859" w:rsidP="00990859">
            <w:pPr>
              <w:rPr>
                <w:rFonts w:ascii="Times New Roman" w:hAnsi="Times New Roman" w:cs="Times New Roman"/>
                <w:sz w:val="20"/>
                <w:szCs w:val="20"/>
                <w:lang w:val="bg-BG"/>
              </w:rPr>
            </w:pPr>
            <w:r w:rsidRPr="00610B1B">
              <w:rPr>
                <w:rFonts w:ascii="Times New Roman" w:hAnsi="Times New Roman" w:cs="Times New Roman"/>
                <w:sz w:val="20"/>
                <w:szCs w:val="20"/>
                <w:lang w:val="bg-BG"/>
              </w:rPr>
              <w:t>МТ</w:t>
            </w:r>
          </w:p>
          <w:p w14:paraId="122DC2B4" w14:textId="44510262" w:rsidR="00990859" w:rsidRPr="00610B1B" w:rsidRDefault="00990859" w:rsidP="00D32D6A">
            <w:pPr>
              <w:rPr>
                <w:rFonts w:ascii="Times New Roman" w:hAnsi="Times New Roman" w:cs="Times New Roman"/>
                <w:sz w:val="20"/>
                <w:szCs w:val="20"/>
                <w:lang w:val="bg-BG"/>
              </w:rPr>
            </w:pPr>
          </w:p>
        </w:tc>
        <w:tc>
          <w:tcPr>
            <w:tcW w:w="3232" w:type="dxa"/>
          </w:tcPr>
          <w:p w14:paraId="7CDB05F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Обогатяване на туристическия продукт на Черноморското крайбрежие</w:t>
            </w:r>
          </w:p>
          <w:p w14:paraId="65C7D240" w14:textId="77777777" w:rsidR="00990859" w:rsidRPr="00610B1B" w:rsidRDefault="00990859" w:rsidP="00D32D6A">
            <w:pPr>
              <w:rPr>
                <w:rFonts w:ascii="Times New Roman" w:hAnsi="Times New Roman" w:cs="Times New Roman"/>
                <w:sz w:val="20"/>
                <w:szCs w:val="20"/>
                <w:lang w:val="bg-BG"/>
              </w:rPr>
            </w:pPr>
          </w:p>
          <w:p w14:paraId="65AEAA3B" w14:textId="77777777" w:rsidR="00990859" w:rsidRPr="00610B1B" w:rsidRDefault="00990859" w:rsidP="00D32D6A">
            <w:pPr>
              <w:rPr>
                <w:rFonts w:ascii="Times New Roman" w:hAnsi="Times New Roman" w:cs="Times New Roman"/>
                <w:sz w:val="20"/>
                <w:szCs w:val="20"/>
                <w:lang w:val="bg-BG"/>
              </w:rPr>
            </w:pPr>
          </w:p>
          <w:p w14:paraId="009326B9" w14:textId="7D2F549D" w:rsidR="00990859" w:rsidRPr="00610B1B" w:rsidRDefault="00990859"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Подобрен туристически продукт и привличане на нови туристи</w:t>
            </w:r>
          </w:p>
        </w:tc>
        <w:tc>
          <w:tcPr>
            <w:tcW w:w="1376" w:type="dxa"/>
            <w:vAlign w:val="center"/>
          </w:tcPr>
          <w:p w14:paraId="28412495"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294F59" w14:paraId="56FDB6B2" w14:textId="77777777" w:rsidTr="00537D06">
        <w:tc>
          <w:tcPr>
            <w:tcW w:w="426" w:type="dxa"/>
            <w:vAlign w:val="center"/>
          </w:tcPr>
          <w:p w14:paraId="39CBD908"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5</w:t>
            </w:r>
          </w:p>
        </w:tc>
        <w:tc>
          <w:tcPr>
            <w:tcW w:w="2693" w:type="dxa"/>
            <w:vAlign w:val="center"/>
          </w:tcPr>
          <w:p w14:paraId="5C51E950" w14:textId="2186BB76"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Информационни и комуникационни</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технологии и подводна инфраструктура</w:t>
            </w:r>
          </w:p>
        </w:tc>
        <w:tc>
          <w:tcPr>
            <w:tcW w:w="5387" w:type="dxa"/>
          </w:tcPr>
          <w:p w14:paraId="4D7080FF" w14:textId="4B27E4DE" w:rsidR="00C519AD" w:rsidRPr="00610B1B" w:rsidRDefault="00C519AD" w:rsidP="00B46189">
            <w:pPr>
              <w:pStyle w:val="ListParagraph"/>
              <w:numPr>
                <w:ilvl w:val="1"/>
                <w:numId w:val="87"/>
              </w:numPr>
              <w:tabs>
                <w:tab w:val="left" w:pos="310"/>
                <w:tab w:val="left" w:pos="394"/>
              </w:tabs>
              <w:ind w:left="168" w:hanging="142"/>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Координиране на дейността с дейностите по рибарство, морски транспорт, подводна археология</w:t>
            </w:r>
            <w:r w:rsidR="00D66FE0" w:rsidRPr="00610B1B">
              <w:rPr>
                <w:rFonts w:ascii="Times New Roman" w:hAnsi="Times New Roman" w:cs="Times New Roman"/>
                <w:sz w:val="20"/>
                <w:szCs w:val="20"/>
                <w:lang w:val="bg-BG"/>
              </w:rPr>
              <w:t xml:space="preserve"> </w:t>
            </w:r>
          </w:p>
        </w:tc>
        <w:tc>
          <w:tcPr>
            <w:tcW w:w="1984" w:type="dxa"/>
          </w:tcPr>
          <w:p w14:paraId="701195CB" w14:textId="63C07573" w:rsidR="00C519AD" w:rsidRPr="00610B1B" w:rsidRDefault="004E6C8D" w:rsidP="00D32D6A">
            <w:pPr>
              <w:rPr>
                <w:rFonts w:ascii="Times New Roman" w:hAnsi="Times New Roman" w:cs="Times New Roman"/>
                <w:sz w:val="20"/>
                <w:szCs w:val="20"/>
                <w:lang w:val="bg-BG"/>
              </w:rPr>
            </w:pPr>
            <w:r>
              <w:rPr>
                <w:rFonts w:ascii="Times New Roman" w:hAnsi="Times New Roman" w:cs="Times New Roman"/>
                <w:sz w:val="20"/>
                <w:szCs w:val="20"/>
                <w:lang w:val="bg-BG"/>
              </w:rPr>
              <w:t>МТС</w:t>
            </w:r>
          </w:p>
          <w:p w14:paraId="6DAC80CF"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МЕ</w:t>
            </w:r>
          </w:p>
          <w:p w14:paraId="0DD66CFA"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w:t>
            </w:r>
          </w:p>
          <w:p w14:paraId="761F7C52"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ИАРА</w:t>
            </w:r>
          </w:p>
        </w:tc>
        <w:tc>
          <w:tcPr>
            <w:tcW w:w="3232" w:type="dxa"/>
          </w:tcPr>
          <w:p w14:paraId="30F15D43"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Избягване на конфликти и увреждания на положена на морското дъно инфраструктура</w:t>
            </w:r>
          </w:p>
        </w:tc>
        <w:tc>
          <w:tcPr>
            <w:tcW w:w="1376" w:type="dxa"/>
            <w:vAlign w:val="center"/>
          </w:tcPr>
          <w:p w14:paraId="36939667"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2035</w:t>
            </w:r>
          </w:p>
        </w:tc>
      </w:tr>
      <w:tr w:rsidR="00C519AD" w:rsidRPr="00610B1B" w14:paraId="33B69BD1" w14:textId="77777777" w:rsidTr="00537D06">
        <w:tc>
          <w:tcPr>
            <w:tcW w:w="426" w:type="dxa"/>
            <w:vMerge w:val="restart"/>
            <w:vAlign w:val="center"/>
          </w:tcPr>
          <w:p w14:paraId="5E56BD3A"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6</w:t>
            </w:r>
          </w:p>
        </w:tc>
        <w:tc>
          <w:tcPr>
            <w:tcW w:w="2693" w:type="dxa"/>
            <w:vMerge w:val="restart"/>
            <w:vAlign w:val="center"/>
          </w:tcPr>
          <w:p w14:paraId="40A64FDC"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Кораборемонт и корабостроене</w:t>
            </w:r>
          </w:p>
        </w:tc>
        <w:tc>
          <w:tcPr>
            <w:tcW w:w="5387" w:type="dxa"/>
          </w:tcPr>
          <w:p w14:paraId="47527314" w14:textId="77777777" w:rsidR="00C519AD" w:rsidRPr="00610B1B" w:rsidRDefault="00C519AD" w:rsidP="00D32D6A">
            <w:pPr>
              <w:tabs>
                <w:tab w:val="left" w:pos="310"/>
              </w:tabs>
              <w:rPr>
                <w:rFonts w:ascii="Times New Roman" w:hAnsi="Times New Roman" w:cs="Times New Roman"/>
                <w:sz w:val="20"/>
                <w:szCs w:val="20"/>
                <w:lang w:val="bg-BG"/>
              </w:rPr>
            </w:pPr>
            <w:r w:rsidRPr="00610B1B">
              <w:rPr>
                <w:rFonts w:ascii="Times New Roman" w:hAnsi="Times New Roman" w:cs="Times New Roman"/>
                <w:sz w:val="20"/>
                <w:szCs w:val="20"/>
                <w:lang w:val="bg-BG"/>
              </w:rPr>
              <w:t>6.1. Целенасочена подкрепа за сектора в производството на плавателни съдове, отговарящи на съвременните изисквания, модерни навигационни прибори, енергоефективни двигатели.</w:t>
            </w:r>
          </w:p>
        </w:tc>
        <w:tc>
          <w:tcPr>
            <w:tcW w:w="1984" w:type="dxa"/>
          </w:tcPr>
          <w:p w14:paraId="41159D08" w14:textId="2081B381"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МИ</w:t>
            </w:r>
          </w:p>
        </w:tc>
        <w:tc>
          <w:tcPr>
            <w:tcW w:w="3232" w:type="dxa"/>
          </w:tcPr>
          <w:p w14:paraId="753622C8" w14:textId="66A6C3CF"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Неизползван потенциал и традиции в кораборемонтна и</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корабостроителна дейност</w:t>
            </w:r>
          </w:p>
        </w:tc>
        <w:tc>
          <w:tcPr>
            <w:tcW w:w="1376" w:type="dxa"/>
            <w:vAlign w:val="center"/>
          </w:tcPr>
          <w:p w14:paraId="38E13B8E"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31EB2D07" w14:textId="77777777" w:rsidTr="00537D06">
        <w:tc>
          <w:tcPr>
            <w:tcW w:w="426" w:type="dxa"/>
            <w:vMerge/>
            <w:vAlign w:val="center"/>
          </w:tcPr>
          <w:p w14:paraId="7F84639C"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4EE4AD7" w14:textId="77777777" w:rsidR="00C519AD" w:rsidRPr="00610B1B" w:rsidRDefault="00C519AD" w:rsidP="00537D06">
            <w:pPr>
              <w:rPr>
                <w:rFonts w:ascii="Times New Roman" w:hAnsi="Times New Roman" w:cs="Times New Roman"/>
                <w:sz w:val="20"/>
                <w:szCs w:val="20"/>
                <w:lang w:val="bg-BG"/>
              </w:rPr>
            </w:pPr>
          </w:p>
        </w:tc>
        <w:tc>
          <w:tcPr>
            <w:tcW w:w="5387" w:type="dxa"/>
          </w:tcPr>
          <w:p w14:paraId="14B9D4A1" w14:textId="2D5ED86C" w:rsidR="00C519AD" w:rsidRPr="00610B1B" w:rsidRDefault="009E604E" w:rsidP="00B46189">
            <w:pPr>
              <w:pStyle w:val="ListParagraph"/>
              <w:numPr>
                <w:ilvl w:val="1"/>
                <w:numId w:val="89"/>
              </w:numPr>
              <w:tabs>
                <w:tab w:val="left" w:pos="310"/>
              </w:tabs>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 </w:t>
            </w:r>
            <w:r w:rsidR="00C519AD" w:rsidRPr="00610B1B">
              <w:rPr>
                <w:rFonts w:ascii="Times New Roman" w:hAnsi="Times New Roman" w:cs="Times New Roman"/>
                <w:sz w:val="20"/>
                <w:szCs w:val="20"/>
                <w:lang w:val="bg-BG"/>
              </w:rPr>
              <w:t>Подготовка на кадри за сектора</w:t>
            </w:r>
          </w:p>
        </w:tc>
        <w:tc>
          <w:tcPr>
            <w:tcW w:w="1984" w:type="dxa"/>
          </w:tcPr>
          <w:p w14:paraId="381ED2A5"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МОН, ВУ</w:t>
            </w:r>
          </w:p>
        </w:tc>
        <w:tc>
          <w:tcPr>
            <w:tcW w:w="3232" w:type="dxa"/>
          </w:tcPr>
          <w:p w14:paraId="1183D996"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Потребност от добре подготвени кадри</w:t>
            </w:r>
          </w:p>
        </w:tc>
        <w:tc>
          <w:tcPr>
            <w:tcW w:w="1376" w:type="dxa"/>
            <w:vAlign w:val="center"/>
          </w:tcPr>
          <w:p w14:paraId="0A3F1A93"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14B3A4C9" w14:textId="77777777" w:rsidTr="00537D06">
        <w:tc>
          <w:tcPr>
            <w:tcW w:w="426" w:type="dxa"/>
            <w:vMerge w:val="restart"/>
            <w:vAlign w:val="center"/>
          </w:tcPr>
          <w:p w14:paraId="262B4527"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7</w:t>
            </w:r>
          </w:p>
        </w:tc>
        <w:tc>
          <w:tcPr>
            <w:tcW w:w="2693" w:type="dxa"/>
            <w:vMerge w:val="restart"/>
            <w:vAlign w:val="center"/>
          </w:tcPr>
          <w:p w14:paraId="6508BA50"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Пристанищна дейност</w:t>
            </w:r>
          </w:p>
        </w:tc>
        <w:tc>
          <w:tcPr>
            <w:tcW w:w="5387" w:type="dxa"/>
          </w:tcPr>
          <w:p w14:paraId="1AE08467" w14:textId="77777777" w:rsidR="00C519AD" w:rsidRPr="00610B1B" w:rsidRDefault="00C519AD" w:rsidP="00D32D6A">
            <w:pPr>
              <w:pStyle w:val="ListParagraph"/>
              <w:tabs>
                <w:tab w:val="left" w:pos="26"/>
              </w:tabs>
              <w:ind w:left="26"/>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7.1. Привличане на български и чуждестранни инвеститори и модернизация на сектора чрез инвестиции и нови технологии. </w:t>
            </w:r>
          </w:p>
        </w:tc>
        <w:tc>
          <w:tcPr>
            <w:tcW w:w="1984" w:type="dxa"/>
          </w:tcPr>
          <w:p w14:paraId="32442821" w14:textId="2AD010D7" w:rsidR="00C519AD" w:rsidRPr="00610B1B" w:rsidRDefault="004E6C8D" w:rsidP="00D32D6A">
            <w:pPr>
              <w:rPr>
                <w:rFonts w:ascii="Times New Roman" w:hAnsi="Times New Roman" w:cs="Times New Roman"/>
                <w:sz w:val="20"/>
                <w:szCs w:val="20"/>
                <w:lang w:val="bg-BG"/>
              </w:rPr>
            </w:pPr>
            <w:r>
              <w:rPr>
                <w:rFonts w:ascii="Times New Roman" w:hAnsi="Times New Roman" w:cs="Times New Roman"/>
                <w:sz w:val="20"/>
                <w:szCs w:val="20"/>
                <w:lang w:val="bg-BG"/>
              </w:rPr>
              <w:t>МТС</w:t>
            </w:r>
            <w:r w:rsidR="00C519AD" w:rsidRPr="00610B1B">
              <w:rPr>
                <w:rFonts w:ascii="Times New Roman" w:hAnsi="Times New Roman" w:cs="Times New Roman"/>
                <w:sz w:val="20"/>
                <w:szCs w:val="20"/>
                <w:lang w:val="bg-BG"/>
              </w:rPr>
              <w:t>, ДППИ,</w:t>
            </w:r>
            <w:r w:rsidR="004E6850" w:rsidRPr="00610B1B">
              <w:rPr>
                <w:rFonts w:ascii="Times New Roman" w:hAnsi="Times New Roman" w:cs="Times New Roman"/>
                <w:sz w:val="20"/>
                <w:szCs w:val="20"/>
                <w:lang w:val="en-US"/>
              </w:rPr>
              <w:t xml:space="preserve"> </w:t>
            </w:r>
            <w:r w:rsidR="00C519AD" w:rsidRPr="00610B1B">
              <w:rPr>
                <w:rFonts w:ascii="Times New Roman" w:hAnsi="Times New Roman" w:cs="Times New Roman"/>
                <w:sz w:val="20"/>
                <w:szCs w:val="20"/>
                <w:lang w:val="bg-BG"/>
              </w:rPr>
              <w:t>Общински администрации</w:t>
            </w:r>
          </w:p>
        </w:tc>
        <w:tc>
          <w:tcPr>
            <w:tcW w:w="3232" w:type="dxa"/>
          </w:tcPr>
          <w:p w14:paraId="7BC4431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Развитие на модерна пристанищна инфраструктура</w:t>
            </w:r>
          </w:p>
        </w:tc>
        <w:tc>
          <w:tcPr>
            <w:tcW w:w="1376" w:type="dxa"/>
            <w:vAlign w:val="center"/>
          </w:tcPr>
          <w:p w14:paraId="334FBA87"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6A75B219" w14:textId="77777777" w:rsidTr="00537D06">
        <w:tc>
          <w:tcPr>
            <w:tcW w:w="426" w:type="dxa"/>
            <w:vMerge/>
            <w:vAlign w:val="center"/>
          </w:tcPr>
          <w:p w14:paraId="4AC58165"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601D962" w14:textId="77777777" w:rsidR="00C519AD" w:rsidRPr="00610B1B" w:rsidRDefault="00C519AD" w:rsidP="00537D06">
            <w:pPr>
              <w:rPr>
                <w:rFonts w:ascii="Times New Roman" w:hAnsi="Times New Roman" w:cs="Times New Roman"/>
                <w:sz w:val="20"/>
                <w:szCs w:val="20"/>
                <w:lang w:val="bg-BG"/>
              </w:rPr>
            </w:pPr>
          </w:p>
        </w:tc>
        <w:tc>
          <w:tcPr>
            <w:tcW w:w="5387" w:type="dxa"/>
          </w:tcPr>
          <w:p w14:paraId="5FFD4856" w14:textId="4B390AA4" w:rsidR="00C519AD" w:rsidRPr="00610B1B" w:rsidRDefault="009E604E" w:rsidP="00B46189">
            <w:pPr>
              <w:pStyle w:val="ListParagraph"/>
              <w:numPr>
                <w:ilvl w:val="1"/>
                <w:numId w:val="90"/>
              </w:numPr>
              <w:tabs>
                <w:tab w:val="left" w:pos="310"/>
              </w:tabs>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 </w:t>
            </w:r>
            <w:r w:rsidR="00C519AD" w:rsidRPr="00610B1B">
              <w:rPr>
                <w:rFonts w:ascii="Times New Roman" w:hAnsi="Times New Roman" w:cs="Times New Roman"/>
                <w:sz w:val="20"/>
                <w:szCs w:val="20"/>
                <w:lang w:val="bg-BG"/>
              </w:rPr>
              <w:t>Стимулиране на публично-частни партньорства</w:t>
            </w:r>
          </w:p>
        </w:tc>
        <w:tc>
          <w:tcPr>
            <w:tcW w:w="1984" w:type="dxa"/>
          </w:tcPr>
          <w:p w14:paraId="12CCECE0" w14:textId="0B22CBB2" w:rsidR="00C519AD" w:rsidRPr="00610B1B" w:rsidRDefault="004E6C8D" w:rsidP="00D32D6A">
            <w:pPr>
              <w:rPr>
                <w:rFonts w:ascii="Times New Roman" w:hAnsi="Times New Roman" w:cs="Times New Roman"/>
                <w:sz w:val="20"/>
                <w:szCs w:val="20"/>
                <w:lang w:val="bg-BG"/>
              </w:rPr>
            </w:pPr>
            <w:r>
              <w:rPr>
                <w:rFonts w:ascii="Times New Roman" w:hAnsi="Times New Roman" w:cs="Times New Roman"/>
                <w:sz w:val="20"/>
                <w:szCs w:val="20"/>
                <w:lang w:val="bg-BG"/>
              </w:rPr>
              <w:t>МТС</w:t>
            </w:r>
            <w:r w:rsidR="00C519AD" w:rsidRPr="00610B1B">
              <w:rPr>
                <w:rFonts w:ascii="Times New Roman" w:hAnsi="Times New Roman" w:cs="Times New Roman"/>
                <w:sz w:val="20"/>
                <w:szCs w:val="20"/>
                <w:lang w:val="bg-BG"/>
              </w:rPr>
              <w:t>, ДППИ</w:t>
            </w:r>
          </w:p>
        </w:tc>
        <w:tc>
          <w:tcPr>
            <w:tcW w:w="3232" w:type="dxa"/>
          </w:tcPr>
          <w:p w14:paraId="5AA81AD9"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Привличане на частни капитали за модернизация на пристанищната инфраструктура</w:t>
            </w:r>
          </w:p>
        </w:tc>
        <w:tc>
          <w:tcPr>
            <w:tcW w:w="1376" w:type="dxa"/>
            <w:vAlign w:val="center"/>
          </w:tcPr>
          <w:p w14:paraId="7E1AEFFD"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04745818" w14:textId="77777777" w:rsidTr="00537D06">
        <w:tc>
          <w:tcPr>
            <w:tcW w:w="426" w:type="dxa"/>
            <w:vMerge/>
            <w:vAlign w:val="center"/>
          </w:tcPr>
          <w:p w14:paraId="403E4638"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3018A3B8" w14:textId="77777777" w:rsidR="00C519AD" w:rsidRPr="00610B1B" w:rsidRDefault="00C519AD" w:rsidP="00537D06">
            <w:pPr>
              <w:rPr>
                <w:rFonts w:ascii="Times New Roman" w:hAnsi="Times New Roman" w:cs="Times New Roman"/>
                <w:sz w:val="20"/>
                <w:szCs w:val="20"/>
                <w:lang w:val="bg-BG"/>
              </w:rPr>
            </w:pPr>
          </w:p>
        </w:tc>
        <w:tc>
          <w:tcPr>
            <w:tcW w:w="5387" w:type="dxa"/>
          </w:tcPr>
          <w:p w14:paraId="646FEB38" w14:textId="77777777" w:rsidR="00C519AD" w:rsidRPr="00610B1B" w:rsidRDefault="00C519AD" w:rsidP="00D32D6A">
            <w:pPr>
              <w:pBdr>
                <w:bottom w:val="single" w:sz="6" w:space="1" w:color="auto"/>
              </w:pBdr>
              <w:rPr>
                <w:rFonts w:ascii="Times New Roman" w:hAnsi="Times New Roman" w:cs="Times New Roman"/>
                <w:sz w:val="20"/>
                <w:szCs w:val="20"/>
                <w:lang w:val="bg-BG"/>
              </w:rPr>
            </w:pPr>
            <w:r w:rsidRPr="00610B1B">
              <w:rPr>
                <w:rFonts w:ascii="Times New Roman" w:hAnsi="Times New Roman" w:cs="Times New Roman"/>
                <w:sz w:val="20"/>
                <w:szCs w:val="20"/>
                <w:lang w:val="bg-BG"/>
              </w:rPr>
              <w:t>7.3. Изместване на пристанищните терминали извън централните градски зони и развитие на интермодални терминали</w:t>
            </w:r>
          </w:p>
          <w:p w14:paraId="68BE0FA0" w14:textId="77777777" w:rsidR="003331E2" w:rsidRPr="00610B1B" w:rsidRDefault="003331E2" w:rsidP="00D32D6A">
            <w:pPr>
              <w:rPr>
                <w:rFonts w:ascii="Times New Roman" w:hAnsi="Times New Roman" w:cs="Times New Roman"/>
                <w:sz w:val="20"/>
                <w:szCs w:val="20"/>
                <w:lang w:val="bg-BG"/>
              </w:rPr>
            </w:pPr>
          </w:p>
          <w:p w14:paraId="7EDB3A14" w14:textId="77777777" w:rsidR="00CB0470" w:rsidRPr="00610B1B" w:rsidRDefault="005B0197" w:rsidP="00D32D6A">
            <w:pPr>
              <w:pBdr>
                <w:bottom w:val="single" w:sz="6" w:space="1" w:color="auto"/>
              </w:pBdr>
              <w:rPr>
                <w:rFonts w:ascii="Times New Roman" w:hAnsi="Times New Roman" w:cs="Times New Roman"/>
                <w:sz w:val="20"/>
                <w:szCs w:val="20"/>
                <w:lang w:val="bg-BG"/>
              </w:rPr>
            </w:pPr>
            <w:r w:rsidRPr="00610B1B">
              <w:rPr>
                <w:rFonts w:ascii="Times New Roman" w:hAnsi="Times New Roman" w:cs="Times New Roman"/>
                <w:sz w:val="20"/>
                <w:szCs w:val="20"/>
                <w:lang w:val="bg-BG"/>
              </w:rPr>
              <w:t>7.4. Осъвременяване на системата за управление на корабните отпадъци води на пристанища Варна и Бургас като се разработи и внедри единна електронна база данни</w:t>
            </w:r>
          </w:p>
          <w:p w14:paraId="3C4D875C" w14:textId="2F1CB8DF" w:rsidR="00CB0470" w:rsidRPr="00610B1B" w:rsidRDefault="00CB0470" w:rsidP="00EE398C">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7.5. Оборудване на пристанищата със съвременни приемни съоръжения за </w:t>
            </w:r>
            <w:r w:rsidR="00760E2D">
              <w:rPr>
                <w:rFonts w:ascii="Times New Roman" w:hAnsi="Times New Roman" w:cs="Times New Roman"/>
                <w:sz w:val="20"/>
                <w:szCs w:val="20"/>
                <w:lang w:val="bg-BG"/>
              </w:rPr>
              <w:t>отпадъци</w:t>
            </w:r>
            <w:r w:rsidRPr="00610B1B">
              <w:rPr>
                <w:rFonts w:ascii="Times New Roman" w:hAnsi="Times New Roman" w:cs="Times New Roman"/>
                <w:sz w:val="20"/>
                <w:szCs w:val="20"/>
                <w:lang w:val="bg-BG"/>
              </w:rPr>
              <w:t xml:space="preserve"> от корабите, отговарящи на международните конвенции и директиви на ЕС.</w:t>
            </w:r>
          </w:p>
        </w:tc>
        <w:tc>
          <w:tcPr>
            <w:tcW w:w="1984" w:type="dxa"/>
          </w:tcPr>
          <w:p w14:paraId="150D869B" w14:textId="50ED18FF" w:rsidR="00C519AD" w:rsidRPr="00610B1B" w:rsidRDefault="004E6C8D" w:rsidP="00D32D6A">
            <w:pPr>
              <w:rPr>
                <w:rFonts w:ascii="Times New Roman" w:hAnsi="Times New Roman" w:cs="Times New Roman"/>
                <w:sz w:val="20"/>
                <w:szCs w:val="20"/>
                <w:lang w:val="bg-BG"/>
              </w:rPr>
            </w:pPr>
            <w:r>
              <w:rPr>
                <w:rFonts w:ascii="Times New Roman" w:hAnsi="Times New Roman" w:cs="Times New Roman"/>
                <w:sz w:val="20"/>
                <w:szCs w:val="20"/>
                <w:lang w:val="bg-BG"/>
              </w:rPr>
              <w:t>МТС</w:t>
            </w:r>
            <w:r w:rsidR="00C519AD" w:rsidRPr="00610B1B">
              <w:rPr>
                <w:rFonts w:ascii="Times New Roman" w:hAnsi="Times New Roman" w:cs="Times New Roman"/>
                <w:sz w:val="20"/>
                <w:szCs w:val="20"/>
                <w:lang w:val="bg-BG"/>
              </w:rPr>
              <w:t>, ДППИ, МРРБ, общински администрации</w:t>
            </w:r>
          </w:p>
          <w:p w14:paraId="4B50EFEA" w14:textId="77777777" w:rsidR="003331E2" w:rsidRPr="00610B1B" w:rsidRDefault="003331E2" w:rsidP="00D32D6A">
            <w:pPr>
              <w:rPr>
                <w:rFonts w:ascii="Times New Roman" w:hAnsi="Times New Roman" w:cs="Times New Roman"/>
                <w:sz w:val="20"/>
                <w:szCs w:val="20"/>
                <w:lang w:val="bg-BG"/>
              </w:rPr>
            </w:pPr>
          </w:p>
          <w:p w14:paraId="3070298A" w14:textId="77777777" w:rsidR="003331E2" w:rsidRPr="00610B1B" w:rsidRDefault="003331E2" w:rsidP="00D32D6A">
            <w:pPr>
              <w:rPr>
                <w:rFonts w:ascii="Times New Roman" w:hAnsi="Times New Roman" w:cs="Times New Roman"/>
                <w:sz w:val="20"/>
                <w:szCs w:val="20"/>
                <w:lang w:val="bg-BG"/>
              </w:rPr>
            </w:pPr>
          </w:p>
          <w:p w14:paraId="054EB323" w14:textId="5E6A55F3" w:rsidR="003331E2" w:rsidRPr="00610B1B" w:rsidRDefault="003331E2"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ДППИ</w:t>
            </w:r>
          </w:p>
        </w:tc>
        <w:tc>
          <w:tcPr>
            <w:tcW w:w="3232" w:type="dxa"/>
          </w:tcPr>
          <w:p w14:paraId="5AE53EFA"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Ефективно използване на територията и обвързване на градските и морските пространства</w:t>
            </w:r>
          </w:p>
          <w:p w14:paraId="54A350F6" w14:textId="77777777" w:rsidR="003331E2" w:rsidRPr="00610B1B" w:rsidRDefault="003331E2" w:rsidP="00D32D6A">
            <w:pPr>
              <w:rPr>
                <w:rFonts w:ascii="Times New Roman" w:hAnsi="Times New Roman" w:cs="Times New Roman"/>
                <w:sz w:val="20"/>
                <w:szCs w:val="20"/>
                <w:lang w:val="bg-BG"/>
              </w:rPr>
            </w:pPr>
          </w:p>
          <w:p w14:paraId="373AE99B" w14:textId="014F9381" w:rsidR="003331E2" w:rsidRPr="00610B1B" w:rsidRDefault="003331E2"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Поддържане чистотата на морските пространства</w:t>
            </w:r>
          </w:p>
        </w:tc>
        <w:tc>
          <w:tcPr>
            <w:tcW w:w="1376" w:type="dxa"/>
            <w:vAlign w:val="center"/>
          </w:tcPr>
          <w:p w14:paraId="6A20B95F"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E960FA" w:rsidRPr="00610B1B" w14:paraId="10C7AE09" w14:textId="77777777" w:rsidTr="00537D06">
        <w:tc>
          <w:tcPr>
            <w:tcW w:w="426" w:type="dxa"/>
            <w:vMerge w:val="restart"/>
            <w:vAlign w:val="center"/>
          </w:tcPr>
          <w:p w14:paraId="7E643761" w14:textId="77777777" w:rsidR="00E960FA" w:rsidRPr="00610B1B" w:rsidRDefault="00E960FA"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8</w:t>
            </w:r>
          </w:p>
        </w:tc>
        <w:tc>
          <w:tcPr>
            <w:tcW w:w="2693" w:type="dxa"/>
            <w:vMerge w:val="restart"/>
            <w:vAlign w:val="center"/>
          </w:tcPr>
          <w:p w14:paraId="65AD79F3" w14:textId="77777777" w:rsidR="00E960FA" w:rsidRPr="00610B1B" w:rsidRDefault="00E960F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Проучване и добив на неживи ресурси</w:t>
            </w:r>
          </w:p>
        </w:tc>
        <w:tc>
          <w:tcPr>
            <w:tcW w:w="5387" w:type="dxa"/>
            <w:shd w:val="clear" w:color="auto" w:fill="auto"/>
          </w:tcPr>
          <w:p w14:paraId="4B2C46E7" w14:textId="5F537E8A" w:rsidR="00E960FA" w:rsidRPr="00610B1B" w:rsidRDefault="00E960FA" w:rsidP="006543DF">
            <w:pPr>
              <w:rPr>
                <w:rFonts w:ascii="Times New Roman" w:hAnsi="Times New Roman" w:cs="Times New Roman"/>
                <w:sz w:val="20"/>
                <w:szCs w:val="20"/>
                <w:lang w:val="bg-BG"/>
              </w:rPr>
            </w:pPr>
            <w:r w:rsidRPr="00610B1B">
              <w:rPr>
                <w:rFonts w:ascii="Times New Roman" w:hAnsi="Times New Roman" w:cs="Times New Roman"/>
                <w:sz w:val="20"/>
                <w:szCs w:val="20"/>
                <w:lang w:val="bg-BG"/>
              </w:rPr>
              <w:t>8.1. Стимулиране на научните изследвания и проучване на нови технологии за добив на сероводород и на газокарбонати в Черно море.</w:t>
            </w:r>
          </w:p>
        </w:tc>
        <w:tc>
          <w:tcPr>
            <w:tcW w:w="1984" w:type="dxa"/>
            <w:shd w:val="clear" w:color="auto" w:fill="auto"/>
          </w:tcPr>
          <w:p w14:paraId="7CA8EDC5" w14:textId="6652A106" w:rsidR="00E960FA" w:rsidRPr="00610B1B" w:rsidRDefault="00E960FA" w:rsidP="006543DF">
            <w:pPr>
              <w:rPr>
                <w:rFonts w:ascii="Times New Roman" w:hAnsi="Times New Roman" w:cs="Times New Roman"/>
                <w:sz w:val="20"/>
                <w:szCs w:val="20"/>
                <w:lang w:val="bg-BG"/>
              </w:rPr>
            </w:pPr>
            <w:r w:rsidRPr="00610B1B">
              <w:rPr>
                <w:rFonts w:ascii="Times New Roman" w:hAnsi="Times New Roman" w:cs="Times New Roman"/>
                <w:sz w:val="20"/>
                <w:szCs w:val="20"/>
                <w:lang w:val="bg-BG"/>
              </w:rPr>
              <w:t>МОН, МИ, МЕ, ИО</w:t>
            </w:r>
            <w:r w:rsidR="00B8047B">
              <w:rPr>
                <w:rFonts w:ascii="Times New Roman" w:hAnsi="Times New Roman" w:cs="Times New Roman"/>
                <w:sz w:val="20"/>
                <w:szCs w:val="20"/>
                <w:lang w:val="bg-BG"/>
              </w:rPr>
              <w:t>,</w:t>
            </w:r>
            <w:r w:rsidRPr="00610B1B">
              <w:rPr>
                <w:rFonts w:ascii="Times New Roman" w:hAnsi="Times New Roman" w:cs="Times New Roman"/>
                <w:sz w:val="20"/>
                <w:szCs w:val="20"/>
                <w:lang w:val="bg-BG"/>
              </w:rPr>
              <w:t xml:space="preserve"> </w:t>
            </w:r>
            <w:r w:rsidR="00B8047B">
              <w:rPr>
                <w:rFonts w:ascii="Times New Roman" w:hAnsi="Times New Roman" w:cs="Times New Roman"/>
                <w:sz w:val="20"/>
                <w:szCs w:val="20"/>
                <w:lang w:val="bg-BG"/>
              </w:rPr>
              <w:t>Н</w:t>
            </w:r>
            <w:r w:rsidRPr="00610B1B">
              <w:rPr>
                <w:rFonts w:ascii="Times New Roman" w:hAnsi="Times New Roman" w:cs="Times New Roman"/>
                <w:sz w:val="20"/>
                <w:szCs w:val="20"/>
                <w:lang w:val="bg-BG"/>
              </w:rPr>
              <w:t>ИГГГ на БАН.</w:t>
            </w:r>
          </w:p>
        </w:tc>
        <w:tc>
          <w:tcPr>
            <w:tcW w:w="3232" w:type="dxa"/>
            <w:shd w:val="clear" w:color="auto" w:fill="auto"/>
          </w:tcPr>
          <w:p w14:paraId="77B6A74F" w14:textId="6E79E113" w:rsidR="00E960FA" w:rsidRPr="00610B1B" w:rsidRDefault="00E960FA" w:rsidP="006543DF">
            <w:pPr>
              <w:jc w:val="both"/>
              <w:rPr>
                <w:rFonts w:ascii="Times New Roman" w:hAnsi="Times New Roman" w:cs="Times New Roman"/>
                <w:sz w:val="20"/>
                <w:szCs w:val="20"/>
                <w:lang w:val="bg-BG"/>
              </w:rPr>
            </w:pPr>
            <w:r w:rsidRPr="00610B1B">
              <w:rPr>
                <w:rFonts w:ascii="Times New Roman" w:hAnsi="Times New Roman" w:cs="Times New Roman"/>
                <w:sz w:val="20"/>
                <w:szCs w:val="20"/>
                <w:lang w:val="bg-BG"/>
              </w:rPr>
              <w:t>Обвързване на научните изследвания с добивната дейност</w:t>
            </w:r>
          </w:p>
        </w:tc>
        <w:tc>
          <w:tcPr>
            <w:tcW w:w="1376" w:type="dxa"/>
            <w:shd w:val="clear" w:color="auto" w:fill="auto"/>
          </w:tcPr>
          <w:p w14:paraId="353D6E92" w14:textId="54BC9368" w:rsidR="00E960FA" w:rsidRPr="00610B1B" w:rsidRDefault="00E960FA" w:rsidP="006543DF">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E960FA" w:rsidRPr="00610B1B" w14:paraId="5AC61BB2" w14:textId="77777777" w:rsidTr="00537D06">
        <w:tc>
          <w:tcPr>
            <w:tcW w:w="426" w:type="dxa"/>
            <w:vMerge/>
            <w:vAlign w:val="center"/>
          </w:tcPr>
          <w:p w14:paraId="7EAEA155" w14:textId="77777777" w:rsidR="00E960FA" w:rsidRPr="00610B1B" w:rsidRDefault="00E960FA" w:rsidP="00537D06">
            <w:pPr>
              <w:jc w:val="center"/>
              <w:rPr>
                <w:rFonts w:ascii="Times New Roman" w:hAnsi="Times New Roman" w:cs="Times New Roman"/>
                <w:sz w:val="20"/>
                <w:szCs w:val="20"/>
                <w:lang w:val="bg-BG"/>
              </w:rPr>
            </w:pPr>
          </w:p>
        </w:tc>
        <w:tc>
          <w:tcPr>
            <w:tcW w:w="2693" w:type="dxa"/>
            <w:vMerge/>
            <w:vAlign w:val="center"/>
          </w:tcPr>
          <w:p w14:paraId="0C7023C2" w14:textId="77777777" w:rsidR="00E960FA" w:rsidRPr="00610B1B" w:rsidRDefault="00E960FA" w:rsidP="00537D06">
            <w:pPr>
              <w:rPr>
                <w:rFonts w:ascii="Times New Roman" w:hAnsi="Times New Roman" w:cs="Times New Roman"/>
                <w:sz w:val="20"/>
                <w:szCs w:val="20"/>
                <w:lang w:val="bg-BG"/>
              </w:rPr>
            </w:pPr>
          </w:p>
        </w:tc>
        <w:tc>
          <w:tcPr>
            <w:tcW w:w="5387" w:type="dxa"/>
            <w:shd w:val="clear" w:color="auto" w:fill="auto"/>
          </w:tcPr>
          <w:p w14:paraId="45186FEA" w14:textId="27EA2BE7" w:rsidR="00E960FA" w:rsidRPr="00610B1B" w:rsidRDefault="00E960FA" w:rsidP="00C57052">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8.2. </w:t>
            </w:r>
            <w:r w:rsidR="00C57052" w:rsidRPr="00610B1B">
              <w:rPr>
                <w:rFonts w:ascii="Times New Roman" w:hAnsi="Times New Roman" w:cs="Times New Roman"/>
                <w:sz w:val="20"/>
                <w:szCs w:val="20"/>
                <w:lang w:val="bg-BG"/>
              </w:rPr>
              <w:t xml:space="preserve">Съгласуване на разрешенията за проучване и добив на неживи ресурси с МК и Центъра за подводна археология </w:t>
            </w:r>
          </w:p>
        </w:tc>
        <w:tc>
          <w:tcPr>
            <w:tcW w:w="1984" w:type="dxa"/>
            <w:shd w:val="clear" w:color="auto" w:fill="auto"/>
          </w:tcPr>
          <w:p w14:paraId="558A44D0" w14:textId="35F046A2" w:rsidR="00E960FA" w:rsidRPr="00610B1B" w:rsidRDefault="00C57052" w:rsidP="00C57052">
            <w:pPr>
              <w:rPr>
                <w:rFonts w:ascii="Times New Roman" w:hAnsi="Times New Roman" w:cs="Times New Roman"/>
                <w:sz w:val="20"/>
                <w:szCs w:val="20"/>
                <w:lang w:val="bg-BG"/>
              </w:rPr>
            </w:pPr>
            <w:r w:rsidRPr="00610B1B">
              <w:rPr>
                <w:rFonts w:ascii="Times New Roman" w:hAnsi="Times New Roman" w:cs="Times New Roman"/>
                <w:sz w:val="20"/>
                <w:szCs w:val="20"/>
                <w:lang w:val="bg-BG"/>
              </w:rPr>
              <w:t>МК и ЦПА</w:t>
            </w:r>
          </w:p>
        </w:tc>
        <w:tc>
          <w:tcPr>
            <w:tcW w:w="3232" w:type="dxa"/>
            <w:shd w:val="clear" w:color="auto" w:fill="auto"/>
          </w:tcPr>
          <w:p w14:paraId="347ED37A" w14:textId="7E88130E" w:rsidR="00E960FA" w:rsidRPr="00610B1B" w:rsidRDefault="00C57052" w:rsidP="006543DF">
            <w:pPr>
              <w:jc w:val="both"/>
              <w:rPr>
                <w:rFonts w:ascii="Times New Roman" w:hAnsi="Times New Roman" w:cs="Times New Roman"/>
                <w:sz w:val="20"/>
                <w:szCs w:val="20"/>
                <w:lang w:val="bg-BG"/>
              </w:rPr>
            </w:pPr>
            <w:r w:rsidRPr="00610B1B">
              <w:rPr>
                <w:rFonts w:ascii="Times New Roman" w:hAnsi="Times New Roman" w:cs="Times New Roman"/>
                <w:sz w:val="20"/>
                <w:szCs w:val="20"/>
                <w:lang w:val="bg-BG"/>
              </w:rPr>
              <w:t>Опазване на подводното културно наследство</w:t>
            </w:r>
          </w:p>
        </w:tc>
        <w:tc>
          <w:tcPr>
            <w:tcW w:w="1376" w:type="dxa"/>
            <w:shd w:val="clear" w:color="auto" w:fill="auto"/>
          </w:tcPr>
          <w:p w14:paraId="0083C917" w14:textId="03F6846B" w:rsidR="00E960FA" w:rsidRPr="00610B1B" w:rsidRDefault="00C57052" w:rsidP="006543DF">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2021</w:t>
            </w:r>
          </w:p>
        </w:tc>
      </w:tr>
      <w:tr w:rsidR="00C519AD" w:rsidRPr="00610B1B" w14:paraId="258F6C5A" w14:textId="77777777" w:rsidTr="00537D06">
        <w:tc>
          <w:tcPr>
            <w:tcW w:w="426" w:type="dxa"/>
            <w:vAlign w:val="center"/>
          </w:tcPr>
          <w:p w14:paraId="576C3E53"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9</w:t>
            </w:r>
          </w:p>
        </w:tc>
        <w:tc>
          <w:tcPr>
            <w:tcW w:w="2693" w:type="dxa"/>
            <w:vAlign w:val="center"/>
          </w:tcPr>
          <w:p w14:paraId="6E9FD2B0"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Морски биотехнологии</w:t>
            </w:r>
          </w:p>
        </w:tc>
        <w:tc>
          <w:tcPr>
            <w:tcW w:w="5387" w:type="dxa"/>
          </w:tcPr>
          <w:p w14:paraId="0462904B" w14:textId="198834C9"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9.1. Приоритетно финансиране на проекти за развитие на биотехнологии, свързани с морето за по-ефективно използване на неговите ресурси</w:t>
            </w:r>
          </w:p>
        </w:tc>
        <w:tc>
          <w:tcPr>
            <w:tcW w:w="1984" w:type="dxa"/>
          </w:tcPr>
          <w:p w14:paraId="54464584" w14:textId="4D5DED0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МОН, МЗ</w:t>
            </w:r>
            <w:r w:rsidR="003F268E">
              <w:rPr>
                <w:rFonts w:ascii="Times New Roman" w:hAnsi="Times New Roman" w:cs="Times New Roman"/>
                <w:sz w:val="20"/>
                <w:szCs w:val="20"/>
                <w:lang w:val="bg-BG"/>
              </w:rPr>
              <w:t>м</w:t>
            </w:r>
          </w:p>
          <w:p w14:paraId="26E5C29B"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МИ</w:t>
            </w:r>
          </w:p>
        </w:tc>
        <w:tc>
          <w:tcPr>
            <w:tcW w:w="3232" w:type="dxa"/>
          </w:tcPr>
          <w:p w14:paraId="57676C21"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Неоползотворен потенциал на морските ресурси с високи качества за производства във фармацевтичната, козметичната и други индустрии</w:t>
            </w:r>
          </w:p>
        </w:tc>
        <w:tc>
          <w:tcPr>
            <w:tcW w:w="1376" w:type="dxa"/>
            <w:vAlign w:val="center"/>
          </w:tcPr>
          <w:p w14:paraId="35AC1431"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6E6AAD64" w14:textId="77777777" w:rsidTr="00537D06">
        <w:tc>
          <w:tcPr>
            <w:tcW w:w="426" w:type="dxa"/>
            <w:vMerge w:val="restart"/>
            <w:vAlign w:val="center"/>
          </w:tcPr>
          <w:p w14:paraId="0A3C764A"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10</w:t>
            </w:r>
          </w:p>
        </w:tc>
        <w:tc>
          <w:tcPr>
            <w:tcW w:w="2693" w:type="dxa"/>
            <w:vMerge w:val="restart"/>
            <w:vAlign w:val="center"/>
          </w:tcPr>
          <w:p w14:paraId="4C92B432"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Драгиране и депониране на драгажна маса</w:t>
            </w:r>
          </w:p>
        </w:tc>
        <w:tc>
          <w:tcPr>
            <w:tcW w:w="5387" w:type="dxa"/>
          </w:tcPr>
          <w:p w14:paraId="3317CEA9" w14:textId="77777777" w:rsidR="00C519AD" w:rsidRPr="00610B1B" w:rsidRDefault="00C519AD" w:rsidP="00D32D6A">
            <w:pPr>
              <w:pStyle w:val="ListParagraph"/>
              <w:ind w:left="26"/>
              <w:contextualSpacing w:val="0"/>
              <w:jc w:val="both"/>
              <w:rPr>
                <w:rFonts w:ascii="Times New Roman" w:hAnsi="Times New Roman" w:cs="Times New Roman"/>
                <w:sz w:val="20"/>
                <w:szCs w:val="20"/>
                <w:lang w:val="bg-BG"/>
              </w:rPr>
            </w:pPr>
            <w:r w:rsidRPr="00610B1B">
              <w:rPr>
                <w:rFonts w:ascii="Times New Roman" w:hAnsi="Times New Roman" w:cs="Times New Roman"/>
                <w:sz w:val="20"/>
                <w:szCs w:val="20"/>
                <w:lang w:val="bg-BG"/>
              </w:rPr>
              <w:t>10.1. Да се ограничат причините за голямата потребност от драгиране във Варненското езеро</w:t>
            </w:r>
          </w:p>
        </w:tc>
        <w:tc>
          <w:tcPr>
            <w:tcW w:w="1984" w:type="dxa"/>
          </w:tcPr>
          <w:p w14:paraId="336003D6"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ДППИ</w:t>
            </w:r>
          </w:p>
        </w:tc>
        <w:tc>
          <w:tcPr>
            <w:tcW w:w="3232" w:type="dxa"/>
          </w:tcPr>
          <w:p w14:paraId="057FE570"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Ограничаване на използването на публични средства за частни интереси</w:t>
            </w:r>
          </w:p>
        </w:tc>
        <w:tc>
          <w:tcPr>
            <w:tcW w:w="1376" w:type="dxa"/>
            <w:vAlign w:val="center"/>
          </w:tcPr>
          <w:p w14:paraId="1691B21D"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161E49B8" w14:textId="77777777" w:rsidTr="00537D06">
        <w:tc>
          <w:tcPr>
            <w:tcW w:w="426" w:type="dxa"/>
            <w:vMerge/>
            <w:vAlign w:val="center"/>
          </w:tcPr>
          <w:p w14:paraId="0D8AD1A3"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21991AE1" w14:textId="77777777" w:rsidR="00C519AD" w:rsidRPr="00610B1B" w:rsidRDefault="00C519AD" w:rsidP="00537D06">
            <w:pPr>
              <w:rPr>
                <w:rFonts w:ascii="Times New Roman" w:hAnsi="Times New Roman" w:cs="Times New Roman"/>
                <w:sz w:val="20"/>
                <w:szCs w:val="20"/>
                <w:lang w:val="bg-BG"/>
              </w:rPr>
            </w:pPr>
          </w:p>
        </w:tc>
        <w:tc>
          <w:tcPr>
            <w:tcW w:w="5387" w:type="dxa"/>
          </w:tcPr>
          <w:p w14:paraId="7AB40943" w14:textId="77777777" w:rsidR="001E1A48"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10.2. Изследване на потенциалните места за депониране на драгажна маса с оглед намаляване на вредните въздействия върху морската околна среда и ограничаване на затрупването на местообитания.</w:t>
            </w:r>
          </w:p>
          <w:p w14:paraId="167876A8" w14:textId="77777777" w:rsidR="00C519AD" w:rsidRPr="00610B1B" w:rsidRDefault="001E1A48" w:rsidP="00D32D6A">
            <w:pPr>
              <w:pBdr>
                <w:top w:val="single" w:sz="6" w:space="1" w:color="auto"/>
                <w:bottom w:val="single" w:sz="6" w:space="1" w:color="auto"/>
              </w:pBdr>
              <w:rPr>
                <w:rFonts w:ascii="Times New Roman" w:hAnsi="Times New Roman" w:cs="Times New Roman"/>
                <w:color w:val="000000"/>
                <w:sz w:val="20"/>
                <w:szCs w:val="20"/>
                <w:lang w:val="bg-BG" w:eastAsia="bg-BG" w:bidi="bg-BG"/>
              </w:rPr>
            </w:pPr>
            <w:r w:rsidRPr="00610B1B">
              <w:rPr>
                <w:rFonts w:ascii="Times New Roman" w:hAnsi="Times New Roman" w:cs="Times New Roman"/>
                <w:sz w:val="20"/>
                <w:szCs w:val="20"/>
                <w:lang w:val="bg-BG"/>
              </w:rPr>
              <w:t xml:space="preserve">10.3. </w:t>
            </w:r>
            <w:r w:rsidR="00C519AD" w:rsidRPr="00610B1B">
              <w:rPr>
                <w:rFonts w:ascii="Times New Roman" w:hAnsi="Times New Roman" w:cs="Times New Roman"/>
                <w:sz w:val="20"/>
                <w:szCs w:val="20"/>
                <w:lang w:val="bg-BG"/>
              </w:rPr>
              <w:t xml:space="preserve"> </w:t>
            </w:r>
            <w:r w:rsidRPr="00610B1B">
              <w:rPr>
                <w:rFonts w:ascii="Times New Roman" w:hAnsi="Times New Roman" w:cs="Times New Roman"/>
                <w:color w:val="000000"/>
                <w:sz w:val="20"/>
                <w:szCs w:val="20"/>
                <w:lang w:val="bg-BG" w:eastAsia="bg-BG" w:bidi="bg-BG"/>
              </w:rPr>
              <w:t xml:space="preserve">През периода март-април, когато карагьозът </w:t>
            </w:r>
            <w:r w:rsidRPr="00610B1B">
              <w:rPr>
                <w:rStyle w:val="Bodytext2Italic"/>
                <w:rFonts w:eastAsia="Courier New"/>
                <w:sz w:val="20"/>
                <w:szCs w:val="20"/>
              </w:rPr>
              <w:t>(</w:t>
            </w:r>
            <w:r w:rsidRPr="00610B1B">
              <w:rPr>
                <w:rStyle w:val="Bodytext2Italic"/>
                <w:rFonts w:eastAsia="Courier New"/>
                <w:sz w:val="20"/>
                <w:szCs w:val="20"/>
                <w:lang w:bidi="en-US"/>
              </w:rPr>
              <w:t>Alosa immacilata)</w:t>
            </w:r>
            <w:r w:rsidRPr="00610B1B">
              <w:rPr>
                <w:rFonts w:ascii="Times New Roman" w:hAnsi="Times New Roman" w:cs="Times New Roman"/>
                <w:color w:val="000000"/>
                <w:sz w:val="20"/>
                <w:szCs w:val="20"/>
                <w:lang w:val="bg-BG" w:bidi="en-US"/>
              </w:rPr>
              <w:t xml:space="preserve"> </w:t>
            </w:r>
            <w:r w:rsidRPr="00610B1B">
              <w:rPr>
                <w:rFonts w:ascii="Times New Roman" w:hAnsi="Times New Roman" w:cs="Times New Roman"/>
                <w:color w:val="000000"/>
                <w:sz w:val="20"/>
                <w:szCs w:val="20"/>
                <w:lang w:val="bg-BG" w:eastAsia="bg-BG" w:bidi="bg-BG"/>
              </w:rPr>
              <w:t xml:space="preserve">и харипът (малък карагьоз, резовски карагьоз) </w:t>
            </w:r>
            <w:r w:rsidRPr="00610B1B">
              <w:rPr>
                <w:rStyle w:val="Bodytext2Italic"/>
                <w:rFonts w:eastAsia="Courier New"/>
                <w:sz w:val="20"/>
                <w:szCs w:val="20"/>
                <w:lang w:bidi="en-US"/>
              </w:rPr>
              <w:t>{Alosa tanaica=Alosa caspia nordmanni)</w:t>
            </w:r>
            <w:r w:rsidRPr="00610B1B">
              <w:rPr>
                <w:rFonts w:ascii="Times New Roman" w:hAnsi="Times New Roman" w:cs="Times New Roman"/>
                <w:color w:val="000000"/>
                <w:sz w:val="20"/>
                <w:szCs w:val="20"/>
                <w:lang w:val="bg-BG" w:bidi="en-US"/>
              </w:rPr>
              <w:t xml:space="preserve"> </w:t>
            </w:r>
            <w:r w:rsidRPr="00610B1B">
              <w:rPr>
                <w:rFonts w:ascii="Times New Roman" w:hAnsi="Times New Roman" w:cs="Times New Roman"/>
                <w:color w:val="000000"/>
                <w:sz w:val="20"/>
                <w:szCs w:val="20"/>
                <w:lang w:val="bg-BG" w:eastAsia="bg-BG" w:bidi="bg-BG"/>
              </w:rPr>
              <w:t>се появяват в българските крайбрежни морски води, да се сведе до минимум драгирането депонирането на драгажни маси в крайбрежната морска зона</w:t>
            </w:r>
          </w:p>
          <w:p w14:paraId="09A8FA37" w14:textId="3503EC57" w:rsidR="000A381F" w:rsidRPr="00610B1B" w:rsidRDefault="000A381F"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eastAsia="bg-BG" w:bidi="bg-BG"/>
              </w:rPr>
              <w:t xml:space="preserve">10.4. Да се разработи стратегия/методика за управление на драгажните </w:t>
            </w:r>
            <w:r w:rsidR="00560C72" w:rsidRPr="00610B1B">
              <w:rPr>
                <w:rFonts w:ascii="Times New Roman" w:hAnsi="Times New Roman" w:cs="Times New Roman"/>
                <w:color w:val="000000"/>
                <w:sz w:val="20"/>
                <w:szCs w:val="20"/>
                <w:lang w:val="bg-BG" w:eastAsia="bg-BG" w:bidi="bg-BG"/>
              </w:rPr>
              <w:t xml:space="preserve"> маси при </w:t>
            </w:r>
            <w:r w:rsidRPr="00610B1B">
              <w:rPr>
                <w:rFonts w:ascii="Times New Roman" w:hAnsi="Times New Roman" w:cs="Times New Roman"/>
                <w:color w:val="000000"/>
                <w:sz w:val="20"/>
                <w:szCs w:val="20"/>
                <w:lang w:val="bg-BG" w:eastAsia="bg-BG" w:bidi="bg-BG"/>
              </w:rPr>
              <w:t>извършване на дейности по драгиране и депониране във водни обекти, като предвид наличните добри практики</w:t>
            </w:r>
          </w:p>
        </w:tc>
        <w:tc>
          <w:tcPr>
            <w:tcW w:w="1984" w:type="dxa"/>
          </w:tcPr>
          <w:p w14:paraId="3293C69B" w14:textId="06420F2C"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ИО-БАН, ИБЕИ-БАН,</w:t>
            </w:r>
            <w:r w:rsidR="007D1ED8">
              <w:rPr>
                <w:rFonts w:ascii="Times New Roman" w:hAnsi="Times New Roman" w:cs="Times New Roman"/>
                <w:sz w:val="20"/>
                <w:szCs w:val="20"/>
                <w:lang w:val="bg-BG"/>
              </w:rPr>
              <w:t xml:space="preserve"> </w:t>
            </w:r>
          </w:p>
          <w:p w14:paraId="0EBA0F25"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p w14:paraId="44109756" w14:textId="77777777" w:rsidR="0038752B" w:rsidRPr="00610B1B" w:rsidRDefault="0038752B" w:rsidP="00D32D6A">
            <w:pPr>
              <w:rPr>
                <w:rFonts w:ascii="Times New Roman" w:hAnsi="Times New Roman" w:cs="Times New Roman"/>
                <w:sz w:val="20"/>
                <w:szCs w:val="20"/>
                <w:lang w:val="bg-BG"/>
              </w:rPr>
            </w:pPr>
          </w:p>
          <w:p w14:paraId="1F552B2A" w14:textId="77777777" w:rsidR="0038752B" w:rsidRPr="00610B1B" w:rsidRDefault="0038752B" w:rsidP="00D32D6A">
            <w:pPr>
              <w:rPr>
                <w:rFonts w:ascii="Times New Roman" w:hAnsi="Times New Roman" w:cs="Times New Roman"/>
                <w:sz w:val="20"/>
                <w:szCs w:val="20"/>
                <w:lang w:val="bg-BG"/>
              </w:rPr>
            </w:pPr>
          </w:p>
          <w:p w14:paraId="41A94D2F" w14:textId="77777777" w:rsidR="0038752B" w:rsidRPr="00610B1B" w:rsidRDefault="0038752B" w:rsidP="0038752B">
            <w:pPr>
              <w:rPr>
                <w:rFonts w:ascii="Times New Roman" w:hAnsi="Times New Roman" w:cs="Times New Roman"/>
                <w:sz w:val="20"/>
                <w:szCs w:val="20"/>
                <w:lang w:val="bg-BG"/>
              </w:rPr>
            </w:pPr>
            <w:r w:rsidRPr="00610B1B">
              <w:rPr>
                <w:rFonts w:ascii="Times New Roman" w:hAnsi="Times New Roman" w:cs="Times New Roman"/>
                <w:sz w:val="20"/>
                <w:szCs w:val="20"/>
                <w:lang w:val="bg-BG"/>
              </w:rPr>
              <w:t>ИО-БАН, ИБЕИ-БАН,</w:t>
            </w:r>
          </w:p>
          <w:p w14:paraId="07F84304" w14:textId="77777777" w:rsidR="0038752B" w:rsidRPr="00610B1B" w:rsidRDefault="0038752B" w:rsidP="0038752B">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p w14:paraId="6F99DFAD" w14:textId="77777777" w:rsidR="000A381F" w:rsidRPr="00610B1B" w:rsidRDefault="000A381F" w:rsidP="0038752B">
            <w:pPr>
              <w:rPr>
                <w:rFonts w:ascii="Times New Roman" w:hAnsi="Times New Roman" w:cs="Times New Roman"/>
                <w:sz w:val="20"/>
                <w:szCs w:val="20"/>
                <w:lang w:val="bg-BG"/>
              </w:rPr>
            </w:pPr>
          </w:p>
          <w:p w14:paraId="566CFB94" w14:textId="77777777" w:rsidR="000A381F" w:rsidRPr="00610B1B" w:rsidRDefault="000A381F" w:rsidP="0038752B">
            <w:pPr>
              <w:rPr>
                <w:rFonts w:ascii="Times New Roman" w:hAnsi="Times New Roman" w:cs="Times New Roman"/>
                <w:sz w:val="20"/>
                <w:szCs w:val="20"/>
                <w:lang w:val="bg-BG"/>
              </w:rPr>
            </w:pPr>
          </w:p>
          <w:p w14:paraId="42E10649" w14:textId="77777777" w:rsidR="000A381F" w:rsidRPr="00610B1B" w:rsidRDefault="000A381F" w:rsidP="0038752B">
            <w:pPr>
              <w:rPr>
                <w:rFonts w:ascii="Times New Roman" w:hAnsi="Times New Roman" w:cs="Times New Roman"/>
                <w:sz w:val="20"/>
                <w:szCs w:val="20"/>
                <w:lang w:val="bg-BG"/>
              </w:rPr>
            </w:pPr>
          </w:p>
          <w:p w14:paraId="6A36EBBE" w14:textId="1CA358F5" w:rsidR="000A381F" w:rsidRPr="00610B1B" w:rsidRDefault="000A381F" w:rsidP="0038752B">
            <w:pPr>
              <w:rPr>
                <w:rFonts w:ascii="Times New Roman" w:hAnsi="Times New Roman" w:cs="Times New Roman"/>
                <w:sz w:val="20"/>
                <w:szCs w:val="20"/>
                <w:lang w:val="bg-BG"/>
              </w:rPr>
            </w:pPr>
            <w:r w:rsidRPr="00610B1B">
              <w:rPr>
                <w:rFonts w:ascii="Times New Roman" w:hAnsi="Times New Roman" w:cs="Times New Roman"/>
                <w:sz w:val="20"/>
                <w:szCs w:val="20"/>
                <w:lang w:val="bg-BG"/>
              </w:rPr>
              <w:t>ДППИ</w:t>
            </w:r>
            <w:r w:rsidR="00D11207">
              <w:rPr>
                <w:rFonts w:ascii="Times New Roman" w:hAnsi="Times New Roman" w:cs="Times New Roman"/>
                <w:sz w:val="20"/>
                <w:szCs w:val="20"/>
                <w:lang w:val="bg-BG"/>
              </w:rPr>
              <w:t>,МТС,ИАМА,МОСВ,</w:t>
            </w:r>
            <w:r w:rsidR="007D1ED8">
              <w:rPr>
                <w:rFonts w:ascii="Times New Roman" w:hAnsi="Times New Roman" w:cs="Times New Roman"/>
                <w:sz w:val="20"/>
                <w:szCs w:val="20"/>
                <w:lang w:val="bg-BG"/>
              </w:rPr>
              <w:t xml:space="preserve"> </w:t>
            </w:r>
            <w:r w:rsidR="00D11207">
              <w:rPr>
                <w:rFonts w:ascii="Times New Roman" w:hAnsi="Times New Roman" w:cs="Times New Roman"/>
                <w:sz w:val="20"/>
                <w:szCs w:val="20"/>
                <w:lang w:val="bg-BG"/>
              </w:rPr>
              <w:t>БДЧР</w:t>
            </w:r>
          </w:p>
        </w:tc>
        <w:tc>
          <w:tcPr>
            <w:tcW w:w="3232" w:type="dxa"/>
          </w:tcPr>
          <w:p w14:paraId="765B772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Нарастващ във времето</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дефицит от</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площадки за депониране на драгажна маса и потребност от креативни решения</w:t>
            </w:r>
          </w:p>
          <w:p w14:paraId="01E6ABA5" w14:textId="77777777" w:rsidR="001E1A48" w:rsidRPr="00610B1B" w:rsidRDefault="0038752B" w:rsidP="00D32D6A">
            <w:pPr>
              <w:rPr>
                <w:rFonts w:ascii="Times New Roman" w:hAnsi="Times New Roman" w:cs="Times New Roman"/>
                <w:color w:val="000000"/>
                <w:sz w:val="20"/>
                <w:szCs w:val="20"/>
                <w:lang w:val="bg-BG" w:eastAsia="bg-BG" w:bidi="bg-BG"/>
              </w:rPr>
            </w:pPr>
            <w:r w:rsidRPr="00610B1B">
              <w:rPr>
                <w:rFonts w:ascii="Times New Roman" w:hAnsi="Times New Roman" w:cs="Times New Roman"/>
                <w:color w:val="000000"/>
                <w:sz w:val="20"/>
                <w:szCs w:val="20"/>
                <w:lang w:val="bg-BG" w:eastAsia="bg-BG" w:bidi="bg-BG"/>
              </w:rPr>
              <w:t>Н</w:t>
            </w:r>
            <w:r w:rsidR="001E1A48" w:rsidRPr="00610B1B">
              <w:rPr>
                <w:rFonts w:ascii="Times New Roman" w:hAnsi="Times New Roman" w:cs="Times New Roman"/>
                <w:color w:val="000000"/>
                <w:sz w:val="20"/>
                <w:szCs w:val="20"/>
                <w:lang w:val="bg-BG" w:eastAsia="bg-BG" w:bidi="bg-BG"/>
              </w:rPr>
              <w:t>амаляване на замърсяването на водата, безпокойството на рибите и вло трофичните условия през периода на интензивното им хранене, преди началото на размножителната миграция</w:t>
            </w:r>
          </w:p>
          <w:p w14:paraId="622B19FB" w14:textId="77777777" w:rsidR="000A381F" w:rsidRPr="00610B1B" w:rsidRDefault="000A381F" w:rsidP="00D32D6A">
            <w:pPr>
              <w:rPr>
                <w:rFonts w:ascii="Times New Roman" w:hAnsi="Times New Roman" w:cs="Times New Roman"/>
                <w:color w:val="000000"/>
                <w:sz w:val="20"/>
                <w:szCs w:val="20"/>
                <w:lang w:val="bg-BG" w:eastAsia="bg-BG" w:bidi="bg-BG"/>
              </w:rPr>
            </w:pPr>
          </w:p>
          <w:p w14:paraId="57FEC425" w14:textId="520598E4" w:rsidR="000A381F" w:rsidRPr="00610B1B" w:rsidRDefault="000A381F"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eastAsia="bg-BG" w:bidi="bg-BG"/>
              </w:rPr>
              <w:t>Ограничаване на нарушаването на морските екосистеми</w:t>
            </w:r>
          </w:p>
        </w:tc>
        <w:tc>
          <w:tcPr>
            <w:tcW w:w="1376" w:type="dxa"/>
            <w:vAlign w:val="center"/>
          </w:tcPr>
          <w:p w14:paraId="1372D66D" w14:textId="77777777" w:rsidR="00C519AD"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p w14:paraId="66B76AE3" w14:textId="77777777" w:rsidR="00D11207" w:rsidRDefault="00D11207" w:rsidP="00D32D6A">
            <w:pPr>
              <w:jc w:val="center"/>
              <w:rPr>
                <w:rFonts w:ascii="Times New Roman" w:hAnsi="Times New Roman" w:cs="Times New Roman"/>
                <w:sz w:val="20"/>
                <w:szCs w:val="20"/>
                <w:lang w:val="bg-BG"/>
              </w:rPr>
            </w:pPr>
          </w:p>
          <w:p w14:paraId="16B0BA3E" w14:textId="77777777" w:rsidR="00D11207" w:rsidRDefault="00D11207" w:rsidP="00D32D6A">
            <w:pPr>
              <w:jc w:val="center"/>
              <w:rPr>
                <w:rFonts w:ascii="Times New Roman" w:hAnsi="Times New Roman" w:cs="Times New Roman"/>
                <w:sz w:val="20"/>
                <w:szCs w:val="20"/>
                <w:lang w:val="bg-BG"/>
              </w:rPr>
            </w:pPr>
          </w:p>
          <w:p w14:paraId="2EF2FB13" w14:textId="7BE04064" w:rsidR="00D11207" w:rsidRDefault="00D11207"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постоянен</w:t>
            </w:r>
          </w:p>
          <w:p w14:paraId="3CD218BC" w14:textId="77777777" w:rsidR="00D11207" w:rsidRDefault="00D11207" w:rsidP="00D32D6A">
            <w:pPr>
              <w:jc w:val="center"/>
              <w:rPr>
                <w:rFonts w:ascii="Times New Roman" w:hAnsi="Times New Roman" w:cs="Times New Roman"/>
                <w:sz w:val="20"/>
                <w:szCs w:val="20"/>
                <w:lang w:val="bg-BG"/>
              </w:rPr>
            </w:pPr>
          </w:p>
          <w:p w14:paraId="1DDCA77F" w14:textId="77777777" w:rsidR="00D11207" w:rsidRDefault="00D11207" w:rsidP="00D32D6A">
            <w:pPr>
              <w:jc w:val="center"/>
              <w:rPr>
                <w:rFonts w:ascii="Times New Roman" w:hAnsi="Times New Roman" w:cs="Times New Roman"/>
                <w:sz w:val="20"/>
                <w:szCs w:val="20"/>
                <w:lang w:val="bg-BG"/>
              </w:rPr>
            </w:pPr>
          </w:p>
          <w:p w14:paraId="449F026F" w14:textId="77777777" w:rsidR="00D11207" w:rsidRDefault="00D11207" w:rsidP="00D32D6A">
            <w:pPr>
              <w:jc w:val="center"/>
              <w:rPr>
                <w:rFonts w:ascii="Times New Roman" w:hAnsi="Times New Roman" w:cs="Times New Roman"/>
                <w:sz w:val="20"/>
                <w:szCs w:val="20"/>
                <w:lang w:val="bg-BG"/>
              </w:rPr>
            </w:pPr>
          </w:p>
          <w:p w14:paraId="661D595D" w14:textId="77777777" w:rsidR="00D11207" w:rsidRDefault="00D11207" w:rsidP="00D32D6A">
            <w:pPr>
              <w:jc w:val="center"/>
              <w:rPr>
                <w:rFonts w:ascii="Times New Roman" w:hAnsi="Times New Roman" w:cs="Times New Roman"/>
                <w:sz w:val="20"/>
                <w:szCs w:val="20"/>
                <w:lang w:val="bg-BG"/>
              </w:rPr>
            </w:pPr>
          </w:p>
          <w:p w14:paraId="04767136" w14:textId="77777777" w:rsidR="00D11207" w:rsidRDefault="00D11207" w:rsidP="00D32D6A">
            <w:pPr>
              <w:jc w:val="center"/>
              <w:rPr>
                <w:rFonts w:ascii="Times New Roman" w:hAnsi="Times New Roman" w:cs="Times New Roman"/>
                <w:sz w:val="20"/>
                <w:szCs w:val="20"/>
                <w:lang w:val="bg-BG"/>
              </w:rPr>
            </w:pPr>
          </w:p>
          <w:p w14:paraId="232B35AE" w14:textId="77777777" w:rsidR="00D11207" w:rsidRDefault="00D11207" w:rsidP="00D32D6A">
            <w:pPr>
              <w:jc w:val="center"/>
              <w:rPr>
                <w:rFonts w:ascii="Times New Roman" w:hAnsi="Times New Roman" w:cs="Times New Roman"/>
                <w:sz w:val="20"/>
                <w:szCs w:val="20"/>
                <w:lang w:val="bg-BG"/>
              </w:rPr>
            </w:pPr>
          </w:p>
          <w:p w14:paraId="63B79D66" w14:textId="4F365DD1" w:rsidR="00D11207" w:rsidRPr="00610B1B" w:rsidRDefault="00D11207"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2024</w:t>
            </w:r>
          </w:p>
        </w:tc>
      </w:tr>
      <w:tr w:rsidR="00C519AD" w:rsidRPr="00610B1B" w14:paraId="4BD44996" w14:textId="77777777" w:rsidTr="00537D06">
        <w:tc>
          <w:tcPr>
            <w:tcW w:w="426" w:type="dxa"/>
            <w:vMerge w:val="restart"/>
            <w:vAlign w:val="center"/>
          </w:tcPr>
          <w:p w14:paraId="22FECE65" w14:textId="77777777"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11</w:t>
            </w:r>
          </w:p>
        </w:tc>
        <w:tc>
          <w:tcPr>
            <w:tcW w:w="2693" w:type="dxa"/>
            <w:vMerge w:val="restart"/>
            <w:vAlign w:val="center"/>
          </w:tcPr>
          <w:p w14:paraId="2440B529"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Научно-изследователска дейност</w:t>
            </w:r>
          </w:p>
        </w:tc>
        <w:tc>
          <w:tcPr>
            <w:tcW w:w="5387" w:type="dxa"/>
            <w:shd w:val="clear" w:color="auto" w:fill="FFFFFF"/>
          </w:tcPr>
          <w:p w14:paraId="6172AFC6" w14:textId="74374A33" w:rsidR="00C519AD" w:rsidRPr="00610B1B" w:rsidRDefault="00C519AD" w:rsidP="00D32D6A">
            <w:pP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11.1. Изследване на съвременното разпространение и състояние на морските местообитания, функционирането и процесите в морските екосистеми за допълване на базата данни и разширяване на знанието.</w:t>
            </w:r>
            <w:r w:rsidR="00D66FE0" w:rsidRPr="00610B1B">
              <w:rPr>
                <w:rFonts w:ascii="Times New Roman" w:hAnsi="Times New Roman" w:cs="Times New Roman"/>
                <w:color w:val="000000"/>
                <w:sz w:val="20"/>
                <w:szCs w:val="20"/>
                <w:lang w:val="bg-BG"/>
              </w:rPr>
              <w:t xml:space="preserve"> </w:t>
            </w:r>
          </w:p>
        </w:tc>
        <w:tc>
          <w:tcPr>
            <w:tcW w:w="1984" w:type="dxa"/>
          </w:tcPr>
          <w:p w14:paraId="07CE1C85"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ИО и ИБЕИ-БАН</w:t>
            </w:r>
          </w:p>
        </w:tc>
        <w:tc>
          <w:tcPr>
            <w:tcW w:w="3232" w:type="dxa"/>
          </w:tcPr>
          <w:p w14:paraId="0928C8C7"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222222"/>
                <w:sz w:val="20"/>
                <w:szCs w:val="20"/>
                <w:shd w:val="clear" w:color="auto" w:fill="FFFFFF"/>
                <w:lang w:val="bg-BG"/>
              </w:rPr>
              <w:t>Идентифицирани пропуски в знанията и информацията при прилагането на Морската стратегия </w:t>
            </w:r>
          </w:p>
        </w:tc>
        <w:tc>
          <w:tcPr>
            <w:tcW w:w="1376" w:type="dxa"/>
            <w:vAlign w:val="center"/>
          </w:tcPr>
          <w:p w14:paraId="7CAB1F14"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5B23A575" w14:textId="77777777" w:rsidTr="00537D06">
        <w:tc>
          <w:tcPr>
            <w:tcW w:w="426" w:type="dxa"/>
            <w:vMerge/>
            <w:vAlign w:val="center"/>
          </w:tcPr>
          <w:p w14:paraId="2A17DB22"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703E6072"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2406DEF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rPr>
              <w:t xml:space="preserve">11.2. Изследване на динамиката на морския бряг и планиране на адекватни мерки за защита чрез подходящи съвременни екологосъобразни съоръжения. </w:t>
            </w:r>
          </w:p>
        </w:tc>
        <w:tc>
          <w:tcPr>
            <w:tcW w:w="1984" w:type="dxa"/>
          </w:tcPr>
          <w:p w14:paraId="36A5673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ИО-БАН</w:t>
            </w:r>
          </w:p>
        </w:tc>
        <w:tc>
          <w:tcPr>
            <w:tcW w:w="3232" w:type="dxa"/>
          </w:tcPr>
          <w:p w14:paraId="027500D3" w14:textId="32E4C45B"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Необходимост от </w:t>
            </w:r>
            <w:r w:rsidR="001D323E" w:rsidRPr="001D323E">
              <w:rPr>
                <w:rFonts w:ascii="Times New Roman" w:hAnsi="Times New Roman" w:cs="Times New Roman"/>
                <w:sz w:val="20"/>
                <w:szCs w:val="20"/>
                <w:lang w:val="bg-BG"/>
              </w:rPr>
              <w:t>по-активни действия за прилагане на по-екологични брегозащитни съоръжения (биоинженерни, инженерно-биологични)</w:t>
            </w:r>
          </w:p>
        </w:tc>
        <w:tc>
          <w:tcPr>
            <w:tcW w:w="1376" w:type="dxa"/>
            <w:vAlign w:val="center"/>
          </w:tcPr>
          <w:p w14:paraId="5DAD4457"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34DB86C4" w14:textId="77777777" w:rsidTr="00537D06">
        <w:tc>
          <w:tcPr>
            <w:tcW w:w="426" w:type="dxa"/>
            <w:vMerge/>
            <w:vAlign w:val="center"/>
          </w:tcPr>
          <w:p w14:paraId="018F60E9"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7485713B"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3E55D32E" w14:textId="77777777" w:rsidR="00C519AD" w:rsidRPr="00610B1B" w:rsidRDefault="00C519AD" w:rsidP="00D32D6A">
            <w:pPr>
              <w:rPr>
                <w:rFonts w:ascii="Times New Roman" w:hAnsi="Times New Roman" w:cs="Times New Roman"/>
                <w:color w:val="000000"/>
                <w:sz w:val="20"/>
                <w:szCs w:val="20"/>
                <w:lang w:val="bg-BG"/>
              </w:rPr>
            </w:pPr>
            <w:r w:rsidRPr="00610B1B">
              <w:rPr>
                <w:rFonts w:ascii="Times New Roman" w:hAnsi="Times New Roman" w:cs="Times New Roman"/>
                <w:color w:val="000000"/>
                <w:sz w:val="20"/>
                <w:szCs w:val="20"/>
                <w:lang w:val="bg-BG"/>
              </w:rPr>
              <w:t xml:space="preserve">11.3. Приоритетна подкрепа за изследване на континенталния шелф и наличните ресурси за добив на хидрокарбонати </w:t>
            </w:r>
          </w:p>
        </w:tc>
        <w:tc>
          <w:tcPr>
            <w:tcW w:w="1984" w:type="dxa"/>
          </w:tcPr>
          <w:p w14:paraId="7D935C8E" w14:textId="758513F6"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МЕ, ИО-БАН, </w:t>
            </w:r>
            <w:r w:rsidR="00B8047B">
              <w:rPr>
                <w:rFonts w:ascii="Times New Roman" w:hAnsi="Times New Roman" w:cs="Times New Roman"/>
                <w:sz w:val="20"/>
                <w:szCs w:val="20"/>
                <w:lang w:val="bg-BG"/>
              </w:rPr>
              <w:t>Н</w:t>
            </w:r>
            <w:r w:rsidRPr="00610B1B">
              <w:rPr>
                <w:rFonts w:ascii="Times New Roman" w:hAnsi="Times New Roman" w:cs="Times New Roman"/>
                <w:sz w:val="20"/>
                <w:szCs w:val="20"/>
                <w:lang w:val="bg-BG"/>
              </w:rPr>
              <w:t>ИГГГ-БАН</w:t>
            </w:r>
            <w:r w:rsidR="00973C85" w:rsidRPr="00610B1B">
              <w:rPr>
                <w:rFonts w:ascii="Times New Roman" w:hAnsi="Times New Roman" w:cs="Times New Roman"/>
                <w:sz w:val="20"/>
                <w:szCs w:val="20"/>
                <w:lang w:val="bg-BG"/>
              </w:rPr>
              <w:t>, ВВМУ, ТУ Варнa</w:t>
            </w:r>
          </w:p>
        </w:tc>
        <w:tc>
          <w:tcPr>
            <w:tcW w:w="3232" w:type="dxa"/>
          </w:tcPr>
          <w:p w14:paraId="1952B36B" w14:textId="77777777" w:rsidR="00C519AD" w:rsidRPr="00610B1B" w:rsidRDefault="00C519AD" w:rsidP="00D32D6A">
            <w:pPr>
              <w:jc w:val="both"/>
              <w:rPr>
                <w:rFonts w:ascii="Times New Roman" w:hAnsi="Times New Roman" w:cs="Times New Roman"/>
                <w:sz w:val="20"/>
                <w:szCs w:val="20"/>
                <w:lang w:val="bg-BG"/>
              </w:rPr>
            </w:pPr>
            <w:r w:rsidRPr="00610B1B">
              <w:rPr>
                <w:rFonts w:ascii="Times New Roman" w:hAnsi="Times New Roman" w:cs="Times New Roman"/>
                <w:sz w:val="20"/>
                <w:szCs w:val="20"/>
                <w:lang w:val="bg-BG"/>
              </w:rPr>
              <w:t>Насочване на вниманието към по-слабо изследваните морски пространства</w:t>
            </w:r>
          </w:p>
        </w:tc>
        <w:tc>
          <w:tcPr>
            <w:tcW w:w="1376" w:type="dxa"/>
            <w:vAlign w:val="center"/>
          </w:tcPr>
          <w:p w14:paraId="14B9BEDB"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79B49FD1" w14:textId="77777777" w:rsidTr="00537D06">
        <w:tc>
          <w:tcPr>
            <w:tcW w:w="426" w:type="dxa"/>
            <w:vMerge w:val="restart"/>
            <w:vAlign w:val="center"/>
          </w:tcPr>
          <w:p w14:paraId="404DD2E6" w14:textId="6877FF1A" w:rsidR="00C519AD" w:rsidRPr="00610B1B" w:rsidRDefault="00C519AD"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12</w:t>
            </w:r>
          </w:p>
        </w:tc>
        <w:tc>
          <w:tcPr>
            <w:tcW w:w="2693" w:type="dxa"/>
            <w:vMerge w:val="restart"/>
            <w:vAlign w:val="center"/>
          </w:tcPr>
          <w:p w14:paraId="6CC65B3E"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Културно наследство</w:t>
            </w:r>
          </w:p>
        </w:tc>
        <w:tc>
          <w:tcPr>
            <w:tcW w:w="5387" w:type="dxa"/>
          </w:tcPr>
          <w:p w14:paraId="10A740C7"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12.1. Провеждане на процедурите за придобиване на статут на уникални обекти НКЦ, разположени по бреговата ивица на Черно море и попадащи в зона А според ЗУЧК, като Археологическият комплекс „Дуранкулашко езеро“.</w:t>
            </w:r>
          </w:p>
        </w:tc>
        <w:tc>
          <w:tcPr>
            <w:tcW w:w="1984" w:type="dxa"/>
          </w:tcPr>
          <w:p w14:paraId="7B6CD17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 НИНКН, НАИМ-БАН</w:t>
            </w:r>
          </w:p>
        </w:tc>
        <w:tc>
          <w:tcPr>
            <w:tcW w:w="3232" w:type="dxa"/>
          </w:tcPr>
          <w:p w14:paraId="18AC5411"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Опазване на уникални културни ценности</w:t>
            </w:r>
          </w:p>
        </w:tc>
        <w:tc>
          <w:tcPr>
            <w:tcW w:w="1376" w:type="dxa"/>
            <w:vAlign w:val="center"/>
          </w:tcPr>
          <w:p w14:paraId="2621CCA5"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585CB319" w14:textId="77777777" w:rsidTr="00537D06">
        <w:tc>
          <w:tcPr>
            <w:tcW w:w="426" w:type="dxa"/>
            <w:vMerge/>
            <w:vAlign w:val="center"/>
          </w:tcPr>
          <w:p w14:paraId="216418E0"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81B1E46" w14:textId="77777777" w:rsidR="00C519AD" w:rsidRPr="00610B1B" w:rsidRDefault="00C519AD" w:rsidP="00537D06">
            <w:pPr>
              <w:rPr>
                <w:rFonts w:ascii="Times New Roman" w:hAnsi="Times New Roman" w:cs="Times New Roman"/>
                <w:sz w:val="20"/>
                <w:szCs w:val="20"/>
                <w:lang w:val="bg-BG"/>
              </w:rPr>
            </w:pPr>
          </w:p>
        </w:tc>
        <w:tc>
          <w:tcPr>
            <w:tcW w:w="5387" w:type="dxa"/>
          </w:tcPr>
          <w:p w14:paraId="63650F30"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12.2. Определяне на режими на опазване за обектите НКЦ, разположени по бреговата ивица на Черно море и попадащи в зона А според ЗУЧК, за които няма такива.</w:t>
            </w:r>
          </w:p>
        </w:tc>
        <w:tc>
          <w:tcPr>
            <w:tcW w:w="1984" w:type="dxa"/>
          </w:tcPr>
          <w:p w14:paraId="37048146"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 НИНКН, НАИМ-БАН</w:t>
            </w:r>
          </w:p>
        </w:tc>
        <w:tc>
          <w:tcPr>
            <w:tcW w:w="3232" w:type="dxa"/>
          </w:tcPr>
          <w:p w14:paraId="42E0364B"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Регулиране на дейностите в обхвата на зона А съгл. ЗУЧК за опазване на НКН</w:t>
            </w:r>
          </w:p>
        </w:tc>
        <w:tc>
          <w:tcPr>
            <w:tcW w:w="1376" w:type="dxa"/>
            <w:vAlign w:val="center"/>
          </w:tcPr>
          <w:p w14:paraId="2E8FA93F"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19AE6CE1" w14:textId="77777777" w:rsidTr="00537D06">
        <w:tc>
          <w:tcPr>
            <w:tcW w:w="426" w:type="dxa"/>
            <w:vMerge/>
            <w:vAlign w:val="center"/>
          </w:tcPr>
          <w:p w14:paraId="774F9E6B"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447D74FE" w14:textId="77777777" w:rsidR="00C519AD" w:rsidRPr="00610B1B" w:rsidRDefault="00C519AD" w:rsidP="00537D06">
            <w:pPr>
              <w:rPr>
                <w:rFonts w:ascii="Times New Roman" w:hAnsi="Times New Roman" w:cs="Times New Roman"/>
                <w:sz w:val="20"/>
                <w:szCs w:val="20"/>
                <w:lang w:val="bg-BG"/>
              </w:rPr>
            </w:pPr>
          </w:p>
        </w:tc>
        <w:tc>
          <w:tcPr>
            <w:tcW w:w="5387" w:type="dxa"/>
          </w:tcPr>
          <w:p w14:paraId="1BFE1383"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12.3. Извършване на археологически проучвания, придобиване на право на ползване от съответните общини на обекти НКЦ и прилежащите им ареали, попадащи в </w:t>
            </w:r>
            <w:r w:rsidRPr="00610B1B">
              <w:rPr>
                <w:rFonts w:ascii="Times New Roman" w:hAnsi="Times New Roman" w:cs="Times New Roman"/>
                <w:sz w:val="20"/>
                <w:szCs w:val="20"/>
                <w:lang w:val="bg-BG"/>
              </w:rPr>
              <w:lastRenderedPageBreak/>
              <w:t>защитени територии – гори, природни паркове, територии стопанисвани от Гранична полиция и МО, с цел извършване на дейности по опазване на обектите и потенциала им за културен туризъм.</w:t>
            </w:r>
          </w:p>
        </w:tc>
        <w:tc>
          <w:tcPr>
            <w:tcW w:w="1984" w:type="dxa"/>
          </w:tcPr>
          <w:p w14:paraId="7D3F36E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МК, МО, МВР, ГД „Гранична полиция“</w:t>
            </w:r>
          </w:p>
          <w:p w14:paraId="7D29D2C5"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Общинска администрация</w:t>
            </w:r>
          </w:p>
        </w:tc>
        <w:tc>
          <w:tcPr>
            <w:tcW w:w="3232" w:type="dxa"/>
          </w:tcPr>
          <w:p w14:paraId="4887B8D7"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Решаване на конфликти в ползването на териториите с концентрация на НКН при </w:t>
            </w:r>
            <w:r w:rsidRPr="00610B1B">
              <w:rPr>
                <w:rFonts w:ascii="Times New Roman" w:hAnsi="Times New Roman" w:cs="Times New Roman"/>
                <w:sz w:val="20"/>
                <w:szCs w:val="20"/>
                <w:lang w:val="bg-BG"/>
              </w:rPr>
              <w:lastRenderedPageBreak/>
              <w:t xml:space="preserve">различна собственост и статут на земята. </w:t>
            </w:r>
          </w:p>
        </w:tc>
        <w:tc>
          <w:tcPr>
            <w:tcW w:w="1376" w:type="dxa"/>
            <w:vAlign w:val="center"/>
          </w:tcPr>
          <w:p w14:paraId="19CAF1E4"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2024</w:t>
            </w:r>
          </w:p>
        </w:tc>
      </w:tr>
      <w:tr w:rsidR="00C519AD" w:rsidRPr="00610B1B" w14:paraId="7F02EA3B" w14:textId="77777777" w:rsidTr="00537D06">
        <w:tc>
          <w:tcPr>
            <w:tcW w:w="426" w:type="dxa"/>
            <w:vMerge/>
            <w:vAlign w:val="center"/>
          </w:tcPr>
          <w:p w14:paraId="5393BE4B"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65F812D1" w14:textId="77777777" w:rsidR="00C519AD" w:rsidRPr="00610B1B" w:rsidRDefault="00C519AD" w:rsidP="00537D06">
            <w:pPr>
              <w:rPr>
                <w:rFonts w:ascii="Times New Roman" w:hAnsi="Times New Roman" w:cs="Times New Roman"/>
                <w:sz w:val="20"/>
                <w:szCs w:val="20"/>
                <w:lang w:val="bg-BG"/>
              </w:rPr>
            </w:pPr>
          </w:p>
        </w:tc>
        <w:tc>
          <w:tcPr>
            <w:tcW w:w="5387" w:type="dxa"/>
          </w:tcPr>
          <w:p w14:paraId="78F6D861" w14:textId="77777777" w:rsidR="00C519AD" w:rsidRPr="00610B1B" w:rsidRDefault="00C519AD"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12.4. Приоритетно извършване на дейности по КРР и експониране на обекти НКЦ под вода в акваторията на съответните ареали, чрез целево финансиране и европейски финансови механизми, с цел опазване на обектите и развитието на културния туризъм.</w:t>
            </w:r>
          </w:p>
        </w:tc>
        <w:tc>
          <w:tcPr>
            <w:tcW w:w="1984" w:type="dxa"/>
          </w:tcPr>
          <w:p w14:paraId="30D7F621"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 ЦПА</w:t>
            </w:r>
          </w:p>
          <w:p w14:paraId="680A1140" w14:textId="77777777" w:rsidR="00C519AD" w:rsidRPr="00610B1B" w:rsidRDefault="00C519AD" w:rsidP="00D32D6A">
            <w:pPr>
              <w:rPr>
                <w:rFonts w:ascii="Times New Roman" w:hAnsi="Times New Roman" w:cs="Times New Roman"/>
                <w:sz w:val="20"/>
                <w:szCs w:val="20"/>
                <w:lang w:val="bg-BG"/>
              </w:rPr>
            </w:pPr>
          </w:p>
        </w:tc>
        <w:tc>
          <w:tcPr>
            <w:tcW w:w="3232" w:type="dxa"/>
          </w:tcPr>
          <w:p w14:paraId="6544A61B"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Защита на подводното културно наследство с потенциал за световно наследство</w:t>
            </w:r>
          </w:p>
        </w:tc>
        <w:tc>
          <w:tcPr>
            <w:tcW w:w="1376" w:type="dxa"/>
            <w:vAlign w:val="center"/>
          </w:tcPr>
          <w:p w14:paraId="15A53C31"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2035</w:t>
            </w:r>
          </w:p>
        </w:tc>
      </w:tr>
      <w:tr w:rsidR="00C519AD" w:rsidRPr="00610B1B" w14:paraId="1EFEE7C2" w14:textId="77777777" w:rsidTr="00537D06">
        <w:tc>
          <w:tcPr>
            <w:tcW w:w="426" w:type="dxa"/>
            <w:vMerge/>
            <w:vAlign w:val="center"/>
          </w:tcPr>
          <w:p w14:paraId="2DE0CFBF"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248EA509" w14:textId="77777777" w:rsidR="00C519AD" w:rsidRPr="00610B1B" w:rsidRDefault="00C519AD" w:rsidP="00537D06">
            <w:pPr>
              <w:rPr>
                <w:rFonts w:ascii="Times New Roman" w:hAnsi="Times New Roman" w:cs="Times New Roman"/>
                <w:sz w:val="20"/>
                <w:szCs w:val="20"/>
                <w:lang w:val="bg-BG"/>
              </w:rPr>
            </w:pPr>
          </w:p>
        </w:tc>
        <w:tc>
          <w:tcPr>
            <w:tcW w:w="5387" w:type="dxa"/>
          </w:tcPr>
          <w:p w14:paraId="0F5E0B29" w14:textId="77777777" w:rsidR="00C519AD" w:rsidRPr="00610B1B" w:rsidRDefault="00C519AD"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 xml:space="preserve">12.5. Извършване на дейности по опазване на предложените от МППРБ пет обекта, които да обслужват непосредствено прилежащите НКЦ, чрез целево финансиране и европейски финансови механизми. </w:t>
            </w:r>
          </w:p>
        </w:tc>
        <w:tc>
          <w:tcPr>
            <w:tcW w:w="1984" w:type="dxa"/>
          </w:tcPr>
          <w:p w14:paraId="25DEE2E9"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МК, НИНКН, ЦПА, НАИМ-БАН</w:t>
            </w:r>
          </w:p>
        </w:tc>
        <w:tc>
          <w:tcPr>
            <w:tcW w:w="3232" w:type="dxa"/>
          </w:tcPr>
          <w:p w14:paraId="72B3D54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Интегрирано опазване на уникално културно наследство в морските пространства и в прилежащите крайбрежни зони</w:t>
            </w:r>
          </w:p>
        </w:tc>
        <w:tc>
          <w:tcPr>
            <w:tcW w:w="1376" w:type="dxa"/>
            <w:vAlign w:val="center"/>
          </w:tcPr>
          <w:p w14:paraId="78097C9F"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2035</w:t>
            </w:r>
          </w:p>
        </w:tc>
      </w:tr>
      <w:tr w:rsidR="00C519AD" w:rsidRPr="00610B1B" w14:paraId="135B3E20" w14:textId="77777777" w:rsidTr="00537D06">
        <w:tc>
          <w:tcPr>
            <w:tcW w:w="426" w:type="dxa"/>
            <w:vMerge/>
            <w:vAlign w:val="center"/>
          </w:tcPr>
          <w:p w14:paraId="340DCB07"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032A54F" w14:textId="77777777" w:rsidR="00C519AD" w:rsidRPr="00610B1B" w:rsidRDefault="00C519AD" w:rsidP="00537D06">
            <w:pPr>
              <w:rPr>
                <w:rFonts w:ascii="Times New Roman" w:hAnsi="Times New Roman" w:cs="Times New Roman"/>
                <w:sz w:val="20"/>
                <w:szCs w:val="20"/>
                <w:lang w:val="bg-BG"/>
              </w:rPr>
            </w:pPr>
          </w:p>
        </w:tc>
        <w:tc>
          <w:tcPr>
            <w:tcW w:w="5387" w:type="dxa"/>
          </w:tcPr>
          <w:p w14:paraId="01FC926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12.6. Идентификация, деклариране и предоставяне на статут на НКЦ на обекти от ХХ век, разположени в зони „А” и „Б” съгл. ЗУЧК, с цел тяхното опазване и съхранение.</w:t>
            </w:r>
          </w:p>
        </w:tc>
        <w:tc>
          <w:tcPr>
            <w:tcW w:w="1984" w:type="dxa"/>
          </w:tcPr>
          <w:p w14:paraId="518956E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 НИНКН</w:t>
            </w:r>
          </w:p>
        </w:tc>
        <w:tc>
          <w:tcPr>
            <w:tcW w:w="3232" w:type="dxa"/>
          </w:tcPr>
          <w:p w14:paraId="1CD8B651"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Опазване на културното наследство на ХХ век</w:t>
            </w:r>
          </w:p>
        </w:tc>
        <w:tc>
          <w:tcPr>
            <w:tcW w:w="1376" w:type="dxa"/>
            <w:vAlign w:val="center"/>
          </w:tcPr>
          <w:p w14:paraId="40D70157"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2035</w:t>
            </w:r>
          </w:p>
        </w:tc>
      </w:tr>
      <w:tr w:rsidR="00C519AD" w:rsidRPr="00610B1B" w14:paraId="5B30A863" w14:textId="77777777" w:rsidTr="00537D06">
        <w:tc>
          <w:tcPr>
            <w:tcW w:w="426" w:type="dxa"/>
            <w:vMerge/>
            <w:vAlign w:val="center"/>
          </w:tcPr>
          <w:p w14:paraId="2E6B0B19"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5B957DC5" w14:textId="77777777" w:rsidR="00C519AD" w:rsidRPr="00610B1B" w:rsidRDefault="00C519AD" w:rsidP="00537D06">
            <w:pPr>
              <w:rPr>
                <w:rFonts w:ascii="Times New Roman" w:hAnsi="Times New Roman" w:cs="Times New Roman"/>
                <w:sz w:val="20"/>
                <w:szCs w:val="20"/>
                <w:lang w:val="bg-BG"/>
              </w:rPr>
            </w:pPr>
          </w:p>
        </w:tc>
        <w:tc>
          <w:tcPr>
            <w:tcW w:w="5387" w:type="dxa"/>
          </w:tcPr>
          <w:p w14:paraId="1106D78B" w14:textId="0D4DA91C"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12.7. Провеждане на</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археологически проучвания и дейности по опазване на обекти НКЦ от зони „А” и „Б” на ЗУЧК, които попадат в защитените територии, стопанисвани от МЗ</w:t>
            </w:r>
            <w:r w:rsidR="000A6746">
              <w:rPr>
                <w:rFonts w:ascii="Times New Roman" w:hAnsi="Times New Roman" w:cs="Times New Roman"/>
                <w:sz w:val="20"/>
                <w:szCs w:val="20"/>
                <w:lang w:val="bg-BG"/>
              </w:rPr>
              <w:t>м</w:t>
            </w:r>
            <w:r w:rsidRPr="00610B1B">
              <w:rPr>
                <w:rFonts w:ascii="Times New Roman" w:hAnsi="Times New Roman" w:cs="Times New Roman"/>
                <w:sz w:val="20"/>
                <w:szCs w:val="20"/>
                <w:lang w:val="bg-BG"/>
              </w:rPr>
              <w:t xml:space="preserve"> след промени в законодателството и привеждането му в съответствие със ЗКН.</w:t>
            </w:r>
          </w:p>
        </w:tc>
        <w:tc>
          <w:tcPr>
            <w:tcW w:w="1984" w:type="dxa"/>
          </w:tcPr>
          <w:p w14:paraId="4E87B55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w:t>
            </w:r>
          </w:p>
          <w:p w14:paraId="47443C72" w14:textId="775D46AC"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МЗ</w:t>
            </w:r>
            <w:r w:rsidR="000A6746">
              <w:rPr>
                <w:rFonts w:ascii="Times New Roman" w:hAnsi="Times New Roman" w:cs="Times New Roman"/>
                <w:sz w:val="20"/>
                <w:szCs w:val="20"/>
                <w:lang w:val="bg-BG"/>
              </w:rPr>
              <w:t>м</w:t>
            </w:r>
          </w:p>
        </w:tc>
        <w:tc>
          <w:tcPr>
            <w:tcW w:w="3232" w:type="dxa"/>
          </w:tcPr>
          <w:p w14:paraId="1FCFAE98"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Регламентиране на археологически проучвания и дейности по опазване на НКЦ в обхвата на горски територии и защитени територии</w:t>
            </w:r>
          </w:p>
        </w:tc>
        <w:tc>
          <w:tcPr>
            <w:tcW w:w="1376" w:type="dxa"/>
            <w:vAlign w:val="center"/>
          </w:tcPr>
          <w:p w14:paraId="7D69B423"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67BA5E02" w14:textId="77777777" w:rsidTr="00537D06">
        <w:tc>
          <w:tcPr>
            <w:tcW w:w="426" w:type="dxa"/>
            <w:vMerge/>
            <w:vAlign w:val="center"/>
          </w:tcPr>
          <w:p w14:paraId="74B8B999"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6DB52867" w14:textId="77777777" w:rsidR="00C519AD" w:rsidRPr="00610B1B" w:rsidRDefault="00C519AD" w:rsidP="00537D06">
            <w:pPr>
              <w:rPr>
                <w:rFonts w:ascii="Times New Roman" w:hAnsi="Times New Roman" w:cs="Times New Roman"/>
                <w:sz w:val="20"/>
                <w:szCs w:val="20"/>
                <w:lang w:val="bg-BG"/>
              </w:rPr>
            </w:pPr>
          </w:p>
        </w:tc>
        <w:tc>
          <w:tcPr>
            <w:tcW w:w="5387" w:type="dxa"/>
          </w:tcPr>
          <w:p w14:paraId="59DBE12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12.8 Реализиране на детски експозиции в музеите (класически и интерактивни), посетителските и интерпретационни центрове, в синхрон с изучаваното в училищата и предоставящи допълнителна информация за Черно море.</w:t>
            </w:r>
          </w:p>
        </w:tc>
        <w:tc>
          <w:tcPr>
            <w:tcW w:w="1984" w:type="dxa"/>
          </w:tcPr>
          <w:p w14:paraId="6359074E"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МК, МОН</w:t>
            </w:r>
          </w:p>
        </w:tc>
        <w:tc>
          <w:tcPr>
            <w:tcW w:w="3232" w:type="dxa"/>
          </w:tcPr>
          <w:p w14:paraId="697A2462"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Възпитание на отношение към Черно море и обогатяване на познанието</w:t>
            </w:r>
          </w:p>
        </w:tc>
        <w:tc>
          <w:tcPr>
            <w:tcW w:w="1376" w:type="dxa"/>
            <w:vAlign w:val="center"/>
          </w:tcPr>
          <w:p w14:paraId="0DD2B6C5"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778936E4" w14:textId="77777777" w:rsidTr="00537D06">
        <w:tc>
          <w:tcPr>
            <w:tcW w:w="426" w:type="dxa"/>
            <w:vMerge/>
            <w:vAlign w:val="center"/>
          </w:tcPr>
          <w:p w14:paraId="73B566A3"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12F7B58" w14:textId="77777777" w:rsidR="00C519AD" w:rsidRPr="00610B1B" w:rsidRDefault="00C519AD" w:rsidP="00537D06">
            <w:pPr>
              <w:rPr>
                <w:rFonts w:ascii="Times New Roman" w:hAnsi="Times New Roman" w:cs="Times New Roman"/>
                <w:sz w:val="20"/>
                <w:szCs w:val="20"/>
                <w:lang w:val="bg-BG"/>
              </w:rPr>
            </w:pPr>
          </w:p>
        </w:tc>
        <w:tc>
          <w:tcPr>
            <w:tcW w:w="5387" w:type="dxa"/>
          </w:tcPr>
          <w:p w14:paraId="659BA9D2"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12.9. Координиране на програмата на детски лагери, сини училища и други прояви на организиран училищен културен туризъм, с цел съчетаване на рекреационните и културно-образователни дейности и популяризиране на културното наследство на Черно море и крайбрежието сред младежта и децата.</w:t>
            </w:r>
          </w:p>
        </w:tc>
        <w:tc>
          <w:tcPr>
            <w:tcW w:w="1984" w:type="dxa"/>
          </w:tcPr>
          <w:p w14:paraId="1FCEC8B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МК, МОН, МТ, ММС </w:t>
            </w:r>
          </w:p>
        </w:tc>
        <w:tc>
          <w:tcPr>
            <w:tcW w:w="3232" w:type="dxa"/>
          </w:tcPr>
          <w:p w14:paraId="5AF7C04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Възпитание на отношение към Черно море и обогатяване на познанието</w:t>
            </w:r>
          </w:p>
        </w:tc>
        <w:tc>
          <w:tcPr>
            <w:tcW w:w="1376" w:type="dxa"/>
            <w:vAlign w:val="center"/>
          </w:tcPr>
          <w:p w14:paraId="6D97E716"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3FAD9E1D" w14:textId="77777777" w:rsidTr="00537D06">
        <w:tc>
          <w:tcPr>
            <w:tcW w:w="426" w:type="dxa"/>
            <w:vMerge w:val="restart"/>
            <w:vAlign w:val="center"/>
          </w:tcPr>
          <w:p w14:paraId="563B2B89" w14:textId="68BF2BDA" w:rsidR="00C519AD" w:rsidRPr="00610B1B" w:rsidRDefault="00C519AD" w:rsidP="00774CD7">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13</w:t>
            </w:r>
          </w:p>
        </w:tc>
        <w:tc>
          <w:tcPr>
            <w:tcW w:w="2693" w:type="dxa"/>
            <w:vMerge w:val="restart"/>
            <w:vAlign w:val="center"/>
          </w:tcPr>
          <w:p w14:paraId="0B69010E" w14:textId="77777777" w:rsidR="00C519AD" w:rsidRPr="00610B1B" w:rsidRDefault="00C519A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Опазване на околната среда</w:t>
            </w:r>
          </w:p>
        </w:tc>
        <w:tc>
          <w:tcPr>
            <w:tcW w:w="5387" w:type="dxa"/>
            <w:shd w:val="clear" w:color="auto" w:fill="FFFFFF"/>
          </w:tcPr>
          <w:p w14:paraId="565A2284" w14:textId="506D3AD5"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rPr>
              <w:t xml:space="preserve">13.1. </w:t>
            </w:r>
            <w:r w:rsidR="00831E16">
              <w:rPr>
                <w:rFonts w:ascii="Times New Roman" w:hAnsi="Times New Roman" w:cs="Times New Roman"/>
                <w:color w:val="000000"/>
                <w:sz w:val="20"/>
                <w:szCs w:val="20"/>
                <w:lang w:val="bg-BG"/>
              </w:rPr>
              <w:t>Продължаване</w:t>
            </w:r>
            <w:r w:rsidR="00831E16" w:rsidRPr="00610B1B">
              <w:rPr>
                <w:rFonts w:ascii="Times New Roman" w:hAnsi="Times New Roman" w:cs="Times New Roman"/>
                <w:color w:val="000000"/>
                <w:sz w:val="20"/>
                <w:szCs w:val="20"/>
                <w:lang w:val="bg-BG"/>
              </w:rPr>
              <w:t xml:space="preserve"> </w:t>
            </w:r>
            <w:r w:rsidRPr="00610B1B">
              <w:rPr>
                <w:rFonts w:ascii="Times New Roman" w:hAnsi="Times New Roman" w:cs="Times New Roman"/>
                <w:color w:val="000000"/>
                <w:sz w:val="20"/>
                <w:szCs w:val="20"/>
                <w:lang w:val="bg-BG"/>
              </w:rPr>
              <w:t>на мониторинга на ерозионно-абразионните процеси по Черноморското крайбрежие.</w:t>
            </w:r>
          </w:p>
        </w:tc>
        <w:tc>
          <w:tcPr>
            <w:tcW w:w="1984" w:type="dxa"/>
          </w:tcPr>
          <w:p w14:paraId="5AEB172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МРРБ </w:t>
            </w:r>
          </w:p>
          <w:p w14:paraId="07E39D38" w14:textId="6599AA4F"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ИО и </w:t>
            </w:r>
            <w:r w:rsidR="00B8047B">
              <w:rPr>
                <w:rFonts w:ascii="Times New Roman" w:hAnsi="Times New Roman" w:cs="Times New Roman"/>
                <w:sz w:val="20"/>
                <w:szCs w:val="20"/>
                <w:lang w:val="bg-BG"/>
              </w:rPr>
              <w:t>Н</w:t>
            </w:r>
            <w:r w:rsidRPr="00610B1B">
              <w:rPr>
                <w:rFonts w:ascii="Times New Roman" w:hAnsi="Times New Roman" w:cs="Times New Roman"/>
                <w:sz w:val="20"/>
                <w:szCs w:val="20"/>
                <w:lang w:val="bg-BG"/>
              </w:rPr>
              <w:t>ИГГГ- БАН</w:t>
            </w:r>
          </w:p>
        </w:tc>
        <w:tc>
          <w:tcPr>
            <w:tcW w:w="3232" w:type="dxa"/>
          </w:tcPr>
          <w:p w14:paraId="4213185A"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Установяване на критични зони по Черноморското крайбрежие и оценка на брегозащитните дейности</w:t>
            </w:r>
          </w:p>
        </w:tc>
        <w:tc>
          <w:tcPr>
            <w:tcW w:w="1376" w:type="dxa"/>
            <w:vAlign w:val="center"/>
          </w:tcPr>
          <w:p w14:paraId="719A1892"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3C330602" w14:textId="77777777" w:rsidTr="00537D06">
        <w:tc>
          <w:tcPr>
            <w:tcW w:w="426" w:type="dxa"/>
            <w:vMerge/>
            <w:vAlign w:val="center"/>
          </w:tcPr>
          <w:p w14:paraId="029788CB"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0A678773"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40C406FE"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rPr>
              <w:t>13.2. Уеднаквяване на терминологията и синхронизиране на подзаконовата нормативна база, с оглед ясно вменяване на задължения на компетентните институции, отговорности и контрол.</w:t>
            </w:r>
          </w:p>
        </w:tc>
        <w:tc>
          <w:tcPr>
            <w:tcW w:w="1984" w:type="dxa"/>
          </w:tcPr>
          <w:p w14:paraId="3B4D224B"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Институти на БАН, ВУ</w:t>
            </w:r>
          </w:p>
        </w:tc>
        <w:tc>
          <w:tcPr>
            <w:tcW w:w="3232" w:type="dxa"/>
          </w:tcPr>
          <w:p w14:paraId="1929749C"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Необходимост от усъвършенстване на методологията и терминологията в МПП</w:t>
            </w:r>
          </w:p>
        </w:tc>
        <w:tc>
          <w:tcPr>
            <w:tcW w:w="1376" w:type="dxa"/>
            <w:vAlign w:val="center"/>
          </w:tcPr>
          <w:p w14:paraId="666B4495"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3A4C26C3" w14:textId="77777777" w:rsidTr="00537D06">
        <w:tc>
          <w:tcPr>
            <w:tcW w:w="426" w:type="dxa"/>
            <w:vMerge/>
            <w:vAlign w:val="center"/>
          </w:tcPr>
          <w:p w14:paraId="0C7A5A90"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4CF10600"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558016F9"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rPr>
              <w:t>13.3. Подобряване на мониторинга на термохалинните процеси по Черноморското крайбрежие, териториалните води и ИИЗ на Република България.</w:t>
            </w:r>
          </w:p>
        </w:tc>
        <w:tc>
          <w:tcPr>
            <w:tcW w:w="1984" w:type="dxa"/>
          </w:tcPr>
          <w:p w14:paraId="2DFE3AA8" w14:textId="4C04F08E" w:rsidR="00345474" w:rsidRPr="00610B1B" w:rsidRDefault="00345474" w:rsidP="00D32D6A">
            <w:pPr>
              <w:rPr>
                <w:rFonts w:ascii="Times New Roman" w:hAnsi="Times New Roman" w:cs="Times New Roman"/>
                <w:sz w:val="20"/>
                <w:szCs w:val="20"/>
                <w:lang w:val="bg-BG"/>
              </w:rPr>
            </w:pPr>
            <w:r>
              <w:rPr>
                <w:rFonts w:ascii="Times New Roman" w:hAnsi="Times New Roman" w:cs="Times New Roman"/>
                <w:sz w:val="20"/>
                <w:szCs w:val="20"/>
                <w:lang w:val="bg-BG"/>
              </w:rPr>
              <w:t>Екологични сдружения и/или НПО с опит в орнитологията</w:t>
            </w:r>
          </w:p>
        </w:tc>
        <w:tc>
          <w:tcPr>
            <w:tcW w:w="3232" w:type="dxa"/>
          </w:tcPr>
          <w:p w14:paraId="0D1CFD9A"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Създаване на условия за своевременно въвеждане на мерки за намаляване на въздействия от настъпили промени</w:t>
            </w:r>
          </w:p>
        </w:tc>
        <w:tc>
          <w:tcPr>
            <w:tcW w:w="1376" w:type="dxa"/>
            <w:vAlign w:val="center"/>
          </w:tcPr>
          <w:p w14:paraId="2C39A3C2"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2DAC8E68" w14:textId="77777777" w:rsidTr="00537D06">
        <w:tc>
          <w:tcPr>
            <w:tcW w:w="426" w:type="dxa"/>
            <w:vMerge/>
            <w:vAlign w:val="center"/>
          </w:tcPr>
          <w:p w14:paraId="1677E627"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10C51B72"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74BA9D82"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rPr>
              <w:t>13.4. Проучване на екологичните проблеми, резултат от влиянието на климатичните промени върху морската екосистема и нейното устойчиво управление и използване.</w:t>
            </w:r>
          </w:p>
        </w:tc>
        <w:tc>
          <w:tcPr>
            <w:tcW w:w="1984" w:type="dxa"/>
          </w:tcPr>
          <w:p w14:paraId="36396DCD"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НИМХ, ИО и ИБЕИ-БАН</w:t>
            </w:r>
          </w:p>
        </w:tc>
        <w:tc>
          <w:tcPr>
            <w:tcW w:w="3232" w:type="dxa"/>
          </w:tcPr>
          <w:p w14:paraId="543628C3"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Намаляване на вредните въздействия върху морските екосистеми</w:t>
            </w:r>
          </w:p>
        </w:tc>
        <w:tc>
          <w:tcPr>
            <w:tcW w:w="1376" w:type="dxa"/>
            <w:vAlign w:val="center"/>
          </w:tcPr>
          <w:p w14:paraId="3CC6B222"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2035</w:t>
            </w:r>
          </w:p>
        </w:tc>
      </w:tr>
      <w:tr w:rsidR="00C519AD" w:rsidRPr="00610B1B" w14:paraId="5B87D2A6" w14:textId="77777777" w:rsidTr="00537D06">
        <w:tc>
          <w:tcPr>
            <w:tcW w:w="426" w:type="dxa"/>
            <w:vMerge/>
            <w:vAlign w:val="center"/>
          </w:tcPr>
          <w:p w14:paraId="4FDFED45"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5C9E4077"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3E1BEB40"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color w:val="000000"/>
                <w:sz w:val="20"/>
                <w:szCs w:val="20"/>
                <w:lang w:val="bg-BG"/>
              </w:rPr>
              <w:t>13.5. Оползотворяване потенциала на минералните води по Черноморското крайбрежие за разнообразяване на предлагания туристически продукт, привличане на интерес и инвестиции.</w:t>
            </w:r>
          </w:p>
        </w:tc>
        <w:tc>
          <w:tcPr>
            <w:tcW w:w="1984" w:type="dxa"/>
          </w:tcPr>
          <w:p w14:paraId="501CBDCE" w14:textId="0976CB15"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 МТ</w:t>
            </w:r>
          </w:p>
        </w:tc>
        <w:tc>
          <w:tcPr>
            <w:tcW w:w="3232" w:type="dxa"/>
          </w:tcPr>
          <w:p w14:paraId="79AA739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Разнообразяване на лечебните форми на туризъм </w:t>
            </w:r>
          </w:p>
        </w:tc>
        <w:tc>
          <w:tcPr>
            <w:tcW w:w="1376" w:type="dxa"/>
            <w:vAlign w:val="center"/>
          </w:tcPr>
          <w:p w14:paraId="1B20FC9D"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7EC150B1" w14:textId="77777777" w:rsidTr="00537D06">
        <w:tc>
          <w:tcPr>
            <w:tcW w:w="426" w:type="dxa"/>
            <w:vMerge/>
            <w:vAlign w:val="center"/>
          </w:tcPr>
          <w:p w14:paraId="04A90C51"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644A2304" w14:textId="77777777" w:rsidR="00C519AD" w:rsidRPr="00610B1B" w:rsidRDefault="00C519AD" w:rsidP="00537D06">
            <w:pPr>
              <w:rPr>
                <w:rFonts w:ascii="Times New Roman" w:hAnsi="Times New Roman" w:cs="Times New Roman"/>
                <w:sz w:val="20"/>
                <w:szCs w:val="20"/>
                <w:lang w:val="bg-BG"/>
              </w:rPr>
            </w:pPr>
          </w:p>
        </w:tc>
        <w:tc>
          <w:tcPr>
            <w:tcW w:w="5387" w:type="dxa"/>
          </w:tcPr>
          <w:p w14:paraId="41DB5E22" w14:textId="00C576BF" w:rsidR="00330C54" w:rsidRPr="00002A51" w:rsidRDefault="00330C54" w:rsidP="00330C54">
            <w:pPr>
              <w:pStyle w:val="Bodytext22"/>
              <w:shd w:val="clear" w:color="auto" w:fill="auto"/>
              <w:tabs>
                <w:tab w:val="left" w:pos="1022"/>
              </w:tabs>
              <w:spacing w:before="0" w:after="0" w:line="277" w:lineRule="exact"/>
              <w:ind w:firstLine="0"/>
              <w:rPr>
                <w:rFonts w:eastAsiaTheme="minorEastAsia"/>
                <w:color w:val="000000"/>
                <w:sz w:val="20"/>
                <w:szCs w:val="20"/>
                <w:lang w:val="bg-BG" w:eastAsia="bg-BG" w:bidi="bg-BG"/>
              </w:rPr>
            </w:pPr>
            <w:r w:rsidRPr="00002A51">
              <w:rPr>
                <w:rFonts w:eastAsiaTheme="minorEastAsia"/>
                <w:color w:val="000000"/>
                <w:sz w:val="20"/>
                <w:szCs w:val="20"/>
                <w:lang w:val="bg-BG" w:eastAsia="bg-BG" w:bidi="bg-BG"/>
              </w:rPr>
              <w:t>13.6. Ограничаване източниците на замърсяване на морската среда от човешки дейности и морски трафик в крайбрежната зона, включително и еутрофикация.</w:t>
            </w:r>
          </w:p>
          <w:p w14:paraId="0B2E3503" w14:textId="17B71472" w:rsidR="00C519AD" w:rsidRPr="00610B1B" w:rsidRDefault="00C519AD" w:rsidP="00D32D6A">
            <w:pPr>
              <w:rPr>
                <w:rFonts w:ascii="Times New Roman" w:hAnsi="Times New Roman" w:cs="Times New Roman"/>
                <w:sz w:val="20"/>
                <w:szCs w:val="20"/>
                <w:lang w:val="bg-BG"/>
              </w:rPr>
            </w:pPr>
          </w:p>
        </w:tc>
        <w:tc>
          <w:tcPr>
            <w:tcW w:w="1984" w:type="dxa"/>
          </w:tcPr>
          <w:p w14:paraId="06B45E6E"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tc>
        <w:tc>
          <w:tcPr>
            <w:tcW w:w="3232" w:type="dxa"/>
          </w:tcPr>
          <w:p w14:paraId="50974720" w14:textId="0C9A9904"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Намаляване нивата на еутрофикация</w:t>
            </w:r>
            <w:r w:rsidR="00D5597E" w:rsidRPr="00610B1B">
              <w:rPr>
                <w:rFonts w:ascii="Times New Roman" w:hAnsi="Times New Roman" w:cs="Times New Roman"/>
                <w:sz w:val="20"/>
                <w:szCs w:val="20"/>
                <w:lang w:val="bg-BG"/>
              </w:rPr>
              <w:t xml:space="preserve"> и замърсяване на марската среда</w:t>
            </w:r>
          </w:p>
        </w:tc>
        <w:tc>
          <w:tcPr>
            <w:tcW w:w="1376" w:type="dxa"/>
            <w:vAlign w:val="center"/>
          </w:tcPr>
          <w:p w14:paraId="5690740F"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19F64078" w14:textId="77777777" w:rsidTr="00537D06">
        <w:tc>
          <w:tcPr>
            <w:tcW w:w="426" w:type="dxa"/>
            <w:vMerge/>
            <w:vAlign w:val="center"/>
          </w:tcPr>
          <w:p w14:paraId="5941900F"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43406FBB" w14:textId="77777777" w:rsidR="00C519AD" w:rsidRPr="00610B1B" w:rsidRDefault="00C519AD" w:rsidP="00537D06">
            <w:pPr>
              <w:rPr>
                <w:rFonts w:ascii="Times New Roman" w:hAnsi="Times New Roman" w:cs="Times New Roman"/>
                <w:sz w:val="20"/>
                <w:szCs w:val="20"/>
                <w:lang w:val="bg-BG"/>
              </w:rPr>
            </w:pPr>
          </w:p>
        </w:tc>
        <w:tc>
          <w:tcPr>
            <w:tcW w:w="5387" w:type="dxa"/>
          </w:tcPr>
          <w:p w14:paraId="1A0B426F" w14:textId="616B0892" w:rsidR="00C519AD" w:rsidRPr="00610B1B" w:rsidRDefault="00C519AD" w:rsidP="00B22B51">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13.7 </w:t>
            </w:r>
            <w:r w:rsidR="00B22B51">
              <w:rPr>
                <w:rFonts w:ascii="Times New Roman" w:hAnsi="Times New Roman" w:cs="Times New Roman"/>
                <w:sz w:val="20"/>
                <w:szCs w:val="20"/>
                <w:lang w:val="bg-BG"/>
              </w:rPr>
              <w:t xml:space="preserve"> </w:t>
            </w:r>
            <w:r w:rsidR="00F5747A" w:rsidRPr="00610B1B">
              <w:rPr>
                <w:rFonts w:ascii="Times New Roman" w:hAnsi="Times New Roman" w:cs="Times New Roman"/>
                <w:color w:val="000000"/>
                <w:sz w:val="20"/>
                <w:szCs w:val="20"/>
                <w:lang w:val="bg-BG" w:eastAsia="bg-BG" w:bidi="bg-BG"/>
              </w:rPr>
              <w:t>С цел намаляване на безпокойството на видовете в морска среда, включително птици, да се ограничи генерирането на подводен шум и да се с</w:t>
            </w:r>
            <w:r w:rsidR="007706C4" w:rsidRPr="00610B1B">
              <w:rPr>
                <w:rFonts w:ascii="Times New Roman" w:hAnsi="Times New Roman" w:cs="Times New Roman"/>
                <w:color w:val="000000"/>
                <w:sz w:val="20"/>
                <w:szCs w:val="20"/>
                <w:lang w:val="bg-BG" w:eastAsia="bg-BG" w:bidi="bg-BG"/>
              </w:rPr>
              <w:t>ъ</w:t>
            </w:r>
            <w:r w:rsidR="00F5747A" w:rsidRPr="00610B1B">
              <w:rPr>
                <w:rFonts w:ascii="Times New Roman" w:hAnsi="Times New Roman" w:cs="Times New Roman"/>
                <w:color w:val="000000"/>
                <w:sz w:val="20"/>
                <w:szCs w:val="20"/>
                <w:lang w:val="bg-BG" w:eastAsia="bg-BG" w:bidi="bg-BG"/>
              </w:rPr>
              <w:t xml:space="preserve">здаде регистър на подводен шум </w:t>
            </w:r>
          </w:p>
        </w:tc>
        <w:tc>
          <w:tcPr>
            <w:tcW w:w="1984" w:type="dxa"/>
          </w:tcPr>
          <w:p w14:paraId="3D006C93"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БДЧР</w:t>
            </w:r>
          </w:p>
        </w:tc>
        <w:tc>
          <w:tcPr>
            <w:tcW w:w="3232" w:type="dxa"/>
          </w:tcPr>
          <w:p w14:paraId="54520B7C"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Намаляване нивата на подводен шум в морската среда</w:t>
            </w:r>
          </w:p>
        </w:tc>
        <w:tc>
          <w:tcPr>
            <w:tcW w:w="1376" w:type="dxa"/>
            <w:vAlign w:val="center"/>
          </w:tcPr>
          <w:p w14:paraId="6A8F63D8"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2024</w:t>
            </w:r>
          </w:p>
        </w:tc>
      </w:tr>
      <w:tr w:rsidR="00C519AD" w:rsidRPr="00610B1B" w14:paraId="6A8D6F7A" w14:textId="77777777" w:rsidTr="00537D06">
        <w:tc>
          <w:tcPr>
            <w:tcW w:w="426" w:type="dxa"/>
            <w:vMerge/>
            <w:vAlign w:val="center"/>
          </w:tcPr>
          <w:p w14:paraId="1713FDC2"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74FABDDC"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52529E93" w14:textId="3843EAB1" w:rsidR="00C519AD" w:rsidRPr="00610B1B" w:rsidRDefault="00C519AD" w:rsidP="00D32D6A">
            <w:pPr>
              <w:rPr>
                <w:rFonts w:ascii="Times New Roman" w:hAnsi="Times New Roman" w:cs="Times New Roman"/>
                <w:sz w:val="20"/>
                <w:szCs w:val="20"/>
                <w:lang w:val="bg-BG"/>
              </w:rPr>
            </w:pPr>
            <w:r w:rsidRPr="00610B1B">
              <w:rPr>
                <w:rFonts w:ascii="Times New Roman" w:eastAsia="Times New Roman" w:hAnsi="Times New Roman" w:cs="Times New Roman"/>
                <w:sz w:val="20"/>
                <w:szCs w:val="20"/>
                <w:lang w:val="bg-BG"/>
              </w:rPr>
              <w:t>13.8. Възстановяване на</w:t>
            </w:r>
            <w:r w:rsidR="00D66FE0" w:rsidRPr="00610B1B">
              <w:rPr>
                <w:rFonts w:ascii="Times New Roman" w:eastAsia="Times New Roman" w:hAnsi="Times New Roman" w:cs="Times New Roman"/>
                <w:sz w:val="20"/>
                <w:szCs w:val="20"/>
                <w:lang w:val="bg-BG"/>
              </w:rPr>
              <w:t xml:space="preserve"> </w:t>
            </w:r>
            <w:r w:rsidRPr="00610B1B">
              <w:rPr>
                <w:rFonts w:ascii="Times New Roman" w:eastAsia="Times New Roman" w:hAnsi="Times New Roman" w:cs="Times New Roman"/>
                <w:sz w:val="20"/>
                <w:szCs w:val="20"/>
                <w:lang w:val="bg-BG"/>
              </w:rPr>
              <w:t>числеността и разпространението на морските бозайници до гранични стойности, отговарящи за добро състояние на популациите.</w:t>
            </w:r>
          </w:p>
        </w:tc>
        <w:tc>
          <w:tcPr>
            <w:tcW w:w="1984" w:type="dxa"/>
          </w:tcPr>
          <w:p w14:paraId="469A5EC5" w14:textId="156412D9" w:rsidR="00C519AD" w:rsidRPr="00610B1B" w:rsidRDefault="00042A2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Икономически оператори, местните общности, НПО</w:t>
            </w:r>
          </w:p>
        </w:tc>
        <w:tc>
          <w:tcPr>
            <w:tcW w:w="3232" w:type="dxa"/>
          </w:tcPr>
          <w:p w14:paraId="2B327E97"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Постигане на добро състояние ва морската околна среда </w:t>
            </w:r>
          </w:p>
        </w:tc>
        <w:tc>
          <w:tcPr>
            <w:tcW w:w="1376" w:type="dxa"/>
            <w:vAlign w:val="center"/>
          </w:tcPr>
          <w:p w14:paraId="4B2F2439"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7AA1D965" w14:textId="77777777" w:rsidTr="00537D06">
        <w:tc>
          <w:tcPr>
            <w:tcW w:w="426" w:type="dxa"/>
            <w:vMerge/>
            <w:vAlign w:val="center"/>
          </w:tcPr>
          <w:p w14:paraId="4EFA942E"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7E138206" w14:textId="77777777" w:rsidR="00C519AD" w:rsidRPr="00610B1B" w:rsidRDefault="00C519AD" w:rsidP="00537D06">
            <w:pPr>
              <w:rPr>
                <w:rFonts w:ascii="Times New Roman" w:hAnsi="Times New Roman" w:cs="Times New Roman"/>
                <w:sz w:val="20"/>
                <w:szCs w:val="20"/>
                <w:lang w:val="bg-BG"/>
              </w:rPr>
            </w:pPr>
          </w:p>
        </w:tc>
        <w:tc>
          <w:tcPr>
            <w:tcW w:w="5387" w:type="dxa"/>
            <w:shd w:val="clear" w:color="auto" w:fill="FFFFFF"/>
          </w:tcPr>
          <w:p w14:paraId="4D700DCD" w14:textId="77777777" w:rsidR="00C519AD" w:rsidRPr="00610B1B" w:rsidRDefault="00C519AD" w:rsidP="00B46189">
            <w:pPr>
              <w:pStyle w:val="ListParagraph"/>
              <w:numPr>
                <w:ilvl w:val="1"/>
                <w:numId w:val="91"/>
              </w:numPr>
              <w:tabs>
                <w:tab w:val="left" w:pos="310"/>
                <w:tab w:val="left" w:pos="452"/>
              </w:tabs>
              <w:ind w:left="26" w:hanging="26"/>
              <w:contextualSpacing w:val="0"/>
              <w:rPr>
                <w:rFonts w:ascii="Times New Roman" w:eastAsia="Times New Roman" w:hAnsi="Times New Roman" w:cs="Times New Roman"/>
                <w:sz w:val="20"/>
                <w:szCs w:val="20"/>
                <w:lang w:val="bg-BG"/>
              </w:rPr>
            </w:pPr>
            <w:r w:rsidRPr="00610B1B">
              <w:rPr>
                <w:rFonts w:ascii="Times New Roman" w:eastAsia="Times New Roman" w:hAnsi="Times New Roman" w:cs="Times New Roman"/>
                <w:sz w:val="20"/>
                <w:szCs w:val="20"/>
                <w:lang w:val="bg-BG"/>
              </w:rPr>
              <w:t>Постигане на благоприятно природозащитно състояние на морските птици в поне 50% от техните местообитанията, чието състояние е било влошено до 2020 г.</w:t>
            </w:r>
          </w:p>
        </w:tc>
        <w:tc>
          <w:tcPr>
            <w:tcW w:w="1984" w:type="dxa"/>
          </w:tcPr>
          <w:p w14:paraId="5ECE416B" w14:textId="2071C88B" w:rsidR="00C519AD" w:rsidRPr="00610B1B" w:rsidRDefault="00042A2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Икономически оператори, местните общности, БДЗП, НПО</w:t>
            </w:r>
          </w:p>
        </w:tc>
        <w:tc>
          <w:tcPr>
            <w:tcW w:w="3232" w:type="dxa"/>
          </w:tcPr>
          <w:p w14:paraId="29B09ECF"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Постигане на добро състояние ва морската околна среда</w:t>
            </w:r>
          </w:p>
        </w:tc>
        <w:tc>
          <w:tcPr>
            <w:tcW w:w="1376" w:type="dxa"/>
            <w:vAlign w:val="center"/>
          </w:tcPr>
          <w:p w14:paraId="77C9251E" w14:textId="77777777" w:rsidR="00C519AD" w:rsidRPr="00610B1B"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2030</w:t>
            </w:r>
          </w:p>
        </w:tc>
      </w:tr>
      <w:tr w:rsidR="00C519AD" w:rsidRPr="00610B1B" w14:paraId="7872C694" w14:textId="77777777" w:rsidTr="00537D06">
        <w:tc>
          <w:tcPr>
            <w:tcW w:w="426" w:type="dxa"/>
            <w:vMerge/>
            <w:vAlign w:val="center"/>
          </w:tcPr>
          <w:p w14:paraId="2E1DEE4E" w14:textId="77777777" w:rsidR="00C519AD" w:rsidRPr="00610B1B" w:rsidRDefault="00C519AD" w:rsidP="00537D06">
            <w:pPr>
              <w:jc w:val="center"/>
              <w:rPr>
                <w:rFonts w:ascii="Times New Roman" w:hAnsi="Times New Roman" w:cs="Times New Roman"/>
                <w:sz w:val="20"/>
                <w:szCs w:val="20"/>
                <w:lang w:val="bg-BG"/>
              </w:rPr>
            </w:pPr>
          </w:p>
        </w:tc>
        <w:tc>
          <w:tcPr>
            <w:tcW w:w="2693" w:type="dxa"/>
            <w:vMerge/>
            <w:vAlign w:val="center"/>
          </w:tcPr>
          <w:p w14:paraId="4D4BEE7E" w14:textId="77777777" w:rsidR="00C519AD" w:rsidRPr="00610B1B" w:rsidRDefault="00C519AD" w:rsidP="00537D06">
            <w:pPr>
              <w:rPr>
                <w:rFonts w:ascii="Times New Roman" w:hAnsi="Times New Roman" w:cs="Times New Roman"/>
                <w:sz w:val="20"/>
                <w:szCs w:val="20"/>
                <w:lang w:val="bg-BG"/>
              </w:rPr>
            </w:pPr>
          </w:p>
        </w:tc>
        <w:tc>
          <w:tcPr>
            <w:tcW w:w="5387" w:type="dxa"/>
          </w:tcPr>
          <w:p w14:paraId="7F48D003" w14:textId="49C51A9C" w:rsidR="00C519AD" w:rsidRPr="00610B1B" w:rsidRDefault="00C519AD" w:rsidP="00B46189">
            <w:pPr>
              <w:pStyle w:val="ListParagraph"/>
              <w:numPr>
                <w:ilvl w:val="1"/>
                <w:numId w:val="91"/>
              </w:numPr>
              <w:tabs>
                <w:tab w:val="left" w:pos="593"/>
              </w:tabs>
              <w:ind w:left="26" w:hanging="26"/>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Ефективно и справедливо управление на крайбрежните и морски местообитания, които имат значение за опазването на биоразнообразието и екосистемните услуги във </w:t>
            </w:r>
            <w:r w:rsidR="004E6850" w:rsidRPr="00610B1B">
              <w:rPr>
                <w:rFonts w:ascii="Times New Roman" w:hAnsi="Times New Roman" w:cs="Times New Roman"/>
                <w:sz w:val="20"/>
                <w:szCs w:val="20"/>
                <w:lang w:val="bg-BG"/>
              </w:rPr>
              <w:t>взаимосвързани</w:t>
            </w:r>
            <w:r w:rsidRPr="00610B1B">
              <w:rPr>
                <w:rFonts w:ascii="Times New Roman" w:hAnsi="Times New Roman" w:cs="Times New Roman"/>
                <w:sz w:val="20"/>
                <w:szCs w:val="20"/>
                <w:lang w:val="bg-BG"/>
              </w:rPr>
              <w:t xml:space="preserve"> екосистеми.</w:t>
            </w:r>
          </w:p>
          <w:p w14:paraId="299A9D87" w14:textId="6B6C0D3D" w:rsidR="00B4652F" w:rsidRPr="00610B1B" w:rsidRDefault="00B4652F" w:rsidP="00B4652F">
            <w:pPr>
              <w:pStyle w:val="ListParagraph"/>
              <w:tabs>
                <w:tab w:val="left" w:pos="593"/>
              </w:tabs>
              <w:ind w:left="26"/>
              <w:contextualSpacing w:val="0"/>
              <w:rPr>
                <w:rFonts w:ascii="Times New Roman" w:hAnsi="Times New Roman" w:cs="Times New Roman"/>
                <w:sz w:val="20"/>
                <w:szCs w:val="20"/>
                <w:lang w:val="bg-BG"/>
              </w:rPr>
            </w:pPr>
            <w:r w:rsidRPr="00610B1B">
              <w:rPr>
                <w:rFonts w:ascii="Times New Roman" w:hAnsi="Times New Roman" w:cs="Times New Roman"/>
                <w:sz w:val="20"/>
                <w:szCs w:val="20"/>
                <w:lang w:val="bg-BG"/>
              </w:rPr>
              <w:t>----------------------------------------------------------------------------</w:t>
            </w:r>
          </w:p>
          <w:p w14:paraId="127C6897" w14:textId="27FBD7E4" w:rsidR="00B4652F" w:rsidRPr="00610B1B" w:rsidRDefault="00B4652F" w:rsidP="00B46189">
            <w:pPr>
              <w:pStyle w:val="ListParagraph"/>
              <w:numPr>
                <w:ilvl w:val="1"/>
                <w:numId w:val="91"/>
              </w:numPr>
              <w:pBdr>
                <w:bottom w:val="single" w:sz="6" w:space="1" w:color="auto"/>
              </w:pBdr>
              <w:tabs>
                <w:tab w:val="left" w:pos="593"/>
              </w:tabs>
              <w:ind w:left="26" w:hanging="26"/>
              <w:contextualSpacing w:val="0"/>
              <w:rPr>
                <w:rFonts w:ascii="Times New Roman" w:hAnsi="Times New Roman" w:cs="Times New Roman"/>
                <w:sz w:val="20"/>
                <w:szCs w:val="20"/>
                <w:lang w:val="bg-BG"/>
              </w:rPr>
            </w:pPr>
            <w:r w:rsidRPr="00E63187">
              <w:rPr>
                <w:rFonts w:ascii="Times New Roman" w:eastAsia="Times New Roman" w:hAnsi="Times New Roman" w:cs="Times New Roman"/>
                <w:color w:val="000000"/>
                <w:sz w:val="20"/>
                <w:szCs w:val="20"/>
                <w:lang w:val="bg-BG" w:eastAsia="bg-BG" w:bidi="bg-BG"/>
              </w:rPr>
              <w:lastRenderedPageBreak/>
              <w:t>С цел предотвратяване влошаването на състоянието на местообитанията и на рибните популации, да се извършва регулярен мониторинг на морската среда и на състоянието на популациите на целевите видове риби в крайбрежната морска зона</w:t>
            </w:r>
          </w:p>
          <w:p w14:paraId="45A78F66" w14:textId="7A9AE274" w:rsidR="00683DD9" w:rsidRPr="00610B1B" w:rsidRDefault="00683DD9" w:rsidP="00683DD9">
            <w:pP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rPr>
              <w:t>13.1</w:t>
            </w:r>
            <w:r w:rsidR="00410897" w:rsidRPr="00610B1B">
              <w:rPr>
                <w:rFonts w:ascii="Times New Roman" w:hAnsi="Times New Roman" w:cs="Times New Roman"/>
                <w:sz w:val="20"/>
                <w:szCs w:val="20"/>
                <w:lang w:val="bg-BG"/>
              </w:rPr>
              <w:t>2</w:t>
            </w:r>
            <w:r w:rsidRPr="00610B1B">
              <w:rPr>
                <w:rFonts w:ascii="Times New Roman" w:hAnsi="Times New Roman" w:cs="Times New Roman"/>
                <w:sz w:val="20"/>
                <w:szCs w:val="20"/>
                <w:lang w:val="bg-BG"/>
              </w:rPr>
              <w:t>.</w:t>
            </w:r>
            <w:r w:rsidRPr="00610B1B">
              <w:rPr>
                <w:rFonts w:ascii="Times New Roman" w:eastAsia="Times New Roman" w:hAnsi="Times New Roman" w:cs="Times New Roman"/>
                <w:color w:val="000000"/>
                <w:sz w:val="24"/>
                <w:szCs w:val="24"/>
                <w:lang w:val="bg-BG" w:eastAsia="bg-BG" w:bidi="bg-BG"/>
              </w:rPr>
              <w:t xml:space="preserve"> </w:t>
            </w:r>
            <w:r w:rsidRPr="00610B1B">
              <w:rPr>
                <w:rFonts w:ascii="Times New Roman" w:hAnsi="Times New Roman" w:cs="Times New Roman"/>
                <w:sz w:val="20"/>
                <w:szCs w:val="20"/>
                <w:lang w:val="bg-BG" w:bidi="bg-BG"/>
              </w:rPr>
              <w:t>Разработване на национален План за опазване на Средиземноморски буревестник и на Планове за управление на местата от голямо значение за вида и редовен мониторинг, устойчиво ползване на рибните ресурси на Черно море, запазване на скалистите участъци по крайбрежието</w:t>
            </w:r>
            <w:r w:rsidR="00046B23">
              <w:rPr>
                <w:rFonts w:ascii="Times New Roman" w:hAnsi="Times New Roman" w:cs="Times New Roman"/>
                <w:sz w:val="20"/>
                <w:szCs w:val="20"/>
                <w:lang w:val="bg-BG" w:bidi="bg-BG"/>
              </w:rPr>
              <w:t xml:space="preserve">, </w:t>
            </w:r>
            <w:r w:rsidR="00046B23" w:rsidRPr="00046B23">
              <w:rPr>
                <w:rFonts w:ascii="Times New Roman" w:hAnsi="Times New Roman" w:cs="Times New Roman"/>
                <w:sz w:val="20"/>
                <w:szCs w:val="20"/>
                <w:lang w:val="bg-BG" w:bidi="bg-BG"/>
              </w:rPr>
              <w:t>което щ</w:t>
            </w:r>
            <w:r w:rsidR="00046B23">
              <w:rPr>
                <w:rFonts w:ascii="Times New Roman" w:hAnsi="Times New Roman" w:cs="Times New Roman"/>
                <w:sz w:val="20"/>
                <w:szCs w:val="20"/>
                <w:lang w:val="bg-BG" w:bidi="bg-BG"/>
              </w:rPr>
              <w:t>е подпомогне опазването на вида</w:t>
            </w:r>
            <w:r w:rsidRPr="00610B1B">
              <w:rPr>
                <w:rFonts w:ascii="Times New Roman" w:hAnsi="Times New Roman" w:cs="Times New Roman"/>
                <w:sz w:val="20"/>
                <w:szCs w:val="20"/>
                <w:lang w:val="bg-BG" w:bidi="bg-BG"/>
              </w:rPr>
              <w:t>.</w:t>
            </w:r>
          </w:p>
          <w:p w14:paraId="128F1084" w14:textId="28137D09" w:rsidR="00410897" w:rsidRPr="00610B1B" w:rsidRDefault="00410897" w:rsidP="00683DD9">
            <w:pP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4EEA4CDB" w14:textId="07D0ECB2" w:rsidR="00757A45" w:rsidRPr="00610B1B" w:rsidRDefault="00F830FB" w:rsidP="00F830FB">
            <w:pP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13.13.</w:t>
            </w:r>
            <w:r w:rsidR="00410897" w:rsidRPr="00610B1B">
              <w:rPr>
                <w:rFonts w:ascii="Times New Roman" w:hAnsi="Times New Roman" w:cs="Times New Roman"/>
                <w:sz w:val="20"/>
                <w:szCs w:val="20"/>
                <w:lang w:val="bg-BG" w:bidi="bg-BG"/>
              </w:rPr>
              <w:t xml:space="preserve"> С цел опазване на вида среден корморан, да бъдат ограничени потенциалните заплахи от строителството и индустриалната дейност по брега, да се риболовните дейности, да се въведат забрани за водни спортове в бързоподви</w:t>
            </w:r>
            <w:r w:rsidR="000337E8">
              <w:rPr>
                <w:rFonts w:ascii="Times New Roman" w:hAnsi="Times New Roman" w:cs="Times New Roman"/>
                <w:sz w:val="20"/>
                <w:szCs w:val="20"/>
                <w:lang w:val="bg-BG" w:bidi="bg-BG"/>
              </w:rPr>
              <w:t>жни лодки</w:t>
            </w:r>
            <w:r w:rsidR="00410897" w:rsidRPr="00610B1B">
              <w:rPr>
                <w:rFonts w:ascii="Times New Roman" w:hAnsi="Times New Roman" w:cs="Times New Roman"/>
                <w:sz w:val="20"/>
                <w:szCs w:val="20"/>
                <w:lang w:val="bg-BG" w:bidi="bg-BG"/>
              </w:rPr>
              <w:t xml:space="preserve"> и джетове в близост до колониите на вида. Необходимо е да бъдат предприе ограничаване безпокойството на гнездящи корморани през размножител</w:t>
            </w:r>
            <w:r w:rsidR="008849C8" w:rsidRPr="00610B1B">
              <w:rPr>
                <w:rFonts w:ascii="Times New Roman" w:hAnsi="Times New Roman" w:cs="Times New Roman"/>
                <w:sz w:val="20"/>
                <w:szCs w:val="20"/>
                <w:lang w:val="bg-BG" w:bidi="bg-BG"/>
              </w:rPr>
              <w:t>ния период,</w:t>
            </w:r>
            <w:r w:rsidR="00410897" w:rsidRPr="00610B1B">
              <w:rPr>
                <w:rFonts w:ascii="Times New Roman" w:hAnsi="Times New Roman" w:cs="Times New Roman"/>
                <w:sz w:val="20"/>
                <w:szCs w:val="20"/>
                <w:lang w:val="bg-BG" w:bidi="bg-BG"/>
              </w:rPr>
              <w:t xml:space="preserve"> както и да бъдат информирани посетителите.</w:t>
            </w:r>
          </w:p>
          <w:p w14:paraId="11269E5A" w14:textId="600CB7B3" w:rsidR="00757A45" w:rsidRPr="00610B1B" w:rsidRDefault="004567E9" w:rsidP="00F830FB">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13</w:t>
            </w:r>
            <w:r w:rsidR="00757A45" w:rsidRPr="00610B1B">
              <w:rPr>
                <w:rFonts w:ascii="Times New Roman" w:hAnsi="Times New Roman" w:cs="Times New Roman"/>
                <w:sz w:val="20"/>
                <w:szCs w:val="20"/>
                <w:lang w:val="bg-BG" w:bidi="bg-BG"/>
              </w:rPr>
              <w:t xml:space="preserve">.14. Препоръчително е да се извършва мониторинг на двата целеви вида морски птици </w:t>
            </w:r>
            <w:r w:rsidR="007F3121" w:rsidRPr="00610B1B">
              <w:rPr>
                <w:rFonts w:ascii="Times New Roman" w:hAnsi="Times New Roman" w:cs="Times New Roman"/>
                <w:sz w:val="20"/>
                <w:szCs w:val="20"/>
                <w:lang w:val="bg-BG" w:bidi="bg-BG"/>
              </w:rPr>
              <w:t xml:space="preserve">– средиземноморски буревестник и среден корморан </w:t>
            </w:r>
            <w:r w:rsidR="00757A45" w:rsidRPr="00610B1B">
              <w:rPr>
                <w:rFonts w:ascii="Times New Roman" w:hAnsi="Times New Roman" w:cs="Times New Roman"/>
                <w:sz w:val="20"/>
                <w:szCs w:val="20"/>
                <w:lang w:val="bg-BG" w:bidi="bg-BG"/>
              </w:rPr>
              <w:t xml:space="preserve">минимум три пъти годишно в периода април </w:t>
            </w:r>
            <w:r w:rsidR="007F3121" w:rsidRPr="00610B1B">
              <w:rPr>
                <w:rFonts w:ascii="Times New Roman" w:hAnsi="Times New Roman" w:cs="Times New Roman"/>
                <w:sz w:val="20"/>
                <w:szCs w:val="20"/>
                <w:lang w:val="bg-BG" w:bidi="bg-BG"/>
              </w:rPr>
              <w:t>–</w:t>
            </w:r>
            <w:r w:rsidR="00757A45" w:rsidRPr="00610B1B">
              <w:rPr>
                <w:rFonts w:ascii="Times New Roman" w:hAnsi="Times New Roman" w:cs="Times New Roman"/>
                <w:sz w:val="20"/>
                <w:szCs w:val="20"/>
                <w:lang w:val="bg-BG" w:bidi="bg-BG"/>
              </w:rPr>
              <w:t xml:space="preserve"> юни </w:t>
            </w:r>
            <w:r w:rsidR="00194F68">
              <w:rPr>
                <w:rFonts w:ascii="Times New Roman" w:hAnsi="Times New Roman" w:cs="Times New Roman"/>
                <w:sz w:val="20"/>
                <w:szCs w:val="20"/>
                <w:lang w:val="bg-BG" w:bidi="bg-BG"/>
              </w:rPr>
              <w:t>С цел</w:t>
            </w:r>
            <w:r w:rsidR="00757A45" w:rsidRPr="00610B1B">
              <w:rPr>
                <w:rFonts w:ascii="Times New Roman" w:hAnsi="Times New Roman" w:cs="Times New Roman"/>
                <w:sz w:val="20"/>
                <w:szCs w:val="20"/>
                <w:lang w:val="bg-BG" w:bidi="bg-BG"/>
              </w:rPr>
              <w:t xml:space="preserve"> проследяване тенденциите в популациите, както и евентуалните промени в поведението им и промените в местообитанията</w:t>
            </w:r>
          </w:p>
          <w:p w14:paraId="4462BC3B" w14:textId="16011BC5" w:rsidR="00757A45" w:rsidRPr="00610B1B" w:rsidRDefault="00757A45" w:rsidP="00F830FB">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315BB6EB" w14:textId="77777777" w:rsidR="00757A45" w:rsidRPr="00610B1B" w:rsidRDefault="00757A45" w:rsidP="00F830FB">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p>
          <w:p w14:paraId="5244215E" w14:textId="77777777" w:rsidR="00D0108C" w:rsidRDefault="00F830FB"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13.1</w:t>
            </w:r>
            <w:r w:rsidR="00757A45" w:rsidRPr="00610B1B">
              <w:rPr>
                <w:rFonts w:ascii="Times New Roman" w:hAnsi="Times New Roman" w:cs="Times New Roman"/>
                <w:sz w:val="20"/>
                <w:szCs w:val="20"/>
                <w:lang w:val="bg-BG" w:bidi="bg-BG"/>
              </w:rPr>
              <w:t>5</w:t>
            </w:r>
            <w:r w:rsidRPr="00610B1B">
              <w:rPr>
                <w:rFonts w:ascii="Times New Roman" w:hAnsi="Times New Roman" w:cs="Times New Roman"/>
                <w:sz w:val="20"/>
                <w:szCs w:val="20"/>
                <w:lang w:val="bg-BG" w:bidi="bg-BG"/>
              </w:rPr>
              <w:t xml:space="preserve">. </w:t>
            </w:r>
            <w:r w:rsidR="002C0CEB" w:rsidRPr="00610B1B">
              <w:rPr>
                <w:rFonts w:ascii="Times New Roman" w:hAnsi="Times New Roman" w:cs="Times New Roman"/>
                <w:sz w:val="20"/>
                <w:szCs w:val="20"/>
                <w:lang w:val="bg-BG" w:bidi="bg-BG"/>
              </w:rPr>
              <w:t xml:space="preserve">Да се предостави правна защита на най-малко 30% от морския басейн и да се осигури интегриране на екологичните коридори в рамките на ефективно действаща трансевропейска мрежа за защита на природата; Да се въведат мерки за строга защита на най-малко една трета от защитените зони, които представляват 10% от морския басейн. </w:t>
            </w:r>
          </w:p>
          <w:p w14:paraId="6ECA5FF6" w14:textId="4EF91E19" w:rsidR="009A6CF6" w:rsidRPr="00002A51" w:rsidRDefault="009A6CF6" w:rsidP="009A6CF6">
            <w:pPr>
              <w:jc w:val="both"/>
              <w:rPr>
                <w:rFonts w:ascii="Times New Roman" w:hAnsi="Times New Roman" w:cs="Times New Roman"/>
                <w:b/>
                <w:sz w:val="20"/>
                <w:szCs w:val="20"/>
                <w:lang w:val="bg-BG"/>
              </w:rPr>
            </w:pPr>
            <w:r w:rsidRPr="009A6CF6">
              <w:rPr>
                <w:rFonts w:ascii="Times New Roman" w:hAnsi="Times New Roman" w:cs="Times New Roman"/>
                <w:sz w:val="20"/>
                <w:szCs w:val="20"/>
                <w:lang w:val="bg-BG" w:bidi="bg-BG"/>
              </w:rPr>
              <w:lastRenderedPageBreak/>
              <w:t xml:space="preserve">Предлагат се като подходящи </w:t>
            </w:r>
            <w:r w:rsidR="00390518" w:rsidRPr="00390518">
              <w:rPr>
                <w:rFonts w:ascii="Times New Roman" w:hAnsi="Times New Roman" w:cs="Times New Roman"/>
                <w:sz w:val="20"/>
                <w:szCs w:val="20"/>
                <w:lang w:val="bg-BG" w:bidi="bg-BG"/>
              </w:rPr>
              <w:t xml:space="preserve">следните две </w:t>
            </w:r>
            <w:r w:rsidR="00F81A03">
              <w:rPr>
                <w:rFonts w:ascii="Times New Roman" w:hAnsi="Times New Roman" w:cs="Times New Roman"/>
                <w:sz w:val="20"/>
                <w:szCs w:val="20"/>
                <w:lang w:val="bg-BG" w:bidi="bg-BG"/>
              </w:rPr>
              <w:t xml:space="preserve">акватории, в рамките на които да </w:t>
            </w:r>
            <w:r w:rsidR="00390518">
              <w:rPr>
                <w:rFonts w:ascii="Times New Roman" w:hAnsi="Times New Roman" w:cs="Times New Roman"/>
                <w:sz w:val="20"/>
                <w:szCs w:val="20"/>
                <w:lang w:val="bg-BG" w:bidi="bg-BG"/>
              </w:rPr>
              <w:t>бъдат изследвани</w:t>
            </w:r>
            <w:r w:rsidR="00F81A03">
              <w:rPr>
                <w:rFonts w:ascii="Times New Roman" w:hAnsi="Times New Roman" w:cs="Times New Roman"/>
                <w:sz w:val="20"/>
                <w:szCs w:val="20"/>
                <w:lang w:val="bg-BG" w:bidi="bg-BG"/>
              </w:rPr>
              <w:t xml:space="preserve"> </w:t>
            </w:r>
            <w:r w:rsidR="00F81A03">
              <w:rPr>
                <w:rFonts w:ascii="Times New Roman" w:hAnsi="Times New Roman" w:cs="Times New Roman"/>
                <w:b/>
                <w:sz w:val="20"/>
                <w:szCs w:val="20"/>
                <w:lang w:val="bg-BG"/>
              </w:rPr>
              <w:t>райони</w:t>
            </w:r>
            <w:r w:rsidR="001E44C8" w:rsidRPr="001E44C8">
              <w:rPr>
                <w:rFonts w:ascii="Times New Roman" w:hAnsi="Times New Roman" w:cs="Times New Roman"/>
                <w:b/>
                <w:sz w:val="20"/>
                <w:szCs w:val="20"/>
                <w:lang w:val="bg-BG"/>
              </w:rPr>
              <w:t xml:space="preserve">, </w:t>
            </w:r>
            <w:r w:rsidR="001E44C8">
              <w:rPr>
                <w:rFonts w:ascii="Times New Roman" w:hAnsi="Times New Roman" w:cs="Times New Roman"/>
                <w:b/>
                <w:sz w:val="20"/>
                <w:szCs w:val="20"/>
                <w:lang w:val="bg-BG"/>
              </w:rPr>
              <w:t>подходящи</w:t>
            </w:r>
            <w:r w:rsidRPr="00133B13">
              <w:rPr>
                <w:rFonts w:ascii="Times New Roman" w:hAnsi="Times New Roman" w:cs="Times New Roman"/>
                <w:b/>
                <w:sz w:val="20"/>
                <w:szCs w:val="20"/>
                <w:lang w:val="bg-BG"/>
              </w:rPr>
              <w:t xml:space="preserve"> </w:t>
            </w:r>
            <w:r w:rsidR="001E44C8">
              <w:rPr>
                <w:rFonts w:ascii="Times New Roman" w:hAnsi="Times New Roman" w:cs="Times New Roman"/>
                <w:b/>
                <w:sz w:val="20"/>
                <w:szCs w:val="20"/>
                <w:lang w:val="bg-BG"/>
              </w:rPr>
              <w:t>з</w:t>
            </w:r>
            <w:r w:rsidRPr="00133B13">
              <w:rPr>
                <w:rFonts w:ascii="Times New Roman" w:hAnsi="Times New Roman" w:cs="Times New Roman"/>
                <w:b/>
                <w:sz w:val="20"/>
                <w:szCs w:val="20"/>
                <w:lang w:val="bg-BG"/>
              </w:rPr>
              <w:t>а защит</w:t>
            </w:r>
            <w:r w:rsidR="001B01A3">
              <w:rPr>
                <w:rFonts w:ascii="Times New Roman" w:hAnsi="Times New Roman" w:cs="Times New Roman"/>
                <w:b/>
                <w:sz w:val="20"/>
                <w:szCs w:val="20"/>
                <w:lang w:val="bg-BG"/>
              </w:rPr>
              <w:t>а</w:t>
            </w:r>
            <w:r w:rsidR="00390518">
              <w:rPr>
                <w:rFonts w:ascii="Times New Roman" w:hAnsi="Times New Roman" w:cs="Times New Roman"/>
                <w:b/>
                <w:sz w:val="20"/>
                <w:szCs w:val="20"/>
                <w:lang w:val="bg-BG"/>
              </w:rPr>
              <w:t xml:space="preserve">, </w:t>
            </w:r>
            <w:r w:rsidR="00390518" w:rsidRPr="009265C2">
              <w:rPr>
                <w:rFonts w:ascii="Times New Roman" w:hAnsi="Times New Roman" w:cs="Times New Roman"/>
                <w:sz w:val="20"/>
                <w:szCs w:val="20"/>
                <w:lang w:val="bg-BG"/>
              </w:rPr>
              <w:t>които биха допринесли за изпълнение на целите на Стратегията за биологично</w:t>
            </w:r>
            <w:r w:rsidR="00390518" w:rsidRPr="009265C2">
              <w:rPr>
                <w:lang w:val="bg-BG"/>
              </w:rPr>
              <w:t xml:space="preserve"> </w:t>
            </w:r>
            <w:r w:rsidR="009265C2">
              <w:rPr>
                <w:rFonts w:ascii="Times New Roman" w:hAnsi="Times New Roman" w:cs="Times New Roman"/>
                <w:sz w:val="20"/>
                <w:szCs w:val="20"/>
                <w:lang w:val="bg-BG"/>
              </w:rPr>
              <w:t>разнообразие за 2030г.</w:t>
            </w:r>
            <w:r w:rsidRPr="009265C2">
              <w:rPr>
                <w:rFonts w:ascii="Times New Roman" w:hAnsi="Times New Roman" w:cs="Times New Roman"/>
                <w:sz w:val="20"/>
                <w:szCs w:val="20"/>
                <w:lang w:val="bg-BG"/>
              </w:rPr>
              <w:t>:</w:t>
            </w:r>
          </w:p>
          <w:p w14:paraId="29B3ABC0" w14:textId="77777777" w:rsidR="009A6CF6" w:rsidRPr="00002A51" w:rsidRDefault="009A6CF6" w:rsidP="009A6CF6">
            <w:pPr>
              <w:numPr>
                <w:ilvl w:val="0"/>
                <w:numId w:val="112"/>
              </w:numPr>
              <w:jc w:val="both"/>
              <w:rPr>
                <w:rFonts w:ascii="Times New Roman" w:hAnsi="Times New Roman" w:cs="Times New Roman"/>
                <w:sz w:val="20"/>
                <w:szCs w:val="20"/>
                <w:lang w:val="bg-BG"/>
              </w:rPr>
            </w:pPr>
            <w:r w:rsidRPr="00002A51">
              <w:rPr>
                <w:rFonts w:ascii="Times New Roman" w:hAnsi="Times New Roman" w:cs="Times New Roman"/>
                <w:sz w:val="20"/>
                <w:szCs w:val="20"/>
                <w:lang w:val="bg-BG"/>
              </w:rPr>
              <w:t xml:space="preserve">Акваторията и крайбрежието  между н. Хумата - Маслен нос - местност Перла  </w:t>
            </w:r>
          </w:p>
          <w:p w14:paraId="6CD0A93B" w14:textId="77777777" w:rsidR="009A6CF6" w:rsidRPr="00002A51" w:rsidRDefault="009A6CF6" w:rsidP="009A6CF6">
            <w:pPr>
              <w:numPr>
                <w:ilvl w:val="0"/>
                <w:numId w:val="112"/>
              </w:numPr>
              <w:jc w:val="both"/>
              <w:rPr>
                <w:lang w:val="bg-BG"/>
              </w:rPr>
            </w:pPr>
            <w:r w:rsidRPr="00002A51">
              <w:rPr>
                <w:rFonts w:ascii="Times New Roman" w:hAnsi="Times New Roman" w:cs="Times New Roman"/>
                <w:sz w:val="20"/>
                <w:szCs w:val="20"/>
                <w:lang w:val="bg-BG"/>
              </w:rPr>
              <w:t>Акваторията и крайбрежие  между с. Синеморец и р. Резовска</w:t>
            </w:r>
            <w:r w:rsidRPr="00002A51">
              <w:rPr>
                <w:lang w:val="bg-BG"/>
              </w:rPr>
              <w:t xml:space="preserve"> </w:t>
            </w:r>
          </w:p>
          <w:p w14:paraId="00C76CBA" w14:textId="1BF93D63" w:rsidR="009A6CF6" w:rsidRPr="00610B1B" w:rsidRDefault="009A6CF6"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p>
          <w:p w14:paraId="0B0676A7" w14:textId="77777777" w:rsidR="0048259D" w:rsidRPr="00610B1B" w:rsidRDefault="0048259D"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4D8C71F8" w14:textId="77777777" w:rsidR="0048259D" w:rsidRPr="00610B1B" w:rsidRDefault="0048259D"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13.16.</w:t>
            </w:r>
            <w:r w:rsidRPr="00610B1B">
              <w:rPr>
                <w:rFonts w:ascii="Times New Roman" w:eastAsia="TimesNewRomanPSMT" w:hAnsi="Times New Roman" w:cs="Times New Roman"/>
                <w:sz w:val="24"/>
                <w:szCs w:val="24"/>
                <w:lang w:val="bg-BG" w:bidi="bg-BG"/>
              </w:rPr>
              <w:t xml:space="preserve"> </w:t>
            </w:r>
            <w:r w:rsidRPr="00610B1B">
              <w:rPr>
                <w:rFonts w:ascii="Times New Roman" w:hAnsi="Times New Roman" w:cs="Times New Roman"/>
                <w:sz w:val="20"/>
                <w:szCs w:val="20"/>
                <w:lang w:val="bg-BG" w:bidi="bg-BG"/>
              </w:rPr>
              <w:t>С цел повишаване информираността на населението за предмета и целите на опазване в защитените зони от мрежата Натура 2000 да се поставят информационни табла, относно опазвани местообитания и видове; забрани и ограничения за дейности, които оказват отрицателни въздействия върху тях и предвидени законови санкции за нарушени</w:t>
            </w:r>
            <w:r w:rsidR="00A14088" w:rsidRPr="00610B1B">
              <w:rPr>
                <w:rFonts w:ascii="Times New Roman" w:hAnsi="Times New Roman" w:cs="Times New Roman"/>
                <w:sz w:val="20"/>
                <w:szCs w:val="20"/>
                <w:lang w:val="bg-BG" w:bidi="bg-BG"/>
              </w:rPr>
              <w:t>я.</w:t>
            </w:r>
          </w:p>
          <w:p w14:paraId="1D013A84" w14:textId="77777777" w:rsidR="00A14088" w:rsidRPr="00610B1B" w:rsidRDefault="00A14088"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76AEAEC0" w14:textId="77777777" w:rsidR="00A14088" w:rsidRPr="00610B1B" w:rsidRDefault="00A14088" w:rsidP="003E632F">
            <w:pPr>
              <w:pBdr>
                <w:top w:val="single" w:sz="6" w:space="1" w:color="auto"/>
                <w:bottom w:val="single" w:sz="6" w:space="1" w:color="auto"/>
              </w:pBdr>
              <w:tabs>
                <w:tab w:val="left" w:pos="593"/>
              </w:tabs>
              <w:jc w:val="both"/>
              <w:rPr>
                <w:rFonts w:ascii="Times New Roman" w:hAnsi="Times New Roman" w:cs="Times New Roman"/>
                <w:sz w:val="20"/>
                <w:szCs w:val="20"/>
                <w:lang w:val="ru-RU" w:bidi="bg-BG"/>
              </w:rPr>
            </w:pPr>
            <w:r w:rsidRPr="00610B1B">
              <w:rPr>
                <w:rFonts w:ascii="Times New Roman" w:hAnsi="Times New Roman" w:cs="Times New Roman"/>
                <w:sz w:val="20"/>
                <w:szCs w:val="20"/>
                <w:lang w:val="bg-BG" w:bidi="bg-BG"/>
              </w:rPr>
              <w:t xml:space="preserve">13.17. </w:t>
            </w:r>
            <w:r w:rsidRPr="00610B1B">
              <w:rPr>
                <w:rFonts w:ascii="Times New Roman" w:hAnsi="Times New Roman" w:cs="Times New Roman"/>
                <w:sz w:val="20"/>
                <w:szCs w:val="20"/>
                <w:lang w:val="ru-RU" w:bidi="bg-BG"/>
              </w:rPr>
              <w:t>Да не се увеличава риболовното усилие и да се прилагат добри практики за предотвратяване изхвърлянето на неоползотворен улов и намаляване на приулова от карагьоз и харип</w:t>
            </w:r>
          </w:p>
          <w:p w14:paraId="6E0D63F4" w14:textId="12C06CF2" w:rsidR="008A20A0" w:rsidRPr="00610B1B" w:rsidRDefault="008A20A0" w:rsidP="003E632F">
            <w:pPr>
              <w:pBdr>
                <w:bottom w:val="single" w:sz="6" w:space="1" w:color="auto"/>
                <w:between w:val="single" w:sz="6" w:space="1" w:color="auto"/>
              </w:pBdr>
              <w:tabs>
                <w:tab w:val="left" w:pos="593"/>
              </w:tabs>
              <w:jc w:val="both"/>
              <w:rPr>
                <w:rFonts w:ascii="Times New Roman" w:hAnsi="Times New Roman" w:cs="Times New Roman"/>
                <w:sz w:val="20"/>
                <w:szCs w:val="20"/>
                <w:lang w:val="ru-RU" w:bidi="bg-BG"/>
              </w:rPr>
            </w:pPr>
          </w:p>
          <w:p w14:paraId="448DE5A6" w14:textId="36EBB241" w:rsidR="005B0197" w:rsidRPr="00610B1B" w:rsidRDefault="008A20A0"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ru-RU" w:bidi="bg-BG"/>
              </w:rPr>
              <w:t>13.18.</w:t>
            </w:r>
            <w:r w:rsidRPr="00610B1B">
              <w:rPr>
                <w:rFonts w:ascii="Times New Roman" w:eastAsia="Times New Roman" w:hAnsi="Times New Roman" w:cs="Times New Roman"/>
                <w:color w:val="000000"/>
                <w:sz w:val="24"/>
                <w:szCs w:val="24"/>
                <w:lang w:val="bg-BG" w:eastAsia="bg-BG" w:bidi="bg-BG"/>
              </w:rPr>
              <w:t xml:space="preserve"> </w:t>
            </w:r>
            <w:r w:rsidRPr="00610B1B">
              <w:rPr>
                <w:rFonts w:ascii="Times New Roman" w:hAnsi="Times New Roman" w:cs="Times New Roman"/>
                <w:sz w:val="20"/>
                <w:szCs w:val="20"/>
                <w:lang w:val="bg-BG" w:bidi="bg-BG"/>
              </w:rPr>
              <w:t>Предложения/дейности/проекти на територията на целия МППРБ, които генерират подводен шум трябва да демонстрират, че могат да избегнат, минимизират, и/или смекчат значително неблагоприятния ефект върху уязвимите видове китоподобни</w:t>
            </w:r>
            <w:r w:rsidR="00C93B15">
              <w:rPr>
                <w:rFonts w:ascii="Times New Roman" w:hAnsi="Times New Roman" w:cs="Times New Roman"/>
                <w:sz w:val="20"/>
                <w:szCs w:val="20"/>
                <w:lang w:val="bg-BG" w:bidi="bg-BG"/>
              </w:rPr>
              <w:t>. Подводният шум може да засегне китоподобните и други силно мобилни видове, като причини хроничен стрес и смърт при по-високо интензивност.</w:t>
            </w:r>
          </w:p>
          <w:p w14:paraId="3C18EEF4" w14:textId="40B311DD" w:rsidR="005B0197" w:rsidRPr="00610B1B" w:rsidRDefault="005B0197"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30C11517" w14:textId="42F0AEAC" w:rsidR="005B0197" w:rsidRPr="00610B1B" w:rsidRDefault="005B0197"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13.1</w:t>
            </w:r>
            <w:r w:rsidR="00931BE1" w:rsidRPr="00610B1B">
              <w:rPr>
                <w:rFonts w:ascii="Times New Roman" w:hAnsi="Times New Roman" w:cs="Times New Roman"/>
                <w:sz w:val="20"/>
                <w:szCs w:val="20"/>
                <w:lang w:val="bg-BG" w:bidi="bg-BG"/>
              </w:rPr>
              <w:t>9</w:t>
            </w:r>
            <w:r w:rsidRPr="00610B1B">
              <w:rPr>
                <w:rFonts w:ascii="Times New Roman" w:hAnsi="Times New Roman" w:cs="Times New Roman"/>
                <w:sz w:val="20"/>
                <w:szCs w:val="20"/>
                <w:lang w:val="bg-BG" w:bidi="bg-BG"/>
              </w:rPr>
              <w:t>.  Да се развие системата за регулярен метеорологичен мониторинг за акваторията на българския черноморски участък</w:t>
            </w:r>
          </w:p>
          <w:p w14:paraId="284E9C64" w14:textId="2C27E2E2" w:rsidR="005B0197" w:rsidRPr="00610B1B" w:rsidRDefault="005B0197"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1137C129" w14:textId="64815E9A" w:rsidR="005B0197" w:rsidRPr="00610B1B" w:rsidRDefault="005B0197"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lastRenderedPageBreak/>
              <w:t>13.</w:t>
            </w:r>
            <w:r w:rsidR="00931BE1" w:rsidRPr="00610B1B">
              <w:rPr>
                <w:rFonts w:ascii="Times New Roman" w:hAnsi="Times New Roman" w:cs="Times New Roman"/>
                <w:sz w:val="20"/>
                <w:szCs w:val="20"/>
                <w:lang w:val="bg-BG" w:bidi="bg-BG"/>
              </w:rPr>
              <w:t>20</w:t>
            </w:r>
            <w:r w:rsidRPr="00610B1B">
              <w:rPr>
                <w:rFonts w:ascii="Times New Roman" w:hAnsi="Times New Roman" w:cs="Times New Roman"/>
                <w:sz w:val="20"/>
                <w:szCs w:val="20"/>
                <w:lang w:val="bg-BG" w:bidi="bg-BG"/>
              </w:rPr>
              <w:t>.</w:t>
            </w:r>
            <w:r w:rsidRPr="00610B1B">
              <w:rPr>
                <w:rFonts w:ascii="Times New Roman" w:hAnsi="Times New Roman" w:cs="Times New Roman"/>
                <w:sz w:val="24"/>
                <w:szCs w:val="24"/>
                <w:lang w:val="bg-BG"/>
              </w:rPr>
              <w:t xml:space="preserve"> </w:t>
            </w:r>
            <w:r w:rsidRPr="00610B1B">
              <w:rPr>
                <w:rFonts w:ascii="Times New Roman" w:hAnsi="Times New Roman" w:cs="Times New Roman"/>
                <w:sz w:val="20"/>
                <w:szCs w:val="20"/>
                <w:lang w:val="bg-BG" w:bidi="bg-BG"/>
              </w:rPr>
              <w:t>Да се извършват хидродинамични моделни изследвания при проектиране на дълбоководно заустване</w:t>
            </w:r>
          </w:p>
          <w:p w14:paraId="7E0012E3" w14:textId="66128F26" w:rsidR="005B0197" w:rsidRPr="00610B1B" w:rsidRDefault="005B0197"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w:t>
            </w:r>
          </w:p>
          <w:p w14:paraId="63FB7F25" w14:textId="77777777" w:rsidR="008A20A0" w:rsidRDefault="008A20A0"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p>
          <w:p w14:paraId="75092E8A" w14:textId="765CDF9D" w:rsidR="0053589E" w:rsidRPr="00610B1B" w:rsidRDefault="0053589E" w:rsidP="003E632F">
            <w:pPr>
              <w:pBdr>
                <w:top w:val="single" w:sz="6" w:space="1" w:color="auto"/>
                <w:bottom w:val="single" w:sz="6" w:space="1" w:color="auto"/>
              </w:pBdr>
              <w:tabs>
                <w:tab w:val="left" w:pos="593"/>
              </w:tabs>
              <w:jc w:val="both"/>
              <w:rPr>
                <w:rFonts w:ascii="Times New Roman" w:hAnsi="Times New Roman" w:cs="Times New Roman"/>
                <w:sz w:val="20"/>
                <w:szCs w:val="20"/>
                <w:lang w:val="bg-BG" w:bidi="bg-BG"/>
              </w:rPr>
            </w:pPr>
          </w:p>
        </w:tc>
        <w:tc>
          <w:tcPr>
            <w:tcW w:w="1984" w:type="dxa"/>
          </w:tcPr>
          <w:p w14:paraId="69016024"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МОСВ, ИАОС, </w:t>
            </w:r>
          </w:p>
          <w:p w14:paraId="3F124B59" w14:textId="77777777" w:rsidR="00B4652F" w:rsidRPr="00610B1B" w:rsidRDefault="00B4652F" w:rsidP="00D32D6A">
            <w:pPr>
              <w:rPr>
                <w:rFonts w:ascii="Times New Roman" w:hAnsi="Times New Roman" w:cs="Times New Roman"/>
                <w:sz w:val="20"/>
                <w:szCs w:val="20"/>
                <w:lang w:val="bg-BG"/>
              </w:rPr>
            </w:pPr>
          </w:p>
          <w:p w14:paraId="546CA5E5" w14:textId="77777777" w:rsidR="00B4652F" w:rsidRPr="00610B1B" w:rsidRDefault="00B4652F" w:rsidP="00D32D6A">
            <w:pPr>
              <w:rPr>
                <w:rFonts w:ascii="Times New Roman" w:hAnsi="Times New Roman" w:cs="Times New Roman"/>
                <w:sz w:val="20"/>
                <w:szCs w:val="20"/>
                <w:lang w:val="bg-BG"/>
              </w:rPr>
            </w:pPr>
          </w:p>
          <w:p w14:paraId="1629EB26" w14:textId="77777777" w:rsidR="00B4652F" w:rsidRPr="00610B1B" w:rsidRDefault="00B4652F" w:rsidP="00D32D6A">
            <w:pPr>
              <w:rPr>
                <w:rFonts w:ascii="Times New Roman" w:hAnsi="Times New Roman" w:cs="Times New Roman"/>
                <w:sz w:val="20"/>
                <w:szCs w:val="20"/>
                <w:lang w:val="bg-BG"/>
              </w:rPr>
            </w:pPr>
          </w:p>
          <w:p w14:paraId="5CEA3045" w14:textId="77777777" w:rsidR="00B4652F" w:rsidRPr="00610B1B" w:rsidRDefault="00B4652F" w:rsidP="00D32D6A">
            <w:pPr>
              <w:rPr>
                <w:rFonts w:ascii="Times New Roman" w:hAnsi="Times New Roman" w:cs="Times New Roman"/>
                <w:sz w:val="20"/>
                <w:szCs w:val="20"/>
                <w:lang w:val="bg-BG"/>
              </w:rPr>
            </w:pPr>
          </w:p>
          <w:p w14:paraId="6BB8C2B1" w14:textId="77777777" w:rsidR="00B4652F" w:rsidRPr="00610B1B" w:rsidRDefault="00B4652F"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МОСВ,РИОСВ, БДЧР,ИО</w:t>
            </w:r>
          </w:p>
          <w:p w14:paraId="0D5FC0FF" w14:textId="77777777" w:rsidR="00683DD9" w:rsidRPr="00610B1B" w:rsidRDefault="00683DD9" w:rsidP="00D32D6A">
            <w:pPr>
              <w:rPr>
                <w:rFonts w:ascii="Times New Roman" w:hAnsi="Times New Roman" w:cs="Times New Roman"/>
                <w:sz w:val="20"/>
                <w:szCs w:val="20"/>
                <w:lang w:val="bg-BG"/>
              </w:rPr>
            </w:pPr>
          </w:p>
          <w:p w14:paraId="7CB586A5" w14:textId="77777777" w:rsidR="00683DD9" w:rsidRPr="00610B1B" w:rsidRDefault="00683DD9" w:rsidP="00D32D6A">
            <w:pPr>
              <w:rPr>
                <w:rFonts w:ascii="Times New Roman" w:hAnsi="Times New Roman" w:cs="Times New Roman"/>
                <w:sz w:val="20"/>
                <w:szCs w:val="20"/>
                <w:lang w:val="bg-BG"/>
              </w:rPr>
            </w:pPr>
          </w:p>
          <w:p w14:paraId="7636AEE2" w14:textId="77777777" w:rsidR="00683DD9" w:rsidRPr="00610B1B" w:rsidRDefault="00683DD9" w:rsidP="00D32D6A">
            <w:pPr>
              <w:rPr>
                <w:rFonts w:ascii="Times New Roman" w:hAnsi="Times New Roman" w:cs="Times New Roman"/>
                <w:sz w:val="20"/>
                <w:szCs w:val="20"/>
                <w:lang w:val="bg-BG"/>
              </w:rPr>
            </w:pPr>
          </w:p>
          <w:p w14:paraId="02EC2752" w14:textId="16A3DE2D" w:rsidR="00683DD9" w:rsidRPr="00610B1B" w:rsidRDefault="00683DD9"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МОСВ,РИОСВ, БДЧР</w:t>
            </w:r>
            <w:r w:rsidR="00EE1976" w:rsidRPr="00610B1B">
              <w:rPr>
                <w:rFonts w:ascii="Times New Roman" w:hAnsi="Times New Roman" w:cs="Times New Roman"/>
                <w:sz w:val="20"/>
                <w:szCs w:val="20"/>
                <w:lang w:val="bg-BG"/>
              </w:rPr>
              <w:t>,</w:t>
            </w:r>
            <w:r w:rsidR="00EE1976" w:rsidRPr="00610B1B">
              <w:rPr>
                <w:rFonts w:ascii="Times New Roman" w:hAnsi="Times New Roman" w:cs="Times New Roman"/>
                <w:b/>
                <w:sz w:val="24"/>
                <w:szCs w:val="24"/>
                <w:lang w:val="bg-BG"/>
              </w:rPr>
              <w:t xml:space="preserve"> </w:t>
            </w:r>
            <w:r w:rsidR="00EE1976" w:rsidRPr="00D03DA8">
              <w:rPr>
                <w:rFonts w:ascii="Times New Roman" w:hAnsi="Times New Roman" w:cs="Times New Roman"/>
                <w:bCs/>
                <w:sz w:val="20"/>
                <w:szCs w:val="20"/>
                <w:lang w:val="bg-BG"/>
              </w:rPr>
              <w:t>ИБЕИ</w:t>
            </w:r>
            <w:r w:rsidR="000A6746">
              <w:rPr>
                <w:rFonts w:ascii="Times New Roman" w:hAnsi="Times New Roman" w:cs="Times New Roman"/>
                <w:bCs/>
                <w:sz w:val="20"/>
                <w:szCs w:val="20"/>
                <w:lang w:val="bg-BG"/>
              </w:rPr>
              <w:t>-БАН</w:t>
            </w:r>
            <w:r w:rsidR="00EE1976" w:rsidRPr="00610B1B">
              <w:rPr>
                <w:rFonts w:ascii="Times New Roman" w:hAnsi="Times New Roman" w:cs="Times New Roman"/>
                <w:b/>
                <w:sz w:val="20"/>
                <w:szCs w:val="20"/>
                <w:lang w:val="bg-BG"/>
              </w:rPr>
              <w:tab/>
            </w:r>
          </w:p>
          <w:p w14:paraId="676159B1" w14:textId="77777777" w:rsidR="00410897" w:rsidRPr="00610B1B" w:rsidRDefault="00410897" w:rsidP="00D32D6A">
            <w:pPr>
              <w:rPr>
                <w:rFonts w:ascii="Times New Roman" w:hAnsi="Times New Roman" w:cs="Times New Roman"/>
                <w:sz w:val="20"/>
                <w:szCs w:val="20"/>
                <w:lang w:val="bg-BG"/>
              </w:rPr>
            </w:pPr>
          </w:p>
          <w:p w14:paraId="45F70762" w14:textId="77777777" w:rsidR="00410897" w:rsidRPr="00610B1B" w:rsidRDefault="00410897" w:rsidP="00D32D6A">
            <w:pPr>
              <w:rPr>
                <w:rFonts w:ascii="Times New Roman" w:hAnsi="Times New Roman" w:cs="Times New Roman"/>
                <w:sz w:val="20"/>
                <w:szCs w:val="20"/>
                <w:lang w:val="bg-BG"/>
              </w:rPr>
            </w:pPr>
          </w:p>
          <w:p w14:paraId="11801124" w14:textId="77777777" w:rsidR="00410897" w:rsidRPr="00610B1B" w:rsidRDefault="00410897" w:rsidP="00D32D6A">
            <w:pPr>
              <w:rPr>
                <w:rFonts w:ascii="Times New Roman" w:hAnsi="Times New Roman" w:cs="Times New Roman"/>
                <w:sz w:val="20"/>
                <w:szCs w:val="20"/>
                <w:lang w:val="bg-BG"/>
              </w:rPr>
            </w:pPr>
          </w:p>
          <w:p w14:paraId="1B19D658" w14:textId="77777777" w:rsidR="00410897" w:rsidRPr="00610B1B" w:rsidRDefault="00410897" w:rsidP="00D32D6A">
            <w:pPr>
              <w:rPr>
                <w:rFonts w:ascii="Times New Roman" w:hAnsi="Times New Roman" w:cs="Times New Roman"/>
                <w:sz w:val="20"/>
                <w:szCs w:val="20"/>
                <w:lang w:val="bg-BG"/>
              </w:rPr>
            </w:pPr>
          </w:p>
          <w:p w14:paraId="363F84FC" w14:textId="04EBA2FB" w:rsidR="00410897" w:rsidRPr="006C33E4" w:rsidRDefault="0041089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МОСВ,РИОСВ, БДЧР,ИО</w:t>
            </w:r>
            <w:r w:rsidR="006C33E4" w:rsidRPr="00002A51">
              <w:rPr>
                <w:rFonts w:ascii="Times New Roman" w:hAnsi="Times New Roman" w:cs="Times New Roman"/>
                <w:sz w:val="20"/>
                <w:szCs w:val="20"/>
                <w:lang w:val="bg-BG"/>
              </w:rPr>
              <w:t xml:space="preserve">  </w:t>
            </w:r>
            <w:r w:rsidR="006C33E4">
              <w:rPr>
                <w:rFonts w:ascii="Times New Roman" w:hAnsi="Times New Roman" w:cs="Times New Roman"/>
                <w:sz w:val="20"/>
                <w:szCs w:val="20"/>
                <w:lang w:val="bg-BG"/>
              </w:rPr>
              <w:t>и екокологични сдружения и/или НПО с опит в орнитологията</w:t>
            </w:r>
          </w:p>
          <w:p w14:paraId="5A5C23AD" w14:textId="1BD179DE" w:rsidR="00EE1976" w:rsidRPr="00610B1B" w:rsidRDefault="00EE1976" w:rsidP="00D32D6A">
            <w:pPr>
              <w:rPr>
                <w:rFonts w:ascii="Times New Roman" w:hAnsi="Times New Roman" w:cs="Times New Roman"/>
                <w:sz w:val="20"/>
                <w:szCs w:val="20"/>
                <w:lang w:val="bg-BG"/>
              </w:rPr>
            </w:pPr>
          </w:p>
          <w:p w14:paraId="4E3D0134" w14:textId="156413A4" w:rsidR="00EE1976" w:rsidRPr="00610B1B" w:rsidRDefault="00EE1976" w:rsidP="00D32D6A">
            <w:pPr>
              <w:rPr>
                <w:rFonts w:ascii="Times New Roman" w:hAnsi="Times New Roman" w:cs="Times New Roman"/>
                <w:sz w:val="20"/>
                <w:szCs w:val="20"/>
                <w:lang w:val="bg-BG"/>
              </w:rPr>
            </w:pPr>
          </w:p>
          <w:p w14:paraId="3B5235B2" w14:textId="5BE2D391" w:rsidR="00EE1976" w:rsidRPr="00610B1B" w:rsidRDefault="00EE1976" w:rsidP="00D32D6A">
            <w:pPr>
              <w:rPr>
                <w:rFonts w:ascii="Times New Roman" w:hAnsi="Times New Roman" w:cs="Times New Roman"/>
                <w:sz w:val="20"/>
                <w:szCs w:val="20"/>
                <w:lang w:val="bg-BG"/>
              </w:rPr>
            </w:pPr>
          </w:p>
          <w:p w14:paraId="27DB3CB7" w14:textId="20B5068F" w:rsidR="00EE1976" w:rsidRPr="00610B1B" w:rsidRDefault="00EE1976" w:rsidP="00D32D6A">
            <w:pPr>
              <w:rPr>
                <w:rFonts w:ascii="Times New Roman" w:hAnsi="Times New Roman" w:cs="Times New Roman"/>
                <w:sz w:val="20"/>
                <w:szCs w:val="20"/>
                <w:lang w:val="bg-BG"/>
              </w:rPr>
            </w:pPr>
          </w:p>
          <w:p w14:paraId="5BC959C4" w14:textId="5685886C" w:rsidR="00EE1976" w:rsidRPr="00610B1B" w:rsidRDefault="00EE1976" w:rsidP="00D32D6A">
            <w:pPr>
              <w:rPr>
                <w:rFonts w:ascii="Times New Roman" w:hAnsi="Times New Roman" w:cs="Times New Roman"/>
                <w:sz w:val="20"/>
                <w:szCs w:val="20"/>
                <w:lang w:val="bg-BG"/>
              </w:rPr>
            </w:pPr>
          </w:p>
          <w:p w14:paraId="5BCF775E" w14:textId="41232CB6" w:rsidR="00EE1976" w:rsidRPr="00610B1B" w:rsidRDefault="00EE1976" w:rsidP="00D32D6A">
            <w:pPr>
              <w:rPr>
                <w:rFonts w:ascii="Times New Roman" w:hAnsi="Times New Roman" w:cs="Times New Roman"/>
                <w:sz w:val="20"/>
                <w:szCs w:val="20"/>
                <w:lang w:val="bg-BG"/>
              </w:rPr>
            </w:pPr>
          </w:p>
          <w:p w14:paraId="7D771A9B" w14:textId="5D449A01" w:rsidR="00EE1976" w:rsidRPr="00610B1B" w:rsidRDefault="00EE1976" w:rsidP="00D32D6A">
            <w:pPr>
              <w:rPr>
                <w:rFonts w:ascii="Times New Roman" w:hAnsi="Times New Roman" w:cs="Times New Roman"/>
                <w:sz w:val="20"/>
                <w:szCs w:val="20"/>
                <w:lang w:val="bg-BG"/>
              </w:rPr>
            </w:pPr>
          </w:p>
          <w:p w14:paraId="2BD4EF35" w14:textId="22E98BBD" w:rsidR="00EE1976" w:rsidRPr="00610B1B" w:rsidRDefault="00EE1976" w:rsidP="00D32D6A">
            <w:pPr>
              <w:rPr>
                <w:rFonts w:ascii="Times New Roman" w:hAnsi="Times New Roman" w:cs="Times New Roman"/>
                <w:sz w:val="20"/>
                <w:szCs w:val="20"/>
                <w:lang w:val="bg-BG"/>
              </w:rPr>
            </w:pPr>
          </w:p>
          <w:p w14:paraId="74A29013" w14:textId="7E0FEB2E" w:rsidR="00EE1976" w:rsidRPr="00610B1B" w:rsidRDefault="00EE1976" w:rsidP="00D32D6A">
            <w:pPr>
              <w:rPr>
                <w:rFonts w:ascii="Times New Roman" w:hAnsi="Times New Roman" w:cs="Times New Roman"/>
                <w:sz w:val="20"/>
                <w:szCs w:val="20"/>
                <w:lang w:val="bg-BG"/>
              </w:rPr>
            </w:pPr>
            <w:r w:rsidRPr="00D03DA8">
              <w:rPr>
                <w:rFonts w:ascii="Times New Roman" w:hAnsi="Times New Roman" w:cs="Times New Roman"/>
                <w:bCs/>
                <w:sz w:val="20"/>
                <w:szCs w:val="20"/>
                <w:lang w:val="bg-BG"/>
              </w:rPr>
              <w:t>ИБЕИ</w:t>
            </w:r>
            <w:r w:rsidR="000A6746">
              <w:rPr>
                <w:rFonts w:ascii="Times New Roman" w:hAnsi="Times New Roman" w:cs="Times New Roman"/>
                <w:bCs/>
                <w:sz w:val="20"/>
                <w:szCs w:val="20"/>
                <w:lang w:val="bg-BG"/>
              </w:rPr>
              <w:t>-БАН</w:t>
            </w:r>
            <w:r w:rsidRPr="00610B1B">
              <w:rPr>
                <w:rFonts w:ascii="Times New Roman" w:hAnsi="Times New Roman" w:cs="Times New Roman"/>
                <w:b/>
                <w:sz w:val="20"/>
                <w:szCs w:val="20"/>
                <w:lang w:val="bg-BG"/>
              </w:rPr>
              <w:tab/>
            </w:r>
          </w:p>
          <w:p w14:paraId="77675CE9" w14:textId="77777777" w:rsidR="00E619EF" w:rsidRPr="00610B1B" w:rsidRDefault="00E619EF" w:rsidP="00D32D6A">
            <w:pPr>
              <w:rPr>
                <w:rFonts w:ascii="Times New Roman" w:hAnsi="Times New Roman" w:cs="Times New Roman"/>
                <w:sz w:val="20"/>
                <w:szCs w:val="20"/>
                <w:lang w:val="bg-BG"/>
              </w:rPr>
            </w:pPr>
          </w:p>
          <w:p w14:paraId="4A9B5DA2" w14:textId="77777777" w:rsidR="00E619EF" w:rsidRPr="00610B1B" w:rsidRDefault="00E619EF" w:rsidP="00D32D6A">
            <w:pPr>
              <w:rPr>
                <w:rFonts w:ascii="Times New Roman" w:hAnsi="Times New Roman" w:cs="Times New Roman"/>
                <w:sz w:val="20"/>
                <w:szCs w:val="20"/>
                <w:lang w:val="bg-BG"/>
              </w:rPr>
            </w:pPr>
          </w:p>
          <w:p w14:paraId="233FF18A" w14:textId="77777777" w:rsidR="00E619EF" w:rsidRPr="00610B1B" w:rsidRDefault="00E619EF" w:rsidP="00D32D6A">
            <w:pPr>
              <w:rPr>
                <w:rFonts w:ascii="Times New Roman" w:hAnsi="Times New Roman" w:cs="Times New Roman"/>
                <w:sz w:val="20"/>
                <w:szCs w:val="20"/>
                <w:lang w:val="bg-BG"/>
              </w:rPr>
            </w:pPr>
          </w:p>
          <w:p w14:paraId="1C3043D2" w14:textId="77777777" w:rsidR="00E619EF" w:rsidRPr="00610B1B" w:rsidRDefault="00E619EF" w:rsidP="00D32D6A">
            <w:pPr>
              <w:rPr>
                <w:rFonts w:ascii="Times New Roman" w:hAnsi="Times New Roman" w:cs="Times New Roman"/>
                <w:sz w:val="20"/>
                <w:szCs w:val="20"/>
                <w:lang w:val="bg-BG"/>
              </w:rPr>
            </w:pPr>
          </w:p>
          <w:p w14:paraId="4A43BBBE" w14:textId="77777777" w:rsidR="00E619EF" w:rsidRPr="00610B1B" w:rsidRDefault="00E619EF" w:rsidP="00D32D6A">
            <w:pPr>
              <w:rPr>
                <w:rFonts w:ascii="Times New Roman" w:hAnsi="Times New Roman" w:cs="Times New Roman"/>
                <w:sz w:val="20"/>
                <w:szCs w:val="20"/>
                <w:lang w:val="bg-BG"/>
              </w:rPr>
            </w:pPr>
          </w:p>
          <w:p w14:paraId="7303A827" w14:textId="77777777" w:rsidR="00E619EF" w:rsidRPr="00610B1B" w:rsidRDefault="00E619EF" w:rsidP="00D32D6A">
            <w:pPr>
              <w:rPr>
                <w:rFonts w:ascii="Times New Roman" w:hAnsi="Times New Roman" w:cs="Times New Roman"/>
                <w:sz w:val="20"/>
                <w:szCs w:val="20"/>
                <w:lang w:val="bg-BG"/>
              </w:rPr>
            </w:pPr>
          </w:p>
          <w:p w14:paraId="13F08506" w14:textId="757A5250" w:rsidR="00E619EF" w:rsidRPr="00610B1B" w:rsidRDefault="00EE1976"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МОСВ,</w:t>
            </w:r>
            <w:r w:rsidRPr="00610B1B">
              <w:rPr>
                <w:rFonts w:ascii="Times New Roman" w:hAnsi="Times New Roman" w:cs="Times New Roman"/>
                <w:b/>
                <w:sz w:val="24"/>
                <w:szCs w:val="24"/>
                <w:lang w:val="bg-BG"/>
              </w:rPr>
              <w:t xml:space="preserve"> </w:t>
            </w:r>
            <w:r w:rsidRPr="00D03DA8">
              <w:rPr>
                <w:rFonts w:ascii="Times New Roman" w:hAnsi="Times New Roman" w:cs="Times New Roman"/>
                <w:bCs/>
                <w:sz w:val="20"/>
                <w:szCs w:val="20"/>
                <w:lang w:val="bg-BG"/>
              </w:rPr>
              <w:t>ИБЕИ</w:t>
            </w:r>
            <w:r w:rsidR="000A6746">
              <w:rPr>
                <w:rFonts w:ascii="Times New Roman" w:hAnsi="Times New Roman" w:cs="Times New Roman"/>
                <w:bCs/>
                <w:sz w:val="20"/>
                <w:szCs w:val="20"/>
                <w:lang w:val="bg-BG"/>
              </w:rPr>
              <w:t>-БАН</w:t>
            </w:r>
            <w:r w:rsidRPr="00610B1B">
              <w:rPr>
                <w:rFonts w:ascii="Times New Roman" w:hAnsi="Times New Roman" w:cs="Times New Roman"/>
                <w:b/>
                <w:sz w:val="20"/>
                <w:szCs w:val="20"/>
                <w:lang w:val="bg-BG"/>
              </w:rPr>
              <w:tab/>
            </w:r>
            <w:r w:rsidRPr="00610B1B">
              <w:rPr>
                <w:rFonts w:ascii="Times New Roman" w:hAnsi="Times New Roman" w:cs="Times New Roman"/>
                <w:sz w:val="20"/>
                <w:szCs w:val="20"/>
                <w:lang w:val="bg-BG"/>
              </w:rPr>
              <w:t xml:space="preserve"> </w:t>
            </w:r>
          </w:p>
          <w:p w14:paraId="63ED6226" w14:textId="77777777" w:rsidR="008849C8" w:rsidRPr="00610B1B" w:rsidRDefault="008849C8" w:rsidP="00D32D6A">
            <w:pPr>
              <w:rPr>
                <w:rFonts w:ascii="Times New Roman" w:hAnsi="Times New Roman" w:cs="Times New Roman"/>
                <w:sz w:val="20"/>
                <w:szCs w:val="20"/>
                <w:lang w:val="bg-BG"/>
              </w:rPr>
            </w:pPr>
          </w:p>
          <w:p w14:paraId="09D4F35D" w14:textId="77777777" w:rsidR="008849C8" w:rsidRPr="00610B1B" w:rsidRDefault="008849C8" w:rsidP="00D32D6A">
            <w:pPr>
              <w:rPr>
                <w:rFonts w:ascii="Times New Roman" w:hAnsi="Times New Roman" w:cs="Times New Roman"/>
                <w:sz w:val="20"/>
                <w:szCs w:val="20"/>
                <w:lang w:val="bg-BG"/>
              </w:rPr>
            </w:pPr>
          </w:p>
          <w:p w14:paraId="22F4D082" w14:textId="77777777" w:rsidR="008849C8" w:rsidRPr="00610B1B" w:rsidRDefault="008849C8" w:rsidP="00D32D6A">
            <w:pPr>
              <w:rPr>
                <w:rFonts w:ascii="Times New Roman" w:hAnsi="Times New Roman" w:cs="Times New Roman"/>
                <w:sz w:val="20"/>
                <w:szCs w:val="20"/>
                <w:lang w:val="bg-BG"/>
              </w:rPr>
            </w:pPr>
          </w:p>
          <w:p w14:paraId="1E7659EA" w14:textId="77777777" w:rsidR="008849C8" w:rsidRPr="00610B1B" w:rsidRDefault="008849C8" w:rsidP="00D32D6A">
            <w:pPr>
              <w:rPr>
                <w:rFonts w:ascii="Times New Roman" w:hAnsi="Times New Roman" w:cs="Times New Roman"/>
                <w:sz w:val="20"/>
                <w:szCs w:val="20"/>
                <w:lang w:val="bg-BG"/>
              </w:rPr>
            </w:pPr>
          </w:p>
          <w:p w14:paraId="4890A969" w14:textId="77777777" w:rsidR="008849C8" w:rsidRPr="00610B1B" w:rsidRDefault="008849C8" w:rsidP="00D32D6A">
            <w:pPr>
              <w:rPr>
                <w:rFonts w:ascii="Times New Roman" w:hAnsi="Times New Roman" w:cs="Times New Roman"/>
                <w:sz w:val="20"/>
                <w:szCs w:val="20"/>
                <w:lang w:val="bg-BG"/>
              </w:rPr>
            </w:pPr>
          </w:p>
          <w:p w14:paraId="113479E7" w14:textId="77777777" w:rsidR="008849C8" w:rsidRPr="00610B1B" w:rsidRDefault="008849C8" w:rsidP="00D32D6A">
            <w:pPr>
              <w:rPr>
                <w:rFonts w:ascii="Times New Roman" w:hAnsi="Times New Roman" w:cs="Times New Roman"/>
                <w:sz w:val="20"/>
                <w:szCs w:val="20"/>
                <w:lang w:val="bg-BG"/>
              </w:rPr>
            </w:pPr>
          </w:p>
          <w:p w14:paraId="076D2748" w14:textId="77777777" w:rsidR="008849C8" w:rsidRPr="00610B1B" w:rsidRDefault="008849C8" w:rsidP="00D32D6A">
            <w:pPr>
              <w:rPr>
                <w:rFonts w:ascii="Times New Roman" w:hAnsi="Times New Roman" w:cs="Times New Roman"/>
                <w:sz w:val="20"/>
                <w:szCs w:val="20"/>
                <w:lang w:val="bg-BG"/>
              </w:rPr>
            </w:pPr>
          </w:p>
          <w:p w14:paraId="4031232B" w14:textId="77777777" w:rsidR="008849C8" w:rsidRPr="00610B1B" w:rsidRDefault="008849C8" w:rsidP="00D32D6A">
            <w:pPr>
              <w:rPr>
                <w:rFonts w:ascii="Times New Roman" w:hAnsi="Times New Roman" w:cs="Times New Roman"/>
                <w:sz w:val="20"/>
                <w:szCs w:val="20"/>
                <w:lang w:val="bg-BG"/>
              </w:rPr>
            </w:pPr>
          </w:p>
          <w:p w14:paraId="2F673BA1" w14:textId="77777777" w:rsidR="008920B2" w:rsidRPr="00610B1B" w:rsidRDefault="008920B2" w:rsidP="00D32D6A">
            <w:pPr>
              <w:rPr>
                <w:rFonts w:ascii="Times New Roman" w:hAnsi="Times New Roman" w:cs="Times New Roman"/>
                <w:sz w:val="20"/>
                <w:szCs w:val="20"/>
                <w:lang w:val="bg-BG"/>
              </w:rPr>
            </w:pPr>
          </w:p>
          <w:p w14:paraId="1DC737D8" w14:textId="3E22FFE3" w:rsidR="0048259D" w:rsidRPr="00610B1B" w:rsidRDefault="00E619EF"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МОСВ, МС</w:t>
            </w:r>
            <w:r w:rsidR="0048259D" w:rsidRPr="00610B1B">
              <w:rPr>
                <w:rFonts w:ascii="Times New Roman" w:hAnsi="Times New Roman" w:cs="Times New Roman"/>
                <w:sz w:val="20"/>
                <w:szCs w:val="20"/>
                <w:lang w:val="bg-BG"/>
              </w:rPr>
              <w:t>РИОСВ</w:t>
            </w:r>
          </w:p>
          <w:p w14:paraId="2AB39F39" w14:textId="77777777" w:rsidR="00A14088" w:rsidRPr="00610B1B" w:rsidRDefault="00A14088" w:rsidP="00D32D6A">
            <w:pPr>
              <w:rPr>
                <w:rFonts w:ascii="Times New Roman" w:hAnsi="Times New Roman" w:cs="Times New Roman"/>
                <w:sz w:val="20"/>
                <w:szCs w:val="20"/>
                <w:lang w:val="bg-BG"/>
              </w:rPr>
            </w:pPr>
          </w:p>
          <w:p w14:paraId="61A3091E" w14:textId="77777777" w:rsidR="00A14088" w:rsidRPr="00610B1B" w:rsidRDefault="00A14088" w:rsidP="00D32D6A">
            <w:pPr>
              <w:rPr>
                <w:rFonts w:ascii="Times New Roman" w:hAnsi="Times New Roman" w:cs="Times New Roman"/>
                <w:sz w:val="20"/>
                <w:szCs w:val="20"/>
                <w:lang w:val="bg-BG"/>
              </w:rPr>
            </w:pPr>
          </w:p>
          <w:p w14:paraId="449CC5C2" w14:textId="77777777" w:rsidR="00A14088" w:rsidRPr="00610B1B" w:rsidRDefault="00A14088" w:rsidP="00D32D6A">
            <w:pPr>
              <w:rPr>
                <w:rFonts w:ascii="Times New Roman" w:hAnsi="Times New Roman" w:cs="Times New Roman"/>
                <w:sz w:val="20"/>
                <w:szCs w:val="20"/>
                <w:lang w:val="bg-BG"/>
              </w:rPr>
            </w:pPr>
          </w:p>
          <w:p w14:paraId="14604EA7" w14:textId="20A41678" w:rsidR="00643762" w:rsidRPr="00610B1B" w:rsidRDefault="00643762" w:rsidP="00643762">
            <w:pPr>
              <w:rPr>
                <w:rFonts w:ascii="Times New Roman" w:hAnsi="Times New Roman" w:cs="Times New Roman"/>
                <w:sz w:val="20"/>
                <w:szCs w:val="20"/>
                <w:lang w:val="bg-BG"/>
              </w:rPr>
            </w:pPr>
          </w:p>
          <w:p w14:paraId="4DB60E6B" w14:textId="77777777" w:rsidR="00643762" w:rsidRPr="00610B1B" w:rsidRDefault="00643762" w:rsidP="00643762">
            <w:pPr>
              <w:rPr>
                <w:rFonts w:ascii="Times New Roman" w:hAnsi="Times New Roman" w:cs="Times New Roman"/>
                <w:sz w:val="20"/>
                <w:szCs w:val="20"/>
                <w:lang w:val="bg-BG"/>
              </w:rPr>
            </w:pPr>
          </w:p>
          <w:p w14:paraId="4923066B" w14:textId="77777777" w:rsidR="00643762" w:rsidRPr="00610B1B" w:rsidRDefault="00643762" w:rsidP="008A20A0">
            <w:pPr>
              <w:rPr>
                <w:rFonts w:ascii="Times New Roman" w:hAnsi="Times New Roman" w:cs="Times New Roman"/>
                <w:sz w:val="20"/>
                <w:szCs w:val="20"/>
                <w:lang w:val="bg-BG"/>
              </w:rPr>
            </w:pPr>
          </w:p>
          <w:p w14:paraId="5FBA1069" w14:textId="77777777" w:rsidR="00643762" w:rsidRPr="00610B1B" w:rsidRDefault="00643762" w:rsidP="00643762">
            <w:pPr>
              <w:rPr>
                <w:rFonts w:ascii="Times New Roman" w:hAnsi="Times New Roman" w:cs="Times New Roman"/>
                <w:sz w:val="20"/>
                <w:szCs w:val="20"/>
                <w:lang w:val="bg-BG"/>
              </w:rPr>
            </w:pPr>
            <w:r w:rsidRPr="00610B1B">
              <w:rPr>
                <w:rFonts w:ascii="Times New Roman" w:hAnsi="Times New Roman" w:cs="Times New Roman"/>
                <w:sz w:val="20"/>
                <w:szCs w:val="20"/>
                <w:lang w:val="bg-BG"/>
              </w:rPr>
              <w:t>МОСВ,РИОСВ, БДЧР,ИО</w:t>
            </w:r>
          </w:p>
          <w:p w14:paraId="00146850" w14:textId="77777777" w:rsidR="00643762" w:rsidRPr="00610B1B" w:rsidRDefault="00643762" w:rsidP="00643762">
            <w:pPr>
              <w:rPr>
                <w:rFonts w:ascii="Times New Roman" w:hAnsi="Times New Roman" w:cs="Times New Roman"/>
                <w:sz w:val="20"/>
                <w:szCs w:val="20"/>
                <w:lang w:val="bg-BG"/>
              </w:rPr>
            </w:pPr>
          </w:p>
          <w:p w14:paraId="6140EFF5" w14:textId="77777777" w:rsidR="00643762" w:rsidRDefault="00643762" w:rsidP="008A20A0">
            <w:pPr>
              <w:rPr>
                <w:rFonts w:ascii="Times New Roman" w:hAnsi="Times New Roman" w:cs="Times New Roman"/>
                <w:sz w:val="20"/>
                <w:szCs w:val="20"/>
                <w:lang w:val="bg-BG"/>
              </w:rPr>
            </w:pPr>
          </w:p>
          <w:p w14:paraId="6EAA98CE" w14:textId="77777777" w:rsidR="0006569B" w:rsidRDefault="0006569B" w:rsidP="008A20A0">
            <w:pPr>
              <w:rPr>
                <w:rFonts w:ascii="Times New Roman" w:hAnsi="Times New Roman" w:cs="Times New Roman"/>
                <w:sz w:val="20"/>
                <w:szCs w:val="20"/>
                <w:lang w:val="bg-BG"/>
              </w:rPr>
            </w:pPr>
          </w:p>
          <w:p w14:paraId="16CC184C" w14:textId="77777777" w:rsidR="0006569B" w:rsidRDefault="0006569B" w:rsidP="008A20A0">
            <w:pPr>
              <w:rPr>
                <w:rFonts w:ascii="Times New Roman" w:hAnsi="Times New Roman" w:cs="Times New Roman"/>
                <w:sz w:val="20"/>
                <w:szCs w:val="20"/>
                <w:lang w:val="bg-BG"/>
              </w:rPr>
            </w:pPr>
          </w:p>
          <w:p w14:paraId="320C2EC0" w14:textId="3183C17F" w:rsidR="0006569B" w:rsidRDefault="009A6CF6" w:rsidP="008A20A0">
            <w:pPr>
              <w:rPr>
                <w:rFonts w:ascii="Times New Roman" w:hAnsi="Times New Roman" w:cs="Times New Roman"/>
                <w:sz w:val="20"/>
                <w:szCs w:val="20"/>
                <w:lang w:val="bg-BG"/>
              </w:rPr>
            </w:pPr>
            <w:r>
              <w:rPr>
                <w:rFonts w:ascii="Times New Roman" w:hAnsi="Times New Roman" w:cs="Times New Roman"/>
                <w:sz w:val="20"/>
                <w:szCs w:val="20"/>
                <w:lang w:val="bg-BG"/>
              </w:rPr>
              <w:t>РИОСВ</w:t>
            </w:r>
          </w:p>
          <w:p w14:paraId="0F8458B5" w14:textId="77777777" w:rsidR="0006569B" w:rsidRDefault="0006569B" w:rsidP="008A20A0">
            <w:pPr>
              <w:rPr>
                <w:rFonts w:ascii="Times New Roman" w:hAnsi="Times New Roman" w:cs="Times New Roman"/>
                <w:sz w:val="20"/>
                <w:szCs w:val="20"/>
                <w:lang w:val="bg-BG"/>
              </w:rPr>
            </w:pPr>
          </w:p>
          <w:p w14:paraId="1FF51501" w14:textId="77777777" w:rsidR="0006569B" w:rsidRDefault="0006569B" w:rsidP="008A20A0">
            <w:pPr>
              <w:rPr>
                <w:rFonts w:ascii="Times New Roman" w:hAnsi="Times New Roman" w:cs="Times New Roman"/>
                <w:sz w:val="20"/>
                <w:szCs w:val="20"/>
                <w:lang w:val="bg-BG"/>
              </w:rPr>
            </w:pPr>
          </w:p>
          <w:p w14:paraId="6DD79184" w14:textId="77777777" w:rsidR="0006569B" w:rsidRDefault="0006569B" w:rsidP="008A20A0">
            <w:pPr>
              <w:rPr>
                <w:rFonts w:ascii="Times New Roman" w:hAnsi="Times New Roman" w:cs="Times New Roman"/>
                <w:sz w:val="20"/>
                <w:szCs w:val="20"/>
                <w:lang w:val="bg-BG"/>
              </w:rPr>
            </w:pPr>
          </w:p>
          <w:p w14:paraId="3F03D2F7" w14:textId="77777777" w:rsidR="0006569B" w:rsidRDefault="0006569B" w:rsidP="008A20A0">
            <w:pPr>
              <w:rPr>
                <w:rFonts w:ascii="Times New Roman" w:hAnsi="Times New Roman" w:cs="Times New Roman"/>
                <w:sz w:val="20"/>
                <w:szCs w:val="20"/>
                <w:lang w:val="bg-BG"/>
              </w:rPr>
            </w:pPr>
          </w:p>
          <w:p w14:paraId="00A286E8" w14:textId="77777777" w:rsidR="00BC2C93" w:rsidRDefault="00BC2C93" w:rsidP="008A20A0">
            <w:pPr>
              <w:rPr>
                <w:rFonts w:ascii="Times New Roman" w:hAnsi="Times New Roman" w:cs="Times New Roman"/>
                <w:sz w:val="20"/>
                <w:szCs w:val="20"/>
                <w:lang w:val="bg-BG"/>
              </w:rPr>
            </w:pPr>
          </w:p>
          <w:p w14:paraId="50A40E8B" w14:textId="2E39F616" w:rsidR="00BC2C93" w:rsidRDefault="00BC2C93" w:rsidP="008A20A0">
            <w:pPr>
              <w:rPr>
                <w:rFonts w:ascii="Times New Roman" w:hAnsi="Times New Roman" w:cs="Times New Roman"/>
                <w:sz w:val="20"/>
                <w:szCs w:val="20"/>
                <w:lang w:val="bg-BG"/>
              </w:rPr>
            </w:pPr>
            <w:r>
              <w:rPr>
                <w:rFonts w:ascii="Times New Roman" w:hAnsi="Times New Roman" w:cs="Times New Roman"/>
                <w:sz w:val="20"/>
                <w:szCs w:val="20"/>
                <w:lang w:val="bg-BG"/>
              </w:rPr>
              <w:t>ИАРА</w:t>
            </w:r>
          </w:p>
          <w:p w14:paraId="36D711DF" w14:textId="77777777" w:rsidR="00BC2C93" w:rsidRDefault="00BC2C93" w:rsidP="008A20A0">
            <w:pPr>
              <w:rPr>
                <w:rFonts w:ascii="Times New Roman" w:hAnsi="Times New Roman" w:cs="Times New Roman"/>
                <w:sz w:val="20"/>
                <w:szCs w:val="20"/>
                <w:lang w:val="bg-BG"/>
              </w:rPr>
            </w:pPr>
          </w:p>
          <w:p w14:paraId="50A5037E" w14:textId="77777777" w:rsidR="00BC2C93" w:rsidRDefault="00BC2C93" w:rsidP="008A20A0">
            <w:pPr>
              <w:rPr>
                <w:rFonts w:ascii="Times New Roman" w:hAnsi="Times New Roman" w:cs="Times New Roman"/>
                <w:sz w:val="20"/>
                <w:szCs w:val="20"/>
                <w:lang w:val="bg-BG"/>
              </w:rPr>
            </w:pPr>
          </w:p>
          <w:p w14:paraId="55D4C3D7" w14:textId="77777777" w:rsidR="00BC2C93" w:rsidRDefault="00BC2C93" w:rsidP="008A20A0">
            <w:pPr>
              <w:rPr>
                <w:rFonts w:ascii="Times New Roman" w:hAnsi="Times New Roman" w:cs="Times New Roman"/>
                <w:sz w:val="20"/>
                <w:szCs w:val="20"/>
                <w:lang w:val="bg-BG"/>
              </w:rPr>
            </w:pPr>
          </w:p>
          <w:p w14:paraId="779C6A17" w14:textId="77777777" w:rsidR="00BC2C93" w:rsidRDefault="00BC2C93" w:rsidP="008A20A0">
            <w:pPr>
              <w:rPr>
                <w:rFonts w:ascii="Times New Roman" w:hAnsi="Times New Roman" w:cs="Times New Roman"/>
                <w:sz w:val="20"/>
                <w:szCs w:val="20"/>
                <w:lang w:val="bg-BG"/>
              </w:rPr>
            </w:pPr>
          </w:p>
          <w:p w14:paraId="5C8AB856" w14:textId="77777777" w:rsidR="00BC2C93" w:rsidRDefault="00BC2C93" w:rsidP="008A20A0">
            <w:pPr>
              <w:rPr>
                <w:rFonts w:ascii="Times New Roman" w:hAnsi="Times New Roman" w:cs="Times New Roman"/>
                <w:sz w:val="20"/>
                <w:szCs w:val="20"/>
                <w:lang w:val="bg-BG"/>
              </w:rPr>
            </w:pPr>
          </w:p>
          <w:p w14:paraId="707EA358" w14:textId="30F906E8" w:rsidR="0006569B" w:rsidRDefault="0006569B" w:rsidP="008A20A0">
            <w:pPr>
              <w:rPr>
                <w:rFonts w:ascii="Times New Roman" w:hAnsi="Times New Roman" w:cs="Times New Roman"/>
                <w:sz w:val="20"/>
                <w:szCs w:val="20"/>
                <w:lang w:val="bg-BG"/>
              </w:rPr>
            </w:pPr>
            <w:r>
              <w:rPr>
                <w:rFonts w:ascii="Times New Roman" w:hAnsi="Times New Roman" w:cs="Times New Roman"/>
                <w:sz w:val="20"/>
                <w:szCs w:val="20"/>
                <w:lang w:val="bg-BG"/>
              </w:rPr>
              <w:t>ИАМА, ДППИ,</w:t>
            </w:r>
          </w:p>
          <w:p w14:paraId="2CD8A2B5" w14:textId="77777777" w:rsidR="0006569B" w:rsidRDefault="0006569B" w:rsidP="008A20A0">
            <w:pPr>
              <w:rPr>
                <w:rFonts w:ascii="Times New Roman" w:hAnsi="Times New Roman" w:cs="Times New Roman"/>
                <w:sz w:val="20"/>
                <w:szCs w:val="20"/>
                <w:lang w:val="bg-BG"/>
              </w:rPr>
            </w:pPr>
            <w:r>
              <w:rPr>
                <w:rFonts w:ascii="Times New Roman" w:hAnsi="Times New Roman" w:cs="Times New Roman"/>
                <w:sz w:val="20"/>
                <w:szCs w:val="20"/>
                <w:lang w:val="bg-BG"/>
              </w:rPr>
              <w:t xml:space="preserve">терит. поделения „Пристанище Бургас“и </w:t>
            </w:r>
            <w:r>
              <w:rPr>
                <w:rFonts w:ascii="Times New Roman" w:hAnsi="Times New Roman" w:cs="Times New Roman"/>
                <w:sz w:val="20"/>
                <w:szCs w:val="20"/>
                <w:lang w:val="bg-BG"/>
              </w:rPr>
              <w:lastRenderedPageBreak/>
              <w:t>„Пристанище „Варна"</w:t>
            </w:r>
          </w:p>
          <w:p w14:paraId="0E9244B9" w14:textId="77777777" w:rsidR="00455E78" w:rsidRDefault="00455E78" w:rsidP="008A20A0">
            <w:pPr>
              <w:rPr>
                <w:rFonts w:ascii="Times New Roman" w:hAnsi="Times New Roman" w:cs="Times New Roman"/>
                <w:sz w:val="20"/>
                <w:szCs w:val="20"/>
                <w:lang w:val="bg-BG"/>
              </w:rPr>
            </w:pPr>
          </w:p>
          <w:p w14:paraId="60F696AA" w14:textId="77777777" w:rsidR="009A6CF6" w:rsidRDefault="009A6CF6" w:rsidP="008A20A0">
            <w:pPr>
              <w:rPr>
                <w:rFonts w:ascii="Times New Roman" w:hAnsi="Times New Roman" w:cs="Times New Roman"/>
                <w:sz w:val="20"/>
                <w:szCs w:val="20"/>
                <w:lang w:val="bg-BG"/>
              </w:rPr>
            </w:pPr>
          </w:p>
          <w:p w14:paraId="10F2EDC0" w14:textId="77777777" w:rsidR="00455E78" w:rsidRDefault="00455E78" w:rsidP="008A20A0">
            <w:pPr>
              <w:rPr>
                <w:rFonts w:ascii="Times New Roman" w:hAnsi="Times New Roman" w:cs="Times New Roman"/>
                <w:sz w:val="20"/>
                <w:szCs w:val="20"/>
                <w:lang w:val="bg-BG"/>
              </w:rPr>
            </w:pPr>
            <w:r>
              <w:rPr>
                <w:rFonts w:ascii="Times New Roman" w:hAnsi="Times New Roman" w:cs="Times New Roman"/>
                <w:sz w:val="20"/>
                <w:szCs w:val="20"/>
                <w:lang w:val="bg-BG"/>
              </w:rPr>
              <w:t>НИМХ</w:t>
            </w:r>
          </w:p>
          <w:p w14:paraId="44D76488" w14:textId="77777777" w:rsidR="007E336F" w:rsidRDefault="007E336F" w:rsidP="008A20A0">
            <w:pPr>
              <w:rPr>
                <w:rFonts w:ascii="Times New Roman" w:hAnsi="Times New Roman" w:cs="Times New Roman"/>
                <w:sz w:val="20"/>
                <w:szCs w:val="20"/>
                <w:lang w:val="bg-BG"/>
              </w:rPr>
            </w:pPr>
          </w:p>
          <w:p w14:paraId="44B3D959" w14:textId="77777777" w:rsidR="007E336F" w:rsidRDefault="007E336F" w:rsidP="008A20A0">
            <w:pPr>
              <w:rPr>
                <w:rFonts w:ascii="Times New Roman" w:hAnsi="Times New Roman" w:cs="Times New Roman"/>
                <w:sz w:val="20"/>
                <w:szCs w:val="20"/>
                <w:lang w:val="bg-BG"/>
              </w:rPr>
            </w:pPr>
          </w:p>
          <w:p w14:paraId="704E2F7B" w14:textId="77777777" w:rsidR="007E336F" w:rsidRDefault="007E336F" w:rsidP="008A20A0">
            <w:pPr>
              <w:rPr>
                <w:rFonts w:ascii="Times New Roman" w:hAnsi="Times New Roman" w:cs="Times New Roman"/>
                <w:sz w:val="20"/>
                <w:szCs w:val="20"/>
                <w:lang w:val="bg-BG"/>
              </w:rPr>
            </w:pPr>
          </w:p>
          <w:p w14:paraId="7C4B4B02" w14:textId="4E451E91" w:rsidR="007E336F" w:rsidRPr="00610B1B" w:rsidRDefault="007E336F" w:rsidP="008A20A0">
            <w:pPr>
              <w:rPr>
                <w:rFonts w:ascii="Times New Roman" w:hAnsi="Times New Roman" w:cs="Times New Roman"/>
                <w:sz w:val="20"/>
                <w:szCs w:val="20"/>
                <w:lang w:val="bg-BG"/>
              </w:rPr>
            </w:pPr>
            <w:r>
              <w:rPr>
                <w:rFonts w:ascii="Times New Roman" w:hAnsi="Times New Roman" w:cs="Times New Roman"/>
                <w:sz w:val="20"/>
                <w:szCs w:val="20"/>
                <w:lang w:val="bg-BG"/>
              </w:rPr>
              <w:t>НИМХ</w:t>
            </w:r>
          </w:p>
        </w:tc>
        <w:tc>
          <w:tcPr>
            <w:tcW w:w="3232" w:type="dxa"/>
          </w:tcPr>
          <w:p w14:paraId="3296C9C2" w14:textId="77777777" w:rsidR="00C519AD" w:rsidRPr="00610B1B" w:rsidRDefault="00C519A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Съхраняване на връзките между екосистемите </w:t>
            </w:r>
          </w:p>
          <w:p w14:paraId="33586B48" w14:textId="77777777" w:rsidR="00B4652F" w:rsidRPr="00610B1B" w:rsidRDefault="00B4652F" w:rsidP="00D32D6A">
            <w:pPr>
              <w:rPr>
                <w:rFonts w:ascii="Times New Roman" w:hAnsi="Times New Roman" w:cs="Times New Roman"/>
                <w:sz w:val="20"/>
                <w:szCs w:val="20"/>
                <w:lang w:val="bg-BG"/>
              </w:rPr>
            </w:pPr>
          </w:p>
          <w:p w14:paraId="5F2FFBC9" w14:textId="77777777" w:rsidR="00B4652F" w:rsidRPr="00610B1B" w:rsidRDefault="00B4652F" w:rsidP="00D32D6A">
            <w:pPr>
              <w:rPr>
                <w:rFonts w:ascii="Times New Roman" w:hAnsi="Times New Roman" w:cs="Times New Roman"/>
                <w:sz w:val="20"/>
                <w:szCs w:val="20"/>
                <w:lang w:val="bg-BG"/>
              </w:rPr>
            </w:pPr>
          </w:p>
          <w:p w14:paraId="49724AA3" w14:textId="77777777" w:rsidR="00B4652F" w:rsidRPr="00610B1B" w:rsidRDefault="00B4652F" w:rsidP="00D32D6A">
            <w:pPr>
              <w:rPr>
                <w:rFonts w:ascii="Times New Roman" w:hAnsi="Times New Roman" w:cs="Times New Roman"/>
                <w:sz w:val="20"/>
                <w:szCs w:val="20"/>
                <w:lang w:val="bg-BG"/>
              </w:rPr>
            </w:pPr>
          </w:p>
          <w:p w14:paraId="3E3088B3" w14:textId="77777777" w:rsidR="00683DD9" w:rsidRPr="00610B1B" w:rsidRDefault="00B4652F"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Проследяване и подобряване състоянието</w:t>
            </w:r>
          </w:p>
          <w:p w14:paraId="7AC52FC9" w14:textId="77777777" w:rsidR="00683DD9" w:rsidRPr="00610B1B" w:rsidRDefault="00683DD9" w:rsidP="00D32D6A">
            <w:pPr>
              <w:rPr>
                <w:rFonts w:ascii="Times New Roman" w:hAnsi="Times New Roman" w:cs="Times New Roman"/>
                <w:sz w:val="20"/>
                <w:szCs w:val="20"/>
                <w:lang w:val="bg-BG"/>
              </w:rPr>
            </w:pPr>
          </w:p>
          <w:p w14:paraId="68D6125A" w14:textId="77777777" w:rsidR="00683DD9" w:rsidRPr="00610B1B" w:rsidRDefault="00683DD9" w:rsidP="00D32D6A">
            <w:pPr>
              <w:rPr>
                <w:rFonts w:ascii="Times New Roman" w:hAnsi="Times New Roman" w:cs="Times New Roman"/>
                <w:sz w:val="20"/>
                <w:szCs w:val="20"/>
                <w:lang w:val="bg-BG"/>
              </w:rPr>
            </w:pPr>
          </w:p>
          <w:p w14:paraId="262535D2" w14:textId="77777777" w:rsidR="00683DD9" w:rsidRPr="00610B1B" w:rsidRDefault="00683DD9" w:rsidP="00D32D6A">
            <w:pPr>
              <w:rPr>
                <w:rFonts w:ascii="Times New Roman" w:hAnsi="Times New Roman" w:cs="Times New Roman"/>
                <w:sz w:val="20"/>
                <w:szCs w:val="20"/>
                <w:lang w:val="bg-BG"/>
              </w:rPr>
            </w:pPr>
          </w:p>
          <w:p w14:paraId="030B4BC4" w14:textId="77777777" w:rsidR="00B4652F" w:rsidRPr="00610B1B" w:rsidRDefault="00683DD9"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Подпомагане опазването на вида</w:t>
            </w:r>
            <w:r w:rsidR="00B4652F" w:rsidRPr="00610B1B">
              <w:rPr>
                <w:rFonts w:ascii="Times New Roman" w:hAnsi="Times New Roman" w:cs="Times New Roman"/>
                <w:sz w:val="20"/>
                <w:szCs w:val="20"/>
                <w:lang w:val="bg-BG"/>
              </w:rPr>
              <w:t xml:space="preserve"> </w:t>
            </w:r>
          </w:p>
          <w:p w14:paraId="69A8773E" w14:textId="77777777" w:rsidR="00410897" w:rsidRPr="00610B1B" w:rsidRDefault="00410897" w:rsidP="00D32D6A">
            <w:pPr>
              <w:rPr>
                <w:rFonts w:ascii="Times New Roman" w:hAnsi="Times New Roman" w:cs="Times New Roman"/>
                <w:sz w:val="20"/>
                <w:szCs w:val="20"/>
                <w:lang w:val="bg-BG"/>
              </w:rPr>
            </w:pPr>
          </w:p>
          <w:p w14:paraId="5C41C610" w14:textId="77777777" w:rsidR="00410897" w:rsidRPr="00610B1B" w:rsidRDefault="00410897" w:rsidP="00D32D6A">
            <w:pPr>
              <w:rPr>
                <w:rFonts w:ascii="Times New Roman" w:hAnsi="Times New Roman" w:cs="Times New Roman"/>
                <w:sz w:val="20"/>
                <w:szCs w:val="20"/>
                <w:lang w:val="bg-BG"/>
              </w:rPr>
            </w:pPr>
          </w:p>
          <w:p w14:paraId="70263FEF" w14:textId="77777777" w:rsidR="00410897" w:rsidRPr="00610B1B" w:rsidRDefault="00410897" w:rsidP="00D32D6A">
            <w:pPr>
              <w:rPr>
                <w:rFonts w:ascii="Times New Roman" w:hAnsi="Times New Roman" w:cs="Times New Roman"/>
                <w:sz w:val="20"/>
                <w:szCs w:val="20"/>
                <w:lang w:val="bg-BG"/>
              </w:rPr>
            </w:pPr>
          </w:p>
          <w:p w14:paraId="06154566" w14:textId="77777777" w:rsidR="00410897" w:rsidRPr="00610B1B" w:rsidRDefault="00410897" w:rsidP="00D32D6A">
            <w:pPr>
              <w:rPr>
                <w:rFonts w:ascii="Times New Roman" w:hAnsi="Times New Roman" w:cs="Times New Roman"/>
                <w:sz w:val="20"/>
                <w:szCs w:val="20"/>
                <w:lang w:val="bg-BG"/>
              </w:rPr>
            </w:pPr>
          </w:p>
          <w:p w14:paraId="0FE51CC4" w14:textId="77777777" w:rsidR="00410897" w:rsidRPr="00610B1B" w:rsidRDefault="00410897" w:rsidP="00D32D6A">
            <w:pPr>
              <w:rPr>
                <w:rFonts w:ascii="Times New Roman" w:hAnsi="Times New Roman" w:cs="Times New Roman"/>
                <w:sz w:val="20"/>
                <w:szCs w:val="20"/>
                <w:lang w:val="bg-BG"/>
              </w:rPr>
            </w:pPr>
          </w:p>
          <w:p w14:paraId="457172C1" w14:textId="22EC0D97" w:rsidR="00410897" w:rsidRPr="00610B1B" w:rsidRDefault="0041089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Опазване на вида</w:t>
            </w:r>
          </w:p>
          <w:p w14:paraId="54D21DD1" w14:textId="1BCEAB1A" w:rsidR="0013510D" w:rsidRPr="00610B1B" w:rsidRDefault="0013510D" w:rsidP="00D32D6A">
            <w:pPr>
              <w:rPr>
                <w:rFonts w:ascii="Times New Roman" w:hAnsi="Times New Roman" w:cs="Times New Roman"/>
                <w:sz w:val="20"/>
                <w:szCs w:val="20"/>
                <w:lang w:val="bg-BG"/>
              </w:rPr>
            </w:pPr>
          </w:p>
          <w:p w14:paraId="6286C58E" w14:textId="6755D2DE" w:rsidR="0013510D" w:rsidRPr="00610B1B" w:rsidRDefault="0013510D" w:rsidP="00D32D6A">
            <w:pPr>
              <w:rPr>
                <w:rFonts w:ascii="Times New Roman" w:hAnsi="Times New Roman" w:cs="Times New Roman"/>
                <w:sz w:val="20"/>
                <w:szCs w:val="20"/>
                <w:lang w:val="bg-BG"/>
              </w:rPr>
            </w:pPr>
          </w:p>
          <w:p w14:paraId="62877945" w14:textId="0244381E" w:rsidR="0013510D" w:rsidRPr="00610B1B" w:rsidRDefault="0013510D" w:rsidP="00D32D6A">
            <w:pPr>
              <w:rPr>
                <w:rFonts w:ascii="Times New Roman" w:hAnsi="Times New Roman" w:cs="Times New Roman"/>
                <w:sz w:val="20"/>
                <w:szCs w:val="20"/>
                <w:lang w:val="bg-BG"/>
              </w:rPr>
            </w:pPr>
          </w:p>
          <w:p w14:paraId="0E298788" w14:textId="6A411B76" w:rsidR="0013510D" w:rsidRPr="00610B1B" w:rsidRDefault="0013510D" w:rsidP="00D32D6A">
            <w:pPr>
              <w:rPr>
                <w:rFonts w:ascii="Times New Roman" w:hAnsi="Times New Roman" w:cs="Times New Roman"/>
                <w:sz w:val="20"/>
                <w:szCs w:val="20"/>
                <w:lang w:val="bg-BG"/>
              </w:rPr>
            </w:pPr>
          </w:p>
          <w:p w14:paraId="5EC77168" w14:textId="24568012" w:rsidR="0013510D" w:rsidRPr="00610B1B" w:rsidRDefault="0013510D" w:rsidP="00D32D6A">
            <w:pPr>
              <w:rPr>
                <w:rFonts w:ascii="Times New Roman" w:hAnsi="Times New Roman" w:cs="Times New Roman"/>
                <w:sz w:val="20"/>
                <w:szCs w:val="20"/>
                <w:lang w:val="bg-BG"/>
              </w:rPr>
            </w:pPr>
          </w:p>
          <w:p w14:paraId="257BEB7D" w14:textId="1E05CFB0" w:rsidR="0013510D" w:rsidRPr="00610B1B" w:rsidRDefault="0013510D" w:rsidP="00D32D6A">
            <w:pPr>
              <w:rPr>
                <w:rFonts w:ascii="Times New Roman" w:hAnsi="Times New Roman" w:cs="Times New Roman"/>
                <w:sz w:val="20"/>
                <w:szCs w:val="20"/>
                <w:lang w:val="bg-BG"/>
              </w:rPr>
            </w:pPr>
          </w:p>
          <w:p w14:paraId="5FFD4C08" w14:textId="135AB87C" w:rsidR="0013510D" w:rsidRPr="00610B1B" w:rsidRDefault="0013510D" w:rsidP="00D32D6A">
            <w:pPr>
              <w:rPr>
                <w:rFonts w:ascii="Times New Roman" w:hAnsi="Times New Roman" w:cs="Times New Roman"/>
                <w:sz w:val="20"/>
                <w:szCs w:val="20"/>
                <w:lang w:val="bg-BG"/>
              </w:rPr>
            </w:pPr>
          </w:p>
          <w:p w14:paraId="1A641DE7" w14:textId="0DDBEAE2" w:rsidR="0013510D" w:rsidRPr="00610B1B" w:rsidRDefault="0013510D" w:rsidP="00D32D6A">
            <w:pPr>
              <w:rPr>
                <w:rFonts w:ascii="Times New Roman" w:hAnsi="Times New Roman" w:cs="Times New Roman"/>
                <w:sz w:val="20"/>
                <w:szCs w:val="20"/>
                <w:lang w:val="bg-BG"/>
              </w:rPr>
            </w:pPr>
          </w:p>
          <w:p w14:paraId="73CECFFF" w14:textId="4E889FF7" w:rsidR="0013510D" w:rsidRPr="00610B1B" w:rsidRDefault="003E632F"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t>П</w:t>
            </w:r>
            <w:r w:rsidR="0013510D" w:rsidRPr="00610B1B">
              <w:rPr>
                <w:rFonts w:ascii="Times New Roman" w:hAnsi="Times New Roman" w:cs="Times New Roman"/>
                <w:sz w:val="20"/>
                <w:szCs w:val="20"/>
                <w:lang w:val="bg-BG" w:bidi="bg-BG"/>
              </w:rPr>
              <w:t xml:space="preserve">роследяване тенденциите в </w:t>
            </w:r>
            <w:r w:rsidRPr="00610B1B">
              <w:rPr>
                <w:rFonts w:ascii="Times New Roman" w:hAnsi="Times New Roman" w:cs="Times New Roman"/>
                <w:sz w:val="20"/>
                <w:szCs w:val="20"/>
                <w:lang w:val="bg-BG" w:bidi="bg-BG"/>
              </w:rPr>
              <w:t xml:space="preserve">  </w:t>
            </w:r>
            <w:r w:rsidR="0013510D" w:rsidRPr="00610B1B">
              <w:rPr>
                <w:rFonts w:ascii="Times New Roman" w:hAnsi="Times New Roman" w:cs="Times New Roman"/>
                <w:sz w:val="20"/>
                <w:szCs w:val="20"/>
                <w:lang w:val="bg-BG" w:bidi="bg-BG"/>
              </w:rPr>
              <w:t>популациите, както и евентуалните промени в поведението им и промените в местообитанията</w:t>
            </w:r>
          </w:p>
          <w:p w14:paraId="041D1B31" w14:textId="77777777" w:rsidR="00E619EF" w:rsidRPr="00610B1B" w:rsidRDefault="00E619EF" w:rsidP="00D32D6A">
            <w:pPr>
              <w:rPr>
                <w:rFonts w:ascii="Times New Roman" w:hAnsi="Times New Roman" w:cs="Times New Roman"/>
                <w:sz w:val="20"/>
                <w:szCs w:val="20"/>
                <w:lang w:val="bg-BG"/>
              </w:rPr>
            </w:pPr>
          </w:p>
          <w:p w14:paraId="49741453" w14:textId="77777777" w:rsidR="00E619EF" w:rsidRPr="00610B1B" w:rsidRDefault="00E619EF" w:rsidP="00D32D6A">
            <w:pPr>
              <w:rPr>
                <w:rFonts w:ascii="Times New Roman" w:hAnsi="Times New Roman" w:cs="Times New Roman"/>
                <w:sz w:val="20"/>
                <w:szCs w:val="20"/>
                <w:lang w:val="bg-BG"/>
              </w:rPr>
            </w:pPr>
          </w:p>
          <w:p w14:paraId="7FAA14BC" w14:textId="77777777" w:rsidR="00E619EF" w:rsidRPr="00610B1B" w:rsidRDefault="00E619EF" w:rsidP="00D32D6A">
            <w:pPr>
              <w:rPr>
                <w:rFonts w:ascii="Times New Roman" w:hAnsi="Times New Roman" w:cs="Times New Roman"/>
                <w:sz w:val="20"/>
                <w:szCs w:val="20"/>
                <w:lang w:val="bg-BG"/>
              </w:rPr>
            </w:pPr>
          </w:p>
          <w:p w14:paraId="154CBFFD" w14:textId="77777777" w:rsidR="00E619EF" w:rsidRPr="00610B1B" w:rsidRDefault="00E619EF" w:rsidP="00D32D6A">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Изпълнение на целите на Стратегията на ЕС за биологично разнообразие за 2030 г</w:t>
            </w:r>
          </w:p>
          <w:p w14:paraId="63F1DD8C" w14:textId="77777777" w:rsidR="0048259D" w:rsidRPr="00610B1B" w:rsidRDefault="0048259D" w:rsidP="00D32D6A">
            <w:pPr>
              <w:rPr>
                <w:rFonts w:ascii="Times New Roman" w:hAnsi="Times New Roman" w:cs="Times New Roman"/>
                <w:sz w:val="20"/>
                <w:szCs w:val="20"/>
                <w:lang w:val="bg-BG" w:bidi="bg-BG"/>
              </w:rPr>
            </w:pPr>
          </w:p>
          <w:p w14:paraId="6B7A0559" w14:textId="77777777" w:rsidR="0048259D" w:rsidRPr="00610B1B" w:rsidRDefault="0048259D" w:rsidP="00D32D6A">
            <w:pPr>
              <w:rPr>
                <w:rFonts w:ascii="Times New Roman" w:hAnsi="Times New Roman" w:cs="Times New Roman"/>
                <w:sz w:val="20"/>
                <w:szCs w:val="20"/>
                <w:lang w:val="bg-BG" w:bidi="bg-BG"/>
              </w:rPr>
            </w:pPr>
          </w:p>
          <w:p w14:paraId="0CED6770" w14:textId="77777777" w:rsidR="0048259D" w:rsidRPr="00610B1B" w:rsidRDefault="0048259D" w:rsidP="00D32D6A">
            <w:pPr>
              <w:rPr>
                <w:rFonts w:ascii="Times New Roman" w:hAnsi="Times New Roman" w:cs="Times New Roman"/>
                <w:sz w:val="20"/>
                <w:szCs w:val="20"/>
                <w:lang w:val="bg-BG" w:bidi="bg-BG"/>
              </w:rPr>
            </w:pPr>
          </w:p>
          <w:p w14:paraId="1AA1DC6C" w14:textId="77777777" w:rsidR="0048259D" w:rsidRPr="00610B1B" w:rsidRDefault="0048259D" w:rsidP="00D32D6A">
            <w:pPr>
              <w:rPr>
                <w:rFonts w:ascii="Times New Roman" w:hAnsi="Times New Roman" w:cs="Times New Roman"/>
                <w:sz w:val="20"/>
                <w:szCs w:val="20"/>
                <w:lang w:val="bg-BG" w:bidi="bg-BG"/>
              </w:rPr>
            </w:pPr>
          </w:p>
          <w:p w14:paraId="4D297177" w14:textId="77777777" w:rsidR="0048259D" w:rsidRPr="00610B1B" w:rsidRDefault="0048259D" w:rsidP="00D32D6A">
            <w:pPr>
              <w:rPr>
                <w:rFonts w:ascii="Times New Roman" w:hAnsi="Times New Roman" w:cs="Times New Roman"/>
                <w:sz w:val="20"/>
                <w:szCs w:val="20"/>
                <w:lang w:val="bg-BG" w:bidi="bg-BG"/>
              </w:rPr>
            </w:pPr>
          </w:p>
          <w:p w14:paraId="02CF1191" w14:textId="77777777" w:rsidR="0048259D" w:rsidRPr="00610B1B" w:rsidRDefault="0048259D" w:rsidP="00D32D6A">
            <w:pPr>
              <w:rPr>
                <w:rFonts w:ascii="Times New Roman" w:hAnsi="Times New Roman" w:cs="Times New Roman"/>
                <w:sz w:val="20"/>
                <w:szCs w:val="20"/>
                <w:lang w:val="bg-BG" w:bidi="bg-BG"/>
              </w:rPr>
            </w:pPr>
          </w:p>
          <w:p w14:paraId="53553802" w14:textId="77777777" w:rsidR="0048259D" w:rsidRPr="00610B1B" w:rsidRDefault="0048259D" w:rsidP="00D32D6A">
            <w:pPr>
              <w:rPr>
                <w:rFonts w:ascii="Times New Roman" w:hAnsi="Times New Roman" w:cs="Times New Roman"/>
                <w:sz w:val="20"/>
                <w:szCs w:val="20"/>
                <w:lang w:val="bg-BG" w:bidi="bg-BG"/>
              </w:rPr>
            </w:pPr>
          </w:p>
          <w:p w14:paraId="058BB2CC" w14:textId="77777777" w:rsidR="0048259D" w:rsidRPr="00610B1B" w:rsidRDefault="0048259D" w:rsidP="00D32D6A">
            <w:pPr>
              <w:rPr>
                <w:rFonts w:ascii="Times New Roman" w:hAnsi="Times New Roman" w:cs="Times New Roman"/>
                <w:sz w:val="20"/>
                <w:szCs w:val="20"/>
                <w:lang w:val="bg-BG" w:bidi="bg-BG"/>
              </w:rPr>
            </w:pPr>
          </w:p>
          <w:p w14:paraId="2FEA6DE9" w14:textId="77777777" w:rsidR="0048259D" w:rsidRPr="00610B1B" w:rsidRDefault="0048259D" w:rsidP="00D32D6A">
            <w:pPr>
              <w:rPr>
                <w:rFonts w:ascii="Times New Roman" w:hAnsi="Times New Roman" w:cs="Times New Roman"/>
                <w:sz w:val="20"/>
                <w:szCs w:val="20"/>
                <w:lang w:val="bg-BG" w:bidi="bg-BG"/>
              </w:rPr>
            </w:pPr>
          </w:p>
          <w:p w14:paraId="12B3626B" w14:textId="77777777" w:rsidR="0048259D" w:rsidRPr="00610B1B" w:rsidRDefault="0048259D" w:rsidP="00D32D6A">
            <w:pPr>
              <w:rPr>
                <w:rFonts w:ascii="Times New Roman" w:hAnsi="Times New Roman" w:cs="Times New Roman"/>
                <w:sz w:val="20"/>
                <w:szCs w:val="20"/>
                <w:lang w:val="bg-BG" w:bidi="bg-BG"/>
              </w:rPr>
            </w:pPr>
          </w:p>
          <w:p w14:paraId="06E355DE" w14:textId="77777777" w:rsidR="001B06F9" w:rsidRDefault="001B06F9" w:rsidP="00D32D6A">
            <w:pPr>
              <w:rPr>
                <w:rFonts w:ascii="Times New Roman" w:hAnsi="Times New Roman" w:cs="Times New Roman"/>
                <w:sz w:val="20"/>
                <w:szCs w:val="20"/>
                <w:lang w:val="bg-BG" w:bidi="bg-BG"/>
              </w:rPr>
            </w:pPr>
          </w:p>
          <w:p w14:paraId="140BE341" w14:textId="77777777" w:rsidR="001B06F9" w:rsidRDefault="001B06F9" w:rsidP="00D32D6A">
            <w:pPr>
              <w:rPr>
                <w:rFonts w:ascii="Times New Roman" w:hAnsi="Times New Roman" w:cs="Times New Roman"/>
                <w:sz w:val="20"/>
                <w:szCs w:val="20"/>
                <w:lang w:val="bg-BG" w:bidi="bg-BG"/>
              </w:rPr>
            </w:pPr>
          </w:p>
          <w:p w14:paraId="783F61A0" w14:textId="77777777" w:rsidR="001B06F9" w:rsidRDefault="001B06F9" w:rsidP="00D32D6A">
            <w:pPr>
              <w:rPr>
                <w:rFonts w:ascii="Times New Roman" w:hAnsi="Times New Roman" w:cs="Times New Roman"/>
                <w:sz w:val="20"/>
                <w:szCs w:val="20"/>
                <w:lang w:val="bg-BG" w:bidi="bg-BG"/>
              </w:rPr>
            </w:pPr>
          </w:p>
          <w:p w14:paraId="6653721A" w14:textId="77777777" w:rsidR="001B06F9" w:rsidRDefault="001B06F9" w:rsidP="00D32D6A">
            <w:pPr>
              <w:rPr>
                <w:rFonts w:ascii="Times New Roman" w:hAnsi="Times New Roman" w:cs="Times New Roman"/>
                <w:sz w:val="20"/>
                <w:szCs w:val="20"/>
                <w:lang w:val="bg-BG" w:bidi="bg-BG"/>
              </w:rPr>
            </w:pPr>
          </w:p>
          <w:p w14:paraId="65E58B99" w14:textId="77777777" w:rsidR="001B06F9" w:rsidRDefault="001B06F9" w:rsidP="00D32D6A">
            <w:pPr>
              <w:rPr>
                <w:rFonts w:ascii="Times New Roman" w:hAnsi="Times New Roman" w:cs="Times New Roman"/>
                <w:sz w:val="20"/>
                <w:szCs w:val="20"/>
                <w:lang w:val="bg-BG" w:bidi="bg-BG"/>
              </w:rPr>
            </w:pPr>
          </w:p>
          <w:p w14:paraId="4DA4E97F" w14:textId="77777777" w:rsidR="001B06F9" w:rsidRDefault="001B06F9" w:rsidP="00D32D6A">
            <w:pPr>
              <w:rPr>
                <w:rFonts w:ascii="Times New Roman" w:hAnsi="Times New Roman" w:cs="Times New Roman"/>
                <w:sz w:val="20"/>
                <w:szCs w:val="20"/>
                <w:lang w:val="bg-BG" w:bidi="bg-BG"/>
              </w:rPr>
            </w:pPr>
          </w:p>
          <w:p w14:paraId="3B80905F" w14:textId="77777777" w:rsidR="001B06F9" w:rsidRDefault="001B06F9" w:rsidP="00D32D6A">
            <w:pPr>
              <w:rPr>
                <w:rFonts w:ascii="Times New Roman" w:hAnsi="Times New Roman" w:cs="Times New Roman"/>
                <w:sz w:val="20"/>
                <w:szCs w:val="20"/>
                <w:lang w:val="bg-BG" w:bidi="bg-BG"/>
              </w:rPr>
            </w:pPr>
          </w:p>
          <w:p w14:paraId="75DEFC49" w14:textId="77777777" w:rsidR="001B06F9" w:rsidRDefault="001B06F9" w:rsidP="00D32D6A">
            <w:pPr>
              <w:rPr>
                <w:rFonts w:ascii="Times New Roman" w:hAnsi="Times New Roman" w:cs="Times New Roman"/>
                <w:sz w:val="20"/>
                <w:szCs w:val="20"/>
                <w:lang w:val="bg-BG" w:bidi="bg-BG"/>
              </w:rPr>
            </w:pPr>
          </w:p>
          <w:p w14:paraId="3FC8B775" w14:textId="77777777" w:rsidR="001B06F9" w:rsidRDefault="001B06F9" w:rsidP="00D32D6A">
            <w:pPr>
              <w:rPr>
                <w:rFonts w:ascii="Times New Roman" w:hAnsi="Times New Roman" w:cs="Times New Roman"/>
                <w:sz w:val="20"/>
                <w:szCs w:val="20"/>
                <w:lang w:val="bg-BG" w:bidi="bg-BG"/>
              </w:rPr>
            </w:pPr>
          </w:p>
          <w:p w14:paraId="57D5B660" w14:textId="77777777" w:rsidR="001B06F9" w:rsidRDefault="001B06F9" w:rsidP="00D32D6A">
            <w:pPr>
              <w:rPr>
                <w:rFonts w:ascii="Times New Roman" w:hAnsi="Times New Roman" w:cs="Times New Roman"/>
                <w:sz w:val="20"/>
                <w:szCs w:val="20"/>
                <w:lang w:val="bg-BG" w:bidi="bg-BG"/>
              </w:rPr>
            </w:pPr>
          </w:p>
          <w:p w14:paraId="513A75C2" w14:textId="77777777" w:rsidR="001B06F9" w:rsidRDefault="001B06F9" w:rsidP="00D32D6A">
            <w:pPr>
              <w:rPr>
                <w:rFonts w:ascii="Times New Roman" w:hAnsi="Times New Roman" w:cs="Times New Roman"/>
                <w:sz w:val="20"/>
                <w:szCs w:val="20"/>
                <w:lang w:val="bg-BG" w:bidi="bg-BG"/>
              </w:rPr>
            </w:pPr>
          </w:p>
          <w:p w14:paraId="3A11F4F1" w14:textId="77777777" w:rsidR="001B06F9" w:rsidRDefault="001B06F9" w:rsidP="00D32D6A">
            <w:pPr>
              <w:rPr>
                <w:rFonts w:ascii="Times New Roman" w:hAnsi="Times New Roman" w:cs="Times New Roman"/>
                <w:sz w:val="20"/>
                <w:szCs w:val="20"/>
                <w:lang w:val="bg-BG" w:bidi="bg-BG"/>
              </w:rPr>
            </w:pPr>
          </w:p>
          <w:p w14:paraId="32D3759D" w14:textId="77777777" w:rsidR="001B06F9" w:rsidRDefault="001B06F9" w:rsidP="00D32D6A">
            <w:pPr>
              <w:rPr>
                <w:rFonts w:ascii="Times New Roman" w:hAnsi="Times New Roman" w:cs="Times New Roman"/>
                <w:sz w:val="20"/>
                <w:szCs w:val="20"/>
                <w:lang w:val="bg-BG" w:bidi="bg-BG"/>
              </w:rPr>
            </w:pPr>
          </w:p>
          <w:p w14:paraId="6E528E86" w14:textId="77777777" w:rsidR="001B06F9" w:rsidRDefault="001B06F9" w:rsidP="00D32D6A">
            <w:pPr>
              <w:rPr>
                <w:rFonts w:ascii="Times New Roman" w:hAnsi="Times New Roman" w:cs="Times New Roman"/>
                <w:sz w:val="20"/>
                <w:szCs w:val="20"/>
                <w:lang w:val="bg-BG" w:bidi="bg-BG"/>
              </w:rPr>
            </w:pPr>
          </w:p>
          <w:p w14:paraId="09734278" w14:textId="77777777" w:rsidR="001B06F9" w:rsidRDefault="001B06F9" w:rsidP="00D32D6A">
            <w:pPr>
              <w:rPr>
                <w:rFonts w:ascii="Times New Roman" w:hAnsi="Times New Roman" w:cs="Times New Roman"/>
                <w:sz w:val="20"/>
                <w:szCs w:val="20"/>
                <w:lang w:val="bg-BG" w:bidi="bg-BG"/>
              </w:rPr>
            </w:pPr>
          </w:p>
          <w:p w14:paraId="04557049" w14:textId="77777777" w:rsidR="001B06F9" w:rsidRDefault="001B06F9" w:rsidP="00D32D6A">
            <w:pPr>
              <w:rPr>
                <w:rFonts w:ascii="Times New Roman" w:hAnsi="Times New Roman" w:cs="Times New Roman"/>
                <w:sz w:val="20"/>
                <w:szCs w:val="20"/>
                <w:lang w:val="bg-BG" w:bidi="bg-BG"/>
              </w:rPr>
            </w:pPr>
          </w:p>
          <w:p w14:paraId="7A506570" w14:textId="77777777" w:rsidR="001B06F9" w:rsidRDefault="001B06F9" w:rsidP="00D32D6A">
            <w:pPr>
              <w:rPr>
                <w:rFonts w:ascii="Times New Roman" w:hAnsi="Times New Roman" w:cs="Times New Roman"/>
                <w:sz w:val="20"/>
                <w:szCs w:val="20"/>
                <w:lang w:val="bg-BG" w:bidi="bg-BG"/>
              </w:rPr>
            </w:pPr>
          </w:p>
          <w:p w14:paraId="2434EFB1" w14:textId="77777777" w:rsidR="001B06F9" w:rsidRDefault="001B06F9" w:rsidP="00D32D6A">
            <w:pPr>
              <w:rPr>
                <w:rFonts w:ascii="Times New Roman" w:hAnsi="Times New Roman" w:cs="Times New Roman"/>
                <w:sz w:val="20"/>
                <w:szCs w:val="20"/>
                <w:lang w:val="bg-BG" w:bidi="bg-BG"/>
              </w:rPr>
            </w:pPr>
          </w:p>
          <w:p w14:paraId="76E7D713" w14:textId="77777777" w:rsidR="001B06F9" w:rsidRDefault="001B06F9" w:rsidP="00D32D6A">
            <w:pPr>
              <w:rPr>
                <w:rFonts w:ascii="Times New Roman" w:hAnsi="Times New Roman" w:cs="Times New Roman"/>
                <w:sz w:val="20"/>
                <w:szCs w:val="20"/>
                <w:lang w:val="bg-BG" w:bidi="bg-BG"/>
              </w:rPr>
            </w:pPr>
          </w:p>
          <w:p w14:paraId="2F42C591" w14:textId="77777777" w:rsidR="001B06F9" w:rsidRDefault="001B06F9" w:rsidP="00D32D6A">
            <w:pPr>
              <w:rPr>
                <w:rFonts w:ascii="Times New Roman" w:hAnsi="Times New Roman" w:cs="Times New Roman"/>
                <w:sz w:val="20"/>
                <w:szCs w:val="20"/>
                <w:lang w:val="bg-BG" w:bidi="bg-BG"/>
              </w:rPr>
            </w:pPr>
          </w:p>
          <w:p w14:paraId="0CA267D2" w14:textId="77777777" w:rsidR="001B06F9" w:rsidRDefault="001B06F9" w:rsidP="00D32D6A">
            <w:pPr>
              <w:rPr>
                <w:rFonts w:ascii="Times New Roman" w:hAnsi="Times New Roman" w:cs="Times New Roman"/>
                <w:sz w:val="20"/>
                <w:szCs w:val="20"/>
                <w:lang w:val="bg-BG" w:bidi="bg-BG"/>
              </w:rPr>
            </w:pPr>
          </w:p>
          <w:p w14:paraId="40D8AC2B" w14:textId="77777777" w:rsidR="009A6CF6" w:rsidRDefault="009A6CF6" w:rsidP="00D32D6A">
            <w:pPr>
              <w:rPr>
                <w:rFonts w:ascii="Times New Roman" w:hAnsi="Times New Roman" w:cs="Times New Roman"/>
                <w:sz w:val="20"/>
                <w:szCs w:val="20"/>
                <w:lang w:val="bg-BG" w:bidi="bg-BG"/>
              </w:rPr>
            </w:pPr>
          </w:p>
          <w:p w14:paraId="1FCA4724" w14:textId="77777777" w:rsidR="009A6CF6" w:rsidRDefault="009A6CF6" w:rsidP="00D32D6A">
            <w:pPr>
              <w:rPr>
                <w:rFonts w:ascii="Times New Roman" w:hAnsi="Times New Roman" w:cs="Times New Roman"/>
                <w:sz w:val="20"/>
                <w:szCs w:val="20"/>
                <w:lang w:val="bg-BG" w:bidi="bg-BG"/>
              </w:rPr>
            </w:pPr>
          </w:p>
          <w:p w14:paraId="5CDF060E" w14:textId="77777777" w:rsidR="009A6CF6" w:rsidRDefault="009A6CF6" w:rsidP="00D32D6A">
            <w:pPr>
              <w:rPr>
                <w:rFonts w:ascii="Times New Roman" w:hAnsi="Times New Roman" w:cs="Times New Roman"/>
                <w:sz w:val="20"/>
                <w:szCs w:val="20"/>
                <w:lang w:val="bg-BG" w:bidi="bg-BG"/>
              </w:rPr>
            </w:pPr>
          </w:p>
          <w:p w14:paraId="3906F72B" w14:textId="77777777" w:rsidR="009A6CF6" w:rsidRDefault="009A6CF6" w:rsidP="00D32D6A">
            <w:pPr>
              <w:rPr>
                <w:rFonts w:ascii="Times New Roman" w:hAnsi="Times New Roman" w:cs="Times New Roman"/>
                <w:sz w:val="20"/>
                <w:szCs w:val="20"/>
                <w:lang w:val="bg-BG" w:bidi="bg-BG"/>
              </w:rPr>
            </w:pPr>
          </w:p>
          <w:p w14:paraId="5A7DE797" w14:textId="77777777" w:rsidR="009A6CF6" w:rsidRDefault="009A6CF6" w:rsidP="00D32D6A">
            <w:pPr>
              <w:rPr>
                <w:rFonts w:ascii="Times New Roman" w:hAnsi="Times New Roman" w:cs="Times New Roman"/>
                <w:sz w:val="20"/>
                <w:szCs w:val="20"/>
                <w:lang w:val="bg-BG" w:bidi="bg-BG"/>
              </w:rPr>
            </w:pPr>
          </w:p>
          <w:p w14:paraId="76DF7FBA" w14:textId="77777777" w:rsidR="009A6CF6" w:rsidRDefault="009A6CF6" w:rsidP="00D32D6A">
            <w:pPr>
              <w:rPr>
                <w:rFonts w:ascii="Times New Roman" w:hAnsi="Times New Roman" w:cs="Times New Roman"/>
                <w:sz w:val="20"/>
                <w:szCs w:val="20"/>
                <w:lang w:val="bg-BG" w:bidi="bg-BG"/>
              </w:rPr>
            </w:pPr>
          </w:p>
          <w:p w14:paraId="04EBAFC1" w14:textId="77777777" w:rsidR="009A6CF6" w:rsidRDefault="009A6CF6" w:rsidP="00D32D6A">
            <w:pPr>
              <w:rPr>
                <w:rFonts w:ascii="Times New Roman" w:hAnsi="Times New Roman" w:cs="Times New Roman"/>
                <w:sz w:val="20"/>
                <w:szCs w:val="20"/>
                <w:lang w:val="bg-BG" w:bidi="bg-BG"/>
              </w:rPr>
            </w:pPr>
          </w:p>
          <w:p w14:paraId="059C4591" w14:textId="77777777" w:rsidR="009A6CF6" w:rsidRDefault="009A6CF6" w:rsidP="00D32D6A">
            <w:pPr>
              <w:rPr>
                <w:rFonts w:ascii="Times New Roman" w:hAnsi="Times New Roman" w:cs="Times New Roman"/>
                <w:sz w:val="20"/>
                <w:szCs w:val="20"/>
                <w:lang w:val="bg-BG" w:bidi="bg-BG"/>
              </w:rPr>
            </w:pPr>
          </w:p>
          <w:p w14:paraId="516F297C" w14:textId="77777777" w:rsidR="009A6CF6" w:rsidRDefault="009A6CF6" w:rsidP="00D32D6A">
            <w:pPr>
              <w:rPr>
                <w:rFonts w:ascii="Times New Roman" w:hAnsi="Times New Roman" w:cs="Times New Roman"/>
                <w:sz w:val="20"/>
                <w:szCs w:val="20"/>
                <w:lang w:val="bg-BG" w:bidi="bg-BG"/>
              </w:rPr>
            </w:pPr>
          </w:p>
          <w:p w14:paraId="6D5746FB" w14:textId="77777777" w:rsidR="009A6CF6" w:rsidRDefault="009A6CF6" w:rsidP="00D32D6A">
            <w:pPr>
              <w:rPr>
                <w:rFonts w:ascii="Times New Roman" w:hAnsi="Times New Roman" w:cs="Times New Roman"/>
                <w:sz w:val="20"/>
                <w:szCs w:val="20"/>
                <w:lang w:val="bg-BG" w:bidi="bg-BG"/>
              </w:rPr>
            </w:pPr>
          </w:p>
          <w:p w14:paraId="1A673C80" w14:textId="77777777" w:rsidR="009A6CF6" w:rsidRDefault="009A6CF6" w:rsidP="00D32D6A">
            <w:pPr>
              <w:rPr>
                <w:rFonts w:ascii="Times New Roman" w:hAnsi="Times New Roman" w:cs="Times New Roman"/>
                <w:sz w:val="20"/>
                <w:szCs w:val="20"/>
                <w:lang w:val="bg-BG" w:bidi="bg-BG"/>
              </w:rPr>
            </w:pPr>
          </w:p>
          <w:p w14:paraId="5AF0C058" w14:textId="77777777" w:rsidR="009A6CF6" w:rsidRDefault="009A6CF6" w:rsidP="00D32D6A">
            <w:pPr>
              <w:rPr>
                <w:rFonts w:ascii="Times New Roman" w:hAnsi="Times New Roman" w:cs="Times New Roman"/>
                <w:sz w:val="20"/>
                <w:szCs w:val="20"/>
                <w:lang w:val="bg-BG" w:bidi="bg-BG"/>
              </w:rPr>
            </w:pPr>
          </w:p>
          <w:p w14:paraId="20A10F48" w14:textId="24292EAF" w:rsidR="0048259D" w:rsidRPr="00610B1B" w:rsidRDefault="0048259D" w:rsidP="00D32D6A">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lastRenderedPageBreak/>
              <w:t>Повишаване на информираността на населението</w:t>
            </w:r>
          </w:p>
          <w:p w14:paraId="27758082" w14:textId="77777777" w:rsidR="00A14088" w:rsidRPr="00610B1B" w:rsidRDefault="00A14088" w:rsidP="00D32D6A">
            <w:pPr>
              <w:rPr>
                <w:rFonts w:ascii="Times New Roman" w:hAnsi="Times New Roman" w:cs="Times New Roman"/>
                <w:sz w:val="20"/>
                <w:szCs w:val="20"/>
                <w:lang w:val="bg-BG" w:bidi="bg-BG"/>
              </w:rPr>
            </w:pPr>
          </w:p>
          <w:p w14:paraId="7950EB55" w14:textId="77777777" w:rsidR="00A14088" w:rsidRPr="00610B1B" w:rsidRDefault="00A14088" w:rsidP="00D32D6A">
            <w:pPr>
              <w:rPr>
                <w:rFonts w:ascii="Times New Roman" w:hAnsi="Times New Roman" w:cs="Times New Roman"/>
                <w:sz w:val="20"/>
                <w:szCs w:val="20"/>
                <w:lang w:val="bg-BG" w:bidi="bg-BG"/>
              </w:rPr>
            </w:pPr>
          </w:p>
          <w:p w14:paraId="1828E742" w14:textId="77777777" w:rsidR="00A14088" w:rsidRPr="00610B1B" w:rsidRDefault="00A14088" w:rsidP="00D32D6A">
            <w:pPr>
              <w:rPr>
                <w:rFonts w:ascii="Times New Roman" w:hAnsi="Times New Roman" w:cs="Times New Roman"/>
                <w:sz w:val="20"/>
                <w:szCs w:val="20"/>
                <w:lang w:val="bg-BG" w:bidi="bg-BG"/>
              </w:rPr>
            </w:pPr>
          </w:p>
          <w:p w14:paraId="52A733D1" w14:textId="77777777" w:rsidR="00A14088" w:rsidRPr="00610B1B" w:rsidRDefault="00A14088" w:rsidP="00D32D6A">
            <w:pPr>
              <w:rPr>
                <w:rFonts w:ascii="Times New Roman" w:hAnsi="Times New Roman" w:cs="Times New Roman"/>
                <w:sz w:val="20"/>
                <w:szCs w:val="20"/>
                <w:lang w:val="bg-BG" w:bidi="bg-BG"/>
              </w:rPr>
            </w:pPr>
          </w:p>
          <w:p w14:paraId="6DD0407D" w14:textId="77777777" w:rsidR="00A14088" w:rsidRPr="00610B1B" w:rsidRDefault="00A14088" w:rsidP="00D32D6A">
            <w:pPr>
              <w:rPr>
                <w:rFonts w:ascii="Times New Roman" w:hAnsi="Times New Roman" w:cs="Times New Roman"/>
                <w:sz w:val="20"/>
                <w:szCs w:val="20"/>
                <w:lang w:val="bg-BG" w:bidi="bg-BG"/>
              </w:rPr>
            </w:pPr>
          </w:p>
          <w:p w14:paraId="63A2829B" w14:textId="77777777" w:rsidR="00A14088" w:rsidRPr="00610B1B" w:rsidRDefault="00A14088" w:rsidP="00D32D6A">
            <w:pPr>
              <w:rPr>
                <w:rFonts w:ascii="Times New Roman" w:hAnsi="Times New Roman" w:cs="Times New Roman"/>
                <w:sz w:val="20"/>
                <w:szCs w:val="20"/>
                <w:lang w:val="bg-BG" w:bidi="bg-BG"/>
              </w:rPr>
            </w:pPr>
          </w:p>
          <w:p w14:paraId="22B16271" w14:textId="77777777" w:rsidR="00A14088" w:rsidRPr="00610B1B" w:rsidRDefault="00A14088" w:rsidP="00D32D6A">
            <w:pPr>
              <w:rPr>
                <w:rFonts w:ascii="Times New Roman" w:hAnsi="Times New Roman" w:cs="Times New Roman"/>
                <w:sz w:val="20"/>
                <w:szCs w:val="20"/>
                <w:lang w:val="ru-RU" w:bidi="bg-BG"/>
              </w:rPr>
            </w:pPr>
            <w:r w:rsidRPr="00610B1B">
              <w:rPr>
                <w:rFonts w:ascii="Times New Roman" w:hAnsi="Times New Roman" w:cs="Times New Roman"/>
                <w:sz w:val="20"/>
                <w:szCs w:val="20"/>
                <w:lang w:val="ru-RU" w:bidi="bg-BG"/>
              </w:rPr>
              <w:t>Предотвратяване на прекомерен риболовен натиск</w:t>
            </w:r>
          </w:p>
          <w:p w14:paraId="2FACE962" w14:textId="77777777" w:rsidR="00506FB0" w:rsidRPr="00610B1B" w:rsidRDefault="00506FB0" w:rsidP="00D32D6A">
            <w:pPr>
              <w:rPr>
                <w:rFonts w:ascii="Times New Roman" w:hAnsi="Times New Roman" w:cs="Times New Roman"/>
                <w:sz w:val="20"/>
                <w:szCs w:val="20"/>
                <w:lang w:val="ru-RU" w:bidi="bg-BG"/>
              </w:rPr>
            </w:pPr>
          </w:p>
          <w:p w14:paraId="76598C72" w14:textId="77777777" w:rsidR="00506FB0" w:rsidRPr="00610B1B" w:rsidRDefault="00506FB0" w:rsidP="00D32D6A">
            <w:pPr>
              <w:rPr>
                <w:rFonts w:ascii="Times New Roman" w:hAnsi="Times New Roman" w:cs="Times New Roman"/>
                <w:sz w:val="20"/>
                <w:szCs w:val="20"/>
                <w:lang w:val="ru-RU" w:bidi="bg-BG"/>
              </w:rPr>
            </w:pPr>
          </w:p>
          <w:p w14:paraId="690EC9D1" w14:textId="77777777" w:rsidR="00506FB0" w:rsidRPr="00610B1B" w:rsidRDefault="00506FB0" w:rsidP="00D32D6A">
            <w:pPr>
              <w:rPr>
                <w:rFonts w:ascii="Times New Roman" w:hAnsi="Times New Roman" w:cs="Times New Roman"/>
                <w:sz w:val="20"/>
                <w:szCs w:val="20"/>
                <w:lang w:val="ru-RU" w:bidi="bg-BG"/>
              </w:rPr>
            </w:pPr>
          </w:p>
          <w:p w14:paraId="09CD17D6" w14:textId="77777777" w:rsidR="00506FB0" w:rsidRPr="00610B1B" w:rsidRDefault="00506FB0" w:rsidP="00D32D6A">
            <w:pPr>
              <w:rPr>
                <w:rFonts w:ascii="Times New Roman" w:hAnsi="Times New Roman" w:cs="Times New Roman"/>
                <w:sz w:val="20"/>
                <w:szCs w:val="20"/>
                <w:lang w:val="ru-RU" w:bidi="bg-BG"/>
              </w:rPr>
            </w:pPr>
          </w:p>
          <w:p w14:paraId="0747F963" w14:textId="77777777" w:rsidR="00506FB0" w:rsidRPr="00610B1B" w:rsidRDefault="00506FB0" w:rsidP="00D32D6A">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Предотвратяване на хроничен стрес и смърт при китоподобните</w:t>
            </w:r>
          </w:p>
          <w:p w14:paraId="2DFC8D81" w14:textId="77777777" w:rsidR="008918E6" w:rsidRPr="00610B1B" w:rsidRDefault="008918E6" w:rsidP="00D32D6A">
            <w:pPr>
              <w:rPr>
                <w:rFonts w:ascii="Times New Roman" w:hAnsi="Times New Roman" w:cs="Times New Roman"/>
                <w:sz w:val="20"/>
                <w:szCs w:val="20"/>
                <w:lang w:val="bg-BG" w:bidi="bg-BG"/>
              </w:rPr>
            </w:pPr>
          </w:p>
          <w:p w14:paraId="7F4F7337" w14:textId="77777777" w:rsidR="008918E6" w:rsidRPr="00610B1B" w:rsidRDefault="008918E6" w:rsidP="00D32D6A">
            <w:pPr>
              <w:rPr>
                <w:rFonts w:ascii="Times New Roman" w:hAnsi="Times New Roman" w:cs="Times New Roman"/>
                <w:sz w:val="20"/>
                <w:szCs w:val="20"/>
                <w:lang w:val="bg-BG" w:bidi="bg-BG"/>
              </w:rPr>
            </w:pPr>
          </w:p>
          <w:p w14:paraId="563B2C54" w14:textId="77777777" w:rsidR="008918E6" w:rsidRPr="00610B1B" w:rsidRDefault="008918E6" w:rsidP="00D32D6A">
            <w:pPr>
              <w:rPr>
                <w:rFonts w:ascii="Times New Roman" w:hAnsi="Times New Roman" w:cs="Times New Roman"/>
                <w:sz w:val="20"/>
                <w:szCs w:val="20"/>
                <w:lang w:val="bg-BG" w:bidi="bg-BG"/>
              </w:rPr>
            </w:pPr>
          </w:p>
          <w:p w14:paraId="13B05B53" w14:textId="77777777" w:rsidR="009A6CF6" w:rsidRDefault="009A6CF6" w:rsidP="00D32D6A">
            <w:pPr>
              <w:rPr>
                <w:rFonts w:ascii="Times New Roman" w:hAnsi="Times New Roman" w:cs="Times New Roman"/>
                <w:sz w:val="20"/>
                <w:szCs w:val="20"/>
                <w:lang w:val="bg-BG" w:bidi="bg-BG"/>
              </w:rPr>
            </w:pPr>
          </w:p>
          <w:p w14:paraId="4C95B269" w14:textId="77777777" w:rsidR="009A6CF6" w:rsidRDefault="009A6CF6" w:rsidP="00D32D6A">
            <w:pPr>
              <w:rPr>
                <w:rFonts w:ascii="Times New Roman" w:hAnsi="Times New Roman" w:cs="Times New Roman"/>
                <w:sz w:val="20"/>
                <w:szCs w:val="20"/>
                <w:lang w:val="bg-BG" w:bidi="bg-BG"/>
              </w:rPr>
            </w:pPr>
          </w:p>
          <w:p w14:paraId="159CFF84" w14:textId="37E44E1E" w:rsidR="008918E6" w:rsidRPr="00610B1B" w:rsidRDefault="008918E6" w:rsidP="00D32D6A">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Проследяване на метеоролагичната обстановка и достоверни прогнози</w:t>
            </w:r>
          </w:p>
          <w:p w14:paraId="6C3436CA" w14:textId="77777777" w:rsidR="008918E6" w:rsidRPr="00610B1B" w:rsidRDefault="008918E6" w:rsidP="00D32D6A">
            <w:pPr>
              <w:rPr>
                <w:rFonts w:ascii="Times New Roman" w:hAnsi="Times New Roman" w:cs="Times New Roman"/>
                <w:sz w:val="20"/>
                <w:szCs w:val="20"/>
                <w:lang w:val="bg-BG" w:bidi="bg-BG"/>
              </w:rPr>
            </w:pPr>
          </w:p>
          <w:p w14:paraId="266D6489" w14:textId="77777777" w:rsidR="008918E6" w:rsidRDefault="008918E6" w:rsidP="00D32D6A">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Ограничаване на риска от неблагоприятни процеси в морската среда</w:t>
            </w:r>
          </w:p>
          <w:p w14:paraId="1B347AE7" w14:textId="77777777" w:rsidR="0006569B" w:rsidRDefault="0006569B" w:rsidP="00D32D6A">
            <w:pPr>
              <w:rPr>
                <w:rFonts w:ascii="Times New Roman" w:hAnsi="Times New Roman" w:cs="Times New Roman"/>
                <w:sz w:val="20"/>
                <w:szCs w:val="20"/>
                <w:lang w:val="bg-BG" w:bidi="bg-BG"/>
              </w:rPr>
            </w:pPr>
          </w:p>
          <w:p w14:paraId="78F3C702" w14:textId="77777777" w:rsidR="0006569B" w:rsidRDefault="0006569B" w:rsidP="00D32D6A">
            <w:pPr>
              <w:rPr>
                <w:rFonts w:ascii="Times New Roman" w:hAnsi="Times New Roman" w:cs="Times New Roman"/>
                <w:sz w:val="20"/>
                <w:szCs w:val="20"/>
                <w:lang w:val="bg-BG" w:bidi="bg-BG"/>
              </w:rPr>
            </w:pPr>
          </w:p>
          <w:p w14:paraId="24DFFB17" w14:textId="77777777" w:rsidR="0006569B" w:rsidRDefault="0006569B" w:rsidP="00D32D6A">
            <w:pPr>
              <w:rPr>
                <w:rFonts w:ascii="Times New Roman" w:hAnsi="Times New Roman" w:cs="Times New Roman"/>
                <w:sz w:val="20"/>
                <w:szCs w:val="20"/>
                <w:lang w:val="bg-BG" w:bidi="bg-BG"/>
              </w:rPr>
            </w:pPr>
          </w:p>
          <w:p w14:paraId="6F8974B3" w14:textId="56E938E6" w:rsidR="0006569B" w:rsidRPr="00610B1B" w:rsidRDefault="0006569B" w:rsidP="00D32D6A">
            <w:pPr>
              <w:rPr>
                <w:rFonts w:ascii="Times New Roman" w:hAnsi="Times New Roman" w:cs="Times New Roman"/>
                <w:sz w:val="20"/>
                <w:szCs w:val="20"/>
                <w:lang w:val="bg-BG"/>
              </w:rPr>
            </w:pPr>
          </w:p>
        </w:tc>
        <w:tc>
          <w:tcPr>
            <w:tcW w:w="1376" w:type="dxa"/>
            <w:vAlign w:val="center"/>
          </w:tcPr>
          <w:p w14:paraId="2BA785C9" w14:textId="77777777" w:rsidR="00C519AD" w:rsidRDefault="00C519AD" w:rsidP="00D32D6A">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2030</w:t>
            </w:r>
          </w:p>
          <w:p w14:paraId="481DF7A2" w14:textId="77777777" w:rsidR="00222641" w:rsidRDefault="00222641" w:rsidP="00D32D6A">
            <w:pPr>
              <w:jc w:val="center"/>
              <w:rPr>
                <w:rFonts w:ascii="Times New Roman" w:hAnsi="Times New Roman" w:cs="Times New Roman"/>
                <w:sz w:val="20"/>
                <w:szCs w:val="20"/>
                <w:lang w:val="bg-BG"/>
              </w:rPr>
            </w:pPr>
          </w:p>
          <w:p w14:paraId="0ECB1C40" w14:textId="77777777" w:rsidR="00222641" w:rsidRDefault="00222641" w:rsidP="00D32D6A">
            <w:pPr>
              <w:jc w:val="center"/>
              <w:rPr>
                <w:rFonts w:ascii="Times New Roman" w:hAnsi="Times New Roman" w:cs="Times New Roman"/>
                <w:sz w:val="20"/>
                <w:szCs w:val="20"/>
                <w:lang w:val="bg-BG"/>
              </w:rPr>
            </w:pPr>
          </w:p>
          <w:p w14:paraId="21C5EF71" w14:textId="77777777" w:rsidR="00222641" w:rsidRDefault="00222641" w:rsidP="00D32D6A">
            <w:pPr>
              <w:jc w:val="center"/>
              <w:rPr>
                <w:rFonts w:ascii="Times New Roman" w:hAnsi="Times New Roman" w:cs="Times New Roman"/>
                <w:sz w:val="20"/>
                <w:szCs w:val="20"/>
                <w:lang w:val="bg-BG"/>
              </w:rPr>
            </w:pPr>
          </w:p>
          <w:p w14:paraId="656217AC" w14:textId="77777777" w:rsidR="00222641" w:rsidRDefault="00222641" w:rsidP="00D32D6A">
            <w:pPr>
              <w:jc w:val="center"/>
              <w:rPr>
                <w:rFonts w:ascii="Times New Roman" w:hAnsi="Times New Roman" w:cs="Times New Roman"/>
                <w:sz w:val="20"/>
                <w:szCs w:val="20"/>
                <w:lang w:val="bg-BG"/>
              </w:rPr>
            </w:pPr>
          </w:p>
          <w:p w14:paraId="0D38102B" w14:textId="77777777" w:rsidR="00222641" w:rsidRDefault="00222641"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2030</w:t>
            </w:r>
          </w:p>
          <w:p w14:paraId="7510EEC1" w14:textId="77777777" w:rsidR="00222641" w:rsidRDefault="00222641" w:rsidP="00D32D6A">
            <w:pPr>
              <w:jc w:val="center"/>
              <w:rPr>
                <w:rFonts w:ascii="Times New Roman" w:hAnsi="Times New Roman" w:cs="Times New Roman"/>
                <w:sz w:val="20"/>
                <w:szCs w:val="20"/>
                <w:lang w:val="bg-BG"/>
              </w:rPr>
            </w:pPr>
          </w:p>
          <w:p w14:paraId="52541A02" w14:textId="77777777" w:rsidR="00222641" w:rsidRDefault="00222641" w:rsidP="00D32D6A">
            <w:pPr>
              <w:jc w:val="center"/>
              <w:rPr>
                <w:rFonts w:ascii="Times New Roman" w:hAnsi="Times New Roman" w:cs="Times New Roman"/>
                <w:sz w:val="20"/>
                <w:szCs w:val="20"/>
                <w:lang w:val="bg-BG"/>
              </w:rPr>
            </w:pPr>
          </w:p>
          <w:p w14:paraId="5E89C7D7" w14:textId="77777777" w:rsidR="00222641" w:rsidRDefault="00222641" w:rsidP="00D32D6A">
            <w:pPr>
              <w:jc w:val="center"/>
              <w:rPr>
                <w:rFonts w:ascii="Times New Roman" w:hAnsi="Times New Roman" w:cs="Times New Roman"/>
                <w:sz w:val="20"/>
                <w:szCs w:val="20"/>
                <w:lang w:val="bg-BG"/>
              </w:rPr>
            </w:pPr>
          </w:p>
          <w:p w14:paraId="050ACC41" w14:textId="77777777" w:rsidR="00222641" w:rsidRDefault="00222641" w:rsidP="00D32D6A">
            <w:pPr>
              <w:jc w:val="center"/>
              <w:rPr>
                <w:rFonts w:ascii="Times New Roman" w:hAnsi="Times New Roman" w:cs="Times New Roman"/>
                <w:sz w:val="20"/>
                <w:szCs w:val="20"/>
                <w:lang w:val="bg-BG"/>
              </w:rPr>
            </w:pPr>
          </w:p>
          <w:p w14:paraId="22039917" w14:textId="77777777" w:rsidR="00222641" w:rsidRDefault="00222641"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2030</w:t>
            </w:r>
          </w:p>
          <w:p w14:paraId="52ADC799" w14:textId="77777777" w:rsidR="00222641" w:rsidRDefault="00222641" w:rsidP="00D32D6A">
            <w:pPr>
              <w:jc w:val="center"/>
              <w:rPr>
                <w:rFonts w:ascii="Times New Roman" w:hAnsi="Times New Roman" w:cs="Times New Roman"/>
                <w:sz w:val="20"/>
                <w:szCs w:val="20"/>
                <w:lang w:val="bg-BG"/>
              </w:rPr>
            </w:pPr>
          </w:p>
          <w:p w14:paraId="2D046592" w14:textId="77777777" w:rsidR="00222641" w:rsidRDefault="00222641" w:rsidP="00D32D6A">
            <w:pPr>
              <w:jc w:val="center"/>
              <w:rPr>
                <w:rFonts w:ascii="Times New Roman" w:hAnsi="Times New Roman" w:cs="Times New Roman"/>
                <w:sz w:val="20"/>
                <w:szCs w:val="20"/>
                <w:lang w:val="bg-BG"/>
              </w:rPr>
            </w:pPr>
          </w:p>
          <w:p w14:paraId="71B8B616" w14:textId="77777777" w:rsidR="00222641" w:rsidRDefault="00222641" w:rsidP="00D32D6A">
            <w:pPr>
              <w:jc w:val="center"/>
              <w:rPr>
                <w:rFonts w:ascii="Times New Roman" w:hAnsi="Times New Roman" w:cs="Times New Roman"/>
                <w:sz w:val="20"/>
                <w:szCs w:val="20"/>
                <w:lang w:val="bg-BG"/>
              </w:rPr>
            </w:pPr>
          </w:p>
          <w:p w14:paraId="4D2E13B2" w14:textId="77777777" w:rsidR="00222641" w:rsidRDefault="00222641" w:rsidP="00D32D6A">
            <w:pPr>
              <w:jc w:val="center"/>
              <w:rPr>
                <w:rFonts w:ascii="Times New Roman" w:hAnsi="Times New Roman" w:cs="Times New Roman"/>
                <w:sz w:val="20"/>
                <w:szCs w:val="20"/>
                <w:lang w:val="bg-BG"/>
              </w:rPr>
            </w:pPr>
          </w:p>
          <w:p w14:paraId="7C7AA0E1" w14:textId="77777777" w:rsidR="00222641" w:rsidRDefault="00222641" w:rsidP="00D32D6A">
            <w:pPr>
              <w:jc w:val="center"/>
              <w:rPr>
                <w:rFonts w:ascii="Times New Roman" w:hAnsi="Times New Roman" w:cs="Times New Roman"/>
                <w:sz w:val="20"/>
                <w:szCs w:val="20"/>
                <w:lang w:val="bg-BG"/>
              </w:rPr>
            </w:pPr>
          </w:p>
          <w:p w14:paraId="2BC95420" w14:textId="77777777" w:rsidR="00222641" w:rsidRDefault="00222641" w:rsidP="00D32D6A">
            <w:pPr>
              <w:jc w:val="center"/>
              <w:rPr>
                <w:rFonts w:ascii="Times New Roman" w:hAnsi="Times New Roman" w:cs="Times New Roman"/>
                <w:sz w:val="20"/>
                <w:szCs w:val="20"/>
                <w:lang w:val="bg-BG"/>
              </w:rPr>
            </w:pPr>
          </w:p>
          <w:p w14:paraId="6993C699" w14:textId="77777777" w:rsidR="00222641" w:rsidRDefault="00222641"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2030</w:t>
            </w:r>
          </w:p>
          <w:p w14:paraId="49B97FBF" w14:textId="77777777" w:rsidR="00222641" w:rsidRDefault="00222641" w:rsidP="00D32D6A">
            <w:pPr>
              <w:jc w:val="center"/>
              <w:rPr>
                <w:rFonts w:ascii="Times New Roman" w:hAnsi="Times New Roman" w:cs="Times New Roman"/>
                <w:sz w:val="20"/>
                <w:szCs w:val="20"/>
                <w:lang w:val="bg-BG"/>
              </w:rPr>
            </w:pPr>
          </w:p>
          <w:p w14:paraId="0ECDBC0C" w14:textId="77777777" w:rsidR="00222641" w:rsidRDefault="00222641" w:rsidP="00D32D6A">
            <w:pPr>
              <w:jc w:val="center"/>
              <w:rPr>
                <w:rFonts w:ascii="Times New Roman" w:hAnsi="Times New Roman" w:cs="Times New Roman"/>
                <w:sz w:val="20"/>
                <w:szCs w:val="20"/>
                <w:lang w:val="bg-BG"/>
              </w:rPr>
            </w:pPr>
          </w:p>
          <w:p w14:paraId="55D259AB" w14:textId="77777777" w:rsidR="00222641" w:rsidRDefault="00222641" w:rsidP="00D32D6A">
            <w:pPr>
              <w:jc w:val="center"/>
              <w:rPr>
                <w:rFonts w:ascii="Times New Roman" w:hAnsi="Times New Roman" w:cs="Times New Roman"/>
                <w:sz w:val="20"/>
                <w:szCs w:val="20"/>
                <w:lang w:val="bg-BG"/>
              </w:rPr>
            </w:pPr>
          </w:p>
          <w:p w14:paraId="673EF7F5" w14:textId="77777777" w:rsidR="00222641" w:rsidRDefault="00222641" w:rsidP="00D32D6A">
            <w:pPr>
              <w:jc w:val="center"/>
              <w:rPr>
                <w:rFonts w:ascii="Times New Roman" w:hAnsi="Times New Roman" w:cs="Times New Roman"/>
                <w:sz w:val="20"/>
                <w:szCs w:val="20"/>
                <w:lang w:val="bg-BG"/>
              </w:rPr>
            </w:pPr>
          </w:p>
          <w:p w14:paraId="243BFE34" w14:textId="77777777" w:rsidR="00222641" w:rsidRDefault="00222641" w:rsidP="00D32D6A">
            <w:pPr>
              <w:jc w:val="center"/>
              <w:rPr>
                <w:rFonts w:ascii="Times New Roman" w:hAnsi="Times New Roman" w:cs="Times New Roman"/>
                <w:sz w:val="20"/>
                <w:szCs w:val="20"/>
                <w:lang w:val="bg-BG"/>
              </w:rPr>
            </w:pPr>
          </w:p>
          <w:p w14:paraId="5C1CC011" w14:textId="77777777" w:rsidR="00222641" w:rsidRDefault="00222641" w:rsidP="00D32D6A">
            <w:pPr>
              <w:jc w:val="center"/>
              <w:rPr>
                <w:rFonts w:ascii="Times New Roman" w:hAnsi="Times New Roman" w:cs="Times New Roman"/>
                <w:sz w:val="20"/>
                <w:szCs w:val="20"/>
                <w:lang w:val="bg-BG"/>
              </w:rPr>
            </w:pPr>
          </w:p>
          <w:p w14:paraId="000BD8D7" w14:textId="77777777" w:rsidR="00222641" w:rsidRDefault="00222641" w:rsidP="00D32D6A">
            <w:pPr>
              <w:jc w:val="center"/>
              <w:rPr>
                <w:rFonts w:ascii="Times New Roman" w:hAnsi="Times New Roman" w:cs="Times New Roman"/>
                <w:sz w:val="20"/>
                <w:szCs w:val="20"/>
                <w:lang w:val="bg-BG"/>
              </w:rPr>
            </w:pPr>
          </w:p>
          <w:p w14:paraId="3584038D" w14:textId="77777777" w:rsidR="00222641" w:rsidRDefault="00222641"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2030</w:t>
            </w:r>
          </w:p>
          <w:p w14:paraId="08A4EC0B" w14:textId="77777777" w:rsidR="00222641" w:rsidRDefault="00222641" w:rsidP="00D32D6A">
            <w:pPr>
              <w:jc w:val="center"/>
              <w:rPr>
                <w:rFonts w:ascii="Times New Roman" w:hAnsi="Times New Roman" w:cs="Times New Roman"/>
                <w:sz w:val="20"/>
                <w:szCs w:val="20"/>
                <w:lang w:val="bg-BG"/>
              </w:rPr>
            </w:pPr>
          </w:p>
          <w:p w14:paraId="0A5822DF" w14:textId="77777777" w:rsidR="00222641" w:rsidRDefault="00222641" w:rsidP="00D32D6A">
            <w:pPr>
              <w:jc w:val="center"/>
              <w:rPr>
                <w:rFonts w:ascii="Times New Roman" w:hAnsi="Times New Roman" w:cs="Times New Roman"/>
                <w:sz w:val="20"/>
                <w:szCs w:val="20"/>
                <w:lang w:val="bg-BG"/>
              </w:rPr>
            </w:pPr>
          </w:p>
          <w:p w14:paraId="24970026" w14:textId="77777777" w:rsidR="00222641" w:rsidRDefault="00222641" w:rsidP="00D32D6A">
            <w:pPr>
              <w:jc w:val="center"/>
              <w:rPr>
                <w:rFonts w:ascii="Times New Roman" w:hAnsi="Times New Roman" w:cs="Times New Roman"/>
                <w:sz w:val="20"/>
                <w:szCs w:val="20"/>
                <w:lang w:val="bg-BG"/>
              </w:rPr>
            </w:pPr>
          </w:p>
          <w:p w14:paraId="5CA606BE" w14:textId="77777777" w:rsidR="00222641" w:rsidRDefault="00222641" w:rsidP="00D32D6A">
            <w:pPr>
              <w:jc w:val="center"/>
              <w:rPr>
                <w:rFonts w:ascii="Times New Roman" w:hAnsi="Times New Roman" w:cs="Times New Roman"/>
                <w:sz w:val="20"/>
                <w:szCs w:val="20"/>
                <w:lang w:val="bg-BG"/>
              </w:rPr>
            </w:pPr>
          </w:p>
          <w:p w14:paraId="10113813" w14:textId="77777777" w:rsidR="00222641" w:rsidRDefault="00222641" w:rsidP="00D32D6A">
            <w:pPr>
              <w:jc w:val="center"/>
              <w:rPr>
                <w:rFonts w:ascii="Times New Roman" w:hAnsi="Times New Roman" w:cs="Times New Roman"/>
                <w:sz w:val="20"/>
                <w:szCs w:val="20"/>
                <w:lang w:val="bg-BG"/>
              </w:rPr>
            </w:pPr>
          </w:p>
          <w:p w14:paraId="42E93A74" w14:textId="77777777" w:rsidR="00222641" w:rsidRDefault="00222641" w:rsidP="00D32D6A">
            <w:pPr>
              <w:jc w:val="center"/>
              <w:rPr>
                <w:rFonts w:ascii="Times New Roman" w:hAnsi="Times New Roman" w:cs="Times New Roman"/>
                <w:sz w:val="20"/>
                <w:szCs w:val="20"/>
                <w:lang w:val="bg-BG"/>
              </w:rPr>
            </w:pPr>
          </w:p>
          <w:p w14:paraId="6309BBF8" w14:textId="77777777" w:rsidR="00222641" w:rsidRDefault="00222641" w:rsidP="00D32D6A">
            <w:pPr>
              <w:jc w:val="center"/>
              <w:rPr>
                <w:rFonts w:ascii="Times New Roman" w:hAnsi="Times New Roman" w:cs="Times New Roman"/>
                <w:sz w:val="20"/>
                <w:szCs w:val="20"/>
                <w:lang w:val="bg-BG"/>
              </w:rPr>
            </w:pPr>
          </w:p>
          <w:p w14:paraId="17995C2B" w14:textId="77777777" w:rsidR="00222641" w:rsidRDefault="00222641"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2030</w:t>
            </w:r>
          </w:p>
          <w:p w14:paraId="3C119DA6" w14:textId="77777777" w:rsidR="00EB1BCB" w:rsidRDefault="00EB1BCB" w:rsidP="00D32D6A">
            <w:pPr>
              <w:jc w:val="center"/>
              <w:rPr>
                <w:rFonts w:ascii="Times New Roman" w:hAnsi="Times New Roman" w:cs="Times New Roman"/>
                <w:sz w:val="20"/>
                <w:szCs w:val="20"/>
                <w:lang w:val="bg-BG"/>
              </w:rPr>
            </w:pPr>
          </w:p>
          <w:p w14:paraId="5CDB8E3C" w14:textId="77777777" w:rsidR="00EB1BCB" w:rsidRDefault="00EB1BCB" w:rsidP="00D32D6A">
            <w:pPr>
              <w:jc w:val="center"/>
              <w:rPr>
                <w:rFonts w:ascii="Times New Roman" w:hAnsi="Times New Roman" w:cs="Times New Roman"/>
                <w:sz w:val="20"/>
                <w:szCs w:val="20"/>
                <w:lang w:val="bg-BG"/>
              </w:rPr>
            </w:pPr>
          </w:p>
          <w:p w14:paraId="6243A3AD" w14:textId="77777777" w:rsidR="00EB1BCB" w:rsidRDefault="00EB1BCB" w:rsidP="00D32D6A">
            <w:pPr>
              <w:jc w:val="center"/>
              <w:rPr>
                <w:rFonts w:ascii="Times New Roman" w:hAnsi="Times New Roman" w:cs="Times New Roman"/>
                <w:sz w:val="20"/>
                <w:szCs w:val="20"/>
                <w:lang w:val="bg-BG"/>
              </w:rPr>
            </w:pPr>
          </w:p>
          <w:p w14:paraId="3307F3A7" w14:textId="77777777" w:rsidR="00EB1BCB" w:rsidRDefault="00EB1BCB" w:rsidP="00D32D6A">
            <w:pPr>
              <w:jc w:val="center"/>
              <w:rPr>
                <w:rFonts w:ascii="Times New Roman" w:hAnsi="Times New Roman" w:cs="Times New Roman"/>
                <w:sz w:val="20"/>
                <w:szCs w:val="20"/>
                <w:lang w:val="bg-BG"/>
              </w:rPr>
            </w:pPr>
          </w:p>
          <w:p w14:paraId="52E741FC" w14:textId="77777777" w:rsidR="00EB1BCB" w:rsidRDefault="00EB1BCB" w:rsidP="00D32D6A">
            <w:pPr>
              <w:jc w:val="center"/>
              <w:rPr>
                <w:rFonts w:ascii="Times New Roman" w:hAnsi="Times New Roman" w:cs="Times New Roman"/>
                <w:sz w:val="20"/>
                <w:szCs w:val="20"/>
                <w:lang w:val="bg-BG"/>
              </w:rPr>
            </w:pPr>
          </w:p>
          <w:p w14:paraId="739142A2" w14:textId="77777777" w:rsidR="00EB1BCB" w:rsidRDefault="00EB1BCB" w:rsidP="00D32D6A">
            <w:pPr>
              <w:jc w:val="center"/>
              <w:rPr>
                <w:rFonts w:ascii="Times New Roman" w:hAnsi="Times New Roman" w:cs="Times New Roman"/>
                <w:sz w:val="20"/>
                <w:szCs w:val="20"/>
                <w:lang w:val="bg-BG"/>
              </w:rPr>
            </w:pPr>
          </w:p>
          <w:p w14:paraId="1792F0A8" w14:textId="77777777" w:rsidR="00EB1BCB" w:rsidRDefault="00EB1BCB" w:rsidP="00D32D6A">
            <w:pPr>
              <w:jc w:val="center"/>
              <w:rPr>
                <w:rFonts w:ascii="Times New Roman" w:hAnsi="Times New Roman" w:cs="Times New Roman"/>
                <w:sz w:val="20"/>
                <w:szCs w:val="20"/>
                <w:lang w:val="bg-BG"/>
              </w:rPr>
            </w:pPr>
          </w:p>
          <w:p w14:paraId="259FB22B" w14:textId="77777777" w:rsidR="00EB1BCB" w:rsidRDefault="00EB1BCB" w:rsidP="00D32D6A">
            <w:pPr>
              <w:jc w:val="center"/>
              <w:rPr>
                <w:rFonts w:ascii="Times New Roman" w:hAnsi="Times New Roman" w:cs="Times New Roman"/>
                <w:sz w:val="20"/>
                <w:szCs w:val="20"/>
                <w:lang w:val="bg-BG"/>
              </w:rPr>
            </w:pPr>
          </w:p>
          <w:p w14:paraId="3DE702EC" w14:textId="77777777" w:rsidR="00EB1BCB" w:rsidRDefault="00EB1BCB" w:rsidP="00D32D6A">
            <w:pPr>
              <w:jc w:val="center"/>
              <w:rPr>
                <w:rFonts w:ascii="Times New Roman" w:hAnsi="Times New Roman" w:cs="Times New Roman"/>
                <w:sz w:val="20"/>
                <w:szCs w:val="20"/>
                <w:lang w:val="bg-BG"/>
              </w:rPr>
            </w:pPr>
          </w:p>
          <w:p w14:paraId="4849518C" w14:textId="77777777" w:rsidR="00EB1BCB" w:rsidRDefault="00EB1BCB" w:rsidP="00D32D6A">
            <w:pPr>
              <w:jc w:val="center"/>
              <w:rPr>
                <w:rFonts w:ascii="Times New Roman" w:hAnsi="Times New Roman" w:cs="Times New Roman"/>
                <w:sz w:val="20"/>
                <w:szCs w:val="20"/>
                <w:lang w:val="bg-BG"/>
              </w:rPr>
            </w:pPr>
          </w:p>
          <w:p w14:paraId="534C84C0" w14:textId="77777777" w:rsidR="00EB1BCB" w:rsidRDefault="00EB1BCB" w:rsidP="00D32D6A">
            <w:pPr>
              <w:jc w:val="center"/>
              <w:rPr>
                <w:rFonts w:ascii="Times New Roman" w:hAnsi="Times New Roman" w:cs="Times New Roman"/>
                <w:sz w:val="20"/>
                <w:szCs w:val="20"/>
                <w:lang w:val="bg-BG"/>
              </w:rPr>
            </w:pPr>
          </w:p>
          <w:p w14:paraId="06024970" w14:textId="77777777" w:rsidR="00EB1BCB" w:rsidRDefault="00EB1BCB" w:rsidP="00D32D6A">
            <w:pPr>
              <w:jc w:val="center"/>
              <w:rPr>
                <w:rFonts w:ascii="Times New Roman" w:hAnsi="Times New Roman" w:cs="Times New Roman"/>
                <w:sz w:val="20"/>
                <w:szCs w:val="20"/>
                <w:lang w:val="bg-BG"/>
              </w:rPr>
            </w:pPr>
          </w:p>
          <w:p w14:paraId="3179A9C3" w14:textId="77777777" w:rsidR="00EB1BCB" w:rsidRDefault="00EB1BCB" w:rsidP="00D32D6A">
            <w:pPr>
              <w:jc w:val="center"/>
              <w:rPr>
                <w:rFonts w:ascii="Times New Roman" w:hAnsi="Times New Roman" w:cs="Times New Roman"/>
                <w:sz w:val="20"/>
                <w:szCs w:val="20"/>
                <w:lang w:val="bg-BG"/>
              </w:rPr>
            </w:pPr>
          </w:p>
          <w:p w14:paraId="400E97CD" w14:textId="77777777" w:rsidR="00EB1BCB" w:rsidRDefault="00EB1BCB" w:rsidP="00D32D6A">
            <w:pPr>
              <w:jc w:val="center"/>
              <w:rPr>
                <w:rFonts w:ascii="Times New Roman" w:hAnsi="Times New Roman" w:cs="Times New Roman"/>
                <w:sz w:val="20"/>
                <w:szCs w:val="20"/>
                <w:lang w:val="bg-BG"/>
              </w:rPr>
            </w:pPr>
          </w:p>
          <w:p w14:paraId="6E659B4F" w14:textId="77777777" w:rsidR="00EB1BCB" w:rsidRDefault="00EB1BCB" w:rsidP="00D32D6A">
            <w:pPr>
              <w:jc w:val="center"/>
              <w:rPr>
                <w:rFonts w:ascii="Times New Roman" w:hAnsi="Times New Roman" w:cs="Times New Roman"/>
                <w:sz w:val="20"/>
                <w:szCs w:val="20"/>
                <w:lang w:val="bg-BG"/>
              </w:rPr>
            </w:pPr>
          </w:p>
          <w:p w14:paraId="53F22E42" w14:textId="77777777" w:rsidR="00EB1BCB" w:rsidRDefault="00EB1BCB" w:rsidP="00D32D6A">
            <w:pPr>
              <w:jc w:val="center"/>
              <w:rPr>
                <w:rFonts w:ascii="Times New Roman" w:hAnsi="Times New Roman" w:cs="Times New Roman"/>
                <w:sz w:val="20"/>
                <w:szCs w:val="20"/>
                <w:lang w:val="bg-BG"/>
              </w:rPr>
            </w:pPr>
          </w:p>
          <w:p w14:paraId="25B75FC6" w14:textId="77777777" w:rsidR="00EB1BCB" w:rsidRDefault="00EB1BCB" w:rsidP="00D32D6A">
            <w:pPr>
              <w:jc w:val="center"/>
              <w:rPr>
                <w:rFonts w:ascii="Times New Roman" w:hAnsi="Times New Roman" w:cs="Times New Roman"/>
                <w:sz w:val="20"/>
                <w:szCs w:val="20"/>
                <w:lang w:val="bg-BG"/>
              </w:rPr>
            </w:pPr>
          </w:p>
          <w:p w14:paraId="7714D83D" w14:textId="77777777" w:rsidR="00EB1BCB" w:rsidRDefault="00EB1BCB" w:rsidP="00D32D6A">
            <w:pPr>
              <w:jc w:val="center"/>
              <w:rPr>
                <w:rFonts w:ascii="Times New Roman" w:hAnsi="Times New Roman" w:cs="Times New Roman"/>
                <w:sz w:val="20"/>
                <w:szCs w:val="20"/>
                <w:lang w:val="bg-BG"/>
              </w:rPr>
            </w:pPr>
          </w:p>
          <w:p w14:paraId="13C3E14F" w14:textId="77777777" w:rsidR="00EB1BCB" w:rsidRDefault="00EB1BCB" w:rsidP="00D32D6A">
            <w:pPr>
              <w:jc w:val="center"/>
              <w:rPr>
                <w:rFonts w:ascii="Times New Roman" w:hAnsi="Times New Roman" w:cs="Times New Roman"/>
                <w:sz w:val="20"/>
                <w:szCs w:val="20"/>
                <w:lang w:val="bg-BG"/>
              </w:rPr>
            </w:pPr>
          </w:p>
          <w:p w14:paraId="4A332BAD" w14:textId="77777777" w:rsidR="00EB1BCB" w:rsidRDefault="00EB1BCB" w:rsidP="00D32D6A">
            <w:pPr>
              <w:jc w:val="center"/>
              <w:rPr>
                <w:rFonts w:ascii="Times New Roman" w:hAnsi="Times New Roman" w:cs="Times New Roman"/>
                <w:sz w:val="20"/>
                <w:szCs w:val="20"/>
                <w:lang w:val="bg-BG"/>
              </w:rPr>
            </w:pPr>
          </w:p>
          <w:p w14:paraId="64F08238" w14:textId="77777777" w:rsidR="00EB1BCB" w:rsidRDefault="00EB1BCB" w:rsidP="00D32D6A">
            <w:pPr>
              <w:jc w:val="center"/>
              <w:rPr>
                <w:rFonts w:ascii="Times New Roman" w:hAnsi="Times New Roman" w:cs="Times New Roman"/>
                <w:sz w:val="20"/>
                <w:szCs w:val="20"/>
                <w:lang w:val="bg-BG"/>
              </w:rPr>
            </w:pPr>
          </w:p>
          <w:p w14:paraId="7259711B" w14:textId="77777777" w:rsidR="00EB1BCB" w:rsidRDefault="00EB1BCB" w:rsidP="00D32D6A">
            <w:pPr>
              <w:jc w:val="center"/>
              <w:rPr>
                <w:rFonts w:ascii="Times New Roman" w:hAnsi="Times New Roman" w:cs="Times New Roman"/>
                <w:sz w:val="20"/>
                <w:szCs w:val="20"/>
                <w:lang w:val="bg-BG"/>
              </w:rPr>
            </w:pPr>
          </w:p>
          <w:p w14:paraId="65A1F644" w14:textId="77777777" w:rsidR="00EB1BCB" w:rsidRDefault="00EB1BCB" w:rsidP="00D32D6A">
            <w:pPr>
              <w:jc w:val="center"/>
              <w:rPr>
                <w:rFonts w:ascii="Times New Roman" w:hAnsi="Times New Roman" w:cs="Times New Roman"/>
                <w:sz w:val="20"/>
                <w:szCs w:val="20"/>
                <w:lang w:val="bg-BG"/>
              </w:rPr>
            </w:pPr>
          </w:p>
          <w:p w14:paraId="7A31AA67" w14:textId="77777777" w:rsidR="00EB1BCB" w:rsidRDefault="00EB1BCB" w:rsidP="00D32D6A">
            <w:pPr>
              <w:jc w:val="center"/>
              <w:rPr>
                <w:rFonts w:ascii="Times New Roman" w:hAnsi="Times New Roman" w:cs="Times New Roman"/>
                <w:sz w:val="20"/>
                <w:szCs w:val="20"/>
                <w:lang w:val="bg-BG"/>
              </w:rPr>
            </w:pPr>
          </w:p>
          <w:p w14:paraId="0B2F074B" w14:textId="77777777" w:rsidR="00EB1BCB" w:rsidRDefault="00EB1BCB" w:rsidP="00D32D6A">
            <w:pPr>
              <w:jc w:val="center"/>
              <w:rPr>
                <w:rFonts w:ascii="Times New Roman" w:hAnsi="Times New Roman" w:cs="Times New Roman"/>
                <w:sz w:val="20"/>
                <w:szCs w:val="20"/>
                <w:lang w:val="bg-BG"/>
              </w:rPr>
            </w:pPr>
          </w:p>
          <w:p w14:paraId="50534084" w14:textId="77777777" w:rsidR="00EB1BCB" w:rsidRDefault="00EB1BCB" w:rsidP="00D32D6A">
            <w:pPr>
              <w:jc w:val="center"/>
              <w:rPr>
                <w:rFonts w:ascii="Times New Roman" w:hAnsi="Times New Roman" w:cs="Times New Roman"/>
                <w:sz w:val="20"/>
                <w:szCs w:val="20"/>
                <w:lang w:val="bg-BG"/>
              </w:rPr>
            </w:pPr>
          </w:p>
          <w:p w14:paraId="19C8EA70" w14:textId="77777777" w:rsidR="00EB1BCB" w:rsidRDefault="00EB1BCB" w:rsidP="00D32D6A">
            <w:pPr>
              <w:jc w:val="center"/>
              <w:rPr>
                <w:rFonts w:ascii="Times New Roman" w:hAnsi="Times New Roman" w:cs="Times New Roman"/>
                <w:sz w:val="20"/>
                <w:szCs w:val="20"/>
                <w:lang w:val="bg-BG"/>
              </w:rPr>
            </w:pPr>
          </w:p>
          <w:p w14:paraId="2B872F03" w14:textId="77777777" w:rsidR="00EB1BCB" w:rsidRDefault="00EB1BCB" w:rsidP="00D32D6A">
            <w:pPr>
              <w:jc w:val="center"/>
              <w:rPr>
                <w:rFonts w:ascii="Times New Roman" w:hAnsi="Times New Roman" w:cs="Times New Roman"/>
                <w:sz w:val="20"/>
                <w:szCs w:val="20"/>
                <w:lang w:val="bg-BG"/>
              </w:rPr>
            </w:pPr>
          </w:p>
          <w:p w14:paraId="447EA45B" w14:textId="77777777" w:rsidR="00EB1BCB" w:rsidRDefault="00EB1BCB" w:rsidP="00D32D6A">
            <w:pPr>
              <w:jc w:val="center"/>
              <w:rPr>
                <w:rFonts w:ascii="Times New Roman" w:hAnsi="Times New Roman" w:cs="Times New Roman"/>
                <w:sz w:val="20"/>
                <w:szCs w:val="20"/>
                <w:lang w:val="bg-BG"/>
              </w:rPr>
            </w:pPr>
          </w:p>
          <w:p w14:paraId="1E7C9951" w14:textId="77777777" w:rsidR="00EB1BCB" w:rsidRDefault="00EB1BCB" w:rsidP="00D32D6A">
            <w:pPr>
              <w:jc w:val="center"/>
              <w:rPr>
                <w:rFonts w:ascii="Times New Roman" w:hAnsi="Times New Roman" w:cs="Times New Roman"/>
                <w:sz w:val="20"/>
                <w:szCs w:val="20"/>
                <w:lang w:val="bg-BG"/>
              </w:rPr>
            </w:pPr>
          </w:p>
          <w:p w14:paraId="6F3DE05C" w14:textId="77777777" w:rsidR="00EB1BCB" w:rsidRDefault="00EB1BCB" w:rsidP="00D32D6A">
            <w:pPr>
              <w:jc w:val="center"/>
              <w:rPr>
                <w:rFonts w:ascii="Times New Roman" w:hAnsi="Times New Roman" w:cs="Times New Roman"/>
                <w:sz w:val="20"/>
                <w:szCs w:val="20"/>
                <w:lang w:val="bg-BG"/>
              </w:rPr>
            </w:pPr>
          </w:p>
          <w:p w14:paraId="394837E6" w14:textId="77777777" w:rsidR="00EB1BCB" w:rsidRDefault="00EB1BCB" w:rsidP="00D32D6A">
            <w:pPr>
              <w:jc w:val="center"/>
              <w:rPr>
                <w:rFonts w:ascii="Times New Roman" w:hAnsi="Times New Roman" w:cs="Times New Roman"/>
                <w:sz w:val="20"/>
                <w:szCs w:val="20"/>
                <w:lang w:val="bg-BG"/>
              </w:rPr>
            </w:pPr>
          </w:p>
          <w:p w14:paraId="54033357" w14:textId="77777777" w:rsidR="00EB1BCB" w:rsidRDefault="00EB1BCB"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2024</w:t>
            </w:r>
          </w:p>
          <w:p w14:paraId="6401F5BC" w14:textId="77777777" w:rsidR="00EB1BCB" w:rsidRDefault="00EB1BCB" w:rsidP="00D32D6A">
            <w:pPr>
              <w:jc w:val="center"/>
              <w:rPr>
                <w:rFonts w:ascii="Times New Roman" w:hAnsi="Times New Roman" w:cs="Times New Roman"/>
                <w:sz w:val="20"/>
                <w:szCs w:val="20"/>
                <w:lang w:val="bg-BG"/>
              </w:rPr>
            </w:pPr>
          </w:p>
          <w:p w14:paraId="6B52A1A0" w14:textId="77777777" w:rsidR="00EB1BCB" w:rsidRDefault="00EB1BCB" w:rsidP="00D32D6A">
            <w:pPr>
              <w:jc w:val="center"/>
              <w:rPr>
                <w:rFonts w:ascii="Times New Roman" w:hAnsi="Times New Roman" w:cs="Times New Roman"/>
                <w:sz w:val="20"/>
                <w:szCs w:val="20"/>
                <w:lang w:val="bg-BG"/>
              </w:rPr>
            </w:pPr>
          </w:p>
          <w:p w14:paraId="7B65F40A" w14:textId="77777777" w:rsidR="00EB1BCB" w:rsidRDefault="00EB1BCB" w:rsidP="00D32D6A">
            <w:pPr>
              <w:jc w:val="center"/>
              <w:rPr>
                <w:rFonts w:ascii="Times New Roman" w:hAnsi="Times New Roman" w:cs="Times New Roman"/>
                <w:sz w:val="20"/>
                <w:szCs w:val="20"/>
                <w:lang w:val="bg-BG"/>
              </w:rPr>
            </w:pPr>
          </w:p>
          <w:p w14:paraId="724D6C52" w14:textId="77777777" w:rsidR="00EB1BCB" w:rsidRDefault="00EB1BCB" w:rsidP="00D32D6A">
            <w:pPr>
              <w:jc w:val="center"/>
              <w:rPr>
                <w:rFonts w:ascii="Times New Roman" w:hAnsi="Times New Roman" w:cs="Times New Roman"/>
                <w:sz w:val="20"/>
                <w:szCs w:val="20"/>
                <w:lang w:val="bg-BG"/>
              </w:rPr>
            </w:pPr>
          </w:p>
          <w:p w14:paraId="73AEDD7C" w14:textId="77777777" w:rsidR="00EB1BCB" w:rsidRDefault="00EB1BCB" w:rsidP="00D32D6A">
            <w:pPr>
              <w:jc w:val="center"/>
              <w:rPr>
                <w:rFonts w:ascii="Times New Roman" w:hAnsi="Times New Roman" w:cs="Times New Roman"/>
                <w:sz w:val="20"/>
                <w:szCs w:val="20"/>
                <w:lang w:val="bg-BG"/>
              </w:rPr>
            </w:pPr>
          </w:p>
          <w:p w14:paraId="04EAF089" w14:textId="77777777" w:rsidR="00EB1BCB" w:rsidRDefault="00EB1BCB" w:rsidP="00D32D6A">
            <w:pPr>
              <w:jc w:val="center"/>
              <w:rPr>
                <w:rFonts w:ascii="Times New Roman" w:hAnsi="Times New Roman" w:cs="Times New Roman"/>
                <w:sz w:val="20"/>
                <w:szCs w:val="20"/>
                <w:lang w:val="bg-BG"/>
              </w:rPr>
            </w:pPr>
          </w:p>
          <w:p w14:paraId="4C12C7C4" w14:textId="77777777" w:rsidR="00EB1BCB" w:rsidRDefault="00EB1BCB" w:rsidP="00D32D6A">
            <w:pPr>
              <w:jc w:val="center"/>
              <w:rPr>
                <w:rFonts w:ascii="Times New Roman" w:hAnsi="Times New Roman" w:cs="Times New Roman"/>
                <w:sz w:val="20"/>
                <w:szCs w:val="20"/>
                <w:lang w:val="bg-BG"/>
              </w:rPr>
            </w:pPr>
          </w:p>
          <w:p w14:paraId="5DBE1206" w14:textId="77777777" w:rsidR="00EB1BCB" w:rsidRDefault="00EB1BCB" w:rsidP="00D32D6A">
            <w:pPr>
              <w:jc w:val="center"/>
              <w:rPr>
                <w:rFonts w:ascii="Times New Roman" w:hAnsi="Times New Roman" w:cs="Times New Roman"/>
                <w:sz w:val="20"/>
                <w:szCs w:val="20"/>
                <w:lang w:val="bg-BG"/>
              </w:rPr>
            </w:pPr>
          </w:p>
          <w:p w14:paraId="07B63B3E" w14:textId="77777777" w:rsidR="00EB1BCB" w:rsidRDefault="00EB1BCB" w:rsidP="00D32D6A">
            <w:pPr>
              <w:jc w:val="center"/>
              <w:rPr>
                <w:rFonts w:ascii="Times New Roman" w:hAnsi="Times New Roman" w:cs="Times New Roman"/>
                <w:sz w:val="20"/>
                <w:szCs w:val="20"/>
                <w:lang w:val="bg-BG"/>
              </w:rPr>
            </w:pPr>
          </w:p>
          <w:p w14:paraId="04DC2966" w14:textId="6EB09C44" w:rsidR="00EB1BCB" w:rsidRDefault="001B06F9"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постоянен</w:t>
            </w:r>
          </w:p>
          <w:p w14:paraId="66DD5423" w14:textId="77777777" w:rsidR="00EB1BCB" w:rsidRDefault="00EB1BCB" w:rsidP="00D32D6A">
            <w:pPr>
              <w:jc w:val="center"/>
              <w:rPr>
                <w:rFonts w:ascii="Times New Roman" w:hAnsi="Times New Roman" w:cs="Times New Roman"/>
                <w:sz w:val="20"/>
                <w:szCs w:val="20"/>
                <w:lang w:val="bg-BG"/>
              </w:rPr>
            </w:pPr>
          </w:p>
          <w:p w14:paraId="46F6B097" w14:textId="77777777" w:rsidR="00EB1BCB" w:rsidRDefault="00EB1BCB" w:rsidP="00D32D6A">
            <w:pPr>
              <w:jc w:val="center"/>
              <w:rPr>
                <w:rFonts w:ascii="Times New Roman" w:hAnsi="Times New Roman" w:cs="Times New Roman"/>
                <w:sz w:val="20"/>
                <w:szCs w:val="20"/>
                <w:lang w:val="bg-BG"/>
              </w:rPr>
            </w:pPr>
          </w:p>
          <w:p w14:paraId="5DE8717D" w14:textId="77777777" w:rsidR="00EB1BCB" w:rsidRDefault="00EB1BCB" w:rsidP="00D32D6A">
            <w:pPr>
              <w:jc w:val="center"/>
              <w:rPr>
                <w:rFonts w:ascii="Times New Roman" w:hAnsi="Times New Roman" w:cs="Times New Roman"/>
                <w:sz w:val="20"/>
                <w:szCs w:val="20"/>
                <w:lang w:val="bg-BG"/>
              </w:rPr>
            </w:pPr>
          </w:p>
          <w:p w14:paraId="6DE1410A" w14:textId="77777777" w:rsidR="00EB1BCB" w:rsidRDefault="00EB1BCB" w:rsidP="00D32D6A">
            <w:pPr>
              <w:jc w:val="center"/>
              <w:rPr>
                <w:rFonts w:ascii="Times New Roman" w:hAnsi="Times New Roman" w:cs="Times New Roman"/>
                <w:sz w:val="20"/>
                <w:szCs w:val="20"/>
                <w:lang w:val="bg-BG"/>
              </w:rPr>
            </w:pPr>
          </w:p>
          <w:p w14:paraId="6AB0D076" w14:textId="77777777" w:rsidR="00EB1BCB" w:rsidRDefault="00EB1BCB"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2027</w:t>
            </w:r>
          </w:p>
          <w:p w14:paraId="4A75242C" w14:textId="77777777" w:rsidR="00EB1BCB" w:rsidRDefault="00EB1BCB" w:rsidP="00D32D6A">
            <w:pPr>
              <w:jc w:val="center"/>
              <w:rPr>
                <w:rFonts w:ascii="Times New Roman" w:hAnsi="Times New Roman" w:cs="Times New Roman"/>
                <w:sz w:val="20"/>
                <w:szCs w:val="20"/>
                <w:lang w:val="bg-BG"/>
              </w:rPr>
            </w:pPr>
          </w:p>
          <w:p w14:paraId="0F265B67" w14:textId="77777777" w:rsidR="00EB1BCB" w:rsidRDefault="00EB1BCB" w:rsidP="00D32D6A">
            <w:pPr>
              <w:jc w:val="center"/>
              <w:rPr>
                <w:rFonts w:ascii="Times New Roman" w:hAnsi="Times New Roman" w:cs="Times New Roman"/>
                <w:sz w:val="20"/>
                <w:szCs w:val="20"/>
                <w:lang w:val="bg-BG"/>
              </w:rPr>
            </w:pPr>
          </w:p>
          <w:p w14:paraId="117D8930" w14:textId="77777777" w:rsidR="00EB1BCB" w:rsidRDefault="00EB1BCB" w:rsidP="00D32D6A">
            <w:pPr>
              <w:jc w:val="center"/>
              <w:rPr>
                <w:rFonts w:ascii="Times New Roman" w:hAnsi="Times New Roman" w:cs="Times New Roman"/>
                <w:sz w:val="20"/>
                <w:szCs w:val="20"/>
                <w:lang w:val="bg-BG"/>
              </w:rPr>
            </w:pPr>
          </w:p>
          <w:p w14:paraId="6BCDF165" w14:textId="77777777" w:rsidR="00EB1BCB" w:rsidRDefault="00EB1BCB" w:rsidP="00D32D6A">
            <w:pPr>
              <w:jc w:val="center"/>
              <w:rPr>
                <w:rFonts w:ascii="Times New Roman" w:hAnsi="Times New Roman" w:cs="Times New Roman"/>
                <w:sz w:val="20"/>
                <w:szCs w:val="20"/>
                <w:lang w:val="bg-BG"/>
              </w:rPr>
            </w:pPr>
          </w:p>
          <w:p w14:paraId="4C01A80B" w14:textId="77777777" w:rsidR="00EB1BCB" w:rsidRDefault="00EB1BCB" w:rsidP="00D32D6A">
            <w:pPr>
              <w:jc w:val="center"/>
              <w:rPr>
                <w:rFonts w:ascii="Times New Roman" w:hAnsi="Times New Roman" w:cs="Times New Roman"/>
                <w:sz w:val="20"/>
                <w:szCs w:val="20"/>
                <w:lang w:val="bg-BG"/>
              </w:rPr>
            </w:pPr>
          </w:p>
          <w:p w14:paraId="57E9DCEA" w14:textId="77777777" w:rsidR="00EB1BCB" w:rsidRDefault="00EB1BCB" w:rsidP="00D32D6A">
            <w:pPr>
              <w:jc w:val="center"/>
              <w:rPr>
                <w:rFonts w:ascii="Times New Roman" w:hAnsi="Times New Roman" w:cs="Times New Roman"/>
                <w:sz w:val="20"/>
                <w:szCs w:val="20"/>
                <w:lang w:val="bg-BG"/>
              </w:rPr>
            </w:pPr>
          </w:p>
          <w:p w14:paraId="13E9A858" w14:textId="77777777" w:rsidR="00EB1BCB" w:rsidRDefault="00EB1BCB"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2026</w:t>
            </w:r>
          </w:p>
          <w:p w14:paraId="53E65D00" w14:textId="77777777" w:rsidR="00EB1BCB" w:rsidRDefault="00EB1BCB" w:rsidP="00D32D6A">
            <w:pPr>
              <w:jc w:val="center"/>
              <w:rPr>
                <w:rFonts w:ascii="Times New Roman" w:hAnsi="Times New Roman" w:cs="Times New Roman"/>
                <w:sz w:val="20"/>
                <w:szCs w:val="20"/>
                <w:lang w:val="bg-BG"/>
              </w:rPr>
            </w:pPr>
          </w:p>
          <w:p w14:paraId="7FFFD602" w14:textId="77777777" w:rsidR="00EB1BCB" w:rsidRDefault="00EB1BCB" w:rsidP="00D32D6A">
            <w:pPr>
              <w:jc w:val="center"/>
              <w:rPr>
                <w:rFonts w:ascii="Times New Roman" w:hAnsi="Times New Roman" w:cs="Times New Roman"/>
                <w:sz w:val="20"/>
                <w:szCs w:val="20"/>
                <w:lang w:val="bg-BG"/>
              </w:rPr>
            </w:pPr>
          </w:p>
          <w:p w14:paraId="074EE34D" w14:textId="6F95D0CA" w:rsidR="00EB1BCB" w:rsidRPr="00610B1B" w:rsidRDefault="001B06F9" w:rsidP="00D32D6A">
            <w:pPr>
              <w:jc w:val="center"/>
              <w:rPr>
                <w:rFonts w:ascii="Times New Roman" w:hAnsi="Times New Roman" w:cs="Times New Roman"/>
                <w:sz w:val="20"/>
                <w:szCs w:val="20"/>
                <w:lang w:val="bg-BG"/>
              </w:rPr>
            </w:pPr>
            <w:r>
              <w:rPr>
                <w:rFonts w:ascii="Times New Roman" w:hAnsi="Times New Roman" w:cs="Times New Roman"/>
                <w:sz w:val="20"/>
                <w:szCs w:val="20"/>
                <w:lang w:val="bg-BG"/>
              </w:rPr>
              <w:t>постоянен</w:t>
            </w:r>
          </w:p>
        </w:tc>
      </w:tr>
      <w:tr w:rsidR="00695BEA" w:rsidRPr="00610B1B" w14:paraId="6FE81E1A" w14:textId="77777777" w:rsidTr="00537D06">
        <w:tc>
          <w:tcPr>
            <w:tcW w:w="426" w:type="dxa"/>
            <w:vMerge w:val="restart"/>
            <w:vAlign w:val="center"/>
          </w:tcPr>
          <w:p w14:paraId="77A86A3C" w14:textId="5375B938" w:rsidR="00695BEA" w:rsidRPr="00610B1B" w:rsidRDefault="00695BEA" w:rsidP="00537D06">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14</w:t>
            </w:r>
          </w:p>
        </w:tc>
        <w:tc>
          <w:tcPr>
            <w:tcW w:w="2693" w:type="dxa"/>
            <w:vMerge w:val="restart"/>
            <w:vAlign w:val="center"/>
          </w:tcPr>
          <w:p w14:paraId="13007836" w14:textId="401D75BF" w:rsidR="00695BEA" w:rsidRPr="00610B1B" w:rsidRDefault="00695BE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Общи препоръки</w:t>
            </w:r>
          </w:p>
        </w:tc>
        <w:tc>
          <w:tcPr>
            <w:tcW w:w="5387" w:type="dxa"/>
          </w:tcPr>
          <w:p w14:paraId="14105F33" w14:textId="6654A9A0" w:rsidR="00695BEA" w:rsidRPr="00610B1B" w:rsidRDefault="00695BEA" w:rsidP="00C47564">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14.1. Регламентиране на единен стандарт и правила за събиране и поддържане на информацията за морско пространствено планиране и предаването ѝ към Европейски и международни институции</w:t>
            </w:r>
          </w:p>
        </w:tc>
        <w:tc>
          <w:tcPr>
            <w:tcW w:w="1984" w:type="dxa"/>
          </w:tcPr>
          <w:p w14:paraId="5320E81D" w14:textId="4CC596C8" w:rsidR="00695BEA" w:rsidRPr="00610B1B" w:rsidRDefault="00695BEA" w:rsidP="00C47564">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всички институции, ангажирани с поддържането на данните</w:t>
            </w:r>
          </w:p>
        </w:tc>
        <w:tc>
          <w:tcPr>
            <w:tcW w:w="3232" w:type="dxa"/>
          </w:tcPr>
          <w:p w14:paraId="30759068" w14:textId="0CE60D2F" w:rsidR="00695BEA" w:rsidRPr="00610B1B" w:rsidRDefault="00695BEA" w:rsidP="00C47564">
            <w:pPr>
              <w:rPr>
                <w:rFonts w:ascii="Times New Roman" w:hAnsi="Times New Roman" w:cs="Times New Roman"/>
                <w:sz w:val="20"/>
                <w:szCs w:val="20"/>
                <w:lang w:val="bg-BG"/>
              </w:rPr>
            </w:pPr>
            <w:r w:rsidRPr="00610B1B">
              <w:rPr>
                <w:rFonts w:ascii="Times New Roman" w:hAnsi="Times New Roman" w:cs="Times New Roman"/>
                <w:sz w:val="20"/>
                <w:szCs w:val="20"/>
                <w:lang w:val="bg-BG"/>
              </w:rPr>
              <w:t>Подобряване на информационната осигуреност на морското</w:t>
            </w:r>
            <w:r w:rsidRPr="00610B1B">
              <w:rPr>
                <w:rFonts w:ascii="Times New Roman" w:hAnsi="Times New Roman" w:cs="Times New Roman"/>
                <w:lang w:val="bg-BG"/>
              </w:rPr>
              <w:t xml:space="preserve"> </w:t>
            </w:r>
            <w:r w:rsidRPr="00610B1B">
              <w:rPr>
                <w:rFonts w:ascii="Times New Roman" w:hAnsi="Times New Roman" w:cs="Times New Roman"/>
                <w:sz w:val="20"/>
                <w:szCs w:val="20"/>
                <w:lang w:val="bg-BG"/>
              </w:rPr>
              <w:t>пространствено планиране</w:t>
            </w:r>
          </w:p>
        </w:tc>
        <w:tc>
          <w:tcPr>
            <w:tcW w:w="1376" w:type="dxa"/>
            <w:vAlign w:val="center"/>
          </w:tcPr>
          <w:p w14:paraId="2931A087" w14:textId="003881F3" w:rsidR="00695BEA" w:rsidRPr="00610B1B" w:rsidRDefault="00695BEA" w:rsidP="009E604E">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2021</w:t>
            </w:r>
          </w:p>
        </w:tc>
      </w:tr>
      <w:tr w:rsidR="00695BEA" w:rsidRPr="00610B1B" w14:paraId="40D525BF" w14:textId="77777777" w:rsidTr="00537D06">
        <w:tc>
          <w:tcPr>
            <w:tcW w:w="426" w:type="dxa"/>
            <w:vMerge/>
            <w:vAlign w:val="center"/>
          </w:tcPr>
          <w:p w14:paraId="7FD88399" w14:textId="77777777" w:rsidR="00695BEA" w:rsidRPr="00610B1B" w:rsidRDefault="00695BEA" w:rsidP="00537D06">
            <w:pPr>
              <w:jc w:val="center"/>
              <w:rPr>
                <w:rFonts w:ascii="Times New Roman" w:hAnsi="Times New Roman" w:cs="Times New Roman"/>
                <w:sz w:val="20"/>
                <w:szCs w:val="20"/>
                <w:lang w:val="bg-BG"/>
              </w:rPr>
            </w:pPr>
          </w:p>
        </w:tc>
        <w:tc>
          <w:tcPr>
            <w:tcW w:w="2693" w:type="dxa"/>
            <w:vMerge/>
            <w:vAlign w:val="center"/>
          </w:tcPr>
          <w:p w14:paraId="303D726E" w14:textId="77777777" w:rsidR="00695BEA" w:rsidRPr="00610B1B" w:rsidRDefault="00695BEA" w:rsidP="00537D06">
            <w:pPr>
              <w:rPr>
                <w:rFonts w:ascii="Times New Roman" w:hAnsi="Times New Roman" w:cs="Times New Roman"/>
                <w:sz w:val="20"/>
                <w:szCs w:val="20"/>
                <w:lang w:val="bg-BG"/>
              </w:rPr>
            </w:pPr>
          </w:p>
        </w:tc>
        <w:tc>
          <w:tcPr>
            <w:tcW w:w="5387" w:type="dxa"/>
          </w:tcPr>
          <w:p w14:paraId="405BA487" w14:textId="0E0CFD71" w:rsidR="00695BEA" w:rsidRPr="00610B1B" w:rsidRDefault="00695BEA" w:rsidP="00C47564">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14.2. Съобразяване на ИТСР на двата региона и на ОУПО на крайбрежните общини с предвижданията и функционалното зониране на МППРБ</w:t>
            </w:r>
          </w:p>
        </w:tc>
        <w:tc>
          <w:tcPr>
            <w:tcW w:w="1984" w:type="dxa"/>
          </w:tcPr>
          <w:p w14:paraId="16C39C39" w14:textId="06138EFB" w:rsidR="00695BEA" w:rsidRPr="00610B1B" w:rsidRDefault="00695BEA" w:rsidP="00C47564">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Регионални и местни власти</w:t>
            </w:r>
          </w:p>
        </w:tc>
        <w:tc>
          <w:tcPr>
            <w:tcW w:w="3232" w:type="dxa"/>
          </w:tcPr>
          <w:p w14:paraId="694CEDA1" w14:textId="3760F2A6" w:rsidR="00695BEA" w:rsidRPr="00610B1B" w:rsidRDefault="00695BEA" w:rsidP="00C47564">
            <w:pPr>
              <w:rPr>
                <w:rFonts w:ascii="Times New Roman" w:hAnsi="Times New Roman" w:cs="Times New Roman"/>
                <w:sz w:val="20"/>
                <w:szCs w:val="20"/>
                <w:lang w:val="bg-BG"/>
              </w:rPr>
            </w:pPr>
            <w:r w:rsidRPr="00610B1B">
              <w:rPr>
                <w:rFonts w:ascii="Times New Roman" w:hAnsi="Times New Roman" w:cs="Times New Roman"/>
                <w:sz w:val="20"/>
                <w:szCs w:val="20"/>
                <w:lang w:val="bg-BG"/>
              </w:rPr>
              <w:t>Координиране на териториалното с морското</w:t>
            </w:r>
            <w:r w:rsidRPr="00610B1B">
              <w:rPr>
                <w:rFonts w:ascii="Times New Roman" w:hAnsi="Times New Roman" w:cs="Times New Roman"/>
                <w:lang w:val="bg-BG"/>
              </w:rPr>
              <w:t xml:space="preserve"> </w:t>
            </w:r>
            <w:r w:rsidRPr="00610B1B">
              <w:rPr>
                <w:rFonts w:ascii="Times New Roman" w:hAnsi="Times New Roman" w:cs="Times New Roman"/>
                <w:sz w:val="20"/>
                <w:szCs w:val="20"/>
                <w:lang w:val="bg-BG"/>
              </w:rPr>
              <w:t>пространствено планиране</w:t>
            </w:r>
          </w:p>
        </w:tc>
        <w:tc>
          <w:tcPr>
            <w:tcW w:w="1376" w:type="dxa"/>
            <w:vAlign w:val="center"/>
          </w:tcPr>
          <w:p w14:paraId="474518CC" w14:textId="1D499E60" w:rsidR="00695BEA" w:rsidRPr="00610B1B" w:rsidRDefault="00695BEA" w:rsidP="00C47564">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2021</w:t>
            </w:r>
          </w:p>
        </w:tc>
      </w:tr>
      <w:tr w:rsidR="00695BEA" w:rsidRPr="00610B1B" w14:paraId="6AF15381" w14:textId="77777777" w:rsidTr="00537D06">
        <w:tc>
          <w:tcPr>
            <w:tcW w:w="426" w:type="dxa"/>
            <w:vMerge/>
            <w:vAlign w:val="center"/>
          </w:tcPr>
          <w:p w14:paraId="44980201" w14:textId="77777777" w:rsidR="00695BEA" w:rsidRPr="00610B1B" w:rsidRDefault="00695BEA" w:rsidP="00537D06">
            <w:pPr>
              <w:jc w:val="center"/>
              <w:rPr>
                <w:rFonts w:ascii="Times New Roman" w:hAnsi="Times New Roman" w:cs="Times New Roman"/>
                <w:sz w:val="20"/>
                <w:szCs w:val="20"/>
                <w:lang w:val="bg-BG"/>
              </w:rPr>
            </w:pPr>
          </w:p>
        </w:tc>
        <w:tc>
          <w:tcPr>
            <w:tcW w:w="2693" w:type="dxa"/>
            <w:vMerge/>
            <w:vAlign w:val="center"/>
          </w:tcPr>
          <w:p w14:paraId="1691C6A5" w14:textId="77777777" w:rsidR="00695BEA" w:rsidRPr="00610B1B" w:rsidRDefault="00695BEA" w:rsidP="00537D06">
            <w:pPr>
              <w:rPr>
                <w:rFonts w:ascii="Times New Roman" w:hAnsi="Times New Roman" w:cs="Times New Roman"/>
                <w:sz w:val="20"/>
                <w:szCs w:val="20"/>
                <w:lang w:val="bg-BG"/>
              </w:rPr>
            </w:pPr>
          </w:p>
        </w:tc>
        <w:tc>
          <w:tcPr>
            <w:tcW w:w="5387" w:type="dxa"/>
          </w:tcPr>
          <w:p w14:paraId="717E5917" w14:textId="22A654C5" w:rsidR="00695BEA" w:rsidRPr="00610B1B" w:rsidRDefault="00695BEA" w:rsidP="00C47564">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14.3. Популяризиране на МППРБ на всички нива, като се използват различни средства и участници – медии, общини, сдружения, НПО и др.</w:t>
            </w:r>
          </w:p>
        </w:tc>
        <w:tc>
          <w:tcPr>
            <w:tcW w:w="1984" w:type="dxa"/>
          </w:tcPr>
          <w:p w14:paraId="172CCD8E" w14:textId="04DEA392" w:rsidR="00695BEA" w:rsidRPr="00610B1B" w:rsidRDefault="00695BEA" w:rsidP="00C47564">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местни власти, НПО</w:t>
            </w:r>
          </w:p>
        </w:tc>
        <w:tc>
          <w:tcPr>
            <w:tcW w:w="3232" w:type="dxa"/>
          </w:tcPr>
          <w:p w14:paraId="2CD6805A" w14:textId="35C0A741" w:rsidR="00695BEA" w:rsidRPr="00610B1B" w:rsidRDefault="00695BEA" w:rsidP="00C47564">
            <w:pPr>
              <w:rPr>
                <w:rFonts w:ascii="Times New Roman" w:hAnsi="Times New Roman" w:cs="Times New Roman"/>
                <w:sz w:val="20"/>
                <w:szCs w:val="20"/>
                <w:lang w:val="bg-BG"/>
              </w:rPr>
            </w:pPr>
            <w:r w:rsidRPr="00610B1B">
              <w:rPr>
                <w:rFonts w:ascii="Times New Roman" w:hAnsi="Times New Roman" w:cs="Times New Roman"/>
                <w:sz w:val="20"/>
                <w:szCs w:val="20"/>
                <w:lang w:val="bg-BG"/>
              </w:rPr>
              <w:t>Осигуряване на достъпност и информираност за плана, както за отговорните институции, така и за обществото, участващо в контрола по неговото прилагане.</w:t>
            </w:r>
          </w:p>
        </w:tc>
        <w:tc>
          <w:tcPr>
            <w:tcW w:w="1376" w:type="dxa"/>
            <w:vAlign w:val="center"/>
          </w:tcPr>
          <w:p w14:paraId="3C06C647" w14:textId="0EECA184" w:rsidR="00695BEA" w:rsidRPr="00610B1B" w:rsidRDefault="00695BEA" w:rsidP="00C47564">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Постоянен</w:t>
            </w:r>
          </w:p>
        </w:tc>
      </w:tr>
      <w:tr w:rsidR="00192B75" w:rsidRPr="00610B1B" w14:paraId="110ACE92" w14:textId="77777777" w:rsidTr="00192B75">
        <w:tc>
          <w:tcPr>
            <w:tcW w:w="426" w:type="dxa"/>
            <w:vAlign w:val="center"/>
          </w:tcPr>
          <w:p w14:paraId="47A02D5A" w14:textId="77777777" w:rsidR="00192B75" w:rsidRPr="00610B1B" w:rsidRDefault="00192B75" w:rsidP="00192B75">
            <w:pPr>
              <w:jc w:val="center"/>
              <w:rPr>
                <w:rFonts w:ascii="Times New Roman" w:hAnsi="Times New Roman" w:cs="Times New Roman"/>
                <w:sz w:val="20"/>
                <w:szCs w:val="20"/>
                <w:lang w:val="bg-BG"/>
              </w:rPr>
            </w:pPr>
          </w:p>
        </w:tc>
        <w:tc>
          <w:tcPr>
            <w:tcW w:w="2693" w:type="dxa"/>
            <w:vAlign w:val="center"/>
          </w:tcPr>
          <w:p w14:paraId="66F8C1E4" w14:textId="77777777" w:rsidR="00192B75" w:rsidRPr="00610B1B" w:rsidRDefault="00192B75" w:rsidP="00192B75">
            <w:pPr>
              <w:rPr>
                <w:rFonts w:ascii="Times New Roman" w:hAnsi="Times New Roman" w:cs="Times New Roman"/>
                <w:sz w:val="20"/>
                <w:szCs w:val="20"/>
                <w:lang w:val="bg-BG"/>
              </w:rPr>
            </w:pPr>
          </w:p>
        </w:tc>
        <w:tc>
          <w:tcPr>
            <w:tcW w:w="5387" w:type="dxa"/>
          </w:tcPr>
          <w:p w14:paraId="7BA9CC1C" w14:textId="77777777" w:rsidR="00192B75" w:rsidRPr="00610B1B" w:rsidRDefault="00192B75" w:rsidP="00192B75">
            <w:pPr>
              <w:tabs>
                <w:tab w:val="left" w:pos="593"/>
              </w:tabs>
              <w:rPr>
                <w:rFonts w:ascii="Times New Roman" w:hAnsi="Times New Roman" w:cs="Times New Roman"/>
                <w:sz w:val="20"/>
                <w:szCs w:val="20"/>
                <w:lang w:val="bg-BG"/>
              </w:rPr>
            </w:pPr>
            <w:r w:rsidRPr="00002A51">
              <w:rPr>
                <w:rFonts w:ascii="Times New Roman" w:hAnsi="Times New Roman" w:cs="Times New Roman"/>
                <w:sz w:val="20"/>
                <w:szCs w:val="20"/>
                <w:lang w:val="bg-BG"/>
              </w:rPr>
              <w:t>1</w:t>
            </w:r>
            <w:r w:rsidRPr="00610B1B">
              <w:rPr>
                <w:rFonts w:ascii="Times New Roman" w:hAnsi="Times New Roman" w:cs="Times New Roman"/>
                <w:sz w:val="20"/>
                <w:szCs w:val="20"/>
                <w:lang w:val="bg-BG"/>
              </w:rPr>
              <w:t>4.4. Развитие на система за наблюдение и контрол на</w:t>
            </w:r>
          </w:p>
          <w:p w14:paraId="3C083C64" w14:textId="77777777" w:rsidR="00192B75" w:rsidRPr="00610B1B" w:rsidRDefault="00192B75" w:rsidP="00192B75">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морската околна среда - разливи в морето от изхвърляне на</w:t>
            </w:r>
          </w:p>
          <w:p w14:paraId="2301A9A9" w14:textId="77777777" w:rsidR="00192B75" w:rsidRPr="00610B1B" w:rsidRDefault="00192B75" w:rsidP="00192B75">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корабни отпадъци, спазване на ограниченията за защитени</w:t>
            </w:r>
          </w:p>
          <w:p w14:paraId="11D6905D" w14:textId="77777777" w:rsidR="00192B75" w:rsidRPr="00610B1B" w:rsidRDefault="00192B75" w:rsidP="00192B75">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територии, защитени зони, подводно културно наследство и</w:t>
            </w:r>
          </w:p>
          <w:p w14:paraId="70332CC1" w14:textId="6F6CFCB3" w:rsidR="00192B75" w:rsidRPr="00610B1B" w:rsidRDefault="00192B75" w:rsidP="00192B75">
            <w:pPr>
              <w:tabs>
                <w:tab w:val="left" w:pos="593"/>
              </w:tabs>
              <w:rPr>
                <w:rFonts w:ascii="Times New Roman" w:hAnsi="Times New Roman" w:cs="Times New Roman"/>
                <w:sz w:val="20"/>
                <w:szCs w:val="20"/>
                <w:lang w:val="bg-BG"/>
              </w:rPr>
            </w:pPr>
            <w:r w:rsidRPr="00610B1B">
              <w:rPr>
                <w:rFonts w:ascii="Times New Roman" w:hAnsi="Times New Roman" w:cs="Times New Roman"/>
                <w:sz w:val="20"/>
                <w:szCs w:val="20"/>
                <w:lang w:val="bg-BG"/>
              </w:rPr>
              <w:t>използване на морските ресурси</w:t>
            </w:r>
          </w:p>
        </w:tc>
        <w:tc>
          <w:tcPr>
            <w:tcW w:w="1984" w:type="dxa"/>
          </w:tcPr>
          <w:p w14:paraId="7648DBA6" w14:textId="432752B7" w:rsidR="00192B75" w:rsidRPr="00610B1B"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МОСВ, МРРБ, местни власти, РИОСВ</w:t>
            </w:r>
          </w:p>
        </w:tc>
        <w:tc>
          <w:tcPr>
            <w:tcW w:w="3232" w:type="dxa"/>
          </w:tcPr>
          <w:p w14:paraId="641F731A" w14:textId="569D21B4" w:rsidR="00192B75" w:rsidRPr="00610B1B"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Следене състоянието на околната морска среда и ограничаване негативното въздействие</w:t>
            </w:r>
          </w:p>
        </w:tc>
        <w:tc>
          <w:tcPr>
            <w:tcW w:w="1376" w:type="dxa"/>
          </w:tcPr>
          <w:p w14:paraId="258F99C5" w14:textId="7A827591" w:rsidR="00192B75" w:rsidRPr="00610B1B" w:rsidRDefault="00C942D5" w:rsidP="00192B75">
            <w:pPr>
              <w:jc w:val="center"/>
              <w:rPr>
                <w:rFonts w:ascii="Times New Roman" w:hAnsi="Times New Roman" w:cs="Times New Roman"/>
                <w:sz w:val="20"/>
                <w:szCs w:val="20"/>
                <w:lang w:val="bg-BG"/>
              </w:rPr>
            </w:pPr>
            <w:r w:rsidRPr="00610B1B">
              <w:rPr>
                <w:rFonts w:ascii="Times New Roman" w:hAnsi="Times New Roman" w:cs="Times New Roman"/>
                <w:sz w:val="20"/>
                <w:szCs w:val="20"/>
                <w:lang w:val="bg-BG"/>
              </w:rPr>
              <w:t>Постоянен</w:t>
            </w:r>
          </w:p>
        </w:tc>
      </w:tr>
    </w:tbl>
    <w:p w14:paraId="344793C3" w14:textId="38FC6AC5" w:rsidR="00C519AD" w:rsidRPr="00610B1B" w:rsidRDefault="00C519AD" w:rsidP="00D32D6A">
      <w:pPr>
        <w:spacing w:after="120"/>
        <w:rPr>
          <w:rFonts w:ascii="Times New Roman" w:hAnsi="Times New Roman" w:cs="Times New Roman"/>
          <w:sz w:val="20"/>
          <w:szCs w:val="20"/>
          <w:lang w:val="bg-BG"/>
        </w:rPr>
      </w:pPr>
    </w:p>
    <w:p w14:paraId="4698D39E" w14:textId="77777777" w:rsidR="00C519AD" w:rsidRPr="00610B1B" w:rsidRDefault="00C519AD" w:rsidP="00D32D6A">
      <w:pPr>
        <w:spacing w:after="120"/>
        <w:rPr>
          <w:rFonts w:ascii="Times New Roman" w:hAnsi="Times New Roman" w:cs="Times New Roman"/>
          <w:sz w:val="20"/>
          <w:szCs w:val="20"/>
          <w:lang w:val="bg-BG"/>
        </w:rPr>
      </w:pPr>
    </w:p>
    <w:p w14:paraId="77477CCF" w14:textId="77777777" w:rsidR="00601EFD" w:rsidRPr="00610B1B" w:rsidRDefault="00601EFD" w:rsidP="00D32D6A">
      <w:pPr>
        <w:spacing w:after="120"/>
        <w:rPr>
          <w:rFonts w:ascii="Times New Roman" w:hAnsi="Times New Roman" w:cs="Times New Roman"/>
          <w:sz w:val="20"/>
          <w:szCs w:val="20"/>
          <w:lang w:val="bg-BG"/>
        </w:rPr>
        <w:sectPr w:rsidR="00601EFD" w:rsidRPr="00610B1B" w:rsidSect="00FA7D60">
          <w:pgSz w:w="16839" w:h="11907" w:orient="landscape" w:code="9"/>
          <w:pgMar w:top="1440" w:right="1134" w:bottom="1440" w:left="1440" w:header="708" w:footer="708" w:gutter="0"/>
          <w:cols w:space="708"/>
          <w:docGrid w:linePitch="360"/>
        </w:sectPr>
      </w:pPr>
    </w:p>
    <w:p w14:paraId="5587B353" w14:textId="5CD65241" w:rsidR="00FF6A8A" w:rsidRPr="00610B1B" w:rsidRDefault="00601EFD" w:rsidP="00D32D6A">
      <w:pPr>
        <w:pStyle w:val="Default"/>
        <w:spacing w:after="120" w:line="276" w:lineRule="auto"/>
        <w:jc w:val="both"/>
        <w:rPr>
          <w:rStyle w:val="FontStyle12"/>
          <w:rFonts w:eastAsia="Source Han Sans CN Regular" w:cs="Times New Roman"/>
          <w:lang w:val="bg-BG"/>
        </w:rPr>
      </w:pPr>
      <w:r w:rsidRPr="00610B1B">
        <w:rPr>
          <w:rStyle w:val="FontStyle12"/>
          <w:rFonts w:eastAsia="Source Han Sans CN Regular" w:cs="Times New Roman"/>
          <w:lang w:val="bg-BG"/>
        </w:rPr>
        <w:lastRenderedPageBreak/>
        <w:t>Систематизираните в таблицата препоръки към различните ползвания и ползватели на морските пространства показват ясно, че повечето от тях са свързани с непосредств</w:t>
      </w:r>
      <w:r w:rsidR="009E01EF" w:rsidRPr="00610B1B">
        <w:rPr>
          <w:rStyle w:val="FontStyle12"/>
          <w:rFonts w:eastAsia="Source Han Sans CN Regular" w:cs="Times New Roman"/>
          <w:lang w:val="bg-BG"/>
        </w:rPr>
        <w:t>ен</w:t>
      </w:r>
      <w:r w:rsidRPr="00610B1B">
        <w:rPr>
          <w:rStyle w:val="FontStyle12"/>
          <w:rFonts w:eastAsia="Source Han Sans CN Regular" w:cs="Times New Roman"/>
          <w:lang w:val="bg-BG"/>
        </w:rPr>
        <w:t xml:space="preserve">ия краткосрочен хоризонт на плана след неговото приемане – 2024 г. </w:t>
      </w:r>
      <w:r w:rsidR="005E084F" w:rsidRPr="00610B1B">
        <w:rPr>
          <w:rStyle w:val="FontStyle12"/>
          <w:rFonts w:eastAsia="Source Han Sans CN Regular" w:cs="Times New Roman"/>
          <w:lang w:val="bg-BG"/>
        </w:rPr>
        <w:t>Това изисква бърза мобилизация на наличните ресурси в компетентните институции и координация на действията им за изпълнение на най-важните и неотложни действия за подобряване на състоянието на морската околна среда и постепенно възстановяване на онези ресурси, от които зависи устойчивото развитие на морските пространства.</w:t>
      </w:r>
    </w:p>
    <w:p w14:paraId="037597B9" w14:textId="5373C305" w:rsidR="00FF6A8A" w:rsidRPr="00610B1B" w:rsidRDefault="00FF6A8A" w:rsidP="00D32D6A">
      <w:pPr>
        <w:pStyle w:val="Default"/>
        <w:spacing w:after="120" w:line="276" w:lineRule="auto"/>
        <w:jc w:val="both"/>
        <w:rPr>
          <w:rStyle w:val="FontStyle12"/>
          <w:rFonts w:eastAsia="Source Han Sans CN Regular" w:cs="Times New Roman"/>
          <w:lang w:val="bg-BG"/>
        </w:rPr>
      </w:pPr>
      <w:r w:rsidRPr="00610B1B">
        <w:rPr>
          <w:rStyle w:val="FontStyle12"/>
          <w:rFonts w:eastAsia="Source Han Sans CN Regular" w:cs="Times New Roman"/>
          <w:lang w:val="bg-BG"/>
        </w:rPr>
        <w:t>Н</w:t>
      </w:r>
      <w:r w:rsidR="001F08F0" w:rsidRPr="00610B1B">
        <w:rPr>
          <w:rStyle w:val="FontStyle12"/>
          <w:rFonts w:eastAsia="Source Han Sans CN Regular" w:cs="Times New Roman"/>
          <w:lang w:val="bg-BG"/>
        </w:rPr>
        <w:t>ай-важни от всички препоръки са онези, които са насочени към подобряване на комуникацията между институциите</w:t>
      </w:r>
      <w:r w:rsidR="00D66FE0" w:rsidRPr="00610B1B">
        <w:rPr>
          <w:rStyle w:val="FontStyle12"/>
          <w:rFonts w:eastAsia="Source Han Sans CN Regular" w:cs="Times New Roman"/>
          <w:lang w:val="bg-BG"/>
        </w:rPr>
        <w:t xml:space="preserve"> </w:t>
      </w:r>
      <w:r w:rsidR="001F08F0" w:rsidRPr="00610B1B">
        <w:rPr>
          <w:rStyle w:val="FontStyle12"/>
          <w:rFonts w:eastAsia="Source Han Sans CN Regular" w:cs="Times New Roman"/>
          <w:lang w:val="bg-BG"/>
        </w:rPr>
        <w:t>за координация на дейностите и регламентиране на ангажимента за своевременно предоставяне на актуални данни в цифров формат</w:t>
      </w:r>
      <w:r w:rsidR="0077136B" w:rsidRPr="00610B1B">
        <w:rPr>
          <w:rStyle w:val="FontStyle12"/>
          <w:rFonts w:eastAsia="Source Han Sans CN Regular" w:cs="Times New Roman"/>
          <w:lang w:val="bg-BG"/>
        </w:rPr>
        <w:t xml:space="preserve"> за целите на морското пространствено планиране, преди предаването им към международни организации и европейски институции и мрежи.</w:t>
      </w:r>
    </w:p>
    <w:p w14:paraId="42AD7041" w14:textId="77777777" w:rsidR="005E084F" w:rsidRPr="00610B1B" w:rsidRDefault="005E084F" w:rsidP="009907CE">
      <w:pPr>
        <w:pStyle w:val="Default"/>
        <w:rPr>
          <w:rFonts w:cs="Times New Roman"/>
          <w:lang w:val="bg-BG"/>
        </w:rPr>
      </w:pPr>
    </w:p>
    <w:p w14:paraId="1013C8E4" w14:textId="349CEFAD" w:rsidR="0059309D" w:rsidRPr="00610B1B" w:rsidRDefault="00F37D59" w:rsidP="00D32D6A">
      <w:pPr>
        <w:pStyle w:val="Heading2"/>
        <w:spacing w:before="0" w:line="276" w:lineRule="auto"/>
        <w:ind w:right="-153"/>
        <w:rPr>
          <w:rFonts w:cs="Times New Roman"/>
        </w:rPr>
      </w:pPr>
      <w:bookmarkStart w:id="505" w:name="_Toc83391442"/>
      <w:r w:rsidRPr="00610B1B">
        <w:rPr>
          <w:rFonts w:cs="Times New Roman"/>
        </w:rPr>
        <w:t xml:space="preserve">7.4. </w:t>
      </w:r>
      <w:r w:rsidR="0059309D" w:rsidRPr="00610B1B">
        <w:rPr>
          <w:rFonts w:cs="Times New Roman"/>
        </w:rPr>
        <w:t>Система от индикатори за оценка на резултатите</w:t>
      </w:r>
      <w:r w:rsidR="00DE4B4C" w:rsidRPr="00610B1B">
        <w:rPr>
          <w:rFonts w:cs="Times New Roman"/>
        </w:rPr>
        <w:t xml:space="preserve"> от прилагането на МППРБ</w:t>
      </w:r>
      <w:bookmarkEnd w:id="505"/>
    </w:p>
    <w:p w14:paraId="18772EF9" w14:textId="7A564141" w:rsidR="00847791" w:rsidRPr="00610B1B" w:rsidRDefault="00847791" w:rsidP="00D32D6A">
      <w:pPr>
        <w:pStyle w:val="Default"/>
        <w:spacing w:after="120" w:line="276" w:lineRule="auto"/>
        <w:jc w:val="both"/>
        <w:rPr>
          <w:rFonts w:cs="Times New Roman"/>
          <w:lang w:val="bg-BG"/>
        </w:rPr>
      </w:pPr>
      <w:r w:rsidRPr="00610B1B">
        <w:rPr>
          <w:rFonts w:cs="Times New Roman"/>
          <w:lang w:val="bg-BG"/>
        </w:rPr>
        <w:t>Провеждането на мониторинг и периодични оценки е ключова потребност за всеки планов документ. Така се проверява ефективността на заложените цели, своевременно се разкрива необходимостта от актуализации и адаптация към променящия се контекст. Специално за МППРБ, значението на мониторинговата система се засилва от динамиката на потенциалните конфликти в морските ползвания, както и от постоянния риск от нарушаване на устойчивите предели на екосистемните услуги на Черно море.</w:t>
      </w:r>
    </w:p>
    <w:p w14:paraId="05A443C2" w14:textId="7122C69C" w:rsidR="00424F76" w:rsidRPr="00610B1B" w:rsidRDefault="00C20596" w:rsidP="00D32D6A">
      <w:pPr>
        <w:pStyle w:val="BodyText"/>
        <w:spacing w:before="0" w:after="120" w:line="276" w:lineRule="auto"/>
        <w:rPr>
          <w:rFonts w:cs="Times New Roman"/>
        </w:rPr>
      </w:pPr>
      <w:r w:rsidRPr="00610B1B">
        <w:rPr>
          <w:rFonts w:cs="Times New Roman"/>
        </w:rPr>
        <w:t>Съвременните системи за мониторинг</w:t>
      </w:r>
      <w:r w:rsidR="00847791" w:rsidRPr="00610B1B">
        <w:rPr>
          <w:rFonts w:cs="Times New Roman"/>
        </w:rPr>
        <w:t xml:space="preserve"> </w:t>
      </w:r>
      <w:r w:rsidRPr="00610B1B">
        <w:rPr>
          <w:rFonts w:cs="Times New Roman"/>
        </w:rPr>
        <w:t>обхващат</w:t>
      </w:r>
      <w:r w:rsidR="00424F76" w:rsidRPr="00610B1B">
        <w:rPr>
          <w:rFonts w:cs="Times New Roman"/>
        </w:rPr>
        <w:t xml:space="preserve"> няколко различни </w:t>
      </w:r>
      <w:r w:rsidRPr="00610B1B">
        <w:rPr>
          <w:rFonts w:cs="Times New Roman"/>
        </w:rPr>
        <w:t xml:space="preserve">равнища, като на най-високото, </w:t>
      </w:r>
      <w:r w:rsidR="00424F76" w:rsidRPr="00610B1B">
        <w:rPr>
          <w:rFonts w:cs="Times New Roman"/>
        </w:rPr>
        <w:t>като инструмент</w:t>
      </w:r>
      <w:r w:rsidRPr="00610B1B">
        <w:rPr>
          <w:rFonts w:cs="Times New Roman"/>
        </w:rPr>
        <w:t>и</w:t>
      </w:r>
      <w:r w:rsidR="00424F76" w:rsidRPr="00610B1B">
        <w:rPr>
          <w:rFonts w:cs="Times New Roman"/>
        </w:rPr>
        <w:t xml:space="preserve"> за сравнение на нивото на развитие </w:t>
      </w:r>
      <w:r w:rsidRPr="00610B1B">
        <w:rPr>
          <w:rFonts w:cs="Times New Roman"/>
        </w:rPr>
        <w:t>в различните държави, се използват индекси</w:t>
      </w:r>
      <w:r w:rsidR="0077136B" w:rsidRPr="00610B1B">
        <w:rPr>
          <w:rFonts w:cs="Times New Roman"/>
        </w:rPr>
        <w:t xml:space="preserve">, изготвени въз основа на национални доклади </w:t>
      </w:r>
      <w:r w:rsidR="00107A8E" w:rsidRPr="00610B1B">
        <w:rPr>
          <w:rFonts w:cs="Times New Roman"/>
        </w:rPr>
        <w:t>към международни организации</w:t>
      </w:r>
      <w:r w:rsidRPr="00610B1B">
        <w:rPr>
          <w:rFonts w:cs="Times New Roman"/>
        </w:rPr>
        <w:t xml:space="preserve">. За целите на МППРБ могат да се </w:t>
      </w:r>
      <w:r w:rsidR="00E806F6" w:rsidRPr="00610B1B">
        <w:rPr>
          <w:rFonts w:cs="Times New Roman"/>
        </w:rPr>
        <w:t xml:space="preserve">прилагат </w:t>
      </w:r>
      <w:r w:rsidRPr="00610B1B">
        <w:rPr>
          <w:rFonts w:cs="Times New Roman"/>
        </w:rPr>
        <w:t xml:space="preserve">наблюденията на конкурентоспособността </w:t>
      </w:r>
      <w:r w:rsidR="00E806F6" w:rsidRPr="00610B1B">
        <w:rPr>
          <w:rFonts w:cs="Times New Roman"/>
        </w:rPr>
        <w:t>на Световния икономически форум</w:t>
      </w:r>
      <w:r w:rsidR="00E806F6" w:rsidRPr="00610B1B">
        <w:rPr>
          <w:rStyle w:val="FootnoteReference"/>
          <w:rFonts w:cs="Times New Roman"/>
        </w:rPr>
        <w:footnoteReference w:id="202"/>
      </w:r>
      <w:r w:rsidR="005E79C7" w:rsidRPr="00610B1B">
        <w:rPr>
          <w:rFonts w:cs="Times New Roman"/>
        </w:rPr>
        <w:t>;</w:t>
      </w:r>
      <w:r w:rsidR="00E806F6" w:rsidRPr="00610B1B">
        <w:rPr>
          <w:rFonts w:cs="Times New Roman"/>
        </w:rPr>
        <w:t xml:space="preserve"> </w:t>
      </w:r>
      <w:r w:rsidRPr="00610B1B">
        <w:rPr>
          <w:rFonts w:cs="Times New Roman"/>
        </w:rPr>
        <w:t>н</w:t>
      </w:r>
      <w:r w:rsidR="00E806F6" w:rsidRPr="00610B1B">
        <w:rPr>
          <w:rFonts w:cs="Times New Roman"/>
        </w:rPr>
        <w:t>а</w:t>
      </w:r>
      <w:r w:rsidRPr="00610B1B">
        <w:rPr>
          <w:rFonts w:cs="Times New Roman"/>
        </w:rPr>
        <w:t xml:space="preserve"> Европейската комисия за</w:t>
      </w:r>
      <w:r w:rsidR="00E806F6" w:rsidRPr="00610B1B">
        <w:rPr>
          <w:rFonts w:cs="Times New Roman"/>
        </w:rPr>
        <w:t xml:space="preserve"> конкурентоспособност</w:t>
      </w:r>
      <w:r w:rsidR="005E79C7" w:rsidRPr="00610B1B">
        <w:rPr>
          <w:rFonts w:cs="Times New Roman"/>
        </w:rPr>
        <w:t>та</w:t>
      </w:r>
      <w:r w:rsidR="00E806F6" w:rsidRPr="00610B1B">
        <w:rPr>
          <w:rFonts w:cs="Times New Roman"/>
        </w:rPr>
        <w:t xml:space="preserve"> на регионите за планиране от ниво 2 в ЕС, с което ще се </w:t>
      </w:r>
      <w:r w:rsidR="005E79C7" w:rsidRPr="00610B1B">
        <w:rPr>
          <w:rFonts w:cs="Times New Roman"/>
        </w:rPr>
        <w:t xml:space="preserve">проследи </w:t>
      </w:r>
      <w:r w:rsidR="00E806F6" w:rsidRPr="00610B1B">
        <w:rPr>
          <w:rFonts w:cs="Times New Roman"/>
        </w:rPr>
        <w:t>развитието на СИР и ЮИР</w:t>
      </w:r>
      <w:r w:rsidR="00E806F6" w:rsidRPr="00610B1B">
        <w:rPr>
          <w:rStyle w:val="FootnoteReference"/>
          <w:rFonts w:cs="Times New Roman"/>
        </w:rPr>
        <w:footnoteReference w:id="203"/>
      </w:r>
      <w:r w:rsidR="005E79C7" w:rsidRPr="00610B1B">
        <w:rPr>
          <w:rFonts w:cs="Times New Roman"/>
        </w:rPr>
        <w:t>;</w:t>
      </w:r>
      <w:r w:rsidR="00E806F6" w:rsidRPr="00610B1B">
        <w:rPr>
          <w:rFonts w:cs="Times New Roman"/>
        </w:rPr>
        <w:t xml:space="preserve"> за </w:t>
      </w:r>
      <w:r w:rsidR="00151973" w:rsidRPr="00610B1B">
        <w:rPr>
          <w:rFonts w:cs="Times New Roman"/>
        </w:rPr>
        <w:t>пътуванията и туризма</w:t>
      </w:r>
      <w:r w:rsidRPr="00610B1B">
        <w:rPr>
          <w:rStyle w:val="FootnoteReference"/>
          <w:rFonts w:cs="Times New Roman"/>
        </w:rPr>
        <w:footnoteReference w:id="204"/>
      </w:r>
      <w:r w:rsidR="00E806F6" w:rsidRPr="00610B1B">
        <w:rPr>
          <w:rFonts w:cs="Times New Roman"/>
        </w:rPr>
        <w:t xml:space="preserve"> и от докладите за синята икономика на Европейската комисия.</w:t>
      </w:r>
      <w:r w:rsidR="00D66FE0" w:rsidRPr="00610B1B">
        <w:rPr>
          <w:rFonts w:cs="Times New Roman"/>
        </w:rPr>
        <w:t xml:space="preserve"> </w:t>
      </w:r>
      <w:r w:rsidRPr="00610B1B">
        <w:rPr>
          <w:rFonts w:cs="Times New Roman"/>
        </w:rPr>
        <w:t>Тези индекси обаче ще дадат само общата оценка за сравнение.</w:t>
      </w:r>
    </w:p>
    <w:p w14:paraId="2F51C2C7" w14:textId="5516397A" w:rsidR="00847791" w:rsidRPr="00610B1B" w:rsidRDefault="00C20596" w:rsidP="00D32D6A">
      <w:pPr>
        <w:pStyle w:val="BodyText"/>
        <w:spacing w:before="0" w:after="120" w:line="276" w:lineRule="auto"/>
        <w:rPr>
          <w:rFonts w:cs="Times New Roman"/>
        </w:rPr>
      </w:pPr>
      <w:r w:rsidRPr="00610B1B">
        <w:rPr>
          <w:rFonts w:cs="Times New Roman"/>
        </w:rPr>
        <w:t xml:space="preserve">Второто равнище, което се предлага, обхваща синтезни </w:t>
      </w:r>
      <w:r w:rsidR="00A74C29" w:rsidRPr="00610B1B">
        <w:rPr>
          <w:rFonts w:cs="Times New Roman"/>
        </w:rPr>
        <w:t xml:space="preserve">качествени и </w:t>
      </w:r>
      <w:r w:rsidR="00ED0123" w:rsidRPr="00610B1B">
        <w:rPr>
          <w:rFonts w:cs="Times New Roman"/>
        </w:rPr>
        <w:t>количествени</w:t>
      </w:r>
      <w:r w:rsidR="00847791" w:rsidRPr="00610B1B">
        <w:rPr>
          <w:rFonts w:cs="Times New Roman"/>
        </w:rPr>
        <w:t xml:space="preserve"> индикатори, позволяващи съответните качествени и количествени оценки. Качествените оценки се базират на различни </w:t>
      </w:r>
      <w:r w:rsidR="00D44027" w:rsidRPr="00610B1B">
        <w:rPr>
          <w:rFonts w:cs="Times New Roman"/>
        </w:rPr>
        <w:t>нормативно обвързани</w:t>
      </w:r>
      <w:r w:rsidR="00847791" w:rsidRPr="00610B1B">
        <w:rPr>
          <w:rFonts w:cs="Times New Roman"/>
        </w:rPr>
        <w:t xml:space="preserve"> процедури, свързани с регламентираните ангажименти на съответните институции и експерти. Количествените оценки предлагат резултати, които могат да бъдат сравнявани във времето. Въпреки, че те обикновено не могат да покрият всички същностни аспекти на МППРБ, количествените оценки дават ценна информация за целия мониторингов процес, провокират предприемането на допълнителни проучвания и служат за отправна точка на по-задълбочени дискусии по реализацията и ролята на морския пространствен план.</w:t>
      </w:r>
    </w:p>
    <w:p w14:paraId="01464697" w14:textId="26250D77" w:rsidR="00604E56" w:rsidRPr="00610B1B" w:rsidRDefault="00847791" w:rsidP="00D32D6A">
      <w:pPr>
        <w:pStyle w:val="BodyText"/>
        <w:spacing w:before="0" w:after="120" w:line="276" w:lineRule="auto"/>
        <w:rPr>
          <w:rFonts w:cs="Times New Roman"/>
        </w:rPr>
      </w:pPr>
      <w:r w:rsidRPr="00610B1B">
        <w:rPr>
          <w:rFonts w:cs="Times New Roman"/>
        </w:rPr>
        <w:lastRenderedPageBreak/>
        <w:t xml:space="preserve">Освен отчитане на специфичния национален контекст, системата от индикатори на МППРБ </w:t>
      </w:r>
      <w:r w:rsidR="00DE4B4C" w:rsidRPr="00610B1B">
        <w:rPr>
          <w:rFonts w:cs="Times New Roman"/>
        </w:rPr>
        <w:t>е разработена въз основа на опита на други държави</w:t>
      </w:r>
      <w:r w:rsidR="007B571B" w:rsidRPr="00610B1B">
        <w:rPr>
          <w:rFonts w:cs="Times New Roman"/>
        </w:rPr>
        <w:t xml:space="preserve"> в морското пространствено планиране</w:t>
      </w:r>
      <w:r w:rsidR="00604E56" w:rsidRPr="00610B1B">
        <w:rPr>
          <w:rFonts w:cs="Times New Roman"/>
        </w:rPr>
        <w:t xml:space="preserve"> до момента</w:t>
      </w:r>
      <w:r w:rsidR="00C20596" w:rsidRPr="00610B1B">
        <w:rPr>
          <w:rFonts w:cs="Times New Roman"/>
        </w:rPr>
        <w:t>, някои от които прилагат второ поколение планове. Използвано е и</w:t>
      </w:r>
      <w:r w:rsidR="00DE4B4C" w:rsidRPr="00610B1B">
        <w:rPr>
          <w:rFonts w:cs="Times New Roman"/>
        </w:rPr>
        <w:t xml:space="preserve"> </w:t>
      </w:r>
      <w:r w:rsidR="006511A9" w:rsidRPr="00610B1B">
        <w:rPr>
          <w:rFonts w:cs="Times New Roman"/>
        </w:rPr>
        <w:t>Ръководството за оценка на Морски пространствени планове на Океанографската комисия на ЮНЕСКО (2014)</w:t>
      </w:r>
      <w:r w:rsidR="006511A9" w:rsidRPr="00610B1B">
        <w:rPr>
          <w:rStyle w:val="FootnoteReference"/>
          <w:rFonts w:cs="Times New Roman"/>
        </w:rPr>
        <w:footnoteReference w:id="205"/>
      </w:r>
      <w:r w:rsidR="00604E56" w:rsidRPr="00610B1B">
        <w:rPr>
          <w:rFonts w:cs="Times New Roman"/>
        </w:rPr>
        <w:t>, базиран</w:t>
      </w:r>
      <w:r w:rsidR="00C20596" w:rsidRPr="00610B1B">
        <w:rPr>
          <w:rFonts w:cs="Times New Roman"/>
        </w:rPr>
        <w:t>о</w:t>
      </w:r>
      <w:r w:rsidR="00604E56" w:rsidRPr="00610B1B">
        <w:rPr>
          <w:rFonts w:cs="Times New Roman"/>
        </w:rPr>
        <w:t xml:space="preserve"> на практиката с мониторинг</w:t>
      </w:r>
      <w:r w:rsidR="00C20596" w:rsidRPr="00610B1B">
        <w:rPr>
          <w:rFonts w:cs="Times New Roman"/>
        </w:rPr>
        <w:t>а</w:t>
      </w:r>
      <w:r w:rsidR="00604E56" w:rsidRPr="00610B1B">
        <w:rPr>
          <w:rFonts w:cs="Times New Roman"/>
        </w:rPr>
        <w:t xml:space="preserve"> </w:t>
      </w:r>
      <w:r w:rsidR="00107A8E" w:rsidRPr="00610B1B">
        <w:rPr>
          <w:rFonts w:cs="Times New Roman"/>
        </w:rPr>
        <w:t xml:space="preserve">на </w:t>
      </w:r>
      <w:r w:rsidR="00604E56" w:rsidRPr="00610B1B">
        <w:rPr>
          <w:rFonts w:cs="Times New Roman"/>
        </w:rPr>
        <w:t>интегрираното управление на крайбрежни зони</w:t>
      </w:r>
      <w:r w:rsidR="006511A9" w:rsidRPr="00610B1B">
        <w:rPr>
          <w:rFonts w:cs="Times New Roman"/>
        </w:rPr>
        <w:t xml:space="preserve">. </w:t>
      </w:r>
    </w:p>
    <w:p w14:paraId="28477542" w14:textId="3B55D1B8" w:rsidR="00CF0DBA" w:rsidRPr="00610B1B" w:rsidRDefault="006511A9" w:rsidP="00D32D6A">
      <w:pPr>
        <w:pStyle w:val="BodyText"/>
        <w:spacing w:before="0" w:after="120" w:line="276" w:lineRule="auto"/>
        <w:rPr>
          <w:rFonts w:cs="Times New Roman"/>
        </w:rPr>
      </w:pPr>
      <w:r w:rsidRPr="00610B1B">
        <w:rPr>
          <w:rFonts w:cs="Times New Roman"/>
        </w:rPr>
        <w:t xml:space="preserve">Паралелно с това са приложени и изискванията за ясно формулиране и разбираемост на избраните индикатори, възможност за отчитане на вложените ресурси, </w:t>
      </w:r>
      <w:r w:rsidR="00604E56" w:rsidRPr="00610B1B">
        <w:rPr>
          <w:rFonts w:cs="Times New Roman"/>
        </w:rPr>
        <w:t xml:space="preserve">на </w:t>
      </w:r>
      <w:r w:rsidRPr="00610B1B">
        <w:rPr>
          <w:rFonts w:cs="Times New Roman"/>
        </w:rPr>
        <w:t xml:space="preserve">резултатите и </w:t>
      </w:r>
      <w:r w:rsidR="00604E56" w:rsidRPr="00610B1B">
        <w:rPr>
          <w:rFonts w:cs="Times New Roman"/>
        </w:rPr>
        <w:t xml:space="preserve">на </w:t>
      </w:r>
      <w:r w:rsidRPr="00610B1B">
        <w:rPr>
          <w:rFonts w:cs="Times New Roman"/>
        </w:rPr>
        <w:t>въздействията и информационна</w:t>
      </w:r>
      <w:r w:rsidR="007B571B" w:rsidRPr="00610B1B">
        <w:rPr>
          <w:rFonts w:cs="Times New Roman"/>
        </w:rPr>
        <w:t>та</w:t>
      </w:r>
      <w:r w:rsidRPr="00610B1B">
        <w:rPr>
          <w:rFonts w:cs="Times New Roman"/>
        </w:rPr>
        <w:t xml:space="preserve"> осигуреност</w:t>
      </w:r>
      <w:r w:rsidR="00604E56" w:rsidRPr="00610B1B">
        <w:rPr>
          <w:rFonts w:cs="Times New Roman"/>
        </w:rPr>
        <w:t xml:space="preserve"> на показателите</w:t>
      </w:r>
      <w:r w:rsidRPr="00610B1B">
        <w:rPr>
          <w:rFonts w:cs="Times New Roman"/>
        </w:rPr>
        <w:t>.</w:t>
      </w:r>
    </w:p>
    <w:p w14:paraId="0BCAAD73" w14:textId="5ECCFE75" w:rsidR="00482912" w:rsidRPr="00610B1B" w:rsidRDefault="00482912" w:rsidP="00D32D6A">
      <w:pPr>
        <w:pStyle w:val="BodyText"/>
        <w:spacing w:before="0" w:after="120" w:line="276" w:lineRule="auto"/>
        <w:rPr>
          <w:rFonts w:cs="Times New Roman"/>
        </w:rPr>
      </w:pPr>
      <w:r w:rsidRPr="00610B1B">
        <w:rPr>
          <w:rFonts w:cs="Times New Roman"/>
        </w:rPr>
        <w:t>В Ръководството на МОК-ЮНЕСКО индикаторите са разделени в три групи:</w:t>
      </w:r>
      <w:r w:rsidR="00245C00" w:rsidRPr="00610B1B">
        <w:rPr>
          <w:rFonts w:cs="Times New Roman"/>
        </w:rPr>
        <w:t xml:space="preserve"> i) индикатори за управление, ii) социално-икономически и iii) екологични индикатори.</w:t>
      </w:r>
      <w:r w:rsidR="00847791" w:rsidRPr="00610B1B">
        <w:rPr>
          <w:rFonts w:cs="Times New Roman"/>
        </w:rPr>
        <w:t xml:space="preserve"> </w:t>
      </w:r>
      <w:r w:rsidR="00424F76" w:rsidRPr="00610B1B">
        <w:rPr>
          <w:rFonts w:cs="Times New Roman"/>
        </w:rPr>
        <w:t>Аналогична</w:t>
      </w:r>
      <w:r w:rsidR="00847791" w:rsidRPr="00610B1B">
        <w:rPr>
          <w:rFonts w:cs="Times New Roman"/>
        </w:rPr>
        <w:t xml:space="preserve"> структура се предлага и в настоящия документ.</w:t>
      </w:r>
    </w:p>
    <w:p w14:paraId="794AC20A" w14:textId="77777777" w:rsidR="009907CE" w:rsidRPr="00610B1B" w:rsidRDefault="009907CE" w:rsidP="009918C6">
      <w:pPr>
        <w:pStyle w:val="BodyText"/>
        <w:spacing w:before="0" w:after="0" w:line="240" w:lineRule="auto"/>
        <w:rPr>
          <w:rFonts w:cs="Times New Roman"/>
        </w:rPr>
      </w:pPr>
    </w:p>
    <w:p w14:paraId="1835C777" w14:textId="152A3625" w:rsidR="00245C00" w:rsidRPr="00610B1B" w:rsidRDefault="00245C00" w:rsidP="00D32D6A">
      <w:pPr>
        <w:pStyle w:val="Heading3"/>
        <w:spacing w:before="0" w:line="276" w:lineRule="auto"/>
        <w:rPr>
          <w:rFonts w:cs="Times New Roman"/>
        </w:rPr>
      </w:pPr>
      <w:bookmarkStart w:id="506" w:name="_Toc83391443"/>
      <w:r w:rsidRPr="00610B1B">
        <w:rPr>
          <w:rFonts w:cs="Times New Roman"/>
        </w:rPr>
        <w:t xml:space="preserve">7.4.1. Индикатори за управление </w:t>
      </w:r>
      <w:r w:rsidR="00151973" w:rsidRPr="00610B1B">
        <w:rPr>
          <w:rFonts w:cs="Times New Roman"/>
        </w:rPr>
        <w:t xml:space="preserve">на </w:t>
      </w:r>
      <w:r w:rsidRPr="00610B1B">
        <w:rPr>
          <w:rFonts w:cs="Times New Roman"/>
        </w:rPr>
        <w:t>прилагането, наблюдението и оценката на МППРБ</w:t>
      </w:r>
      <w:bookmarkEnd w:id="506"/>
    </w:p>
    <w:p w14:paraId="11F0CD51" w14:textId="5B56CE54" w:rsidR="00482912" w:rsidRPr="00610B1B" w:rsidRDefault="00482912" w:rsidP="00D32D6A">
      <w:pPr>
        <w:pStyle w:val="BodyText"/>
        <w:spacing w:before="0" w:after="120" w:line="276" w:lineRule="auto"/>
        <w:rPr>
          <w:rFonts w:cs="Times New Roman"/>
        </w:rPr>
      </w:pPr>
      <w:r w:rsidRPr="00610B1B">
        <w:rPr>
          <w:rFonts w:cs="Times New Roman"/>
          <w:i/>
          <w:iCs/>
        </w:rPr>
        <w:t>Индикатори</w:t>
      </w:r>
      <w:r w:rsidR="00604E56" w:rsidRPr="00610B1B">
        <w:rPr>
          <w:rFonts w:cs="Times New Roman"/>
          <w:i/>
          <w:iCs/>
        </w:rPr>
        <w:t>те</w:t>
      </w:r>
      <w:r w:rsidRPr="00610B1B">
        <w:rPr>
          <w:rFonts w:cs="Times New Roman"/>
          <w:i/>
          <w:iCs/>
        </w:rPr>
        <w:t xml:space="preserve"> за управление</w:t>
      </w:r>
      <w:r w:rsidRPr="00610B1B">
        <w:rPr>
          <w:rFonts w:cs="Times New Roman"/>
        </w:rPr>
        <w:t xml:space="preserve"> на отделните фази на Морския пространствен план </w:t>
      </w:r>
      <w:r w:rsidR="004040E6" w:rsidRPr="00610B1B">
        <w:rPr>
          <w:rFonts w:cs="Times New Roman"/>
        </w:rPr>
        <w:t xml:space="preserve">служат </w:t>
      </w:r>
      <w:r w:rsidRPr="00610B1B">
        <w:rPr>
          <w:rFonts w:cs="Times New Roman"/>
        </w:rPr>
        <w:t>за отразяване на състоянието на приетия МППРБ във всеки един момент, у</w:t>
      </w:r>
      <w:r w:rsidR="004040E6" w:rsidRPr="00610B1B">
        <w:rPr>
          <w:rFonts w:cs="Times New Roman"/>
        </w:rPr>
        <w:t>ч</w:t>
      </w:r>
      <w:r w:rsidRPr="00610B1B">
        <w:rPr>
          <w:rFonts w:cs="Times New Roman"/>
        </w:rPr>
        <w:t>астието на заинтересованите страни, напредък</w:t>
      </w:r>
      <w:r w:rsidR="004040E6" w:rsidRPr="00610B1B">
        <w:rPr>
          <w:rFonts w:cs="Times New Roman"/>
        </w:rPr>
        <w:t>а</w:t>
      </w:r>
      <w:r w:rsidRPr="00610B1B">
        <w:rPr>
          <w:rFonts w:cs="Times New Roman"/>
        </w:rPr>
        <w:t xml:space="preserve"> и качество</w:t>
      </w:r>
      <w:r w:rsidR="004040E6" w:rsidRPr="00610B1B">
        <w:rPr>
          <w:rFonts w:cs="Times New Roman"/>
        </w:rPr>
        <w:t>то</w:t>
      </w:r>
      <w:r w:rsidRPr="00610B1B">
        <w:rPr>
          <w:rFonts w:cs="Times New Roman"/>
        </w:rPr>
        <w:t xml:space="preserve"> както на самия план, така и на неговото управление и прилагане. В конкретния случай тези индикатори се свързват със Стратегическа цел 1 </w:t>
      </w:r>
      <w:r w:rsidR="004040E6" w:rsidRPr="00610B1B">
        <w:rPr>
          <w:rFonts w:cs="Times New Roman"/>
        </w:rPr>
        <w:t xml:space="preserve">и специфичните цели към нея </w:t>
      </w:r>
      <w:r w:rsidRPr="00610B1B">
        <w:rPr>
          <w:rFonts w:cs="Times New Roman"/>
        </w:rPr>
        <w:t>и се оценяват като особено важни за началния период на прилага</w:t>
      </w:r>
      <w:r w:rsidR="004040E6" w:rsidRPr="00610B1B">
        <w:rPr>
          <w:rFonts w:cs="Times New Roman"/>
        </w:rPr>
        <w:t>н</w:t>
      </w:r>
      <w:r w:rsidRPr="00610B1B">
        <w:rPr>
          <w:rFonts w:cs="Times New Roman"/>
        </w:rPr>
        <w:t xml:space="preserve">е на плана, когато все още е трудно да се оценят постигнати резултати и въздействия. </w:t>
      </w:r>
      <w:r w:rsidR="00245C00" w:rsidRPr="00610B1B">
        <w:rPr>
          <w:rFonts w:cs="Times New Roman"/>
        </w:rPr>
        <w:t xml:space="preserve">Те отразяват и последните изследвания в тази област и препоръките за избора, обхвата им и начина на приложение. </w:t>
      </w:r>
    </w:p>
    <w:p w14:paraId="5AC9186E" w14:textId="0C666D16" w:rsidR="00E031FD" w:rsidRPr="00610B1B" w:rsidRDefault="00962DE7" w:rsidP="00D32D6A">
      <w:pPr>
        <w:pStyle w:val="BodyText"/>
        <w:spacing w:before="0" w:after="120" w:line="276" w:lineRule="auto"/>
        <w:rPr>
          <w:rFonts w:cs="Times New Roman"/>
        </w:rPr>
      </w:pPr>
      <w:bookmarkStart w:id="507" w:name="_Toc83391616"/>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20</w:t>
      </w:r>
      <w:r w:rsidRPr="00610B1B">
        <w:rPr>
          <w:rFonts w:cs="Times New Roman"/>
        </w:rPr>
        <w:fldChar w:fldCharType="end"/>
      </w:r>
      <w:r w:rsidRPr="00610B1B">
        <w:rPr>
          <w:rFonts w:cs="Times New Roman"/>
        </w:rPr>
        <w:t xml:space="preserve">: </w:t>
      </w:r>
      <w:r w:rsidR="00E031FD" w:rsidRPr="00610B1B">
        <w:rPr>
          <w:rFonts w:cs="Times New Roman"/>
        </w:rPr>
        <w:t>Индикатори за управление на МППРБ</w:t>
      </w:r>
      <w:bookmarkEnd w:id="507"/>
    </w:p>
    <w:tbl>
      <w:tblPr>
        <w:tblStyle w:val="TableGrid"/>
        <w:tblW w:w="9017" w:type="dxa"/>
        <w:tblBorders>
          <w:left w:val="none" w:sz="0" w:space="0" w:color="auto"/>
          <w:right w:val="none" w:sz="0" w:space="0" w:color="auto"/>
          <w:insideV w:val="none" w:sz="0" w:space="0" w:color="auto"/>
        </w:tblBorders>
        <w:tblLook w:val="04A0" w:firstRow="1" w:lastRow="0" w:firstColumn="1" w:lastColumn="0" w:noHBand="0" w:noVBand="1"/>
      </w:tblPr>
      <w:tblGrid>
        <w:gridCol w:w="550"/>
        <w:gridCol w:w="2422"/>
        <w:gridCol w:w="2210"/>
        <w:gridCol w:w="1866"/>
        <w:gridCol w:w="1969"/>
      </w:tblGrid>
      <w:tr w:rsidR="00E031FD" w:rsidRPr="00610B1B" w14:paraId="6137D3DF" w14:textId="77777777" w:rsidTr="00D703D4">
        <w:trPr>
          <w:tblHeader/>
        </w:trPr>
        <w:tc>
          <w:tcPr>
            <w:tcW w:w="550" w:type="dxa"/>
            <w:shd w:val="clear" w:color="auto" w:fill="C6D9F1" w:themeFill="text2" w:themeFillTint="33"/>
            <w:vAlign w:val="center"/>
          </w:tcPr>
          <w:p w14:paraId="2B49B42F" w14:textId="3E919091" w:rsidR="00E031FD" w:rsidRPr="00610B1B" w:rsidRDefault="00E031FD" w:rsidP="00D32D6A">
            <w:pPr>
              <w:jc w:val="center"/>
              <w:rPr>
                <w:rFonts w:ascii="Times New Roman" w:hAnsi="Times New Roman" w:cs="Times New Roman"/>
                <w:b/>
                <w:bCs/>
                <w:lang w:val="bg-BG"/>
              </w:rPr>
            </w:pPr>
            <w:bookmarkStart w:id="508" w:name="_Hlk47907671"/>
            <w:r w:rsidRPr="00610B1B">
              <w:rPr>
                <w:rFonts w:ascii="Times New Roman" w:hAnsi="Times New Roman" w:cs="Times New Roman"/>
                <w:b/>
                <w:bCs/>
                <w:lang w:val="bg-BG"/>
              </w:rPr>
              <w:t>№</w:t>
            </w:r>
          </w:p>
        </w:tc>
        <w:tc>
          <w:tcPr>
            <w:tcW w:w="2422" w:type="dxa"/>
            <w:shd w:val="clear" w:color="auto" w:fill="C6D9F1" w:themeFill="text2" w:themeFillTint="33"/>
            <w:vAlign w:val="center"/>
          </w:tcPr>
          <w:p w14:paraId="7CC1E85C" w14:textId="668C1672" w:rsidR="00E031FD" w:rsidRPr="00610B1B" w:rsidRDefault="00424F76" w:rsidP="00D32D6A">
            <w:pPr>
              <w:jc w:val="center"/>
              <w:rPr>
                <w:rFonts w:ascii="Times New Roman" w:hAnsi="Times New Roman" w:cs="Times New Roman"/>
                <w:b/>
                <w:bCs/>
                <w:lang w:val="bg-BG"/>
              </w:rPr>
            </w:pPr>
            <w:r w:rsidRPr="00610B1B">
              <w:rPr>
                <w:rFonts w:ascii="Times New Roman" w:hAnsi="Times New Roman" w:cs="Times New Roman"/>
                <w:b/>
                <w:bCs/>
                <w:lang w:val="bg-BG"/>
              </w:rPr>
              <w:t>Синтезен и</w:t>
            </w:r>
            <w:r w:rsidR="00E031FD" w:rsidRPr="00610B1B">
              <w:rPr>
                <w:rFonts w:ascii="Times New Roman" w:hAnsi="Times New Roman" w:cs="Times New Roman"/>
                <w:b/>
                <w:bCs/>
                <w:lang w:val="bg-BG"/>
              </w:rPr>
              <w:t>ндикатор</w:t>
            </w:r>
          </w:p>
        </w:tc>
        <w:tc>
          <w:tcPr>
            <w:tcW w:w="2210" w:type="dxa"/>
            <w:shd w:val="clear" w:color="auto" w:fill="C6D9F1" w:themeFill="text2" w:themeFillTint="33"/>
            <w:vAlign w:val="center"/>
          </w:tcPr>
          <w:p w14:paraId="241183DE" w14:textId="74D4B411" w:rsidR="00E031FD" w:rsidRPr="00610B1B" w:rsidRDefault="00E031FD" w:rsidP="00D32D6A">
            <w:pPr>
              <w:jc w:val="center"/>
              <w:rPr>
                <w:rFonts w:ascii="Times New Roman" w:hAnsi="Times New Roman" w:cs="Times New Roman"/>
                <w:b/>
                <w:bCs/>
                <w:lang w:val="bg-BG"/>
              </w:rPr>
            </w:pPr>
            <w:r w:rsidRPr="00610B1B">
              <w:rPr>
                <w:rFonts w:ascii="Times New Roman" w:hAnsi="Times New Roman" w:cs="Times New Roman"/>
                <w:b/>
                <w:bCs/>
                <w:lang w:val="bg-BG"/>
              </w:rPr>
              <w:t>Връзка със стратегически цели</w:t>
            </w:r>
          </w:p>
        </w:tc>
        <w:tc>
          <w:tcPr>
            <w:tcW w:w="1866" w:type="dxa"/>
            <w:shd w:val="clear" w:color="auto" w:fill="C6D9F1" w:themeFill="text2" w:themeFillTint="33"/>
            <w:vAlign w:val="center"/>
          </w:tcPr>
          <w:p w14:paraId="2530F90A" w14:textId="6E0FA176" w:rsidR="00E031FD" w:rsidRPr="00610B1B" w:rsidRDefault="00E031FD" w:rsidP="00D32D6A">
            <w:pPr>
              <w:jc w:val="center"/>
              <w:rPr>
                <w:rFonts w:ascii="Times New Roman" w:hAnsi="Times New Roman" w:cs="Times New Roman"/>
                <w:b/>
                <w:bCs/>
                <w:lang w:val="bg-BG"/>
              </w:rPr>
            </w:pPr>
            <w:r w:rsidRPr="00610B1B">
              <w:rPr>
                <w:rFonts w:ascii="Times New Roman" w:hAnsi="Times New Roman" w:cs="Times New Roman"/>
                <w:b/>
                <w:bCs/>
                <w:lang w:val="bg-BG"/>
              </w:rPr>
              <w:t>Показатели</w:t>
            </w:r>
          </w:p>
        </w:tc>
        <w:tc>
          <w:tcPr>
            <w:tcW w:w="1969" w:type="dxa"/>
            <w:shd w:val="clear" w:color="auto" w:fill="C6D9F1" w:themeFill="text2" w:themeFillTint="33"/>
            <w:vAlign w:val="center"/>
          </w:tcPr>
          <w:p w14:paraId="4EFCAF6B" w14:textId="708E7BD1" w:rsidR="00E031FD" w:rsidRPr="00610B1B" w:rsidRDefault="00E031FD" w:rsidP="00D32D6A">
            <w:pPr>
              <w:jc w:val="center"/>
              <w:rPr>
                <w:rFonts w:ascii="Times New Roman" w:hAnsi="Times New Roman" w:cs="Times New Roman"/>
                <w:b/>
                <w:bCs/>
                <w:lang w:val="bg-BG"/>
              </w:rPr>
            </w:pPr>
            <w:r w:rsidRPr="00610B1B">
              <w:rPr>
                <w:rFonts w:ascii="Times New Roman" w:hAnsi="Times New Roman" w:cs="Times New Roman"/>
                <w:b/>
                <w:bCs/>
                <w:lang w:val="bg-BG"/>
              </w:rPr>
              <w:t>Информационна осигуреност</w:t>
            </w:r>
          </w:p>
        </w:tc>
      </w:tr>
      <w:tr w:rsidR="00847791" w:rsidRPr="00C717D0" w14:paraId="5A2AAA6A" w14:textId="77777777" w:rsidTr="00537D06">
        <w:tc>
          <w:tcPr>
            <w:tcW w:w="550" w:type="dxa"/>
            <w:vAlign w:val="center"/>
          </w:tcPr>
          <w:p w14:paraId="13A8BCDC" w14:textId="6066DB74" w:rsidR="00847791" w:rsidRPr="00610B1B" w:rsidRDefault="0084779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1.</w:t>
            </w:r>
          </w:p>
        </w:tc>
        <w:tc>
          <w:tcPr>
            <w:tcW w:w="2422" w:type="dxa"/>
            <w:vAlign w:val="center"/>
          </w:tcPr>
          <w:p w14:paraId="35C80E9E" w14:textId="63CB94E0" w:rsidR="00847791" w:rsidRPr="00610B1B" w:rsidRDefault="0084779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Ясно определени роли и отговорности на институциите за прилагане на Морския пространствен план на Р. България</w:t>
            </w:r>
          </w:p>
        </w:tc>
        <w:tc>
          <w:tcPr>
            <w:tcW w:w="2210" w:type="dxa"/>
          </w:tcPr>
          <w:p w14:paraId="10D94ED8" w14:textId="77777777"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1</w:t>
            </w:r>
          </w:p>
          <w:p w14:paraId="42329A4E" w14:textId="1DF8EE86"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Специфична цел 1.3.</w:t>
            </w:r>
          </w:p>
        </w:tc>
        <w:tc>
          <w:tcPr>
            <w:tcW w:w="1866" w:type="dxa"/>
          </w:tcPr>
          <w:p w14:paraId="47774904" w14:textId="77777777" w:rsidR="00D4156A"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включени институции</w:t>
            </w:r>
            <w:r w:rsidR="00151973" w:rsidRPr="00610B1B">
              <w:rPr>
                <w:rFonts w:ascii="Times New Roman" w:hAnsi="Times New Roman" w:cs="Times New Roman"/>
                <w:sz w:val="20"/>
                <w:szCs w:val="20"/>
                <w:lang w:val="bg-BG"/>
              </w:rPr>
              <w:t xml:space="preserve"> </w:t>
            </w:r>
          </w:p>
          <w:p w14:paraId="2E110077" w14:textId="4EAC6A4F" w:rsidR="00151973" w:rsidRPr="00610B1B" w:rsidRDefault="0015197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Споразумение между ръководителите на отговорните институции</w:t>
            </w:r>
          </w:p>
        </w:tc>
        <w:tc>
          <w:tcPr>
            <w:tcW w:w="1969" w:type="dxa"/>
          </w:tcPr>
          <w:p w14:paraId="04049C26" w14:textId="77777777" w:rsidR="00D44027"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Правна рамка, самооценка на ангажираните институции</w:t>
            </w:r>
            <w:r w:rsidR="00D44027" w:rsidRPr="00610B1B">
              <w:rPr>
                <w:rFonts w:ascii="Times New Roman" w:hAnsi="Times New Roman" w:cs="Times New Roman"/>
                <w:sz w:val="20"/>
                <w:szCs w:val="20"/>
                <w:lang w:val="bg-BG"/>
              </w:rPr>
              <w:t>;</w:t>
            </w:r>
          </w:p>
          <w:p w14:paraId="2A5684F1" w14:textId="0F69F562" w:rsidR="00847791"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Контролен </w:t>
            </w:r>
            <w:r w:rsidR="00847791" w:rsidRPr="00610B1B">
              <w:rPr>
                <w:rFonts w:ascii="Times New Roman" w:hAnsi="Times New Roman" w:cs="Times New Roman"/>
                <w:sz w:val="20"/>
                <w:szCs w:val="20"/>
                <w:lang w:val="bg-BG"/>
              </w:rPr>
              <w:t>лист на оценяващите експерти</w:t>
            </w:r>
          </w:p>
        </w:tc>
      </w:tr>
      <w:tr w:rsidR="00D44027" w:rsidRPr="00C717D0" w14:paraId="48549AD0" w14:textId="77777777" w:rsidTr="00537D06">
        <w:tc>
          <w:tcPr>
            <w:tcW w:w="550" w:type="dxa"/>
            <w:vAlign w:val="center"/>
          </w:tcPr>
          <w:p w14:paraId="0C33E980" w14:textId="19C5CD57" w:rsidR="00D44027" w:rsidRPr="00610B1B" w:rsidRDefault="00D4402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2.</w:t>
            </w:r>
          </w:p>
        </w:tc>
        <w:tc>
          <w:tcPr>
            <w:tcW w:w="2422" w:type="dxa"/>
            <w:vAlign w:val="center"/>
          </w:tcPr>
          <w:p w14:paraId="31D87834" w14:textId="205A899E" w:rsidR="00D44027" w:rsidRPr="00610B1B" w:rsidRDefault="00D4402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Отразени цели на МППРБ в секторни стратегически документи, свързани с морско пространствено планиране</w:t>
            </w:r>
          </w:p>
        </w:tc>
        <w:tc>
          <w:tcPr>
            <w:tcW w:w="2210" w:type="dxa"/>
          </w:tcPr>
          <w:p w14:paraId="3A99FF3E" w14:textId="7777777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1</w:t>
            </w:r>
          </w:p>
          <w:p w14:paraId="7CF08AB7" w14:textId="4B47DEA8"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Специфична цел 1.2.</w:t>
            </w:r>
          </w:p>
        </w:tc>
        <w:tc>
          <w:tcPr>
            <w:tcW w:w="1866" w:type="dxa"/>
          </w:tcPr>
          <w:p w14:paraId="46E39E8A" w14:textId="7777777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секторни документи</w:t>
            </w:r>
          </w:p>
          <w:p w14:paraId="38DBF5FE" w14:textId="2545E655"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отразени цели</w:t>
            </w:r>
          </w:p>
        </w:tc>
        <w:tc>
          <w:tcPr>
            <w:tcW w:w="1969" w:type="dxa"/>
          </w:tcPr>
          <w:p w14:paraId="0FAC3B43" w14:textId="7777777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Анализ на секторни стратегически документи, свързани с морското пространствено планиране;</w:t>
            </w:r>
          </w:p>
          <w:p w14:paraId="33068AB6" w14:textId="0923EDBE"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Контролни листове на оценяващите експерти</w:t>
            </w:r>
          </w:p>
        </w:tc>
      </w:tr>
      <w:tr w:rsidR="00D44027" w:rsidRPr="00610B1B" w14:paraId="17ECC80A" w14:textId="77777777" w:rsidTr="00537D06">
        <w:tc>
          <w:tcPr>
            <w:tcW w:w="550" w:type="dxa"/>
            <w:vAlign w:val="center"/>
          </w:tcPr>
          <w:p w14:paraId="74041DD8" w14:textId="344EB0CC" w:rsidR="00D44027" w:rsidRPr="00610B1B" w:rsidRDefault="00D4402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3.</w:t>
            </w:r>
          </w:p>
        </w:tc>
        <w:tc>
          <w:tcPr>
            <w:tcW w:w="2422" w:type="dxa"/>
            <w:vAlign w:val="center"/>
          </w:tcPr>
          <w:p w14:paraId="5CF9CDD2" w14:textId="1654CDD1" w:rsidR="00D44027" w:rsidRPr="00610B1B" w:rsidRDefault="00D4402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Разработени Правила и процедури за </w:t>
            </w:r>
            <w:r w:rsidRPr="00610B1B">
              <w:rPr>
                <w:rFonts w:ascii="Times New Roman" w:hAnsi="Times New Roman" w:cs="Times New Roman"/>
                <w:sz w:val="20"/>
                <w:szCs w:val="20"/>
                <w:lang w:val="bg-BG"/>
              </w:rPr>
              <w:lastRenderedPageBreak/>
              <w:t>наблюдение, оценка, вземане на решения и решаване на конфликти в процеса</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на прилагане на МППРБ</w:t>
            </w:r>
          </w:p>
        </w:tc>
        <w:tc>
          <w:tcPr>
            <w:tcW w:w="2210" w:type="dxa"/>
          </w:tcPr>
          <w:p w14:paraId="4444310F" w14:textId="7777777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Стратегическа цел 1</w:t>
            </w:r>
          </w:p>
          <w:p w14:paraId="7659CFEC" w14:textId="2625F1C9"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Специфична цел 1.1 и 1.3.</w:t>
            </w:r>
          </w:p>
        </w:tc>
        <w:tc>
          <w:tcPr>
            <w:tcW w:w="1866" w:type="dxa"/>
          </w:tcPr>
          <w:p w14:paraId="2CAAEE95" w14:textId="7777777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Брой </w:t>
            </w:r>
          </w:p>
          <w:p w14:paraId="6E8A7A61" w14:textId="1BD40F6D"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Правила и процедури за наблюдение, оценка, вземане на решения и решаване на конфликти в процеса</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на прилагане на МППРБ</w:t>
            </w:r>
          </w:p>
        </w:tc>
        <w:tc>
          <w:tcPr>
            <w:tcW w:w="1969" w:type="dxa"/>
          </w:tcPr>
          <w:p w14:paraId="48295C8C" w14:textId="5F6A80B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 xml:space="preserve">Анализ на актуализациите на </w:t>
            </w:r>
            <w:r w:rsidRPr="00610B1B">
              <w:rPr>
                <w:rFonts w:ascii="Times New Roman" w:hAnsi="Times New Roman" w:cs="Times New Roman"/>
                <w:sz w:val="20"/>
                <w:szCs w:val="20"/>
                <w:lang w:val="bg-BG"/>
              </w:rPr>
              <w:lastRenderedPageBreak/>
              <w:t>Правилата и процедурите за наблюдение, оценка, вземане на решения и решаване на конфликти в процеса</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на прилагане на МППРБ</w:t>
            </w:r>
          </w:p>
          <w:p w14:paraId="5185DFEF" w14:textId="75D0444B"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Нормативни документи и записи</w:t>
            </w:r>
          </w:p>
        </w:tc>
      </w:tr>
      <w:tr w:rsidR="00D44027" w:rsidRPr="00C717D0" w14:paraId="4228BFF2" w14:textId="77777777" w:rsidTr="00537D06">
        <w:tc>
          <w:tcPr>
            <w:tcW w:w="550" w:type="dxa"/>
            <w:vAlign w:val="center"/>
          </w:tcPr>
          <w:p w14:paraId="769F97DE" w14:textId="11884869" w:rsidR="00D44027" w:rsidRPr="00610B1B" w:rsidRDefault="00D4402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4.</w:t>
            </w:r>
          </w:p>
        </w:tc>
        <w:tc>
          <w:tcPr>
            <w:tcW w:w="2422" w:type="dxa"/>
            <w:vAlign w:val="center"/>
          </w:tcPr>
          <w:p w14:paraId="639204F3" w14:textId="116156B7" w:rsidR="00D44027" w:rsidRPr="00610B1B" w:rsidRDefault="00D4402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Изготвен План за прилагане, мониторинг и оценка на МППРБ</w:t>
            </w:r>
          </w:p>
        </w:tc>
        <w:tc>
          <w:tcPr>
            <w:tcW w:w="2210" w:type="dxa"/>
          </w:tcPr>
          <w:p w14:paraId="5D33EF4C" w14:textId="77777777"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1</w:t>
            </w:r>
          </w:p>
          <w:p w14:paraId="73D4CE4B" w14:textId="2C70304B"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Специфична цел 1.1 и 1.3.</w:t>
            </w:r>
          </w:p>
        </w:tc>
        <w:tc>
          <w:tcPr>
            <w:tcW w:w="1866" w:type="dxa"/>
          </w:tcPr>
          <w:p w14:paraId="45FB024A" w14:textId="0308723E"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извършени вътрешни/външни оценки на МППРБ</w:t>
            </w:r>
          </w:p>
        </w:tc>
        <w:tc>
          <w:tcPr>
            <w:tcW w:w="1969" w:type="dxa"/>
          </w:tcPr>
          <w:p w14:paraId="4993B237" w14:textId="74DCC5A3" w:rsidR="00D44027" w:rsidRPr="00610B1B" w:rsidRDefault="00D44027"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Мониторинг и оценки на МППРБ</w:t>
            </w:r>
          </w:p>
        </w:tc>
      </w:tr>
      <w:tr w:rsidR="00847791" w:rsidRPr="00C717D0" w14:paraId="5FC36D56" w14:textId="77777777" w:rsidTr="00537D06">
        <w:tc>
          <w:tcPr>
            <w:tcW w:w="550" w:type="dxa"/>
            <w:vAlign w:val="center"/>
          </w:tcPr>
          <w:p w14:paraId="1FE69623" w14:textId="6485F6F9" w:rsidR="00847791" w:rsidRPr="00610B1B" w:rsidRDefault="0084779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5.</w:t>
            </w:r>
          </w:p>
        </w:tc>
        <w:tc>
          <w:tcPr>
            <w:tcW w:w="2422" w:type="dxa"/>
            <w:vAlign w:val="center"/>
          </w:tcPr>
          <w:p w14:paraId="6C1A77D5" w14:textId="2709D46A" w:rsidR="00847791" w:rsidRPr="00610B1B" w:rsidRDefault="0084779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Създадени нови слоеве към ГИС база данни, свързани с оценка на резултатите от МППРБ</w:t>
            </w:r>
          </w:p>
        </w:tc>
        <w:tc>
          <w:tcPr>
            <w:tcW w:w="2210" w:type="dxa"/>
          </w:tcPr>
          <w:p w14:paraId="03BDF69E" w14:textId="77777777"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1</w:t>
            </w:r>
          </w:p>
          <w:p w14:paraId="4E740C48" w14:textId="62D8C5B2"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Специфична цел 1.4 </w:t>
            </w:r>
          </w:p>
        </w:tc>
        <w:tc>
          <w:tcPr>
            <w:tcW w:w="1866" w:type="dxa"/>
          </w:tcPr>
          <w:p w14:paraId="55080131" w14:textId="6F7CB444"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новосъздадени слоеве</w:t>
            </w:r>
          </w:p>
        </w:tc>
        <w:tc>
          <w:tcPr>
            <w:tcW w:w="1969" w:type="dxa"/>
          </w:tcPr>
          <w:p w14:paraId="2F22A93E" w14:textId="7188A2EA" w:rsidR="00847791"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ГИС база данни на МППРБ</w:t>
            </w:r>
          </w:p>
        </w:tc>
      </w:tr>
      <w:tr w:rsidR="00D4156A" w:rsidRPr="00C717D0" w14:paraId="7497E206" w14:textId="77777777" w:rsidTr="00537D06">
        <w:tc>
          <w:tcPr>
            <w:tcW w:w="550" w:type="dxa"/>
            <w:vAlign w:val="center"/>
          </w:tcPr>
          <w:p w14:paraId="0E874890" w14:textId="51F9BC7D"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6.</w:t>
            </w:r>
          </w:p>
        </w:tc>
        <w:tc>
          <w:tcPr>
            <w:tcW w:w="2422" w:type="dxa"/>
            <w:vAlign w:val="center"/>
          </w:tcPr>
          <w:p w14:paraId="76F783CB" w14:textId="1244AAE5"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Ресурсно осигуряване на приложението на МППРБ – човешки, финансови и технически ресурси</w:t>
            </w:r>
          </w:p>
        </w:tc>
        <w:tc>
          <w:tcPr>
            <w:tcW w:w="2210" w:type="dxa"/>
          </w:tcPr>
          <w:p w14:paraId="6084BF5C" w14:textId="77777777"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1</w:t>
            </w:r>
          </w:p>
          <w:p w14:paraId="1087E787" w14:textId="5FAE1864"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Специфична цел 1.4 </w:t>
            </w:r>
          </w:p>
        </w:tc>
        <w:tc>
          <w:tcPr>
            <w:tcW w:w="1866" w:type="dxa"/>
          </w:tcPr>
          <w:p w14:paraId="728EC33C" w14:textId="77777777"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служители на институции, заети с осигуряване приложението на МППРБ</w:t>
            </w:r>
          </w:p>
          <w:p w14:paraId="69E4D66C" w14:textId="69AF5F6F"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Финансови ресурси, свързани с приложението на МППРБ</w:t>
            </w:r>
          </w:p>
          <w:p w14:paraId="0B02D05E" w14:textId="0F9687FE"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Технически ресурси, свързани с приложението на МППРБ </w:t>
            </w:r>
          </w:p>
          <w:p w14:paraId="48C9E55B" w14:textId="67DAEA96"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в периода до 2025 и до 2029 г.</w:t>
            </w:r>
          </w:p>
        </w:tc>
        <w:tc>
          <w:tcPr>
            <w:tcW w:w="1969" w:type="dxa"/>
          </w:tcPr>
          <w:p w14:paraId="0470C08F" w14:textId="4C929DFE"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Отчетност на отговорните институции за прилагане на МППРБ</w:t>
            </w:r>
          </w:p>
        </w:tc>
      </w:tr>
      <w:tr w:rsidR="00847791" w:rsidRPr="00C717D0" w14:paraId="7F4D31FC" w14:textId="77777777" w:rsidTr="00537D06">
        <w:tc>
          <w:tcPr>
            <w:tcW w:w="550" w:type="dxa"/>
            <w:vAlign w:val="center"/>
          </w:tcPr>
          <w:p w14:paraId="13CA484D" w14:textId="278851AD" w:rsidR="00847791" w:rsidRPr="00610B1B" w:rsidRDefault="0084779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7.</w:t>
            </w:r>
          </w:p>
        </w:tc>
        <w:tc>
          <w:tcPr>
            <w:tcW w:w="2422" w:type="dxa"/>
            <w:vAlign w:val="center"/>
          </w:tcPr>
          <w:p w14:paraId="524469CB" w14:textId="3582EA6F" w:rsidR="00847791" w:rsidRPr="00610B1B" w:rsidRDefault="0084779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Подобрено знание, отговорност, публично участие и подкрепа за МППРБ</w:t>
            </w:r>
          </w:p>
        </w:tc>
        <w:tc>
          <w:tcPr>
            <w:tcW w:w="2210" w:type="dxa"/>
          </w:tcPr>
          <w:p w14:paraId="73463463" w14:textId="77777777"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1</w:t>
            </w:r>
          </w:p>
          <w:p w14:paraId="259B76F3" w14:textId="6754BA2A"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Специфична цел 1.4 </w:t>
            </w:r>
          </w:p>
        </w:tc>
        <w:tc>
          <w:tcPr>
            <w:tcW w:w="1866" w:type="dxa"/>
          </w:tcPr>
          <w:p w14:paraId="582F18D3" w14:textId="2E7E07E6" w:rsidR="00847791" w:rsidRPr="00610B1B" w:rsidRDefault="00847791"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проведени публични консултации</w:t>
            </w:r>
          </w:p>
        </w:tc>
        <w:tc>
          <w:tcPr>
            <w:tcW w:w="1969" w:type="dxa"/>
          </w:tcPr>
          <w:p w14:paraId="21D83A9C" w14:textId="44C87FA3" w:rsidR="00847791"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Процес на изготвяне на МППРБ</w:t>
            </w:r>
          </w:p>
        </w:tc>
      </w:tr>
      <w:bookmarkEnd w:id="508"/>
    </w:tbl>
    <w:p w14:paraId="11C26145" w14:textId="77777777" w:rsidR="009918C6" w:rsidRPr="00390518" w:rsidRDefault="009918C6" w:rsidP="009918C6">
      <w:pPr>
        <w:pStyle w:val="Default"/>
        <w:rPr>
          <w:rFonts w:cs="Times New Roman"/>
          <w:lang w:val="bg-BG"/>
        </w:rPr>
      </w:pPr>
    </w:p>
    <w:p w14:paraId="6C5EB77C" w14:textId="42F6D125" w:rsidR="004E16AF" w:rsidRPr="00610B1B" w:rsidRDefault="004E16AF" w:rsidP="009918C6">
      <w:pPr>
        <w:pStyle w:val="Heading3"/>
        <w:numPr>
          <w:ilvl w:val="0"/>
          <w:numId w:val="0"/>
        </w:numPr>
        <w:spacing w:before="240" w:line="276" w:lineRule="auto"/>
        <w:rPr>
          <w:rFonts w:cs="Times New Roman"/>
        </w:rPr>
      </w:pPr>
      <w:bookmarkStart w:id="509" w:name="_Toc83391444"/>
      <w:r w:rsidRPr="00610B1B">
        <w:rPr>
          <w:rFonts w:cs="Times New Roman"/>
        </w:rPr>
        <w:t>7.4.2. Социално-икономически индикатори</w:t>
      </w:r>
      <w:bookmarkEnd w:id="509"/>
    </w:p>
    <w:p w14:paraId="1D3C7566" w14:textId="6238F1C9" w:rsidR="00482912" w:rsidRPr="00610B1B" w:rsidRDefault="00482912" w:rsidP="00D32D6A">
      <w:pPr>
        <w:pStyle w:val="BodyText"/>
        <w:spacing w:before="0" w:after="120" w:line="276" w:lineRule="auto"/>
        <w:rPr>
          <w:rFonts w:cs="Times New Roman"/>
        </w:rPr>
      </w:pPr>
      <w:r w:rsidRPr="00610B1B">
        <w:rPr>
          <w:rFonts w:cs="Times New Roman"/>
          <w:i/>
          <w:iCs/>
        </w:rPr>
        <w:t>Социално-икономическите индикатори</w:t>
      </w:r>
      <w:r w:rsidRPr="00610B1B">
        <w:rPr>
          <w:rFonts w:cs="Times New Roman"/>
        </w:rPr>
        <w:t xml:space="preserve"> отразяват състоянието на морската икономика и приноса на отделни нейни сектори към икономическото развитие на страната,</w:t>
      </w:r>
      <w:r w:rsidR="00D66FE0" w:rsidRPr="00610B1B">
        <w:rPr>
          <w:rFonts w:cs="Times New Roman"/>
        </w:rPr>
        <w:t xml:space="preserve"> </w:t>
      </w:r>
      <w:r w:rsidRPr="00610B1B">
        <w:rPr>
          <w:rFonts w:cs="Times New Roman"/>
        </w:rPr>
        <w:t>промените в качеството на живот и на околната среда, ползите от екосистемните услуги.</w:t>
      </w:r>
      <w:r w:rsidR="004040E6" w:rsidRPr="00610B1B">
        <w:rPr>
          <w:rFonts w:cs="Times New Roman"/>
        </w:rPr>
        <w:t xml:space="preserve"> Тази група индикатори се </w:t>
      </w:r>
      <w:r w:rsidR="00ED0123" w:rsidRPr="00610B1B">
        <w:rPr>
          <w:rFonts w:cs="Times New Roman"/>
        </w:rPr>
        <w:t>свързва</w:t>
      </w:r>
      <w:r w:rsidR="004040E6" w:rsidRPr="00610B1B">
        <w:rPr>
          <w:rFonts w:cs="Times New Roman"/>
        </w:rPr>
        <w:t xml:space="preserve"> със Стратегически цели 2 и 3.</w:t>
      </w:r>
    </w:p>
    <w:p w14:paraId="214B473C" w14:textId="594A525E" w:rsidR="006F076F" w:rsidRPr="00610B1B" w:rsidRDefault="00962DE7" w:rsidP="00D32D6A">
      <w:pPr>
        <w:pStyle w:val="BodyText"/>
        <w:spacing w:before="0" w:after="120" w:line="276" w:lineRule="auto"/>
        <w:rPr>
          <w:rFonts w:cs="Times New Roman"/>
        </w:rPr>
      </w:pPr>
      <w:bookmarkStart w:id="510" w:name="_Toc83391617"/>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21</w:t>
      </w:r>
      <w:r w:rsidRPr="00610B1B">
        <w:rPr>
          <w:rFonts w:cs="Times New Roman"/>
        </w:rPr>
        <w:fldChar w:fldCharType="end"/>
      </w:r>
      <w:r w:rsidRPr="00610B1B">
        <w:rPr>
          <w:rFonts w:cs="Times New Roman"/>
        </w:rPr>
        <w:t xml:space="preserve">: </w:t>
      </w:r>
      <w:r w:rsidR="006F076F" w:rsidRPr="00610B1B">
        <w:rPr>
          <w:rFonts w:cs="Times New Roman"/>
        </w:rPr>
        <w:t>Социално-икономически индикатори</w:t>
      </w:r>
      <w:bookmarkEnd w:id="510"/>
    </w:p>
    <w:tbl>
      <w:tblPr>
        <w:tblStyle w:val="TableGrid"/>
        <w:tblW w:w="9575" w:type="dxa"/>
        <w:tblInd w:w="-289"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498"/>
        <w:gridCol w:w="2439"/>
        <w:gridCol w:w="2030"/>
        <w:gridCol w:w="2674"/>
        <w:gridCol w:w="1934"/>
      </w:tblGrid>
      <w:tr w:rsidR="00C04CC4" w:rsidRPr="00610B1B" w14:paraId="4388A535" w14:textId="77777777" w:rsidTr="00E72C84">
        <w:trPr>
          <w:tblHeader/>
        </w:trPr>
        <w:tc>
          <w:tcPr>
            <w:tcW w:w="498" w:type="dxa"/>
            <w:shd w:val="clear" w:color="auto" w:fill="C6D9F1" w:themeFill="text2" w:themeFillTint="33"/>
            <w:vAlign w:val="center"/>
          </w:tcPr>
          <w:p w14:paraId="475D0C42" w14:textId="77777777" w:rsidR="006F076F" w:rsidRPr="00610B1B" w:rsidRDefault="006F076F" w:rsidP="00D32D6A">
            <w:pPr>
              <w:jc w:val="center"/>
              <w:rPr>
                <w:rFonts w:ascii="Times New Roman" w:hAnsi="Times New Roman" w:cs="Times New Roman"/>
                <w:b/>
                <w:bCs/>
                <w:lang w:val="bg-BG"/>
              </w:rPr>
            </w:pPr>
            <w:r w:rsidRPr="00610B1B">
              <w:rPr>
                <w:rFonts w:ascii="Times New Roman" w:hAnsi="Times New Roman" w:cs="Times New Roman"/>
                <w:b/>
                <w:bCs/>
                <w:lang w:val="bg-BG"/>
              </w:rPr>
              <w:t>№</w:t>
            </w:r>
          </w:p>
        </w:tc>
        <w:tc>
          <w:tcPr>
            <w:tcW w:w="2439" w:type="dxa"/>
            <w:shd w:val="clear" w:color="auto" w:fill="C6D9F1" w:themeFill="text2" w:themeFillTint="33"/>
            <w:vAlign w:val="center"/>
          </w:tcPr>
          <w:p w14:paraId="6B1324E0" w14:textId="76DB40CA" w:rsidR="00C04CC4" w:rsidRPr="00610B1B" w:rsidRDefault="00C04CC4" w:rsidP="00D32D6A">
            <w:pPr>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Синтезен</w:t>
            </w:r>
          </w:p>
          <w:p w14:paraId="57AC0A28" w14:textId="0F73DDDD" w:rsidR="006F076F" w:rsidRPr="00610B1B" w:rsidRDefault="00C04CC4" w:rsidP="00D32D6A">
            <w:pPr>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и</w:t>
            </w:r>
            <w:r w:rsidR="006F076F" w:rsidRPr="00610B1B">
              <w:rPr>
                <w:rFonts w:ascii="Times New Roman" w:hAnsi="Times New Roman" w:cs="Times New Roman"/>
                <w:b/>
                <w:bCs/>
                <w:sz w:val="20"/>
                <w:szCs w:val="20"/>
                <w:lang w:val="bg-BG"/>
              </w:rPr>
              <w:t>ндикатор</w:t>
            </w:r>
          </w:p>
        </w:tc>
        <w:tc>
          <w:tcPr>
            <w:tcW w:w="2030" w:type="dxa"/>
            <w:shd w:val="clear" w:color="auto" w:fill="C6D9F1" w:themeFill="text2" w:themeFillTint="33"/>
            <w:vAlign w:val="center"/>
          </w:tcPr>
          <w:p w14:paraId="7E0E73A0" w14:textId="33727271" w:rsidR="006F076F" w:rsidRPr="00610B1B" w:rsidRDefault="006F076F" w:rsidP="00D32D6A">
            <w:pPr>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Връзка със стратегически цели</w:t>
            </w:r>
          </w:p>
        </w:tc>
        <w:tc>
          <w:tcPr>
            <w:tcW w:w="2674" w:type="dxa"/>
            <w:shd w:val="clear" w:color="auto" w:fill="C6D9F1" w:themeFill="text2" w:themeFillTint="33"/>
            <w:vAlign w:val="center"/>
          </w:tcPr>
          <w:p w14:paraId="0B76ABD4" w14:textId="77777777" w:rsidR="006F076F" w:rsidRPr="00610B1B" w:rsidRDefault="006F076F" w:rsidP="00D32D6A">
            <w:pPr>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Показатели</w:t>
            </w:r>
          </w:p>
        </w:tc>
        <w:tc>
          <w:tcPr>
            <w:tcW w:w="1934" w:type="dxa"/>
            <w:shd w:val="clear" w:color="auto" w:fill="C6D9F1" w:themeFill="text2" w:themeFillTint="33"/>
            <w:vAlign w:val="center"/>
          </w:tcPr>
          <w:p w14:paraId="62AA8A4D" w14:textId="77777777" w:rsidR="006F076F" w:rsidRPr="00610B1B" w:rsidRDefault="006F076F" w:rsidP="00D32D6A">
            <w:pPr>
              <w:jc w:val="center"/>
              <w:rPr>
                <w:rFonts w:ascii="Times New Roman" w:hAnsi="Times New Roman" w:cs="Times New Roman"/>
                <w:b/>
                <w:bCs/>
                <w:sz w:val="20"/>
                <w:szCs w:val="20"/>
                <w:lang w:val="bg-BG"/>
              </w:rPr>
            </w:pPr>
            <w:r w:rsidRPr="00610B1B">
              <w:rPr>
                <w:rFonts w:ascii="Times New Roman" w:hAnsi="Times New Roman" w:cs="Times New Roman"/>
                <w:b/>
                <w:bCs/>
                <w:sz w:val="20"/>
                <w:szCs w:val="20"/>
                <w:lang w:val="bg-BG"/>
              </w:rPr>
              <w:t>Информационна осигуреност</w:t>
            </w:r>
          </w:p>
        </w:tc>
      </w:tr>
      <w:tr w:rsidR="00C04CC4" w:rsidRPr="00610B1B" w14:paraId="18165E40" w14:textId="77777777" w:rsidTr="00E72C84">
        <w:tc>
          <w:tcPr>
            <w:tcW w:w="498" w:type="dxa"/>
            <w:vAlign w:val="center"/>
          </w:tcPr>
          <w:p w14:paraId="6C36B80B" w14:textId="77777777"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1.</w:t>
            </w:r>
          </w:p>
        </w:tc>
        <w:tc>
          <w:tcPr>
            <w:tcW w:w="2439" w:type="dxa"/>
            <w:vAlign w:val="center"/>
          </w:tcPr>
          <w:p w14:paraId="0A3F7D61" w14:textId="76D1998C"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Принос на сектори</w:t>
            </w:r>
            <w:r w:rsidR="005C76F0" w:rsidRPr="00610B1B">
              <w:rPr>
                <w:rFonts w:ascii="Times New Roman" w:hAnsi="Times New Roman" w:cs="Times New Roman"/>
                <w:sz w:val="20"/>
                <w:szCs w:val="20"/>
                <w:lang w:val="bg-BG"/>
              </w:rPr>
              <w:t>те</w:t>
            </w:r>
            <w:r w:rsidRPr="00610B1B">
              <w:rPr>
                <w:rFonts w:ascii="Times New Roman" w:hAnsi="Times New Roman" w:cs="Times New Roman"/>
                <w:sz w:val="20"/>
                <w:szCs w:val="20"/>
                <w:lang w:val="bg-BG"/>
              </w:rPr>
              <w:t xml:space="preserve"> на морската икономика </w:t>
            </w:r>
          </w:p>
        </w:tc>
        <w:tc>
          <w:tcPr>
            <w:tcW w:w="2030" w:type="dxa"/>
          </w:tcPr>
          <w:p w14:paraId="5659F17E" w14:textId="77777777"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2</w:t>
            </w:r>
          </w:p>
          <w:p w14:paraId="2BE0BD1F" w14:textId="53924610"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Специфична цел 2.1</w:t>
            </w:r>
          </w:p>
        </w:tc>
        <w:tc>
          <w:tcPr>
            <w:tcW w:w="2674" w:type="dxa"/>
          </w:tcPr>
          <w:p w14:paraId="67C4185D" w14:textId="260C2CAD"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БДС на сектори от морската икономика</w:t>
            </w:r>
          </w:p>
        </w:tc>
        <w:tc>
          <w:tcPr>
            <w:tcW w:w="1934" w:type="dxa"/>
          </w:tcPr>
          <w:p w14:paraId="68E79A46" w14:textId="0C1468DD"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НСИ</w:t>
            </w:r>
          </w:p>
        </w:tc>
      </w:tr>
      <w:tr w:rsidR="00C04CC4" w:rsidRPr="00610B1B" w14:paraId="6B4C076C" w14:textId="77777777" w:rsidTr="00E72C84">
        <w:tc>
          <w:tcPr>
            <w:tcW w:w="498" w:type="dxa"/>
            <w:vAlign w:val="center"/>
          </w:tcPr>
          <w:p w14:paraId="2D2A8987" w14:textId="77777777"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2.</w:t>
            </w:r>
          </w:p>
        </w:tc>
        <w:tc>
          <w:tcPr>
            <w:tcW w:w="2439" w:type="dxa"/>
            <w:vAlign w:val="center"/>
          </w:tcPr>
          <w:p w14:paraId="53EAD66F" w14:textId="02B58824"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Увеличени инвестиции в сектори на морската икономика</w:t>
            </w:r>
          </w:p>
        </w:tc>
        <w:tc>
          <w:tcPr>
            <w:tcW w:w="2030" w:type="dxa"/>
          </w:tcPr>
          <w:p w14:paraId="0607A7C7" w14:textId="77777777"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2</w:t>
            </w:r>
          </w:p>
          <w:p w14:paraId="450C7259" w14:textId="6EBC2753"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Специфични цели 2.1, 2.2, 2.3 и 2.4</w:t>
            </w:r>
          </w:p>
        </w:tc>
        <w:tc>
          <w:tcPr>
            <w:tcW w:w="2674" w:type="dxa"/>
          </w:tcPr>
          <w:p w14:paraId="098BA3C4" w14:textId="2AAFEFA4"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Разходи за ДМА в сектори на морската икономика</w:t>
            </w:r>
          </w:p>
        </w:tc>
        <w:tc>
          <w:tcPr>
            <w:tcW w:w="1934" w:type="dxa"/>
          </w:tcPr>
          <w:p w14:paraId="4D164B1A" w14:textId="2CEB2A54"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НСИ</w:t>
            </w:r>
          </w:p>
        </w:tc>
      </w:tr>
      <w:tr w:rsidR="00C04CC4" w:rsidRPr="00610B1B" w14:paraId="359CF904" w14:textId="77777777" w:rsidTr="00E72C84">
        <w:tc>
          <w:tcPr>
            <w:tcW w:w="498" w:type="dxa"/>
            <w:vAlign w:val="center"/>
          </w:tcPr>
          <w:p w14:paraId="5EC5B869" w14:textId="77777777"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3.</w:t>
            </w:r>
          </w:p>
        </w:tc>
        <w:tc>
          <w:tcPr>
            <w:tcW w:w="2439" w:type="dxa"/>
            <w:vAlign w:val="center"/>
          </w:tcPr>
          <w:p w14:paraId="62408FD9" w14:textId="555CE343" w:rsidR="00D4156A" w:rsidRPr="00610B1B" w:rsidRDefault="00D4156A"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Стабилизирана и идентифицирана заетост в сектори на морската икономика</w:t>
            </w:r>
          </w:p>
        </w:tc>
        <w:tc>
          <w:tcPr>
            <w:tcW w:w="2030" w:type="dxa"/>
          </w:tcPr>
          <w:p w14:paraId="54C39DE6" w14:textId="170EBB33"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2</w:t>
            </w:r>
          </w:p>
          <w:p w14:paraId="3AF4EA50" w14:textId="08654142" w:rsidR="00D4156A" w:rsidRPr="00610B1B" w:rsidRDefault="00D4156A" w:rsidP="00D32D6A">
            <w:pPr>
              <w:rPr>
                <w:rFonts w:ascii="Times New Roman" w:hAnsi="Times New Roman" w:cs="Times New Roman"/>
                <w:sz w:val="20"/>
                <w:szCs w:val="20"/>
                <w:lang w:val="bg-BG"/>
              </w:rPr>
            </w:pPr>
          </w:p>
        </w:tc>
        <w:tc>
          <w:tcPr>
            <w:tcW w:w="2674" w:type="dxa"/>
          </w:tcPr>
          <w:p w14:paraId="0C0842D8" w14:textId="77777777"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заети лица в сектори на морската икономика</w:t>
            </w:r>
          </w:p>
          <w:p w14:paraId="60CDDD2C" w14:textId="57D4630E"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Равнище на безработица в крайбрежните общини</w:t>
            </w:r>
          </w:p>
        </w:tc>
        <w:tc>
          <w:tcPr>
            <w:tcW w:w="1934" w:type="dxa"/>
          </w:tcPr>
          <w:p w14:paraId="54AAC038" w14:textId="1DF6D92D" w:rsidR="00D4156A" w:rsidRPr="00610B1B" w:rsidRDefault="00D4156A"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НСИ</w:t>
            </w:r>
          </w:p>
        </w:tc>
      </w:tr>
      <w:tr w:rsidR="00C04CC4" w:rsidRPr="00C717D0" w14:paraId="1587EC92" w14:textId="77777777" w:rsidTr="00E72C84">
        <w:tc>
          <w:tcPr>
            <w:tcW w:w="498" w:type="dxa"/>
            <w:vAlign w:val="center"/>
          </w:tcPr>
          <w:p w14:paraId="6209CBAB" w14:textId="77777777"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4.</w:t>
            </w:r>
          </w:p>
        </w:tc>
        <w:tc>
          <w:tcPr>
            <w:tcW w:w="2439" w:type="dxa"/>
            <w:vAlign w:val="center"/>
          </w:tcPr>
          <w:p w14:paraId="2CD74852" w14:textId="183C3E97"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Новоразкрити работни места в сектори на морската икономика</w:t>
            </w:r>
          </w:p>
        </w:tc>
        <w:tc>
          <w:tcPr>
            <w:tcW w:w="2030" w:type="dxa"/>
          </w:tcPr>
          <w:p w14:paraId="28F83494"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Стратегическа цел 2, всички специфични цели; </w:t>
            </w:r>
          </w:p>
          <w:p w14:paraId="0BCAAF9D" w14:textId="1797788B"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Стратегическа цел 4, Специфична цел 4.3. </w:t>
            </w:r>
          </w:p>
        </w:tc>
        <w:tc>
          <w:tcPr>
            <w:tcW w:w="2674" w:type="dxa"/>
          </w:tcPr>
          <w:p w14:paraId="79BFC1F8" w14:textId="4AC95E99"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новоразкрити работни места общо и по сектори</w:t>
            </w:r>
          </w:p>
        </w:tc>
        <w:tc>
          <w:tcPr>
            <w:tcW w:w="1934" w:type="dxa"/>
          </w:tcPr>
          <w:p w14:paraId="4C81402D" w14:textId="2D4F8DCB"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НСИ, регионални служби по заетостта </w:t>
            </w:r>
          </w:p>
        </w:tc>
      </w:tr>
      <w:tr w:rsidR="00C04CC4" w:rsidRPr="00610B1B" w14:paraId="1273746E" w14:textId="77777777" w:rsidTr="00E72C84">
        <w:tc>
          <w:tcPr>
            <w:tcW w:w="498" w:type="dxa"/>
            <w:vAlign w:val="center"/>
          </w:tcPr>
          <w:p w14:paraId="1A8B57EF" w14:textId="77777777"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5.</w:t>
            </w:r>
          </w:p>
        </w:tc>
        <w:tc>
          <w:tcPr>
            <w:tcW w:w="2439" w:type="dxa"/>
            <w:vAlign w:val="center"/>
          </w:tcPr>
          <w:p w14:paraId="6EB93CD2" w14:textId="40FC39D0"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Стабилизиране на населението в крайбрежните общини</w:t>
            </w:r>
          </w:p>
        </w:tc>
        <w:tc>
          <w:tcPr>
            <w:tcW w:w="2030" w:type="dxa"/>
          </w:tcPr>
          <w:p w14:paraId="051BF242" w14:textId="5FFF78F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2</w:t>
            </w:r>
          </w:p>
        </w:tc>
        <w:tc>
          <w:tcPr>
            <w:tcW w:w="2674" w:type="dxa"/>
          </w:tcPr>
          <w:p w14:paraId="101955D4"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население в крайбрежните общини</w:t>
            </w:r>
          </w:p>
          <w:p w14:paraId="1C296FFF" w14:textId="36FE5239"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Коефициент на възрастова зависимост в крайбрежните общини</w:t>
            </w:r>
          </w:p>
        </w:tc>
        <w:tc>
          <w:tcPr>
            <w:tcW w:w="1934" w:type="dxa"/>
          </w:tcPr>
          <w:p w14:paraId="7CBA4EF1" w14:textId="69549004"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НСИ</w:t>
            </w:r>
          </w:p>
        </w:tc>
      </w:tr>
      <w:tr w:rsidR="00C04CC4" w:rsidRPr="00610B1B" w14:paraId="54FCD210" w14:textId="77777777" w:rsidTr="00E72C84">
        <w:tc>
          <w:tcPr>
            <w:tcW w:w="498" w:type="dxa"/>
            <w:vAlign w:val="center"/>
          </w:tcPr>
          <w:p w14:paraId="7246639E" w14:textId="77777777"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6.</w:t>
            </w:r>
          </w:p>
        </w:tc>
        <w:tc>
          <w:tcPr>
            <w:tcW w:w="2439" w:type="dxa"/>
            <w:vAlign w:val="center"/>
          </w:tcPr>
          <w:p w14:paraId="1168A56E" w14:textId="7BDA3B54"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Намалени вътрешнорегионални различия в доходите на </w:t>
            </w:r>
            <w:r w:rsidR="00ED0123" w:rsidRPr="00610B1B">
              <w:rPr>
                <w:rFonts w:ascii="Times New Roman" w:hAnsi="Times New Roman" w:cs="Times New Roman"/>
                <w:sz w:val="20"/>
                <w:szCs w:val="20"/>
                <w:lang w:val="bg-BG"/>
              </w:rPr>
              <w:t>населението</w:t>
            </w:r>
          </w:p>
        </w:tc>
        <w:tc>
          <w:tcPr>
            <w:tcW w:w="2030" w:type="dxa"/>
          </w:tcPr>
          <w:p w14:paraId="5075C853" w14:textId="6C25D054"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2, всички специфични цели</w:t>
            </w:r>
          </w:p>
        </w:tc>
        <w:tc>
          <w:tcPr>
            <w:tcW w:w="2674" w:type="dxa"/>
          </w:tcPr>
          <w:p w14:paraId="073A959F"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Средна работна заплата на заетите в крайбрежните общините</w:t>
            </w:r>
          </w:p>
          <w:p w14:paraId="6D8AB1AD"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Среден годишен доход на човек от населението в крайбрежни области</w:t>
            </w:r>
          </w:p>
          <w:p w14:paraId="519308C5" w14:textId="7CCF2D89"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Вариация на доходите от работна заплата в крайбрежните общини</w:t>
            </w:r>
          </w:p>
        </w:tc>
        <w:tc>
          <w:tcPr>
            <w:tcW w:w="1934" w:type="dxa"/>
          </w:tcPr>
          <w:p w14:paraId="10C447A2" w14:textId="407A3ABC"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НСИ</w:t>
            </w:r>
          </w:p>
        </w:tc>
      </w:tr>
      <w:tr w:rsidR="00C04CC4" w:rsidRPr="00610B1B" w14:paraId="3E7E4C79" w14:textId="77777777" w:rsidTr="00E72C84">
        <w:tc>
          <w:tcPr>
            <w:tcW w:w="498" w:type="dxa"/>
            <w:vAlign w:val="center"/>
          </w:tcPr>
          <w:p w14:paraId="0213A335" w14:textId="5BAADBF7"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7.</w:t>
            </w:r>
          </w:p>
        </w:tc>
        <w:tc>
          <w:tcPr>
            <w:tcW w:w="2439" w:type="dxa"/>
            <w:vAlign w:val="center"/>
          </w:tcPr>
          <w:p w14:paraId="4668D13D" w14:textId="150E69C6"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Създадени центрове за иновации и върхови постижения, свързани с морската икономика</w:t>
            </w:r>
          </w:p>
        </w:tc>
        <w:tc>
          <w:tcPr>
            <w:tcW w:w="2030" w:type="dxa"/>
          </w:tcPr>
          <w:p w14:paraId="51655002" w14:textId="2C2C275A"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3, Специфична цел 3.1.</w:t>
            </w:r>
          </w:p>
        </w:tc>
        <w:tc>
          <w:tcPr>
            <w:tcW w:w="2674" w:type="dxa"/>
          </w:tcPr>
          <w:p w14:paraId="36BB3A2A" w14:textId="0C9102F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създадени центрове за иновации и върхови постижения, свързани с морската икономика</w:t>
            </w:r>
          </w:p>
        </w:tc>
        <w:tc>
          <w:tcPr>
            <w:tcW w:w="1934" w:type="dxa"/>
          </w:tcPr>
          <w:p w14:paraId="1E70D890"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МИ, </w:t>
            </w:r>
          </w:p>
          <w:p w14:paraId="47B32424" w14:textId="3B08B2EF"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морски общини</w:t>
            </w:r>
          </w:p>
        </w:tc>
      </w:tr>
      <w:tr w:rsidR="00C04CC4" w:rsidRPr="00C717D0" w14:paraId="6A7ACDF7" w14:textId="77777777" w:rsidTr="00E72C84">
        <w:tc>
          <w:tcPr>
            <w:tcW w:w="498" w:type="dxa"/>
            <w:vAlign w:val="center"/>
          </w:tcPr>
          <w:p w14:paraId="7C4E6519" w14:textId="6FDCD21B"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8. </w:t>
            </w:r>
          </w:p>
        </w:tc>
        <w:tc>
          <w:tcPr>
            <w:tcW w:w="2439" w:type="dxa"/>
            <w:vAlign w:val="center"/>
          </w:tcPr>
          <w:p w14:paraId="668959E1" w14:textId="44F6D649"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Развит научноизследователски капацитет в сектори на морската икономика</w:t>
            </w:r>
          </w:p>
        </w:tc>
        <w:tc>
          <w:tcPr>
            <w:tcW w:w="2030" w:type="dxa"/>
          </w:tcPr>
          <w:p w14:paraId="3E49F8DC" w14:textId="0AB2A1E2"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3, Специфична цел 3.1., 3.2</w:t>
            </w:r>
          </w:p>
        </w:tc>
        <w:tc>
          <w:tcPr>
            <w:tcW w:w="2674" w:type="dxa"/>
          </w:tcPr>
          <w:p w14:paraId="36DCEDE2" w14:textId="526FD844"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Персонал, зает в</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НИРД в сектори на морската икономика</w:t>
            </w:r>
          </w:p>
        </w:tc>
        <w:tc>
          <w:tcPr>
            <w:tcW w:w="1934" w:type="dxa"/>
          </w:tcPr>
          <w:p w14:paraId="549EC866" w14:textId="763317A5"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НСИ, Обл. администрации Варна и Бургас, морски общини</w:t>
            </w:r>
          </w:p>
        </w:tc>
      </w:tr>
      <w:tr w:rsidR="00C04CC4" w:rsidRPr="00610B1B" w14:paraId="079D6BAA" w14:textId="77777777" w:rsidTr="00E72C84">
        <w:tc>
          <w:tcPr>
            <w:tcW w:w="498" w:type="dxa"/>
            <w:vAlign w:val="center"/>
          </w:tcPr>
          <w:p w14:paraId="71F6AEF0" w14:textId="014F0465"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9.</w:t>
            </w:r>
          </w:p>
        </w:tc>
        <w:tc>
          <w:tcPr>
            <w:tcW w:w="2439" w:type="dxa"/>
            <w:vAlign w:val="center"/>
          </w:tcPr>
          <w:p w14:paraId="1FA22F0A" w14:textId="52955C8C"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Изградено сътрудничество между бизнес, наука и образование, свързано с</w:t>
            </w:r>
            <w:r w:rsidR="00D66FE0" w:rsidRPr="00610B1B">
              <w:rPr>
                <w:rFonts w:ascii="Times New Roman" w:hAnsi="Times New Roman" w:cs="Times New Roman"/>
                <w:sz w:val="20"/>
                <w:szCs w:val="20"/>
                <w:lang w:val="bg-BG"/>
              </w:rPr>
              <w:t xml:space="preserve"> </w:t>
            </w:r>
            <w:r w:rsidRPr="00610B1B">
              <w:rPr>
                <w:rFonts w:ascii="Times New Roman" w:hAnsi="Times New Roman" w:cs="Times New Roman"/>
                <w:sz w:val="20"/>
                <w:szCs w:val="20"/>
                <w:lang w:val="bg-BG"/>
              </w:rPr>
              <w:t>морската икономика</w:t>
            </w:r>
          </w:p>
        </w:tc>
        <w:tc>
          <w:tcPr>
            <w:tcW w:w="2030" w:type="dxa"/>
          </w:tcPr>
          <w:p w14:paraId="2BF3643B" w14:textId="2A036F4D"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3, Специфична цел 3.2</w:t>
            </w:r>
          </w:p>
        </w:tc>
        <w:tc>
          <w:tcPr>
            <w:tcW w:w="2674" w:type="dxa"/>
          </w:tcPr>
          <w:p w14:paraId="47C5A364"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регистрирани инициативи/проекти между бизнес, наука и образование</w:t>
            </w:r>
          </w:p>
          <w:p w14:paraId="3358FDDB" w14:textId="01B08156"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научни публикации в области, свързани със знанието за морето</w:t>
            </w:r>
            <w:r w:rsidR="00C04CC4" w:rsidRPr="00610B1B">
              <w:rPr>
                <w:rFonts w:ascii="Times New Roman" w:hAnsi="Times New Roman" w:cs="Times New Roman"/>
                <w:sz w:val="20"/>
                <w:szCs w:val="20"/>
                <w:lang w:val="bg-BG"/>
              </w:rPr>
              <w:t xml:space="preserve"> с участие на български учени</w:t>
            </w:r>
            <w:r w:rsidRPr="00610B1B">
              <w:rPr>
                <w:rFonts w:ascii="Times New Roman" w:hAnsi="Times New Roman" w:cs="Times New Roman"/>
                <w:sz w:val="20"/>
                <w:szCs w:val="20"/>
                <w:lang w:val="bg-BG"/>
              </w:rPr>
              <w:t>.</w:t>
            </w:r>
          </w:p>
        </w:tc>
        <w:tc>
          <w:tcPr>
            <w:tcW w:w="1934" w:type="dxa"/>
          </w:tcPr>
          <w:p w14:paraId="46CE8B61" w14:textId="62161A2D"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Обл. администрации Добрич, Варна и Бургас, морски общини</w:t>
            </w:r>
          </w:p>
          <w:p w14:paraId="04F720BE" w14:textId="79A08F73" w:rsidR="00C04CC4" w:rsidRPr="00610B1B" w:rsidRDefault="00C04CC4" w:rsidP="00D32D6A">
            <w:pPr>
              <w:rPr>
                <w:rFonts w:ascii="Times New Roman" w:hAnsi="Times New Roman" w:cs="Times New Roman"/>
                <w:sz w:val="20"/>
                <w:szCs w:val="20"/>
                <w:lang w:val="bg-BG"/>
              </w:rPr>
            </w:pPr>
          </w:p>
          <w:p w14:paraId="6400710E" w14:textId="77777777" w:rsidR="00C04CC4" w:rsidRPr="00610B1B" w:rsidRDefault="00C04CC4" w:rsidP="00D32D6A">
            <w:pPr>
              <w:rPr>
                <w:rFonts w:ascii="Times New Roman" w:hAnsi="Times New Roman" w:cs="Times New Roman"/>
                <w:sz w:val="20"/>
                <w:szCs w:val="20"/>
                <w:lang w:val="bg-BG"/>
              </w:rPr>
            </w:pPr>
          </w:p>
          <w:p w14:paraId="1FAC2C6F" w14:textId="58503AFD" w:rsidR="00C04CC4" w:rsidRPr="00610B1B" w:rsidRDefault="00C04CC4" w:rsidP="00D32D6A">
            <w:pPr>
              <w:ind w:firstLine="8"/>
              <w:rPr>
                <w:rFonts w:ascii="Times New Roman" w:hAnsi="Times New Roman" w:cs="Times New Roman"/>
                <w:sz w:val="20"/>
                <w:szCs w:val="20"/>
                <w:lang w:val="bg-BG"/>
              </w:rPr>
            </w:pPr>
            <w:r w:rsidRPr="00610B1B">
              <w:rPr>
                <w:rFonts w:ascii="Times New Roman" w:hAnsi="Times New Roman" w:cs="Times New Roman"/>
                <w:sz w:val="20"/>
                <w:szCs w:val="20"/>
                <w:lang w:val="bg-BG"/>
              </w:rPr>
              <w:t>НАЦИД</w:t>
            </w:r>
          </w:p>
          <w:p w14:paraId="78325946" w14:textId="77777777" w:rsidR="00C04CC4" w:rsidRPr="00610B1B" w:rsidRDefault="00C04CC4" w:rsidP="00D32D6A">
            <w:pPr>
              <w:rPr>
                <w:rFonts w:ascii="Times New Roman" w:hAnsi="Times New Roman" w:cs="Times New Roman"/>
                <w:sz w:val="20"/>
                <w:szCs w:val="20"/>
                <w:lang w:val="bg-BG"/>
              </w:rPr>
            </w:pPr>
          </w:p>
          <w:p w14:paraId="2A13616D" w14:textId="6E51979A" w:rsidR="00C04CC4" w:rsidRPr="00610B1B" w:rsidRDefault="00C04CC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www.sciencedirect.com/</w:t>
            </w:r>
          </w:p>
          <w:p w14:paraId="780F8CE7" w14:textId="1D56E81D" w:rsidR="00C04CC4" w:rsidRPr="00610B1B" w:rsidRDefault="00C04CC4" w:rsidP="00D32D6A">
            <w:pPr>
              <w:rPr>
                <w:rFonts w:ascii="Times New Roman" w:hAnsi="Times New Roman" w:cs="Times New Roman"/>
                <w:sz w:val="20"/>
                <w:szCs w:val="20"/>
                <w:lang w:val="bg-BG"/>
              </w:rPr>
            </w:pPr>
          </w:p>
        </w:tc>
      </w:tr>
      <w:tr w:rsidR="00C04CC4" w:rsidRPr="00C717D0" w14:paraId="37458747" w14:textId="77777777" w:rsidTr="00E72C84">
        <w:tc>
          <w:tcPr>
            <w:tcW w:w="498" w:type="dxa"/>
            <w:vAlign w:val="center"/>
          </w:tcPr>
          <w:p w14:paraId="49AFCD5A" w14:textId="085CFF64" w:rsidR="00091235" w:rsidRPr="00610B1B" w:rsidRDefault="00091235"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10.</w:t>
            </w:r>
          </w:p>
        </w:tc>
        <w:tc>
          <w:tcPr>
            <w:tcW w:w="2439" w:type="dxa"/>
            <w:vAlign w:val="center"/>
          </w:tcPr>
          <w:p w14:paraId="7865C4F7" w14:textId="32405CB5" w:rsidR="00091235" w:rsidRPr="00610B1B" w:rsidRDefault="0027057B"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Подготвени</w:t>
            </w:r>
            <w:r w:rsidR="00091235" w:rsidRPr="00610B1B">
              <w:rPr>
                <w:rFonts w:ascii="Times New Roman" w:hAnsi="Times New Roman" w:cs="Times New Roman"/>
                <w:sz w:val="20"/>
                <w:szCs w:val="20"/>
                <w:lang w:val="bg-BG"/>
              </w:rPr>
              <w:t xml:space="preserve"> кадри за морската индустрия </w:t>
            </w:r>
          </w:p>
        </w:tc>
        <w:tc>
          <w:tcPr>
            <w:tcW w:w="2030" w:type="dxa"/>
          </w:tcPr>
          <w:p w14:paraId="73423EAC" w14:textId="41DF9AA4"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3, всички специфични цели</w:t>
            </w:r>
          </w:p>
        </w:tc>
        <w:tc>
          <w:tcPr>
            <w:tcW w:w="2674" w:type="dxa"/>
          </w:tcPr>
          <w:p w14:paraId="65762FCA"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лица, завършили професионално или дуално образование/обучение в областта на морската икономика</w:t>
            </w:r>
          </w:p>
          <w:p w14:paraId="02143FB5"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лица, завършили висше образование в областта на морската икономика</w:t>
            </w:r>
          </w:p>
          <w:p w14:paraId="4F6B51EE" w14:textId="2F3DC213"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Брой служители, преминали продължаващо ПОО (по видове умения: технически, управленски, предприемачески, екологични, други) в </w:t>
            </w:r>
            <w:r w:rsidRPr="00610B1B">
              <w:rPr>
                <w:rFonts w:ascii="Times New Roman" w:hAnsi="Times New Roman" w:cs="Times New Roman"/>
                <w:sz w:val="20"/>
                <w:szCs w:val="20"/>
                <w:lang w:val="bg-BG"/>
              </w:rPr>
              <w:lastRenderedPageBreak/>
              <w:t>сектори на морската икономика</w:t>
            </w:r>
          </w:p>
        </w:tc>
        <w:tc>
          <w:tcPr>
            <w:tcW w:w="1934" w:type="dxa"/>
          </w:tcPr>
          <w:p w14:paraId="5F118DD7" w14:textId="77777777"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Професионални училища</w:t>
            </w:r>
          </w:p>
          <w:p w14:paraId="15395BD0" w14:textId="77777777" w:rsidR="00091235" w:rsidRPr="00610B1B" w:rsidRDefault="00091235" w:rsidP="00D32D6A">
            <w:pPr>
              <w:rPr>
                <w:rFonts w:ascii="Times New Roman" w:hAnsi="Times New Roman" w:cs="Times New Roman"/>
                <w:sz w:val="20"/>
                <w:szCs w:val="20"/>
                <w:lang w:val="bg-BG"/>
              </w:rPr>
            </w:pPr>
          </w:p>
          <w:p w14:paraId="5DC10410" w14:textId="77777777" w:rsidR="00091235" w:rsidRPr="00610B1B" w:rsidRDefault="00091235" w:rsidP="00D32D6A">
            <w:pPr>
              <w:rPr>
                <w:rFonts w:ascii="Times New Roman" w:hAnsi="Times New Roman" w:cs="Times New Roman"/>
                <w:sz w:val="20"/>
                <w:szCs w:val="20"/>
                <w:lang w:val="bg-BG"/>
              </w:rPr>
            </w:pPr>
          </w:p>
          <w:p w14:paraId="534909B7" w14:textId="77777777" w:rsidR="00091235" w:rsidRPr="00610B1B" w:rsidRDefault="00091235" w:rsidP="00D32D6A">
            <w:pPr>
              <w:rPr>
                <w:rFonts w:ascii="Times New Roman" w:hAnsi="Times New Roman" w:cs="Times New Roman"/>
                <w:sz w:val="20"/>
                <w:szCs w:val="20"/>
                <w:lang w:val="bg-BG"/>
              </w:rPr>
            </w:pPr>
          </w:p>
          <w:p w14:paraId="2E3034E9" w14:textId="77777777" w:rsidR="00091235" w:rsidRPr="00610B1B" w:rsidRDefault="00091235" w:rsidP="00D32D6A">
            <w:pPr>
              <w:rPr>
                <w:rFonts w:ascii="Times New Roman" w:hAnsi="Times New Roman" w:cs="Times New Roman"/>
                <w:sz w:val="20"/>
                <w:szCs w:val="20"/>
                <w:lang w:val="bg-BG"/>
              </w:rPr>
            </w:pPr>
          </w:p>
          <w:p w14:paraId="1BD9554A" w14:textId="77777777" w:rsidR="00091235" w:rsidRPr="00610B1B" w:rsidRDefault="00091235" w:rsidP="00D32D6A">
            <w:pPr>
              <w:rPr>
                <w:rFonts w:ascii="Times New Roman" w:hAnsi="Times New Roman" w:cs="Times New Roman"/>
                <w:sz w:val="20"/>
                <w:szCs w:val="20"/>
                <w:lang w:val="bg-BG"/>
              </w:rPr>
            </w:pPr>
          </w:p>
          <w:p w14:paraId="70B0E7EC" w14:textId="77777777" w:rsidR="00091235" w:rsidRPr="00610B1B" w:rsidRDefault="00091235" w:rsidP="00D32D6A">
            <w:pPr>
              <w:rPr>
                <w:rFonts w:ascii="Times New Roman" w:hAnsi="Times New Roman" w:cs="Times New Roman"/>
                <w:sz w:val="20"/>
                <w:szCs w:val="20"/>
                <w:lang w:val="bg-BG"/>
              </w:rPr>
            </w:pPr>
          </w:p>
          <w:p w14:paraId="3F7B4A92" w14:textId="0FBD6AA5"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ВУ</w:t>
            </w:r>
          </w:p>
          <w:p w14:paraId="20077427" w14:textId="77777777" w:rsidR="00091235" w:rsidRPr="00610B1B" w:rsidRDefault="00091235" w:rsidP="00D32D6A">
            <w:pPr>
              <w:rPr>
                <w:rFonts w:ascii="Times New Roman" w:hAnsi="Times New Roman" w:cs="Times New Roman"/>
                <w:sz w:val="20"/>
                <w:szCs w:val="20"/>
                <w:lang w:val="bg-BG"/>
              </w:rPr>
            </w:pPr>
          </w:p>
          <w:p w14:paraId="35758C69" w14:textId="77777777" w:rsidR="00091235" w:rsidRPr="00610B1B" w:rsidRDefault="00091235" w:rsidP="00D32D6A">
            <w:pPr>
              <w:rPr>
                <w:rFonts w:ascii="Times New Roman" w:hAnsi="Times New Roman" w:cs="Times New Roman"/>
                <w:sz w:val="20"/>
                <w:szCs w:val="20"/>
                <w:lang w:val="bg-BG"/>
              </w:rPr>
            </w:pPr>
          </w:p>
          <w:p w14:paraId="2CB6AD71" w14:textId="77777777" w:rsidR="00091235" w:rsidRPr="00610B1B" w:rsidRDefault="00091235" w:rsidP="00D32D6A">
            <w:pPr>
              <w:rPr>
                <w:rFonts w:ascii="Times New Roman" w:hAnsi="Times New Roman" w:cs="Times New Roman"/>
                <w:sz w:val="20"/>
                <w:szCs w:val="20"/>
                <w:lang w:val="bg-BG"/>
              </w:rPr>
            </w:pPr>
          </w:p>
          <w:p w14:paraId="567656DD" w14:textId="77777777" w:rsidR="00091235" w:rsidRPr="00610B1B" w:rsidRDefault="00091235" w:rsidP="00D32D6A">
            <w:pPr>
              <w:rPr>
                <w:rFonts w:ascii="Times New Roman" w:hAnsi="Times New Roman" w:cs="Times New Roman"/>
                <w:sz w:val="20"/>
                <w:szCs w:val="20"/>
                <w:lang w:val="bg-BG"/>
              </w:rPr>
            </w:pPr>
          </w:p>
          <w:p w14:paraId="633304A1" w14:textId="12836996" w:rsidR="00091235" w:rsidRPr="00610B1B" w:rsidRDefault="0009123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Фирми в секторите на морската икономика</w:t>
            </w:r>
          </w:p>
        </w:tc>
      </w:tr>
      <w:tr w:rsidR="00904FB2" w:rsidRPr="00C717D0" w14:paraId="23CB2174" w14:textId="77777777" w:rsidTr="00E72C84">
        <w:tc>
          <w:tcPr>
            <w:tcW w:w="498" w:type="dxa"/>
            <w:vAlign w:val="center"/>
          </w:tcPr>
          <w:p w14:paraId="3EF64B28" w14:textId="3E8F15DD" w:rsidR="00904FB2" w:rsidRPr="00610B1B" w:rsidRDefault="00904FB2" w:rsidP="00904FB2">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11.</w:t>
            </w:r>
          </w:p>
        </w:tc>
        <w:tc>
          <w:tcPr>
            <w:tcW w:w="2439" w:type="dxa"/>
            <w:vAlign w:val="center"/>
          </w:tcPr>
          <w:p w14:paraId="09AE04B7" w14:textId="328A5492" w:rsidR="00904FB2" w:rsidRPr="00610B1B" w:rsidRDefault="00904FB2" w:rsidP="00904FB2">
            <w:pPr>
              <w:rPr>
                <w:rFonts w:ascii="Times New Roman" w:hAnsi="Times New Roman" w:cs="Times New Roman"/>
                <w:sz w:val="20"/>
                <w:szCs w:val="20"/>
                <w:lang w:val="bg-BG"/>
              </w:rPr>
            </w:pPr>
            <w:r w:rsidRPr="00610B1B">
              <w:rPr>
                <w:rFonts w:ascii="Times New Roman" w:hAnsi="Times New Roman" w:cs="Times New Roman"/>
                <w:sz w:val="20"/>
                <w:szCs w:val="20"/>
                <w:lang w:val="bg-BG"/>
              </w:rPr>
              <w:t>Създадени образователни програми за екологично възпитание и знание за морето</w:t>
            </w:r>
          </w:p>
        </w:tc>
        <w:tc>
          <w:tcPr>
            <w:tcW w:w="2030" w:type="dxa"/>
          </w:tcPr>
          <w:p w14:paraId="73F7A962" w14:textId="44AD18B2" w:rsidR="00904FB2" w:rsidRPr="00610B1B" w:rsidRDefault="00904FB2" w:rsidP="00904FB2">
            <w:pPr>
              <w:rPr>
                <w:rFonts w:ascii="Times New Roman" w:hAnsi="Times New Roman" w:cs="Times New Roman"/>
                <w:sz w:val="20"/>
                <w:szCs w:val="20"/>
                <w:lang w:val="bg-BG"/>
              </w:rPr>
            </w:pPr>
            <w:r w:rsidRPr="00610B1B">
              <w:rPr>
                <w:rFonts w:ascii="Times New Roman" w:hAnsi="Times New Roman" w:cs="Times New Roman"/>
                <w:sz w:val="20"/>
                <w:szCs w:val="20"/>
              </w:rPr>
              <w:t>Стратегическа цел 3, Специфична цел 3.4</w:t>
            </w:r>
          </w:p>
        </w:tc>
        <w:tc>
          <w:tcPr>
            <w:tcW w:w="2674" w:type="dxa"/>
          </w:tcPr>
          <w:p w14:paraId="3F994C97" w14:textId="77777777" w:rsidR="00904FB2" w:rsidRPr="00610B1B" w:rsidRDefault="00904FB2" w:rsidP="00904FB2">
            <w:pPr>
              <w:rPr>
                <w:rFonts w:ascii="Times New Roman" w:hAnsi="Times New Roman" w:cs="Times New Roman"/>
                <w:sz w:val="20"/>
                <w:szCs w:val="20"/>
              </w:rPr>
            </w:pPr>
            <w:r w:rsidRPr="00610B1B">
              <w:rPr>
                <w:rFonts w:ascii="Times New Roman" w:hAnsi="Times New Roman" w:cs="Times New Roman"/>
                <w:sz w:val="20"/>
                <w:szCs w:val="20"/>
              </w:rPr>
              <w:t>Брой програми</w:t>
            </w:r>
          </w:p>
          <w:p w14:paraId="771C1438" w14:textId="77777777" w:rsidR="00904FB2" w:rsidRPr="00610B1B" w:rsidRDefault="00904FB2" w:rsidP="00904FB2">
            <w:pPr>
              <w:rPr>
                <w:rFonts w:ascii="Times New Roman" w:hAnsi="Times New Roman" w:cs="Times New Roman"/>
                <w:sz w:val="20"/>
                <w:szCs w:val="20"/>
              </w:rPr>
            </w:pPr>
            <w:r w:rsidRPr="00610B1B">
              <w:rPr>
                <w:rFonts w:ascii="Times New Roman" w:hAnsi="Times New Roman" w:cs="Times New Roman"/>
                <w:sz w:val="20"/>
                <w:szCs w:val="20"/>
              </w:rPr>
              <w:t>Брой проведени обучения</w:t>
            </w:r>
          </w:p>
          <w:p w14:paraId="7F2A0AAF" w14:textId="16FC8616" w:rsidR="00904FB2" w:rsidRPr="00610B1B" w:rsidRDefault="00904FB2" w:rsidP="00904FB2">
            <w:pPr>
              <w:rPr>
                <w:rFonts w:ascii="Times New Roman" w:hAnsi="Times New Roman" w:cs="Times New Roman"/>
                <w:sz w:val="20"/>
                <w:szCs w:val="20"/>
                <w:lang w:val="bg-BG"/>
              </w:rPr>
            </w:pPr>
          </w:p>
        </w:tc>
        <w:tc>
          <w:tcPr>
            <w:tcW w:w="1934" w:type="dxa"/>
          </w:tcPr>
          <w:p w14:paraId="0AE8E5F8" w14:textId="495E2250" w:rsidR="00904FB2" w:rsidRPr="00610B1B" w:rsidRDefault="00904FB2" w:rsidP="00904FB2">
            <w:pPr>
              <w:rPr>
                <w:rFonts w:ascii="Times New Roman" w:hAnsi="Times New Roman" w:cs="Times New Roman"/>
                <w:sz w:val="20"/>
                <w:szCs w:val="20"/>
                <w:lang w:val="bg-BG"/>
              </w:rPr>
            </w:pPr>
            <w:r w:rsidRPr="00390518">
              <w:rPr>
                <w:rFonts w:ascii="Times New Roman" w:hAnsi="Times New Roman" w:cs="Times New Roman"/>
                <w:sz w:val="20"/>
                <w:szCs w:val="20"/>
                <w:lang w:val="bg-BG"/>
              </w:rPr>
              <w:t>Обл. администрации Добрич, Варна и Бургас, морски общини</w:t>
            </w:r>
          </w:p>
        </w:tc>
      </w:tr>
      <w:tr w:rsidR="00904FB2" w:rsidRPr="005C2B9F" w14:paraId="2F135A74" w14:textId="77777777" w:rsidTr="00E72C84">
        <w:tc>
          <w:tcPr>
            <w:tcW w:w="498" w:type="dxa"/>
            <w:vAlign w:val="center"/>
          </w:tcPr>
          <w:p w14:paraId="22A8B0A0" w14:textId="57516AD4" w:rsidR="00904FB2" w:rsidRPr="00610B1B" w:rsidRDefault="00904FB2" w:rsidP="00904FB2">
            <w:pPr>
              <w:rPr>
                <w:rFonts w:ascii="Times New Roman" w:hAnsi="Times New Roman" w:cs="Times New Roman"/>
                <w:sz w:val="20"/>
                <w:szCs w:val="20"/>
                <w:lang w:val="bg-BG"/>
              </w:rPr>
            </w:pPr>
            <w:r w:rsidRPr="00610B1B">
              <w:rPr>
                <w:rFonts w:ascii="Times New Roman" w:hAnsi="Times New Roman" w:cs="Times New Roman"/>
                <w:sz w:val="20"/>
                <w:szCs w:val="20"/>
                <w:lang w:val="bg-BG"/>
              </w:rPr>
              <w:t>12</w:t>
            </w:r>
          </w:p>
        </w:tc>
        <w:tc>
          <w:tcPr>
            <w:tcW w:w="2439" w:type="dxa"/>
            <w:vAlign w:val="center"/>
          </w:tcPr>
          <w:p w14:paraId="3C8CAF49" w14:textId="51943C21" w:rsidR="00904FB2" w:rsidRPr="00610B1B" w:rsidRDefault="00904FB2" w:rsidP="00904FB2">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t>Повишаване на кадровия капацитет в туристическия сектор и качеството на туристическия продукт по българското Черноморие</w:t>
            </w:r>
          </w:p>
        </w:tc>
        <w:tc>
          <w:tcPr>
            <w:tcW w:w="2030" w:type="dxa"/>
          </w:tcPr>
          <w:p w14:paraId="1E2F1ABC" w14:textId="77777777" w:rsidR="00904FB2" w:rsidRPr="00610B1B" w:rsidRDefault="00904FB2" w:rsidP="00904FB2">
            <w:pPr>
              <w:rPr>
                <w:rFonts w:ascii="Times New Roman" w:hAnsi="Times New Roman" w:cs="Times New Roman"/>
                <w:iCs/>
                <w:sz w:val="20"/>
                <w:szCs w:val="20"/>
              </w:rPr>
            </w:pPr>
            <w:r w:rsidRPr="00610B1B">
              <w:rPr>
                <w:rFonts w:ascii="Times New Roman" w:hAnsi="Times New Roman" w:cs="Times New Roman"/>
                <w:iCs/>
                <w:sz w:val="20"/>
                <w:szCs w:val="20"/>
              </w:rPr>
              <w:t>Стратегическа цел 2</w:t>
            </w:r>
          </w:p>
          <w:p w14:paraId="7C2D5018" w14:textId="10216016" w:rsidR="00904FB2" w:rsidRPr="00610B1B" w:rsidRDefault="00904FB2" w:rsidP="00904FB2">
            <w:pPr>
              <w:rPr>
                <w:rFonts w:ascii="Times New Roman" w:hAnsi="Times New Roman" w:cs="Times New Roman"/>
                <w:sz w:val="20"/>
                <w:szCs w:val="20"/>
                <w:lang w:val="bg-BG"/>
              </w:rPr>
            </w:pPr>
            <w:r w:rsidRPr="00610B1B">
              <w:rPr>
                <w:rFonts w:ascii="Times New Roman" w:hAnsi="Times New Roman" w:cs="Times New Roman"/>
                <w:bCs/>
                <w:iCs/>
                <w:sz w:val="20"/>
                <w:szCs w:val="20"/>
              </w:rPr>
              <w:t>Специфична цел 2.2</w:t>
            </w:r>
          </w:p>
        </w:tc>
        <w:tc>
          <w:tcPr>
            <w:tcW w:w="2674" w:type="dxa"/>
          </w:tcPr>
          <w:p w14:paraId="6988E3BD" w14:textId="4515056E" w:rsidR="00D26DC3" w:rsidRPr="00002A51" w:rsidRDefault="00D26DC3" w:rsidP="00D26DC3">
            <w:pPr>
              <w:pStyle w:val="Bodytext22"/>
              <w:shd w:val="clear" w:color="auto" w:fill="auto"/>
              <w:spacing w:before="0" w:after="60" w:line="253" w:lineRule="exact"/>
              <w:ind w:firstLine="0"/>
              <w:jc w:val="left"/>
              <w:rPr>
                <w:sz w:val="20"/>
                <w:szCs w:val="20"/>
                <w:lang w:val="bg-BG"/>
              </w:rPr>
            </w:pPr>
            <w:r w:rsidRPr="00002A51">
              <w:rPr>
                <w:rFonts w:eastAsia="Wingdings"/>
                <w:sz w:val="20"/>
                <w:szCs w:val="20"/>
                <w:lang w:val="bg-BG"/>
              </w:rPr>
              <w:t>Брой заети с новопридобита квалификация или преквалификация в туристическия сектор;</w:t>
            </w:r>
          </w:p>
          <w:p w14:paraId="5E122A02" w14:textId="0F167209" w:rsidR="00D26DC3" w:rsidRPr="005C2B9F" w:rsidRDefault="00D26DC3" w:rsidP="00D26DC3">
            <w:pPr>
              <w:rPr>
                <w:rFonts w:ascii="Times New Roman" w:hAnsi="Times New Roman" w:cs="Times New Roman"/>
                <w:sz w:val="20"/>
                <w:szCs w:val="20"/>
                <w:lang w:val="bg-BG"/>
              </w:rPr>
            </w:pPr>
            <w:r w:rsidRPr="00D03DA8">
              <w:rPr>
                <w:rFonts w:ascii="Times New Roman" w:hAnsi="Times New Roman" w:cs="Times New Roman"/>
                <w:sz w:val="20"/>
                <w:szCs w:val="20"/>
                <w:lang w:val="bg-BG"/>
              </w:rPr>
              <w:t>Брой предоставени обучения</w:t>
            </w:r>
            <w:r w:rsidR="00F85461">
              <w:rPr>
                <w:rFonts w:ascii="Times New Roman" w:hAnsi="Times New Roman" w:cs="Times New Roman"/>
                <w:sz w:val="20"/>
                <w:szCs w:val="20"/>
                <w:lang w:val="bg-BG"/>
              </w:rPr>
              <w:t>;</w:t>
            </w:r>
          </w:p>
          <w:p w14:paraId="71669AFB" w14:textId="0CD9CEAE" w:rsidR="00F85461" w:rsidRPr="00F85461" w:rsidRDefault="00F85461" w:rsidP="00D26DC3">
            <w:pPr>
              <w:rPr>
                <w:rFonts w:ascii="Times New Roman" w:hAnsi="Times New Roman" w:cs="Times New Roman"/>
                <w:sz w:val="20"/>
                <w:szCs w:val="20"/>
                <w:lang w:val="bg-BG"/>
              </w:rPr>
            </w:pPr>
            <w:r>
              <w:rPr>
                <w:rFonts w:ascii="Times New Roman" w:hAnsi="Times New Roman" w:cs="Times New Roman"/>
                <w:sz w:val="20"/>
                <w:szCs w:val="20"/>
                <w:lang w:val="bg-BG"/>
              </w:rPr>
              <w:t>Брутна добавена стойност от сектор туризъм,  отчитан на годишна база</w:t>
            </w:r>
          </w:p>
        </w:tc>
        <w:tc>
          <w:tcPr>
            <w:tcW w:w="1934" w:type="dxa"/>
          </w:tcPr>
          <w:p w14:paraId="3EDC8420" w14:textId="77777777" w:rsidR="00904FB2" w:rsidRDefault="00904FB2" w:rsidP="00904FB2">
            <w:pPr>
              <w:rPr>
                <w:rFonts w:ascii="Times New Roman" w:hAnsi="Times New Roman" w:cs="Times New Roman"/>
                <w:sz w:val="20"/>
                <w:szCs w:val="20"/>
                <w:lang w:val="bg-BG"/>
              </w:rPr>
            </w:pPr>
            <w:r w:rsidRPr="00002A51">
              <w:rPr>
                <w:rFonts w:ascii="Times New Roman" w:hAnsi="Times New Roman" w:cs="Times New Roman"/>
                <w:sz w:val="20"/>
                <w:szCs w:val="20"/>
                <w:lang w:val="bg-BG"/>
              </w:rPr>
              <w:t>Колежи по туризъм в Бургас и Варна, Министерство на туризма, фирми обслужващи морския туризъм</w:t>
            </w:r>
          </w:p>
          <w:p w14:paraId="08548F8A" w14:textId="46634F8D" w:rsidR="00F6543A" w:rsidRPr="00610B1B" w:rsidRDefault="00F6543A" w:rsidP="00904FB2">
            <w:pPr>
              <w:rPr>
                <w:rFonts w:ascii="Times New Roman" w:hAnsi="Times New Roman" w:cs="Times New Roman"/>
                <w:sz w:val="20"/>
                <w:szCs w:val="20"/>
                <w:lang w:val="bg-BG"/>
              </w:rPr>
            </w:pPr>
            <w:r>
              <w:rPr>
                <w:rFonts w:ascii="Times New Roman" w:hAnsi="Times New Roman" w:cs="Times New Roman"/>
                <w:sz w:val="20"/>
                <w:szCs w:val="20"/>
                <w:lang w:val="bg-BG"/>
              </w:rPr>
              <w:t>МРРБ, МИ, НСИ</w:t>
            </w:r>
          </w:p>
        </w:tc>
      </w:tr>
    </w:tbl>
    <w:p w14:paraId="30E1098A" w14:textId="77777777" w:rsidR="009918C6" w:rsidRPr="00002A51" w:rsidRDefault="009918C6" w:rsidP="009918C6">
      <w:pPr>
        <w:pStyle w:val="Default"/>
        <w:rPr>
          <w:rFonts w:cs="Times New Roman"/>
          <w:lang w:val="bg-BG"/>
        </w:rPr>
      </w:pPr>
    </w:p>
    <w:p w14:paraId="1719B29E" w14:textId="691A4BF6" w:rsidR="004E16AF" w:rsidRPr="00610B1B" w:rsidRDefault="004E16AF" w:rsidP="00774CD7">
      <w:pPr>
        <w:pStyle w:val="Heading3"/>
        <w:spacing w:before="240" w:line="276" w:lineRule="auto"/>
        <w:rPr>
          <w:rFonts w:cs="Times New Roman"/>
        </w:rPr>
      </w:pPr>
      <w:bookmarkStart w:id="511" w:name="_Toc83391445"/>
      <w:r w:rsidRPr="00610B1B">
        <w:rPr>
          <w:rFonts w:cs="Times New Roman"/>
        </w:rPr>
        <w:t>7.4.3. Екологични индикатори</w:t>
      </w:r>
      <w:bookmarkEnd w:id="511"/>
    </w:p>
    <w:p w14:paraId="6DAA2EE2" w14:textId="2F475B57" w:rsidR="00B71F43" w:rsidRPr="00610B1B" w:rsidRDefault="00482912" w:rsidP="00D32D6A">
      <w:pPr>
        <w:pStyle w:val="BodyText"/>
        <w:spacing w:before="0" w:after="120" w:line="276" w:lineRule="auto"/>
        <w:rPr>
          <w:rFonts w:cs="Times New Roman"/>
        </w:rPr>
      </w:pPr>
      <w:r w:rsidRPr="00610B1B">
        <w:rPr>
          <w:rFonts w:cs="Times New Roman"/>
          <w:i/>
          <w:iCs/>
        </w:rPr>
        <w:t>Екологичните индикатори</w:t>
      </w:r>
      <w:r w:rsidRPr="00610B1B">
        <w:rPr>
          <w:rFonts w:cs="Times New Roman"/>
        </w:rPr>
        <w:t xml:space="preserve"> отразяват тенденциите в характеристиките на морската околна среда, промените в състоянието </w:t>
      </w:r>
      <w:r w:rsidR="002B71BB" w:rsidRPr="00610B1B">
        <w:rPr>
          <w:rFonts w:cs="Times New Roman"/>
        </w:rPr>
        <w:t xml:space="preserve">на </w:t>
      </w:r>
      <w:r w:rsidRPr="00610B1B">
        <w:rPr>
          <w:rFonts w:cs="Times New Roman"/>
        </w:rPr>
        <w:t>екосистемите</w:t>
      </w:r>
      <w:r w:rsidR="002B71BB" w:rsidRPr="00610B1B">
        <w:rPr>
          <w:rFonts w:cs="Times New Roman"/>
        </w:rPr>
        <w:t>,</w:t>
      </w:r>
      <w:r w:rsidRPr="00610B1B">
        <w:rPr>
          <w:rFonts w:cs="Times New Roman"/>
        </w:rPr>
        <w:t xml:space="preserve"> местообитанията и популациите</w:t>
      </w:r>
      <w:r w:rsidR="002B71BB" w:rsidRPr="00610B1B">
        <w:rPr>
          <w:rFonts w:cs="Times New Roman"/>
        </w:rPr>
        <w:t>,</w:t>
      </w:r>
      <w:r w:rsidRPr="00610B1B">
        <w:rPr>
          <w:rFonts w:cs="Times New Roman"/>
        </w:rPr>
        <w:t xml:space="preserve"> </w:t>
      </w:r>
      <w:r w:rsidR="002B71BB" w:rsidRPr="00610B1B">
        <w:rPr>
          <w:rFonts w:cs="Times New Roman"/>
        </w:rPr>
        <w:t xml:space="preserve">и отчитат напредъка във възстановяването на доброто състояние на морската околна среда и на екосистемните услуги във времевия срок на действие на Морския пространствен план. </w:t>
      </w:r>
      <w:r w:rsidRPr="00610B1B">
        <w:rPr>
          <w:rFonts w:cs="Times New Roman"/>
        </w:rPr>
        <w:t xml:space="preserve">Те се свързват с дескрипторите за оценка на въздействията от приложените мерки от Програмата към Морската стратегия. </w:t>
      </w:r>
      <w:r w:rsidR="004040E6" w:rsidRPr="00610B1B">
        <w:rPr>
          <w:rFonts w:cs="Times New Roman"/>
        </w:rPr>
        <w:t xml:space="preserve">Екологичните индикатори </w:t>
      </w:r>
      <w:r w:rsidR="002B71BB" w:rsidRPr="00610B1B">
        <w:rPr>
          <w:rFonts w:cs="Times New Roman"/>
        </w:rPr>
        <w:t>са обвързани</w:t>
      </w:r>
      <w:r w:rsidR="004040E6" w:rsidRPr="00610B1B">
        <w:rPr>
          <w:rFonts w:cs="Times New Roman"/>
        </w:rPr>
        <w:t xml:space="preserve"> със Стратегическ</w:t>
      </w:r>
      <w:r w:rsidR="00245C00" w:rsidRPr="00610B1B">
        <w:rPr>
          <w:rFonts w:cs="Times New Roman"/>
        </w:rPr>
        <w:t>и</w:t>
      </w:r>
      <w:r w:rsidR="004040E6" w:rsidRPr="00610B1B">
        <w:rPr>
          <w:rFonts w:cs="Times New Roman"/>
        </w:rPr>
        <w:t xml:space="preserve"> цел</w:t>
      </w:r>
      <w:r w:rsidR="00245C00" w:rsidRPr="00610B1B">
        <w:rPr>
          <w:rFonts w:cs="Times New Roman"/>
        </w:rPr>
        <w:t>и</w:t>
      </w:r>
      <w:r w:rsidR="004040E6" w:rsidRPr="00610B1B">
        <w:rPr>
          <w:rFonts w:cs="Times New Roman"/>
        </w:rPr>
        <w:t xml:space="preserve"> </w:t>
      </w:r>
      <w:r w:rsidR="00245C00" w:rsidRPr="00610B1B">
        <w:rPr>
          <w:rFonts w:cs="Times New Roman"/>
        </w:rPr>
        <w:t>2 и 4,</w:t>
      </w:r>
      <w:r w:rsidR="004040E6" w:rsidRPr="00610B1B">
        <w:rPr>
          <w:rFonts w:cs="Times New Roman"/>
        </w:rPr>
        <w:t xml:space="preserve"> и по-с</w:t>
      </w:r>
      <w:r w:rsidR="00B71F43" w:rsidRPr="00610B1B">
        <w:rPr>
          <w:rFonts w:cs="Times New Roman"/>
        </w:rPr>
        <w:t>пециално със Специфична цел 4.1</w:t>
      </w:r>
      <w:r w:rsidR="004040E6" w:rsidRPr="00610B1B">
        <w:rPr>
          <w:rFonts w:cs="Times New Roman"/>
        </w:rPr>
        <w:t>, която е изключително важна за подобряване на екологичното състояние на Черно море и намаляване на замърсяването</w:t>
      </w:r>
      <w:r w:rsidR="00B71F43" w:rsidRPr="00610B1B">
        <w:rPr>
          <w:rFonts w:cs="Times New Roman"/>
        </w:rPr>
        <w:t>,</w:t>
      </w:r>
      <w:r w:rsidR="00245C00" w:rsidRPr="00610B1B">
        <w:rPr>
          <w:rFonts w:cs="Times New Roman"/>
        </w:rPr>
        <w:t xml:space="preserve"> в сътрудничество с останалите Черноморски държави</w:t>
      </w:r>
      <w:r w:rsidR="004040E6" w:rsidRPr="00610B1B">
        <w:rPr>
          <w:rFonts w:cs="Times New Roman"/>
        </w:rPr>
        <w:t xml:space="preserve">. </w:t>
      </w:r>
    </w:p>
    <w:p w14:paraId="2B93427C" w14:textId="18547A10" w:rsidR="00482912" w:rsidRPr="00DA2C5E" w:rsidRDefault="00B71F43" w:rsidP="00D32D6A">
      <w:pPr>
        <w:pStyle w:val="BodyText"/>
        <w:spacing w:before="0" w:after="120" w:line="276" w:lineRule="auto"/>
        <w:rPr>
          <w:rFonts w:cs="Times New Roman"/>
        </w:rPr>
      </w:pPr>
      <w:r w:rsidRPr="00610B1B">
        <w:rPr>
          <w:rFonts w:cs="Times New Roman"/>
        </w:rPr>
        <w:t xml:space="preserve">Екологичните индикатори са разделени на две подгрупи – за намаляване на натиска върху морската околна среда </w:t>
      </w:r>
      <w:r w:rsidR="00306C98" w:rsidRPr="00610B1B">
        <w:rPr>
          <w:rFonts w:cs="Times New Roman"/>
        </w:rPr>
        <w:t xml:space="preserve">от разнообразната човешка дейност </w:t>
      </w:r>
      <w:r w:rsidRPr="00610B1B">
        <w:rPr>
          <w:rFonts w:cs="Times New Roman"/>
        </w:rPr>
        <w:t xml:space="preserve">и за </w:t>
      </w:r>
      <w:r w:rsidR="00306C98" w:rsidRPr="00610B1B">
        <w:rPr>
          <w:rFonts w:cs="Times New Roman"/>
        </w:rPr>
        <w:t>подобряване на състоянието</w:t>
      </w:r>
      <w:r w:rsidRPr="00610B1B">
        <w:rPr>
          <w:rFonts w:cs="Times New Roman"/>
        </w:rPr>
        <w:t xml:space="preserve">. </w:t>
      </w:r>
    </w:p>
    <w:p w14:paraId="2B90619F" w14:textId="6C53F15B" w:rsidR="006F076F" w:rsidRPr="00610B1B" w:rsidRDefault="00962DE7" w:rsidP="00D32D6A">
      <w:pPr>
        <w:pStyle w:val="BodyText"/>
        <w:spacing w:before="0" w:after="120" w:line="276" w:lineRule="auto"/>
        <w:rPr>
          <w:rFonts w:cs="Times New Roman"/>
        </w:rPr>
      </w:pPr>
      <w:bookmarkStart w:id="512" w:name="_Toc83391618"/>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22</w:t>
      </w:r>
      <w:r w:rsidRPr="00610B1B">
        <w:rPr>
          <w:rFonts w:cs="Times New Roman"/>
        </w:rPr>
        <w:fldChar w:fldCharType="end"/>
      </w:r>
      <w:r w:rsidRPr="00610B1B">
        <w:rPr>
          <w:rFonts w:cs="Times New Roman"/>
        </w:rPr>
        <w:t xml:space="preserve">: </w:t>
      </w:r>
      <w:r w:rsidR="006F076F" w:rsidRPr="00610B1B">
        <w:rPr>
          <w:rFonts w:cs="Times New Roman"/>
        </w:rPr>
        <w:t>Екологични индикатори</w:t>
      </w:r>
      <w:bookmarkEnd w:id="512"/>
    </w:p>
    <w:tbl>
      <w:tblPr>
        <w:tblStyle w:val="TableGrid"/>
        <w:tblW w:w="10251" w:type="dxa"/>
        <w:tblInd w:w="-284"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426"/>
        <w:gridCol w:w="2835"/>
        <w:gridCol w:w="2215"/>
        <w:gridCol w:w="2179"/>
        <w:gridCol w:w="2596"/>
      </w:tblGrid>
      <w:tr w:rsidR="006F076F" w:rsidRPr="00610B1B" w14:paraId="6CFFD793" w14:textId="77777777" w:rsidTr="00C717D0">
        <w:trPr>
          <w:tblHeader/>
        </w:trPr>
        <w:tc>
          <w:tcPr>
            <w:tcW w:w="426" w:type="dxa"/>
            <w:shd w:val="clear" w:color="auto" w:fill="C6D9F1" w:themeFill="text2" w:themeFillTint="33"/>
            <w:vAlign w:val="center"/>
          </w:tcPr>
          <w:p w14:paraId="18F8DCFF" w14:textId="77777777" w:rsidR="006F076F" w:rsidRPr="00610B1B" w:rsidRDefault="006F076F" w:rsidP="00D32D6A">
            <w:pPr>
              <w:jc w:val="center"/>
              <w:rPr>
                <w:rFonts w:ascii="Times New Roman" w:hAnsi="Times New Roman" w:cs="Times New Roman"/>
                <w:b/>
                <w:bCs/>
                <w:lang w:val="bg-BG"/>
              </w:rPr>
            </w:pPr>
            <w:r w:rsidRPr="00610B1B">
              <w:rPr>
                <w:rFonts w:ascii="Times New Roman" w:hAnsi="Times New Roman" w:cs="Times New Roman"/>
                <w:b/>
                <w:bCs/>
                <w:lang w:val="bg-BG"/>
              </w:rPr>
              <w:t>№</w:t>
            </w:r>
          </w:p>
        </w:tc>
        <w:tc>
          <w:tcPr>
            <w:tcW w:w="2835" w:type="dxa"/>
            <w:shd w:val="clear" w:color="auto" w:fill="C6D9F1" w:themeFill="text2" w:themeFillTint="33"/>
            <w:vAlign w:val="center"/>
          </w:tcPr>
          <w:p w14:paraId="30426EE8" w14:textId="3A686A37" w:rsidR="005C76F0" w:rsidRPr="00610B1B" w:rsidRDefault="005C76F0" w:rsidP="00D32D6A">
            <w:pPr>
              <w:jc w:val="center"/>
              <w:rPr>
                <w:rFonts w:ascii="Times New Roman" w:hAnsi="Times New Roman" w:cs="Times New Roman"/>
                <w:b/>
                <w:bCs/>
                <w:lang w:val="bg-BG"/>
              </w:rPr>
            </w:pPr>
            <w:r w:rsidRPr="00610B1B">
              <w:rPr>
                <w:rFonts w:ascii="Times New Roman" w:hAnsi="Times New Roman" w:cs="Times New Roman"/>
                <w:b/>
                <w:bCs/>
                <w:lang w:val="bg-BG"/>
              </w:rPr>
              <w:t>Синтезен</w:t>
            </w:r>
          </w:p>
          <w:p w14:paraId="1E42D524" w14:textId="638CEBE4" w:rsidR="006F076F" w:rsidRPr="00610B1B" w:rsidRDefault="005C76F0" w:rsidP="00D32D6A">
            <w:pPr>
              <w:jc w:val="center"/>
              <w:rPr>
                <w:rFonts w:ascii="Times New Roman" w:hAnsi="Times New Roman" w:cs="Times New Roman"/>
                <w:b/>
                <w:bCs/>
                <w:lang w:val="bg-BG"/>
              </w:rPr>
            </w:pPr>
            <w:r w:rsidRPr="00610B1B">
              <w:rPr>
                <w:rFonts w:ascii="Times New Roman" w:hAnsi="Times New Roman" w:cs="Times New Roman"/>
                <w:b/>
                <w:bCs/>
                <w:lang w:val="bg-BG"/>
              </w:rPr>
              <w:t>и</w:t>
            </w:r>
            <w:r w:rsidR="006F076F" w:rsidRPr="00610B1B">
              <w:rPr>
                <w:rFonts w:ascii="Times New Roman" w:hAnsi="Times New Roman" w:cs="Times New Roman"/>
                <w:b/>
                <w:bCs/>
                <w:lang w:val="bg-BG"/>
              </w:rPr>
              <w:t>ндикатор</w:t>
            </w:r>
          </w:p>
        </w:tc>
        <w:tc>
          <w:tcPr>
            <w:tcW w:w="2215" w:type="dxa"/>
            <w:shd w:val="clear" w:color="auto" w:fill="C6D9F1" w:themeFill="text2" w:themeFillTint="33"/>
            <w:vAlign w:val="center"/>
          </w:tcPr>
          <w:p w14:paraId="04F789E4" w14:textId="7E64C686" w:rsidR="006F076F" w:rsidRPr="00610B1B" w:rsidRDefault="006F076F" w:rsidP="00D32D6A">
            <w:pPr>
              <w:jc w:val="center"/>
              <w:rPr>
                <w:rFonts w:ascii="Times New Roman" w:hAnsi="Times New Roman" w:cs="Times New Roman"/>
                <w:b/>
                <w:bCs/>
                <w:lang w:val="bg-BG"/>
              </w:rPr>
            </w:pPr>
            <w:r w:rsidRPr="00610B1B">
              <w:rPr>
                <w:rFonts w:ascii="Times New Roman" w:hAnsi="Times New Roman" w:cs="Times New Roman"/>
                <w:b/>
                <w:bCs/>
                <w:lang w:val="bg-BG"/>
              </w:rPr>
              <w:t>Връзка със стратегически цели</w:t>
            </w:r>
          </w:p>
        </w:tc>
        <w:tc>
          <w:tcPr>
            <w:tcW w:w="2179" w:type="dxa"/>
            <w:shd w:val="clear" w:color="auto" w:fill="C6D9F1" w:themeFill="text2" w:themeFillTint="33"/>
            <w:vAlign w:val="center"/>
          </w:tcPr>
          <w:p w14:paraId="2771B211" w14:textId="77777777" w:rsidR="006F076F" w:rsidRPr="00610B1B" w:rsidRDefault="006F076F" w:rsidP="00D32D6A">
            <w:pPr>
              <w:jc w:val="center"/>
              <w:rPr>
                <w:rFonts w:ascii="Times New Roman" w:hAnsi="Times New Roman" w:cs="Times New Roman"/>
                <w:b/>
                <w:bCs/>
                <w:lang w:val="bg-BG"/>
              </w:rPr>
            </w:pPr>
            <w:r w:rsidRPr="00610B1B">
              <w:rPr>
                <w:rFonts w:ascii="Times New Roman" w:hAnsi="Times New Roman" w:cs="Times New Roman"/>
                <w:b/>
                <w:bCs/>
                <w:lang w:val="bg-BG"/>
              </w:rPr>
              <w:t>Показатели</w:t>
            </w:r>
          </w:p>
        </w:tc>
        <w:tc>
          <w:tcPr>
            <w:tcW w:w="2596" w:type="dxa"/>
            <w:shd w:val="clear" w:color="auto" w:fill="C6D9F1" w:themeFill="text2" w:themeFillTint="33"/>
            <w:vAlign w:val="center"/>
          </w:tcPr>
          <w:p w14:paraId="4FC8FF88" w14:textId="77777777" w:rsidR="006F076F" w:rsidRPr="00610B1B" w:rsidRDefault="006F076F" w:rsidP="00D32D6A">
            <w:pPr>
              <w:jc w:val="center"/>
              <w:rPr>
                <w:rFonts w:ascii="Times New Roman" w:hAnsi="Times New Roman" w:cs="Times New Roman"/>
                <w:b/>
                <w:bCs/>
                <w:lang w:val="bg-BG"/>
              </w:rPr>
            </w:pPr>
            <w:r w:rsidRPr="00610B1B">
              <w:rPr>
                <w:rFonts w:ascii="Times New Roman" w:hAnsi="Times New Roman" w:cs="Times New Roman"/>
                <w:b/>
                <w:bCs/>
                <w:lang w:val="bg-BG"/>
              </w:rPr>
              <w:t>Информационна осигуреност</w:t>
            </w:r>
          </w:p>
        </w:tc>
      </w:tr>
      <w:tr w:rsidR="005C76F0" w:rsidRPr="00C717D0" w14:paraId="0D9E65D9" w14:textId="77777777" w:rsidTr="00C717D0">
        <w:tc>
          <w:tcPr>
            <w:tcW w:w="426" w:type="dxa"/>
            <w:vAlign w:val="center"/>
          </w:tcPr>
          <w:p w14:paraId="132A348E" w14:textId="2B50694D" w:rsidR="005C76F0" w:rsidRPr="00610B1B" w:rsidRDefault="00815BC2"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1.</w:t>
            </w:r>
          </w:p>
        </w:tc>
        <w:tc>
          <w:tcPr>
            <w:tcW w:w="2835" w:type="dxa"/>
            <w:vAlign w:val="center"/>
          </w:tcPr>
          <w:p w14:paraId="552EF0BE" w14:textId="567E60FB" w:rsidR="005C76F0" w:rsidRPr="00610B1B" w:rsidRDefault="00261676" w:rsidP="00537D06">
            <w:pPr>
              <w:rPr>
                <w:rFonts w:ascii="Times New Roman" w:hAnsi="Times New Roman" w:cs="Times New Roman"/>
                <w:bCs/>
                <w:sz w:val="20"/>
                <w:szCs w:val="20"/>
                <w:lang w:val="bg-BG"/>
              </w:rPr>
            </w:pPr>
            <w:r w:rsidRPr="00610B1B">
              <w:rPr>
                <w:rFonts w:ascii="Times New Roman" w:eastAsia="Times New Roman" w:hAnsi="Times New Roman" w:cs="Times New Roman"/>
                <w:color w:val="00000A"/>
                <w:kern w:val="3"/>
                <w:sz w:val="20"/>
                <w:szCs w:val="24"/>
                <w:shd w:val="clear" w:color="auto" w:fill="FFFFFF"/>
                <w:lang w:val="bg-BG" w:eastAsia="zh-CN" w:bidi="hi-IN"/>
              </w:rPr>
              <w:t>В</w:t>
            </w:r>
            <w:r w:rsidR="006C5D2B" w:rsidRPr="00610B1B">
              <w:rPr>
                <w:rFonts w:ascii="Times New Roman" w:eastAsia="Times New Roman" w:hAnsi="Times New Roman" w:cs="Times New Roman"/>
                <w:color w:val="00000A"/>
                <w:kern w:val="3"/>
                <w:sz w:val="20"/>
                <w:szCs w:val="24"/>
                <w:shd w:val="clear" w:color="auto" w:fill="FFFFFF"/>
                <w:lang w:val="bg-BG" w:eastAsia="zh-CN" w:bidi="hi-IN"/>
              </w:rPr>
              <w:t>ъзста</w:t>
            </w:r>
            <w:r w:rsidRPr="00610B1B">
              <w:rPr>
                <w:rFonts w:ascii="Times New Roman" w:eastAsia="Times New Roman" w:hAnsi="Times New Roman" w:cs="Times New Roman"/>
                <w:color w:val="00000A"/>
                <w:kern w:val="3"/>
                <w:sz w:val="20"/>
                <w:szCs w:val="24"/>
                <w:shd w:val="clear" w:color="auto" w:fill="FFFFFF"/>
                <w:lang w:val="bg-BG" w:eastAsia="zh-CN" w:bidi="hi-IN"/>
              </w:rPr>
              <w:t>новен</w:t>
            </w:r>
            <w:r w:rsidR="006C5D2B" w:rsidRPr="00610B1B">
              <w:rPr>
                <w:rFonts w:ascii="Times New Roman" w:eastAsia="Times New Roman" w:hAnsi="Times New Roman" w:cs="Times New Roman"/>
                <w:color w:val="00000A"/>
                <w:kern w:val="3"/>
                <w:sz w:val="20"/>
                <w:szCs w:val="24"/>
                <w:shd w:val="clear" w:color="auto" w:fill="FFFFFF"/>
                <w:lang w:val="bg-BG" w:eastAsia="zh-CN" w:bidi="hi-IN"/>
              </w:rPr>
              <w:t xml:space="preserve"> </w:t>
            </w:r>
            <w:r w:rsidR="006C5D2B" w:rsidRPr="00610B1B">
              <w:rPr>
                <w:rFonts w:ascii="Times New Roman" w:eastAsia="Times New Roman" w:hAnsi="Times New Roman" w:cs="Times New Roman"/>
                <w:color w:val="00000A"/>
                <w:kern w:val="3"/>
                <w:sz w:val="20"/>
                <w:szCs w:val="24"/>
                <w:lang w:val="bg-BG" w:eastAsia="zh-CN" w:bidi="hi-IN"/>
              </w:rPr>
              <w:t>крайбрежен ландшафт чрез контрол върху пределно допустимите рекреационни капацитети, опазване на дънните местообитания и пясъчните дюни.</w:t>
            </w:r>
            <w:r w:rsidR="00BB22A6" w:rsidRPr="00610B1B">
              <w:rPr>
                <w:rFonts w:ascii="Times New Roman" w:eastAsia="Microsoft Sans Serif" w:hAnsi="Times New Roman" w:cs="Times New Roman"/>
                <w:color w:val="000000"/>
                <w:sz w:val="24"/>
                <w:szCs w:val="24"/>
                <w:lang w:val="bg-BG" w:eastAsia="bg-BG" w:bidi="bg-BG"/>
              </w:rPr>
              <w:t xml:space="preserve"> </w:t>
            </w:r>
            <w:r w:rsidR="00BB22A6" w:rsidRPr="00610B1B">
              <w:rPr>
                <w:rFonts w:ascii="Times New Roman" w:eastAsia="Times New Roman" w:hAnsi="Times New Roman" w:cs="Times New Roman"/>
                <w:color w:val="00000A"/>
                <w:kern w:val="3"/>
                <w:sz w:val="20"/>
                <w:szCs w:val="24"/>
                <w:lang w:val="bg-BG" w:eastAsia="zh-CN" w:bidi="bg-BG"/>
              </w:rPr>
              <w:t xml:space="preserve">При проектиране и изграждане на яхтени пристанища и брегоукрепителни съоръжения да се търсят решения близки до естествения крайбрежен ландшафт, които оказват минимално отрицателно въздействие върху </w:t>
            </w:r>
            <w:r w:rsidR="00BB22A6" w:rsidRPr="00610B1B">
              <w:rPr>
                <w:rFonts w:ascii="Times New Roman" w:eastAsia="Times New Roman" w:hAnsi="Times New Roman" w:cs="Times New Roman"/>
                <w:color w:val="00000A"/>
                <w:kern w:val="3"/>
                <w:sz w:val="20"/>
                <w:szCs w:val="24"/>
                <w:lang w:val="bg-BG" w:eastAsia="zh-CN" w:bidi="bg-BG"/>
              </w:rPr>
              <w:lastRenderedPageBreak/>
              <w:t>естествената му привлекателност като туристически ресурс, без да създават опасност при достъпа на хора до морето. Наносният дефицит в бреговата зона да се компенсира чрез изкуствено подхранване на плажните ивици с пясъчни наноси</w:t>
            </w:r>
          </w:p>
        </w:tc>
        <w:tc>
          <w:tcPr>
            <w:tcW w:w="2215" w:type="dxa"/>
          </w:tcPr>
          <w:p w14:paraId="04D69BF8" w14:textId="1EFEA444" w:rsidR="005C76F0" w:rsidRPr="00610B1B" w:rsidRDefault="006C5D2B"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lastRenderedPageBreak/>
              <w:t>Стратегическа цел 4, всички специфични цели</w:t>
            </w:r>
          </w:p>
        </w:tc>
        <w:tc>
          <w:tcPr>
            <w:tcW w:w="2179" w:type="dxa"/>
          </w:tcPr>
          <w:p w14:paraId="1AD0E693" w14:textId="40D1AA73" w:rsidR="006C5D2B" w:rsidRPr="00610B1B" w:rsidRDefault="006C5D2B"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m</w:t>
            </w:r>
            <w:r w:rsidRPr="00610B1B">
              <w:rPr>
                <w:rFonts w:ascii="Times New Roman" w:hAnsi="Times New Roman" w:cs="Times New Roman"/>
                <w:bCs/>
                <w:sz w:val="20"/>
                <w:szCs w:val="20"/>
                <w:vertAlign w:val="superscript"/>
                <w:lang w:val="bg-BG"/>
              </w:rPr>
              <w:t>2</w:t>
            </w:r>
            <w:r w:rsidRPr="00610B1B">
              <w:rPr>
                <w:rFonts w:ascii="Times New Roman" w:hAnsi="Times New Roman" w:cs="Times New Roman"/>
                <w:bCs/>
                <w:sz w:val="20"/>
                <w:szCs w:val="20"/>
                <w:lang w:val="bg-BG"/>
              </w:rPr>
              <w:t xml:space="preserve"> плаж на посетител</w:t>
            </w:r>
          </w:p>
          <w:p w14:paraId="5B2A4834" w14:textId="14DA1043" w:rsidR="006C5D2B" w:rsidRPr="00610B1B" w:rsidRDefault="006C5D2B"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Площ на дюните (km</w:t>
            </w:r>
            <w:r w:rsidRPr="00610B1B">
              <w:rPr>
                <w:rFonts w:ascii="Times New Roman" w:hAnsi="Times New Roman" w:cs="Times New Roman"/>
                <w:bCs/>
                <w:sz w:val="20"/>
                <w:szCs w:val="20"/>
                <w:vertAlign w:val="superscript"/>
                <w:lang w:val="bg-BG"/>
              </w:rPr>
              <w:t>2</w:t>
            </w:r>
            <w:r w:rsidRPr="00610B1B">
              <w:rPr>
                <w:rFonts w:ascii="Times New Roman" w:hAnsi="Times New Roman" w:cs="Times New Roman"/>
                <w:bCs/>
                <w:sz w:val="20"/>
                <w:szCs w:val="20"/>
                <w:lang w:val="bg-BG"/>
              </w:rPr>
              <w:t>)</w:t>
            </w:r>
          </w:p>
          <w:p w14:paraId="382A1EA2" w14:textId="03487978" w:rsidR="005C76F0" w:rsidRPr="00610B1B" w:rsidRDefault="006C5D2B"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Площ на брегозащитните съоръжения (km</w:t>
            </w:r>
            <w:r w:rsidRPr="00610B1B">
              <w:rPr>
                <w:rFonts w:ascii="Times New Roman" w:hAnsi="Times New Roman" w:cs="Times New Roman"/>
                <w:bCs/>
                <w:sz w:val="20"/>
                <w:szCs w:val="20"/>
                <w:vertAlign w:val="superscript"/>
                <w:lang w:val="bg-BG"/>
              </w:rPr>
              <w:t>2</w:t>
            </w:r>
            <w:r w:rsidRPr="00610B1B">
              <w:rPr>
                <w:rFonts w:ascii="Times New Roman" w:hAnsi="Times New Roman" w:cs="Times New Roman"/>
                <w:bCs/>
                <w:sz w:val="20"/>
                <w:szCs w:val="20"/>
                <w:lang w:val="bg-BG"/>
              </w:rPr>
              <w:t>)</w:t>
            </w:r>
          </w:p>
        </w:tc>
        <w:tc>
          <w:tcPr>
            <w:tcW w:w="2596" w:type="dxa"/>
          </w:tcPr>
          <w:p w14:paraId="42E606C4" w14:textId="608077CE" w:rsidR="005C76F0" w:rsidRPr="00610B1B" w:rsidRDefault="006C5D2B"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Наредба № 8 от 14 юни 2001 г. за обема и съдържанието на устройствените планове, Обн. ДВ. бр. 57 от 26 Юни 2001 г.), ОУПО на общини</w:t>
            </w:r>
          </w:p>
        </w:tc>
      </w:tr>
      <w:tr w:rsidR="001C16D4" w:rsidRPr="00610B1B" w14:paraId="2F98B660" w14:textId="77777777" w:rsidTr="00C717D0">
        <w:tc>
          <w:tcPr>
            <w:tcW w:w="426" w:type="dxa"/>
            <w:vAlign w:val="center"/>
          </w:tcPr>
          <w:p w14:paraId="16FC01E6" w14:textId="45F9A7CD" w:rsidR="001C16D4" w:rsidRPr="00610B1B" w:rsidRDefault="001C16D4"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 xml:space="preserve">2. </w:t>
            </w:r>
          </w:p>
        </w:tc>
        <w:tc>
          <w:tcPr>
            <w:tcW w:w="2835" w:type="dxa"/>
            <w:vAlign w:val="center"/>
          </w:tcPr>
          <w:p w14:paraId="09521C23" w14:textId="77777777" w:rsidR="001C16D4" w:rsidRPr="00610B1B" w:rsidRDefault="003C57C2"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Намал</w:t>
            </w:r>
            <w:r w:rsidR="00261676" w:rsidRPr="00610B1B">
              <w:rPr>
                <w:rFonts w:ascii="Times New Roman" w:hAnsi="Times New Roman" w:cs="Times New Roman"/>
                <w:bCs/>
                <w:sz w:val="20"/>
                <w:szCs w:val="20"/>
                <w:lang w:val="bg-BG"/>
              </w:rPr>
              <w:t>ен</w:t>
            </w:r>
            <w:r w:rsidRPr="00610B1B">
              <w:rPr>
                <w:rFonts w:ascii="Times New Roman" w:hAnsi="Times New Roman" w:cs="Times New Roman"/>
                <w:bCs/>
                <w:sz w:val="20"/>
                <w:szCs w:val="20"/>
                <w:lang w:val="bg-BG"/>
              </w:rPr>
              <w:t xml:space="preserve"> антропоген</w:t>
            </w:r>
            <w:r w:rsidR="00261676" w:rsidRPr="00610B1B">
              <w:rPr>
                <w:rFonts w:ascii="Times New Roman" w:hAnsi="Times New Roman" w:cs="Times New Roman"/>
                <w:bCs/>
                <w:sz w:val="20"/>
                <w:szCs w:val="20"/>
                <w:lang w:val="bg-BG"/>
              </w:rPr>
              <w:t>е</w:t>
            </w:r>
            <w:r w:rsidR="001C16D4" w:rsidRPr="00610B1B">
              <w:rPr>
                <w:rFonts w:ascii="Times New Roman" w:hAnsi="Times New Roman" w:cs="Times New Roman"/>
                <w:bCs/>
                <w:sz w:val="20"/>
                <w:szCs w:val="20"/>
                <w:lang w:val="bg-BG"/>
              </w:rPr>
              <w:t>н натиск върху морската околна среда</w:t>
            </w:r>
            <w:r w:rsidR="00D66FE0" w:rsidRPr="00610B1B">
              <w:rPr>
                <w:rFonts w:ascii="Times New Roman" w:hAnsi="Times New Roman" w:cs="Times New Roman"/>
                <w:bCs/>
                <w:sz w:val="20"/>
                <w:szCs w:val="20"/>
                <w:lang w:val="bg-BG"/>
              </w:rPr>
              <w:t xml:space="preserve"> </w:t>
            </w:r>
            <w:r w:rsidR="001C16D4" w:rsidRPr="00610B1B">
              <w:rPr>
                <w:rFonts w:ascii="Times New Roman" w:hAnsi="Times New Roman" w:cs="Times New Roman"/>
                <w:bCs/>
                <w:sz w:val="20"/>
                <w:szCs w:val="20"/>
                <w:lang w:val="bg-BG"/>
              </w:rPr>
              <w:t>и подобрено състояние на морската околна среда</w:t>
            </w:r>
          </w:p>
          <w:p w14:paraId="5CE1943E" w14:textId="089C17B1" w:rsidR="00420A95" w:rsidRPr="00610B1B" w:rsidRDefault="00420A95"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bidi="bg-BG"/>
              </w:rPr>
              <w:t>Да приключи реконструкцията и привеждане в съответствие към нуждите на ПСОВ за курортните комплекси и селища в бреговата част на Черно море (ПСОВ „Албена“; ГПСОВ „Девня“; ГПСОВ „Долни чифлик“; ПСОВ „Камчия“ ГПСОВ „Каварна“), както и да се въведат в експлоатация пречиствателни модули на с. Синеморец, с. Варвара, и изпълнение на „Интегриран проект на водния цикъл на гр. Ахтопол“.</w:t>
            </w:r>
          </w:p>
        </w:tc>
        <w:tc>
          <w:tcPr>
            <w:tcW w:w="2215" w:type="dxa"/>
          </w:tcPr>
          <w:p w14:paraId="5500F77F" w14:textId="45EB2BEC"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sz w:val="20"/>
                <w:szCs w:val="20"/>
                <w:lang w:val="bg-BG"/>
              </w:rPr>
              <w:t>Стратегическа цел 4, всички специфични цели</w:t>
            </w:r>
          </w:p>
        </w:tc>
        <w:tc>
          <w:tcPr>
            <w:tcW w:w="2179" w:type="dxa"/>
          </w:tcPr>
          <w:p w14:paraId="703C0E67" w14:textId="7BED0ADD"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Образувани и отведени отпадъчни води в Черноморския район на басейново управление (Млн.m</w:t>
            </w:r>
            <w:r w:rsidRPr="00610B1B">
              <w:rPr>
                <w:rFonts w:ascii="Times New Roman" w:hAnsi="Times New Roman" w:cs="Times New Roman"/>
                <w:bCs/>
                <w:sz w:val="20"/>
                <w:szCs w:val="20"/>
                <w:vertAlign w:val="superscript"/>
                <w:lang w:val="bg-BG"/>
              </w:rPr>
              <w:t>3</w:t>
            </w:r>
            <w:r w:rsidRPr="00610B1B">
              <w:rPr>
                <w:rFonts w:ascii="Times New Roman" w:hAnsi="Times New Roman" w:cs="Times New Roman"/>
                <w:bCs/>
                <w:sz w:val="20"/>
                <w:szCs w:val="20"/>
                <w:lang w:val="bg-BG"/>
              </w:rPr>
              <w:t>/год</w:t>
            </w:r>
            <w:r w:rsidR="00F27365" w:rsidRPr="00FE1308">
              <w:rPr>
                <w:rFonts w:ascii="Times New Roman" w:hAnsi="Times New Roman" w:cs="Times New Roman"/>
                <w:bCs/>
                <w:sz w:val="20"/>
                <w:szCs w:val="20"/>
                <w:lang w:val="bg-BG"/>
              </w:rPr>
              <w:t>/е.ж</w:t>
            </w:r>
            <w:r w:rsidRPr="00FE1308">
              <w:rPr>
                <w:rFonts w:ascii="Times New Roman" w:hAnsi="Times New Roman" w:cs="Times New Roman"/>
                <w:bCs/>
                <w:sz w:val="20"/>
                <w:szCs w:val="20"/>
                <w:lang w:val="bg-BG"/>
              </w:rPr>
              <w:t>)</w:t>
            </w:r>
          </w:p>
          <w:p w14:paraId="7E76203D" w14:textId="17EFE06E"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 xml:space="preserve">Събрани </w:t>
            </w:r>
            <w:r w:rsidR="00E06AC8">
              <w:rPr>
                <w:rFonts w:ascii="Times New Roman" w:hAnsi="Times New Roman" w:cs="Times New Roman"/>
                <w:bCs/>
                <w:sz w:val="20"/>
                <w:szCs w:val="20"/>
                <w:lang w:val="bg-BG"/>
              </w:rPr>
              <w:t>отпадъци</w:t>
            </w:r>
            <w:r w:rsidRPr="00610B1B">
              <w:rPr>
                <w:rFonts w:ascii="Times New Roman" w:hAnsi="Times New Roman" w:cs="Times New Roman"/>
                <w:bCs/>
                <w:sz w:val="20"/>
                <w:szCs w:val="20"/>
                <w:lang w:val="bg-BG"/>
              </w:rPr>
              <w:t>, приети сантинни води и баласт (тона)</w:t>
            </w:r>
          </w:p>
          <w:p w14:paraId="2123AF56" w14:textId="7BA7DFBF"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Замърсяване над ПДН</w:t>
            </w:r>
          </w:p>
        </w:tc>
        <w:tc>
          <w:tcPr>
            <w:tcW w:w="2596" w:type="dxa"/>
          </w:tcPr>
          <w:p w14:paraId="165CFEA3" w14:textId="77777777"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Мониторингови доклади по ТГС България – Румъния, целеви изследвания ИО БАН</w:t>
            </w:r>
          </w:p>
          <w:p w14:paraId="4F820875" w14:textId="77777777"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 xml:space="preserve">НСИ </w:t>
            </w:r>
          </w:p>
          <w:p w14:paraId="710A34CE" w14:textId="2F584DCC" w:rsidR="001C16D4" w:rsidRPr="00610B1B" w:rsidRDefault="001C16D4"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БДЧР</w:t>
            </w:r>
          </w:p>
        </w:tc>
      </w:tr>
      <w:tr w:rsidR="00A942A3" w:rsidRPr="00C717D0" w14:paraId="161F28D0" w14:textId="77777777" w:rsidTr="00C717D0">
        <w:tc>
          <w:tcPr>
            <w:tcW w:w="426" w:type="dxa"/>
            <w:vAlign w:val="center"/>
          </w:tcPr>
          <w:p w14:paraId="59561226" w14:textId="6939069C" w:rsidR="00A942A3" w:rsidRPr="00610B1B" w:rsidRDefault="00A942A3"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3.</w:t>
            </w:r>
          </w:p>
        </w:tc>
        <w:tc>
          <w:tcPr>
            <w:tcW w:w="2835" w:type="dxa"/>
            <w:vAlign w:val="center"/>
          </w:tcPr>
          <w:p w14:paraId="560319FD" w14:textId="5F86E1BF" w:rsidR="00A942A3" w:rsidRPr="00610B1B" w:rsidRDefault="00A942A3"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Намал</w:t>
            </w:r>
            <w:r w:rsidR="00261676" w:rsidRPr="00610B1B">
              <w:rPr>
                <w:rFonts w:ascii="Times New Roman" w:hAnsi="Times New Roman" w:cs="Times New Roman"/>
                <w:bCs/>
                <w:sz w:val="20"/>
                <w:szCs w:val="20"/>
                <w:lang w:val="bg-BG"/>
              </w:rPr>
              <w:t>ен</w:t>
            </w:r>
            <w:r w:rsidRPr="00610B1B">
              <w:rPr>
                <w:rFonts w:ascii="Times New Roman" w:hAnsi="Times New Roman" w:cs="Times New Roman"/>
                <w:bCs/>
                <w:sz w:val="20"/>
                <w:szCs w:val="20"/>
                <w:lang w:val="bg-BG"/>
              </w:rPr>
              <w:t xml:space="preserve"> натиск от </w:t>
            </w:r>
            <w:r w:rsidR="00DD6CD4" w:rsidRPr="00610B1B">
              <w:rPr>
                <w:rFonts w:ascii="Times New Roman" w:hAnsi="Times New Roman" w:cs="Times New Roman"/>
                <w:bCs/>
                <w:sz w:val="20"/>
                <w:szCs w:val="20"/>
                <w:lang w:val="bg-BG"/>
              </w:rPr>
              <w:t>стопански риболов</w:t>
            </w:r>
            <w:r w:rsidRPr="00610B1B">
              <w:rPr>
                <w:rFonts w:ascii="Times New Roman" w:hAnsi="Times New Roman" w:cs="Times New Roman"/>
                <w:bCs/>
                <w:sz w:val="20"/>
                <w:szCs w:val="20"/>
                <w:lang w:val="bg-BG"/>
              </w:rPr>
              <w:t>, научно обосновани квоти за експлоатираните видове и контрол на нерегламентирания риболов</w:t>
            </w:r>
            <w:r w:rsidR="00C415D1" w:rsidRPr="00610B1B">
              <w:rPr>
                <w:rFonts w:ascii="Times New Roman" w:hAnsi="Times New Roman" w:cs="Times New Roman"/>
                <w:bCs/>
                <w:sz w:val="20"/>
                <w:szCs w:val="20"/>
                <w:lang w:val="bg-BG"/>
              </w:rPr>
              <w:t xml:space="preserve"> в защитените територии</w:t>
            </w:r>
          </w:p>
        </w:tc>
        <w:tc>
          <w:tcPr>
            <w:tcW w:w="2215" w:type="dxa"/>
          </w:tcPr>
          <w:p w14:paraId="5008E51D" w14:textId="7085DBF1" w:rsidR="00A942A3" w:rsidRPr="00610B1B" w:rsidRDefault="00A942A3"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Стратегическа цел 4, всички специфични цели</w:t>
            </w:r>
          </w:p>
        </w:tc>
        <w:tc>
          <w:tcPr>
            <w:tcW w:w="2179" w:type="dxa"/>
            <w:shd w:val="clear" w:color="auto" w:fill="FFFFFF"/>
          </w:tcPr>
          <w:p w14:paraId="06E55A31" w14:textId="18DA42A6" w:rsidR="00A942A3" w:rsidRPr="00610B1B" w:rsidRDefault="00A942A3" w:rsidP="00D32D6A">
            <w:pPr>
              <w:rPr>
                <w:rFonts w:ascii="Times New Roman" w:eastAsia="Times New Roman" w:hAnsi="Times New Roman" w:cs="Times New Roman"/>
                <w:color w:val="00000A"/>
                <w:kern w:val="3"/>
                <w:sz w:val="20"/>
                <w:szCs w:val="24"/>
                <w:lang w:val="bg-BG" w:eastAsia="zh-CN" w:bidi="hi-IN"/>
              </w:rPr>
            </w:pPr>
            <w:r w:rsidRPr="00610B1B">
              <w:rPr>
                <w:rFonts w:ascii="Times New Roman" w:eastAsia="Times New Roman" w:hAnsi="Times New Roman" w:cs="Times New Roman"/>
                <w:color w:val="00000A"/>
                <w:kern w:val="3"/>
                <w:sz w:val="20"/>
                <w:szCs w:val="24"/>
                <w:lang w:val="bg-BG" w:eastAsia="zh-CN" w:bidi="hi-IN"/>
              </w:rPr>
              <w:t xml:space="preserve">Намалено разпространение и плътност на корабния трафик от </w:t>
            </w:r>
            <w:r w:rsidR="00DD6CD4" w:rsidRPr="00610B1B">
              <w:rPr>
                <w:rFonts w:ascii="Times New Roman" w:eastAsia="Times New Roman" w:hAnsi="Times New Roman" w:cs="Times New Roman"/>
                <w:color w:val="00000A"/>
                <w:kern w:val="3"/>
                <w:sz w:val="20"/>
                <w:szCs w:val="24"/>
                <w:lang w:val="bg-BG" w:eastAsia="zh-CN" w:bidi="hi-IN"/>
              </w:rPr>
              <w:t>стопански риболов</w:t>
            </w:r>
            <w:r w:rsidRPr="00610B1B">
              <w:rPr>
                <w:rFonts w:ascii="Times New Roman" w:eastAsia="Times New Roman" w:hAnsi="Times New Roman" w:cs="Times New Roman"/>
                <w:color w:val="00000A"/>
                <w:kern w:val="3"/>
                <w:sz w:val="20"/>
                <w:szCs w:val="24"/>
                <w:lang w:val="bg-BG" w:eastAsia="zh-CN" w:bidi="hi-IN"/>
              </w:rPr>
              <w:t xml:space="preserve"> в морските защитени зони и територии (час/km</w:t>
            </w:r>
            <w:r w:rsidRPr="00610B1B">
              <w:rPr>
                <w:rFonts w:ascii="Times New Roman" w:eastAsia="Times New Roman" w:hAnsi="Times New Roman" w:cs="Times New Roman"/>
                <w:color w:val="00000A"/>
                <w:kern w:val="3"/>
                <w:sz w:val="20"/>
                <w:szCs w:val="24"/>
                <w:vertAlign w:val="superscript"/>
                <w:lang w:val="bg-BG" w:eastAsia="zh-CN" w:bidi="hi-IN"/>
              </w:rPr>
              <w:t>2</w:t>
            </w:r>
            <w:r w:rsidRPr="00610B1B">
              <w:rPr>
                <w:rFonts w:ascii="Times New Roman" w:eastAsia="Times New Roman" w:hAnsi="Times New Roman" w:cs="Times New Roman"/>
                <w:color w:val="00000A"/>
                <w:kern w:val="3"/>
                <w:sz w:val="20"/>
                <w:szCs w:val="24"/>
                <w:lang w:val="bg-BG" w:eastAsia="zh-CN" w:bidi="hi-IN"/>
              </w:rPr>
              <w:t>.година)</w:t>
            </w:r>
            <w:r w:rsidR="00C415D1" w:rsidRPr="00610B1B">
              <w:rPr>
                <w:rFonts w:ascii="Times New Roman" w:eastAsia="Times New Roman" w:hAnsi="Times New Roman" w:cs="Times New Roman"/>
                <w:color w:val="00000A"/>
                <w:kern w:val="3"/>
                <w:sz w:val="20"/>
                <w:szCs w:val="24"/>
                <w:lang w:val="bg-BG" w:eastAsia="zh-CN" w:bidi="hi-IN"/>
              </w:rPr>
              <w:t>;</w:t>
            </w:r>
          </w:p>
          <w:p w14:paraId="004A5A16" w14:textId="3C4FF462" w:rsidR="00C415D1" w:rsidRPr="00610B1B" w:rsidRDefault="00C415D1" w:rsidP="00D32D6A">
            <w:pPr>
              <w:rPr>
                <w:rFonts w:ascii="Times New Roman" w:hAnsi="Times New Roman" w:cs="Times New Roman"/>
                <w:lang w:val="bg-BG"/>
              </w:rPr>
            </w:pPr>
            <w:r w:rsidRPr="00610B1B">
              <w:rPr>
                <w:rFonts w:ascii="Times New Roman" w:eastAsia="Times New Roman" w:hAnsi="Times New Roman" w:cs="Times New Roman"/>
                <w:color w:val="00000A"/>
                <w:kern w:val="3"/>
                <w:sz w:val="20"/>
                <w:szCs w:val="24"/>
                <w:lang w:val="bg-BG" w:eastAsia="zh-CN" w:bidi="hi-IN"/>
              </w:rPr>
              <w:t>Състояние на популациите на видовете риби, обект на стопански риболов –всички показатели от Дескрипор 3 на РДМС. (Д3 – индикатор за състояние на намален натиск от стопански риболов)</w:t>
            </w:r>
          </w:p>
        </w:tc>
        <w:tc>
          <w:tcPr>
            <w:tcW w:w="2596" w:type="dxa"/>
          </w:tcPr>
          <w:p w14:paraId="31EAAED0" w14:textId="77777777" w:rsidR="00C415D1" w:rsidRPr="00610B1B" w:rsidRDefault="008055A5"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ИАРА</w:t>
            </w:r>
            <w:r w:rsidR="00A942A3" w:rsidRPr="00610B1B">
              <w:rPr>
                <w:rFonts w:ascii="Times New Roman" w:hAnsi="Times New Roman" w:cs="Times New Roman"/>
                <w:bCs/>
                <w:sz w:val="20"/>
                <w:szCs w:val="20"/>
                <w:lang w:val="bg-BG"/>
              </w:rPr>
              <w:t xml:space="preserve"> – данни за улова</w:t>
            </w:r>
            <w:r w:rsidR="00C415D1" w:rsidRPr="00610B1B">
              <w:rPr>
                <w:rFonts w:ascii="Times New Roman" w:hAnsi="Times New Roman" w:cs="Times New Roman"/>
                <w:bCs/>
                <w:sz w:val="20"/>
                <w:szCs w:val="20"/>
                <w:lang w:val="bg-BG"/>
              </w:rPr>
              <w:t>;</w:t>
            </w:r>
          </w:p>
          <w:p w14:paraId="27BD6CB6" w14:textId="5AA053D8" w:rsidR="00C415D1" w:rsidRPr="00610B1B" w:rsidRDefault="00C415D1"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брой на извършените нарушения.</w:t>
            </w:r>
          </w:p>
          <w:p w14:paraId="12837F4B" w14:textId="23404866" w:rsidR="008055A5" w:rsidRPr="00610B1B" w:rsidRDefault="008055A5"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НСИ</w:t>
            </w:r>
            <w:r w:rsidR="00C415D1" w:rsidRPr="00610B1B">
              <w:rPr>
                <w:rFonts w:ascii="Times New Roman" w:hAnsi="Times New Roman" w:cs="Times New Roman"/>
                <w:bCs/>
                <w:sz w:val="20"/>
                <w:szCs w:val="20"/>
                <w:lang w:val="bg-BG"/>
              </w:rPr>
              <w:t>.</w:t>
            </w:r>
            <w:r w:rsidRPr="00610B1B">
              <w:rPr>
                <w:rFonts w:ascii="Times New Roman" w:hAnsi="Times New Roman" w:cs="Times New Roman"/>
                <w:bCs/>
                <w:sz w:val="20"/>
                <w:szCs w:val="20"/>
                <w:lang w:val="bg-BG"/>
              </w:rPr>
              <w:t xml:space="preserve"> </w:t>
            </w:r>
          </w:p>
          <w:p w14:paraId="1226076F" w14:textId="77777777" w:rsidR="00C415D1" w:rsidRPr="00610B1B" w:rsidRDefault="008055A5"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МОСВ – информационна система за защитени територии</w:t>
            </w:r>
            <w:r w:rsidR="00C415D1" w:rsidRPr="00610B1B">
              <w:rPr>
                <w:rFonts w:ascii="Times New Roman" w:hAnsi="Times New Roman" w:cs="Times New Roman"/>
                <w:bCs/>
                <w:sz w:val="20"/>
                <w:szCs w:val="20"/>
                <w:lang w:val="bg-BG"/>
              </w:rPr>
              <w:t>;</w:t>
            </w:r>
          </w:p>
          <w:p w14:paraId="3F6EBB95" w14:textId="57F7DB2E" w:rsidR="00A942A3" w:rsidRPr="00610B1B" w:rsidRDefault="008055A5"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Натура 2000 – Регистър на защитените зони.</w:t>
            </w:r>
          </w:p>
        </w:tc>
      </w:tr>
      <w:tr w:rsidR="00A942A3" w:rsidRPr="00C717D0" w14:paraId="6D3C1108" w14:textId="77777777" w:rsidTr="00C717D0">
        <w:tc>
          <w:tcPr>
            <w:tcW w:w="426" w:type="dxa"/>
            <w:vAlign w:val="center"/>
          </w:tcPr>
          <w:p w14:paraId="7AD84A06" w14:textId="4CDAC4EF" w:rsidR="00A942A3" w:rsidRPr="00610B1B" w:rsidRDefault="008055A5" w:rsidP="00537D06">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4.</w:t>
            </w:r>
          </w:p>
        </w:tc>
        <w:tc>
          <w:tcPr>
            <w:tcW w:w="2835" w:type="dxa"/>
            <w:vAlign w:val="center"/>
          </w:tcPr>
          <w:p w14:paraId="569CBE6A" w14:textId="47C2D8BC" w:rsidR="00A942A3" w:rsidRPr="00610B1B" w:rsidRDefault="005D147D" w:rsidP="00537D06">
            <w:pPr>
              <w:rPr>
                <w:rFonts w:ascii="Times New Roman" w:hAnsi="Times New Roman" w:cs="Times New Roman"/>
                <w:bCs/>
                <w:sz w:val="20"/>
                <w:szCs w:val="20"/>
                <w:lang w:val="bg-BG"/>
              </w:rPr>
            </w:pPr>
            <w:r w:rsidRPr="00610B1B">
              <w:rPr>
                <w:rFonts w:ascii="Times New Roman" w:eastAsia="Times New Roman" w:hAnsi="Times New Roman" w:cs="Times New Roman"/>
                <w:kern w:val="3"/>
                <w:sz w:val="20"/>
                <w:szCs w:val="24"/>
                <w:lang w:val="bg-BG" w:eastAsia="zh-CN" w:bidi="hi-IN"/>
              </w:rPr>
              <w:t>Повиш</w:t>
            </w:r>
            <w:r w:rsidR="00261676" w:rsidRPr="00610B1B">
              <w:rPr>
                <w:rFonts w:ascii="Times New Roman" w:eastAsia="Times New Roman" w:hAnsi="Times New Roman" w:cs="Times New Roman"/>
                <w:kern w:val="3"/>
                <w:sz w:val="20"/>
                <w:szCs w:val="24"/>
                <w:lang w:val="bg-BG" w:eastAsia="zh-CN" w:bidi="hi-IN"/>
              </w:rPr>
              <w:t>ена</w:t>
            </w:r>
            <w:r w:rsidR="008055A5" w:rsidRPr="00610B1B">
              <w:rPr>
                <w:rFonts w:ascii="Times New Roman" w:eastAsia="Times New Roman" w:hAnsi="Times New Roman" w:cs="Times New Roman"/>
                <w:kern w:val="3"/>
                <w:sz w:val="20"/>
                <w:szCs w:val="24"/>
                <w:lang w:val="bg-BG" w:eastAsia="zh-CN" w:bidi="hi-IN"/>
              </w:rPr>
              <w:t xml:space="preserve"> пригодност</w:t>
            </w:r>
            <w:r w:rsidR="00D66FE0" w:rsidRPr="00610B1B">
              <w:rPr>
                <w:rFonts w:ascii="Times New Roman" w:eastAsia="Times New Roman" w:hAnsi="Times New Roman" w:cs="Times New Roman"/>
                <w:kern w:val="3"/>
                <w:sz w:val="20"/>
                <w:szCs w:val="24"/>
                <w:lang w:val="bg-BG" w:eastAsia="zh-CN" w:bidi="hi-IN"/>
              </w:rPr>
              <w:t xml:space="preserve"> </w:t>
            </w:r>
            <w:r w:rsidR="008055A5" w:rsidRPr="00610B1B">
              <w:rPr>
                <w:rFonts w:ascii="Times New Roman" w:eastAsia="Times New Roman" w:hAnsi="Times New Roman" w:cs="Times New Roman"/>
                <w:kern w:val="3"/>
                <w:sz w:val="20"/>
                <w:szCs w:val="24"/>
                <w:lang w:val="bg-BG" w:eastAsia="zh-CN" w:bidi="hi-IN"/>
              </w:rPr>
              <w:t xml:space="preserve">на местата </w:t>
            </w:r>
            <w:r w:rsidRPr="00610B1B">
              <w:rPr>
                <w:rFonts w:ascii="Times New Roman" w:eastAsia="Times New Roman" w:hAnsi="Times New Roman" w:cs="Times New Roman"/>
                <w:kern w:val="3"/>
                <w:sz w:val="20"/>
                <w:szCs w:val="24"/>
                <w:lang w:val="bg-BG" w:eastAsia="zh-CN" w:bidi="hi-IN"/>
              </w:rPr>
              <w:t>за инсталации за аквакултури</w:t>
            </w:r>
            <w:r w:rsidR="00725E9E" w:rsidRPr="00610B1B">
              <w:rPr>
                <w:rFonts w:ascii="Times New Roman" w:eastAsia="Times New Roman" w:hAnsi="Times New Roman" w:cs="Times New Roman"/>
                <w:kern w:val="3"/>
                <w:sz w:val="20"/>
                <w:szCs w:val="24"/>
                <w:lang w:val="bg-BG" w:eastAsia="zh-CN" w:bidi="hi-IN"/>
              </w:rPr>
              <w:t>.</w:t>
            </w:r>
            <w:r w:rsidR="00725E9E" w:rsidRPr="00610B1B">
              <w:rPr>
                <w:rFonts w:ascii="Times New Roman" w:hAnsi="Times New Roman" w:cs="Times New Roman"/>
                <w:sz w:val="24"/>
                <w:szCs w:val="24"/>
                <w:lang w:val="bg-BG" w:bidi="bg-BG"/>
              </w:rPr>
              <w:t xml:space="preserve"> </w:t>
            </w:r>
            <w:r w:rsidR="00725E9E" w:rsidRPr="00610B1B">
              <w:rPr>
                <w:rFonts w:ascii="Times New Roman" w:eastAsia="Times New Roman" w:hAnsi="Times New Roman" w:cs="Times New Roman"/>
                <w:kern w:val="3"/>
                <w:sz w:val="20"/>
                <w:szCs w:val="24"/>
                <w:lang w:val="bg-BG" w:eastAsia="zh-CN" w:bidi="bg-BG"/>
              </w:rPr>
              <w:t xml:space="preserve">Производство на аквакултури и/или добив на стопански ценни видове риби да се извършва в морето в зони, които не засягат или не са в близост до устие на река, </w:t>
            </w:r>
            <w:r w:rsidR="00725E9E" w:rsidRPr="00610B1B">
              <w:rPr>
                <w:rFonts w:ascii="Times New Roman" w:eastAsia="Times New Roman" w:hAnsi="Times New Roman" w:cs="Times New Roman"/>
                <w:kern w:val="3"/>
                <w:sz w:val="20"/>
                <w:szCs w:val="24"/>
                <w:lang w:val="bg-BG" w:eastAsia="zh-CN" w:bidi="bg-BG"/>
              </w:rPr>
              <w:lastRenderedPageBreak/>
              <w:t>зони за къпане, плажове и атракционни спортове за отдих към общините, както и развлекателни разходки с малки плавателни съдове.</w:t>
            </w:r>
          </w:p>
        </w:tc>
        <w:tc>
          <w:tcPr>
            <w:tcW w:w="2215" w:type="dxa"/>
          </w:tcPr>
          <w:p w14:paraId="5641DA9F" w14:textId="720F03A1" w:rsidR="00A942A3" w:rsidRPr="00610B1B" w:rsidRDefault="008055A5"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lastRenderedPageBreak/>
              <w:t>Стратегическа цел 4, всички специфични цели</w:t>
            </w:r>
          </w:p>
        </w:tc>
        <w:tc>
          <w:tcPr>
            <w:tcW w:w="2179" w:type="dxa"/>
          </w:tcPr>
          <w:p w14:paraId="376CF81A" w14:textId="3BE2B1A8" w:rsidR="00A942A3" w:rsidRPr="00610B1B" w:rsidRDefault="008055A5" w:rsidP="00D32D6A">
            <w:pPr>
              <w:rPr>
                <w:rFonts w:ascii="Times New Roman" w:hAnsi="Times New Roman" w:cs="Times New Roman"/>
                <w:bCs/>
                <w:sz w:val="20"/>
                <w:szCs w:val="20"/>
                <w:lang w:val="bg-BG"/>
              </w:rPr>
            </w:pPr>
            <w:r w:rsidRPr="00610B1B">
              <w:rPr>
                <w:rFonts w:ascii="Times New Roman" w:hAnsi="Times New Roman" w:cs="Times New Roman"/>
                <w:bCs/>
                <w:sz w:val="20"/>
                <w:szCs w:val="20"/>
                <w:lang w:val="bg-BG"/>
              </w:rPr>
              <w:t>1 брой обсъдена и приета методика</w:t>
            </w:r>
            <w:r w:rsidR="005D147D" w:rsidRPr="00610B1B">
              <w:rPr>
                <w:rFonts w:ascii="Times New Roman" w:hAnsi="Times New Roman" w:cs="Times New Roman"/>
                <w:lang w:val="bg-BG"/>
              </w:rPr>
              <w:t xml:space="preserve"> </w:t>
            </w:r>
            <w:r w:rsidR="005D147D" w:rsidRPr="00610B1B">
              <w:rPr>
                <w:rFonts w:ascii="Times New Roman" w:hAnsi="Times New Roman" w:cs="Times New Roman"/>
                <w:bCs/>
                <w:sz w:val="20"/>
                <w:szCs w:val="20"/>
                <w:lang w:val="bg-BG"/>
              </w:rPr>
              <w:t>за оценка на пригодността</w:t>
            </w:r>
            <w:r w:rsidR="00D66FE0" w:rsidRPr="00610B1B">
              <w:rPr>
                <w:rFonts w:ascii="Times New Roman" w:hAnsi="Times New Roman" w:cs="Times New Roman"/>
                <w:bCs/>
                <w:sz w:val="20"/>
                <w:szCs w:val="20"/>
                <w:lang w:val="bg-BG"/>
              </w:rPr>
              <w:t xml:space="preserve"> </w:t>
            </w:r>
            <w:r w:rsidR="005D147D" w:rsidRPr="00610B1B">
              <w:rPr>
                <w:rFonts w:ascii="Times New Roman" w:hAnsi="Times New Roman" w:cs="Times New Roman"/>
                <w:bCs/>
                <w:sz w:val="20"/>
                <w:szCs w:val="20"/>
                <w:lang w:val="bg-BG"/>
              </w:rPr>
              <w:t xml:space="preserve">на местата за инсталации за аквакултури в зависимост от абсорбционния </w:t>
            </w:r>
            <w:r w:rsidR="005D147D" w:rsidRPr="00610B1B">
              <w:rPr>
                <w:rFonts w:ascii="Times New Roman" w:hAnsi="Times New Roman" w:cs="Times New Roman"/>
                <w:bCs/>
                <w:sz w:val="20"/>
                <w:szCs w:val="20"/>
                <w:lang w:val="bg-BG"/>
              </w:rPr>
              <w:lastRenderedPageBreak/>
              <w:t>капацитет на морската среда</w:t>
            </w:r>
          </w:p>
        </w:tc>
        <w:tc>
          <w:tcPr>
            <w:tcW w:w="2596" w:type="dxa"/>
          </w:tcPr>
          <w:p w14:paraId="6A76DE53" w14:textId="3E29EA6E" w:rsidR="00A942A3" w:rsidRPr="00610B1B" w:rsidRDefault="008055A5" w:rsidP="00D32D6A">
            <w:pPr>
              <w:rPr>
                <w:rFonts w:ascii="Times New Roman" w:hAnsi="Times New Roman" w:cs="Times New Roman"/>
                <w:bCs/>
                <w:smallCaps/>
                <w:sz w:val="20"/>
                <w:szCs w:val="20"/>
                <w:u w:val="double"/>
                <w:lang w:val="bg-BG"/>
              </w:rPr>
            </w:pPr>
            <w:r w:rsidRPr="00610B1B">
              <w:rPr>
                <w:rFonts w:ascii="Times New Roman" w:hAnsi="Times New Roman" w:cs="Times New Roman"/>
                <w:bCs/>
                <w:sz w:val="20"/>
                <w:szCs w:val="20"/>
                <w:lang w:val="bg-BG"/>
              </w:rPr>
              <w:lastRenderedPageBreak/>
              <w:t>Целеви изследвания на ИБЕИ Б</w:t>
            </w:r>
            <w:r w:rsidRPr="00610B1B">
              <w:rPr>
                <w:rFonts w:ascii="Times New Roman" w:hAnsi="Times New Roman" w:cs="Times New Roman"/>
                <w:bCs/>
                <w:smallCaps/>
                <w:sz w:val="20"/>
                <w:szCs w:val="20"/>
                <w:lang w:val="bg-BG"/>
              </w:rPr>
              <w:t>АН</w:t>
            </w:r>
          </w:p>
        </w:tc>
      </w:tr>
      <w:tr w:rsidR="00A942A3" w:rsidRPr="00C717D0" w14:paraId="26FBBE11" w14:textId="77777777" w:rsidTr="00C717D0">
        <w:tc>
          <w:tcPr>
            <w:tcW w:w="426" w:type="dxa"/>
            <w:vAlign w:val="center"/>
          </w:tcPr>
          <w:p w14:paraId="2DFE1412" w14:textId="4A8C4569" w:rsidR="00A942A3" w:rsidRPr="00610B1B" w:rsidRDefault="005D147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5</w:t>
            </w:r>
            <w:r w:rsidR="00A942A3" w:rsidRPr="00610B1B">
              <w:rPr>
                <w:rFonts w:ascii="Times New Roman" w:hAnsi="Times New Roman" w:cs="Times New Roman"/>
                <w:sz w:val="20"/>
                <w:szCs w:val="20"/>
                <w:lang w:val="bg-BG"/>
              </w:rPr>
              <w:t>.</w:t>
            </w:r>
          </w:p>
        </w:tc>
        <w:tc>
          <w:tcPr>
            <w:tcW w:w="2835" w:type="dxa"/>
            <w:vAlign w:val="center"/>
          </w:tcPr>
          <w:p w14:paraId="0754BF26" w14:textId="275DA783" w:rsidR="00A942A3" w:rsidRPr="00610B1B" w:rsidRDefault="00C415D1"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Състояние на</w:t>
            </w:r>
            <w:r w:rsidR="00A942A3" w:rsidRPr="00610B1B">
              <w:rPr>
                <w:rFonts w:ascii="Times New Roman" w:hAnsi="Times New Roman" w:cs="Times New Roman"/>
                <w:sz w:val="20"/>
                <w:szCs w:val="20"/>
                <w:lang w:val="bg-BG"/>
              </w:rPr>
              <w:t xml:space="preserve"> популации на целеви видове</w:t>
            </w:r>
          </w:p>
        </w:tc>
        <w:tc>
          <w:tcPr>
            <w:tcW w:w="2215" w:type="dxa"/>
          </w:tcPr>
          <w:p w14:paraId="7F5FA32E" w14:textId="7151DB37"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4, всички специфични цели</w:t>
            </w:r>
          </w:p>
        </w:tc>
        <w:tc>
          <w:tcPr>
            <w:tcW w:w="2179" w:type="dxa"/>
          </w:tcPr>
          <w:p w14:paraId="130406DD" w14:textId="5BAF5AEB" w:rsidR="00A942A3" w:rsidRPr="00610B1B" w:rsidRDefault="005D147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Брой </w:t>
            </w:r>
            <w:r w:rsidR="00C415D1" w:rsidRPr="00610B1B">
              <w:rPr>
                <w:rFonts w:ascii="Times New Roman" w:hAnsi="Times New Roman" w:cs="Times New Roman"/>
                <w:sz w:val="20"/>
                <w:szCs w:val="20"/>
                <w:lang w:val="bg-BG"/>
              </w:rPr>
              <w:t>приложени мерки</w:t>
            </w:r>
          </w:p>
        </w:tc>
        <w:tc>
          <w:tcPr>
            <w:tcW w:w="2596" w:type="dxa"/>
          </w:tcPr>
          <w:p w14:paraId="1E4319D7" w14:textId="09667B88" w:rsidR="00C415D1" w:rsidRPr="00610B1B" w:rsidRDefault="00C415D1" w:rsidP="00C415D1">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Изпълнение на програмите от мониторинг на РДМС и биомаса на размножителния запас вписан в актуализираните доклади по чл.8 на РДМС, относно Дескриптор 3 – стопански ценни видове. Доклади от целеви проучвания по ПМДР. Мониторингови доклади по ТГС България – Румъния </w:t>
            </w:r>
          </w:p>
          <w:p w14:paraId="1C87F62C" w14:textId="79EA8593" w:rsidR="00A942A3" w:rsidRPr="00610B1B" w:rsidRDefault="00C415D1" w:rsidP="00C415D1">
            <w:pPr>
              <w:rPr>
                <w:rFonts w:ascii="Times New Roman" w:hAnsi="Times New Roman" w:cs="Times New Roman"/>
                <w:sz w:val="20"/>
                <w:szCs w:val="20"/>
                <w:lang w:val="bg-BG"/>
              </w:rPr>
            </w:pPr>
            <w:r w:rsidRPr="00610B1B">
              <w:rPr>
                <w:rFonts w:ascii="Times New Roman" w:hAnsi="Times New Roman" w:cs="Times New Roman"/>
                <w:sz w:val="20"/>
                <w:szCs w:val="20"/>
                <w:lang w:val="bg-BG"/>
              </w:rPr>
              <w:t>Целеви изследвания на ИО и ИБЕИ БАН</w:t>
            </w:r>
          </w:p>
        </w:tc>
      </w:tr>
      <w:tr w:rsidR="00A942A3" w:rsidRPr="00C717D0" w14:paraId="50C0CF4B" w14:textId="77777777" w:rsidTr="00C717D0">
        <w:tc>
          <w:tcPr>
            <w:tcW w:w="426" w:type="dxa"/>
            <w:vAlign w:val="center"/>
          </w:tcPr>
          <w:p w14:paraId="3309E99C" w14:textId="326582F3" w:rsidR="00A942A3" w:rsidRPr="00610B1B" w:rsidRDefault="009F423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6</w:t>
            </w:r>
            <w:r w:rsidR="00A942A3" w:rsidRPr="00610B1B">
              <w:rPr>
                <w:rFonts w:ascii="Times New Roman" w:hAnsi="Times New Roman" w:cs="Times New Roman"/>
                <w:sz w:val="20"/>
                <w:szCs w:val="20"/>
                <w:lang w:val="bg-BG"/>
              </w:rPr>
              <w:t>.</w:t>
            </w:r>
          </w:p>
        </w:tc>
        <w:tc>
          <w:tcPr>
            <w:tcW w:w="2835" w:type="dxa"/>
            <w:vAlign w:val="center"/>
          </w:tcPr>
          <w:p w14:paraId="1E53E44F" w14:textId="3B7462E2" w:rsidR="00A942A3" w:rsidRPr="00610B1B" w:rsidRDefault="00A942A3"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Запаз</w:t>
            </w:r>
            <w:r w:rsidR="00261676" w:rsidRPr="00610B1B">
              <w:rPr>
                <w:rFonts w:ascii="Times New Roman" w:hAnsi="Times New Roman" w:cs="Times New Roman"/>
                <w:sz w:val="20"/>
                <w:szCs w:val="20"/>
                <w:lang w:val="bg-BG"/>
              </w:rPr>
              <w:t>ени</w:t>
            </w:r>
            <w:r w:rsidRPr="00610B1B">
              <w:rPr>
                <w:rFonts w:ascii="Times New Roman" w:hAnsi="Times New Roman" w:cs="Times New Roman"/>
                <w:sz w:val="20"/>
                <w:szCs w:val="20"/>
                <w:lang w:val="bg-BG"/>
              </w:rPr>
              <w:t xml:space="preserve"> функции на екосистемите</w:t>
            </w:r>
            <w:r w:rsidR="005D147D" w:rsidRPr="00610B1B">
              <w:rPr>
                <w:rFonts w:ascii="Times New Roman" w:hAnsi="Times New Roman" w:cs="Times New Roman"/>
                <w:sz w:val="20"/>
                <w:szCs w:val="20"/>
                <w:lang w:val="bg-BG"/>
              </w:rPr>
              <w:t xml:space="preserve"> и възстановени екосистемни услуги</w:t>
            </w:r>
          </w:p>
        </w:tc>
        <w:tc>
          <w:tcPr>
            <w:tcW w:w="2215" w:type="dxa"/>
          </w:tcPr>
          <w:p w14:paraId="750A3ABB" w14:textId="66916EC8"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4, всички специфични цели</w:t>
            </w:r>
          </w:p>
        </w:tc>
        <w:tc>
          <w:tcPr>
            <w:tcW w:w="2179" w:type="dxa"/>
          </w:tcPr>
          <w:p w14:paraId="247BFE23" w14:textId="053E03E0"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Експертна качествена оценка</w:t>
            </w:r>
          </w:p>
        </w:tc>
        <w:tc>
          <w:tcPr>
            <w:tcW w:w="2596" w:type="dxa"/>
          </w:tcPr>
          <w:p w14:paraId="43D15543" w14:textId="3C39FA33"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Мониторингови доклади по ТГС България – Румъния, целеви изследвания ИБЕИ БАН</w:t>
            </w:r>
          </w:p>
        </w:tc>
      </w:tr>
      <w:tr w:rsidR="00261676" w:rsidRPr="00C717D0" w14:paraId="001CC03F" w14:textId="77777777" w:rsidTr="00C717D0">
        <w:tc>
          <w:tcPr>
            <w:tcW w:w="426" w:type="dxa"/>
            <w:vAlign w:val="center"/>
          </w:tcPr>
          <w:p w14:paraId="27F4874E" w14:textId="7D6BD497" w:rsidR="00261676" w:rsidRPr="00610B1B" w:rsidRDefault="009F423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7</w:t>
            </w:r>
            <w:r w:rsidR="00261676" w:rsidRPr="00610B1B">
              <w:rPr>
                <w:rFonts w:ascii="Times New Roman" w:hAnsi="Times New Roman" w:cs="Times New Roman"/>
                <w:sz w:val="20"/>
                <w:szCs w:val="20"/>
                <w:lang w:val="bg-BG"/>
              </w:rPr>
              <w:t>.</w:t>
            </w:r>
          </w:p>
        </w:tc>
        <w:tc>
          <w:tcPr>
            <w:tcW w:w="2835" w:type="dxa"/>
            <w:vAlign w:val="center"/>
          </w:tcPr>
          <w:p w14:paraId="6AF7757A" w14:textId="30C185B0" w:rsidR="00261676" w:rsidRPr="00610B1B" w:rsidRDefault="00261676"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Опазени дънни местообитания, попадащи в защитените зони и защитените територии в морските пространства</w:t>
            </w:r>
          </w:p>
        </w:tc>
        <w:tc>
          <w:tcPr>
            <w:tcW w:w="2215" w:type="dxa"/>
          </w:tcPr>
          <w:p w14:paraId="3262C7BA" w14:textId="1706BAA3" w:rsidR="00261676" w:rsidRPr="00610B1B" w:rsidRDefault="00261676"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4, всички специфични цели</w:t>
            </w:r>
          </w:p>
        </w:tc>
        <w:tc>
          <w:tcPr>
            <w:tcW w:w="2179" w:type="dxa"/>
          </w:tcPr>
          <w:p w14:paraId="1294EE89" w14:textId="6202DEDB" w:rsidR="00261676" w:rsidRPr="00610B1B" w:rsidRDefault="00261676"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Площ на дънните местообитания в защитени зони и територии спрямо общата площ на морските пространства (%)</w:t>
            </w:r>
          </w:p>
        </w:tc>
        <w:tc>
          <w:tcPr>
            <w:tcW w:w="2596" w:type="dxa"/>
          </w:tcPr>
          <w:p w14:paraId="17CD050A" w14:textId="77777777" w:rsidR="00261676" w:rsidRPr="00610B1B" w:rsidRDefault="0024518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Министерство на околната среда и водите</w:t>
            </w:r>
          </w:p>
          <w:p w14:paraId="768FA794" w14:textId="1DF645D4" w:rsidR="00245184" w:rsidRPr="00610B1B" w:rsidRDefault="00245184"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Информационна система за защитени зони от екологична мрежа Натура</w:t>
            </w:r>
            <w:r w:rsidR="00C415D1" w:rsidRPr="00610B1B">
              <w:rPr>
                <w:rFonts w:ascii="Times New Roman" w:hAnsi="Times New Roman" w:cs="Times New Roman"/>
                <w:sz w:val="20"/>
                <w:szCs w:val="20"/>
                <w:lang w:val="bg-BG"/>
              </w:rPr>
              <w:t> </w:t>
            </w:r>
            <w:r w:rsidRPr="00610B1B">
              <w:rPr>
                <w:rFonts w:ascii="Times New Roman" w:hAnsi="Times New Roman" w:cs="Times New Roman"/>
                <w:sz w:val="20"/>
                <w:szCs w:val="20"/>
                <w:lang w:val="bg-BG"/>
              </w:rPr>
              <w:t>2000</w:t>
            </w:r>
          </w:p>
        </w:tc>
      </w:tr>
      <w:tr w:rsidR="005D147D" w:rsidRPr="00610B1B" w14:paraId="5D6A9094" w14:textId="77777777" w:rsidTr="00C717D0">
        <w:tc>
          <w:tcPr>
            <w:tcW w:w="426" w:type="dxa"/>
            <w:vAlign w:val="center"/>
          </w:tcPr>
          <w:p w14:paraId="0FDD55ED" w14:textId="259653B0" w:rsidR="005D147D" w:rsidRPr="00610B1B" w:rsidRDefault="009F4237"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8</w:t>
            </w:r>
            <w:r w:rsidR="005D147D" w:rsidRPr="00610B1B">
              <w:rPr>
                <w:rFonts w:ascii="Times New Roman" w:hAnsi="Times New Roman" w:cs="Times New Roman"/>
                <w:sz w:val="20"/>
                <w:szCs w:val="20"/>
                <w:lang w:val="bg-BG"/>
              </w:rPr>
              <w:t>.</w:t>
            </w:r>
          </w:p>
        </w:tc>
        <w:tc>
          <w:tcPr>
            <w:tcW w:w="2835" w:type="dxa"/>
            <w:vAlign w:val="center"/>
          </w:tcPr>
          <w:p w14:paraId="39362B3B" w14:textId="15E77F81" w:rsidR="005D147D" w:rsidRPr="00610B1B" w:rsidRDefault="005D147D"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Огранич</w:t>
            </w:r>
            <w:r w:rsidR="00261676" w:rsidRPr="00610B1B">
              <w:rPr>
                <w:rFonts w:ascii="Times New Roman" w:hAnsi="Times New Roman" w:cs="Times New Roman"/>
                <w:sz w:val="20"/>
                <w:szCs w:val="20"/>
                <w:lang w:val="bg-BG"/>
              </w:rPr>
              <w:t xml:space="preserve">ено </w:t>
            </w:r>
            <w:r w:rsidRPr="00610B1B">
              <w:rPr>
                <w:rFonts w:ascii="Times New Roman" w:hAnsi="Times New Roman" w:cs="Times New Roman"/>
                <w:sz w:val="20"/>
                <w:szCs w:val="20"/>
                <w:lang w:val="bg-BG"/>
              </w:rPr>
              <w:t>внасяне на чужди видове посредством баластни води и седименти, и обраствания на корпусите на корабите, чрез определ</w:t>
            </w:r>
            <w:r w:rsidR="00261676" w:rsidRPr="00610B1B">
              <w:rPr>
                <w:rFonts w:ascii="Times New Roman" w:hAnsi="Times New Roman" w:cs="Times New Roman"/>
                <w:sz w:val="20"/>
                <w:szCs w:val="20"/>
                <w:lang w:val="bg-BG"/>
              </w:rPr>
              <w:t>ени</w:t>
            </w:r>
            <w:r w:rsidRPr="00610B1B">
              <w:rPr>
                <w:rFonts w:ascii="Times New Roman" w:hAnsi="Times New Roman" w:cs="Times New Roman"/>
                <w:sz w:val="20"/>
                <w:szCs w:val="20"/>
                <w:lang w:val="bg-BG"/>
              </w:rPr>
              <w:t xml:space="preserve"> специализирани зони и инсталации за събиране и обезвреждане.</w:t>
            </w:r>
          </w:p>
        </w:tc>
        <w:tc>
          <w:tcPr>
            <w:tcW w:w="2215" w:type="dxa"/>
          </w:tcPr>
          <w:p w14:paraId="289C5E12" w14:textId="7453D993" w:rsidR="005D147D" w:rsidRPr="00610B1B" w:rsidRDefault="005D147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4, Специфична цел 4.1. и 4.3.</w:t>
            </w:r>
          </w:p>
        </w:tc>
        <w:tc>
          <w:tcPr>
            <w:tcW w:w="2179" w:type="dxa"/>
            <w:shd w:val="clear" w:color="auto" w:fill="FFFFFF"/>
          </w:tcPr>
          <w:p w14:paraId="11D1911D" w14:textId="55F5A9AF" w:rsidR="005D147D" w:rsidRPr="00610B1B" w:rsidRDefault="005D147D" w:rsidP="00FE1308">
            <w:pPr>
              <w:rPr>
                <w:rFonts w:ascii="Times New Roman" w:hAnsi="Times New Roman" w:cs="Times New Roman"/>
                <w:sz w:val="20"/>
                <w:szCs w:val="20"/>
                <w:lang w:val="bg-BG"/>
              </w:rPr>
            </w:pPr>
            <w:r w:rsidRPr="00610B1B">
              <w:rPr>
                <w:rFonts w:ascii="Times New Roman" w:eastAsia="Times New Roman" w:hAnsi="Times New Roman" w:cs="Times New Roman"/>
                <w:color w:val="00000A"/>
                <w:kern w:val="3"/>
                <w:sz w:val="20"/>
                <w:szCs w:val="24"/>
                <w:lang w:val="bg-BG" w:eastAsia="zh-CN" w:bidi="hi-IN"/>
              </w:rPr>
              <w:t xml:space="preserve">Събрани </w:t>
            </w:r>
            <w:r w:rsidR="00760E2D">
              <w:rPr>
                <w:rFonts w:ascii="Times New Roman" w:eastAsia="Times New Roman" w:hAnsi="Times New Roman" w:cs="Times New Roman"/>
                <w:color w:val="00000A"/>
                <w:kern w:val="3"/>
                <w:sz w:val="20"/>
                <w:szCs w:val="24"/>
                <w:lang w:val="bg-BG" w:eastAsia="zh-CN" w:bidi="hi-IN"/>
              </w:rPr>
              <w:t>отпадъци</w:t>
            </w:r>
            <w:r w:rsidRPr="00610B1B">
              <w:rPr>
                <w:rFonts w:ascii="Times New Roman" w:eastAsia="Times New Roman" w:hAnsi="Times New Roman" w:cs="Times New Roman"/>
                <w:color w:val="00000A"/>
                <w:kern w:val="3"/>
                <w:sz w:val="20"/>
                <w:szCs w:val="24"/>
                <w:lang w:val="bg-BG" w:eastAsia="zh-CN" w:bidi="hi-IN"/>
              </w:rPr>
              <w:t>, приети сантинни води и баласт (тона)</w:t>
            </w:r>
          </w:p>
        </w:tc>
        <w:tc>
          <w:tcPr>
            <w:tcW w:w="2596" w:type="dxa"/>
            <w:shd w:val="clear" w:color="auto" w:fill="FFFFFF"/>
          </w:tcPr>
          <w:p w14:paraId="2FB8BE55" w14:textId="1E057C01" w:rsidR="005D147D" w:rsidRPr="00610B1B" w:rsidRDefault="005D147D" w:rsidP="00D32D6A">
            <w:pPr>
              <w:rPr>
                <w:rFonts w:ascii="Times New Roman" w:hAnsi="Times New Roman" w:cs="Times New Roman"/>
                <w:sz w:val="20"/>
                <w:szCs w:val="20"/>
                <w:lang w:val="bg-BG"/>
              </w:rPr>
            </w:pPr>
            <w:r w:rsidRPr="00610B1B">
              <w:rPr>
                <w:rFonts w:ascii="Times New Roman" w:eastAsia="Times New Roman" w:hAnsi="Times New Roman" w:cs="Times New Roman"/>
                <w:color w:val="00000A"/>
                <w:kern w:val="3"/>
                <w:sz w:val="20"/>
                <w:szCs w:val="20"/>
                <w:lang w:val="bg-BG" w:eastAsia="zh-CN" w:bidi="hi-IN"/>
              </w:rPr>
              <w:t xml:space="preserve">НСИ </w:t>
            </w:r>
          </w:p>
        </w:tc>
      </w:tr>
      <w:tr w:rsidR="00A942A3" w:rsidRPr="00C717D0" w14:paraId="062FC094" w14:textId="77777777" w:rsidTr="00C717D0">
        <w:tc>
          <w:tcPr>
            <w:tcW w:w="426" w:type="dxa"/>
            <w:vAlign w:val="center"/>
          </w:tcPr>
          <w:p w14:paraId="3C29C920" w14:textId="25D5CB14" w:rsidR="00A942A3" w:rsidRPr="00610B1B" w:rsidRDefault="009F4237" w:rsidP="00537D06">
            <w:pPr>
              <w:rPr>
                <w:rFonts w:ascii="Times New Roman" w:hAnsi="Times New Roman" w:cs="Times New Roman"/>
                <w:lang w:val="bg-BG"/>
              </w:rPr>
            </w:pPr>
            <w:r w:rsidRPr="00610B1B">
              <w:rPr>
                <w:rFonts w:ascii="Times New Roman" w:hAnsi="Times New Roman" w:cs="Times New Roman"/>
                <w:lang w:val="bg-BG"/>
              </w:rPr>
              <w:t>9</w:t>
            </w:r>
            <w:r w:rsidR="00A942A3" w:rsidRPr="00610B1B">
              <w:rPr>
                <w:rFonts w:ascii="Times New Roman" w:hAnsi="Times New Roman" w:cs="Times New Roman"/>
                <w:lang w:val="bg-BG"/>
              </w:rPr>
              <w:t>.</w:t>
            </w:r>
          </w:p>
        </w:tc>
        <w:tc>
          <w:tcPr>
            <w:tcW w:w="2835" w:type="dxa"/>
            <w:vAlign w:val="center"/>
          </w:tcPr>
          <w:p w14:paraId="2A159F87" w14:textId="2E6BF3A1" w:rsidR="00A942A3" w:rsidRPr="00610B1B" w:rsidRDefault="00A942A3" w:rsidP="00537D06">
            <w:pPr>
              <w:rPr>
                <w:rFonts w:ascii="Times New Roman" w:hAnsi="Times New Roman" w:cs="Times New Roman"/>
                <w:sz w:val="20"/>
                <w:szCs w:val="20"/>
                <w:lang w:val="bg-BG"/>
              </w:rPr>
            </w:pPr>
            <w:r w:rsidRPr="00610B1B">
              <w:rPr>
                <w:rFonts w:ascii="Times New Roman" w:hAnsi="Times New Roman" w:cs="Times New Roman"/>
                <w:sz w:val="20"/>
                <w:szCs w:val="20"/>
                <w:lang w:val="bg-BG"/>
              </w:rPr>
              <w:t>Разширено сътрудничество за опазване на Черно море</w:t>
            </w:r>
          </w:p>
        </w:tc>
        <w:tc>
          <w:tcPr>
            <w:tcW w:w="2215" w:type="dxa"/>
          </w:tcPr>
          <w:p w14:paraId="7D51DB44" w14:textId="351D8C0E"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4, всички специфични цели</w:t>
            </w:r>
          </w:p>
        </w:tc>
        <w:tc>
          <w:tcPr>
            <w:tcW w:w="2179" w:type="dxa"/>
          </w:tcPr>
          <w:p w14:paraId="34FD57F9" w14:textId="77777777"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проекти/</w:t>
            </w:r>
          </w:p>
          <w:p w14:paraId="17C53648" w14:textId="5F45BD26" w:rsidR="00A942A3" w:rsidRPr="00610B1B" w:rsidRDefault="005D147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инициативи</w:t>
            </w:r>
          </w:p>
          <w:p w14:paraId="4855CA52" w14:textId="1127ED60" w:rsidR="005D147D" w:rsidRPr="00610B1B" w:rsidRDefault="005D147D"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Участващи държави/институции</w:t>
            </w:r>
          </w:p>
        </w:tc>
        <w:tc>
          <w:tcPr>
            <w:tcW w:w="2596" w:type="dxa"/>
          </w:tcPr>
          <w:p w14:paraId="1E3F8721" w14:textId="105EA874" w:rsidR="00A942A3" w:rsidRPr="00610B1B" w:rsidRDefault="00A942A3"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 xml:space="preserve">Мониторингови доклади по ТГС България </w:t>
            </w:r>
            <w:r w:rsidR="005D147D" w:rsidRPr="00610B1B">
              <w:rPr>
                <w:rFonts w:ascii="Times New Roman" w:hAnsi="Times New Roman" w:cs="Times New Roman"/>
                <w:sz w:val="20"/>
                <w:szCs w:val="20"/>
                <w:lang w:val="bg-BG"/>
              </w:rPr>
              <w:t>–</w:t>
            </w:r>
            <w:r w:rsidRPr="00610B1B">
              <w:rPr>
                <w:rFonts w:ascii="Times New Roman" w:hAnsi="Times New Roman" w:cs="Times New Roman"/>
                <w:sz w:val="20"/>
                <w:szCs w:val="20"/>
                <w:lang w:val="bg-BG"/>
              </w:rPr>
              <w:t xml:space="preserve"> Румъния</w:t>
            </w:r>
            <w:r w:rsidR="005D147D" w:rsidRPr="00610B1B">
              <w:rPr>
                <w:rFonts w:ascii="Times New Roman" w:hAnsi="Times New Roman" w:cs="Times New Roman"/>
                <w:sz w:val="20"/>
                <w:szCs w:val="20"/>
                <w:lang w:val="bg-BG"/>
              </w:rPr>
              <w:t xml:space="preserve"> и по Програма Черно море 2021 - 2027</w:t>
            </w:r>
          </w:p>
        </w:tc>
      </w:tr>
      <w:tr w:rsidR="00192B75" w:rsidRPr="00610B1B" w14:paraId="7C6B44EA" w14:textId="77777777" w:rsidTr="00C717D0">
        <w:tc>
          <w:tcPr>
            <w:tcW w:w="426" w:type="dxa"/>
            <w:vAlign w:val="center"/>
          </w:tcPr>
          <w:p w14:paraId="3677E61B" w14:textId="6D9F054B" w:rsidR="00192B75" w:rsidRPr="00610B1B" w:rsidRDefault="00192B75" w:rsidP="00537D06">
            <w:pPr>
              <w:rPr>
                <w:rFonts w:ascii="Times New Roman" w:hAnsi="Times New Roman" w:cs="Times New Roman"/>
              </w:rPr>
            </w:pPr>
            <w:r w:rsidRPr="00610B1B">
              <w:rPr>
                <w:rFonts w:ascii="Times New Roman" w:hAnsi="Times New Roman" w:cs="Times New Roman"/>
              </w:rPr>
              <w:t>10</w:t>
            </w:r>
          </w:p>
        </w:tc>
        <w:tc>
          <w:tcPr>
            <w:tcW w:w="2835" w:type="dxa"/>
            <w:vAlign w:val="center"/>
          </w:tcPr>
          <w:p w14:paraId="31729BAC" w14:textId="0AA63D7C" w:rsidR="00192B75" w:rsidRPr="00610B1B"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Къмхоризонт 2035 г. да е осигурено въвеждането в</w:t>
            </w:r>
          </w:p>
          <w:p w14:paraId="30C359CC" w14:textId="14CAE68F" w:rsidR="00192B75" w:rsidRPr="00610B1B"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експлоатация на ПСОВ по черноморския бряг и из-граждане на канализационни системи за агломерации над 2000 екв. ж.така, че в морето да постъпват преобладаващо пречистени води.</w:t>
            </w:r>
          </w:p>
        </w:tc>
        <w:tc>
          <w:tcPr>
            <w:tcW w:w="2215" w:type="dxa"/>
          </w:tcPr>
          <w:p w14:paraId="1E9071CF" w14:textId="77777777" w:rsidR="00192B75" w:rsidRPr="00610B1B" w:rsidRDefault="00192B75" w:rsidP="00192B75">
            <w:pPr>
              <w:rPr>
                <w:rFonts w:ascii="Times New Roman" w:hAnsi="Times New Roman" w:cs="Times New Roman"/>
                <w:sz w:val="20"/>
                <w:szCs w:val="20"/>
              </w:rPr>
            </w:pPr>
            <w:r w:rsidRPr="00610B1B">
              <w:rPr>
                <w:rFonts w:ascii="Times New Roman" w:hAnsi="Times New Roman" w:cs="Times New Roman"/>
                <w:sz w:val="20"/>
                <w:szCs w:val="20"/>
                <w:lang w:val="bg-BG"/>
              </w:rPr>
              <w:t>Стратегическа цел 4</w:t>
            </w:r>
          </w:p>
          <w:p w14:paraId="5158C598" w14:textId="77777777" w:rsidR="00192B75" w:rsidRPr="00610B1B" w:rsidRDefault="00192B75" w:rsidP="00D32D6A">
            <w:pPr>
              <w:rPr>
                <w:rFonts w:ascii="Times New Roman" w:hAnsi="Times New Roman" w:cs="Times New Roman"/>
                <w:sz w:val="20"/>
                <w:szCs w:val="20"/>
                <w:lang w:val="bg-BG"/>
              </w:rPr>
            </w:pPr>
          </w:p>
        </w:tc>
        <w:tc>
          <w:tcPr>
            <w:tcW w:w="2179" w:type="dxa"/>
          </w:tcPr>
          <w:p w14:paraId="55A133EE" w14:textId="037E078F" w:rsidR="00192B75" w:rsidRPr="00610B1B" w:rsidRDefault="00192B7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изградени ПСОВ, брой изградени канализационни мрежи</w:t>
            </w:r>
          </w:p>
        </w:tc>
        <w:tc>
          <w:tcPr>
            <w:tcW w:w="2596" w:type="dxa"/>
          </w:tcPr>
          <w:p w14:paraId="3034BB15" w14:textId="77777777" w:rsidR="00192B75" w:rsidRPr="00610B1B"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МРРБ, МОСВ</w:t>
            </w:r>
          </w:p>
          <w:p w14:paraId="245217E4" w14:textId="0B364151" w:rsidR="00192B75" w:rsidRPr="00610B1B" w:rsidRDefault="00192B75" w:rsidP="00D32D6A">
            <w:pPr>
              <w:rPr>
                <w:rFonts w:ascii="Times New Roman" w:hAnsi="Times New Roman" w:cs="Times New Roman"/>
                <w:sz w:val="20"/>
                <w:szCs w:val="20"/>
              </w:rPr>
            </w:pPr>
          </w:p>
        </w:tc>
      </w:tr>
      <w:tr w:rsidR="00192B75" w:rsidRPr="00610B1B" w14:paraId="741D1DF4" w14:textId="77777777" w:rsidTr="00C717D0">
        <w:tc>
          <w:tcPr>
            <w:tcW w:w="426" w:type="dxa"/>
            <w:vAlign w:val="center"/>
          </w:tcPr>
          <w:p w14:paraId="065F3298" w14:textId="6700B756" w:rsidR="00192B75" w:rsidRPr="00610B1B" w:rsidRDefault="00192B75" w:rsidP="00537D06">
            <w:pPr>
              <w:rPr>
                <w:rFonts w:ascii="Times New Roman" w:hAnsi="Times New Roman" w:cs="Times New Roman"/>
              </w:rPr>
            </w:pPr>
            <w:r w:rsidRPr="00610B1B">
              <w:rPr>
                <w:rFonts w:ascii="Times New Roman" w:hAnsi="Times New Roman" w:cs="Times New Roman"/>
              </w:rPr>
              <w:t>11</w:t>
            </w:r>
          </w:p>
        </w:tc>
        <w:tc>
          <w:tcPr>
            <w:tcW w:w="2835" w:type="dxa"/>
            <w:vAlign w:val="center"/>
          </w:tcPr>
          <w:p w14:paraId="7732BCDE" w14:textId="77777777" w:rsidR="00192B75" w:rsidRPr="00610B1B" w:rsidRDefault="00192B75" w:rsidP="00192B75">
            <w:pPr>
              <w:ind w:left="37"/>
              <w:rPr>
                <w:rFonts w:ascii="Times New Roman" w:hAnsi="Times New Roman" w:cs="Times New Roman"/>
                <w:sz w:val="20"/>
                <w:szCs w:val="20"/>
                <w:lang w:val="bg-BG"/>
              </w:rPr>
            </w:pPr>
            <w:r w:rsidRPr="00610B1B">
              <w:rPr>
                <w:rFonts w:ascii="Times New Roman" w:hAnsi="Times New Roman" w:cs="Times New Roman"/>
                <w:sz w:val="20"/>
                <w:szCs w:val="20"/>
                <w:lang w:val="bg-BG"/>
              </w:rPr>
              <w:t>При развитието на крайбрежния и морския туризъм под</w:t>
            </w:r>
          </w:p>
          <w:p w14:paraId="0D24B82E" w14:textId="15C7FD02" w:rsidR="00192B75" w:rsidRPr="00610B1B" w:rsidRDefault="00192B75" w:rsidP="00D03DA8">
            <w:pPr>
              <w:ind w:left="37"/>
              <w:rPr>
                <w:rFonts w:ascii="Times New Roman" w:hAnsi="Times New Roman" w:cs="Times New Roman"/>
                <w:sz w:val="20"/>
                <w:szCs w:val="20"/>
                <w:lang w:val="bg-BG"/>
              </w:rPr>
            </w:pPr>
            <w:r w:rsidRPr="00610B1B">
              <w:rPr>
                <w:rFonts w:ascii="Times New Roman" w:hAnsi="Times New Roman" w:cs="Times New Roman"/>
                <w:sz w:val="20"/>
                <w:szCs w:val="20"/>
                <w:lang w:val="bg-BG"/>
              </w:rPr>
              <w:t>особена защита да са зоните за къпане като се въведат</w:t>
            </w:r>
            <w:r w:rsidR="00560C72" w:rsidRPr="00610B1B">
              <w:rPr>
                <w:rFonts w:ascii="Times New Roman" w:hAnsi="Times New Roman" w:cs="Times New Roman"/>
                <w:sz w:val="20"/>
                <w:szCs w:val="20"/>
                <w:lang w:val="bg-BG"/>
              </w:rPr>
              <w:t xml:space="preserve"> </w:t>
            </w:r>
            <w:r w:rsidR="00560C72" w:rsidRPr="00610B1B">
              <w:rPr>
                <w:rFonts w:ascii="Times New Roman" w:hAnsi="Times New Roman" w:cs="Times New Roman"/>
                <w:sz w:val="20"/>
                <w:szCs w:val="20"/>
                <w:lang w:val="bg-BG"/>
              </w:rPr>
              <w:lastRenderedPageBreak/>
              <w:t>ограничения за дейности</w:t>
            </w:r>
            <w:r w:rsidR="009A2225">
              <w:rPr>
                <w:rFonts w:ascii="Times New Roman" w:hAnsi="Times New Roman" w:cs="Times New Roman"/>
                <w:sz w:val="20"/>
                <w:szCs w:val="20"/>
                <w:lang w:val="bg-BG"/>
              </w:rPr>
              <w:t>те</w:t>
            </w:r>
            <w:r w:rsidR="00560C72" w:rsidRPr="00610B1B">
              <w:rPr>
                <w:rFonts w:ascii="Times New Roman" w:hAnsi="Times New Roman" w:cs="Times New Roman"/>
                <w:sz w:val="20"/>
                <w:szCs w:val="20"/>
                <w:lang w:val="bg-BG"/>
              </w:rPr>
              <w:t xml:space="preserve"> източник на замърс</w:t>
            </w:r>
            <w:r w:rsidR="009A2225">
              <w:rPr>
                <w:rFonts w:ascii="Times New Roman" w:hAnsi="Times New Roman" w:cs="Times New Roman"/>
                <w:sz w:val="20"/>
                <w:szCs w:val="20"/>
                <w:lang w:val="bg-BG"/>
              </w:rPr>
              <w:t>яване</w:t>
            </w:r>
            <w:r w:rsidR="00560C72" w:rsidRPr="00610B1B">
              <w:rPr>
                <w:rFonts w:ascii="Times New Roman" w:hAnsi="Times New Roman" w:cs="Times New Roman"/>
                <w:sz w:val="20"/>
                <w:szCs w:val="20"/>
                <w:lang w:val="bg-BG"/>
              </w:rPr>
              <w:t xml:space="preserve"> </w:t>
            </w:r>
          </w:p>
        </w:tc>
        <w:tc>
          <w:tcPr>
            <w:tcW w:w="2215" w:type="dxa"/>
          </w:tcPr>
          <w:p w14:paraId="54BA70B6" w14:textId="2A710529" w:rsidR="00192B75" w:rsidRPr="00610B1B" w:rsidRDefault="00192B7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lastRenderedPageBreak/>
              <w:t>Стратегическа цел 4</w:t>
            </w:r>
          </w:p>
        </w:tc>
        <w:tc>
          <w:tcPr>
            <w:tcW w:w="2179" w:type="dxa"/>
          </w:tcPr>
          <w:p w14:paraId="03856213" w14:textId="1542F066" w:rsidR="00192B75" w:rsidRPr="00DA2C5E"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въведени ограничения, брой контралирани обекти</w:t>
            </w:r>
          </w:p>
          <w:p w14:paraId="0F82D235" w14:textId="77777777" w:rsidR="00192B75" w:rsidRPr="00610B1B" w:rsidRDefault="00192B75" w:rsidP="00D32D6A">
            <w:pPr>
              <w:rPr>
                <w:rFonts w:ascii="Times New Roman" w:hAnsi="Times New Roman" w:cs="Times New Roman"/>
                <w:sz w:val="20"/>
                <w:szCs w:val="20"/>
                <w:lang w:val="bg-BG"/>
              </w:rPr>
            </w:pPr>
          </w:p>
        </w:tc>
        <w:tc>
          <w:tcPr>
            <w:tcW w:w="2596" w:type="dxa"/>
          </w:tcPr>
          <w:p w14:paraId="6E36CC91" w14:textId="3441F3B1" w:rsidR="00192B75" w:rsidRPr="00610B1B" w:rsidRDefault="00192B75" w:rsidP="00192B75">
            <w:pPr>
              <w:rPr>
                <w:rFonts w:ascii="Times New Roman" w:hAnsi="Times New Roman" w:cs="Times New Roman"/>
                <w:sz w:val="20"/>
                <w:szCs w:val="20"/>
              </w:rPr>
            </w:pPr>
            <w:r w:rsidRPr="00610B1B">
              <w:rPr>
                <w:rFonts w:ascii="Times New Roman" w:hAnsi="Times New Roman" w:cs="Times New Roman"/>
                <w:sz w:val="20"/>
                <w:szCs w:val="20"/>
                <w:lang w:val="bg-BG"/>
              </w:rPr>
              <w:t xml:space="preserve">   </w:t>
            </w:r>
            <w:r w:rsidR="00D4336B">
              <w:rPr>
                <w:rFonts w:ascii="Times New Roman" w:hAnsi="Times New Roman" w:cs="Times New Roman"/>
                <w:sz w:val="20"/>
                <w:szCs w:val="20"/>
                <w:lang w:val="bg-BG"/>
              </w:rPr>
              <w:t>МОСВ</w:t>
            </w:r>
          </w:p>
          <w:p w14:paraId="28C6F7CC" w14:textId="77777777" w:rsidR="00192B75" w:rsidRPr="00610B1B" w:rsidRDefault="00192B75" w:rsidP="00D32D6A">
            <w:pPr>
              <w:rPr>
                <w:rFonts w:ascii="Times New Roman" w:hAnsi="Times New Roman" w:cs="Times New Roman"/>
                <w:sz w:val="20"/>
                <w:szCs w:val="20"/>
                <w:lang w:val="bg-BG"/>
              </w:rPr>
            </w:pPr>
          </w:p>
        </w:tc>
      </w:tr>
      <w:tr w:rsidR="00192B75" w:rsidRPr="00691047" w14:paraId="6E17E22D" w14:textId="77777777" w:rsidTr="00C717D0">
        <w:tc>
          <w:tcPr>
            <w:tcW w:w="426" w:type="dxa"/>
            <w:vAlign w:val="center"/>
          </w:tcPr>
          <w:p w14:paraId="1C131979" w14:textId="6FE37124" w:rsidR="00192B75" w:rsidRPr="00610B1B" w:rsidRDefault="00192B75" w:rsidP="00537D06">
            <w:pPr>
              <w:rPr>
                <w:rFonts w:ascii="Times New Roman" w:hAnsi="Times New Roman" w:cs="Times New Roman"/>
              </w:rPr>
            </w:pPr>
            <w:r w:rsidRPr="00610B1B">
              <w:rPr>
                <w:rFonts w:ascii="Times New Roman" w:hAnsi="Times New Roman" w:cs="Times New Roman"/>
              </w:rPr>
              <w:t>12</w:t>
            </w:r>
          </w:p>
        </w:tc>
        <w:tc>
          <w:tcPr>
            <w:tcW w:w="2835" w:type="dxa"/>
            <w:vAlign w:val="center"/>
          </w:tcPr>
          <w:p w14:paraId="30370202" w14:textId="77777777" w:rsidR="00192B75" w:rsidRPr="00610B1B" w:rsidRDefault="00192B75" w:rsidP="00192B75">
            <w:pPr>
              <w:ind w:left="37"/>
              <w:rPr>
                <w:rFonts w:ascii="Times New Roman" w:hAnsi="Times New Roman" w:cs="Times New Roman"/>
                <w:sz w:val="20"/>
                <w:szCs w:val="20"/>
                <w:lang w:val="bg-BG"/>
              </w:rPr>
            </w:pPr>
            <w:r w:rsidRPr="00610B1B">
              <w:rPr>
                <w:rFonts w:ascii="Times New Roman" w:hAnsi="Times New Roman" w:cs="Times New Roman"/>
                <w:sz w:val="20"/>
                <w:szCs w:val="20"/>
                <w:lang w:val="bg-BG"/>
              </w:rPr>
              <w:t>Модернизиране на оборудването в морския транспорт -</w:t>
            </w:r>
          </w:p>
          <w:p w14:paraId="4954E2BD" w14:textId="77777777" w:rsidR="00192B75" w:rsidRPr="00610B1B" w:rsidRDefault="00192B75" w:rsidP="00192B75">
            <w:pPr>
              <w:ind w:left="37"/>
              <w:rPr>
                <w:rFonts w:ascii="Times New Roman" w:hAnsi="Times New Roman" w:cs="Times New Roman"/>
                <w:sz w:val="20"/>
                <w:szCs w:val="20"/>
                <w:lang w:val="bg-BG"/>
              </w:rPr>
            </w:pPr>
            <w:r w:rsidRPr="00610B1B">
              <w:rPr>
                <w:rFonts w:ascii="Times New Roman" w:hAnsi="Times New Roman" w:cs="Times New Roman"/>
                <w:sz w:val="20"/>
                <w:szCs w:val="20"/>
                <w:lang w:val="bg-BG"/>
              </w:rPr>
              <w:t>пътнически и товарен; оборудване и методи на риболов -</w:t>
            </w:r>
          </w:p>
          <w:p w14:paraId="588B4899" w14:textId="77777777" w:rsidR="00192B75" w:rsidRPr="00610B1B" w:rsidRDefault="00192B75" w:rsidP="00192B75">
            <w:pPr>
              <w:ind w:left="37"/>
              <w:rPr>
                <w:rFonts w:ascii="Times New Roman" w:hAnsi="Times New Roman" w:cs="Times New Roman"/>
                <w:sz w:val="20"/>
                <w:szCs w:val="20"/>
                <w:lang w:val="bg-BG"/>
              </w:rPr>
            </w:pPr>
            <w:r w:rsidRPr="00610B1B">
              <w:rPr>
                <w:rFonts w:ascii="Times New Roman" w:hAnsi="Times New Roman" w:cs="Times New Roman"/>
                <w:sz w:val="20"/>
                <w:szCs w:val="20"/>
                <w:lang w:val="bg-BG"/>
              </w:rPr>
              <w:t>промишлен и морски риболов; туристически услуги -</w:t>
            </w:r>
          </w:p>
          <w:p w14:paraId="23C4E5F0" w14:textId="576EFC50" w:rsidR="00192B75" w:rsidRPr="00610B1B" w:rsidRDefault="00192B75" w:rsidP="00192B75">
            <w:pPr>
              <w:rPr>
                <w:rFonts w:ascii="Times New Roman" w:hAnsi="Times New Roman" w:cs="Times New Roman"/>
                <w:sz w:val="20"/>
                <w:szCs w:val="20"/>
                <w:lang w:val="bg-BG"/>
              </w:rPr>
            </w:pPr>
            <w:r w:rsidRPr="00610B1B">
              <w:rPr>
                <w:rFonts w:ascii="Times New Roman" w:hAnsi="Times New Roman" w:cs="Times New Roman"/>
                <w:sz w:val="20"/>
                <w:szCs w:val="20"/>
                <w:lang w:val="bg-BG"/>
              </w:rPr>
              <w:t>крайбрежен и морски туризъм</w:t>
            </w:r>
          </w:p>
        </w:tc>
        <w:tc>
          <w:tcPr>
            <w:tcW w:w="2215" w:type="dxa"/>
          </w:tcPr>
          <w:p w14:paraId="53B5FDC1" w14:textId="7B290640" w:rsidR="00192B75" w:rsidRPr="00610B1B" w:rsidRDefault="00192B7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Стратегическа цел 4</w:t>
            </w:r>
          </w:p>
        </w:tc>
        <w:tc>
          <w:tcPr>
            <w:tcW w:w="2179" w:type="dxa"/>
          </w:tcPr>
          <w:p w14:paraId="07D4BF97" w14:textId="445C47FD" w:rsidR="00192B75" w:rsidRPr="00610B1B" w:rsidRDefault="00192B7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Брой оборудвани   морски съдове, брой съдове извършващи екологощадящ риболов</w:t>
            </w:r>
          </w:p>
        </w:tc>
        <w:tc>
          <w:tcPr>
            <w:tcW w:w="2596" w:type="dxa"/>
          </w:tcPr>
          <w:p w14:paraId="07C6BB9B" w14:textId="325C1EB9" w:rsidR="00192B75" w:rsidRPr="00610B1B" w:rsidRDefault="00192B75" w:rsidP="00D32D6A">
            <w:pPr>
              <w:rPr>
                <w:rFonts w:ascii="Times New Roman" w:hAnsi="Times New Roman" w:cs="Times New Roman"/>
                <w:sz w:val="20"/>
                <w:szCs w:val="20"/>
                <w:lang w:val="bg-BG"/>
              </w:rPr>
            </w:pPr>
            <w:r w:rsidRPr="00610B1B">
              <w:rPr>
                <w:rFonts w:ascii="Times New Roman" w:hAnsi="Times New Roman" w:cs="Times New Roman"/>
                <w:sz w:val="20"/>
                <w:szCs w:val="20"/>
                <w:lang w:val="bg-BG"/>
              </w:rPr>
              <w:t>МИ, ИАРА, МТ</w:t>
            </w:r>
          </w:p>
        </w:tc>
      </w:tr>
      <w:tr w:rsidR="000D6378" w:rsidRPr="00D82608" w14:paraId="74C3D4BD" w14:textId="77777777" w:rsidTr="00C717D0">
        <w:tc>
          <w:tcPr>
            <w:tcW w:w="426" w:type="dxa"/>
            <w:vAlign w:val="center"/>
          </w:tcPr>
          <w:p w14:paraId="0D0B2939" w14:textId="3C340C53"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13</w:t>
            </w:r>
          </w:p>
        </w:tc>
        <w:tc>
          <w:tcPr>
            <w:tcW w:w="2835" w:type="dxa"/>
            <w:vAlign w:val="center"/>
          </w:tcPr>
          <w:p w14:paraId="00392E0D" w14:textId="570DF365" w:rsidR="000D6378" w:rsidRPr="00610B1B" w:rsidRDefault="00D4336B" w:rsidP="000D6378">
            <w:pPr>
              <w:rPr>
                <w:rFonts w:ascii="Times New Roman" w:hAnsi="Times New Roman" w:cs="Times New Roman"/>
                <w:sz w:val="20"/>
                <w:szCs w:val="20"/>
                <w:lang w:val="bg-BG"/>
              </w:rPr>
            </w:pPr>
            <w:r w:rsidRPr="00610B1B">
              <w:rPr>
                <w:rFonts w:ascii="Times New Roman" w:hAnsi="Times New Roman" w:cs="Times New Roman"/>
                <w:sz w:val="20"/>
                <w:szCs w:val="20"/>
                <w:lang w:val="bg-BG" w:bidi="bg-BG"/>
              </w:rPr>
              <w:t xml:space="preserve">Последователна </w:t>
            </w:r>
            <w:r w:rsidR="000D6378" w:rsidRPr="00610B1B">
              <w:rPr>
                <w:rFonts w:ascii="Times New Roman" w:hAnsi="Times New Roman" w:cs="Times New Roman"/>
                <w:sz w:val="20"/>
                <w:szCs w:val="20"/>
                <w:lang w:val="bg-BG" w:bidi="bg-BG"/>
              </w:rPr>
              <w:t>и целенасочена политика насочена към социалния статус на човешките ресурси</w:t>
            </w:r>
            <w:r w:rsidR="00CF7458" w:rsidRPr="00610B1B">
              <w:rPr>
                <w:rFonts w:ascii="Times New Roman" w:hAnsi="Times New Roman" w:cs="Times New Roman"/>
                <w:sz w:val="20"/>
                <w:szCs w:val="20"/>
                <w:lang w:val="bg-BG" w:bidi="bg-BG"/>
              </w:rPr>
              <w:t xml:space="preserve">, които </w:t>
            </w:r>
            <w:r w:rsidR="000D6378" w:rsidRPr="00610B1B">
              <w:rPr>
                <w:rFonts w:ascii="Times New Roman" w:hAnsi="Times New Roman" w:cs="Times New Roman"/>
                <w:sz w:val="20"/>
                <w:szCs w:val="20"/>
                <w:lang w:val="bg-BG" w:bidi="bg-BG"/>
              </w:rPr>
              <w:t>са основна предпоставка за ефективната реализация на МППРБ и обезпечаване развитието на синя икономика</w:t>
            </w:r>
          </w:p>
        </w:tc>
        <w:tc>
          <w:tcPr>
            <w:tcW w:w="2215" w:type="dxa"/>
          </w:tcPr>
          <w:p w14:paraId="2CA860FF" w14:textId="4D3F4601" w:rsidR="000D6378" w:rsidRPr="00610B1B" w:rsidRDefault="004C6010" w:rsidP="004C6010">
            <w:pPr>
              <w:rPr>
                <w:rFonts w:ascii="Times New Roman" w:hAnsi="Times New Roman" w:cs="Times New Roman"/>
                <w:sz w:val="20"/>
                <w:szCs w:val="20"/>
                <w:lang w:val="bg-BG"/>
              </w:rPr>
            </w:pPr>
            <w:r w:rsidRPr="00DA2C5E">
              <w:rPr>
                <w:rFonts w:ascii="Times New Roman" w:hAnsi="Times New Roman" w:cs="Times New Roman"/>
                <w:sz w:val="20"/>
                <w:szCs w:val="20"/>
                <w:lang w:val="bg-BG"/>
              </w:rPr>
              <w:t>Стратеги</w:t>
            </w:r>
            <w:r>
              <w:rPr>
                <w:rFonts w:ascii="Times New Roman" w:hAnsi="Times New Roman" w:cs="Times New Roman"/>
                <w:sz w:val="20"/>
                <w:szCs w:val="20"/>
                <w:lang w:val="bg-BG"/>
              </w:rPr>
              <w:t>ч</w:t>
            </w:r>
            <w:r w:rsidRPr="00DA2C5E">
              <w:rPr>
                <w:rFonts w:ascii="Times New Roman" w:hAnsi="Times New Roman" w:cs="Times New Roman"/>
                <w:sz w:val="20"/>
                <w:szCs w:val="20"/>
                <w:lang w:val="bg-BG"/>
              </w:rPr>
              <w:t xml:space="preserve">еска </w:t>
            </w:r>
            <w:r w:rsidR="000D6378" w:rsidRPr="00DA2C5E">
              <w:rPr>
                <w:rFonts w:ascii="Times New Roman" w:hAnsi="Times New Roman" w:cs="Times New Roman"/>
                <w:sz w:val="20"/>
                <w:szCs w:val="20"/>
                <w:lang w:val="bg-BG"/>
              </w:rPr>
              <w:t>цел 2, всички специфични цели</w:t>
            </w:r>
          </w:p>
        </w:tc>
        <w:tc>
          <w:tcPr>
            <w:tcW w:w="2179" w:type="dxa"/>
          </w:tcPr>
          <w:p w14:paraId="529DD9EC" w14:textId="5ACA1D0F"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Брой проекти</w:t>
            </w:r>
          </w:p>
        </w:tc>
        <w:tc>
          <w:tcPr>
            <w:tcW w:w="2596" w:type="dxa"/>
          </w:tcPr>
          <w:p w14:paraId="0CBE1F4F" w14:textId="72E7A10B" w:rsidR="000D6378" w:rsidRPr="00610B1B" w:rsidRDefault="000D6378" w:rsidP="004C6010">
            <w:pPr>
              <w:rPr>
                <w:rFonts w:ascii="Times New Roman" w:hAnsi="Times New Roman" w:cs="Times New Roman"/>
                <w:sz w:val="20"/>
                <w:szCs w:val="20"/>
                <w:lang w:val="bg-BG"/>
              </w:rPr>
            </w:pPr>
            <w:r w:rsidRPr="00DA2C5E">
              <w:rPr>
                <w:rFonts w:ascii="Times New Roman" w:hAnsi="Times New Roman" w:cs="Times New Roman"/>
                <w:sz w:val="20"/>
                <w:szCs w:val="20"/>
                <w:lang w:val="bg-BG"/>
              </w:rPr>
              <w:t xml:space="preserve">Министерство на икономиката, </w:t>
            </w:r>
          </w:p>
        </w:tc>
      </w:tr>
      <w:tr w:rsidR="000D6378" w:rsidRPr="00C717D0" w14:paraId="12EA57FA" w14:textId="77777777" w:rsidTr="00C717D0">
        <w:tc>
          <w:tcPr>
            <w:tcW w:w="426" w:type="dxa"/>
            <w:vAlign w:val="center"/>
          </w:tcPr>
          <w:p w14:paraId="66E62210" w14:textId="47DB68D8"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14</w:t>
            </w:r>
          </w:p>
        </w:tc>
        <w:tc>
          <w:tcPr>
            <w:tcW w:w="2835" w:type="dxa"/>
            <w:vAlign w:val="center"/>
          </w:tcPr>
          <w:p w14:paraId="25B5B36E" w14:textId="105224FF" w:rsidR="000D6378" w:rsidRPr="00610B1B" w:rsidRDefault="000D6378" w:rsidP="000D6378">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Подобряване на знанията за Черноморската екосистема</w:t>
            </w:r>
          </w:p>
        </w:tc>
        <w:tc>
          <w:tcPr>
            <w:tcW w:w="2215" w:type="dxa"/>
          </w:tcPr>
          <w:p w14:paraId="46B140DA" w14:textId="4FA60B17"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Стратегическа цел 3,</w:t>
            </w:r>
            <w:r w:rsidRPr="00610B1B">
              <w:rPr>
                <w:rFonts w:ascii="Times New Roman" w:eastAsia="Calibri" w:hAnsi="Times New Roman" w:cs="Times New Roman"/>
                <w:b/>
                <w:i/>
                <w:sz w:val="24"/>
                <w:szCs w:val="24"/>
              </w:rPr>
              <w:t xml:space="preserve"> </w:t>
            </w:r>
            <w:r w:rsidRPr="00610B1B">
              <w:rPr>
                <w:rFonts w:ascii="Times New Roman" w:hAnsi="Times New Roman" w:cs="Times New Roman"/>
                <w:bCs/>
                <w:iCs/>
                <w:sz w:val="20"/>
                <w:szCs w:val="20"/>
              </w:rPr>
              <w:t>Специфична цел 3.3</w:t>
            </w:r>
          </w:p>
        </w:tc>
        <w:tc>
          <w:tcPr>
            <w:tcW w:w="2179" w:type="dxa"/>
          </w:tcPr>
          <w:p w14:paraId="30044E31" w14:textId="77777777" w:rsidR="000D6378" w:rsidRPr="00610B1B" w:rsidRDefault="000D6378" w:rsidP="000D6378">
            <w:pPr>
              <w:rPr>
                <w:rFonts w:ascii="Times New Roman" w:hAnsi="Times New Roman" w:cs="Times New Roman"/>
                <w:sz w:val="20"/>
                <w:szCs w:val="20"/>
              </w:rPr>
            </w:pPr>
            <w:r w:rsidRPr="00610B1B">
              <w:rPr>
                <w:rFonts w:ascii="Times New Roman" w:hAnsi="Times New Roman" w:cs="Times New Roman"/>
                <w:sz w:val="20"/>
                <w:szCs w:val="20"/>
              </w:rPr>
              <w:t>Брой проекти/</w:t>
            </w:r>
          </w:p>
          <w:p w14:paraId="303889AA" w14:textId="77777777" w:rsidR="000D6378" w:rsidRPr="00610B1B" w:rsidRDefault="000D6378" w:rsidP="000D6378">
            <w:pPr>
              <w:rPr>
                <w:rFonts w:ascii="Times New Roman" w:hAnsi="Times New Roman" w:cs="Times New Roman"/>
                <w:sz w:val="20"/>
                <w:szCs w:val="20"/>
              </w:rPr>
            </w:pPr>
            <w:r w:rsidRPr="00610B1B">
              <w:rPr>
                <w:rFonts w:ascii="Times New Roman" w:hAnsi="Times New Roman" w:cs="Times New Roman"/>
                <w:sz w:val="20"/>
                <w:szCs w:val="20"/>
              </w:rPr>
              <w:t>инициативи</w:t>
            </w:r>
          </w:p>
          <w:p w14:paraId="1911C663" w14:textId="77777777" w:rsidR="000D6378" w:rsidRPr="00610B1B" w:rsidRDefault="000D6378" w:rsidP="000D6378">
            <w:pPr>
              <w:rPr>
                <w:rFonts w:ascii="Times New Roman" w:hAnsi="Times New Roman" w:cs="Times New Roman"/>
                <w:sz w:val="20"/>
                <w:szCs w:val="20"/>
                <w:lang w:val="bg-BG"/>
              </w:rPr>
            </w:pPr>
          </w:p>
        </w:tc>
        <w:tc>
          <w:tcPr>
            <w:tcW w:w="2596" w:type="dxa"/>
          </w:tcPr>
          <w:p w14:paraId="59F4799D" w14:textId="04060CC3" w:rsidR="000D6378" w:rsidRPr="00610B1B" w:rsidRDefault="000D6378" w:rsidP="000D6378">
            <w:pPr>
              <w:rPr>
                <w:rFonts w:ascii="Times New Roman" w:hAnsi="Times New Roman" w:cs="Times New Roman"/>
                <w:sz w:val="20"/>
                <w:szCs w:val="20"/>
                <w:lang w:val="bg-BG"/>
              </w:rPr>
            </w:pPr>
            <w:r w:rsidRPr="00DA2C5E">
              <w:rPr>
                <w:rFonts w:ascii="Times New Roman" w:hAnsi="Times New Roman" w:cs="Times New Roman"/>
                <w:sz w:val="20"/>
                <w:szCs w:val="20"/>
                <w:lang w:val="bg-BG"/>
              </w:rPr>
              <w:t>Министерство на образованието, МОСВ, БАН</w:t>
            </w:r>
          </w:p>
        </w:tc>
      </w:tr>
      <w:tr w:rsidR="000D6378" w:rsidRPr="00610B1B" w14:paraId="3F4F3D25" w14:textId="77777777" w:rsidTr="00C717D0">
        <w:tc>
          <w:tcPr>
            <w:tcW w:w="426" w:type="dxa"/>
            <w:vAlign w:val="center"/>
          </w:tcPr>
          <w:p w14:paraId="24E1C545" w14:textId="7AB68A0F"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15</w:t>
            </w:r>
          </w:p>
        </w:tc>
        <w:tc>
          <w:tcPr>
            <w:tcW w:w="2835" w:type="dxa"/>
            <w:vAlign w:val="center"/>
          </w:tcPr>
          <w:p w14:paraId="0459BAB7" w14:textId="4F590107" w:rsidR="000D6378" w:rsidRPr="00610B1B" w:rsidRDefault="000D6378" w:rsidP="000D6378">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Повишаване обхвата на защита на видовете и местообитанията, пряко свързани с морската околна среда</w:t>
            </w:r>
          </w:p>
        </w:tc>
        <w:tc>
          <w:tcPr>
            <w:tcW w:w="2215" w:type="dxa"/>
          </w:tcPr>
          <w:p w14:paraId="015CBF5F" w14:textId="77244BAF"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Стратегическа цел 4</w:t>
            </w:r>
          </w:p>
        </w:tc>
        <w:tc>
          <w:tcPr>
            <w:tcW w:w="2179" w:type="dxa"/>
          </w:tcPr>
          <w:p w14:paraId="5E265E86" w14:textId="4FAF96E2" w:rsidR="006A5A3B" w:rsidRPr="00610B1B" w:rsidRDefault="006A5A3B" w:rsidP="000D6378">
            <w:pPr>
              <w:rPr>
                <w:rFonts w:ascii="Times New Roman" w:hAnsi="Times New Roman" w:cs="Times New Roman"/>
                <w:sz w:val="20"/>
                <w:szCs w:val="20"/>
                <w:lang w:val="bg-BG"/>
              </w:rPr>
            </w:pPr>
            <w:r w:rsidRPr="00DA2C5E">
              <w:rPr>
                <w:rFonts w:ascii="Times New Roman" w:hAnsi="Times New Roman" w:cs="Times New Roman"/>
                <w:sz w:val="20"/>
                <w:szCs w:val="20"/>
                <w:lang w:val="bg-BG"/>
              </w:rPr>
              <w:t>% от морските пространства на страната, поставени под териториална защита за опазване на биологичното разнообразие</w:t>
            </w:r>
            <w:r w:rsidRPr="00DA2C5E">
              <w:rPr>
                <w:lang w:val="bg-BG"/>
              </w:rPr>
              <w:t>.</w:t>
            </w:r>
          </w:p>
        </w:tc>
        <w:tc>
          <w:tcPr>
            <w:tcW w:w="2596" w:type="dxa"/>
          </w:tcPr>
          <w:p w14:paraId="010531AC" w14:textId="1684BEA1"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МОСВ, ИО-БАН, БДЧР</w:t>
            </w:r>
          </w:p>
        </w:tc>
      </w:tr>
      <w:tr w:rsidR="000D6378" w:rsidRPr="00610B1B" w14:paraId="7DE1D000" w14:textId="77777777" w:rsidTr="00C717D0">
        <w:tc>
          <w:tcPr>
            <w:tcW w:w="426" w:type="dxa"/>
            <w:vAlign w:val="center"/>
          </w:tcPr>
          <w:p w14:paraId="7E496394" w14:textId="79272037"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16.</w:t>
            </w:r>
          </w:p>
        </w:tc>
        <w:tc>
          <w:tcPr>
            <w:tcW w:w="2835" w:type="dxa"/>
            <w:vAlign w:val="center"/>
          </w:tcPr>
          <w:p w14:paraId="607E31EE" w14:textId="52269C10" w:rsidR="000D6378" w:rsidRPr="00610B1B" w:rsidRDefault="000D6378" w:rsidP="000D6378">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Подобряване на състоянието на морската околна среда</w:t>
            </w:r>
          </w:p>
        </w:tc>
        <w:tc>
          <w:tcPr>
            <w:tcW w:w="2215" w:type="dxa"/>
          </w:tcPr>
          <w:p w14:paraId="644E5964" w14:textId="7D91E62D"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Стратегическа цел 4, Специфична цел 1</w:t>
            </w:r>
          </w:p>
        </w:tc>
        <w:tc>
          <w:tcPr>
            <w:tcW w:w="2179" w:type="dxa"/>
          </w:tcPr>
          <w:p w14:paraId="2CC83AAE" w14:textId="61383552" w:rsidR="000D6378" w:rsidRPr="00610B1B" w:rsidRDefault="000D6378" w:rsidP="000D6378">
            <w:pPr>
              <w:rPr>
                <w:rFonts w:ascii="Times New Roman" w:hAnsi="Times New Roman" w:cs="Times New Roman"/>
                <w:sz w:val="20"/>
                <w:szCs w:val="20"/>
                <w:lang w:val="bg-BG"/>
              </w:rPr>
            </w:pPr>
            <w:r w:rsidRPr="00DA2C5E">
              <w:rPr>
                <w:rFonts w:ascii="Times New Roman" w:hAnsi="Times New Roman" w:cs="Times New Roman"/>
                <w:sz w:val="20"/>
                <w:szCs w:val="20"/>
                <w:lang w:val="bg-BG"/>
              </w:rPr>
              <w:t>Предприети мерки, резултати от мониторинга</w:t>
            </w:r>
          </w:p>
        </w:tc>
        <w:tc>
          <w:tcPr>
            <w:tcW w:w="2596" w:type="dxa"/>
          </w:tcPr>
          <w:p w14:paraId="187FE786" w14:textId="3B1A23F3"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МОСВ, ИО-БАН, БДЧР</w:t>
            </w:r>
          </w:p>
        </w:tc>
      </w:tr>
      <w:tr w:rsidR="000D6378" w:rsidRPr="00C717D0" w14:paraId="64487FB9" w14:textId="77777777" w:rsidTr="00C717D0">
        <w:tc>
          <w:tcPr>
            <w:tcW w:w="426" w:type="dxa"/>
            <w:vAlign w:val="center"/>
          </w:tcPr>
          <w:p w14:paraId="3D53A9D7" w14:textId="04F31D84"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17</w:t>
            </w:r>
          </w:p>
        </w:tc>
        <w:tc>
          <w:tcPr>
            <w:tcW w:w="2835" w:type="dxa"/>
            <w:vAlign w:val="center"/>
          </w:tcPr>
          <w:p w14:paraId="4DA78268" w14:textId="655D2F49" w:rsidR="000D6378" w:rsidRPr="00610B1B" w:rsidRDefault="000D6378" w:rsidP="000D6378">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Развитие на зоните за бъдещи ползвания (Збп) в морското пространство на страната</w:t>
            </w:r>
          </w:p>
        </w:tc>
        <w:tc>
          <w:tcPr>
            <w:tcW w:w="2215" w:type="dxa"/>
          </w:tcPr>
          <w:p w14:paraId="2E42BFCD" w14:textId="107E6659"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sz w:val="20"/>
                <w:szCs w:val="20"/>
              </w:rPr>
              <w:t>Стратегическа цел 1</w:t>
            </w:r>
          </w:p>
        </w:tc>
        <w:tc>
          <w:tcPr>
            <w:tcW w:w="2179" w:type="dxa"/>
          </w:tcPr>
          <w:p w14:paraId="46EB38D1" w14:textId="77777777" w:rsidR="00DE07BA" w:rsidRPr="00DA2C5E" w:rsidRDefault="00DE07BA" w:rsidP="00DE07BA">
            <w:pPr>
              <w:pStyle w:val="Bodytext22"/>
              <w:shd w:val="clear" w:color="auto" w:fill="auto"/>
              <w:spacing w:before="0" w:after="0" w:line="253" w:lineRule="exact"/>
              <w:ind w:firstLine="0"/>
              <w:jc w:val="left"/>
              <w:rPr>
                <w:sz w:val="20"/>
                <w:szCs w:val="20"/>
                <w:lang w:val="bg-BG"/>
              </w:rPr>
            </w:pPr>
            <w:r w:rsidRPr="00DA2C5E">
              <w:rPr>
                <w:rFonts w:eastAsia="Wingdings"/>
                <w:sz w:val="20"/>
                <w:szCs w:val="20"/>
                <w:lang w:val="bg-BG"/>
              </w:rPr>
              <w:t>Брой планирани инвестиционни предложения (ИП) в зоните, определени съгласно чл. 51в, ал. 4, т. 1-13 от ЗМПВВППРБ, а именно: зони за проучване,</w:t>
            </w:r>
          </w:p>
          <w:p w14:paraId="69E45C9A" w14:textId="79C9C0D8" w:rsidR="00DE07BA" w:rsidRPr="00DA2C5E" w:rsidRDefault="00DE07BA" w:rsidP="00C96384">
            <w:pPr>
              <w:pStyle w:val="Bodytext22"/>
              <w:shd w:val="clear" w:color="auto" w:fill="auto"/>
              <w:spacing w:before="0" w:after="60" w:line="253" w:lineRule="exact"/>
              <w:ind w:firstLine="0"/>
              <w:jc w:val="left"/>
              <w:rPr>
                <w:sz w:val="20"/>
                <w:szCs w:val="20"/>
                <w:lang w:val="bg-BG"/>
              </w:rPr>
            </w:pPr>
            <w:r w:rsidRPr="00DA2C5E">
              <w:rPr>
                <w:rFonts w:eastAsia="Wingdings"/>
                <w:sz w:val="20"/>
                <w:szCs w:val="20"/>
                <w:lang w:val="bg-BG"/>
              </w:rPr>
              <w:t xml:space="preserve">разработване и използване на природни ресурси; зони за риболов; зони за отглеждане на аквакултури; зони за туристически и рекреационни дейности; зони за научноизследователс ка дейност; защитени зони и защитени територии от </w:t>
            </w:r>
            <w:r w:rsidRPr="00DA2C5E">
              <w:rPr>
                <w:rFonts w:eastAsia="Wingdings"/>
                <w:sz w:val="20"/>
                <w:szCs w:val="20"/>
                <w:lang w:val="bg-BG"/>
              </w:rPr>
              <w:lastRenderedPageBreak/>
              <w:t>Националната екологична мрежа; защитени зони за опазване на културното наследство; трасета на подводни линейни обекти на</w:t>
            </w:r>
            <w:r w:rsidRPr="00DA2C5E">
              <w:rPr>
                <w:rStyle w:val="ListLabel227"/>
                <w:sz w:val="20"/>
                <w:szCs w:val="20"/>
                <w:lang w:val="bg-BG"/>
              </w:rPr>
              <w:t xml:space="preserve"> </w:t>
            </w:r>
            <w:r w:rsidRPr="00DA2C5E">
              <w:rPr>
                <w:rFonts w:eastAsia="Wingdings"/>
                <w:sz w:val="20"/>
                <w:szCs w:val="20"/>
                <w:lang w:val="bg-BG"/>
              </w:rPr>
              <w:t>техническата инфраструктура; инсталации и съоръжения, свързани с корабоплаването; инсталации и съоръжения за разработване и използване на минералните и енергийни ресурси; обекти на подводното културно наследство;</w:t>
            </w:r>
          </w:p>
          <w:p w14:paraId="51C4E427" w14:textId="78B8B6E3" w:rsidR="00DE07BA" w:rsidRPr="00DB1747" w:rsidRDefault="00DE07BA" w:rsidP="00C96384">
            <w:pPr>
              <w:rPr>
                <w:rFonts w:ascii="Times New Roman" w:hAnsi="Times New Roman" w:cs="Times New Roman"/>
                <w:sz w:val="20"/>
                <w:szCs w:val="20"/>
                <w:lang w:val="bg-BG"/>
              </w:rPr>
            </w:pPr>
            <w:r w:rsidRPr="00DA2C5E">
              <w:rPr>
                <w:rFonts w:ascii="Times New Roman" w:hAnsi="Times New Roman" w:cs="Times New Roman"/>
                <w:sz w:val="20"/>
                <w:szCs w:val="20"/>
              </w:rPr>
              <w:t>- Брой реализирани</w:t>
            </w:r>
            <w:r w:rsidRPr="00DA2C5E">
              <w:rPr>
                <w:rFonts w:ascii="Times New Roman" w:hAnsi="Times New Roman" w:cs="Times New Roman"/>
                <w:sz w:val="20"/>
                <w:szCs w:val="20"/>
                <w:lang w:val="bg-BG"/>
              </w:rPr>
              <w:t xml:space="preserve"> проекти</w:t>
            </w:r>
          </w:p>
        </w:tc>
        <w:tc>
          <w:tcPr>
            <w:tcW w:w="2596" w:type="dxa"/>
          </w:tcPr>
          <w:p w14:paraId="0D0A0909" w14:textId="6F2CA148" w:rsidR="000D6378" w:rsidRPr="00DA2C5E" w:rsidRDefault="000D6378" w:rsidP="000D6378">
            <w:pPr>
              <w:rPr>
                <w:rFonts w:ascii="Times New Roman" w:hAnsi="Times New Roman" w:cs="Times New Roman"/>
                <w:sz w:val="20"/>
                <w:szCs w:val="20"/>
                <w:lang w:val="bg-BG"/>
              </w:rPr>
            </w:pPr>
          </w:p>
          <w:p w14:paraId="3093E3B9" w14:textId="47E4BAF1" w:rsidR="00EF3BBC" w:rsidRPr="00DA2C5E" w:rsidRDefault="00EF3BBC" w:rsidP="000D6378">
            <w:pPr>
              <w:rPr>
                <w:rFonts w:ascii="Times New Roman" w:hAnsi="Times New Roman" w:cs="Times New Roman"/>
                <w:sz w:val="20"/>
                <w:szCs w:val="20"/>
                <w:lang w:val="bg-BG"/>
              </w:rPr>
            </w:pPr>
            <w:r>
              <w:rPr>
                <w:rFonts w:ascii="Times New Roman" w:hAnsi="Times New Roman" w:cs="Times New Roman"/>
                <w:sz w:val="20"/>
                <w:szCs w:val="20"/>
                <w:lang w:val="bg-BG"/>
              </w:rPr>
              <w:t>Компетентните органи за прилагане на МППРБ съгласно ЗМПВВППРБ, Черноморските общини;</w:t>
            </w:r>
            <w:r w:rsidR="00ED6D11">
              <w:rPr>
                <w:rFonts w:ascii="Times New Roman" w:hAnsi="Times New Roman" w:cs="Times New Roman"/>
                <w:sz w:val="20"/>
                <w:szCs w:val="20"/>
                <w:lang w:val="bg-BG"/>
              </w:rPr>
              <w:t xml:space="preserve"> </w:t>
            </w:r>
            <w:r>
              <w:rPr>
                <w:rFonts w:ascii="Times New Roman" w:hAnsi="Times New Roman" w:cs="Times New Roman"/>
                <w:sz w:val="20"/>
                <w:szCs w:val="20"/>
                <w:lang w:val="bg-BG"/>
              </w:rPr>
              <w:t>Областни администрации на Добрич, Варна и Бургас</w:t>
            </w:r>
          </w:p>
          <w:p w14:paraId="09718D5B" w14:textId="00530C43" w:rsidR="001E6492" w:rsidRPr="00610B1B" w:rsidRDefault="001E6492" w:rsidP="000D6378">
            <w:pPr>
              <w:rPr>
                <w:rFonts w:ascii="Times New Roman" w:hAnsi="Times New Roman" w:cs="Times New Roman"/>
                <w:sz w:val="20"/>
                <w:szCs w:val="20"/>
                <w:lang w:val="bg-BG"/>
              </w:rPr>
            </w:pPr>
          </w:p>
        </w:tc>
      </w:tr>
      <w:tr w:rsidR="000D6378" w:rsidRPr="00C717D0" w14:paraId="5D9AF078" w14:textId="77777777" w:rsidTr="00C717D0">
        <w:tc>
          <w:tcPr>
            <w:tcW w:w="426" w:type="dxa"/>
            <w:vAlign w:val="center"/>
          </w:tcPr>
          <w:p w14:paraId="22D3013C" w14:textId="7DA803C2"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18</w:t>
            </w:r>
          </w:p>
        </w:tc>
        <w:tc>
          <w:tcPr>
            <w:tcW w:w="2835" w:type="dxa"/>
            <w:vAlign w:val="center"/>
          </w:tcPr>
          <w:p w14:paraId="13E328CD" w14:textId="31A511EE" w:rsidR="000D6378" w:rsidRPr="00610B1B" w:rsidRDefault="000D6378" w:rsidP="000D6378">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Повишаване на устойчивото ползване на потенциала на Черно море</w:t>
            </w:r>
          </w:p>
        </w:tc>
        <w:tc>
          <w:tcPr>
            <w:tcW w:w="2215" w:type="dxa"/>
          </w:tcPr>
          <w:p w14:paraId="665431E9" w14:textId="77777777" w:rsidR="000D6378" w:rsidRPr="00DA2C5E" w:rsidRDefault="000D6378" w:rsidP="000D6378">
            <w:pPr>
              <w:rPr>
                <w:rFonts w:ascii="Times New Roman" w:hAnsi="Times New Roman" w:cs="Times New Roman"/>
                <w:sz w:val="20"/>
                <w:szCs w:val="20"/>
                <w:lang w:val="bg-BG"/>
              </w:rPr>
            </w:pPr>
            <w:r w:rsidRPr="00DA2C5E">
              <w:rPr>
                <w:rFonts w:ascii="Times New Roman" w:hAnsi="Times New Roman" w:cs="Times New Roman"/>
                <w:sz w:val="20"/>
                <w:szCs w:val="20"/>
                <w:lang w:val="bg-BG"/>
              </w:rPr>
              <w:t>Стратегическа цел 2,</w:t>
            </w:r>
          </w:p>
          <w:p w14:paraId="0CA0F753" w14:textId="470BA50A" w:rsidR="000D6378" w:rsidRPr="00610B1B" w:rsidRDefault="000D6378" w:rsidP="000D6378">
            <w:pPr>
              <w:rPr>
                <w:rFonts w:ascii="Times New Roman" w:hAnsi="Times New Roman" w:cs="Times New Roman"/>
                <w:sz w:val="20"/>
                <w:szCs w:val="20"/>
                <w:lang w:val="bg-BG"/>
              </w:rPr>
            </w:pPr>
            <w:r w:rsidRPr="00DA2C5E">
              <w:rPr>
                <w:rFonts w:ascii="Times New Roman" w:hAnsi="Times New Roman" w:cs="Times New Roman"/>
                <w:sz w:val="20"/>
                <w:szCs w:val="20"/>
                <w:lang w:val="bg-BG"/>
              </w:rPr>
              <w:t>Всички Специфични цели</w:t>
            </w:r>
          </w:p>
        </w:tc>
        <w:tc>
          <w:tcPr>
            <w:tcW w:w="2179" w:type="dxa"/>
          </w:tcPr>
          <w:p w14:paraId="0CFF8803" w14:textId="2335AD2C" w:rsidR="004F5162" w:rsidRPr="00C96384" w:rsidRDefault="004F5162" w:rsidP="00C96384">
            <w:pPr>
              <w:rPr>
                <w:rFonts w:ascii="Times New Roman" w:hAnsi="Times New Roman" w:cs="Times New Roman"/>
                <w:sz w:val="20"/>
                <w:szCs w:val="20"/>
                <w:lang w:val="bg-BG"/>
              </w:rPr>
            </w:pPr>
            <w:r w:rsidRPr="00C96384">
              <w:rPr>
                <w:rFonts w:ascii="Times New Roman" w:hAnsi="Times New Roman" w:cs="Times New Roman"/>
                <w:sz w:val="20"/>
                <w:szCs w:val="20"/>
                <w:lang w:val="bg-BG"/>
              </w:rPr>
              <w:t>Брой инициативи (ИП) за въвеждане на иновативни технологии и техники (включително оборудване), подпомагащи Синята икономика в България;</w:t>
            </w:r>
          </w:p>
          <w:p w14:paraId="163CDD22" w14:textId="5A7C8EB0" w:rsidR="004F5162" w:rsidRPr="004F5162" w:rsidRDefault="004F5162" w:rsidP="004F5162">
            <w:pPr>
              <w:rPr>
                <w:rFonts w:ascii="Times New Roman" w:hAnsi="Times New Roman" w:cs="Times New Roman"/>
                <w:sz w:val="20"/>
                <w:szCs w:val="20"/>
                <w:lang w:val="bg-BG"/>
              </w:rPr>
            </w:pPr>
            <w:r w:rsidRPr="00DA2C5E">
              <w:rPr>
                <w:rFonts w:ascii="Times New Roman" w:hAnsi="Times New Roman" w:cs="Times New Roman"/>
                <w:sz w:val="20"/>
                <w:szCs w:val="20"/>
                <w:lang w:val="bg-BG"/>
              </w:rPr>
              <w:t xml:space="preserve">Брой издадени разрешителни за ползване/водоползва не на повърхностен воден обект Черно море, съгласно </w:t>
            </w:r>
            <w:r w:rsidRPr="00DA2C5E">
              <w:rPr>
                <w:rStyle w:val="Bodytext2Italic"/>
                <w:rFonts w:eastAsia="Symbol"/>
                <w:sz w:val="20"/>
                <w:szCs w:val="20"/>
              </w:rPr>
              <w:t>Закона за водите</w:t>
            </w:r>
          </w:p>
        </w:tc>
        <w:tc>
          <w:tcPr>
            <w:tcW w:w="2596" w:type="dxa"/>
          </w:tcPr>
          <w:p w14:paraId="725F524D" w14:textId="237DC1B0" w:rsidR="000D6378" w:rsidRDefault="000D6378" w:rsidP="000D6378">
            <w:pPr>
              <w:rPr>
                <w:rFonts w:ascii="Times New Roman" w:hAnsi="Times New Roman" w:cs="Times New Roman"/>
                <w:sz w:val="20"/>
                <w:szCs w:val="20"/>
                <w:lang w:val="bg-BG"/>
              </w:rPr>
            </w:pPr>
          </w:p>
          <w:p w14:paraId="126636FE" w14:textId="5C354478" w:rsidR="001D6C00" w:rsidRPr="009F42C4" w:rsidRDefault="001D6C00" w:rsidP="001D6C00">
            <w:pPr>
              <w:rPr>
                <w:rFonts w:ascii="Times New Roman" w:hAnsi="Times New Roman" w:cs="Times New Roman"/>
                <w:sz w:val="20"/>
                <w:szCs w:val="20"/>
                <w:lang w:val="bg-BG"/>
              </w:rPr>
            </w:pPr>
            <w:r>
              <w:rPr>
                <w:rFonts w:ascii="Times New Roman" w:hAnsi="Times New Roman" w:cs="Times New Roman"/>
                <w:sz w:val="20"/>
                <w:szCs w:val="20"/>
                <w:lang w:val="bg-BG"/>
              </w:rPr>
              <w:t>Компетентните органи за прилагане на МППРБ съгласно ЗМПВВППРБ, Черноморските общини; Областни администрации на Добрич, Варна и Бургас, МОСВ,БДЧР</w:t>
            </w:r>
          </w:p>
          <w:p w14:paraId="37FC1ABF" w14:textId="51778CBF" w:rsidR="001D6C00" w:rsidRPr="00610B1B" w:rsidRDefault="001D6C00" w:rsidP="000D6378">
            <w:pPr>
              <w:rPr>
                <w:rFonts w:ascii="Times New Roman" w:hAnsi="Times New Roman" w:cs="Times New Roman"/>
                <w:sz w:val="20"/>
                <w:szCs w:val="20"/>
                <w:lang w:val="bg-BG"/>
              </w:rPr>
            </w:pPr>
          </w:p>
        </w:tc>
      </w:tr>
      <w:tr w:rsidR="000D6378" w:rsidRPr="00C717D0" w14:paraId="3C248E49" w14:textId="77777777" w:rsidTr="00C717D0">
        <w:tc>
          <w:tcPr>
            <w:tcW w:w="426" w:type="dxa"/>
            <w:vAlign w:val="center"/>
          </w:tcPr>
          <w:p w14:paraId="363EC971" w14:textId="20533178" w:rsidR="000D6378" w:rsidRPr="00610B1B" w:rsidRDefault="000D6378" w:rsidP="000D6378">
            <w:pPr>
              <w:rPr>
                <w:rFonts w:ascii="Times New Roman" w:hAnsi="Times New Roman" w:cs="Times New Roman"/>
                <w:lang w:val="bg-BG"/>
              </w:rPr>
            </w:pPr>
            <w:r w:rsidRPr="00610B1B">
              <w:rPr>
                <w:rFonts w:ascii="Times New Roman" w:hAnsi="Times New Roman" w:cs="Times New Roman"/>
                <w:lang w:val="bg-BG"/>
              </w:rPr>
              <w:t>19</w:t>
            </w:r>
          </w:p>
        </w:tc>
        <w:tc>
          <w:tcPr>
            <w:tcW w:w="2835" w:type="dxa"/>
            <w:vAlign w:val="center"/>
          </w:tcPr>
          <w:p w14:paraId="21C2B59D" w14:textId="2A433543" w:rsidR="000D6378" w:rsidRPr="00610B1B" w:rsidRDefault="000D6378" w:rsidP="000D6378">
            <w:pPr>
              <w:rPr>
                <w:rFonts w:ascii="Times New Roman" w:hAnsi="Times New Roman" w:cs="Times New Roman"/>
                <w:sz w:val="20"/>
                <w:szCs w:val="20"/>
                <w:lang w:val="bg-BG" w:bidi="bg-BG"/>
              </w:rPr>
            </w:pPr>
            <w:r w:rsidRPr="00610B1B">
              <w:rPr>
                <w:rFonts w:ascii="Times New Roman" w:hAnsi="Times New Roman" w:cs="Times New Roman"/>
                <w:sz w:val="20"/>
                <w:szCs w:val="20"/>
                <w:lang w:val="bg-BG" w:bidi="bg-BG"/>
              </w:rPr>
              <w:t>Повишаване на консумацията на риба и други морски храни</w:t>
            </w:r>
          </w:p>
        </w:tc>
        <w:tc>
          <w:tcPr>
            <w:tcW w:w="2215" w:type="dxa"/>
          </w:tcPr>
          <w:p w14:paraId="5911B7F1" w14:textId="77777777" w:rsidR="000D6378" w:rsidRPr="00610B1B" w:rsidRDefault="000D6378" w:rsidP="000D6378">
            <w:pPr>
              <w:rPr>
                <w:rFonts w:ascii="Times New Roman" w:hAnsi="Times New Roman" w:cs="Times New Roman"/>
                <w:bCs/>
                <w:iCs/>
                <w:sz w:val="20"/>
                <w:szCs w:val="20"/>
              </w:rPr>
            </w:pPr>
            <w:r w:rsidRPr="00610B1B">
              <w:rPr>
                <w:rFonts w:ascii="Times New Roman" w:hAnsi="Times New Roman" w:cs="Times New Roman"/>
                <w:bCs/>
                <w:iCs/>
                <w:sz w:val="20"/>
                <w:szCs w:val="20"/>
              </w:rPr>
              <w:t>Стратегическа цел 2,</w:t>
            </w:r>
          </w:p>
          <w:p w14:paraId="45BE1F67" w14:textId="17CA8C3E" w:rsidR="000D6378" w:rsidRPr="00610B1B" w:rsidRDefault="000D6378" w:rsidP="000D6378">
            <w:pPr>
              <w:rPr>
                <w:rFonts w:ascii="Times New Roman" w:hAnsi="Times New Roman" w:cs="Times New Roman"/>
                <w:sz w:val="20"/>
                <w:szCs w:val="20"/>
                <w:lang w:val="bg-BG"/>
              </w:rPr>
            </w:pPr>
            <w:r w:rsidRPr="00610B1B">
              <w:rPr>
                <w:rFonts w:ascii="Times New Roman" w:hAnsi="Times New Roman" w:cs="Times New Roman"/>
                <w:bCs/>
                <w:iCs/>
                <w:sz w:val="20"/>
                <w:szCs w:val="20"/>
              </w:rPr>
              <w:t>Специфична цел 2.4</w:t>
            </w:r>
          </w:p>
        </w:tc>
        <w:tc>
          <w:tcPr>
            <w:tcW w:w="2179" w:type="dxa"/>
          </w:tcPr>
          <w:p w14:paraId="7AA38613" w14:textId="77777777" w:rsidR="000D6378" w:rsidRPr="00725429" w:rsidRDefault="000D6378" w:rsidP="000D6378">
            <w:pPr>
              <w:rPr>
                <w:rFonts w:ascii="Times New Roman" w:hAnsi="Times New Roman" w:cs="Times New Roman"/>
                <w:sz w:val="20"/>
                <w:szCs w:val="20"/>
                <w:lang w:val="bg-BG"/>
              </w:rPr>
            </w:pPr>
            <w:r w:rsidRPr="00E82066">
              <w:rPr>
                <w:rFonts w:ascii="Times New Roman" w:hAnsi="Times New Roman" w:cs="Times New Roman"/>
                <w:sz w:val="20"/>
                <w:szCs w:val="20"/>
                <w:lang w:val="bg-BG"/>
              </w:rPr>
              <w:t>Консумация на риба и морски храни в кг и кг/ жит.</w:t>
            </w:r>
          </w:p>
          <w:p w14:paraId="29C78451" w14:textId="7CBC77B2" w:rsidR="00725429" w:rsidRPr="00725429" w:rsidRDefault="00725429" w:rsidP="000D6378">
            <w:pPr>
              <w:rPr>
                <w:rFonts w:ascii="Times New Roman" w:hAnsi="Times New Roman" w:cs="Times New Roman"/>
                <w:sz w:val="20"/>
                <w:szCs w:val="20"/>
                <w:lang w:val="bg-BG"/>
              </w:rPr>
            </w:pPr>
            <w:r w:rsidRPr="00E82066">
              <w:rPr>
                <w:rFonts w:ascii="Times New Roman" w:hAnsi="Times New Roman" w:cs="Times New Roman"/>
                <w:sz w:val="20"/>
                <w:szCs w:val="20"/>
                <w:lang w:val="bg-BG"/>
              </w:rPr>
              <w:t>Брой на изградените и действащи аквакултурни стопанства в морските води като мидени и рибни ферми, ферми за отглеждане на други морски аквакултури</w:t>
            </w:r>
          </w:p>
        </w:tc>
        <w:tc>
          <w:tcPr>
            <w:tcW w:w="2596" w:type="dxa"/>
          </w:tcPr>
          <w:p w14:paraId="662BDF5B" w14:textId="6ADE1C20" w:rsidR="000D6378" w:rsidRPr="00610B1B" w:rsidRDefault="000D6378" w:rsidP="000D6378">
            <w:pPr>
              <w:rPr>
                <w:rFonts w:ascii="Times New Roman" w:hAnsi="Times New Roman" w:cs="Times New Roman"/>
                <w:sz w:val="20"/>
                <w:szCs w:val="20"/>
                <w:lang w:val="bg-BG"/>
              </w:rPr>
            </w:pPr>
            <w:r w:rsidRPr="00E82066">
              <w:rPr>
                <w:rFonts w:ascii="Times New Roman" w:hAnsi="Times New Roman" w:cs="Times New Roman"/>
                <w:sz w:val="20"/>
                <w:szCs w:val="20"/>
                <w:lang w:val="bg-BG"/>
              </w:rPr>
              <w:t>Министерство но икономиката, Министерсто на земеделието и храните, ИАРА</w:t>
            </w:r>
            <w:r w:rsidR="00215C86">
              <w:rPr>
                <w:rFonts w:ascii="Times New Roman" w:hAnsi="Times New Roman" w:cs="Times New Roman"/>
                <w:sz w:val="20"/>
                <w:szCs w:val="20"/>
                <w:lang w:val="bg-BG"/>
              </w:rPr>
              <w:t>, БДЧР</w:t>
            </w:r>
          </w:p>
        </w:tc>
      </w:tr>
      <w:tr w:rsidR="009A2225" w:rsidRPr="00215C86" w14:paraId="22BC2B78" w14:textId="77777777" w:rsidTr="00C717D0">
        <w:tc>
          <w:tcPr>
            <w:tcW w:w="426" w:type="dxa"/>
            <w:vAlign w:val="center"/>
          </w:tcPr>
          <w:p w14:paraId="47DF198F" w14:textId="77777777" w:rsidR="009A2225" w:rsidRPr="00610B1B" w:rsidRDefault="009A2225" w:rsidP="009A2225">
            <w:pPr>
              <w:rPr>
                <w:rFonts w:ascii="Times New Roman" w:hAnsi="Times New Roman" w:cs="Times New Roman"/>
                <w:lang w:val="bg-BG"/>
              </w:rPr>
            </w:pPr>
            <w:r w:rsidRPr="00610B1B">
              <w:rPr>
                <w:rFonts w:ascii="Times New Roman" w:hAnsi="Times New Roman" w:cs="Times New Roman"/>
                <w:lang w:val="bg-BG"/>
              </w:rPr>
              <w:t>20</w:t>
            </w:r>
          </w:p>
          <w:p w14:paraId="0C45E6DB" w14:textId="77777777" w:rsidR="009A2225" w:rsidRPr="00610B1B" w:rsidRDefault="009A2225" w:rsidP="000D6378">
            <w:pPr>
              <w:rPr>
                <w:rFonts w:ascii="Times New Roman" w:hAnsi="Times New Roman" w:cs="Times New Roman"/>
                <w:lang w:val="bg-BG"/>
              </w:rPr>
            </w:pPr>
          </w:p>
        </w:tc>
        <w:tc>
          <w:tcPr>
            <w:tcW w:w="2835" w:type="dxa"/>
            <w:vAlign w:val="center"/>
          </w:tcPr>
          <w:p w14:paraId="70B61A73" w14:textId="1620EB0A" w:rsidR="009A2225" w:rsidRPr="00610B1B" w:rsidRDefault="009A2225" w:rsidP="000D6378">
            <w:pPr>
              <w:rPr>
                <w:rFonts w:ascii="Times New Roman" w:hAnsi="Times New Roman" w:cs="Times New Roman"/>
                <w:sz w:val="20"/>
                <w:szCs w:val="20"/>
                <w:lang w:val="bg-BG" w:bidi="bg-BG"/>
              </w:rPr>
            </w:pPr>
            <w:r w:rsidRPr="009A2225">
              <w:rPr>
                <w:rFonts w:ascii="Times New Roman" w:hAnsi="Times New Roman" w:cs="Times New Roman"/>
                <w:sz w:val="20"/>
                <w:szCs w:val="20"/>
                <w:lang w:val="bg-BG" w:bidi="bg-BG"/>
              </w:rPr>
              <w:t>Мониторинг на натрупаните отпадъци по крайбрежието и в морската среда</w:t>
            </w:r>
          </w:p>
        </w:tc>
        <w:tc>
          <w:tcPr>
            <w:tcW w:w="2215" w:type="dxa"/>
          </w:tcPr>
          <w:p w14:paraId="5DEC3D99" w14:textId="77777777" w:rsidR="009A2225" w:rsidRPr="00610B1B" w:rsidRDefault="009A2225" w:rsidP="009A2225">
            <w:pPr>
              <w:rPr>
                <w:rFonts w:ascii="Times New Roman" w:hAnsi="Times New Roman" w:cs="Times New Roman"/>
                <w:sz w:val="20"/>
                <w:szCs w:val="20"/>
              </w:rPr>
            </w:pPr>
            <w:r w:rsidRPr="00610B1B">
              <w:rPr>
                <w:rFonts w:ascii="Times New Roman" w:hAnsi="Times New Roman" w:cs="Times New Roman"/>
                <w:sz w:val="20"/>
                <w:szCs w:val="20"/>
              </w:rPr>
              <w:t>Стратегическа цел 3, специфична цел 3.1.</w:t>
            </w:r>
          </w:p>
          <w:p w14:paraId="1521A524" w14:textId="77777777" w:rsidR="009A2225" w:rsidRPr="00610B1B" w:rsidRDefault="009A2225" w:rsidP="000D6378">
            <w:pPr>
              <w:rPr>
                <w:rFonts w:ascii="Times New Roman" w:hAnsi="Times New Roman" w:cs="Times New Roman"/>
                <w:bCs/>
                <w:iCs/>
                <w:sz w:val="20"/>
                <w:szCs w:val="20"/>
              </w:rPr>
            </w:pPr>
          </w:p>
        </w:tc>
        <w:tc>
          <w:tcPr>
            <w:tcW w:w="2179" w:type="dxa"/>
          </w:tcPr>
          <w:p w14:paraId="31DA37AC" w14:textId="77777777" w:rsidR="009A2225" w:rsidRPr="00610B1B" w:rsidRDefault="009A2225" w:rsidP="009A2225">
            <w:pPr>
              <w:rPr>
                <w:rFonts w:ascii="Times New Roman" w:hAnsi="Times New Roman" w:cs="Times New Roman"/>
                <w:sz w:val="20"/>
                <w:szCs w:val="20"/>
              </w:rPr>
            </w:pPr>
            <w:r w:rsidRPr="00610B1B">
              <w:rPr>
                <w:rFonts w:ascii="Times New Roman" w:hAnsi="Times New Roman" w:cs="Times New Roman"/>
                <w:sz w:val="20"/>
                <w:szCs w:val="20"/>
              </w:rPr>
              <w:t>Количество на натрупани отпадъци</w:t>
            </w:r>
          </w:p>
          <w:p w14:paraId="46C91731" w14:textId="77777777" w:rsidR="009A2225" w:rsidRPr="00E82066" w:rsidRDefault="009A2225" w:rsidP="000D6378">
            <w:pPr>
              <w:rPr>
                <w:rFonts w:ascii="Times New Roman" w:hAnsi="Times New Roman" w:cs="Times New Roman"/>
                <w:sz w:val="20"/>
                <w:szCs w:val="20"/>
                <w:lang w:val="bg-BG"/>
              </w:rPr>
            </w:pPr>
          </w:p>
        </w:tc>
        <w:tc>
          <w:tcPr>
            <w:tcW w:w="2596" w:type="dxa"/>
          </w:tcPr>
          <w:p w14:paraId="64E29DA9" w14:textId="77777777" w:rsidR="009A2225" w:rsidRPr="00610B1B" w:rsidRDefault="009A2225" w:rsidP="009A2225">
            <w:pPr>
              <w:rPr>
                <w:rFonts w:ascii="Times New Roman" w:hAnsi="Times New Roman" w:cs="Times New Roman"/>
                <w:sz w:val="20"/>
                <w:szCs w:val="20"/>
              </w:rPr>
            </w:pPr>
            <w:r w:rsidRPr="00610B1B">
              <w:rPr>
                <w:rFonts w:ascii="Times New Roman" w:hAnsi="Times New Roman" w:cs="Times New Roman"/>
                <w:sz w:val="20"/>
                <w:szCs w:val="20"/>
              </w:rPr>
              <w:t>МОСВ, БДЧР</w:t>
            </w:r>
          </w:p>
          <w:p w14:paraId="2B8B86B9" w14:textId="77777777" w:rsidR="009A2225" w:rsidRPr="00E82066" w:rsidRDefault="009A2225" w:rsidP="000D6378">
            <w:pPr>
              <w:rPr>
                <w:rFonts w:ascii="Times New Roman" w:hAnsi="Times New Roman" w:cs="Times New Roman"/>
                <w:sz w:val="20"/>
                <w:szCs w:val="20"/>
                <w:lang w:val="bg-BG"/>
              </w:rPr>
            </w:pPr>
          </w:p>
        </w:tc>
      </w:tr>
      <w:tr w:rsidR="009A2225" w:rsidRPr="00215C86" w14:paraId="6CA0789B" w14:textId="77777777" w:rsidTr="00C717D0">
        <w:tc>
          <w:tcPr>
            <w:tcW w:w="426" w:type="dxa"/>
            <w:vAlign w:val="center"/>
          </w:tcPr>
          <w:p w14:paraId="40A504DB" w14:textId="61818BD7" w:rsidR="009A2225" w:rsidRPr="00610B1B" w:rsidRDefault="009A2225" w:rsidP="009A2225">
            <w:pPr>
              <w:rPr>
                <w:rFonts w:ascii="Times New Roman" w:hAnsi="Times New Roman" w:cs="Times New Roman"/>
                <w:lang w:val="bg-BG"/>
              </w:rPr>
            </w:pPr>
            <w:r w:rsidRPr="00610B1B">
              <w:rPr>
                <w:rFonts w:ascii="Times New Roman" w:hAnsi="Times New Roman" w:cs="Times New Roman"/>
                <w:lang w:val="bg-BG"/>
              </w:rPr>
              <w:lastRenderedPageBreak/>
              <w:t>21</w:t>
            </w:r>
          </w:p>
        </w:tc>
        <w:tc>
          <w:tcPr>
            <w:tcW w:w="2835" w:type="dxa"/>
            <w:vAlign w:val="center"/>
          </w:tcPr>
          <w:p w14:paraId="15B81908" w14:textId="74E1EBFA" w:rsidR="009A2225" w:rsidRPr="009A2225" w:rsidRDefault="009A2225" w:rsidP="009A2225">
            <w:pPr>
              <w:rPr>
                <w:rFonts w:ascii="Times New Roman" w:hAnsi="Times New Roman" w:cs="Times New Roman"/>
                <w:sz w:val="20"/>
                <w:szCs w:val="20"/>
                <w:lang w:val="bg-BG" w:bidi="bg-BG"/>
              </w:rPr>
            </w:pPr>
            <w:r w:rsidRPr="009A2225">
              <w:rPr>
                <w:rFonts w:ascii="Times New Roman" w:hAnsi="Times New Roman" w:cs="Times New Roman"/>
                <w:sz w:val="20"/>
                <w:szCs w:val="20"/>
                <w:lang w:val="bg-BG" w:bidi="bg-BG"/>
              </w:rPr>
              <w:t>Опазване на зоните за отдих, водни спортове или къпане</w:t>
            </w:r>
          </w:p>
        </w:tc>
        <w:tc>
          <w:tcPr>
            <w:tcW w:w="2215" w:type="dxa"/>
          </w:tcPr>
          <w:p w14:paraId="52A508B8" w14:textId="510BBFE1" w:rsidR="009A2225" w:rsidRPr="00610B1B" w:rsidRDefault="009A2225" w:rsidP="009A2225">
            <w:pPr>
              <w:rPr>
                <w:rFonts w:ascii="Times New Roman" w:hAnsi="Times New Roman" w:cs="Times New Roman"/>
                <w:sz w:val="20"/>
                <w:szCs w:val="20"/>
              </w:rPr>
            </w:pPr>
            <w:r w:rsidRPr="00610B1B">
              <w:rPr>
                <w:rFonts w:ascii="Times New Roman" w:hAnsi="Times New Roman" w:cs="Times New Roman"/>
                <w:sz w:val="20"/>
                <w:szCs w:val="20"/>
              </w:rPr>
              <w:t>Стратегическа цел 3, специфична цел 3.1</w:t>
            </w:r>
          </w:p>
        </w:tc>
        <w:tc>
          <w:tcPr>
            <w:tcW w:w="2179" w:type="dxa"/>
          </w:tcPr>
          <w:p w14:paraId="4DB90EFF" w14:textId="77777777" w:rsidR="009A2225" w:rsidRPr="009A2225" w:rsidRDefault="009A2225" w:rsidP="009A2225">
            <w:pPr>
              <w:rPr>
                <w:rFonts w:ascii="Times New Roman" w:hAnsi="Times New Roman" w:cs="Times New Roman"/>
                <w:sz w:val="20"/>
                <w:szCs w:val="20"/>
              </w:rPr>
            </w:pPr>
            <w:r w:rsidRPr="009A2225">
              <w:rPr>
                <w:rFonts w:ascii="Times New Roman" w:hAnsi="Times New Roman" w:cs="Times New Roman"/>
                <w:sz w:val="20"/>
                <w:szCs w:val="20"/>
              </w:rPr>
              <w:t>Брой определени зони за отдих/водни спортове;</w:t>
            </w:r>
          </w:p>
          <w:p w14:paraId="204C5941" w14:textId="31B99260" w:rsidR="009A2225" w:rsidRPr="00610B1B" w:rsidRDefault="009A2225" w:rsidP="009A2225">
            <w:pPr>
              <w:rPr>
                <w:rFonts w:ascii="Times New Roman" w:hAnsi="Times New Roman" w:cs="Times New Roman"/>
                <w:sz w:val="20"/>
                <w:szCs w:val="20"/>
              </w:rPr>
            </w:pPr>
            <w:r w:rsidRPr="009A2225">
              <w:rPr>
                <w:rFonts w:ascii="Times New Roman" w:hAnsi="Times New Roman" w:cs="Times New Roman"/>
                <w:sz w:val="20"/>
                <w:szCs w:val="20"/>
              </w:rPr>
              <w:t>Брой определени зони с отлично и добро състояние на водите за къпане</w:t>
            </w:r>
          </w:p>
        </w:tc>
        <w:tc>
          <w:tcPr>
            <w:tcW w:w="2596" w:type="dxa"/>
          </w:tcPr>
          <w:p w14:paraId="2C08E75C" w14:textId="1655E7C4" w:rsidR="009A2225" w:rsidRPr="00610B1B" w:rsidRDefault="009A2225" w:rsidP="009A2225">
            <w:pPr>
              <w:rPr>
                <w:rFonts w:ascii="Times New Roman" w:hAnsi="Times New Roman" w:cs="Times New Roman"/>
                <w:sz w:val="20"/>
                <w:szCs w:val="20"/>
              </w:rPr>
            </w:pPr>
            <w:r w:rsidRPr="007E28B9">
              <w:rPr>
                <w:rFonts w:ascii="Times New Roman" w:hAnsi="Times New Roman" w:cs="Times New Roman"/>
                <w:sz w:val="20"/>
                <w:szCs w:val="20"/>
                <w:lang w:val="bg-BG"/>
              </w:rPr>
              <w:t>Областни администрации,</w:t>
            </w:r>
            <w:r>
              <w:rPr>
                <w:rFonts w:ascii="Times New Roman" w:hAnsi="Times New Roman" w:cs="Times New Roman"/>
                <w:sz w:val="20"/>
                <w:szCs w:val="20"/>
                <w:lang w:val="bg-BG"/>
              </w:rPr>
              <w:t xml:space="preserve"> </w:t>
            </w:r>
            <w:r w:rsidRPr="007E28B9">
              <w:rPr>
                <w:rFonts w:ascii="Times New Roman" w:hAnsi="Times New Roman" w:cs="Times New Roman"/>
                <w:sz w:val="20"/>
                <w:szCs w:val="20"/>
                <w:lang w:val="bg-BG"/>
              </w:rPr>
              <w:t>ИА</w:t>
            </w:r>
            <w:r>
              <w:rPr>
                <w:rFonts w:ascii="Times New Roman" w:hAnsi="Times New Roman" w:cs="Times New Roman"/>
                <w:sz w:val="20"/>
                <w:szCs w:val="20"/>
                <w:lang w:val="bg-BG"/>
              </w:rPr>
              <w:t xml:space="preserve"> </w:t>
            </w:r>
            <w:r w:rsidRPr="007E28B9">
              <w:rPr>
                <w:rFonts w:ascii="Times New Roman" w:hAnsi="Times New Roman" w:cs="Times New Roman"/>
                <w:sz w:val="20"/>
                <w:szCs w:val="20"/>
                <w:lang w:val="bg-BG"/>
              </w:rPr>
              <w:t>“Морска администрация“,</w:t>
            </w:r>
            <w:r>
              <w:rPr>
                <w:rFonts w:ascii="Times New Roman" w:hAnsi="Times New Roman" w:cs="Times New Roman"/>
                <w:sz w:val="20"/>
                <w:szCs w:val="20"/>
                <w:lang w:val="bg-BG"/>
              </w:rPr>
              <w:t xml:space="preserve"> </w:t>
            </w:r>
            <w:r w:rsidRPr="007E28B9">
              <w:rPr>
                <w:rFonts w:ascii="Times New Roman" w:hAnsi="Times New Roman" w:cs="Times New Roman"/>
                <w:sz w:val="20"/>
                <w:szCs w:val="20"/>
                <w:lang w:val="bg-BG"/>
              </w:rPr>
              <w:t>Дирекция</w:t>
            </w:r>
            <w:r>
              <w:rPr>
                <w:rFonts w:ascii="Times New Roman" w:hAnsi="Times New Roman" w:cs="Times New Roman"/>
                <w:sz w:val="20"/>
                <w:szCs w:val="20"/>
                <w:lang w:val="bg-BG"/>
              </w:rPr>
              <w:t xml:space="preserve"> </w:t>
            </w:r>
            <w:r w:rsidRPr="007E28B9">
              <w:rPr>
                <w:rFonts w:ascii="Times New Roman" w:hAnsi="Times New Roman" w:cs="Times New Roman"/>
                <w:sz w:val="20"/>
                <w:szCs w:val="20"/>
                <w:lang w:val="bg-BG"/>
              </w:rPr>
              <w:t>“МА“ Варна и Бургас</w:t>
            </w:r>
            <w:r>
              <w:rPr>
                <w:rFonts w:ascii="Times New Roman" w:hAnsi="Times New Roman" w:cs="Times New Roman"/>
                <w:sz w:val="20"/>
                <w:szCs w:val="20"/>
                <w:lang w:val="bg-BG"/>
              </w:rPr>
              <w:t>, МЗ</w:t>
            </w:r>
          </w:p>
        </w:tc>
      </w:tr>
    </w:tbl>
    <w:p w14:paraId="6CCF4191" w14:textId="00A1741F" w:rsidR="00653FB2" w:rsidRPr="00610B1B" w:rsidRDefault="00653FB2" w:rsidP="00774CD7">
      <w:pPr>
        <w:pStyle w:val="BodyText"/>
        <w:spacing w:before="240" w:after="120" w:line="276" w:lineRule="auto"/>
        <w:rPr>
          <w:rFonts w:cs="Times New Roman"/>
        </w:rPr>
      </w:pPr>
      <w:r w:rsidRPr="00610B1B">
        <w:rPr>
          <w:rFonts w:cs="Times New Roman"/>
        </w:rPr>
        <w:t>За целите на морското пространствено планиране е възможно да се използват и по-комплексни индекси, в които да бъдат включени няколко различни показатели, или да се използват изследвания и оценки на международни институции, изготвени с цел да се правят сравн</w:t>
      </w:r>
      <w:r w:rsidR="00091BE7" w:rsidRPr="00610B1B">
        <w:rPr>
          <w:rFonts w:cs="Times New Roman"/>
        </w:rPr>
        <w:t>ителни анализи на</w:t>
      </w:r>
      <w:r w:rsidRPr="00610B1B">
        <w:rPr>
          <w:rFonts w:cs="Times New Roman"/>
        </w:rPr>
        <w:t xml:space="preserve"> икономическото развитие на страните или на отделни сектори</w:t>
      </w:r>
      <w:r w:rsidR="00B71F43" w:rsidRPr="00610B1B">
        <w:rPr>
          <w:rFonts w:cs="Times New Roman"/>
        </w:rPr>
        <w:t xml:space="preserve"> от морската икономика</w:t>
      </w:r>
      <w:r w:rsidRPr="00610B1B">
        <w:rPr>
          <w:rFonts w:cs="Times New Roman"/>
        </w:rPr>
        <w:t xml:space="preserve">. </w:t>
      </w:r>
    </w:p>
    <w:p w14:paraId="4CF07445" w14:textId="3358028B" w:rsidR="00790F3C" w:rsidRPr="00610B1B" w:rsidRDefault="00790F3C" w:rsidP="00D32D6A">
      <w:pPr>
        <w:pStyle w:val="BodyText"/>
        <w:spacing w:before="0" w:after="120" w:line="276" w:lineRule="auto"/>
        <w:rPr>
          <w:rFonts w:cs="Times New Roman"/>
        </w:rPr>
      </w:pPr>
      <w:r w:rsidRPr="00610B1B">
        <w:rPr>
          <w:rFonts w:cs="Times New Roman"/>
        </w:rPr>
        <w:t xml:space="preserve">Въз основа на тези индикатори МРРБ ще изготвя доклади на всеки две години, за да отчита резултатите от прилагането на Морския пространствен план и постигането на набелязаните стратегически и специфични цели. Отговорните институции ще предоставят необходимата информация за изготвянето на тези доклади и ще съдействат за систематизиране на изводите и резултатите. </w:t>
      </w:r>
    </w:p>
    <w:p w14:paraId="26F379FA" w14:textId="77777777" w:rsidR="00782D1A" w:rsidRPr="00610B1B" w:rsidRDefault="00782D1A" w:rsidP="00782D1A">
      <w:pPr>
        <w:pStyle w:val="BodyText"/>
        <w:spacing w:after="120" w:line="276" w:lineRule="auto"/>
        <w:rPr>
          <w:rFonts w:cs="Times New Roman"/>
          <w:lang w:bidi="bg-BG"/>
        </w:rPr>
      </w:pPr>
      <w:r w:rsidRPr="00610B1B">
        <w:rPr>
          <w:rFonts w:cs="Times New Roman"/>
          <w:lang w:bidi="bg-BG"/>
        </w:rPr>
        <w:t xml:space="preserve">На всеки </w:t>
      </w:r>
      <w:r w:rsidRPr="00610B1B">
        <w:rPr>
          <w:rFonts w:cs="Times New Roman"/>
          <w:b/>
          <w:bCs/>
          <w:lang w:bidi="bg-BG"/>
        </w:rPr>
        <w:t xml:space="preserve">две години </w:t>
      </w:r>
      <w:r w:rsidRPr="00610B1B">
        <w:rPr>
          <w:rFonts w:cs="Times New Roman"/>
          <w:lang w:bidi="bg-BG"/>
        </w:rPr>
        <w:t>от прилагането на плана, възложителят да изготвя доклади по наблюдението и контрола на въздействието върху околната среда при прилагането на МППРБ, включително на мерките за предотвратяване, намаляване или отстраняване на последиците от възникнали неблагоприятни последствия от осъществяването на плана. Изготвените доклади да се предоставят в Министерство на околната среда и водите за одобряване.</w:t>
      </w:r>
    </w:p>
    <w:p w14:paraId="659B2B48" w14:textId="77777777" w:rsidR="00782D1A" w:rsidRPr="00610B1B" w:rsidRDefault="00782D1A" w:rsidP="00782D1A">
      <w:pPr>
        <w:pStyle w:val="BodyText"/>
        <w:spacing w:after="120" w:line="276" w:lineRule="auto"/>
        <w:rPr>
          <w:rFonts w:cs="Times New Roman"/>
        </w:rPr>
      </w:pPr>
    </w:p>
    <w:p w14:paraId="52666483" w14:textId="77777777" w:rsidR="00782D1A" w:rsidRPr="00610B1B" w:rsidRDefault="00782D1A" w:rsidP="00D32D6A">
      <w:pPr>
        <w:pStyle w:val="BodyText"/>
        <w:spacing w:before="0" w:after="120" w:line="276" w:lineRule="auto"/>
        <w:rPr>
          <w:rFonts w:cs="Times New Roman"/>
        </w:rPr>
      </w:pPr>
    </w:p>
    <w:p w14:paraId="0B1B28CD" w14:textId="77777777" w:rsidR="004A5F4D" w:rsidRPr="00610B1B" w:rsidRDefault="004A5F4D" w:rsidP="00D32D6A">
      <w:pPr>
        <w:pStyle w:val="BodyText"/>
        <w:spacing w:before="0" w:after="120" w:line="276" w:lineRule="auto"/>
        <w:rPr>
          <w:rFonts w:cs="Times New Roman"/>
        </w:rPr>
      </w:pPr>
    </w:p>
    <w:p w14:paraId="159583A8" w14:textId="77777777" w:rsidR="006F076F" w:rsidRPr="00610B1B" w:rsidRDefault="006F076F" w:rsidP="00D32D6A">
      <w:pPr>
        <w:spacing w:after="120"/>
        <w:rPr>
          <w:rFonts w:ascii="Times New Roman" w:eastAsia="Source Han Sans CN Regular" w:hAnsi="Times New Roman" w:cs="Times New Roman"/>
          <w:b/>
          <w:bCs/>
          <w:color w:val="0F243E" w:themeColor="text2" w:themeShade="80"/>
          <w:sz w:val="36"/>
          <w:szCs w:val="36"/>
          <w:lang w:val="bg-BG" w:eastAsia="zh-CN" w:bidi="hi-IN"/>
        </w:rPr>
      </w:pPr>
      <w:r w:rsidRPr="00610B1B">
        <w:rPr>
          <w:rFonts w:ascii="Times New Roman" w:hAnsi="Times New Roman" w:cs="Times New Roman"/>
          <w:lang w:val="bg-BG"/>
        </w:rPr>
        <w:br w:type="page"/>
      </w:r>
    </w:p>
    <w:p w14:paraId="24F519FD" w14:textId="6D634D33" w:rsidR="00DD51C3" w:rsidRPr="00610B1B" w:rsidRDefault="00E0439B" w:rsidP="00D32D6A">
      <w:pPr>
        <w:pStyle w:val="Heading1"/>
        <w:spacing w:before="0" w:line="276" w:lineRule="auto"/>
        <w:rPr>
          <w:rFonts w:cs="Times New Roman"/>
        </w:rPr>
      </w:pPr>
      <w:bookmarkStart w:id="513" w:name="_Toc83391446"/>
      <w:r w:rsidRPr="00610B1B">
        <w:rPr>
          <w:rFonts w:cs="Times New Roman"/>
        </w:rPr>
        <w:lastRenderedPageBreak/>
        <w:t>8</w:t>
      </w:r>
      <w:r w:rsidR="00F37D59" w:rsidRPr="00610B1B">
        <w:rPr>
          <w:rFonts w:cs="Times New Roman"/>
        </w:rPr>
        <w:t xml:space="preserve">. </w:t>
      </w:r>
      <w:r w:rsidR="00EE0736" w:rsidRPr="00610B1B">
        <w:rPr>
          <w:rFonts w:cs="Times New Roman"/>
        </w:rPr>
        <w:t>ПУБЛИЧНИ КОНСУЛТАЦИИ И ОБЩЕСТВЕНИ ОБСЪЖДАНИЯ</w:t>
      </w:r>
      <w:bookmarkEnd w:id="513"/>
    </w:p>
    <w:p w14:paraId="59BF9EF1" w14:textId="39869434" w:rsidR="00B531D6" w:rsidRPr="00610B1B" w:rsidRDefault="00B531D6" w:rsidP="00D32D6A">
      <w:pPr>
        <w:widowControl w:val="0"/>
        <w:spacing w:after="120"/>
        <w:ind w:right="-153"/>
        <w:jc w:val="both"/>
        <w:rPr>
          <w:rFonts w:ascii="Times New Roman" w:eastAsia="Times New Roman" w:hAnsi="Times New Roman" w:cs="Times New Roman"/>
          <w:sz w:val="24"/>
          <w:szCs w:val="24"/>
          <w:lang w:val="bg-BG"/>
        </w:rPr>
      </w:pPr>
      <w:bookmarkStart w:id="514" w:name="_Hlk46072278"/>
      <w:bookmarkEnd w:id="497"/>
      <w:r w:rsidRPr="00610B1B">
        <w:rPr>
          <w:rFonts w:ascii="Times New Roman" w:eastAsia="Times New Roman" w:hAnsi="Times New Roman" w:cs="Times New Roman"/>
          <w:sz w:val="24"/>
          <w:szCs w:val="24"/>
          <w:lang w:val="bg-BG"/>
        </w:rPr>
        <w:t>Принципът за партньорство, публичност и прозрачност на всички нива е важен механизъм за повишаване на устойчивостта на взетите решения и планираните цели и задачи, за ефективността на тяхната реализация</w:t>
      </w:r>
      <w:r w:rsidR="002722B7"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w:t>
      </w:r>
      <w:r w:rsidR="00A579CE" w:rsidRPr="00610B1B">
        <w:rPr>
          <w:rFonts w:ascii="Times New Roman" w:eastAsia="Times New Roman" w:hAnsi="Times New Roman" w:cs="Times New Roman"/>
          <w:sz w:val="24"/>
          <w:szCs w:val="24"/>
          <w:lang w:val="bg-BG"/>
        </w:rPr>
        <w:t xml:space="preserve">особено </w:t>
      </w:r>
      <w:r w:rsidRPr="00610B1B">
        <w:rPr>
          <w:rFonts w:ascii="Times New Roman" w:eastAsia="Times New Roman" w:hAnsi="Times New Roman" w:cs="Times New Roman"/>
          <w:sz w:val="24"/>
          <w:szCs w:val="24"/>
          <w:lang w:val="bg-BG"/>
        </w:rPr>
        <w:t>при подобна нова за страната дейност, ка</w:t>
      </w:r>
      <w:r w:rsidR="00A579CE" w:rsidRPr="00610B1B">
        <w:rPr>
          <w:rFonts w:ascii="Times New Roman" w:eastAsia="Times New Roman" w:hAnsi="Times New Roman" w:cs="Times New Roman"/>
          <w:sz w:val="24"/>
          <w:szCs w:val="24"/>
          <w:lang w:val="bg-BG"/>
        </w:rPr>
        <w:t>квото е</w:t>
      </w:r>
      <w:r w:rsidRPr="00610B1B">
        <w:rPr>
          <w:rFonts w:ascii="Times New Roman" w:eastAsia="Times New Roman" w:hAnsi="Times New Roman" w:cs="Times New Roman"/>
          <w:sz w:val="24"/>
          <w:szCs w:val="24"/>
          <w:lang w:val="bg-BG"/>
        </w:rPr>
        <w:t xml:space="preserve"> морското пространствено планиране.</w:t>
      </w:r>
    </w:p>
    <w:p w14:paraId="27415ED1" w14:textId="56DE601C" w:rsidR="00B531D6" w:rsidRPr="00610B1B" w:rsidRDefault="00E53F95" w:rsidP="00D32D6A">
      <w:pPr>
        <w:widowControl w:val="0"/>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iCs/>
          <w:sz w:val="24"/>
          <w:szCs w:val="24"/>
          <w:shd w:val="clear" w:color="auto" w:fill="FFFFFF"/>
          <w:lang w:val="bg-BG" w:eastAsia="bg-BG" w:bidi="bg-BG"/>
        </w:rPr>
        <w:t>Главната</w:t>
      </w:r>
      <w:r w:rsidR="00B531D6" w:rsidRPr="00610B1B">
        <w:rPr>
          <w:rFonts w:ascii="Times New Roman" w:eastAsia="Times New Roman" w:hAnsi="Times New Roman" w:cs="Times New Roman"/>
          <w:i/>
          <w:iCs/>
          <w:sz w:val="24"/>
          <w:szCs w:val="24"/>
          <w:shd w:val="clear" w:color="auto" w:fill="FFFFFF"/>
          <w:lang w:val="bg-BG" w:eastAsia="bg-BG" w:bidi="bg-BG"/>
        </w:rPr>
        <w:t xml:space="preserve"> цел</w:t>
      </w:r>
      <w:r w:rsidR="00B531D6" w:rsidRPr="00610B1B">
        <w:rPr>
          <w:rFonts w:ascii="Times New Roman" w:eastAsia="Times New Roman" w:hAnsi="Times New Roman" w:cs="Times New Roman"/>
          <w:sz w:val="24"/>
          <w:szCs w:val="24"/>
          <w:lang w:val="bg-BG"/>
        </w:rPr>
        <w:t xml:space="preserve"> на прилагането на информираност и публичност при разработването на МППРБ е повишаване </w:t>
      </w:r>
      <w:r w:rsidR="00BB507E" w:rsidRPr="00610B1B">
        <w:rPr>
          <w:rFonts w:ascii="Times New Roman" w:eastAsia="Times New Roman" w:hAnsi="Times New Roman" w:cs="Times New Roman"/>
          <w:sz w:val="24"/>
          <w:szCs w:val="24"/>
          <w:lang w:val="bg-BG"/>
        </w:rPr>
        <w:t xml:space="preserve">на </w:t>
      </w:r>
      <w:r w:rsidR="00B531D6" w:rsidRPr="00610B1B">
        <w:rPr>
          <w:rFonts w:ascii="Times New Roman" w:eastAsia="Times New Roman" w:hAnsi="Times New Roman" w:cs="Times New Roman"/>
          <w:sz w:val="24"/>
          <w:szCs w:val="24"/>
          <w:lang w:val="bg-BG"/>
        </w:rPr>
        <w:t>обществената осведоменост и осигуряване прозрачност при генерирането на идеи за бъдещото развитие, опазване и използване на морските пространства.</w:t>
      </w:r>
    </w:p>
    <w:p w14:paraId="11DF348C" w14:textId="3C44ED9F" w:rsidR="00B531D6" w:rsidRPr="00610B1B" w:rsidRDefault="00B531D6" w:rsidP="00D32D6A">
      <w:pPr>
        <w:widowControl w:val="0"/>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iCs/>
          <w:sz w:val="24"/>
          <w:szCs w:val="24"/>
          <w:shd w:val="clear" w:color="auto" w:fill="FFFFFF"/>
          <w:lang w:val="bg-BG" w:eastAsia="bg-BG" w:bidi="bg-BG"/>
        </w:rPr>
        <w:t>Основна отговорност</w:t>
      </w:r>
      <w:r w:rsidRPr="00610B1B">
        <w:rPr>
          <w:rFonts w:ascii="Times New Roman" w:eastAsia="Times New Roman" w:hAnsi="Times New Roman" w:cs="Times New Roman"/>
          <w:sz w:val="24"/>
          <w:szCs w:val="24"/>
          <w:lang w:val="bg-BG"/>
        </w:rPr>
        <w:t xml:space="preserve"> за осигуряване на информация и публичност на процеса на разработване, съгласуване, актуализиране и изпълнение на МППРБ има Министърът на регионалното развитие и благоустройството, подпомаган Консултативния съвет по въпросите на морското пространствено планиране и от ГД „Стратегическо планиране и програми за регионално развитие“ на МРРБ. Във всички етапи на разработване и прилагане участват и </w:t>
      </w:r>
      <w:r w:rsidR="00A579CE" w:rsidRPr="00610B1B">
        <w:rPr>
          <w:rFonts w:ascii="Times New Roman" w:eastAsia="Times New Roman" w:hAnsi="Times New Roman" w:cs="Times New Roman"/>
          <w:sz w:val="24"/>
          <w:szCs w:val="24"/>
          <w:lang w:val="bg-BG"/>
        </w:rPr>
        <w:t xml:space="preserve">разпределят </w:t>
      </w:r>
      <w:r w:rsidRPr="00610B1B">
        <w:rPr>
          <w:rFonts w:ascii="Times New Roman" w:eastAsia="Times New Roman" w:hAnsi="Times New Roman" w:cs="Times New Roman"/>
          <w:sz w:val="24"/>
          <w:szCs w:val="24"/>
          <w:lang w:val="bg-BG"/>
        </w:rPr>
        <w:t xml:space="preserve">отговорности </w:t>
      </w:r>
      <w:r w:rsidR="00A579CE" w:rsidRPr="00610B1B">
        <w:rPr>
          <w:rFonts w:ascii="Times New Roman" w:eastAsia="Times New Roman" w:hAnsi="Times New Roman" w:cs="Times New Roman"/>
          <w:sz w:val="24"/>
          <w:szCs w:val="24"/>
          <w:lang w:val="bg-BG"/>
        </w:rPr>
        <w:t>по</w:t>
      </w:r>
      <w:r w:rsidRPr="00610B1B">
        <w:rPr>
          <w:rFonts w:ascii="Times New Roman" w:eastAsia="Times New Roman" w:hAnsi="Times New Roman" w:cs="Times New Roman"/>
          <w:sz w:val="24"/>
          <w:szCs w:val="24"/>
          <w:lang w:val="bg-BG"/>
        </w:rPr>
        <w:t>между</w:t>
      </w:r>
      <w:r w:rsidR="00A579CE" w:rsidRPr="00610B1B">
        <w:rPr>
          <w:rFonts w:ascii="Times New Roman" w:eastAsia="Times New Roman" w:hAnsi="Times New Roman" w:cs="Times New Roman"/>
          <w:sz w:val="24"/>
          <w:szCs w:val="24"/>
          <w:lang w:val="bg-BG"/>
        </w:rPr>
        <w:t xml:space="preserve"> си</w:t>
      </w:r>
      <w:r w:rsidRPr="00610B1B">
        <w:rPr>
          <w:rFonts w:ascii="Times New Roman" w:eastAsia="Times New Roman" w:hAnsi="Times New Roman" w:cs="Times New Roman"/>
          <w:sz w:val="24"/>
          <w:szCs w:val="24"/>
          <w:lang w:val="bg-BG"/>
        </w:rPr>
        <w:t xml:space="preserve"> всички групи партньори: административни структури (централни, териториални) на изпълнителната власт, икономически и социални партньори, НПО, граждански сдружения, широка</w:t>
      </w:r>
      <w:r w:rsidR="006610D1" w:rsidRPr="00610B1B">
        <w:rPr>
          <w:rFonts w:ascii="Times New Roman" w:eastAsia="Times New Roman" w:hAnsi="Times New Roman" w:cs="Times New Roman"/>
          <w:sz w:val="24"/>
          <w:szCs w:val="24"/>
          <w:lang w:val="bg-BG"/>
        </w:rPr>
        <w:t>та</w:t>
      </w:r>
      <w:r w:rsidRPr="00610B1B">
        <w:rPr>
          <w:rFonts w:ascii="Times New Roman" w:eastAsia="Times New Roman" w:hAnsi="Times New Roman" w:cs="Times New Roman"/>
          <w:sz w:val="24"/>
          <w:szCs w:val="24"/>
          <w:lang w:val="bg-BG"/>
        </w:rPr>
        <w:t xml:space="preserve"> общественост, като в зависимост от етапа, нивото на съучастие е различн</w:t>
      </w:r>
      <w:r w:rsidR="00A579CE" w:rsidRPr="00610B1B">
        <w:rPr>
          <w:rFonts w:ascii="Times New Roman" w:eastAsia="Times New Roman" w:hAnsi="Times New Roman" w:cs="Times New Roman"/>
          <w:sz w:val="24"/>
          <w:szCs w:val="24"/>
          <w:lang w:val="bg-BG"/>
        </w:rPr>
        <w:t>о</w:t>
      </w:r>
      <w:r w:rsidRPr="00610B1B">
        <w:rPr>
          <w:rFonts w:ascii="Times New Roman" w:eastAsia="Times New Roman" w:hAnsi="Times New Roman" w:cs="Times New Roman"/>
          <w:sz w:val="24"/>
          <w:szCs w:val="24"/>
          <w:lang w:val="bg-BG"/>
        </w:rPr>
        <w:t>. При взаимодействие между целевите групи са приложени всички приети форми на взаимодействие: информиране, консултиране и съгласуваност, ангажираност и активно участие.</w:t>
      </w:r>
    </w:p>
    <w:p w14:paraId="3AEF9050" w14:textId="7AF067FA" w:rsidR="00B531D6" w:rsidRPr="00610B1B" w:rsidRDefault="00B531D6" w:rsidP="00D32D6A">
      <w:pPr>
        <w:widowControl w:val="0"/>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Основополагащите документи, които са използвани при провеждане на консултациите и разпределението на основните събития и ангажименти са следните:</w:t>
      </w:r>
    </w:p>
    <w:p w14:paraId="13802269" w14:textId="02E9CB23" w:rsidR="00B531D6" w:rsidRPr="00610B1B" w:rsidRDefault="00B531D6" w:rsidP="00566CC3">
      <w:pPr>
        <w:pStyle w:val="ListParagraph"/>
        <w:widowControl w:val="0"/>
        <w:numPr>
          <w:ilvl w:val="0"/>
          <w:numId w:val="60"/>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Бяла книга за европейската комуникационна стратегия (COM(2006) 35 окончателен), която определя насоките за двупосочна и активна комуникация, подобрява качеството на информацията, стимулира по-добре информираното общество за активно участие в процеса на вземане на решения. В съответствие с нейните препоръки се определят общите принципи за комуникационните мерки във връзка с Интегрираната морска политика и се търсят възможности за създаването на национална платформа/„обществена арена“ на знанието за морското пространствено планиране и </w:t>
      </w:r>
      <w:r w:rsidR="00A579CE" w:rsidRPr="00610B1B">
        <w:rPr>
          <w:rFonts w:ascii="Times New Roman" w:eastAsia="Times New Roman" w:hAnsi="Times New Roman" w:cs="Times New Roman"/>
          <w:sz w:val="24"/>
          <w:szCs w:val="24"/>
          <w:lang w:val="bg-BG"/>
        </w:rPr>
        <w:t xml:space="preserve">за </w:t>
      </w:r>
      <w:r w:rsidRPr="00610B1B">
        <w:rPr>
          <w:rFonts w:ascii="Times New Roman" w:eastAsia="Times New Roman" w:hAnsi="Times New Roman" w:cs="Times New Roman"/>
          <w:sz w:val="24"/>
          <w:szCs w:val="24"/>
          <w:lang w:val="bg-BG"/>
        </w:rPr>
        <w:t xml:space="preserve">съвместна работа в партньорство със заинтересованите страни. </w:t>
      </w:r>
    </w:p>
    <w:p w14:paraId="7303D1CD" w14:textId="67DF4E51" w:rsidR="00B531D6" w:rsidRPr="00610B1B" w:rsidRDefault="00B531D6" w:rsidP="00566CC3">
      <w:pPr>
        <w:pStyle w:val="ListParagraph"/>
        <w:widowControl w:val="0"/>
        <w:numPr>
          <w:ilvl w:val="0"/>
          <w:numId w:val="60"/>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Методически указания за публично участие и трансгранични консултации в процеса на разработване на морски пространствен план (HELCOM, VASAB, 2016), които проследяват отделните стъпки за трансгранично консултиране и прилагането на Конвенцията на Обединените нации за Оценка на въздействието върху околната среда в трансграничен контекст (Espoо конвенция,</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сила от 1997 г.) и Протокола от Киев (2003 г.);</w:t>
      </w:r>
    </w:p>
    <w:p w14:paraId="7494A9F1" w14:textId="488B8027" w:rsidR="00B531D6" w:rsidRPr="00610B1B" w:rsidRDefault="00B531D6" w:rsidP="00566CC3">
      <w:pPr>
        <w:pStyle w:val="ListParagraph"/>
        <w:widowControl w:val="0"/>
        <w:numPr>
          <w:ilvl w:val="0"/>
          <w:numId w:val="60"/>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Закона за достъп до обществена информация (обн. ДВ бр. 55/2000 г., изм. ДВ</w:t>
      </w:r>
      <w:r w:rsidRPr="00610B1B">
        <w:rPr>
          <w:rFonts w:ascii="Times New Roman" w:hAnsi="Times New Roman" w:cs="Times New Roman"/>
          <w:lang w:val="bg-BG"/>
        </w:rPr>
        <w:t xml:space="preserve"> </w:t>
      </w:r>
      <w:r w:rsidRPr="00610B1B">
        <w:rPr>
          <w:rFonts w:ascii="Times New Roman" w:eastAsia="Times New Roman" w:hAnsi="Times New Roman" w:cs="Times New Roman"/>
          <w:sz w:val="24"/>
          <w:szCs w:val="24"/>
          <w:lang w:val="bg-BG"/>
        </w:rPr>
        <w:t>бр. 17/26.02.2019 г.) и Закон</w:t>
      </w:r>
      <w:r w:rsidR="006610D1" w:rsidRPr="00610B1B">
        <w:rPr>
          <w:rFonts w:ascii="Times New Roman" w:eastAsia="Times New Roman" w:hAnsi="Times New Roman" w:cs="Times New Roman"/>
          <w:sz w:val="24"/>
          <w:szCs w:val="24"/>
          <w:lang w:val="bg-BG"/>
        </w:rPr>
        <w:t>а</w:t>
      </w:r>
      <w:r w:rsidRPr="00610B1B">
        <w:rPr>
          <w:rFonts w:ascii="Times New Roman" w:eastAsia="Times New Roman" w:hAnsi="Times New Roman" w:cs="Times New Roman"/>
          <w:sz w:val="24"/>
          <w:szCs w:val="24"/>
          <w:lang w:val="bg-BG"/>
        </w:rPr>
        <w:t xml:space="preserve"> за достъп до пространствени данни (обн. ДВ бр.</w:t>
      </w:r>
      <w:r w:rsidR="00566CC3" w:rsidRPr="00610B1B">
        <w:rPr>
          <w:rFonts w:ascii="Times New Roman" w:eastAsia="Times New Roman" w:hAnsi="Times New Roman" w:cs="Times New Roman"/>
          <w:sz w:val="24"/>
          <w:szCs w:val="24"/>
          <w:lang w:val="bg-BG"/>
        </w:rPr>
        <w:t> </w:t>
      </w:r>
      <w:r w:rsidRPr="00610B1B">
        <w:rPr>
          <w:rFonts w:ascii="Times New Roman" w:eastAsia="Times New Roman" w:hAnsi="Times New Roman" w:cs="Times New Roman"/>
          <w:sz w:val="24"/>
          <w:szCs w:val="24"/>
          <w:lang w:val="bg-BG"/>
        </w:rPr>
        <w:t>19/2010</w:t>
      </w:r>
      <w:r w:rsidR="00566CC3" w:rsidRPr="00610B1B">
        <w:rPr>
          <w:rFonts w:ascii="Times New Roman" w:eastAsia="Times New Roman" w:hAnsi="Times New Roman" w:cs="Times New Roman"/>
          <w:sz w:val="24"/>
          <w:szCs w:val="24"/>
          <w:lang w:val="bg-BG"/>
        </w:rPr>
        <w:t> </w:t>
      </w:r>
      <w:r w:rsidRPr="00610B1B">
        <w:rPr>
          <w:rFonts w:ascii="Times New Roman" w:eastAsia="Times New Roman" w:hAnsi="Times New Roman" w:cs="Times New Roman"/>
          <w:sz w:val="24"/>
          <w:szCs w:val="24"/>
          <w:lang w:val="bg-BG"/>
        </w:rPr>
        <w:t xml:space="preserve">г., изм. ДВ бр. 17/26.02.2019 г.), които регламентират използването на информация и данни, генерирани и поддържани от публични органи, при спазване на изискванията за интелектуалните права, защита на личните данни, конфиденциалността на информацията </w:t>
      </w:r>
      <w:r w:rsidRPr="00610B1B">
        <w:rPr>
          <w:rFonts w:ascii="Times New Roman" w:eastAsia="Times New Roman" w:hAnsi="Times New Roman" w:cs="Times New Roman"/>
          <w:sz w:val="24"/>
          <w:szCs w:val="24"/>
          <w:lang w:val="bg-BG"/>
        </w:rPr>
        <w:lastRenderedPageBreak/>
        <w:t>за местонахождението на редки и защитени видове и културни ценности.</w:t>
      </w:r>
    </w:p>
    <w:p w14:paraId="4EB3D341" w14:textId="47792444" w:rsidR="00A579CE" w:rsidRPr="00610B1B" w:rsidRDefault="00B531D6" w:rsidP="00566CC3">
      <w:pPr>
        <w:pStyle w:val="ListParagraph"/>
        <w:widowControl w:val="0"/>
        <w:numPr>
          <w:ilvl w:val="0"/>
          <w:numId w:val="60"/>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Наръчник за консултации в морското пространствено планиране (2014)</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който отчита необходимостта от включване на участниците от различни нива на управление в неформалните и формални консултации – представители на международни организации, на структурите на ЕС за териториално сътрудничество и морско пространствено планиране, на държавни, регионални и местни власти, НПО и местни общности. </w:t>
      </w:r>
    </w:p>
    <w:p w14:paraId="63BC40C6" w14:textId="4BFAB857" w:rsidR="00A579CE" w:rsidRPr="00610B1B" w:rsidRDefault="00A579CE" w:rsidP="00566CC3">
      <w:pPr>
        <w:pStyle w:val="ListParagraph"/>
        <w:widowControl w:val="0"/>
        <w:numPr>
          <w:ilvl w:val="0"/>
          <w:numId w:val="60"/>
        </w:numPr>
        <w:spacing w:after="120"/>
        <w:ind w:left="426"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Стандартите за провеждане на обществени консултации на Мин</w:t>
      </w:r>
      <w:r w:rsidR="00A40DA9" w:rsidRPr="00610B1B">
        <w:rPr>
          <w:rFonts w:ascii="Times New Roman" w:eastAsia="Times New Roman" w:hAnsi="Times New Roman" w:cs="Times New Roman"/>
          <w:sz w:val="24"/>
          <w:szCs w:val="24"/>
          <w:lang w:val="bg-BG"/>
        </w:rPr>
        <w:t>и</w:t>
      </w:r>
      <w:r w:rsidRPr="00610B1B">
        <w:rPr>
          <w:rFonts w:ascii="Times New Roman" w:eastAsia="Times New Roman" w:hAnsi="Times New Roman" w:cs="Times New Roman"/>
          <w:sz w:val="24"/>
          <w:szCs w:val="24"/>
          <w:lang w:val="bg-BG"/>
        </w:rPr>
        <w:t>стерски съвет от 2009 г.</w:t>
      </w:r>
      <w:r w:rsidRPr="00610B1B">
        <w:rPr>
          <w:rStyle w:val="FootnoteReference"/>
          <w:rFonts w:ascii="Times New Roman" w:eastAsia="Times New Roman" w:hAnsi="Times New Roman" w:cs="Times New Roman"/>
          <w:sz w:val="24"/>
          <w:szCs w:val="24"/>
          <w:lang w:val="bg-BG"/>
        </w:rPr>
        <w:footnoteReference w:id="206"/>
      </w:r>
    </w:p>
    <w:p w14:paraId="279BEE8D" w14:textId="0E02BD59" w:rsidR="00B531D6" w:rsidRPr="00610B1B" w:rsidRDefault="00B531D6" w:rsidP="00D32D6A">
      <w:pPr>
        <w:widowControl w:val="0"/>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Пр</w:t>
      </w:r>
      <w:r w:rsidR="00A97477" w:rsidRPr="00610B1B">
        <w:rPr>
          <w:rFonts w:ascii="Times New Roman" w:eastAsia="Times New Roman" w:hAnsi="Times New Roman" w:cs="Times New Roman"/>
          <w:sz w:val="24"/>
          <w:szCs w:val="24"/>
          <w:lang w:val="bg-BG"/>
        </w:rPr>
        <w:t>и п</w:t>
      </w:r>
      <w:r w:rsidRPr="00610B1B">
        <w:rPr>
          <w:rFonts w:ascii="Times New Roman" w:eastAsia="Times New Roman" w:hAnsi="Times New Roman" w:cs="Times New Roman"/>
          <w:sz w:val="24"/>
          <w:szCs w:val="24"/>
          <w:lang w:val="bg-BG"/>
        </w:rPr>
        <w:t>овеждането на експертни и публични консултации с</w:t>
      </w:r>
      <w:r w:rsidR="00BB507E" w:rsidRPr="00610B1B">
        <w:rPr>
          <w:rFonts w:ascii="Times New Roman" w:eastAsia="Times New Roman" w:hAnsi="Times New Roman" w:cs="Times New Roman"/>
          <w:sz w:val="24"/>
          <w:szCs w:val="24"/>
          <w:lang w:val="bg-BG"/>
        </w:rPr>
        <w:t>а приложени</w:t>
      </w:r>
      <w:r w:rsidRPr="00610B1B">
        <w:rPr>
          <w:rFonts w:ascii="Times New Roman" w:eastAsia="Times New Roman" w:hAnsi="Times New Roman" w:cs="Times New Roman"/>
          <w:sz w:val="24"/>
          <w:szCs w:val="24"/>
          <w:lang w:val="bg-BG"/>
        </w:rPr>
        <w:t xml:space="preserve"> следните </w:t>
      </w:r>
      <w:r w:rsidRPr="00610B1B">
        <w:rPr>
          <w:rFonts w:ascii="Times New Roman" w:eastAsia="Times New Roman" w:hAnsi="Times New Roman" w:cs="Times New Roman"/>
          <w:b/>
          <w:bCs/>
          <w:sz w:val="24"/>
          <w:szCs w:val="24"/>
          <w:lang w:val="bg-BG"/>
        </w:rPr>
        <w:t>принципи</w:t>
      </w:r>
      <w:r w:rsidRPr="00610B1B">
        <w:rPr>
          <w:rFonts w:ascii="Times New Roman" w:eastAsia="Times New Roman" w:hAnsi="Times New Roman" w:cs="Times New Roman"/>
          <w:sz w:val="24"/>
          <w:szCs w:val="24"/>
          <w:lang w:val="bg-BG"/>
        </w:rPr>
        <w:t>:</w:t>
      </w:r>
    </w:p>
    <w:p w14:paraId="241B5B69" w14:textId="52EFBECC" w:rsidR="00B531D6" w:rsidRPr="00610B1B" w:rsidRDefault="00B531D6" w:rsidP="00566CC3">
      <w:pPr>
        <w:pStyle w:val="ListParagraph"/>
        <w:widowControl w:val="0"/>
        <w:numPr>
          <w:ilvl w:val="0"/>
          <w:numId w:val="61"/>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Отчетност и публичност</w:t>
      </w:r>
      <w:r w:rsidRPr="00610B1B">
        <w:rPr>
          <w:rFonts w:ascii="Times New Roman" w:eastAsia="Times New Roman" w:hAnsi="Times New Roman" w:cs="Times New Roman"/>
          <w:sz w:val="24"/>
          <w:szCs w:val="24"/>
          <w:lang w:val="bg-BG"/>
        </w:rPr>
        <w:t xml:space="preserve"> в дейността по изготвяне на МППРБ – създаване на условия за провеждане на дебат, предоставяне на балансирана и обективна информация и осигуряване на възможност гражданите да изразяват свои</w:t>
      </w:r>
      <w:r w:rsidR="00A97477" w:rsidRPr="00610B1B">
        <w:rPr>
          <w:rFonts w:ascii="Times New Roman" w:eastAsia="Times New Roman" w:hAnsi="Times New Roman" w:cs="Times New Roman"/>
          <w:sz w:val="24"/>
          <w:szCs w:val="24"/>
          <w:lang w:val="bg-BG"/>
        </w:rPr>
        <w:t>те</w:t>
      </w:r>
      <w:r w:rsidRPr="00610B1B">
        <w:rPr>
          <w:rFonts w:ascii="Times New Roman" w:eastAsia="Times New Roman" w:hAnsi="Times New Roman" w:cs="Times New Roman"/>
          <w:sz w:val="24"/>
          <w:szCs w:val="24"/>
          <w:lang w:val="bg-BG"/>
        </w:rPr>
        <w:t xml:space="preserve"> очаквания и предложения по основни теми;</w:t>
      </w:r>
    </w:p>
    <w:p w14:paraId="488E89DC" w14:textId="7FB3BAA7" w:rsidR="00B531D6" w:rsidRPr="00610B1B" w:rsidRDefault="00B531D6" w:rsidP="00566CC3">
      <w:pPr>
        <w:pStyle w:val="ListParagraph"/>
        <w:widowControl w:val="0"/>
        <w:numPr>
          <w:ilvl w:val="0"/>
          <w:numId w:val="61"/>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Защита на обществения интерес</w:t>
      </w:r>
      <w:r w:rsidRPr="00610B1B">
        <w:rPr>
          <w:rFonts w:ascii="Times New Roman" w:eastAsia="Times New Roman" w:hAnsi="Times New Roman" w:cs="Times New Roman"/>
          <w:sz w:val="24"/>
          <w:szCs w:val="24"/>
          <w:lang w:val="bg-BG"/>
        </w:rPr>
        <w:t>, без да се подценяват и пренебрегват частните интереси – изграждане на съпричастност сред населението и структурите на гражданското общество към проблемите на морск</w:t>
      </w:r>
      <w:r w:rsidR="0075098D" w:rsidRPr="00610B1B">
        <w:rPr>
          <w:rFonts w:ascii="Times New Roman" w:eastAsia="Times New Roman" w:hAnsi="Times New Roman" w:cs="Times New Roman"/>
          <w:sz w:val="24"/>
          <w:szCs w:val="24"/>
          <w:lang w:val="bg-BG"/>
        </w:rPr>
        <w:t>ите пространства</w:t>
      </w:r>
      <w:r w:rsidRPr="00610B1B">
        <w:rPr>
          <w:rFonts w:ascii="Times New Roman" w:eastAsia="Times New Roman" w:hAnsi="Times New Roman" w:cs="Times New Roman"/>
          <w:sz w:val="24"/>
          <w:szCs w:val="24"/>
          <w:lang w:val="bg-BG"/>
        </w:rPr>
        <w:t xml:space="preserve"> и крайбрежните зони и мотивирането им за участие в тяхното решаване;</w:t>
      </w:r>
    </w:p>
    <w:p w14:paraId="1F4B9809" w14:textId="2699D14A" w:rsidR="00B531D6" w:rsidRPr="00610B1B" w:rsidRDefault="00B531D6" w:rsidP="00566CC3">
      <w:pPr>
        <w:pStyle w:val="ListParagraph"/>
        <w:widowControl w:val="0"/>
        <w:numPr>
          <w:ilvl w:val="0"/>
          <w:numId w:val="61"/>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Прозрачност</w:t>
      </w:r>
      <w:r w:rsidRPr="00610B1B">
        <w:rPr>
          <w:rFonts w:ascii="Times New Roman" w:eastAsia="Times New Roman" w:hAnsi="Times New Roman" w:cs="Times New Roman"/>
          <w:sz w:val="24"/>
          <w:szCs w:val="24"/>
          <w:lang w:val="bg-BG"/>
        </w:rPr>
        <w:t xml:space="preserve"> – редовно информиране на обществеността </w:t>
      </w:r>
      <w:r w:rsidR="00A97477" w:rsidRPr="00610B1B">
        <w:rPr>
          <w:rFonts w:ascii="Times New Roman" w:eastAsia="Times New Roman" w:hAnsi="Times New Roman" w:cs="Times New Roman"/>
          <w:sz w:val="24"/>
          <w:szCs w:val="24"/>
          <w:lang w:val="bg-BG"/>
        </w:rPr>
        <w:t>за</w:t>
      </w:r>
      <w:r w:rsidRPr="00610B1B">
        <w:rPr>
          <w:rFonts w:ascii="Times New Roman" w:eastAsia="Times New Roman" w:hAnsi="Times New Roman" w:cs="Times New Roman"/>
          <w:sz w:val="24"/>
          <w:szCs w:val="24"/>
          <w:lang w:val="bg-BG"/>
        </w:rPr>
        <w:t xml:space="preserve"> напредъка в разработването на МППРБ и за предстоящи събития;</w:t>
      </w:r>
    </w:p>
    <w:p w14:paraId="32146650" w14:textId="4AA46A07" w:rsidR="00B531D6" w:rsidRPr="00610B1B" w:rsidRDefault="00B531D6" w:rsidP="00566CC3">
      <w:pPr>
        <w:pStyle w:val="ListParagraph"/>
        <w:widowControl w:val="0"/>
        <w:numPr>
          <w:ilvl w:val="0"/>
          <w:numId w:val="61"/>
        </w:numPr>
        <w:spacing w:after="120"/>
        <w:ind w:left="426"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Координация</w:t>
      </w:r>
      <w:r w:rsidRPr="00610B1B">
        <w:rPr>
          <w:rFonts w:ascii="Times New Roman" w:eastAsia="Times New Roman" w:hAnsi="Times New Roman" w:cs="Times New Roman"/>
          <w:sz w:val="24"/>
          <w:szCs w:val="24"/>
          <w:lang w:val="bg-BG"/>
        </w:rPr>
        <w:t xml:space="preserve"> с други стратегии, планове и програми, които се изпълняват в крайбрежната територия и акваторията на Черно море – Морска стратегия на Р. България, Национална концепция за пространствено развитие</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(Актуализация</w:t>
      </w:r>
      <w:r w:rsidR="00A97477" w:rsidRPr="00610B1B">
        <w:rPr>
          <w:rFonts w:ascii="Times New Roman" w:eastAsia="Times New Roman" w:hAnsi="Times New Roman" w:cs="Times New Roman"/>
          <w:sz w:val="24"/>
          <w:szCs w:val="24"/>
          <w:lang w:val="bg-BG"/>
        </w:rPr>
        <w:t xml:space="preserve"> 2019</w:t>
      </w:r>
      <w:r w:rsidRPr="00610B1B">
        <w:rPr>
          <w:rFonts w:ascii="Times New Roman" w:eastAsia="Times New Roman" w:hAnsi="Times New Roman" w:cs="Times New Roman"/>
          <w:sz w:val="24"/>
          <w:szCs w:val="24"/>
          <w:lang w:val="bg-BG"/>
        </w:rPr>
        <w:t>), Интегрирани териториални стратегии за развитие на СИР и ЮИР, Планове за интегрирано развитие и Общи устройствени планове на Черноморските общини, Интегрирани планове за градско възстановяване и развитие на Варна и Бургас, други проекти по различни оперативни програми.</w:t>
      </w:r>
    </w:p>
    <w:p w14:paraId="53A5EB1F" w14:textId="77777777" w:rsidR="00B531D6" w:rsidRPr="00610B1B" w:rsidRDefault="00B531D6" w:rsidP="00D32D6A">
      <w:pPr>
        <w:widowControl w:val="0"/>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i/>
          <w:sz w:val="24"/>
          <w:szCs w:val="24"/>
          <w:lang w:val="bg-BG"/>
        </w:rPr>
        <w:t>Приоритетите</w:t>
      </w:r>
      <w:r w:rsidRPr="00610B1B">
        <w:rPr>
          <w:rFonts w:ascii="Times New Roman" w:eastAsia="Times New Roman" w:hAnsi="Times New Roman" w:cs="Times New Roman"/>
          <w:sz w:val="24"/>
          <w:szCs w:val="24"/>
          <w:lang w:val="bg-BG"/>
        </w:rPr>
        <w:t xml:space="preserve"> в процеса на комуникация с различни публики и отговорни институции както по време на изготвянето на МППРБ, така и при неговото прилагане са:</w:t>
      </w:r>
    </w:p>
    <w:p w14:paraId="1F39D8DC" w14:textId="108321D9" w:rsidR="00B531D6" w:rsidRPr="00610B1B" w:rsidRDefault="00B531D6" w:rsidP="00566CC3">
      <w:pPr>
        <w:pStyle w:val="ListParagraph"/>
        <w:widowControl w:val="0"/>
        <w:numPr>
          <w:ilvl w:val="0"/>
          <w:numId w:val="62"/>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Повишаване информираността на гражданите за ролята на морското пространствено планиране за икономическия растеж, за опазването и ефективното и устойчиво ползване на морските ресурси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в цялостния процес за местно развитие;</w:t>
      </w:r>
    </w:p>
    <w:p w14:paraId="0941262C" w14:textId="77777777" w:rsidR="00B531D6" w:rsidRPr="00610B1B" w:rsidRDefault="00B531D6" w:rsidP="00566CC3">
      <w:pPr>
        <w:pStyle w:val="ListParagraph"/>
        <w:widowControl w:val="0"/>
        <w:numPr>
          <w:ilvl w:val="0"/>
          <w:numId w:val="62"/>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Изграждане на единен информационен стандарт в диалога между участниците в разработването и обсъждането на МППРБ и неговата ЕО, местната власт, структурите на гражданското общество и медиите и впоследствие при неговото прилагане, мониторинг и контрол;</w:t>
      </w:r>
    </w:p>
    <w:p w14:paraId="23622CF2" w14:textId="77777777" w:rsidR="00B531D6" w:rsidRPr="00610B1B" w:rsidRDefault="00B531D6" w:rsidP="00566CC3">
      <w:pPr>
        <w:pStyle w:val="ListParagraph"/>
        <w:widowControl w:val="0"/>
        <w:numPr>
          <w:ilvl w:val="0"/>
          <w:numId w:val="62"/>
        </w:numPr>
        <w:spacing w:after="80"/>
        <w:ind w:left="425" w:right="-153" w:hanging="357"/>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Формиране на реалистични обществени представи за ефективността, дейността и възможностите за създаване на устойчива морска среда в избраните зони за мултифункционално използване и трансгранично взаимодействие;</w:t>
      </w:r>
    </w:p>
    <w:p w14:paraId="0862F3EB" w14:textId="7E05E487" w:rsidR="00B531D6" w:rsidRPr="00610B1B" w:rsidRDefault="00B531D6" w:rsidP="00566CC3">
      <w:pPr>
        <w:pStyle w:val="ListParagraph"/>
        <w:widowControl w:val="0"/>
        <w:numPr>
          <w:ilvl w:val="0"/>
          <w:numId w:val="62"/>
        </w:numPr>
        <w:spacing w:after="120"/>
        <w:ind w:left="426" w:right="-153"/>
        <w:contextualSpacing w:val="0"/>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Развитие на институционалния, административния и експертния капацитет в областта на морското пространствено планиране, като част от дейността по прилагане на </w:t>
      </w:r>
      <w:r w:rsidRPr="00610B1B">
        <w:rPr>
          <w:rFonts w:ascii="Times New Roman" w:eastAsia="Times New Roman" w:hAnsi="Times New Roman" w:cs="Times New Roman"/>
          <w:sz w:val="24"/>
          <w:szCs w:val="24"/>
          <w:lang w:val="bg-BG"/>
        </w:rPr>
        <w:lastRenderedPageBreak/>
        <w:t>Интегрираната морска политика и изпълнението на МСРБ и МППРБ.</w:t>
      </w:r>
    </w:p>
    <w:p w14:paraId="57343418" w14:textId="3D259F33" w:rsidR="00B531D6" w:rsidRPr="00610B1B" w:rsidRDefault="00B531D6" w:rsidP="00566CC3">
      <w:pPr>
        <w:widowControl w:val="0"/>
        <w:spacing w:after="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Тези приоритети са залегнали и в Специфичните цели на плана и мерките за тяхното постигане. </w:t>
      </w:r>
    </w:p>
    <w:p w14:paraId="67592E8F" w14:textId="5C43731F" w:rsidR="004E4CAD" w:rsidRPr="00610B1B" w:rsidRDefault="004E4CAD" w:rsidP="00566CC3">
      <w:pPr>
        <w:widowControl w:val="0"/>
        <w:spacing w:after="0" w:line="240" w:lineRule="auto"/>
        <w:ind w:right="-153"/>
        <w:jc w:val="both"/>
        <w:rPr>
          <w:rFonts w:ascii="Times New Roman" w:eastAsia="Times New Roman" w:hAnsi="Times New Roman" w:cs="Times New Roman"/>
          <w:sz w:val="24"/>
          <w:szCs w:val="24"/>
          <w:lang w:val="bg-BG"/>
        </w:rPr>
      </w:pPr>
    </w:p>
    <w:p w14:paraId="2743C36C" w14:textId="6F78A97A" w:rsidR="00C10582" w:rsidRPr="00610B1B" w:rsidRDefault="0061403C" w:rsidP="00D32D6A">
      <w:pPr>
        <w:pStyle w:val="Heading2"/>
        <w:spacing w:before="0" w:line="276" w:lineRule="auto"/>
        <w:ind w:right="-153"/>
        <w:rPr>
          <w:rFonts w:cs="Times New Roman"/>
        </w:rPr>
      </w:pPr>
      <w:bookmarkStart w:id="515" w:name="_Toc83391447"/>
      <w:r w:rsidRPr="00610B1B">
        <w:rPr>
          <w:rFonts w:cs="Times New Roman"/>
        </w:rPr>
        <w:t>8</w:t>
      </w:r>
      <w:r w:rsidR="00C10582" w:rsidRPr="00610B1B">
        <w:rPr>
          <w:rFonts w:cs="Times New Roman"/>
        </w:rPr>
        <w:t xml:space="preserve">.1. </w:t>
      </w:r>
      <w:r w:rsidR="00F36594" w:rsidRPr="00610B1B">
        <w:rPr>
          <w:rFonts w:cs="Times New Roman"/>
        </w:rPr>
        <w:t>Идентифициране на заинтересованите страни</w:t>
      </w:r>
      <w:bookmarkEnd w:id="515"/>
    </w:p>
    <w:bookmarkEnd w:id="514"/>
    <w:p w14:paraId="1AD8E35F" w14:textId="34F69CB2" w:rsidR="00BD5690" w:rsidRPr="00610B1B" w:rsidRDefault="006F3A6E" w:rsidP="00566CC3">
      <w:pPr>
        <w:pStyle w:val="BodyText"/>
        <w:spacing w:before="0" w:after="80" w:line="276" w:lineRule="auto"/>
        <w:ind w:right="-153"/>
        <w:rPr>
          <w:rFonts w:cs="Times New Roman"/>
        </w:rPr>
      </w:pPr>
      <w:r w:rsidRPr="00610B1B">
        <w:rPr>
          <w:rFonts w:cs="Times New Roman"/>
        </w:rPr>
        <w:t>За да се осигури консултиране с възможно най-широк кръг заинтересовани страни при равнопоставеност и ясно представителство по време на целия процес на разработване на МППРБ, идентифицираните групи са консултирани с Министерството на регионалното развитие и благоустройството на най-ранен етап от работата.</w:t>
      </w:r>
      <w:r w:rsidR="00790F3C" w:rsidRPr="00610B1B">
        <w:rPr>
          <w:rFonts w:cs="Times New Roman"/>
        </w:rPr>
        <w:t xml:space="preserve"> </w:t>
      </w:r>
      <w:r w:rsidR="004724AF" w:rsidRPr="00610B1B">
        <w:rPr>
          <w:rFonts w:cs="Times New Roman"/>
        </w:rPr>
        <w:t xml:space="preserve">Техният </w:t>
      </w:r>
      <w:r w:rsidR="00BD5690" w:rsidRPr="00610B1B">
        <w:rPr>
          <w:rFonts w:cs="Times New Roman"/>
        </w:rPr>
        <w:t xml:space="preserve">подбор </w:t>
      </w:r>
      <w:r w:rsidR="004724AF" w:rsidRPr="00610B1B">
        <w:rPr>
          <w:rFonts w:cs="Times New Roman"/>
        </w:rPr>
        <w:t>следва Стъпка 2 от Стандартите на Министерски съвет за провеждане на обществени консултации (2009 г.) и са приложени най-важните принципи:</w:t>
      </w:r>
    </w:p>
    <w:p w14:paraId="5FB85F64" w14:textId="368509C4" w:rsidR="004724AF" w:rsidRPr="00610B1B" w:rsidRDefault="00566CC3" w:rsidP="00566CC3">
      <w:pPr>
        <w:pStyle w:val="BodyText"/>
        <w:numPr>
          <w:ilvl w:val="0"/>
          <w:numId w:val="84"/>
        </w:numPr>
        <w:spacing w:before="0" w:after="80" w:line="276" w:lineRule="auto"/>
        <w:ind w:left="425" w:right="-153" w:hanging="357"/>
        <w:rPr>
          <w:rFonts w:cs="Times New Roman"/>
        </w:rPr>
      </w:pPr>
      <w:r w:rsidRPr="00610B1B">
        <w:rPr>
          <w:rFonts w:cs="Times New Roman"/>
        </w:rPr>
        <w:t xml:space="preserve">Ясно </w:t>
      </w:r>
      <w:r w:rsidR="004724AF" w:rsidRPr="00610B1B">
        <w:rPr>
          <w:rFonts w:cs="Times New Roman"/>
        </w:rPr>
        <w:t>представителство на заинтересованите страни от трите групи – носителите на информация, управляващи процесите на прилагането на плана и тези, чиито интереси са най-силно засегнати от прилагането на плана.</w:t>
      </w:r>
    </w:p>
    <w:p w14:paraId="40908F9A" w14:textId="797E8E7A" w:rsidR="004724AF" w:rsidRPr="00610B1B" w:rsidRDefault="00566CC3" w:rsidP="00566CC3">
      <w:pPr>
        <w:pStyle w:val="BodyText"/>
        <w:numPr>
          <w:ilvl w:val="0"/>
          <w:numId w:val="84"/>
        </w:numPr>
        <w:spacing w:before="0" w:after="80" w:line="276" w:lineRule="auto"/>
        <w:ind w:left="425" w:right="-153" w:hanging="357"/>
        <w:rPr>
          <w:rFonts w:cs="Times New Roman"/>
        </w:rPr>
      </w:pPr>
      <w:r w:rsidRPr="00610B1B">
        <w:rPr>
          <w:rFonts w:cs="Times New Roman"/>
        </w:rPr>
        <w:t xml:space="preserve">Покриване </w:t>
      </w:r>
      <w:r w:rsidR="004724AF" w:rsidRPr="00610B1B">
        <w:rPr>
          <w:rFonts w:cs="Times New Roman"/>
        </w:rPr>
        <w:t>на многообразието от интереси, гледни точки и очаквания от разработването и прилагането на морския пространствен план.</w:t>
      </w:r>
    </w:p>
    <w:p w14:paraId="6AF2F95A" w14:textId="5F1C8F87" w:rsidR="004724AF" w:rsidRPr="00610B1B" w:rsidRDefault="00566CC3" w:rsidP="00566CC3">
      <w:pPr>
        <w:pStyle w:val="BodyText"/>
        <w:numPr>
          <w:ilvl w:val="0"/>
          <w:numId w:val="84"/>
        </w:numPr>
        <w:spacing w:before="0" w:after="80" w:line="276" w:lineRule="auto"/>
        <w:ind w:left="425" w:right="-153" w:hanging="357"/>
        <w:rPr>
          <w:rFonts w:cs="Times New Roman"/>
        </w:rPr>
      </w:pPr>
      <w:r w:rsidRPr="00610B1B">
        <w:rPr>
          <w:rFonts w:cs="Times New Roman"/>
        </w:rPr>
        <w:t xml:space="preserve">Баланс </w:t>
      </w:r>
      <w:r w:rsidR="004724AF" w:rsidRPr="00610B1B">
        <w:rPr>
          <w:rFonts w:cs="Times New Roman"/>
        </w:rPr>
        <w:t xml:space="preserve">между </w:t>
      </w:r>
      <w:r w:rsidR="00A37913" w:rsidRPr="00610B1B">
        <w:rPr>
          <w:rFonts w:cs="Times New Roman"/>
        </w:rPr>
        <w:t>икономически и екологични интереси, политики, приоритети и цели.</w:t>
      </w:r>
    </w:p>
    <w:p w14:paraId="27FE79B6" w14:textId="5777293E" w:rsidR="00A37913" w:rsidRPr="00610B1B" w:rsidRDefault="00566CC3" w:rsidP="00566CC3">
      <w:pPr>
        <w:pStyle w:val="BodyText"/>
        <w:numPr>
          <w:ilvl w:val="0"/>
          <w:numId w:val="84"/>
        </w:numPr>
        <w:spacing w:before="0" w:after="120" w:line="276" w:lineRule="auto"/>
        <w:ind w:left="426" w:right="-153"/>
        <w:rPr>
          <w:rFonts w:cs="Times New Roman"/>
        </w:rPr>
      </w:pPr>
      <w:r w:rsidRPr="00610B1B">
        <w:rPr>
          <w:rFonts w:cs="Times New Roman"/>
        </w:rPr>
        <w:t xml:space="preserve">Обхващане </w:t>
      </w:r>
      <w:r w:rsidR="00C70A89" w:rsidRPr="00610B1B">
        <w:rPr>
          <w:rFonts w:cs="Times New Roman"/>
        </w:rPr>
        <w:t>на</w:t>
      </w:r>
      <w:r w:rsidR="00A37913" w:rsidRPr="00610B1B">
        <w:rPr>
          <w:rFonts w:cs="Times New Roman"/>
        </w:rPr>
        <w:t xml:space="preserve"> представители с разнообразен опит, компетентност и знания, и със специфичен </w:t>
      </w:r>
      <w:r w:rsidR="00C70A89" w:rsidRPr="00610B1B">
        <w:rPr>
          <w:rFonts w:cs="Times New Roman"/>
        </w:rPr>
        <w:t xml:space="preserve">предишен </w:t>
      </w:r>
      <w:r w:rsidR="00A37913" w:rsidRPr="00610B1B">
        <w:rPr>
          <w:rFonts w:cs="Times New Roman"/>
        </w:rPr>
        <w:t xml:space="preserve">опит </w:t>
      </w:r>
      <w:r w:rsidR="00C70A89" w:rsidRPr="00610B1B">
        <w:rPr>
          <w:rFonts w:cs="Times New Roman"/>
        </w:rPr>
        <w:t xml:space="preserve">от участие в </w:t>
      </w:r>
      <w:r w:rsidR="00ED0123" w:rsidRPr="00610B1B">
        <w:rPr>
          <w:rFonts w:cs="Times New Roman"/>
        </w:rPr>
        <w:t>публични</w:t>
      </w:r>
      <w:r w:rsidR="00C70A89" w:rsidRPr="00610B1B">
        <w:rPr>
          <w:rFonts w:cs="Times New Roman"/>
        </w:rPr>
        <w:t xml:space="preserve"> консултации.</w:t>
      </w:r>
    </w:p>
    <w:p w14:paraId="093526BC" w14:textId="5575A2E2" w:rsidR="0041129F" w:rsidRPr="00610B1B" w:rsidRDefault="0041129F"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Идентифицираните з</w:t>
      </w:r>
      <w:r w:rsidRPr="00610B1B">
        <w:rPr>
          <w:rFonts w:ascii="Times New Roman" w:eastAsia="Times New Roman" w:hAnsi="Times New Roman" w:cs="Times New Roman"/>
          <w:spacing w:val="-2"/>
          <w:sz w:val="24"/>
          <w:szCs w:val="24"/>
          <w:lang w:val="bg-BG" w:eastAsia="bg-BG"/>
        </w:rPr>
        <w:t>а</w:t>
      </w:r>
      <w:r w:rsidRPr="00610B1B">
        <w:rPr>
          <w:rFonts w:ascii="Times New Roman" w:eastAsia="Times New Roman" w:hAnsi="Times New Roman" w:cs="Times New Roman"/>
          <w:sz w:val="24"/>
          <w:szCs w:val="24"/>
          <w:lang w:val="bg-BG" w:eastAsia="bg-BG"/>
        </w:rPr>
        <w:t>инт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р</w:t>
      </w:r>
      <w:r w:rsidRPr="00610B1B">
        <w:rPr>
          <w:rFonts w:ascii="Times New Roman" w:eastAsia="Times New Roman" w:hAnsi="Times New Roman" w:cs="Times New Roman"/>
          <w:spacing w:val="-1"/>
          <w:sz w:val="24"/>
          <w:szCs w:val="24"/>
          <w:lang w:val="bg-BG" w:eastAsia="bg-BG"/>
        </w:rPr>
        <w:t>ес</w:t>
      </w:r>
      <w:r w:rsidRPr="00610B1B">
        <w:rPr>
          <w:rFonts w:ascii="Times New Roman" w:eastAsia="Times New Roman" w:hAnsi="Times New Roman" w:cs="Times New Roman"/>
          <w:sz w:val="24"/>
          <w:szCs w:val="24"/>
          <w:lang w:val="bg-BG" w:eastAsia="bg-BG"/>
        </w:rPr>
        <w:t>ов</w:t>
      </w:r>
      <w:r w:rsidRPr="00610B1B">
        <w:rPr>
          <w:rFonts w:ascii="Times New Roman" w:eastAsia="Times New Roman" w:hAnsi="Times New Roman" w:cs="Times New Roman"/>
          <w:spacing w:val="-2"/>
          <w:sz w:val="24"/>
          <w:szCs w:val="24"/>
          <w:lang w:val="bg-BG" w:eastAsia="bg-BG"/>
        </w:rPr>
        <w:t>а</w:t>
      </w:r>
      <w:r w:rsidRPr="00610B1B">
        <w:rPr>
          <w:rFonts w:ascii="Times New Roman" w:eastAsia="Times New Roman" w:hAnsi="Times New Roman" w:cs="Times New Roman"/>
          <w:sz w:val="24"/>
          <w:szCs w:val="24"/>
          <w:lang w:val="bg-BG" w:eastAsia="bg-BG"/>
        </w:rPr>
        <w:t>ни</w:t>
      </w:r>
      <w:r w:rsidRPr="00610B1B">
        <w:rPr>
          <w:rFonts w:ascii="Times New Roman" w:eastAsia="Times New Roman" w:hAnsi="Times New Roman" w:cs="Times New Roman"/>
          <w:spacing w:val="3"/>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тр</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ни</w:t>
      </w:r>
      <w:r w:rsidRPr="00610B1B">
        <w:rPr>
          <w:rFonts w:ascii="Times New Roman" w:eastAsia="Times New Roman" w:hAnsi="Times New Roman" w:cs="Times New Roman"/>
          <w:spacing w:val="3"/>
          <w:sz w:val="24"/>
          <w:szCs w:val="24"/>
          <w:lang w:val="bg-BG" w:eastAsia="bg-BG"/>
        </w:rPr>
        <w:t xml:space="preserve"> </w:t>
      </w:r>
      <w:r w:rsidRPr="00610B1B">
        <w:rPr>
          <w:rFonts w:ascii="Times New Roman" w:eastAsia="Times New Roman" w:hAnsi="Times New Roman" w:cs="Times New Roman"/>
          <w:sz w:val="24"/>
          <w:szCs w:val="24"/>
          <w:lang w:val="bg-BG" w:eastAsia="bg-BG"/>
        </w:rPr>
        <w:t>в</w:t>
      </w:r>
      <w:r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z w:val="24"/>
          <w:szCs w:val="24"/>
          <w:lang w:val="bg-BG" w:eastAsia="bg-BG"/>
        </w:rPr>
        <w:t>проц</w:t>
      </w:r>
      <w:r w:rsidRPr="00610B1B">
        <w:rPr>
          <w:rFonts w:ascii="Times New Roman" w:eastAsia="Times New Roman" w:hAnsi="Times New Roman" w:cs="Times New Roman"/>
          <w:spacing w:val="-1"/>
          <w:sz w:val="24"/>
          <w:szCs w:val="24"/>
          <w:lang w:val="bg-BG" w:eastAsia="bg-BG"/>
        </w:rPr>
        <w:t>ес</w:t>
      </w:r>
      <w:r w:rsidRPr="00610B1B">
        <w:rPr>
          <w:rFonts w:ascii="Times New Roman" w:eastAsia="Times New Roman" w:hAnsi="Times New Roman" w:cs="Times New Roman"/>
          <w:sz w:val="24"/>
          <w:szCs w:val="24"/>
          <w:lang w:val="bg-BG" w:eastAsia="bg-BG"/>
        </w:rPr>
        <w:t>а</w:t>
      </w:r>
      <w:r w:rsidRPr="00610B1B">
        <w:rPr>
          <w:rFonts w:ascii="Times New Roman" w:eastAsia="Times New Roman" w:hAnsi="Times New Roman" w:cs="Times New Roman"/>
          <w:spacing w:val="58"/>
          <w:sz w:val="24"/>
          <w:szCs w:val="24"/>
          <w:lang w:val="bg-BG" w:eastAsia="bg-BG"/>
        </w:rPr>
        <w:t xml:space="preserve"> </w:t>
      </w:r>
      <w:r w:rsidRPr="00610B1B">
        <w:rPr>
          <w:rFonts w:ascii="Times New Roman" w:eastAsia="Times New Roman" w:hAnsi="Times New Roman" w:cs="Times New Roman"/>
          <w:sz w:val="24"/>
          <w:szCs w:val="24"/>
          <w:lang w:val="bg-BG" w:eastAsia="bg-BG"/>
        </w:rPr>
        <w:t>на</w:t>
      </w:r>
      <w:r w:rsidRPr="00610B1B">
        <w:rPr>
          <w:rFonts w:ascii="Times New Roman" w:eastAsia="Times New Roman" w:hAnsi="Times New Roman" w:cs="Times New Roman"/>
          <w:spacing w:val="58"/>
          <w:sz w:val="24"/>
          <w:szCs w:val="24"/>
          <w:lang w:val="bg-BG" w:eastAsia="bg-BG"/>
        </w:rPr>
        <w:t xml:space="preserve"> </w:t>
      </w:r>
      <w:r w:rsidRPr="00610B1B">
        <w:rPr>
          <w:rFonts w:ascii="Times New Roman" w:eastAsia="Times New Roman" w:hAnsi="Times New Roman" w:cs="Times New Roman"/>
          <w:sz w:val="24"/>
          <w:szCs w:val="24"/>
          <w:lang w:val="bg-BG" w:eastAsia="bg-BG"/>
        </w:rPr>
        <w:t>изготвяне</w:t>
      </w:r>
      <w:r w:rsidRPr="00610B1B">
        <w:rPr>
          <w:rFonts w:ascii="Times New Roman" w:eastAsia="Times New Roman" w:hAnsi="Times New Roman" w:cs="Times New Roman"/>
          <w:spacing w:val="58"/>
          <w:sz w:val="24"/>
          <w:szCs w:val="24"/>
          <w:lang w:val="bg-BG" w:eastAsia="bg-BG"/>
        </w:rPr>
        <w:t xml:space="preserve"> </w:t>
      </w:r>
      <w:r w:rsidRPr="00610B1B">
        <w:rPr>
          <w:rFonts w:ascii="Times New Roman" w:eastAsia="Times New Roman" w:hAnsi="Times New Roman" w:cs="Times New Roman"/>
          <w:sz w:val="24"/>
          <w:szCs w:val="24"/>
          <w:lang w:val="bg-BG" w:eastAsia="bg-BG"/>
        </w:rPr>
        <w:t>на</w:t>
      </w:r>
      <w:r w:rsidRPr="00610B1B">
        <w:rPr>
          <w:rFonts w:ascii="Times New Roman" w:eastAsia="Times New Roman" w:hAnsi="Times New Roman" w:cs="Times New Roman"/>
          <w:spacing w:val="58"/>
          <w:sz w:val="24"/>
          <w:szCs w:val="24"/>
          <w:lang w:val="bg-BG" w:eastAsia="bg-BG"/>
        </w:rPr>
        <w:t xml:space="preserve"> </w:t>
      </w:r>
      <w:r w:rsidRPr="00610B1B">
        <w:rPr>
          <w:rFonts w:ascii="Times New Roman" w:eastAsia="Times New Roman" w:hAnsi="Times New Roman" w:cs="Times New Roman"/>
          <w:sz w:val="24"/>
          <w:szCs w:val="24"/>
          <w:lang w:val="bg-BG" w:eastAsia="bg-BG"/>
        </w:rPr>
        <w:t>Морския пространствен план на Република България</w:t>
      </w:r>
      <w:r w:rsidRPr="00610B1B">
        <w:rPr>
          <w:rFonts w:ascii="Times New Roman" w:eastAsia="Times New Roman" w:hAnsi="Times New Roman" w:cs="Times New Roman"/>
          <w:spacing w:val="26"/>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а</w:t>
      </w:r>
      <w:r w:rsidRPr="00610B1B">
        <w:rPr>
          <w:rFonts w:ascii="Times New Roman" w:eastAsia="Times New Roman" w:hAnsi="Times New Roman" w:cs="Times New Roman"/>
          <w:spacing w:val="25"/>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м</w:t>
      </w:r>
      <w:r w:rsidRPr="00610B1B">
        <w:rPr>
          <w:rFonts w:ascii="Times New Roman" w:eastAsia="Times New Roman" w:hAnsi="Times New Roman" w:cs="Times New Roman"/>
          <w:sz w:val="24"/>
          <w:szCs w:val="24"/>
          <w:lang w:val="bg-BG" w:eastAsia="bg-BG"/>
        </w:rPr>
        <w:t>ини</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р</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тв</w:t>
      </w:r>
      <w:r w:rsidRPr="00610B1B">
        <w:rPr>
          <w:rFonts w:ascii="Times New Roman" w:eastAsia="Times New Roman" w:hAnsi="Times New Roman" w:cs="Times New Roman"/>
          <w:spacing w:val="-2"/>
          <w:sz w:val="24"/>
          <w:szCs w:val="24"/>
          <w:lang w:val="bg-BG" w:eastAsia="bg-BG"/>
        </w:rPr>
        <w:t>а</w:t>
      </w:r>
      <w:r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pacing w:val="26"/>
          <w:sz w:val="24"/>
          <w:szCs w:val="24"/>
          <w:lang w:val="bg-BG" w:eastAsia="bg-BG"/>
        </w:rPr>
        <w:t xml:space="preserve"> </w:t>
      </w:r>
      <w:r w:rsidRPr="00610B1B">
        <w:rPr>
          <w:rFonts w:ascii="Times New Roman" w:eastAsia="Times New Roman" w:hAnsi="Times New Roman" w:cs="Times New Roman"/>
          <w:sz w:val="24"/>
          <w:szCs w:val="24"/>
          <w:lang w:val="bg-BG" w:eastAsia="bg-BG"/>
        </w:rPr>
        <w:t>държ</w:t>
      </w:r>
      <w:r w:rsidRPr="00610B1B">
        <w:rPr>
          <w:rFonts w:ascii="Times New Roman" w:eastAsia="Times New Roman" w:hAnsi="Times New Roman" w:cs="Times New Roman"/>
          <w:spacing w:val="-2"/>
          <w:sz w:val="24"/>
          <w:szCs w:val="24"/>
          <w:lang w:val="bg-BG" w:eastAsia="bg-BG"/>
        </w:rPr>
        <w:t>а</w:t>
      </w:r>
      <w:r w:rsidRPr="00610B1B">
        <w:rPr>
          <w:rFonts w:ascii="Times New Roman" w:eastAsia="Times New Roman" w:hAnsi="Times New Roman" w:cs="Times New Roman"/>
          <w:sz w:val="24"/>
          <w:szCs w:val="24"/>
          <w:lang w:val="bg-BG" w:eastAsia="bg-BG"/>
        </w:rPr>
        <w:t>вни</w:t>
      </w:r>
      <w:r w:rsidRPr="00610B1B">
        <w:rPr>
          <w:rFonts w:ascii="Times New Roman" w:eastAsia="Times New Roman" w:hAnsi="Times New Roman" w:cs="Times New Roman"/>
          <w:spacing w:val="24"/>
          <w:sz w:val="24"/>
          <w:szCs w:val="24"/>
          <w:lang w:val="bg-BG" w:eastAsia="bg-BG"/>
        </w:rPr>
        <w:t xml:space="preserve"> </w:t>
      </w:r>
      <w:r w:rsidRPr="00610B1B">
        <w:rPr>
          <w:rFonts w:ascii="Times New Roman" w:eastAsia="Times New Roman" w:hAnsi="Times New Roman" w:cs="Times New Roman"/>
          <w:sz w:val="24"/>
          <w:szCs w:val="24"/>
          <w:lang w:val="bg-BG" w:eastAsia="bg-BG"/>
        </w:rPr>
        <w:t>и изпълнит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н</w:t>
      </w:r>
      <w:r w:rsidRPr="00610B1B">
        <w:rPr>
          <w:rFonts w:ascii="Times New Roman" w:eastAsia="Times New Roman" w:hAnsi="Times New Roman" w:cs="Times New Roman"/>
          <w:sz w:val="24"/>
          <w:szCs w:val="24"/>
          <w:lang w:val="bg-BG" w:eastAsia="bg-BG"/>
        </w:rPr>
        <w:t>и</w:t>
      </w:r>
      <w:r w:rsidRPr="00610B1B">
        <w:rPr>
          <w:rFonts w:ascii="Times New Roman" w:eastAsia="Times New Roman" w:hAnsi="Times New Roman" w:cs="Times New Roman"/>
          <w:spacing w:val="34"/>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г</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нции</w:t>
      </w:r>
      <w:r w:rsidRPr="00610B1B">
        <w:rPr>
          <w:rFonts w:ascii="Times New Roman" w:eastAsia="Times New Roman" w:hAnsi="Times New Roman" w:cs="Times New Roman"/>
          <w:spacing w:val="34"/>
          <w:sz w:val="24"/>
          <w:szCs w:val="24"/>
          <w:lang w:val="bg-BG" w:eastAsia="bg-BG"/>
        </w:rPr>
        <w:t xml:space="preserve"> </w:t>
      </w:r>
      <w:r w:rsidRPr="00610B1B">
        <w:rPr>
          <w:rFonts w:ascii="Times New Roman" w:eastAsia="Times New Roman" w:hAnsi="Times New Roman" w:cs="Times New Roman"/>
          <w:sz w:val="24"/>
          <w:szCs w:val="24"/>
          <w:lang w:val="bg-BG" w:eastAsia="bg-BG"/>
        </w:rPr>
        <w:t>или</w:t>
      </w:r>
      <w:r w:rsidRPr="00610B1B">
        <w:rPr>
          <w:rFonts w:ascii="Times New Roman" w:eastAsia="Times New Roman" w:hAnsi="Times New Roman" w:cs="Times New Roman"/>
          <w:spacing w:val="34"/>
          <w:sz w:val="24"/>
          <w:szCs w:val="24"/>
          <w:lang w:val="bg-BG" w:eastAsia="bg-BG"/>
        </w:rPr>
        <w:t xml:space="preserve"> </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pacing w:val="2"/>
          <w:sz w:val="24"/>
          <w:szCs w:val="24"/>
          <w:lang w:val="bg-BG" w:eastAsia="bg-BG"/>
        </w:rPr>
        <w:t>х</w:t>
      </w:r>
      <w:r w:rsidRPr="00610B1B">
        <w:rPr>
          <w:rFonts w:ascii="Times New Roman" w:eastAsia="Times New Roman" w:hAnsi="Times New Roman" w:cs="Times New Roman"/>
          <w:sz w:val="24"/>
          <w:szCs w:val="24"/>
          <w:lang w:val="bg-BG" w:eastAsia="bg-BG"/>
        </w:rPr>
        <w:t>ни</w:t>
      </w:r>
      <w:r w:rsidRPr="00610B1B">
        <w:rPr>
          <w:rFonts w:ascii="Times New Roman" w:eastAsia="Times New Roman" w:hAnsi="Times New Roman" w:cs="Times New Roman"/>
          <w:spacing w:val="34"/>
          <w:sz w:val="24"/>
          <w:szCs w:val="24"/>
          <w:lang w:val="bg-BG" w:eastAsia="bg-BG"/>
        </w:rPr>
        <w:t xml:space="preserve"> </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ритори</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н</w:t>
      </w:r>
      <w:r w:rsidRPr="00610B1B">
        <w:rPr>
          <w:rFonts w:ascii="Times New Roman" w:eastAsia="Times New Roman" w:hAnsi="Times New Roman" w:cs="Times New Roman"/>
          <w:sz w:val="24"/>
          <w:szCs w:val="24"/>
          <w:lang w:val="bg-BG" w:eastAsia="bg-BG"/>
        </w:rPr>
        <w:t>и</w:t>
      </w:r>
      <w:r w:rsidRPr="00610B1B">
        <w:rPr>
          <w:rFonts w:ascii="Times New Roman" w:eastAsia="Times New Roman" w:hAnsi="Times New Roman" w:cs="Times New Roman"/>
          <w:spacing w:val="31"/>
          <w:sz w:val="24"/>
          <w:szCs w:val="24"/>
          <w:lang w:val="bg-BG" w:eastAsia="bg-BG"/>
        </w:rPr>
        <w:t xml:space="preserve"> </w:t>
      </w:r>
      <w:r w:rsidRPr="00610B1B">
        <w:rPr>
          <w:rFonts w:ascii="Times New Roman" w:eastAsia="Times New Roman" w:hAnsi="Times New Roman" w:cs="Times New Roman"/>
          <w:sz w:val="24"/>
          <w:szCs w:val="24"/>
          <w:lang w:val="bg-BG" w:eastAsia="bg-BG"/>
        </w:rPr>
        <w:t>зв</w:t>
      </w:r>
      <w:r w:rsidRPr="00610B1B">
        <w:rPr>
          <w:rFonts w:ascii="Times New Roman" w:eastAsia="Times New Roman" w:hAnsi="Times New Roman" w:cs="Times New Roman"/>
          <w:spacing w:val="-2"/>
          <w:sz w:val="24"/>
          <w:szCs w:val="24"/>
          <w:lang w:val="bg-BG" w:eastAsia="bg-BG"/>
        </w:rPr>
        <w:t>е</w:t>
      </w:r>
      <w:r w:rsidRPr="00610B1B">
        <w:rPr>
          <w:rFonts w:ascii="Times New Roman" w:eastAsia="Times New Roman" w:hAnsi="Times New Roman" w:cs="Times New Roman"/>
          <w:sz w:val="24"/>
          <w:szCs w:val="24"/>
          <w:lang w:val="bg-BG" w:eastAsia="bg-BG"/>
        </w:rPr>
        <w:t>н</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w:t>
      </w:r>
      <w:r w:rsidRPr="00610B1B">
        <w:rPr>
          <w:rFonts w:ascii="Times New Roman" w:eastAsia="Times New Roman" w:hAnsi="Times New Roman" w:cs="Times New Roman"/>
          <w:spacing w:val="30"/>
          <w:sz w:val="24"/>
          <w:szCs w:val="24"/>
          <w:lang w:val="bg-BG" w:eastAsia="bg-BG"/>
        </w:rPr>
        <w:t xml:space="preserve"> </w:t>
      </w:r>
      <w:r w:rsidRPr="00610B1B">
        <w:rPr>
          <w:rFonts w:ascii="Times New Roman" w:eastAsia="Times New Roman" w:hAnsi="Times New Roman" w:cs="Times New Roman"/>
          <w:sz w:val="24"/>
          <w:szCs w:val="24"/>
          <w:lang w:val="bg-BG" w:eastAsia="bg-BG"/>
        </w:rPr>
        <w:t>обла</w:t>
      </w:r>
      <w:r w:rsidRPr="00610B1B">
        <w:rPr>
          <w:rFonts w:ascii="Times New Roman" w:eastAsia="Times New Roman" w:hAnsi="Times New Roman" w:cs="Times New Roman"/>
          <w:spacing w:val="-2"/>
          <w:sz w:val="24"/>
          <w:szCs w:val="24"/>
          <w:lang w:val="bg-BG" w:eastAsia="bg-BG"/>
        </w:rPr>
        <w:t>с</w:t>
      </w:r>
      <w:r w:rsidRPr="00610B1B">
        <w:rPr>
          <w:rFonts w:ascii="Times New Roman" w:eastAsia="Times New Roman" w:hAnsi="Times New Roman" w:cs="Times New Roman"/>
          <w:sz w:val="24"/>
          <w:szCs w:val="24"/>
          <w:lang w:val="bg-BG" w:eastAsia="bg-BG"/>
        </w:rPr>
        <w:t>тни</w:t>
      </w:r>
      <w:r w:rsidRPr="00610B1B">
        <w:rPr>
          <w:rFonts w:ascii="Times New Roman" w:eastAsia="Times New Roman" w:hAnsi="Times New Roman" w:cs="Times New Roman"/>
          <w:spacing w:val="31"/>
          <w:sz w:val="24"/>
          <w:szCs w:val="24"/>
          <w:lang w:val="bg-BG" w:eastAsia="bg-BG"/>
        </w:rPr>
        <w:t xml:space="preserve"> </w:t>
      </w:r>
      <w:r w:rsidRPr="00610B1B">
        <w:rPr>
          <w:rFonts w:ascii="Times New Roman" w:eastAsia="Times New Roman" w:hAnsi="Times New Roman" w:cs="Times New Roman"/>
          <w:spacing w:val="-8"/>
          <w:sz w:val="24"/>
          <w:szCs w:val="24"/>
          <w:lang w:val="bg-BG" w:eastAsia="bg-BG"/>
        </w:rPr>
        <w:t>у</w:t>
      </w:r>
      <w:r w:rsidRPr="00610B1B">
        <w:rPr>
          <w:rFonts w:ascii="Times New Roman" w:eastAsia="Times New Roman" w:hAnsi="Times New Roman" w:cs="Times New Roman"/>
          <w:sz w:val="24"/>
          <w:szCs w:val="24"/>
          <w:lang w:val="bg-BG" w:eastAsia="bg-BG"/>
        </w:rPr>
        <w:t>пр</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вит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ли</w:t>
      </w:r>
      <w:r w:rsidRPr="00610B1B">
        <w:rPr>
          <w:rFonts w:ascii="Times New Roman" w:eastAsia="Times New Roman" w:hAnsi="Times New Roman" w:cs="Times New Roman"/>
          <w:spacing w:val="32"/>
          <w:sz w:val="24"/>
          <w:szCs w:val="24"/>
          <w:lang w:val="bg-BG" w:eastAsia="bg-BG"/>
        </w:rPr>
        <w:t xml:space="preserve"> </w:t>
      </w:r>
      <w:r w:rsidRPr="00610B1B">
        <w:rPr>
          <w:rFonts w:ascii="Times New Roman" w:eastAsia="Times New Roman" w:hAnsi="Times New Roman" w:cs="Times New Roman"/>
          <w:sz w:val="24"/>
          <w:szCs w:val="24"/>
          <w:lang w:val="bg-BG" w:eastAsia="bg-BG"/>
        </w:rPr>
        <w:t>и</w:t>
      </w:r>
      <w:r w:rsidRPr="00610B1B">
        <w:rPr>
          <w:rFonts w:ascii="Times New Roman" w:eastAsia="Times New Roman" w:hAnsi="Times New Roman" w:cs="Times New Roman"/>
          <w:spacing w:val="31"/>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мес</w:t>
      </w:r>
      <w:r w:rsidRPr="00610B1B">
        <w:rPr>
          <w:rFonts w:ascii="Times New Roman" w:eastAsia="Times New Roman" w:hAnsi="Times New Roman" w:cs="Times New Roman"/>
          <w:sz w:val="24"/>
          <w:szCs w:val="24"/>
          <w:lang w:val="bg-BG" w:eastAsia="bg-BG"/>
        </w:rPr>
        <w:t>тни вл</w:t>
      </w:r>
      <w:r w:rsidRPr="00610B1B">
        <w:rPr>
          <w:rFonts w:ascii="Times New Roman" w:eastAsia="Times New Roman" w:hAnsi="Times New Roman" w:cs="Times New Roman"/>
          <w:spacing w:val="-2"/>
          <w:sz w:val="24"/>
          <w:szCs w:val="24"/>
          <w:lang w:val="bg-BG" w:eastAsia="bg-BG"/>
        </w:rPr>
        <w:t>а</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ти,</w:t>
      </w:r>
      <w:r w:rsidRPr="00610B1B">
        <w:rPr>
          <w:rFonts w:ascii="Times New Roman" w:eastAsia="Times New Roman" w:hAnsi="Times New Roman" w:cs="Times New Roman"/>
          <w:spacing w:val="2"/>
          <w:sz w:val="24"/>
          <w:szCs w:val="24"/>
          <w:lang w:val="bg-BG" w:eastAsia="bg-BG"/>
        </w:rPr>
        <w:t xml:space="preserve"> </w:t>
      </w:r>
      <w:r w:rsidRPr="00610B1B">
        <w:rPr>
          <w:rFonts w:ascii="Times New Roman" w:eastAsia="Times New Roman" w:hAnsi="Times New Roman" w:cs="Times New Roman"/>
          <w:sz w:val="24"/>
          <w:szCs w:val="24"/>
          <w:lang w:val="bg-BG" w:eastAsia="bg-BG"/>
        </w:rPr>
        <w:t>н</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цион</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н</w:t>
      </w:r>
      <w:r w:rsidRPr="00610B1B">
        <w:rPr>
          <w:rFonts w:ascii="Times New Roman" w:eastAsia="Times New Roman" w:hAnsi="Times New Roman" w:cs="Times New Roman"/>
          <w:sz w:val="24"/>
          <w:szCs w:val="24"/>
          <w:lang w:val="bg-BG" w:eastAsia="bg-BG"/>
        </w:rPr>
        <w:t>о</w:t>
      </w:r>
      <w:r w:rsidRPr="00610B1B">
        <w:rPr>
          <w:rFonts w:ascii="Times New Roman" w:eastAsia="Times New Roman" w:hAnsi="Times New Roman" w:cs="Times New Roman"/>
          <w:spacing w:val="2"/>
          <w:sz w:val="24"/>
          <w:szCs w:val="24"/>
          <w:lang w:val="bg-BG" w:eastAsia="bg-BG"/>
        </w:rPr>
        <w:t xml:space="preserve"> </w:t>
      </w:r>
      <w:r w:rsidRPr="00610B1B">
        <w:rPr>
          <w:rFonts w:ascii="Times New Roman" w:eastAsia="Times New Roman" w:hAnsi="Times New Roman" w:cs="Times New Roman"/>
          <w:sz w:val="24"/>
          <w:szCs w:val="24"/>
          <w:lang w:val="bg-BG" w:eastAsia="bg-BG"/>
        </w:rPr>
        <w:t>пр</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д</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вит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н</w:t>
      </w:r>
      <w:r w:rsidRPr="00610B1B">
        <w:rPr>
          <w:rFonts w:ascii="Times New Roman" w:eastAsia="Times New Roman" w:hAnsi="Times New Roman" w:cs="Times New Roman"/>
          <w:sz w:val="24"/>
          <w:szCs w:val="24"/>
          <w:lang w:val="bg-BG" w:eastAsia="bg-BG"/>
        </w:rPr>
        <w:t>ите</w:t>
      </w:r>
      <w:r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z w:val="24"/>
          <w:szCs w:val="24"/>
          <w:lang w:val="bg-BG" w:eastAsia="bg-BG"/>
        </w:rPr>
        <w:t>орг</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низ</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ции</w:t>
      </w:r>
      <w:r w:rsidRPr="00610B1B">
        <w:rPr>
          <w:rFonts w:ascii="Times New Roman" w:eastAsia="Times New Roman" w:hAnsi="Times New Roman" w:cs="Times New Roman"/>
          <w:spacing w:val="3"/>
          <w:sz w:val="24"/>
          <w:szCs w:val="24"/>
          <w:lang w:val="bg-BG" w:eastAsia="bg-BG"/>
        </w:rPr>
        <w:t xml:space="preserve"> </w:t>
      </w:r>
      <w:r w:rsidRPr="00610B1B">
        <w:rPr>
          <w:rFonts w:ascii="Times New Roman" w:eastAsia="Times New Roman" w:hAnsi="Times New Roman" w:cs="Times New Roman"/>
          <w:sz w:val="24"/>
          <w:szCs w:val="24"/>
          <w:lang w:val="bg-BG" w:eastAsia="bg-BG"/>
        </w:rPr>
        <w:t>на</w:t>
      </w:r>
      <w:r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z w:val="24"/>
          <w:szCs w:val="24"/>
          <w:lang w:val="bg-BG" w:eastAsia="bg-BG"/>
        </w:rPr>
        <w:t>р</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ботод</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z w:val="24"/>
          <w:szCs w:val="24"/>
          <w:lang w:val="bg-BG" w:eastAsia="bg-BG"/>
        </w:rPr>
        <w:t>те</w:t>
      </w:r>
      <w:r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z w:val="24"/>
          <w:szCs w:val="24"/>
          <w:lang w:val="bg-BG" w:eastAsia="bg-BG"/>
        </w:rPr>
        <w:t>и на</w:t>
      </w:r>
      <w:r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z w:val="24"/>
          <w:szCs w:val="24"/>
          <w:lang w:val="bg-BG" w:eastAsia="bg-BG"/>
        </w:rPr>
        <w:t>р</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ботниците и</w:t>
      </w:r>
      <w:r w:rsidRPr="00610B1B">
        <w:rPr>
          <w:rFonts w:ascii="Times New Roman" w:eastAsia="Times New Roman" w:hAnsi="Times New Roman" w:cs="Times New Roman"/>
          <w:spacing w:val="3"/>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7"/>
          <w:sz w:val="24"/>
          <w:szCs w:val="24"/>
          <w:lang w:val="bg-BG" w:eastAsia="bg-BG"/>
        </w:rPr>
        <w:t>у</w:t>
      </w:r>
      <w:r w:rsidRPr="00610B1B">
        <w:rPr>
          <w:rFonts w:ascii="Times New Roman" w:eastAsia="Times New Roman" w:hAnsi="Times New Roman" w:cs="Times New Roman"/>
          <w:sz w:val="24"/>
          <w:szCs w:val="24"/>
          <w:lang w:val="bg-BG" w:eastAsia="bg-BG"/>
        </w:rPr>
        <w:t>жит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 пр</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д</w:t>
      </w:r>
      <w:r w:rsidRPr="00610B1B">
        <w:rPr>
          <w:rFonts w:ascii="Times New Roman" w:eastAsia="Times New Roman" w:hAnsi="Times New Roman" w:cs="Times New Roman"/>
          <w:spacing w:val="-1"/>
          <w:sz w:val="24"/>
          <w:szCs w:val="24"/>
          <w:lang w:val="bg-BG" w:eastAsia="bg-BG"/>
        </w:rPr>
        <w:t>с</w:t>
      </w:r>
      <w:r w:rsidRPr="00610B1B">
        <w:rPr>
          <w:rFonts w:ascii="Times New Roman" w:eastAsia="Times New Roman" w:hAnsi="Times New Roman" w:cs="Times New Roman"/>
          <w:sz w:val="24"/>
          <w:szCs w:val="24"/>
          <w:lang w:val="bg-BG" w:eastAsia="bg-BG"/>
        </w:rPr>
        <w:t>т</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вит</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л</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z w:val="24"/>
          <w:szCs w:val="24"/>
          <w:lang w:val="bg-BG" w:eastAsia="bg-BG"/>
        </w:rPr>
        <w:t>те</w:t>
      </w:r>
      <w:r w:rsidRPr="00610B1B">
        <w:rPr>
          <w:rFonts w:ascii="Times New Roman" w:eastAsia="Times New Roman" w:hAnsi="Times New Roman" w:cs="Times New Roman"/>
          <w:spacing w:val="-1"/>
          <w:sz w:val="24"/>
          <w:szCs w:val="24"/>
          <w:lang w:val="bg-BG" w:eastAsia="bg-BG"/>
        </w:rPr>
        <w:t xml:space="preserve"> </w:t>
      </w:r>
      <w:r w:rsidRPr="00610B1B">
        <w:rPr>
          <w:rFonts w:ascii="Times New Roman" w:eastAsia="Times New Roman" w:hAnsi="Times New Roman" w:cs="Times New Roman"/>
          <w:sz w:val="24"/>
          <w:szCs w:val="24"/>
          <w:lang w:val="bg-BG" w:eastAsia="bg-BG"/>
        </w:rPr>
        <w:t>на</w:t>
      </w:r>
      <w:r w:rsidRPr="00610B1B">
        <w:rPr>
          <w:rFonts w:ascii="Times New Roman" w:eastAsia="Times New Roman" w:hAnsi="Times New Roman" w:cs="Times New Roman"/>
          <w:spacing w:val="-1"/>
          <w:sz w:val="24"/>
          <w:szCs w:val="24"/>
          <w:lang w:val="bg-BG" w:eastAsia="bg-BG"/>
        </w:rPr>
        <w:t xml:space="preserve"> а</w:t>
      </w:r>
      <w:r w:rsidRPr="00610B1B">
        <w:rPr>
          <w:rFonts w:ascii="Times New Roman" w:eastAsia="Times New Roman" w:hAnsi="Times New Roman" w:cs="Times New Roman"/>
          <w:sz w:val="24"/>
          <w:szCs w:val="24"/>
          <w:lang w:val="bg-BG" w:eastAsia="bg-BG"/>
        </w:rPr>
        <w:t>к</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д</w:t>
      </w:r>
      <w:r w:rsidRPr="00610B1B">
        <w:rPr>
          <w:rFonts w:ascii="Times New Roman" w:eastAsia="Times New Roman" w:hAnsi="Times New Roman" w:cs="Times New Roman"/>
          <w:spacing w:val="-1"/>
          <w:sz w:val="24"/>
          <w:szCs w:val="24"/>
          <w:lang w:val="bg-BG" w:eastAsia="bg-BG"/>
        </w:rPr>
        <w:t>ем</w:t>
      </w:r>
      <w:r w:rsidRPr="00610B1B">
        <w:rPr>
          <w:rFonts w:ascii="Times New Roman" w:eastAsia="Times New Roman" w:hAnsi="Times New Roman" w:cs="Times New Roman"/>
          <w:sz w:val="24"/>
          <w:szCs w:val="24"/>
          <w:lang w:val="bg-BG" w:eastAsia="bg-BG"/>
        </w:rPr>
        <w:t>и</w:t>
      </w:r>
      <w:r w:rsidRPr="00610B1B">
        <w:rPr>
          <w:rFonts w:ascii="Times New Roman" w:eastAsia="Times New Roman" w:hAnsi="Times New Roman" w:cs="Times New Roman"/>
          <w:spacing w:val="-1"/>
          <w:sz w:val="24"/>
          <w:szCs w:val="24"/>
          <w:lang w:val="bg-BG" w:eastAsia="bg-BG"/>
        </w:rPr>
        <w:t>ч</w:t>
      </w:r>
      <w:r w:rsidRPr="00610B1B">
        <w:rPr>
          <w:rFonts w:ascii="Times New Roman" w:eastAsia="Times New Roman" w:hAnsi="Times New Roman" w:cs="Times New Roman"/>
          <w:sz w:val="24"/>
          <w:szCs w:val="24"/>
          <w:lang w:val="bg-BG" w:eastAsia="bg-BG"/>
        </w:rPr>
        <w:t>ните</w:t>
      </w:r>
      <w:r w:rsidRPr="00610B1B">
        <w:rPr>
          <w:rFonts w:ascii="Times New Roman" w:eastAsia="Times New Roman" w:hAnsi="Times New Roman" w:cs="Times New Roman"/>
          <w:spacing w:val="-1"/>
          <w:sz w:val="24"/>
          <w:szCs w:val="24"/>
          <w:lang w:val="bg-BG" w:eastAsia="bg-BG"/>
        </w:rPr>
        <w:t xml:space="preserve"> с</w:t>
      </w:r>
      <w:r w:rsidRPr="00610B1B">
        <w:rPr>
          <w:rFonts w:ascii="Times New Roman" w:eastAsia="Times New Roman" w:hAnsi="Times New Roman" w:cs="Times New Roman"/>
          <w:sz w:val="24"/>
          <w:szCs w:val="24"/>
          <w:lang w:val="bg-BG" w:eastAsia="bg-BG"/>
        </w:rPr>
        <w:t>р</w:t>
      </w:r>
      <w:r w:rsidRPr="00610B1B">
        <w:rPr>
          <w:rFonts w:ascii="Times New Roman" w:eastAsia="Times New Roman" w:hAnsi="Times New Roman" w:cs="Times New Roman"/>
          <w:spacing w:val="-1"/>
          <w:sz w:val="24"/>
          <w:szCs w:val="24"/>
          <w:lang w:val="bg-BG" w:eastAsia="bg-BG"/>
        </w:rPr>
        <w:t>е</w:t>
      </w:r>
      <w:r w:rsidRPr="00610B1B">
        <w:rPr>
          <w:rFonts w:ascii="Times New Roman" w:eastAsia="Times New Roman" w:hAnsi="Times New Roman" w:cs="Times New Roman"/>
          <w:sz w:val="24"/>
          <w:szCs w:val="24"/>
          <w:lang w:val="bg-BG" w:eastAsia="bg-BG"/>
        </w:rPr>
        <w:t>д</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z w:val="24"/>
          <w:szCs w:val="24"/>
          <w:lang w:val="bg-BG" w:eastAsia="bg-BG"/>
        </w:rPr>
        <w:t>, юрид</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pacing w:val="-1"/>
          <w:sz w:val="24"/>
          <w:szCs w:val="24"/>
          <w:lang w:val="bg-BG" w:eastAsia="bg-BG"/>
        </w:rPr>
        <w:t>чес</w:t>
      </w:r>
      <w:r w:rsidRPr="00610B1B">
        <w:rPr>
          <w:rFonts w:ascii="Times New Roman" w:eastAsia="Times New Roman" w:hAnsi="Times New Roman" w:cs="Times New Roman"/>
          <w:sz w:val="24"/>
          <w:szCs w:val="24"/>
          <w:lang w:val="bg-BG" w:eastAsia="bg-BG"/>
        </w:rPr>
        <w:t>ки и ф</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z w:val="24"/>
          <w:szCs w:val="24"/>
          <w:lang w:val="bg-BG" w:eastAsia="bg-BG"/>
        </w:rPr>
        <w:t>зи</w:t>
      </w:r>
      <w:r w:rsidRPr="00610B1B">
        <w:rPr>
          <w:rFonts w:ascii="Times New Roman" w:eastAsia="Times New Roman" w:hAnsi="Times New Roman" w:cs="Times New Roman"/>
          <w:spacing w:val="-1"/>
          <w:sz w:val="24"/>
          <w:szCs w:val="24"/>
          <w:lang w:val="bg-BG" w:eastAsia="bg-BG"/>
        </w:rPr>
        <w:t>чес</w:t>
      </w:r>
      <w:r w:rsidRPr="00610B1B">
        <w:rPr>
          <w:rFonts w:ascii="Times New Roman" w:eastAsia="Times New Roman" w:hAnsi="Times New Roman" w:cs="Times New Roman"/>
          <w:sz w:val="24"/>
          <w:szCs w:val="24"/>
          <w:lang w:val="bg-BG" w:eastAsia="bg-BG"/>
        </w:rPr>
        <w:t>ки л</w:t>
      </w:r>
      <w:r w:rsidRPr="00610B1B">
        <w:rPr>
          <w:rFonts w:ascii="Times New Roman" w:eastAsia="Times New Roman" w:hAnsi="Times New Roman" w:cs="Times New Roman"/>
          <w:spacing w:val="1"/>
          <w:sz w:val="24"/>
          <w:szCs w:val="24"/>
          <w:lang w:val="bg-BG" w:eastAsia="bg-BG"/>
        </w:rPr>
        <w:t>и</w:t>
      </w:r>
      <w:r w:rsidRPr="00610B1B">
        <w:rPr>
          <w:rFonts w:ascii="Times New Roman" w:eastAsia="Times New Roman" w:hAnsi="Times New Roman" w:cs="Times New Roman"/>
          <w:sz w:val="24"/>
          <w:szCs w:val="24"/>
          <w:lang w:val="bg-BG" w:eastAsia="bg-BG"/>
        </w:rPr>
        <w:t>ц</w:t>
      </w:r>
      <w:r w:rsidRPr="00610B1B">
        <w:rPr>
          <w:rFonts w:ascii="Times New Roman" w:eastAsia="Times New Roman" w:hAnsi="Times New Roman" w:cs="Times New Roman"/>
          <w:spacing w:val="-1"/>
          <w:sz w:val="24"/>
          <w:szCs w:val="24"/>
          <w:lang w:val="bg-BG" w:eastAsia="bg-BG"/>
        </w:rPr>
        <w:t>а</w:t>
      </w:r>
      <w:r w:rsidRPr="00610B1B">
        <w:rPr>
          <w:rFonts w:ascii="Times New Roman" w:eastAsia="Times New Roman" w:hAnsi="Times New Roman" w:cs="Times New Roman"/>
          <w:sz w:val="24"/>
          <w:szCs w:val="24"/>
          <w:lang w:val="bg-BG" w:eastAsia="bg-BG"/>
        </w:rPr>
        <w:t>,</w:t>
      </w:r>
      <w:r w:rsidR="00D66FE0" w:rsidRPr="00610B1B">
        <w:rPr>
          <w:rFonts w:ascii="Times New Roman" w:eastAsia="Times New Roman" w:hAnsi="Times New Roman" w:cs="Times New Roman"/>
          <w:sz w:val="24"/>
          <w:szCs w:val="24"/>
          <w:lang w:val="bg-BG" w:eastAsia="bg-BG"/>
        </w:rPr>
        <w:t xml:space="preserve"> </w:t>
      </w:r>
      <w:r w:rsidRPr="00610B1B">
        <w:rPr>
          <w:rFonts w:ascii="Times New Roman" w:eastAsia="Times New Roman" w:hAnsi="Times New Roman" w:cs="Times New Roman"/>
          <w:spacing w:val="-1"/>
          <w:sz w:val="24"/>
          <w:szCs w:val="24"/>
          <w:lang w:val="bg-BG" w:eastAsia="bg-BG"/>
        </w:rPr>
        <w:t>включително международни организации</w:t>
      </w:r>
      <w:r w:rsidRPr="00610B1B">
        <w:rPr>
          <w:rFonts w:ascii="Times New Roman" w:eastAsia="Times New Roman" w:hAnsi="Times New Roman" w:cs="Times New Roman"/>
          <w:sz w:val="24"/>
          <w:szCs w:val="24"/>
          <w:lang w:val="bg-BG" w:eastAsia="bg-BG"/>
        </w:rPr>
        <w:t>, имащи отношение към опазването на океаните и моретата и развитието на Черноморския регион.</w:t>
      </w:r>
    </w:p>
    <w:p w14:paraId="571BABE6" w14:textId="1FD5C948" w:rsidR="0041129F" w:rsidRPr="00610B1B" w:rsidRDefault="0041129F"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r w:rsidRPr="00610B1B">
        <w:rPr>
          <w:rFonts w:ascii="Times New Roman" w:eastAsia="Times New Roman" w:hAnsi="Times New Roman" w:cs="Times New Roman"/>
          <w:sz w:val="24"/>
          <w:szCs w:val="24"/>
          <w:lang w:val="bg-BG" w:eastAsia="bg-BG"/>
        </w:rPr>
        <w:t xml:space="preserve">Избрани са консултационните процедури и е съставен План за консултации, съобразен с времевия план график и с изискването за съвместяване на процедурите по изготвяне на МППРБ и на неговата Екологична оценка. Тези процедури обхващат тематични кръгли маси, фокус групи, интервюта и обществени обсъждания. Предвид извънредната обстановка в страната в периода на планираните обсъждания те са подменени с дълбочинно интервю, проведено върху основните теми на фокус групите. </w:t>
      </w:r>
    </w:p>
    <w:p w14:paraId="67979104" w14:textId="3CA339B2"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5CE92313" w14:textId="415D0B18"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297F67AB" w14:textId="4FE5D0A1"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3E8180BD" w14:textId="0FDA754A"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4AD25A0B" w14:textId="0A69FC25"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1EFAD423" w14:textId="38F65322"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3A50135A" w14:textId="77777777" w:rsidR="00CD6DB2" w:rsidRPr="00610B1B" w:rsidRDefault="00CD6DB2" w:rsidP="00D32D6A">
      <w:pPr>
        <w:widowControl w:val="0"/>
        <w:kinsoku w:val="0"/>
        <w:overflowPunct w:val="0"/>
        <w:autoSpaceDE w:val="0"/>
        <w:autoSpaceDN w:val="0"/>
        <w:adjustRightInd w:val="0"/>
        <w:spacing w:after="120"/>
        <w:ind w:right="-153"/>
        <w:jc w:val="both"/>
        <w:rPr>
          <w:rFonts w:ascii="Times New Roman" w:eastAsia="Times New Roman" w:hAnsi="Times New Roman" w:cs="Times New Roman"/>
          <w:sz w:val="24"/>
          <w:szCs w:val="24"/>
          <w:lang w:val="bg-BG" w:eastAsia="bg-BG"/>
        </w:rPr>
      </w:pPr>
    </w:p>
    <w:p w14:paraId="1911193B" w14:textId="36486071" w:rsidR="000A3D51" w:rsidRPr="00610B1B" w:rsidRDefault="00011434" w:rsidP="00CD6DB2">
      <w:pPr>
        <w:widowControl w:val="0"/>
        <w:kinsoku w:val="0"/>
        <w:overflowPunct w:val="0"/>
        <w:autoSpaceDE w:val="0"/>
        <w:autoSpaceDN w:val="0"/>
        <w:adjustRightInd w:val="0"/>
        <w:spacing w:after="0" w:line="240" w:lineRule="auto"/>
        <w:ind w:right="-153"/>
        <w:jc w:val="both"/>
        <w:rPr>
          <w:rFonts w:ascii="Times New Roman" w:eastAsia="Times New Roman" w:hAnsi="Times New Roman" w:cs="Times New Roman"/>
          <w:sz w:val="24"/>
          <w:szCs w:val="24"/>
          <w:lang w:val="bg-BG" w:eastAsia="bg-BG"/>
        </w:rPr>
      </w:pPr>
      <w:bookmarkStart w:id="516" w:name="_Toc83391497"/>
      <w:r w:rsidRPr="00610B1B">
        <w:rPr>
          <w:rFonts w:ascii="Times New Roman" w:hAnsi="Times New Roman" w:cs="Times New Roman"/>
          <w:sz w:val="24"/>
          <w:szCs w:val="24"/>
          <w:lang w:val="bg-BG"/>
        </w:rPr>
        <w:lastRenderedPageBreak/>
        <w:t xml:space="preserve">Фигура </w:t>
      </w:r>
      <w:r w:rsidRPr="00610B1B">
        <w:rPr>
          <w:rFonts w:ascii="Times New Roman" w:hAnsi="Times New Roman" w:cs="Times New Roman"/>
          <w:sz w:val="24"/>
          <w:szCs w:val="24"/>
          <w:lang w:val="bg-BG"/>
        </w:rPr>
        <w:fldChar w:fldCharType="begin"/>
      </w:r>
      <w:r w:rsidRPr="00610B1B">
        <w:rPr>
          <w:rFonts w:ascii="Times New Roman" w:hAnsi="Times New Roman" w:cs="Times New Roman"/>
          <w:sz w:val="24"/>
          <w:szCs w:val="24"/>
          <w:lang w:val="bg-BG"/>
        </w:rPr>
        <w:instrText xml:space="preserve"> SEQ Фигура \* ARABIC </w:instrText>
      </w:r>
      <w:r w:rsidRPr="00610B1B">
        <w:rPr>
          <w:rFonts w:ascii="Times New Roman" w:hAnsi="Times New Roman" w:cs="Times New Roman"/>
          <w:sz w:val="24"/>
          <w:szCs w:val="24"/>
          <w:lang w:val="bg-BG"/>
        </w:rPr>
        <w:fldChar w:fldCharType="separate"/>
      </w:r>
      <w:r w:rsidR="00260629" w:rsidRPr="00610B1B">
        <w:rPr>
          <w:rFonts w:ascii="Times New Roman" w:hAnsi="Times New Roman" w:cs="Times New Roman"/>
          <w:noProof/>
          <w:sz w:val="24"/>
          <w:szCs w:val="24"/>
          <w:lang w:val="bg-BG"/>
        </w:rPr>
        <w:t>34</w:t>
      </w:r>
      <w:r w:rsidRPr="00610B1B">
        <w:rPr>
          <w:rFonts w:ascii="Times New Roman" w:hAnsi="Times New Roman" w:cs="Times New Roman"/>
          <w:sz w:val="24"/>
          <w:szCs w:val="24"/>
          <w:lang w:val="bg-BG"/>
        </w:rPr>
        <w:fldChar w:fldCharType="end"/>
      </w:r>
      <w:r w:rsidRPr="00610B1B">
        <w:rPr>
          <w:rFonts w:ascii="Times New Roman" w:hAnsi="Times New Roman" w:cs="Times New Roman"/>
          <w:sz w:val="24"/>
          <w:szCs w:val="24"/>
          <w:lang w:val="bg-BG"/>
        </w:rPr>
        <w:t xml:space="preserve">: </w:t>
      </w:r>
      <w:r w:rsidR="000A3D51" w:rsidRPr="00610B1B">
        <w:rPr>
          <w:rFonts w:ascii="Times New Roman" w:eastAsia="Times New Roman" w:hAnsi="Times New Roman" w:cs="Times New Roman"/>
          <w:sz w:val="24"/>
          <w:szCs w:val="24"/>
          <w:lang w:val="bg-BG" w:eastAsia="bg-BG"/>
        </w:rPr>
        <w:t>Институционална рамка на Морския пространствен план</w:t>
      </w:r>
      <w:bookmarkEnd w:id="516"/>
    </w:p>
    <w:p w14:paraId="12125A5F" w14:textId="2794A9A2" w:rsidR="006F3A6E" w:rsidRPr="00610B1B" w:rsidRDefault="00C24BC4" w:rsidP="00D32D6A">
      <w:pPr>
        <w:widowControl w:val="0"/>
        <w:kinsoku w:val="0"/>
        <w:overflowPunct w:val="0"/>
        <w:autoSpaceDE w:val="0"/>
        <w:autoSpaceDN w:val="0"/>
        <w:adjustRightInd w:val="0"/>
        <w:spacing w:after="120"/>
        <w:ind w:right="-153"/>
        <w:jc w:val="center"/>
        <w:rPr>
          <w:rFonts w:ascii="Times New Roman" w:eastAsia="Times New Roman" w:hAnsi="Times New Roman" w:cs="Times New Roman"/>
          <w:sz w:val="24"/>
          <w:szCs w:val="24"/>
          <w:lang w:val="bg-BG" w:eastAsia="bg-BG"/>
        </w:rPr>
      </w:pPr>
      <w:r w:rsidRPr="00610B1B">
        <w:rPr>
          <w:rFonts w:ascii="Times New Roman" w:hAnsi="Times New Roman" w:cs="Times New Roman"/>
          <w:noProof/>
          <w:lang w:val="bg-BG" w:eastAsia="bg-BG"/>
        </w:rPr>
        <w:drawing>
          <wp:inline distT="0" distB="0" distL="0" distR="0" wp14:anchorId="0504C3A5" wp14:editId="61890DA1">
            <wp:extent cx="6178790" cy="8629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rotWithShape="1">
                    <a:blip r:embed="rId68" cstate="print">
                      <a:extLst>
                        <a:ext uri="{28A0092B-C50C-407E-A947-70E740481C1C}">
                          <a14:useLocalDpi xmlns:a14="http://schemas.microsoft.com/office/drawing/2010/main" val="0"/>
                        </a:ext>
                      </a:extLst>
                    </a:blip>
                    <a:srcRect l="2811" b="2463"/>
                    <a:stretch/>
                  </pic:blipFill>
                  <pic:spPr bwMode="auto">
                    <a:xfrm>
                      <a:off x="0" y="0"/>
                      <a:ext cx="6206854" cy="8668846"/>
                    </a:xfrm>
                    <a:prstGeom prst="rect">
                      <a:avLst/>
                    </a:prstGeom>
                    <a:ln>
                      <a:noFill/>
                    </a:ln>
                    <a:extLst>
                      <a:ext uri="{53640926-AAD7-44D8-BBD7-CCE9431645EC}">
                        <a14:shadowObscured xmlns:a14="http://schemas.microsoft.com/office/drawing/2010/main"/>
                      </a:ext>
                    </a:extLst>
                  </pic:spPr>
                </pic:pic>
              </a:graphicData>
            </a:graphic>
          </wp:inline>
        </w:drawing>
      </w:r>
      <w:r w:rsidR="006F3A6E" w:rsidRPr="00610B1B">
        <w:rPr>
          <w:rFonts w:ascii="Times New Roman" w:eastAsia="Times New Roman" w:hAnsi="Times New Roman" w:cs="Times New Roman"/>
          <w:sz w:val="24"/>
          <w:szCs w:val="24"/>
          <w:lang w:val="bg-BG" w:eastAsia="bg-BG"/>
        </w:rPr>
        <w:t xml:space="preserve"> </w:t>
      </w:r>
    </w:p>
    <w:p w14:paraId="3A031B6A" w14:textId="7B786EAB" w:rsidR="00447F5C" w:rsidRPr="00610B1B" w:rsidRDefault="0061403C" w:rsidP="00D32D6A">
      <w:pPr>
        <w:pStyle w:val="Heading2"/>
        <w:spacing w:before="0" w:line="276" w:lineRule="auto"/>
        <w:ind w:right="-153"/>
        <w:rPr>
          <w:rFonts w:cs="Times New Roman"/>
        </w:rPr>
      </w:pPr>
      <w:bookmarkStart w:id="517" w:name="_Toc83391448"/>
      <w:r w:rsidRPr="00610B1B">
        <w:rPr>
          <w:rFonts w:cs="Times New Roman"/>
        </w:rPr>
        <w:lastRenderedPageBreak/>
        <w:t>8</w:t>
      </w:r>
      <w:r w:rsidR="00447F5C" w:rsidRPr="00610B1B">
        <w:rPr>
          <w:rFonts w:cs="Times New Roman"/>
        </w:rPr>
        <w:t>.</w:t>
      </w:r>
      <w:r w:rsidR="0041129F" w:rsidRPr="00610B1B">
        <w:rPr>
          <w:rFonts w:cs="Times New Roman"/>
        </w:rPr>
        <w:t>2</w:t>
      </w:r>
      <w:r w:rsidR="00447F5C" w:rsidRPr="00610B1B">
        <w:rPr>
          <w:rFonts w:cs="Times New Roman"/>
        </w:rPr>
        <w:t>. Резултати от проведени дълбочинни интервюта</w:t>
      </w:r>
      <w:bookmarkEnd w:id="517"/>
    </w:p>
    <w:p w14:paraId="3090AEE4" w14:textId="7635BDFC" w:rsidR="007E61E6" w:rsidRPr="00610B1B" w:rsidRDefault="007E61E6" w:rsidP="00D32D6A">
      <w:pPr>
        <w:pStyle w:val="BodyText"/>
        <w:spacing w:before="0" w:after="120" w:line="276" w:lineRule="auto"/>
        <w:ind w:right="-153"/>
        <w:rPr>
          <w:rFonts w:cs="Times New Roman"/>
        </w:rPr>
      </w:pPr>
      <w:r w:rsidRPr="00610B1B">
        <w:rPr>
          <w:rFonts w:cs="Times New Roman"/>
        </w:rPr>
        <w:t xml:space="preserve">След въвеждането на извънредно положение в Република България на 13 март 2020 г. се наложи преразглеждане на изследователските възможности за изпълнение на </w:t>
      </w:r>
      <w:r w:rsidR="00054741" w:rsidRPr="00610B1B">
        <w:rPr>
          <w:rFonts w:cs="Times New Roman"/>
        </w:rPr>
        <w:t>предвидените</w:t>
      </w:r>
      <w:r w:rsidRPr="00610B1B">
        <w:rPr>
          <w:rFonts w:cs="Times New Roman"/>
        </w:rPr>
        <w:t xml:space="preserve"> социологически проучвания. По експертно предложение се прие шестте тематични фокус групи да бъдат заменени с дълбочинни интервюта. Този изследователски подход е също качествен метод, алтернатива на фокус групите. При него изследваните лица изразяват мнението си по поставените теми индивидуално</w:t>
      </w:r>
      <w:r w:rsidR="00054741" w:rsidRPr="00610B1B">
        <w:rPr>
          <w:rFonts w:cs="Times New Roman"/>
        </w:rPr>
        <w:t xml:space="preserve"> и </w:t>
      </w:r>
      <w:r w:rsidRPr="00610B1B">
        <w:rPr>
          <w:rFonts w:cs="Times New Roman"/>
        </w:rPr>
        <w:t xml:space="preserve">отново основополагащи са отворените въпроси, </w:t>
      </w:r>
      <w:r w:rsidR="00054741" w:rsidRPr="00610B1B">
        <w:rPr>
          <w:rFonts w:cs="Times New Roman"/>
        </w:rPr>
        <w:t>без</w:t>
      </w:r>
      <w:r w:rsidRPr="00610B1B">
        <w:rPr>
          <w:rFonts w:cs="Times New Roman"/>
        </w:rPr>
        <w:t xml:space="preserve"> предварително формулирани опции за отговор. </w:t>
      </w:r>
    </w:p>
    <w:p w14:paraId="4F4CB57A" w14:textId="4EA8D07F" w:rsidR="00054741" w:rsidRPr="00610B1B" w:rsidRDefault="004E4CAD" w:rsidP="00D32D6A">
      <w:pPr>
        <w:pStyle w:val="BodyText"/>
        <w:spacing w:before="0" w:after="120" w:line="276" w:lineRule="auto"/>
        <w:ind w:right="-153"/>
        <w:rPr>
          <w:rFonts w:cs="Times New Roman"/>
        </w:rPr>
      </w:pPr>
      <w:bookmarkStart w:id="518" w:name="_Toc83391619"/>
      <w:r w:rsidRPr="00610B1B">
        <w:rPr>
          <w:rFonts w:cs="Times New Roman"/>
        </w:rPr>
        <w:t xml:space="preserve">Таблица </w:t>
      </w:r>
      <w:r w:rsidRPr="00610B1B">
        <w:rPr>
          <w:rFonts w:cs="Times New Roman"/>
        </w:rPr>
        <w:fldChar w:fldCharType="begin"/>
      </w:r>
      <w:r w:rsidRPr="00610B1B">
        <w:rPr>
          <w:rFonts w:cs="Times New Roman"/>
        </w:rPr>
        <w:instrText xml:space="preserve"> SEQ Таблица \* ARABIC </w:instrText>
      </w:r>
      <w:r w:rsidRPr="00610B1B">
        <w:rPr>
          <w:rFonts w:cs="Times New Roman"/>
        </w:rPr>
        <w:fldChar w:fldCharType="separate"/>
      </w:r>
      <w:r w:rsidR="00260629" w:rsidRPr="00610B1B">
        <w:rPr>
          <w:rFonts w:cs="Times New Roman"/>
          <w:noProof/>
        </w:rPr>
        <w:t>23</w:t>
      </w:r>
      <w:r w:rsidRPr="00610B1B">
        <w:rPr>
          <w:rFonts w:cs="Times New Roman"/>
        </w:rPr>
        <w:fldChar w:fldCharType="end"/>
      </w:r>
      <w:r w:rsidRPr="00610B1B">
        <w:rPr>
          <w:rFonts w:cs="Times New Roman"/>
        </w:rPr>
        <w:t xml:space="preserve">: </w:t>
      </w:r>
      <w:r w:rsidR="00054741" w:rsidRPr="00610B1B">
        <w:rPr>
          <w:rFonts w:cs="Times New Roman"/>
        </w:rPr>
        <w:t>Участници в дълбочинното интервю</w:t>
      </w:r>
      <w:bookmarkEnd w:id="518"/>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508"/>
        <w:gridCol w:w="4509"/>
      </w:tblGrid>
      <w:tr w:rsidR="009A3B23" w:rsidRPr="00C717D0" w14:paraId="51E3E9AE" w14:textId="77777777" w:rsidTr="00537D06">
        <w:trPr>
          <w:trHeight w:val="327"/>
        </w:trPr>
        <w:tc>
          <w:tcPr>
            <w:tcW w:w="4508" w:type="dxa"/>
            <w:tcBorders>
              <w:bottom w:val="single" w:sz="4" w:space="0" w:color="auto"/>
              <w:right w:val="nil"/>
            </w:tcBorders>
            <w:shd w:val="clear" w:color="auto" w:fill="B8CCE4" w:themeFill="accent1" w:themeFillTint="66"/>
          </w:tcPr>
          <w:p w14:paraId="3F74D64D" w14:textId="537CDEC0" w:rsidR="009A3B23" w:rsidRPr="00610B1B" w:rsidRDefault="009A3B23" w:rsidP="009A3B23">
            <w:pPr>
              <w:pStyle w:val="BodyText"/>
              <w:spacing w:before="120" w:after="120" w:line="276" w:lineRule="auto"/>
              <w:ind w:right="-153"/>
              <w:jc w:val="center"/>
              <w:rPr>
                <w:rFonts w:cs="Times New Roman"/>
                <w:b/>
                <w:bCs/>
                <w:sz w:val="22"/>
                <w:szCs w:val="22"/>
              </w:rPr>
            </w:pPr>
            <w:r w:rsidRPr="00610B1B">
              <w:rPr>
                <w:rFonts w:cs="Times New Roman"/>
                <w:b/>
                <w:bCs/>
                <w:sz w:val="22"/>
                <w:szCs w:val="22"/>
              </w:rPr>
              <w:t>Тип институция / организация</w:t>
            </w:r>
          </w:p>
        </w:tc>
        <w:tc>
          <w:tcPr>
            <w:tcW w:w="4509" w:type="dxa"/>
            <w:tcBorders>
              <w:left w:val="nil"/>
              <w:bottom w:val="single" w:sz="4" w:space="0" w:color="auto"/>
            </w:tcBorders>
            <w:shd w:val="clear" w:color="auto" w:fill="B8CCE4" w:themeFill="accent1" w:themeFillTint="66"/>
          </w:tcPr>
          <w:p w14:paraId="004E2B68" w14:textId="0C514A23" w:rsidR="009A3B23" w:rsidRPr="00610B1B" w:rsidRDefault="009A3B23" w:rsidP="009A3B23">
            <w:pPr>
              <w:pStyle w:val="BodyText"/>
              <w:spacing w:before="120" w:after="120" w:line="276" w:lineRule="auto"/>
              <w:ind w:right="-153"/>
              <w:jc w:val="center"/>
              <w:rPr>
                <w:rFonts w:cs="Times New Roman"/>
                <w:b/>
                <w:bCs/>
                <w:sz w:val="22"/>
                <w:szCs w:val="22"/>
              </w:rPr>
            </w:pPr>
            <w:r w:rsidRPr="00610B1B">
              <w:rPr>
                <w:rFonts w:cs="Times New Roman"/>
                <w:b/>
                <w:bCs/>
                <w:sz w:val="22"/>
                <w:szCs w:val="22"/>
              </w:rPr>
              <w:t>Брой участвали и изследването експерти</w:t>
            </w:r>
          </w:p>
        </w:tc>
      </w:tr>
      <w:tr w:rsidR="009A3B23" w:rsidRPr="00610B1B" w14:paraId="444C2FE9" w14:textId="77777777" w:rsidTr="00094654">
        <w:tc>
          <w:tcPr>
            <w:tcW w:w="4508" w:type="dxa"/>
            <w:tcBorders>
              <w:right w:val="nil"/>
            </w:tcBorders>
          </w:tcPr>
          <w:p w14:paraId="2F889B32" w14:textId="2962EEE1" w:rsidR="009A3B23" w:rsidRPr="00610B1B" w:rsidRDefault="009A3B23" w:rsidP="009A3B23">
            <w:pPr>
              <w:pStyle w:val="BodyText"/>
              <w:spacing w:before="0" w:after="0" w:line="276" w:lineRule="auto"/>
              <w:ind w:right="-153"/>
              <w:rPr>
                <w:rFonts w:cs="Times New Roman"/>
              </w:rPr>
            </w:pPr>
            <w:r w:rsidRPr="00610B1B">
              <w:rPr>
                <w:rFonts w:cs="Times New Roman"/>
              </w:rPr>
              <w:t>Национална институция</w:t>
            </w:r>
          </w:p>
        </w:tc>
        <w:tc>
          <w:tcPr>
            <w:tcW w:w="4509" w:type="dxa"/>
            <w:tcBorders>
              <w:left w:val="nil"/>
            </w:tcBorders>
          </w:tcPr>
          <w:p w14:paraId="26B68D01" w14:textId="2504EC37" w:rsidR="009A3B23" w:rsidRPr="00610B1B" w:rsidRDefault="009A3B23" w:rsidP="009A3B23">
            <w:pPr>
              <w:pStyle w:val="BodyText"/>
              <w:spacing w:before="0" w:after="0" w:line="276" w:lineRule="auto"/>
              <w:ind w:right="-153"/>
              <w:jc w:val="center"/>
              <w:rPr>
                <w:rFonts w:cs="Times New Roman"/>
              </w:rPr>
            </w:pPr>
            <w:r w:rsidRPr="00610B1B">
              <w:rPr>
                <w:rFonts w:cs="Times New Roman"/>
              </w:rPr>
              <w:t>3</w:t>
            </w:r>
          </w:p>
        </w:tc>
      </w:tr>
      <w:tr w:rsidR="009A3B23" w:rsidRPr="00610B1B" w14:paraId="35402079" w14:textId="77777777" w:rsidTr="00094654">
        <w:tc>
          <w:tcPr>
            <w:tcW w:w="4508" w:type="dxa"/>
            <w:tcBorders>
              <w:right w:val="nil"/>
            </w:tcBorders>
          </w:tcPr>
          <w:p w14:paraId="39D6E199" w14:textId="11859374" w:rsidR="009A3B23" w:rsidRPr="00610B1B" w:rsidRDefault="009A3B23" w:rsidP="009A3B23">
            <w:pPr>
              <w:pStyle w:val="BodyText"/>
              <w:spacing w:before="0" w:after="0" w:line="276" w:lineRule="auto"/>
              <w:ind w:right="-153"/>
              <w:rPr>
                <w:rFonts w:cs="Times New Roman"/>
              </w:rPr>
            </w:pPr>
            <w:r w:rsidRPr="00610B1B">
              <w:rPr>
                <w:rFonts w:cs="Times New Roman"/>
              </w:rPr>
              <w:t>Регионална институция и/или структура</w:t>
            </w:r>
          </w:p>
        </w:tc>
        <w:tc>
          <w:tcPr>
            <w:tcW w:w="4509" w:type="dxa"/>
            <w:tcBorders>
              <w:left w:val="nil"/>
            </w:tcBorders>
          </w:tcPr>
          <w:p w14:paraId="03999044" w14:textId="72446227" w:rsidR="009A3B23" w:rsidRPr="00610B1B" w:rsidRDefault="009A3B23" w:rsidP="009A3B23">
            <w:pPr>
              <w:pStyle w:val="BodyText"/>
              <w:spacing w:before="0" w:after="0" w:line="276" w:lineRule="auto"/>
              <w:ind w:right="-153"/>
              <w:jc w:val="center"/>
              <w:rPr>
                <w:rFonts w:cs="Times New Roman"/>
              </w:rPr>
            </w:pPr>
            <w:r w:rsidRPr="00610B1B">
              <w:rPr>
                <w:rFonts w:cs="Times New Roman"/>
              </w:rPr>
              <w:t>6</w:t>
            </w:r>
          </w:p>
        </w:tc>
      </w:tr>
      <w:tr w:rsidR="009A3B23" w:rsidRPr="00610B1B" w14:paraId="4FB5CB52" w14:textId="77777777" w:rsidTr="00094654">
        <w:tc>
          <w:tcPr>
            <w:tcW w:w="4508" w:type="dxa"/>
            <w:tcBorders>
              <w:right w:val="nil"/>
            </w:tcBorders>
          </w:tcPr>
          <w:p w14:paraId="782A9C64" w14:textId="17B54300" w:rsidR="009A3B23" w:rsidRPr="00610B1B" w:rsidRDefault="004E6850" w:rsidP="009A3B23">
            <w:pPr>
              <w:pStyle w:val="BodyText"/>
              <w:spacing w:before="0" w:after="0" w:line="276" w:lineRule="auto"/>
              <w:ind w:right="-153"/>
              <w:rPr>
                <w:rFonts w:cs="Times New Roman"/>
              </w:rPr>
            </w:pPr>
            <w:r w:rsidRPr="00610B1B">
              <w:rPr>
                <w:rFonts w:cs="Times New Roman"/>
              </w:rPr>
              <w:t>Общинска</w:t>
            </w:r>
            <w:r w:rsidR="009A3B23" w:rsidRPr="00610B1B">
              <w:rPr>
                <w:rFonts w:cs="Times New Roman"/>
              </w:rPr>
              <w:t xml:space="preserve"> администрация</w:t>
            </w:r>
          </w:p>
        </w:tc>
        <w:tc>
          <w:tcPr>
            <w:tcW w:w="4509" w:type="dxa"/>
            <w:tcBorders>
              <w:left w:val="nil"/>
            </w:tcBorders>
          </w:tcPr>
          <w:p w14:paraId="15BEB1C0" w14:textId="4476634F" w:rsidR="009A3B23" w:rsidRPr="00610B1B" w:rsidRDefault="009A3B23" w:rsidP="009A3B23">
            <w:pPr>
              <w:pStyle w:val="BodyText"/>
              <w:spacing w:before="0" w:after="0" w:line="276" w:lineRule="auto"/>
              <w:ind w:right="-153"/>
              <w:jc w:val="center"/>
              <w:rPr>
                <w:rFonts w:cs="Times New Roman"/>
              </w:rPr>
            </w:pPr>
            <w:r w:rsidRPr="00610B1B">
              <w:rPr>
                <w:rFonts w:cs="Times New Roman"/>
              </w:rPr>
              <w:t>1</w:t>
            </w:r>
          </w:p>
        </w:tc>
      </w:tr>
      <w:tr w:rsidR="009A3B23" w:rsidRPr="00610B1B" w14:paraId="61AAB885" w14:textId="77777777" w:rsidTr="00094654">
        <w:tc>
          <w:tcPr>
            <w:tcW w:w="4508" w:type="dxa"/>
            <w:tcBorders>
              <w:right w:val="nil"/>
            </w:tcBorders>
          </w:tcPr>
          <w:p w14:paraId="0C45E7F4" w14:textId="4445A4D0" w:rsidR="009A3B23" w:rsidRPr="00610B1B" w:rsidRDefault="009A3B23" w:rsidP="009A3B23">
            <w:pPr>
              <w:pStyle w:val="BodyText"/>
              <w:spacing w:before="0" w:after="0" w:line="276" w:lineRule="auto"/>
              <w:ind w:right="-153"/>
              <w:rPr>
                <w:rFonts w:cs="Times New Roman"/>
              </w:rPr>
            </w:pPr>
            <w:r w:rsidRPr="00610B1B">
              <w:rPr>
                <w:rFonts w:cs="Times New Roman"/>
              </w:rPr>
              <w:t>Професионална организация</w:t>
            </w:r>
          </w:p>
        </w:tc>
        <w:tc>
          <w:tcPr>
            <w:tcW w:w="4509" w:type="dxa"/>
            <w:tcBorders>
              <w:left w:val="nil"/>
            </w:tcBorders>
          </w:tcPr>
          <w:p w14:paraId="70E022FA" w14:textId="0CCCB255" w:rsidR="009A3B23" w:rsidRPr="00610B1B" w:rsidRDefault="009A3B23" w:rsidP="009A3B23">
            <w:pPr>
              <w:pStyle w:val="BodyText"/>
              <w:spacing w:before="0" w:after="0" w:line="276" w:lineRule="auto"/>
              <w:ind w:right="-153"/>
              <w:jc w:val="center"/>
              <w:rPr>
                <w:rFonts w:cs="Times New Roman"/>
              </w:rPr>
            </w:pPr>
            <w:r w:rsidRPr="00610B1B">
              <w:rPr>
                <w:rFonts w:cs="Times New Roman"/>
              </w:rPr>
              <w:t>1</w:t>
            </w:r>
          </w:p>
        </w:tc>
      </w:tr>
      <w:tr w:rsidR="009A3B23" w:rsidRPr="00610B1B" w14:paraId="0B478E91" w14:textId="77777777" w:rsidTr="00094654">
        <w:tc>
          <w:tcPr>
            <w:tcW w:w="4508" w:type="dxa"/>
            <w:tcBorders>
              <w:right w:val="nil"/>
            </w:tcBorders>
          </w:tcPr>
          <w:p w14:paraId="6D75AF23" w14:textId="04BC5DAE" w:rsidR="009A3B23" w:rsidRPr="00610B1B" w:rsidRDefault="009A3B23" w:rsidP="009A3B23">
            <w:pPr>
              <w:pStyle w:val="BodyText"/>
              <w:spacing w:before="0" w:after="0" w:line="276" w:lineRule="auto"/>
              <w:ind w:right="-153"/>
              <w:rPr>
                <w:rFonts w:cs="Times New Roman"/>
              </w:rPr>
            </w:pPr>
            <w:r w:rsidRPr="00610B1B">
              <w:rPr>
                <w:rFonts w:cs="Times New Roman"/>
              </w:rPr>
              <w:t>Научна и/или академична институция</w:t>
            </w:r>
          </w:p>
        </w:tc>
        <w:tc>
          <w:tcPr>
            <w:tcW w:w="4509" w:type="dxa"/>
            <w:tcBorders>
              <w:left w:val="nil"/>
            </w:tcBorders>
          </w:tcPr>
          <w:p w14:paraId="56CCD656" w14:textId="23E2182F" w:rsidR="009A3B23" w:rsidRPr="00610B1B" w:rsidRDefault="009A3B23" w:rsidP="009A3B23">
            <w:pPr>
              <w:pStyle w:val="BodyText"/>
              <w:spacing w:before="0" w:after="0" w:line="276" w:lineRule="auto"/>
              <w:ind w:right="-153"/>
              <w:jc w:val="center"/>
              <w:rPr>
                <w:rFonts w:cs="Times New Roman"/>
              </w:rPr>
            </w:pPr>
            <w:r w:rsidRPr="00610B1B">
              <w:rPr>
                <w:rFonts w:cs="Times New Roman"/>
              </w:rPr>
              <w:t>6</w:t>
            </w:r>
          </w:p>
        </w:tc>
      </w:tr>
      <w:tr w:rsidR="009A3B23" w:rsidRPr="00610B1B" w14:paraId="2E8B7FBB" w14:textId="77777777" w:rsidTr="00094654">
        <w:tc>
          <w:tcPr>
            <w:tcW w:w="4508" w:type="dxa"/>
            <w:tcBorders>
              <w:right w:val="nil"/>
            </w:tcBorders>
          </w:tcPr>
          <w:p w14:paraId="533504AD" w14:textId="45343049" w:rsidR="009A3B23" w:rsidRPr="00610B1B" w:rsidRDefault="009A3B23" w:rsidP="009A3B23">
            <w:pPr>
              <w:pStyle w:val="BodyText"/>
              <w:spacing w:before="0" w:after="0" w:line="276" w:lineRule="auto"/>
              <w:ind w:right="-153"/>
              <w:rPr>
                <w:rFonts w:cs="Times New Roman"/>
              </w:rPr>
            </w:pPr>
            <w:r w:rsidRPr="00610B1B">
              <w:rPr>
                <w:rFonts w:cs="Times New Roman"/>
              </w:rPr>
              <w:t>Неправителствена организация</w:t>
            </w:r>
          </w:p>
        </w:tc>
        <w:tc>
          <w:tcPr>
            <w:tcW w:w="4509" w:type="dxa"/>
            <w:tcBorders>
              <w:left w:val="nil"/>
            </w:tcBorders>
          </w:tcPr>
          <w:p w14:paraId="34013CF0" w14:textId="33C68A7B" w:rsidR="009A3B23" w:rsidRPr="00610B1B" w:rsidRDefault="009A3B23" w:rsidP="009A3B23">
            <w:pPr>
              <w:pStyle w:val="BodyText"/>
              <w:spacing w:before="0" w:after="0" w:line="276" w:lineRule="auto"/>
              <w:ind w:right="-153"/>
              <w:jc w:val="center"/>
              <w:rPr>
                <w:rFonts w:cs="Times New Roman"/>
              </w:rPr>
            </w:pPr>
            <w:r w:rsidRPr="00610B1B">
              <w:rPr>
                <w:rFonts w:cs="Times New Roman"/>
              </w:rPr>
              <w:t>8</w:t>
            </w:r>
          </w:p>
        </w:tc>
      </w:tr>
      <w:tr w:rsidR="009A3B23" w:rsidRPr="00610B1B" w14:paraId="08CB4575" w14:textId="77777777" w:rsidTr="00094654">
        <w:tc>
          <w:tcPr>
            <w:tcW w:w="4508" w:type="dxa"/>
            <w:tcBorders>
              <w:right w:val="nil"/>
            </w:tcBorders>
          </w:tcPr>
          <w:p w14:paraId="38AFF9C8" w14:textId="4BF06816" w:rsidR="009A3B23" w:rsidRPr="00610B1B" w:rsidRDefault="009A3B23" w:rsidP="009A3B23">
            <w:pPr>
              <w:pStyle w:val="BodyText"/>
              <w:spacing w:before="0" w:after="0" w:line="276" w:lineRule="auto"/>
              <w:ind w:right="-153"/>
              <w:rPr>
                <w:rFonts w:cs="Times New Roman"/>
              </w:rPr>
            </w:pPr>
            <w:r w:rsidRPr="00610B1B">
              <w:rPr>
                <w:rFonts w:cs="Times New Roman"/>
              </w:rPr>
              <w:t>Частен бизнес</w:t>
            </w:r>
          </w:p>
        </w:tc>
        <w:tc>
          <w:tcPr>
            <w:tcW w:w="4509" w:type="dxa"/>
            <w:tcBorders>
              <w:left w:val="nil"/>
            </w:tcBorders>
          </w:tcPr>
          <w:p w14:paraId="520E471F" w14:textId="724D9AF6" w:rsidR="009A3B23" w:rsidRPr="00610B1B" w:rsidRDefault="009A3B23" w:rsidP="009A3B23">
            <w:pPr>
              <w:pStyle w:val="BodyText"/>
              <w:spacing w:before="0" w:after="0" w:line="276" w:lineRule="auto"/>
              <w:ind w:right="-153"/>
              <w:jc w:val="center"/>
              <w:rPr>
                <w:rFonts w:cs="Times New Roman"/>
              </w:rPr>
            </w:pPr>
            <w:r w:rsidRPr="00610B1B">
              <w:rPr>
                <w:rFonts w:cs="Times New Roman"/>
              </w:rPr>
              <w:t>9</w:t>
            </w:r>
          </w:p>
        </w:tc>
      </w:tr>
      <w:tr w:rsidR="009A3B23" w:rsidRPr="00610B1B" w14:paraId="52FC919C" w14:textId="77777777" w:rsidTr="00094654">
        <w:trPr>
          <w:trHeight w:val="280"/>
        </w:trPr>
        <w:tc>
          <w:tcPr>
            <w:tcW w:w="4508" w:type="dxa"/>
            <w:tcBorders>
              <w:right w:val="nil"/>
            </w:tcBorders>
          </w:tcPr>
          <w:p w14:paraId="79346122" w14:textId="0C72A3DC" w:rsidR="009A3B23" w:rsidRPr="00610B1B" w:rsidRDefault="009A3B23" w:rsidP="009A3B23">
            <w:pPr>
              <w:pStyle w:val="BodyText"/>
              <w:spacing w:before="0" w:after="0" w:line="276" w:lineRule="auto"/>
              <w:ind w:right="-153"/>
              <w:rPr>
                <w:rFonts w:cs="Times New Roman"/>
              </w:rPr>
            </w:pPr>
            <w:r w:rsidRPr="00610B1B">
              <w:rPr>
                <w:rFonts w:cs="Times New Roman"/>
              </w:rPr>
              <w:t>Свободна професия</w:t>
            </w:r>
          </w:p>
        </w:tc>
        <w:tc>
          <w:tcPr>
            <w:tcW w:w="4509" w:type="dxa"/>
            <w:tcBorders>
              <w:left w:val="nil"/>
            </w:tcBorders>
          </w:tcPr>
          <w:p w14:paraId="697F4811" w14:textId="4B8AC17F" w:rsidR="009A3B23" w:rsidRPr="00610B1B" w:rsidRDefault="009A3B23" w:rsidP="009A3B23">
            <w:pPr>
              <w:pStyle w:val="BodyText"/>
              <w:spacing w:before="0" w:after="0" w:line="276" w:lineRule="auto"/>
              <w:ind w:right="-153"/>
              <w:jc w:val="center"/>
              <w:rPr>
                <w:rFonts w:cs="Times New Roman"/>
              </w:rPr>
            </w:pPr>
            <w:r w:rsidRPr="00610B1B">
              <w:rPr>
                <w:rFonts w:cs="Times New Roman"/>
              </w:rPr>
              <w:t>1</w:t>
            </w:r>
          </w:p>
        </w:tc>
      </w:tr>
    </w:tbl>
    <w:p w14:paraId="29189A62" w14:textId="1BF7C20E" w:rsidR="00E331E1" w:rsidRPr="00610B1B" w:rsidRDefault="00E331E1" w:rsidP="009463FB">
      <w:pPr>
        <w:pStyle w:val="BodyText"/>
        <w:spacing w:before="60" w:after="120" w:line="240" w:lineRule="auto"/>
        <w:ind w:right="-153"/>
        <w:rPr>
          <w:rFonts w:cs="Times New Roman"/>
          <w:i/>
          <w:sz w:val="20"/>
          <w:szCs w:val="20"/>
        </w:rPr>
      </w:pPr>
      <w:r w:rsidRPr="00610B1B">
        <w:rPr>
          <w:rFonts w:cs="Times New Roman"/>
          <w:i/>
          <w:sz w:val="20"/>
          <w:szCs w:val="20"/>
        </w:rPr>
        <w:t>Забележка: Сборът на участниците от различни сектори и йерархични нива е повече от 31, защото някои от респондентите са посочили повече от една област.</w:t>
      </w:r>
    </w:p>
    <w:p w14:paraId="352B31BE" w14:textId="62F16E16" w:rsidR="00DA1734" w:rsidRPr="00610B1B" w:rsidRDefault="00DA1734" w:rsidP="00D32D6A">
      <w:pPr>
        <w:pStyle w:val="BodyText"/>
        <w:spacing w:before="0" w:after="120" w:line="276" w:lineRule="auto"/>
        <w:ind w:right="-153"/>
        <w:rPr>
          <w:rFonts w:cs="Times New Roman"/>
        </w:rPr>
      </w:pPr>
      <w:r w:rsidRPr="00610B1B">
        <w:rPr>
          <w:rFonts w:cs="Times New Roman"/>
        </w:rPr>
        <w:t xml:space="preserve">На проведеното през месец април 2020 г. социологическо проучване чрез дълбочинни интервюта от 60 поканени се отзоваха 31 експерти и заинтересовани страни, имащи отношение към Морския пространствен план. </w:t>
      </w:r>
    </w:p>
    <w:p w14:paraId="618590EC" w14:textId="0C4EEB99" w:rsidR="00E216B5" w:rsidRPr="00610B1B" w:rsidRDefault="007E61E6" w:rsidP="00D32D6A">
      <w:pPr>
        <w:pStyle w:val="BodyText"/>
        <w:spacing w:before="0" w:after="120" w:line="276" w:lineRule="auto"/>
        <w:ind w:right="-153"/>
        <w:rPr>
          <w:rFonts w:cs="Times New Roman"/>
        </w:rPr>
      </w:pPr>
      <w:r w:rsidRPr="00610B1B">
        <w:rPr>
          <w:rFonts w:cs="Times New Roman"/>
        </w:rPr>
        <w:t xml:space="preserve">Резултатите от получените отговори извеждат </w:t>
      </w:r>
      <w:r w:rsidR="00E216B5" w:rsidRPr="00610B1B">
        <w:rPr>
          <w:rFonts w:cs="Times New Roman"/>
        </w:rPr>
        <w:t>на преден план основни изводи и препоръки, систематизирани в две основни групи – оценка на настоящата ситуация и теми, свързани с морския пространствен план.</w:t>
      </w:r>
    </w:p>
    <w:p w14:paraId="4AB11736" w14:textId="77777777" w:rsidR="009918C6" w:rsidRPr="00610B1B" w:rsidRDefault="009918C6" w:rsidP="00D32D6A">
      <w:pPr>
        <w:pStyle w:val="BodyText"/>
        <w:spacing w:before="0" w:after="120" w:line="276" w:lineRule="auto"/>
        <w:ind w:right="-153"/>
        <w:rPr>
          <w:rFonts w:cs="Times New Roman"/>
        </w:rPr>
      </w:pPr>
    </w:p>
    <w:p w14:paraId="40FC0434" w14:textId="2161A1EC" w:rsidR="00E216B5" w:rsidRPr="00610B1B" w:rsidRDefault="0061403C" w:rsidP="00D32D6A">
      <w:pPr>
        <w:pStyle w:val="Heading3"/>
        <w:spacing w:before="0" w:line="276" w:lineRule="auto"/>
        <w:ind w:right="-153"/>
        <w:rPr>
          <w:rFonts w:cs="Times New Roman"/>
        </w:rPr>
      </w:pPr>
      <w:bookmarkStart w:id="519" w:name="_Toc83391449"/>
      <w:r w:rsidRPr="00610B1B">
        <w:rPr>
          <w:rFonts w:cs="Times New Roman"/>
        </w:rPr>
        <w:t>8</w:t>
      </w:r>
      <w:r w:rsidR="007A7F54" w:rsidRPr="00610B1B">
        <w:rPr>
          <w:rFonts w:cs="Times New Roman"/>
        </w:rPr>
        <w:t>.</w:t>
      </w:r>
      <w:r w:rsidR="0041129F" w:rsidRPr="00610B1B">
        <w:rPr>
          <w:rFonts w:cs="Times New Roman"/>
        </w:rPr>
        <w:t>2</w:t>
      </w:r>
      <w:r w:rsidR="00E216B5" w:rsidRPr="00610B1B">
        <w:rPr>
          <w:rFonts w:cs="Times New Roman"/>
        </w:rPr>
        <w:t>.1. Оценка на настоящата ситуация</w:t>
      </w:r>
      <w:bookmarkEnd w:id="519"/>
    </w:p>
    <w:p w14:paraId="13606946" w14:textId="3F32939F"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Експертите посочват за </w:t>
      </w:r>
      <w:r w:rsidRPr="00610B1B">
        <w:rPr>
          <w:rFonts w:cs="Times New Roman"/>
          <w:b/>
        </w:rPr>
        <w:t>силни страни</w:t>
      </w:r>
      <w:r w:rsidRPr="00610B1B">
        <w:rPr>
          <w:rFonts w:cs="Times New Roman"/>
        </w:rPr>
        <w:t xml:space="preserve"> на българското морско пространство и прилежащите крайбрежни територии </w:t>
      </w:r>
      <w:r w:rsidR="00A579CE" w:rsidRPr="00610B1B">
        <w:rPr>
          <w:rFonts w:cs="Times New Roman"/>
        </w:rPr>
        <w:t>развитието на туризма, т</w:t>
      </w:r>
      <w:r w:rsidRPr="00610B1B">
        <w:rPr>
          <w:rFonts w:cs="Times New Roman"/>
        </w:rPr>
        <w:t>ранспорт</w:t>
      </w:r>
      <w:r w:rsidR="00A579CE" w:rsidRPr="00610B1B">
        <w:rPr>
          <w:rFonts w:cs="Times New Roman"/>
        </w:rPr>
        <w:t>а</w:t>
      </w:r>
      <w:r w:rsidRPr="00610B1B">
        <w:rPr>
          <w:rFonts w:cs="Times New Roman"/>
        </w:rPr>
        <w:t xml:space="preserve"> и търговия</w:t>
      </w:r>
      <w:r w:rsidR="00A579CE" w:rsidRPr="00610B1B">
        <w:rPr>
          <w:rFonts w:cs="Times New Roman"/>
        </w:rPr>
        <w:t xml:space="preserve">та, </w:t>
      </w:r>
      <w:r w:rsidRPr="00610B1B">
        <w:rPr>
          <w:rFonts w:cs="Times New Roman"/>
        </w:rPr>
        <w:t>природа</w:t>
      </w:r>
      <w:r w:rsidR="00A579CE" w:rsidRPr="00610B1B">
        <w:rPr>
          <w:rFonts w:cs="Times New Roman"/>
        </w:rPr>
        <w:t>та</w:t>
      </w:r>
      <w:r w:rsidRPr="00610B1B">
        <w:rPr>
          <w:rFonts w:cs="Times New Roman"/>
        </w:rPr>
        <w:t>, климат</w:t>
      </w:r>
      <w:r w:rsidR="00A579CE" w:rsidRPr="00610B1B">
        <w:rPr>
          <w:rFonts w:cs="Times New Roman"/>
        </w:rPr>
        <w:t xml:space="preserve">а и екологията, </w:t>
      </w:r>
      <w:r w:rsidRPr="00610B1B">
        <w:rPr>
          <w:rFonts w:cs="Times New Roman"/>
        </w:rPr>
        <w:t>рибарство</w:t>
      </w:r>
      <w:r w:rsidR="00A579CE" w:rsidRPr="00610B1B">
        <w:rPr>
          <w:rFonts w:cs="Times New Roman"/>
        </w:rPr>
        <w:t>то</w:t>
      </w:r>
      <w:r w:rsidRPr="00610B1B">
        <w:rPr>
          <w:rFonts w:cs="Times New Roman"/>
        </w:rPr>
        <w:t xml:space="preserve"> и аквакултури</w:t>
      </w:r>
      <w:r w:rsidR="00A579CE" w:rsidRPr="00610B1B">
        <w:rPr>
          <w:rFonts w:cs="Times New Roman"/>
        </w:rPr>
        <w:t xml:space="preserve">те и </w:t>
      </w:r>
      <w:r w:rsidRPr="00610B1B">
        <w:rPr>
          <w:rFonts w:cs="Times New Roman"/>
        </w:rPr>
        <w:t>културно</w:t>
      </w:r>
      <w:r w:rsidR="00A579CE" w:rsidRPr="00610B1B">
        <w:rPr>
          <w:rFonts w:cs="Times New Roman"/>
        </w:rPr>
        <w:t>то</w:t>
      </w:r>
      <w:r w:rsidRPr="00610B1B">
        <w:rPr>
          <w:rFonts w:cs="Times New Roman"/>
        </w:rPr>
        <w:t xml:space="preserve"> наследство. Позитивно се разглеждат земеделието и горското стопанство в прилежащите крайбрежни територии</w:t>
      </w:r>
      <w:r w:rsidR="00A579CE" w:rsidRPr="00610B1B">
        <w:rPr>
          <w:rFonts w:cs="Times New Roman"/>
        </w:rPr>
        <w:t xml:space="preserve">, </w:t>
      </w:r>
      <w:r w:rsidRPr="00610B1B">
        <w:rPr>
          <w:rFonts w:cs="Times New Roman"/>
        </w:rPr>
        <w:t>строителството</w:t>
      </w:r>
      <w:r w:rsidR="00A579CE" w:rsidRPr="00610B1B">
        <w:rPr>
          <w:rFonts w:cs="Times New Roman"/>
        </w:rPr>
        <w:t>,</w:t>
      </w:r>
      <w:r w:rsidRPr="00610B1B">
        <w:rPr>
          <w:rFonts w:cs="Times New Roman"/>
        </w:rPr>
        <w:t xml:space="preserve"> образованието и научната дейност</w:t>
      </w:r>
      <w:r w:rsidR="00A579CE" w:rsidRPr="00610B1B">
        <w:rPr>
          <w:rFonts w:cs="Times New Roman"/>
        </w:rPr>
        <w:t>,</w:t>
      </w:r>
      <w:r w:rsidRPr="00610B1B">
        <w:rPr>
          <w:rFonts w:cs="Times New Roman"/>
        </w:rPr>
        <w:t xml:space="preserve"> геополитическите фактори</w:t>
      </w:r>
      <w:r w:rsidR="00A579CE" w:rsidRPr="00610B1B">
        <w:rPr>
          <w:rFonts w:cs="Times New Roman"/>
        </w:rPr>
        <w:t>,</w:t>
      </w:r>
      <w:r w:rsidRPr="00610B1B">
        <w:rPr>
          <w:rFonts w:cs="Times New Roman"/>
        </w:rPr>
        <w:t xml:space="preserve"> законодателни</w:t>
      </w:r>
      <w:r w:rsidR="00A579CE" w:rsidRPr="00610B1B">
        <w:rPr>
          <w:rFonts w:cs="Times New Roman"/>
        </w:rPr>
        <w:t>те</w:t>
      </w:r>
      <w:r w:rsidRPr="00610B1B">
        <w:rPr>
          <w:rFonts w:cs="Times New Roman"/>
        </w:rPr>
        <w:t xml:space="preserve"> фактори</w:t>
      </w:r>
      <w:r w:rsidR="00A579CE" w:rsidRPr="00610B1B">
        <w:rPr>
          <w:rFonts w:cs="Times New Roman"/>
        </w:rPr>
        <w:t xml:space="preserve"> и</w:t>
      </w:r>
      <w:r w:rsidRPr="00610B1B">
        <w:rPr>
          <w:rFonts w:cs="Times New Roman"/>
        </w:rPr>
        <w:t xml:space="preserve"> потенциали</w:t>
      </w:r>
      <w:r w:rsidR="00A579CE" w:rsidRPr="00610B1B">
        <w:rPr>
          <w:rFonts w:cs="Times New Roman"/>
        </w:rPr>
        <w:t>те</w:t>
      </w:r>
      <w:r w:rsidRPr="00610B1B">
        <w:rPr>
          <w:rFonts w:cs="Times New Roman"/>
        </w:rPr>
        <w:t xml:space="preserve"> </w:t>
      </w:r>
      <w:r w:rsidR="00054741" w:rsidRPr="00610B1B">
        <w:rPr>
          <w:rFonts w:cs="Times New Roman"/>
        </w:rPr>
        <w:t>на</w:t>
      </w:r>
      <w:r w:rsidRPr="00610B1B">
        <w:rPr>
          <w:rFonts w:cs="Times New Roman"/>
        </w:rPr>
        <w:t xml:space="preserve"> икономическата сфера. </w:t>
      </w:r>
    </w:p>
    <w:p w14:paraId="1D5E2931" w14:textId="36814B67" w:rsidR="00E216B5" w:rsidRPr="00610B1B" w:rsidRDefault="00A579CE" w:rsidP="00D32D6A">
      <w:pPr>
        <w:pStyle w:val="BodyText"/>
        <w:spacing w:before="0" w:after="120" w:line="276" w:lineRule="auto"/>
        <w:ind w:right="-153"/>
        <w:rPr>
          <w:rFonts w:cs="Times New Roman"/>
        </w:rPr>
      </w:pPr>
      <w:r w:rsidRPr="00610B1B">
        <w:rPr>
          <w:rFonts w:cs="Times New Roman"/>
        </w:rPr>
        <w:t>Като н</w:t>
      </w:r>
      <w:r w:rsidR="00E216B5" w:rsidRPr="00610B1B">
        <w:rPr>
          <w:rFonts w:cs="Times New Roman"/>
        </w:rPr>
        <w:t xml:space="preserve">ай-значими </w:t>
      </w:r>
      <w:r w:rsidR="00E216B5" w:rsidRPr="00610B1B">
        <w:rPr>
          <w:rFonts w:cs="Times New Roman"/>
          <w:b/>
        </w:rPr>
        <w:t>проблеми</w:t>
      </w:r>
      <w:r w:rsidR="00E216B5" w:rsidRPr="00610B1B">
        <w:rPr>
          <w:rFonts w:cs="Times New Roman"/>
        </w:rPr>
        <w:t xml:space="preserve"> на българското морско пространство и прилежащите му територии с</w:t>
      </w:r>
      <w:r w:rsidRPr="00610B1B">
        <w:rPr>
          <w:rFonts w:cs="Times New Roman"/>
        </w:rPr>
        <w:t>е посочват</w:t>
      </w:r>
      <w:r w:rsidR="00E216B5" w:rsidRPr="00610B1B">
        <w:rPr>
          <w:rFonts w:cs="Times New Roman"/>
        </w:rPr>
        <w:t xml:space="preserve"> урбанизацията и презастрояването</w:t>
      </w:r>
      <w:r w:rsidRPr="00610B1B">
        <w:rPr>
          <w:rFonts w:cs="Times New Roman"/>
        </w:rPr>
        <w:t>,</w:t>
      </w:r>
      <w:r w:rsidR="00E216B5" w:rsidRPr="00610B1B">
        <w:rPr>
          <w:rFonts w:cs="Times New Roman"/>
        </w:rPr>
        <w:t xml:space="preserve"> замърсяване</w:t>
      </w:r>
      <w:r w:rsidRPr="00610B1B">
        <w:rPr>
          <w:rFonts w:cs="Times New Roman"/>
        </w:rPr>
        <w:t>то</w:t>
      </w:r>
      <w:r w:rsidR="00E216B5" w:rsidRPr="00610B1B">
        <w:rPr>
          <w:rFonts w:cs="Times New Roman"/>
        </w:rPr>
        <w:t>, екологични</w:t>
      </w:r>
      <w:r w:rsidRPr="00610B1B">
        <w:rPr>
          <w:rFonts w:cs="Times New Roman"/>
        </w:rPr>
        <w:t>те</w:t>
      </w:r>
      <w:r w:rsidR="00E216B5" w:rsidRPr="00610B1B">
        <w:rPr>
          <w:rFonts w:cs="Times New Roman"/>
        </w:rPr>
        <w:t xml:space="preserve"> проблеми и </w:t>
      </w:r>
      <w:r w:rsidR="00054741" w:rsidRPr="00610B1B">
        <w:rPr>
          <w:rFonts w:cs="Times New Roman"/>
        </w:rPr>
        <w:t>загубата</w:t>
      </w:r>
      <w:r w:rsidR="00E216B5" w:rsidRPr="00610B1B">
        <w:rPr>
          <w:rFonts w:cs="Times New Roman"/>
        </w:rPr>
        <w:t xml:space="preserve"> на биоразнообразие</w:t>
      </w:r>
      <w:r w:rsidRPr="00610B1B">
        <w:rPr>
          <w:rFonts w:cs="Times New Roman"/>
        </w:rPr>
        <w:t>,</w:t>
      </w:r>
      <w:r w:rsidR="00E216B5" w:rsidRPr="00610B1B">
        <w:rPr>
          <w:rFonts w:cs="Times New Roman"/>
        </w:rPr>
        <w:t xml:space="preserve"> липсата на план и стратегия за развитие. Други посочвани проблеми са негативното развитие на туризма</w:t>
      </w:r>
      <w:r w:rsidRPr="00610B1B">
        <w:rPr>
          <w:rFonts w:cs="Times New Roman"/>
        </w:rPr>
        <w:t>,</w:t>
      </w:r>
      <w:r w:rsidR="00E216B5" w:rsidRPr="00610B1B">
        <w:rPr>
          <w:rFonts w:cs="Times New Roman"/>
        </w:rPr>
        <w:t xml:space="preserve"> законови</w:t>
      </w:r>
      <w:r w:rsidRPr="00610B1B">
        <w:rPr>
          <w:rFonts w:cs="Times New Roman"/>
        </w:rPr>
        <w:t>те</w:t>
      </w:r>
      <w:r w:rsidR="00E216B5" w:rsidRPr="00610B1B">
        <w:rPr>
          <w:rFonts w:cs="Times New Roman"/>
        </w:rPr>
        <w:t xml:space="preserve"> и институционални ограничения</w:t>
      </w:r>
      <w:r w:rsidRPr="00610B1B">
        <w:rPr>
          <w:rFonts w:cs="Times New Roman"/>
        </w:rPr>
        <w:t>,</w:t>
      </w:r>
      <w:r w:rsidR="00E216B5" w:rsidRPr="00610B1B">
        <w:rPr>
          <w:rFonts w:cs="Times New Roman"/>
        </w:rPr>
        <w:t xml:space="preserve"> лоша</w:t>
      </w:r>
      <w:r w:rsidRPr="00610B1B">
        <w:rPr>
          <w:rFonts w:cs="Times New Roman"/>
        </w:rPr>
        <w:t>та</w:t>
      </w:r>
      <w:r w:rsidR="00E216B5" w:rsidRPr="00610B1B">
        <w:rPr>
          <w:rFonts w:cs="Times New Roman"/>
        </w:rPr>
        <w:t xml:space="preserve"> пристанищна и пътна инфраструктура</w:t>
      </w:r>
      <w:r w:rsidRPr="00610B1B">
        <w:rPr>
          <w:rFonts w:cs="Times New Roman"/>
        </w:rPr>
        <w:t>,</w:t>
      </w:r>
      <w:r w:rsidR="00E216B5" w:rsidRPr="00610B1B">
        <w:rPr>
          <w:rFonts w:cs="Times New Roman"/>
        </w:rPr>
        <w:t xml:space="preserve"> липса</w:t>
      </w:r>
      <w:r w:rsidRPr="00610B1B">
        <w:rPr>
          <w:rFonts w:cs="Times New Roman"/>
        </w:rPr>
        <w:t>та</w:t>
      </w:r>
      <w:r w:rsidR="00E216B5" w:rsidRPr="00610B1B">
        <w:rPr>
          <w:rFonts w:cs="Times New Roman"/>
        </w:rPr>
        <w:t xml:space="preserve"> на плавателни съдове и екипировка за </w:t>
      </w:r>
      <w:r w:rsidR="00E216B5" w:rsidRPr="00610B1B">
        <w:rPr>
          <w:rFonts w:cs="Times New Roman"/>
        </w:rPr>
        <w:lastRenderedPageBreak/>
        <w:t>спасителни операции в морето</w:t>
      </w:r>
      <w:r w:rsidR="00E331E1" w:rsidRPr="00610B1B">
        <w:rPr>
          <w:rFonts w:cs="Times New Roman"/>
        </w:rPr>
        <w:t>, ограничените знания</w:t>
      </w:r>
      <w:r w:rsidR="00E216B5" w:rsidRPr="00610B1B">
        <w:rPr>
          <w:rFonts w:cs="Times New Roman"/>
        </w:rPr>
        <w:t>.</w:t>
      </w:r>
      <w:r w:rsidRPr="00610B1B">
        <w:rPr>
          <w:rFonts w:cs="Times New Roman"/>
        </w:rPr>
        <w:t xml:space="preserve"> </w:t>
      </w:r>
      <w:r w:rsidR="00E216B5" w:rsidRPr="00610B1B">
        <w:rPr>
          <w:rFonts w:cs="Times New Roman"/>
        </w:rPr>
        <w:t>Пр</w:t>
      </w:r>
      <w:r w:rsidR="00E331E1" w:rsidRPr="00610B1B">
        <w:rPr>
          <w:rFonts w:cs="Times New Roman"/>
        </w:rPr>
        <w:t xml:space="preserve">епоръчва се </w:t>
      </w:r>
      <w:r w:rsidR="00E216B5" w:rsidRPr="00610B1B">
        <w:rPr>
          <w:rFonts w:cs="Times New Roman"/>
        </w:rPr>
        <w:t>Морския</w:t>
      </w:r>
      <w:r w:rsidR="00E331E1" w:rsidRPr="00610B1B">
        <w:rPr>
          <w:rFonts w:cs="Times New Roman"/>
        </w:rPr>
        <w:t>т</w:t>
      </w:r>
      <w:r w:rsidR="00E216B5" w:rsidRPr="00610B1B">
        <w:rPr>
          <w:rFonts w:cs="Times New Roman"/>
        </w:rPr>
        <w:t xml:space="preserve"> пространствен план усилията да се фокусира върху </w:t>
      </w:r>
      <w:r w:rsidRPr="00610B1B">
        <w:rPr>
          <w:rFonts w:cs="Times New Roman"/>
        </w:rPr>
        <w:t xml:space="preserve">тези </w:t>
      </w:r>
      <w:r w:rsidR="00E216B5" w:rsidRPr="00610B1B">
        <w:rPr>
          <w:rFonts w:cs="Times New Roman"/>
        </w:rPr>
        <w:t>основни проблеми.</w:t>
      </w:r>
    </w:p>
    <w:p w14:paraId="46FD93F7" w14:textId="45A86B72"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Категорично доминират мненията, че повечето проблеми, които изискват съсредоточаване на вниманието и усилията за решаването им са </w:t>
      </w:r>
      <w:r w:rsidRPr="00610B1B">
        <w:rPr>
          <w:rFonts w:cs="Times New Roman"/>
          <w:b/>
        </w:rPr>
        <w:t xml:space="preserve">на сушата в прилежащите крайбрежни територии, а не в </w:t>
      </w:r>
      <w:r w:rsidR="00054741" w:rsidRPr="00610B1B">
        <w:rPr>
          <w:rFonts w:cs="Times New Roman"/>
          <w:b/>
        </w:rPr>
        <w:t>морето</w:t>
      </w:r>
      <w:r w:rsidRPr="00610B1B">
        <w:rPr>
          <w:rFonts w:cs="Times New Roman"/>
        </w:rPr>
        <w:t xml:space="preserve">. Съотношението на оценките в полза на сушата спрямо морските пространства </w:t>
      </w:r>
      <w:r w:rsidR="00AC2BA8" w:rsidRPr="00610B1B">
        <w:rPr>
          <w:rFonts w:cs="Times New Roman"/>
        </w:rPr>
        <w:t>е 3,5:1</w:t>
      </w:r>
      <w:r w:rsidRPr="00610B1B">
        <w:rPr>
          <w:rFonts w:cs="Times New Roman"/>
        </w:rPr>
        <w:t>. Аргументите в полза на приоритизиране на сушата са свързани с разбирането, че човешките дейности са първоизточник на повечето проблеми, съсредоточени на сушата</w:t>
      </w:r>
      <w:r w:rsidR="00054741" w:rsidRPr="00610B1B">
        <w:rPr>
          <w:rFonts w:cs="Times New Roman"/>
        </w:rPr>
        <w:t>, където са и по-видими.</w:t>
      </w:r>
      <w:r w:rsidR="00AC2BA8" w:rsidRPr="00610B1B">
        <w:rPr>
          <w:rFonts w:cs="Times New Roman"/>
        </w:rPr>
        <w:t xml:space="preserve"> </w:t>
      </w:r>
      <w:r w:rsidR="00054741" w:rsidRPr="00610B1B">
        <w:rPr>
          <w:rFonts w:cs="Times New Roman"/>
        </w:rPr>
        <w:t xml:space="preserve">Трябва </w:t>
      </w:r>
      <w:r w:rsidR="00AC2BA8" w:rsidRPr="00610B1B">
        <w:rPr>
          <w:rFonts w:cs="Times New Roman"/>
        </w:rPr>
        <w:t xml:space="preserve">да се акцентира върху образователни програми, които да променят нагласите към морето. Липсата на достатъчно информация за състоянието на морските пространства е друг проблем, който трябва да бъде преодолян. </w:t>
      </w:r>
      <w:r w:rsidRPr="00610B1B">
        <w:rPr>
          <w:rFonts w:cs="Times New Roman"/>
        </w:rPr>
        <w:t xml:space="preserve">Аргументите в полза на приоритизиране на морските пространства са значително по-малко и </w:t>
      </w:r>
      <w:r w:rsidR="00AC2BA8" w:rsidRPr="00610B1B">
        <w:rPr>
          <w:rFonts w:cs="Times New Roman"/>
        </w:rPr>
        <w:t>се свързват</w:t>
      </w:r>
      <w:r w:rsidRPr="00610B1B">
        <w:rPr>
          <w:rFonts w:cs="Times New Roman"/>
        </w:rPr>
        <w:t xml:space="preserve"> предимно с липсата на контрол в тези пространства. </w:t>
      </w:r>
      <w:r w:rsidR="00AC2BA8" w:rsidRPr="00610B1B">
        <w:rPr>
          <w:rFonts w:cs="Times New Roman"/>
        </w:rPr>
        <w:t>Тези п</w:t>
      </w:r>
      <w:r w:rsidRPr="00610B1B">
        <w:rPr>
          <w:rFonts w:cs="Times New Roman"/>
        </w:rPr>
        <w:t xml:space="preserve">роблеми са оставяни до момента на заден план и евентуалното им приоритизиране би подпомогнало тяхното решаване. </w:t>
      </w:r>
    </w:p>
    <w:p w14:paraId="76A914D8" w14:textId="2BF7A3E1"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Поляризирани са мненията относно приоритизиране на </w:t>
      </w:r>
      <w:r w:rsidRPr="00610B1B">
        <w:rPr>
          <w:rFonts w:cs="Times New Roman"/>
          <w:b/>
          <w:bCs/>
        </w:rPr>
        <w:t>социално-икономическата или екологичната сфера.</w:t>
      </w:r>
      <w:r w:rsidRPr="00610B1B">
        <w:rPr>
          <w:rFonts w:cs="Times New Roman"/>
        </w:rPr>
        <w:t xml:space="preserve"> Рав</w:t>
      </w:r>
      <w:r w:rsidR="001744D3" w:rsidRPr="00610B1B">
        <w:rPr>
          <w:rFonts w:cs="Times New Roman"/>
        </w:rPr>
        <w:t>ностойна е подкрепата за едната и з</w:t>
      </w:r>
      <w:r w:rsidRPr="00610B1B">
        <w:rPr>
          <w:rFonts w:cs="Times New Roman"/>
        </w:rPr>
        <w:t xml:space="preserve">а другата област. Аргументите в полза на приоритизиране на социално-икономическата сфера извеждат на преден план разбирането, че състоянието и развитието на тази сфера оказва съществено влияние върху екологичната. Изключително големи са икономическите проблеми. От друга страна екологичната сфера се разглежда като развиваща се позитивно, с по-малко проблеми. Аргументите в полза на приоритизиране </w:t>
      </w:r>
      <w:r w:rsidR="00AC2BA8" w:rsidRPr="00610B1B">
        <w:rPr>
          <w:rFonts w:cs="Times New Roman"/>
        </w:rPr>
        <w:t xml:space="preserve">на </w:t>
      </w:r>
      <w:r w:rsidRPr="00610B1B">
        <w:rPr>
          <w:rFonts w:cs="Times New Roman"/>
        </w:rPr>
        <w:t xml:space="preserve">екологичната сфера са свързани с общочовешки ценности. Запазването на природните богатства и многообразие преминава през тяхната защита от натиска на икономическите сектори. Нуждата от стриктни норми и мерки, част от мащабен план за опазване на морето се определят като първостепенни. Замърсяването на околната среда има негативен ефект върху социално-икономическото развитие и в частност върху туризма. </w:t>
      </w:r>
    </w:p>
    <w:p w14:paraId="04DC7343" w14:textId="57F19C7C"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Мненията относно извеждането на преден план на </w:t>
      </w:r>
      <w:r w:rsidRPr="00610B1B">
        <w:rPr>
          <w:rFonts w:cs="Times New Roman"/>
          <w:b/>
          <w:bCs/>
        </w:rPr>
        <w:t>законодателството и нормативната уредба</w:t>
      </w:r>
      <w:r w:rsidRPr="00610B1B">
        <w:rPr>
          <w:rFonts w:cs="Times New Roman"/>
        </w:rPr>
        <w:t xml:space="preserve"> имат минимален превес над администрирането и управлението.</w:t>
      </w:r>
      <w:r w:rsidR="00E16795" w:rsidRPr="00610B1B">
        <w:rPr>
          <w:rFonts w:cs="Times New Roman"/>
        </w:rPr>
        <w:t xml:space="preserve"> </w:t>
      </w:r>
      <w:r w:rsidRPr="00610B1B">
        <w:rPr>
          <w:rFonts w:cs="Times New Roman"/>
        </w:rPr>
        <w:t xml:space="preserve">Аргументите в полза на приоритизиране на законодателството и нормативната уредба са свързани с убеждението, че администрирането и управлението са функции на законодателните норми. </w:t>
      </w:r>
      <w:r w:rsidR="00054741" w:rsidRPr="00610B1B">
        <w:rPr>
          <w:rFonts w:cs="Times New Roman"/>
        </w:rPr>
        <w:t xml:space="preserve">Негативите </w:t>
      </w:r>
      <w:r w:rsidRPr="00610B1B">
        <w:rPr>
          <w:rFonts w:cs="Times New Roman"/>
        </w:rPr>
        <w:t>при законодателството дават отражение и върху качеството на работата на администрацията. Аргументите в полза на приоритизиране на администрирането и управлението се обвързват с констатацията, че там ситуацията е по-лоша и от</w:t>
      </w:r>
      <w:r w:rsidR="001744D3" w:rsidRPr="00610B1B">
        <w:rPr>
          <w:rFonts w:cs="Times New Roman"/>
        </w:rPr>
        <w:t xml:space="preserve"> </w:t>
      </w:r>
      <w:r w:rsidRPr="00610B1B">
        <w:rPr>
          <w:rFonts w:cs="Times New Roman"/>
        </w:rPr>
        <w:t>това се създават повечето проблеми. Определенията, които се дават за администрацията са: некомпетентност; неморалност; липса на воля</w:t>
      </w:r>
      <w:r w:rsidR="00AC2BA8" w:rsidRPr="00610B1B">
        <w:rPr>
          <w:rFonts w:cs="Times New Roman"/>
        </w:rPr>
        <w:t xml:space="preserve"> и </w:t>
      </w:r>
      <w:r w:rsidRPr="00610B1B">
        <w:rPr>
          <w:rFonts w:cs="Times New Roman"/>
        </w:rPr>
        <w:t xml:space="preserve">капацитет; неефективност; свръхполитизиране; липса на желание за адекватно администриране, контрол и поемане на отговорност. Друг проблем е лошата връзка между институциите. </w:t>
      </w:r>
    </w:p>
    <w:p w14:paraId="183E88B7" w14:textId="39582716" w:rsidR="00E216B5" w:rsidRPr="00610B1B" w:rsidRDefault="00E216B5" w:rsidP="00D32D6A">
      <w:pPr>
        <w:pStyle w:val="BodyText"/>
        <w:tabs>
          <w:tab w:val="left" w:pos="1980"/>
        </w:tabs>
        <w:spacing w:before="0" w:after="120" w:line="276" w:lineRule="auto"/>
        <w:ind w:right="-153"/>
        <w:rPr>
          <w:rFonts w:cs="Times New Roman"/>
          <w:bCs/>
        </w:rPr>
      </w:pPr>
      <w:r w:rsidRPr="00610B1B">
        <w:rPr>
          <w:rFonts w:cs="Times New Roman"/>
          <w:b/>
        </w:rPr>
        <w:t xml:space="preserve">Необходимостта от интегриран подход, изработването на цялостно законодателство за морското пространствено планиране и формирането на адекватна национална позиция и план </w:t>
      </w:r>
      <w:r w:rsidR="00AC2BA8" w:rsidRPr="00610B1B">
        <w:rPr>
          <w:rFonts w:cs="Times New Roman"/>
          <w:bCs/>
        </w:rPr>
        <w:t xml:space="preserve">се поставят в </w:t>
      </w:r>
      <w:r w:rsidRPr="00610B1B">
        <w:rPr>
          <w:rFonts w:cs="Times New Roman"/>
          <w:bCs/>
        </w:rPr>
        <w:t>основата на решаването на законодателните проблеми.</w:t>
      </w:r>
      <w:r w:rsidR="00D66FE0" w:rsidRPr="00610B1B">
        <w:rPr>
          <w:rFonts w:cs="Times New Roman"/>
          <w:bCs/>
        </w:rPr>
        <w:t xml:space="preserve"> </w:t>
      </w:r>
    </w:p>
    <w:p w14:paraId="1A35A44A" w14:textId="1AD14B2C" w:rsidR="00E216B5" w:rsidRPr="00610B1B" w:rsidRDefault="00E216B5" w:rsidP="00D32D6A">
      <w:pPr>
        <w:pStyle w:val="BodyText"/>
        <w:spacing w:before="0" w:after="120" w:line="276" w:lineRule="auto"/>
        <w:ind w:right="-153"/>
        <w:rPr>
          <w:rFonts w:cs="Times New Roman"/>
        </w:rPr>
      </w:pPr>
      <w:r w:rsidRPr="00610B1B">
        <w:rPr>
          <w:rFonts w:cs="Times New Roman"/>
          <w:b/>
        </w:rPr>
        <w:t>Състоянието на информацията</w:t>
      </w:r>
      <w:r w:rsidR="001744D3" w:rsidRPr="00610B1B">
        <w:rPr>
          <w:rFonts w:cs="Times New Roman"/>
          <w:b/>
        </w:rPr>
        <w:t>,</w:t>
      </w:r>
      <w:r w:rsidRPr="00610B1B">
        <w:rPr>
          <w:rFonts w:cs="Times New Roman"/>
        </w:rPr>
        <w:t xml:space="preserve"> свързана с вътрешните морски води, териториалното море, прилежащата зона, континенталния шелф, и</w:t>
      </w:r>
      <w:r w:rsidR="001744D3" w:rsidRPr="00610B1B">
        <w:rPr>
          <w:rFonts w:cs="Times New Roman"/>
        </w:rPr>
        <w:t>зключителната икономическа зона</w:t>
      </w:r>
      <w:r w:rsidRPr="00610B1B">
        <w:rPr>
          <w:rFonts w:cs="Times New Roman"/>
        </w:rPr>
        <w:t xml:space="preserve"> </w:t>
      </w:r>
      <w:r w:rsidR="001744D3" w:rsidRPr="00610B1B">
        <w:rPr>
          <w:rFonts w:cs="Times New Roman"/>
        </w:rPr>
        <w:t xml:space="preserve">и </w:t>
      </w:r>
      <w:r w:rsidRPr="00610B1B">
        <w:rPr>
          <w:rFonts w:cs="Times New Roman"/>
        </w:rPr>
        <w:t xml:space="preserve">крайбрежните морски води се оценява преобладаващо негативно от гледна точка на наличност и актуалност. В приблизително съотношение 2:1 са отрицателните спрямо положителните оценки на </w:t>
      </w:r>
      <w:r w:rsidRPr="00610B1B">
        <w:rPr>
          <w:rFonts w:cs="Times New Roman"/>
        </w:rPr>
        <w:lastRenderedPageBreak/>
        <w:t xml:space="preserve">експертите. Отчита се необходимостта от създаване на обща база данни, от източници с обобщена информация и нуждата от обединяване на усилията на различните институции и обмен на информацията между тях. </w:t>
      </w:r>
    </w:p>
    <w:p w14:paraId="4499FDA1" w14:textId="09D593A8" w:rsidR="00E216B5" w:rsidRPr="00610B1B" w:rsidRDefault="001744D3" w:rsidP="00D32D6A">
      <w:pPr>
        <w:pStyle w:val="BodyText"/>
        <w:spacing w:before="0" w:after="120" w:line="276" w:lineRule="auto"/>
        <w:ind w:right="-153"/>
        <w:rPr>
          <w:rFonts w:cs="Times New Roman"/>
        </w:rPr>
      </w:pPr>
      <w:r w:rsidRPr="00610B1B">
        <w:rPr>
          <w:rFonts w:cs="Times New Roman"/>
        </w:rPr>
        <w:t xml:space="preserve">Дават се негативни </w:t>
      </w:r>
      <w:r w:rsidR="00E216B5" w:rsidRPr="00610B1B">
        <w:rPr>
          <w:rFonts w:cs="Times New Roman"/>
        </w:rPr>
        <w:t>пример</w:t>
      </w:r>
      <w:r w:rsidR="00AC2BA8" w:rsidRPr="00610B1B">
        <w:rPr>
          <w:rFonts w:cs="Times New Roman"/>
        </w:rPr>
        <w:t>и за</w:t>
      </w:r>
      <w:r w:rsidR="00E216B5" w:rsidRPr="00610B1B">
        <w:rPr>
          <w:rFonts w:cs="Times New Roman"/>
        </w:rPr>
        <w:t xml:space="preserve"> специализирани кадастрални данни </w:t>
      </w:r>
      <w:r w:rsidR="00AC2BA8" w:rsidRPr="00610B1B">
        <w:rPr>
          <w:rFonts w:cs="Times New Roman"/>
        </w:rPr>
        <w:t>н</w:t>
      </w:r>
      <w:r w:rsidR="00E216B5" w:rsidRPr="00610B1B">
        <w:rPr>
          <w:rFonts w:cs="Times New Roman"/>
        </w:rPr>
        <w:t>а крайбрежието; онлайн карти на плажове</w:t>
      </w:r>
      <w:r w:rsidR="006B2281" w:rsidRPr="00610B1B">
        <w:rPr>
          <w:rFonts w:cs="Times New Roman"/>
        </w:rPr>
        <w:t>,</w:t>
      </w:r>
      <w:r w:rsidR="00E216B5" w:rsidRPr="00610B1B">
        <w:rPr>
          <w:rFonts w:cs="Times New Roman"/>
        </w:rPr>
        <w:t xml:space="preserve"> отдадени на концесии и на морските транспортни маршрути; различна икономическа информация; информация по въпроси, свързани с проектирането и строителството на морски хидротехнически съоръжения.</w:t>
      </w:r>
      <w:r w:rsidR="00E16795" w:rsidRPr="00610B1B">
        <w:rPr>
          <w:rFonts w:cs="Times New Roman"/>
        </w:rPr>
        <w:t xml:space="preserve"> </w:t>
      </w:r>
      <w:r w:rsidR="00E216B5" w:rsidRPr="00610B1B">
        <w:rPr>
          <w:rFonts w:cs="Times New Roman"/>
        </w:rPr>
        <w:t>Като проблемни се възприемат изискването за заплащане на информацията и техническият формат на предоставената информация</w:t>
      </w:r>
      <w:r w:rsidR="006B2281" w:rsidRPr="00610B1B">
        <w:rPr>
          <w:rFonts w:cs="Times New Roman"/>
        </w:rPr>
        <w:t xml:space="preserve">. </w:t>
      </w:r>
      <w:r w:rsidR="00E216B5" w:rsidRPr="00610B1B">
        <w:rPr>
          <w:rFonts w:cs="Times New Roman"/>
        </w:rPr>
        <w:t xml:space="preserve">Принцип при събирането и използването на данни е те да са сравними. Нуждата от системно и синхронизирано набиране на информацията е от ключово значение за нейната използваемост. </w:t>
      </w:r>
    </w:p>
    <w:p w14:paraId="42BCB18D" w14:textId="620E18FA"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Оценката за </w:t>
      </w:r>
      <w:r w:rsidRPr="00610B1B">
        <w:rPr>
          <w:rFonts w:cs="Times New Roman"/>
          <w:b/>
        </w:rPr>
        <w:t>работата на институциите</w:t>
      </w:r>
      <w:r w:rsidRPr="00610B1B">
        <w:rPr>
          <w:rFonts w:cs="Times New Roman"/>
        </w:rPr>
        <w:t xml:space="preserve"> може да бъде разделена на две нива. На макроравнище, от гледна точка на постигнатите крайни резултати и по-общи оценки, работата им се отчита като незадоволителна, докато на микроравнище, когато преценката се сведе до конкретна институция и взаимоотношенията с нея - преобладават позитивните оценки. Проблематизира се работата между институциите - конфликти, липса на синхрон и взаимодействие,</w:t>
      </w:r>
      <w:r w:rsidR="00D66FE0" w:rsidRPr="00610B1B">
        <w:rPr>
          <w:rFonts w:cs="Times New Roman"/>
        </w:rPr>
        <w:t xml:space="preserve"> </w:t>
      </w:r>
      <w:r w:rsidRPr="00610B1B">
        <w:rPr>
          <w:rFonts w:cs="Times New Roman"/>
        </w:rPr>
        <w:t>различни становища по едни и същи казуси.</w:t>
      </w:r>
      <w:r w:rsidR="00D66FE0" w:rsidRPr="00610B1B">
        <w:rPr>
          <w:rFonts w:cs="Times New Roman"/>
        </w:rPr>
        <w:t xml:space="preserve"> </w:t>
      </w:r>
    </w:p>
    <w:p w14:paraId="5FE03BE0" w14:textId="11E6E330" w:rsidR="00E216B5" w:rsidRPr="00610B1B" w:rsidRDefault="00E216B5" w:rsidP="00D32D6A">
      <w:pPr>
        <w:pStyle w:val="BodyText"/>
        <w:spacing w:before="0" w:after="120" w:line="276" w:lineRule="auto"/>
        <w:ind w:right="-153"/>
        <w:rPr>
          <w:rFonts w:cs="Times New Roman"/>
        </w:rPr>
      </w:pPr>
      <w:r w:rsidRPr="00610B1B">
        <w:rPr>
          <w:rFonts w:cs="Times New Roman"/>
        </w:rPr>
        <w:t>На микрониво, при коментиране на институцията, чиито служител е и интервюираният, оценките са изцяло позитивни. В коментарите за администрации, с които се работи съвместно</w:t>
      </w:r>
      <w:r w:rsidR="00644CC8" w:rsidRPr="00610B1B">
        <w:rPr>
          <w:rFonts w:cs="Times New Roman"/>
        </w:rPr>
        <w:t> </w:t>
      </w:r>
      <w:r w:rsidRPr="00610B1B">
        <w:rPr>
          <w:rFonts w:cs="Times New Roman"/>
        </w:rPr>
        <w:t xml:space="preserve">– удовлетвореността отново доминира. Единствено коментарите за институции, от които впечатленията са по-скоро не от </w:t>
      </w:r>
      <w:r w:rsidR="001744D3" w:rsidRPr="00610B1B">
        <w:rPr>
          <w:rFonts w:cs="Times New Roman"/>
        </w:rPr>
        <w:t>съвместната работа, а индиректни</w:t>
      </w:r>
      <w:r w:rsidRPr="00610B1B">
        <w:rPr>
          <w:rFonts w:cs="Times New Roman"/>
        </w:rPr>
        <w:t xml:space="preserve"> и от постигнатите резултати</w:t>
      </w:r>
      <w:r w:rsidR="00644CC8" w:rsidRPr="00610B1B">
        <w:rPr>
          <w:rFonts w:cs="Times New Roman"/>
        </w:rPr>
        <w:t> </w:t>
      </w:r>
      <w:r w:rsidRPr="00610B1B">
        <w:rPr>
          <w:rFonts w:cs="Times New Roman"/>
        </w:rPr>
        <w:t xml:space="preserve">– критиките се увеличават. Отчита се позитивното развитие през последните години на някои институции. Решаването на проблемите в институциите се </w:t>
      </w:r>
      <w:r w:rsidR="006B2281" w:rsidRPr="00610B1B">
        <w:rPr>
          <w:rFonts w:cs="Times New Roman"/>
        </w:rPr>
        <w:t xml:space="preserve">търси в </w:t>
      </w:r>
      <w:r w:rsidRPr="00610B1B">
        <w:rPr>
          <w:rFonts w:cs="Times New Roman"/>
        </w:rPr>
        <w:t>преодоляването на следните проблеми: недостатъчно институции, финансиране, персонал и компетентност</w:t>
      </w:r>
      <w:r w:rsidR="006B2281" w:rsidRPr="00610B1B">
        <w:rPr>
          <w:rFonts w:cs="Times New Roman"/>
        </w:rPr>
        <w:t>, т.е. недостатъчен институционален, административен и експертен капацитет</w:t>
      </w:r>
      <w:r w:rsidRPr="00610B1B">
        <w:rPr>
          <w:rFonts w:cs="Times New Roman"/>
        </w:rPr>
        <w:t>.</w:t>
      </w:r>
      <w:r w:rsidR="00D66FE0" w:rsidRPr="00610B1B">
        <w:rPr>
          <w:rFonts w:cs="Times New Roman"/>
        </w:rPr>
        <w:t xml:space="preserve"> </w:t>
      </w:r>
    </w:p>
    <w:p w14:paraId="6F9824F5" w14:textId="5826976A" w:rsidR="00E216B5" w:rsidRPr="00610B1B" w:rsidRDefault="00E216B5" w:rsidP="00D32D6A">
      <w:pPr>
        <w:pStyle w:val="BodyText"/>
        <w:spacing w:before="0" w:after="120" w:line="276" w:lineRule="auto"/>
        <w:ind w:right="-153"/>
        <w:rPr>
          <w:rFonts w:cs="Times New Roman"/>
        </w:rPr>
      </w:pPr>
      <w:r w:rsidRPr="00610B1B">
        <w:rPr>
          <w:rFonts w:cs="Times New Roman"/>
        </w:rPr>
        <w:t>Изразените мнения на експертите за законовата и нормативната уредба</w:t>
      </w:r>
      <w:r w:rsidR="00D66FE0" w:rsidRPr="00610B1B">
        <w:rPr>
          <w:rFonts w:cs="Times New Roman"/>
        </w:rPr>
        <w:t xml:space="preserve"> </w:t>
      </w:r>
      <w:r w:rsidRPr="00610B1B">
        <w:rPr>
          <w:rFonts w:cs="Times New Roman"/>
        </w:rPr>
        <w:t>варират от по-общи оценки, преминават към принципни предложения за промени и достигат до конкретни мерки и идеи за подобряване.</w:t>
      </w:r>
      <w:r w:rsidR="006B2281" w:rsidRPr="00610B1B">
        <w:rPr>
          <w:rFonts w:cs="Times New Roman"/>
        </w:rPr>
        <w:t xml:space="preserve"> </w:t>
      </w:r>
      <w:r w:rsidR="001744D3" w:rsidRPr="00610B1B">
        <w:rPr>
          <w:rFonts w:cs="Times New Roman"/>
        </w:rPr>
        <w:t xml:space="preserve">Преобладава </w:t>
      </w:r>
      <w:r w:rsidRPr="00610B1B">
        <w:rPr>
          <w:rFonts w:cs="Times New Roman"/>
        </w:rPr>
        <w:t>мнението, че законодателството и нормативната уредба са добри, а проблемите идват от лошото им прилагане. Синхронизирането с европейското законодателство се разглежда позитивно и критиките, че този процес се прави механично, без да се отчитат националните специфики</w:t>
      </w:r>
      <w:r w:rsidR="00CA1297" w:rsidRPr="00610B1B">
        <w:rPr>
          <w:rFonts w:cs="Times New Roman"/>
        </w:rPr>
        <w:t>, остават изолирани</w:t>
      </w:r>
      <w:r w:rsidRPr="00610B1B">
        <w:rPr>
          <w:rFonts w:cs="Times New Roman"/>
        </w:rPr>
        <w:t>.</w:t>
      </w:r>
      <w:r w:rsidR="006B2281" w:rsidRPr="00610B1B">
        <w:rPr>
          <w:rFonts w:cs="Times New Roman"/>
        </w:rPr>
        <w:t xml:space="preserve"> </w:t>
      </w:r>
      <w:r w:rsidRPr="00610B1B">
        <w:rPr>
          <w:rFonts w:cs="Times New Roman"/>
        </w:rPr>
        <w:t xml:space="preserve">По-общите препоръки за подобрение включват </w:t>
      </w:r>
      <w:r w:rsidRPr="00610B1B">
        <w:rPr>
          <w:rFonts w:cs="Times New Roman"/>
          <w:b/>
          <w:bCs/>
        </w:rPr>
        <w:t>ясно законово разграничение на дейностите и отговорностите на институциите</w:t>
      </w:r>
      <w:r w:rsidRPr="00610B1B">
        <w:rPr>
          <w:rFonts w:cs="Times New Roman"/>
        </w:rPr>
        <w:t>, опростяване на текстовете в законодателството, изработване на единна и качествена нормативна база с ясно йерархизиране на ценности и политики в интерес на обществото. В изработването на тези закони трябва да бъде използвано експертното знание.</w:t>
      </w:r>
      <w:r w:rsidR="00CA1297" w:rsidRPr="00610B1B">
        <w:rPr>
          <w:rFonts w:cs="Times New Roman"/>
        </w:rPr>
        <w:t xml:space="preserve"> </w:t>
      </w:r>
      <w:r w:rsidRPr="00610B1B">
        <w:rPr>
          <w:rFonts w:cs="Times New Roman"/>
        </w:rPr>
        <w:t xml:space="preserve">Предлагат се конкретни стъпки за промени като </w:t>
      </w:r>
      <w:r w:rsidR="000C6509" w:rsidRPr="00610B1B">
        <w:rPr>
          <w:rFonts w:cs="Times New Roman"/>
        </w:rPr>
        <w:t>„</w:t>
      </w:r>
      <w:r w:rsidRPr="00610B1B">
        <w:rPr>
          <w:rFonts w:cs="Times New Roman"/>
        </w:rPr>
        <w:t>акваториално пространствено планиране</w:t>
      </w:r>
      <w:r w:rsidR="000C6509" w:rsidRPr="00610B1B">
        <w:rPr>
          <w:rFonts w:cs="Times New Roman"/>
        </w:rPr>
        <w:t>“</w:t>
      </w:r>
      <w:r w:rsidRPr="00610B1B">
        <w:rPr>
          <w:rFonts w:cs="Times New Roman"/>
        </w:rPr>
        <w:t xml:space="preserve">, допълнения на пропуски и опростени режими за регламентация. </w:t>
      </w:r>
      <w:r w:rsidR="00CA1297" w:rsidRPr="00610B1B">
        <w:rPr>
          <w:rFonts w:cs="Times New Roman"/>
        </w:rPr>
        <w:t xml:space="preserve">Предложенията </w:t>
      </w:r>
      <w:r w:rsidR="00D5568E" w:rsidRPr="00610B1B">
        <w:rPr>
          <w:rFonts w:cs="Times New Roman"/>
        </w:rPr>
        <w:t xml:space="preserve">са свързани </w:t>
      </w:r>
      <w:r w:rsidRPr="00610B1B">
        <w:rPr>
          <w:rFonts w:cs="Times New Roman"/>
        </w:rPr>
        <w:t>със Закона за морските пространства, вътрешните водни пътища и пристанищата на Република България и Закона за устройството на черноморското крайбрежие.</w:t>
      </w:r>
    </w:p>
    <w:p w14:paraId="1430BCB8" w14:textId="06D4492A" w:rsidR="00D5568E" w:rsidRPr="00610B1B" w:rsidRDefault="00E216B5" w:rsidP="009918C6">
      <w:pPr>
        <w:pStyle w:val="BodyText"/>
        <w:spacing w:before="0" w:after="120" w:line="276" w:lineRule="auto"/>
        <w:ind w:right="-153"/>
        <w:rPr>
          <w:rFonts w:cs="Times New Roman"/>
        </w:rPr>
      </w:pPr>
      <w:r w:rsidRPr="00610B1B">
        <w:rPr>
          <w:rFonts w:cs="Times New Roman"/>
        </w:rPr>
        <w:t>Нуждата от иницииране на законови промени, които да стопират негативните процеси, се определя като първостепенна задача.</w:t>
      </w:r>
    </w:p>
    <w:p w14:paraId="209F5934" w14:textId="074A9725" w:rsidR="00E216B5" w:rsidRPr="00610B1B" w:rsidRDefault="0061403C" w:rsidP="00D32D6A">
      <w:pPr>
        <w:pStyle w:val="Heading3"/>
        <w:spacing w:before="0" w:line="276" w:lineRule="auto"/>
        <w:ind w:right="-153"/>
        <w:rPr>
          <w:rFonts w:cs="Times New Roman"/>
        </w:rPr>
      </w:pPr>
      <w:bookmarkStart w:id="520" w:name="_Toc83391450"/>
      <w:r w:rsidRPr="00610B1B">
        <w:rPr>
          <w:rFonts w:cs="Times New Roman"/>
        </w:rPr>
        <w:lastRenderedPageBreak/>
        <w:t>8</w:t>
      </w:r>
      <w:r w:rsidR="007A7F54" w:rsidRPr="00610B1B">
        <w:rPr>
          <w:rFonts w:cs="Times New Roman"/>
        </w:rPr>
        <w:t>.</w:t>
      </w:r>
      <w:r w:rsidR="0041129F" w:rsidRPr="00610B1B">
        <w:rPr>
          <w:rFonts w:cs="Times New Roman"/>
        </w:rPr>
        <w:t>2</w:t>
      </w:r>
      <w:r w:rsidR="00E16795" w:rsidRPr="00610B1B">
        <w:rPr>
          <w:rFonts w:cs="Times New Roman"/>
        </w:rPr>
        <w:t>.2. Теми, свързани с Морския пространствен план</w:t>
      </w:r>
      <w:bookmarkEnd w:id="520"/>
    </w:p>
    <w:p w14:paraId="1C2DE042" w14:textId="04F6864F" w:rsidR="00E216B5" w:rsidRPr="00610B1B" w:rsidRDefault="00E16795" w:rsidP="00D32D6A">
      <w:pPr>
        <w:pStyle w:val="BodyText"/>
        <w:spacing w:before="0" w:after="120" w:line="276" w:lineRule="auto"/>
        <w:ind w:right="-153"/>
        <w:rPr>
          <w:rFonts w:cs="Times New Roman"/>
          <w:b/>
          <w:i/>
        </w:rPr>
      </w:pPr>
      <w:r w:rsidRPr="00610B1B">
        <w:rPr>
          <w:rFonts w:cs="Times New Roman"/>
          <w:b/>
          <w:i/>
        </w:rPr>
        <w:t>Състояние на морската околна среда – основни замърсители и рискови зони</w:t>
      </w:r>
    </w:p>
    <w:p w14:paraId="6B4D0CDF" w14:textId="2CC4886E" w:rsidR="00E216B5" w:rsidRPr="00610B1B" w:rsidRDefault="00E216B5" w:rsidP="00D32D6A">
      <w:pPr>
        <w:pStyle w:val="BodyText"/>
        <w:spacing w:before="0" w:after="120" w:line="276" w:lineRule="auto"/>
        <w:ind w:right="-153"/>
        <w:rPr>
          <w:rFonts w:cs="Times New Roman"/>
        </w:rPr>
      </w:pPr>
      <w:r w:rsidRPr="00610B1B">
        <w:rPr>
          <w:rFonts w:cs="Times New Roman"/>
        </w:rPr>
        <w:t>Мненията за състоянието на морската околна среда са поляризирани, с известен превес на позитивните. Аргументите в подкрепа на положителните оценки са: направени подобрения през последните години (пречиствателни станции, дълбоководни зауствания, намаляване на замърсяването от дифузни източници); упражняваният стриктен контрол от морската администрация; подобрената чистота на водата на р</w:t>
      </w:r>
      <w:r w:rsidR="006B2281" w:rsidRPr="00610B1B">
        <w:rPr>
          <w:rFonts w:cs="Times New Roman"/>
        </w:rPr>
        <w:t xml:space="preserve">. </w:t>
      </w:r>
      <w:r w:rsidRPr="00610B1B">
        <w:rPr>
          <w:rFonts w:cs="Times New Roman"/>
        </w:rPr>
        <w:t xml:space="preserve">Дунав; липсата на много, съществуващи в близкото минало икономически морски дейности по крайбрежието. </w:t>
      </w:r>
    </w:p>
    <w:p w14:paraId="11D02725" w14:textId="19B20F89" w:rsidR="00E216B5" w:rsidRPr="00610B1B" w:rsidRDefault="00E216B5" w:rsidP="00D32D6A">
      <w:pPr>
        <w:pStyle w:val="BodyText"/>
        <w:spacing w:before="0" w:after="120" w:line="276" w:lineRule="auto"/>
        <w:ind w:right="-153"/>
        <w:rPr>
          <w:rFonts w:cs="Times New Roman"/>
        </w:rPr>
      </w:pPr>
      <w:r w:rsidRPr="00610B1B">
        <w:rPr>
          <w:rFonts w:cs="Times New Roman"/>
        </w:rPr>
        <w:t>Аргументите в подкрепа на негативните оценки за състоянието на морската околна вода са свързани с увеличеното замърсяване и слабия контрол, както и с липсата на добра естествена циркулация на Черно море.</w:t>
      </w:r>
      <w:r w:rsidR="00D66FE0" w:rsidRPr="00610B1B">
        <w:rPr>
          <w:rFonts w:cs="Times New Roman"/>
        </w:rPr>
        <w:t xml:space="preserve"> </w:t>
      </w:r>
      <w:r w:rsidR="006B2281" w:rsidRPr="00610B1B">
        <w:rPr>
          <w:rFonts w:cs="Times New Roman"/>
        </w:rPr>
        <w:t xml:space="preserve">Списъкът </w:t>
      </w:r>
      <w:r w:rsidRPr="00610B1B">
        <w:rPr>
          <w:rFonts w:cs="Times New Roman"/>
        </w:rPr>
        <w:t>на основните замърсители, за които споделят експертите</w:t>
      </w:r>
      <w:r w:rsidR="006B2281" w:rsidRPr="00610B1B">
        <w:rPr>
          <w:rFonts w:cs="Times New Roman"/>
        </w:rPr>
        <w:t xml:space="preserve"> е дълъг</w:t>
      </w:r>
      <w:r w:rsidRPr="00610B1B">
        <w:rPr>
          <w:rFonts w:cs="Times New Roman"/>
        </w:rPr>
        <w:t>. Акцентира се върху заустените отпад</w:t>
      </w:r>
      <w:r w:rsidR="007E61E6" w:rsidRPr="00610B1B">
        <w:rPr>
          <w:rFonts w:cs="Times New Roman"/>
        </w:rPr>
        <w:t>ъч</w:t>
      </w:r>
      <w:r w:rsidRPr="00610B1B">
        <w:rPr>
          <w:rFonts w:cs="Times New Roman"/>
        </w:rPr>
        <w:t>ни води от всякаква дейност директно в морето и чрез вливащите се речни води, и преди всичко недобрата работа и липсата на достатъчно на брой пречиствателни съоръжения.</w:t>
      </w:r>
      <w:r w:rsidR="00CA1297" w:rsidRPr="00610B1B">
        <w:rPr>
          <w:rFonts w:cs="Times New Roman"/>
        </w:rPr>
        <w:t xml:space="preserve"> </w:t>
      </w:r>
      <w:r w:rsidRPr="00610B1B">
        <w:rPr>
          <w:rFonts w:cs="Times New Roman"/>
        </w:rPr>
        <w:t xml:space="preserve">По-малко споменавани като замърсители са: нарастващите риболов и мидени ферми; незаконните яхтени стоянки; строителните отпадъци и нерегламентираните сметища; къмпингуващите туристи. </w:t>
      </w:r>
      <w:r w:rsidR="007E61E6" w:rsidRPr="00610B1B">
        <w:rPr>
          <w:rFonts w:cs="Times New Roman"/>
        </w:rPr>
        <w:t xml:space="preserve">Отчита се факта, </w:t>
      </w:r>
      <w:r w:rsidRPr="00610B1B">
        <w:rPr>
          <w:rFonts w:cs="Times New Roman"/>
        </w:rPr>
        <w:t>че основното замърсяване на Черно море е трансгранично.</w:t>
      </w:r>
    </w:p>
    <w:p w14:paraId="797A74A1" w14:textId="671FF55B" w:rsidR="00E216B5" w:rsidRPr="00610B1B" w:rsidRDefault="00E216B5" w:rsidP="00D32D6A">
      <w:pPr>
        <w:pStyle w:val="BodyText"/>
        <w:spacing w:before="0" w:after="120" w:line="276" w:lineRule="auto"/>
        <w:ind w:right="-153"/>
        <w:rPr>
          <w:rFonts w:cs="Times New Roman"/>
        </w:rPr>
      </w:pPr>
      <w:r w:rsidRPr="00610B1B">
        <w:rPr>
          <w:rFonts w:cs="Times New Roman"/>
        </w:rPr>
        <w:t>Нагласите към екологичната оценка на експертите са изключително позитивни. Всички се обединяват около нейната значимост за морската околна среда. Тя се разглежда като важен инструмент за анализ на вредните въздействия и набелязване на мерки за тяхното редуциране, както и в контекста на глобалните изменения на климата. Акцентира се върху необходимостта тя да е обективна и точна. Като проблем се посочва използването</w:t>
      </w:r>
      <w:r w:rsidR="00DE3A13" w:rsidRPr="00610B1B">
        <w:rPr>
          <w:rFonts w:cs="Times New Roman"/>
        </w:rPr>
        <w:t xml:space="preserve"> ѝ </w:t>
      </w:r>
      <w:r w:rsidRPr="00610B1B">
        <w:rPr>
          <w:rFonts w:cs="Times New Roman"/>
        </w:rPr>
        <w:t xml:space="preserve">против обществения интерес и за политически цели. </w:t>
      </w:r>
    </w:p>
    <w:p w14:paraId="4DCE5BD3" w14:textId="56148773"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Рисковите зони имат пряка връзка с констатираните основни проблеми. Като </w:t>
      </w:r>
      <w:r w:rsidR="007E61E6" w:rsidRPr="00610B1B">
        <w:rPr>
          <w:rFonts w:cs="Times New Roman"/>
        </w:rPr>
        <w:t>такива</w:t>
      </w:r>
      <w:r w:rsidRPr="00610B1B">
        <w:rPr>
          <w:rFonts w:cs="Times New Roman"/>
        </w:rPr>
        <w:t xml:space="preserve"> се дефинират морските курорти и градовете на брега, пристанищата, морски</w:t>
      </w:r>
      <w:r w:rsidR="00346E69" w:rsidRPr="00610B1B">
        <w:rPr>
          <w:rFonts w:cs="Times New Roman"/>
        </w:rPr>
        <w:t>те</w:t>
      </w:r>
      <w:r w:rsidRPr="00610B1B">
        <w:rPr>
          <w:rFonts w:cs="Times New Roman"/>
        </w:rPr>
        <w:t xml:space="preserve"> пътища, местата на заустване на отпад</w:t>
      </w:r>
      <w:r w:rsidR="00346E69" w:rsidRPr="00610B1B">
        <w:rPr>
          <w:rFonts w:cs="Times New Roman"/>
        </w:rPr>
        <w:t>ъч</w:t>
      </w:r>
      <w:r w:rsidRPr="00610B1B">
        <w:rPr>
          <w:rFonts w:cs="Times New Roman"/>
        </w:rPr>
        <w:t>ни води от пречиствателни станции, нерегламентирани</w:t>
      </w:r>
      <w:r w:rsidR="00346E69" w:rsidRPr="00610B1B">
        <w:rPr>
          <w:rFonts w:cs="Times New Roman"/>
        </w:rPr>
        <w:t>те</w:t>
      </w:r>
      <w:r w:rsidRPr="00610B1B">
        <w:rPr>
          <w:rFonts w:cs="Times New Roman"/>
        </w:rPr>
        <w:t xml:space="preserve"> дифузни източници на замърсяване и зоните с нарушен водообмен. Конкретните райони, които се посочват са Бургаският и Варненският залив, Шабла и района пред устието на река Камчия.</w:t>
      </w:r>
      <w:r w:rsidR="00E16795" w:rsidRPr="00610B1B">
        <w:rPr>
          <w:rFonts w:cs="Times New Roman"/>
        </w:rPr>
        <w:t xml:space="preserve"> </w:t>
      </w:r>
    </w:p>
    <w:p w14:paraId="00A5920F" w14:textId="5E477E2E" w:rsidR="00E216B5" w:rsidRPr="00610B1B" w:rsidRDefault="00E216B5" w:rsidP="00D32D6A">
      <w:pPr>
        <w:pStyle w:val="BodyText"/>
        <w:spacing w:before="0" w:after="120" w:line="276" w:lineRule="auto"/>
        <w:ind w:right="-153"/>
        <w:rPr>
          <w:rFonts w:cs="Times New Roman"/>
          <w:b/>
          <w:bCs/>
        </w:rPr>
      </w:pPr>
      <w:r w:rsidRPr="00610B1B">
        <w:rPr>
          <w:rFonts w:cs="Times New Roman"/>
        </w:rPr>
        <w:t xml:space="preserve">Комплексният подход и отчитането на всички фактори и дейности е водеща препоръка при изготвяне на Морския пространствен план. </w:t>
      </w:r>
      <w:r w:rsidRPr="00610B1B">
        <w:rPr>
          <w:rFonts w:cs="Times New Roman"/>
          <w:b/>
          <w:bCs/>
        </w:rPr>
        <w:t>Ключов термин е „зонирането“ – по</w:t>
      </w:r>
      <w:r w:rsidR="00BE57CC" w:rsidRPr="00610B1B">
        <w:rPr>
          <w:rFonts w:cs="Times New Roman"/>
          <w:b/>
          <w:bCs/>
        </w:rPr>
        <w:t> </w:t>
      </w:r>
      <w:r w:rsidRPr="00610B1B">
        <w:rPr>
          <w:rFonts w:cs="Times New Roman"/>
          <w:b/>
          <w:bCs/>
        </w:rPr>
        <w:t>степен на запазеност на околната среда и по степен на замърсеност.</w:t>
      </w:r>
    </w:p>
    <w:p w14:paraId="6AE10C35" w14:textId="3924690A" w:rsidR="00E216B5" w:rsidRPr="00610B1B" w:rsidRDefault="00E216B5" w:rsidP="00D32D6A">
      <w:pPr>
        <w:pStyle w:val="BodyText"/>
        <w:spacing w:before="0" w:after="120" w:line="276" w:lineRule="auto"/>
        <w:ind w:right="-153"/>
        <w:rPr>
          <w:rFonts w:cs="Times New Roman"/>
        </w:rPr>
      </w:pPr>
      <w:r w:rsidRPr="00610B1B">
        <w:rPr>
          <w:rFonts w:cs="Times New Roman"/>
        </w:rPr>
        <w:t>Предложените конкретни мерки включват:</w:t>
      </w:r>
      <w:r w:rsidR="00D66FE0" w:rsidRPr="00610B1B">
        <w:rPr>
          <w:rFonts w:cs="Times New Roman"/>
        </w:rPr>
        <w:t xml:space="preserve"> </w:t>
      </w:r>
      <w:r w:rsidRPr="00610B1B">
        <w:rPr>
          <w:rFonts w:cs="Times New Roman"/>
        </w:rPr>
        <w:t>разработване на планове за управление на защитените зони; обвързване и анализ на строителството с капацитета на пречиствателните станции; мониторинг на околната среда, който да се реализира в България; преминаване от мониторинг към активно създаване на средата. Предлага</w:t>
      </w:r>
      <w:r w:rsidR="00346E69" w:rsidRPr="00610B1B">
        <w:rPr>
          <w:rFonts w:cs="Times New Roman"/>
        </w:rPr>
        <w:t>т</w:t>
      </w:r>
      <w:r w:rsidRPr="00610B1B">
        <w:rPr>
          <w:rFonts w:cs="Times New Roman"/>
        </w:rPr>
        <w:t xml:space="preserve"> се спешн</w:t>
      </w:r>
      <w:r w:rsidR="00346E69" w:rsidRPr="00610B1B">
        <w:rPr>
          <w:rFonts w:cs="Times New Roman"/>
        </w:rPr>
        <w:t>и</w:t>
      </w:r>
      <w:r w:rsidRPr="00610B1B">
        <w:rPr>
          <w:rFonts w:cs="Times New Roman"/>
        </w:rPr>
        <w:t xml:space="preserve"> законови промени</w:t>
      </w:r>
      <w:r w:rsidR="00346E69" w:rsidRPr="00610B1B">
        <w:rPr>
          <w:rFonts w:cs="Times New Roman"/>
        </w:rPr>
        <w:t>,</w:t>
      </w:r>
      <w:r w:rsidRPr="00610B1B">
        <w:rPr>
          <w:rFonts w:cs="Times New Roman"/>
        </w:rPr>
        <w:t xml:space="preserve"> които да доведат до баланс в съществуването на хора и природа така, както е в утвърдените практики на държавите от ЕС.</w:t>
      </w:r>
    </w:p>
    <w:p w14:paraId="569E4763" w14:textId="50058F06" w:rsidR="00E216B5" w:rsidRPr="00610B1B" w:rsidRDefault="00E216B5" w:rsidP="00D32D6A">
      <w:pPr>
        <w:pStyle w:val="BodyText"/>
        <w:spacing w:before="0" w:after="120" w:line="276" w:lineRule="auto"/>
        <w:ind w:right="-153"/>
        <w:rPr>
          <w:rFonts w:cs="Times New Roman"/>
          <w:b/>
          <w:bCs/>
        </w:rPr>
      </w:pPr>
      <w:r w:rsidRPr="00610B1B">
        <w:rPr>
          <w:rFonts w:cs="Times New Roman"/>
        </w:rPr>
        <w:t xml:space="preserve">Предлага се международното сътрудничество и координацията да не се ограничава само до черноморския регион, а да обхване и </w:t>
      </w:r>
      <w:r w:rsidRPr="00610B1B">
        <w:rPr>
          <w:rFonts w:cs="Times New Roman"/>
          <w:b/>
          <w:bCs/>
        </w:rPr>
        <w:t>водосборния басейн на Черно море.</w:t>
      </w:r>
    </w:p>
    <w:p w14:paraId="004CC1DC" w14:textId="77777777" w:rsidR="00CD6DB2" w:rsidRPr="00610B1B" w:rsidRDefault="00CD6DB2" w:rsidP="00D32D6A">
      <w:pPr>
        <w:pStyle w:val="BodyText"/>
        <w:spacing w:before="0" w:after="120" w:line="276" w:lineRule="auto"/>
        <w:ind w:right="-153"/>
        <w:rPr>
          <w:rFonts w:cs="Times New Roman"/>
          <w:b/>
          <w:bCs/>
        </w:rPr>
      </w:pPr>
    </w:p>
    <w:p w14:paraId="680CE9AD" w14:textId="682014ED" w:rsidR="00E216B5" w:rsidRPr="00610B1B" w:rsidRDefault="00E16795" w:rsidP="00AD38A7">
      <w:pPr>
        <w:pStyle w:val="BodyText"/>
        <w:spacing w:before="0" w:after="120" w:line="240" w:lineRule="auto"/>
        <w:ind w:right="-153"/>
        <w:rPr>
          <w:rFonts w:cs="Times New Roman"/>
          <w:b/>
          <w:i/>
        </w:rPr>
      </w:pPr>
      <w:r w:rsidRPr="00610B1B">
        <w:rPr>
          <w:rFonts w:cs="Times New Roman"/>
          <w:b/>
          <w:i/>
        </w:rPr>
        <w:lastRenderedPageBreak/>
        <w:t>Защитени територии и защитени зони в акваторията и в крайбрежната зона на Черно море, биоразнообразие и екосистемни услуги</w:t>
      </w:r>
    </w:p>
    <w:p w14:paraId="3DB7F9BA" w14:textId="16B19454"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Мненията за обхвата на </w:t>
      </w:r>
      <w:r w:rsidRPr="00610B1B">
        <w:rPr>
          <w:rFonts w:cs="Times New Roman"/>
          <w:b/>
          <w:bCs/>
        </w:rPr>
        <w:t xml:space="preserve">защитените зони </w:t>
      </w:r>
      <w:r w:rsidRPr="00610B1B">
        <w:rPr>
          <w:rFonts w:cs="Times New Roman"/>
        </w:rPr>
        <w:t xml:space="preserve">са поляризирани и покриват всички възможни гледни точки – от „недостатъчни по обхват“, през „достатъчни по обхват“ до „прекалено големи“. Основните проблеми пред защитените зони са свързани с администрирането и управлението: липса на достатъчен контрол (целогодишен, на място) и санкции; липса на инструменти </w:t>
      </w:r>
      <w:r w:rsidR="00346E69" w:rsidRPr="00610B1B">
        <w:rPr>
          <w:rFonts w:cs="Times New Roman"/>
        </w:rPr>
        <w:t xml:space="preserve">като </w:t>
      </w:r>
      <w:r w:rsidRPr="00610B1B">
        <w:rPr>
          <w:rFonts w:cs="Times New Roman"/>
        </w:rPr>
        <w:t>документи за управление (заповеди, планове); недостатъчно финансиране; инвестиционен натиск</w:t>
      </w:r>
      <w:r w:rsidR="00346E69" w:rsidRPr="00610B1B">
        <w:rPr>
          <w:rFonts w:cs="Times New Roman"/>
        </w:rPr>
        <w:t xml:space="preserve"> и </w:t>
      </w:r>
      <w:r w:rsidRPr="00610B1B">
        <w:rPr>
          <w:rFonts w:cs="Times New Roman"/>
        </w:rPr>
        <w:t>обслужване на частни интереси и беззаконие; неясно дефиниране на границите на тези зони (кадастрални карти), недостатъчно оповестяване за техния обхват, липса на маркировка; обществено ограмотяване по темата.</w:t>
      </w:r>
      <w:r w:rsidR="00346E69" w:rsidRPr="00610B1B">
        <w:rPr>
          <w:rFonts w:cs="Times New Roman"/>
        </w:rPr>
        <w:t xml:space="preserve"> </w:t>
      </w:r>
      <w:r w:rsidRPr="00610B1B">
        <w:rPr>
          <w:rFonts w:cs="Times New Roman"/>
        </w:rPr>
        <w:t>Привържениците на тезата за прекаленото приоритизиране на защитените зони апелират за преразглеждане и ограничаване на рестрикциите (например за добив на енергия) и споделят мнението за добро състояние или ръст на популациите на защитените видове.</w:t>
      </w:r>
    </w:p>
    <w:p w14:paraId="03AA838B" w14:textId="4B019B04"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Доминират мненията, че </w:t>
      </w:r>
      <w:r w:rsidRPr="00610B1B">
        <w:rPr>
          <w:rFonts w:cs="Times New Roman"/>
          <w:b/>
          <w:bCs/>
        </w:rPr>
        <w:t>биоразнообразието</w:t>
      </w:r>
      <w:r w:rsidRPr="00610B1B">
        <w:rPr>
          <w:rFonts w:cs="Times New Roman"/>
        </w:rPr>
        <w:t xml:space="preserve"> не е достатъчно защитено в Натура 2000. Аргументите са: липса на пълноценен набор от инструменти и ясно дефиниране; приоритизиране на определени зони за сметка на други (дисбаланс); част от зоните нямат планове; бедно биоразнообразие при земеделските земи поради наторяване с вредни торове и използване на питейна вода за напояване, което се отразява и на прилежащата акватория.</w:t>
      </w:r>
      <w:r w:rsidR="00346E69" w:rsidRPr="00610B1B">
        <w:rPr>
          <w:rFonts w:cs="Times New Roman"/>
        </w:rPr>
        <w:t xml:space="preserve"> </w:t>
      </w:r>
      <w:r w:rsidRPr="00610B1B">
        <w:rPr>
          <w:rFonts w:cs="Times New Roman"/>
        </w:rPr>
        <w:t>Отправят се и критики, че приложението на Натура 2000 у нас се преекспонира и разделя обществото. Препоръчва се упоменаване на видовете забрани, свързани с корабоплаването и туризма при дефиниране на зоните, в които ще се прилагат.</w:t>
      </w:r>
    </w:p>
    <w:p w14:paraId="7288F68A" w14:textId="0FF6E61B"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Като </w:t>
      </w:r>
      <w:r w:rsidRPr="00610B1B">
        <w:rPr>
          <w:rFonts w:cs="Times New Roman"/>
          <w:b/>
          <w:bCs/>
        </w:rPr>
        <w:t>екосистемни услуги</w:t>
      </w:r>
      <w:r w:rsidRPr="00610B1B">
        <w:rPr>
          <w:rFonts w:cs="Times New Roman"/>
        </w:rPr>
        <w:t xml:space="preserve"> в Черно море се разглеждат отглеждане на аквакултури, риболов,</w:t>
      </w:r>
      <w:r w:rsidR="00D66FE0" w:rsidRPr="00610B1B">
        <w:rPr>
          <w:rFonts w:cs="Times New Roman"/>
        </w:rPr>
        <w:t xml:space="preserve"> </w:t>
      </w:r>
      <w:r w:rsidRPr="00610B1B">
        <w:rPr>
          <w:rFonts w:cs="Times New Roman"/>
        </w:rPr>
        <w:t>плажуване, солодобив, калолечение, таласолечение, балнеолечение. Отчита се липсата на действащ национален план за периодична оценка на състоянието на екосистемните услуги, произтичащи от морската околна среда.</w:t>
      </w:r>
      <w:r w:rsidR="00346E69" w:rsidRPr="00610B1B">
        <w:rPr>
          <w:rFonts w:cs="Times New Roman"/>
        </w:rPr>
        <w:t xml:space="preserve"> </w:t>
      </w:r>
      <w:r w:rsidRPr="00610B1B">
        <w:rPr>
          <w:rFonts w:cs="Times New Roman"/>
        </w:rPr>
        <w:t xml:space="preserve">Експертните предложения за подобрения, включват разнопосочни идеи: подобрение на мониторинга чрез капацитет и прозрачност; разширяване на защитените територии в морските и крайбрежните зони и </w:t>
      </w:r>
      <w:r w:rsidR="00346E69" w:rsidRPr="00610B1B">
        <w:rPr>
          <w:rFonts w:cs="Times New Roman"/>
        </w:rPr>
        <w:t>засилване</w:t>
      </w:r>
      <w:r w:rsidRPr="00610B1B">
        <w:rPr>
          <w:rFonts w:cs="Times New Roman"/>
        </w:rPr>
        <w:t xml:space="preserve"> на институционалния контрол; създаване на гъвкава нормативна уредба; рехабилитация и последващ</w:t>
      </w:r>
      <w:r w:rsidR="00D66FE0" w:rsidRPr="00610B1B">
        <w:rPr>
          <w:rFonts w:cs="Times New Roman"/>
        </w:rPr>
        <w:t xml:space="preserve"> </w:t>
      </w:r>
      <w:r w:rsidRPr="00610B1B">
        <w:rPr>
          <w:rFonts w:cs="Times New Roman"/>
        </w:rPr>
        <w:t>мониторинг на вълноломите.</w:t>
      </w:r>
    </w:p>
    <w:p w14:paraId="448E1109" w14:textId="7429E7A7" w:rsidR="00E216B5" w:rsidRPr="00610B1B" w:rsidRDefault="00E216B5" w:rsidP="00D32D6A">
      <w:pPr>
        <w:pStyle w:val="BodyText"/>
        <w:spacing w:before="0" w:after="120" w:line="276" w:lineRule="auto"/>
        <w:ind w:right="-153"/>
        <w:rPr>
          <w:rFonts w:cs="Times New Roman"/>
        </w:rPr>
      </w:pPr>
      <w:r w:rsidRPr="00610B1B">
        <w:rPr>
          <w:rFonts w:cs="Times New Roman"/>
        </w:rPr>
        <w:t>Експертите се обединяват около разбирането, че безконфликтно съчетаване на туризма и опазването на околната среда е възможно и това е търсеното бъдеще на черноморския регион. Дават се различни рецепти за постигане на тази безконфликтност. Общо е желанието за повече и ясна регламентация, както и осъществяване на реален контрол и мониторинг, които да защитят морската околна среда. По-конкретни предложения са: определяне на вида дейност, която може да се развива; платформа с актуални пространствени данни за защитените зони; пълно обезпечаване на пречистването на отпад</w:t>
      </w:r>
      <w:r w:rsidR="00E16795" w:rsidRPr="00610B1B">
        <w:rPr>
          <w:rFonts w:cs="Times New Roman"/>
        </w:rPr>
        <w:t>ъч</w:t>
      </w:r>
      <w:r w:rsidRPr="00610B1B">
        <w:rPr>
          <w:rFonts w:cs="Times New Roman"/>
        </w:rPr>
        <w:t>ните води.</w:t>
      </w:r>
      <w:r w:rsidR="00E16795" w:rsidRPr="00610B1B">
        <w:rPr>
          <w:rFonts w:cs="Times New Roman"/>
        </w:rPr>
        <w:t xml:space="preserve"> </w:t>
      </w:r>
      <w:r w:rsidRPr="00610B1B">
        <w:rPr>
          <w:rFonts w:cs="Times New Roman"/>
        </w:rPr>
        <w:t>Предлага се преразглеждане на досегашното развитие на туризма чрез</w:t>
      </w:r>
      <w:r w:rsidR="00346E69" w:rsidRPr="00610B1B">
        <w:rPr>
          <w:rFonts w:cs="Times New Roman"/>
        </w:rPr>
        <w:t xml:space="preserve"> </w:t>
      </w:r>
      <w:r w:rsidRPr="00610B1B">
        <w:rPr>
          <w:rFonts w:cs="Times New Roman"/>
        </w:rPr>
        <w:t>ограничаване на строителството и преференции за природосъобразния туризъм.</w:t>
      </w:r>
    </w:p>
    <w:p w14:paraId="72ACC3C5" w14:textId="4ED59F71" w:rsidR="00E216B5" w:rsidRPr="00610B1B" w:rsidRDefault="00E16795" w:rsidP="00AD38A7">
      <w:pPr>
        <w:pStyle w:val="BodyText"/>
        <w:spacing w:before="0" w:after="120" w:line="240" w:lineRule="auto"/>
        <w:ind w:right="-153"/>
        <w:rPr>
          <w:rFonts w:cs="Times New Roman"/>
          <w:b/>
          <w:i/>
        </w:rPr>
      </w:pPr>
      <w:r w:rsidRPr="00610B1B">
        <w:rPr>
          <w:rFonts w:cs="Times New Roman"/>
          <w:b/>
          <w:i/>
        </w:rPr>
        <w:t>Техническа инфраструктура – мрежи, обекти и съоръжения в крайбрежната зона и в акваторията</w:t>
      </w:r>
    </w:p>
    <w:p w14:paraId="3618B99E" w14:textId="0EF5876A"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По темата за състоянието на техническата инфраструктура </w:t>
      </w:r>
      <w:r w:rsidR="00346E69" w:rsidRPr="00610B1B">
        <w:rPr>
          <w:rFonts w:cs="Times New Roman"/>
        </w:rPr>
        <w:t xml:space="preserve">се </w:t>
      </w:r>
      <w:r w:rsidRPr="00610B1B">
        <w:rPr>
          <w:rFonts w:cs="Times New Roman"/>
        </w:rPr>
        <w:t xml:space="preserve">регистрира поляризация на мненията с минимален превес на положителните оценки. Аргументите за негативната оценка </w:t>
      </w:r>
      <w:r w:rsidRPr="00610B1B">
        <w:rPr>
          <w:rFonts w:cs="Times New Roman"/>
        </w:rPr>
        <w:lastRenderedPageBreak/>
        <w:t>на състоянието на техническата инфраструктура са лошото състояние на пристанищата и връзката им с транспортните мрежи; почти всички обекти са наследство от социализма, рехабилитация се извършва само на държавната собственост и тази на концесия; проблемите на крайбрежието са свързани със състоянието на ВиК, ел. мрежите, управлението на отпадъците и пътната мрежа.</w:t>
      </w:r>
      <w:r w:rsidR="00346E69" w:rsidRPr="00610B1B">
        <w:rPr>
          <w:rFonts w:cs="Times New Roman"/>
        </w:rPr>
        <w:t xml:space="preserve"> </w:t>
      </w:r>
      <w:r w:rsidRPr="00610B1B">
        <w:rPr>
          <w:rFonts w:cs="Times New Roman"/>
        </w:rPr>
        <w:t>При позитивния прочит на ситуацията се изтъкват доброто състояние на пристанищата за обществен транс</w:t>
      </w:r>
      <w:r w:rsidR="00E24DBE" w:rsidRPr="00610B1B">
        <w:rPr>
          <w:rFonts w:cs="Times New Roman"/>
        </w:rPr>
        <w:t>порт, рибарски и</w:t>
      </w:r>
      <w:r w:rsidRPr="00610B1B">
        <w:rPr>
          <w:rFonts w:cs="Times New Roman"/>
        </w:rPr>
        <w:t xml:space="preserve"> яхтени. Има и консенсусни теми, като лошото състояние на железопътната инфраструктура</w:t>
      </w:r>
      <w:r w:rsidR="00E24DBE" w:rsidRPr="00610B1B">
        <w:rPr>
          <w:rFonts w:cs="Times New Roman"/>
        </w:rPr>
        <w:t>,</w:t>
      </w:r>
      <w:r w:rsidRPr="00610B1B">
        <w:rPr>
          <w:rFonts w:cs="Times New Roman"/>
        </w:rPr>
        <w:t xml:space="preserve"> нуждата от скоростен път по крайбрежието и обновяване на пътната мрежа. </w:t>
      </w:r>
    </w:p>
    <w:p w14:paraId="6D95A17C" w14:textId="7A42314C"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Основните проблеми, свързани с техническата инфраструктура са: отсъствие на засилена държавна политика за стратегическо планиране и мониторинг на състоянието; замърсяването в морето, пристанищата и крайбрежието; </w:t>
      </w:r>
      <w:r w:rsidR="00F96FFC" w:rsidRPr="00610B1B">
        <w:rPr>
          <w:rFonts w:cs="Times New Roman"/>
        </w:rPr>
        <w:t xml:space="preserve">липсата на връзка между </w:t>
      </w:r>
      <w:r w:rsidRPr="00610B1B">
        <w:rPr>
          <w:rFonts w:cs="Times New Roman"/>
        </w:rPr>
        <w:t xml:space="preserve">системите за контрол на морските акватории и с другите наземни системи; </w:t>
      </w:r>
      <w:r w:rsidR="00F96FFC" w:rsidRPr="00610B1B">
        <w:rPr>
          <w:rFonts w:cs="Times New Roman"/>
        </w:rPr>
        <w:t xml:space="preserve">необходимост от </w:t>
      </w:r>
      <w:r w:rsidRPr="00610B1B">
        <w:rPr>
          <w:rFonts w:cs="Times New Roman"/>
        </w:rPr>
        <w:t>подобряване на състоянието на довеждащата инфраструктура.</w:t>
      </w:r>
    </w:p>
    <w:p w14:paraId="20611001" w14:textId="5774B816" w:rsidR="00E216B5" w:rsidRPr="00610B1B" w:rsidRDefault="00E216B5" w:rsidP="00D32D6A">
      <w:pPr>
        <w:pStyle w:val="BodyText"/>
        <w:spacing w:before="0" w:after="120" w:line="276" w:lineRule="auto"/>
        <w:ind w:right="-153"/>
        <w:rPr>
          <w:rFonts w:cs="Times New Roman"/>
        </w:rPr>
      </w:pPr>
      <w:r w:rsidRPr="00610B1B">
        <w:rPr>
          <w:rFonts w:cs="Times New Roman"/>
        </w:rPr>
        <w:t>Участвалите в изследването експерти имат конкретни предложения за подобрение</w:t>
      </w:r>
      <w:r w:rsidR="00346E69" w:rsidRPr="00610B1B">
        <w:rPr>
          <w:rFonts w:cs="Times New Roman"/>
        </w:rPr>
        <w:t xml:space="preserve"> като</w:t>
      </w:r>
      <w:r w:rsidRPr="00610B1B">
        <w:rPr>
          <w:rFonts w:cs="Times New Roman"/>
        </w:rPr>
        <w:t>: създаване на интермодални транспортни терминали и възможности за развитие на речния транспорт; обновяване на ВиК инфраструктурата и увеличаване капацитета на пречиствателните съоръжения;</w:t>
      </w:r>
      <w:r w:rsidR="00D66FE0" w:rsidRPr="00610B1B">
        <w:rPr>
          <w:rFonts w:cs="Times New Roman"/>
        </w:rPr>
        <w:t xml:space="preserve"> </w:t>
      </w:r>
      <w:r w:rsidRPr="00610B1B">
        <w:rPr>
          <w:rFonts w:cs="Times New Roman"/>
        </w:rPr>
        <w:t xml:space="preserve">приоритизиране и анализ състоянието на системите за защита на морския бряг от свлачищни и абразионни процеси; подобряване състоянието на ж.п. инфраструктурата, пътната мрежа и доизграждане на крайбрежния скоростен път. </w:t>
      </w:r>
    </w:p>
    <w:p w14:paraId="5E079846" w14:textId="5EBD8267" w:rsidR="00E216B5" w:rsidRPr="00610B1B" w:rsidRDefault="00E16795" w:rsidP="00D32D6A">
      <w:pPr>
        <w:pStyle w:val="BodyText"/>
        <w:spacing w:before="0" w:after="120" w:line="276" w:lineRule="auto"/>
        <w:ind w:right="-153"/>
        <w:rPr>
          <w:rFonts w:cs="Times New Roman"/>
          <w:b/>
          <w:i/>
        </w:rPr>
      </w:pPr>
      <w:r w:rsidRPr="00610B1B">
        <w:rPr>
          <w:rFonts w:cs="Times New Roman"/>
          <w:b/>
          <w:i/>
        </w:rPr>
        <w:t>Културно наследство</w:t>
      </w:r>
    </w:p>
    <w:p w14:paraId="425F0815" w14:textId="14765955" w:rsidR="00E216B5" w:rsidRPr="00610B1B" w:rsidRDefault="00E216B5" w:rsidP="00D32D6A">
      <w:pPr>
        <w:pStyle w:val="BodyText"/>
        <w:spacing w:before="0" w:after="120" w:line="276" w:lineRule="auto"/>
        <w:ind w:right="-153"/>
        <w:rPr>
          <w:rFonts w:cs="Times New Roman"/>
        </w:rPr>
      </w:pPr>
      <w:r w:rsidRPr="00610B1B">
        <w:rPr>
          <w:rFonts w:cs="Times New Roman"/>
        </w:rPr>
        <w:t>Експертите се обединяват около наличието на богато културно наследство, ко</w:t>
      </w:r>
      <w:r w:rsidR="00C21E97" w:rsidRPr="00610B1B">
        <w:rPr>
          <w:rFonts w:cs="Times New Roman"/>
        </w:rPr>
        <w:t xml:space="preserve">ето не е изследвано достатъчно, </w:t>
      </w:r>
      <w:r w:rsidRPr="00610B1B">
        <w:rPr>
          <w:rFonts w:cs="Times New Roman"/>
        </w:rPr>
        <w:t xml:space="preserve">особено в подводната </w:t>
      </w:r>
      <w:r w:rsidR="00C21E97" w:rsidRPr="00610B1B">
        <w:rPr>
          <w:rFonts w:cs="Times New Roman"/>
        </w:rPr>
        <w:t xml:space="preserve">му </w:t>
      </w:r>
      <w:r w:rsidRPr="00610B1B">
        <w:rPr>
          <w:rFonts w:cs="Times New Roman"/>
        </w:rPr>
        <w:t>част. Състоянието му се определя като незадоволително и компрометирано, а причините се търсят в липсата на цялостна стратегия, неглижирането му, ограничените финансови ресурси, неустановена</w:t>
      </w:r>
      <w:r w:rsidR="00C21E97" w:rsidRPr="00610B1B">
        <w:rPr>
          <w:rFonts w:cs="Times New Roman"/>
        </w:rPr>
        <w:t>та</w:t>
      </w:r>
      <w:r w:rsidRPr="00610B1B">
        <w:rPr>
          <w:rFonts w:cs="Times New Roman"/>
        </w:rPr>
        <w:t xml:space="preserve"> собственост и комерсиалния натиск, свързан с туризма. Позитивните констатации са по-малко и са свързани с това, че културното наследство е съхранено, нормативната уредба е добра и е в ход процес по изследване на подводните културни ценности.</w:t>
      </w:r>
    </w:p>
    <w:p w14:paraId="52C5DA6E" w14:textId="00676F9C" w:rsidR="00E216B5" w:rsidRPr="00610B1B" w:rsidRDefault="00E216B5" w:rsidP="00D32D6A">
      <w:pPr>
        <w:pStyle w:val="BodyText"/>
        <w:spacing w:before="0" w:after="120" w:line="276" w:lineRule="auto"/>
        <w:ind w:right="-153"/>
        <w:rPr>
          <w:rFonts w:cs="Times New Roman"/>
        </w:rPr>
      </w:pPr>
      <w:r w:rsidRPr="00610B1B">
        <w:rPr>
          <w:rFonts w:cs="Times New Roman"/>
        </w:rPr>
        <w:t>Основните проблеми са: застрояването и икономическия натиск, свързан с туризма; липсата на поддръжка, проблеми със стопанисването, конфликти между частните собственици и институции</w:t>
      </w:r>
      <w:r w:rsidR="005C1935" w:rsidRPr="00610B1B">
        <w:rPr>
          <w:rFonts w:cs="Times New Roman"/>
        </w:rPr>
        <w:t>те</w:t>
      </w:r>
      <w:r w:rsidRPr="00610B1B">
        <w:rPr>
          <w:rFonts w:cs="Times New Roman"/>
        </w:rPr>
        <w:t>; недостатъчен надзор и контрол; бавни темпове и обем на проучванията; недостатъчно финансиране; ограниченият капацитет на НИНКН и ЦПА; липса</w:t>
      </w:r>
      <w:r w:rsidR="005C1935" w:rsidRPr="00610B1B">
        <w:rPr>
          <w:rFonts w:cs="Times New Roman"/>
        </w:rPr>
        <w:t>та</w:t>
      </w:r>
      <w:r w:rsidRPr="00610B1B">
        <w:rPr>
          <w:rFonts w:cs="Times New Roman"/>
        </w:rPr>
        <w:t xml:space="preserve"> на цялостна идея и стратегия, както и развитие на културния туризъм. Дават се конкретни примери с цялостния облик и защита на Несебър и Созопол, стопанисването на о-в Св. Кирик.</w:t>
      </w:r>
    </w:p>
    <w:p w14:paraId="05C6E91F" w14:textId="76604AE4" w:rsidR="00E216B5" w:rsidRPr="00610B1B" w:rsidRDefault="00E216B5" w:rsidP="00D32D6A">
      <w:pPr>
        <w:pStyle w:val="BodyText"/>
        <w:spacing w:before="0" w:after="120" w:line="276" w:lineRule="auto"/>
        <w:ind w:right="-153"/>
        <w:rPr>
          <w:rFonts w:cs="Times New Roman"/>
        </w:rPr>
      </w:pPr>
      <w:r w:rsidRPr="00610B1B">
        <w:rPr>
          <w:rFonts w:cs="Times New Roman"/>
        </w:rPr>
        <w:t>Многото предложения, могат да бъдат обобщени в няколко направления: определя</w:t>
      </w:r>
      <w:r w:rsidR="005C1935" w:rsidRPr="00610B1B">
        <w:rPr>
          <w:rFonts w:cs="Times New Roman"/>
        </w:rPr>
        <w:t>не на</w:t>
      </w:r>
      <w:r w:rsidRPr="00610B1B">
        <w:rPr>
          <w:rFonts w:cs="Times New Roman"/>
        </w:rPr>
        <w:t xml:space="preserve"> защитени </w:t>
      </w:r>
      <w:r w:rsidR="005C1935" w:rsidRPr="00610B1B">
        <w:rPr>
          <w:rFonts w:cs="Times New Roman"/>
        </w:rPr>
        <w:t xml:space="preserve">и охранителни </w:t>
      </w:r>
      <w:r w:rsidRPr="00610B1B">
        <w:rPr>
          <w:rFonts w:cs="Times New Roman"/>
        </w:rPr>
        <w:t>зони, засилване на контрола, премахване на незаконните обекти. Акцентира се върху взаимодействието между институциите при ясна регламентация, както и активизиране на проучването, опазването и експонирането на обектите с национално и световно значение.</w:t>
      </w:r>
      <w:r w:rsidR="005C1935" w:rsidRPr="00610B1B">
        <w:rPr>
          <w:rFonts w:cs="Times New Roman"/>
        </w:rPr>
        <w:t xml:space="preserve"> </w:t>
      </w:r>
      <w:r w:rsidRPr="00610B1B">
        <w:rPr>
          <w:rFonts w:cs="Times New Roman"/>
        </w:rPr>
        <w:t>Конкретно за морското културно наследство се предлага активизиране на подводните проучвания, както</w:t>
      </w:r>
      <w:r w:rsidR="00D66FE0" w:rsidRPr="00610B1B">
        <w:rPr>
          <w:rFonts w:cs="Times New Roman"/>
        </w:rPr>
        <w:t xml:space="preserve"> </w:t>
      </w:r>
      <w:r w:rsidRPr="00610B1B">
        <w:rPr>
          <w:rFonts w:cs="Times New Roman"/>
        </w:rPr>
        <w:t>и предприемане на стъпки за опазване и съхраняване</w:t>
      </w:r>
      <w:r w:rsidR="00C21E97" w:rsidRPr="00610B1B">
        <w:rPr>
          <w:rFonts w:cs="Times New Roman"/>
        </w:rPr>
        <w:t xml:space="preserve"> на културните ценности под вода</w:t>
      </w:r>
      <w:r w:rsidRPr="00610B1B">
        <w:rPr>
          <w:rFonts w:cs="Times New Roman"/>
        </w:rPr>
        <w:t xml:space="preserve">. </w:t>
      </w:r>
    </w:p>
    <w:p w14:paraId="3AE9FDAA" w14:textId="3BF279AD"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Предлага се провеждане на политика по възпитание и популяризиране на културните ценности, </w:t>
      </w:r>
      <w:r w:rsidRPr="00610B1B">
        <w:rPr>
          <w:rFonts w:cs="Times New Roman"/>
        </w:rPr>
        <w:lastRenderedPageBreak/>
        <w:t>свързани с морето</w:t>
      </w:r>
      <w:r w:rsidR="005C1935" w:rsidRPr="00610B1B">
        <w:rPr>
          <w:rFonts w:cs="Times New Roman"/>
        </w:rPr>
        <w:t xml:space="preserve">, </w:t>
      </w:r>
      <w:r w:rsidRPr="00610B1B">
        <w:rPr>
          <w:rFonts w:cs="Times New Roman"/>
        </w:rPr>
        <w:t xml:space="preserve">насочена към спечелване на младите и местните хора за каузата по съхраняване на културно-историческото наследство, свързано с морето и прилежащите му територии. Друго интересно предложение е съхраняване </w:t>
      </w:r>
      <w:r w:rsidR="005C1935" w:rsidRPr="00610B1B">
        <w:rPr>
          <w:rFonts w:cs="Times New Roman"/>
        </w:rPr>
        <w:t xml:space="preserve">на изчезващата </w:t>
      </w:r>
      <w:r w:rsidRPr="00610B1B">
        <w:rPr>
          <w:rFonts w:cs="Times New Roman"/>
        </w:rPr>
        <w:t xml:space="preserve">професия </w:t>
      </w:r>
      <w:r w:rsidR="00C21E97" w:rsidRPr="00610B1B">
        <w:rPr>
          <w:rFonts w:cs="Times New Roman"/>
        </w:rPr>
        <w:t>за</w:t>
      </w:r>
      <w:r w:rsidRPr="00610B1B">
        <w:rPr>
          <w:rFonts w:cs="Times New Roman"/>
        </w:rPr>
        <w:t xml:space="preserve"> добив</w:t>
      </w:r>
      <w:r w:rsidR="00C21E97" w:rsidRPr="00610B1B">
        <w:rPr>
          <w:rFonts w:cs="Times New Roman"/>
        </w:rPr>
        <w:t xml:space="preserve"> на</w:t>
      </w:r>
      <w:r w:rsidRPr="00610B1B">
        <w:rPr>
          <w:rFonts w:cs="Times New Roman"/>
        </w:rPr>
        <w:t xml:space="preserve"> сол </w:t>
      </w:r>
      <w:r w:rsidR="00C21E97" w:rsidRPr="00610B1B">
        <w:rPr>
          <w:rFonts w:cs="Times New Roman"/>
        </w:rPr>
        <w:t>по</w:t>
      </w:r>
      <w:r w:rsidRPr="00610B1B">
        <w:rPr>
          <w:rFonts w:cs="Times New Roman"/>
        </w:rPr>
        <w:t xml:space="preserve"> традиционен ръчен метод, </w:t>
      </w:r>
      <w:r w:rsidR="005C1935" w:rsidRPr="00610B1B">
        <w:rPr>
          <w:rFonts w:cs="Times New Roman"/>
        </w:rPr>
        <w:t>като</w:t>
      </w:r>
      <w:r w:rsidRPr="00610B1B">
        <w:rPr>
          <w:rFonts w:cs="Times New Roman"/>
        </w:rPr>
        <w:t xml:space="preserve"> характерно културно наследство.</w:t>
      </w:r>
    </w:p>
    <w:p w14:paraId="3DB52D76" w14:textId="5CECAB70" w:rsidR="00E216B5" w:rsidRPr="00610B1B" w:rsidRDefault="00E216B5" w:rsidP="00D32D6A">
      <w:pPr>
        <w:pStyle w:val="BodyText"/>
        <w:spacing w:before="0" w:after="120" w:line="276" w:lineRule="auto"/>
        <w:ind w:right="-153"/>
        <w:rPr>
          <w:rFonts w:cs="Times New Roman"/>
        </w:rPr>
      </w:pPr>
      <w:r w:rsidRPr="00610B1B">
        <w:rPr>
          <w:rFonts w:cs="Times New Roman"/>
        </w:rPr>
        <w:t>Експертите коментират възможностите за пълноценно използване на подводните недвижими културни ценности и тези,</w:t>
      </w:r>
      <w:r w:rsidR="00D66FE0" w:rsidRPr="00610B1B">
        <w:rPr>
          <w:rFonts w:cs="Times New Roman"/>
        </w:rPr>
        <w:t xml:space="preserve"> </w:t>
      </w:r>
      <w:r w:rsidRPr="00610B1B">
        <w:rPr>
          <w:rFonts w:cs="Times New Roman"/>
        </w:rPr>
        <w:t>разположени непосредствено на брега. Те предлагат интегриран и комплексен подход, запазване баланса между недвижимите културни ценности като такива и като ресурс за развитие на туризъм. Развитието на различен от масовия туризъм</w:t>
      </w:r>
      <w:r w:rsidR="00D66FE0" w:rsidRPr="00610B1B">
        <w:rPr>
          <w:rFonts w:cs="Times New Roman"/>
        </w:rPr>
        <w:t xml:space="preserve"> </w:t>
      </w:r>
      <w:r w:rsidRPr="00610B1B">
        <w:rPr>
          <w:rFonts w:cs="Times New Roman"/>
        </w:rPr>
        <w:t>(културен, екологичен, изследователски, религиозен и конферентен) е възможност, която би подпомогнала по-пълноценното използване на културни</w:t>
      </w:r>
      <w:r w:rsidR="00C21E97" w:rsidRPr="00610B1B">
        <w:rPr>
          <w:rFonts w:cs="Times New Roman"/>
        </w:rPr>
        <w:t>те</w:t>
      </w:r>
      <w:r w:rsidRPr="00610B1B">
        <w:rPr>
          <w:rFonts w:cs="Times New Roman"/>
        </w:rPr>
        <w:t xml:space="preserve"> ценности. Важно е да се осигури лесен достъп, експониране и реклама.</w:t>
      </w:r>
    </w:p>
    <w:p w14:paraId="6A9DE560" w14:textId="70D68D01" w:rsidR="00E216B5" w:rsidRPr="00610B1B" w:rsidRDefault="00E16795" w:rsidP="00AD38A7">
      <w:pPr>
        <w:pStyle w:val="BodyText"/>
        <w:spacing w:before="0" w:after="120" w:line="240" w:lineRule="auto"/>
        <w:ind w:right="-153"/>
        <w:rPr>
          <w:rFonts w:cs="Times New Roman"/>
          <w:b/>
          <w:i/>
        </w:rPr>
      </w:pPr>
      <w:r w:rsidRPr="00610B1B">
        <w:rPr>
          <w:rFonts w:cs="Times New Roman"/>
          <w:b/>
          <w:i/>
        </w:rPr>
        <w:t>Строителство в морето</w:t>
      </w:r>
    </w:p>
    <w:p w14:paraId="46758817" w14:textId="33AA4316"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Дефинирането на строителството в морето като обхват е от ключово значение за по-нататъшния анализ по темата. Експертите го определят като включващо всички обекти, които са трайно свързани с дъното или промени в дъното. Това са линейни обекти на инженерната инфраструктурата. Определението включва в себе си пристанища, защитни буни, подводни съоръжения, ферми, даляни и др. подводни зони за наблюдения, брегоукрепване, газопроводи и тръбопроводи на ВиК. Според друга дефиниция строителството в морето включва </w:t>
      </w:r>
      <w:r w:rsidR="00C21E97" w:rsidRPr="00610B1B">
        <w:rPr>
          <w:rFonts w:cs="Times New Roman"/>
        </w:rPr>
        <w:t>следните</w:t>
      </w:r>
      <w:r w:rsidRPr="00610B1B">
        <w:rPr>
          <w:rFonts w:cs="Times New Roman"/>
        </w:rPr>
        <w:t xml:space="preserve"> групи съоръжения: пристанищни хидротехнически; брегоукрепителни и брегозащитни съоръжения; стационарни проницаеми съоръжения.</w:t>
      </w:r>
    </w:p>
    <w:p w14:paraId="25F2A9A2" w14:textId="1FF47600" w:rsidR="00E216B5" w:rsidRPr="00610B1B" w:rsidRDefault="00E216B5" w:rsidP="00D32D6A">
      <w:pPr>
        <w:pStyle w:val="BodyText"/>
        <w:spacing w:before="0" w:after="120" w:line="276" w:lineRule="auto"/>
        <w:ind w:right="-153"/>
        <w:rPr>
          <w:rFonts w:cs="Times New Roman"/>
        </w:rPr>
      </w:pPr>
      <w:r w:rsidRPr="00610B1B">
        <w:rPr>
          <w:rFonts w:cs="Times New Roman"/>
        </w:rPr>
        <w:t>Мащабите на реализираните проекти, свързани със строителството в морето е друга важна тема, по която мненията са поляризирани</w:t>
      </w:r>
      <w:r w:rsidR="005C1935" w:rsidRPr="00610B1B">
        <w:rPr>
          <w:rFonts w:cs="Times New Roman"/>
        </w:rPr>
        <w:t xml:space="preserve">. </w:t>
      </w:r>
      <w:r w:rsidRPr="00610B1B">
        <w:rPr>
          <w:rFonts w:cs="Times New Roman"/>
        </w:rPr>
        <w:t>За активното строителство се дават примери за нови рибарски пристанища и стоянки, специализирани корабни места на пристанища, проекти за брегоукрепване</w:t>
      </w:r>
      <w:r w:rsidR="00D66FE0" w:rsidRPr="00610B1B">
        <w:rPr>
          <w:rFonts w:cs="Times New Roman"/>
        </w:rPr>
        <w:t xml:space="preserve"> </w:t>
      </w:r>
      <w:r w:rsidRPr="00610B1B">
        <w:rPr>
          <w:rFonts w:cs="Times New Roman"/>
        </w:rPr>
        <w:t>(вълноломи, пристанища, дълбоководни басейни) и разширяване на плажната ивица. Предвижда се изграждане на брегоукрепителни съоръжения около град Поморие. Примери за негативната оценка на състоянието на</w:t>
      </w:r>
      <w:r w:rsidR="00D66FE0" w:rsidRPr="00610B1B">
        <w:rPr>
          <w:rFonts w:cs="Times New Roman"/>
        </w:rPr>
        <w:t xml:space="preserve"> </w:t>
      </w:r>
      <w:r w:rsidRPr="00610B1B">
        <w:rPr>
          <w:rFonts w:cs="Times New Roman"/>
        </w:rPr>
        <w:t xml:space="preserve">морски обекти поради лоша поддръжка са: естакадата в Шабла, ремонт на вълнолома и бунната система на Варна, </w:t>
      </w:r>
      <w:r w:rsidR="00B8047B" w:rsidRPr="00B8047B">
        <w:rPr>
          <w:rFonts w:cs="Times New Roman"/>
        </w:rPr>
        <w:t xml:space="preserve">морските хидротехнически съоръжения с плажообразуващи функции </w:t>
      </w:r>
      <w:r w:rsidRPr="00610B1B">
        <w:rPr>
          <w:rFonts w:cs="Times New Roman"/>
        </w:rPr>
        <w:t>на плаж Болата в община Каварна, брегоукрепителни</w:t>
      </w:r>
      <w:r w:rsidR="005C1935" w:rsidRPr="00610B1B">
        <w:rPr>
          <w:rFonts w:cs="Times New Roman"/>
        </w:rPr>
        <w:t>те</w:t>
      </w:r>
      <w:r w:rsidRPr="00610B1B">
        <w:rPr>
          <w:rFonts w:cs="Times New Roman"/>
        </w:rPr>
        <w:t xml:space="preserve"> съоръжения северно от Шабла.</w:t>
      </w:r>
    </w:p>
    <w:p w14:paraId="3CDFA3FD" w14:textId="6BEA0352"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Основните проблеми </w:t>
      </w:r>
      <w:r w:rsidR="00D5568E" w:rsidRPr="00610B1B">
        <w:rPr>
          <w:rFonts w:cs="Times New Roman"/>
        </w:rPr>
        <w:t xml:space="preserve">при </w:t>
      </w:r>
      <w:r w:rsidRPr="00610B1B">
        <w:rPr>
          <w:rFonts w:cs="Times New Roman"/>
        </w:rPr>
        <w:t>строителството в морето са свързани с липсата на: финансиране, инициативност, идейни проекти, прединвестиционни проучвания,</w:t>
      </w:r>
      <w:r w:rsidR="00D66FE0" w:rsidRPr="00610B1B">
        <w:rPr>
          <w:rFonts w:cs="Times New Roman"/>
        </w:rPr>
        <w:t xml:space="preserve"> </w:t>
      </w:r>
      <w:r w:rsidRPr="00610B1B">
        <w:rPr>
          <w:rFonts w:cs="Times New Roman"/>
        </w:rPr>
        <w:t xml:space="preserve">политики, проучвания, научна информация. За нормативната уредба оценките са противоречиви – нужда от регулираща и ограничителна до такава, която не спира частната инициатива. Предлага се да бъде детайлизирана процедурата по разширяване на пристанищата, при строеж в акваторията и разписване задълженията на съответната държавна институция. Подчертава се необходимостта от устройствено планиране за предвидените за изграждане нови съоръжения, а проблемите при обектите с двойно предназначение се смята, че ще се решат след създаване на </w:t>
      </w:r>
      <w:r w:rsidR="005C1935" w:rsidRPr="00610B1B">
        <w:rPr>
          <w:rFonts w:cs="Times New Roman"/>
        </w:rPr>
        <w:t xml:space="preserve">регламент </w:t>
      </w:r>
      <w:r w:rsidRPr="00610B1B">
        <w:rPr>
          <w:rFonts w:cs="Times New Roman"/>
        </w:rPr>
        <w:t>за стопанисване.</w:t>
      </w:r>
      <w:r w:rsidR="005C1935" w:rsidRPr="00610B1B">
        <w:rPr>
          <w:rFonts w:cs="Times New Roman"/>
        </w:rPr>
        <w:t xml:space="preserve"> </w:t>
      </w:r>
      <w:r w:rsidRPr="00610B1B">
        <w:rPr>
          <w:rFonts w:cs="Times New Roman"/>
        </w:rPr>
        <w:t>Изказва се и принципно мнение против строителство в морето, свързано с отвоюване на площ.</w:t>
      </w:r>
    </w:p>
    <w:p w14:paraId="6AA2EA90" w14:textId="77777777" w:rsidR="00E216B5" w:rsidRPr="00610B1B" w:rsidRDefault="00E216B5" w:rsidP="00D32D6A">
      <w:pPr>
        <w:pStyle w:val="BodyText"/>
        <w:spacing w:before="0" w:after="120" w:line="276" w:lineRule="auto"/>
        <w:ind w:right="-153"/>
        <w:rPr>
          <w:rFonts w:cs="Times New Roman"/>
        </w:rPr>
      </w:pPr>
      <w:r w:rsidRPr="00610B1B">
        <w:rPr>
          <w:rFonts w:cs="Times New Roman"/>
        </w:rPr>
        <w:t>Предложенията по темата за опазването на брега варират от законодателни промени, поддържане на информационни бази и система от планови документи, до стимулиране на частната инициатива.</w:t>
      </w:r>
    </w:p>
    <w:p w14:paraId="2CC1D53E" w14:textId="274CA9C3" w:rsidR="00E216B5" w:rsidRPr="00610B1B" w:rsidRDefault="00E216B5" w:rsidP="00D32D6A">
      <w:pPr>
        <w:pStyle w:val="BodyText"/>
        <w:spacing w:before="0" w:after="120" w:line="276" w:lineRule="auto"/>
        <w:ind w:right="-153"/>
        <w:rPr>
          <w:rFonts w:cs="Times New Roman"/>
        </w:rPr>
      </w:pPr>
      <w:r w:rsidRPr="00610B1B">
        <w:rPr>
          <w:rFonts w:cs="Times New Roman"/>
        </w:rPr>
        <w:lastRenderedPageBreak/>
        <w:t>Използването на брегозащитните съоръжения за допълнителни рекреационни дейности</w:t>
      </w:r>
      <w:r w:rsidR="00D66FE0" w:rsidRPr="00610B1B">
        <w:rPr>
          <w:rFonts w:cs="Times New Roman"/>
        </w:rPr>
        <w:t xml:space="preserve"> </w:t>
      </w:r>
      <w:r w:rsidRPr="00610B1B">
        <w:rPr>
          <w:rFonts w:cs="Times New Roman"/>
        </w:rPr>
        <w:t>поляризира експертите. За една част от тях трябва да остане само основната им функция, а за друга е необходимо да се използват за допълнителни рекреационни дейности. Това е възможно с уговорката първо да изпълняват основната си функция, но да се положат усилия за рехабилитация или наново да се проектират, за да се превърнат в мултифункционални пространства с временни летни атракциони, със съоръжения с научно-популярна цел и спорт.</w:t>
      </w:r>
      <w:r w:rsidR="005C1935" w:rsidRPr="00610B1B">
        <w:rPr>
          <w:rFonts w:cs="Times New Roman"/>
        </w:rPr>
        <w:t xml:space="preserve"> </w:t>
      </w:r>
      <w:r w:rsidRPr="00610B1B">
        <w:rPr>
          <w:rFonts w:cs="Times New Roman"/>
        </w:rPr>
        <w:t xml:space="preserve">Предложенията относно брегозащитните съоръжения включват актуализиране и доразвиване на генералната схема, създаване на регистър и преоценка </w:t>
      </w:r>
      <w:r w:rsidR="00C21E97" w:rsidRPr="00610B1B">
        <w:rPr>
          <w:rFonts w:cs="Times New Roman"/>
        </w:rPr>
        <w:t xml:space="preserve">на </w:t>
      </w:r>
      <w:r w:rsidRPr="00610B1B">
        <w:rPr>
          <w:rFonts w:cs="Times New Roman"/>
        </w:rPr>
        <w:t>състоянието на съществуващите съоръжения, интегриран подход при планирането и замяна на старите лодкостоянки с нови и по-модерни.</w:t>
      </w:r>
      <w:r w:rsidR="00D66FE0" w:rsidRPr="00610B1B">
        <w:rPr>
          <w:rFonts w:cs="Times New Roman"/>
        </w:rPr>
        <w:t xml:space="preserve"> </w:t>
      </w:r>
    </w:p>
    <w:p w14:paraId="231E758E" w14:textId="5420A32B" w:rsidR="00E216B5" w:rsidRPr="00610B1B" w:rsidRDefault="00E216B5" w:rsidP="00D32D6A">
      <w:pPr>
        <w:pStyle w:val="BodyText"/>
        <w:spacing w:before="0" w:after="120" w:line="276" w:lineRule="auto"/>
        <w:ind w:right="-153"/>
        <w:rPr>
          <w:rFonts w:cs="Times New Roman"/>
        </w:rPr>
      </w:pPr>
      <w:r w:rsidRPr="00610B1B">
        <w:rPr>
          <w:rFonts w:cs="Times New Roman"/>
        </w:rPr>
        <w:t>Експертите се обединяват около необходимостта</w:t>
      </w:r>
      <w:r w:rsidR="00D66FE0" w:rsidRPr="00610B1B">
        <w:rPr>
          <w:rFonts w:cs="Times New Roman"/>
        </w:rPr>
        <w:t xml:space="preserve"> </w:t>
      </w:r>
      <w:r w:rsidRPr="00610B1B">
        <w:rPr>
          <w:rFonts w:cs="Times New Roman"/>
        </w:rPr>
        <w:t>от</w:t>
      </w:r>
      <w:r w:rsidR="00D66FE0" w:rsidRPr="00610B1B">
        <w:rPr>
          <w:rFonts w:cs="Times New Roman"/>
        </w:rPr>
        <w:t xml:space="preserve"> </w:t>
      </w:r>
      <w:r w:rsidRPr="00610B1B">
        <w:rPr>
          <w:rFonts w:cs="Times New Roman"/>
        </w:rPr>
        <w:t>интегриране на културното наследство въобще и в частност на недвижимите културни ценности (подводни и на брега) в тези дейности.</w:t>
      </w:r>
      <w:r w:rsidR="00D66FE0" w:rsidRPr="00610B1B">
        <w:rPr>
          <w:rFonts w:cs="Times New Roman"/>
        </w:rPr>
        <w:t xml:space="preserve"> </w:t>
      </w:r>
      <w:r w:rsidRPr="00610B1B">
        <w:rPr>
          <w:rFonts w:cs="Times New Roman"/>
        </w:rPr>
        <w:t xml:space="preserve">Акцентите са: ясно разграничение и запазване на целостта им и спазване на правилата за опазването им. Това се приема, че ще доведе до по-голяма </w:t>
      </w:r>
      <w:r w:rsidR="00C21E97" w:rsidRPr="00610B1B">
        <w:rPr>
          <w:rFonts w:cs="Times New Roman"/>
        </w:rPr>
        <w:t>добавена</w:t>
      </w:r>
      <w:r w:rsidRPr="00610B1B">
        <w:rPr>
          <w:rFonts w:cs="Times New Roman"/>
        </w:rPr>
        <w:t xml:space="preserve"> стойност на тази дейност.</w:t>
      </w:r>
    </w:p>
    <w:p w14:paraId="5E9AA4F6" w14:textId="399B4FB8" w:rsidR="00E216B5" w:rsidRPr="00610B1B" w:rsidRDefault="00E16795" w:rsidP="00D32D6A">
      <w:pPr>
        <w:pStyle w:val="BodyText"/>
        <w:spacing w:before="0" w:after="120" w:line="276" w:lineRule="auto"/>
        <w:ind w:right="-153"/>
        <w:rPr>
          <w:rFonts w:cs="Times New Roman"/>
          <w:b/>
          <w:i/>
        </w:rPr>
      </w:pPr>
      <w:bookmarkStart w:id="521" w:name="_Hlk46188989"/>
      <w:r w:rsidRPr="00610B1B">
        <w:rPr>
          <w:rFonts w:cs="Times New Roman"/>
          <w:b/>
          <w:i/>
        </w:rPr>
        <w:t>Информационната платформа на националния Морски пространствен план</w:t>
      </w:r>
    </w:p>
    <w:p w14:paraId="6DB763A1" w14:textId="26C4C1EC" w:rsidR="00E216B5" w:rsidRPr="00610B1B" w:rsidRDefault="00E216B5" w:rsidP="00D32D6A">
      <w:pPr>
        <w:pStyle w:val="BodyText"/>
        <w:spacing w:before="0" w:after="120" w:line="276" w:lineRule="auto"/>
        <w:ind w:right="-153"/>
        <w:rPr>
          <w:rFonts w:cs="Times New Roman"/>
        </w:rPr>
      </w:pPr>
      <w:r w:rsidRPr="00610B1B">
        <w:rPr>
          <w:rFonts w:cs="Times New Roman"/>
        </w:rPr>
        <w:t>Идеята за изготвяне на информационна платформа на националния морски пространствен план се оценява позитивно от всички участвалите в изследването експерти</w:t>
      </w:r>
      <w:r w:rsidR="00D66FE0" w:rsidRPr="00610B1B">
        <w:rPr>
          <w:rFonts w:cs="Times New Roman"/>
        </w:rPr>
        <w:t xml:space="preserve"> </w:t>
      </w:r>
      <w:r w:rsidRPr="00610B1B">
        <w:rPr>
          <w:rFonts w:cs="Times New Roman"/>
        </w:rPr>
        <w:t>-</w:t>
      </w:r>
      <w:r w:rsidR="00D66FE0" w:rsidRPr="00610B1B">
        <w:rPr>
          <w:rFonts w:cs="Times New Roman"/>
        </w:rPr>
        <w:t xml:space="preserve"> </w:t>
      </w:r>
      <w:r w:rsidRPr="00610B1B">
        <w:rPr>
          <w:rFonts w:cs="Times New Roman"/>
        </w:rPr>
        <w:t xml:space="preserve">23-ма я разглеждат „изцяло положително“, а 7 я оценяват „по-скоро положително“. Това е логично, като се вземе под внимание изразеното общо мнение за необходимостта от единна информационна платформа. </w:t>
      </w:r>
    </w:p>
    <w:p w14:paraId="2F7617C4" w14:textId="52C9DF9A" w:rsidR="00E216B5" w:rsidRPr="00610B1B" w:rsidRDefault="00E216B5" w:rsidP="00D32D6A">
      <w:pPr>
        <w:pStyle w:val="BodyText"/>
        <w:spacing w:before="0" w:after="120" w:line="276" w:lineRule="auto"/>
        <w:ind w:right="-153"/>
        <w:rPr>
          <w:rFonts w:cs="Times New Roman"/>
        </w:rPr>
      </w:pPr>
      <w:r w:rsidRPr="00610B1B">
        <w:rPr>
          <w:rFonts w:cs="Times New Roman"/>
        </w:rPr>
        <w:t>Ползите от информационната платформа на националния морски пространствен план са в</w:t>
      </w:r>
      <w:r w:rsidR="00C21E97" w:rsidRPr="00610B1B">
        <w:rPr>
          <w:rFonts w:cs="Times New Roman"/>
        </w:rPr>
        <w:t>ъв</w:t>
      </w:r>
      <w:r w:rsidRPr="00610B1B">
        <w:rPr>
          <w:rFonts w:cs="Times New Roman"/>
        </w:rPr>
        <w:t xml:space="preserve"> всеобхватната оценка на съществуващото положение, на базата на която ще може да се извършва планиране и изготвяне на национални и регионални политики. Тя се </w:t>
      </w:r>
      <w:r w:rsidR="00C21E97" w:rsidRPr="00610B1B">
        <w:rPr>
          <w:rFonts w:cs="Times New Roman"/>
        </w:rPr>
        <w:t xml:space="preserve">разглежда </w:t>
      </w:r>
      <w:r w:rsidRPr="00610B1B">
        <w:rPr>
          <w:rFonts w:cs="Times New Roman"/>
        </w:rPr>
        <w:t>като информационна платформа с обща визия и интегрирана информация, като национален специализиран кадастър. Ползите от нея се състоят в това, че от нея ще могат да се информират заинтересованите страни</w:t>
      </w:r>
      <w:r w:rsidR="00D66FE0" w:rsidRPr="00610B1B">
        <w:rPr>
          <w:rFonts w:cs="Times New Roman"/>
        </w:rPr>
        <w:t xml:space="preserve"> </w:t>
      </w:r>
      <w:r w:rsidRPr="00610B1B">
        <w:rPr>
          <w:rFonts w:cs="Times New Roman"/>
        </w:rPr>
        <w:t>от културно-образователна и експертно-техническа гледна точка. Тя ще способства за прозрачност, граждански контрол, професионален и политически дебат.</w:t>
      </w:r>
    </w:p>
    <w:p w14:paraId="607A92D7" w14:textId="3B631455" w:rsidR="00E216B5" w:rsidRPr="00610B1B" w:rsidRDefault="00E216B5" w:rsidP="00D32D6A">
      <w:pPr>
        <w:pStyle w:val="BodyText"/>
        <w:spacing w:before="0" w:after="120" w:line="276" w:lineRule="auto"/>
        <w:ind w:right="-153"/>
        <w:rPr>
          <w:rFonts w:cs="Times New Roman"/>
        </w:rPr>
      </w:pPr>
      <w:r w:rsidRPr="00610B1B">
        <w:rPr>
          <w:rFonts w:cs="Times New Roman"/>
        </w:rPr>
        <w:t>Информацията в платформата трябва да включва данни от всякакъв характер. Експертите акцентират върху различни типове информация, което позволява получаването на една по-пълна картина. Въпреки, че е трудно нейното изчерпателно обобщение, основните видове информация са: свързана с устройството на територията; с биоразнообразието, екосистемите, климата и водните течения; с водния транспорт - корабоплаването,</w:t>
      </w:r>
      <w:r w:rsidR="00D66FE0" w:rsidRPr="00610B1B">
        <w:rPr>
          <w:rFonts w:cs="Times New Roman"/>
        </w:rPr>
        <w:t xml:space="preserve"> </w:t>
      </w:r>
      <w:r w:rsidRPr="00610B1B">
        <w:rPr>
          <w:rFonts w:cs="Times New Roman"/>
        </w:rPr>
        <w:t>пристанищата и предлаганите от тях услуги; с нормативната база, плановите документи и анализи; с текущите проекти; с научните изследвания; с международните спогодби; с обекти и територии със статут на НКЦ. Тя трябва да е с акцент върху опазване на околната среда и водите. Важно е включването на целия набор от налични пространствени данни и метаданни, географски данни, природни ресурси, предвиждания на ОУП за крайбрежните територии и наличие на различни видове зони (защитени, туристически, селскостопански и т.н.). Икономическата информация обхваща картиране на икономическите дейности по вид, местоположение, размер на предприятията, брой заети, месторегистрация на юридическото лице. За по-широк кръг от потребители се предлага информация за времето</w:t>
      </w:r>
      <w:r w:rsidR="00ED0123" w:rsidRPr="00610B1B">
        <w:rPr>
          <w:rFonts w:cs="Times New Roman"/>
        </w:rPr>
        <w:t> –</w:t>
      </w:r>
      <w:r w:rsidRPr="00610B1B">
        <w:rPr>
          <w:rFonts w:cs="Times New Roman"/>
        </w:rPr>
        <w:t xml:space="preserve"> актуално състояние и прогноза.</w:t>
      </w:r>
    </w:p>
    <w:p w14:paraId="5C2D4A42" w14:textId="0D77B68C" w:rsidR="00E216B5" w:rsidRPr="00610B1B" w:rsidRDefault="00E216B5" w:rsidP="00D32D6A">
      <w:pPr>
        <w:pStyle w:val="BodyText"/>
        <w:spacing w:before="0" w:after="120" w:line="276" w:lineRule="auto"/>
        <w:ind w:right="-153"/>
        <w:rPr>
          <w:rFonts w:cs="Times New Roman"/>
        </w:rPr>
      </w:pPr>
      <w:r w:rsidRPr="00610B1B">
        <w:rPr>
          <w:rFonts w:cs="Times New Roman"/>
        </w:rPr>
        <w:lastRenderedPageBreak/>
        <w:t>Информацията в платформата трябва да е достоверна, актуална, пълна и комплексна за всички аспекти на морските пространства и крайбрежните територии.</w:t>
      </w:r>
      <w:r w:rsidR="00BA76A2" w:rsidRPr="00610B1B">
        <w:rPr>
          <w:rFonts w:cs="Times New Roman"/>
        </w:rPr>
        <w:t xml:space="preserve"> </w:t>
      </w:r>
      <w:r w:rsidRPr="00610B1B">
        <w:rPr>
          <w:rFonts w:cs="Times New Roman"/>
        </w:rPr>
        <w:t xml:space="preserve">За експертите основните характеристики и показатели на информацията в платформата са свързани с нейната обществена достъпност, разбираемост и за неспециалисти, с възможност за обратна връзка, както и да не е пръсната по различни сайтове. Тя трябва да е с планирана дълготрайност и да има версия на английски език. </w:t>
      </w:r>
    </w:p>
    <w:p w14:paraId="5086B492" w14:textId="7EC72024" w:rsidR="00E216B5" w:rsidRPr="00610B1B" w:rsidRDefault="00E216B5" w:rsidP="00D32D6A">
      <w:pPr>
        <w:pStyle w:val="BodyText"/>
        <w:tabs>
          <w:tab w:val="left" w:pos="5245"/>
        </w:tabs>
        <w:spacing w:before="0" w:after="120" w:line="276" w:lineRule="auto"/>
        <w:ind w:right="-153"/>
        <w:rPr>
          <w:rFonts w:cs="Times New Roman"/>
        </w:rPr>
      </w:pPr>
      <w:r w:rsidRPr="00610B1B">
        <w:rPr>
          <w:rFonts w:cs="Times New Roman"/>
        </w:rPr>
        <w:t xml:space="preserve">Поддръжката на информацията в националната платформа за морско пространствено планиране е изключително важна </w:t>
      </w:r>
      <w:r w:rsidR="000C6509" w:rsidRPr="00610B1B">
        <w:rPr>
          <w:rFonts w:cs="Times New Roman"/>
        </w:rPr>
        <w:t>за</w:t>
      </w:r>
      <w:r w:rsidRPr="00610B1B">
        <w:rPr>
          <w:rFonts w:cs="Times New Roman"/>
        </w:rPr>
        <w:t xml:space="preserve"> постигане на нейната дълготрайност и успешност. Експертите са поляризирани по тестваните два варианта за нейното администриране. Минимален превес има идеята за специално създадено координационно звено</w:t>
      </w:r>
      <w:r w:rsidR="00D66FE0" w:rsidRPr="00610B1B">
        <w:rPr>
          <w:rFonts w:cs="Times New Roman"/>
        </w:rPr>
        <w:t xml:space="preserve"> </w:t>
      </w:r>
      <w:r w:rsidRPr="00610B1B">
        <w:rPr>
          <w:rFonts w:cs="Times New Roman"/>
        </w:rPr>
        <w:t>с 14 гласа.</w:t>
      </w:r>
      <w:r w:rsidR="00D66FE0" w:rsidRPr="00610B1B">
        <w:rPr>
          <w:rFonts w:cs="Times New Roman"/>
        </w:rPr>
        <w:t xml:space="preserve"> </w:t>
      </w:r>
      <w:r w:rsidRPr="00610B1B">
        <w:rPr>
          <w:rFonts w:cs="Times New Roman"/>
        </w:rPr>
        <w:t xml:space="preserve">Предложението за поддръжка съвместно от всички заинтересовани институции чрез ясно регламентирани в законодателната уредба ангажименти за предоставяне на актуална и достоверна информация събира подкрепата на 12 експерта. </w:t>
      </w:r>
    </w:p>
    <w:p w14:paraId="5ACA22C6" w14:textId="1A6E7974"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В коментари се предлага изнесено координационно звено, позиционирано във Варна или Бургас. Досегашният опит показва, че различни институции не поддържат базите </w:t>
      </w:r>
      <w:r w:rsidR="000C6509" w:rsidRPr="00610B1B">
        <w:rPr>
          <w:rFonts w:cs="Times New Roman"/>
        </w:rPr>
        <w:t>данни успешно, а контрааргументът</w:t>
      </w:r>
      <w:r w:rsidRPr="00610B1B">
        <w:rPr>
          <w:rFonts w:cs="Times New Roman"/>
        </w:rPr>
        <w:t xml:space="preserve"> е</w:t>
      </w:r>
      <w:r w:rsidR="000C6509" w:rsidRPr="00610B1B">
        <w:rPr>
          <w:rFonts w:cs="Times New Roman"/>
        </w:rPr>
        <w:t>,</w:t>
      </w:r>
      <w:r w:rsidRPr="00610B1B">
        <w:rPr>
          <w:rFonts w:cs="Times New Roman"/>
        </w:rPr>
        <w:t xml:space="preserve"> че институция с доказан капацитет може да свърши тази работа, като се спести нов щат и отделно администриране.</w:t>
      </w:r>
      <w:r w:rsidR="00D66FE0" w:rsidRPr="00610B1B">
        <w:rPr>
          <w:rFonts w:cs="Times New Roman"/>
        </w:rPr>
        <w:t xml:space="preserve"> </w:t>
      </w:r>
    </w:p>
    <w:bookmarkEnd w:id="521"/>
    <w:p w14:paraId="2C7F6ADA" w14:textId="1CCE43DC" w:rsidR="00E216B5" w:rsidRPr="00610B1B" w:rsidRDefault="00E16795" w:rsidP="00366AFE">
      <w:pPr>
        <w:pStyle w:val="BodyText"/>
        <w:spacing w:before="0" w:after="120" w:line="240" w:lineRule="auto"/>
        <w:ind w:right="-153"/>
        <w:rPr>
          <w:rFonts w:cs="Times New Roman"/>
          <w:b/>
          <w:i/>
        </w:rPr>
      </w:pPr>
      <w:r w:rsidRPr="00610B1B">
        <w:rPr>
          <w:rFonts w:cs="Times New Roman"/>
          <w:b/>
          <w:i/>
        </w:rPr>
        <w:t>Съвместяване на различните ползвания – необходимост от ограничения и безконфликтно развитие</w:t>
      </w:r>
    </w:p>
    <w:p w14:paraId="2F32E88A" w14:textId="77777777" w:rsidR="00E216B5" w:rsidRPr="00610B1B" w:rsidRDefault="00E216B5" w:rsidP="00D32D6A">
      <w:pPr>
        <w:pStyle w:val="BodyText"/>
        <w:spacing w:before="0" w:after="120" w:line="276" w:lineRule="auto"/>
        <w:ind w:right="-153"/>
        <w:rPr>
          <w:rFonts w:cs="Times New Roman"/>
        </w:rPr>
      </w:pPr>
      <w:r w:rsidRPr="00610B1B">
        <w:rPr>
          <w:rFonts w:cs="Times New Roman"/>
        </w:rPr>
        <w:t>Според участвалите в изследването експерти, ограничения трябва да се наложат на строителството в морето (извън брегоукрепване, корабоплаване и риболов), контрол върху мащаба на застрояване на сушата, свързан с опазване на културно-историческите и природни ценности (съобразно тяхната значимост). Акцентира се върху ограниченията, насочени към опазване на околната среда и намаляване на замърсяванията – заустване на непречистени води, замърсяване на морето, ограничения в развитието на тежка и химическа промишленост. Важни са ограниченията за информацията, касаеща националната сигурност и стратегическите дейности. Изолирани остават становищата, че не трябва да има дейности, за които да се наложат ограничения.</w:t>
      </w:r>
    </w:p>
    <w:p w14:paraId="4F0FCA94" w14:textId="77777777" w:rsidR="00E216B5" w:rsidRPr="00610B1B" w:rsidRDefault="00E216B5" w:rsidP="00D32D6A">
      <w:pPr>
        <w:pStyle w:val="BodyText"/>
        <w:spacing w:before="0" w:after="120" w:line="276" w:lineRule="auto"/>
        <w:ind w:right="-153"/>
        <w:rPr>
          <w:rFonts w:cs="Times New Roman"/>
        </w:rPr>
      </w:pPr>
      <w:r w:rsidRPr="00610B1B">
        <w:rPr>
          <w:rFonts w:cs="Times New Roman"/>
        </w:rPr>
        <w:t xml:space="preserve">Участвалите в изследването експерти правят уточнението, че безконфликтното развитие не бива да е за сметка на основната дейност, да не застрашава националната сигурност, да е икономически целесъобразно, да е след оценка на въздействието върху околната среда. Дават се и конкретни примери за безконфликтно развитие: хидрографски измервания и научни изследвания; спорт и туризъм; градска реконструкция и пазар на недвижими имоти в района на неработещи пристанищни територии. </w:t>
      </w:r>
    </w:p>
    <w:p w14:paraId="19C2E441" w14:textId="294A453B" w:rsidR="00E216B5" w:rsidRPr="00610B1B" w:rsidRDefault="00E216B5" w:rsidP="00D32D6A">
      <w:pPr>
        <w:pStyle w:val="BodyText"/>
        <w:spacing w:before="0" w:after="120" w:line="276" w:lineRule="auto"/>
        <w:ind w:right="-153"/>
        <w:rPr>
          <w:rFonts w:cs="Times New Roman"/>
        </w:rPr>
      </w:pPr>
      <w:r w:rsidRPr="00610B1B">
        <w:rPr>
          <w:rFonts w:cs="Times New Roman"/>
        </w:rPr>
        <w:t>Прави впечатление включването на туризма в различни конфигурации:</w:t>
      </w:r>
      <w:r w:rsidR="00D66FE0" w:rsidRPr="00610B1B">
        <w:rPr>
          <w:rFonts w:cs="Times New Roman"/>
        </w:rPr>
        <w:t xml:space="preserve"> </w:t>
      </w:r>
      <w:r w:rsidRPr="00610B1B">
        <w:rPr>
          <w:rFonts w:cs="Times New Roman"/>
        </w:rPr>
        <w:t xml:space="preserve">воден туризъм с опазване и експониране на подводна археология и природни местообитания около архитектурните резервати; щадящи форми на туризъм и морските и сухоземните екосистемни услуги; туристическа дейност и производствена дейност при спазване на условия за безопасност и минимално или никакво въздействие върху околната среда; туристическа дейност и транспорт на товари и логистична дейност. </w:t>
      </w:r>
      <w:r w:rsidRPr="00610B1B">
        <w:rPr>
          <w:rFonts w:cs="Times New Roman"/>
          <w:b/>
          <w:bCs/>
        </w:rPr>
        <w:t xml:space="preserve">Съвместяването на дейностите </w:t>
      </w:r>
      <w:r w:rsidRPr="00610B1B">
        <w:rPr>
          <w:rFonts w:cs="Times New Roman"/>
        </w:rPr>
        <w:t xml:space="preserve">които могат безконфликтно да се развиват са транспорт, търговия, туризъм, рибарство, солодобив, отглеждане на аквакултури, морски спортни дейности, морски образователни дейности, подводна археология, </w:t>
      </w:r>
      <w:r w:rsidRPr="00610B1B">
        <w:rPr>
          <w:rFonts w:cs="Times New Roman"/>
        </w:rPr>
        <w:lastRenderedPageBreak/>
        <w:t xml:space="preserve">опазване на биоразнообразието, балнеология, терапевтични и рекреационни дейности, национална отбрана. Изказва се и опасението, че съвместяване на различни по характер дейности води до синергичен отрицателен ефект. </w:t>
      </w:r>
    </w:p>
    <w:p w14:paraId="7F4DB569" w14:textId="6242572B" w:rsidR="00E216B5" w:rsidRPr="00610B1B" w:rsidRDefault="00E16795" w:rsidP="00D32D6A">
      <w:pPr>
        <w:pStyle w:val="BodyText"/>
        <w:spacing w:before="0" w:after="120" w:line="276" w:lineRule="auto"/>
        <w:ind w:right="-153"/>
        <w:rPr>
          <w:rFonts w:cs="Times New Roman"/>
          <w:b/>
          <w:i/>
        </w:rPr>
      </w:pPr>
      <w:r w:rsidRPr="00610B1B">
        <w:rPr>
          <w:rFonts w:cs="Times New Roman"/>
          <w:b/>
          <w:i/>
        </w:rPr>
        <w:t>Нагласи на експертите към изготвяния Морски пространствен план. Препоръки.</w:t>
      </w:r>
    </w:p>
    <w:p w14:paraId="63358942" w14:textId="6577297D" w:rsidR="00E216B5" w:rsidRPr="00610B1B" w:rsidRDefault="00E216B5" w:rsidP="00D32D6A">
      <w:pPr>
        <w:pStyle w:val="BodyText"/>
        <w:spacing w:before="0" w:after="120" w:line="276" w:lineRule="auto"/>
        <w:ind w:right="-153"/>
        <w:rPr>
          <w:rFonts w:cs="Times New Roman"/>
          <w:b/>
        </w:rPr>
      </w:pPr>
      <w:r w:rsidRPr="00610B1B">
        <w:rPr>
          <w:rFonts w:cs="Times New Roman"/>
        </w:rPr>
        <w:t>Нагласите на участвалите в изследването експерти към важността на разработвания Морски пространствен план са изключително позитивни. За 18 от тях планът е „много важен“, а</w:t>
      </w:r>
      <w:r w:rsidR="00D66FE0" w:rsidRPr="00610B1B">
        <w:rPr>
          <w:rFonts w:cs="Times New Roman"/>
        </w:rPr>
        <w:t xml:space="preserve"> </w:t>
      </w:r>
      <w:r w:rsidRPr="00610B1B">
        <w:rPr>
          <w:rFonts w:cs="Times New Roman"/>
        </w:rPr>
        <w:t xml:space="preserve">11 го определят като „по-скоро важен“. Практически липсват отрицателни оценки. Това поставя въпроса за </w:t>
      </w:r>
      <w:r w:rsidRPr="00610B1B">
        <w:rPr>
          <w:rFonts w:cs="Times New Roman"/>
          <w:b/>
        </w:rPr>
        <w:t>голямата отговорност при реализацията на очевидно необходимия Морски пространствен план и високите очаквания към него.</w:t>
      </w:r>
    </w:p>
    <w:p w14:paraId="0ABC50B0" w14:textId="3E63F121" w:rsidR="00447F5C" w:rsidRPr="00610B1B" w:rsidRDefault="00E216B5" w:rsidP="00D32D6A">
      <w:pPr>
        <w:pStyle w:val="BodyText"/>
        <w:spacing w:before="0" w:after="120" w:line="276" w:lineRule="auto"/>
        <w:ind w:right="-153"/>
        <w:rPr>
          <w:rFonts w:cs="Times New Roman"/>
        </w:rPr>
      </w:pPr>
      <w:r w:rsidRPr="00610B1B">
        <w:rPr>
          <w:rFonts w:cs="Times New Roman"/>
        </w:rPr>
        <w:t xml:space="preserve">Респондентите са имали възможност да споделят мисли и предложения по Морския пространствен план, които не са споменавани до момента. Някои от мненията са свързани с убеждението, че не се привличат необходимите специалисти в развитието и експлоатацията на морската среда; проблематизира се разработването на Морски пространствен план при липса на национална визия/стратегия по темата; предлага се да се разработи дългосрочна разяснителна кампания и включване на населението в опазване на околната среда; акцентира се върху отчитане на човешкия фактор при разработване на плана; предлага се използване на холистичен подход и предвиждане на възможности за допълнения и промени във времето. По-специфични предложения са: запазване на съществуващите у нас научен и практически потенциал в сферата на морската хидротехника; </w:t>
      </w:r>
      <w:r w:rsidR="00DC481F" w:rsidRPr="00610B1B">
        <w:rPr>
          <w:rFonts w:cs="Times New Roman"/>
        </w:rPr>
        <w:t>създаване на</w:t>
      </w:r>
      <w:r w:rsidRPr="00610B1B">
        <w:rPr>
          <w:rFonts w:cs="Times New Roman"/>
        </w:rPr>
        <w:t xml:space="preserve"> специализирани туристически карти; отчитане възможността за транзитно обслужване на преминаващите кораби.</w:t>
      </w:r>
    </w:p>
    <w:p w14:paraId="5E719389" w14:textId="0E469952" w:rsidR="00E24DBE" w:rsidRPr="00610B1B" w:rsidRDefault="00E24DBE" w:rsidP="00D32D6A">
      <w:pPr>
        <w:pStyle w:val="BodyText"/>
        <w:spacing w:before="0" w:after="120" w:line="276" w:lineRule="auto"/>
        <w:ind w:right="-153"/>
        <w:rPr>
          <w:rFonts w:cs="Times New Roman"/>
        </w:rPr>
      </w:pPr>
      <w:r w:rsidRPr="00610B1B">
        <w:rPr>
          <w:rFonts w:cs="Times New Roman"/>
        </w:rPr>
        <w:t>Общо е заключението за коректното и професионално отношение към обсъжданите въпроси на всички участници.</w:t>
      </w:r>
    </w:p>
    <w:p w14:paraId="4574A03D" w14:textId="77777777" w:rsidR="00537D06" w:rsidRPr="00610B1B" w:rsidRDefault="00537D06" w:rsidP="00AD38A7">
      <w:pPr>
        <w:pStyle w:val="BodyText"/>
        <w:spacing w:before="0" w:after="120" w:line="240" w:lineRule="auto"/>
        <w:ind w:right="-153"/>
        <w:rPr>
          <w:rFonts w:cs="Times New Roman"/>
        </w:rPr>
      </w:pPr>
    </w:p>
    <w:p w14:paraId="13DC4881" w14:textId="106ECAFE" w:rsidR="0041129F" w:rsidRPr="00610B1B" w:rsidRDefault="00463127" w:rsidP="00D32D6A">
      <w:pPr>
        <w:pStyle w:val="Heading2"/>
        <w:spacing w:before="0" w:line="276" w:lineRule="auto"/>
        <w:rPr>
          <w:rFonts w:cs="Times New Roman"/>
        </w:rPr>
      </w:pPr>
      <w:bookmarkStart w:id="522" w:name="_Toc83391451"/>
      <w:r w:rsidRPr="00610B1B">
        <w:rPr>
          <w:rFonts w:cs="Times New Roman"/>
        </w:rPr>
        <w:t>8.</w:t>
      </w:r>
      <w:r w:rsidR="0041129F" w:rsidRPr="00610B1B">
        <w:rPr>
          <w:rFonts w:cs="Times New Roman"/>
        </w:rPr>
        <w:t>3</w:t>
      </w:r>
      <w:r w:rsidRPr="00610B1B">
        <w:rPr>
          <w:rFonts w:cs="Times New Roman"/>
        </w:rPr>
        <w:t xml:space="preserve">. </w:t>
      </w:r>
      <w:r w:rsidR="0041129F" w:rsidRPr="00610B1B">
        <w:rPr>
          <w:rFonts w:cs="Times New Roman"/>
        </w:rPr>
        <w:t>Резултати от интердисциплинарен семинар</w:t>
      </w:r>
      <w:bookmarkEnd w:id="522"/>
      <w:r w:rsidR="0041129F" w:rsidRPr="00610B1B">
        <w:rPr>
          <w:rFonts w:cs="Times New Roman"/>
        </w:rPr>
        <w:t xml:space="preserve"> </w:t>
      </w:r>
    </w:p>
    <w:p w14:paraId="04D6422D"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 10 юли 2020 г., при спазване на строги противоепидемични мерки, в Експозиционния център „Флора“ в Морската градина на град Бургас беше проведен семинар „Синя синергия“, посветен на проекта за Морски пространствен план на Република България 2021-2035 г. В няколко последователни сесии бяха представени връзките с проекта „Трансгранично морско пространствено планиране за Черно море, България и Румъния - MARSPLAN-BS II“ и съвременните методи за изследване на взаимодействията между сушата и морето и за безконфликтно съчетаване на функциите в морските пространства. </w:t>
      </w:r>
    </w:p>
    <w:p w14:paraId="2AB56C80" w14:textId="624AC65B"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 семинара беше докладван напредъка в разработването на Морския пространствен план на страната, заедно с едни от най-важните теми за морския трафик, синята икономика, биологичното разнообразие и единната ГИС база данни за целите на проекта, която да се доразвие в платформа за взаимодействие между секторите.</w:t>
      </w:r>
      <w:r w:rsidR="00D66FE0" w:rsidRPr="00610B1B">
        <w:rPr>
          <w:rFonts w:ascii="Times New Roman" w:hAnsi="Times New Roman" w:cs="Times New Roman"/>
          <w:sz w:val="24"/>
          <w:szCs w:val="24"/>
          <w:lang w:val="bg-BG"/>
        </w:rPr>
        <w:t xml:space="preserve"> </w:t>
      </w:r>
    </w:p>
    <w:p w14:paraId="0D102E2A" w14:textId="577254D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Втората част на семинара „Какво бъдеще за нашето Черно море“ беше проведена по Технологията на откритите пространства по избраните от участниците две теми „Конфликт или възможни решения за взаимодействие с крайбрежните зони?“ и „Какъв туризъм искаме по българското Черноморие?“</w:t>
      </w:r>
    </w:p>
    <w:p w14:paraId="582D9724" w14:textId="77777777" w:rsidR="00AD38A7" w:rsidRPr="00610B1B" w:rsidRDefault="00AD38A7" w:rsidP="00D32D6A">
      <w:pPr>
        <w:spacing w:after="120"/>
        <w:ind w:right="-153"/>
        <w:jc w:val="both"/>
        <w:rPr>
          <w:rFonts w:ascii="Times New Roman" w:hAnsi="Times New Roman" w:cs="Times New Roman"/>
          <w:sz w:val="24"/>
          <w:szCs w:val="24"/>
          <w:lang w:val="bg-BG"/>
        </w:rPr>
      </w:pPr>
    </w:p>
    <w:p w14:paraId="40C7B58F"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Синтезираните изводи от дискусията по първата тема са следните:</w:t>
      </w:r>
    </w:p>
    <w:p w14:paraId="488D008C" w14:textId="364FED3E" w:rsidR="0041129F" w:rsidRPr="00610B1B" w:rsidRDefault="0041129F" w:rsidP="00B46189">
      <w:pPr>
        <w:numPr>
          <w:ilvl w:val="0"/>
          <w:numId w:val="71"/>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По-подходящо е ‚конфликтите‘ за ползване на морск</w:t>
      </w:r>
      <w:r w:rsidR="00E24DBE" w:rsidRPr="00610B1B">
        <w:rPr>
          <w:rFonts w:ascii="Times New Roman" w:hAnsi="Times New Roman" w:cs="Times New Roman"/>
          <w:sz w:val="24"/>
          <w:szCs w:val="24"/>
          <w:lang w:val="bg-BG"/>
        </w:rPr>
        <w:t>а</w:t>
      </w:r>
      <w:r w:rsidRPr="00610B1B">
        <w:rPr>
          <w:rFonts w:ascii="Times New Roman" w:hAnsi="Times New Roman" w:cs="Times New Roman"/>
          <w:sz w:val="24"/>
          <w:szCs w:val="24"/>
          <w:lang w:val="bg-BG"/>
        </w:rPr>
        <w:t>та среда да се разглеждат от гледна точка на ‚многофункционално ползване‘ на акваториите и ресурсите на морето – това позволява комбиниране и балансиране на дейностите там.</w:t>
      </w:r>
    </w:p>
    <w:p w14:paraId="645ACD47" w14:textId="692B1F70" w:rsidR="0041129F" w:rsidRPr="00610B1B" w:rsidRDefault="0041129F" w:rsidP="00B46189">
      <w:pPr>
        <w:numPr>
          <w:ilvl w:val="0"/>
          <w:numId w:val="71"/>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Конфликти като този между урбанизацията на крайбрежието и увеличаване на замърсяването на морските води и съответно влошаването на качест</w:t>
      </w:r>
      <w:r w:rsidR="00ED0123" w:rsidRPr="00610B1B">
        <w:rPr>
          <w:rFonts w:ascii="Times New Roman" w:hAnsi="Times New Roman" w:cs="Times New Roman"/>
          <w:sz w:val="24"/>
          <w:szCs w:val="24"/>
          <w:lang w:val="bg-BG"/>
        </w:rPr>
        <w:t>в</w:t>
      </w:r>
      <w:r w:rsidRPr="00610B1B">
        <w:rPr>
          <w:rFonts w:ascii="Times New Roman" w:hAnsi="Times New Roman" w:cs="Times New Roman"/>
          <w:sz w:val="24"/>
          <w:szCs w:val="24"/>
          <w:lang w:val="bg-BG"/>
        </w:rPr>
        <w:t xml:space="preserve">ото на морската околна среда, имащи технологични решения (пречиствателни станции), могат да бъдат разрешени при наличие на ‚политики‘ и финансиране за решаване на тези проблеми. </w:t>
      </w:r>
    </w:p>
    <w:p w14:paraId="0A821582" w14:textId="182506F8" w:rsidR="0041129F" w:rsidRPr="00610B1B" w:rsidRDefault="0041129F" w:rsidP="00B46189">
      <w:pPr>
        <w:numPr>
          <w:ilvl w:val="0"/>
          <w:numId w:val="71"/>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много от случаите на конфликти от типа опазване на околната среда – развитие на икономика, туризъм, транспорт, са налице добри ‚експертни‘ решения, но за прилагането им е нужда ‚политическа воля‘, която да насочи усилията на институции</w:t>
      </w:r>
      <w:r w:rsidR="00E24DBE" w:rsidRPr="00610B1B">
        <w:rPr>
          <w:rFonts w:ascii="Times New Roman" w:hAnsi="Times New Roman" w:cs="Times New Roman"/>
          <w:sz w:val="24"/>
          <w:szCs w:val="24"/>
          <w:lang w:val="bg-BG"/>
        </w:rPr>
        <w:t>те</w:t>
      </w:r>
      <w:r w:rsidRPr="00610B1B">
        <w:rPr>
          <w:rFonts w:ascii="Times New Roman" w:hAnsi="Times New Roman" w:cs="Times New Roman"/>
          <w:sz w:val="24"/>
          <w:szCs w:val="24"/>
          <w:lang w:val="bg-BG"/>
        </w:rPr>
        <w:t xml:space="preserve"> и обществото към прилагането на тези решения.</w:t>
      </w:r>
    </w:p>
    <w:p w14:paraId="3B7FC13E" w14:textId="1A863D76" w:rsidR="0041129F" w:rsidRPr="00610B1B" w:rsidRDefault="0041129F" w:rsidP="00B46189">
      <w:pPr>
        <w:numPr>
          <w:ilvl w:val="0"/>
          <w:numId w:val="71"/>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В определени ситуации (например коридорите за корабен трафик), често решенията на конфликтни ситуации идват по инициатива на заинтересовани страни </w:t>
      </w:r>
      <w:r w:rsidR="00E24DBE"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бизнеса</w:t>
      </w:r>
      <w:r w:rsidR="00E24DBE"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които най-добре познават проблемите. Не е удачно да се търсят ‚решения‘ без тяхно участие – например изготвяне на нов ‚план‘ за разделно движение на трафика, който не е искан от морските транспортни фирми и корабособствениците.</w:t>
      </w:r>
    </w:p>
    <w:p w14:paraId="2F253706" w14:textId="77777777" w:rsidR="0041129F" w:rsidRPr="00610B1B" w:rsidRDefault="0041129F" w:rsidP="00B46189">
      <w:pPr>
        <w:numPr>
          <w:ilvl w:val="0"/>
          <w:numId w:val="71"/>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Основен източник на конфликти е това, че едно ‚решение‘ за подобряване на състоянието на морската околна среда (напр. строеж на пречиствателна станция) се реализира бавно (години), след което на самите екосистеми са им нужни дълги периоди от време, за да се възстановят и да има видими позитивни ефекти от тези ‚решения‘ – отново години. В същото време икономическото развитие често цели бързи действия и бързо реализиране на печалба и резултати, което е несъвместимо с времевите мащаби на процесите в природата.</w:t>
      </w:r>
    </w:p>
    <w:p w14:paraId="41BCB04E" w14:textId="6DD8616E" w:rsidR="0041129F" w:rsidRPr="00610B1B" w:rsidRDefault="0041129F" w:rsidP="00B46189">
      <w:pPr>
        <w:numPr>
          <w:ilvl w:val="0"/>
          <w:numId w:val="71"/>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Институциите, участващи в дискусията (ИАРА, представител на ВМС), изтъкнаха, че винаги са отворени за диалог със заинтересованите страни и търсят начини за решаване на конфликти</w:t>
      </w:r>
      <w:r w:rsidR="00111A5D">
        <w:rPr>
          <w:rFonts w:ascii="Times New Roman" w:hAnsi="Times New Roman" w:cs="Times New Roman"/>
          <w:sz w:val="24"/>
          <w:szCs w:val="24"/>
          <w:lang w:val="bg-BG"/>
        </w:rPr>
        <w:t>.</w:t>
      </w:r>
    </w:p>
    <w:p w14:paraId="7EC472FA" w14:textId="4D75CABB"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Общият извод е, че в повечето случаи проблемите идват не от липсата на регулации и правила за регулиране на тези конфликти, а от сложния и тромав механизъм на действие – напр. за дейностите в морето отговарят няколко институции (</w:t>
      </w:r>
      <w:r w:rsidR="00E24DBE" w:rsidRPr="00610B1B">
        <w:rPr>
          <w:rFonts w:ascii="Times New Roman" w:hAnsi="Times New Roman" w:cs="Times New Roman"/>
          <w:sz w:val="24"/>
          <w:szCs w:val="24"/>
          <w:lang w:val="bg-BG"/>
        </w:rPr>
        <w:t xml:space="preserve">МРРБ, </w:t>
      </w:r>
      <w:r w:rsidR="004E6C8D">
        <w:rPr>
          <w:rFonts w:ascii="Times New Roman" w:hAnsi="Times New Roman" w:cs="Times New Roman"/>
          <w:sz w:val="24"/>
          <w:szCs w:val="24"/>
          <w:lang w:val="bg-BG"/>
        </w:rPr>
        <w:t>МТС</w:t>
      </w:r>
      <w:r w:rsidR="00E24DBE"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МОСВ, МЗ</w:t>
      </w:r>
      <w:r w:rsidR="000A6746">
        <w:rPr>
          <w:rFonts w:ascii="Times New Roman" w:hAnsi="Times New Roman" w:cs="Times New Roman"/>
          <w:sz w:val="24"/>
          <w:szCs w:val="24"/>
          <w:lang w:val="bg-BG"/>
        </w:rPr>
        <w:t>м</w:t>
      </w:r>
      <w:r w:rsidRPr="00610B1B">
        <w:rPr>
          <w:rFonts w:ascii="Times New Roman" w:hAnsi="Times New Roman" w:cs="Times New Roman"/>
          <w:sz w:val="24"/>
          <w:szCs w:val="24"/>
          <w:lang w:val="bg-BG"/>
        </w:rPr>
        <w:t xml:space="preserve">, ИАРА, ИАМА, ДППИ, Басейнова дирекция, РИОСВ), и често не е ясно кой трябва да реагира при нарушения в морската акватория. В същото време, </w:t>
      </w:r>
      <w:r w:rsidR="001D16B6">
        <w:rPr>
          <w:rFonts w:ascii="Times New Roman" w:hAnsi="Times New Roman" w:cs="Times New Roman"/>
          <w:sz w:val="24"/>
          <w:szCs w:val="24"/>
          <w:lang w:val="bg-BG"/>
        </w:rPr>
        <w:t>някои</w:t>
      </w:r>
      <w:r w:rsidRPr="00610B1B">
        <w:rPr>
          <w:rFonts w:ascii="Times New Roman" w:hAnsi="Times New Roman" w:cs="Times New Roman"/>
          <w:sz w:val="24"/>
          <w:szCs w:val="24"/>
          <w:lang w:val="bg-BG"/>
        </w:rPr>
        <w:t xml:space="preserve"> от тези институции няма</w:t>
      </w:r>
      <w:r w:rsidR="001D16B6">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оборудване и средства за работа в морска среда. Затова най-адекватните решения са дошли след започване на сътрудничество с „Гранична Полиция“, които разполагат с катери и кораби (ИАРА работи с тях срещу морските бракониери за риба, рапани и миди). Това подсказва за потенциала на сътрудничеството за провеждане на скъпи операции, изследвания и наблюдения, включително и в трансграничен контекст.</w:t>
      </w:r>
    </w:p>
    <w:p w14:paraId="517BEE6F"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Групата участници, разглеждаща въпроса за туризма, демонстрира многоспектърност в експертизата и опита. Част от взелите дейно участие са експерти в сферите на морското планиране, туризма, културата, биоразнообразието, ландшафта и GIS. Активност има и от страна на представители на местната администрация, в частност занимаващи се със социална </w:t>
      </w:r>
      <w:r w:rsidRPr="00610B1B">
        <w:rPr>
          <w:rFonts w:ascii="Times New Roman" w:hAnsi="Times New Roman" w:cs="Times New Roman"/>
          <w:sz w:val="24"/>
          <w:szCs w:val="24"/>
          <w:lang w:val="bg-BG"/>
        </w:rPr>
        <w:lastRenderedPageBreak/>
        <w:t xml:space="preserve">политика и екология и на неправителствения сектор, които от своя страна работят върху диверсификацията на икономическите дейности в селските райони и иновациите. Широката дискусия, покрива множество теми, включително: видове туризъм по Черноморието, целеви групи туристи, туристически продукт, устройствени възможности, управление на плажовете, комуникация между заинтересованите и активните субекти, местна инициативност и други. </w:t>
      </w:r>
    </w:p>
    <w:p w14:paraId="1A76FDDB" w14:textId="5B2AB061"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Основният въпрос „Какъв туризъм?“ насочи вниманието към наличните видове</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 дали те са устойчиви и подходящи. Многообразието на Българското Черноморие създава основа за вариращи форми на туризъм – стандартен/масов (хотел и плаж, в това число и</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i/>
          <w:iCs/>
          <w:sz w:val="24"/>
          <w:szCs w:val="24"/>
          <w:lang w:val="bg-BG"/>
        </w:rPr>
        <w:t>all inclusive</w:t>
      </w:r>
      <w:r w:rsidRPr="00610B1B">
        <w:rPr>
          <w:rFonts w:ascii="Times New Roman" w:hAnsi="Times New Roman" w:cs="Times New Roman"/>
          <w:sz w:val="24"/>
          <w:szCs w:val="24"/>
          <w:lang w:val="bg-BG"/>
        </w:rPr>
        <w:t>), културен (вкл. фестивален), лечебен, къмпинг, яхтен и екологичен.</w:t>
      </w:r>
    </w:p>
    <w:p w14:paraId="61F572C1"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Масовият туризъм в момента привлича гостите си с икономичност и зрелищност и съставя значителна част от приходите на общините и държавата. Спонтанен беше въпросът какъв тип туристи да бъдат таргетирани занапред, разгръщайки потенциалите на средата по най-добър начин. Всички участници са на мнение, че усилията трябва да се насочат в посока повишаване на качеството на предлаганите услуги и продукт. Съгласие има в идеята за излизането на туризма извън сферата на консуматорството и еволюирането му в туризъм на изживяванията. Затова е нужно да се използват ефективно всички налични ресурси – природни, културни и антропогенни. Защитата и подчертаването на природните и културните богатства са основни за постигането на целта и по-конкретно – обвързване чрез тематични маршрути, качествено експониране на културното наследство (вкл. подводна археология) и отговорното ползване на ресурсите. Усъвършенстването на инфраструктурата, настаняването, достъпът до плажовете, обслужването и атракциите (вкл. водните спортове) са първостепенни в посока търсеното развитие.</w:t>
      </w:r>
    </w:p>
    <w:p w14:paraId="204038CC" w14:textId="2731EDBE"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Наблюдава се липса на цялостен туристически продукт и брандинг на Черноморието, а също така и на единен фокус на районите с общи характеристики и насоченост и слаба колаборация между заинтересованите им представители. Местната инициатива и процесите „отдолу-нагоре“ са движещата сила на желания просп</w:t>
      </w:r>
      <w:r w:rsidR="004F621C" w:rsidRPr="00610B1B">
        <w:rPr>
          <w:rFonts w:ascii="Times New Roman" w:hAnsi="Times New Roman" w:cs="Times New Roman"/>
          <w:sz w:val="24"/>
          <w:szCs w:val="24"/>
          <w:lang w:val="bg-BG"/>
        </w:rPr>
        <w:t>еритет. Най-добрият вариант за п</w:t>
      </w:r>
      <w:r w:rsidRPr="00610B1B">
        <w:rPr>
          <w:rFonts w:ascii="Times New Roman" w:hAnsi="Times New Roman" w:cs="Times New Roman"/>
          <w:sz w:val="24"/>
          <w:szCs w:val="24"/>
          <w:lang w:val="bg-BG"/>
        </w:rPr>
        <w:t xml:space="preserve">остигане на синергия е разумното пространствено разпределение на дейностите, задаването на посока на развитие в плана и следването ѝ от активните субекти. </w:t>
      </w:r>
    </w:p>
    <w:p w14:paraId="5ACFA60D"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Появиха се предложения за типологизация на плажовете и крайбрежната акватория с цел разграничение на подходящите форми на туризъм – в зависимост от даденостите, пространствата биха могли да бъдат хомогенни и хетерогенни от гледна точка на своите ползвания. </w:t>
      </w:r>
    </w:p>
    <w:p w14:paraId="6B22268C"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Създаването на платформа/форум за комуникация между експерти, администрация, бизнес, НПО, граждани и други инициативи бе прието единодушно като необходим начин на координация и консултация в посока положителната реализация на целенасочения морски пространствен план.</w:t>
      </w:r>
    </w:p>
    <w:p w14:paraId="182DC34C" w14:textId="0FE2305A"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Като цяло морският туристически продукт и имидж на България се нуждаят от сериозно внимание. Търсят се висококачествени пространства и услуги, интелигентно и щадящо ползване на площите, поддържане на добро поле за изява на местните инициативи и разнообразие във формите на туризма. Всичко това е постижимо чрез високо ниво на координация и експертиза. </w:t>
      </w:r>
    </w:p>
    <w:p w14:paraId="2EA9E698" w14:textId="704DD3B9"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lastRenderedPageBreak/>
        <w:t xml:space="preserve">В рамките на интердисциплинарните семинари „Синя синергия“ и „Какво бъдеще за нашето Черно море“, се реализира </w:t>
      </w:r>
      <w:r w:rsidR="004F621C" w:rsidRPr="00610B1B">
        <w:rPr>
          <w:rFonts w:ascii="Times New Roman" w:hAnsi="Times New Roman" w:cs="Times New Roman"/>
          <w:sz w:val="24"/>
          <w:szCs w:val="24"/>
          <w:lang w:val="bg-BG"/>
        </w:rPr>
        <w:t xml:space="preserve">и </w:t>
      </w:r>
      <w:r w:rsidRPr="00610B1B">
        <w:rPr>
          <w:rFonts w:ascii="Times New Roman" w:hAnsi="Times New Roman" w:cs="Times New Roman"/>
          <w:sz w:val="24"/>
          <w:szCs w:val="24"/>
          <w:lang w:val="bg-BG"/>
        </w:rPr>
        <w:t>социологическо проучване. На всички участници в мероприятието се предостави възможност за избор на визия на Морския пространствен план на Република България 2021-2035. Целите на проучването са свързани с установяване нагласите на експертите по два ключови въпроса: обща оценка на посоката, в която се развива Визия на МПП и нагласите към конкретните предложения за Визия чрез поредица от индикатори. Предложенията се оценяват по четири индикатора</w:t>
      </w:r>
      <w:r w:rsidR="004F621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яснота и разбираемост; отразяване на важните за визията теми; реалистичност</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и правдоподобност</w:t>
      </w:r>
      <w:r w:rsidR="004F621C"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и доколко отговаря на личните разбирания на участника за желания образ на българското Черноморие след 15 или 20 години. </w:t>
      </w:r>
    </w:p>
    <w:p w14:paraId="47002099" w14:textId="77777777"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В социологическото проучване са се включили 37 от присъствалите на събитието експерти, което е близо ¾ от всички участници в семинарите. Високото участие е индикатор както за ангажираността на експертите с темата на проучването, така също и аргумент за неговата представителност за нагласите на участниците в семинарите, свързани с избора на Визия. На базата на получената информация може да бъдат направени следните основни изводи и препоръки:</w:t>
      </w:r>
    </w:p>
    <w:p w14:paraId="6AEF5D14" w14:textId="1A407904" w:rsidR="0041129F" w:rsidRPr="00610B1B" w:rsidRDefault="0041129F" w:rsidP="00B46189">
      <w:pPr>
        <w:numPr>
          <w:ilvl w:val="0"/>
          <w:numId w:val="72"/>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Експертите дават позитивна, по-висока от средната оценка на предложените три варианта. Средно тя е в рамките на „много добър“ (по шестобалната система). </w:t>
      </w:r>
    </w:p>
    <w:p w14:paraId="7BD2BDC0" w14:textId="67CAD1FD" w:rsidR="0041129F" w:rsidRPr="00610B1B" w:rsidRDefault="0041129F" w:rsidP="00B46189">
      <w:pPr>
        <w:numPr>
          <w:ilvl w:val="0"/>
          <w:numId w:val="72"/>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По различните индикатори най-високо са оценени: обхвата и отразяването на важните за визия теми; </w:t>
      </w:r>
      <w:r w:rsidR="004F621C" w:rsidRPr="00610B1B">
        <w:rPr>
          <w:rFonts w:ascii="Times New Roman" w:hAnsi="Times New Roman" w:cs="Times New Roman"/>
          <w:sz w:val="24"/>
          <w:szCs w:val="24"/>
          <w:lang w:val="bg-BG"/>
        </w:rPr>
        <w:t>предложените варианти</w:t>
      </w:r>
      <w:r w:rsidRPr="00610B1B">
        <w:rPr>
          <w:rFonts w:ascii="Times New Roman" w:hAnsi="Times New Roman" w:cs="Times New Roman"/>
          <w:sz w:val="24"/>
          <w:szCs w:val="24"/>
          <w:lang w:val="bg-BG"/>
        </w:rPr>
        <w:t xml:space="preserve"> отговаря</w:t>
      </w:r>
      <w:r w:rsidR="004F621C" w:rsidRPr="00610B1B">
        <w:rPr>
          <w:rFonts w:ascii="Times New Roman" w:hAnsi="Times New Roman" w:cs="Times New Roman"/>
          <w:sz w:val="24"/>
          <w:szCs w:val="24"/>
          <w:lang w:val="bg-BG"/>
        </w:rPr>
        <w:t>т</w:t>
      </w:r>
      <w:r w:rsidRPr="00610B1B">
        <w:rPr>
          <w:rFonts w:ascii="Times New Roman" w:hAnsi="Times New Roman" w:cs="Times New Roman"/>
          <w:sz w:val="24"/>
          <w:szCs w:val="24"/>
          <w:lang w:val="bg-BG"/>
        </w:rPr>
        <w:t xml:space="preserve"> на разбиранията на </w:t>
      </w:r>
      <w:r w:rsidR="004F621C" w:rsidRPr="00610B1B">
        <w:rPr>
          <w:rFonts w:ascii="Times New Roman" w:hAnsi="Times New Roman" w:cs="Times New Roman"/>
          <w:sz w:val="24"/>
          <w:szCs w:val="24"/>
          <w:lang w:val="bg-BG"/>
        </w:rPr>
        <w:t>участниците</w:t>
      </w:r>
      <w:r w:rsidRPr="00610B1B">
        <w:rPr>
          <w:rFonts w:ascii="Times New Roman" w:hAnsi="Times New Roman" w:cs="Times New Roman"/>
          <w:sz w:val="24"/>
          <w:szCs w:val="24"/>
          <w:lang w:val="bg-BG"/>
        </w:rPr>
        <w:t xml:space="preserve"> за желания образ на българското Черноморие след 15 – 20 години.</w:t>
      </w:r>
    </w:p>
    <w:p w14:paraId="5EC667C2" w14:textId="77777777" w:rsidR="0041129F" w:rsidRPr="00610B1B" w:rsidRDefault="0041129F" w:rsidP="00B46189">
      <w:pPr>
        <w:numPr>
          <w:ilvl w:val="0"/>
          <w:numId w:val="72"/>
        </w:num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Най-критично са оценени реалистичността и правдоподобността на предложените варианти на Визия. </w:t>
      </w:r>
    </w:p>
    <w:p w14:paraId="7C8764CD" w14:textId="4DE6478B" w:rsidR="0041129F" w:rsidRPr="00610B1B" w:rsidRDefault="0041129F" w:rsidP="00D32D6A">
      <w:pPr>
        <w:spacing w:after="120"/>
        <w:ind w:right="-153"/>
        <w:jc w:val="both"/>
        <w:rPr>
          <w:rFonts w:ascii="Times New Roman" w:hAnsi="Times New Roman" w:cs="Times New Roman"/>
          <w:sz w:val="24"/>
          <w:szCs w:val="24"/>
          <w:lang w:val="bg-BG"/>
        </w:rPr>
      </w:pPr>
      <w:r w:rsidRPr="00610B1B">
        <w:rPr>
          <w:rFonts w:ascii="Times New Roman" w:hAnsi="Times New Roman" w:cs="Times New Roman"/>
          <w:sz w:val="24"/>
          <w:szCs w:val="24"/>
          <w:lang w:val="bg-BG"/>
        </w:rPr>
        <w:t xml:space="preserve">Фаворит е Вариант № 3, който в сравнителен план има най-високи оценки по три от четирите индикатора. При редакция на този вариант трябва да бъдат отчетени следните два фактора: отправената обща критика към реалистичността и правдоподобността на предложените варианти на Визия; и по-ниските оценки в сравнителен план към яснотата и разбираемостта на </w:t>
      </w:r>
      <w:r w:rsidR="004F621C" w:rsidRPr="00610B1B">
        <w:rPr>
          <w:rFonts w:ascii="Times New Roman" w:hAnsi="Times New Roman" w:cs="Times New Roman"/>
          <w:sz w:val="24"/>
          <w:szCs w:val="24"/>
          <w:lang w:val="bg-BG"/>
        </w:rPr>
        <w:t>избрания</w:t>
      </w:r>
      <w:r w:rsidRPr="00610B1B">
        <w:rPr>
          <w:rFonts w:ascii="Times New Roman" w:hAnsi="Times New Roman" w:cs="Times New Roman"/>
          <w:sz w:val="24"/>
          <w:szCs w:val="24"/>
          <w:lang w:val="bg-BG"/>
        </w:rPr>
        <w:t xml:space="preserve"> вариант. </w:t>
      </w:r>
    </w:p>
    <w:p w14:paraId="7132F8D1" w14:textId="77777777" w:rsidR="0041129F" w:rsidRPr="00610B1B" w:rsidRDefault="0041129F" w:rsidP="00D32D6A">
      <w:pPr>
        <w:spacing w:after="120"/>
        <w:ind w:right="-153"/>
        <w:jc w:val="both"/>
        <w:rPr>
          <w:rFonts w:ascii="Times New Roman" w:hAnsi="Times New Roman" w:cs="Times New Roman"/>
          <w:sz w:val="24"/>
          <w:szCs w:val="24"/>
          <w:lang w:val="bg-BG"/>
        </w:rPr>
      </w:pPr>
    </w:p>
    <w:p w14:paraId="70E2F2A3" w14:textId="5DBD67B4" w:rsidR="00DF6C73" w:rsidRPr="00610B1B" w:rsidRDefault="0041129F" w:rsidP="00D32D6A">
      <w:pPr>
        <w:pStyle w:val="Heading2"/>
        <w:spacing w:before="0" w:line="276" w:lineRule="auto"/>
        <w:rPr>
          <w:rFonts w:cs="Times New Roman"/>
        </w:rPr>
      </w:pPr>
      <w:bookmarkStart w:id="523" w:name="_Toc83391452"/>
      <w:bookmarkStart w:id="524" w:name="_Hlk122083563"/>
      <w:r w:rsidRPr="00610B1B">
        <w:rPr>
          <w:rFonts w:cs="Times New Roman"/>
        </w:rPr>
        <w:t xml:space="preserve">8.4. </w:t>
      </w:r>
      <w:r w:rsidR="00DF6C73" w:rsidRPr="00610B1B">
        <w:rPr>
          <w:rFonts w:cs="Times New Roman"/>
        </w:rPr>
        <w:t>Публични консултации и обществени обсъждания</w:t>
      </w:r>
      <w:bookmarkEnd w:id="523"/>
    </w:p>
    <w:p w14:paraId="78B53C54" w14:textId="12BB33D8" w:rsidR="00447F5C" w:rsidRPr="00610B1B" w:rsidRDefault="00B14B6A" w:rsidP="00D32D6A">
      <w:pPr>
        <w:pStyle w:val="BodyText"/>
        <w:spacing w:before="0" w:after="120" w:line="276" w:lineRule="auto"/>
        <w:ind w:right="-153"/>
        <w:rPr>
          <w:rFonts w:cs="Times New Roman"/>
        </w:rPr>
      </w:pPr>
      <w:bookmarkStart w:id="525" w:name="_Hlk46100676"/>
      <w:bookmarkEnd w:id="524"/>
      <w:r w:rsidRPr="00610B1B">
        <w:rPr>
          <w:rFonts w:cs="Times New Roman"/>
        </w:rPr>
        <w:t>Публичните консултации и обществените обсъждания по Морския пространствен план и неговата Екологична оценка</w:t>
      </w:r>
      <w:r w:rsidR="00D66FE0" w:rsidRPr="00610B1B">
        <w:rPr>
          <w:rFonts w:cs="Times New Roman"/>
        </w:rPr>
        <w:t xml:space="preserve"> </w:t>
      </w:r>
      <w:r w:rsidR="00B531D6" w:rsidRPr="00610B1B">
        <w:rPr>
          <w:rFonts w:cs="Times New Roman"/>
        </w:rPr>
        <w:t>се провеждат в съответствие с ч</w:t>
      </w:r>
      <w:r w:rsidR="0041129F" w:rsidRPr="00610B1B">
        <w:rPr>
          <w:rFonts w:cs="Times New Roman"/>
        </w:rPr>
        <w:t>л. 51д</w:t>
      </w:r>
      <w:r w:rsidR="00B531D6" w:rsidRPr="00610B1B">
        <w:rPr>
          <w:rFonts w:cs="Times New Roman"/>
        </w:rPr>
        <w:t xml:space="preserve"> на З</w:t>
      </w:r>
      <w:r w:rsidR="00A959D9" w:rsidRPr="00610B1B">
        <w:rPr>
          <w:rFonts w:cs="Times New Roman"/>
        </w:rPr>
        <w:t xml:space="preserve">акона за морските пространства, вътрешните водни пътища и пристанищата на Република България, чл. 87 на Закона за опазване на околната среда, чл. 19, 19а и 20 от Наредбата за условията и реда за извършване на екологична оценка на планове и програми. </w:t>
      </w:r>
    </w:p>
    <w:p w14:paraId="509B39E3" w14:textId="55BA2CD7" w:rsidR="00DC481F" w:rsidRPr="00610B1B" w:rsidRDefault="00D5568E"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bCs/>
          <w:iCs/>
          <w:sz w:val="24"/>
          <w:szCs w:val="24"/>
          <w:lang w:val="bg-BG"/>
        </w:rPr>
        <w:t>Съгласно</w:t>
      </w:r>
      <w:r w:rsidR="00DC481F"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изискванията на МОСВ за провеждане на </w:t>
      </w:r>
      <w:r w:rsidR="00C276E6" w:rsidRPr="00610B1B">
        <w:rPr>
          <w:rFonts w:ascii="Times New Roman" w:eastAsia="Times New Roman" w:hAnsi="Times New Roman" w:cs="Times New Roman"/>
          <w:sz w:val="24"/>
          <w:szCs w:val="24"/>
          <w:lang w:val="bg-BG"/>
        </w:rPr>
        <w:t>консултациите</w:t>
      </w:r>
      <w:r w:rsidRPr="00610B1B">
        <w:rPr>
          <w:rFonts w:ascii="Times New Roman" w:eastAsia="Times New Roman" w:hAnsi="Times New Roman" w:cs="Times New Roman"/>
          <w:sz w:val="24"/>
          <w:szCs w:val="24"/>
          <w:lang w:val="bg-BG"/>
        </w:rPr>
        <w:t xml:space="preserve"> по чл.</w:t>
      </w:r>
      <w:r w:rsidR="00A959D9" w:rsidRPr="00610B1B">
        <w:rPr>
          <w:rFonts w:ascii="Times New Roman" w:eastAsia="Times New Roman" w:hAnsi="Times New Roman" w:cs="Times New Roman"/>
          <w:sz w:val="24"/>
          <w:szCs w:val="24"/>
          <w:lang w:val="bg-BG"/>
        </w:rPr>
        <w:t xml:space="preserve"> 19 и 19а на Наредбата за Екологична оценка</w:t>
      </w:r>
      <w:r w:rsidRPr="00610B1B">
        <w:rPr>
          <w:rFonts w:ascii="Times New Roman" w:eastAsia="Times New Roman" w:hAnsi="Times New Roman" w:cs="Times New Roman"/>
          <w:sz w:val="24"/>
          <w:szCs w:val="24"/>
          <w:lang w:val="bg-BG"/>
        </w:rPr>
        <w:t xml:space="preserve"> е изготвена предварителна схема, представена със Заданието за ЕО. </w:t>
      </w:r>
      <w:r w:rsidR="00DC481F" w:rsidRPr="00610B1B">
        <w:rPr>
          <w:rFonts w:ascii="Times New Roman" w:eastAsia="Times New Roman" w:hAnsi="Times New Roman" w:cs="Times New Roman"/>
          <w:sz w:val="24"/>
          <w:szCs w:val="24"/>
          <w:lang w:val="bg-BG"/>
        </w:rPr>
        <w:t>Консултациите се извършват и по реда, предвиден за съгласуване в нормативния или индивидуалния административен акт, с който ще се одобрява МППРБ.</w:t>
      </w:r>
    </w:p>
    <w:p w14:paraId="6E08940D" w14:textId="225F0616" w:rsidR="00DC481F" w:rsidRPr="00610B1B" w:rsidRDefault="00DC481F"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Консултациите по изготвения доклад за ЕО (екологичната част към МППРБ) включат: публикуване на съобщение за провеждане на консултации;</w:t>
      </w:r>
      <w:r w:rsidR="00D66FE0" w:rsidRPr="00610B1B">
        <w:rPr>
          <w:rFonts w:ascii="Times New Roman" w:eastAsia="Times New Roman" w:hAnsi="Times New Roman" w:cs="Times New Roman"/>
          <w:sz w:val="24"/>
          <w:szCs w:val="24"/>
          <w:lang w:val="bg-BG"/>
        </w:rPr>
        <w:t xml:space="preserve"> </w:t>
      </w:r>
      <w:r w:rsidRPr="00610B1B">
        <w:rPr>
          <w:rFonts w:ascii="Times New Roman" w:eastAsia="Times New Roman" w:hAnsi="Times New Roman" w:cs="Times New Roman"/>
          <w:sz w:val="24"/>
          <w:szCs w:val="24"/>
          <w:lang w:val="bg-BG"/>
        </w:rPr>
        <w:t xml:space="preserve">осигуряване на място с публичен </w:t>
      </w:r>
      <w:r w:rsidRPr="00610B1B">
        <w:rPr>
          <w:rFonts w:ascii="Times New Roman" w:eastAsia="Times New Roman" w:hAnsi="Times New Roman" w:cs="Times New Roman"/>
          <w:sz w:val="24"/>
          <w:szCs w:val="24"/>
          <w:lang w:val="bg-BG"/>
        </w:rPr>
        <w:lastRenderedPageBreak/>
        <w:t xml:space="preserve">достъп и време за запознаване с МППРБ, доклада за ЕО и материалите към тях; определен срок за изразяване на становище; начин на изразяване на становище; уведомяване на представилите становища и на други институции, по преценка на Възложителя, заинтересовани от реализацията на МППРБ. </w:t>
      </w:r>
    </w:p>
    <w:p w14:paraId="5A24A7B7" w14:textId="43A671DA" w:rsidR="00DC481F" w:rsidRPr="00610B1B" w:rsidRDefault="00DC481F"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Дейностите по консултациите и общественото обсъждане по чл. 21 на Наредбата за екологична оценка са ангажимент на Възложителя</w:t>
      </w:r>
      <w:r w:rsidR="00D5568E" w:rsidRPr="00610B1B">
        <w:rPr>
          <w:rFonts w:ascii="Times New Roman" w:eastAsia="Times New Roman" w:hAnsi="Times New Roman" w:cs="Times New Roman"/>
          <w:sz w:val="24"/>
          <w:szCs w:val="24"/>
          <w:lang w:val="bg-BG"/>
        </w:rPr>
        <w:t xml:space="preserve">. Материалите </w:t>
      </w:r>
      <w:r w:rsidR="00CD6DB2" w:rsidRPr="00610B1B">
        <w:rPr>
          <w:rFonts w:ascii="Times New Roman" w:eastAsia="Times New Roman" w:hAnsi="Times New Roman" w:cs="Times New Roman"/>
          <w:sz w:val="24"/>
          <w:szCs w:val="24"/>
          <w:lang w:val="bg-BG"/>
        </w:rPr>
        <w:t>се</w:t>
      </w:r>
      <w:r w:rsidRPr="00610B1B">
        <w:rPr>
          <w:rFonts w:ascii="Times New Roman" w:eastAsia="Times New Roman" w:hAnsi="Times New Roman" w:cs="Times New Roman"/>
          <w:sz w:val="24"/>
          <w:szCs w:val="24"/>
          <w:lang w:val="bg-BG"/>
        </w:rPr>
        <w:t xml:space="preserve"> публикува</w:t>
      </w:r>
      <w:r w:rsidR="00CD6DB2" w:rsidRPr="00610B1B">
        <w:rPr>
          <w:rFonts w:ascii="Times New Roman" w:eastAsia="Times New Roman" w:hAnsi="Times New Roman" w:cs="Times New Roman"/>
          <w:sz w:val="24"/>
          <w:szCs w:val="24"/>
          <w:lang w:val="bg-BG"/>
        </w:rPr>
        <w:t>т</w:t>
      </w:r>
      <w:r w:rsidRPr="00610B1B">
        <w:rPr>
          <w:rFonts w:ascii="Times New Roman" w:eastAsia="Times New Roman" w:hAnsi="Times New Roman" w:cs="Times New Roman"/>
          <w:sz w:val="24"/>
          <w:szCs w:val="24"/>
          <w:lang w:val="bg-BG"/>
        </w:rPr>
        <w:t xml:space="preserve"> на Интернет страницата на МРРБ. </w:t>
      </w:r>
      <w:r w:rsidR="00CD6DB2" w:rsidRPr="00610B1B">
        <w:rPr>
          <w:rFonts w:ascii="Times New Roman" w:eastAsia="Times New Roman" w:hAnsi="Times New Roman" w:cs="Times New Roman"/>
          <w:sz w:val="24"/>
          <w:szCs w:val="24"/>
          <w:lang w:val="bg-BG"/>
        </w:rPr>
        <w:t xml:space="preserve">Осигурени са </w:t>
      </w:r>
      <w:r w:rsidRPr="00610B1B">
        <w:rPr>
          <w:rFonts w:ascii="Times New Roman" w:eastAsia="Times New Roman" w:hAnsi="Times New Roman" w:cs="Times New Roman"/>
          <w:sz w:val="24"/>
          <w:szCs w:val="24"/>
          <w:lang w:val="bg-BG"/>
        </w:rPr>
        <w:t>експерти от разработващия екип с необходимата квалификация, отговорни за предоставянето на допълнителни устни разяснения на място, включително и в областните центрове на крайбрежието. Екипът, разработващ ЕО провежда консултации по доклада за ЕО и с компетентните органи, като им предоставя документацията за становище.</w:t>
      </w:r>
    </w:p>
    <w:p w14:paraId="4B42EE06" w14:textId="085DF459" w:rsidR="00DC481F" w:rsidRPr="00610B1B" w:rsidRDefault="002A61A4"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Съгласно чл. 51д ал. 2 от Закона за морските пространства, вътрешните водни пътища и пристанищата на Република България </w:t>
      </w:r>
      <w:r w:rsidR="00DC481F" w:rsidRPr="00610B1B">
        <w:rPr>
          <w:rFonts w:ascii="Times New Roman" w:eastAsia="Times New Roman" w:hAnsi="Times New Roman" w:cs="Times New Roman"/>
          <w:sz w:val="24"/>
          <w:szCs w:val="24"/>
          <w:lang w:val="bg-BG"/>
        </w:rPr>
        <w:t>обществено</w:t>
      </w:r>
      <w:r w:rsidR="00484947" w:rsidRPr="00610B1B">
        <w:rPr>
          <w:rFonts w:ascii="Times New Roman" w:eastAsia="Times New Roman" w:hAnsi="Times New Roman" w:cs="Times New Roman"/>
          <w:sz w:val="24"/>
          <w:szCs w:val="24"/>
          <w:lang w:val="bg-BG"/>
        </w:rPr>
        <w:t>то</w:t>
      </w:r>
      <w:r w:rsidR="00DC481F" w:rsidRPr="00610B1B">
        <w:rPr>
          <w:rFonts w:ascii="Times New Roman" w:eastAsia="Times New Roman" w:hAnsi="Times New Roman" w:cs="Times New Roman"/>
          <w:sz w:val="24"/>
          <w:szCs w:val="24"/>
          <w:lang w:val="bg-BG"/>
        </w:rPr>
        <w:t xml:space="preserve"> обсъждане на доклада за ЕО на МППРБ ще бъде съвместено и с обсъждането на самия план. </w:t>
      </w:r>
    </w:p>
    <w:p w14:paraId="60AE4C68" w14:textId="387D82F8" w:rsidR="00DC481F" w:rsidRPr="00610B1B" w:rsidRDefault="002A61A4"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Процедурите </w:t>
      </w:r>
      <w:r w:rsidR="00DC481F" w:rsidRPr="00610B1B">
        <w:rPr>
          <w:rFonts w:ascii="Times New Roman" w:eastAsia="Times New Roman" w:hAnsi="Times New Roman" w:cs="Times New Roman"/>
          <w:sz w:val="24"/>
          <w:szCs w:val="24"/>
          <w:lang w:val="bg-BG"/>
        </w:rPr>
        <w:t>по оценка на въздействието на МППРБ в трансграничен контекст, клаузите за които са включени към Наредбата за Оценка на въздействието върху околната среда</w:t>
      </w:r>
      <w:r w:rsidR="00A959D9" w:rsidRPr="00610B1B">
        <w:rPr>
          <w:rFonts w:ascii="Times New Roman" w:eastAsia="Times New Roman" w:hAnsi="Times New Roman" w:cs="Times New Roman"/>
          <w:sz w:val="24"/>
          <w:szCs w:val="24"/>
          <w:lang w:val="bg-BG"/>
        </w:rPr>
        <w:t>,</w:t>
      </w:r>
      <w:r w:rsidRPr="00610B1B">
        <w:rPr>
          <w:rFonts w:ascii="Times New Roman" w:eastAsia="Times New Roman" w:hAnsi="Times New Roman" w:cs="Times New Roman"/>
          <w:sz w:val="24"/>
          <w:szCs w:val="24"/>
          <w:lang w:val="bg-BG"/>
        </w:rPr>
        <w:t xml:space="preserve"> предвиждат </w:t>
      </w:r>
      <w:r w:rsidR="00DC481F" w:rsidRPr="00610B1B">
        <w:rPr>
          <w:rFonts w:ascii="Times New Roman" w:eastAsia="Times New Roman" w:hAnsi="Times New Roman" w:cs="Times New Roman"/>
          <w:sz w:val="24"/>
          <w:szCs w:val="24"/>
          <w:lang w:val="bg-BG"/>
        </w:rPr>
        <w:t xml:space="preserve">МОСВ </w:t>
      </w:r>
      <w:r w:rsidRPr="00610B1B">
        <w:rPr>
          <w:rFonts w:ascii="Times New Roman" w:eastAsia="Times New Roman" w:hAnsi="Times New Roman" w:cs="Times New Roman"/>
          <w:sz w:val="24"/>
          <w:szCs w:val="24"/>
          <w:lang w:val="bg-BG"/>
        </w:rPr>
        <w:t>да</w:t>
      </w:r>
      <w:r w:rsidR="00DC481F" w:rsidRPr="00610B1B">
        <w:rPr>
          <w:rFonts w:ascii="Times New Roman" w:eastAsia="Times New Roman" w:hAnsi="Times New Roman" w:cs="Times New Roman"/>
          <w:sz w:val="24"/>
          <w:szCs w:val="24"/>
          <w:lang w:val="bg-BG"/>
        </w:rPr>
        <w:t xml:space="preserve"> уведоми съседните страни по установената процедура като представи информация относно дейностите в обхвата на МППРБ и възможните алтернативи. При желание от страна на Румъния и Турция за участие в процедурата ще се следват, всички стъпки, описани в Наредбата и в Конвенцията и ще се договори срока за провеждане на консултации. </w:t>
      </w:r>
      <w:r w:rsidR="00A959D9" w:rsidRPr="00610B1B">
        <w:rPr>
          <w:rFonts w:ascii="Times New Roman" w:eastAsia="Times New Roman" w:hAnsi="Times New Roman" w:cs="Times New Roman"/>
          <w:sz w:val="24"/>
          <w:szCs w:val="24"/>
          <w:lang w:val="bg-BG"/>
        </w:rPr>
        <w:t>Тези консултации се провеждат в съответствие с чл. 10 от Протокола за стратегическа екологична оценка (СЕО) Към конвенцията за оценка на въздействието върху околната среда в трансграничен контекст</w:t>
      </w:r>
      <w:r w:rsidR="00505DAF" w:rsidRPr="00610B1B">
        <w:rPr>
          <w:rFonts w:ascii="Times New Roman" w:eastAsia="Times New Roman" w:hAnsi="Times New Roman" w:cs="Times New Roman"/>
          <w:sz w:val="24"/>
          <w:szCs w:val="24"/>
          <w:lang w:val="bg-BG"/>
        </w:rPr>
        <w:t xml:space="preserve"> и съгласно предписанията на МОСВ (Писмо с Изх. №</w:t>
      </w:r>
      <w:r w:rsidR="00644CC8" w:rsidRPr="00610B1B">
        <w:rPr>
          <w:rFonts w:ascii="Times New Roman" w:eastAsia="Times New Roman" w:hAnsi="Times New Roman" w:cs="Times New Roman"/>
          <w:sz w:val="24"/>
          <w:szCs w:val="24"/>
          <w:lang w:val="bg-BG"/>
        </w:rPr>
        <w:t> </w:t>
      </w:r>
      <w:r w:rsidR="00505DAF" w:rsidRPr="00610B1B">
        <w:rPr>
          <w:rFonts w:ascii="Times New Roman" w:eastAsia="Times New Roman" w:hAnsi="Times New Roman" w:cs="Times New Roman"/>
          <w:sz w:val="24"/>
          <w:szCs w:val="24"/>
          <w:lang w:val="bg-BG"/>
        </w:rPr>
        <w:t>ЕО-6/10.04.2020</w:t>
      </w:r>
      <w:r w:rsidR="00644CC8" w:rsidRPr="00610B1B">
        <w:rPr>
          <w:rFonts w:ascii="Times New Roman" w:eastAsia="Times New Roman" w:hAnsi="Times New Roman" w:cs="Times New Roman"/>
          <w:sz w:val="24"/>
          <w:szCs w:val="24"/>
          <w:lang w:val="bg-BG"/>
        </w:rPr>
        <w:t> </w:t>
      </w:r>
      <w:r w:rsidR="00505DAF" w:rsidRPr="00610B1B">
        <w:rPr>
          <w:rFonts w:ascii="Times New Roman" w:eastAsia="Times New Roman" w:hAnsi="Times New Roman" w:cs="Times New Roman"/>
          <w:sz w:val="24"/>
          <w:szCs w:val="24"/>
          <w:lang w:val="bg-BG"/>
        </w:rPr>
        <w:t>г</w:t>
      </w:r>
      <w:r w:rsidR="00A959D9" w:rsidRPr="00610B1B">
        <w:rPr>
          <w:rFonts w:ascii="Times New Roman" w:eastAsia="Times New Roman" w:hAnsi="Times New Roman" w:cs="Times New Roman"/>
          <w:sz w:val="24"/>
          <w:szCs w:val="24"/>
          <w:lang w:val="bg-BG"/>
        </w:rPr>
        <w:t>.</w:t>
      </w:r>
      <w:r w:rsidR="00505DAF" w:rsidRPr="00610B1B">
        <w:rPr>
          <w:rFonts w:ascii="Times New Roman" w:eastAsia="Times New Roman" w:hAnsi="Times New Roman" w:cs="Times New Roman"/>
          <w:sz w:val="24"/>
          <w:szCs w:val="24"/>
          <w:lang w:val="bg-BG"/>
        </w:rPr>
        <w:t>)</w:t>
      </w:r>
    </w:p>
    <w:p w14:paraId="2B7816C3" w14:textId="4BC7FC5D" w:rsidR="00DC481F" w:rsidRPr="00610B1B" w:rsidRDefault="00DC481F" w:rsidP="00D32D6A">
      <w:p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Макар че от МППРБ не произтичат пряко възможности за реализиране на инвестиционни предложения и строителство на обекти, посочени в Приложение І на Конвенцията, за спазване на изискванията на чл. 98, ал. 1 от ЗООС</w:t>
      </w:r>
      <w:r w:rsidR="002A61A4" w:rsidRPr="00610B1B">
        <w:rPr>
          <w:rFonts w:ascii="Times New Roman" w:eastAsia="Times New Roman" w:hAnsi="Times New Roman" w:cs="Times New Roman"/>
          <w:sz w:val="24"/>
          <w:szCs w:val="24"/>
          <w:lang w:val="bg-BG"/>
        </w:rPr>
        <w:t xml:space="preserve"> ще се </w:t>
      </w:r>
      <w:r w:rsidR="004F621C" w:rsidRPr="00610B1B">
        <w:rPr>
          <w:rFonts w:ascii="Times New Roman" w:eastAsia="Times New Roman" w:hAnsi="Times New Roman" w:cs="Times New Roman"/>
          <w:sz w:val="24"/>
          <w:szCs w:val="24"/>
          <w:lang w:val="bg-BG"/>
        </w:rPr>
        <w:t>прилагат</w:t>
      </w:r>
      <w:r w:rsidR="002A61A4" w:rsidRPr="00610B1B">
        <w:rPr>
          <w:rFonts w:ascii="Times New Roman" w:eastAsia="Times New Roman" w:hAnsi="Times New Roman" w:cs="Times New Roman"/>
          <w:sz w:val="24"/>
          <w:szCs w:val="24"/>
          <w:lang w:val="bg-BG"/>
        </w:rPr>
        <w:t xml:space="preserve"> описаните в ал. 1 и 2</w:t>
      </w:r>
      <w:r w:rsidR="00D66FE0" w:rsidRPr="00610B1B">
        <w:rPr>
          <w:rFonts w:ascii="Times New Roman" w:eastAsia="Times New Roman" w:hAnsi="Times New Roman" w:cs="Times New Roman"/>
          <w:sz w:val="24"/>
          <w:szCs w:val="24"/>
          <w:lang w:val="bg-BG"/>
        </w:rPr>
        <w:t xml:space="preserve"> </w:t>
      </w:r>
      <w:r w:rsidR="002A61A4" w:rsidRPr="00610B1B">
        <w:rPr>
          <w:rFonts w:ascii="Times New Roman" w:eastAsia="Times New Roman" w:hAnsi="Times New Roman" w:cs="Times New Roman"/>
          <w:sz w:val="24"/>
          <w:szCs w:val="24"/>
          <w:lang w:val="bg-BG"/>
        </w:rPr>
        <w:t xml:space="preserve">стъпки. </w:t>
      </w:r>
    </w:p>
    <w:p w14:paraId="52295E64" w14:textId="2E4E755C" w:rsidR="00BA69EE" w:rsidRPr="00E82066" w:rsidRDefault="00BA69EE" w:rsidP="00D32D6A">
      <w:pPr>
        <w:spacing w:after="120"/>
        <w:ind w:right="-153"/>
        <w:jc w:val="both"/>
        <w:rPr>
          <w:rFonts w:ascii="Times New Roman" w:eastAsia="Times New Roman" w:hAnsi="Times New Roman" w:cs="Times New Roman"/>
          <w:i/>
          <w:sz w:val="24"/>
          <w:szCs w:val="24"/>
          <w:lang w:val="bg-BG"/>
        </w:rPr>
      </w:pPr>
      <w:r w:rsidRPr="00E82066">
        <w:rPr>
          <w:rFonts w:ascii="Times New Roman" w:eastAsia="TimesNewRomanPSMT" w:hAnsi="Times New Roman" w:cs="Times New Roman"/>
          <w:sz w:val="24"/>
          <w:szCs w:val="24"/>
          <w:lang w:val="bg-BG" w:bidi="bg-BG"/>
        </w:rPr>
        <w:t>Всички планове, програми, проекти, стратегии и инвестиционни предложения, произтичащи от проекта на МППРБ 2021-2035 г., попадащи в обхвата на приложенията към ЗООС и/или извън тях и попадащи в обхвата на чл. 31 от ЗБР се реализират след произнасяне на компетентния орган по околна среда</w:t>
      </w:r>
      <w:r w:rsidR="00EC62EB" w:rsidRPr="00610B1B">
        <w:rPr>
          <w:rFonts w:ascii="Times New Roman" w:eastAsia="TimesNewRomanPSMT" w:hAnsi="Times New Roman" w:cs="Times New Roman"/>
          <w:sz w:val="24"/>
          <w:szCs w:val="24"/>
          <w:lang w:val="bg-BG" w:bidi="bg-BG"/>
        </w:rPr>
        <w:t>.</w:t>
      </w:r>
    </w:p>
    <w:p w14:paraId="390E0152" w14:textId="21D6A9F9" w:rsidR="00DC481F" w:rsidRPr="00610B1B" w:rsidRDefault="00DC481F" w:rsidP="00D32D6A">
      <w:pPr>
        <w:spacing w:after="120"/>
        <w:ind w:right="-153"/>
        <w:jc w:val="both"/>
        <w:rPr>
          <w:rFonts w:ascii="Times New Roman" w:eastAsia="Times New Roman" w:hAnsi="Times New Roman" w:cs="Times New Roman"/>
          <w:color w:val="000000"/>
          <w:sz w:val="24"/>
          <w:szCs w:val="24"/>
          <w:lang w:val="bg-BG"/>
        </w:rPr>
      </w:pPr>
      <w:r w:rsidRPr="00610B1B">
        <w:rPr>
          <w:rFonts w:ascii="Times New Roman" w:eastAsia="Times New Roman" w:hAnsi="Times New Roman" w:cs="Times New Roman"/>
          <w:color w:val="000000"/>
          <w:sz w:val="24"/>
          <w:szCs w:val="24"/>
          <w:lang w:val="bg-BG"/>
        </w:rPr>
        <w:t>На този етап не е възможно да се предвидят всички възможности за развитие и ползване на националното морско пространство, за да се прецени тяхното въздействие в транс</w:t>
      </w:r>
      <w:r w:rsidR="00BA4E71" w:rsidRPr="00610B1B">
        <w:rPr>
          <w:rFonts w:ascii="Times New Roman" w:eastAsia="Times New Roman" w:hAnsi="Times New Roman" w:cs="Times New Roman"/>
          <w:color w:val="000000"/>
          <w:sz w:val="24"/>
          <w:szCs w:val="24"/>
          <w:lang w:val="bg-BG"/>
        </w:rPr>
        <w:t>граничен контекст, но потенциалът</w:t>
      </w:r>
      <w:r w:rsidRPr="00610B1B">
        <w:rPr>
          <w:rFonts w:ascii="Times New Roman" w:eastAsia="Times New Roman" w:hAnsi="Times New Roman" w:cs="Times New Roman"/>
          <w:color w:val="000000"/>
          <w:sz w:val="24"/>
          <w:szCs w:val="24"/>
          <w:lang w:val="bg-BG"/>
        </w:rPr>
        <w:t xml:space="preserve"> за подобни реализации, </w:t>
      </w:r>
      <w:r w:rsidR="002A61A4" w:rsidRPr="00610B1B">
        <w:rPr>
          <w:rFonts w:ascii="Times New Roman" w:eastAsia="Times New Roman" w:hAnsi="Times New Roman" w:cs="Times New Roman"/>
          <w:color w:val="000000"/>
          <w:sz w:val="24"/>
          <w:szCs w:val="24"/>
          <w:lang w:val="bg-BG"/>
        </w:rPr>
        <w:t>възможните конфликти и синергии са идентифицирани на най-ранен етап.</w:t>
      </w:r>
      <w:r w:rsidR="00D66FE0" w:rsidRPr="00610B1B">
        <w:rPr>
          <w:rFonts w:ascii="Times New Roman" w:eastAsia="Times New Roman" w:hAnsi="Times New Roman" w:cs="Times New Roman"/>
          <w:color w:val="000000"/>
          <w:sz w:val="24"/>
          <w:szCs w:val="24"/>
          <w:lang w:val="bg-BG"/>
        </w:rPr>
        <w:t xml:space="preserve"> </w:t>
      </w:r>
    </w:p>
    <w:p w14:paraId="128B8C82" w14:textId="632CF25B" w:rsidR="00D549FE" w:rsidRPr="00D549FE" w:rsidRDefault="00D549FE" w:rsidP="00D549FE">
      <w:pPr>
        <w:pStyle w:val="Heading2"/>
        <w:spacing w:before="0" w:line="276" w:lineRule="auto"/>
        <w:rPr>
          <w:rFonts w:cs="Times New Roman"/>
        </w:rPr>
      </w:pPr>
      <w:r w:rsidRPr="00D549FE">
        <w:rPr>
          <w:rFonts w:cs="Times New Roman"/>
        </w:rPr>
        <w:t xml:space="preserve">8.5. </w:t>
      </w:r>
      <w:r w:rsidRPr="00D549FE">
        <w:t>Мерки по изпълнение на изискванията на Екологичната оценка (ЕО) на МППРБ</w:t>
      </w:r>
    </w:p>
    <w:p w14:paraId="298BE93E" w14:textId="77777777" w:rsidR="00A517CD" w:rsidRPr="00E82066" w:rsidRDefault="00A517CD" w:rsidP="00A517CD">
      <w:pPr>
        <w:pStyle w:val="Heading1"/>
        <w:rPr>
          <w:rFonts w:cs="Times New Roman"/>
          <w:sz w:val="24"/>
          <w:szCs w:val="24"/>
        </w:rPr>
      </w:pPr>
      <w:bookmarkStart w:id="526" w:name="bookmark18"/>
      <w:r w:rsidRPr="00E82066">
        <w:rPr>
          <w:rFonts w:cs="Times New Roman"/>
          <w:sz w:val="24"/>
          <w:szCs w:val="24"/>
        </w:rPr>
        <w:t xml:space="preserve">I. Мерки и условия за предотвратяване, намаляване и възможно компенсиране на неблагоприятните последствия от осъществяването на МППРБ върху околната </w:t>
      </w:r>
      <w:r w:rsidRPr="00E82066">
        <w:rPr>
          <w:rFonts w:cs="Times New Roman"/>
          <w:sz w:val="24"/>
          <w:szCs w:val="24"/>
        </w:rPr>
        <w:lastRenderedPageBreak/>
        <w:t>среда и човешкото здраве</w:t>
      </w:r>
    </w:p>
    <w:p w14:paraId="777FC10B" w14:textId="77777777" w:rsidR="00A517CD" w:rsidRPr="00E82066" w:rsidRDefault="00A517CD" w:rsidP="00E82066">
      <w:pPr>
        <w:pStyle w:val="Heading1"/>
        <w:jc w:val="both"/>
        <w:rPr>
          <w:rFonts w:cs="Times New Roman"/>
          <w:sz w:val="24"/>
          <w:szCs w:val="24"/>
        </w:rPr>
      </w:pPr>
      <w:r w:rsidRPr="00E82066">
        <w:rPr>
          <w:rFonts w:cs="Times New Roman"/>
          <w:sz w:val="24"/>
          <w:szCs w:val="24"/>
        </w:rPr>
        <w:t>А. Общи мерки:</w:t>
      </w:r>
      <w:bookmarkEnd w:id="526"/>
    </w:p>
    <w:p w14:paraId="7B1DB4CF" w14:textId="77777777" w:rsidR="00A517CD" w:rsidRPr="00E82066" w:rsidRDefault="00A517CD" w:rsidP="00E82066">
      <w:pPr>
        <w:pStyle w:val="Heading1"/>
        <w:jc w:val="both"/>
        <w:rPr>
          <w:rFonts w:cs="Times New Roman"/>
          <w:sz w:val="24"/>
          <w:szCs w:val="24"/>
        </w:rPr>
      </w:pPr>
      <w:bookmarkStart w:id="527" w:name="_Hlk106719623"/>
      <w:r w:rsidRPr="00E82066">
        <w:rPr>
          <w:rFonts w:cs="Times New Roman"/>
          <w:sz w:val="24"/>
          <w:szCs w:val="24"/>
        </w:rPr>
        <w:t>1. Всички планове, програми, проекти, стратегии и инвестиционни предложения, произтичащи от проекта на МППРБ 2021-2035 г., попадащи в обхвата на приложенията към ЗООС и/или извън тях и попадащи в обхвата на чл. 31 от ЗБР се реализират след произнасяне на компетентния орган по околна среда.</w:t>
      </w:r>
    </w:p>
    <w:bookmarkEnd w:id="527"/>
    <w:p w14:paraId="3DAE661B" w14:textId="77777777" w:rsidR="00A517CD" w:rsidRPr="00E82066" w:rsidRDefault="00A517CD" w:rsidP="00E82066">
      <w:pPr>
        <w:pStyle w:val="Heading1"/>
        <w:jc w:val="both"/>
        <w:rPr>
          <w:rFonts w:cs="Times New Roman"/>
          <w:sz w:val="24"/>
          <w:szCs w:val="24"/>
        </w:rPr>
      </w:pPr>
      <w:r w:rsidRPr="00E82066">
        <w:rPr>
          <w:rFonts w:cs="Times New Roman"/>
          <w:sz w:val="24"/>
          <w:szCs w:val="24"/>
        </w:rPr>
        <w:t xml:space="preserve">2. По отношение на развитие на сектор рибарство и аквакултури да се отчитат нивата на приулов на екземпляри от видовете птици, тясно свързани с морска среда (среден корморан, средиземноморски буревестник, чайки и рибарки), което не се осъществява до момента. Мярката ще спомогне за изпълнение на България на международните договори, свързани с опазване на биологичното разнообразие в морските екосистеми, както и за мониторинга на средния (качулат) корморан </w:t>
      </w:r>
      <w:r w:rsidRPr="00A517CD">
        <w:rPr>
          <w:rStyle w:val="Bodytext2Italic"/>
          <w:rFonts w:eastAsia="Courier New"/>
        </w:rPr>
        <w:t>(</w:t>
      </w:r>
      <w:r w:rsidRPr="00A517CD">
        <w:rPr>
          <w:rStyle w:val="Bodytext2Italic"/>
          <w:rFonts w:eastAsia="Courier New"/>
          <w:lang w:eastAsia="en-US" w:bidi="en-US"/>
        </w:rPr>
        <w:t>Phalacrocorax aristotelis)</w:t>
      </w:r>
      <w:r w:rsidRPr="00E82066">
        <w:rPr>
          <w:rFonts w:cs="Times New Roman"/>
          <w:sz w:val="24"/>
          <w:szCs w:val="24"/>
          <w:lang w:eastAsia="en-US" w:bidi="en-US"/>
        </w:rPr>
        <w:t xml:space="preserve"> </w:t>
      </w:r>
      <w:r w:rsidRPr="00E82066">
        <w:rPr>
          <w:rFonts w:cs="Times New Roman"/>
          <w:sz w:val="24"/>
          <w:szCs w:val="24"/>
        </w:rPr>
        <w:t xml:space="preserve">и средиземноморския буревестник </w:t>
      </w:r>
      <w:r w:rsidRPr="00A517CD">
        <w:rPr>
          <w:rStyle w:val="Bodytext2Italic"/>
          <w:rFonts w:eastAsia="Courier New"/>
        </w:rPr>
        <w:t>(</w:t>
      </w:r>
      <w:r w:rsidRPr="00A517CD">
        <w:rPr>
          <w:rStyle w:val="Bodytext2Italic"/>
          <w:rFonts w:eastAsia="Courier New"/>
          <w:lang w:eastAsia="en-US" w:bidi="en-US"/>
        </w:rPr>
        <w:t>Puffinus yelkouari),</w:t>
      </w:r>
      <w:r w:rsidRPr="00E82066">
        <w:rPr>
          <w:rFonts w:cs="Times New Roman"/>
          <w:sz w:val="24"/>
          <w:szCs w:val="24"/>
          <w:lang w:eastAsia="en-US" w:bidi="en-US"/>
        </w:rPr>
        <w:t xml:space="preserve"> </w:t>
      </w:r>
      <w:r w:rsidRPr="00E82066">
        <w:rPr>
          <w:rFonts w:cs="Times New Roman"/>
          <w:sz w:val="24"/>
          <w:szCs w:val="24"/>
        </w:rPr>
        <w:t xml:space="preserve">които са индикатори по Дескриптор </w:t>
      </w:r>
      <w:r w:rsidRPr="00A517CD">
        <w:rPr>
          <w:rStyle w:val="Bodytext2Spacing1pt"/>
          <w:rFonts w:eastAsia="Courier New"/>
        </w:rPr>
        <w:t>1,4-</w:t>
      </w:r>
      <w:r w:rsidRPr="00E82066">
        <w:rPr>
          <w:rFonts w:cs="Times New Roman"/>
          <w:sz w:val="24"/>
          <w:szCs w:val="24"/>
        </w:rPr>
        <w:t>Морски птици към Рамковата директива за морска стратегия (РДМС).</w:t>
      </w:r>
    </w:p>
    <w:p w14:paraId="668FEBDA" w14:textId="77777777" w:rsidR="00A517CD" w:rsidRPr="00E82066" w:rsidRDefault="00A517CD" w:rsidP="00E82066">
      <w:pPr>
        <w:pStyle w:val="Heading1"/>
        <w:jc w:val="both"/>
        <w:rPr>
          <w:rFonts w:cs="Times New Roman"/>
          <w:sz w:val="24"/>
          <w:szCs w:val="24"/>
        </w:rPr>
      </w:pPr>
      <w:r w:rsidRPr="00E82066">
        <w:rPr>
          <w:rFonts w:cs="Times New Roman"/>
          <w:sz w:val="24"/>
          <w:szCs w:val="24"/>
        </w:rPr>
        <w:t>3. По отношение на развитие на сектор рибарство и аквакултури да се предвиди възможност за временно и динамично обособяване на зони забранени за риболов. Това представлява утвърдена световна практика, която въвежда временни и териториално базирани забрани за всеки тип риболов за целите на възстановяване на запасите и временна защита на определени територии (напр. за хвърляне на хайвер). Мярката има силно положително въздействие върху хабитати и биоразнообразие, а не само върху рибните запаси. За целите на прилагане на мярката да се предвиди създаване на междуведомствена работна група между МОСВ, Министерство на земеделието, Изпълнителна агенция по рибарство и аквакултури (ИАРА), Институт по рибни ресурси (ИРР), Институт по океанология-БАН и други заинтересовани страни.</w:t>
      </w:r>
    </w:p>
    <w:p w14:paraId="3A58066D" w14:textId="77777777" w:rsidR="00A517CD" w:rsidRPr="00E82066" w:rsidRDefault="00A517CD" w:rsidP="00E82066">
      <w:pPr>
        <w:pStyle w:val="Heading1"/>
        <w:jc w:val="both"/>
        <w:rPr>
          <w:rFonts w:cs="Times New Roman"/>
          <w:sz w:val="24"/>
          <w:szCs w:val="24"/>
        </w:rPr>
      </w:pPr>
      <w:r w:rsidRPr="00E82066">
        <w:rPr>
          <w:rFonts w:cs="Times New Roman"/>
          <w:sz w:val="24"/>
          <w:szCs w:val="24"/>
        </w:rPr>
        <w:t>5. При реализиране на проекти/проектни предложения по МППРБ да се предвиди съобразяване със съществуващото национално законодателство по отношение на инвазивни чужди видове и неместни видове.</w:t>
      </w:r>
    </w:p>
    <w:p w14:paraId="5DFB6394" w14:textId="77777777" w:rsidR="00A517CD" w:rsidRPr="00E82066" w:rsidRDefault="00A517CD" w:rsidP="00E82066">
      <w:pPr>
        <w:pStyle w:val="Heading1"/>
        <w:jc w:val="both"/>
        <w:rPr>
          <w:rFonts w:cs="Times New Roman"/>
          <w:sz w:val="24"/>
          <w:szCs w:val="24"/>
        </w:rPr>
      </w:pPr>
      <w:r w:rsidRPr="00E82066">
        <w:rPr>
          <w:rFonts w:cs="Times New Roman"/>
          <w:sz w:val="24"/>
          <w:szCs w:val="24"/>
        </w:rPr>
        <w:t>6. Предложения/дейности/проекти на територията на целия МППРБ, които генерират подводен шум трябва да демонстрират, че могат да избегнат, минимизират, и/или смекчат значително неблагоприятния ефект върху уязвимите видове китоподобни. Подводният шум може да засегне китоподобните и други силно мобилни видове, като причини хроничен стрес и смърт при по-висока интензивност.</w:t>
      </w:r>
    </w:p>
    <w:p w14:paraId="102818C2" w14:textId="77777777" w:rsidR="00A517CD" w:rsidRPr="00E82066" w:rsidRDefault="00A517CD" w:rsidP="00E82066">
      <w:pPr>
        <w:pStyle w:val="Heading1"/>
        <w:jc w:val="both"/>
        <w:rPr>
          <w:rFonts w:cs="Times New Roman"/>
          <w:sz w:val="24"/>
          <w:szCs w:val="24"/>
        </w:rPr>
      </w:pPr>
      <w:r w:rsidRPr="00E82066">
        <w:rPr>
          <w:rFonts w:cs="Times New Roman"/>
          <w:sz w:val="24"/>
          <w:szCs w:val="24"/>
        </w:rPr>
        <w:t>7. Да се разработи стратегия/методика за управление на драгажните извършване на дейности по драгиране и депониране във водни обекти, като предвид наличните добри практики.</w:t>
      </w:r>
    </w:p>
    <w:p w14:paraId="6D4A84D8" w14:textId="77777777" w:rsidR="00A517CD" w:rsidRPr="00E82066" w:rsidRDefault="00A517CD" w:rsidP="00E82066">
      <w:pPr>
        <w:pStyle w:val="Heading1"/>
        <w:jc w:val="both"/>
        <w:rPr>
          <w:rFonts w:cs="Times New Roman"/>
          <w:sz w:val="24"/>
          <w:szCs w:val="24"/>
        </w:rPr>
      </w:pPr>
    </w:p>
    <w:p w14:paraId="5ED73F6A" w14:textId="77777777" w:rsidR="00A517CD" w:rsidRPr="00E82066" w:rsidRDefault="00A517CD" w:rsidP="00E82066">
      <w:pPr>
        <w:pStyle w:val="Heading1"/>
        <w:jc w:val="both"/>
        <w:rPr>
          <w:rFonts w:cs="Times New Roman"/>
          <w:sz w:val="24"/>
          <w:szCs w:val="24"/>
        </w:rPr>
      </w:pPr>
      <w:r w:rsidRPr="00E82066">
        <w:rPr>
          <w:rFonts w:cs="Times New Roman"/>
          <w:sz w:val="24"/>
          <w:szCs w:val="24"/>
        </w:rPr>
        <w:t xml:space="preserve">Б. Конкретни смекчаващи мерки за включване в окончателния МППРБ, предвидени за предотвратяване, намаляване и възможно отстраняване на неблагоприятните </w:t>
      </w:r>
      <w:r w:rsidRPr="00E82066">
        <w:rPr>
          <w:rFonts w:cs="Times New Roman"/>
          <w:sz w:val="24"/>
          <w:szCs w:val="24"/>
        </w:rPr>
        <w:lastRenderedPageBreak/>
        <w:t>въздействия върху защитените зони</w:t>
      </w:r>
    </w:p>
    <w:p w14:paraId="02A8A38C" w14:textId="77777777" w:rsidR="00A517CD" w:rsidRPr="00E82066" w:rsidRDefault="00A517CD" w:rsidP="00E82066">
      <w:pPr>
        <w:pStyle w:val="Heading1"/>
        <w:jc w:val="both"/>
        <w:rPr>
          <w:rFonts w:cs="Times New Roman"/>
          <w:sz w:val="24"/>
          <w:szCs w:val="24"/>
        </w:rPr>
      </w:pPr>
      <w:r w:rsidRPr="00E82066">
        <w:rPr>
          <w:rFonts w:cs="Times New Roman"/>
          <w:sz w:val="24"/>
          <w:szCs w:val="24"/>
        </w:rPr>
        <w:t>1. С цел повишаване информираността на населението за предмета и целите на опазване в защитените зони от мрежата Натура 2000 да се поставят информационни табла, относно опазвани местообитания и видове; забрани и ограничения за дейности, които оказват отрицателни въздействия върху тях и предвидени законови санкции за нарушения.</w:t>
      </w:r>
    </w:p>
    <w:p w14:paraId="1A96E3C4" w14:textId="77777777" w:rsidR="00A517CD" w:rsidRPr="00E82066" w:rsidRDefault="00A517CD" w:rsidP="00E82066">
      <w:pPr>
        <w:pStyle w:val="Heading1"/>
        <w:jc w:val="both"/>
        <w:rPr>
          <w:rFonts w:cs="Times New Roman"/>
          <w:sz w:val="24"/>
          <w:szCs w:val="24"/>
        </w:rPr>
      </w:pPr>
      <w:r w:rsidRPr="00E82066">
        <w:rPr>
          <w:rFonts w:cs="Times New Roman"/>
          <w:sz w:val="24"/>
          <w:szCs w:val="24"/>
        </w:rPr>
        <w:t>2. С цел предотвратяване на прекомерен риболовен натиск и регулируемостта му, да не се увеличава риболовното усилие и да се прилагат добри практики за предотвратяване изхвърлянето на неоползотворен улов и намаляване на приулова от карагьоз и харип.</w:t>
      </w:r>
    </w:p>
    <w:p w14:paraId="29AC88A2" w14:textId="77777777" w:rsidR="00A517CD" w:rsidRPr="00E82066" w:rsidRDefault="00A517CD" w:rsidP="00E82066">
      <w:pPr>
        <w:pStyle w:val="Heading1"/>
        <w:jc w:val="both"/>
        <w:rPr>
          <w:rFonts w:cs="Times New Roman"/>
          <w:sz w:val="24"/>
          <w:szCs w:val="24"/>
        </w:rPr>
      </w:pPr>
      <w:r w:rsidRPr="00E82066">
        <w:rPr>
          <w:rFonts w:cs="Times New Roman"/>
          <w:sz w:val="24"/>
          <w:szCs w:val="24"/>
        </w:rPr>
        <w:t>3. През периода март-април, когато карагьозът (Alosa immacilata) и харипът (малък карагьоз, резовски карагьоз) {Alosa tanaica=Alosa caspia nordmanni) се появяват в българските крайбрежни морски води, да се сведе до минимум драгирането депонирането на драгажни маси в крайбрежната морска зона. Това ще намаляване на замърсяването на водата, безпокойството на рибите и влошаване на трофичните условия през периода на интензивното им хранене, преди началото на размножителната миграция.</w:t>
      </w:r>
    </w:p>
    <w:p w14:paraId="5B0282B2" w14:textId="77777777" w:rsidR="00A517CD" w:rsidRPr="00E82066" w:rsidRDefault="00A517CD" w:rsidP="00E82066">
      <w:pPr>
        <w:pStyle w:val="Heading1"/>
        <w:jc w:val="both"/>
        <w:rPr>
          <w:rFonts w:cs="Times New Roman"/>
          <w:sz w:val="24"/>
          <w:szCs w:val="24"/>
        </w:rPr>
      </w:pPr>
      <w:r w:rsidRPr="00E82066">
        <w:rPr>
          <w:rFonts w:cs="Times New Roman"/>
          <w:sz w:val="24"/>
          <w:szCs w:val="24"/>
        </w:rPr>
        <w:t>4. С цел предотвратяване влошаването на състоянието на местообитанията и на рибните популации, да се извършва регулярен мониторинг на морската среда и на състоянието на популациите на целевите видове риби в крайбрежната морска зона.</w:t>
      </w:r>
    </w:p>
    <w:p w14:paraId="0A5CCA53" w14:textId="77777777" w:rsidR="00A517CD" w:rsidRPr="00E82066" w:rsidRDefault="00A517CD" w:rsidP="00E82066">
      <w:pPr>
        <w:pStyle w:val="Heading1"/>
        <w:jc w:val="both"/>
        <w:rPr>
          <w:rFonts w:cs="Times New Roman"/>
          <w:sz w:val="24"/>
          <w:szCs w:val="24"/>
        </w:rPr>
      </w:pPr>
      <w:r w:rsidRPr="00E82066">
        <w:rPr>
          <w:rFonts w:cs="Times New Roman"/>
          <w:sz w:val="24"/>
          <w:szCs w:val="24"/>
        </w:rPr>
        <w:t>5. С цел подобряване на природозащитното състояние на морските бозайници, да се сведе до минимум приулов на китоподобни в даляни и мрежи, които не са снабдени с пингъри (ултразвукови устройства, прогонващи делфини).</w:t>
      </w:r>
    </w:p>
    <w:p w14:paraId="24CA7598" w14:textId="77777777" w:rsidR="00A517CD" w:rsidRPr="00E82066" w:rsidRDefault="00A517CD" w:rsidP="00E82066">
      <w:pPr>
        <w:pStyle w:val="Heading1"/>
        <w:jc w:val="both"/>
        <w:rPr>
          <w:rFonts w:cs="Times New Roman"/>
          <w:sz w:val="24"/>
          <w:szCs w:val="24"/>
        </w:rPr>
      </w:pPr>
      <w:r w:rsidRPr="00E82066">
        <w:rPr>
          <w:rFonts w:cs="Times New Roman"/>
          <w:sz w:val="24"/>
          <w:szCs w:val="24"/>
        </w:rPr>
        <w:t>6. С цел намаляване на безпокойството на видовете в морска среда, включително птици, да се ограничи генерирането на подводен шум.</w:t>
      </w:r>
    </w:p>
    <w:p w14:paraId="060E1ED7" w14:textId="77777777" w:rsidR="00A517CD" w:rsidRPr="00E82066" w:rsidRDefault="00A517CD" w:rsidP="00E82066">
      <w:pPr>
        <w:pStyle w:val="Heading1"/>
        <w:jc w:val="both"/>
        <w:rPr>
          <w:rFonts w:cs="Times New Roman"/>
          <w:sz w:val="24"/>
          <w:szCs w:val="24"/>
        </w:rPr>
      </w:pPr>
      <w:r w:rsidRPr="00E82066">
        <w:rPr>
          <w:rFonts w:cs="Times New Roman"/>
          <w:sz w:val="24"/>
          <w:szCs w:val="24"/>
        </w:rPr>
        <w:t>7. Ограничаване източниците на замърсяване на морската среда от човешки дейности и морски трафик в крайбрежната зона, включително и еутрофикация.</w:t>
      </w:r>
    </w:p>
    <w:p w14:paraId="66C1D0AE" w14:textId="77777777" w:rsidR="00A517CD" w:rsidRPr="00E82066" w:rsidRDefault="00A517CD" w:rsidP="00E82066">
      <w:pPr>
        <w:pStyle w:val="Heading1"/>
        <w:jc w:val="both"/>
        <w:rPr>
          <w:rFonts w:cs="Times New Roman"/>
          <w:sz w:val="24"/>
          <w:szCs w:val="24"/>
        </w:rPr>
      </w:pPr>
      <w:r w:rsidRPr="00E82066">
        <w:rPr>
          <w:rFonts w:cs="Times New Roman"/>
          <w:sz w:val="24"/>
          <w:szCs w:val="24"/>
        </w:rPr>
        <w:t>8. Разработване на национален План за опазване на Средиземноморски буревестник и на Планове за управление на местата от голямо значение за вида и редовен мониторинг, устойчиво ползване на рибните ресурси на Черно море, запазване на скалистите участъци по крайбрежието, което ще подпомогне опазването на вида.</w:t>
      </w:r>
    </w:p>
    <w:p w14:paraId="346F945B" w14:textId="2CE19B8A" w:rsidR="00A517CD" w:rsidRPr="00E82066" w:rsidRDefault="00A517CD" w:rsidP="00E82066">
      <w:pPr>
        <w:pStyle w:val="Heading1"/>
        <w:jc w:val="both"/>
        <w:rPr>
          <w:rFonts w:cs="Times New Roman"/>
          <w:sz w:val="24"/>
          <w:szCs w:val="24"/>
        </w:rPr>
      </w:pPr>
      <w:r w:rsidRPr="00E82066">
        <w:rPr>
          <w:rFonts w:cs="Times New Roman"/>
          <w:sz w:val="24"/>
          <w:szCs w:val="24"/>
        </w:rPr>
        <w:t>9. С цел опазване на вида среден корморан, да бъдат ограничени потенциалните заплахи от строителството и индустриалната дейност по брега, да се</w:t>
      </w:r>
      <w:r w:rsidR="003D57FE">
        <w:rPr>
          <w:rFonts w:cs="Times New Roman"/>
          <w:sz w:val="24"/>
          <w:szCs w:val="24"/>
        </w:rPr>
        <w:t xml:space="preserve"> регулират</w:t>
      </w:r>
      <w:r w:rsidRPr="00E82066">
        <w:rPr>
          <w:rFonts w:cs="Times New Roman"/>
          <w:sz w:val="24"/>
          <w:szCs w:val="24"/>
        </w:rPr>
        <w:t xml:space="preserve"> риболовните дейности, да се въведат забрани за водни спортове в бързоподвижни джетове в близост до колониите на вида. Необходимо е да бъдат предприети мерки за ограничаване безпокойството на гнездящи корморани през размножителния период, както и да бъдат информирани посетителите.</w:t>
      </w:r>
    </w:p>
    <w:p w14:paraId="379B252D" w14:textId="77777777" w:rsidR="00A517CD" w:rsidRPr="00E82066" w:rsidRDefault="00A517CD" w:rsidP="00E82066">
      <w:pPr>
        <w:pStyle w:val="Heading1"/>
        <w:jc w:val="both"/>
        <w:rPr>
          <w:rFonts w:cs="Times New Roman"/>
          <w:sz w:val="24"/>
          <w:szCs w:val="24"/>
        </w:rPr>
      </w:pPr>
      <w:r w:rsidRPr="00E82066">
        <w:rPr>
          <w:rFonts w:cs="Times New Roman"/>
          <w:sz w:val="24"/>
          <w:szCs w:val="24"/>
        </w:rPr>
        <w:t xml:space="preserve">10. Препоръчително е да се извършва мониторинг на двата целеви вида морски птици минимум три пъти годишно в периода април - юни, е цел проследяване тенденциите в популациите, както и евентуалните промени в поведението им и промените в </w:t>
      </w:r>
      <w:r w:rsidRPr="00E82066">
        <w:rPr>
          <w:rFonts w:cs="Times New Roman"/>
          <w:sz w:val="24"/>
          <w:szCs w:val="24"/>
        </w:rPr>
        <w:lastRenderedPageBreak/>
        <w:t>местообитанията.</w:t>
      </w:r>
    </w:p>
    <w:p w14:paraId="55EDF913" w14:textId="1176C1A6" w:rsidR="00A517CD" w:rsidRPr="00E82066" w:rsidRDefault="00A517CD" w:rsidP="00E82066">
      <w:pPr>
        <w:pStyle w:val="Heading1"/>
        <w:jc w:val="both"/>
        <w:rPr>
          <w:rFonts w:cs="Times New Roman"/>
          <w:sz w:val="24"/>
          <w:szCs w:val="24"/>
        </w:rPr>
      </w:pPr>
      <w:r w:rsidRPr="00E82066">
        <w:rPr>
          <w:rFonts w:cs="Times New Roman"/>
          <w:sz w:val="24"/>
          <w:szCs w:val="24"/>
        </w:rPr>
        <w:t xml:space="preserve">11. Да се посочат подходящите акватории, необходими за изпълнение на целите на Стратегията на ЕС за биологично разнообразие за 2030 г. и по-специално: Да се предостави правна защита на най-малко 30% от морските басейни на ЕС и да се осигури интегриране на екологичните коридори в рамките на ефективно действаща трансевропейска мрежа за защита на природата; Да се въведат мерки за строга защита на най-малко една трета от защитените зони, които представляват 10% от морските басейни на ЕС. При определяне на подходящите акватории да се изберат приоритетно богатите на въглерод екосистеми и на зоните, които са важни за хвърляне на хайвер и размножаване. </w:t>
      </w:r>
    </w:p>
    <w:p w14:paraId="257943EB" w14:textId="77777777" w:rsidR="00A517CD" w:rsidRPr="00E82066" w:rsidRDefault="00A517CD" w:rsidP="00E82066">
      <w:pPr>
        <w:pStyle w:val="Heading1"/>
        <w:jc w:val="both"/>
        <w:rPr>
          <w:rFonts w:cs="Times New Roman"/>
          <w:sz w:val="24"/>
          <w:szCs w:val="24"/>
        </w:rPr>
      </w:pPr>
      <w:r w:rsidRPr="00E82066">
        <w:rPr>
          <w:rFonts w:cs="Times New Roman"/>
          <w:sz w:val="24"/>
          <w:szCs w:val="24"/>
        </w:rPr>
        <w:t>12. В картния материал на МПП да се отразят точките на заустване в морската акватория.</w:t>
      </w:r>
    </w:p>
    <w:p w14:paraId="382F4512" w14:textId="77777777" w:rsidR="00A517CD" w:rsidRPr="00E82066" w:rsidRDefault="00A517CD" w:rsidP="00E82066">
      <w:pPr>
        <w:pStyle w:val="Heading1"/>
        <w:jc w:val="both"/>
        <w:rPr>
          <w:rFonts w:cs="Times New Roman"/>
          <w:sz w:val="24"/>
          <w:szCs w:val="24"/>
        </w:rPr>
      </w:pPr>
      <w:r w:rsidRPr="00E82066">
        <w:rPr>
          <w:rFonts w:cs="Times New Roman"/>
          <w:sz w:val="24"/>
          <w:szCs w:val="24"/>
        </w:rPr>
        <w:t>13. От картния материал на МПП да отпаднат проекти, които не са подлагани на процедури по ЗООС и ЗБР.</w:t>
      </w:r>
    </w:p>
    <w:p w14:paraId="08798DF2" w14:textId="77777777" w:rsidR="00A517CD" w:rsidRPr="00E82066" w:rsidRDefault="00A517CD" w:rsidP="00E82066">
      <w:pPr>
        <w:pStyle w:val="Heading1"/>
        <w:jc w:val="both"/>
        <w:rPr>
          <w:rFonts w:cs="Times New Roman"/>
          <w:sz w:val="24"/>
          <w:szCs w:val="24"/>
        </w:rPr>
      </w:pPr>
    </w:p>
    <w:p w14:paraId="3A473E8D" w14:textId="77777777" w:rsidR="00A517CD" w:rsidRPr="00E82066" w:rsidRDefault="00A517CD" w:rsidP="00E82066">
      <w:pPr>
        <w:pStyle w:val="Heading1"/>
        <w:jc w:val="both"/>
        <w:rPr>
          <w:rFonts w:cs="Times New Roman"/>
          <w:sz w:val="24"/>
          <w:szCs w:val="24"/>
        </w:rPr>
      </w:pPr>
      <w:r w:rsidRPr="00E82066">
        <w:rPr>
          <w:rFonts w:cs="Times New Roman"/>
          <w:sz w:val="24"/>
          <w:szCs w:val="24"/>
        </w:rPr>
        <w:t>В. Мерки за изпълнение при прилагане на МППРБ:</w:t>
      </w:r>
    </w:p>
    <w:p w14:paraId="5A37858E" w14:textId="77777777" w:rsidR="00A517CD" w:rsidRPr="00E82066" w:rsidRDefault="00A517CD" w:rsidP="00E82066">
      <w:pPr>
        <w:pStyle w:val="Heading1"/>
        <w:jc w:val="both"/>
        <w:rPr>
          <w:rFonts w:cs="Times New Roman"/>
          <w:sz w:val="24"/>
          <w:szCs w:val="24"/>
        </w:rPr>
      </w:pPr>
      <w:r w:rsidRPr="00E82066">
        <w:rPr>
          <w:rFonts w:cs="Times New Roman"/>
          <w:sz w:val="24"/>
          <w:szCs w:val="24"/>
        </w:rPr>
        <w:t>1. Да се развие системата за регулярен метеорологичен мониторинг за акваторията на българския черноморски участък.</w:t>
      </w:r>
    </w:p>
    <w:p w14:paraId="1F0B8CBA" w14:textId="74DBFBD6" w:rsidR="00A517CD" w:rsidRDefault="00A517CD" w:rsidP="00D03DA8">
      <w:pPr>
        <w:pStyle w:val="Heading1"/>
        <w:ind w:left="431" w:hanging="431"/>
        <w:jc w:val="both"/>
        <w:rPr>
          <w:rFonts w:cs="Times New Roman"/>
          <w:sz w:val="24"/>
          <w:szCs w:val="24"/>
        </w:rPr>
      </w:pPr>
      <w:r w:rsidRPr="00E82066">
        <w:rPr>
          <w:rFonts w:cs="Times New Roman"/>
          <w:sz w:val="24"/>
          <w:szCs w:val="24"/>
        </w:rPr>
        <w:t>2. Да се извършват хидродинамични моделни изследвания при проектиране на дълбоководно заустване.</w:t>
      </w:r>
    </w:p>
    <w:p w14:paraId="365940F2" w14:textId="7B53398A" w:rsidR="001D323E" w:rsidRPr="00D03DA8" w:rsidRDefault="001D323E" w:rsidP="00D03DA8">
      <w:pPr>
        <w:pStyle w:val="Heading1"/>
        <w:ind w:left="431" w:hanging="431"/>
        <w:jc w:val="both"/>
        <w:rPr>
          <w:rFonts w:cs="Times New Roman"/>
          <w:sz w:val="24"/>
          <w:szCs w:val="24"/>
        </w:rPr>
      </w:pPr>
      <w:r w:rsidRPr="00D03DA8">
        <w:rPr>
          <w:rFonts w:cs="Times New Roman"/>
          <w:sz w:val="24"/>
          <w:szCs w:val="24"/>
        </w:rPr>
        <w:t>3. При проектиране или разширение на брегозащитни съоръжения да се провеждат хидродинамични и литодинамични моделни изследвания</w:t>
      </w:r>
    </w:p>
    <w:p w14:paraId="192283E1" w14:textId="3AEF54F4" w:rsidR="00A517CD" w:rsidRPr="00133B13" w:rsidRDefault="001D323E" w:rsidP="00E82066">
      <w:pPr>
        <w:pStyle w:val="Heading1"/>
        <w:jc w:val="both"/>
        <w:rPr>
          <w:rFonts w:cs="Times New Roman"/>
          <w:sz w:val="24"/>
          <w:szCs w:val="24"/>
        </w:rPr>
      </w:pPr>
      <w:r>
        <w:rPr>
          <w:rFonts w:cs="Times New Roman"/>
          <w:sz w:val="24"/>
          <w:szCs w:val="24"/>
        </w:rPr>
        <w:t>4</w:t>
      </w:r>
      <w:r w:rsidR="00A517CD" w:rsidRPr="00E82066">
        <w:rPr>
          <w:rFonts w:cs="Times New Roman"/>
          <w:sz w:val="24"/>
          <w:szCs w:val="24"/>
        </w:rPr>
        <w:t>. Осъвременяване на системата за управление на корабните отпадъци</w:t>
      </w:r>
      <w:r w:rsidR="00E31502">
        <w:rPr>
          <w:rFonts w:cs="Times New Roman"/>
          <w:sz w:val="24"/>
          <w:szCs w:val="24"/>
        </w:rPr>
        <w:t xml:space="preserve"> и баластни</w:t>
      </w:r>
      <w:r w:rsidR="00A517CD" w:rsidRPr="00133B13">
        <w:rPr>
          <w:rFonts w:cs="Times New Roman"/>
          <w:sz w:val="24"/>
          <w:szCs w:val="24"/>
        </w:rPr>
        <w:t xml:space="preserve"> води на пристанища Варна и Бургас като се разработи и внедри единна електронна база данни.</w:t>
      </w:r>
    </w:p>
    <w:p w14:paraId="5C2A0D14" w14:textId="0A9AF97F" w:rsidR="00A517CD" w:rsidRPr="00E82066" w:rsidRDefault="001D323E" w:rsidP="00E82066">
      <w:pPr>
        <w:pStyle w:val="Heading1"/>
        <w:jc w:val="both"/>
        <w:rPr>
          <w:rFonts w:cs="Times New Roman"/>
          <w:sz w:val="24"/>
          <w:szCs w:val="24"/>
        </w:rPr>
      </w:pPr>
      <w:r>
        <w:rPr>
          <w:rFonts w:cs="Times New Roman"/>
          <w:sz w:val="24"/>
          <w:szCs w:val="24"/>
        </w:rPr>
        <w:t>5</w:t>
      </w:r>
      <w:r w:rsidR="00A517CD" w:rsidRPr="00133B13">
        <w:rPr>
          <w:rFonts w:cs="Times New Roman"/>
          <w:sz w:val="24"/>
          <w:szCs w:val="24"/>
        </w:rPr>
        <w:t>. Да се предприемат необходимите действия за осигуряване на</w:t>
      </w:r>
      <w:r w:rsidR="00E31502">
        <w:rPr>
          <w:rFonts w:cs="Times New Roman"/>
          <w:sz w:val="24"/>
          <w:szCs w:val="24"/>
        </w:rPr>
        <w:t xml:space="preserve"> спасителни</w:t>
      </w:r>
      <w:r w:rsidR="00A517CD" w:rsidRPr="00E82066">
        <w:rPr>
          <w:rFonts w:cs="Times New Roman"/>
          <w:sz w:val="24"/>
          <w:szCs w:val="24"/>
        </w:rPr>
        <w:t xml:space="preserve"> операции от българска страна в българското черноморско крайбрежие и в открито море чрез оборудване със спасителни плавателни съдове и кадри.</w:t>
      </w:r>
    </w:p>
    <w:p w14:paraId="544496E6" w14:textId="77777777" w:rsidR="00A517CD" w:rsidRPr="00E82066" w:rsidRDefault="00A517CD" w:rsidP="00E82066">
      <w:pPr>
        <w:pStyle w:val="Heading1"/>
        <w:jc w:val="both"/>
        <w:rPr>
          <w:rFonts w:cs="Times New Roman"/>
          <w:sz w:val="24"/>
          <w:szCs w:val="24"/>
        </w:rPr>
      </w:pPr>
    </w:p>
    <w:p w14:paraId="665DDF34" w14:textId="77777777" w:rsidR="00A517CD" w:rsidRPr="00E82066" w:rsidRDefault="00A517CD" w:rsidP="00E82066">
      <w:pPr>
        <w:pStyle w:val="Heading1"/>
        <w:jc w:val="both"/>
        <w:rPr>
          <w:rFonts w:cs="Times New Roman"/>
          <w:sz w:val="24"/>
          <w:szCs w:val="24"/>
        </w:rPr>
      </w:pPr>
      <w:r w:rsidRPr="00E82066">
        <w:rPr>
          <w:rFonts w:cs="Times New Roman"/>
          <w:sz w:val="24"/>
          <w:szCs w:val="24"/>
        </w:rPr>
        <w:t>II. Мерки за наблюдение и контрол при прилагане на МППРБ:</w:t>
      </w:r>
    </w:p>
    <w:p w14:paraId="3A48AC13" w14:textId="77777777" w:rsidR="00A517CD" w:rsidRPr="00E82066" w:rsidRDefault="00A517CD" w:rsidP="00E82066">
      <w:pPr>
        <w:pStyle w:val="Heading1"/>
        <w:jc w:val="both"/>
        <w:rPr>
          <w:rFonts w:cs="Times New Roman"/>
          <w:sz w:val="24"/>
          <w:szCs w:val="24"/>
        </w:rPr>
      </w:pPr>
      <w:r w:rsidRPr="00E82066">
        <w:rPr>
          <w:rFonts w:cs="Times New Roman"/>
          <w:sz w:val="24"/>
          <w:szCs w:val="24"/>
        </w:rPr>
        <w:t xml:space="preserve">1. На всеки </w:t>
      </w:r>
      <w:r w:rsidRPr="00E82066">
        <w:rPr>
          <w:rFonts w:cs="Times New Roman"/>
          <w:sz w:val="24"/>
          <w:szCs w:val="24"/>
          <w:u w:val="single"/>
        </w:rPr>
        <w:t>две години</w:t>
      </w:r>
      <w:r w:rsidRPr="00E82066">
        <w:rPr>
          <w:rFonts w:cs="Times New Roman"/>
          <w:sz w:val="24"/>
          <w:szCs w:val="24"/>
        </w:rPr>
        <w:t xml:space="preserve"> от прилагането на плана, възложителят да изготвя доклади по наблюдението и контрола на въздействието върху околната среда при прилагането на МППРБ, включително на мерките за предотвратяване, намаляване или отстраняване на последиците от възникнали неблагоприятни последствия от осъществяването на плана. Изготвените доклади да се предоставят в Министерство на околната среда и водите за одобряване.</w:t>
      </w:r>
    </w:p>
    <w:p w14:paraId="10FE3B1C" w14:textId="77777777" w:rsidR="00A517CD" w:rsidRPr="00E82066" w:rsidRDefault="00A517CD" w:rsidP="00E82066">
      <w:pPr>
        <w:pStyle w:val="Heading1"/>
        <w:jc w:val="both"/>
        <w:rPr>
          <w:rFonts w:cs="Times New Roman"/>
          <w:sz w:val="24"/>
          <w:szCs w:val="24"/>
        </w:rPr>
      </w:pPr>
      <w:r w:rsidRPr="00E82066">
        <w:rPr>
          <w:rFonts w:cs="Times New Roman"/>
          <w:sz w:val="24"/>
          <w:szCs w:val="24"/>
        </w:rPr>
        <w:t xml:space="preserve">2. Наблюдението и контролът на въздействията върху околната среда при прилагането </w:t>
      </w:r>
      <w:r w:rsidRPr="00E82066">
        <w:rPr>
          <w:rFonts w:cs="Times New Roman"/>
          <w:sz w:val="24"/>
          <w:szCs w:val="24"/>
        </w:rPr>
        <w:lastRenderedPageBreak/>
        <w:t>на МППРБ да се извършват въз основа на следните мерки и индикатори:</w:t>
      </w:r>
    </w:p>
    <w:tbl>
      <w:tblPr>
        <w:tblStyle w:val="TableGrid"/>
        <w:tblW w:w="9793" w:type="dxa"/>
        <w:tblLook w:val="04A0" w:firstRow="1" w:lastRow="0" w:firstColumn="1" w:lastColumn="0" w:noHBand="0" w:noVBand="1"/>
      </w:tblPr>
      <w:tblGrid>
        <w:gridCol w:w="3119"/>
        <w:gridCol w:w="2476"/>
        <w:gridCol w:w="1779"/>
        <w:gridCol w:w="2419"/>
      </w:tblGrid>
      <w:tr w:rsidR="001D323E" w:rsidRPr="00C717D0" w14:paraId="7010C255" w14:textId="77777777" w:rsidTr="00B22B51">
        <w:trPr>
          <w:tblHeader/>
        </w:trPr>
        <w:tc>
          <w:tcPr>
            <w:tcW w:w="3123" w:type="dxa"/>
            <w:shd w:val="clear" w:color="auto" w:fill="C6D9F1" w:themeFill="text2" w:themeFillTint="33"/>
            <w:vAlign w:val="center"/>
          </w:tcPr>
          <w:p w14:paraId="042E4B5C" w14:textId="77777777" w:rsidR="00A517CD" w:rsidRPr="00731651" w:rsidRDefault="00A517CD" w:rsidP="00B22B51">
            <w:pPr>
              <w:pStyle w:val="Bodytext22"/>
              <w:shd w:val="clear" w:color="auto" w:fill="auto"/>
              <w:tabs>
                <w:tab w:val="left" w:pos="998"/>
              </w:tabs>
              <w:spacing w:before="120" w:after="120" w:line="240" w:lineRule="auto"/>
              <w:ind w:right="27" w:firstLine="0"/>
              <w:jc w:val="center"/>
              <w:rPr>
                <w:rStyle w:val="Bodytext2Bold"/>
                <w:shd w:val="clear" w:color="auto" w:fill="C6D9F1" w:themeFill="text2" w:themeFillTint="33"/>
              </w:rPr>
            </w:pPr>
            <w:r w:rsidRPr="00731651">
              <w:rPr>
                <w:rStyle w:val="Bodytext2Bold"/>
                <w:shd w:val="clear" w:color="auto" w:fill="C6D9F1" w:themeFill="text2" w:themeFillTint="33"/>
              </w:rPr>
              <w:t>Мярка за наблюдение и контрол</w:t>
            </w:r>
          </w:p>
        </w:tc>
        <w:tc>
          <w:tcPr>
            <w:tcW w:w="2472" w:type="dxa"/>
            <w:shd w:val="clear" w:color="auto" w:fill="C6D9F1" w:themeFill="text2" w:themeFillTint="33"/>
            <w:vAlign w:val="center"/>
          </w:tcPr>
          <w:p w14:paraId="7F0DC602" w14:textId="77777777" w:rsidR="00A517CD" w:rsidRPr="00731651" w:rsidRDefault="00A517CD" w:rsidP="00B22B51">
            <w:pPr>
              <w:pStyle w:val="Bodytext22"/>
              <w:shd w:val="clear" w:color="auto" w:fill="auto"/>
              <w:spacing w:before="120" w:after="120" w:line="240" w:lineRule="auto"/>
              <w:ind w:right="100" w:firstLine="0"/>
              <w:jc w:val="center"/>
              <w:rPr>
                <w:rStyle w:val="Bodytext2Bold"/>
                <w:shd w:val="clear" w:color="auto" w:fill="C6D9F1" w:themeFill="text2" w:themeFillTint="33"/>
              </w:rPr>
            </w:pPr>
            <w:r w:rsidRPr="00731651">
              <w:rPr>
                <w:rStyle w:val="Bodytext2Bold"/>
                <w:shd w:val="clear" w:color="auto" w:fill="C6D9F1" w:themeFill="text2" w:themeFillTint="33"/>
              </w:rPr>
              <w:t>Индикатор Мерна единица</w:t>
            </w:r>
          </w:p>
        </w:tc>
        <w:tc>
          <w:tcPr>
            <w:tcW w:w="1779" w:type="dxa"/>
            <w:shd w:val="clear" w:color="auto" w:fill="C6D9F1" w:themeFill="text2" w:themeFillTint="33"/>
            <w:vAlign w:val="center"/>
          </w:tcPr>
          <w:p w14:paraId="4E7246C4" w14:textId="77777777" w:rsidR="00A517CD" w:rsidRPr="00731651" w:rsidRDefault="00A517CD" w:rsidP="00B22B51">
            <w:pPr>
              <w:pStyle w:val="Bodytext22"/>
              <w:shd w:val="clear" w:color="auto" w:fill="auto"/>
              <w:spacing w:before="120" w:after="120" w:line="240" w:lineRule="auto"/>
              <w:ind w:firstLine="0"/>
              <w:jc w:val="center"/>
              <w:rPr>
                <w:rStyle w:val="Bodytext2Bold"/>
                <w:shd w:val="clear" w:color="auto" w:fill="C6D9F1" w:themeFill="text2" w:themeFillTint="33"/>
              </w:rPr>
            </w:pPr>
            <w:r w:rsidRPr="00731651">
              <w:rPr>
                <w:rStyle w:val="Bodytext2Bold"/>
                <w:shd w:val="clear" w:color="auto" w:fill="C6D9F1" w:themeFill="text2" w:themeFillTint="33"/>
              </w:rPr>
              <w:t>Периодичност на отчитане</w:t>
            </w:r>
          </w:p>
        </w:tc>
        <w:tc>
          <w:tcPr>
            <w:tcW w:w="2419" w:type="dxa"/>
            <w:shd w:val="clear" w:color="auto" w:fill="C6D9F1" w:themeFill="text2" w:themeFillTint="33"/>
            <w:vAlign w:val="center"/>
          </w:tcPr>
          <w:p w14:paraId="1111B9C7" w14:textId="2077431F" w:rsidR="00A517CD" w:rsidRPr="00731651" w:rsidRDefault="00A517CD" w:rsidP="00B22B51">
            <w:pPr>
              <w:pStyle w:val="Bodytext22"/>
              <w:shd w:val="clear" w:color="auto" w:fill="auto"/>
              <w:spacing w:before="120" w:after="120" w:line="240" w:lineRule="auto"/>
              <w:ind w:firstLine="0"/>
              <w:jc w:val="center"/>
              <w:rPr>
                <w:rStyle w:val="Bodytext2Bold"/>
                <w:shd w:val="clear" w:color="auto" w:fill="C6D9F1" w:themeFill="text2" w:themeFillTint="33"/>
              </w:rPr>
            </w:pPr>
            <w:r w:rsidRPr="00731651">
              <w:rPr>
                <w:rStyle w:val="Bodytext2Bold"/>
                <w:shd w:val="clear" w:color="auto" w:fill="C6D9F1" w:themeFill="text2" w:themeFillTint="33"/>
              </w:rPr>
              <w:t>Източник на информация/ Отговорен за изпълнението</w:t>
            </w:r>
          </w:p>
        </w:tc>
      </w:tr>
      <w:tr w:rsidR="00A517CD" w:rsidRPr="00C717D0" w14:paraId="708C3F22" w14:textId="77777777" w:rsidTr="00D03DA8">
        <w:tc>
          <w:tcPr>
            <w:tcW w:w="3123" w:type="dxa"/>
            <w:vAlign w:val="center"/>
          </w:tcPr>
          <w:p w14:paraId="4DFC3C2D" w14:textId="42D66AA0"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 Развитие на система за наблюдение и контрол на морската околна среда - разливи в морето от изхвър</w:t>
            </w:r>
            <w:r w:rsidR="00FE4C06">
              <w:rPr>
                <w:sz w:val="24"/>
                <w:szCs w:val="24"/>
                <w:lang w:val="bg-BG"/>
              </w:rPr>
              <w:softHyphen/>
            </w:r>
            <w:r w:rsidRPr="00E82066">
              <w:rPr>
                <w:sz w:val="24"/>
                <w:szCs w:val="24"/>
                <w:lang w:val="bg-BG"/>
              </w:rPr>
              <w:t>ляне на корабни отпадъци, спазване на ограниченията за защитени територии, за</w:t>
            </w:r>
            <w:r w:rsidR="00FE4C06">
              <w:rPr>
                <w:sz w:val="24"/>
                <w:szCs w:val="24"/>
                <w:lang w:val="bg-BG"/>
              </w:rPr>
              <w:softHyphen/>
            </w:r>
            <w:r w:rsidRPr="00E82066">
              <w:rPr>
                <w:sz w:val="24"/>
                <w:szCs w:val="24"/>
                <w:lang w:val="bg-BG"/>
              </w:rPr>
              <w:t>щитени зони, подводно кул</w:t>
            </w:r>
            <w:r w:rsidR="00FE4C06">
              <w:rPr>
                <w:sz w:val="24"/>
                <w:szCs w:val="24"/>
                <w:lang w:val="bg-BG"/>
              </w:rPr>
              <w:softHyphen/>
            </w:r>
            <w:r w:rsidRPr="00E82066">
              <w:rPr>
                <w:sz w:val="24"/>
                <w:szCs w:val="24"/>
                <w:lang w:val="bg-BG"/>
              </w:rPr>
              <w:t>турно наследство и изпол</w:t>
            </w:r>
            <w:r w:rsidR="00FE4C06">
              <w:rPr>
                <w:sz w:val="24"/>
                <w:szCs w:val="24"/>
                <w:lang w:val="bg-BG"/>
              </w:rPr>
              <w:softHyphen/>
            </w:r>
            <w:r w:rsidRPr="00E82066">
              <w:rPr>
                <w:sz w:val="24"/>
                <w:szCs w:val="24"/>
                <w:lang w:val="bg-BG"/>
              </w:rPr>
              <w:t>зва</w:t>
            </w:r>
            <w:r w:rsidR="00FE4C06">
              <w:rPr>
                <w:sz w:val="24"/>
                <w:szCs w:val="24"/>
                <w:lang w:val="bg-BG"/>
              </w:rPr>
              <w:softHyphen/>
            </w:r>
            <w:r w:rsidRPr="00E82066">
              <w:rPr>
                <w:sz w:val="24"/>
                <w:szCs w:val="24"/>
                <w:lang w:val="bg-BG"/>
              </w:rPr>
              <w:t>не на морските ресурси.</w:t>
            </w:r>
          </w:p>
        </w:tc>
        <w:tc>
          <w:tcPr>
            <w:tcW w:w="2472" w:type="dxa"/>
            <w:vAlign w:val="center"/>
          </w:tcPr>
          <w:p w14:paraId="609D6994"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Въведени показатели в системата</w:t>
            </w:r>
          </w:p>
        </w:tc>
        <w:tc>
          <w:tcPr>
            <w:tcW w:w="1779" w:type="dxa"/>
            <w:vAlign w:val="center"/>
          </w:tcPr>
          <w:p w14:paraId="11E84DCD" w14:textId="77777777" w:rsidR="00A517CD" w:rsidRPr="00E82066" w:rsidRDefault="00A517CD" w:rsidP="00731651">
            <w:pPr>
              <w:pStyle w:val="Bodytext22"/>
              <w:shd w:val="clear" w:color="auto" w:fill="auto"/>
              <w:spacing w:before="0" w:after="120" w:line="240" w:lineRule="auto"/>
              <w:ind w:firstLine="0"/>
              <w:jc w:val="left"/>
              <w:rPr>
                <w:sz w:val="24"/>
                <w:szCs w:val="24"/>
                <w:lang w:val="bg-BG"/>
              </w:rPr>
            </w:pPr>
            <w:r w:rsidRPr="00E82066">
              <w:rPr>
                <w:sz w:val="24"/>
                <w:szCs w:val="24"/>
                <w:lang w:val="bg-BG"/>
              </w:rPr>
              <w:t>По програма съставена към въвеждане на системата</w:t>
            </w:r>
          </w:p>
        </w:tc>
        <w:tc>
          <w:tcPr>
            <w:tcW w:w="2419" w:type="dxa"/>
            <w:vAlign w:val="center"/>
          </w:tcPr>
          <w:p w14:paraId="17FD6EB1" w14:textId="77777777" w:rsidR="00A517CD" w:rsidRPr="00E82066" w:rsidRDefault="00A517CD" w:rsidP="00731651">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Министерства и институции, изпълняващи дейности от МППРБ/МОСВ, БДЧР, РИОСВ Варна и Бургас</w:t>
            </w:r>
          </w:p>
        </w:tc>
      </w:tr>
      <w:tr w:rsidR="00A517CD" w:rsidRPr="00C717D0" w14:paraId="7FAC3841" w14:textId="77777777" w:rsidTr="00D03DA8">
        <w:tc>
          <w:tcPr>
            <w:tcW w:w="3123" w:type="dxa"/>
            <w:vAlign w:val="center"/>
          </w:tcPr>
          <w:p w14:paraId="4F5EFC74" w14:textId="07922311"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2. Да приключи реконструк</w:t>
            </w:r>
            <w:r w:rsidR="00FE4C06">
              <w:rPr>
                <w:sz w:val="24"/>
                <w:szCs w:val="24"/>
                <w:lang w:val="bg-BG"/>
              </w:rPr>
              <w:softHyphen/>
            </w:r>
            <w:r w:rsidRPr="00E82066">
              <w:rPr>
                <w:sz w:val="24"/>
                <w:szCs w:val="24"/>
                <w:lang w:val="bg-BG"/>
              </w:rPr>
              <w:t>цията и привеждане в съот</w:t>
            </w:r>
            <w:r w:rsidR="00FE4C06">
              <w:rPr>
                <w:sz w:val="24"/>
                <w:szCs w:val="24"/>
                <w:lang w:val="bg-BG"/>
              </w:rPr>
              <w:softHyphen/>
            </w:r>
            <w:r w:rsidRPr="00E82066">
              <w:rPr>
                <w:sz w:val="24"/>
                <w:szCs w:val="24"/>
                <w:lang w:val="bg-BG"/>
              </w:rPr>
              <w:t>ветствие към нуждите на ПСОВ за курортните ком</w:t>
            </w:r>
            <w:r w:rsidR="00FE4C06">
              <w:rPr>
                <w:sz w:val="24"/>
                <w:szCs w:val="24"/>
                <w:lang w:val="bg-BG"/>
              </w:rPr>
              <w:softHyphen/>
            </w:r>
            <w:r w:rsidRPr="00E82066">
              <w:rPr>
                <w:sz w:val="24"/>
                <w:szCs w:val="24"/>
                <w:lang w:val="bg-BG"/>
              </w:rPr>
              <w:t>плекси и селища в бреговата част на Черно море (ПСОВ „Албена“; ГПСОВ „Девня“; ГПСОВ „Долни чифлик“; ПСОВ „Камчия“ ГПСОВ „Каварна“), както и да се въведат в експлоатация пречиствателни модули на с. Синеморец, с. Варвара, и изпълнение на „Интегриран проект на водния цикъл на гр. Ахтопол“.</w:t>
            </w:r>
          </w:p>
        </w:tc>
        <w:tc>
          <w:tcPr>
            <w:tcW w:w="2472" w:type="dxa"/>
            <w:vAlign w:val="center"/>
          </w:tcPr>
          <w:p w14:paraId="0A07C6C9"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Изпълнени проекти</w:t>
            </w:r>
          </w:p>
        </w:tc>
        <w:tc>
          <w:tcPr>
            <w:tcW w:w="1779" w:type="dxa"/>
            <w:vAlign w:val="center"/>
          </w:tcPr>
          <w:p w14:paraId="6761BBEC"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Ежегодно</w:t>
            </w:r>
          </w:p>
        </w:tc>
        <w:tc>
          <w:tcPr>
            <w:tcW w:w="2419" w:type="dxa"/>
            <w:vAlign w:val="center"/>
          </w:tcPr>
          <w:p w14:paraId="2B7341B3" w14:textId="579C8976"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ВиК операторите на съответните канализационни системи, вкл. ПОСВ; БДЧР, РИОСВ Варна и Бургас</w:t>
            </w:r>
            <w:r w:rsidR="00AB3A6D">
              <w:rPr>
                <w:rFonts w:ascii="Times New Roman" w:hAnsi="Times New Roman" w:cs="Times New Roman"/>
                <w:sz w:val="24"/>
                <w:szCs w:val="24"/>
                <w:lang w:val="bg-BG"/>
              </w:rPr>
              <w:t>/МРРБ</w:t>
            </w:r>
          </w:p>
        </w:tc>
      </w:tr>
      <w:tr w:rsidR="00A517CD" w:rsidRPr="00C717D0" w14:paraId="36720476" w14:textId="77777777" w:rsidTr="00D03DA8">
        <w:tc>
          <w:tcPr>
            <w:tcW w:w="3123" w:type="dxa"/>
            <w:vAlign w:val="center"/>
          </w:tcPr>
          <w:p w14:paraId="0CF719B7" w14:textId="1CEEE543" w:rsidR="00A517CD" w:rsidRPr="00E82066" w:rsidRDefault="00A517CD" w:rsidP="00D03DA8">
            <w:pPr>
              <w:pStyle w:val="Bodytext22"/>
              <w:shd w:val="clear" w:color="auto" w:fill="auto"/>
              <w:spacing w:before="0" w:after="120" w:line="240" w:lineRule="auto"/>
              <w:ind w:right="-98" w:firstLine="0"/>
              <w:jc w:val="left"/>
              <w:rPr>
                <w:sz w:val="24"/>
                <w:szCs w:val="24"/>
                <w:lang w:val="bg-BG"/>
              </w:rPr>
            </w:pPr>
            <w:r w:rsidRPr="00E82066">
              <w:rPr>
                <w:sz w:val="24"/>
                <w:szCs w:val="24"/>
                <w:lang w:val="bg-BG"/>
              </w:rPr>
              <w:t>3. Към хоризонт 2035 г. да е осигурено въвеждането в ек</w:t>
            </w:r>
            <w:r w:rsidR="00AB3A6D">
              <w:rPr>
                <w:sz w:val="24"/>
                <w:szCs w:val="24"/>
                <w:lang w:val="bg-BG"/>
              </w:rPr>
              <w:softHyphen/>
            </w:r>
            <w:r w:rsidRPr="00E82066">
              <w:rPr>
                <w:sz w:val="24"/>
                <w:szCs w:val="24"/>
                <w:lang w:val="bg-BG"/>
              </w:rPr>
              <w:t>сплоатация на ПСОВ по черноморския бряг и из</w:t>
            </w:r>
            <w:r w:rsidR="00AB3A6D">
              <w:rPr>
                <w:sz w:val="24"/>
                <w:szCs w:val="24"/>
                <w:lang w:val="bg-BG"/>
              </w:rPr>
              <w:softHyphen/>
            </w:r>
            <w:r w:rsidRPr="00E82066">
              <w:rPr>
                <w:sz w:val="24"/>
                <w:szCs w:val="24"/>
                <w:lang w:val="bg-BG"/>
              </w:rPr>
              <w:t>граждане на канали</w:t>
            </w:r>
            <w:r w:rsidR="00AB3A6D">
              <w:rPr>
                <w:sz w:val="24"/>
                <w:szCs w:val="24"/>
                <w:lang w:val="bg-BG"/>
              </w:rPr>
              <w:softHyphen/>
            </w:r>
            <w:r w:rsidRPr="00E82066">
              <w:rPr>
                <w:sz w:val="24"/>
                <w:szCs w:val="24"/>
                <w:lang w:val="bg-BG"/>
              </w:rPr>
              <w:t>за</w:t>
            </w:r>
            <w:r w:rsidR="00AB3A6D">
              <w:rPr>
                <w:sz w:val="24"/>
                <w:szCs w:val="24"/>
                <w:lang w:val="bg-BG"/>
              </w:rPr>
              <w:softHyphen/>
            </w:r>
            <w:r w:rsidRPr="00E82066">
              <w:rPr>
                <w:sz w:val="24"/>
                <w:szCs w:val="24"/>
                <w:lang w:val="bg-BG"/>
              </w:rPr>
              <w:t>ционни системи за агломе</w:t>
            </w:r>
            <w:r w:rsidR="00AB3A6D">
              <w:rPr>
                <w:sz w:val="24"/>
                <w:szCs w:val="24"/>
                <w:lang w:val="bg-BG"/>
              </w:rPr>
              <w:softHyphen/>
            </w:r>
            <w:r w:rsidRPr="00E82066">
              <w:rPr>
                <w:sz w:val="24"/>
                <w:szCs w:val="24"/>
                <w:lang w:val="bg-BG"/>
              </w:rPr>
              <w:t>рации над 2000 екв. ж. така, че в морето да постъпват преобладаващо пречистени води.</w:t>
            </w:r>
          </w:p>
        </w:tc>
        <w:tc>
          <w:tcPr>
            <w:tcW w:w="2472" w:type="dxa"/>
            <w:vAlign w:val="center"/>
          </w:tcPr>
          <w:p w14:paraId="7EA23DF2"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селища и комплекси с ПСОВ и канализационни системи</w:t>
            </w:r>
          </w:p>
        </w:tc>
        <w:tc>
          <w:tcPr>
            <w:tcW w:w="1779" w:type="dxa"/>
            <w:vAlign w:val="center"/>
          </w:tcPr>
          <w:p w14:paraId="312F5D28"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Ежегодно</w:t>
            </w:r>
          </w:p>
        </w:tc>
        <w:tc>
          <w:tcPr>
            <w:tcW w:w="2419" w:type="dxa"/>
            <w:vAlign w:val="center"/>
          </w:tcPr>
          <w:p w14:paraId="0115A545"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ВиК операторите на съответните канализационни системи, вкл. ПОСВ; БДЧР, РИОСВ Варна и Бургас/ МРРБ</w:t>
            </w:r>
          </w:p>
        </w:tc>
      </w:tr>
      <w:tr w:rsidR="00A517CD" w:rsidRPr="00C717D0" w14:paraId="5D3AF194" w14:textId="77777777" w:rsidTr="00D03DA8">
        <w:tc>
          <w:tcPr>
            <w:tcW w:w="3123" w:type="dxa"/>
            <w:vAlign w:val="center"/>
          </w:tcPr>
          <w:p w14:paraId="4F21E5C7" w14:textId="427E764B"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4. При развитието на край</w:t>
            </w:r>
            <w:r w:rsidR="00AB3A6D">
              <w:rPr>
                <w:sz w:val="24"/>
                <w:szCs w:val="24"/>
                <w:lang w:val="bg-BG"/>
              </w:rPr>
              <w:softHyphen/>
            </w:r>
            <w:r w:rsidRPr="00E82066">
              <w:rPr>
                <w:sz w:val="24"/>
                <w:szCs w:val="24"/>
                <w:lang w:val="bg-BG"/>
              </w:rPr>
              <w:t xml:space="preserve">брежния и морския туризъм под особена защита да са зоните за къпане като се </w:t>
            </w:r>
            <w:r w:rsidRPr="00E82066">
              <w:rPr>
                <w:sz w:val="24"/>
                <w:szCs w:val="24"/>
                <w:lang w:val="bg-BG"/>
              </w:rPr>
              <w:lastRenderedPageBreak/>
              <w:t>въведат ограничения за дей</w:t>
            </w:r>
            <w:r w:rsidR="00AB3A6D">
              <w:rPr>
                <w:sz w:val="24"/>
                <w:szCs w:val="24"/>
                <w:lang w:val="bg-BG"/>
              </w:rPr>
              <w:softHyphen/>
            </w:r>
            <w:r w:rsidRPr="00E82066">
              <w:rPr>
                <w:sz w:val="24"/>
                <w:szCs w:val="24"/>
                <w:lang w:val="bg-BG"/>
              </w:rPr>
              <w:t>ности източник на замърси</w:t>
            </w:r>
            <w:r w:rsidR="00AB3A6D">
              <w:rPr>
                <w:sz w:val="24"/>
                <w:szCs w:val="24"/>
                <w:lang w:val="bg-BG"/>
              </w:rPr>
              <w:softHyphen/>
            </w:r>
            <w:r w:rsidRPr="00E82066">
              <w:rPr>
                <w:sz w:val="24"/>
                <w:szCs w:val="24"/>
                <w:lang w:val="bg-BG"/>
              </w:rPr>
              <w:t>тели и при въвеждане на контрол от РЗИ за качеството на водите.</w:t>
            </w:r>
          </w:p>
        </w:tc>
        <w:tc>
          <w:tcPr>
            <w:tcW w:w="2472" w:type="dxa"/>
            <w:vAlign w:val="center"/>
          </w:tcPr>
          <w:p w14:paraId="6278F076"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lastRenderedPageBreak/>
              <w:t>Зони за къпане с качество на водите за къпане</w:t>
            </w:r>
          </w:p>
        </w:tc>
        <w:tc>
          <w:tcPr>
            <w:tcW w:w="1779" w:type="dxa"/>
            <w:vAlign w:val="center"/>
          </w:tcPr>
          <w:p w14:paraId="54ADD1A8"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Ежегодно</w:t>
            </w:r>
          </w:p>
        </w:tc>
        <w:tc>
          <w:tcPr>
            <w:tcW w:w="2419" w:type="dxa"/>
            <w:vAlign w:val="center"/>
          </w:tcPr>
          <w:p w14:paraId="2B50FE5D" w14:textId="7662435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 xml:space="preserve">БДЧР, РИОСВ Варна и Бургас/МЗ, </w:t>
            </w:r>
          </w:p>
        </w:tc>
      </w:tr>
      <w:tr w:rsidR="00A517CD" w:rsidRPr="00C717D0" w14:paraId="63141EA6" w14:textId="77777777" w:rsidTr="00D03DA8">
        <w:tc>
          <w:tcPr>
            <w:tcW w:w="3123" w:type="dxa"/>
            <w:vAlign w:val="center"/>
          </w:tcPr>
          <w:p w14:paraId="395292A8" w14:textId="03FA284A"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5. Производство на аквакул</w:t>
            </w:r>
            <w:r w:rsidR="00C334CF">
              <w:rPr>
                <w:sz w:val="24"/>
                <w:szCs w:val="24"/>
                <w:lang w:val="bg-BG"/>
              </w:rPr>
              <w:softHyphen/>
            </w:r>
            <w:r w:rsidRPr="00E82066">
              <w:rPr>
                <w:sz w:val="24"/>
                <w:szCs w:val="24"/>
                <w:lang w:val="bg-BG"/>
              </w:rPr>
              <w:t>тури и/или добив на стопан</w:t>
            </w:r>
            <w:r w:rsidR="00C334CF">
              <w:rPr>
                <w:sz w:val="24"/>
                <w:szCs w:val="24"/>
                <w:lang w:val="bg-BG"/>
              </w:rPr>
              <w:softHyphen/>
            </w:r>
            <w:r w:rsidRPr="00E82066">
              <w:rPr>
                <w:sz w:val="24"/>
                <w:szCs w:val="24"/>
                <w:lang w:val="bg-BG"/>
              </w:rPr>
              <w:t>ски ценни видове риби да се извършва в морето в зони, които не засягат или не са в близост до устие на река, зони за къпане, плажове и атракционни спортове за отдих към общините, както и развлекателни разходки с малки плавателни съдове в морето.</w:t>
            </w:r>
          </w:p>
        </w:tc>
        <w:tc>
          <w:tcPr>
            <w:tcW w:w="2472" w:type="dxa"/>
            <w:vAlign w:val="center"/>
          </w:tcPr>
          <w:p w14:paraId="2FD11358"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Нарушения Заета площ (дка)</w:t>
            </w:r>
          </w:p>
        </w:tc>
        <w:tc>
          <w:tcPr>
            <w:tcW w:w="1779" w:type="dxa"/>
            <w:vAlign w:val="center"/>
          </w:tcPr>
          <w:p w14:paraId="02DFE86B"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Ежегодно</w:t>
            </w:r>
          </w:p>
        </w:tc>
        <w:tc>
          <w:tcPr>
            <w:tcW w:w="2419" w:type="dxa"/>
            <w:vAlign w:val="center"/>
          </w:tcPr>
          <w:p w14:paraId="62E4155B"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ИАРА/БДЧР, РИОСВ Варна и Бургас</w:t>
            </w:r>
          </w:p>
        </w:tc>
      </w:tr>
      <w:tr w:rsidR="00A517CD" w:rsidRPr="00C717D0" w14:paraId="5C256E47" w14:textId="77777777" w:rsidTr="00D03DA8">
        <w:tc>
          <w:tcPr>
            <w:tcW w:w="3123" w:type="dxa"/>
            <w:vAlign w:val="center"/>
          </w:tcPr>
          <w:p w14:paraId="15E8A7F0" w14:textId="58CB457B"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6. Модернизиране на обо</w:t>
            </w:r>
            <w:r w:rsidR="00C334CF">
              <w:rPr>
                <w:sz w:val="24"/>
                <w:szCs w:val="24"/>
                <w:lang w:val="bg-BG"/>
              </w:rPr>
              <w:softHyphen/>
            </w:r>
            <w:r w:rsidRPr="00E82066">
              <w:rPr>
                <w:sz w:val="24"/>
                <w:szCs w:val="24"/>
                <w:lang w:val="bg-BG"/>
              </w:rPr>
              <w:t>рудването в морския тран</w:t>
            </w:r>
            <w:r w:rsidR="00C334CF">
              <w:rPr>
                <w:sz w:val="24"/>
                <w:szCs w:val="24"/>
                <w:lang w:val="bg-BG"/>
              </w:rPr>
              <w:softHyphen/>
            </w:r>
            <w:r w:rsidRPr="00E82066">
              <w:rPr>
                <w:sz w:val="24"/>
                <w:szCs w:val="24"/>
                <w:lang w:val="bg-BG"/>
              </w:rPr>
              <w:t>спорт - пътнически и това</w:t>
            </w:r>
            <w:r w:rsidR="00C334CF">
              <w:rPr>
                <w:sz w:val="24"/>
                <w:szCs w:val="24"/>
                <w:lang w:val="bg-BG"/>
              </w:rPr>
              <w:softHyphen/>
            </w:r>
            <w:r w:rsidRPr="00E82066">
              <w:rPr>
                <w:sz w:val="24"/>
                <w:szCs w:val="24"/>
                <w:lang w:val="bg-BG"/>
              </w:rPr>
              <w:t>рен; оборудване и методи на риболов - промишлен и мор</w:t>
            </w:r>
            <w:r w:rsidR="00C334CF">
              <w:rPr>
                <w:sz w:val="24"/>
                <w:szCs w:val="24"/>
                <w:lang w:val="bg-BG"/>
              </w:rPr>
              <w:softHyphen/>
            </w:r>
            <w:r w:rsidRPr="00E82066">
              <w:rPr>
                <w:sz w:val="24"/>
                <w:szCs w:val="24"/>
                <w:lang w:val="bg-BG"/>
              </w:rPr>
              <w:t>ски риболов; туристически услуги - крайбрежен и морски туризъм.</w:t>
            </w:r>
          </w:p>
        </w:tc>
        <w:tc>
          <w:tcPr>
            <w:tcW w:w="2472" w:type="dxa"/>
            <w:vAlign w:val="center"/>
          </w:tcPr>
          <w:p w14:paraId="197F6FAB"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Въведено в експлоатация модернизирано оборудване</w:t>
            </w:r>
          </w:p>
        </w:tc>
        <w:tc>
          <w:tcPr>
            <w:tcW w:w="1779" w:type="dxa"/>
            <w:vAlign w:val="center"/>
          </w:tcPr>
          <w:p w14:paraId="48EB9F8E"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3 години</w:t>
            </w:r>
          </w:p>
        </w:tc>
        <w:tc>
          <w:tcPr>
            <w:tcW w:w="2419" w:type="dxa"/>
            <w:vAlign w:val="center"/>
          </w:tcPr>
          <w:p w14:paraId="1254D96A"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Министерство на транспорта и съобщенията/ИАМА, Пристанища Варна и Бургас, ИАРА</w:t>
            </w:r>
          </w:p>
        </w:tc>
      </w:tr>
      <w:tr w:rsidR="00A517CD" w:rsidRPr="00C717D0" w14:paraId="02E6BCFD" w14:textId="77777777" w:rsidTr="00D03DA8">
        <w:tc>
          <w:tcPr>
            <w:tcW w:w="3123" w:type="dxa"/>
            <w:vAlign w:val="center"/>
          </w:tcPr>
          <w:p w14:paraId="23049188" w14:textId="656365DD"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7. При проектиране и из</w:t>
            </w:r>
            <w:r w:rsidR="00C334CF">
              <w:rPr>
                <w:sz w:val="24"/>
                <w:szCs w:val="24"/>
                <w:lang w:val="bg-BG"/>
              </w:rPr>
              <w:softHyphen/>
            </w:r>
            <w:r w:rsidRPr="00E82066">
              <w:rPr>
                <w:sz w:val="24"/>
                <w:szCs w:val="24"/>
                <w:lang w:val="bg-BG"/>
              </w:rPr>
              <w:t>граждане на яхтени приста</w:t>
            </w:r>
            <w:r w:rsidR="00C334CF">
              <w:rPr>
                <w:sz w:val="24"/>
                <w:szCs w:val="24"/>
                <w:lang w:val="bg-BG"/>
              </w:rPr>
              <w:softHyphen/>
            </w:r>
            <w:r w:rsidRPr="00E82066">
              <w:rPr>
                <w:sz w:val="24"/>
                <w:szCs w:val="24"/>
                <w:lang w:val="bg-BG"/>
              </w:rPr>
              <w:t>нища и брегоукрепителни съоръжения да се търсят ре</w:t>
            </w:r>
            <w:r w:rsidR="00C334CF">
              <w:rPr>
                <w:sz w:val="24"/>
                <w:szCs w:val="24"/>
                <w:lang w:val="bg-BG"/>
              </w:rPr>
              <w:softHyphen/>
            </w:r>
            <w:r w:rsidRPr="00E82066">
              <w:rPr>
                <w:sz w:val="24"/>
                <w:szCs w:val="24"/>
                <w:lang w:val="bg-BG"/>
              </w:rPr>
              <w:t>шения близки до естестве</w:t>
            </w:r>
            <w:r w:rsidR="00C334CF">
              <w:rPr>
                <w:sz w:val="24"/>
                <w:szCs w:val="24"/>
                <w:lang w:val="bg-BG"/>
              </w:rPr>
              <w:softHyphen/>
            </w:r>
            <w:r w:rsidRPr="00E82066">
              <w:rPr>
                <w:sz w:val="24"/>
                <w:szCs w:val="24"/>
                <w:lang w:val="bg-BG"/>
              </w:rPr>
              <w:t xml:space="preserve">ния крайбрежен ландшафт, които оказват минимално отрицателно въздействие върху естествената му привлекателност като туристически ресурс, без да създават опасност при достъпа на хора до морето. Наносният дефицит в бреговата зона да се компенсира чрез </w:t>
            </w:r>
            <w:r w:rsidRPr="00E82066">
              <w:rPr>
                <w:sz w:val="24"/>
                <w:szCs w:val="24"/>
                <w:lang w:val="bg-BG"/>
              </w:rPr>
              <w:lastRenderedPageBreak/>
              <w:t>изкуствено подхранване на плажните ивици с пясъчни наноси.</w:t>
            </w:r>
          </w:p>
        </w:tc>
        <w:tc>
          <w:tcPr>
            <w:tcW w:w="2472" w:type="dxa"/>
            <w:vAlign w:val="center"/>
          </w:tcPr>
          <w:p w14:paraId="014FCBED"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lastRenderedPageBreak/>
              <w:t>Съответствие с</w:t>
            </w:r>
          </w:p>
          <w:p w14:paraId="6D4EFB71"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крайбрежния</w:t>
            </w:r>
          </w:p>
          <w:p w14:paraId="0A110EAC"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ландшафт</w:t>
            </w:r>
          </w:p>
        </w:tc>
        <w:tc>
          <w:tcPr>
            <w:tcW w:w="1779" w:type="dxa"/>
            <w:vAlign w:val="center"/>
          </w:tcPr>
          <w:p w14:paraId="4B6C9BCC"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При</w:t>
            </w:r>
          </w:p>
          <w:p w14:paraId="20A1CD9C"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изграждане на ново</w:t>
            </w:r>
          </w:p>
          <w:p w14:paraId="7A598DBE"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пристанище</w:t>
            </w:r>
          </w:p>
        </w:tc>
        <w:tc>
          <w:tcPr>
            <w:tcW w:w="2419" w:type="dxa"/>
            <w:vAlign w:val="center"/>
          </w:tcPr>
          <w:p w14:paraId="589FBB71"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МОСВ, РИОСВ, Варна и Бургас, Министерството на туризма/ МРРБ</w:t>
            </w:r>
          </w:p>
        </w:tc>
      </w:tr>
      <w:tr w:rsidR="00A517CD" w:rsidRPr="00A517CD" w14:paraId="56926527" w14:textId="77777777" w:rsidTr="00D03DA8">
        <w:tc>
          <w:tcPr>
            <w:tcW w:w="3123" w:type="dxa"/>
            <w:vAlign w:val="center"/>
          </w:tcPr>
          <w:p w14:paraId="68ECEEB4" w14:textId="4439DAE8"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8. Здравно-социалният ста</w:t>
            </w:r>
            <w:r w:rsidR="00DB13AB">
              <w:rPr>
                <w:sz w:val="24"/>
                <w:szCs w:val="24"/>
                <w:lang w:val="bg-BG"/>
              </w:rPr>
              <w:softHyphen/>
            </w:r>
            <w:r w:rsidRPr="00E82066">
              <w:rPr>
                <w:sz w:val="24"/>
                <w:szCs w:val="24"/>
                <w:lang w:val="bg-BG"/>
              </w:rPr>
              <w:t>тус на човешките ресурси са основна предпоставка за ефективната реализация на МППРБ. По-слабото темпо на намаляване на населе</w:t>
            </w:r>
            <w:r w:rsidR="00DB13AB">
              <w:rPr>
                <w:sz w:val="24"/>
                <w:szCs w:val="24"/>
                <w:lang w:val="bg-BG"/>
              </w:rPr>
              <w:softHyphen/>
            </w:r>
            <w:r w:rsidRPr="00E82066">
              <w:rPr>
                <w:sz w:val="24"/>
                <w:szCs w:val="24"/>
                <w:lang w:val="bg-BG"/>
              </w:rPr>
              <w:t>нието на крайбрежните общини предоставя възмож</w:t>
            </w:r>
            <w:r w:rsidR="00DB13AB">
              <w:rPr>
                <w:sz w:val="24"/>
                <w:szCs w:val="24"/>
                <w:lang w:val="bg-BG"/>
              </w:rPr>
              <w:softHyphen/>
            </w:r>
            <w:r w:rsidRPr="00E82066">
              <w:rPr>
                <w:sz w:val="24"/>
                <w:szCs w:val="24"/>
                <w:lang w:val="bg-BG"/>
              </w:rPr>
              <w:t>ност за по-добро обезпеча</w:t>
            </w:r>
            <w:r w:rsidR="00DB13AB">
              <w:rPr>
                <w:sz w:val="24"/>
                <w:szCs w:val="24"/>
                <w:lang w:val="bg-BG"/>
              </w:rPr>
              <w:softHyphen/>
            </w:r>
            <w:r w:rsidRPr="00E82066">
              <w:rPr>
                <w:sz w:val="24"/>
                <w:szCs w:val="24"/>
                <w:lang w:val="bg-BG"/>
              </w:rPr>
              <w:t xml:space="preserve">ване развитието на синята икономика с човешките ресурси. За установяване на хармонично развитие на Черноморския регион е необходима последователна и многопосочна национална, регионална и общинска политика. </w:t>
            </w:r>
          </w:p>
        </w:tc>
        <w:tc>
          <w:tcPr>
            <w:tcW w:w="2472" w:type="dxa"/>
            <w:vAlign w:val="center"/>
          </w:tcPr>
          <w:p w14:paraId="648E6374"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Здравно състояние на населението</w:t>
            </w:r>
          </w:p>
        </w:tc>
        <w:tc>
          <w:tcPr>
            <w:tcW w:w="1779" w:type="dxa"/>
            <w:vAlign w:val="center"/>
          </w:tcPr>
          <w:p w14:paraId="458A57D8"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Ежегодно</w:t>
            </w:r>
          </w:p>
        </w:tc>
        <w:tc>
          <w:tcPr>
            <w:tcW w:w="2419" w:type="dxa"/>
            <w:vAlign w:val="center"/>
          </w:tcPr>
          <w:p w14:paraId="6758D93A"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НСИ/МЗ</w:t>
            </w:r>
          </w:p>
        </w:tc>
      </w:tr>
      <w:tr w:rsidR="00A517CD" w:rsidRPr="00C717D0" w14:paraId="35C540D0" w14:textId="77777777" w:rsidTr="00D03DA8">
        <w:tc>
          <w:tcPr>
            <w:tcW w:w="3123" w:type="dxa"/>
            <w:vAlign w:val="center"/>
          </w:tcPr>
          <w:p w14:paraId="493F7643"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9. Подобряване на знанията за Черноморската екоситема</w:t>
            </w:r>
          </w:p>
        </w:tc>
        <w:tc>
          <w:tcPr>
            <w:tcW w:w="2472" w:type="dxa"/>
            <w:vAlign w:val="center"/>
          </w:tcPr>
          <w:p w14:paraId="22A8D42A"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планирани и изпълнени научни проекти, свързани с изследвания на морската околна среда.</w:t>
            </w:r>
          </w:p>
        </w:tc>
        <w:tc>
          <w:tcPr>
            <w:tcW w:w="1779" w:type="dxa"/>
            <w:vAlign w:val="center"/>
          </w:tcPr>
          <w:p w14:paraId="41E01158"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4C063EC0" w14:textId="0F4640C3"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Отговорен за изпъл</w:t>
            </w:r>
            <w:r w:rsidR="00DB13AB">
              <w:rPr>
                <w:rFonts w:ascii="Times New Roman" w:hAnsi="Times New Roman" w:cs="Times New Roman"/>
                <w:sz w:val="24"/>
                <w:szCs w:val="24"/>
                <w:lang w:val="bg-BG"/>
              </w:rPr>
              <w:softHyphen/>
            </w:r>
            <w:r w:rsidRPr="00E82066">
              <w:rPr>
                <w:rFonts w:ascii="Times New Roman" w:hAnsi="Times New Roman" w:cs="Times New Roman"/>
                <w:sz w:val="24"/>
                <w:szCs w:val="24"/>
                <w:lang w:val="bg-BG"/>
              </w:rPr>
              <w:t>нението и източник на информация: МОСВ, БДЧР, РИОСВ Варна и Бургас, ИАОС,ИО-БАН.</w:t>
            </w:r>
          </w:p>
          <w:p w14:paraId="26A2272A" w14:textId="788D9B68"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Източник на инфор</w:t>
            </w:r>
            <w:r w:rsidR="00DB13AB">
              <w:rPr>
                <w:rFonts w:ascii="Times New Roman" w:hAnsi="Times New Roman" w:cs="Times New Roman"/>
                <w:sz w:val="24"/>
                <w:szCs w:val="24"/>
                <w:lang w:val="bg-BG"/>
              </w:rPr>
              <w:softHyphen/>
            </w:r>
            <w:r w:rsidRPr="00E82066">
              <w:rPr>
                <w:rFonts w:ascii="Times New Roman" w:hAnsi="Times New Roman" w:cs="Times New Roman"/>
                <w:sz w:val="24"/>
                <w:szCs w:val="24"/>
                <w:lang w:val="bg-BG"/>
              </w:rPr>
              <w:t>мация</w:t>
            </w:r>
            <w:r w:rsidR="00DB13AB">
              <w:rPr>
                <w:rFonts w:ascii="Times New Roman" w:hAnsi="Times New Roman" w:cs="Times New Roman"/>
                <w:sz w:val="24"/>
                <w:szCs w:val="24"/>
                <w:lang w:val="bg-BG"/>
              </w:rPr>
              <w:t>:</w:t>
            </w:r>
            <w:r w:rsidRPr="00E82066">
              <w:rPr>
                <w:rFonts w:ascii="Times New Roman" w:hAnsi="Times New Roman" w:cs="Times New Roman"/>
                <w:sz w:val="24"/>
                <w:szCs w:val="24"/>
                <w:lang w:val="bg-BG"/>
              </w:rPr>
              <w:t xml:space="preserve"> ИРР-Варна и ИБЕИ предвид, че към момент тези научни институти нямат вменени отговорности, свър</w:t>
            </w:r>
            <w:r w:rsidR="00A640FE">
              <w:rPr>
                <w:rFonts w:ascii="Times New Roman" w:hAnsi="Times New Roman" w:cs="Times New Roman"/>
                <w:sz w:val="24"/>
                <w:szCs w:val="24"/>
                <w:lang w:val="bg-BG"/>
              </w:rPr>
              <w:softHyphen/>
            </w:r>
            <w:r w:rsidRPr="00E82066">
              <w:rPr>
                <w:rFonts w:ascii="Times New Roman" w:hAnsi="Times New Roman" w:cs="Times New Roman"/>
                <w:sz w:val="24"/>
                <w:szCs w:val="24"/>
                <w:lang w:val="bg-BG"/>
              </w:rPr>
              <w:t>зани с морската околна среда съгласно действа</w:t>
            </w:r>
            <w:r w:rsidR="00A640FE">
              <w:rPr>
                <w:rFonts w:ascii="Times New Roman" w:hAnsi="Times New Roman" w:cs="Times New Roman"/>
                <w:sz w:val="24"/>
                <w:szCs w:val="24"/>
                <w:lang w:val="bg-BG"/>
              </w:rPr>
              <w:softHyphen/>
            </w:r>
            <w:r w:rsidRPr="00E82066">
              <w:rPr>
                <w:rFonts w:ascii="Times New Roman" w:hAnsi="Times New Roman" w:cs="Times New Roman"/>
                <w:sz w:val="24"/>
                <w:szCs w:val="24"/>
                <w:lang w:val="bg-BG"/>
              </w:rPr>
              <w:t>щи</w:t>
            </w:r>
            <w:r w:rsidR="00A640FE">
              <w:rPr>
                <w:rFonts w:ascii="Times New Roman" w:hAnsi="Times New Roman" w:cs="Times New Roman"/>
                <w:sz w:val="24"/>
                <w:szCs w:val="24"/>
                <w:lang w:val="bg-BG"/>
              </w:rPr>
              <w:softHyphen/>
            </w:r>
            <w:r w:rsidRPr="00E82066">
              <w:rPr>
                <w:rFonts w:ascii="Times New Roman" w:hAnsi="Times New Roman" w:cs="Times New Roman"/>
                <w:sz w:val="24"/>
                <w:szCs w:val="24"/>
                <w:lang w:val="bg-BG"/>
              </w:rPr>
              <w:t>те</w:t>
            </w:r>
            <w:r w:rsidRPr="00E82066">
              <w:rPr>
                <w:rFonts w:ascii="Times New Roman" w:hAnsi="Times New Roman" w:cs="Times New Roman"/>
                <w:i/>
                <w:sz w:val="24"/>
                <w:szCs w:val="24"/>
                <w:lang w:val="bg-BG"/>
              </w:rPr>
              <w:t xml:space="preserve"> Закон за водите , Наредба за опазване на околната среда </w:t>
            </w:r>
            <w:r w:rsidRPr="00E82066">
              <w:rPr>
                <w:rFonts w:ascii="Times New Roman" w:hAnsi="Times New Roman" w:cs="Times New Roman"/>
                <w:i/>
                <w:sz w:val="24"/>
                <w:szCs w:val="24"/>
                <w:lang w:val="bg-BG"/>
              </w:rPr>
              <w:lastRenderedPageBreak/>
              <w:t>на морските води и ЗМПВВППРБ</w:t>
            </w:r>
          </w:p>
        </w:tc>
      </w:tr>
      <w:tr w:rsidR="00A517CD" w:rsidRPr="00A517CD" w14:paraId="12A09121" w14:textId="77777777" w:rsidTr="00D03DA8">
        <w:tc>
          <w:tcPr>
            <w:tcW w:w="3123" w:type="dxa"/>
            <w:vAlign w:val="center"/>
          </w:tcPr>
          <w:p w14:paraId="6B543B22"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lastRenderedPageBreak/>
              <w:t>10. Повишаване обхвата на защита на видовете и местообитанията, пряко свързани с морската околна среда</w:t>
            </w:r>
          </w:p>
        </w:tc>
        <w:tc>
          <w:tcPr>
            <w:tcW w:w="2472" w:type="dxa"/>
            <w:vAlign w:val="center"/>
          </w:tcPr>
          <w:p w14:paraId="196D83CF"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 от морските пространства на страната, поставени под териториална защита за опазване на биологичното разнообразие.</w:t>
            </w:r>
          </w:p>
        </w:tc>
        <w:tc>
          <w:tcPr>
            <w:tcW w:w="1779" w:type="dxa"/>
            <w:vAlign w:val="center"/>
          </w:tcPr>
          <w:p w14:paraId="19666ACD"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091C02B5"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МОСВ</w:t>
            </w:r>
          </w:p>
        </w:tc>
      </w:tr>
      <w:tr w:rsidR="00A517CD" w:rsidRPr="00C717D0" w14:paraId="2AA68224" w14:textId="77777777" w:rsidTr="00D03DA8">
        <w:tc>
          <w:tcPr>
            <w:tcW w:w="3123" w:type="dxa"/>
            <w:vAlign w:val="center"/>
          </w:tcPr>
          <w:p w14:paraId="34EC5B62" w14:textId="32BE6860"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11</w:t>
            </w:r>
            <w:r w:rsidR="00731651">
              <w:rPr>
                <w:sz w:val="24"/>
                <w:szCs w:val="24"/>
                <w:lang w:val="bg-BG"/>
              </w:rPr>
              <w:t xml:space="preserve">. </w:t>
            </w:r>
            <w:r w:rsidR="00A640FE">
              <w:rPr>
                <w:sz w:val="24"/>
                <w:szCs w:val="24"/>
                <w:lang w:val="bg-BG"/>
              </w:rPr>
              <w:t xml:space="preserve">Опазване </w:t>
            </w:r>
            <w:r w:rsidR="00731651">
              <w:rPr>
                <w:sz w:val="24"/>
                <w:szCs w:val="24"/>
                <w:lang w:val="bg-BG"/>
              </w:rPr>
              <w:t>н</w:t>
            </w:r>
            <w:r w:rsidR="00A640FE">
              <w:rPr>
                <w:sz w:val="24"/>
                <w:szCs w:val="24"/>
                <w:lang w:val="bg-BG"/>
              </w:rPr>
              <w:t>а зоните за  отдих, водни спортове или за къпане</w:t>
            </w:r>
          </w:p>
        </w:tc>
        <w:tc>
          <w:tcPr>
            <w:tcW w:w="2472" w:type="dxa"/>
            <w:vAlign w:val="center"/>
          </w:tcPr>
          <w:p w14:paraId="6A7A8183" w14:textId="7290DC1D"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определени зони за отдих/водни спортове;</w:t>
            </w:r>
          </w:p>
          <w:p w14:paraId="78C7604B" w14:textId="61739CE4"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определени зони с отлично и добро състояние на водите за къпане</w:t>
            </w:r>
          </w:p>
        </w:tc>
        <w:tc>
          <w:tcPr>
            <w:tcW w:w="1779" w:type="dxa"/>
            <w:vAlign w:val="center"/>
          </w:tcPr>
          <w:p w14:paraId="13C6180E"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31959FD6"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-Областни администрации Добрич, Варна и Бургас, ИА “Моркса администрация, Дирекция „МА“ Варна и Бургас</w:t>
            </w:r>
          </w:p>
          <w:p w14:paraId="5421AAE9" w14:textId="0200295D" w:rsidR="00A517CD" w:rsidRPr="00E82066" w:rsidRDefault="00A517CD" w:rsidP="00D03DA8">
            <w:pPr>
              <w:spacing w:after="120"/>
              <w:rPr>
                <w:rFonts w:ascii="Times New Roman" w:hAnsi="Times New Roman" w:cs="Times New Roman"/>
                <w:sz w:val="24"/>
                <w:szCs w:val="24"/>
                <w:lang w:val="bg-BG"/>
              </w:rPr>
            </w:pPr>
          </w:p>
        </w:tc>
      </w:tr>
      <w:tr w:rsidR="00A517CD" w:rsidRPr="00A517CD" w14:paraId="024DE84A" w14:textId="77777777" w:rsidTr="00D03DA8">
        <w:tc>
          <w:tcPr>
            <w:tcW w:w="3123" w:type="dxa"/>
            <w:vAlign w:val="center"/>
          </w:tcPr>
          <w:p w14:paraId="50DB5C38" w14:textId="171F106F"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12.</w:t>
            </w:r>
            <w:r w:rsidR="00731651">
              <w:rPr>
                <w:sz w:val="24"/>
                <w:szCs w:val="24"/>
                <w:lang w:val="bg-BG"/>
              </w:rPr>
              <w:t xml:space="preserve"> </w:t>
            </w:r>
            <w:r w:rsidRPr="00E82066">
              <w:rPr>
                <w:sz w:val="24"/>
                <w:szCs w:val="24"/>
                <w:lang w:val="bg-BG"/>
              </w:rPr>
              <w:t>Подобряване на състоянието на морската околна среда</w:t>
            </w:r>
          </w:p>
        </w:tc>
        <w:tc>
          <w:tcPr>
            <w:tcW w:w="2472" w:type="dxa"/>
            <w:vAlign w:val="center"/>
          </w:tcPr>
          <w:p w14:paraId="0A6DB294" w14:textId="11359CDD"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крайбрежни водни тела в добро състояние съгласно</w:t>
            </w:r>
          </w:p>
          <w:p w14:paraId="2D689043"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оценките по РДВ/2000/60/ЕС;</w:t>
            </w:r>
          </w:p>
          <w:p w14:paraId="1F733288" w14:textId="76FEEEA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 xml:space="preserve">Морски райони за оценка (МРО или </w:t>
            </w:r>
            <w:r w:rsidRPr="00E82066">
              <w:rPr>
                <w:sz w:val="24"/>
                <w:szCs w:val="24"/>
                <w:lang w:val="bg-BG" w:bidi="en-US"/>
              </w:rPr>
              <w:t xml:space="preserve">MRUs) </w:t>
            </w:r>
            <w:r w:rsidRPr="00E82066">
              <w:rPr>
                <w:sz w:val="24"/>
                <w:szCs w:val="24"/>
                <w:lang w:val="bg-BG"/>
              </w:rPr>
              <w:t>в добро съ</w:t>
            </w:r>
            <w:r w:rsidR="001F24A9">
              <w:rPr>
                <w:sz w:val="24"/>
                <w:szCs w:val="24"/>
                <w:lang w:val="bg-BG"/>
              </w:rPr>
              <w:softHyphen/>
            </w:r>
            <w:r w:rsidRPr="00E82066">
              <w:rPr>
                <w:sz w:val="24"/>
                <w:szCs w:val="24"/>
                <w:lang w:val="bg-BG"/>
              </w:rPr>
              <w:t>стояние по 11-те ка</w:t>
            </w:r>
            <w:r w:rsidR="001F24A9">
              <w:rPr>
                <w:sz w:val="24"/>
                <w:szCs w:val="24"/>
                <w:lang w:val="bg-BG"/>
              </w:rPr>
              <w:softHyphen/>
            </w:r>
            <w:r w:rsidRPr="00E82066">
              <w:rPr>
                <w:sz w:val="24"/>
                <w:szCs w:val="24"/>
                <w:lang w:val="bg-BG"/>
              </w:rPr>
              <w:t>чествени харак</w:t>
            </w:r>
            <w:r w:rsidR="001F24A9">
              <w:rPr>
                <w:sz w:val="24"/>
                <w:szCs w:val="24"/>
                <w:lang w:val="bg-BG"/>
              </w:rPr>
              <w:softHyphen/>
            </w:r>
            <w:r w:rsidRPr="00E82066">
              <w:rPr>
                <w:sz w:val="24"/>
                <w:szCs w:val="24"/>
                <w:lang w:val="bg-BG"/>
              </w:rPr>
              <w:t>тери</w:t>
            </w:r>
            <w:r w:rsidR="001F24A9">
              <w:rPr>
                <w:sz w:val="24"/>
                <w:szCs w:val="24"/>
                <w:lang w:val="bg-BG"/>
              </w:rPr>
              <w:softHyphen/>
            </w:r>
            <w:r w:rsidRPr="00E82066">
              <w:rPr>
                <w:sz w:val="24"/>
                <w:szCs w:val="24"/>
                <w:lang w:val="bg-BG"/>
              </w:rPr>
              <w:t>стики (дескриптори) съгласно оценките по РДМС 2008/56/ЕО;</w:t>
            </w:r>
          </w:p>
          <w:p w14:paraId="21665D3B" w14:textId="2910A4A2"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реализирани мерки за подобряване на състоянието на морската околна сре</w:t>
            </w:r>
            <w:r w:rsidR="001F24A9">
              <w:rPr>
                <w:sz w:val="24"/>
                <w:szCs w:val="24"/>
                <w:lang w:val="bg-BG"/>
              </w:rPr>
              <w:softHyphen/>
            </w:r>
            <w:r w:rsidRPr="00E82066">
              <w:rPr>
                <w:sz w:val="24"/>
                <w:szCs w:val="24"/>
                <w:lang w:val="bg-BG"/>
              </w:rPr>
              <w:t>да съгласно Програ</w:t>
            </w:r>
            <w:r w:rsidR="001F24A9">
              <w:rPr>
                <w:sz w:val="24"/>
                <w:szCs w:val="24"/>
                <w:lang w:val="bg-BG"/>
              </w:rPr>
              <w:softHyphen/>
            </w:r>
            <w:r w:rsidRPr="00E82066">
              <w:rPr>
                <w:sz w:val="24"/>
                <w:szCs w:val="24"/>
                <w:lang w:val="bg-BG"/>
              </w:rPr>
              <w:t xml:space="preserve">мите от мерки към действащите ПУРБ (РДВ 2000/60/ЕС) и Морската стратегия (РДМС2008/56/60) на Република България за съответните </w:t>
            </w:r>
            <w:r w:rsidRPr="00E82066">
              <w:rPr>
                <w:sz w:val="24"/>
                <w:szCs w:val="24"/>
                <w:lang w:val="bg-BG"/>
              </w:rPr>
              <w:lastRenderedPageBreak/>
              <w:t>планови периоди</w:t>
            </w:r>
          </w:p>
        </w:tc>
        <w:tc>
          <w:tcPr>
            <w:tcW w:w="1779" w:type="dxa"/>
            <w:vAlign w:val="center"/>
          </w:tcPr>
          <w:p w14:paraId="6F136165"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lastRenderedPageBreak/>
              <w:t>На всеки две години</w:t>
            </w:r>
          </w:p>
        </w:tc>
        <w:tc>
          <w:tcPr>
            <w:tcW w:w="2419" w:type="dxa"/>
            <w:vAlign w:val="center"/>
          </w:tcPr>
          <w:p w14:paraId="558C4C09"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МОСВ, БДЧР</w:t>
            </w:r>
          </w:p>
        </w:tc>
      </w:tr>
      <w:tr w:rsidR="00A517CD" w:rsidRPr="00C717D0" w14:paraId="25A8AEA7" w14:textId="77777777" w:rsidTr="00D03DA8">
        <w:tc>
          <w:tcPr>
            <w:tcW w:w="3123" w:type="dxa"/>
            <w:vAlign w:val="center"/>
          </w:tcPr>
          <w:p w14:paraId="01D50B65"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13. Развитие на зоните за бъдещи ползвания (Збп) в морското пространство на страната</w:t>
            </w:r>
          </w:p>
        </w:tc>
        <w:tc>
          <w:tcPr>
            <w:tcW w:w="2472" w:type="dxa"/>
            <w:vAlign w:val="center"/>
          </w:tcPr>
          <w:p w14:paraId="03BD8247" w14:textId="4F8C1E26"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планирани инвестиционни предложения (ИП) в зоните, определени съгласно чл. 51в, ал. 4, т. 1-13 от ЗМПВВППРБ, а именно: зони за проучване,</w:t>
            </w:r>
            <w:r w:rsidR="001F24A9">
              <w:rPr>
                <w:sz w:val="24"/>
                <w:szCs w:val="24"/>
                <w:lang w:val="bg-BG"/>
              </w:rPr>
              <w:t xml:space="preserve"> </w:t>
            </w:r>
            <w:r w:rsidRPr="00E82066">
              <w:rPr>
                <w:sz w:val="24"/>
                <w:szCs w:val="24"/>
                <w:lang w:val="bg-BG"/>
              </w:rPr>
              <w:t>раз</w:t>
            </w:r>
            <w:r w:rsidR="001F24A9">
              <w:rPr>
                <w:sz w:val="24"/>
                <w:szCs w:val="24"/>
                <w:lang w:val="bg-BG"/>
              </w:rPr>
              <w:softHyphen/>
            </w:r>
            <w:r w:rsidRPr="00E82066">
              <w:rPr>
                <w:sz w:val="24"/>
                <w:szCs w:val="24"/>
                <w:lang w:val="bg-BG"/>
              </w:rPr>
              <w:t>ра</w:t>
            </w:r>
            <w:r w:rsidR="001F24A9">
              <w:rPr>
                <w:sz w:val="24"/>
                <w:szCs w:val="24"/>
                <w:lang w:val="bg-BG"/>
              </w:rPr>
              <w:softHyphen/>
            </w:r>
            <w:r w:rsidR="001F24A9">
              <w:rPr>
                <w:sz w:val="24"/>
                <w:szCs w:val="24"/>
                <w:lang w:val="bg-BG"/>
              </w:rPr>
              <w:softHyphen/>
            </w:r>
            <w:r w:rsidRPr="00E82066">
              <w:rPr>
                <w:sz w:val="24"/>
                <w:szCs w:val="24"/>
                <w:lang w:val="bg-BG"/>
              </w:rPr>
              <w:t>бот</w:t>
            </w:r>
            <w:r w:rsidR="001F24A9">
              <w:rPr>
                <w:sz w:val="24"/>
                <w:szCs w:val="24"/>
                <w:lang w:val="bg-BG"/>
              </w:rPr>
              <w:softHyphen/>
            </w:r>
            <w:r w:rsidRPr="00E82066">
              <w:rPr>
                <w:sz w:val="24"/>
                <w:szCs w:val="24"/>
                <w:lang w:val="bg-BG"/>
              </w:rPr>
              <w:t>ване и използване на природни ресурси; зони за риболов; зони за отглеждане на аквакултури; зони за туристически и рекреационни дейности; зони за научноизследователс</w:t>
            </w:r>
            <w:r w:rsidR="0060293B">
              <w:rPr>
                <w:sz w:val="24"/>
                <w:szCs w:val="24"/>
                <w:lang w:val="bg-BG"/>
              </w:rPr>
              <w:t>-</w:t>
            </w:r>
            <w:r w:rsidRPr="00E82066">
              <w:rPr>
                <w:sz w:val="24"/>
                <w:szCs w:val="24"/>
                <w:lang w:val="bg-BG"/>
              </w:rPr>
              <w:t xml:space="preserve"> ка дейност; защитени зони и защитени територии от Националната екологична мрежа; защитени зони за опазване на култур</w:t>
            </w:r>
            <w:r w:rsidR="00F72D2B">
              <w:rPr>
                <w:sz w:val="24"/>
                <w:szCs w:val="24"/>
                <w:lang w:val="bg-BG"/>
              </w:rPr>
              <w:softHyphen/>
            </w:r>
            <w:r w:rsidRPr="00E82066">
              <w:rPr>
                <w:sz w:val="24"/>
                <w:szCs w:val="24"/>
                <w:lang w:val="bg-BG"/>
              </w:rPr>
              <w:t>ното наслед</w:t>
            </w:r>
            <w:r w:rsidR="0060293B">
              <w:rPr>
                <w:sz w:val="24"/>
                <w:szCs w:val="24"/>
                <w:lang w:val="bg-BG"/>
              </w:rPr>
              <w:softHyphen/>
            </w:r>
            <w:r w:rsidRPr="00E82066">
              <w:rPr>
                <w:sz w:val="24"/>
                <w:szCs w:val="24"/>
                <w:lang w:val="bg-BG"/>
              </w:rPr>
              <w:t>ство; трасета на подводни линейни обекти на тех</w:t>
            </w:r>
            <w:r w:rsidR="0060293B">
              <w:rPr>
                <w:sz w:val="24"/>
                <w:szCs w:val="24"/>
                <w:lang w:val="bg-BG"/>
              </w:rPr>
              <w:softHyphen/>
            </w:r>
            <w:r w:rsidRPr="00E82066">
              <w:rPr>
                <w:sz w:val="24"/>
                <w:szCs w:val="24"/>
                <w:lang w:val="bg-BG"/>
              </w:rPr>
              <w:t>ничес</w:t>
            </w:r>
            <w:r w:rsidR="0060293B">
              <w:rPr>
                <w:sz w:val="24"/>
                <w:szCs w:val="24"/>
                <w:lang w:val="bg-BG"/>
              </w:rPr>
              <w:softHyphen/>
            </w:r>
            <w:r w:rsidRPr="00E82066">
              <w:rPr>
                <w:sz w:val="24"/>
                <w:szCs w:val="24"/>
                <w:lang w:val="bg-BG"/>
              </w:rPr>
              <w:t>ката инфраструктура; инсталации и съоръ</w:t>
            </w:r>
            <w:r w:rsidR="00F72D2B">
              <w:rPr>
                <w:sz w:val="24"/>
                <w:szCs w:val="24"/>
                <w:lang w:val="bg-BG"/>
              </w:rPr>
              <w:softHyphen/>
            </w:r>
            <w:r w:rsidRPr="00E82066">
              <w:rPr>
                <w:sz w:val="24"/>
                <w:szCs w:val="24"/>
                <w:lang w:val="bg-BG"/>
              </w:rPr>
              <w:t>жения, свързани с корабоплаването; инсталации и съоръ</w:t>
            </w:r>
            <w:r w:rsidR="00F72D2B">
              <w:rPr>
                <w:sz w:val="24"/>
                <w:szCs w:val="24"/>
                <w:lang w:val="bg-BG"/>
              </w:rPr>
              <w:softHyphen/>
            </w:r>
            <w:r w:rsidRPr="00E82066">
              <w:rPr>
                <w:sz w:val="24"/>
                <w:szCs w:val="24"/>
                <w:lang w:val="bg-BG"/>
              </w:rPr>
              <w:t>жения за разработ</w:t>
            </w:r>
            <w:r w:rsidR="00F72D2B">
              <w:rPr>
                <w:sz w:val="24"/>
                <w:szCs w:val="24"/>
                <w:lang w:val="bg-BG"/>
              </w:rPr>
              <w:softHyphen/>
            </w:r>
            <w:r w:rsidRPr="00E82066">
              <w:rPr>
                <w:sz w:val="24"/>
                <w:szCs w:val="24"/>
                <w:lang w:val="bg-BG"/>
              </w:rPr>
              <w:t>ване и използване на минералните и енергийни ресурси; обекти на подводното културно наследство;</w:t>
            </w:r>
          </w:p>
          <w:p w14:paraId="183B9ED5" w14:textId="43E1E020"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реализирани ИП</w:t>
            </w:r>
          </w:p>
        </w:tc>
        <w:tc>
          <w:tcPr>
            <w:tcW w:w="1779" w:type="dxa"/>
            <w:vAlign w:val="center"/>
          </w:tcPr>
          <w:p w14:paraId="42491E55"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0A1D6B43"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Компетентните органи за прилагане на МППРБ съгласно ЗМПВВППРБ, Черноморските общини; Областни администрации Добрич, Варна и Бургас</w:t>
            </w:r>
          </w:p>
        </w:tc>
      </w:tr>
      <w:tr w:rsidR="00A517CD" w:rsidRPr="00A517CD" w14:paraId="7F073E17" w14:textId="77777777" w:rsidTr="00D03DA8">
        <w:tc>
          <w:tcPr>
            <w:tcW w:w="3123" w:type="dxa"/>
            <w:vAlign w:val="center"/>
          </w:tcPr>
          <w:p w14:paraId="5340F0D1"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lastRenderedPageBreak/>
              <w:t>14.Повишаване на устойчивото ползване на потенциала на Черно море</w:t>
            </w:r>
          </w:p>
        </w:tc>
        <w:tc>
          <w:tcPr>
            <w:tcW w:w="2472" w:type="dxa"/>
            <w:vAlign w:val="center"/>
          </w:tcPr>
          <w:p w14:paraId="7D636BF2" w14:textId="3AEDA3E9"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инициативи(ИП) за въвеждане на иновативни технологии и техники (включително оборудване), подпо</w:t>
            </w:r>
            <w:r w:rsidR="00F72D2B">
              <w:rPr>
                <w:sz w:val="24"/>
                <w:szCs w:val="24"/>
                <w:lang w:val="bg-BG"/>
              </w:rPr>
              <w:softHyphen/>
            </w:r>
            <w:r w:rsidRPr="00E82066">
              <w:rPr>
                <w:sz w:val="24"/>
                <w:szCs w:val="24"/>
                <w:lang w:val="bg-BG"/>
              </w:rPr>
              <w:t>магащи Синята ико</w:t>
            </w:r>
            <w:r w:rsidR="00F72D2B">
              <w:rPr>
                <w:sz w:val="24"/>
                <w:szCs w:val="24"/>
                <w:lang w:val="bg-BG"/>
              </w:rPr>
              <w:softHyphen/>
            </w:r>
            <w:r w:rsidRPr="00E82066">
              <w:rPr>
                <w:sz w:val="24"/>
                <w:szCs w:val="24"/>
                <w:lang w:val="bg-BG"/>
              </w:rPr>
              <w:t>номика в България;</w:t>
            </w:r>
          </w:p>
          <w:p w14:paraId="6A3123F0" w14:textId="69116AFC"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издадени разре</w:t>
            </w:r>
            <w:r w:rsidR="00F72D2B">
              <w:rPr>
                <w:sz w:val="24"/>
                <w:szCs w:val="24"/>
                <w:lang w:val="bg-BG"/>
              </w:rPr>
              <w:softHyphen/>
            </w:r>
            <w:r w:rsidRPr="00E82066">
              <w:rPr>
                <w:sz w:val="24"/>
                <w:szCs w:val="24"/>
                <w:lang w:val="bg-BG"/>
              </w:rPr>
              <w:t>шителни за ползва</w:t>
            </w:r>
            <w:r w:rsidR="00F72D2B">
              <w:rPr>
                <w:sz w:val="24"/>
                <w:szCs w:val="24"/>
                <w:lang w:val="bg-BG"/>
              </w:rPr>
              <w:softHyphen/>
            </w:r>
            <w:r w:rsidRPr="00E82066">
              <w:rPr>
                <w:sz w:val="24"/>
                <w:szCs w:val="24"/>
                <w:lang w:val="bg-BG"/>
              </w:rPr>
              <w:t xml:space="preserve">не/водоползване на повърхностен воден обект Черно море, съгласно </w:t>
            </w:r>
            <w:r w:rsidRPr="00A517CD">
              <w:rPr>
                <w:rStyle w:val="Bodytext2Italic"/>
              </w:rPr>
              <w:t>Закона за водите</w:t>
            </w:r>
          </w:p>
        </w:tc>
        <w:tc>
          <w:tcPr>
            <w:tcW w:w="1779" w:type="dxa"/>
            <w:vAlign w:val="center"/>
          </w:tcPr>
          <w:p w14:paraId="7A3CA64B"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03C491F9"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-Компетентните органи за прилагане на МППРБ съгласно ЗМПВВППРБ, Черноморските общини; Областни администрации Добрич, Варна и Бургас</w:t>
            </w:r>
          </w:p>
          <w:p w14:paraId="2720A159" w14:textId="77777777" w:rsidR="00A517CD" w:rsidRPr="00E82066" w:rsidRDefault="00A517CD" w:rsidP="00D03DA8">
            <w:pPr>
              <w:spacing w:after="120"/>
              <w:rPr>
                <w:rFonts w:ascii="Times New Roman" w:hAnsi="Times New Roman" w:cs="Times New Roman"/>
                <w:sz w:val="24"/>
                <w:szCs w:val="24"/>
                <w:lang w:val="bg-BG"/>
              </w:rPr>
            </w:pPr>
          </w:p>
          <w:p w14:paraId="29DAAD66" w14:textId="77777777" w:rsidR="00A517CD" w:rsidRPr="00E82066" w:rsidRDefault="00A517CD" w:rsidP="00D03DA8">
            <w:pPr>
              <w:spacing w:after="120"/>
              <w:rPr>
                <w:rFonts w:ascii="Times New Roman" w:hAnsi="Times New Roman" w:cs="Times New Roman"/>
                <w:sz w:val="24"/>
                <w:szCs w:val="24"/>
                <w:lang w:val="bg-BG"/>
              </w:rPr>
            </w:pPr>
          </w:p>
          <w:p w14:paraId="453AE245"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-МОСВ, БДЧР</w:t>
            </w:r>
          </w:p>
        </w:tc>
      </w:tr>
      <w:tr w:rsidR="00A517CD" w:rsidRPr="00C717D0" w14:paraId="4ACC4D10" w14:textId="77777777" w:rsidTr="00D03DA8">
        <w:tc>
          <w:tcPr>
            <w:tcW w:w="3123" w:type="dxa"/>
            <w:vAlign w:val="center"/>
          </w:tcPr>
          <w:p w14:paraId="53E5EE11"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15. Повишаване на консумацията на риба и други морски храни</w:t>
            </w:r>
          </w:p>
        </w:tc>
        <w:tc>
          <w:tcPr>
            <w:tcW w:w="2472" w:type="dxa"/>
            <w:vAlign w:val="center"/>
          </w:tcPr>
          <w:p w14:paraId="36EAE9CD" w14:textId="3134672D"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на изградените и действащи аква</w:t>
            </w:r>
            <w:r w:rsidR="00F72D2B">
              <w:rPr>
                <w:sz w:val="24"/>
                <w:szCs w:val="24"/>
                <w:lang w:val="bg-BG"/>
              </w:rPr>
              <w:softHyphen/>
            </w:r>
            <w:r w:rsidRPr="00E82066">
              <w:rPr>
                <w:sz w:val="24"/>
                <w:szCs w:val="24"/>
                <w:lang w:val="bg-BG"/>
              </w:rPr>
              <w:t>културни стопанства в морските води като мидени и рибни ферми, ферми за отглеждане на други морски аквакултури</w:t>
            </w:r>
          </w:p>
        </w:tc>
        <w:tc>
          <w:tcPr>
            <w:tcW w:w="1779" w:type="dxa"/>
            <w:vAlign w:val="center"/>
          </w:tcPr>
          <w:p w14:paraId="6D183F54"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56425BE5"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БДЧР, Министерство на земеделието, ИАРА</w:t>
            </w:r>
          </w:p>
        </w:tc>
      </w:tr>
      <w:tr w:rsidR="00A517CD" w:rsidRPr="00A517CD" w14:paraId="4826FA88" w14:textId="77777777" w:rsidTr="00D03DA8">
        <w:tc>
          <w:tcPr>
            <w:tcW w:w="3123" w:type="dxa"/>
            <w:vAlign w:val="center"/>
          </w:tcPr>
          <w:p w14:paraId="1AB535BB"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16. Повишаване на кадровия капацитет в туристическия сектор и качеството на туристическия продукт по българското Черноморие</w:t>
            </w:r>
          </w:p>
        </w:tc>
        <w:tc>
          <w:tcPr>
            <w:tcW w:w="2472" w:type="dxa"/>
            <w:vAlign w:val="center"/>
          </w:tcPr>
          <w:p w14:paraId="34DB1562" w14:textId="617E432D"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заети с ново</w:t>
            </w:r>
            <w:r w:rsidR="00F72D2B">
              <w:rPr>
                <w:sz w:val="24"/>
                <w:szCs w:val="24"/>
                <w:lang w:val="bg-BG"/>
              </w:rPr>
              <w:softHyphen/>
            </w:r>
            <w:r w:rsidRPr="00E82066">
              <w:rPr>
                <w:sz w:val="24"/>
                <w:szCs w:val="24"/>
                <w:lang w:val="bg-BG"/>
              </w:rPr>
              <w:t>придобита квалифи</w:t>
            </w:r>
            <w:r w:rsidR="00F72D2B">
              <w:rPr>
                <w:sz w:val="24"/>
                <w:szCs w:val="24"/>
                <w:lang w:val="bg-BG"/>
              </w:rPr>
              <w:softHyphen/>
            </w:r>
            <w:r w:rsidRPr="00E82066">
              <w:rPr>
                <w:sz w:val="24"/>
                <w:szCs w:val="24"/>
                <w:lang w:val="bg-BG"/>
              </w:rPr>
              <w:t>кация или преква</w:t>
            </w:r>
            <w:r w:rsidR="00F72D2B">
              <w:rPr>
                <w:sz w:val="24"/>
                <w:szCs w:val="24"/>
                <w:lang w:val="bg-BG"/>
              </w:rPr>
              <w:softHyphen/>
            </w:r>
            <w:r w:rsidRPr="00E82066">
              <w:rPr>
                <w:sz w:val="24"/>
                <w:szCs w:val="24"/>
                <w:lang w:val="bg-BG"/>
              </w:rPr>
              <w:t>лификация в туристи</w:t>
            </w:r>
            <w:r w:rsidR="00F72D2B">
              <w:rPr>
                <w:sz w:val="24"/>
                <w:szCs w:val="24"/>
                <w:lang w:val="bg-BG"/>
              </w:rPr>
              <w:softHyphen/>
            </w:r>
            <w:r w:rsidRPr="00E82066">
              <w:rPr>
                <w:sz w:val="24"/>
                <w:szCs w:val="24"/>
                <w:lang w:val="bg-BG"/>
              </w:rPr>
              <w:t>ческия сектор;</w:t>
            </w:r>
          </w:p>
          <w:p w14:paraId="53D03142" w14:textId="209D4176"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предоставени обучения;</w:t>
            </w:r>
          </w:p>
          <w:p w14:paraId="74FE96F3" w14:textId="0414714C"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Брутна добавена стойност от сектор Туризъм, отчитан на годишна база</w:t>
            </w:r>
          </w:p>
        </w:tc>
        <w:tc>
          <w:tcPr>
            <w:tcW w:w="1779" w:type="dxa"/>
            <w:vAlign w:val="center"/>
          </w:tcPr>
          <w:p w14:paraId="65F1F0A5"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На всеки две години</w:t>
            </w:r>
          </w:p>
        </w:tc>
        <w:tc>
          <w:tcPr>
            <w:tcW w:w="2419" w:type="dxa"/>
            <w:vAlign w:val="center"/>
          </w:tcPr>
          <w:p w14:paraId="0DA9DA43"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МРРБ, МИ, НСИ</w:t>
            </w:r>
          </w:p>
        </w:tc>
      </w:tr>
      <w:tr w:rsidR="00A517CD" w:rsidRPr="00C717D0" w14:paraId="3EAC597C" w14:textId="77777777" w:rsidTr="00D03DA8">
        <w:tc>
          <w:tcPr>
            <w:tcW w:w="3123" w:type="dxa"/>
            <w:vAlign w:val="center"/>
          </w:tcPr>
          <w:p w14:paraId="1A66041B"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17. Мониторинг на натрупаните отпадъци по крайбрежието и в морската среда</w:t>
            </w:r>
          </w:p>
        </w:tc>
        <w:tc>
          <w:tcPr>
            <w:tcW w:w="2472" w:type="dxa"/>
            <w:vAlign w:val="center"/>
          </w:tcPr>
          <w:p w14:paraId="56B84B56" w14:textId="323D3A35"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Брой, регистрирани случаи на замърся</w:t>
            </w:r>
            <w:r w:rsidR="0009742C">
              <w:rPr>
                <w:sz w:val="24"/>
                <w:szCs w:val="24"/>
                <w:lang w:val="bg-BG"/>
              </w:rPr>
              <w:softHyphen/>
            </w:r>
            <w:r w:rsidRPr="00E82066">
              <w:rPr>
                <w:sz w:val="24"/>
                <w:szCs w:val="24"/>
                <w:lang w:val="bg-BG"/>
              </w:rPr>
              <w:t>ване с отпадъци,</w:t>
            </w:r>
          </w:p>
          <w:p w14:paraId="772EFFAD" w14:textId="20E25F9C"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t>констатирани от кон</w:t>
            </w:r>
            <w:r w:rsidR="0009742C">
              <w:rPr>
                <w:sz w:val="24"/>
                <w:szCs w:val="24"/>
                <w:lang w:val="bg-BG"/>
              </w:rPr>
              <w:softHyphen/>
            </w:r>
            <w:r w:rsidRPr="00E82066">
              <w:rPr>
                <w:sz w:val="24"/>
                <w:szCs w:val="24"/>
                <w:lang w:val="bg-BG"/>
              </w:rPr>
              <w:t>тролните органи в м</w:t>
            </w:r>
            <w:r w:rsidRPr="00E82066">
              <w:rPr>
                <w:sz w:val="24"/>
                <w:szCs w:val="24"/>
                <w:vertAlign w:val="superscript"/>
                <w:lang w:val="bg-BG"/>
              </w:rPr>
              <w:t>2</w:t>
            </w:r>
            <w:r w:rsidRPr="00E82066">
              <w:rPr>
                <w:sz w:val="24"/>
                <w:szCs w:val="24"/>
                <w:lang w:val="bg-BG"/>
              </w:rPr>
              <w:t xml:space="preserve"> и/или т по плажовете, морската повърхност </w:t>
            </w:r>
            <w:r w:rsidRPr="00E82066">
              <w:rPr>
                <w:sz w:val="24"/>
                <w:szCs w:val="24"/>
                <w:lang w:val="bg-BG"/>
              </w:rPr>
              <w:lastRenderedPageBreak/>
              <w:t>и морското дело в рамките на изпъл</w:t>
            </w:r>
            <w:r w:rsidR="0009742C">
              <w:rPr>
                <w:sz w:val="24"/>
                <w:szCs w:val="24"/>
                <w:lang w:val="bg-BG"/>
              </w:rPr>
              <w:softHyphen/>
            </w:r>
            <w:r w:rsidRPr="00E82066">
              <w:rPr>
                <w:sz w:val="24"/>
                <w:szCs w:val="24"/>
                <w:lang w:val="bg-BG"/>
              </w:rPr>
              <w:t>не</w:t>
            </w:r>
            <w:r w:rsidR="0009742C">
              <w:rPr>
                <w:sz w:val="24"/>
                <w:szCs w:val="24"/>
                <w:lang w:val="bg-BG"/>
              </w:rPr>
              <w:softHyphen/>
            </w:r>
            <w:r w:rsidRPr="00E82066">
              <w:rPr>
                <w:sz w:val="24"/>
                <w:szCs w:val="24"/>
                <w:lang w:val="bg-BG"/>
              </w:rPr>
              <w:t>ние на мониторинг по Рамковата директива за морската стратегия 2008/56/ЕО)</w:t>
            </w:r>
          </w:p>
        </w:tc>
        <w:tc>
          <w:tcPr>
            <w:tcW w:w="1779" w:type="dxa"/>
            <w:vAlign w:val="center"/>
          </w:tcPr>
          <w:p w14:paraId="61137D17" w14:textId="77777777" w:rsidR="00A517CD" w:rsidRPr="00E82066" w:rsidRDefault="00A517CD" w:rsidP="00D03DA8">
            <w:pPr>
              <w:pStyle w:val="Bodytext22"/>
              <w:shd w:val="clear" w:color="auto" w:fill="auto"/>
              <w:spacing w:before="0" w:after="120" w:line="240" w:lineRule="auto"/>
              <w:ind w:firstLine="0"/>
              <w:jc w:val="left"/>
              <w:rPr>
                <w:sz w:val="24"/>
                <w:szCs w:val="24"/>
                <w:lang w:val="bg-BG"/>
              </w:rPr>
            </w:pPr>
            <w:r w:rsidRPr="00E82066">
              <w:rPr>
                <w:sz w:val="24"/>
                <w:szCs w:val="24"/>
                <w:lang w:val="bg-BG"/>
              </w:rPr>
              <w:lastRenderedPageBreak/>
              <w:t>На всеки две години</w:t>
            </w:r>
          </w:p>
        </w:tc>
        <w:tc>
          <w:tcPr>
            <w:tcW w:w="2419" w:type="dxa"/>
            <w:vAlign w:val="center"/>
          </w:tcPr>
          <w:p w14:paraId="43B2D544" w14:textId="77777777" w:rsidR="00A517CD" w:rsidRPr="00E82066" w:rsidRDefault="00A517CD" w:rsidP="00D03DA8">
            <w:pPr>
              <w:spacing w:after="120"/>
              <w:rPr>
                <w:rFonts w:ascii="Times New Roman" w:hAnsi="Times New Roman" w:cs="Times New Roman"/>
                <w:sz w:val="24"/>
                <w:szCs w:val="24"/>
                <w:lang w:val="bg-BG"/>
              </w:rPr>
            </w:pPr>
            <w:r w:rsidRPr="00E82066">
              <w:rPr>
                <w:rFonts w:ascii="Times New Roman" w:hAnsi="Times New Roman" w:cs="Times New Roman"/>
                <w:sz w:val="24"/>
                <w:szCs w:val="24"/>
                <w:lang w:val="bg-BG"/>
              </w:rPr>
              <w:t>РИОСВ Варна и Бургас, БДЧР, Институт по океанология- БАН</w:t>
            </w:r>
          </w:p>
        </w:tc>
      </w:tr>
    </w:tbl>
    <w:p w14:paraId="74F1C455" w14:textId="77777777" w:rsidR="00A517CD" w:rsidRPr="00E82066" w:rsidRDefault="00A517CD" w:rsidP="00E82066">
      <w:pPr>
        <w:pStyle w:val="Heading1"/>
        <w:jc w:val="both"/>
        <w:rPr>
          <w:rFonts w:cs="Times New Roman"/>
          <w:sz w:val="24"/>
          <w:szCs w:val="24"/>
        </w:rPr>
      </w:pPr>
      <w:r w:rsidRPr="00E82066">
        <w:rPr>
          <w:rFonts w:cs="Times New Roman"/>
          <w:sz w:val="24"/>
          <w:szCs w:val="24"/>
        </w:rPr>
        <w:t>Забележка: За мерки от 10 до 17 посочените компетентни органи са както отговорни за изпълнението на мерките, така и източник на информация.</w:t>
      </w:r>
    </w:p>
    <w:p w14:paraId="7A05EC5C" w14:textId="48864395" w:rsidR="00A517CD" w:rsidRPr="00E82066" w:rsidRDefault="00A517CD" w:rsidP="00E82066">
      <w:pPr>
        <w:pStyle w:val="Heading1"/>
        <w:jc w:val="both"/>
        <w:rPr>
          <w:rFonts w:cs="Times New Roman"/>
          <w:sz w:val="24"/>
          <w:szCs w:val="24"/>
        </w:rPr>
      </w:pPr>
      <w:r w:rsidRPr="00E82066">
        <w:rPr>
          <w:rFonts w:cs="Times New Roman"/>
          <w:sz w:val="24"/>
          <w:szCs w:val="24"/>
        </w:rPr>
        <w:t>3. При констатирани неблагоприятни последствия върху околната среда и/или човешкото здраве да се предложат и предприемат своевременни мерки за възможното им отстраняване.</w:t>
      </w:r>
    </w:p>
    <w:p w14:paraId="50496C73" w14:textId="77777777" w:rsidR="00A517CD" w:rsidRPr="00E82066" w:rsidRDefault="00A517CD" w:rsidP="00A517CD">
      <w:pPr>
        <w:pStyle w:val="Heading1"/>
        <w:rPr>
          <w:rFonts w:cs="Times New Roman"/>
          <w:sz w:val="24"/>
          <w:szCs w:val="24"/>
        </w:rPr>
      </w:pPr>
    </w:p>
    <w:p w14:paraId="1EE8428F" w14:textId="2F0EB220" w:rsidR="002A61A4" w:rsidRPr="00610B1B" w:rsidRDefault="002A61A4" w:rsidP="00D32D6A">
      <w:pPr>
        <w:spacing w:after="120"/>
        <w:rPr>
          <w:rFonts w:ascii="Times New Roman" w:eastAsia="Source Han Sans CN Regular" w:hAnsi="Times New Roman" w:cs="Times New Roman"/>
          <w:sz w:val="24"/>
          <w:szCs w:val="24"/>
          <w:lang w:val="bg-BG" w:eastAsia="zh-CN" w:bidi="hi-IN"/>
        </w:rPr>
      </w:pPr>
      <w:r w:rsidRPr="00610B1B">
        <w:rPr>
          <w:rFonts w:ascii="Times New Roman" w:hAnsi="Times New Roman" w:cs="Times New Roman"/>
          <w:lang w:val="bg-BG"/>
        </w:rPr>
        <w:br w:type="page"/>
      </w:r>
    </w:p>
    <w:p w14:paraId="23F53A45" w14:textId="05F7C872" w:rsidR="005024ED" w:rsidRPr="00610B1B" w:rsidRDefault="00DC4938" w:rsidP="00D32D6A">
      <w:pPr>
        <w:pStyle w:val="Heading1"/>
        <w:spacing w:before="0" w:line="276" w:lineRule="auto"/>
        <w:rPr>
          <w:rFonts w:cs="Times New Roman"/>
        </w:rPr>
      </w:pPr>
      <w:bookmarkStart w:id="528" w:name="_Toc83391453"/>
      <w:r w:rsidRPr="00610B1B">
        <w:rPr>
          <w:rFonts w:cs="Times New Roman"/>
        </w:rPr>
        <w:lastRenderedPageBreak/>
        <w:t>9</w:t>
      </w:r>
      <w:r w:rsidR="00F37D59" w:rsidRPr="00610B1B">
        <w:rPr>
          <w:rFonts w:cs="Times New Roman"/>
        </w:rPr>
        <w:t xml:space="preserve">. </w:t>
      </w:r>
      <w:r w:rsidR="00E53F95" w:rsidRPr="00610B1B">
        <w:rPr>
          <w:rFonts w:cs="Times New Roman"/>
        </w:rPr>
        <w:t>ЗАКЛЮЧЕНИЕ</w:t>
      </w:r>
      <w:bookmarkEnd w:id="528"/>
    </w:p>
    <w:p w14:paraId="767473D5" w14:textId="697D24CA" w:rsidR="00B946F8" w:rsidRPr="00610B1B" w:rsidRDefault="005024ED" w:rsidP="00D32D6A">
      <w:pPr>
        <w:pStyle w:val="Default"/>
        <w:spacing w:after="120" w:line="276" w:lineRule="auto"/>
        <w:jc w:val="both"/>
        <w:rPr>
          <w:rFonts w:cs="Times New Roman"/>
          <w:lang w:val="bg-BG"/>
        </w:rPr>
      </w:pPr>
      <w:bookmarkStart w:id="529" w:name="_Hlk48408992"/>
      <w:r w:rsidRPr="00610B1B">
        <w:rPr>
          <w:rFonts w:cs="Times New Roman"/>
          <w:lang w:val="bg-BG"/>
        </w:rPr>
        <w:t xml:space="preserve">Морският пространствен план се разработва паралелно с Екологичната оценка, съгласно </w:t>
      </w:r>
      <w:r w:rsidR="00B946F8" w:rsidRPr="00610B1B">
        <w:rPr>
          <w:rFonts w:cs="Times New Roman"/>
          <w:lang w:val="bg-BG"/>
        </w:rPr>
        <w:t xml:space="preserve">действащото европейско и национално законодателство и </w:t>
      </w:r>
      <w:r w:rsidRPr="00610B1B">
        <w:rPr>
          <w:rFonts w:cs="Times New Roman"/>
          <w:lang w:val="bg-BG"/>
        </w:rPr>
        <w:t xml:space="preserve">предписанията на компетентния орган - Министерството на околната среда и водите. </w:t>
      </w:r>
      <w:r w:rsidR="00B946F8" w:rsidRPr="00610B1B">
        <w:rPr>
          <w:rFonts w:cs="Times New Roman"/>
          <w:lang w:val="bg-BG"/>
        </w:rPr>
        <w:t>Предложените в Екологичната оценка мерки за намаляване на евентуални вредни въздействия или пълното им отстраняване ще бъдат отразени по а</w:t>
      </w:r>
      <w:r w:rsidR="00683D30" w:rsidRPr="00610B1B">
        <w:rPr>
          <w:rFonts w:cs="Times New Roman"/>
          <w:lang w:val="bg-BG"/>
        </w:rPr>
        <w:t xml:space="preserve">декватен начин във финалната </w:t>
      </w:r>
      <w:r w:rsidR="00B946F8" w:rsidRPr="00610B1B">
        <w:rPr>
          <w:rFonts w:cs="Times New Roman"/>
          <w:lang w:val="bg-BG"/>
        </w:rPr>
        <w:t>версия</w:t>
      </w:r>
      <w:r w:rsidR="00683D30" w:rsidRPr="00610B1B">
        <w:rPr>
          <w:rFonts w:cs="Times New Roman"/>
          <w:lang w:val="bg-BG"/>
        </w:rPr>
        <w:t xml:space="preserve"> на плана</w:t>
      </w:r>
      <w:r w:rsidR="00B946F8" w:rsidRPr="00610B1B">
        <w:rPr>
          <w:rFonts w:cs="Times New Roman"/>
          <w:lang w:val="bg-BG"/>
        </w:rPr>
        <w:t xml:space="preserve">. </w:t>
      </w:r>
    </w:p>
    <w:p w14:paraId="70048515" w14:textId="45220FB9" w:rsidR="005024ED" w:rsidRPr="00610B1B" w:rsidRDefault="005024ED" w:rsidP="00D32D6A">
      <w:pPr>
        <w:pStyle w:val="Default"/>
        <w:spacing w:after="120" w:line="276" w:lineRule="auto"/>
        <w:jc w:val="both"/>
        <w:rPr>
          <w:rFonts w:cs="Times New Roman"/>
          <w:lang w:val="bg-BG"/>
        </w:rPr>
      </w:pPr>
      <w:r w:rsidRPr="00610B1B">
        <w:rPr>
          <w:rFonts w:cs="Times New Roman"/>
          <w:lang w:val="bg-BG"/>
        </w:rPr>
        <w:t xml:space="preserve">В процеса на консултации с всички заинтересовани страни се </w:t>
      </w:r>
      <w:r w:rsidR="00B946F8" w:rsidRPr="00610B1B">
        <w:rPr>
          <w:rFonts w:cs="Times New Roman"/>
          <w:lang w:val="bg-BG"/>
        </w:rPr>
        <w:t xml:space="preserve">отразяват </w:t>
      </w:r>
      <w:r w:rsidRPr="00610B1B">
        <w:rPr>
          <w:rFonts w:cs="Times New Roman"/>
          <w:lang w:val="bg-BG"/>
        </w:rPr>
        <w:t>препоръки</w:t>
      </w:r>
      <w:r w:rsidR="00B946F8" w:rsidRPr="00610B1B">
        <w:rPr>
          <w:rFonts w:cs="Times New Roman"/>
          <w:lang w:val="bg-BG"/>
        </w:rPr>
        <w:t>те</w:t>
      </w:r>
      <w:r w:rsidRPr="00610B1B">
        <w:rPr>
          <w:rFonts w:cs="Times New Roman"/>
          <w:lang w:val="bg-BG"/>
        </w:rPr>
        <w:t xml:space="preserve"> на представителите на различните институции, на бизнеса и на неправителствените организации, на различни експерти от всички области, свързани с морските пространства и ресурси</w:t>
      </w:r>
      <w:r w:rsidR="00245184" w:rsidRPr="00610B1B">
        <w:rPr>
          <w:rFonts w:cs="Times New Roman"/>
          <w:lang w:val="bg-BG"/>
        </w:rPr>
        <w:t xml:space="preserve"> и на участниците в дълбочинните интервюта</w:t>
      </w:r>
      <w:r w:rsidRPr="00610B1B">
        <w:rPr>
          <w:rFonts w:cs="Times New Roman"/>
          <w:lang w:val="bg-BG"/>
        </w:rPr>
        <w:t xml:space="preserve">. В този динамичен инструмент непрекъснато се допълва и актуализира информацията и се изгражда базата данни. </w:t>
      </w:r>
    </w:p>
    <w:p w14:paraId="7CEC6E6E" w14:textId="1E06BE00" w:rsidR="005024ED" w:rsidRPr="00610B1B" w:rsidRDefault="005024ED" w:rsidP="00D32D6A">
      <w:pPr>
        <w:pStyle w:val="Default"/>
        <w:spacing w:after="120" w:line="276" w:lineRule="auto"/>
        <w:jc w:val="both"/>
        <w:rPr>
          <w:rFonts w:cs="Times New Roman"/>
          <w:lang w:val="bg-BG"/>
        </w:rPr>
      </w:pPr>
      <w:r w:rsidRPr="00610B1B">
        <w:rPr>
          <w:rFonts w:cs="Times New Roman"/>
          <w:lang w:val="bg-BG"/>
        </w:rPr>
        <w:t>Във финалната версия ще се отразят и всички препоръки от междуведомственото съгласуване, както и тези, от консултациите със съседните държави</w:t>
      </w:r>
      <w:r w:rsidR="00683D30" w:rsidRPr="00610B1B">
        <w:rPr>
          <w:rFonts w:cs="Times New Roman"/>
          <w:lang w:val="bg-BG"/>
        </w:rPr>
        <w:t>,</w:t>
      </w:r>
      <w:r w:rsidRPr="00610B1B">
        <w:rPr>
          <w:rFonts w:cs="Times New Roman"/>
          <w:lang w:val="bg-BG"/>
        </w:rPr>
        <w:t xml:space="preserve"> по отношение на трансграничния контекст на направените предложения и потенциалните въздействия. </w:t>
      </w:r>
    </w:p>
    <w:p w14:paraId="0DD17F5B" w14:textId="2AD129BD" w:rsidR="005024ED" w:rsidRPr="00610B1B" w:rsidRDefault="005024ED" w:rsidP="00D32D6A">
      <w:pPr>
        <w:pStyle w:val="Default"/>
        <w:spacing w:after="120" w:line="276" w:lineRule="auto"/>
        <w:jc w:val="both"/>
        <w:rPr>
          <w:rFonts w:cs="Times New Roman"/>
          <w:lang w:val="bg-BG"/>
        </w:rPr>
      </w:pPr>
      <w:r w:rsidRPr="00610B1B">
        <w:rPr>
          <w:rFonts w:cs="Times New Roman"/>
          <w:lang w:val="bg-BG"/>
        </w:rPr>
        <w:t>Документът се придружава от аналитични карти и схеми,</w:t>
      </w:r>
      <w:r w:rsidR="00D66FE0" w:rsidRPr="00610B1B">
        <w:rPr>
          <w:rFonts w:cs="Times New Roman"/>
          <w:lang w:val="bg-BG"/>
        </w:rPr>
        <w:t xml:space="preserve"> </w:t>
      </w:r>
      <w:r w:rsidRPr="00610B1B">
        <w:rPr>
          <w:rFonts w:cs="Times New Roman"/>
          <w:lang w:val="bg-BG"/>
        </w:rPr>
        <w:t>ГИС база данни и метаданни</w:t>
      </w:r>
      <w:r w:rsidR="00683D30" w:rsidRPr="00610B1B">
        <w:rPr>
          <w:rFonts w:cs="Times New Roman"/>
          <w:lang w:val="bg-BG"/>
        </w:rPr>
        <w:t xml:space="preserve"> и </w:t>
      </w:r>
      <w:r w:rsidRPr="00610B1B">
        <w:rPr>
          <w:rFonts w:cs="Times New Roman"/>
          <w:lang w:val="bg-BG"/>
        </w:rPr>
        <w:t>ГИС платформа</w:t>
      </w:r>
      <w:r w:rsidR="00683D30" w:rsidRPr="00610B1B">
        <w:rPr>
          <w:rFonts w:cs="Times New Roman"/>
          <w:lang w:val="bg-BG"/>
        </w:rPr>
        <w:t>. Последната</w:t>
      </w:r>
      <w:r w:rsidRPr="00610B1B">
        <w:rPr>
          <w:rFonts w:cs="Times New Roman"/>
          <w:lang w:val="bg-BG"/>
        </w:rPr>
        <w:t xml:space="preserve"> </w:t>
      </w:r>
      <w:r w:rsidR="00086877" w:rsidRPr="00610B1B">
        <w:rPr>
          <w:rFonts w:cs="Times New Roman"/>
          <w:lang w:val="bg-BG"/>
        </w:rPr>
        <w:t>ще улесни поддържането и прилагането на Морския пространствен план на Република България до неговата първа актуализация, законово определена след 10 год</w:t>
      </w:r>
      <w:bookmarkEnd w:id="529"/>
      <w:r w:rsidR="00086877" w:rsidRPr="00610B1B">
        <w:rPr>
          <w:rFonts w:cs="Times New Roman"/>
          <w:lang w:val="bg-BG"/>
        </w:rPr>
        <w:t>ини</w:t>
      </w:r>
      <w:r w:rsidR="00683D30" w:rsidRPr="00610B1B">
        <w:rPr>
          <w:rFonts w:cs="Times New Roman"/>
          <w:lang w:val="bg-BG"/>
        </w:rPr>
        <w:t>, ще интегрира информацията от различни институции и ще подпомага процеса на мониторинг на плана</w:t>
      </w:r>
      <w:r w:rsidR="00086877" w:rsidRPr="00610B1B">
        <w:rPr>
          <w:rFonts w:cs="Times New Roman"/>
          <w:lang w:val="bg-BG"/>
        </w:rPr>
        <w:t>.</w:t>
      </w:r>
      <w:r w:rsidR="00C415D1" w:rsidRPr="00610B1B">
        <w:rPr>
          <w:rFonts w:cs="Times New Roman"/>
          <w:lang w:val="bg-BG"/>
        </w:rPr>
        <w:t xml:space="preserve"> </w:t>
      </w:r>
      <w:r w:rsidRPr="00610B1B">
        <w:rPr>
          <w:rFonts w:eastAsia="Source Han Sans CN Regular" w:cs="Times New Roman"/>
          <w:b/>
          <w:bCs/>
          <w:color w:val="0F243E" w:themeColor="text2" w:themeShade="80"/>
          <w:sz w:val="36"/>
          <w:szCs w:val="36"/>
          <w:lang w:val="bg-BG" w:eastAsia="zh-CN" w:bidi="hi-IN"/>
        </w:rPr>
        <w:br w:type="page"/>
      </w:r>
    </w:p>
    <w:p w14:paraId="6746E0CE" w14:textId="73701B29" w:rsidR="00483F71" w:rsidRPr="00610B1B" w:rsidRDefault="00E53F95" w:rsidP="00D32D6A">
      <w:pPr>
        <w:pStyle w:val="Heading1"/>
        <w:spacing w:before="0" w:line="276" w:lineRule="auto"/>
        <w:rPr>
          <w:rFonts w:cs="Times New Roman"/>
        </w:rPr>
      </w:pPr>
      <w:bookmarkStart w:id="530" w:name="_Toc83391454"/>
      <w:r w:rsidRPr="00610B1B">
        <w:rPr>
          <w:rFonts w:cs="Times New Roman"/>
        </w:rPr>
        <w:lastRenderedPageBreak/>
        <w:t xml:space="preserve">10. </w:t>
      </w:r>
      <w:r w:rsidR="00DD51C3" w:rsidRPr="00610B1B">
        <w:rPr>
          <w:rFonts w:cs="Times New Roman"/>
        </w:rPr>
        <w:t>ИЗПОЛЗВАНИ ТЕРМИНИ</w:t>
      </w:r>
      <w:bookmarkEnd w:id="530"/>
      <w:r w:rsidR="005D1FF6" w:rsidRPr="00610B1B">
        <w:rPr>
          <w:rFonts w:cs="Times New Roman"/>
        </w:rPr>
        <w:t xml:space="preserve"> </w:t>
      </w:r>
    </w:p>
    <w:bookmarkEnd w:id="525"/>
    <w:p w14:paraId="1D3B974D" w14:textId="3A885778"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Баластни води</w:t>
      </w:r>
      <w:r w:rsidRPr="00610B1B">
        <w:rPr>
          <w:rFonts w:ascii="Times New Roman" w:hAnsi="Times New Roman" w:cs="Times New Roman"/>
          <w:sz w:val="24"/>
          <w:szCs w:val="24"/>
          <w:lang w:val="bg-BG"/>
        </w:rPr>
        <w:t xml:space="preserve"> – водата със суспендираните в нея частици, взета на борда на кораба, за да се контролира диферентът, кренът, газенето, устойчивостта или напреженията на кораба</w:t>
      </w:r>
    </w:p>
    <w:p w14:paraId="3DE4E14A" w14:textId="74386934" w:rsidR="00864D42" w:rsidRPr="00610B1B" w:rsidRDefault="00864D4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Бентос</w:t>
      </w:r>
      <w:r w:rsidR="00B21160" w:rsidRPr="00610B1B">
        <w:rPr>
          <w:rFonts w:ascii="Times New Roman" w:hAnsi="Times New Roman" w:cs="Times New Roman"/>
          <w:sz w:val="24"/>
          <w:szCs w:val="24"/>
          <w:lang w:val="bg-BG"/>
        </w:rPr>
        <w:t xml:space="preserve"> - съвкупността от организмите, които живеят на дъното на воден басейн. </w:t>
      </w:r>
    </w:p>
    <w:p w14:paraId="05A6F926" w14:textId="67D2D788" w:rsidR="005C1DD5"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Вътрешни морски води</w:t>
      </w:r>
      <w:r w:rsidR="00924B42" w:rsidRPr="00610B1B">
        <w:rPr>
          <w:rFonts w:ascii="Times New Roman" w:hAnsi="Times New Roman" w:cs="Times New Roman"/>
          <w:sz w:val="24"/>
          <w:szCs w:val="24"/>
          <w:lang w:val="bg-BG"/>
        </w:rPr>
        <w:t xml:space="preserve"> </w:t>
      </w:r>
      <w:r w:rsidR="00B21160" w:rsidRPr="00610B1B">
        <w:rPr>
          <w:rFonts w:ascii="Times New Roman" w:hAnsi="Times New Roman" w:cs="Times New Roman"/>
          <w:sz w:val="24"/>
          <w:szCs w:val="24"/>
          <w:lang w:val="bg-BG"/>
        </w:rPr>
        <w:t>–</w:t>
      </w:r>
      <w:r w:rsidR="005C1DD5" w:rsidRPr="00610B1B">
        <w:rPr>
          <w:rFonts w:ascii="Times New Roman" w:hAnsi="Times New Roman" w:cs="Times New Roman"/>
          <w:sz w:val="24"/>
          <w:szCs w:val="24"/>
          <w:lang w:val="bg-BG"/>
        </w:rPr>
        <w:t xml:space="preserve"> водите между бреговата линия и изходните линии, от които се измерва ширината на териториалното море; водите на пристанищата, ограничени откъм морето с линията, съединяваща</w:t>
      </w:r>
      <w:r w:rsidR="00D66FE0" w:rsidRPr="00610B1B">
        <w:rPr>
          <w:rFonts w:ascii="Times New Roman" w:hAnsi="Times New Roman" w:cs="Times New Roman"/>
          <w:sz w:val="24"/>
          <w:szCs w:val="24"/>
          <w:lang w:val="bg-BG"/>
        </w:rPr>
        <w:t xml:space="preserve"> </w:t>
      </w:r>
      <w:r w:rsidR="005C1DD5" w:rsidRPr="00610B1B">
        <w:rPr>
          <w:rFonts w:ascii="Times New Roman" w:hAnsi="Times New Roman" w:cs="Times New Roman"/>
          <w:sz w:val="24"/>
          <w:szCs w:val="24"/>
          <w:lang w:val="bg-BG"/>
        </w:rPr>
        <w:t>най-отдалечените точки в морето на котвените места, хидротехническите и другите постоянни пристанищни съоръжения; водите на Варненския залив между бреговата линия и правата линия, съединяваща нос Св. Константин с нос Иланджик; на Бургаския залив между бреговата линия и правата линия, съединяваща нос Емине с Маслен нос; и водите между бреговата линия и правите изходни линии, съединяващи нос Калиакра с нос Тузлата, нос Тузлата с нос Екрене и Маслен нос с нос Ропи.</w:t>
      </w:r>
    </w:p>
    <w:p w14:paraId="519059EB" w14:textId="7C419445" w:rsidR="00B21160" w:rsidRPr="00610B1B" w:rsidRDefault="00B21160"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Добро състояние на околната среда</w:t>
      </w:r>
      <w:r w:rsidRPr="00610B1B">
        <w:rPr>
          <w:rFonts w:ascii="Times New Roman" w:hAnsi="Times New Roman" w:cs="Times New Roman"/>
          <w:sz w:val="24"/>
          <w:szCs w:val="24"/>
          <w:lang w:val="bg-BG"/>
        </w:rPr>
        <w:t xml:space="preserve"> - състоянието на околната среда в морските води (морската околна среда), водите на която са чисти, здравословни и продуктивни в съответствие с естествените специфични условия, и чието използване е устойчиво със запазен потенциал за използване от сегашните и бъдещите поколения.</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(Наредба за опазване на околната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среда в морските води)</w:t>
      </w:r>
    </w:p>
    <w:p w14:paraId="14DFB682" w14:textId="3C6AEB91" w:rsidR="00864D42" w:rsidRPr="00610B1B" w:rsidRDefault="00864D4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Екосистема</w:t>
      </w:r>
      <w:r w:rsidR="00B21160" w:rsidRPr="00610B1B">
        <w:rPr>
          <w:rFonts w:ascii="Times New Roman" w:hAnsi="Times New Roman" w:cs="Times New Roman"/>
          <w:sz w:val="24"/>
          <w:szCs w:val="24"/>
          <w:lang w:val="bg-BG"/>
        </w:rPr>
        <w:t xml:space="preserve"> - цялостна система, включваща комплекси от организми и целия комплекс от физически фактори, формиращи околната среда. (ИАОС)</w:t>
      </w:r>
    </w:p>
    <w:p w14:paraId="73BCB356" w14:textId="29B0C550" w:rsidR="00864D42" w:rsidRPr="00610B1B" w:rsidRDefault="00864D4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Екосистемен подход</w:t>
      </w:r>
      <w:r w:rsidR="001B1364" w:rsidRPr="00610B1B">
        <w:rPr>
          <w:rFonts w:ascii="Times New Roman" w:hAnsi="Times New Roman" w:cs="Times New Roman"/>
          <w:sz w:val="24"/>
          <w:szCs w:val="24"/>
          <w:lang w:val="bg-BG"/>
        </w:rPr>
        <w:t xml:space="preserve"> - отчитане на екологичните изисквания на компонентите на дадена екосистема във взаимовръзка и развитие</w:t>
      </w:r>
      <w:r w:rsidR="00D66FE0" w:rsidRPr="00610B1B">
        <w:rPr>
          <w:rFonts w:ascii="Times New Roman" w:hAnsi="Times New Roman" w:cs="Times New Roman"/>
          <w:lang w:val="bg-BG"/>
        </w:rPr>
        <w:t xml:space="preserve"> </w:t>
      </w:r>
      <w:r w:rsidR="001B1364" w:rsidRPr="00610B1B">
        <w:rPr>
          <w:rFonts w:ascii="Times New Roman" w:hAnsi="Times New Roman" w:cs="Times New Roman"/>
          <w:lang w:val="bg-BG"/>
        </w:rPr>
        <w:t>(</w:t>
      </w:r>
      <w:r w:rsidR="001B1364" w:rsidRPr="00610B1B">
        <w:rPr>
          <w:rFonts w:ascii="Times New Roman" w:hAnsi="Times New Roman" w:cs="Times New Roman"/>
          <w:sz w:val="24"/>
          <w:szCs w:val="24"/>
          <w:lang w:val="bg-BG"/>
        </w:rPr>
        <w:t>Наредба за опазване на околната</w:t>
      </w:r>
      <w:r w:rsidR="00D66FE0" w:rsidRPr="00610B1B">
        <w:rPr>
          <w:rFonts w:ascii="Times New Roman" w:hAnsi="Times New Roman" w:cs="Times New Roman"/>
          <w:sz w:val="24"/>
          <w:szCs w:val="24"/>
          <w:lang w:val="bg-BG"/>
        </w:rPr>
        <w:t xml:space="preserve"> </w:t>
      </w:r>
      <w:r w:rsidR="001B1364" w:rsidRPr="00610B1B">
        <w:rPr>
          <w:rFonts w:ascii="Times New Roman" w:hAnsi="Times New Roman" w:cs="Times New Roman"/>
          <w:sz w:val="24"/>
          <w:szCs w:val="24"/>
          <w:lang w:val="bg-BG"/>
        </w:rPr>
        <w:t>среда в морските води)</w:t>
      </w:r>
    </w:p>
    <w:p w14:paraId="1B76BE15" w14:textId="0A1BF47E" w:rsidR="00864D42" w:rsidRPr="00610B1B" w:rsidRDefault="00864D4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Екосистемни услуги</w:t>
      </w:r>
      <w:r w:rsidR="00B21160" w:rsidRPr="00610B1B">
        <w:rPr>
          <w:rFonts w:ascii="Times New Roman" w:hAnsi="Times New Roman" w:cs="Times New Roman"/>
          <w:b/>
          <w:sz w:val="24"/>
          <w:szCs w:val="24"/>
          <w:lang w:val="bg-BG"/>
        </w:rPr>
        <w:t xml:space="preserve"> </w:t>
      </w:r>
      <w:r w:rsidR="00B21160" w:rsidRPr="00610B1B">
        <w:rPr>
          <w:rFonts w:ascii="Times New Roman" w:hAnsi="Times New Roman" w:cs="Times New Roman"/>
          <w:sz w:val="24"/>
          <w:szCs w:val="24"/>
          <w:lang w:val="bg-BG"/>
        </w:rPr>
        <w:t>- условия и процеси, чрез които природните екосистеми и организми които ги съставят, поддържат и запълват своя живот - ползите, които човек извлича директно или индиректно от екосистемните функции. (ИАОС)</w:t>
      </w:r>
    </w:p>
    <w:p w14:paraId="11DA81B2" w14:textId="59912D78" w:rsidR="001B1364" w:rsidRPr="00610B1B" w:rsidRDefault="001B1364"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Еутрофикация</w:t>
      </w:r>
      <w:r w:rsidRPr="00610B1B">
        <w:rPr>
          <w:rFonts w:ascii="Times New Roman" w:hAnsi="Times New Roman" w:cs="Times New Roman"/>
          <w:sz w:val="24"/>
          <w:szCs w:val="24"/>
          <w:lang w:val="bg-BG"/>
        </w:rPr>
        <w:t xml:space="preserve"> - обогатяване на водата с азотни и фосфорни съединения, при което се предизвиква усилен растеж на водорасли и висша водна растителност и като резултат се поражда нежелано нарушаване на равновесието на намиращите се във водната среда организми, както и влошаване на качеството на водите.</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(Наредба за опазване на околната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среда в морските води)</w:t>
      </w:r>
    </w:p>
    <w:p w14:paraId="75013FE9" w14:textId="2100FD83" w:rsidR="001B1364" w:rsidRPr="00610B1B" w:rsidRDefault="001B1364"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Защитена морска територия</w:t>
      </w:r>
      <w:r w:rsidRPr="00610B1B">
        <w:rPr>
          <w:rFonts w:ascii="Times New Roman" w:hAnsi="Times New Roman" w:cs="Times New Roman"/>
          <w:sz w:val="24"/>
          <w:szCs w:val="24"/>
          <w:lang w:val="bg-BG"/>
        </w:rPr>
        <w:t xml:space="preserve"> - територия, включваща защитени зони по смисъла на ЗБР, защитени територии по смисъла на ЗЗТ и територии, определени по силата на международни или регионални споразумения, по които Република България е страна. (Наредба за опазване на околната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среда в морските води)</w:t>
      </w:r>
    </w:p>
    <w:p w14:paraId="49BF50FD" w14:textId="51365EDD"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Изключителна икономическа зона</w:t>
      </w:r>
      <w:r w:rsidR="00924B42" w:rsidRPr="00610B1B">
        <w:rPr>
          <w:rFonts w:ascii="Times New Roman" w:hAnsi="Times New Roman" w:cs="Times New Roman"/>
          <w:sz w:val="24"/>
          <w:szCs w:val="24"/>
          <w:lang w:val="bg-BG"/>
        </w:rPr>
        <w:t xml:space="preserve"> - </w:t>
      </w:r>
      <w:r w:rsidR="00DF5621" w:rsidRPr="00610B1B">
        <w:rPr>
          <w:rFonts w:ascii="Times New Roman" w:hAnsi="Times New Roman" w:cs="Times New Roman"/>
          <w:sz w:val="24"/>
          <w:szCs w:val="24"/>
          <w:lang w:val="bg-BG"/>
        </w:rPr>
        <w:t>Изключителната икономическа зона на Р. България се простира отвъд границите на териториалното море на разстояние до 200 морски мили от изходните линии, от които се измерва ширината на териториалното море. (</w:t>
      </w:r>
      <w:r w:rsidR="00924B42" w:rsidRPr="00610B1B">
        <w:rPr>
          <w:rFonts w:ascii="Times New Roman" w:hAnsi="Times New Roman" w:cs="Times New Roman"/>
          <w:sz w:val="24"/>
          <w:szCs w:val="24"/>
          <w:lang w:val="bg-BG"/>
        </w:rPr>
        <w:t>ЗМПВВППРБ</w:t>
      </w:r>
      <w:r w:rsidR="00DF5621" w:rsidRPr="00610B1B">
        <w:rPr>
          <w:rFonts w:ascii="Times New Roman" w:hAnsi="Times New Roman" w:cs="Times New Roman"/>
          <w:sz w:val="24"/>
          <w:szCs w:val="24"/>
          <w:lang w:val="bg-BG"/>
        </w:rPr>
        <w:t xml:space="preserve"> чл. 45)</w:t>
      </w:r>
    </w:p>
    <w:p w14:paraId="1B92D71D" w14:textId="041E62BD"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Континентален шелф</w:t>
      </w:r>
      <w:r w:rsidR="00924B42" w:rsidRPr="00610B1B">
        <w:rPr>
          <w:rFonts w:ascii="Times New Roman" w:hAnsi="Times New Roman" w:cs="Times New Roman"/>
          <w:sz w:val="24"/>
          <w:szCs w:val="24"/>
          <w:lang w:val="bg-BG"/>
        </w:rPr>
        <w:t xml:space="preserve"> - </w:t>
      </w:r>
      <w:r w:rsidR="00DF5621" w:rsidRPr="00610B1B">
        <w:rPr>
          <w:rFonts w:ascii="Times New Roman" w:hAnsi="Times New Roman" w:cs="Times New Roman"/>
          <w:sz w:val="24"/>
          <w:szCs w:val="24"/>
          <w:lang w:val="bg-BG"/>
        </w:rPr>
        <w:t xml:space="preserve">морското дъно и недрата на подводния район, които са естествено продължение на сухоземната територия и се разпростират отвъд териториалното море до </w:t>
      </w:r>
      <w:r w:rsidR="00DF5621" w:rsidRPr="00610B1B">
        <w:rPr>
          <w:rFonts w:ascii="Times New Roman" w:hAnsi="Times New Roman" w:cs="Times New Roman"/>
          <w:sz w:val="24"/>
          <w:szCs w:val="24"/>
          <w:lang w:val="bg-BG"/>
        </w:rPr>
        <w:lastRenderedPageBreak/>
        <w:t>установените граници с континенталния шелф на другите прилежащи и срещулежащи държави. (</w:t>
      </w:r>
      <w:r w:rsidR="00924B42" w:rsidRPr="00610B1B">
        <w:rPr>
          <w:rFonts w:ascii="Times New Roman" w:hAnsi="Times New Roman" w:cs="Times New Roman"/>
          <w:sz w:val="24"/>
          <w:szCs w:val="24"/>
          <w:lang w:val="bg-BG"/>
        </w:rPr>
        <w:t>ЗМПВВППРБ</w:t>
      </w:r>
      <w:r w:rsidR="00DF5621" w:rsidRPr="00610B1B">
        <w:rPr>
          <w:rFonts w:ascii="Times New Roman" w:hAnsi="Times New Roman" w:cs="Times New Roman"/>
          <w:sz w:val="24"/>
          <w:szCs w:val="24"/>
          <w:lang w:val="bg-BG"/>
        </w:rPr>
        <w:t xml:space="preserve"> чл. 40)</w:t>
      </w:r>
    </w:p>
    <w:p w14:paraId="1E79BE77" w14:textId="54F7CE0B" w:rsidR="007416A7"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Крайбрежни морски води</w:t>
      </w:r>
      <w:r w:rsidR="00924B42" w:rsidRPr="00610B1B">
        <w:rPr>
          <w:rFonts w:ascii="Times New Roman" w:hAnsi="Times New Roman" w:cs="Times New Roman"/>
          <w:sz w:val="24"/>
          <w:szCs w:val="24"/>
          <w:lang w:val="bg-BG"/>
        </w:rPr>
        <w:t xml:space="preserve"> </w:t>
      </w:r>
      <w:r w:rsidR="001B1364" w:rsidRPr="00610B1B">
        <w:rPr>
          <w:rFonts w:ascii="Times New Roman" w:hAnsi="Times New Roman" w:cs="Times New Roman"/>
          <w:sz w:val="24"/>
          <w:szCs w:val="24"/>
          <w:lang w:val="bg-BG"/>
        </w:rPr>
        <w:t>–</w:t>
      </w:r>
      <w:r w:rsidR="007416A7" w:rsidRPr="00610B1B">
        <w:rPr>
          <w:rFonts w:ascii="Times New Roman" w:hAnsi="Times New Roman" w:cs="Times New Roman"/>
          <w:sz w:val="24"/>
          <w:szCs w:val="24"/>
          <w:lang w:val="bg-BG"/>
        </w:rPr>
        <w:t xml:space="preserve"> акваторията от Черно море в границите на една морска миля от брега, включително и до външната граница на вътрешните морски води. (Закон за водите) </w:t>
      </w:r>
    </w:p>
    <w:p w14:paraId="5BA6085F" w14:textId="2A2FA185" w:rsidR="001B1364" w:rsidRPr="00610B1B" w:rsidRDefault="001B1364"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Морски регион</w:t>
      </w:r>
      <w:r w:rsidRPr="00610B1B">
        <w:rPr>
          <w:rFonts w:ascii="Times New Roman" w:hAnsi="Times New Roman" w:cs="Times New Roman"/>
          <w:sz w:val="24"/>
          <w:szCs w:val="24"/>
          <w:lang w:val="bg-BG"/>
        </w:rPr>
        <w:t xml:space="preserve"> – регионът на Черно море (Наредба за опазване на околната</w:t>
      </w:r>
      <w:r w:rsidR="00D66FE0" w:rsidRPr="00610B1B">
        <w:rPr>
          <w:rFonts w:ascii="Times New Roman" w:hAnsi="Times New Roman" w:cs="Times New Roman"/>
          <w:sz w:val="24"/>
          <w:szCs w:val="24"/>
          <w:lang w:val="bg-BG"/>
        </w:rPr>
        <w:t xml:space="preserve"> </w:t>
      </w:r>
      <w:r w:rsidRPr="00610B1B">
        <w:rPr>
          <w:rFonts w:ascii="Times New Roman" w:hAnsi="Times New Roman" w:cs="Times New Roman"/>
          <w:sz w:val="24"/>
          <w:szCs w:val="24"/>
          <w:lang w:val="bg-BG"/>
        </w:rPr>
        <w:t>среда в морските води)</w:t>
      </w:r>
    </w:p>
    <w:p w14:paraId="300CE699" w14:textId="3DE39999"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Морско пространствено планиране</w:t>
      </w:r>
      <w:r w:rsidR="00924B42" w:rsidRPr="00610B1B">
        <w:rPr>
          <w:rFonts w:ascii="Times New Roman" w:hAnsi="Times New Roman" w:cs="Times New Roman"/>
          <w:sz w:val="24"/>
          <w:szCs w:val="24"/>
          <w:lang w:val="bg-BG"/>
        </w:rPr>
        <w:t xml:space="preserve"> </w:t>
      </w:r>
      <w:r w:rsidR="00B21160" w:rsidRPr="00610B1B">
        <w:rPr>
          <w:rFonts w:ascii="Times New Roman" w:hAnsi="Times New Roman" w:cs="Times New Roman"/>
          <w:sz w:val="24"/>
          <w:szCs w:val="24"/>
          <w:lang w:val="bg-BG"/>
        </w:rPr>
        <w:t>–</w:t>
      </w:r>
      <w:r w:rsidR="007416A7" w:rsidRPr="00610B1B">
        <w:rPr>
          <w:rFonts w:ascii="Times New Roman" w:hAnsi="Times New Roman" w:cs="Times New Roman"/>
          <w:sz w:val="24"/>
          <w:szCs w:val="24"/>
          <w:lang w:val="bg-BG"/>
        </w:rPr>
        <w:t xml:space="preserve"> процес, чрез който съответните органи на държавите членки анализират и организират човешките дейности в морските райони за постигане на екологичните, икономическите и социалните цели. (Директива 2014/89, чл. 3 ал. 2)</w:t>
      </w:r>
    </w:p>
    <w:p w14:paraId="3ACEE983" w14:textId="7330F3C2" w:rsidR="00B21160" w:rsidRPr="00610B1B" w:rsidRDefault="00B21160"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Подводно културно наследство</w:t>
      </w:r>
      <w:r w:rsidRPr="00610B1B">
        <w:rPr>
          <w:rFonts w:ascii="Times New Roman" w:hAnsi="Times New Roman" w:cs="Times New Roman"/>
          <w:sz w:val="24"/>
          <w:szCs w:val="24"/>
          <w:lang w:val="bg-BG"/>
        </w:rPr>
        <w:t xml:space="preserve"> - </w:t>
      </w:r>
      <w:r w:rsidR="005C1DD5" w:rsidRPr="00610B1B">
        <w:rPr>
          <w:rFonts w:ascii="Times New Roman" w:hAnsi="Times New Roman" w:cs="Times New Roman"/>
          <w:sz w:val="24"/>
          <w:szCs w:val="24"/>
          <w:lang w:val="bg-BG"/>
        </w:rPr>
        <w:t>всички следи от човешко съществуване от културно, историческо или археологическо естество, които са частично или изцяло потънали, периодично или постоянно, от минимум 100 години. (Конвенция за опазване на подводното културно наследство)</w:t>
      </w:r>
    </w:p>
    <w:p w14:paraId="0C35FB05" w14:textId="3C3E5D95" w:rsidR="005C1DD5"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Преходни води</w:t>
      </w:r>
      <w:r w:rsidR="005C1DD5" w:rsidRPr="00610B1B">
        <w:rPr>
          <w:rFonts w:ascii="Times New Roman" w:hAnsi="Times New Roman" w:cs="Times New Roman"/>
          <w:lang w:val="bg-BG"/>
        </w:rPr>
        <w:t xml:space="preserve"> -</w:t>
      </w:r>
      <w:r w:rsidR="00D66FE0" w:rsidRPr="00610B1B">
        <w:rPr>
          <w:rFonts w:ascii="Times New Roman" w:hAnsi="Times New Roman" w:cs="Times New Roman"/>
          <w:lang w:val="bg-BG"/>
        </w:rPr>
        <w:t xml:space="preserve"> </w:t>
      </w:r>
      <w:r w:rsidR="005C1DD5" w:rsidRPr="00610B1B">
        <w:rPr>
          <w:rFonts w:ascii="Times New Roman" w:hAnsi="Times New Roman" w:cs="Times New Roman"/>
          <w:sz w:val="24"/>
          <w:szCs w:val="24"/>
          <w:lang w:val="bg-BG"/>
        </w:rPr>
        <w:t>повърхностни водни обекти в близост с речни устия, които са отчасти солени поради своята близост до крайбрежните води, но се влияят в значителна степен от потоци от сладки води. (РДВ, Закон за водите)</w:t>
      </w:r>
    </w:p>
    <w:p w14:paraId="03FDFFAE" w14:textId="2CE499C0"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Прилежаща зона</w:t>
      </w:r>
      <w:r w:rsidR="00924B42" w:rsidRPr="00610B1B">
        <w:rPr>
          <w:rFonts w:ascii="Times New Roman" w:hAnsi="Times New Roman" w:cs="Times New Roman"/>
          <w:sz w:val="24"/>
          <w:szCs w:val="24"/>
          <w:lang w:val="bg-BG"/>
        </w:rPr>
        <w:t xml:space="preserve"> - </w:t>
      </w:r>
      <w:r w:rsidR="002E5B20" w:rsidRPr="00610B1B">
        <w:rPr>
          <w:rFonts w:ascii="Times New Roman" w:hAnsi="Times New Roman" w:cs="Times New Roman"/>
          <w:sz w:val="24"/>
          <w:szCs w:val="24"/>
          <w:lang w:val="bg-BG"/>
        </w:rPr>
        <w:t>морската ивица, която се опира до териториалното море и се разпростира на разстояние 24 морски мили от изходните линии, от които се измерва ширината на териториалното море. (</w:t>
      </w:r>
      <w:r w:rsidR="00924B42" w:rsidRPr="00610B1B">
        <w:rPr>
          <w:rFonts w:ascii="Times New Roman" w:hAnsi="Times New Roman" w:cs="Times New Roman"/>
          <w:sz w:val="24"/>
          <w:szCs w:val="24"/>
          <w:lang w:val="bg-BG"/>
        </w:rPr>
        <w:t>ЗМПВВППРБ</w:t>
      </w:r>
      <w:r w:rsidR="002E5B20" w:rsidRPr="00610B1B">
        <w:rPr>
          <w:rFonts w:ascii="Times New Roman" w:hAnsi="Times New Roman" w:cs="Times New Roman"/>
          <w:sz w:val="24"/>
          <w:szCs w:val="24"/>
          <w:lang w:val="bg-BG"/>
        </w:rPr>
        <w:t xml:space="preserve">, </w:t>
      </w:r>
      <w:r w:rsidR="00DF5621" w:rsidRPr="00610B1B">
        <w:rPr>
          <w:rFonts w:ascii="Times New Roman" w:hAnsi="Times New Roman" w:cs="Times New Roman"/>
          <w:sz w:val="24"/>
          <w:szCs w:val="24"/>
          <w:lang w:val="bg-BG"/>
        </w:rPr>
        <w:t>чл. 37</w:t>
      </w:r>
      <w:r w:rsidR="002E5B20" w:rsidRPr="00610B1B">
        <w:rPr>
          <w:rFonts w:ascii="Times New Roman" w:hAnsi="Times New Roman" w:cs="Times New Roman"/>
          <w:sz w:val="24"/>
          <w:szCs w:val="24"/>
          <w:lang w:val="bg-BG"/>
        </w:rPr>
        <w:t>)</w:t>
      </w:r>
      <w:r w:rsidRPr="00610B1B">
        <w:rPr>
          <w:rFonts w:ascii="Times New Roman" w:hAnsi="Times New Roman" w:cs="Times New Roman"/>
          <w:sz w:val="24"/>
          <w:szCs w:val="24"/>
          <w:lang w:val="bg-BG"/>
        </w:rPr>
        <w:t xml:space="preserve"> </w:t>
      </w:r>
    </w:p>
    <w:p w14:paraId="06BFA39D" w14:textId="4884258E" w:rsidR="001B1364" w:rsidRPr="00610B1B" w:rsidRDefault="001B1364"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Пристанищен терминал</w:t>
      </w:r>
      <w:r w:rsidRPr="00610B1B">
        <w:rPr>
          <w:rFonts w:ascii="Times New Roman" w:hAnsi="Times New Roman" w:cs="Times New Roman"/>
          <w:sz w:val="24"/>
          <w:szCs w:val="24"/>
          <w:lang w:val="bg-BG"/>
        </w:rPr>
        <w:t xml:space="preserve"> - териториално обособена зона от пристанище за обществен транспорт, която осигурява завършен процес по приемане, обработка, съхраняване и експедиране на определен тип товари и/или поща по определена технология или за обслужване на пътници (ЗМПВВППРБ § 2. т. 16 от ДР)</w:t>
      </w:r>
    </w:p>
    <w:p w14:paraId="6E181A15" w14:textId="1299C5DE"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Пространствено планиране</w:t>
      </w:r>
      <w:r w:rsidR="002E5B20" w:rsidRPr="00610B1B">
        <w:rPr>
          <w:rFonts w:ascii="Times New Roman" w:hAnsi="Times New Roman" w:cs="Times New Roman"/>
          <w:sz w:val="24"/>
          <w:szCs w:val="24"/>
          <w:lang w:val="bg-BG"/>
        </w:rPr>
        <w:t xml:space="preserve"> - процесът на създаване на териториална основа за координиране на секторните политики на национално, регионално и местно ниво чрез система от йерархично обвързани документи, които в съответствие с териториалния потенциал определят стратегията за интегрирано пространствено развитие. (НКПР, Актуализация 2019 г.)</w:t>
      </w:r>
    </w:p>
    <w:p w14:paraId="56DD5406" w14:textId="4111457B" w:rsidR="002E5B20" w:rsidRPr="00610B1B" w:rsidRDefault="002E5B20"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Пространствено развитие</w:t>
      </w:r>
      <w:r w:rsidRPr="00610B1B">
        <w:rPr>
          <w:rFonts w:ascii="Times New Roman" w:hAnsi="Times New Roman" w:cs="Times New Roman"/>
          <w:sz w:val="24"/>
          <w:szCs w:val="24"/>
          <w:lang w:val="bg-BG"/>
        </w:rPr>
        <w:t xml:space="preserve"> –</w:t>
      </w:r>
      <w:r w:rsidRPr="00610B1B">
        <w:rPr>
          <w:rFonts w:ascii="Times New Roman" w:hAnsi="Times New Roman" w:cs="Times New Roman"/>
          <w:lang w:val="bg-BG"/>
        </w:rPr>
        <w:t xml:space="preserve"> </w:t>
      </w:r>
      <w:r w:rsidRPr="00610B1B">
        <w:rPr>
          <w:rFonts w:ascii="Times New Roman" w:hAnsi="Times New Roman" w:cs="Times New Roman"/>
          <w:sz w:val="24"/>
          <w:szCs w:val="24"/>
          <w:lang w:val="bg-BG"/>
        </w:rPr>
        <w:t>еволюцията на територията във всичките</w:t>
      </w:r>
      <w:r w:rsidR="00DE3A13" w:rsidRPr="00610B1B">
        <w:rPr>
          <w:rFonts w:ascii="Times New Roman" w:hAnsi="Times New Roman" w:cs="Times New Roman"/>
          <w:sz w:val="24"/>
          <w:szCs w:val="24"/>
          <w:lang w:val="bg-BG"/>
        </w:rPr>
        <w:t xml:space="preserve"> ѝ </w:t>
      </w:r>
      <w:r w:rsidRPr="00610B1B">
        <w:rPr>
          <w:rFonts w:ascii="Times New Roman" w:hAnsi="Times New Roman" w:cs="Times New Roman"/>
          <w:sz w:val="24"/>
          <w:szCs w:val="24"/>
          <w:lang w:val="bg-BG"/>
        </w:rPr>
        <w:t xml:space="preserve">измерения (икономически, социални, екологични и физически) </w:t>
      </w:r>
    </w:p>
    <w:p w14:paraId="0D5059DB" w14:textId="6A2AA971" w:rsidR="00307D22" w:rsidRPr="00610B1B" w:rsidRDefault="00307D22" w:rsidP="00BE57CC">
      <w:pPr>
        <w:spacing w:after="80"/>
        <w:ind w:right="-153"/>
        <w:jc w:val="both"/>
        <w:rPr>
          <w:rFonts w:ascii="Times New Roman" w:hAnsi="Times New Roman" w:cs="Times New Roman"/>
          <w:sz w:val="24"/>
          <w:szCs w:val="24"/>
          <w:lang w:val="bg-BG"/>
        </w:rPr>
      </w:pPr>
      <w:r w:rsidRPr="00610B1B">
        <w:rPr>
          <w:rFonts w:ascii="Times New Roman" w:hAnsi="Times New Roman" w:cs="Times New Roman"/>
          <w:b/>
          <w:sz w:val="24"/>
          <w:szCs w:val="24"/>
          <w:lang w:val="bg-BG"/>
        </w:rPr>
        <w:t>Териториално море</w:t>
      </w:r>
      <w:r w:rsidR="00924B42" w:rsidRPr="00610B1B">
        <w:rPr>
          <w:rFonts w:ascii="Times New Roman" w:hAnsi="Times New Roman" w:cs="Times New Roman"/>
          <w:sz w:val="24"/>
          <w:szCs w:val="24"/>
          <w:lang w:val="bg-BG"/>
        </w:rPr>
        <w:t xml:space="preserve"> -</w:t>
      </w:r>
      <w:r w:rsidR="00D66FE0" w:rsidRPr="00610B1B">
        <w:rPr>
          <w:rFonts w:ascii="Times New Roman" w:hAnsi="Times New Roman" w:cs="Times New Roman"/>
          <w:sz w:val="24"/>
          <w:szCs w:val="24"/>
          <w:lang w:val="bg-BG"/>
        </w:rPr>
        <w:t xml:space="preserve"> </w:t>
      </w:r>
      <w:r w:rsidR="009147DA" w:rsidRPr="00610B1B">
        <w:rPr>
          <w:rFonts w:ascii="Times New Roman" w:hAnsi="Times New Roman" w:cs="Times New Roman"/>
          <w:sz w:val="24"/>
          <w:szCs w:val="24"/>
          <w:lang w:val="bg-BG"/>
        </w:rPr>
        <w:t>прилежащата към брега и вътрешните морски води морска ивица с широчина 12 морски мили, измервана от изходните линии</w:t>
      </w:r>
      <w:r w:rsidR="002E5B20" w:rsidRPr="00610B1B">
        <w:rPr>
          <w:rFonts w:ascii="Times New Roman" w:hAnsi="Times New Roman" w:cs="Times New Roman"/>
          <w:sz w:val="24"/>
          <w:szCs w:val="24"/>
          <w:lang w:val="bg-BG"/>
        </w:rPr>
        <w:t xml:space="preserve"> (</w:t>
      </w:r>
      <w:r w:rsidR="009147DA" w:rsidRPr="00610B1B">
        <w:rPr>
          <w:rFonts w:ascii="Times New Roman" w:hAnsi="Times New Roman" w:cs="Times New Roman"/>
          <w:sz w:val="24"/>
          <w:szCs w:val="24"/>
          <w:lang w:val="bg-BG"/>
        </w:rPr>
        <w:t>линията на най-големия отлив от брега или правите</w:t>
      </w:r>
      <w:r w:rsidR="002E5B20" w:rsidRPr="00610B1B">
        <w:rPr>
          <w:rFonts w:ascii="Times New Roman" w:hAnsi="Times New Roman" w:cs="Times New Roman"/>
          <w:sz w:val="24"/>
          <w:szCs w:val="24"/>
          <w:lang w:val="bg-BG"/>
        </w:rPr>
        <w:t xml:space="preserve"> </w:t>
      </w:r>
      <w:r w:rsidR="009147DA" w:rsidRPr="00610B1B">
        <w:rPr>
          <w:rFonts w:ascii="Times New Roman" w:hAnsi="Times New Roman" w:cs="Times New Roman"/>
          <w:sz w:val="24"/>
          <w:szCs w:val="24"/>
          <w:lang w:val="bg-BG"/>
        </w:rPr>
        <w:t>линии, съединяващи двете крайни точки на заливите и пространствата, посочени в чл. 6</w:t>
      </w:r>
      <w:r w:rsidR="002E5B20" w:rsidRPr="00610B1B">
        <w:rPr>
          <w:rFonts w:ascii="Times New Roman" w:hAnsi="Times New Roman" w:cs="Times New Roman"/>
          <w:sz w:val="24"/>
          <w:szCs w:val="24"/>
          <w:lang w:val="bg-BG"/>
        </w:rPr>
        <w:t xml:space="preserve"> на </w:t>
      </w:r>
      <w:r w:rsidR="00924B42" w:rsidRPr="00610B1B">
        <w:rPr>
          <w:rFonts w:ascii="Times New Roman" w:hAnsi="Times New Roman" w:cs="Times New Roman"/>
          <w:sz w:val="24"/>
          <w:szCs w:val="24"/>
          <w:lang w:val="bg-BG"/>
        </w:rPr>
        <w:t>ЗМПВВППРБ</w:t>
      </w:r>
      <w:r w:rsidR="002E5B20" w:rsidRPr="00610B1B">
        <w:rPr>
          <w:rFonts w:ascii="Times New Roman" w:hAnsi="Times New Roman" w:cs="Times New Roman"/>
          <w:sz w:val="24"/>
          <w:szCs w:val="24"/>
          <w:lang w:val="bg-BG"/>
        </w:rPr>
        <w:t>.</w:t>
      </w:r>
    </w:p>
    <w:p w14:paraId="0711BA57" w14:textId="6CFF6128" w:rsidR="005C1DD5" w:rsidRPr="00610B1B" w:rsidRDefault="00307D22" w:rsidP="00BE57CC">
      <w:pPr>
        <w:spacing w:after="120"/>
        <w:ind w:right="-153"/>
        <w:jc w:val="both"/>
        <w:rPr>
          <w:rFonts w:ascii="Times New Roman" w:eastAsia="Source Han Sans CN Regular" w:hAnsi="Times New Roman" w:cs="Times New Roman"/>
          <w:b/>
          <w:bCs/>
          <w:color w:val="0F243E" w:themeColor="text2" w:themeShade="80"/>
          <w:sz w:val="36"/>
          <w:szCs w:val="36"/>
          <w:lang w:val="bg-BG" w:eastAsia="zh-CN" w:bidi="hi-IN"/>
        </w:rPr>
      </w:pPr>
      <w:r w:rsidRPr="00610B1B">
        <w:rPr>
          <w:rFonts w:ascii="Times New Roman" w:hAnsi="Times New Roman" w:cs="Times New Roman"/>
          <w:b/>
          <w:sz w:val="24"/>
          <w:szCs w:val="24"/>
          <w:lang w:val="bg-BG"/>
        </w:rPr>
        <w:t xml:space="preserve">Фарватер </w:t>
      </w:r>
      <w:r w:rsidR="00A846D3" w:rsidRPr="00610B1B">
        <w:rPr>
          <w:rFonts w:ascii="Times New Roman" w:hAnsi="Times New Roman" w:cs="Times New Roman"/>
          <w:sz w:val="24"/>
          <w:szCs w:val="24"/>
          <w:lang w:val="bg-BG"/>
        </w:rPr>
        <w:t>-</w:t>
      </w:r>
      <w:r w:rsidR="00D66FE0" w:rsidRPr="00610B1B">
        <w:rPr>
          <w:rFonts w:ascii="Times New Roman" w:hAnsi="Times New Roman" w:cs="Times New Roman"/>
          <w:sz w:val="24"/>
          <w:szCs w:val="24"/>
          <w:lang w:val="bg-BG"/>
        </w:rPr>
        <w:t xml:space="preserve"> </w:t>
      </w:r>
      <w:r w:rsidR="007416A7" w:rsidRPr="00610B1B">
        <w:rPr>
          <w:rFonts w:ascii="Times New Roman" w:hAnsi="Times New Roman" w:cs="Times New Roman"/>
          <w:sz w:val="24"/>
          <w:szCs w:val="24"/>
          <w:lang w:val="bg-BG"/>
        </w:rPr>
        <w:t>Път за плавателни съдове, безопасен в навигационно отношение и обозначен на местността и/или на карта проход във водното</w:t>
      </w:r>
      <w:r w:rsidR="00963B36" w:rsidRPr="00610B1B">
        <w:rPr>
          <w:rFonts w:ascii="Times New Roman" w:hAnsi="Times New Roman" w:cs="Times New Roman"/>
          <w:sz w:val="24"/>
          <w:szCs w:val="24"/>
          <w:lang w:val="bg-BG"/>
        </w:rPr>
        <w:t xml:space="preserve"> пространство</w:t>
      </w:r>
      <w:r w:rsidR="007416A7" w:rsidRPr="00610B1B">
        <w:rPr>
          <w:rFonts w:ascii="Times New Roman" w:hAnsi="Times New Roman" w:cs="Times New Roman"/>
          <w:sz w:val="24"/>
          <w:szCs w:val="24"/>
          <w:lang w:val="bg-BG"/>
        </w:rPr>
        <w:t>, характеризиращ се с достатъчна дълбочина и липса на препятствия за преминаващите съдове.</w:t>
      </w:r>
      <w:r w:rsidR="005C1DD5" w:rsidRPr="00610B1B">
        <w:rPr>
          <w:rFonts w:ascii="Times New Roman" w:hAnsi="Times New Roman" w:cs="Times New Roman"/>
          <w:lang w:val="bg-BG"/>
        </w:rPr>
        <w:br w:type="page"/>
      </w:r>
    </w:p>
    <w:p w14:paraId="4FA04538" w14:textId="5F1D6DFF" w:rsidR="00B0133C" w:rsidRPr="00610B1B" w:rsidRDefault="00E0439B" w:rsidP="009463FB">
      <w:pPr>
        <w:pStyle w:val="Heading1"/>
        <w:spacing w:before="0" w:after="120" w:line="276" w:lineRule="auto"/>
        <w:rPr>
          <w:rFonts w:cs="Times New Roman"/>
        </w:rPr>
      </w:pPr>
      <w:bookmarkStart w:id="531" w:name="_Toc83391455"/>
      <w:r w:rsidRPr="00610B1B">
        <w:rPr>
          <w:rFonts w:cs="Times New Roman"/>
        </w:rPr>
        <w:lastRenderedPageBreak/>
        <w:t>1</w:t>
      </w:r>
      <w:r w:rsidR="00E53F95" w:rsidRPr="00610B1B">
        <w:rPr>
          <w:rFonts w:cs="Times New Roman"/>
        </w:rPr>
        <w:t>1</w:t>
      </w:r>
      <w:r w:rsidR="00F37D59" w:rsidRPr="00610B1B">
        <w:rPr>
          <w:rFonts w:cs="Times New Roman"/>
        </w:rPr>
        <w:t xml:space="preserve">. </w:t>
      </w:r>
      <w:r w:rsidR="00B862CF" w:rsidRPr="00610B1B">
        <w:rPr>
          <w:rFonts w:cs="Times New Roman"/>
        </w:rPr>
        <w:t>ИЗТОЧНИЦИ НА ИНФОРМАЦИЯ</w:t>
      </w:r>
      <w:bookmarkEnd w:id="531"/>
    </w:p>
    <w:p w14:paraId="029334D2" w14:textId="11081A08" w:rsidR="00DF6C73" w:rsidRPr="00610B1B" w:rsidRDefault="00DF6C73" w:rsidP="00D32D6A">
      <w:pPr>
        <w:pStyle w:val="Heading2"/>
        <w:spacing w:before="0" w:line="276" w:lineRule="auto"/>
        <w:ind w:right="-153"/>
        <w:rPr>
          <w:rFonts w:cs="Times New Roman"/>
        </w:rPr>
      </w:pPr>
      <w:bookmarkStart w:id="532" w:name="_Toc83391456"/>
      <w:r w:rsidRPr="00610B1B">
        <w:rPr>
          <w:rFonts w:cs="Times New Roman"/>
        </w:rPr>
        <w:t>1</w:t>
      </w:r>
      <w:r w:rsidR="00E53F95" w:rsidRPr="00610B1B">
        <w:rPr>
          <w:rFonts w:cs="Times New Roman"/>
        </w:rPr>
        <w:t>1</w:t>
      </w:r>
      <w:r w:rsidRPr="00610B1B">
        <w:rPr>
          <w:rFonts w:cs="Times New Roman"/>
        </w:rPr>
        <w:t>.1. Международни документи</w:t>
      </w:r>
      <w:bookmarkEnd w:id="532"/>
      <w:r w:rsidRPr="00610B1B">
        <w:rPr>
          <w:rFonts w:cs="Times New Roman"/>
        </w:rPr>
        <w:t xml:space="preserve"> </w:t>
      </w:r>
    </w:p>
    <w:p w14:paraId="331E4549" w14:textId="0C89B963"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за безопасност на човешкия живот на море (SOLAS), 1974. Приета с Резолюция MSC.117(74)</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на 6 юни 2001 г. В сила от 1 януари 2003 г., (обн. ДВ. бр. 12/2005 г. );</w:t>
      </w:r>
    </w:p>
    <w:p w14:paraId="2B54D15B" w14:textId="1917509C"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за биологичното разнообразие. Ратифицирана със закон, приет от 37-о Народно събрание на 29.02.1996 г. обн.</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ДВ, бр. 22/15.03.1996 г.</w:t>
      </w:r>
    </w:p>
    <w:p w14:paraId="6FF06B5B"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за вахтената служба и нормите за подготовка и освидетелстване на моряците (STCW), 1978 г. Приета с Резолюция MSC.373(93) на Комитета по морска безопасност на Международната морска организация на 22 май 2014 г. В сила за Република България от 1 януари 2016г.;</w:t>
      </w:r>
    </w:p>
    <w:p w14:paraId="75537BB4"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за защита на морската среда в Североизточния Атлантик (OSPAR) от 1992 г.;</w:t>
      </w:r>
    </w:p>
    <w:p w14:paraId="1EBD915E"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за международните правила за предпазване от сблъскване на море от 1972 г. COLREG - (ратифицирана с Указ № 461 от 06.03.1975 г. на Държавния съвет на Народна Република България – ДВ. бр. 22 от 1975 г., в сила от 15.06.1977 г., изменена с поправките съгласно Рез. А. 910 (22) на ИМО от 29.11.2001 г., влязла в сила от 29.11.2003 г., и Рез. А.1004 (25) на същата организация от 29.11.2007 г., в сила от 01.12.2009 г.);</w:t>
      </w:r>
    </w:p>
    <w:p w14:paraId="697E890E"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за опазване на подводното културно наследство. Ратифицирана със закон, приет от 39-то Народно събрание на 10 септември 2003 г., обн. ДВ бр. 84/23.09.2003 г.</w:t>
      </w:r>
    </w:p>
    <w:p w14:paraId="365CC9FC" w14:textId="3D5369BC"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Конвенция за опазване на Черно море от замърсяване </w:t>
      </w:r>
      <w:hyperlink r:id="rId69" w:history="1">
        <w:r w:rsidRPr="00610B1B">
          <w:rPr>
            <w:rFonts w:ascii="Times New Roman" w:eastAsia="Source Han Sans CN Regular" w:hAnsi="Times New Roman" w:cs="Times New Roman"/>
            <w:color w:val="0000FF"/>
            <w:sz w:val="24"/>
            <w:szCs w:val="24"/>
            <w:u w:val="single"/>
            <w:lang w:val="bg-BG" w:eastAsia="zh-CN" w:bidi="hi-IN"/>
          </w:rPr>
          <w:t>http://www.blacksea-commission.org/_convention.asp</w:t>
        </w:r>
      </w:hyperlink>
      <w:r w:rsidRPr="00610B1B">
        <w:rPr>
          <w:rFonts w:ascii="Times New Roman" w:eastAsia="Source Han Sans CN Regular" w:hAnsi="Times New Roman" w:cs="Times New Roman"/>
          <w:sz w:val="24"/>
          <w:szCs w:val="24"/>
          <w:lang w:val="bg-BG" w:eastAsia="zh-CN" w:bidi="hi-IN"/>
        </w:rPr>
        <w:t xml:space="preserve">; </w:t>
      </w:r>
    </w:p>
    <w:p w14:paraId="20BD919B" w14:textId="440C23B8"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Конвенция за предотвратяване на замърсяване от кораби (MARPOL) </w:t>
      </w:r>
      <w:hyperlink r:id="rId70" w:history="1">
        <w:r w:rsidRPr="00610B1B">
          <w:rPr>
            <w:rFonts w:ascii="Times New Roman" w:eastAsia="Source Han Sans CN Regular" w:hAnsi="Times New Roman" w:cs="Times New Roman"/>
            <w:color w:val="0000FF"/>
            <w:sz w:val="24"/>
            <w:szCs w:val="24"/>
            <w:u w:val="single"/>
            <w:lang w:val="bg-BG" w:eastAsia="zh-CN" w:bidi="hi-IN"/>
          </w:rPr>
          <w:t>http://www.imo.org/en/about/conventions/listofconventions/pages/international-convention-for-the-prevention-of-pollution-from-ships-(marpol).aspx</w:t>
        </w:r>
      </w:hyperlink>
      <w:r w:rsidRPr="00610B1B">
        <w:rPr>
          <w:rFonts w:ascii="Times New Roman" w:eastAsia="Source Han Sans CN Regular" w:hAnsi="Times New Roman" w:cs="Times New Roman"/>
          <w:sz w:val="24"/>
          <w:szCs w:val="24"/>
          <w:lang w:val="bg-BG" w:eastAsia="zh-CN" w:bidi="hi-IN"/>
        </w:rPr>
        <w:t xml:space="preserve"> ;</w:t>
      </w:r>
    </w:p>
    <w:p w14:paraId="23879E9C" w14:textId="6F12CE7A" w:rsidR="00BE57CC" w:rsidRPr="00610B1B" w:rsidRDefault="00BE57CC" w:rsidP="00BE57CC">
      <w:pPr>
        <w:widowControl w:val="0"/>
        <w:numPr>
          <w:ilvl w:val="0"/>
          <w:numId w:val="4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Конвенция за предотвратяване на незаконните актове срещу безопасността на морското корабоплаване (1988), Обн. ДВ. бр. 48/23.05.2003 г., изм. ДВ. </w:t>
      </w:r>
      <w:r w:rsidR="00537D06" w:rsidRPr="00610B1B">
        <w:rPr>
          <w:rFonts w:ascii="Times New Roman" w:eastAsia="Source Han Sans CN Regular" w:hAnsi="Times New Roman" w:cs="Times New Roman"/>
          <w:sz w:val="24"/>
          <w:szCs w:val="24"/>
          <w:lang w:val="bg-BG" w:eastAsia="zh-CN" w:bidi="hi-IN"/>
        </w:rPr>
        <w:t>Б</w:t>
      </w:r>
      <w:r w:rsidRPr="00610B1B">
        <w:rPr>
          <w:rFonts w:ascii="Times New Roman" w:eastAsia="Source Han Sans CN Regular" w:hAnsi="Times New Roman" w:cs="Times New Roman"/>
          <w:sz w:val="24"/>
          <w:szCs w:val="24"/>
          <w:lang w:val="bg-BG" w:eastAsia="zh-CN" w:bidi="hi-IN"/>
        </w:rPr>
        <w:t>р</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90/16.11.2010 г.</w:t>
      </w:r>
    </w:p>
    <w:p w14:paraId="24DC7C19" w14:textId="20C31C31" w:rsidR="00BE57CC" w:rsidRPr="00610B1B" w:rsidRDefault="00BE57CC" w:rsidP="00BE57CC">
      <w:pPr>
        <w:widowControl w:val="0"/>
        <w:numPr>
          <w:ilvl w:val="0"/>
          <w:numId w:val="49"/>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Конвенция на организацията на Обединените нации по морско право UNCLOS</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(обн. ДВ. бр.73/1996 г., обн. ДВ. бр.74/1996 г. </w:t>
      </w:r>
      <w:hyperlink r:id="rId71" w:history="1">
        <w:r w:rsidRPr="00610B1B">
          <w:rPr>
            <w:rFonts w:ascii="Times New Roman" w:eastAsia="Source Han Sans CN Regular" w:hAnsi="Times New Roman" w:cs="Times New Roman"/>
            <w:color w:val="0000FF"/>
            <w:sz w:val="24"/>
            <w:szCs w:val="24"/>
            <w:u w:val="single"/>
            <w:lang w:val="bg-BG" w:eastAsia="zh-CN" w:bidi="hi-IN"/>
          </w:rPr>
          <w:t>http://www.un.org/depts/los/convention_agreements/texts/unclos/part2.htm</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3991921D"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Международен кодекс за сигурност на корабите и пристанищните съоръжения (ISPS Code), 2004;</w:t>
      </w:r>
    </w:p>
    <w:p w14:paraId="209F43DF"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Международна конвенция за спасяване (Salvage Convention 1989);</w:t>
      </w:r>
    </w:p>
    <w:p w14:paraId="18FB739E" w14:textId="444D0082"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Международната конвенция за търсене и спасяване по море, 1979 г., (ДВ</w:t>
      </w:r>
      <w:r w:rsidR="00537D06"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бр</w:t>
      </w:r>
      <w:r w:rsidR="00537D06"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75/1999</w:t>
      </w:r>
      <w:r w:rsidR="00537D06"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г.; изм., бр. 61/2005 г.), ДВ, бр. 47/1999 г.;</w:t>
      </w:r>
    </w:p>
    <w:p w14:paraId="018F3152"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Рамсарска конвенция за влажните зони. Ратифицирана с Решение на Министерски съвет № 389 от 18 ноември 1974 г.</w:t>
      </w:r>
    </w:p>
    <w:p w14:paraId="6D63BDC0"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Резолюция на ИМО А.572(14) „Общи положения за установяване на пътищата на движение на корабите.“</w:t>
      </w:r>
    </w:p>
    <w:p w14:paraId="267359FA" w14:textId="781D4F2D" w:rsidR="00BE57CC" w:rsidRPr="00610B1B" w:rsidRDefault="00BE57CC" w:rsidP="008670AC">
      <w:pPr>
        <w:widowControl w:val="0"/>
        <w:numPr>
          <w:ilvl w:val="0"/>
          <w:numId w:val="49"/>
        </w:numPr>
        <w:spacing w:after="120"/>
        <w:ind w:left="426" w:right="3238"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Basic Act on Ocean Policy (Act No. 33 of April 27, 2007) </w:t>
      </w:r>
      <w:hyperlink r:id="rId72" w:history="1">
        <w:r w:rsidRPr="00610B1B">
          <w:rPr>
            <w:rFonts w:ascii="Times New Roman" w:eastAsia="Source Han Sans CN Regular" w:hAnsi="Times New Roman" w:cs="Times New Roman"/>
            <w:color w:val="0000FF"/>
            <w:sz w:val="24"/>
            <w:szCs w:val="24"/>
            <w:u w:val="single"/>
            <w:lang w:val="bg-BG" w:eastAsia="zh-CN" w:bidi="hi-IN"/>
          </w:rPr>
          <w:t>http://www.kantei.go.jp/jp/singi/kaiyou/konkyo5.pdf</w:t>
        </w:r>
      </w:hyperlink>
      <w:r w:rsidRPr="00610B1B">
        <w:rPr>
          <w:rFonts w:ascii="Times New Roman" w:eastAsia="Source Han Sans CN Regular" w:hAnsi="Times New Roman" w:cs="Times New Roman"/>
          <w:sz w:val="24"/>
          <w:szCs w:val="24"/>
          <w:lang w:val="bg-BG" w:eastAsia="zh-CN" w:bidi="hi-IN"/>
        </w:rPr>
        <w:t xml:space="preserve"> ) ;</w:t>
      </w:r>
    </w:p>
    <w:p w14:paraId="324F8824" w14:textId="17736736"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Black Sea TDA, 2007. Black Sea Transboundary Diagnostic Analysis. Programme coordinating unit, Global Environmental Facility Black Sea Environmental Programme publication, Istanbul. </w:t>
      </w:r>
      <w:hyperlink r:id="rId73" w:history="1">
        <w:r w:rsidRPr="00610B1B">
          <w:rPr>
            <w:rFonts w:ascii="Times New Roman" w:eastAsia="Source Han Sans CN Regular" w:hAnsi="Times New Roman" w:cs="Times New Roman"/>
            <w:color w:val="0000FF"/>
            <w:sz w:val="24"/>
            <w:szCs w:val="24"/>
            <w:u w:val="single"/>
            <w:lang w:val="bg-BG" w:eastAsia="zh-CN" w:bidi="hi-IN"/>
          </w:rPr>
          <w:t>http://www.blacksea-commission.org/_tda2008.asp</w:t>
        </w:r>
      </w:hyperlink>
      <w:r w:rsidRPr="00610B1B">
        <w:rPr>
          <w:rFonts w:ascii="Times New Roman" w:eastAsia="Source Han Sans CN Regular" w:hAnsi="Times New Roman" w:cs="Times New Roman"/>
          <w:sz w:val="24"/>
          <w:szCs w:val="24"/>
          <w:lang w:val="bg-BG" w:eastAsia="zh-CN" w:bidi="hi-IN"/>
        </w:rPr>
        <w:t xml:space="preserve"> ;</w:t>
      </w:r>
    </w:p>
    <w:p w14:paraId="30268906" w14:textId="414B51D1"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Convention concerning the</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protection of the world cultural</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and natural heritage, </w:t>
      </w:r>
      <w:hyperlink r:id="rId74" w:history="1">
        <w:r w:rsidRPr="00610B1B">
          <w:rPr>
            <w:rFonts w:ascii="Times New Roman" w:eastAsia="Source Han Sans CN Regular" w:hAnsi="Times New Roman" w:cs="Times New Roman"/>
            <w:color w:val="0000FF"/>
            <w:sz w:val="24"/>
            <w:szCs w:val="24"/>
            <w:u w:val="single"/>
            <w:lang w:val="bg-BG" w:eastAsia="zh-CN" w:bidi="hi-IN"/>
          </w:rPr>
          <w:t>http://whc.unesco.org/en/conventiontext</w:t>
        </w:r>
      </w:hyperlink>
      <w:r w:rsidRPr="00610B1B">
        <w:rPr>
          <w:rFonts w:ascii="Times New Roman" w:eastAsia="Source Han Sans CN Regular" w:hAnsi="Times New Roman" w:cs="Times New Roman"/>
          <w:sz w:val="24"/>
          <w:szCs w:val="24"/>
          <w:lang w:val="bg-BG" w:eastAsia="zh-CN" w:bidi="hi-IN"/>
        </w:rPr>
        <w:t xml:space="preserve"> ;</w:t>
      </w:r>
    </w:p>
    <w:p w14:paraId="51636AA5" w14:textId="018E988B"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FAO, 2019. GFCM Cature production 1970-2017. FAO - Fisheries and Aquaculture Information and Statistics Branch – 21/11/2019, </w:t>
      </w:r>
      <w:hyperlink r:id="rId75" w:history="1">
        <w:r w:rsidRPr="00610B1B">
          <w:rPr>
            <w:rFonts w:ascii="Times New Roman" w:eastAsia="Source Han Sans CN Regular" w:hAnsi="Times New Roman" w:cs="Times New Roman"/>
            <w:color w:val="0000FF"/>
            <w:sz w:val="24"/>
            <w:szCs w:val="24"/>
            <w:u w:val="single"/>
            <w:lang w:val="bg-BG" w:eastAsia="zh-CN" w:bidi="hi-IN"/>
          </w:rPr>
          <w:t>http://www.fao.org/gfcm/data/capture-production</w:t>
        </w:r>
      </w:hyperlink>
      <w:r w:rsidRPr="00610B1B">
        <w:rPr>
          <w:rFonts w:ascii="Times New Roman" w:eastAsia="Source Han Sans CN Regular" w:hAnsi="Times New Roman" w:cs="Times New Roman"/>
          <w:sz w:val="24"/>
          <w:szCs w:val="24"/>
          <w:lang w:val="bg-BG" w:eastAsia="zh-CN" w:bidi="hi-IN"/>
        </w:rPr>
        <w:t>;</w:t>
      </w:r>
    </w:p>
    <w:p w14:paraId="6DFF1002" w14:textId="567EC943"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Global Invasive Species Database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2019</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Species profile: Mnemiopsis leidyi. </w:t>
      </w:r>
      <w:hyperlink r:id="rId76" w:history="1">
        <w:r w:rsidRPr="00610B1B">
          <w:rPr>
            <w:rFonts w:ascii="Times New Roman" w:eastAsia="Source Han Sans CN Regular" w:hAnsi="Times New Roman" w:cs="Times New Roman"/>
            <w:color w:val="0000FF"/>
            <w:sz w:val="24"/>
            <w:szCs w:val="24"/>
            <w:u w:val="single"/>
            <w:lang w:val="bg-BG" w:eastAsia="zh-CN" w:bidi="hi-IN"/>
          </w:rPr>
          <w:t>http://www.iucngisd.org/gisd/species.php?sc=95</w:t>
        </w:r>
      </w:hyperlink>
      <w:r w:rsidR="00D66FE0" w:rsidRPr="00610B1B">
        <w:rPr>
          <w:rFonts w:ascii="Times New Roman" w:eastAsia="Source Han Sans CN Regular" w:hAnsi="Times New Roman" w:cs="Times New Roman"/>
          <w:sz w:val="24"/>
          <w:szCs w:val="24"/>
          <w:lang w:val="bg-BG" w:eastAsia="zh-CN" w:bidi="hi-IN"/>
        </w:rPr>
        <w:t xml:space="preserve"> </w:t>
      </w:r>
    </w:p>
    <w:p w14:paraId="6D161549" w14:textId="58FBF518"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ICES, 2004. Alien Species Alert: Rapana Venosa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veined whelk</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Edited by Roger Mann, Anna Occhipinti, and Juliana M. Harding. ICES Cooperative Research Report No. 264. 14 pp.</w:t>
      </w:r>
      <w:r w:rsidR="00D66FE0" w:rsidRPr="00610B1B">
        <w:rPr>
          <w:rFonts w:ascii="Times New Roman" w:eastAsia="Source Han Sans CN Regular" w:hAnsi="Times New Roman" w:cs="Times New Roman"/>
          <w:sz w:val="24"/>
          <w:szCs w:val="24"/>
          <w:lang w:val="bg-BG" w:eastAsia="zh-CN" w:bidi="hi-IN"/>
        </w:rPr>
        <w:t xml:space="preserve"> </w:t>
      </w:r>
      <w:hyperlink r:id="rId77" w:history="1">
        <w:r w:rsidRPr="00610B1B">
          <w:rPr>
            <w:rFonts w:ascii="Times New Roman" w:eastAsia="Source Han Sans CN Regular" w:hAnsi="Times New Roman" w:cs="Times New Roman"/>
            <w:color w:val="0000FF"/>
            <w:sz w:val="24"/>
            <w:szCs w:val="24"/>
            <w:u w:val="single"/>
            <w:lang w:val="bg-BG" w:eastAsia="zh-CN" w:bidi="hi-IN"/>
          </w:rPr>
          <w:t>https://doi.org/10.17895/ices.pub.5471</w:t>
        </w:r>
      </w:hyperlink>
      <w:r w:rsidRPr="00610B1B">
        <w:rPr>
          <w:rFonts w:ascii="Times New Roman" w:eastAsia="Source Han Sans CN Regular" w:hAnsi="Times New Roman" w:cs="Times New Roman"/>
          <w:sz w:val="24"/>
          <w:szCs w:val="24"/>
          <w:lang w:val="bg-BG" w:eastAsia="zh-CN" w:bidi="hi-IN"/>
        </w:rPr>
        <w:t xml:space="preserve"> </w:t>
      </w:r>
    </w:p>
    <w:p w14:paraId="033B7567" w14:textId="54F67248"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Marine Spatial Planning Programmme – Canada </w:t>
      </w:r>
      <w:hyperlink r:id="rId78" w:history="1">
        <w:r w:rsidRPr="00610B1B">
          <w:rPr>
            <w:rFonts w:ascii="Times New Roman" w:eastAsia="Source Han Sans CN Regular" w:hAnsi="Times New Roman" w:cs="Times New Roman"/>
            <w:color w:val="0000FF"/>
            <w:sz w:val="24"/>
            <w:szCs w:val="24"/>
            <w:u w:val="single"/>
            <w:lang w:val="bg-BG" w:eastAsia="zh-CN" w:bidi="hi-IN"/>
          </w:rPr>
          <w:t>http://msp.ioc-unesco.org/world-applications/americas/canada/</w:t>
        </w:r>
      </w:hyperlink>
      <w:r w:rsidRPr="00610B1B">
        <w:rPr>
          <w:rFonts w:ascii="Times New Roman" w:eastAsia="Source Han Sans CN Regular" w:hAnsi="Times New Roman" w:cs="Times New Roman"/>
          <w:sz w:val="24"/>
          <w:szCs w:val="24"/>
          <w:lang w:val="bg-BG" w:eastAsia="zh-CN" w:bidi="hi-IN"/>
        </w:rPr>
        <w:t xml:space="preserve"> </w:t>
      </w:r>
    </w:p>
    <w:p w14:paraId="1B13A8D7" w14:textId="0D8B28D3"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Marine Spatial Planning: a step-by-step approach toward ecosystem-based management. Intergovernmental Oceanographic Commission and Man and the Biosphere Programme. IOC Manual and Guides No. 53, ICAM Dossier, Ehler, C., F. Douvere. (2009), </w:t>
      </w:r>
      <w:hyperlink r:id="rId79" w:history="1">
        <w:r w:rsidRPr="00610B1B">
          <w:rPr>
            <w:rFonts w:ascii="Times New Roman" w:eastAsia="Source Han Sans CN Regular" w:hAnsi="Times New Roman" w:cs="Times New Roman"/>
            <w:color w:val="0000FF"/>
            <w:sz w:val="24"/>
            <w:szCs w:val="24"/>
            <w:u w:val="single"/>
            <w:lang w:val="bg-BG" w:eastAsia="zh-CN" w:bidi="hi-IN"/>
          </w:rPr>
          <w:t>http://msp.ioc-unesco.org/msp-guides/msp-step-by-step-approach/</w:t>
        </w:r>
      </w:hyperlink>
      <w:r w:rsidRPr="00610B1B">
        <w:rPr>
          <w:rFonts w:ascii="Times New Roman" w:eastAsia="Source Han Sans CN Regular" w:hAnsi="Times New Roman" w:cs="Times New Roman"/>
          <w:sz w:val="24"/>
          <w:szCs w:val="24"/>
          <w:lang w:val="bg-BG" w:eastAsia="zh-CN" w:bidi="hi-IN"/>
        </w:rPr>
        <w:t xml:space="preserve"> </w:t>
      </w:r>
    </w:p>
    <w:p w14:paraId="5C411154" w14:textId="4AD05916"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Resolution A.949 (23) Adopted on 05 Dec. 2003</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(Agenda item 17)</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Guidelines on places of refuge for ships</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in need of assistance.</w:t>
      </w:r>
    </w:p>
    <w:p w14:paraId="4742B076" w14:textId="77777777" w:rsidR="00BE57CC" w:rsidRPr="00610B1B" w:rsidRDefault="00BE57CC" w:rsidP="00BE57CC">
      <w:pPr>
        <w:widowControl w:val="0"/>
        <w:numPr>
          <w:ilvl w:val="0"/>
          <w:numId w:val="49"/>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IMO, 2015 Ships’Routeing, IMO Publication</w:t>
      </w:r>
    </w:p>
    <w:p w14:paraId="64787CC0" w14:textId="77777777" w:rsidR="00BE57CC" w:rsidRPr="00610B1B" w:rsidRDefault="00BE57CC" w:rsidP="00BE57CC">
      <w:pPr>
        <w:widowControl w:val="0"/>
        <w:spacing w:after="120"/>
        <w:ind w:right="-153"/>
        <w:jc w:val="both"/>
        <w:rPr>
          <w:rFonts w:ascii="Times New Roman" w:eastAsia="Source Han Sans CN Regular" w:hAnsi="Times New Roman" w:cs="Times New Roman"/>
          <w:b/>
          <w:color w:val="0F243E"/>
          <w:sz w:val="24"/>
          <w:szCs w:val="24"/>
          <w:lang w:val="bg-BG" w:eastAsia="zh-CN" w:bidi="hi-IN"/>
        </w:rPr>
      </w:pPr>
    </w:p>
    <w:p w14:paraId="7D56C270" w14:textId="77777777" w:rsidR="00BE57CC" w:rsidRPr="00610B1B" w:rsidRDefault="00BE57CC" w:rsidP="00BE57CC">
      <w:pPr>
        <w:keepNext/>
        <w:widowControl w:val="0"/>
        <w:numPr>
          <w:ilvl w:val="1"/>
          <w:numId w:val="1"/>
        </w:numPr>
        <w:spacing w:after="120"/>
        <w:ind w:right="-153"/>
        <w:outlineLvl w:val="1"/>
        <w:rPr>
          <w:rFonts w:ascii="Times New Roman" w:eastAsia="Source Han Sans CN Regular" w:hAnsi="Times New Roman" w:cs="Times New Roman"/>
          <w:b/>
          <w:bCs/>
          <w:color w:val="0F243E" w:themeColor="text2" w:themeShade="80"/>
          <w:sz w:val="32"/>
          <w:szCs w:val="32"/>
          <w:lang w:val="bg-BG" w:eastAsia="zh-CN" w:bidi="hi-IN"/>
        </w:rPr>
      </w:pPr>
      <w:bookmarkStart w:id="533" w:name="_Toc56961585"/>
      <w:bookmarkStart w:id="534" w:name="_Toc83391457"/>
      <w:r w:rsidRPr="00610B1B">
        <w:rPr>
          <w:rFonts w:ascii="Times New Roman" w:eastAsia="Source Han Sans CN Regular" w:hAnsi="Times New Roman" w:cs="Times New Roman"/>
          <w:b/>
          <w:bCs/>
          <w:color w:val="0F243E" w:themeColor="text2" w:themeShade="80"/>
          <w:sz w:val="32"/>
          <w:szCs w:val="32"/>
          <w:lang w:val="bg-BG" w:eastAsia="zh-CN" w:bidi="hi-IN"/>
        </w:rPr>
        <w:t>11.2. Документи на Европейския съюз</w:t>
      </w:r>
      <w:bookmarkEnd w:id="533"/>
      <w:bookmarkEnd w:id="534"/>
    </w:p>
    <w:p w14:paraId="1C7312CB" w14:textId="3FB4A95F" w:rsidR="00963B36" w:rsidRPr="00610B1B" w:rsidRDefault="00963B36" w:rsidP="00963B36">
      <w:pPr>
        <w:widowControl w:val="0"/>
        <w:numPr>
          <w:ilvl w:val="0"/>
          <w:numId w:val="94"/>
        </w:numPr>
        <w:spacing w:after="60"/>
        <w:ind w:left="357" w:right="-153" w:hanging="357"/>
        <w:jc w:val="both"/>
        <w:rPr>
          <w:rFonts w:ascii="Times New Roman" w:eastAsia="Source Han Sans CN Regular" w:hAnsi="Times New Roman" w:cs="Times New Roman"/>
          <w:sz w:val="24"/>
          <w:szCs w:val="24"/>
          <w:lang w:val="bg-BG" w:eastAsia="zh-CN" w:bidi="hi-IN"/>
        </w:rPr>
      </w:pPr>
      <w:bookmarkStart w:id="535" w:name="_Hlk83126340"/>
      <w:r w:rsidRPr="00610B1B">
        <w:rPr>
          <w:rFonts w:ascii="Times New Roman" w:eastAsia="Source Han Sans CN Regular" w:hAnsi="Times New Roman" w:cs="Times New Roman"/>
          <w:sz w:val="24"/>
          <w:szCs w:val="24"/>
          <w:lang w:val="bg-BG" w:eastAsia="zh-CN" w:bidi="hi-IN"/>
        </w:rPr>
        <w:t>Директива (ЕС) 2016/802 на Европейския парламент и на Съвета от 11 май 2016 г. относно намаляването на съдържанието на сяра в определени течни горива (ОВ, L 132, 21 май 2016</w:t>
      </w:r>
      <w:r w:rsidR="004E6850" w:rsidRPr="00610B1B">
        <w:rPr>
          <w:rFonts w:ascii="Times New Roman" w:eastAsia="Source Han Sans CN Regular" w:hAnsi="Times New Roman" w:cs="Times New Roman"/>
          <w:sz w:val="24"/>
          <w:szCs w:val="24"/>
          <w:lang w:val="en-US" w:eastAsia="zh-CN" w:bidi="hi-IN"/>
        </w:rPr>
        <w:t> </w:t>
      </w:r>
      <w:r w:rsidRPr="00610B1B">
        <w:rPr>
          <w:rFonts w:ascii="Times New Roman" w:eastAsia="Source Han Sans CN Regular" w:hAnsi="Times New Roman" w:cs="Times New Roman"/>
          <w:sz w:val="24"/>
          <w:szCs w:val="24"/>
          <w:lang w:val="bg-BG" w:eastAsia="zh-CN" w:bidi="hi-IN"/>
        </w:rPr>
        <w:t>г.);</w:t>
      </w:r>
      <w:bookmarkEnd w:id="535"/>
    </w:p>
    <w:p w14:paraId="046E4A16" w14:textId="56F552B7" w:rsidR="00BE57CC" w:rsidRPr="00610B1B" w:rsidRDefault="00BE57CC" w:rsidP="00BE57CC">
      <w:pPr>
        <w:widowControl w:val="0"/>
        <w:numPr>
          <w:ilvl w:val="0"/>
          <w:numId w:val="94"/>
        </w:numPr>
        <w:spacing w:after="60"/>
        <w:ind w:left="357" w:right="-153" w:hanging="357"/>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ЕС</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2017/845 на комисията от 17.05.2017 г. за изменение на Директива 2008/56/ЕО на Европейския парламент и на Съвета по отношение на примерните списъци от елементи, които следва да се вземат предвид при подготовката на морски стратегии</w:t>
      </w:r>
    </w:p>
    <w:p w14:paraId="161CEA2A" w14:textId="2EA9D303" w:rsidR="00BE57CC" w:rsidRPr="00610B1B" w:rsidRDefault="0055393F" w:rsidP="00BE57CC">
      <w:pPr>
        <w:widowControl w:val="0"/>
        <w:spacing w:after="120"/>
        <w:ind w:left="357" w:right="-754"/>
        <w:jc w:val="both"/>
        <w:rPr>
          <w:rFonts w:ascii="Times New Roman" w:eastAsia="Source Han Sans CN Regular" w:hAnsi="Times New Roman" w:cs="Times New Roman"/>
          <w:sz w:val="24"/>
          <w:szCs w:val="24"/>
          <w:lang w:val="bg-BG" w:eastAsia="zh-CN" w:bidi="hi-IN"/>
        </w:rPr>
      </w:pPr>
      <w:hyperlink r:id="rId80" w:history="1">
        <w:r w:rsidR="00BE57CC" w:rsidRPr="00610B1B">
          <w:rPr>
            <w:rFonts w:ascii="Times New Roman" w:eastAsia="Source Han Sans CN Regular" w:hAnsi="Times New Roman" w:cs="Times New Roman"/>
            <w:color w:val="0000FF"/>
            <w:sz w:val="24"/>
            <w:szCs w:val="24"/>
            <w:u w:val="single"/>
            <w:lang w:val="bg-BG" w:eastAsia="zh-CN" w:bidi="hi-IN"/>
          </w:rPr>
          <w:t>https://eur-lex.europa.eu/legal-content/BG/TXT/HTML/?uri=CELEX:32017L0845&amp;from=EN</w:t>
        </w:r>
      </w:hyperlink>
      <w:r w:rsidR="00D66FE0" w:rsidRPr="00610B1B">
        <w:rPr>
          <w:rFonts w:ascii="Times New Roman" w:eastAsia="Source Han Sans CN Regular" w:hAnsi="Times New Roman" w:cs="Times New Roman"/>
          <w:sz w:val="24"/>
          <w:szCs w:val="24"/>
          <w:lang w:val="bg-BG" w:eastAsia="zh-CN" w:bidi="hi-IN"/>
        </w:rPr>
        <w:t xml:space="preserve"> </w:t>
      </w:r>
    </w:p>
    <w:p w14:paraId="6E4FFB43" w14:textId="77777777" w:rsidR="00BE57CC" w:rsidRPr="00610B1B" w:rsidRDefault="00BE57CC" w:rsidP="00BE57CC">
      <w:pPr>
        <w:widowControl w:val="0"/>
        <w:numPr>
          <w:ilvl w:val="0"/>
          <w:numId w:val="94"/>
        </w:numPr>
        <w:spacing w:after="120"/>
        <w:ind w:left="284" w:right="-153"/>
        <w:jc w:val="both"/>
        <w:rPr>
          <w:rFonts w:ascii="Times New Roman" w:eastAsia="Source Han Sans CN Regular" w:hAnsi="Times New Roman" w:cs="Times New Roman"/>
          <w:i/>
          <w:sz w:val="24"/>
          <w:szCs w:val="24"/>
          <w:lang w:val="bg-BG" w:eastAsia="zh-CN" w:bidi="hi-IN"/>
        </w:rPr>
      </w:pPr>
      <w:r w:rsidRPr="00610B1B">
        <w:rPr>
          <w:rFonts w:ascii="Times New Roman" w:eastAsia="Source Han Sans CN Regular" w:hAnsi="Times New Roman" w:cs="Times New Roman"/>
          <w:iCs/>
          <w:sz w:val="24"/>
          <w:szCs w:val="24"/>
          <w:lang w:val="bg-BG" w:eastAsia="zh-CN" w:bidi="hi-IN"/>
        </w:rPr>
        <w:t>Директива 2000/60/EО на Европейския парламент и на Съвета от 23.10.2000 г. за установяване на рамка за действията на Общността в областта на политиката за водите. ОВ L 327, 22.12.2000 г.;</w:t>
      </w:r>
    </w:p>
    <w:p w14:paraId="0D67276A" w14:textId="4410E1F2" w:rsidR="00BE57CC" w:rsidRPr="00610B1B" w:rsidRDefault="00BE57CC" w:rsidP="00BE57CC">
      <w:pPr>
        <w:widowControl w:val="0"/>
        <w:numPr>
          <w:ilvl w:val="0"/>
          <w:numId w:val="94"/>
        </w:numPr>
        <w:spacing w:after="120"/>
        <w:ind w:left="284"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2001/42/ЕО </w:t>
      </w:r>
      <w:r w:rsidRPr="00610B1B">
        <w:rPr>
          <w:rFonts w:ascii="Times New Roman" w:eastAsia="Source Han Sans CN Regular" w:hAnsi="Times New Roman" w:cs="Times New Roman"/>
          <w:iCs/>
          <w:sz w:val="24"/>
          <w:szCs w:val="24"/>
          <w:lang w:val="bg-BG" w:eastAsia="zh-CN" w:bidi="hi-IN"/>
        </w:rPr>
        <w:t xml:space="preserve">на Европейския парламент и на Съвета от 27.05.2001 г. </w:t>
      </w:r>
      <w:r w:rsidRPr="00610B1B">
        <w:rPr>
          <w:rFonts w:ascii="Times New Roman" w:eastAsia="Source Han Sans CN Regular" w:hAnsi="Times New Roman" w:cs="Times New Roman"/>
          <w:sz w:val="24"/>
          <w:szCs w:val="24"/>
          <w:lang w:val="bg-BG" w:eastAsia="zh-CN" w:bidi="hi-IN"/>
        </w:rPr>
        <w:t xml:space="preserve">относно оценката на последиците на някои планове и програми върху околната среда </w:t>
      </w:r>
      <w:hyperlink r:id="rId81" w:history="1">
        <w:r w:rsidRPr="00610B1B">
          <w:rPr>
            <w:rFonts w:ascii="Times New Roman" w:eastAsia="Source Han Sans CN Regular" w:hAnsi="Times New Roman" w:cs="Times New Roman"/>
            <w:color w:val="0000FF"/>
            <w:sz w:val="24"/>
            <w:szCs w:val="24"/>
            <w:u w:val="single"/>
            <w:lang w:val="bg-BG" w:eastAsia="zh-CN" w:bidi="hi-IN"/>
          </w:rPr>
          <w:t>http://eur-lex.europa.eu/legal-content/BG/TXT/?uri=CELEX%3A32001L0042</w:t>
        </w:r>
      </w:hyperlink>
    </w:p>
    <w:p w14:paraId="495FBA8A" w14:textId="09DBCF71" w:rsidR="00BE57CC" w:rsidRPr="00610B1B" w:rsidRDefault="00BE57CC" w:rsidP="00BE57CC">
      <w:pPr>
        <w:widowControl w:val="0"/>
        <w:numPr>
          <w:ilvl w:val="0"/>
          <w:numId w:val="94"/>
        </w:numPr>
        <w:spacing w:after="120"/>
        <w:ind w:left="284"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Директива 2002/59/EO</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на Европейския парламент и на Съвета от 27.06.2002 г. за създаване на система на Общността за контрол на движението на корабите; </w:t>
      </w:r>
    </w:p>
    <w:p w14:paraId="78842056" w14:textId="56B8E22C" w:rsidR="00BE57CC" w:rsidRPr="00610B1B" w:rsidRDefault="00BE57CC" w:rsidP="00BE57CC">
      <w:pPr>
        <w:widowControl w:val="0"/>
        <w:numPr>
          <w:ilvl w:val="0"/>
          <w:numId w:val="94"/>
        </w:numPr>
        <w:spacing w:after="120"/>
        <w:ind w:left="284"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2002/84/ЕO на Европейския парламент и на Съвета от 5.11.2002 г. за изменение на директивите относно морската безопасност и предотвратяването на замърсяването от кораби </w:t>
      </w:r>
      <w:hyperlink r:id="rId82" w:history="1">
        <w:r w:rsidRPr="00610B1B">
          <w:rPr>
            <w:rFonts w:ascii="Times New Roman" w:eastAsia="Source Han Sans CN Regular" w:hAnsi="Times New Roman" w:cs="Times New Roman"/>
            <w:color w:val="0000FF"/>
            <w:sz w:val="24"/>
            <w:szCs w:val="24"/>
            <w:u w:val="single"/>
            <w:lang w:val="bg-BG" w:eastAsia="zh-CN" w:bidi="hi-IN"/>
          </w:rPr>
          <w:t>http://eur-lex.europa.eu/legal-content/BG/ALL/?uri=CELEX:32002L0084</w:t>
        </w:r>
      </w:hyperlink>
      <w:r w:rsidRPr="00610B1B">
        <w:rPr>
          <w:rFonts w:ascii="Times New Roman" w:eastAsia="Source Han Sans CN Regular" w:hAnsi="Times New Roman" w:cs="Times New Roman"/>
          <w:sz w:val="24"/>
          <w:szCs w:val="24"/>
          <w:lang w:val="bg-BG" w:eastAsia="zh-CN" w:bidi="hi-IN"/>
        </w:rPr>
        <w:t xml:space="preserve"> ; </w:t>
      </w:r>
    </w:p>
    <w:p w14:paraId="7FD98C22" w14:textId="0DC982FC" w:rsidR="00BE57CC" w:rsidRPr="00610B1B" w:rsidRDefault="00BE57CC" w:rsidP="00BE57CC">
      <w:pPr>
        <w:widowControl w:val="0"/>
        <w:numPr>
          <w:ilvl w:val="0"/>
          <w:numId w:val="94"/>
        </w:numPr>
        <w:spacing w:after="120"/>
        <w:ind w:left="284"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2003/35/ЕО на Европейския парламент и на Съвета от 26.05.2003 г. за осигуряване участието на обществеността при изготвянето на определени планове и програми, отнасящи се до околната среда и за изменение по отношение на участието на обществеността и достъпа до правосъдие на Директиви 85/337/ЕИО и 96/61/ЕО </w:t>
      </w:r>
      <w:hyperlink r:id="rId83" w:history="1">
        <w:r w:rsidRPr="00610B1B">
          <w:rPr>
            <w:rFonts w:ascii="Times New Roman" w:eastAsia="Source Han Sans CN Regular" w:hAnsi="Times New Roman" w:cs="Times New Roman"/>
            <w:color w:val="0000FF"/>
            <w:sz w:val="24"/>
            <w:szCs w:val="24"/>
            <w:u w:val="single"/>
            <w:lang w:val="bg-BG" w:eastAsia="zh-CN" w:bidi="hi-IN"/>
          </w:rPr>
          <w:t>http://eur-lex.europa.eu/legal-content/BG/ALL/?uri=celex:32003L0035</w:t>
        </w:r>
      </w:hyperlink>
      <w:r w:rsidRPr="00610B1B">
        <w:rPr>
          <w:rFonts w:ascii="Times New Roman" w:eastAsia="Source Han Sans CN Regular" w:hAnsi="Times New Roman" w:cs="Times New Roman"/>
          <w:sz w:val="24"/>
          <w:szCs w:val="24"/>
          <w:lang w:val="bg-BG" w:eastAsia="zh-CN" w:bidi="hi-IN"/>
        </w:rPr>
        <w:t>;</w:t>
      </w:r>
    </w:p>
    <w:p w14:paraId="57E1EF28" w14:textId="06B2BE97" w:rsidR="00BE57CC" w:rsidRPr="00610B1B" w:rsidRDefault="00BE57CC" w:rsidP="00BE57CC">
      <w:pPr>
        <w:widowControl w:val="0"/>
        <w:numPr>
          <w:ilvl w:val="0"/>
          <w:numId w:val="94"/>
        </w:numPr>
        <w:spacing w:after="120"/>
        <w:ind w:left="284"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2005/35/EО на Европейския парламент и на Съвета от 7.09.2005 г. относно замърсяване от кораби и налагане на санкции при нарушения, </w:t>
      </w:r>
      <w:hyperlink r:id="rId84" w:history="1">
        <w:r w:rsidRPr="00610B1B">
          <w:rPr>
            <w:rFonts w:ascii="Times New Roman" w:eastAsia="Source Han Sans CN Regular" w:hAnsi="Times New Roman" w:cs="Times New Roman"/>
            <w:color w:val="0000FF"/>
            <w:sz w:val="24"/>
            <w:szCs w:val="24"/>
            <w:u w:val="single"/>
            <w:lang w:val="bg-BG" w:eastAsia="zh-CN" w:bidi="hi-IN"/>
          </w:rPr>
          <w:t>http://eur-lex.europa.eu/legal-content/BG/ALL/?uri=celex:32005L0035</w:t>
        </w:r>
      </w:hyperlink>
      <w:r w:rsidRPr="00610B1B">
        <w:rPr>
          <w:rFonts w:ascii="Times New Roman" w:eastAsia="Source Han Sans CN Regular" w:hAnsi="Times New Roman" w:cs="Times New Roman"/>
          <w:sz w:val="24"/>
          <w:szCs w:val="24"/>
          <w:lang w:val="bg-BG" w:eastAsia="zh-CN" w:bidi="hi-IN"/>
        </w:rPr>
        <w:t>;</w:t>
      </w:r>
    </w:p>
    <w:p w14:paraId="20ED70D3" w14:textId="0175E749" w:rsidR="00963B36" w:rsidRPr="00610B1B" w:rsidRDefault="00963B36"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w:t>
      </w:r>
      <w:bookmarkStart w:id="536" w:name="_Hlk83126446"/>
      <w:r w:rsidRPr="00610B1B">
        <w:rPr>
          <w:rFonts w:ascii="Times New Roman" w:eastAsia="Source Han Sans CN Regular" w:hAnsi="Times New Roman" w:cs="Times New Roman"/>
          <w:sz w:val="24"/>
          <w:szCs w:val="24"/>
          <w:lang w:val="bg-BG" w:eastAsia="zh-CN" w:bidi="hi-IN"/>
        </w:rPr>
        <w:t>Директива 2005/65/ЕО на Европейския парламент и на Съвета от 26.10.2005 год. за повишаване на сигурността на пристанищата (OB, L, 310 25.11.2005), изменена с Регламент (EO) No. 219/2009 на Европейския парламент и на Съвета от 11.03.2009 год. (OB, L, 87, 31.03.2009) и Регламент (EO) 2019/1243 на Европейския парламент и на Съвета от 20.06.20219 год. (OB, L, 198, 25.06.2019);</w:t>
      </w:r>
      <w:r w:rsidR="008753B6"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 </w:t>
      </w:r>
      <w:bookmarkEnd w:id="536"/>
    </w:p>
    <w:p w14:paraId="11A0C6A6"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2007/2/ЕО на Европейския парламент и на Съвета от 14.03.2007 г. за създаване на инфраструктура за пространствена информация на ЕО (INSPIRE);</w:t>
      </w:r>
    </w:p>
    <w:p w14:paraId="5FF17E1B"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2008/105/ЕО на Европейския парламент и на Съвета от 16.12. 2008 г. за определяне на стандарти за качество на околната среда в областта на политиката за водите, за изменение и последваща отмяна на директиви 82/176/ЕИО, 83/513/ЕИО, 84/156/ЕИО, 84/491/ЕИО 86/280/ЕИО на Съвета и за изменение на Директива 2000/60/ЕО на Европейския парламент и на Съвета (ОВ L 348, 24.12.2008 г.);</w:t>
      </w:r>
    </w:p>
    <w:p w14:paraId="4E7FCDAA" w14:textId="51B56993"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2008/114/ЕО на Съвета от</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8.12. 2008 г., относно установяването и означаването на европейски критични инфраструктури и оценката на необходимост от подобряване на тяхната защита;</w:t>
      </w:r>
    </w:p>
    <w:p w14:paraId="1801D644" w14:textId="2FB5D87B"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2008/56/ЕО на Европейския парламент и на съвета от 17.06</w:t>
      </w:r>
      <w:r w:rsidR="00AD38A7" w:rsidRPr="00610B1B">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2008 г. за създаване на рамка за действие на Общността в областта на политиката за морска среда (Рамкова директива за морска стратегия)</w:t>
      </w:r>
      <w:r w:rsidR="009463FB"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(Текст от значение за ЕИП)</w:t>
      </w:r>
      <w:r w:rsidR="009463FB"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OB L</w:t>
      </w:r>
      <w:r w:rsidR="009463FB"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164,</w:t>
      </w:r>
      <w:r w:rsidR="009463FB"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25.6.2008 г, стр. 19</w:t>
      </w:r>
      <w:r w:rsidR="00AD38A7" w:rsidRPr="00610B1B">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40;</w:t>
      </w:r>
    </w:p>
    <w:p w14:paraId="1985AA93" w14:textId="05EB2A38"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i/>
          <w:iCs/>
          <w:sz w:val="24"/>
          <w:szCs w:val="24"/>
          <w:lang w:val="bg-BG" w:eastAsia="zh-CN" w:bidi="hi-IN"/>
        </w:rPr>
      </w:pPr>
      <w:r w:rsidRPr="00610B1B">
        <w:rPr>
          <w:rFonts w:ascii="Times New Roman" w:eastAsia="Source Han Sans CN Regular" w:hAnsi="Times New Roman" w:cs="Times New Roman"/>
          <w:iCs/>
          <w:sz w:val="24"/>
          <w:szCs w:val="24"/>
          <w:lang w:val="bg-BG" w:eastAsia="zh-CN" w:bidi="hi-IN"/>
        </w:rPr>
        <w:t>Директива 2009/147/ЕО на Европейския парламент и на Съвета от 30.11.2009 г. относно опазването на дивите птици. OJ L 20, 26.1.2010, p. 7–25;</w:t>
      </w:r>
    </w:p>
    <w:p w14:paraId="37ED81E6"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2009/16/ЕО на Европейския парламент и на Съвета от 23.04. 2009 г. относно държавния пристанищен контрол; </w:t>
      </w:r>
    </w:p>
    <w:p w14:paraId="2D9D2CBF" w14:textId="12464D72"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2009/17/ЕО на Европейския парламент и на Съвета от 23.04.2009 г. за изменение на Директива 2002/59/ЕО относно създаване на система на Общността за контрол на движението на корабите и за информация </w:t>
      </w:r>
      <w:hyperlink r:id="rId85" w:history="1">
        <w:r w:rsidRPr="00610B1B">
          <w:rPr>
            <w:rFonts w:ascii="Times New Roman" w:eastAsia="Source Han Sans CN Regular" w:hAnsi="Times New Roman" w:cs="Times New Roman"/>
            <w:color w:val="0000FF"/>
            <w:sz w:val="24"/>
            <w:szCs w:val="24"/>
            <w:u w:val="single"/>
            <w:lang w:val="bg-BG" w:eastAsia="zh-CN" w:bidi="hi-IN"/>
          </w:rPr>
          <w:t>http://eur-lex.europa.eu/legal-content/BG/TXT/?uri=CELEX%3A32009L0017</w:t>
        </w:r>
      </w:hyperlink>
      <w:r w:rsidRPr="00610B1B">
        <w:rPr>
          <w:rFonts w:ascii="Times New Roman" w:eastAsia="Source Han Sans CN Regular" w:hAnsi="Times New Roman" w:cs="Times New Roman"/>
          <w:sz w:val="24"/>
          <w:szCs w:val="24"/>
          <w:lang w:val="bg-BG" w:eastAsia="zh-CN" w:bidi="hi-IN"/>
        </w:rPr>
        <w:t xml:space="preserve"> ;</w:t>
      </w:r>
    </w:p>
    <w:p w14:paraId="01CA6D36" w14:textId="2E15D6CC"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Директива 2009/28/ЕО на Европейския парламент и на Съвета от 23.04.2009 г. за насърчаване използването на енергия от ВЕИ, </w:t>
      </w:r>
      <w:hyperlink r:id="rId86" w:history="1">
        <w:r w:rsidRPr="00610B1B">
          <w:rPr>
            <w:rFonts w:ascii="Times New Roman" w:eastAsia="Source Han Sans CN Regular" w:hAnsi="Times New Roman" w:cs="Times New Roman"/>
            <w:color w:val="0000FF"/>
            <w:sz w:val="24"/>
            <w:szCs w:val="24"/>
            <w:u w:val="single"/>
            <w:lang w:val="bg-BG" w:eastAsia="zh-CN" w:bidi="hi-IN"/>
          </w:rPr>
          <w:t>https://eur-lex.europa.eu/legal-content/BG/TXT/HTML/?uri=CELEX:32009L0028&amp;from=BG</w:t>
        </w:r>
      </w:hyperlink>
      <w:r w:rsidRPr="00610B1B">
        <w:rPr>
          <w:rFonts w:ascii="Times New Roman" w:eastAsia="Source Han Sans CN Regular" w:hAnsi="Times New Roman" w:cs="Times New Roman"/>
          <w:sz w:val="24"/>
          <w:szCs w:val="24"/>
          <w:lang w:val="bg-BG" w:eastAsia="zh-CN" w:bidi="hi-IN"/>
        </w:rPr>
        <w:t xml:space="preserve"> ;</w:t>
      </w:r>
    </w:p>
    <w:p w14:paraId="4DCC7194" w14:textId="3F83156D"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2013/30/ЕС на Европейския парламент и на Съвета от 12.06.2013 г. относно безопасността на свързаните с нефт дейности в крайбрежни води и за изменение на Директива 2004/35/ЕО;</w:t>
      </w:r>
    </w:p>
    <w:p w14:paraId="78E840CA" w14:textId="1C6791FA" w:rsidR="009463FB" w:rsidRPr="00610B1B" w:rsidRDefault="00BE57CC" w:rsidP="00136FB2">
      <w:pPr>
        <w:widowControl w:val="0"/>
        <w:numPr>
          <w:ilvl w:val="0"/>
          <w:numId w:val="94"/>
        </w:numPr>
        <w:spacing w:after="6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2014/100/ЕС на Комисията от 28.10.2014 г. за изменение на Директива 2002/59/ЕО на Европейския парламент и на Съвета за създаване на система на Общността за контрол на движението на корабите</w:t>
      </w:r>
    </w:p>
    <w:p w14:paraId="372E271D" w14:textId="16DE156C" w:rsidR="00BE57CC" w:rsidRPr="00610B1B" w:rsidRDefault="0055393F" w:rsidP="009463FB">
      <w:pPr>
        <w:widowControl w:val="0"/>
        <w:spacing w:after="120"/>
        <w:ind w:left="-76" w:right="-153"/>
        <w:jc w:val="both"/>
        <w:rPr>
          <w:rFonts w:ascii="Times New Roman" w:eastAsia="Source Han Sans CN Regular" w:hAnsi="Times New Roman" w:cs="Times New Roman"/>
          <w:sz w:val="24"/>
          <w:szCs w:val="24"/>
          <w:lang w:val="bg-BG" w:eastAsia="zh-CN" w:bidi="hi-IN"/>
        </w:rPr>
      </w:pPr>
      <w:hyperlink r:id="rId87" w:history="1">
        <w:r w:rsidR="00BE57CC" w:rsidRPr="00610B1B">
          <w:rPr>
            <w:rFonts w:ascii="Times New Roman" w:eastAsia="Source Han Sans CN Regular" w:hAnsi="Times New Roman" w:cs="Times New Roman"/>
            <w:color w:val="0000FF"/>
            <w:sz w:val="24"/>
            <w:szCs w:val="24"/>
            <w:u w:val="single"/>
            <w:lang w:val="bg-BG" w:eastAsia="zh-CN" w:bidi="hi-IN"/>
          </w:rPr>
          <w:t>http://eur-lex.europa.eu/legal-content/BG/TXT/?uri=uriserv%3AOJ.L_.2014.308.01.0082.01.BUL</w:t>
        </w:r>
      </w:hyperlink>
      <w:r w:rsidR="00BE57CC" w:rsidRPr="00610B1B">
        <w:rPr>
          <w:rFonts w:ascii="Times New Roman" w:eastAsia="Source Han Sans CN Regular" w:hAnsi="Times New Roman" w:cs="Times New Roman"/>
          <w:sz w:val="24"/>
          <w:szCs w:val="24"/>
          <w:lang w:val="bg-BG" w:eastAsia="zh-CN" w:bidi="hi-IN"/>
        </w:rPr>
        <w:t xml:space="preserve"> ; </w:t>
      </w:r>
    </w:p>
    <w:p w14:paraId="009F670B" w14:textId="60E88462" w:rsidR="00BE57CC" w:rsidRPr="00610B1B" w:rsidRDefault="00BE57CC" w:rsidP="00963B36">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2014/89/ЕС от 23 юли 2014 г. за установяване на рамка за морско пространствено планиране </w:t>
      </w:r>
      <w:hyperlink r:id="rId88" w:history="1">
        <w:r w:rsidRPr="00610B1B">
          <w:rPr>
            <w:rFonts w:ascii="Times New Roman" w:eastAsia="Source Han Sans CN Regular" w:hAnsi="Times New Roman" w:cs="Times New Roman"/>
            <w:color w:val="0000FF"/>
            <w:sz w:val="24"/>
            <w:szCs w:val="24"/>
            <w:u w:val="single"/>
            <w:lang w:val="bg-BG" w:eastAsia="zh-CN" w:bidi="hi-IN"/>
          </w:rPr>
          <w:t>http://eur-lex.europa.eu/legal-content/BG/TXT/?uri=CELEX%3A32014L0089</w:t>
        </w:r>
      </w:hyperlink>
      <w:r w:rsidRPr="00610B1B">
        <w:rPr>
          <w:rFonts w:ascii="Times New Roman" w:eastAsia="Source Han Sans CN Regular" w:hAnsi="Times New Roman" w:cs="Times New Roman"/>
          <w:sz w:val="24"/>
          <w:szCs w:val="24"/>
          <w:lang w:val="bg-BG" w:eastAsia="zh-CN" w:bidi="hi-IN"/>
        </w:rPr>
        <w:t xml:space="preserve"> ;</w:t>
      </w:r>
    </w:p>
    <w:p w14:paraId="00AC162A" w14:textId="454B11DF" w:rsidR="00963B36" w:rsidRPr="00610B1B" w:rsidRDefault="00963B36"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Директива 2014/94/ЕС на Европейския парламент и на Съвета от 22 октомври 2014 г. за разгръщането на инфраструктура за алтернативни горива (ОВ, L 307, 28 октомври 2014 г.), изменена с Делегиран регламент (ЕС) 2018/674 на Комисията от 17 ноември 2017 г. (ОВ, L 114, 4 май 2018 г.);</w:t>
      </w:r>
    </w:p>
    <w:p w14:paraId="7E40CCDC" w14:textId="532B8DA0"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2015/2087/EО на Комисията от 18.11.2015 г. за изменение на приложение II към Директива 2000/59/ЕО на Европейския парламент и на Съвета относно пристанищните приемни съоръжения за отпадъци от експлоатацията на корабите и на остатъци от товари </w:t>
      </w:r>
      <w:hyperlink r:id="rId89" w:history="1">
        <w:r w:rsidRPr="00610B1B">
          <w:rPr>
            <w:rFonts w:ascii="Times New Roman" w:eastAsia="Source Han Sans CN Regular" w:hAnsi="Times New Roman" w:cs="Times New Roman"/>
            <w:color w:val="0000FF"/>
            <w:sz w:val="24"/>
            <w:szCs w:val="24"/>
            <w:u w:val="single"/>
            <w:lang w:val="bg-BG" w:eastAsia="zh-CN" w:bidi="hi-IN"/>
          </w:rPr>
          <w:t>http://eur-lex.europa.eu/legal-content/BG/TXT/?uri=CELEX%3A32015L2087</w:t>
        </w:r>
      </w:hyperlink>
      <w:r w:rsidRPr="00610B1B">
        <w:rPr>
          <w:rFonts w:ascii="Times New Roman" w:eastAsia="Source Han Sans CN Regular" w:hAnsi="Times New Roman" w:cs="Times New Roman"/>
          <w:sz w:val="24"/>
          <w:szCs w:val="24"/>
          <w:lang w:val="bg-BG" w:eastAsia="zh-CN" w:bidi="hi-IN"/>
        </w:rPr>
        <w:t xml:space="preserve"> ;</w:t>
      </w:r>
    </w:p>
    <w:p w14:paraId="544CD904" w14:textId="531A7669" w:rsidR="0090467F" w:rsidRPr="00610B1B" w:rsidRDefault="0090467F"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Директива 2019/883/ЕС на Европейския парламент и на Съвета от 17 април 2019 г. относно пристанищните приемни съоръжения за предаване на отпадъци от кораби, за изменение ан Директива 2010/65/ЕС и з-а отмяна на Директива 2000/59/ЕО; </w:t>
      </w:r>
    </w:p>
    <w:p w14:paraId="17001926"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i/>
          <w:iCs/>
          <w:sz w:val="24"/>
          <w:szCs w:val="24"/>
          <w:lang w:val="bg-BG" w:eastAsia="zh-CN" w:bidi="hi-IN"/>
        </w:rPr>
      </w:pPr>
      <w:r w:rsidRPr="00610B1B">
        <w:rPr>
          <w:rFonts w:ascii="Times New Roman" w:eastAsia="Source Han Sans CN Regular" w:hAnsi="Times New Roman" w:cs="Times New Roman"/>
          <w:iCs/>
          <w:sz w:val="24"/>
          <w:szCs w:val="24"/>
          <w:lang w:val="bg-BG" w:eastAsia="zh-CN" w:bidi="hi-IN"/>
        </w:rPr>
        <w:t xml:space="preserve">Директива 92/43/ЕИО на Съвета от 21.05.1992 г. за опазване на естествените </w:t>
      </w:r>
      <w:r w:rsidRPr="00610B1B">
        <w:rPr>
          <w:rFonts w:ascii="Times New Roman" w:eastAsia="Source Han Sans CN Regular" w:hAnsi="Times New Roman" w:cs="Times New Roman"/>
          <w:sz w:val="24"/>
          <w:szCs w:val="24"/>
          <w:lang w:val="bg-BG" w:eastAsia="zh-CN" w:bidi="hi-IN"/>
        </w:rPr>
        <w:t>местообитания и на дивата флора и фауна. OB L 206, 22.7.1992 г.;</w:t>
      </w:r>
    </w:p>
    <w:p w14:paraId="79D1842B" w14:textId="48E50DCA"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Зелена книга за бъдеща морска политика на Съюза: европейско виждане по отношение на океаните и моретата, Брюксел, 7.6.2006 г., </w:t>
      </w:r>
      <w:hyperlink r:id="rId90" w:history="1">
        <w:r w:rsidRPr="00610B1B">
          <w:rPr>
            <w:rFonts w:ascii="Times New Roman" w:eastAsia="Source Han Sans CN Regular" w:hAnsi="Times New Roman" w:cs="Times New Roman"/>
            <w:color w:val="0000FF"/>
            <w:sz w:val="24"/>
            <w:szCs w:val="24"/>
            <w:u w:val="single"/>
            <w:lang w:val="bg-BG" w:eastAsia="zh-CN" w:bidi="hi-IN"/>
          </w:rPr>
          <w:t>http://eur-lex.europa.eu/legal-content/EN/TXT/HTML/?uri=LEGISSUM:l66029&amp;from=EN</w:t>
        </w:r>
      </w:hyperlink>
      <w:r w:rsidR="00C415D1" w:rsidRPr="00610B1B">
        <w:rPr>
          <w:rFonts w:ascii="Times New Roman" w:eastAsia="Source Han Sans CN Regular" w:hAnsi="Times New Roman" w:cs="Times New Roman"/>
          <w:sz w:val="24"/>
          <w:szCs w:val="24"/>
          <w:lang w:val="bg-BG" w:eastAsia="zh-CN" w:bidi="hi-IN"/>
        </w:rPr>
        <w:t xml:space="preserve"> </w:t>
      </w:r>
    </w:p>
    <w:p w14:paraId="75C85CC1"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Интегрирано управление на крайбрежните зони 2002/413/ЕО, ОВ L148 (ИУКЗ)</w:t>
      </w:r>
    </w:p>
    <w:p w14:paraId="4D677950" w14:textId="5FB6D5C0" w:rsidR="00683586" w:rsidRPr="00610B1B" w:rsidRDefault="00683586" w:rsidP="00254155">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Регламент (ЕО) 725/2004 на Европейския парламент и Съюза от 31.03.20</w:t>
      </w:r>
      <w:r w:rsidR="00AE50C9">
        <w:rPr>
          <w:rFonts w:ascii="Times New Roman" w:eastAsia="Source Han Sans CN Regular" w:hAnsi="Times New Roman" w:cs="Times New Roman"/>
          <w:sz w:val="24"/>
          <w:szCs w:val="24"/>
          <w:lang w:val="bg-BG" w:eastAsia="zh-CN" w:bidi="hi-IN"/>
        </w:rPr>
        <w:t>0</w:t>
      </w:r>
      <w:r w:rsidRPr="00610B1B">
        <w:rPr>
          <w:rFonts w:ascii="Times New Roman" w:eastAsia="Source Han Sans CN Regular" w:hAnsi="Times New Roman" w:cs="Times New Roman"/>
          <w:sz w:val="24"/>
          <w:szCs w:val="24"/>
          <w:lang w:val="bg-BG" w:eastAsia="zh-CN" w:bidi="hi-IN"/>
        </w:rPr>
        <w:t>4 година относно подобряваяне сигурността на корабите и на пристанищните съоражения (OB, L 129, 29.04.20</w:t>
      </w:r>
      <w:r w:rsidR="00AE50C9">
        <w:rPr>
          <w:rFonts w:ascii="Times New Roman" w:eastAsia="Source Han Sans CN Regular" w:hAnsi="Times New Roman" w:cs="Times New Roman"/>
          <w:sz w:val="24"/>
          <w:szCs w:val="24"/>
          <w:lang w:val="bg-BG" w:eastAsia="zh-CN" w:bidi="hi-IN"/>
        </w:rPr>
        <w:t>0</w:t>
      </w:r>
      <w:r w:rsidRPr="00610B1B">
        <w:rPr>
          <w:rFonts w:ascii="Times New Roman" w:eastAsia="Source Han Sans CN Regular" w:hAnsi="Times New Roman" w:cs="Times New Roman"/>
          <w:sz w:val="24"/>
          <w:szCs w:val="24"/>
          <w:lang w:val="bg-BG" w:eastAsia="zh-CN" w:bidi="hi-IN"/>
        </w:rPr>
        <w:t>4), изменен с Решение на Комисията от 23.01.2009 година (OB, L, 29 31.01.2009) и Регламент (EO) № 219 / 2009 на Европейския парламент и на Съвета от 11.03.2009 год. (OB, L, 87, 31.03.2009).</w:t>
      </w:r>
    </w:p>
    <w:p w14:paraId="229B5120" w14:textId="19077BDE"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Регламент (ЕО) № 1010/2009 на Комисията от 22.10.2009 г. за създаване на система на Общността за предотвратяване, възпиране и премахване на незаконния, недеклариран и нерегулиран риболов; </w:t>
      </w:r>
    </w:p>
    <w:p w14:paraId="4F27C28C" w14:textId="435F58F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3BE4C8FB"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3B83F997"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Регламент (ЕО) № 1224/2009 на Съвета от 20.11.2009 г. за създаване на система за контрол на Общността за гарантиране на спазването на правилата на общата политика в областта на рибарството; </w:t>
      </w:r>
    </w:p>
    <w:p w14:paraId="510ADBD6" w14:textId="1DE6B7C3"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Регламент (ЕО) № 762/2008 на Европейския парламент и на Съвета от 9.07.2008 г.-</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за предоставянето от държавите-членки на статистикa относно аквакултурите и за отмяна на Регламент (ЕО) № 788/96 - Общата политика в областта на рибарството;</w:t>
      </w:r>
    </w:p>
    <w:p w14:paraId="28A0939C"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Регламент (ЕС) № 1255/2011 на Европейския парламент и на Съвета от 30.11.2011 г. за установяване на програма за подпомагане на по-нататъшното развитие на интегрираната морска политика;</w:t>
      </w:r>
    </w:p>
    <w:p w14:paraId="334B8C9B" w14:textId="4119370A"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Регламент (ЕС) № 1343/2011 на Европейския парламент и на Съвета от 13.12.2011 г. относно определени разпоредби за риболова в зоната по Споразумението за GFCM (Генералната комисия по рибарство в Средиземно море) и за изменение на Регламент (ЕО) № 1967/2006 на Съвета относно мерките за управление на устойчивата експлоатация на рибните ресурси в Средиземно море; </w:t>
      </w:r>
    </w:p>
    <w:p w14:paraId="745DF457"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Регламент (ЕС) № 1380/2013 а Европейския парламент и на Съвета от 11.12.2013 г. относно общата политика в областта на рибарството, за изменение на регламенти 1954/2003 и (ЕО) № 1224/2009 на Съвета и за отмяна на регламенти (ЕО) № 2371/2002 и (ЕО) № 639/2004 на Съвета и Решение 2004/585/ЕО;</w:t>
      </w:r>
    </w:p>
    <w:p w14:paraId="5373AC3C"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Регламент (ЕС) № 2371/2002 на Съвета от 20.12.2002 г. относно опазването и устойчивата експлоатация на рибните ресурси в рамките на общата политика в областта на рибарството;</w:t>
      </w:r>
    </w:p>
    <w:p w14:paraId="17A352BD" w14:textId="0EE0AEF5"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Регламент (ЕС) № 508/2014</w:t>
      </w:r>
      <w:r w:rsidRPr="00610B1B">
        <w:rPr>
          <w:rFonts w:ascii="Times New Roman" w:eastAsia="Source Han Sans CN Regular" w:hAnsi="Times New Roman" w:cs="Times New Roman"/>
          <w:sz w:val="24"/>
          <w:szCs w:val="24"/>
          <w:shd w:val="clear" w:color="auto" w:fill="FFFFFF"/>
          <w:lang w:val="bg-BG" w:eastAsia="zh-CN" w:bidi="hi-IN"/>
        </w:rPr>
        <w:t xml:space="preserve"> на Европейския парламент и на Съвета от 15.05.2014 г</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за Европейския фонд за морско дело и рибарство и за отмяна на регламенти (ЕО) № 2328/2003, (ЕО) № 861/2006, (ЕО) № 1198/2006 и (ЕО) № 791/2007 на Съвета и Регламент (ЕС) № 1255/2011 на Европейския парламент и на Съвета; </w:t>
      </w:r>
    </w:p>
    <w:p w14:paraId="6FA9E770" w14:textId="164ECFFC"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Регламент (ЕС) 2017/352 на Европейския парламент и на Съвета от 15 февруари 2017 година за създаване на рамка за предоставянето на пристанищни услуги и общи правила за финансовата прозрачност на пристанищата </w:t>
      </w:r>
      <w:hyperlink r:id="rId91" w:history="1">
        <w:r w:rsidRPr="00610B1B">
          <w:rPr>
            <w:rFonts w:ascii="Times New Roman" w:eastAsia="Source Han Sans CN Regular" w:hAnsi="Times New Roman" w:cs="Times New Roman"/>
            <w:color w:val="0000FF"/>
            <w:sz w:val="24"/>
            <w:szCs w:val="24"/>
            <w:u w:val="single"/>
            <w:lang w:val="bg-BG" w:eastAsia="zh-CN" w:bidi="hi-IN"/>
          </w:rPr>
          <w:t>https://eur-lex.europa.eu/legal-content/BG/TXT/PDF/?uri=CELEX:32017R0352&amp;from=BG</w:t>
        </w:r>
      </w:hyperlink>
      <w:r w:rsidRPr="00610B1B">
        <w:rPr>
          <w:rFonts w:ascii="Times New Roman" w:eastAsia="Source Han Sans CN Regular" w:hAnsi="Times New Roman" w:cs="Times New Roman"/>
          <w:sz w:val="24"/>
          <w:szCs w:val="24"/>
          <w:lang w:val="bg-BG" w:eastAsia="zh-CN" w:bidi="hi-IN"/>
        </w:rPr>
        <w:t xml:space="preserve"> </w:t>
      </w:r>
    </w:p>
    <w:p w14:paraId="6420982A" w14:textId="33A4953C"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Решение 2010/477/ЕС на Комисията от 1.09.2010 г на Комисията относно критериите</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и методологическите стандарти за добър екологичен статус на морските води;</w:t>
      </w:r>
    </w:p>
    <w:p w14:paraId="517A736D" w14:textId="67C86770"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Решение № 884/2004/ЕО</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за развитието на Трансевропейските транспортна мрежа;</w:t>
      </w:r>
    </w:p>
    <w:p w14:paraId="61AAF337" w14:textId="289354D5"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Решение на Съвета от 13 септември 2010 във връзка с Протокола за интегрирано управление на крайбрежните зони в Средиземно море към</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Конвенцията за защита на морската среда и крайбрежния район на Средиземно море.</w:t>
      </w:r>
    </w:p>
    <w:p w14:paraId="76415DEB" w14:textId="688DA29A"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Синя книга за интегрирана морска политика за Европейския съюз, Брюксел, 10.10.2007, </w:t>
      </w:r>
      <w:hyperlink r:id="rId92" w:history="1">
        <w:r w:rsidR="009918C6" w:rsidRPr="00610B1B">
          <w:rPr>
            <w:rStyle w:val="Hyperlink"/>
            <w:rFonts w:ascii="Times New Roman" w:eastAsia="Source Han Sans CN Regular" w:hAnsi="Times New Roman" w:cs="Times New Roman"/>
            <w:sz w:val="24"/>
            <w:szCs w:val="24"/>
            <w:lang w:val="bg-BG" w:eastAsia="zh-CN" w:bidi="hi-IN"/>
          </w:rPr>
          <w:t>http://www.europarl.europa.eu/RegData/docs_autres_institutions/commission_europeenne/com/2007/0575/COM_COM(2007)0575_BG.pdf</w:t>
        </w:r>
      </w:hyperlink>
      <w:r w:rsidR="009918C6" w:rsidRPr="00390518">
        <w:rPr>
          <w:rFonts w:ascii="Times New Roman" w:eastAsia="Source Han Sans CN Regular" w:hAnsi="Times New Roman" w:cs="Times New Roman"/>
          <w:sz w:val="24"/>
          <w:szCs w:val="24"/>
          <w:lang w:val="bg-BG" w:eastAsia="zh-CN" w:bidi="hi-IN"/>
        </w:rPr>
        <w:t xml:space="preserve"> </w:t>
      </w:r>
    </w:p>
    <w:p w14:paraId="0BAF12E6" w14:textId="5674B448" w:rsidR="009918C6" w:rsidRPr="00390518"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563506DF"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44BCF183" w14:textId="77777777" w:rsidR="00BE57CC" w:rsidRPr="00610B1B" w:rsidRDefault="00BE57CC" w:rsidP="00136FB2">
      <w:pPr>
        <w:widowControl w:val="0"/>
        <w:numPr>
          <w:ilvl w:val="0"/>
          <w:numId w:val="94"/>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Commission Decision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EU</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2017/848 of 17.05. 2017 laying down criteria and methodological standards on good environmental status of marine waters and specifications and standardised methods for monitoring and assessment, and repealing Decision 2010/477/EU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Official Journal L 125, p. 43–74.</w:t>
      </w:r>
    </w:p>
    <w:p w14:paraId="1F8A1339" w14:textId="77777777" w:rsidR="00BE57CC" w:rsidRPr="00610B1B" w:rsidRDefault="00BE57CC" w:rsidP="00BE57CC">
      <w:pPr>
        <w:widowControl w:val="0"/>
        <w:spacing w:after="120"/>
        <w:ind w:right="-153"/>
        <w:jc w:val="both"/>
        <w:rPr>
          <w:rFonts w:ascii="Times New Roman" w:eastAsia="Source Han Sans CN Regular" w:hAnsi="Times New Roman" w:cs="Times New Roman"/>
          <w:b/>
          <w:sz w:val="24"/>
          <w:szCs w:val="24"/>
          <w:lang w:val="bg-BG" w:eastAsia="zh-CN" w:bidi="hi-IN"/>
        </w:rPr>
      </w:pPr>
    </w:p>
    <w:p w14:paraId="0F102303" w14:textId="77777777" w:rsidR="00BE57CC" w:rsidRPr="00610B1B" w:rsidRDefault="00BE57CC" w:rsidP="00BE57CC">
      <w:pPr>
        <w:keepNext/>
        <w:widowControl w:val="0"/>
        <w:numPr>
          <w:ilvl w:val="1"/>
          <w:numId w:val="1"/>
        </w:numPr>
        <w:spacing w:after="120"/>
        <w:ind w:right="-153"/>
        <w:outlineLvl w:val="1"/>
        <w:rPr>
          <w:rFonts w:ascii="Times New Roman" w:eastAsia="Source Han Sans CN Regular" w:hAnsi="Times New Roman" w:cs="Times New Roman"/>
          <w:b/>
          <w:bCs/>
          <w:color w:val="0F243E" w:themeColor="text2" w:themeShade="80"/>
          <w:sz w:val="32"/>
          <w:szCs w:val="32"/>
          <w:lang w:val="bg-BG" w:eastAsia="zh-CN" w:bidi="hi-IN"/>
        </w:rPr>
      </w:pPr>
      <w:bookmarkStart w:id="537" w:name="_Toc56961586"/>
      <w:bookmarkStart w:id="538" w:name="_Toc83391458"/>
      <w:r w:rsidRPr="00610B1B">
        <w:rPr>
          <w:rFonts w:ascii="Times New Roman" w:eastAsia="Source Han Sans CN Regular" w:hAnsi="Times New Roman" w:cs="Times New Roman"/>
          <w:b/>
          <w:bCs/>
          <w:color w:val="0F243E" w:themeColor="text2" w:themeShade="80"/>
          <w:sz w:val="32"/>
          <w:szCs w:val="32"/>
          <w:lang w:val="bg-BG" w:eastAsia="zh-CN" w:bidi="hi-IN"/>
        </w:rPr>
        <w:t>11.3. Национални законодателни документи</w:t>
      </w:r>
      <w:bookmarkEnd w:id="537"/>
      <w:bookmarkEnd w:id="538"/>
    </w:p>
    <w:p w14:paraId="791BF17E" w14:textId="77777777" w:rsidR="00BE57CC" w:rsidRPr="00610B1B" w:rsidRDefault="00BE57CC" w:rsidP="00BE57CC">
      <w:pPr>
        <w:widowControl w:val="0"/>
        <w:numPr>
          <w:ilvl w:val="0"/>
          <w:numId w:val="95"/>
        </w:numPr>
        <w:spacing w:after="120"/>
        <w:ind w:right="-153"/>
        <w:jc w:val="both"/>
        <w:rPr>
          <w:rFonts w:ascii="Times New Roman" w:eastAsia="Source Han Sans CN Regular" w:hAnsi="Times New Roman" w:cs="Times New Roman"/>
          <w:iCs/>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биологичното разнообразие, (обн. ДВ, бр.77от 9.08.2002 г., изм. и доп., ДВ бр. 98/27.11.2018 г.</w:t>
      </w:r>
      <w:r w:rsidRPr="00610B1B">
        <w:rPr>
          <w:rFonts w:ascii="Times New Roman" w:eastAsia="Source Han Sans CN Regular" w:hAnsi="Times New Roman" w:cs="Times New Roman"/>
          <w:iCs/>
          <w:sz w:val="24"/>
          <w:szCs w:val="24"/>
          <w:lang w:val="bg-BG" w:eastAsia="zh-CN" w:bidi="hi-IN"/>
        </w:rPr>
        <w:t>)</w:t>
      </w:r>
    </w:p>
    <w:p w14:paraId="400C72F2" w14:textId="308EA2D4" w:rsidR="00BE57CC" w:rsidRPr="00610B1B" w:rsidRDefault="00BE57CC" w:rsidP="00260B7D">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водите (обн. ДВ бр. 67от 1999 г.,</w:t>
      </w:r>
      <w:r w:rsidR="00260B7D" w:rsidRPr="00610B1B">
        <w:rPr>
          <w:rFonts w:ascii="Times New Roman" w:hAnsi="Times New Roman" w:cs="Times New Roman"/>
          <w:lang w:val="bg-BG"/>
        </w:rPr>
        <w:t xml:space="preserve"> </w:t>
      </w:r>
      <w:r w:rsidR="00260B7D" w:rsidRPr="00610B1B">
        <w:rPr>
          <w:rFonts w:ascii="Times New Roman" w:eastAsia="Source Han Sans CN Regular" w:hAnsi="Times New Roman" w:cs="Times New Roman"/>
          <w:sz w:val="24"/>
          <w:szCs w:val="24"/>
          <w:lang w:val="bg-BG" w:eastAsia="zh-CN" w:bidi="hi-IN"/>
        </w:rPr>
        <w:t xml:space="preserve">изм. и доп., </w:t>
      </w:r>
      <w:r w:rsidR="00584B96" w:rsidRPr="00610B1B">
        <w:rPr>
          <w:rFonts w:ascii="Times New Roman" w:eastAsia="Source Han Sans CN Regular" w:hAnsi="Times New Roman" w:cs="Times New Roman"/>
          <w:sz w:val="24"/>
          <w:szCs w:val="24"/>
          <w:lang w:val="bg-BG" w:eastAsia="zh-CN" w:bidi="hi-IN"/>
        </w:rPr>
        <w:t xml:space="preserve">ДВ </w:t>
      </w:r>
      <w:r w:rsidR="006F4739" w:rsidRPr="00610B1B">
        <w:rPr>
          <w:rFonts w:ascii="Times New Roman" w:eastAsia="Source Han Sans CN Regular" w:hAnsi="Times New Roman" w:cs="Times New Roman"/>
          <w:sz w:val="24"/>
          <w:szCs w:val="24"/>
          <w:lang w:val="bg-BG" w:eastAsia="zh-CN" w:bidi="hi-IN"/>
        </w:rPr>
        <w:t>бр. 17/</w:t>
      </w:r>
      <w:r w:rsidR="00260B7D" w:rsidRPr="00610B1B">
        <w:rPr>
          <w:rFonts w:ascii="Times New Roman" w:eastAsia="Source Han Sans CN Regular" w:hAnsi="Times New Roman" w:cs="Times New Roman"/>
          <w:sz w:val="24"/>
          <w:szCs w:val="24"/>
          <w:lang w:val="bg-BG" w:eastAsia="zh-CN" w:bidi="hi-IN"/>
        </w:rPr>
        <w:t>26.02.2021 г.</w:t>
      </w:r>
      <w:r w:rsidRPr="00610B1B">
        <w:rPr>
          <w:rFonts w:ascii="Times New Roman" w:eastAsia="Source Han Sans CN Regular" w:hAnsi="Times New Roman" w:cs="Times New Roman"/>
          <w:sz w:val="24"/>
          <w:szCs w:val="24"/>
          <w:lang w:val="bg-BG" w:eastAsia="zh-CN" w:bidi="hi-IN"/>
        </w:rPr>
        <w:t>);</w:t>
      </w:r>
    </w:p>
    <w:p w14:paraId="50A02D5E" w14:textId="2BA82CB9" w:rsidR="00BE57CC" w:rsidRPr="00610B1B" w:rsidRDefault="00BE57CC" w:rsidP="00260B7D">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геодезията и картографията (обн.</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ДВ. бр.29/07.04. 2006 г.,</w:t>
      </w:r>
      <w:r w:rsidR="00896C45" w:rsidRPr="00610B1B">
        <w:rPr>
          <w:rFonts w:ascii="Times New Roman" w:eastAsia="Source Han Sans CN Regular" w:hAnsi="Times New Roman" w:cs="Times New Roman"/>
          <w:sz w:val="24"/>
          <w:szCs w:val="24"/>
          <w:lang w:val="bg-BG" w:eastAsia="zh-CN" w:bidi="hi-IN"/>
        </w:rPr>
        <w:t xml:space="preserve"> </w:t>
      </w:r>
      <w:r w:rsidR="00260B7D" w:rsidRPr="00610B1B">
        <w:rPr>
          <w:rFonts w:ascii="Times New Roman" w:eastAsia="Source Han Sans CN Regular" w:hAnsi="Times New Roman" w:cs="Times New Roman"/>
          <w:sz w:val="24"/>
          <w:szCs w:val="24"/>
          <w:lang w:val="bg-BG" w:eastAsia="zh-CN" w:bidi="hi-IN"/>
        </w:rPr>
        <w:t xml:space="preserve">изм. и доп., </w:t>
      </w:r>
      <w:r w:rsidR="00584B96" w:rsidRPr="00610B1B">
        <w:rPr>
          <w:rFonts w:ascii="Times New Roman" w:eastAsia="Source Han Sans CN Regular" w:hAnsi="Times New Roman" w:cs="Times New Roman"/>
          <w:sz w:val="24"/>
          <w:szCs w:val="24"/>
          <w:lang w:val="bg-BG" w:eastAsia="zh-CN" w:bidi="hi-IN"/>
        </w:rPr>
        <w:t xml:space="preserve">ДВ </w:t>
      </w:r>
      <w:r w:rsidR="00260B7D" w:rsidRPr="00610B1B">
        <w:rPr>
          <w:rFonts w:ascii="Times New Roman" w:eastAsia="Source Han Sans CN Regular" w:hAnsi="Times New Roman" w:cs="Times New Roman"/>
          <w:sz w:val="24"/>
          <w:szCs w:val="24"/>
          <w:lang w:val="bg-BG" w:eastAsia="zh-CN" w:bidi="hi-IN"/>
        </w:rPr>
        <w:t>бр. 41</w:t>
      </w:r>
      <w:r w:rsidR="006F4739" w:rsidRPr="00610B1B">
        <w:rPr>
          <w:rFonts w:ascii="Times New Roman" w:eastAsia="Source Han Sans CN Regular" w:hAnsi="Times New Roman" w:cs="Times New Roman"/>
          <w:sz w:val="24"/>
          <w:szCs w:val="24"/>
          <w:lang w:val="bg-BG" w:eastAsia="zh-CN" w:bidi="hi-IN"/>
        </w:rPr>
        <w:t>/</w:t>
      </w:r>
      <w:r w:rsidR="00260B7D" w:rsidRPr="00610B1B">
        <w:rPr>
          <w:rFonts w:ascii="Times New Roman" w:eastAsia="Source Han Sans CN Regular" w:hAnsi="Times New Roman" w:cs="Times New Roman"/>
          <w:sz w:val="24"/>
          <w:szCs w:val="24"/>
          <w:lang w:val="bg-BG" w:eastAsia="zh-CN" w:bidi="hi-IN"/>
        </w:rPr>
        <w:t xml:space="preserve"> 21.05.2019 г., в сила от 22.08.2019 г.</w:t>
      </w:r>
      <w:r w:rsidRPr="00610B1B">
        <w:rPr>
          <w:rFonts w:ascii="Times New Roman" w:eastAsia="Source Han Sans CN Regular" w:hAnsi="Times New Roman" w:cs="Times New Roman"/>
          <w:sz w:val="24"/>
          <w:szCs w:val="24"/>
          <w:lang w:val="bg-BG" w:eastAsia="zh-CN" w:bidi="hi-IN"/>
        </w:rPr>
        <w:t>.)</w:t>
      </w:r>
    </w:p>
    <w:p w14:paraId="2BF9513B" w14:textId="1A042342" w:rsidR="00BE57CC" w:rsidRPr="00610B1B" w:rsidRDefault="00BE57CC" w:rsidP="00260B7D">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задълженията към международния фонд за обезщетение при щети, причинени от замърсяване с нефт (обн. ДВ бр. 34/2005 г.</w:t>
      </w:r>
      <w:r w:rsidR="00260B7D" w:rsidRPr="00610B1B">
        <w:rPr>
          <w:rFonts w:ascii="Times New Roman" w:eastAsia="Source Han Sans CN Regular" w:hAnsi="Times New Roman" w:cs="Times New Roman"/>
          <w:sz w:val="24"/>
          <w:szCs w:val="24"/>
          <w:lang w:val="bg-BG" w:eastAsia="zh-CN" w:bidi="hi-IN"/>
        </w:rPr>
        <w:t>,</w:t>
      </w:r>
      <w:r w:rsidR="00260B7D" w:rsidRPr="00610B1B">
        <w:rPr>
          <w:rFonts w:ascii="Times New Roman" w:hAnsi="Times New Roman" w:cs="Times New Roman"/>
          <w:lang w:val="bg-BG"/>
        </w:rPr>
        <w:t xml:space="preserve"> </w:t>
      </w:r>
      <w:r w:rsidR="00260B7D" w:rsidRPr="00610B1B">
        <w:rPr>
          <w:rFonts w:ascii="Times New Roman" w:eastAsia="Source Han Sans CN Regular" w:hAnsi="Times New Roman" w:cs="Times New Roman"/>
          <w:sz w:val="24"/>
          <w:szCs w:val="24"/>
          <w:lang w:val="bg-BG" w:eastAsia="zh-CN" w:bidi="hi-IN"/>
        </w:rPr>
        <w:t xml:space="preserve">изм. и доп., </w:t>
      </w:r>
      <w:r w:rsidR="00584B96" w:rsidRPr="00610B1B">
        <w:rPr>
          <w:rFonts w:ascii="Times New Roman" w:eastAsia="Source Han Sans CN Regular" w:hAnsi="Times New Roman" w:cs="Times New Roman"/>
          <w:sz w:val="24"/>
          <w:szCs w:val="24"/>
          <w:lang w:val="bg-BG" w:eastAsia="zh-CN" w:bidi="hi-IN"/>
        </w:rPr>
        <w:t xml:space="preserve">ДВ </w:t>
      </w:r>
      <w:r w:rsidR="006F4739" w:rsidRPr="00610B1B">
        <w:rPr>
          <w:rFonts w:ascii="Times New Roman" w:eastAsia="Source Han Sans CN Regular" w:hAnsi="Times New Roman" w:cs="Times New Roman"/>
          <w:sz w:val="24"/>
          <w:szCs w:val="24"/>
          <w:lang w:val="bg-BG" w:eastAsia="zh-CN" w:bidi="hi-IN"/>
        </w:rPr>
        <w:t>бр. 33/</w:t>
      </w:r>
      <w:r w:rsidR="00260B7D" w:rsidRPr="00610B1B">
        <w:rPr>
          <w:rFonts w:ascii="Times New Roman" w:eastAsia="Source Han Sans CN Regular" w:hAnsi="Times New Roman" w:cs="Times New Roman"/>
          <w:sz w:val="24"/>
          <w:szCs w:val="24"/>
          <w:lang w:val="bg-BG" w:eastAsia="zh-CN" w:bidi="hi-IN"/>
        </w:rPr>
        <w:t xml:space="preserve"> 30.04.2009 г. </w:t>
      </w:r>
      <w:r w:rsidRPr="00610B1B">
        <w:rPr>
          <w:rFonts w:ascii="Times New Roman" w:eastAsia="Source Han Sans CN Regular" w:hAnsi="Times New Roman" w:cs="Times New Roman"/>
          <w:sz w:val="24"/>
          <w:szCs w:val="24"/>
          <w:lang w:val="bg-BG" w:eastAsia="zh-CN" w:bidi="hi-IN"/>
        </w:rPr>
        <w:t>);</w:t>
      </w:r>
    </w:p>
    <w:p w14:paraId="16AE155C" w14:textId="30153BEE" w:rsidR="00BE57CC" w:rsidRPr="00610B1B" w:rsidRDefault="00BE57CC" w:rsidP="00753FBA">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защита при бедствия (обн. ДВ бр. 102/2006 г.,</w:t>
      </w:r>
      <w:r w:rsidR="00753FBA" w:rsidRPr="00610B1B">
        <w:rPr>
          <w:rFonts w:ascii="Times New Roman" w:hAnsi="Times New Roman" w:cs="Times New Roman"/>
          <w:lang w:val="bg-BG"/>
        </w:rPr>
        <w:t xml:space="preserve"> </w:t>
      </w:r>
      <w:r w:rsidR="00753FBA" w:rsidRPr="00610B1B">
        <w:rPr>
          <w:rFonts w:ascii="Times New Roman" w:eastAsia="Source Han Sans CN Regular" w:hAnsi="Times New Roman" w:cs="Times New Roman"/>
          <w:sz w:val="24"/>
          <w:szCs w:val="24"/>
          <w:lang w:val="bg-BG" w:eastAsia="zh-CN" w:bidi="hi-IN"/>
        </w:rPr>
        <w:t xml:space="preserve">изм. и доп., </w:t>
      </w:r>
      <w:r w:rsidR="00584B96" w:rsidRPr="00610B1B">
        <w:rPr>
          <w:rFonts w:ascii="Times New Roman" w:eastAsia="Source Han Sans CN Regular" w:hAnsi="Times New Roman" w:cs="Times New Roman"/>
          <w:sz w:val="24"/>
          <w:szCs w:val="24"/>
          <w:lang w:val="bg-BG" w:eastAsia="zh-CN" w:bidi="hi-IN"/>
        </w:rPr>
        <w:t xml:space="preserve">ДВ </w:t>
      </w:r>
      <w:r w:rsidR="00753FBA" w:rsidRPr="00610B1B">
        <w:rPr>
          <w:rFonts w:ascii="Times New Roman" w:eastAsia="Source Han Sans CN Regular" w:hAnsi="Times New Roman" w:cs="Times New Roman"/>
          <w:sz w:val="24"/>
          <w:szCs w:val="24"/>
          <w:lang w:val="bg-BG" w:eastAsia="zh-CN" w:bidi="hi-IN"/>
        </w:rPr>
        <w:t>бр. 97 от 5.12.2017 г., бр. 77 от 18.09.2018 г., в сила от 1.01.2019 г., бр. 60 от 7.07.2020 г.</w:t>
      </w:r>
      <w:r w:rsidRPr="00610B1B">
        <w:rPr>
          <w:rFonts w:ascii="Times New Roman" w:eastAsia="Source Han Sans CN Regular" w:hAnsi="Times New Roman" w:cs="Times New Roman"/>
          <w:sz w:val="24"/>
          <w:szCs w:val="24"/>
          <w:lang w:val="bg-BG" w:eastAsia="zh-CN" w:bidi="hi-IN"/>
        </w:rPr>
        <w:t>);</w:t>
      </w:r>
    </w:p>
    <w:p w14:paraId="2F76247E" w14:textId="41A336DA" w:rsidR="00BE57CC" w:rsidRPr="00610B1B" w:rsidRDefault="00BE57CC" w:rsidP="00753FBA">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Закон за защитените територии (обн. ДВ бр. 133/1998 г., </w:t>
      </w:r>
      <w:r w:rsidR="00896C45" w:rsidRPr="00610B1B">
        <w:rPr>
          <w:rFonts w:ascii="Times New Roman" w:eastAsia="Source Han Sans CN Regular" w:hAnsi="Times New Roman" w:cs="Times New Roman"/>
          <w:sz w:val="24"/>
          <w:szCs w:val="24"/>
          <w:lang w:val="bg-BG" w:eastAsia="zh-CN" w:bidi="hi-IN"/>
        </w:rPr>
        <w:t>изм.</w:t>
      </w:r>
      <w:r w:rsidR="00753FBA" w:rsidRPr="00610B1B">
        <w:rPr>
          <w:rFonts w:ascii="Times New Roman" w:eastAsia="Source Han Sans CN Regular" w:hAnsi="Times New Roman" w:cs="Times New Roman"/>
          <w:sz w:val="24"/>
          <w:szCs w:val="24"/>
          <w:lang w:val="bg-BG" w:eastAsia="zh-CN" w:bidi="hi-IN"/>
        </w:rPr>
        <w:t xml:space="preserve">, </w:t>
      </w:r>
      <w:r w:rsidR="00584B96" w:rsidRPr="00610B1B">
        <w:rPr>
          <w:rFonts w:ascii="Times New Roman" w:eastAsia="Source Han Sans CN Regular" w:hAnsi="Times New Roman" w:cs="Times New Roman"/>
          <w:sz w:val="24"/>
          <w:szCs w:val="24"/>
          <w:lang w:val="bg-BG" w:eastAsia="zh-CN" w:bidi="hi-IN"/>
        </w:rPr>
        <w:t xml:space="preserve">ДВ </w:t>
      </w:r>
      <w:r w:rsidR="00753FBA" w:rsidRPr="00610B1B">
        <w:rPr>
          <w:rFonts w:ascii="Times New Roman" w:eastAsia="Source Han Sans CN Regular" w:hAnsi="Times New Roman" w:cs="Times New Roman"/>
          <w:sz w:val="24"/>
          <w:szCs w:val="24"/>
          <w:lang w:val="bg-BG" w:eastAsia="zh-CN" w:bidi="hi-IN"/>
        </w:rPr>
        <w:t>бр. 21 от 12.03.2021 г.</w:t>
      </w:r>
      <w:r w:rsidRPr="00610B1B">
        <w:rPr>
          <w:rFonts w:ascii="Times New Roman" w:eastAsia="Source Han Sans CN Regular" w:hAnsi="Times New Roman" w:cs="Times New Roman"/>
          <w:sz w:val="24"/>
          <w:szCs w:val="24"/>
          <w:lang w:val="bg-BG" w:eastAsia="zh-CN" w:bidi="hi-IN"/>
        </w:rPr>
        <w:t>);</w:t>
      </w:r>
    </w:p>
    <w:p w14:paraId="6262C6D8" w14:textId="56026A83" w:rsidR="00BE57CC" w:rsidRPr="00610B1B" w:rsidRDefault="00BE57CC" w:rsidP="00753FBA">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здравето (обн. ДВ бр. 70/2007 г.,</w:t>
      </w:r>
      <w:r w:rsidR="00753FBA" w:rsidRPr="00610B1B">
        <w:rPr>
          <w:rFonts w:ascii="Times New Roman" w:hAnsi="Times New Roman" w:cs="Times New Roman"/>
          <w:lang w:val="bg-BG"/>
        </w:rPr>
        <w:t xml:space="preserve"> </w:t>
      </w:r>
      <w:r w:rsidR="00753FBA" w:rsidRPr="00610B1B">
        <w:rPr>
          <w:rFonts w:ascii="Times New Roman" w:eastAsia="Source Han Sans CN Regular" w:hAnsi="Times New Roman" w:cs="Times New Roman"/>
          <w:sz w:val="24"/>
          <w:szCs w:val="24"/>
          <w:lang w:val="bg-BG" w:eastAsia="zh-CN" w:bidi="hi-IN"/>
        </w:rPr>
        <w:t xml:space="preserve">доп., </w:t>
      </w:r>
      <w:r w:rsidR="00584B96" w:rsidRPr="00610B1B">
        <w:rPr>
          <w:rFonts w:ascii="Times New Roman" w:eastAsia="Source Han Sans CN Regular" w:hAnsi="Times New Roman" w:cs="Times New Roman"/>
          <w:sz w:val="24"/>
          <w:szCs w:val="24"/>
          <w:lang w:val="bg-BG" w:eastAsia="zh-CN" w:bidi="hi-IN"/>
        </w:rPr>
        <w:t xml:space="preserve">ДВ </w:t>
      </w:r>
      <w:r w:rsidR="00753FBA" w:rsidRPr="00610B1B">
        <w:rPr>
          <w:rFonts w:ascii="Times New Roman" w:eastAsia="Source Han Sans CN Regular" w:hAnsi="Times New Roman" w:cs="Times New Roman"/>
          <w:sz w:val="24"/>
          <w:szCs w:val="24"/>
          <w:lang w:val="bg-BG" w:eastAsia="zh-CN" w:bidi="hi-IN"/>
        </w:rPr>
        <w:t>бр. 21 от 12.03.2021 г., в сила от 12.03.2021 г.</w:t>
      </w:r>
      <w:r w:rsidRPr="00610B1B">
        <w:rPr>
          <w:rFonts w:ascii="Times New Roman" w:eastAsia="Source Han Sans CN Regular" w:hAnsi="Times New Roman" w:cs="Times New Roman"/>
          <w:sz w:val="24"/>
          <w:szCs w:val="24"/>
          <w:lang w:val="bg-BG" w:eastAsia="zh-CN" w:bidi="hi-IN"/>
        </w:rPr>
        <w:t>);</w:t>
      </w:r>
    </w:p>
    <w:p w14:paraId="02733AD8" w14:textId="3CAA93CE" w:rsidR="00BE57CC" w:rsidRPr="00610B1B" w:rsidRDefault="00BE57CC" w:rsidP="00753FBA">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морските пространства, вътрешните водни пътища и пристанищата на Република България (ЗМПВВППРБ, обн. ДВ бр. 12/2000 г. изм</w:t>
      </w:r>
      <w:r w:rsidR="00896C45" w:rsidRPr="00610B1B">
        <w:rPr>
          <w:rFonts w:ascii="Times New Roman" w:eastAsia="Source Han Sans CN Regular" w:hAnsi="Times New Roman" w:cs="Times New Roman"/>
          <w:sz w:val="24"/>
          <w:szCs w:val="24"/>
          <w:lang w:val="bg-BG" w:eastAsia="zh-CN" w:bidi="hi-IN"/>
        </w:rPr>
        <w:t>.</w:t>
      </w:r>
      <w:r w:rsidR="00753FBA" w:rsidRPr="00610B1B">
        <w:rPr>
          <w:rFonts w:ascii="Times New Roman" w:hAnsi="Times New Roman" w:cs="Times New Roman"/>
          <w:lang w:val="bg-BG"/>
        </w:rPr>
        <w:t xml:space="preserve"> </w:t>
      </w:r>
      <w:r w:rsidR="00753FBA" w:rsidRPr="00610B1B">
        <w:rPr>
          <w:rFonts w:ascii="Times New Roman" w:eastAsia="Source Han Sans CN Regular" w:hAnsi="Times New Roman" w:cs="Times New Roman"/>
          <w:sz w:val="24"/>
          <w:szCs w:val="24"/>
          <w:lang w:val="bg-BG" w:eastAsia="zh-CN" w:bidi="hi-IN"/>
        </w:rPr>
        <w:t xml:space="preserve">и доп., </w:t>
      </w:r>
      <w:r w:rsidR="00584B96" w:rsidRPr="00610B1B">
        <w:rPr>
          <w:rFonts w:ascii="Times New Roman" w:eastAsia="Source Han Sans CN Regular" w:hAnsi="Times New Roman" w:cs="Times New Roman"/>
          <w:sz w:val="24"/>
          <w:szCs w:val="24"/>
          <w:lang w:val="bg-BG" w:eastAsia="zh-CN" w:bidi="hi-IN"/>
        </w:rPr>
        <w:t xml:space="preserve">ДВ </w:t>
      </w:r>
      <w:r w:rsidR="00753FBA" w:rsidRPr="00610B1B">
        <w:rPr>
          <w:rFonts w:ascii="Times New Roman" w:eastAsia="Source Han Sans CN Regular" w:hAnsi="Times New Roman" w:cs="Times New Roman"/>
          <w:sz w:val="24"/>
          <w:szCs w:val="24"/>
          <w:lang w:val="bg-BG" w:eastAsia="zh-CN" w:bidi="hi-IN"/>
        </w:rPr>
        <w:t xml:space="preserve">бр. 104 </w:t>
      </w:r>
      <w:r w:rsidR="006F4739" w:rsidRPr="00610B1B">
        <w:rPr>
          <w:rFonts w:ascii="Times New Roman" w:eastAsia="Source Han Sans CN Regular" w:hAnsi="Times New Roman" w:cs="Times New Roman"/>
          <w:sz w:val="24"/>
          <w:szCs w:val="24"/>
          <w:lang w:val="bg-BG" w:eastAsia="zh-CN" w:bidi="hi-IN"/>
        </w:rPr>
        <w:t>/</w:t>
      </w:r>
      <w:r w:rsidR="00753FBA" w:rsidRPr="00610B1B">
        <w:rPr>
          <w:rFonts w:ascii="Times New Roman" w:eastAsia="Source Han Sans CN Regular" w:hAnsi="Times New Roman" w:cs="Times New Roman"/>
          <w:sz w:val="24"/>
          <w:szCs w:val="24"/>
          <w:lang w:val="bg-BG" w:eastAsia="zh-CN" w:bidi="hi-IN"/>
        </w:rPr>
        <w:t xml:space="preserve">8.12.2020 г., изм., </w:t>
      </w:r>
      <w:r w:rsidR="00584B96" w:rsidRPr="00610B1B">
        <w:rPr>
          <w:rFonts w:ascii="Times New Roman" w:eastAsia="Source Han Sans CN Regular" w:hAnsi="Times New Roman" w:cs="Times New Roman"/>
          <w:sz w:val="24"/>
          <w:szCs w:val="24"/>
          <w:lang w:val="bg-BG" w:eastAsia="zh-CN" w:bidi="hi-IN"/>
        </w:rPr>
        <w:t xml:space="preserve">ДВ </w:t>
      </w:r>
      <w:r w:rsidR="00753FBA" w:rsidRPr="00610B1B">
        <w:rPr>
          <w:rFonts w:ascii="Times New Roman" w:eastAsia="Source Han Sans CN Regular" w:hAnsi="Times New Roman" w:cs="Times New Roman"/>
          <w:sz w:val="24"/>
          <w:szCs w:val="24"/>
          <w:lang w:val="bg-BG" w:eastAsia="zh-CN" w:bidi="hi-IN"/>
        </w:rPr>
        <w:t>бр. 1</w:t>
      </w:r>
      <w:r w:rsidR="007D576C">
        <w:rPr>
          <w:rFonts w:ascii="Times New Roman" w:eastAsia="Source Han Sans CN Regular" w:hAnsi="Times New Roman" w:cs="Times New Roman"/>
          <w:sz w:val="24"/>
          <w:szCs w:val="24"/>
          <w:lang w:val="bg-BG" w:eastAsia="zh-CN" w:bidi="hi-IN"/>
        </w:rPr>
        <w:t>02</w:t>
      </w:r>
      <w:r w:rsidR="00753FBA" w:rsidRPr="00610B1B">
        <w:rPr>
          <w:rFonts w:ascii="Times New Roman" w:eastAsia="Source Han Sans CN Regular" w:hAnsi="Times New Roman" w:cs="Times New Roman"/>
          <w:sz w:val="24"/>
          <w:szCs w:val="24"/>
          <w:lang w:val="bg-BG" w:eastAsia="zh-CN" w:bidi="hi-IN"/>
        </w:rPr>
        <w:t xml:space="preserve"> </w:t>
      </w:r>
      <w:r w:rsidR="006F4739" w:rsidRPr="00610B1B">
        <w:rPr>
          <w:rFonts w:ascii="Times New Roman" w:eastAsia="Source Han Sans CN Regular" w:hAnsi="Times New Roman" w:cs="Times New Roman"/>
          <w:sz w:val="24"/>
          <w:szCs w:val="24"/>
          <w:lang w:val="bg-BG" w:eastAsia="zh-CN" w:bidi="hi-IN"/>
        </w:rPr>
        <w:t>/</w:t>
      </w:r>
      <w:r w:rsidR="00753FBA" w:rsidRPr="00610B1B">
        <w:rPr>
          <w:rFonts w:ascii="Times New Roman" w:eastAsia="Source Han Sans CN Regular" w:hAnsi="Times New Roman" w:cs="Times New Roman"/>
          <w:sz w:val="24"/>
          <w:szCs w:val="24"/>
          <w:lang w:val="bg-BG" w:eastAsia="zh-CN" w:bidi="hi-IN"/>
        </w:rPr>
        <w:t>2</w:t>
      </w:r>
      <w:r w:rsidR="007D576C">
        <w:rPr>
          <w:rFonts w:ascii="Times New Roman" w:eastAsia="Source Han Sans CN Regular" w:hAnsi="Times New Roman" w:cs="Times New Roman"/>
          <w:sz w:val="24"/>
          <w:szCs w:val="24"/>
          <w:lang w:val="bg-BG" w:eastAsia="zh-CN" w:bidi="hi-IN"/>
        </w:rPr>
        <w:t>3</w:t>
      </w:r>
      <w:r w:rsidR="00753FBA" w:rsidRPr="00610B1B">
        <w:rPr>
          <w:rFonts w:ascii="Times New Roman" w:eastAsia="Source Han Sans CN Regular" w:hAnsi="Times New Roman" w:cs="Times New Roman"/>
          <w:sz w:val="24"/>
          <w:szCs w:val="24"/>
          <w:lang w:val="bg-BG" w:eastAsia="zh-CN" w:bidi="hi-IN"/>
        </w:rPr>
        <w:t>.</w:t>
      </w:r>
      <w:r w:rsidR="007D576C">
        <w:rPr>
          <w:rFonts w:ascii="Times New Roman" w:eastAsia="Source Han Sans CN Regular" w:hAnsi="Times New Roman" w:cs="Times New Roman"/>
          <w:sz w:val="24"/>
          <w:szCs w:val="24"/>
          <w:lang w:val="bg-BG" w:eastAsia="zh-CN" w:bidi="hi-IN"/>
        </w:rPr>
        <w:t>1</w:t>
      </w:r>
      <w:r w:rsidR="00753FBA" w:rsidRPr="00610B1B">
        <w:rPr>
          <w:rFonts w:ascii="Times New Roman" w:eastAsia="Source Han Sans CN Regular" w:hAnsi="Times New Roman" w:cs="Times New Roman"/>
          <w:sz w:val="24"/>
          <w:szCs w:val="24"/>
          <w:lang w:val="bg-BG" w:eastAsia="zh-CN" w:bidi="hi-IN"/>
        </w:rPr>
        <w:t>2.202</w:t>
      </w:r>
      <w:r w:rsidR="007D576C">
        <w:rPr>
          <w:rFonts w:ascii="Times New Roman" w:eastAsia="Source Han Sans CN Regular" w:hAnsi="Times New Roman" w:cs="Times New Roman"/>
          <w:sz w:val="24"/>
          <w:szCs w:val="24"/>
          <w:lang w:val="bg-BG" w:eastAsia="zh-CN" w:bidi="hi-IN"/>
        </w:rPr>
        <w:t>2</w:t>
      </w:r>
      <w:r w:rsidR="00753FBA" w:rsidRPr="00610B1B">
        <w:rPr>
          <w:rFonts w:ascii="Times New Roman" w:eastAsia="Source Han Sans CN Regular" w:hAnsi="Times New Roman" w:cs="Times New Roman"/>
          <w:sz w:val="24"/>
          <w:szCs w:val="24"/>
          <w:lang w:val="bg-BG" w:eastAsia="zh-CN" w:bidi="hi-IN"/>
        </w:rPr>
        <w:t xml:space="preserve"> г.</w:t>
      </w:r>
      <w:r w:rsidRPr="00610B1B">
        <w:rPr>
          <w:rFonts w:ascii="Times New Roman" w:eastAsia="Source Han Sans CN Regular" w:hAnsi="Times New Roman" w:cs="Times New Roman"/>
          <w:sz w:val="24"/>
          <w:szCs w:val="24"/>
          <w:lang w:val="bg-BG" w:eastAsia="zh-CN" w:bidi="hi-IN"/>
        </w:rPr>
        <w:t>);</w:t>
      </w:r>
    </w:p>
    <w:p w14:paraId="19A512F0" w14:textId="2C30EFA4" w:rsidR="00BE57CC" w:rsidRPr="00610B1B" w:rsidRDefault="00BE57CC" w:rsidP="006E1573">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опазване на околната среда (обн. ДВ бр. 91/2002 г. изм.</w:t>
      </w:r>
      <w:r w:rsidR="006E1573" w:rsidRPr="00610B1B">
        <w:rPr>
          <w:rFonts w:ascii="Times New Roman" w:hAnsi="Times New Roman" w:cs="Times New Roman"/>
          <w:lang w:val="bg-BG"/>
        </w:rPr>
        <w:t xml:space="preserve"> </w:t>
      </w:r>
      <w:r w:rsidR="006E1573" w:rsidRPr="00610B1B">
        <w:rPr>
          <w:rFonts w:ascii="Times New Roman" w:eastAsia="Source Han Sans CN Regular" w:hAnsi="Times New Roman" w:cs="Times New Roman"/>
          <w:sz w:val="24"/>
          <w:szCs w:val="24"/>
          <w:lang w:val="bg-BG" w:eastAsia="zh-CN" w:bidi="hi-IN"/>
        </w:rPr>
        <w:t>и доп.,</w:t>
      </w:r>
      <w:r w:rsidR="008753B6" w:rsidRPr="00610B1B">
        <w:rPr>
          <w:rFonts w:ascii="Times New Roman" w:eastAsia="Source Han Sans CN Regular" w:hAnsi="Times New Roman" w:cs="Times New Roman"/>
          <w:sz w:val="24"/>
          <w:szCs w:val="24"/>
          <w:lang w:val="bg-BG" w:eastAsia="zh-CN" w:bidi="hi-IN"/>
        </w:rPr>
        <w:t xml:space="preserve"> </w:t>
      </w:r>
      <w:r w:rsidR="00584B96" w:rsidRPr="00610B1B">
        <w:rPr>
          <w:rFonts w:ascii="Times New Roman" w:eastAsia="Source Han Sans CN Regular" w:hAnsi="Times New Roman" w:cs="Times New Roman"/>
          <w:sz w:val="24"/>
          <w:szCs w:val="24"/>
          <w:lang w:val="bg-BG" w:eastAsia="zh-CN" w:bidi="hi-IN"/>
        </w:rPr>
        <w:t xml:space="preserve">ДВ </w:t>
      </w:r>
      <w:r w:rsidR="006E1573" w:rsidRPr="00610B1B">
        <w:rPr>
          <w:rFonts w:ascii="Times New Roman" w:eastAsia="Source Han Sans CN Regular" w:hAnsi="Times New Roman" w:cs="Times New Roman"/>
          <w:sz w:val="24"/>
          <w:szCs w:val="24"/>
          <w:lang w:val="bg-BG" w:eastAsia="zh-CN" w:bidi="hi-IN"/>
        </w:rPr>
        <w:t xml:space="preserve">бр. 54 </w:t>
      </w:r>
      <w:r w:rsidR="006F4739" w:rsidRPr="00610B1B">
        <w:rPr>
          <w:rFonts w:ascii="Times New Roman" w:eastAsia="Source Han Sans CN Regular" w:hAnsi="Times New Roman" w:cs="Times New Roman"/>
          <w:sz w:val="24"/>
          <w:szCs w:val="24"/>
          <w:lang w:val="bg-BG" w:eastAsia="zh-CN" w:bidi="hi-IN"/>
        </w:rPr>
        <w:t>/</w:t>
      </w:r>
      <w:r w:rsidR="006E1573" w:rsidRPr="00610B1B">
        <w:rPr>
          <w:rFonts w:ascii="Times New Roman" w:eastAsia="Source Han Sans CN Regular" w:hAnsi="Times New Roman" w:cs="Times New Roman"/>
          <w:sz w:val="24"/>
          <w:szCs w:val="24"/>
          <w:lang w:val="bg-BG" w:eastAsia="zh-CN" w:bidi="hi-IN"/>
        </w:rPr>
        <w:t>16.06.2020 г.,</w:t>
      </w:r>
      <w:r w:rsidR="00584B96" w:rsidRPr="00610B1B">
        <w:rPr>
          <w:rFonts w:ascii="Times New Roman" w:eastAsia="Source Han Sans CN Regular" w:hAnsi="Times New Roman" w:cs="Times New Roman"/>
          <w:sz w:val="24"/>
          <w:szCs w:val="24"/>
          <w:lang w:val="bg-BG" w:eastAsia="zh-CN" w:bidi="hi-IN"/>
        </w:rPr>
        <w:t xml:space="preserve"> ДВ</w:t>
      </w:r>
      <w:r w:rsidR="006E1573" w:rsidRPr="00610B1B">
        <w:rPr>
          <w:rFonts w:ascii="Times New Roman" w:eastAsia="Source Han Sans CN Regular" w:hAnsi="Times New Roman" w:cs="Times New Roman"/>
          <w:sz w:val="24"/>
          <w:szCs w:val="24"/>
          <w:lang w:val="bg-BG" w:eastAsia="zh-CN" w:bidi="hi-IN"/>
        </w:rPr>
        <w:t xml:space="preserve"> бр. 102 </w:t>
      </w:r>
      <w:r w:rsidR="006F4739" w:rsidRPr="00610B1B">
        <w:rPr>
          <w:rFonts w:ascii="Times New Roman" w:eastAsia="Source Han Sans CN Regular" w:hAnsi="Times New Roman" w:cs="Times New Roman"/>
          <w:sz w:val="24"/>
          <w:szCs w:val="24"/>
          <w:lang w:val="bg-BG" w:eastAsia="zh-CN" w:bidi="hi-IN"/>
        </w:rPr>
        <w:t>/</w:t>
      </w:r>
      <w:r w:rsidR="006E1573" w:rsidRPr="00610B1B">
        <w:rPr>
          <w:rFonts w:ascii="Times New Roman" w:eastAsia="Source Han Sans CN Regular" w:hAnsi="Times New Roman" w:cs="Times New Roman"/>
          <w:sz w:val="24"/>
          <w:szCs w:val="24"/>
          <w:lang w:val="bg-BG" w:eastAsia="zh-CN" w:bidi="hi-IN"/>
        </w:rPr>
        <w:t xml:space="preserve">1.12.2020 г., в сила от 27.11.2020 г., изм., </w:t>
      </w:r>
      <w:r w:rsidR="00584B96" w:rsidRPr="00610B1B">
        <w:rPr>
          <w:rFonts w:ascii="Times New Roman" w:eastAsia="Source Han Sans CN Regular" w:hAnsi="Times New Roman" w:cs="Times New Roman"/>
          <w:sz w:val="24"/>
          <w:szCs w:val="24"/>
          <w:lang w:val="bg-BG" w:eastAsia="zh-CN" w:bidi="hi-IN"/>
        </w:rPr>
        <w:t xml:space="preserve">ДВ </w:t>
      </w:r>
      <w:r w:rsidR="006E1573" w:rsidRPr="00610B1B">
        <w:rPr>
          <w:rFonts w:ascii="Times New Roman" w:eastAsia="Source Han Sans CN Regular" w:hAnsi="Times New Roman" w:cs="Times New Roman"/>
          <w:sz w:val="24"/>
          <w:szCs w:val="24"/>
          <w:lang w:val="bg-BG" w:eastAsia="zh-CN" w:bidi="hi-IN"/>
        </w:rPr>
        <w:t xml:space="preserve">бр. 21 </w:t>
      </w:r>
      <w:r w:rsidR="006F4739" w:rsidRPr="00610B1B">
        <w:rPr>
          <w:rFonts w:ascii="Times New Roman" w:eastAsia="Source Han Sans CN Regular" w:hAnsi="Times New Roman" w:cs="Times New Roman"/>
          <w:sz w:val="24"/>
          <w:szCs w:val="24"/>
          <w:lang w:val="bg-BG" w:eastAsia="zh-CN" w:bidi="hi-IN"/>
        </w:rPr>
        <w:t>/</w:t>
      </w:r>
      <w:r w:rsidR="006E1573" w:rsidRPr="00610B1B">
        <w:rPr>
          <w:rFonts w:ascii="Times New Roman" w:eastAsia="Source Han Sans CN Regular" w:hAnsi="Times New Roman" w:cs="Times New Roman"/>
          <w:sz w:val="24"/>
          <w:szCs w:val="24"/>
          <w:lang w:val="bg-BG" w:eastAsia="zh-CN" w:bidi="hi-IN"/>
        </w:rPr>
        <w:t>12.03.2021 г.</w:t>
      </w:r>
      <w:r w:rsidRPr="00610B1B">
        <w:rPr>
          <w:rFonts w:ascii="Times New Roman" w:eastAsia="Source Han Sans CN Regular" w:hAnsi="Times New Roman" w:cs="Times New Roman"/>
          <w:sz w:val="24"/>
          <w:szCs w:val="24"/>
          <w:lang w:val="bg-BG" w:eastAsia="zh-CN" w:bidi="hi-IN"/>
        </w:rPr>
        <w:t>);</w:t>
      </w:r>
    </w:p>
    <w:p w14:paraId="6CD449F1" w14:textId="3050DD66" w:rsidR="00BE57CC" w:rsidRPr="00610B1B" w:rsidRDefault="00BE57CC" w:rsidP="006E1573">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отбраната и въоръжените сили на Република България, (обн., ДВ, бр. 35/12.05.2009</w:t>
      </w:r>
      <w:r w:rsidR="00AD38A7"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г., в сила от 12.05.2009 г.,</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изм. и доп., бр.</w:t>
      </w:r>
      <w:r w:rsidR="006E1573" w:rsidRPr="00610B1B">
        <w:rPr>
          <w:rFonts w:ascii="Times New Roman" w:eastAsia="Source Han Sans CN Regular" w:hAnsi="Times New Roman" w:cs="Times New Roman"/>
          <w:sz w:val="24"/>
          <w:szCs w:val="24"/>
          <w:lang w:val="bg-BG" w:eastAsia="zh-CN" w:bidi="hi-IN"/>
        </w:rPr>
        <w:t xml:space="preserve"> </w:t>
      </w:r>
      <w:r w:rsidR="00584B96" w:rsidRPr="00610B1B">
        <w:rPr>
          <w:rFonts w:ascii="Times New Roman" w:eastAsia="Source Han Sans CN Regular" w:hAnsi="Times New Roman" w:cs="Times New Roman"/>
          <w:sz w:val="24"/>
          <w:szCs w:val="24"/>
          <w:lang w:val="bg-BG" w:eastAsia="zh-CN" w:bidi="hi-IN"/>
        </w:rPr>
        <w:t xml:space="preserve">ДВ </w:t>
      </w:r>
      <w:r w:rsidR="006E1573" w:rsidRPr="00610B1B">
        <w:rPr>
          <w:rFonts w:ascii="Times New Roman" w:eastAsia="Source Han Sans CN Regular" w:hAnsi="Times New Roman" w:cs="Times New Roman"/>
          <w:sz w:val="24"/>
          <w:szCs w:val="24"/>
          <w:lang w:val="bg-BG" w:eastAsia="zh-CN" w:bidi="hi-IN"/>
        </w:rPr>
        <w:t>бр. 21</w:t>
      </w:r>
      <w:r w:rsidR="006F4739" w:rsidRPr="00610B1B">
        <w:rPr>
          <w:rFonts w:ascii="Times New Roman" w:eastAsia="Source Han Sans CN Regular" w:hAnsi="Times New Roman" w:cs="Times New Roman"/>
          <w:sz w:val="24"/>
          <w:szCs w:val="24"/>
          <w:lang w:val="bg-BG" w:eastAsia="zh-CN" w:bidi="hi-IN"/>
        </w:rPr>
        <w:t>/</w:t>
      </w:r>
      <w:r w:rsidR="006E1573" w:rsidRPr="00610B1B">
        <w:rPr>
          <w:rFonts w:ascii="Times New Roman" w:eastAsia="Source Han Sans CN Regular" w:hAnsi="Times New Roman" w:cs="Times New Roman"/>
          <w:sz w:val="24"/>
          <w:szCs w:val="24"/>
          <w:lang w:val="bg-BG" w:eastAsia="zh-CN" w:bidi="hi-IN"/>
        </w:rPr>
        <w:t xml:space="preserve"> 12.03.2021 г.</w:t>
      </w:r>
      <w:r w:rsidRPr="00610B1B">
        <w:rPr>
          <w:rFonts w:ascii="Times New Roman" w:eastAsia="Source Han Sans CN Regular" w:hAnsi="Times New Roman" w:cs="Times New Roman"/>
          <w:sz w:val="24"/>
          <w:szCs w:val="24"/>
          <w:lang w:val="bg-BG" w:eastAsia="zh-CN" w:bidi="hi-IN"/>
        </w:rPr>
        <w:t>);</w:t>
      </w:r>
    </w:p>
    <w:p w14:paraId="2725A1B5" w14:textId="294A5245" w:rsidR="00BE57CC" w:rsidRPr="00610B1B" w:rsidRDefault="00BE57CC" w:rsidP="00584B9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отговорността за предотвратяване и отстраняване на екологични щети (обн. ДВ бр. 43/2008 г., изм.</w:t>
      </w:r>
      <w:r w:rsidR="00584B96" w:rsidRPr="00610B1B">
        <w:rPr>
          <w:rFonts w:ascii="Times New Roman" w:hAnsi="Times New Roman" w:cs="Times New Roman"/>
          <w:lang w:val="bg-BG"/>
        </w:rPr>
        <w:t xml:space="preserve"> </w:t>
      </w:r>
      <w:r w:rsidR="00584B96" w:rsidRPr="00610B1B">
        <w:rPr>
          <w:rFonts w:ascii="Times New Roman" w:eastAsia="Source Han Sans CN Regular" w:hAnsi="Times New Roman" w:cs="Times New Roman"/>
          <w:sz w:val="24"/>
          <w:szCs w:val="24"/>
          <w:lang w:val="bg-BG" w:eastAsia="zh-CN" w:bidi="hi-IN"/>
        </w:rPr>
        <w:t xml:space="preserve">и доп., ДВ бр. 96 </w:t>
      </w:r>
      <w:r w:rsidR="006F4739" w:rsidRPr="00610B1B">
        <w:rPr>
          <w:rFonts w:ascii="Times New Roman" w:eastAsia="Source Han Sans CN Regular" w:hAnsi="Times New Roman" w:cs="Times New Roman"/>
          <w:sz w:val="24"/>
          <w:szCs w:val="24"/>
          <w:lang w:val="bg-BG" w:eastAsia="zh-CN" w:bidi="hi-IN"/>
        </w:rPr>
        <w:t>/</w:t>
      </w:r>
      <w:r w:rsidR="00584B96" w:rsidRPr="00610B1B">
        <w:rPr>
          <w:rFonts w:ascii="Times New Roman" w:eastAsia="Source Han Sans CN Regular" w:hAnsi="Times New Roman" w:cs="Times New Roman"/>
          <w:sz w:val="24"/>
          <w:szCs w:val="24"/>
          <w:lang w:val="bg-BG" w:eastAsia="zh-CN" w:bidi="hi-IN"/>
        </w:rPr>
        <w:t>10.11.2020 г.</w:t>
      </w:r>
      <w:r w:rsidRPr="00610B1B">
        <w:rPr>
          <w:rFonts w:ascii="Times New Roman" w:eastAsia="Source Han Sans CN Regular" w:hAnsi="Times New Roman" w:cs="Times New Roman"/>
          <w:sz w:val="24"/>
          <w:szCs w:val="24"/>
          <w:lang w:val="bg-BG" w:eastAsia="zh-CN" w:bidi="hi-IN"/>
        </w:rPr>
        <w:t>);</w:t>
      </w:r>
    </w:p>
    <w:p w14:paraId="69B959AB" w14:textId="0D562D96" w:rsidR="00BE57CC" w:rsidRPr="00610B1B" w:rsidRDefault="00BE57CC" w:rsidP="00584B9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Закон за подземните богатства (обн. ДВ бр. 23 от 1999 г. </w:t>
      </w:r>
      <w:r w:rsidR="00896C45" w:rsidRPr="00610B1B">
        <w:rPr>
          <w:rFonts w:ascii="Times New Roman" w:eastAsia="Source Han Sans CN Regular" w:hAnsi="Times New Roman" w:cs="Times New Roman"/>
          <w:sz w:val="24"/>
          <w:szCs w:val="24"/>
          <w:lang w:val="bg-BG" w:eastAsia="zh-CN" w:bidi="hi-IN"/>
        </w:rPr>
        <w:t>изм.</w:t>
      </w:r>
      <w:r w:rsidRPr="00610B1B">
        <w:rPr>
          <w:rFonts w:ascii="Times New Roman" w:eastAsia="Source Han Sans CN Regular" w:hAnsi="Times New Roman" w:cs="Times New Roman"/>
          <w:sz w:val="24"/>
          <w:szCs w:val="24"/>
          <w:lang w:val="bg-BG" w:eastAsia="zh-CN" w:bidi="hi-IN"/>
        </w:rPr>
        <w:t xml:space="preserve"> и доп. ДВ бр..</w:t>
      </w:r>
      <w:r w:rsidR="00584B96" w:rsidRPr="00610B1B">
        <w:rPr>
          <w:rFonts w:ascii="Times New Roman" w:eastAsia="Source Han Sans CN Regular" w:hAnsi="Times New Roman" w:cs="Times New Roman"/>
          <w:sz w:val="24"/>
          <w:szCs w:val="24"/>
          <w:lang w:val="bg-BG" w:eastAsia="zh-CN" w:bidi="hi-IN"/>
        </w:rPr>
        <w:t xml:space="preserve"> бр. 79</w:t>
      </w:r>
      <w:r w:rsidR="006F4739" w:rsidRPr="00610B1B">
        <w:rPr>
          <w:rFonts w:ascii="Times New Roman" w:eastAsia="Source Han Sans CN Regular" w:hAnsi="Times New Roman" w:cs="Times New Roman"/>
          <w:sz w:val="24"/>
          <w:szCs w:val="24"/>
          <w:lang w:val="bg-BG" w:eastAsia="zh-CN" w:bidi="hi-IN"/>
        </w:rPr>
        <w:t>/</w:t>
      </w:r>
      <w:r w:rsidR="00584B96" w:rsidRPr="00610B1B">
        <w:rPr>
          <w:rFonts w:ascii="Times New Roman" w:eastAsia="Source Han Sans CN Regular" w:hAnsi="Times New Roman" w:cs="Times New Roman"/>
          <w:sz w:val="24"/>
          <w:szCs w:val="24"/>
          <w:lang w:val="bg-BG" w:eastAsia="zh-CN" w:bidi="hi-IN"/>
        </w:rPr>
        <w:t xml:space="preserve"> 8.09.2020 г., бр. 17</w:t>
      </w:r>
      <w:r w:rsidR="006F4739" w:rsidRPr="00610B1B">
        <w:rPr>
          <w:rFonts w:ascii="Times New Roman" w:eastAsia="Source Han Sans CN Regular" w:hAnsi="Times New Roman" w:cs="Times New Roman"/>
          <w:sz w:val="24"/>
          <w:szCs w:val="24"/>
          <w:lang w:val="bg-BG" w:eastAsia="zh-CN" w:bidi="hi-IN"/>
        </w:rPr>
        <w:t>/</w:t>
      </w:r>
      <w:r w:rsidR="00584B96" w:rsidRPr="00610B1B">
        <w:rPr>
          <w:rFonts w:ascii="Times New Roman" w:eastAsia="Source Han Sans CN Regular" w:hAnsi="Times New Roman" w:cs="Times New Roman"/>
          <w:sz w:val="24"/>
          <w:szCs w:val="24"/>
          <w:lang w:val="bg-BG" w:eastAsia="zh-CN" w:bidi="hi-IN"/>
        </w:rPr>
        <w:t xml:space="preserve"> 26.02.2021 г.</w:t>
      </w:r>
      <w:r w:rsidRPr="00610B1B">
        <w:rPr>
          <w:rFonts w:ascii="Times New Roman" w:eastAsia="Source Han Sans CN Regular" w:hAnsi="Times New Roman" w:cs="Times New Roman"/>
          <w:sz w:val="24"/>
          <w:szCs w:val="24"/>
          <w:lang w:val="bg-BG" w:eastAsia="zh-CN" w:bidi="hi-IN"/>
        </w:rPr>
        <w:t>);</w:t>
      </w:r>
    </w:p>
    <w:p w14:paraId="06B1E8D0" w14:textId="588FC087" w:rsidR="00BE57CC" w:rsidRPr="00610B1B" w:rsidRDefault="00BE57CC" w:rsidP="00584B9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противодействие на тероризма, (ДВ брой 103 от</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27.12.2016 г.</w:t>
      </w:r>
      <w:r w:rsidR="00584B96" w:rsidRPr="00610B1B">
        <w:rPr>
          <w:rFonts w:ascii="Times New Roman" w:eastAsia="Source Han Sans CN Regular" w:hAnsi="Times New Roman" w:cs="Times New Roman"/>
          <w:sz w:val="24"/>
          <w:szCs w:val="24"/>
          <w:lang w:val="bg-BG" w:eastAsia="zh-CN" w:bidi="hi-IN"/>
        </w:rPr>
        <w:t xml:space="preserve">, </w:t>
      </w:r>
      <w:r w:rsidR="00896C45" w:rsidRPr="00610B1B">
        <w:rPr>
          <w:rFonts w:ascii="Times New Roman" w:eastAsia="Source Han Sans CN Regular" w:hAnsi="Times New Roman" w:cs="Times New Roman"/>
          <w:sz w:val="24"/>
          <w:szCs w:val="24"/>
          <w:lang w:val="bg-BG" w:eastAsia="zh-CN" w:bidi="hi-IN"/>
        </w:rPr>
        <w:t>изм.</w:t>
      </w:r>
      <w:r w:rsidR="00584B96" w:rsidRPr="00610B1B">
        <w:rPr>
          <w:rFonts w:ascii="Times New Roman" w:hAnsi="Times New Roman" w:cs="Times New Roman"/>
          <w:lang w:val="bg-BG"/>
        </w:rPr>
        <w:t xml:space="preserve"> , ДВ </w:t>
      </w:r>
      <w:r w:rsidR="006F4739" w:rsidRPr="00610B1B">
        <w:rPr>
          <w:rFonts w:ascii="Times New Roman" w:eastAsia="Source Han Sans CN Regular" w:hAnsi="Times New Roman" w:cs="Times New Roman"/>
          <w:sz w:val="24"/>
          <w:szCs w:val="24"/>
          <w:lang w:val="bg-BG" w:eastAsia="zh-CN" w:bidi="hi-IN"/>
        </w:rPr>
        <w:t>бр. 20/</w:t>
      </w:r>
      <w:r w:rsidR="00584B96" w:rsidRPr="00610B1B">
        <w:rPr>
          <w:rFonts w:ascii="Times New Roman" w:eastAsia="Source Han Sans CN Regular" w:hAnsi="Times New Roman" w:cs="Times New Roman"/>
          <w:sz w:val="24"/>
          <w:szCs w:val="24"/>
          <w:lang w:val="bg-BG" w:eastAsia="zh-CN" w:bidi="hi-IN"/>
        </w:rPr>
        <w:t>9.03.2021 г.</w:t>
      </w:r>
      <w:r w:rsidRPr="00610B1B">
        <w:rPr>
          <w:rFonts w:ascii="Times New Roman" w:eastAsia="Source Han Sans CN Regular" w:hAnsi="Times New Roman" w:cs="Times New Roman"/>
          <w:sz w:val="24"/>
          <w:szCs w:val="24"/>
          <w:lang w:val="bg-BG" w:eastAsia="zh-CN" w:bidi="hi-IN"/>
        </w:rPr>
        <w:t xml:space="preserve">); </w:t>
      </w:r>
    </w:p>
    <w:p w14:paraId="723D386B" w14:textId="59B4DE11" w:rsidR="00BE57CC" w:rsidRPr="00610B1B" w:rsidRDefault="00BE57CC" w:rsidP="00584B9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рибарство и аквакултури (обн. ДВ бр. 41/2001 г., изм.</w:t>
      </w:r>
      <w:r w:rsidR="00584B96" w:rsidRPr="00610B1B">
        <w:rPr>
          <w:rFonts w:ascii="Times New Roman" w:hAnsi="Times New Roman" w:cs="Times New Roman"/>
          <w:lang w:val="bg-BG"/>
        </w:rPr>
        <w:t xml:space="preserve"> </w:t>
      </w:r>
      <w:r w:rsidR="00584B96" w:rsidRPr="00610B1B">
        <w:rPr>
          <w:rFonts w:ascii="Times New Roman" w:eastAsia="Source Han Sans CN Regular" w:hAnsi="Times New Roman" w:cs="Times New Roman"/>
          <w:sz w:val="24"/>
          <w:szCs w:val="24"/>
          <w:lang w:val="bg-BG" w:eastAsia="zh-CN" w:bidi="hi-IN"/>
        </w:rPr>
        <w:t xml:space="preserve">изм., ДВ </w:t>
      </w:r>
      <w:r w:rsidR="006F4739" w:rsidRPr="00610B1B">
        <w:rPr>
          <w:rFonts w:ascii="Times New Roman" w:eastAsia="Source Han Sans CN Regular" w:hAnsi="Times New Roman" w:cs="Times New Roman"/>
          <w:sz w:val="24"/>
          <w:szCs w:val="24"/>
          <w:lang w:val="bg-BG" w:eastAsia="zh-CN" w:bidi="hi-IN"/>
        </w:rPr>
        <w:t>бр. 52/</w:t>
      </w:r>
      <w:r w:rsidR="00584B96" w:rsidRPr="00610B1B">
        <w:rPr>
          <w:rFonts w:ascii="Times New Roman" w:eastAsia="Source Han Sans CN Regular" w:hAnsi="Times New Roman" w:cs="Times New Roman"/>
          <w:sz w:val="24"/>
          <w:szCs w:val="24"/>
          <w:lang w:val="bg-BG" w:eastAsia="zh-CN" w:bidi="hi-IN"/>
        </w:rPr>
        <w:t>9.06.2020 г</w:t>
      </w:r>
      <w:r w:rsidRPr="00610B1B">
        <w:rPr>
          <w:rFonts w:ascii="Times New Roman" w:eastAsia="Source Han Sans CN Regular" w:hAnsi="Times New Roman" w:cs="Times New Roman"/>
          <w:sz w:val="24"/>
          <w:szCs w:val="24"/>
          <w:lang w:val="bg-BG" w:eastAsia="zh-CN" w:bidi="hi-IN"/>
        </w:rPr>
        <w:t>.);</w:t>
      </w:r>
    </w:p>
    <w:p w14:paraId="31AA5E4D" w14:textId="482D7AC2" w:rsidR="00BE57CC" w:rsidRPr="00610B1B" w:rsidRDefault="00BE57CC" w:rsidP="00584B9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управление и функциониране на системата за защита на националната сигурност, (обн. ДВ. бр.61от 11.08.2015 г.</w:t>
      </w:r>
      <w:r w:rsidR="00584B96" w:rsidRPr="00610B1B">
        <w:rPr>
          <w:rFonts w:ascii="Times New Roman" w:eastAsia="Source Han Sans CN Regular" w:hAnsi="Times New Roman" w:cs="Times New Roman"/>
          <w:sz w:val="24"/>
          <w:szCs w:val="24"/>
          <w:lang w:val="bg-BG" w:eastAsia="zh-CN" w:bidi="hi-IN"/>
        </w:rPr>
        <w:t xml:space="preserve">, </w:t>
      </w:r>
      <w:r w:rsidR="00896C45" w:rsidRPr="00610B1B">
        <w:rPr>
          <w:rFonts w:ascii="Times New Roman" w:eastAsia="Source Han Sans CN Regular" w:hAnsi="Times New Roman" w:cs="Times New Roman"/>
          <w:sz w:val="24"/>
          <w:szCs w:val="24"/>
          <w:lang w:val="bg-BG" w:eastAsia="zh-CN" w:bidi="hi-IN"/>
        </w:rPr>
        <w:t>изм.</w:t>
      </w:r>
      <w:r w:rsidR="00584B96" w:rsidRPr="00610B1B">
        <w:rPr>
          <w:rFonts w:ascii="Times New Roman" w:eastAsia="Source Han Sans CN Regular" w:hAnsi="Times New Roman" w:cs="Times New Roman"/>
          <w:sz w:val="24"/>
          <w:szCs w:val="24"/>
          <w:lang w:val="bg-BG" w:eastAsia="zh-CN" w:bidi="hi-IN"/>
        </w:rPr>
        <w:t xml:space="preserve"> ДВ бр. 69</w:t>
      </w:r>
      <w:r w:rsidR="006F4739" w:rsidRPr="00610B1B">
        <w:rPr>
          <w:rFonts w:ascii="Times New Roman" w:eastAsia="Source Han Sans CN Regular" w:hAnsi="Times New Roman" w:cs="Times New Roman"/>
          <w:sz w:val="24"/>
          <w:szCs w:val="24"/>
          <w:lang w:val="bg-BG" w:eastAsia="zh-CN" w:bidi="hi-IN"/>
        </w:rPr>
        <w:t>/</w:t>
      </w:r>
      <w:r w:rsidR="00584B96" w:rsidRPr="00610B1B">
        <w:rPr>
          <w:rFonts w:ascii="Times New Roman" w:eastAsia="Source Han Sans CN Regular" w:hAnsi="Times New Roman" w:cs="Times New Roman"/>
          <w:sz w:val="24"/>
          <w:szCs w:val="24"/>
          <w:lang w:val="bg-BG" w:eastAsia="zh-CN" w:bidi="hi-IN"/>
        </w:rPr>
        <w:t xml:space="preserve"> 4.08.2020 г. </w:t>
      </w:r>
      <w:r w:rsidRPr="00610B1B">
        <w:rPr>
          <w:rFonts w:ascii="Times New Roman" w:eastAsia="Source Han Sans CN Regular" w:hAnsi="Times New Roman" w:cs="Times New Roman"/>
          <w:sz w:val="24"/>
          <w:szCs w:val="24"/>
          <w:lang w:val="bg-BG" w:eastAsia="zh-CN" w:bidi="hi-IN"/>
        </w:rPr>
        <w:t>);</w:t>
      </w:r>
    </w:p>
    <w:p w14:paraId="6FF08C82" w14:textId="0AB819BB" w:rsidR="00BE57CC" w:rsidRPr="00610B1B" w:rsidRDefault="00BE57CC" w:rsidP="006F4739">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Закон за управление на отпадъците (oбн. ДВ. бр. 53 /13.07.2012 г., изм. и </w:t>
      </w:r>
      <w:r w:rsidR="006F4739" w:rsidRPr="00610B1B">
        <w:rPr>
          <w:rFonts w:ascii="Times New Roman" w:eastAsia="Source Han Sans CN Regular" w:hAnsi="Times New Roman" w:cs="Times New Roman"/>
          <w:sz w:val="24"/>
          <w:szCs w:val="24"/>
          <w:lang w:val="bg-BG" w:eastAsia="zh-CN" w:bidi="hi-IN"/>
        </w:rPr>
        <w:t>доп., ДВ бр. 19/5.03.2021 г.</w:t>
      </w:r>
      <w:r w:rsidRPr="00610B1B">
        <w:rPr>
          <w:rFonts w:ascii="Times New Roman" w:eastAsia="Source Han Sans CN Regular" w:hAnsi="Times New Roman" w:cs="Times New Roman"/>
          <w:sz w:val="24"/>
          <w:szCs w:val="24"/>
          <w:lang w:val="bg-BG" w:eastAsia="zh-CN" w:bidi="hi-IN"/>
        </w:rPr>
        <w:t>);</w:t>
      </w:r>
    </w:p>
    <w:p w14:paraId="7A4B3D93" w14:textId="0AB99D7A" w:rsidR="00BE57CC" w:rsidRPr="00610B1B" w:rsidRDefault="00BE57CC" w:rsidP="006F4739">
      <w:pPr>
        <w:widowControl w:val="0"/>
        <w:numPr>
          <w:ilvl w:val="0"/>
          <w:numId w:val="95"/>
        </w:numPr>
        <w:spacing w:after="120"/>
        <w:ind w:right="-30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Закон за устройство на територията (в сила от 31.03.2001г., изм</w:t>
      </w:r>
      <w:r w:rsidR="006F4739" w:rsidRPr="00610B1B">
        <w:rPr>
          <w:rFonts w:ascii="Times New Roman" w:hAnsi="Times New Roman" w:cs="Times New Roman"/>
          <w:lang w:val="bg-BG"/>
        </w:rPr>
        <w:t xml:space="preserve"> </w:t>
      </w:r>
      <w:r w:rsidR="006F4739" w:rsidRPr="00610B1B">
        <w:rPr>
          <w:rFonts w:ascii="Times New Roman" w:eastAsia="Source Han Sans CN Regular" w:hAnsi="Times New Roman" w:cs="Times New Roman"/>
          <w:sz w:val="24"/>
          <w:szCs w:val="24"/>
          <w:lang w:val="bg-BG" w:eastAsia="zh-CN" w:bidi="hi-IN"/>
        </w:rPr>
        <w:t>и доп., ДВ бр. 21/ 12.03.2021 г.</w:t>
      </w:r>
      <w:r w:rsidRPr="00610B1B">
        <w:rPr>
          <w:rFonts w:ascii="Times New Roman" w:eastAsia="Source Han Sans CN Regular" w:hAnsi="Times New Roman" w:cs="Times New Roman"/>
          <w:sz w:val="24"/>
          <w:szCs w:val="24"/>
          <w:lang w:val="bg-BG" w:eastAsia="zh-CN" w:bidi="hi-IN"/>
        </w:rPr>
        <w:t>)</w:t>
      </w:r>
    </w:p>
    <w:p w14:paraId="33863567" w14:textId="2D309D1E" w:rsidR="00BE57CC" w:rsidRPr="00610B1B" w:rsidRDefault="00BE57CC" w:rsidP="006F4739">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Закон за устройство на черноморското крайбрежие (в сила от 01.01.2008 г., обн. ДВ. бр.48/15.06.2007 г., изм.</w:t>
      </w:r>
      <w:r w:rsidR="006F4739" w:rsidRPr="00610B1B">
        <w:rPr>
          <w:rFonts w:ascii="Times New Roman" w:hAnsi="Times New Roman" w:cs="Times New Roman"/>
          <w:lang w:val="bg-BG"/>
        </w:rPr>
        <w:t xml:space="preserve"> </w:t>
      </w:r>
      <w:r w:rsidR="006F4739" w:rsidRPr="00610B1B">
        <w:rPr>
          <w:rFonts w:ascii="Times New Roman" w:eastAsia="Source Han Sans CN Regular" w:hAnsi="Times New Roman" w:cs="Times New Roman"/>
          <w:sz w:val="24"/>
          <w:szCs w:val="24"/>
          <w:lang w:val="bg-BG" w:eastAsia="zh-CN" w:bidi="hi-IN"/>
        </w:rPr>
        <w:t>и доп.,</w:t>
      </w:r>
      <w:r w:rsidR="008753B6" w:rsidRPr="00610B1B">
        <w:rPr>
          <w:rFonts w:ascii="Times New Roman" w:eastAsia="Source Han Sans CN Regular" w:hAnsi="Times New Roman" w:cs="Times New Roman"/>
          <w:sz w:val="24"/>
          <w:szCs w:val="24"/>
          <w:lang w:val="bg-BG" w:eastAsia="zh-CN" w:bidi="hi-IN"/>
        </w:rPr>
        <w:t xml:space="preserve"> </w:t>
      </w:r>
      <w:r w:rsidR="006F4739" w:rsidRPr="00610B1B">
        <w:rPr>
          <w:rFonts w:ascii="Times New Roman" w:eastAsia="Source Han Sans CN Regular" w:hAnsi="Times New Roman" w:cs="Times New Roman"/>
          <w:sz w:val="24"/>
          <w:szCs w:val="24"/>
          <w:lang w:val="bg-BG" w:eastAsia="zh-CN" w:bidi="hi-IN"/>
        </w:rPr>
        <w:t>ДВ бр. 17/ 26.02.2021 г.</w:t>
      </w:r>
      <w:r w:rsidRPr="00610B1B">
        <w:rPr>
          <w:rFonts w:ascii="Times New Roman" w:eastAsia="Source Han Sans CN Regular" w:hAnsi="Times New Roman" w:cs="Times New Roman"/>
          <w:sz w:val="24"/>
          <w:szCs w:val="24"/>
          <w:lang w:val="bg-BG" w:eastAsia="zh-CN" w:bidi="hi-IN"/>
        </w:rPr>
        <w:t xml:space="preserve">); </w:t>
      </w:r>
    </w:p>
    <w:p w14:paraId="7ABB7164" w14:textId="75EC0910" w:rsidR="00254155" w:rsidRPr="00610B1B" w:rsidRDefault="00254155" w:rsidP="006F4739">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Закон за чистотата на атмосферния въздух , (обн. ДВ бр. 45/28.05.1996 г., </w:t>
      </w:r>
      <w:r w:rsidR="00896C45" w:rsidRPr="00610B1B">
        <w:rPr>
          <w:rFonts w:ascii="Times New Roman" w:eastAsia="Source Han Sans CN Regular" w:hAnsi="Times New Roman" w:cs="Times New Roman"/>
          <w:sz w:val="24"/>
          <w:szCs w:val="24"/>
          <w:lang w:val="bg-BG" w:eastAsia="zh-CN" w:bidi="hi-IN"/>
        </w:rPr>
        <w:t>изм.</w:t>
      </w:r>
      <w:r w:rsidRPr="00610B1B">
        <w:rPr>
          <w:rFonts w:ascii="Times New Roman" w:eastAsia="Source Han Sans CN Regular" w:hAnsi="Times New Roman" w:cs="Times New Roman"/>
          <w:sz w:val="24"/>
          <w:szCs w:val="24"/>
          <w:lang w:val="bg-BG" w:eastAsia="zh-CN" w:bidi="hi-IN"/>
        </w:rPr>
        <w:t xml:space="preserve"> и доп. ДВ бр. 18/02.03.2021 г.</w:t>
      </w:r>
      <w:r w:rsidR="006F4739" w:rsidRPr="00610B1B">
        <w:rPr>
          <w:rFonts w:ascii="Times New Roman" w:eastAsia="Source Han Sans CN Regular" w:hAnsi="Times New Roman" w:cs="Times New Roman"/>
          <w:sz w:val="24"/>
          <w:szCs w:val="24"/>
          <w:lang w:val="bg-BG" w:eastAsia="zh-CN" w:bidi="hi-IN"/>
        </w:rPr>
        <w:t>, в сила от 1.01.2022 г.</w:t>
      </w:r>
      <w:r w:rsidRPr="00610B1B">
        <w:rPr>
          <w:rFonts w:ascii="Times New Roman" w:eastAsia="Source Han Sans CN Regular" w:hAnsi="Times New Roman" w:cs="Times New Roman"/>
          <w:sz w:val="24"/>
          <w:szCs w:val="24"/>
          <w:lang w:val="bg-BG" w:eastAsia="zh-CN" w:bidi="hi-IN"/>
        </w:rPr>
        <w:t>);</w:t>
      </w:r>
    </w:p>
    <w:p w14:paraId="03FA0F9B" w14:textId="77777777" w:rsidR="00254155" w:rsidRPr="00610B1B" w:rsidRDefault="00254155" w:rsidP="00254155">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Кодекс на търговското корабоплаване (обн. ДВ бр. 55/14.07.1970 г., изм. и доп. ДВ бр.108/22.12.2020 г.); </w:t>
      </w:r>
    </w:p>
    <w:p w14:paraId="21DB7244" w14:textId="3EE66E0F" w:rsidR="00254155" w:rsidRDefault="00254155" w:rsidP="00254155">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за изискванията за качеството на течните горива, условията, реда и начина за техния контрол, приета с ПМС № 156 от 2003 г. (обн., ДВ, бр. 66/25.07.2003 г., изм. и доп. ДВ бр. 75/25.08.2020 г.);</w:t>
      </w:r>
    </w:p>
    <w:p w14:paraId="29191117" w14:textId="20740E73" w:rsidR="00B8047B" w:rsidRPr="00610B1B" w:rsidRDefault="00B8047B" w:rsidP="00254155">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B8047B">
        <w:rPr>
          <w:rFonts w:ascii="Times New Roman" w:eastAsia="Source Han Sans CN Regular" w:hAnsi="Times New Roman" w:cs="Times New Roman"/>
          <w:sz w:val="24"/>
          <w:szCs w:val="24"/>
          <w:lang w:val="bg-BG" w:eastAsia="zh-CN" w:bidi="hi-IN"/>
        </w:rPr>
        <w:t>Наредба № 1 от 8.02.1994 г. за геозащитната дейност (Обн. ДВ. Бр.12 от 8 февруари 1994г.)</w:t>
      </w:r>
      <w:r>
        <w:rPr>
          <w:rFonts w:ascii="Times New Roman" w:eastAsia="Source Han Sans CN Regular" w:hAnsi="Times New Roman" w:cs="Times New Roman"/>
          <w:sz w:val="24"/>
          <w:szCs w:val="24"/>
          <w:lang w:val="bg-BG" w:eastAsia="zh-CN" w:bidi="hi-IN"/>
        </w:rPr>
        <w:t>;</w:t>
      </w:r>
    </w:p>
    <w:p w14:paraId="3EBB73C7" w14:textId="0255E6F8" w:rsidR="00BE57CC" w:rsidRPr="00610B1B" w:rsidRDefault="00BE57CC" w:rsidP="00037924">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 1 от 11.04.2011 г. за мониторинг на водите, (обн. ДВ бр.34/29.04.2011 г., изм. и доп. ДВ.</w:t>
      </w:r>
      <w:r w:rsidR="00037924" w:rsidRPr="00610B1B">
        <w:rPr>
          <w:rFonts w:ascii="Times New Roman" w:eastAsia="Source Han Sans CN Regular" w:hAnsi="Times New Roman" w:cs="Times New Roman"/>
          <w:sz w:val="24"/>
          <w:szCs w:val="24"/>
          <w:lang w:val="bg-BG" w:eastAsia="zh-CN" w:bidi="hi-IN"/>
        </w:rPr>
        <w:t xml:space="preserve"> ДВ бр. 75/ 25.08.2020 г.</w:t>
      </w:r>
      <w:r w:rsidRPr="00610B1B">
        <w:rPr>
          <w:rFonts w:ascii="Times New Roman" w:eastAsia="Source Han Sans CN Regular" w:hAnsi="Times New Roman" w:cs="Times New Roman"/>
          <w:sz w:val="24"/>
          <w:szCs w:val="24"/>
          <w:lang w:val="bg-BG" w:eastAsia="zh-CN" w:bidi="hi-IN"/>
        </w:rPr>
        <w:t>);</w:t>
      </w:r>
    </w:p>
    <w:p w14:paraId="38557E72" w14:textId="2A19B331" w:rsidR="00BE57CC" w:rsidRPr="00610B1B" w:rsidRDefault="00BE57CC"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Наредба № 1 от 31.01.2001 г. за условията и реда за осъществяване на пилотска дейност в </w:t>
      </w:r>
      <w:r w:rsidR="00254155" w:rsidRPr="00610B1B">
        <w:rPr>
          <w:rFonts w:ascii="Times New Roman" w:eastAsia="Source Han Sans CN Regular" w:hAnsi="Times New Roman" w:cs="Times New Roman"/>
          <w:sz w:val="24"/>
          <w:szCs w:val="24"/>
          <w:lang w:val="bg-BG" w:eastAsia="zh-CN" w:bidi="hi-IN"/>
        </w:rPr>
        <w:t xml:space="preserve">Република България, в сила от </w:t>
      </w:r>
      <w:r w:rsidR="00037924" w:rsidRPr="00610B1B">
        <w:rPr>
          <w:rFonts w:ascii="Times New Roman" w:eastAsia="Source Han Sans CN Regular" w:hAnsi="Times New Roman" w:cs="Times New Roman"/>
          <w:sz w:val="24"/>
          <w:szCs w:val="24"/>
          <w:lang w:val="bg-BG" w:eastAsia="zh-CN" w:bidi="hi-IN"/>
        </w:rPr>
        <w:t>3</w:t>
      </w:r>
      <w:r w:rsidR="00254155" w:rsidRPr="00610B1B">
        <w:rPr>
          <w:rFonts w:ascii="Times New Roman" w:eastAsia="Source Han Sans CN Regular" w:hAnsi="Times New Roman" w:cs="Times New Roman"/>
          <w:sz w:val="24"/>
          <w:szCs w:val="24"/>
          <w:lang w:val="bg-BG" w:eastAsia="zh-CN" w:bidi="hi-IN"/>
        </w:rPr>
        <w:t>.04.2019 г. (обн. ДВ. бр. 31/12.04.2019 г.);</w:t>
      </w:r>
    </w:p>
    <w:p w14:paraId="42E0BD7F" w14:textId="289A24DE" w:rsidR="00BE57CC" w:rsidRPr="00610B1B" w:rsidRDefault="00BE57CC" w:rsidP="00037924">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 2 от 08.06.2011 г. за издаване на разрешителни за заустване на отпадъчни води във водни обекти и определяне на индивидуалните емисионни ограничения на точкови източници на замърсяване</w:t>
      </w:r>
      <w:r w:rsidR="00037924" w:rsidRPr="00610B1B">
        <w:rPr>
          <w:rFonts w:ascii="Times New Roman" w:eastAsia="Source Han Sans CN Regular" w:hAnsi="Times New Roman" w:cs="Times New Roman"/>
          <w:sz w:val="24"/>
          <w:szCs w:val="24"/>
          <w:lang w:val="bg-BG" w:eastAsia="zh-CN" w:bidi="hi-IN"/>
        </w:rPr>
        <w:t xml:space="preserve"> (обн., ДВ, бр. 47/21.06.2011 г, изм., ДВ бр. 48/27.06.2015 г.)</w:t>
      </w:r>
      <w:r w:rsidRPr="00610B1B">
        <w:rPr>
          <w:rFonts w:ascii="Times New Roman" w:eastAsia="Source Han Sans CN Regular" w:hAnsi="Times New Roman" w:cs="Times New Roman"/>
          <w:sz w:val="24"/>
          <w:szCs w:val="24"/>
          <w:lang w:val="bg-BG" w:eastAsia="zh-CN" w:bidi="hi-IN"/>
        </w:rPr>
        <w:t>.</w:t>
      </w:r>
    </w:p>
    <w:p w14:paraId="42D2820F" w14:textId="77777777" w:rsidR="00BE57CC" w:rsidRPr="00610B1B" w:rsidRDefault="00BE57CC" w:rsidP="00BE57CC">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 4 от 20.10.2000 г. за качеството на водите за рибовъдство и за развъждане на черупкови организми, (обн., ДВ, бр. 88/27.10.2000 г.);</w:t>
      </w:r>
    </w:p>
    <w:p w14:paraId="20D459E2" w14:textId="01C5C368" w:rsidR="00BE57CC" w:rsidRPr="00610B1B" w:rsidRDefault="00BE57CC"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 5 от 30.05. 2008 г. за управление на качеството на водите за къпане (обн., ДВ. бр.53</w:t>
      </w:r>
      <w:r w:rsidR="00037924" w:rsidRPr="00610B1B">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1.07.2008 г., изм. и доп. ДВ. бр.5</w:t>
      </w:r>
      <w:r w:rsidR="00037924" w:rsidRPr="00610B1B">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18.01.2013 г);</w:t>
      </w:r>
    </w:p>
    <w:p w14:paraId="0D89042D" w14:textId="77777777" w:rsidR="00BE57CC" w:rsidRPr="00610B1B" w:rsidRDefault="00BE57CC"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 11 от 25.02.2002 г. за качеството на водите за къпане, (обн. ДВ бр. 25/08.03.2002 г., изм. и доп. ДВ бр. 53/10.06.2008 г.);</w:t>
      </w:r>
    </w:p>
    <w:p w14:paraId="5C71FA5A" w14:textId="223071BD" w:rsidR="00BE57CC" w:rsidRPr="00610B1B" w:rsidRDefault="00BE57CC" w:rsidP="005F3BE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Наредба № 12 от 16.12.2010 г. за проверките по реда на държавния пристанищен контрол, (обн. ДВ. бр.101/28.12.2010 г., изм. и доп. ДВ.</w:t>
      </w:r>
      <w:r w:rsidR="005F3BE6" w:rsidRPr="00610B1B">
        <w:rPr>
          <w:rFonts w:ascii="Times New Roman" w:hAnsi="Times New Roman" w:cs="Times New Roman"/>
          <w:lang w:val="bg-BG"/>
        </w:rPr>
        <w:t xml:space="preserve"> </w:t>
      </w:r>
      <w:r w:rsidR="005F3BE6" w:rsidRPr="00610B1B">
        <w:rPr>
          <w:rFonts w:ascii="Times New Roman" w:eastAsia="Source Han Sans CN Regular" w:hAnsi="Times New Roman" w:cs="Times New Roman"/>
          <w:sz w:val="24"/>
          <w:szCs w:val="24"/>
          <w:lang w:val="bg-BG" w:eastAsia="zh-CN" w:bidi="hi-IN"/>
        </w:rPr>
        <w:t>бр. 7/24.01.2020 г.</w:t>
      </w:r>
      <w:r w:rsidRPr="00610B1B">
        <w:rPr>
          <w:rFonts w:ascii="Times New Roman" w:eastAsia="Source Han Sans CN Regular" w:hAnsi="Times New Roman" w:cs="Times New Roman"/>
          <w:sz w:val="24"/>
          <w:szCs w:val="24"/>
          <w:lang w:val="bg-BG" w:eastAsia="zh-CN" w:bidi="hi-IN"/>
        </w:rPr>
        <w:t>);</w:t>
      </w:r>
    </w:p>
    <w:p w14:paraId="1B9E3DE4" w14:textId="77777777" w:rsidR="00BE57CC" w:rsidRPr="00610B1B" w:rsidRDefault="00BE57CC"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 14 от 03.08.1987 г. за курортните ресурси, курортните местноти и курортите, (обн. ДВ бр. 79/13.10.1987 г., изм. ДВ бр. 70/10.08.2004 г.);</w:t>
      </w:r>
    </w:p>
    <w:p w14:paraId="20B91C96" w14:textId="378833BB" w:rsidR="00BE57CC" w:rsidRPr="00610B1B" w:rsidRDefault="00BE57CC" w:rsidP="005F3BE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 23 от 24.10.2011 г. за докладване и разследване на произшествия в морските пространства (обн., ДВ, бр. 87 от 4.11.2011 г., изм</w:t>
      </w:r>
      <w:r w:rsidR="005F3BE6" w:rsidRPr="00610B1B">
        <w:rPr>
          <w:rFonts w:ascii="Times New Roman" w:hAnsi="Times New Roman" w:cs="Times New Roman"/>
          <w:lang w:val="bg-BG"/>
        </w:rPr>
        <w:t xml:space="preserve"> </w:t>
      </w:r>
      <w:r w:rsidR="005F3BE6" w:rsidRPr="00610B1B">
        <w:rPr>
          <w:rFonts w:ascii="Times New Roman" w:eastAsia="Source Han Sans CN Regular" w:hAnsi="Times New Roman" w:cs="Times New Roman"/>
          <w:sz w:val="24"/>
          <w:szCs w:val="24"/>
          <w:lang w:val="bg-BG" w:eastAsia="zh-CN" w:bidi="hi-IN"/>
        </w:rPr>
        <w:t>бр. 12/11.02.2020 г.</w:t>
      </w:r>
      <w:r w:rsidRPr="00610B1B">
        <w:rPr>
          <w:rFonts w:ascii="Times New Roman" w:eastAsia="Source Han Sans CN Regular" w:hAnsi="Times New Roman" w:cs="Times New Roman"/>
          <w:sz w:val="24"/>
          <w:szCs w:val="24"/>
          <w:lang w:val="bg-BG" w:eastAsia="zh-CN" w:bidi="hi-IN"/>
        </w:rPr>
        <w:t>);</w:t>
      </w:r>
    </w:p>
    <w:p w14:paraId="788A6847" w14:textId="4665E55C" w:rsidR="00BE57CC" w:rsidRPr="00610B1B" w:rsidRDefault="00BE57CC" w:rsidP="005F3BE6">
      <w:pPr>
        <w:widowControl w:val="0"/>
        <w:numPr>
          <w:ilvl w:val="0"/>
          <w:numId w:val="95"/>
        </w:numPr>
        <w:spacing w:after="120"/>
        <w:ind w:right="-153"/>
        <w:jc w:val="both"/>
        <w:rPr>
          <w:rFonts w:ascii="Times New Roman" w:eastAsia="Source Han Sans CN Regular" w:hAnsi="Times New Roman" w:cs="Times New Roman"/>
          <w:i/>
          <w:iCs/>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iCs/>
          <w:sz w:val="24"/>
          <w:szCs w:val="24"/>
          <w:lang w:val="bg-BG" w:eastAsia="zh-CN" w:bidi="hi-IN"/>
        </w:rPr>
        <w:t>Наредба № Н-4 от 14.09.2012 г. за характеризиране на повърхностните води (обн., ДВ, бр. 22 от 5.03.2013 г.</w:t>
      </w:r>
      <w:r w:rsidR="005F3BE6" w:rsidRPr="00610B1B">
        <w:rPr>
          <w:rFonts w:ascii="Times New Roman" w:eastAsia="Source Han Sans CN Regular" w:hAnsi="Times New Roman" w:cs="Times New Roman"/>
          <w:iCs/>
          <w:sz w:val="24"/>
          <w:szCs w:val="24"/>
          <w:lang w:val="bg-BG" w:eastAsia="zh-CN" w:bidi="hi-IN"/>
        </w:rPr>
        <w:t xml:space="preserve">, </w:t>
      </w:r>
      <w:r w:rsidR="00896C45" w:rsidRPr="00610B1B">
        <w:rPr>
          <w:rFonts w:ascii="Times New Roman" w:eastAsia="Source Han Sans CN Regular" w:hAnsi="Times New Roman" w:cs="Times New Roman"/>
          <w:iCs/>
          <w:sz w:val="24"/>
          <w:szCs w:val="24"/>
          <w:lang w:val="bg-BG" w:eastAsia="zh-CN" w:bidi="hi-IN"/>
        </w:rPr>
        <w:t>изм.</w:t>
      </w:r>
      <w:r w:rsidR="005F3BE6" w:rsidRPr="00610B1B">
        <w:rPr>
          <w:rFonts w:ascii="Times New Roman" w:eastAsia="Source Han Sans CN Regular" w:hAnsi="Times New Roman" w:cs="Times New Roman"/>
          <w:iCs/>
          <w:sz w:val="24"/>
          <w:szCs w:val="24"/>
          <w:lang w:val="bg-BG" w:eastAsia="zh-CN" w:bidi="hi-IN"/>
        </w:rPr>
        <w:t xml:space="preserve"> ДВ бр. 13/16.02.2021 г </w:t>
      </w:r>
      <w:r w:rsidRPr="00610B1B">
        <w:rPr>
          <w:rFonts w:ascii="Times New Roman" w:eastAsia="Source Han Sans CN Regular" w:hAnsi="Times New Roman" w:cs="Times New Roman"/>
          <w:iCs/>
          <w:sz w:val="24"/>
          <w:szCs w:val="24"/>
          <w:lang w:val="bg-BG" w:eastAsia="zh-CN" w:bidi="hi-IN"/>
        </w:rPr>
        <w:t>)</w:t>
      </w:r>
    </w:p>
    <w:p w14:paraId="70CF5810" w14:textId="77777777" w:rsidR="00BE57CC" w:rsidRPr="00610B1B" w:rsidRDefault="00BE57CC"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 Н-7 от 12.06.2008 г. за извършване на водолазна и друга подводна дейност, (обн., ДВ, бр. 59/01.07.2008 г., изм. и доп., бр. 14/18.02.2014 г.);</w:t>
      </w:r>
    </w:p>
    <w:p w14:paraId="5D7249C8" w14:textId="27F16776" w:rsidR="00BE57CC" w:rsidRDefault="00BE57CC"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 Н-8 от 9.03.2011 г. за режима на корабоплаване в териториалното море, вътрешните води, пристанищата и рейдовете при осъществяване отбраната на страната, </w:t>
      </w:r>
      <w:r w:rsidRPr="00610B1B">
        <w:rPr>
          <w:rFonts w:ascii="Times New Roman" w:eastAsia="Source Han Sans CN Regular" w:hAnsi="Times New Roman" w:cs="Times New Roman"/>
          <w:sz w:val="24"/>
          <w:szCs w:val="24"/>
          <w:lang w:val="bg-BG" w:eastAsia="zh-CN" w:bidi="hi-IN"/>
        </w:rPr>
        <w:lastRenderedPageBreak/>
        <w:t>(обн., ДВ, бр. 23</w:t>
      </w:r>
      <w:r w:rsidR="005F3BE6" w:rsidRPr="00610B1B">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22.03.2011 г.); </w:t>
      </w:r>
    </w:p>
    <w:p w14:paraId="731ADE20" w14:textId="3141F269" w:rsidR="00B8047B" w:rsidRPr="00610B1B" w:rsidRDefault="00B8047B" w:rsidP="00BE57CC">
      <w:pPr>
        <w:widowControl w:val="0"/>
        <w:numPr>
          <w:ilvl w:val="0"/>
          <w:numId w:val="95"/>
        </w:numPr>
        <w:spacing w:after="120"/>
        <w:ind w:left="426" w:right="-153" w:hanging="426"/>
        <w:jc w:val="both"/>
        <w:rPr>
          <w:rFonts w:ascii="Times New Roman" w:eastAsia="Source Han Sans CN Regular" w:hAnsi="Times New Roman" w:cs="Times New Roman"/>
          <w:sz w:val="24"/>
          <w:szCs w:val="24"/>
          <w:lang w:val="bg-BG" w:eastAsia="zh-CN" w:bidi="hi-IN"/>
        </w:rPr>
      </w:pPr>
      <w:r w:rsidRPr="00B8047B">
        <w:rPr>
          <w:rFonts w:ascii="Times New Roman" w:eastAsia="Source Han Sans CN Regular" w:hAnsi="Times New Roman" w:cs="Times New Roman"/>
          <w:sz w:val="24"/>
          <w:szCs w:val="24"/>
          <w:lang w:val="bg-BG" w:eastAsia="zh-CN" w:bidi="hi-IN"/>
        </w:rPr>
        <w:t>Наредба № РД-02-20-01 от 19.06.2014 г. за условията и реда за вписване и поддържане на регистър на свлачищните райони на територията на Република България, на районите с абразионни и ерозионни процеси по черноморското и дунавското крайбрежие и мониторинга им (Обн. ДВ. бр.53/27.07.2014 г., изм. ДВ. бр.102/12.12.2014 г.)</w:t>
      </w:r>
      <w:r>
        <w:rPr>
          <w:rFonts w:ascii="Times New Roman" w:eastAsia="Source Han Sans CN Regular" w:hAnsi="Times New Roman" w:cs="Times New Roman"/>
          <w:sz w:val="24"/>
          <w:szCs w:val="24"/>
          <w:lang w:val="bg-BG" w:eastAsia="zh-CN" w:bidi="hi-IN"/>
        </w:rPr>
        <w:t>;</w:t>
      </w:r>
    </w:p>
    <w:p w14:paraId="0485741F" w14:textId="3D8F58CB" w:rsidR="00BE57CC" w:rsidRPr="00610B1B" w:rsidRDefault="00BE57CC" w:rsidP="005F3BE6">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опазване на околната среда в морските води (НООСМВ, приета с ПМС № 273 от 23.11.2010 г., обн. ДВ. бр.94/30.11.2010 г., изм. </w:t>
      </w:r>
      <w:r w:rsidR="005F3BE6" w:rsidRPr="00610B1B">
        <w:rPr>
          <w:rFonts w:ascii="Times New Roman" w:eastAsia="Source Han Sans CN Regular" w:hAnsi="Times New Roman" w:cs="Times New Roman"/>
          <w:sz w:val="24"/>
          <w:szCs w:val="24"/>
          <w:lang w:val="bg-BG" w:eastAsia="zh-CN" w:bidi="hi-IN"/>
        </w:rPr>
        <w:t>и доп., ДВ бр. 14/18.02.2020 г.</w:t>
      </w:r>
      <w:r w:rsidRPr="00610B1B">
        <w:rPr>
          <w:rFonts w:ascii="Times New Roman" w:eastAsia="Source Han Sans CN Regular" w:hAnsi="Times New Roman" w:cs="Times New Roman"/>
          <w:sz w:val="24"/>
          <w:szCs w:val="24"/>
          <w:lang w:val="bg-BG" w:eastAsia="zh-CN" w:bidi="hi-IN"/>
        </w:rPr>
        <w:t>.)</w:t>
      </w:r>
    </w:p>
    <w:p w14:paraId="0EC48369" w14:textId="1EF110B6" w:rsidR="00BE57CC" w:rsidRPr="00610B1B" w:rsidRDefault="00BE57CC" w:rsidP="003F2FFE">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организацията за осъществяване на граничен паспортен, митнически, здравен, ветеринарномедицински и фитосанитарен контрол, както и контрол на транспортните средства в пристанищата на Република България, обслужващи кораби от международно плаване, (обн., ДВ, бр. 67/31.08.2012 г., изм. и доп., ДВ</w:t>
      </w:r>
      <w:r w:rsidR="008753B6" w:rsidRPr="00610B1B">
        <w:rPr>
          <w:rFonts w:ascii="Times New Roman" w:eastAsia="Source Han Sans CN Regular" w:hAnsi="Times New Roman" w:cs="Times New Roman"/>
          <w:sz w:val="24"/>
          <w:szCs w:val="24"/>
          <w:lang w:val="bg-BG" w:eastAsia="zh-CN" w:bidi="hi-IN"/>
        </w:rPr>
        <w:t xml:space="preserve"> </w:t>
      </w:r>
      <w:r w:rsidR="003F2FFE" w:rsidRPr="00610B1B">
        <w:rPr>
          <w:rFonts w:ascii="Times New Roman" w:eastAsia="Source Han Sans CN Regular" w:hAnsi="Times New Roman" w:cs="Times New Roman"/>
          <w:sz w:val="24"/>
          <w:szCs w:val="24"/>
          <w:lang w:val="bg-BG" w:eastAsia="zh-CN" w:bidi="hi-IN"/>
        </w:rPr>
        <w:t>бр. 37/7.05.2021 г</w:t>
      </w:r>
      <w:r w:rsidRPr="00610B1B">
        <w:rPr>
          <w:rFonts w:ascii="Times New Roman" w:eastAsia="Source Han Sans CN Regular" w:hAnsi="Times New Roman" w:cs="Times New Roman"/>
          <w:sz w:val="24"/>
          <w:szCs w:val="24"/>
          <w:lang w:val="bg-BG" w:eastAsia="zh-CN" w:bidi="hi-IN"/>
        </w:rPr>
        <w:t>.);</w:t>
      </w:r>
    </w:p>
    <w:p w14:paraId="23F204D3" w14:textId="211AD9DB" w:rsidR="00BE57CC" w:rsidRPr="00610B1B" w:rsidRDefault="00BE57CC" w:rsidP="003F2FFE">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реда, начина и компетентните органи за установяване на критичните инфраструктури и обектите им и оценка на риска за тях, в сила от 23.10.2012 г., (Обн. ДВ. бр.81/23.10.2012г., изм. и доп. ДВ. </w:t>
      </w:r>
      <w:r w:rsidR="003F2FFE" w:rsidRPr="00610B1B">
        <w:rPr>
          <w:rFonts w:ascii="Times New Roman" w:eastAsia="Source Han Sans CN Regular" w:hAnsi="Times New Roman" w:cs="Times New Roman"/>
          <w:sz w:val="24"/>
          <w:szCs w:val="24"/>
          <w:lang w:val="bg-BG" w:eastAsia="zh-CN" w:bidi="hi-IN"/>
        </w:rPr>
        <w:t>бр. 27/5.04.2016 г.</w:t>
      </w:r>
      <w:r w:rsidRPr="00610B1B">
        <w:rPr>
          <w:rFonts w:ascii="Times New Roman" w:eastAsia="Source Han Sans CN Regular" w:hAnsi="Times New Roman" w:cs="Times New Roman"/>
          <w:sz w:val="24"/>
          <w:szCs w:val="24"/>
          <w:lang w:val="bg-BG" w:eastAsia="zh-CN" w:bidi="hi-IN"/>
        </w:rPr>
        <w:t>);</w:t>
      </w:r>
    </w:p>
    <w:p w14:paraId="16AFD68A" w14:textId="1E2461D4" w:rsidR="00BE57CC" w:rsidRPr="00610B1B" w:rsidRDefault="00BE57CC" w:rsidP="003F2FFE">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системите за движение, докладване и управление на трафика и информационно обслужване на корабоплаването в морските пространства на Република България, (обн. ДВ, бр. 76/2005 г., изм. </w:t>
      </w:r>
      <w:r w:rsidR="003F2FFE" w:rsidRPr="00610B1B">
        <w:rPr>
          <w:rFonts w:ascii="Times New Roman" w:eastAsia="Source Han Sans CN Regular" w:hAnsi="Times New Roman" w:cs="Times New Roman"/>
          <w:sz w:val="24"/>
          <w:szCs w:val="24"/>
          <w:lang w:val="bg-BG" w:eastAsia="zh-CN" w:bidi="hi-IN"/>
        </w:rPr>
        <w:t>бр. 37/7.05.2021 г.</w:t>
      </w:r>
      <w:r w:rsidRPr="00610B1B">
        <w:rPr>
          <w:rFonts w:ascii="Times New Roman" w:eastAsia="Source Han Sans CN Regular" w:hAnsi="Times New Roman" w:cs="Times New Roman"/>
          <w:sz w:val="24"/>
          <w:szCs w:val="24"/>
          <w:lang w:val="bg-BG" w:eastAsia="zh-CN" w:bidi="hi-IN"/>
        </w:rPr>
        <w:t xml:space="preserve">.); </w:t>
      </w:r>
    </w:p>
    <w:p w14:paraId="72C63556" w14:textId="74C9CF7D" w:rsidR="00BE57CC" w:rsidRPr="00610B1B" w:rsidRDefault="00BE57CC" w:rsidP="003F2FFE">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стандарти за качество на околната среда за приоритетни вещества и някои други замърсители, </w:t>
      </w:r>
      <w:r w:rsidR="003F2FFE" w:rsidRPr="00610B1B">
        <w:rPr>
          <w:rFonts w:ascii="Times New Roman" w:eastAsia="Source Han Sans CN Regular" w:hAnsi="Times New Roman" w:cs="Times New Roman"/>
          <w:sz w:val="24"/>
          <w:szCs w:val="24"/>
          <w:lang w:val="bg-BG" w:eastAsia="zh-CN" w:bidi="hi-IN"/>
        </w:rPr>
        <w:t>(о</w:t>
      </w:r>
      <w:r w:rsidRPr="00610B1B">
        <w:rPr>
          <w:rFonts w:ascii="Times New Roman" w:eastAsia="Source Han Sans CN Regular" w:hAnsi="Times New Roman" w:cs="Times New Roman"/>
          <w:sz w:val="24"/>
          <w:szCs w:val="24"/>
          <w:lang w:val="bg-BG" w:eastAsia="zh-CN" w:bidi="hi-IN"/>
        </w:rPr>
        <w:t>бн. ДВ. бр. 88/09.11.2010 г.</w:t>
      </w:r>
      <w:r w:rsidR="003F2FFE" w:rsidRPr="00610B1B">
        <w:rPr>
          <w:rFonts w:ascii="Times New Roman" w:eastAsia="Source Han Sans CN Regular" w:hAnsi="Times New Roman" w:cs="Times New Roman"/>
          <w:sz w:val="24"/>
          <w:szCs w:val="24"/>
          <w:lang w:val="bg-BG" w:eastAsia="zh-CN" w:bidi="hi-IN"/>
        </w:rPr>
        <w:t>,</w:t>
      </w:r>
      <w:r w:rsidR="003F2FFE" w:rsidRPr="00610B1B">
        <w:rPr>
          <w:rFonts w:ascii="Times New Roman" w:hAnsi="Times New Roman" w:cs="Times New Roman"/>
          <w:lang w:val="bg-BG"/>
        </w:rPr>
        <w:t xml:space="preserve"> </w:t>
      </w:r>
      <w:r w:rsidR="003F2FFE" w:rsidRPr="00610B1B">
        <w:rPr>
          <w:rFonts w:ascii="Times New Roman" w:eastAsia="Source Han Sans CN Regular" w:hAnsi="Times New Roman" w:cs="Times New Roman"/>
          <w:sz w:val="24"/>
          <w:szCs w:val="24"/>
          <w:lang w:val="bg-BG" w:eastAsia="zh-CN" w:bidi="hi-IN"/>
        </w:rPr>
        <w:t xml:space="preserve">, изм. и доп., бр. 97 от 11.12.2015 г.) </w:t>
      </w:r>
    </w:p>
    <w:p w14:paraId="38F90FD7" w14:textId="7D29E791" w:rsidR="00BE57CC" w:rsidRPr="00610B1B" w:rsidRDefault="00BE57CC" w:rsidP="003F2FFE">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условията и реда за извършване на екологична оценка на планове и програми (ЕО), (обн. ДВ бр. 57/02.07.2004 г. изм. </w:t>
      </w:r>
      <w:r w:rsidR="003F2FFE" w:rsidRPr="00610B1B">
        <w:rPr>
          <w:rFonts w:ascii="Times New Roman" w:eastAsia="Source Han Sans CN Regular" w:hAnsi="Times New Roman" w:cs="Times New Roman"/>
          <w:sz w:val="24"/>
          <w:szCs w:val="24"/>
          <w:lang w:val="bg-BG" w:eastAsia="zh-CN" w:bidi="hi-IN"/>
        </w:rPr>
        <w:t>бр. 70/7.08.2020 г</w:t>
      </w:r>
      <w:r w:rsidRPr="00610B1B">
        <w:rPr>
          <w:rFonts w:ascii="Times New Roman" w:eastAsia="Source Han Sans CN Regular" w:hAnsi="Times New Roman" w:cs="Times New Roman"/>
          <w:sz w:val="24"/>
          <w:szCs w:val="24"/>
          <w:lang w:val="bg-BG" w:eastAsia="zh-CN" w:bidi="hi-IN"/>
        </w:rPr>
        <w:t xml:space="preserve">.); </w:t>
      </w:r>
    </w:p>
    <w:p w14:paraId="76C49472" w14:textId="4BA59AF0" w:rsidR="00BE57CC" w:rsidRPr="00610B1B" w:rsidRDefault="00BE57CC" w:rsidP="003F2FFE">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(обн., ДВ, бр. 73/11.09.2007 г, изм. </w:t>
      </w:r>
      <w:r w:rsidR="003F2FFE" w:rsidRPr="00610B1B">
        <w:rPr>
          <w:rFonts w:ascii="Times New Roman" w:eastAsia="Source Han Sans CN Regular" w:hAnsi="Times New Roman" w:cs="Times New Roman"/>
          <w:sz w:val="24"/>
          <w:szCs w:val="24"/>
          <w:lang w:val="bg-BG" w:eastAsia="zh-CN" w:bidi="hi-IN"/>
        </w:rPr>
        <w:t>бр. 3/5.01.2018 г.</w:t>
      </w:r>
      <w:r w:rsidRPr="00610B1B">
        <w:rPr>
          <w:rFonts w:ascii="Times New Roman" w:eastAsia="Source Han Sans CN Regular" w:hAnsi="Times New Roman" w:cs="Times New Roman"/>
          <w:sz w:val="24"/>
          <w:szCs w:val="24"/>
          <w:lang w:val="bg-BG" w:eastAsia="zh-CN" w:bidi="hi-IN"/>
        </w:rPr>
        <w:t>.);</w:t>
      </w:r>
    </w:p>
    <w:p w14:paraId="6E7FDA10" w14:textId="77777777" w:rsidR="00BE57CC" w:rsidRPr="00610B1B" w:rsidRDefault="00BE57CC" w:rsidP="00BE57CC">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Наредба за условията и реда за постигане сигурността на корабите, пристанищата и пристанищните райони, приета с Постановление № 374 на Министерския съвет от 2014 г., (обн., ДВ, бр. 99/2014 г.);</w:t>
      </w:r>
    </w:p>
    <w:p w14:paraId="39DD935F" w14:textId="2B35CD5E" w:rsidR="00BE57CC" w:rsidRPr="00610B1B" w:rsidRDefault="00BE57CC" w:rsidP="008E7D9C">
      <w:pPr>
        <w:widowControl w:val="0"/>
        <w:numPr>
          <w:ilvl w:val="0"/>
          <w:numId w:val="95"/>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Постановление № 181 на Министерския съвет от 2009 г. за определяне на стратегическите обекти и дейности, които са от значение за националната сигурност, (обн., ДВ, бр. 59/2009</w:t>
      </w:r>
      <w:r w:rsidR="009463FB" w:rsidRPr="00610B1B">
        <w:rPr>
          <w:rFonts w:ascii="Times New Roman" w:hAnsi="Times New Roman" w:cs="Times New Roman"/>
          <w:lang w:val="bg-BG"/>
        </w:rPr>
        <w:t> </w:t>
      </w:r>
      <w:r w:rsidRPr="00610B1B">
        <w:rPr>
          <w:rFonts w:ascii="Times New Roman" w:eastAsia="Source Han Sans CN Regular" w:hAnsi="Times New Roman" w:cs="Times New Roman"/>
          <w:sz w:val="24"/>
          <w:szCs w:val="24"/>
          <w:lang w:val="bg-BG" w:eastAsia="zh-CN" w:bidi="hi-IN"/>
        </w:rPr>
        <w:t xml:space="preserve">г; изм. и доп., ДВ </w:t>
      </w:r>
      <w:r w:rsidR="008E7D9C" w:rsidRPr="00610B1B">
        <w:rPr>
          <w:rFonts w:ascii="Times New Roman" w:eastAsia="Source Han Sans CN Regular" w:hAnsi="Times New Roman" w:cs="Times New Roman"/>
          <w:sz w:val="24"/>
          <w:szCs w:val="24"/>
          <w:lang w:val="bg-BG" w:eastAsia="zh-CN" w:bidi="hi-IN"/>
        </w:rPr>
        <w:t>бр. 33/20.04.2021 г</w:t>
      </w:r>
      <w:r w:rsidRPr="00610B1B">
        <w:rPr>
          <w:rFonts w:ascii="Times New Roman" w:eastAsia="Source Han Sans CN Regular" w:hAnsi="Times New Roman" w:cs="Times New Roman"/>
          <w:sz w:val="24"/>
          <w:szCs w:val="24"/>
          <w:lang w:val="bg-BG" w:eastAsia="zh-CN" w:bidi="hi-IN"/>
        </w:rPr>
        <w:t>.);</w:t>
      </w:r>
    </w:p>
    <w:p w14:paraId="046B6B39" w14:textId="77777777" w:rsidR="00BE57CC" w:rsidRPr="00610B1B" w:rsidRDefault="00BE57CC"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p>
    <w:p w14:paraId="27FD16AA" w14:textId="77777777" w:rsidR="00BE57CC" w:rsidRPr="00610B1B" w:rsidRDefault="00BE57CC" w:rsidP="00BE57CC">
      <w:pPr>
        <w:keepNext/>
        <w:widowControl w:val="0"/>
        <w:numPr>
          <w:ilvl w:val="1"/>
          <w:numId w:val="1"/>
        </w:numPr>
        <w:spacing w:after="120"/>
        <w:ind w:right="-153"/>
        <w:outlineLvl w:val="1"/>
        <w:rPr>
          <w:rFonts w:ascii="Times New Roman" w:eastAsia="Source Han Sans CN Regular" w:hAnsi="Times New Roman" w:cs="Times New Roman"/>
          <w:b/>
          <w:bCs/>
          <w:color w:val="0F243E" w:themeColor="text2" w:themeShade="80"/>
          <w:sz w:val="32"/>
          <w:szCs w:val="32"/>
          <w:lang w:val="bg-BG" w:eastAsia="zh-CN" w:bidi="hi-IN"/>
        </w:rPr>
      </w:pPr>
      <w:bookmarkStart w:id="539" w:name="_Toc56961587"/>
      <w:bookmarkStart w:id="540" w:name="_Toc83391459"/>
      <w:r w:rsidRPr="00610B1B">
        <w:rPr>
          <w:rFonts w:ascii="Times New Roman" w:eastAsia="Source Han Sans CN Regular" w:hAnsi="Times New Roman" w:cs="Times New Roman"/>
          <w:b/>
          <w:bCs/>
          <w:color w:val="0F243E" w:themeColor="text2" w:themeShade="80"/>
          <w:sz w:val="32"/>
          <w:szCs w:val="32"/>
          <w:lang w:val="bg-BG" w:eastAsia="zh-CN" w:bidi="hi-IN"/>
        </w:rPr>
        <w:t>11.4. Програмни и стратeгически документи</w:t>
      </w:r>
      <w:bookmarkEnd w:id="539"/>
      <w:bookmarkEnd w:id="540"/>
    </w:p>
    <w:p w14:paraId="335B5100" w14:textId="1CA3E6A8" w:rsidR="00BE57CC" w:rsidRPr="00610B1B" w:rsidRDefault="00BE57CC" w:rsidP="00BE57CC">
      <w:pPr>
        <w:widowControl w:val="0"/>
        <w:numPr>
          <w:ilvl w:val="0"/>
          <w:numId w:val="96"/>
        </w:numPr>
        <w:spacing w:after="120"/>
        <w:ind w:right="-153"/>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План за управление на речните басейни в Черноморски район за басейново управление на водите.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2016-2021 г.</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t>
      </w:r>
      <w:hyperlink r:id="rId93" w:history="1">
        <w:r w:rsidRPr="00610B1B">
          <w:rPr>
            <w:rFonts w:ascii="Times New Roman" w:eastAsia="Source Han Sans CN Regular" w:hAnsi="Times New Roman" w:cs="Times New Roman"/>
            <w:color w:val="0000FF"/>
            <w:sz w:val="24"/>
            <w:szCs w:val="24"/>
            <w:lang w:val="bg-BG" w:eastAsia="zh-CN" w:bidi="hi-IN"/>
          </w:rPr>
          <w:t>https://www.bsbd.org/bg/index_bg_5493788.html</w:t>
        </w:r>
      </w:hyperlink>
      <w:r w:rsidRPr="00610B1B">
        <w:rPr>
          <w:rFonts w:ascii="Times New Roman" w:eastAsia="Source Han Sans CN Regular" w:hAnsi="Times New Roman" w:cs="Times New Roman"/>
          <w:sz w:val="24"/>
          <w:szCs w:val="24"/>
          <w:lang w:val="bg-BG" w:eastAsia="zh-CN" w:bidi="hi-IN"/>
        </w:rPr>
        <w:t>;</w:t>
      </w:r>
    </w:p>
    <w:p w14:paraId="513F2D4A" w14:textId="56D48668" w:rsidR="00BE57CC" w:rsidRPr="00610B1B" w:rsidRDefault="00BE57CC" w:rsidP="00BE57CC">
      <w:pPr>
        <w:widowControl w:val="0"/>
        <w:numPr>
          <w:ilvl w:val="0"/>
          <w:numId w:val="96"/>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План за управление на риска от наводнения в Черноморския басейн за управление на водите (2016-2021 г.) </w:t>
      </w:r>
      <w:hyperlink r:id="rId94" w:history="1">
        <w:r w:rsidR="00254155" w:rsidRPr="00610B1B">
          <w:rPr>
            <w:rStyle w:val="Hyperlink"/>
            <w:rFonts w:ascii="Times New Roman" w:eastAsia="Source Han Sans CN Regular" w:hAnsi="Times New Roman" w:cs="Times New Roman"/>
            <w:sz w:val="24"/>
            <w:szCs w:val="24"/>
            <w:lang w:val="bg-BG" w:eastAsia="zh-CN" w:bidi="hi-IN"/>
          </w:rPr>
          <w:t>https://www.bsbd.org/bg/index_bg_5493788.html</w:t>
        </w:r>
      </w:hyperlink>
      <w:r w:rsidRPr="00610B1B">
        <w:rPr>
          <w:rFonts w:ascii="Times New Roman" w:eastAsia="Source Han Sans CN Regular" w:hAnsi="Times New Roman" w:cs="Times New Roman"/>
          <w:sz w:val="24"/>
          <w:szCs w:val="24"/>
          <w:lang w:val="bg-BG" w:eastAsia="zh-CN" w:bidi="hi-IN"/>
        </w:rPr>
        <w:t xml:space="preserve">; </w:t>
      </w:r>
    </w:p>
    <w:p w14:paraId="7FB943E0"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Програма за мониторинг по чл. 11 от Рамкова директива за морска стратегия. Басейнова Дирекция за управление на водите в Черноморски район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БДЧР</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БДЧР;</w:t>
      </w:r>
    </w:p>
    <w:p w14:paraId="016DD9F8" w14:textId="323539A5" w:rsidR="00BE57CC" w:rsidRPr="00610B1B" w:rsidRDefault="00BE57CC" w:rsidP="00D03DA8">
      <w:pPr>
        <w:widowControl w:val="0"/>
        <w:numPr>
          <w:ilvl w:val="0"/>
          <w:numId w:val="96"/>
        </w:numPr>
        <w:spacing w:after="120"/>
        <w:ind w:left="426" w:right="366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Програма от мерки по чл. 13 на РДМС. БДЧР. </w:t>
      </w:r>
      <w:hyperlink r:id="rId95" w:history="1">
        <w:r w:rsidR="00254155" w:rsidRPr="00610B1B">
          <w:rPr>
            <w:rStyle w:val="Hyperlink"/>
            <w:rFonts w:ascii="Times New Roman" w:eastAsia="Source Han Sans CN Regular" w:hAnsi="Times New Roman" w:cs="Times New Roman"/>
            <w:sz w:val="24"/>
            <w:szCs w:val="24"/>
            <w:lang w:val="bg-BG" w:eastAsia="zh-CN" w:bidi="hi-IN"/>
          </w:rPr>
          <w:t>https://www.bsbd.org/bg/m_env_and_action.html</w:t>
        </w:r>
      </w:hyperlink>
      <w:r w:rsidRPr="00610B1B">
        <w:rPr>
          <w:rFonts w:ascii="Times New Roman" w:eastAsia="Source Han Sans CN Regular" w:hAnsi="Times New Roman" w:cs="Times New Roman"/>
          <w:sz w:val="24"/>
          <w:szCs w:val="24"/>
          <w:lang w:val="bg-BG" w:eastAsia="zh-CN" w:bidi="hi-IN"/>
        </w:rPr>
        <w:t>;</w:t>
      </w:r>
    </w:p>
    <w:p w14:paraId="6E4FC0A7" w14:textId="3EF13E11"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Екологична оценка на проект „Морска стратегия и Програма от мерки”, 2016 г.</w:t>
      </w:r>
      <w:r w:rsidR="00D66FE0" w:rsidRPr="00610B1B">
        <w:rPr>
          <w:rFonts w:ascii="Times New Roman" w:eastAsia="Source Han Sans CN Regular" w:hAnsi="Times New Roman" w:cs="Times New Roman"/>
          <w:sz w:val="24"/>
          <w:szCs w:val="24"/>
          <w:lang w:val="bg-BG" w:eastAsia="zh-CN" w:bidi="hi-IN"/>
        </w:rPr>
        <w:t xml:space="preserve"> </w:t>
      </w:r>
      <w:hyperlink r:id="rId96" w:history="1">
        <w:r w:rsidRPr="00610B1B">
          <w:rPr>
            <w:rFonts w:ascii="Times New Roman" w:eastAsia="Source Han Sans CN Regular" w:hAnsi="Times New Roman" w:cs="Times New Roman"/>
            <w:color w:val="0000FF"/>
            <w:sz w:val="24"/>
            <w:szCs w:val="24"/>
            <w:u w:val="single"/>
            <w:lang w:val="bg-BG" w:eastAsia="zh-CN" w:bidi="hi-IN"/>
          </w:rPr>
          <w:t>https://www.bsbd.org/UserFiles/File/Sea/Zad-MS-PoM.pdf</w:t>
        </w:r>
      </w:hyperlink>
      <w:r w:rsidRPr="00610B1B">
        <w:rPr>
          <w:rFonts w:ascii="Times New Roman" w:eastAsia="Source Han Sans CN Regular" w:hAnsi="Times New Roman" w:cs="Times New Roman"/>
          <w:sz w:val="24"/>
          <w:szCs w:val="24"/>
          <w:lang w:val="bg-BG" w:eastAsia="zh-CN" w:bidi="hi-IN"/>
        </w:rPr>
        <w:t xml:space="preserve"> ;</w:t>
      </w:r>
    </w:p>
    <w:p w14:paraId="049EC467" w14:textId="417B31DC"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Задължителни правила за морските пристанища на Република България (издадени от Изпълнителна агенция „Морска администрация”, (обн. ДВ. бр.50/2009 г., </w:t>
      </w:r>
      <w:r w:rsidR="00896C45" w:rsidRPr="00610B1B">
        <w:rPr>
          <w:rFonts w:ascii="Times New Roman" w:eastAsia="Source Han Sans CN Regular" w:hAnsi="Times New Roman" w:cs="Times New Roman"/>
          <w:sz w:val="24"/>
          <w:szCs w:val="24"/>
          <w:lang w:val="bg-BG" w:eastAsia="zh-CN" w:bidi="hi-IN"/>
        </w:rPr>
        <w:t>изм.</w:t>
      </w:r>
      <w:r w:rsidRPr="00610B1B">
        <w:rPr>
          <w:rFonts w:ascii="Times New Roman" w:eastAsia="Source Han Sans CN Regular" w:hAnsi="Times New Roman" w:cs="Times New Roman"/>
          <w:sz w:val="24"/>
          <w:szCs w:val="24"/>
          <w:lang w:val="bg-BG" w:eastAsia="zh-CN" w:bidi="hi-IN"/>
        </w:rPr>
        <w:t xml:space="preserve"> и доп. ДВ. бр.57/2012 г.); </w:t>
      </w:r>
    </w:p>
    <w:p w14:paraId="59E15A7D" w14:textId="76F5128F"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Интегрирана транспортна стратегия в периода до 2030 г., </w:t>
      </w:r>
      <w:r w:rsidR="004E6C8D">
        <w:rPr>
          <w:rFonts w:ascii="Times New Roman" w:eastAsia="Source Han Sans CN Regular" w:hAnsi="Times New Roman" w:cs="Times New Roman"/>
          <w:sz w:val="24"/>
          <w:szCs w:val="24"/>
          <w:lang w:val="bg-BG" w:eastAsia="zh-CN" w:bidi="hi-IN"/>
        </w:rPr>
        <w:t>МТС</w:t>
      </w:r>
      <w:r w:rsidRPr="00610B1B">
        <w:rPr>
          <w:rFonts w:ascii="Times New Roman" w:eastAsia="Source Han Sans CN Regular" w:hAnsi="Times New Roman" w:cs="Times New Roman"/>
          <w:sz w:val="24"/>
          <w:szCs w:val="24"/>
          <w:lang w:val="bg-BG" w:eastAsia="zh-CN" w:bidi="hi-IN"/>
        </w:rPr>
        <w:t>, 2017 г.</w:t>
      </w:r>
    </w:p>
    <w:p w14:paraId="35595AA8" w14:textId="47E6E4D2"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Концепция за пространствено развитие на община Аксаково 2014-2020 г.</w:t>
      </w:r>
      <w:r w:rsidR="00D66FE0" w:rsidRPr="00610B1B">
        <w:rPr>
          <w:rFonts w:ascii="Times New Roman" w:eastAsia="Source Han Sans CN Regular" w:hAnsi="Times New Roman" w:cs="Times New Roman"/>
          <w:sz w:val="24"/>
          <w:szCs w:val="24"/>
          <w:lang w:val="bg-BG" w:eastAsia="zh-CN" w:bidi="hi-IN"/>
        </w:rPr>
        <w:t xml:space="preserve"> </w:t>
      </w:r>
      <w:hyperlink r:id="rId97" w:history="1">
        <w:r w:rsidRPr="00610B1B">
          <w:rPr>
            <w:rFonts w:ascii="Times New Roman" w:eastAsia="Source Han Sans CN Regular" w:hAnsi="Times New Roman" w:cs="Times New Roman"/>
            <w:color w:val="0000FF"/>
            <w:sz w:val="24"/>
            <w:szCs w:val="24"/>
            <w:u w:val="single"/>
            <w:lang w:val="bg-BG" w:eastAsia="zh-CN" w:bidi="hi-IN"/>
          </w:rPr>
          <w:t>http://www.aksakovo.net/section-156-obschinski_plan_za_razvi.html</w:t>
        </w:r>
      </w:hyperlink>
      <w:r w:rsidRPr="00610B1B">
        <w:rPr>
          <w:rFonts w:ascii="Times New Roman" w:eastAsia="Source Han Sans CN Regular" w:hAnsi="Times New Roman" w:cs="Times New Roman"/>
          <w:sz w:val="24"/>
          <w:szCs w:val="24"/>
          <w:lang w:val="bg-BG" w:eastAsia="zh-CN" w:bidi="hi-IN"/>
        </w:rPr>
        <w:t>);</w:t>
      </w:r>
      <w:r w:rsidR="00C415D1" w:rsidRPr="00610B1B">
        <w:rPr>
          <w:rFonts w:ascii="Times New Roman" w:eastAsia="Source Han Sans CN Regular" w:hAnsi="Times New Roman" w:cs="Times New Roman"/>
          <w:sz w:val="24"/>
          <w:szCs w:val="24"/>
          <w:lang w:val="bg-BG" w:eastAsia="zh-CN" w:bidi="hi-IN"/>
        </w:rPr>
        <w:t xml:space="preserve"> </w:t>
      </w:r>
    </w:p>
    <w:p w14:paraId="3FF7B26D"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Мониторинг на избрани видове морски птици във връзка с програмата за мониторинг по Дескриптор Д1 и Д4 на Рамкова директива за морска стратегия 2008/56/ЕО. Обобщаващ доклад, 2016 г. </w:t>
      </w:r>
    </w:p>
    <w:p w14:paraId="1C84DFCF"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Мониторинг на избрани видове морски птици за 2018 г. Съгласно програмата за мониторинг по дескриптор 1 – биоразнообразие на Рамкова директива за морска стратегия 2008/56/ЕО. Обобщен доклад.</w:t>
      </w:r>
    </w:p>
    <w:p w14:paraId="308AC45E" w14:textId="7FE53389" w:rsidR="00BE57CC" w:rsidRPr="00610B1B" w:rsidRDefault="00BE57CC" w:rsidP="00BE57CC">
      <w:pPr>
        <w:widowControl w:val="0"/>
        <w:numPr>
          <w:ilvl w:val="0"/>
          <w:numId w:val="96"/>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Морската стратегия и Програма от мерки на Република България, приети с Решение на</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МС № 1111/29.12.2016 г. БДЧР, </w:t>
      </w:r>
      <w:hyperlink r:id="rId98" w:history="1">
        <w:r w:rsidRPr="00610B1B">
          <w:rPr>
            <w:rFonts w:ascii="Times New Roman" w:eastAsia="Source Han Sans CN Regular" w:hAnsi="Times New Roman" w:cs="Times New Roman"/>
            <w:color w:val="0000FF"/>
            <w:sz w:val="24"/>
            <w:szCs w:val="24"/>
            <w:u w:val="single"/>
            <w:lang w:val="bg-BG" w:eastAsia="zh-CN" w:bidi="hi-IN"/>
          </w:rPr>
          <w:t>https://www.bsbd.org/UserFiles/bg/m_env_and_action.html</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569C1E84"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Национален авариен план за борба с нефтени разливи в Черно море, София, 2011 г.</w:t>
      </w:r>
    </w:p>
    <w:p w14:paraId="3E4B9C06"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Национален план за противодействие на тероризма, 2008, приет с Решение № 745 на МС 26.11.2008 г.;</w:t>
      </w:r>
    </w:p>
    <w:p w14:paraId="75AD657F"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Национален стратегически план за аквакултурите в България 2014-2020 г.;</w:t>
      </w:r>
    </w:p>
    <w:p w14:paraId="181BB8BE" w14:textId="16F71A83" w:rsidR="00BE57CC" w:rsidRPr="00610B1B" w:rsidRDefault="00BE57CC" w:rsidP="00BE57CC">
      <w:pPr>
        <w:widowControl w:val="0"/>
        <w:numPr>
          <w:ilvl w:val="0"/>
          <w:numId w:val="96"/>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Национална концепция за пространствено развитие 2013-2025 г., Актуализация 2019 г. </w:t>
      </w:r>
      <w:hyperlink r:id="rId99" w:history="1">
        <w:r w:rsidRPr="00610B1B">
          <w:rPr>
            <w:rFonts w:ascii="Times New Roman" w:eastAsia="Source Han Sans CN Regular" w:hAnsi="Times New Roman" w:cs="Times New Roman"/>
            <w:color w:val="0000FF"/>
            <w:sz w:val="24"/>
            <w:szCs w:val="24"/>
            <w:u w:val="single"/>
            <w:lang w:val="bg-BG" w:eastAsia="zh-CN" w:bidi="hi-IN"/>
          </w:rPr>
          <w:t>http://www.mrrb.government.bg/static/media/ups/articles/attachments/d747ca682ac1a70380428fd1dc664fb3.pdf</w:t>
        </w:r>
      </w:hyperlink>
      <w:r w:rsidRPr="00610B1B">
        <w:rPr>
          <w:rFonts w:ascii="Times New Roman" w:eastAsia="Source Han Sans CN Regular" w:hAnsi="Times New Roman" w:cs="Times New Roman"/>
          <w:sz w:val="24"/>
          <w:szCs w:val="24"/>
          <w:lang w:val="bg-BG" w:eastAsia="zh-CN" w:bidi="hi-IN"/>
        </w:rPr>
        <w:t xml:space="preserve"> </w:t>
      </w:r>
    </w:p>
    <w:p w14:paraId="1A9811AF" w14:textId="20C0E44A" w:rsidR="00DB5CC7" w:rsidRPr="00610B1B" w:rsidRDefault="00BE57CC" w:rsidP="004567E9">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Национална отбранителна стратегия, приета с решение на МС 283/18.04.2016г., </w:t>
      </w:r>
      <w:hyperlink r:id="rId100" w:history="1">
        <w:r w:rsidRPr="00610B1B">
          <w:rPr>
            <w:rFonts w:ascii="Times New Roman" w:eastAsia="Source Han Sans CN Regular" w:hAnsi="Times New Roman" w:cs="Times New Roman"/>
            <w:color w:val="0000FF"/>
            <w:sz w:val="24"/>
            <w:szCs w:val="24"/>
            <w:u w:val="single"/>
            <w:lang w:val="bg-BG" w:eastAsia="zh-CN" w:bidi="hi-IN"/>
          </w:rPr>
          <w:t>https://www.mod.bg/bg/doc/strategicheski/20160419_Natsioanalna_otbranitelna_strategia_RMS_283_18.04.2016.pdf</w:t>
        </w:r>
      </w:hyperlink>
      <w:r w:rsidRPr="00610B1B">
        <w:rPr>
          <w:rFonts w:ascii="Times New Roman" w:eastAsia="Source Han Sans CN Regular" w:hAnsi="Times New Roman" w:cs="Times New Roman"/>
          <w:sz w:val="24"/>
          <w:szCs w:val="24"/>
          <w:lang w:val="bg-BG" w:eastAsia="zh-CN" w:bidi="hi-IN"/>
        </w:rPr>
        <w:t xml:space="preserve"> </w:t>
      </w:r>
    </w:p>
    <w:p w14:paraId="69A8F4D6" w14:textId="32D5F827" w:rsidR="00DB5CC7" w:rsidRPr="00610B1B" w:rsidRDefault="00BE57CC" w:rsidP="00C33C1F">
      <w:pPr>
        <w:widowControl w:val="0"/>
        <w:numPr>
          <w:ilvl w:val="0"/>
          <w:numId w:val="96"/>
        </w:numPr>
        <w:spacing w:after="6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Национална програма за превенция и ограничаване на свлачищата на територията на Република България, ерозията и абразията по Дунавското и Черноморското крайбрежие 2015-2020 г., 2013, </w:t>
      </w:r>
      <w:r w:rsidR="00C33C1F" w:rsidRPr="00C33C1F">
        <w:rPr>
          <w:rFonts w:ascii="Times New Roman" w:eastAsia="Source Han Sans CN Regular" w:hAnsi="Times New Roman" w:cs="Times New Roman"/>
          <w:sz w:val="24"/>
          <w:szCs w:val="24"/>
          <w:lang w:val="bg-BG" w:eastAsia="zh-CN" w:bidi="hi-IN"/>
        </w:rPr>
        <w:t>Института по геофизика, геодезия и география на БАН с Геологическия институт “Страшимир Димитров” на БАН.</w:t>
      </w:r>
    </w:p>
    <w:p w14:paraId="4426DDEE" w14:textId="2302B66A" w:rsidR="00BE57CC" w:rsidRPr="00610B1B" w:rsidRDefault="0055393F" w:rsidP="00DB5CC7">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01" w:history="1">
        <w:r w:rsidR="00DB5CC7" w:rsidRPr="00610B1B">
          <w:rPr>
            <w:rStyle w:val="Hyperlink"/>
            <w:rFonts w:ascii="Times New Roman" w:eastAsia="Source Han Sans CN Regular" w:hAnsi="Times New Roman" w:cs="Times New Roman"/>
            <w:sz w:val="24"/>
            <w:szCs w:val="24"/>
            <w:lang w:val="bg-BG" w:eastAsia="zh-CN" w:bidi="hi-IN"/>
          </w:rPr>
          <w:t>http://www.mrrb.government.bg/static/media/ups/articles/attachments/9c601820f838fec4e00cb3332fab39d4.pdf</w:t>
        </w:r>
      </w:hyperlink>
    </w:p>
    <w:p w14:paraId="221CBAB8" w14:textId="3A1CB795" w:rsidR="00BE57CC" w:rsidRPr="00610B1B" w:rsidRDefault="00BE57CC" w:rsidP="00D03DA8">
      <w:pPr>
        <w:widowControl w:val="0"/>
        <w:numPr>
          <w:ilvl w:val="0"/>
          <w:numId w:val="96"/>
        </w:numPr>
        <w:spacing w:after="120"/>
        <w:ind w:left="426" w:right="3805"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Национална програма за развитие: България 2030. </w:t>
      </w:r>
      <w:hyperlink r:id="rId102" w:history="1">
        <w:r w:rsidRPr="00610B1B">
          <w:rPr>
            <w:rFonts w:ascii="Times New Roman" w:eastAsia="Source Han Sans CN Regular" w:hAnsi="Times New Roman" w:cs="Times New Roman"/>
            <w:color w:val="0000FF"/>
            <w:sz w:val="24"/>
            <w:szCs w:val="24"/>
            <w:u w:val="single"/>
            <w:lang w:val="bg-BG" w:eastAsia="zh-CN" w:bidi="hi-IN"/>
          </w:rPr>
          <w:t>https://www.bsbd.org/bg/index_bg_5493788.html</w:t>
        </w:r>
      </w:hyperlink>
      <w:r w:rsidRPr="00610B1B">
        <w:rPr>
          <w:rFonts w:ascii="Times New Roman" w:eastAsia="Source Han Sans CN Regular" w:hAnsi="Times New Roman" w:cs="Times New Roman"/>
          <w:sz w:val="24"/>
          <w:szCs w:val="24"/>
          <w:lang w:val="bg-BG" w:eastAsia="zh-CN" w:bidi="hi-IN"/>
        </w:rPr>
        <w:t>;</w:t>
      </w:r>
    </w:p>
    <w:p w14:paraId="4333F4B8"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Национална стратегия за регионално развитие на Р. България 2012-2022 г.;</w:t>
      </w:r>
    </w:p>
    <w:p w14:paraId="3B400272" w14:textId="7ABB9602"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Областна стратегия за развитие на област Бургас за периода 2014-2020 г.; </w:t>
      </w:r>
      <w:hyperlink r:id="rId103" w:history="1">
        <w:r w:rsidRPr="00610B1B">
          <w:rPr>
            <w:rFonts w:ascii="Times New Roman" w:eastAsia="Source Han Sans CN Regular" w:hAnsi="Times New Roman" w:cs="Times New Roman"/>
            <w:color w:val="0000FF"/>
            <w:sz w:val="24"/>
            <w:szCs w:val="24"/>
            <w:u w:val="single"/>
            <w:lang w:val="bg-BG" w:eastAsia="zh-CN" w:bidi="hi-IN"/>
          </w:rPr>
          <w:t>http://www.strategy.bg/StrategicDocuments/View.aspx?lang=bg-BG&amp;Id=1025</w:t>
        </w:r>
      </w:hyperlink>
      <w:r w:rsidRPr="00610B1B">
        <w:rPr>
          <w:rFonts w:ascii="Times New Roman" w:eastAsia="Source Han Sans CN Regular" w:hAnsi="Times New Roman" w:cs="Times New Roman"/>
          <w:sz w:val="24"/>
          <w:szCs w:val="24"/>
          <w:lang w:val="bg-BG" w:eastAsia="zh-CN" w:bidi="hi-IN"/>
        </w:rPr>
        <w:t xml:space="preserve">); </w:t>
      </w:r>
    </w:p>
    <w:p w14:paraId="21AAB3D2" w14:textId="0976C47D"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Областна стратегия за развитие на област Варна за периода 2014-2020 г </w:t>
      </w:r>
      <w:hyperlink r:id="rId104" w:history="1">
        <w:r w:rsidRPr="00610B1B">
          <w:rPr>
            <w:rFonts w:ascii="Times New Roman" w:eastAsia="Source Han Sans CN Regular" w:hAnsi="Times New Roman" w:cs="Times New Roman"/>
            <w:color w:val="0000FF"/>
            <w:sz w:val="24"/>
            <w:szCs w:val="24"/>
            <w:u w:val="single"/>
            <w:lang w:val="bg-BG" w:eastAsia="zh-CN" w:bidi="hi-IN"/>
          </w:rPr>
          <w:t>http://www.vn.government.bg/stranici/%CE%D1%D0%20%ED%E0%20%C2%E0%F0%ED%E5%ED%F1%EA%E0%20%EE%E1%EB%E0%F1%F2%202014-2020.pdf</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2CC1420D" w14:textId="2C5CA955"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Областна стратегия за развитие на област Добрич за периода 2014-2020 г.</w:t>
      </w:r>
      <w:r w:rsidR="00D66FE0" w:rsidRPr="00610B1B">
        <w:rPr>
          <w:rFonts w:ascii="Times New Roman" w:eastAsia="Source Han Sans CN Regular" w:hAnsi="Times New Roman" w:cs="Times New Roman"/>
          <w:sz w:val="24"/>
          <w:szCs w:val="24"/>
          <w:lang w:val="bg-BG" w:eastAsia="zh-CN" w:bidi="hi-IN"/>
        </w:rPr>
        <w:t xml:space="preserve"> </w:t>
      </w:r>
      <w:hyperlink r:id="rId105" w:history="1">
        <w:r w:rsidRPr="00610B1B">
          <w:rPr>
            <w:rFonts w:ascii="Times New Roman" w:eastAsia="Source Han Sans CN Regular" w:hAnsi="Times New Roman" w:cs="Times New Roman"/>
            <w:color w:val="0000FF"/>
            <w:sz w:val="24"/>
            <w:szCs w:val="24"/>
            <w:u w:val="single"/>
            <w:lang w:val="bg-BG" w:eastAsia="zh-CN" w:bidi="hi-IN"/>
          </w:rPr>
          <w:t>http://dobrich.government.bg/ipage.php?id=320</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0D0FC07F" w14:textId="5CA43A60"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Общински план за развитие на община</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Несебър</w:t>
      </w:r>
    </w:p>
    <w:p w14:paraId="30587E76" w14:textId="79D8E503" w:rsidR="00BE57CC" w:rsidRPr="00610B1B" w:rsidRDefault="0055393F"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06" w:history="1">
        <w:r w:rsidR="00BE57CC" w:rsidRPr="00610B1B">
          <w:rPr>
            <w:rFonts w:ascii="Times New Roman" w:eastAsia="Source Han Sans CN Regular" w:hAnsi="Times New Roman" w:cs="Times New Roman"/>
            <w:color w:val="0000FF"/>
            <w:sz w:val="24"/>
            <w:szCs w:val="24"/>
            <w:u w:val="single"/>
            <w:lang w:val="bg-BG" w:eastAsia="zh-CN" w:bidi="hi-IN"/>
          </w:rPr>
          <w:t>http://www.strategy.bg/PublicConsultations/View.aspx?lang=bg-BG&amp;Id=1356</w:t>
        </w:r>
      </w:hyperlink>
      <w:r w:rsidR="00BE57CC" w:rsidRPr="00610B1B">
        <w:rPr>
          <w:rFonts w:ascii="Times New Roman" w:eastAsia="Source Han Sans CN Regular" w:hAnsi="Times New Roman" w:cs="Times New Roman"/>
          <w:sz w:val="24"/>
          <w:szCs w:val="24"/>
          <w:lang w:val="bg-BG" w:eastAsia="zh-CN" w:bidi="hi-IN"/>
        </w:rPr>
        <w:t xml:space="preserve">); </w:t>
      </w:r>
    </w:p>
    <w:p w14:paraId="4DF842CB" w14:textId="77777777" w:rsidR="00BE57CC" w:rsidRPr="00610B1B" w:rsidRDefault="00BE57CC" w:rsidP="00DB5CC7">
      <w:pPr>
        <w:widowControl w:val="0"/>
        <w:numPr>
          <w:ilvl w:val="0"/>
          <w:numId w:val="96"/>
        </w:numPr>
        <w:spacing w:after="60"/>
        <w:ind w:left="425" w:right="-153" w:hanging="425"/>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Общински план за развитие на Община Аврен 2014-2020 г. </w:t>
      </w:r>
    </w:p>
    <w:p w14:paraId="48273BFD" w14:textId="10D69AB4" w:rsidR="00BE57CC" w:rsidRPr="00610B1B" w:rsidRDefault="0055393F"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07" w:history="1">
        <w:r w:rsidR="00BE57CC" w:rsidRPr="00610B1B">
          <w:rPr>
            <w:rFonts w:ascii="Times New Roman" w:eastAsia="Source Han Sans CN Regular" w:hAnsi="Times New Roman" w:cs="Times New Roman"/>
            <w:color w:val="0000FF"/>
            <w:sz w:val="24"/>
            <w:szCs w:val="24"/>
            <w:u w:val="single"/>
            <w:lang w:val="bg-BG" w:eastAsia="zh-CN" w:bidi="hi-IN"/>
          </w:rPr>
          <w:t>http://www.avren.bg/assets/Obsavet%20AVREN/Naredbi/2014-2020%2008-2016.pdf</w:t>
        </w:r>
      </w:hyperlink>
      <w:r w:rsidR="00BE57CC"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24353560"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Общински план за развитие на община Аксаково 2014-2020 г. </w:t>
      </w:r>
    </w:p>
    <w:p w14:paraId="284D5CE6" w14:textId="13F9B38D" w:rsidR="00BE57CC" w:rsidRPr="00610B1B" w:rsidRDefault="0055393F"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08" w:history="1">
        <w:r w:rsidR="00BE57CC" w:rsidRPr="00610B1B">
          <w:rPr>
            <w:rFonts w:ascii="Times New Roman" w:eastAsia="Source Han Sans CN Regular" w:hAnsi="Times New Roman" w:cs="Times New Roman"/>
            <w:color w:val="0000FF"/>
            <w:sz w:val="24"/>
            <w:szCs w:val="24"/>
            <w:u w:val="single"/>
            <w:lang w:val="bg-BG" w:eastAsia="zh-CN" w:bidi="hi-IN"/>
          </w:rPr>
          <w:t>http://www.aksakovo.net/section-156-obschinski_plan_za_razvi.html</w:t>
        </w:r>
      </w:hyperlink>
      <w:r w:rsidR="00BE57CC" w:rsidRPr="00610B1B">
        <w:rPr>
          <w:rFonts w:ascii="Times New Roman" w:eastAsia="Source Han Sans CN Regular" w:hAnsi="Times New Roman" w:cs="Times New Roman"/>
          <w:sz w:val="24"/>
          <w:szCs w:val="24"/>
          <w:lang w:val="bg-BG" w:eastAsia="zh-CN" w:bidi="hi-IN"/>
        </w:rPr>
        <w:t>);</w:t>
      </w:r>
      <w:r w:rsidR="00C415D1" w:rsidRPr="00610B1B">
        <w:rPr>
          <w:rFonts w:ascii="Times New Roman" w:eastAsia="Source Han Sans CN Regular" w:hAnsi="Times New Roman" w:cs="Times New Roman"/>
          <w:sz w:val="24"/>
          <w:szCs w:val="24"/>
          <w:lang w:val="bg-BG" w:eastAsia="zh-CN" w:bidi="hi-IN"/>
        </w:rPr>
        <w:t xml:space="preserve"> </w:t>
      </w:r>
    </w:p>
    <w:p w14:paraId="3AF19FCC"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Общински план за развитие на Община Бургас 2014-2020 г.</w:t>
      </w:r>
    </w:p>
    <w:p w14:paraId="628C3072" w14:textId="6D69D8A0" w:rsidR="00BE57CC" w:rsidRPr="00610B1B" w:rsidRDefault="0055393F"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09" w:history="1">
        <w:r w:rsidR="00BE57CC" w:rsidRPr="00610B1B">
          <w:rPr>
            <w:rFonts w:ascii="Times New Roman" w:eastAsia="Source Han Sans CN Regular" w:hAnsi="Times New Roman" w:cs="Times New Roman"/>
            <w:color w:val="0000FF"/>
            <w:sz w:val="24"/>
            <w:szCs w:val="24"/>
            <w:u w:val="single"/>
            <w:lang w:val="bg-BG" w:eastAsia="zh-CN" w:bidi="hi-IN"/>
          </w:rPr>
          <w:t>https://www.burgas.bg/uploads/420728ff5d6e4c378b8e4bf1f7743829.pdf</w:t>
        </w:r>
      </w:hyperlink>
      <w:r w:rsidR="00BE57CC"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45767836" w14:textId="77777777" w:rsidR="00DB5CC7" w:rsidRPr="00610B1B" w:rsidRDefault="00BE57CC" w:rsidP="00DB5CC7">
      <w:pPr>
        <w:widowControl w:val="0"/>
        <w:numPr>
          <w:ilvl w:val="0"/>
          <w:numId w:val="96"/>
        </w:numPr>
        <w:spacing w:after="60"/>
        <w:ind w:left="425" w:right="-153" w:hanging="425"/>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Общински план за развитие на община Бяла 2014-2020 г.</w:t>
      </w:r>
    </w:p>
    <w:p w14:paraId="372B6F5D" w14:textId="10A85901" w:rsidR="00BE57CC" w:rsidRPr="00610B1B" w:rsidRDefault="0055393F" w:rsidP="00DB5CC7">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10" w:history="1">
        <w:r w:rsidR="00DB5CC7" w:rsidRPr="00610B1B">
          <w:rPr>
            <w:rStyle w:val="Hyperlink"/>
            <w:rFonts w:ascii="Times New Roman" w:eastAsia="Source Han Sans CN Regular" w:hAnsi="Times New Roman" w:cs="Times New Roman"/>
            <w:sz w:val="24"/>
            <w:szCs w:val="24"/>
            <w:lang w:val="bg-BG" w:eastAsia="zh-CN" w:bidi="hi-IN"/>
          </w:rPr>
          <w:t>http://byala.bg/home/index.php/2014/01/27/plan-14-20/</w:t>
        </w:r>
      </w:hyperlink>
      <w:r w:rsidR="00BE57CC" w:rsidRPr="00610B1B">
        <w:rPr>
          <w:rFonts w:ascii="Times New Roman" w:eastAsia="Source Han Sans CN Regular" w:hAnsi="Times New Roman" w:cs="Times New Roman"/>
          <w:sz w:val="24"/>
          <w:szCs w:val="24"/>
          <w:lang w:val="bg-BG" w:eastAsia="zh-CN" w:bidi="hi-IN"/>
        </w:rPr>
        <w:t xml:space="preserve">); </w:t>
      </w:r>
    </w:p>
    <w:p w14:paraId="185C167C" w14:textId="256B3DFA"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Общински план за развитие на Община Варна 2014-2020 г. </w:t>
      </w:r>
      <w:hyperlink r:id="rId111" w:history="1">
        <w:r w:rsidR="00537D06" w:rsidRPr="00610B1B">
          <w:rPr>
            <w:rStyle w:val="Hyperlink"/>
            <w:rFonts w:ascii="Times New Roman" w:eastAsia="Source Han Sans CN Regular" w:hAnsi="Times New Roman" w:cs="Times New Roman"/>
            <w:sz w:val="24"/>
            <w:szCs w:val="24"/>
            <w:lang w:val="bg-BG" w:eastAsia="zh-CN" w:bidi="hi-IN"/>
          </w:rPr>
          <w:t>http://www.varna.bg/bg/html</w:t>
        </w:r>
      </w:hyperlink>
      <w:r w:rsidR="00537D06"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w:t>
      </w:r>
      <w:r w:rsidR="00C415D1" w:rsidRPr="00610B1B">
        <w:rPr>
          <w:rFonts w:ascii="Times New Roman" w:eastAsia="Source Han Sans CN Regular" w:hAnsi="Times New Roman" w:cs="Times New Roman"/>
          <w:sz w:val="24"/>
          <w:szCs w:val="24"/>
          <w:lang w:val="bg-BG" w:eastAsia="zh-CN" w:bidi="hi-IN"/>
        </w:rPr>
        <w:t xml:space="preserve"> </w:t>
      </w:r>
    </w:p>
    <w:p w14:paraId="5A9D4595" w14:textId="77777777" w:rsidR="00DB5CC7" w:rsidRPr="00610B1B" w:rsidRDefault="00BE57CC" w:rsidP="00DB5CC7">
      <w:pPr>
        <w:widowControl w:val="0"/>
        <w:numPr>
          <w:ilvl w:val="0"/>
          <w:numId w:val="96"/>
        </w:numPr>
        <w:spacing w:after="60"/>
        <w:ind w:left="425" w:right="-153" w:hanging="425"/>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Общински план за развитие на Община Долни чифлик 2014-2020 г.</w:t>
      </w:r>
    </w:p>
    <w:p w14:paraId="1FD74267" w14:textId="1E3565A8" w:rsidR="00BE57CC" w:rsidRPr="00610B1B" w:rsidRDefault="0055393F" w:rsidP="00DB5CC7">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12" w:history="1">
        <w:r w:rsidR="00DB5CC7" w:rsidRPr="00610B1B">
          <w:rPr>
            <w:rStyle w:val="Hyperlink"/>
            <w:rFonts w:ascii="Times New Roman" w:eastAsia="Source Han Sans CN Regular" w:hAnsi="Times New Roman" w:cs="Times New Roman"/>
            <w:sz w:val="24"/>
            <w:szCs w:val="24"/>
            <w:lang w:val="bg-BG" w:eastAsia="zh-CN" w:bidi="hi-IN"/>
          </w:rPr>
          <w:t>http://dolni-chiflik.acstre.com/assets/C/opr2014-2020.pdf</w:t>
        </w:r>
      </w:hyperlink>
      <w:r w:rsidR="00BE57CC" w:rsidRPr="00610B1B">
        <w:rPr>
          <w:rFonts w:ascii="Times New Roman" w:eastAsia="Source Han Sans CN Regular" w:hAnsi="Times New Roman" w:cs="Times New Roman"/>
          <w:sz w:val="24"/>
          <w:szCs w:val="24"/>
          <w:lang w:val="bg-BG" w:eastAsia="zh-CN" w:bidi="hi-IN"/>
        </w:rPr>
        <w:t>;</w:t>
      </w:r>
      <w:r w:rsidR="00C415D1" w:rsidRPr="00610B1B">
        <w:rPr>
          <w:rFonts w:ascii="Times New Roman" w:eastAsia="Source Han Sans CN Regular" w:hAnsi="Times New Roman" w:cs="Times New Roman"/>
          <w:sz w:val="24"/>
          <w:szCs w:val="24"/>
          <w:lang w:val="bg-BG" w:eastAsia="zh-CN" w:bidi="hi-IN"/>
        </w:rPr>
        <w:t xml:space="preserve"> </w:t>
      </w:r>
    </w:p>
    <w:p w14:paraId="403A6A53" w14:textId="77777777" w:rsidR="00DB5CC7" w:rsidRPr="00610B1B" w:rsidRDefault="00BE57CC" w:rsidP="00DB5CC7">
      <w:pPr>
        <w:widowControl w:val="0"/>
        <w:numPr>
          <w:ilvl w:val="0"/>
          <w:numId w:val="96"/>
        </w:numPr>
        <w:spacing w:after="60"/>
        <w:ind w:left="425" w:right="-153" w:hanging="425"/>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Общински план за развитие на Община Созопол 2014-2020 г.</w:t>
      </w:r>
      <w:r w:rsidR="00D66FE0" w:rsidRPr="00610B1B">
        <w:rPr>
          <w:rFonts w:ascii="Times New Roman" w:eastAsia="Source Han Sans CN Regular" w:hAnsi="Times New Roman" w:cs="Times New Roman"/>
          <w:sz w:val="24"/>
          <w:szCs w:val="24"/>
          <w:lang w:val="bg-BG" w:eastAsia="zh-CN" w:bidi="hi-IN"/>
        </w:rPr>
        <w:t xml:space="preserve"> </w:t>
      </w:r>
    </w:p>
    <w:p w14:paraId="201B3B77" w14:textId="01899C9A" w:rsidR="00BE57CC" w:rsidRPr="00610B1B" w:rsidRDefault="0055393F" w:rsidP="00DB5CC7">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113" w:history="1">
        <w:r w:rsidR="00DB5CC7" w:rsidRPr="00610B1B">
          <w:rPr>
            <w:rStyle w:val="Hyperlink"/>
            <w:rFonts w:ascii="Times New Roman" w:eastAsia="Source Han Sans CN Regular" w:hAnsi="Times New Roman" w:cs="Times New Roman"/>
            <w:sz w:val="24"/>
            <w:szCs w:val="24"/>
            <w:lang w:val="bg-BG" w:eastAsia="zh-CN" w:bidi="hi-IN"/>
          </w:rPr>
          <w:t>http://www.sozopol.bg/index.php?option=com_content&amp;view=article&amp;id=7504:-2014-2020&amp;catid=212:2012-04-13-05-05-04&amp;Itemid=91</w:t>
        </w:r>
      </w:hyperlink>
      <w:r w:rsidR="00BE57CC"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4FC51A19"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Оперативен план на Главния щаб на ВМС на Република България за търсене и спасяване на военни кораби и въздухоплавателни средства, ВМС, ГЩ, 2006 г.</w:t>
      </w:r>
    </w:p>
    <w:p w14:paraId="57871110"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План за взаимодействие между ВМС, ИАМА, ИАПА и ИАРА, подписан през 2005 г.</w:t>
      </w:r>
    </w:p>
    <w:p w14:paraId="73A686CC"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План за изпълнение на Стратегията за противодействие на радикализацията и тероризма през 2016 г.</w:t>
      </w:r>
    </w:p>
    <w:p w14:paraId="568E4734" w14:textId="174966C3"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План</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за</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развитие</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на</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Въоръжените</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сили</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до</w:t>
      </w:r>
      <w:r w:rsidR="008670AC"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 xml:space="preserve">2020 г., </w:t>
      </w:r>
      <w:hyperlink r:id="rId114" w:history="1">
        <w:r w:rsidRPr="00610B1B">
          <w:rPr>
            <w:rFonts w:ascii="Times New Roman" w:eastAsia="Source Han Sans CN Regular" w:hAnsi="Times New Roman" w:cs="Times New Roman"/>
            <w:color w:val="0000FF"/>
            <w:sz w:val="24"/>
            <w:szCs w:val="24"/>
            <w:u w:val="single"/>
            <w:lang w:val="bg-BG" w:eastAsia="zh-CN" w:bidi="hi-IN"/>
          </w:rPr>
          <w:t>https://www.mod.bg/bg/doc/strategicheski/20160128_Plan_za_razvitie_VS-2020.pdf</w:t>
        </w:r>
      </w:hyperlink>
      <w:r w:rsidRPr="00610B1B">
        <w:rPr>
          <w:rFonts w:ascii="Times New Roman" w:eastAsia="Source Han Sans CN Regular" w:hAnsi="Times New Roman" w:cs="Times New Roman"/>
          <w:sz w:val="24"/>
          <w:szCs w:val="24"/>
          <w:lang w:val="bg-BG" w:eastAsia="zh-CN" w:bidi="hi-IN"/>
        </w:rPr>
        <w:t xml:space="preserve">; </w:t>
      </w:r>
    </w:p>
    <w:p w14:paraId="2B4E82EA" w14:textId="75F7FDC3"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План за управление на речните басейни в Черноморски район за басейново управление на водите (2016–2021 г.), </w:t>
      </w:r>
      <w:hyperlink r:id="rId115" w:history="1">
        <w:r w:rsidRPr="00610B1B">
          <w:rPr>
            <w:rFonts w:ascii="Times New Roman" w:eastAsia="Source Han Sans CN Regular" w:hAnsi="Times New Roman" w:cs="Times New Roman"/>
            <w:color w:val="0000FF"/>
            <w:sz w:val="24"/>
            <w:szCs w:val="24"/>
            <w:u w:val="single"/>
            <w:lang w:val="bg-BG" w:eastAsia="zh-CN" w:bidi="hi-IN"/>
          </w:rPr>
          <w:t>http://www.moew.government.bg/bg/vodi/planove-za-upravlenie/planove-za-upravlenie-na-rechnite-basejni-purb/</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59D1CA69" w14:textId="45CF0CA6" w:rsidR="00AD38A7" w:rsidRPr="00610B1B" w:rsidRDefault="00BE57CC" w:rsidP="00727372">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План за управление на риска от наводнения (2016 – 2021 г.) за Черноморски район, </w:t>
      </w:r>
      <w:hyperlink r:id="rId116" w:history="1">
        <w:r w:rsidR="00AD38A7" w:rsidRPr="00610B1B">
          <w:rPr>
            <w:rStyle w:val="Hyperlink"/>
            <w:rFonts w:ascii="Times New Roman" w:eastAsia="Source Han Sans CN Regular" w:hAnsi="Times New Roman" w:cs="Times New Roman"/>
            <w:sz w:val="24"/>
            <w:szCs w:val="24"/>
            <w:lang w:val="bg-BG" w:eastAsia="zh-CN" w:bidi="hi-IN"/>
          </w:rPr>
          <w:t>https://www.bsbd.org/bg/page_purn_bsbd.html</w:t>
        </w:r>
      </w:hyperlink>
      <w:r w:rsidRPr="00610B1B">
        <w:rPr>
          <w:rFonts w:ascii="Times New Roman" w:eastAsia="Source Han Sans CN Regular" w:hAnsi="Times New Roman" w:cs="Times New Roman"/>
          <w:sz w:val="24"/>
          <w:szCs w:val="24"/>
          <w:lang w:val="bg-BG" w:eastAsia="zh-CN" w:bidi="hi-IN"/>
        </w:rPr>
        <w:t xml:space="preserve">); </w:t>
      </w:r>
    </w:p>
    <w:p w14:paraId="08D639B6" w14:textId="48A4F641"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План на операцията по търсене и спасяване в отговорния район (ПОТС) на Р. България в Черно море (БМОРТС), изготвен от ИАМА при Министерството на транспорта и съобщенията (</w:t>
      </w:r>
      <w:r w:rsidR="004E6C8D">
        <w:rPr>
          <w:rFonts w:ascii="Times New Roman" w:eastAsia="Source Han Sans CN Regular" w:hAnsi="Times New Roman" w:cs="Times New Roman"/>
          <w:sz w:val="24"/>
          <w:szCs w:val="24"/>
          <w:lang w:val="bg-BG" w:eastAsia="zh-CN" w:bidi="hi-IN"/>
        </w:rPr>
        <w:t>МТС</w:t>
      </w:r>
      <w:r w:rsidRPr="00610B1B">
        <w:rPr>
          <w:rFonts w:ascii="Times New Roman" w:eastAsia="Source Han Sans CN Regular" w:hAnsi="Times New Roman" w:cs="Times New Roman"/>
          <w:sz w:val="24"/>
          <w:szCs w:val="24"/>
          <w:lang w:val="bg-BG" w:eastAsia="zh-CN" w:bidi="hi-IN"/>
        </w:rPr>
        <w:t>);</w:t>
      </w:r>
    </w:p>
    <w:p w14:paraId="1D70B63D"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Правилник за организацията и дейността по предотвратяване и ликвидиране на последствията от стихийни бедствия и крупни производствени аварии, ВМС;</w:t>
      </w:r>
    </w:p>
    <w:p w14:paraId="080C01B4"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Правилник за устройството и дейността на Междуведомствения съвет по въпросите на граничния контрол, приет с ПМС № 70/27.03.1998 г., изм. и доп. ДВ бр. 71/18.09.2012 г.;</w:t>
      </w:r>
    </w:p>
    <w:p w14:paraId="4FAA0B11"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Правилник за устройството и дейността на Министерството на вътрешните работи, ПМС № 207 от 18.07.2014 г., ДВ. бр.60/22.07.2014 г.;</w:t>
      </w:r>
    </w:p>
    <w:p w14:paraId="49775940" w14:textId="5FA9C2C8"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Правилник за устройството, функциите и дейността на Държавно предприятие "Пристанищна инфраструктура", Обн. ДВ. бр.36/10.05.2011 г., изм. и доп. ДВ</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бр.37/22.05.2015 г.;</w:t>
      </w:r>
    </w:p>
    <w:p w14:paraId="02A7D06F"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Предварителен ситуационен план за съвместни действия на Военноморските сили и Регионална дирекция „Гранична полиция” Бургас при осъществяване на граничен контрол на морската държавна граница, рег. № 2777от 20.05.2016 г.</w:t>
      </w:r>
    </w:p>
    <w:p w14:paraId="7AF3E02D" w14:textId="3382CCDA"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Програма за мониторинг на ИО-БАН. ИО-БАН: Български център за океанографски данни. </w:t>
      </w:r>
      <w:hyperlink r:id="rId117" w:history="1">
        <w:r w:rsidRPr="00610B1B">
          <w:rPr>
            <w:rFonts w:ascii="Times New Roman" w:eastAsia="Source Han Sans CN Regular" w:hAnsi="Times New Roman" w:cs="Times New Roman"/>
            <w:color w:val="0000FF"/>
            <w:sz w:val="24"/>
            <w:szCs w:val="24"/>
            <w:u w:val="single"/>
            <w:lang w:val="bg-BG" w:eastAsia="zh-CN" w:bidi="hi-IN"/>
          </w:rPr>
          <w:t>http</w:t>
        </w:r>
      </w:hyperlink>
      <w:hyperlink r:id="rId118">
        <w:r w:rsidRPr="00610B1B">
          <w:rPr>
            <w:rFonts w:ascii="Times New Roman" w:eastAsia="Source Han Sans CN Regular" w:hAnsi="Times New Roman" w:cs="Times New Roman"/>
            <w:sz w:val="24"/>
            <w:szCs w:val="24"/>
            <w:lang w:val="bg-BG" w:eastAsia="zh-CN" w:bidi="hi-IN"/>
          </w:rPr>
          <w:t>://</w:t>
        </w:r>
      </w:hyperlink>
      <w:hyperlink r:id="rId119">
        <w:r w:rsidRPr="00610B1B">
          <w:rPr>
            <w:rFonts w:ascii="Times New Roman" w:eastAsia="Source Han Sans CN Regular" w:hAnsi="Times New Roman" w:cs="Times New Roman"/>
            <w:sz w:val="24"/>
            <w:szCs w:val="24"/>
            <w:lang w:val="bg-BG" w:eastAsia="zh-CN" w:bidi="hi-IN"/>
          </w:rPr>
          <w:t>bgodc</w:t>
        </w:r>
      </w:hyperlink>
      <w:hyperlink r:id="rId120">
        <w:r w:rsidRPr="00610B1B">
          <w:rPr>
            <w:rFonts w:ascii="Times New Roman" w:eastAsia="Source Han Sans CN Regular" w:hAnsi="Times New Roman" w:cs="Times New Roman"/>
            <w:sz w:val="24"/>
            <w:szCs w:val="24"/>
            <w:lang w:val="bg-BG" w:eastAsia="zh-CN" w:bidi="hi-IN"/>
          </w:rPr>
          <w:t>.</w:t>
        </w:r>
      </w:hyperlink>
      <w:hyperlink r:id="rId121">
        <w:r w:rsidRPr="00610B1B">
          <w:rPr>
            <w:rFonts w:ascii="Times New Roman" w:eastAsia="Source Han Sans CN Regular" w:hAnsi="Times New Roman" w:cs="Times New Roman"/>
            <w:sz w:val="24"/>
            <w:szCs w:val="24"/>
            <w:lang w:val="bg-BG" w:eastAsia="zh-CN" w:bidi="hi-IN"/>
          </w:rPr>
          <w:t>io</w:t>
        </w:r>
      </w:hyperlink>
      <w:hyperlink r:id="rId122">
        <w:r w:rsidRPr="00610B1B">
          <w:rPr>
            <w:rFonts w:ascii="Times New Roman" w:eastAsia="Source Han Sans CN Regular" w:hAnsi="Times New Roman" w:cs="Times New Roman"/>
            <w:sz w:val="24"/>
            <w:szCs w:val="24"/>
            <w:lang w:val="bg-BG" w:eastAsia="zh-CN" w:bidi="hi-IN"/>
          </w:rPr>
          <w:t>-</w:t>
        </w:r>
      </w:hyperlink>
      <w:hyperlink r:id="rId123">
        <w:r w:rsidRPr="00610B1B">
          <w:rPr>
            <w:rFonts w:ascii="Times New Roman" w:eastAsia="Source Han Sans CN Regular" w:hAnsi="Times New Roman" w:cs="Times New Roman"/>
            <w:sz w:val="24"/>
            <w:szCs w:val="24"/>
            <w:lang w:val="bg-BG" w:eastAsia="zh-CN" w:bidi="hi-IN"/>
          </w:rPr>
          <w:t>bas</w:t>
        </w:r>
      </w:hyperlink>
      <w:hyperlink r:id="rId124">
        <w:r w:rsidRPr="00610B1B">
          <w:rPr>
            <w:rFonts w:ascii="Times New Roman" w:eastAsia="Source Han Sans CN Regular" w:hAnsi="Times New Roman" w:cs="Times New Roman"/>
            <w:sz w:val="24"/>
            <w:szCs w:val="24"/>
            <w:lang w:val="bg-BG" w:eastAsia="zh-CN" w:bidi="hi-IN"/>
          </w:rPr>
          <w:t>.</w:t>
        </w:r>
      </w:hyperlink>
      <w:hyperlink r:id="rId125">
        <w:r w:rsidRPr="00610B1B">
          <w:rPr>
            <w:rFonts w:ascii="Times New Roman" w:eastAsia="Source Han Sans CN Regular" w:hAnsi="Times New Roman" w:cs="Times New Roman"/>
            <w:sz w:val="24"/>
            <w:szCs w:val="24"/>
            <w:lang w:val="bg-BG" w:eastAsia="zh-CN" w:bidi="hi-IN"/>
          </w:rPr>
          <w:t>bg</w:t>
        </w:r>
      </w:hyperlink>
      <w:hyperlink r:id="rId126">
        <w:r w:rsidRPr="00610B1B">
          <w:rPr>
            <w:rFonts w:ascii="Times New Roman" w:eastAsia="Source Han Sans CN Regular" w:hAnsi="Times New Roman" w:cs="Times New Roman"/>
            <w:sz w:val="24"/>
            <w:szCs w:val="24"/>
            <w:lang w:val="bg-BG" w:eastAsia="zh-CN" w:bidi="hi-IN"/>
          </w:rPr>
          <w:t>/</w:t>
        </w:r>
      </w:hyperlink>
      <w:hyperlink r:id="rId127">
        <w:r w:rsidRPr="00610B1B">
          <w:rPr>
            <w:rFonts w:ascii="Times New Roman" w:eastAsia="Source Han Sans CN Regular" w:hAnsi="Times New Roman" w:cs="Times New Roman"/>
            <w:sz w:val="24"/>
            <w:szCs w:val="24"/>
            <w:lang w:val="bg-BG" w:eastAsia="zh-CN" w:bidi="hi-IN"/>
          </w:rPr>
          <w:t>documents</w:t>
        </w:r>
      </w:hyperlink>
      <w:hyperlink r:id="rId128">
        <w:r w:rsidRPr="00610B1B">
          <w:rPr>
            <w:rFonts w:ascii="Times New Roman" w:eastAsia="Source Han Sans CN Regular" w:hAnsi="Times New Roman" w:cs="Times New Roman"/>
            <w:sz w:val="24"/>
            <w:szCs w:val="24"/>
            <w:lang w:val="bg-BG" w:eastAsia="zh-CN" w:bidi="hi-IN"/>
          </w:rPr>
          <w:t>/</w:t>
        </w:r>
      </w:hyperlink>
      <w:r w:rsidR="00DB5CC7"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w:t>
      </w:r>
    </w:p>
    <w:p w14:paraId="164E6509" w14:textId="3BF9A5FB" w:rsidR="00BE57CC" w:rsidRPr="00610B1B" w:rsidRDefault="00BE57CC" w:rsidP="00DE3A13">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Програма за развитие на отбранителните способности на Въоръжените сили на Република България 2020, </w:t>
      </w:r>
      <w:hyperlink r:id="rId129" w:history="1">
        <w:r w:rsidRPr="00610B1B">
          <w:rPr>
            <w:rFonts w:ascii="Times New Roman" w:eastAsia="Source Han Sans CN Regular" w:hAnsi="Times New Roman" w:cs="Times New Roman"/>
            <w:color w:val="0000FF"/>
            <w:sz w:val="24"/>
            <w:szCs w:val="24"/>
            <w:u w:val="single"/>
            <w:lang w:val="bg-BG" w:eastAsia="zh-CN" w:bidi="hi-IN"/>
          </w:rPr>
          <w:t>https://www.mod.bg/bg/doc/strategicheski</w:t>
        </w:r>
      </w:hyperlink>
      <w:r w:rsidRPr="00610B1B">
        <w:rPr>
          <w:rFonts w:ascii="Times New Roman" w:eastAsia="Source Han Sans CN Regular" w:hAnsi="Times New Roman" w:cs="Times New Roman"/>
          <w:sz w:val="24"/>
          <w:szCs w:val="24"/>
          <w:lang w:val="bg-BG" w:eastAsia="zh-CN" w:bidi="hi-IN"/>
        </w:rPr>
        <w:t xml:space="preserve">; </w:t>
      </w:r>
    </w:p>
    <w:p w14:paraId="5886D9C4" w14:textId="73615F6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Регионален план за развитие на Североизточен район от ниво 2</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2014-2020 г. </w:t>
      </w:r>
      <w:hyperlink r:id="rId130" w:history="1">
        <w:r w:rsidRPr="00610B1B">
          <w:rPr>
            <w:rFonts w:ascii="Times New Roman" w:eastAsia="Source Han Sans CN Regular" w:hAnsi="Times New Roman" w:cs="Times New Roman"/>
            <w:color w:val="0000FF"/>
            <w:sz w:val="24"/>
            <w:szCs w:val="24"/>
            <w:u w:val="single"/>
            <w:lang w:val="bg-BG" w:eastAsia="zh-CN" w:bidi="hi-IN"/>
          </w:rPr>
          <w:t>http://www.mrrb.government.bg/bg/regionalni-planove-za-razvitie-na-rajonite-ot-nivo-2-za-perioda-2014-2020-g-prieti-s-reshenie-na-ms/</w:t>
        </w:r>
      </w:hyperlink>
      <w:r w:rsidRPr="00610B1B">
        <w:rPr>
          <w:rFonts w:ascii="Times New Roman" w:eastAsia="Source Han Sans CN Regular" w:hAnsi="Times New Roman" w:cs="Times New Roman"/>
          <w:sz w:val="24"/>
          <w:szCs w:val="24"/>
          <w:lang w:val="bg-BG" w:eastAsia="zh-CN" w:bidi="hi-IN"/>
        </w:rPr>
        <w:t xml:space="preserve">); </w:t>
      </w:r>
    </w:p>
    <w:p w14:paraId="485D29B1" w14:textId="7995EEB9"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Регионален план за развитие на Югоизточен район от ниво 2 (2014-2020 г.) </w:t>
      </w:r>
      <w:hyperlink r:id="rId131" w:history="1">
        <w:r w:rsidRPr="00610B1B">
          <w:rPr>
            <w:rFonts w:ascii="Times New Roman" w:eastAsia="Source Han Sans CN Regular" w:hAnsi="Times New Roman" w:cs="Times New Roman"/>
            <w:color w:val="0000FF"/>
            <w:sz w:val="24"/>
            <w:szCs w:val="24"/>
            <w:u w:val="single"/>
            <w:lang w:val="bg-BG" w:eastAsia="zh-CN" w:bidi="hi-IN"/>
          </w:rPr>
          <w:t>http://www.mrrb.government.bg/bg/regionalni-planove-za-razvitie-na-rajonite-ot-nivo-2-za-perioda-2014-2020-g-prieti-s-reshenie-na-ms/</w:t>
        </w:r>
      </w:hyperlink>
      <w:r w:rsidRPr="00610B1B">
        <w:rPr>
          <w:rFonts w:ascii="Times New Roman" w:eastAsia="Source Han Sans CN Regular" w:hAnsi="Times New Roman" w:cs="Times New Roman"/>
          <w:sz w:val="24"/>
          <w:szCs w:val="24"/>
          <w:lang w:val="bg-BG" w:eastAsia="zh-CN" w:bidi="hi-IN"/>
        </w:rPr>
        <w:t xml:space="preserve">); </w:t>
      </w:r>
    </w:p>
    <w:p w14:paraId="39153DF3"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Споразумение за сътрудничество относно морското търсене и спасяване между черноморските крайбрежни държави, ДВ, бр. 58 от 2004 г., в сила за Република България от 24.04.2010 г.;</w:t>
      </w:r>
    </w:p>
    <w:p w14:paraId="7EF65429" w14:textId="07F4163D"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Стратегия за дейностите по търсене и спасяване на море в Република България (</w:t>
      </w:r>
      <w:hyperlink r:id="rId132" w:history="1">
        <w:r w:rsidR="00DB5CC7" w:rsidRPr="00610B1B">
          <w:rPr>
            <w:rStyle w:val="Hyperlink"/>
            <w:rFonts w:ascii="Times New Roman" w:eastAsia="Source Han Sans CN Regular" w:hAnsi="Times New Roman" w:cs="Times New Roman"/>
            <w:sz w:val="24"/>
            <w:szCs w:val="24"/>
            <w:lang w:val="bg-BG" w:eastAsia="zh-CN" w:bidi="hi-IN"/>
          </w:rPr>
          <w:t>www.marad.bg/upload/docs/SAR_Strategy.doc</w:t>
        </w:r>
      </w:hyperlink>
      <w:r w:rsidRPr="00610B1B">
        <w:rPr>
          <w:rFonts w:ascii="Times New Roman" w:eastAsia="Source Han Sans CN Regular" w:hAnsi="Times New Roman" w:cs="Times New Roman"/>
          <w:sz w:val="24"/>
          <w:szCs w:val="24"/>
          <w:lang w:val="bg-BG" w:eastAsia="zh-CN" w:bidi="hi-IN"/>
        </w:rPr>
        <w:t xml:space="preserve">) </w:t>
      </w:r>
    </w:p>
    <w:p w14:paraId="78FCD516" w14:textId="31F1F1F8" w:rsidR="00254155" w:rsidRPr="00610B1B" w:rsidRDefault="00254155" w:rsidP="00254155">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Стратегия за безопасност на корабоплаването и опазване на околната среда от замърсяване от кораби, одобрена с Решение № 420 на Министерския съвет от 26 юни 2020 г.;</w:t>
      </w:r>
    </w:p>
    <w:p w14:paraId="4B07B4A3" w14:textId="77777777"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Устройствен правилник на ИА "Морска администрация", (обн. ДВ. бр. 33/08.05.2015 г., изм. и доп. ДВ. бр. 70/24.08.2018 г.); </w:t>
      </w:r>
    </w:p>
    <w:p w14:paraId="01A9A1EB" w14:textId="45013709"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Устройствен правилник на Министерството на транспорта</w:t>
      </w:r>
      <w:r w:rsidR="004E6C8D">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и съобщенията, Приет с ПМС № 232 от 28.09.2009 г., (обн., ДВ, бр. 78/02.10.2009 г., </w:t>
      </w:r>
      <w:r w:rsidR="00D4336B" w:rsidRPr="00D4336B">
        <w:rPr>
          <w:rFonts w:ascii="Times New Roman" w:eastAsia="Source Han Sans CN Regular" w:hAnsi="Times New Roman" w:cs="Times New Roman"/>
          <w:sz w:val="24"/>
          <w:szCs w:val="24"/>
          <w:lang w:val="bg-BG" w:eastAsia="zh-CN" w:bidi="hi-IN"/>
        </w:rPr>
        <w:t>изм. и доп., ДВ бр.38/20.05.2022 г.</w:t>
      </w:r>
      <w:r w:rsidRPr="00610B1B">
        <w:rPr>
          <w:rFonts w:ascii="Times New Roman" w:eastAsia="Source Han Sans CN Regular" w:hAnsi="Times New Roman" w:cs="Times New Roman"/>
          <w:sz w:val="24"/>
          <w:szCs w:val="24"/>
          <w:lang w:val="bg-BG" w:eastAsia="zh-CN" w:bidi="hi-IN"/>
        </w:rPr>
        <w:t>.)</w:t>
      </w:r>
      <w:r w:rsidR="004E6C8D">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t>
      </w:r>
    </w:p>
    <w:p w14:paraId="63B55989" w14:textId="3A05CC58" w:rsidR="00BE57CC" w:rsidRPr="00610B1B" w:rsidRDefault="00BE57CC" w:rsidP="00BE57CC">
      <w:pPr>
        <w:widowControl w:val="0"/>
        <w:numPr>
          <w:ilvl w:val="0"/>
          <w:numId w:val="96"/>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Spatial Plan for the German Exclusive Economic Zone in the Baltic Sea </w:t>
      </w:r>
      <w:hyperlink r:id="rId133" w:history="1">
        <w:r w:rsidRPr="00610B1B">
          <w:rPr>
            <w:rFonts w:ascii="Times New Roman" w:eastAsia="Source Han Sans CN Regular" w:hAnsi="Times New Roman" w:cs="Times New Roman"/>
            <w:color w:val="0000FF"/>
            <w:sz w:val="24"/>
            <w:szCs w:val="24"/>
            <w:u w:val="single"/>
            <w:lang w:val="bg-BG" w:eastAsia="zh-CN" w:bidi="hi-IN"/>
          </w:rPr>
          <w:t>http://www.bsh.de/en/Marine_uses/Spatial_Planning_in_the_German_EEZ/documents2/Spatial_</w:t>
        </w:r>
        <w:r w:rsidRPr="00610B1B">
          <w:rPr>
            <w:rFonts w:ascii="Times New Roman" w:eastAsia="Source Han Sans CN Regular" w:hAnsi="Times New Roman" w:cs="Times New Roman"/>
            <w:color w:val="0000FF"/>
            <w:sz w:val="24"/>
            <w:szCs w:val="24"/>
            <w:u w:val="single"/>
            <w:lang w:val="bg-BG" w:eastAsia="zh-CN" w:bidi="hi-IN"/>
          </w:rPr>
          <w:lastRenderedPageBreak/>
          <w:t>Plan_Baltic_Sea.pdf</w:t>
        </w:r>
      </w:hyperlink>
      <w:r w:rsidRPr="00610B1B">
        <w:rPr>
          <w:rFonts w:ascii="Times New Roman" w:eastAsia="Source Han Sans CN Regular" w:hAnsi="Times New Roman" w:cs="Times New Roman"/>
          <w:sz w:val="24"/>
          <w:szCs w:val="24"/>
          <w:lang w:val="bg-BG" w:eastAsia="zh-CN" w:bidi="hi-IN"/>
        </w:rPr>
        <w:t xml:space="preserve">); </w:t>
      </w:r>
    </w:p>
    <w:p w14:paraId="7E4C5599" w14:textId="0B7D2FED" w:rsidR="00BE57CC" w:rsidRPr="00610B1B" w:rsidRDefault="00BE57CC" w:rsidP="004567E9">
      <w:pPr>
        <w:widowControl w:val="0"/>
        <w:numPr>
          <w:ilvl w:val="0"/>
          <w:numId w:val="96"/>
        </w:numPr>
        <w:spacing w:after="0" w:line="240" w:lineRule="auto"/>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 Spatial Plan for the German Exclusive Economic Zone in the North Sea </w:t>
      </w:r>
      <w:hyperlink r:id="rId134" w:history="1">
        <w:r w:rsidR="00BF58D9" w:rsidRPr="00610B1B">
          <w:rPr>
            <w:rStyle w:val="Hyperlink"/>
            <w:rFonts w:ascii="Times New Roman" w:eastAsia="Source Han Sans CN Regular" w:hAnsi="Times New Roman" w:cs="Times New Roman"/>
            <w:sz w:val="24"/>
            <w:szCs w:val="24"/>
            <w:lang w:val="bg-BG" w:eastAsia="zh-CN" w:bidi="hi-IN"/>
          </w:rPr>
          <w:t>http://www.bsh.de/en/Marine_uses/Spatial_Planning_in_the_German_EEZ/documents2/Spatial_Plan_North_Sea.pdf</w:t>
        </w:r>
      </w:hyperlink>
      <w:r w:rsidRPr="00610B1B">
        <w:rPr>
          <w:rFonts w:ascii="Times New Roman" w:eastAsia="Source Han Sans CN Regular" w:hAnsi="Times New Roman" w:cs="Times New Roman"/>
          <w:sz w:val="24"/>
          <w:szCs w:val="24"/>
          <w:lang w:val="bg-BG" w:eastAsia="zh-CN" w:bidi="hi-IN"/>
        </w:rPr>
        <w:t xml:space="preserve">); </w:t>
      </w:r>
    </w:p>
    <w:p w14:paraId="517CC053" w14:textId="77777777" w:rsidR="00BE57CC" w:rsidRPr="00610B1B" w:rsidRDefault="00BE57CC" w:rsidP="00BE57CC">
      <w:pPr>
        <w:keepNext/>
        <w:widowControl w:val="0"/>
        <w:numPr>
          <w:ilvl w:val="1"/>
          <w:numId w:val="1"/>
        </w:numPr>
        <w:spacing w:after="120"/>
        <w:ind w:right="-153"/>
        <w:outlineLvl w:val="1"/>
        <w:rPr>
          <w:rFonts w:ascii="Times New Roman" w:eastAsia="Source Han Sans CN Regular" w:hAnsi="Times New Roman" w:cs="Times New Roman"/>
          <w:b/>
          <w:bCs/>
          <w:color w:val="0F243E" w:themeColor="text2" w:themeShade="80"/>
          <w:sz w:val="32"/>
          <w:szCs w:val="32"/>
          <w:lang w:val="bg-BG" w:eastAsia="zh-CN" w:bidi="hi-IN"/>
        </w:rPr>
      </w:pPr>
      <w:bookmarkStart w:id="541" w:name="_Toc56961588"/>
      <w:bookmarkStart w:id="542" w:name="_Toc83391460"/>
      <w:r w:rsidRPr="00610B1B">
        <w:rPr>
          <w:rFonts w:ascii="Times New Roman" w:eastAsia="Source Han Sans CN Regular" w:hAnsi="Times New Roman" w:cs="Times New Roman"/>
          <w:b/>
          <w:bCs/>
          <w:color w:val="0F243E" w:themeColor="text2" w:themeShade="80"/>
          <w:sz w:val="32"/>
          <w:szCs w:val="32"/>
          <w:lang w:val="bg-BG" w:eastAsia="zh-CN" w:bidi="hi-IN"/>
        </w:rPr>
        <w:t>11.5. Други</w:t>
      </w:r>
      <w:bookmarkEnd w:id="541"/>
      <w:bookmarkEnd w:id="542"/>
    </w:p>
    <w:p w14:paraId="39EAFFCD" w14:textId="5CA45669" w:rsidR="00BE57CC" w:rsidRPr="00610B1B" w:rsidRDefault="00BE57CC" w:rsidP="00BE57CC">
      <w:pPr>
        <w:widowControl w:val="0"/>
        <w:numPr>
          <w:ilvl w:val="0"/>
          <w:numId w:val="97"/>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Анализ на състоянието на морската околна среда - 2017 г.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Споразумение № Д-33-36/28.05.2018 г. между МОСВ и ИО-БАН за изпълнение на задължения по извършване на мониторинг на Черно море, на основание чл. 171, ал.2, т.3 от Закона за водите</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ИО-БАН, БДЧР, Варна, България. </w:t>
      </w:r>
      <w:hyperlink r:id="rId135" w:history="1">
        <w:r w:rsidRPr="00610B1B">
          <w:rPr>
            <w:rFonts w:ascii="Times New Roman" w:eastAsia="Source Han Sans CN Regular" w:hAnsi="Times New Roman" w:cs="Times New Roman"/>
            <w:sz w:val="24"/>
            <w:szCs w:val="24"/>
            <w:lang w:val="bg-BG" w:eastAsia="zh-CN" w:bidi="hi-IN"/>
          </w:rPr>
          <w:t>http://bgodc.io-bas.bg/documents/2018/</w:t>
        </w:r>
      </w:hyperlink>
      <w:r w:rsidRPr="00610B1B">
        <w:rPr>
          <w:rFonts w:ascii="Times New Roman" w:eastAsia="Source Han Sans CN Regular" w:hAnsi="Times New Roman" w:cs="Times New Roman"/>
          <w:sz w:val="24"/>
          <w:szCs w:val="24"/>
          <w:lang w:val="bg-BG" w:eastAsia="zh-CN" w:bidi="hi-IN"/>
        </w:rPr>
        <w:t>;</w:t>
      </w:r>
    </w:p>
    <w:p w14:paraId="0764388A" w14:textId="77777777" w:rsidR="00BE57CC" w:rsidRPr="00610B1B" w:rsidRDefault="00BE57CC" w:rsidP="00BE57CC">
      <w:pPr>
        <w:widowControl w:val="0"/>
        <w:numPr>
          <w:ilvl w:val="0"/>
          <w:numId w:val="97"/>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Годишен доклад за усилието през 2018 г. за постигане на устойчив баланс между риболовния капацитет и риболовните възможности, ИАРА, декември 2018;</w:t>
      </w:r>
    </w:p>
    <w:p w14:paraId="2AD9AA2D" w14:textId="2793E6A4" w:rsidR="00BE57CC" w:rsidRPr="00610B1B" w:rsidRDefault="00BE57CC" w:rsidP="00BE57CC">
      <w:pPr>
        <w:widowControl w:val="0"/>
        <w:numPr>
          <w:ilvl w:val="0"/>
          <w:numId w:val="97"/>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Национален доклад за състоянието и опазването на околната среда. София. МОСВ, ИАОС, 2019. </w:t>
      </w:r>
      <w:hyperlink r:id="rId136" w:history="1">
        <w:r w:rsidRPr="00610B1B">
          <w:rPr>
            <w:rFonts w:ascii="Times New Roman" w:eastAsia="Source Han Sans CN Regular" w:hAnsi="Times New Roman" w:cs="Times New Roman"/>
            <w:color w:val="0000FF"/>
            <w:sz w:val="24"/>
            <w:szCs w:val="24"/>
            <w:u w:val="single"/>
            <w:lang w:val="bg-BG" w:eastAsia="zh-CN" w:bidi="hi-IN"/>
          </w:rPr>
          <w:t>http://eea.government.bg/bg/soer/2017</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7B6241FB" w14:textId="77777777" w:rsidR="00BE57CC" w:rsidRPr="00610B1B" w:rsidRDefault="00BE57CC" w:rsidP="00BE57CC">
      <w:pPr>
        <w:widowControl w:val="0"/>
        <w:numPr>
          <w:ilvl w:val="0"/>
          <w:numId w:val="97"/>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Натура 2000. Стандартен формуляр за набиране на данни за специално защитени зони, за обекти, подлежащи на идентифициране като места от специален интерес за общността и за зони под специална защита;</w:t>
      </w:r>
    </w:p>
    <w:p w14:paraId="699B31F3" w14:textId="0D349105" w:rsidR="00BE57CC" w:rsidRPr="00610B1B" w:rsidRDefault="00BE57CC" w:rsidP="00DE3A13">
      <w:pPr>
        <w:widowControl w:val="0"/>
        <w:numPr>
          <w:ilvl w:val="0"/>
          <w:numId w:val="97"/>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Оценка на актуалното състояние на водите в Черноморски басейнов район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годишни доклади</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БДЧР, 2010-2017. Варна. </w:t>
      </w:r>
      <w:hyperlink r:id="rId137">
        <w:r w:rsidRPr="00610B1B">
          <w:rPr>
            <w:rFonts w:ascii="Times New Roman" w:eastAsia="Source Han Sans CN Regular" w:hAnsi="Times New Roman" w:cs="Times New Roman"/>
            <w:sz w:val="24"/>
            <w:szCs w:val="24"/>
            <w:lang w:val="bg-BG" w:eastAsia="zh-CN" w:bidi="hi-IN"/>
          </w:rPr>
          <w:t>https</w:t>
        </w:r>
      </w:hyperlink>
      <w:hyperlink r:id="rId138">
        <w:r w:rsidRPr="00610B1B">
          <w:rPr>
            <w:rFonts w:ascii="Times New Roman" w:eastAsia="Source Han Sans CN Regular" w:hAnsi="Times New Roman" w:cs="Times New Roman"/>
            <w:sz w:val="24"/>
            <w:szCs w:val="24"/>
            <w:lang w:val="bg-BG" w:eastAsia="zh-CN" w:bidi="hi-IN"/>
          </w:rPr>
          <w:t>://</w:t>
        </w:r>
      </w:hyperlink>
      <w:hyperlink r:id="rId139">
        <w:r w:rsidRPr="00610B1B">
          <w:rPr>
            <w:rFonts w:ascii="Times New Roman" w:eastAsia="Source Han Sans CN Regular" w:hAnsi="Times New Roman" w:cs="Times New Roman"/>
            <w:sz w:val="24"/>
            <w:szCs w:val="24"/>
            <w:lang w:val="bg-BG" w:eastAsia="zh-CN" w:bidi="hi-IN"/>
          </w:rPr>
          <w:t>bsbd</w:t>
        </w:r>
      </w:hyperlink>
      <w:hyperlink r:id="rId140">
        <w:r w:rsidRPr="00610B1B">
          <w:rPr>
            <w:rFonts w:ascii="Times New Roman" w:eastAsia="Source Han Sans CN Regular" w:hAnsi="Times New Roman" w:cs="Times New Roman"/>
            <w:sz w:val="24"/>
            <w:szCs w:val="24"/>
            <w:lang w:val="bg-BG" w:eastAsia="zh-CN" w:bidi="hi-IN"/>
          </w:rPr>
          <w:t>.</w:t>
        </w:r>
      </w:hyperlink>
      <w:hyperlink r:id="rId141">
        <w:r w:rsidRPr="00610B1B">
          <w:rPr>
            <w:rFonts w:ascii="Times New Roman" w:eastAsia="Source Han Sans CN Regular" w:hAnsi="Times New Roman" w:cs="Times New Roman"/>
            <w:sz w:val="24"/>
            <w:szCs w:val="24"/>
            <w:lang w:val="bg-BG" w:eastAsia="zh-CN" w:bidi="hi-IN"/>
          </w:rPr>
          <w:t>org</w:t>
        </w:r>
      </w:hyperlink>
      <w:hyperlink r:id="rId142">
        <w:r w:rsidRPr="00610B1B">
          <w:rPr>
            <w:rFonts w:ascii="Times New Roman" w:eastAsia="Source Han Sans CN Regular" w:hAnsi="Times New Roman" w:cs="Times New Roman"/>
            <w:sz w:val="24"/>
            <w:szCs w:val="24"/>
            <w:lang w:val="bg-BG" w:eastAsia="zh-CN" w:bidi="hi-IN"/>
          </w:rPr>
          <w:t>/</w:t>
        </w:r>
      </w:hyperlink>
      <w:hyperlink r:id="rId143">
        <w:r w:rsidRPr="00610B1B">
          <w:rPr>
            <w:rFonts w:ascii="Times New Roman" w:eastAsia="Source Han Sans CN Regular" w:hAnsi="Times New Roman" w:cs="Times New Roman"/>
            <w:sz w:val="24"/>
            <w:szCs w:val="24"/>
            <w:lang w:val="bg-BG" w:eastAsia="zh-CN" w:bidi="hi-IN"/>
          </w:rPr>
          <w:t>bg</w:t>
        </w:r>
      </w:hyperlink>
      <w:hyperlink r:id="rId144">
        <w:r w:rsidRPr="00610B1B">
          <w:rPr>
            <w:rFonts w:ascii="Times New Roman" w:eastAsia="Source Han Sans CN Regular" w:hAnsi="Times New Roman" w:cs="Times New Roman"/>
            <w:sz w:val="24"/>
            <w:szCs w:val="24"/>
            <w:lang w:val="bg-BG" w:eastAsia="zh-CN" w:bidi="hi-IN"/>
          </w:rPr>
          <w:t>/</w:t>
        </w:r>
      </w:hyperlink>
      <w:hyperlink r:id="rId145">
        <w:r w:rsidRPr="00610B1B">
          <w:rPr>
            <w:rFonts w:ascii="Times New Roman" w:eastAsia="Source Han Sans CN Regular" w:hAnsi="Times New Roman" w:cs="Times New Roman"/>
            <w:sz w:val="24"/>
            <w:szCs w:val="24"/>
            <w:lang w:val="bg-BG" w:eastAsia="zh-CN" w:bidi="hi-IN"/>
          </w:rPr>
          <w:t>index_bg_</w:t>
        </w:r>
      </w:hyperlink>
      <w:hyperlink r:id="rId146">
        <w:r w:rsidRPr="00610B1B">
          <w:rPr>
            <w:rFonts w:ascii="Times New Roman" w:eastAsia="Source Han Sans CN Regular" w:hAnsi="Times New Roman" w:cs="Times New Roman"/>
            <w:sz w:val="24"/>
            <w:szCs w:val="24"/>
            <w:lang w:val="bg-BG" w:eastAsia="zh-CN" w:bidi="hi-IN"/>
          </w:rPr>
          <w:t>1668393.</w:t>
        </w:r>
      </w:hyperlink>
      <w:hyperlink r:id="rId147">
        <w:r w:rsidRPr="00610B1B">
          <w:rPr>
            <w:rFonts w:ascii="Times New Roman" w:eastAsia="Source Han Sans CN Regular" w:hAnsi="Times New Roman" w:cs="Times New Roman"/>
            <w:sz w:val="24"/>
            <w:szCs w:val="24"/>
            <w:lang w:val="bg-BG" w:eastAsia="zh-CN" w:bidi="hi-IN"/>
          </w:rPr>
          <w:t>html</w:t>
        </w:r>
      </w:hyperlink>
      <w:r w:rsidR="00D66FE0" w:rsidRPr="00610B1B">
        <w:rPr>
          <w:rFonts w:ascii="Times New Roman" w:eastAsia="Source Han Sans CN Regular" w:hAnsi="Times New Roman" w:cs="Times New Roman"/>
          <w:sz w:val="24"/>
          <w:szCs w:val="24"/>
          <w:lang w:val="bg-BG" w:eastAsia="zh-CN" w:bidi="hi-IN"/>
        </w:rPr>
        <w:t xml:space="preserve"> </w:t>
      </w:r>
    </w:p>
    <w:p w14:paraId="01D82CEB" w14:textId="290F428D" w:rsidR="00BE57CC" w:rsidRPr="00610B1B" w:rsidRDefault="00BE57CC" w:rsidP="00BE57CC">
      <w:pPr>
        <w:widowControl w:val="0"/>
        <w:numPr>
          <w:ilvl w:val="0"/>
          <w:numId w:val="97"/>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Оценка на въздействието върху околната и социална среда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ОВОСС</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на проект за Морски газопровод „Южен поток“ - Български участък, 2014. South Stream Transport B.V. </w:t>
      </w:r>
      <w:hyperlink r:id="rId148">
        <w:r w:rsidRPr="00610B1B">
          <w:rPr>
            <w:rFonts w:ascii="Times New Roman" w:eastAsia="Source Han Sans CN Regular" w:hAnsi="Times New Roman" w:cs="Times New Roman"/>
            <w:sz w:val="24"/>
            <w:szCs w:val="24"/>
            <w:lang w:val="bg-BG" w:eastAsia="zh-CN" w:bidi="hi-IN"/>
          </w:rPr>
          <w:t>https</w:t>
        </w:r>
      </w:hyperlink>
      <w:hyperlink r:id="rId149">
        <w:r w:rsidRPr="00610B1B">
          <w:rPr>
            <w:rFonts w:ascii="Times New Roman" w:eastAsia="Source Han Sans CN Regular" w:hAnsi="Times New Roman" w:cs="Times New Roman"/>
            <w:sz w:val="24"/>
            <w:szCs w:val="24"/>
            <w:lang w:val="bg-BG" w:eastAsia="zh-CN" w:bidi="hi-IN"/>
          </w:rPr>
          <w:t>://</w:t>
        </w:r>
      </w:hyperlink>
      <w:hyperlink r:id="rId150">
        <w:r w:rsidRPr="00610B1B">
          <w:rPr>
            <w:rFonts w:ascii="Times New Roman" w:eastAsia="Source Han Sans CN Regular" w:hAnsi="Times New Roman" w:cs="Times New Roman"/>
            <w:sz w:val="24"/>
            <w:szCs w:val="24"/>
            <w:lang w:val="bg-BG" w:eastAsia="zh-CN" w:bidi="hi-IN"/>
          </w:rPr>
          <w:t>www</w:t>
        </w:r>
      </w:hyperlink>
      <w:hyperlink r:id="rId151">
        <w:r w:rsidRPr="00610B1B">
          <w:rPr>
            <w:rFonts w:ascii="Times New Roman" w:eastAsia="Source Han Sans CN Regular" w:hAnsi="Times New Roman" w:cs="Times New Roman"/>
            <w:sz w:val="24"/>
            <w:szCs w:val="24"/>
            <w:lang w:val="bg-BG" w:eastAsia="zh-CN" w:bidi="hi-IN"/>
          </w:rPr>
          <w:t>.</w:t>
        </w:r>
      </w:hyperlink>
      <w:hyperlink r:id="rId152">
        <w:r w:rsidRPr="00610B1B">
          <w:rPr>
            <w:rFonts w:ascii="Times New Roman" w:eastAsia="Source Han Sans CN Regular" w:hAnsi="Times New Roman" w:cs="Times New Roman"/>
            <w:sz w:val="24"/>
            <w:szCs w:val="24"/>
            <w:lang w:val="bg-BG" w:eastAsia="zh-CN" w:bidi="hi-IN"/>
          </w:rPr>
          <w:t>south</w:t>
        </w:r>
      </w:hyperlink>
      <w:hyperlink r:id="rId153">
        <w:r w:rsidRPr="00610B1B">
          <w:rPr>
            <w:rFonts w:ascii="Times New Roman" w:eastAsia="Source Han Sans CN Regular" w:hAnsi="Times New Roman" w:cs="Times New Roman"/>
            <w:sz w:val="24"/>
            <w:szCs w:val="24"/>
            <w:lang w:val="bg-BG" w:eastAsia="zh-CN" w:bidi="hi-IN"/>
          </w:rPr>
          <w:t>-</w:t>
        </w:r>
      </w:hyperlink>
      <w:hyperlink r:id="rId154">
        <w:r w:rsidRPr="00610B1B">
          <w:rPr>
            <w:rFonts w:ascii="Times New Roman" w:eastAsia="Source Han Sans CN Regular" w:hAnsi="Times New Roman" w:cs="Times New Roman"/>
            <w:sz w:val="24"/>
            <w:szCs w:val="24"/>
            <w:lang w:val="bg-BG" w:eastAsia="zh-CN" w:bidi="hi-IN"/>
          </w:rPr>
          <w:t>stream</w:t>
        </w:r>
      </w:hyperlink>
      <w:hyperlink r:id="rId155">
        <w:r w:rsidRPr="00610B1B">
          <w:rPr>
            <w:rFonts w:ascii="Times New Roman" w:eastAsia="Source Han Sans CN Regular" w:hAnsi="Times New Roman" w:cs="Times New Roman"/>
            <w:sz w:val="24"/>
            <w:szCs w:val="24"/>
            <w:lang w:val="bg-BG" w:eastAsia="zh-CN" w:bidi="hi-IN"/>
          </w:rPr>
          <w:t>-</w:t>
        </w:r>
      </w:hyperlink>
      <w:hyperlink r:id="rId156">
        <w:r w:rsidRPr="00610B1B">
          <w:rPr>
            <w:rFonts w:ascii="Times New Roman" w:eastAsia="Source Han Sans CN Regular" w:hAnsi="Times New Roman" w:cs="Times New Roman"/>
            <w:sz w:val="24"/>
            <w:szCs w:val="24"/>
            <w:lang w:val="bg-BG" w:eastAsia="zh-CN" w:bidi="hi-IN"/>
          </w:rPr>
          <w:t>transport</w:t>
        </w:r>
      </w:hyperlink>
      <w:hyperlink r:id="rId157">
        <w:r w:rsidRPr="00610B1B">
          <w:rPr>
            <w:rFonts w:ascii="Times New Roman" w:eastAsia="Source Han Sans CN Regular" w:hAnsi="Times New Roman" w:cs="Times New Roman"/>
            <w:sz w:val="24"/>
            <w:szCs w:val="24"/>
            <w:lang w:val="bg-BG" w:eastAsia="zh-CN" w:bidi="hi-IN"/>
          </w:rPr>
          <w:t>.</w:t>
        </w:r>
      </w:hyperlink>
      <w:hyperlink r:id="rId158">
        <w:r w:rsidRPr="00610B1B">
          <w:rPr>
            <w:rFonts w:ascii="Times New Roman" w:eastAsia="Source Han Sans CN Regular" w:hAnsi="Times New Roman" w:cs="Times New Roman"/>
            <w:sz w:val="24"/>
            <w:szCs w:val="24"/>
            <w:lang w:val="bg-BG" w:eastAsia="zh-CN" w:bidi="hi-IN"/>
          </w:rPr>
          <w:t>com</w:t>
        </w:r>
      </w:hyperlink>
      <w:hyperlink r:id="rId159">
        <w:r w:rsidRPr="00610B1B">
          <w:rPr>
            <w:rFonts w:ascii="Times New Roman" w:eastAsia="Source Han Sans CN Regular" w:hAnsi="Times New Roman" w:cs="Times New Roman"/>
            <w:sz w:val="24"/>
            <w:szCs w:val="24"/>
            <w:lang w:val="bg-BG" w:eastAsia="zh-CN" w:bidi="hi-IN"/>
          </w:rPr>
          <w:t>/</w:t>
        </w:r>
      </w:hyperlink>
      <w:hyperlink r:id="rId160">
        <w:r w:rsidRPr="00610B1B">
          <w:rPr>
            <w:rFonts w:ascii="Times New Roman" w:eastAsia="Source Han Sans CN Regular" w:hAnsi="Times New Roman" w:cs="Times New Roman"/>
            <w:sz w:val="24"/>
            <w:szCs w:val="24"/>
            <w:lang w:val="bg-BG" w:eastAsia="zh-CN" w:bidi="hi-IN"/>
          </w:rPr>
          <w:t>project</w:t>
        </w:r>
      </w:hyperlink>
      <w:hyperlink r:id="rId161">
        <w:r w:rsidRPr="00610B1B">
          <w:rPr>
            <w:rFonts w:ascii="Times New Roman" w:eastAsia="Source Han Sans CN Regular" w:hAnsi="Times New Roman" w:cs="Times New Roman"/>
            <w:sz w:val="24"/>
            <w:szCs w:val="24"/>
            <w:lang w:val="bg-BG" w:eastAsia="zh-CN" w:bidi="hi-IN"/>
          </w:rPr>
          <w:t>/</w:t>
        </w:r>
      </w:hyperlink>
      <w:hyperlink r:id="rId162">
        <w:r w:rsidRPr="00610B1B">
          <w:rPr>
            <w:rFonts w:ascii="Times New Roman" w:eastAsia="Source Han Sans CN Regular" w:hAnsi="Times New Roman" w:cs="Times New Roman"/>
            <w:sz w:val="24"/>
            <w:szCs w:val="24"/>
            <w:lang w:val="bg-BG" w:eastAsia="zh-CN" w:bidi="hi-IN"/>
          </w:rPr>
          <w:t>document</w:t>
        </w:r>
      </w:hyperlink>
      <w:hyperlink r:id="rId163">
        <w:r w:rsidRPr="00610B1B">
          <w:rPr>
            <w:rFonts w:ascii="Times New Roman" w:eastAsia="Source Han Sans CN Regular" w:hAnsi="Times New Roman" w:cs="Times New Roman"/>
            <w:sz w:val="24"/>
            <w:szCs w:val="24"/>
            <w:lang w:val="bg-BG" w:eastAsia="zh-CN" w:bidi="hi-IN"/>
          </w:rPr>
          <w:t>-</w:t>
        </w:r>
      </w:hyperlink>
      <w:hyperlink r:id="rId164">
        <w:r w:rsidRPr="00610B1B">
          <w:rPr>
            <w:rFonts w:ascii="Times New Roman" w:eastAsia="Source Han Sans CN Regular" w:hAnsi="Times New Roman" w:cs="Times New Roman"/>
            <w:sz w:val="24"/>
            <w:szCs w:val="24"/>
            <w:lang w:val="bg-BG" w:eastAsia="zh-CN" w:bidi="hi-IN"/>
          </w:rPr>
          <w:t>library</w:t>
        </w:r>
      </w:hyperlink>
      <w:hyperlink r:id="rId165">
        <w:r w:rsidRPr="00610B1B">
          <w:rPr>
            <w:rFonts w:ascii="Times New Roman" w:eastAsia="Source Han Sans CN Regular" w:hAnsi="Times New Roman" w:cs="Times New Roman"/>
            <w:sz w:val="24"/>
            <w:szCs w:val="24"/>
            <w:lang w:val="bg-BG" w:eastAsia="zh-CN" w:bidi="hi-IN"/>
          </w:rPr>
          <w:t>/</w:t>
        </w:r>
      </w:hyperlink>
      <w:r w:rsidRPr="00610B1B">
        <w:rPr>
          <w:rFonts w:ascii="Times New Roman" w:eastAsia="Source Han Sans CN Regular" w:hAnsi="Times New Roman" w:cs="Times New Roman"/>
          <w:sz w:val="24"/>
          <w:szCs w:val="24"/>
          <w:lang w:val="bg-BG" w:eastAsia="zh-CN" w:bidi="hi-IN"/>
        </w:rPr>
        <w:t xml:space="preserve"> Mихаилов К., Терзийски Г., Проучвания на състоянието на морската околна среда и подобряване на програмите за мониторинг, разработени съгласно РДМС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ISMEIMP</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Доклад по проект: „Теренни проучвания на разпространение на видове/оценка на състоянието на видове и хабитати на територията на цялата страна – I фаза". Дейност: Теренни наблюдения на китоподобните </w:t>
      </w:r>
      <w:r w:rsidRPr="00610B1B">
        <w:rPr>
          <w:rFonts w:ascii="Times New Roman" w:eastAsia="Source Han Sans CN Regular" w:hAnsi="Times New Roman" w:cs="Times New Roman"/>
          <w:i/>
          <w:iCs/>
          <w:sz w:val="24"/>
          <w:szCs w:val="24"/>
          <w:lang w:val="bg-BG" w:eastAsia="zh-CN" w:bidi="hi-IN"/>
        </w:rPr>
        <w:t>Tursiops truncatus</w:t>
      </w:r>
      <w:r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i/>
          <w:iCs/>
          <w:sz w:val="24"/>
          <w:szCs w:val="24"/>
          <w:lang w:val="bg-BG" w:eastAsia="zh-CN" w:bidi="hi-IN"/>
        </w:rPr>
        <w:t>Phocoena phocoena</w:t>
      </w:r>
      <w:r w:rsidRPr="00610B1B">
        <w:rPr>
          <w:rFonts w:ascii="Times New Roman" w:eastAsia="Source Han Sans CN Regular" w:hAnsi="Times New Roman" w:cs="Times New Roman"/>
          <w:sz w:val="24"/>
          <w:szCs w:val="24"/>
          <w:lang w:val="bg-BG" w:eastAsia="zh-CN" w:bidi="hi-IN"/>
        </w:rPr>
        <w:t xml:space="preserve"> и </w:t>
      </w:r>
      <w:r w:rsidRPr="00610B1B">
        <w:rPr>
          <w:rFonts w:ascii="Times New Roman" w:eastAsia="Source Han Sans CN Regular" w:hAnsi="Times New Roman" w:cs="Times New Roman"/>
          <w:i/>
          <w:iCs/>
          <w:sz w:val="24"/>
          <w:szCs w:val="24"/>
          <w:lang w:val="bg-BG" w:eastAsia="zh-CN" w:bidi="hi-IN"/>
        </w:rPr>
        <w:t>Delphinus delphis</w:t>
      </w:r>
      <w:r w:rsidRPr="00610B1B">
        <w:rPr>
          <w:rFonts w:ascii="Times New Roman" w:eastAsia="Source Han Sans CN Regular" w:hAnsi="Times New Roman" w:cs="Times New Roman"/>
          <w:sz w:val="24"/>
          <w:szCs w:val="24"/>
          <w:lang w:val="bg-BG" w:eastAsia="zh-CN" w:bidi="hi-IN"/>
        </w:rPr>
        <w:t xml:space="preserve"> в българската изключителна икономическа зона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ИИЗ</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в Черно море“, МОСВ.</w:t>
      </w:r>
    </w:p>
    <w:p w14:paraId="5D3FED97" w14:textId="4978D4C4" w:rsidR="00BE57CC" w:rsidRPr="00610B1B" w:rsidRDefault="00BE57CC" w:rsidP="00BE57CC">
      <w:pPr>
        <w:widowControl w:val="0"/>
        <w:numPr>
          <w:ilvl w:val="0"/>
          <w:numId w:val="97"/>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Първоначална оценка на състоянието на морската околна среда, съгл. чл. 8 на НООСМВ, 2013 г. ИО при БАН.</w:t>
      </w:r>
      <w:r w:rsidR="00D66FE0" w:rsidRPr="00610B1B">
        <w:rPr>
          <w:rFonts w:ascii="Times New Roman" w:eastAsia="Source Han Sans CN Regular" w:hAnsi="Times New Roman" w:cs="Times New Roman"/>
          <w:sz w:val="24"/>
          <w:szCs w:val="24"/>
          <w:lang w:val="bg-BG" w:eastAsia="zh-CN" w:bidi="hi-IN"/>
        </w:rPr>
        <w:t xml:space="preserve"> </w:t>
      </w:r>
      <w:hyperlink r:id="rId166" w:history="1">
        <w:r w:rsidRPr="00610B1B">
          <w:rPr>
            <w:rFonts w:ascii="Times New Roman" w:eastAsia="Source Han Sans CN Regular" w:hAnsi="Times New Roman" w:cs="Times New Roman"/>
            <w:sz w:val="24"/>
            <w:szCs w:val="24"/>
            <w:lang w:val="bg-BG" w:eastAsia="zh-CN" w:bidi="hi-IN"/>
          </w:rPr>
          <w:t>http://www.bsbd.org/UserFiles/File/Initial%20Assessment_new.pdf</w:t>
        </w:r>
      </w:hyperlink>
    </w:p>
    <w:p w14:paraId="788A98DD" w14:textId="77777777" w:rsidR="00BE57CC" w:rsidRPr="00610B1B" w:rsidRDefault="00BE57CC" w:rsidP="00BE57CC">
      <w:pPr>
        <w:widowControl w:val="0"/>
        <w:numPr>
          <w:ilvl w:val="0"/>
          <w:numId w:val="97"/>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Проект за Актуализиране на План за управление на поддържан резерват Атанасовско езеро. РИОСВ - Бургас, 2015 г</w:t>
      </w:r>
    </w:p>
    <w:p w14:paraId="7817536A" w14:textId="44FFD3CB" w:rsidR="00BE57CC" w:rsidRPr="00610B1B" w:rsidRDefault="00BE57CC" w:rsidP="00BE57CC">
      <w:pPr>
        <w:widowControl w:val="0"/>
        <w:numPr>
          <w:ilvl w:val="0"/>
          <w:numId w:val="97"/>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Регистър на издадените разрешителни за заустване на отпадъчни води в повърхностни водни обекти. МОСВ. </w:t>
      </w:r>
      <w:hyperlink r:id="rId167">
        <w:r w:rsidRPr="00610B1B">
          <w:rPr>
            <w:rFonts w:ascii="Times New Roman" w:eastAsia="Source Han Sans CN Regular" w:hAnsi="Times New Roman" w:cs="Times New Roman"/>
            <w:sz w:val="24"/>
            <w:szCs w:val="24"/>
            <w:lang w:val="bg-BG" w:eastAsia="zh-CN" w:bidi="hi-IN"/>
          </w:rPr>
          <w:t>http</w:t>
        </w:r>
      </w:hyperlink>
      <w:hyperlink r:id="rId168">
        <w:r w:rsidRPr="00610B1B">
          <w:rPr>
            <w:rFonts w:ascii="Times New Roman" w:eastAsia="Source Han Sans CN Regular" w:hAnsi="Times New Roman" w:cs="Times New Roman"/>
            <w:sz w:val="24"/>
            <w:szCs w:val="24"/>
            <w:lang w:val="bg-BG" w:eastAsia="zh-CN" w:bidi="hi-IN"/>
          </w:rPr>
          <w:t>://</w:t>
        </w:r>
      </w:hyperlink>
      <w:hyperlink r:id="rId169">
        <w:r w:rsidRPr="00610B1B">
          <w:rPr>
            <w:rFonts w:ascii="Times New Roman" w:eastAsia="Source Han Sans CN Regular" w:hAnsi="Times New Roman" w:cs="Times New Roman"/>
            <w:sz w:val="24"/>
            <w:szCs w:val="24"/>
            <w:lang w:val="bg-BG" w:eastAsia="zh-CN" w:bidi="hi-IN"/>
          </w:rPr>
          <w:t>eea</w:t>
        </w:r>
      </w:hyperlink>
      <w:hyperlink r:id="rId170">
        <w:r w:rsidRPr="00610B1B">
          <w:rPr>
            <w:rFonts w:ascii="Times New Roman" w:eastAsia="Source Han Sans CN Regular" w:hAnsi="Times New Roman" w:cs="Times New Roman"/>
            <w:sz w:val="24"/>
            <w:szCs w:val="24"/>
            <w:lang w:val="bg-BG" w:eastAsia="zh-CN" w:bidi="hi-IN"/>
          </w:rPr>
          <w:t>.</w:t>
        </w:r>
      </w:hyperlink>
      <w:hyperlink r:id="rId171">
        <w:r w:rsidRPr="00610B1B">
          <w:rPr>
            <w:rFonts w:ascii="Times New Roman" w:eastAsia="Source Han Sans CN Regular" w:hAnsi="Times New Roman" w:cs="Times New Roman"/>
            <w:sz w:val="24"/>
            <w:szCs w:val="24"/>
            <w:lang w:val="bg-BG" w:eastAsia="zh-CN" w:bidi="hi-IN"/>
          </w:rPr>
          <w:t>government</w:t>
        </w:r>
      </w:hyperlink>
      <w:hyperlink r:id="rId172">
        <w:r w:rsidRPr="00610B1B">
          <w:rPr>
            <w:rFonts w:ascii="Times New Roman" w:eastAsia="Source Han Sans CN Regular" w:hAnsi="Times New Roman" w:cs="Times New Roman"/>
            <w:sz w:val="24"/>
            <w:szCs w:val="24"/>
            <w:lang w:val="bg-BG" w:eastAsia="zh-CN" w:bidi="hi-IN"/>
          </w:rPr>
          <w:t>.</w:t>
        </w:r>
      </w:hyperlink>
      <w:hyperlink r:id="rId173">
        <w:r w:rsidRPr="00610B1B">
          <w:rPr>
            <w:rFonts w:ascii="Times New Roman" w:eastAsia="Source Han Sans CN Regular" w:hAnsi="Times New Roman" w:cs="Times New Roman"/>
            <w:sz w:val="24"/>
            <w:szCs w:val="24"/>
            <w:lang w:val="bg-BG" w:eastAsia="zh-CN" w:bidi="hi-IN"/>
          </w:rPr>
          <w:t>bg</w:t>
        </w:r>
      </w:hyperlink>
      <w:hyperlink r:id="rId174">
        <w:r w:rsidRPr="00610B1B">
          <w:rPr>
            <w:rFonts w:ascii="Times New Roman" w:eastAsia="Source Han Sans CN Regular" w:hAnsi="Times New Roman" w:cs="Times New Roman"/>
            <w:sz w:val="24"/>
            <w:szCs w:val="24"/>
            <w:lang w:val="bg-BG" w:eastAsia="zh-CN" w:bidi="hi-IN"/>
          </w:rPr>
          <w:t>/</w:t>
        </w:r>
      </w:hyperlink>
      <w:hyperlink r:id="rId175">
        <w:r w:rsidRPr="00610B1B">
          <w:rPr>
            <w:rFonts w:ascii="Times New Roman" w:eastAsia="Source Han Sans CN Regular" w:hAnsi="Times New Roman" w:cs="Times New Roman"/>
            <w:sz w:val="24"/>
            <w:szCs w:val="24"/>
            <w:lang w:val="bg-BG" w:eastAsia="zh-CN" w:bidi="hi-IN"/>
          </w:rPr>
          <w:t>wp</w:t>
        </w:r>
      </w:hyperlink>
      <w:hyperlink r:id="rId176">
        <w:r w:rsidRPr="00610B1B">
          <w:rPr>
            <w:rFonts w:ascii="Times New Roman" w:eastAsia="Source Han Sans CN Regular" w:hAnsi="Times New Roman" w:cs="Times New Roman"/>
            <w:sz w:val="24"/>
            <w:szCs w:val="24"/>
            <w:lang w:val="bg-BG" w:eastAsia="zh-CN" w:bidi="hi-IN"/>
          </w:rPr>
          <w:t>/</w:t>
        </w:r>
      </w:hyperlink>
      <w:hyperlink r:id="rId177">
        <w:r w:rsidRPr="00610B1B">
          <w:rPr>
            <w:rFonts w:ascii="Times New Roman" w:eastAsia="Source Han Sans CN Regular" w:hAnsi="Times New Roman" w:cs="Times New Roman"/>
            <w:sz w:val="24"/>
            <w:szCs w:val="24"/>
            <w:lang w:val="bg-BG" w:eastAsia="zh-CN" w:bidi="hi-IN"/>
          </w:rPr>
          <w:t>publicregister</w:t>
        </w:r>
      </w:hyperlink>
      <w:hyperlink r:id="rId178">
        <w:r w:rsidRPr="00610B1B">
          <w:rPr>
            <w:rFonts w:ascii="Times New Roman" w:eastAsia="Source Han Sans CN Regular" w:hAnsi="Times New Roman" w:cs="Times New Roman"/>
            <w:sz w:val="24"/>
            <w:szCs w:val="24"/>
            <w:lang w:val="bg-BG" w:eastAsia="zh-CN" w:bidi="hi-IN"/>
          </w:rPr>
          <w:t>/</w:t>
        </w:r>
      </w:hyperlink>
      <w:hyperlink r:id="rId179">
        <w:r w:rsidRPr="00610B1B">
          <w:rPr>
            <w:rFonts w:ascii="Times New Roman" w:eastAsia="Source Han Sans CN Regular" w:hAnsi="Times New Roman" w:cs="Times New Roman"/>
            <w:sz w:val="24"/>
            <w:szCs w:val="24"/>
            <w:lang w:val="bg-BG" w:eastAsia="zh-CN" w:bidi="hi-IN"/>
          </w:rPr>
          <w:t>PWSRegisters</w:t>
        </w:r>
      </w:hyperlink>
      <w:hyperlink r:id="rId180">
        <w:r w:rsidRPr="00610B1B">
          <w:rPr>
            <w:rFonts w:ascii="Times New Roman" w:eastAsia="Source Han Sans CN Regular" w:hAnsi="Times New Roman" w:cs="Times New Roman"/>
            <w:sz w:val="24"/>
            <w:szCs w:val="24"/>
            <w:lang w:val="bg-BG" w:eastAsia="zh-CN" w:bidi="hi-IN"/>
          </w:rPr>
          <w:t>.</w:t>
        </w:r>
      </w:hyperlink>
      <w:hyperlink r:id="rId181">
        <w:r w:rsidRPr="00610B1B">
          <w:rPr>
            <w:rFonts w:ascii="Times New Roman" w:eastAsia="Source Han Sans CN Regular" w:hAnsi="Times New Roman" w:cs="Times New Roman"/>
            <w:sz w:val="24"/>
            <w:szCs w:val="24"/>
            <w:lang w:val="bg-BG" w:eastAsia="zh-CN" w:bidi="hi-IN"/>
          </w:rPr>
          <w:t>aspx</w:t>
        </w:r>
      </w:hyperlink>
    </w:p>
    <w:p w14:paraId="31E7F089" w14:textId="77777777" w:rsidR="00BE57CC" w:rsidRPr="00610B1B" w:rsidRDefault="00BE57CC" w:rsidP="00BE57CC">
      <w:pPr>
        <w:widowControl w:val="0"/>
        <w:numPr>
          <w:ilvl w:val="0"/>
          <w:numId w:val="97"/>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Регистър на разрешенията за търсене и проучване (актуален към 12.09.2019 г.), Министерство на икономиката;</w:t>
      </w:r>
    </w:p>
    <w:p w14:paraId="2A038852" w14:textId="256CFF18" w:rsidR="00BE57CC" w:rsidRPr="00610B1B" w:rsidRDefault="00BE57CC" w:rsidP="00BE57CC">
      <w:pPr>
        <w:widowControl w:val="0"/>
        <w:numPr>
          <w:ilvl w:val="0"/>
          <w:numId w:val="97"/>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Регистър на защитените територии и защитените зони в България. МОСВ, 2015. </w:t>
      </w:r>
      <w:hyperlink r:id="rId182" w:history="1">
        <w:r w:rsidRPr="00610B1B">
          <w:rPr>
            <w:rFonts w:ascii="Times New Roman" w:eastAsia="Source Han Sans CN Regular" w:hAnsi="Times New Roman" w:cs="Times New Roman"/>
            <w:color w:val="0000FF"/>
            <w:sz w:val="24"/>
            <w:szCs w:val="24"/>
            <w:u w:val="single"/>
            <w:lang w:val="bg-BG" w:eastAsia="zh-CN" w:bidi="hi-IN"/>
          </w:rPr>
          <w:t>http://www.eea.government.bg/zpo/bg/result1.jsp</w:t>
        </w:r>
      </w:hyperlink>
      <w:r w:rsidRPr="00610B1B">
        <w:rPr>
          <w:rFonts w:ascii="Times New Roman" w:eastAsia="Source Han Sans CN Regular" w:hAnsi="Times New Roman" w:cs="Times New Roman"/>
          <w:sz w:val="24"/>
          <w:szCs w:val="24"/>
          <w:lang w:val="bg-BG" w:eastAsia="zh-CN" w:bidi="hi-IN"/>
        </w:rPr>
        <w:t xml:space="preserve">; </w:t>
      </w:r>
    </w:p>
    <w:p w14:paraId="64916F61" w14:textId="61830838" w:rsidR="00BE57CC" w:rsidRPr="00610B1B" w:rsidRDefault="00BE57CC" w:rsidP="00BE57CC">
      <w:pPr>
        <w:widowControl w:val="0"/>
        <w:numPr>
          <w:ilvl w:val="0"/>
          <w:numId w:val="97"/>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Регионален доклад за състоянието на околната среда през 2018 година. РИОСВ - Варна 2018, </w:t>
      </w:r>
      <w:hyperlink r:id="rId183" w:history="1">
        <w:r w:rsidRPr="00610B1B">
          <w:rPr>
            <w:rFonts w:ascii="Times New Roman" w:eastAsia="Source Han Sans CN Regular" w:hAnsi="Times New Roman" w:cs="Times New Roman"/>
            <w:color w:val="0000FF"/>
            <w:sz w:val="24"/>
            <w:szCs w:val="24"/>
            <w:u w:val="single"/>
            <w:lang w:val="bg-BG" w:eastAsia="zh-CN" w:bidi="hi-IN"/>
          </w:rPr>
          <w:t>https://www.riosv-varna.org/docs/RIOSV-Varna%20Doklad%20OS%202018.pdf</w:t>
        </w:r>
      </w:hyperlink>
    </w:p>
    <w:p w14:paraId="3A6AC1EB" w14:textId="77777777" w:rsidR="00BE57CC" w:rsidRPr="00610B1B" w:rsidRDefault="00BE57CC" w:rsidP="00BE57CC">
      <w:pPr>
        <w:widowControl w:val="0"/>
        <w:numPr>
          <w:ilvl w:val="0"/>
          <w:numId w:val="97"/>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Ситуационно-перспективен анализ риба и други водни организми през 2017 г. и перспективи за 2018 г., Министерство на земеделието, храните и горите.</w:t>
      </w:r>
    </w:p>
    <w:p w14:paraId="2C9E1A81" w14:textId="77777777" w:rsidR="00BE57CC" w:rsidRPr="00610B1B" w:rsidRDefault="00BE57CC" w:rsidP="00BE57CC">
      <w:pPr>
        <w:widowControl w:val="0"/>
        <w:spacing w:after="120"/>
        <w:ind w:right="-153"/>
        <w:jc w:val="both"/>
        <w:rPr>
          <w:rFonts w:ascii="Times New Roman" w:eastAsia="Source Han Sans CN Regular" w:hAnsi="Times New Roman" w:cs="Times New Roman"/>
          <w:b/>
          <w:sz w:val="24"/>
          <w:szCs w:val="24"/>
          <w:lang w:val="bg-BG" w:eastAsia="zh-CN" w:bidi="hi-IN"/>
        </w:rPr>
      </w:pPr>
    </w:p>
    <w:p w14:paraId="486BA14D" w14:textId="77777777" w:rsidR="00BE57CC" w:rsidRPr="00610B1B" w:rsidRDefault="00BE57CC" w:rsidP="00BE57CC">
      <w:pPr>
        <w:keepNext/>
        <w:widowControl w:val="0"/>
        <w:numPr>
          <w:ilvl w:val="1"/>
          <w:numId w:val="1"/>
        </w:numPr>
        <w:spacing w:after="120"/>
        <w:ind w:right="-153"/>
        <w:outlineLvl w:val="1"/>
        <w:rPr>
          <w:rFonts w:ascii="Times New Roman" w:eastAsia="Source Han Sans CN Regular" w:hAnsi="Times New Roman" w:cs="Times New Roman"/>
          <w:b/>
          <w:bCs/>
          <w:color w:val="0F243E" w:themeColor="text2" w:themeShade="80"/>
          <w:sz w:val="32"/>
          <w:szCs w:val="32"/>
          <w:lang w:val="bg-BG" w:eastAsia="zh-CN" w:bidi="hi-IN"/>
        </w:rPr>
      </w:pPr>
      <w:bookmarkStart w:id="543" w:name="_Toc56961589"/>
      <w:bookmarkStart w:id="544" w:name="_Toc83391461"/>
      <w:r w:rsidRPr="00610B1B">
        <w:rPr>
          <w:rFonts w:ascii="Times New Roman" w:eastAsia="Source Han Sans CN Regular" w:hAnsi="Times New Roman" w:cs="Times New Roman"/>
          <w:b/>
          <w:bCs/>
          <w:color w:val="0F243E" w:themeColor="text2" w:themeShade="80"/>
          <w:sz w:val="32"/>
          <w:szCs w:val="32"/>
          <w:lang w:val="bg-BG" w:eastAsia="zh-CN" w:bidi="hi-IN"/>
        </w:rPr>
        <w:t>11.6. Публикации</w:t>
      </w:r>
      <w:bookmarkEnd w:id="543"/>
      <w:bookmarkEnd w:id="544"/>
    </w:p>
    <w:p w14:paraId="6417EA0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Алексиев, Г. 2012. Морфотектоника на Балканския полуостров. „Анди-МГ“, София.</w:t>
      </w:r>
    </w:p>
    <w:p w14:paraId="0479ED5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Андреев, В., и колектив 1981. Тектоника западной части Черного моря. В Geologica Balc.,11,4, с. 3-18.</w:t>
      </w:r>
    </w:p>
    <w:p w14:paraId="549280B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Балтаков, Г. (2000). Основни черти на палеогеографската адаптация при скулптурната морфогенеза на съвременния геоморфологичен комплекс в България. Годишник на СУ „Св. Климент Охридски“, Геолого-Географски факултет, кн. 2 (География), том 93: 123-125</w:t>
      </w:r>
    </w:p>
    <w:p w14:paraId="1361A89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Батиметрия. Доклад оценка на екологичното състояние на морските води (РДВ). 2013. Договор № 0-33-18от 12.06.2013, Научен фонд на Институт по Океанология „Фритьоф Нансен”- БАН, гр. Варна, с. 6-41</w:t>
      </w:r>
    </w:p>
    <w:p w14:paraId="248E02E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Беров, Д., 2013. Структура на съобществата от кафяви водорасли от род Cystoseira и влиянието на антропогенни фактори върху тяхното разпространение. Макроводораслите като индикатор за екологичното състояние на крайбрежните морски екосистеми в Черно море. Академично издателство “Проф. Марин Дринов,“ София.</w:t>
      </w:r>
    </w:p>
    <w:p w14:paraId="7711FB0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Благоева, Е. 1980. Изследване на литогенната основа на ландшафтите. Във Велчев, А., Благоева, Е., Петров, П., Къндев, Тр. (Ред.) Ръководство за стационарни ландшафтни изследвания, стр. 41-63. Унив. изд. на Софийски университет „Св. Климент Охридски“, София</w:t>
      </w:r>
    </w:p>
    <w:p w14:paraId="07D94F8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Бончев, Ек. 1986. Балканидите - геологотекнско положение и развитие, София, 273 с.</w:t>
      </w:r>
    </w:p>
    <w:p w14:paraId="36CDE40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Василев, В., 2017 Анализ и оценка на заплахите за офшорната промишленост в националните морски пространства на Република България</w:t>
      </w:r>
    </w:p>
    <w:p w14:paraId="13B1105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Вълканов, А., Т. Маринов, 1978. Безгръбначни животни. Черно море - сборник, книгоиздателство Георги Бакалов - Варна, с. 108-123</w:t>
      </w:r>
    </w:p>
    <w:p w14:paraId="0ACDD8B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Вълчев, Б. 2015. Пясъчни дюни по Българското черноморско крайбрежие южно от гр. Бургас–състояние и геоконсервационно значение. Review of the Bulgarian geological society, 76 (part 1), 89-111.</w:t>
      </w:r>
    </w:p>
    <w:p w14:paraId="15FFB3E8" w14:textId="7ADF37A3"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Вълчев, Н., Андреева, Н., Трифонова, Ек., Проданов, Б., Христова, Д., 2013. 1.3. Вълнова експозиция на Българското Черноморско крайбрежие. В Доклад оценка на екологичното състояние на морските води (РДВ). Договор № 0-33-18/12.06.2013, Научен фонд на Институт по Океанология „Фритьоф Нансен”- БАН, гр. Варна, с. 43-76 (достъпна на </w:t>
      </w:r>
      <w:hyperlink r:id="rId184" w:history="1">
        <w:r w:rsidR="00DB5CC7" w:rsidRPr="00610B1B">
          <w:rPr>
            <w:rStyle w:val="Hyperlink"/>
            <w:rFonts w:ascii="Times New Roman" w:eastAsia="Source Han Sans CN Regular" w:hAnsi="Times New Roman" w:cs="Times New Roman"/>
            <w:sz w:val="24"/>
            <w:szCs w:val="24"/>
            <w:lang w:val="bg-BG" w:eastAsia="zh-CN" w:bidi="hi-IN"/>
          </w:rPr>
          <w:t>http://bsbd.org</w:t>
        </w:r>
      </w:hyperlink>
      <w:r w:rsidRPr="00610B1B">
        <w:rPr>
          <w:rFonts w:ascii="Times New Roman" w:eastAsia="Source Han Sans CN Regular" w:hAnsi="Times New Roman" w:cs="Times New Roman"/>
          <w:sz w:val="24"/>
          <w:szCs w:val="24"/>
          <w:lang w:val="bg-BG" w:eastAsia="zh-CN" w:bidi="hi-IN"/>
        </w:rPr>
        <w:t>)</w:t>
      </w:r>
    </w:p>
    <w:p w14:paraId="0DA5937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Географски терминологичен речник. 2011. Акад. Изд. "Марин Дринов", 294</w:t>
      </w:r>
    </w:p>
    <w:p w14:paraId="2416067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Глумов, В., 1971. Геологическое строение Черноморского шельфа НР Болгарии. В Доклади на БАН, том 2, с. 255-258</w:t>
      </w:r>
    </w:p>
    <w:p w14:paraId="7C02770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Глумов, И., 1971. Некоторые черты геологического строения восточной части Мизийской плиты и черноморского шельфа НРБ. В Морская геология и геофизика, 3, с. 58-66</w:t>
      </w:r>
    </w:p>
    <w:p w14:paraId="059CBD5B" w14:textId="60666C9D"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Големански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ред.</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2011. Червена книга на Република България. Том 2. </w:t>
      </w:r>
      <w:hyperlink r:id="rId185" w:history="1">
        <w:r w:rsidR="00DB5CC7" w:rsidRPr="00610B1B">
          <w:rPr>
            <w:rStyle w:val="Hyperlink"/>
            <w:rFonts w:ascii="Times New Roman" w:eastAsia="Source Han Sans CN Regular" w:hAnsi="Times New Roman" w:cs="Times New Roman"/>
            <w:sz w:val="24"/>
            <w:szCs w:val="24"/>
            <w:lang w:val="bg-BG" w:eastAsia="zh-CN" w:bidi="hi-IN"/>
          </w:rPr>
          <w:t>http://e-ecodb.bas.bg/rdb/bg/vol2/</w:t>
        </w:r>
      </w:hyperlink>
      <w:r w:rsidR="00DB5CC7" w:rsidRPr="00610B1B">
        <w:rPr>
          <w:rFonts w:ascii="Times New Roman" w:eastAsia="Source Han Sans CN Regular" w:hAnsi="Times New Roman" w:cs="Times New Roman"/>
          <w:sz w:val="24"/>
          <w:szCs w:val="24"/>
          <w:lang w:val="bg-BG" w:eastAsia="zh-CN" w:bidi="hi-IN"/>
        </w:rPr>
        <w:t xml:space="preserve"> </w:t>
      </w:r>
    </w:p>
    <w:p w14:paraId="69190AE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Горшков, С., Морская мощь государство, М., ВИМО, 1979.</w:t>
      </w:r>
    </w:p>
    <w:p w14:paraId="00C4E8C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Гочев, П. 1991. Алпийски ороген на Балканите - колизионна полифазова структура. В Геотектоника, тектонофизика и геодинамика, 22, С., с. 3–44</w:t>
      </w:r>
    </w:p>
    <w:p w14:paraId="1D2333D3" w14:textId="54619B60"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Да преобразим нашия свят: Програма за устойчиво развитие до 2030 година. </w:t>
      </w:r>
      <w:hyperlink r:id="rId186" w:history="1">
        <w:r w:rsidRPr="00610B1B">
          <w:rPr>
            <w:rFonts w:ascii="Times New Roman" w:eastAsia="Source Han Sans CN Regular" w:hAnsi="Times New Roman" w:cs="Times New Roman"/>
            <w:color w:val="0000FF"/>
            <w:sz w:val="24"/>
            <w:szCs w:val="24"/>
            <w:u w:val="single"/>
            <w:lang w:val="bg-BG" w:eastAsia="zh-CN" w:bidi="hi-IN"/>
          </w:rPr>
          <w:t>https://www.unicef.bg/assets/PDFs/WWL/Transforming_our_world_BG.pdf</w:t>
        </w:r>
      </w:hyperlink>
      <w:r w:rsidR="00D66FE0" w:rsidRPr="00610B1B">
        <w:rPr>
          <w:rFonts w:ascii="Times New Roman" w:eastAsia="Source Han Sans CN Regular" w:hAnsi="Times New Roman" w:cs="Times New Roman"/>
          <w:sz w:val="24"/>
          <w:szCs w:val="24"/>
          <w:lang w:val="bg-BG" w:eastAsia="zh-CN" w:bidi="hi-IN"/>
        </w:rPr>
        <w:t xml:space="preserve"> </w:t>
      </w:r>
    </w:p>
    <w:p w14:paraId="79ACF822" w14:textId="51D614E9" w:rsidR="00BE57CC" w:rsidRPr="00610B1B" w:rsidRDefault="00BE57CC" w:rsidP="009D4F3B">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Данева, М., Мишев, К. 1979. Българското черноморско крайбрежие. Изд. на Българска академия на науките, София;</w:t>
      </w:r>
    </w:p>
    <w:p w14:paraId="7BB818C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Дачев, В. и кол. 1986. Морфоложки строеж на Българското черноморско крайбрежие. Фонд на ИО-БАН.</w:t>
      </w:r>
    </w:p>
    <w:p w14:paraId="609C526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Дачев, В., Никовлов, Хр. 1977. Интегрални изменения на бреговата линия при акумулационни участъци между Черни нос и кк "Албена". В Океанология. С.57-64.</w:t>
      </w:r>
    </w:p>
    <w:p w14:paraId="681222D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Дачев, В., Чернева, Ж. 1979. Надлъжно-брегово преместване на наносите в бреговата зона на Българското Черноморие между н. Сиврибурун и Бургаски залив. Океанология, 4,с 30-40;</w:t>
      </w:r>
    </w:p>
    <w:p w14:paraId="1ACF81C0" w14:textId="6664A9D3"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Делов, В., Терзийски, Г., Михайлов, К., Клисарова, Д., Гофман, О., 2015в. Оценка на природозащитното състояние с предложение за референтни стойности на морска свиня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iCs/>
          <w:sz w:val="24"/>
          <w:szCs w:val="24"/>
          <w:lang w:val="bg-BG" w:eastAsia="zh-CN" w:bidi="hi-IN"/>
        </w:rPr>
        <w:t>Phocoena phocoena relicta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t>
      </w:r>
      <w:hyperlink r:id="rId187">
        <w:r w:rsidRPr="00610B1B">
          <w:rPr>
            <w:rFonts w:ascii="Times New Roman" w:eastAsia="Source Han Sans CN Regular" w:hAnsi="Times New Roman" w:cs="Times New Roman"/>
            <w:color w:val="0000FF"/>
            <w:sz w:val="24"/>
            <w:szCs w:val="24"/>
            <w:u w:val="single"/>
            <w:lang w:val="bg-BG" w:eastAsia="zh-CN" w:bidi="hi-IN"/>
          </w:rPr>
          <w:t>http</w:t>
        </w:r>
      </w:hyperlink>
      <w:hyperlink r:id="rId188">
        <w:r w:rsidRPr="00610B1B">
          <w:rPr>
            <w:rFonts w:ascii="Times New Roman" w:eastAsia="Source Han Sans CN Regular" w:hAnsi="Times New Roman" w:cs="Times New Roman"/>
            <w:color w:val="0000FF"/>
            <w:sz w:val="24"/>
            <w:szCs w:val="24"/>
            <w:u w:val="single"/>
            <w:lang w:val="bg-BG" w:eastAsia="zh-CN" w:bidi="hi-IN"/>
          </w:rPr>
          <w:t>://</w:t>
        </w:r>
      </w:hyperlink>
      <w:hyperlink r:id="rId189">
        <w:r w:rsidRPr="00610B1B">
          <w:rPr>
            <w:rFonts w:ascii="Times New Roman" w:eastAsia="Source Han Sans CN Regular" w:hAnsi="Times New Roman" w:cs="Times New Roman"/>
            <w:color w:val="0000FF"/>
            <w:sz w:val="24"/>
            <w:szCs w:val="24"/>
            <w:u w:val="single"/>
            <w:lang w:val="bg-BG" w:eastAsia="zh-CN" w:bidi="hi-IN"/>
          </w:rPr>
          <w:t>eea</w:t>
        </w:r>
      </w:hyperlink>
      <w:hyperlink r:id="rId190">
        <w:r w:rsidRPr="00610B1B">
          <w:rPr>
            <w:rFonts w:ascii="Times New Roman" w:eastAsia="Source Han Sans CN Regular" w:hAnsi="Times New Roman" w:cs="Times New Roman"/>
            <w:color w:val="0000FF"/>
            <w:sz w:val="24"/>
            <w:szCs w:val="24"/>
            <w:u w:val="single"/>
            <w:lang w:val="bg-BG" w:eastAsia="zh-CN" w:bidi="hi-IN"/>
          </w:rPr>
          <w:t>.</w:t>
        </w:r>
      </w:hyperlink>
      <w:hyperlink r:id="rId191">
        <w:r w:rsidRPr="00610B1B">
          <w:rPr>
            <w:rFonts w:ascii="Times New Roman" w:eastAsia="Source Han Sans CN Regular" w:hAnsi="Times New Roman" w:cs="Times New Roman"/>
            <w:color w:val="0000FF"/>
            <w:sz w:val="24"/>
            <w:szCs w:val="24"/>
            <w:u w:val="single"/>
            <w:lang w:val="bg-BG" w:eastAsia="zh-CN" w:bidi="hi-IN"/>
          </w:rPr>
          <w:t>government</w:t>
        </w:r>
      </w:hyperlink>
      <w:hyperlink r:id="rId192">
        <w:r w:rsidRPr="00610B1B">
          <w:rPr>
            <w:rFonts w:ascii="Times New Roman" w:eastAsia="Source Han Sans CN Regular" w:hAnsi="Times New Roman" w:cs="Times New Roman"/>
            <w:color w:val="0000FF"/>
            <w:sz w:val="24"/>
            <w:szCs w:val="24"/>
            <w:u w:val="single"/>
            <w:lang w:val="bg-BG" w:eastAsia="zh-CN" w:bidi="hi-IN"/>
          </w:rPr>
          <w:t>.</w:t>
        </w:r>
      </w:hyperlink>
      <w:hyperlink r:id="rId193">
        <w:r w:rsidRPr="00610B1B">
          <w:rPr>
            <w:rFonts w:ascii="Times New Roman" w:eastAsia="Source Han Sans CN Regular" w:hAnsi="Times New Roman" w:cs="Times New Roman"/>
            <w:color w:val="0000FF"/>
            <w:sz w:val="24"/>
            <w:szCs w:val="24"/>
            <w:u w:val="single"/>
            <w:lang w:val="bg-BG" w:eastAsia="zh-CN" w:bidi="hi-IN"/>
          </w:rPr>
          <w:t>bg</w:t>
        </w:r>
      </w:hyperlink>
      <w:hyperlink r:id="rId194">
        <w:r w:rsidRPr="00610B1B">
          <w:rPr>
            <w:rFonts w:ascii="Times New Roman" w:eastAsia="Source Han Sans CN Regular" w:hAnsi="Times New Roman" w:cs="Times New Roman"/>
            <w:color w:val="0000FF"/>
            <w:sz w:val="24"/>
            <w:szCs w:val="24"/>
            <w:u w:val="single"/>
            <w:lang w:val="bg-BG" w:eastAsia="zh-CN" w:bidi="hi-IN"/>
          </w:rPr>
          <w:t>/</w:t>
        </w:r>
      </w:hyperlink>
      <w:hyperlink r:id="rId195">
        <w:r w:rsidRPr="00610B1B">
          <w:rPr>
            <w:rFonts w:ascii="Times New Roman" w:eastAsia="Source Han Sans CN Regular" w:hAnsi="Times New Roman" w:cs="Times New Roman"/>
            <w:color w:val="0000FF"/>
            <w:sz w:val="24"/>
            <w:szCs w:val="24"/>
            <w:u w:val="single"/>
            <w:lang w:val="bg-BG" w:eastAsia="zh-CN" w:bidi="hi-IN"/>
          </w:rPr>
          <w:t>bg</w:t>
        </w:r>
      </w:hyperlink>
      <w:hyperlink r:id="rId196">
        <w:r w:rsidRPr="00610B1B">
          <w:rPr>
            <w:rFonts w:ascii="Times New Roman" w:eastAsia="Source Han Sans CN Regular" w:hAnsi="Times New Roman" w:cs="Times New Roman"/>
            <w:color w:val="0000FF"/>
            <w:sz w:val="24"/>
            <w:szCs w:val="24"/>
            <w:u w:val="single"/>
            <w:lang w:val="bg-BG" w:eastAsia="zh-CN" w:bidi="hi-IN"/>
          </w:rPr>
          <w:t>/</w:t>
        </w:r>
      </w:hyperlink>
      <w:hyperlink r:id="rId197">
        <w:r w:rsidRPr="00610B1B">
          <w:rPr>
            <w:rFonts w:ascii="Times New Roman" w:eastAsia="Source Han Sans CN Regular" w:hAnsi="Times New Roman" w:cs="Times New Roman"/>
            <w:color w:val="0000FF"/>
            <w:sz w:val="24"/>
            <w:szCs w:val="24"/>
            <w:u w:val="single"/>
            <w:lang w:val="bg-BG" w:eastAsia="zh-CN" w:bidi="hi-IN"/>
          </w:rPr>
          <w:t>bio</w:t>
        </w:r>
      </w:hyperlink>
      <w:hyperlink r:id="rId198">
        <w:r w:rsidRPr="00610B1B">
          <w:rPr>
            <w:rFonts w:ascii="Times New Roman" w:eastAsia="Source Han Sans CN Regular" w:hAnsi="Times New Roman" w:cs="Times New Roman"/>
            <w:color w:val="0000FF"/>
            <w:sz w:val="24"/>
            <w:szCs w:val="24"/>
            <w:u w:val="single"/>
            <w:lang w:val="bg-BG" w:eastAsia="zh-CN" w:bidi="hi-IN"/>
          </w:rPr>
          <w:t>/</w:t>
        </w:r>
      </w:hyperlink>
      <w:hyperlink r:id="rId199">
        <w:r w:rsidRPr="00610B1B">
          <w:rPr>
            <w:rFonts w:ascii="Times New Roman" w:eastAsia="Source Han Sans CN Regular" w:hAnsi="Times New Roman" w:cs="Times New Roman"/>
            <w:color w:val="0000FF"/>
            <w:sz w:val="24"/>
            <w:szCs w:val="24"/>
            <w:u w:val="single"/>
            <w:lang w:val="bg-BG" w:eastAsia="zh-CN" w:bidi="hi-IN"/>
          </w:rPr>
          <w:t>opos</w:t>
        </w:r>
      </w:hyperlink>
      <w:hyperlink r:id="rId200">
        <w:r w:rsidRPr="00610B1B">
          <w:rPr>
            <w:rFonts w:ascii="Times New Roman" w:eastAsia="Source Han Sans CN Regular" w:hAnsi="Times New Roman" w:cs="Times New Roman"/>
            <w:color w:val="0000FF"/>
            <w:sz w:val="24"/>
            <w:szCs w:val="24"/>
            <w:u w:val="single"/>
            <w:lang w:val="bg-BG" w:eastAsia="zh-CN" w:bidi="hi-IN"/>
          </w:rPr>
          <w:t>/</w:t>
        </w:r>
      </w:hyperlink>
      <w:hyperlink r:id="rId201">
        <w:r w:rsidRPr="00610B1B">
          <w:rPr>
            <w:rFonts w:ascii="Times New Roman" w:eastAsia="Source Han Sans CN Regular" w:hAnsi="Times New Roman" w:cs="Times New Roman"/>
            <w:color w:val="0000FF"/>
            <w:sz w:val="24"/>
            <w:szCs w:val="24"/>
            <w:u w:val="single"/>
            <w:lang w:val="bg-BG" w:eastAsia="zh-CN" w:bidi="hi-IN"/>
          </w:rPr>
          <w:t>activities</w:t>
        </w:r>
      </w:hyperlink>
      <w:hyperlink r:id="rId202">
        <w:r w:rsidRPr="00610B1B">
          <w:rPr>
            <w:rFonts w:ascii="Times New Roman" w:eastAsia="Source Han Sans CN Regular" w:hAnsi="Times New Roman" w:cs="Times New Roman"/>
            <w:color w:val="0000FF"/>
            <w:sz w:val="24"/>
            <w:szCs w:val="24"/>
            <w:u w:val="single"/>
            <w:lang w:val="bg-BG" w:eastAsia="zh-CN" w:bidi="hi-IN"/>
          </w:rPr>
          <w:t>-</w:t>
        </w:r>
      </w:hyperlink>
      <w:hyperlink r:id="rId203">
        <w:r w:rsidRPr="00610B1B">
          <w:rPr>
            <w:rFonts w:ascii="Times New Roman" w:eastAsia="Source Han Sans CN Regular" w:hAnsi="Times New Roman" w:cs="Times New Roman"/>
            <w:color w:val="0000FF"/>
            <w:sz w:val="24"/>
            <w:szCs w:val="24"/>
            <w:u w:val="single"/>
            <w:lang w:val="bg-BG" w:eastAsia="zh-CN" w:bidi="hi-IN"/>
          </w:rPr>
          <w:t>results</w:t>
        </w:r>
      </w:hyperlink>
      <w:hyperlink r:id="rId204">
        <w:r w:rsidRPr="00610B1B">
          <w:rPr>
            <w:rFonts w:ascii="Times New Roman" w:eastAsia="Source Han Sans CN Regular" w:hAnsi="Times New Roman" w:cs="Times New Roman"/>
            <w:color w:val="0000FF"/>
            <w:sz w:val="24"/>
            <w:szCs w:val="24"/>
            <w:u w:val="single"/>
            <w:lang w:val="bg-BG" w:eastAsia="zh-CN" w:bidi="hi-IN"/>
          </w:rPr>
          <w:t>/</w:t>
        </w:r>
      </w:hyperlink>
      <w:hyperlink r:id="rId205">
        <w:r w:rsidRPr="00610B1B">
          <w:rPr>
            <w:rFonts w:ascii="Times New Roman" w:eastAsia="Source Han Sans CN Regular" w:hAnsi="Times New Roman" w:cs="Times New Roman"/>
            <w:color w:val="0000FF"/>
            <w:sz w:val="24"/>
            <w:szCs w:val="24"/>
            <w:u w:val="single"/>
            <w:lang w:val="bg-BG" w:eastAsia="zh-CN" w:bidi="hi-IN"/>
          </w:rPr>
          <w:t>CS_DD</w:t>
        </w:r>
      </w:hyperlink>
      <w:hyperlink r:id="rId206">
        <w:r w:rsidRPr="00610B1B">
          <w:rPr>
            <w:rFonts w:ascii="Times New Roman" w:eastAsia="Source Han Sans CN Regular" w:hAnsi="Times New Roman" w:cs="Times New Roman"/>
            <w:color w:val="0000FF"/>
            <w:sz w:val="24"/>
            <w:szCs w:val="24"/>
            <w:u w:val="single"/>
            <w:lang w:val="bg-BG" w:eastAsia="zh-CN" w:bidi="hi-IN"/>
          </w:rPr>
          <w:t>.</w:t>
        </w:r>
      </w:hyperlink>
      <w:hyperlink r:id="rId207">
        <w:r w:rsidRPr="00610B1B">
          <w:rPr>
            <w:rFonts w:ascii="Times New Roman" w:eastAsia="Source Han Sans CN Regular" w:hAnsi="Times New Roman" w:cs="Times New Roman"/>
            <w:color w:val="0000FF"/>
            <w:sz w:val="24"/>
            <w:szCs w:val="24"/>
            <w:u w:val="single"/>
            <w:lang w:val="bg-BG" w:eastAsia="zh-CN" w:bidi="hi-IN"/>
          </w:rPr>
          <w:t>pdf</w:t>
        </w:r>
      </w:hyperlink>
      <w:r w:rsidR="00D66FE0" w:rsidRPr="00610B1B">
        <w:rPr>
          <w:rFonts w:ascii="Times New Roman" w:eastAsia="Source Han Sans CN Regular" w:hAnsi="Times New Roman" w:cs="Times New Roman"/>
          <w:sz w:val="24"/>
          <w:szCs w:val="24"/>
          <w:lang w:val="bg-BG" w:eastAsia="zh-CN" w:bidi="hi-IN"/>
        </w:rPr>
        <w:t xml:space="preserve"> </w:t>
      </w:r>
    </w:p>
    <w:p w14:paraId="25B16EF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Дерелиев, П., 2000. Теория на оперативното изкуство на Военноморските сили, Варна</w:t>
      </w:r>
    </w:p>
    <w:p w14:paraId="22FA561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Дерелиев, П., 2000. Участие на ВМС на РБ в контрола на НМП, Варна, 2000 г.</w:t>
      </w:r>
    </w:p>
    <w:p w14:paraId="78C4925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Димитров, Л. 2003. Геоморфоложка характеристика на шелфа. В Плитко залягащи газонаситени утайки и газопроявления на българския континентален шелф. Научен фонд на Институт по Океанология – БАН;</w:t>
      </w:r>
    </w:p>
    <w:p w14:paraId="282E9DA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Димитров, Л., Керемедчиев, Ст., Дончев, В., 2013. Бентал. В Тодорова, В., Сн. Мончева (ред.) Първоначална оценка на състоянието на морската околна среда, съгласно чл. 8 от НООСМВ, Научен фонд на Институт по Океанология „Фритьоф Нансен”-БАН, гр. Варна, с. 76-164;</w:t>
      </w:r>
    </w:p>
    <w:p w14:paraId="1F62A9F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Димитров, Н. и колектив. 2018. Функционално зониране на националните морски пространства за създаване на информационна система за управление на крайбрежната зона. ВВМУ, Варна;</w:t>
      </w:r>
    </w:p>
    <w:p w14:paraId="271F5F9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Димитров, П., 1979. Особености в състава и разпределението на дънните наслаги от черноморския шелф между носовете Калиакра и Емине. Списание Океанология, част 5, С., БАН, 1979, с. 22-33;</w:t>
      </w:r>
    </w:p>
    <w:p w14:paraId="79A21AA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Димитрова-Конаклиева, С., 2000. Флора на морските водорасли в България. Pensoft, София-Москва.</w:t>
      </w:r>
    </w:p>
    <w:p w14:paraId="5AE5AF3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Дончев, Ст. 1959. Принос към изучаването на прелета и презимуването на някои птици в България. Известия Зоологически институт с музей, 8: 161-168.</w:t>
      </w:r>
    </w:p>
    <w:p w14:paraId="387ED6EC" w14:textId="3570960B"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Дончев, Ст. 1963. Нови данни върху прелета, презимуването и разпространението на някои птици в България.</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Известия Зоологически институт с музей, 14: 111-125.</w:t>
      </w:r>
    </w:p>
    <w:p w14:paraId="7507F9B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Дончев, Ст. 1967. Принос към опазване на водоплаващите птици в България. Известия Зоологически институт с музей,, 23: 79-94.</w:t>
      </w:r>
    </w:p>
    <w:p w14:paraId="4E02F2F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Дончев, Ст. 1980. Миграции на птиците по българското Черноморско крайбрежие. Екология, 7: 68-83;</w:t>
      </w:r>
    </w:p>
    <w:p w14:paraId="622FA45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Драгоев, Ив., 2016 Брифинг за описание на Център за интегрирано управление и мониторинг на бреговата зона, Варна;</w:t>
      </w:r>
    </w:p>
    <w:p w14:paraId="58C0FA7E" w14:textId="061CDD81" w:rsidR="00BE57CC" w:rsidRPr="00610B1B" w:rsidRDefault="00BE57CC" w:rsidP="00AD38A7">
      <w:pPr>
        <w:widowControl w:val="0"/>
        <w:numPr>
          <w:ilvl w:val="0"/>
          <w:numId w:val="98"/>
        </w:numPr>
        <w:spacing w:after="120"/>
        <w:ind w:left="426" w:right="-448"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Желев, В. 2006. Геоложки</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феномени - Силистар. Геология и минерални ресурси, 5,</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стр. 2-9</w:t>
      </w:r>
    </w:p>
    <w:p w14:paraId="7E569FE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Иванов, А.И., 2017. Обработка и анализ на мареографни измервания за мониторинг нивото на Черно море. Автореферат на дисертация за присъждане на научно-образователнатата степен „доктор“, НИГГГ – БАН, 68 стр.</w:t>
      </w:r>
    </w:p>
    <w:p w14:paraId="5C40F226" w14:textId="76AB8DD1"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Икономически доклад на сектора на аквакултурата в ЕС (STECF-18-19) 1.10.19 Fisheries,EC </w:t>
      </w:r>
    </w:p>
    <w:p w14:paraId="4296939D" w14:textId="7C63C0E4"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Йонин, А., Пырличев, Д., Маловицкий, Я., Юркевич, М., Крыстев, Т., 1979. Основные особенности геоморфологии дна. В Геология и гидрология западной части Черного моря, С., БАН, Научен фонд на Институт по Океанология „Фритьоф Нансен” - БАН, гр. Варна, с</w:t>
      </w:r>
      <w:r w:rsidR="00AD38A7"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44-59;</w:t>
      </w:r>
    </w:p>
    <w:p w14:paraId="25A9D8E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Кабаивански, Я. 1954. Делфинът, черноморската акула и мидата като източник на суровини за хранителната индустрия и други, София, 57 стр.</w:t>
      </w:r>
    </w:p>
    <w:p w14:paraId="7FF230B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Канев, Д. 1960. Морфология на Медноридското черноморско крайбрежие. Год. на Софийски университет. БГГ факултет, 1 III, 3, География. Изд. Наука и изкуство. С., 28-35.</w:t>
      </w:r>
    </w:p>
    <w:p w14:paraId="0942C0EF" w14:textId="3ED3DFBE"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Керемедчиев, С. Д., Трифонова, Е. В. 2003. Классификация типов профилей пляжа болгарского побережья Черного моря. </w:t>
      </w:r>
      <w:hyperlink r:id="rId208" w:history="1">
        <w:r w:rsidRPr="00610B1B">
          <w:rPr>
            <w:rFonts w:ascii="Times New Roman" w:eastAsia="Source Han Sans CN Regular" w:hAnsi="Times New Roman" w:cs="Times New Roman"/>
            <w:color w:val="0000FF"/>
            <w:sz w:val="24"/>
            <w:szCs w:val="24"/>
            <w:u w:val="single"/>
            <w:lang w:val="bg-BG" w:eastAsia="zh-CN" w:bidi="hi-IN"/>
          </w:rPr>
          <w:t>http://www.io-bas.bg/downloads/Ocean_V4_12.pdf</w:t>
        </w:r>
      </w:hyperlink>
      <w:r w:rsidR="00D66FE0" w:rsidRPr="00610B1B">
        <w:rPr>
          <w:rFonts w:ascii="Times New Roman" w:eastAsia="Source Han Sans CN Regular" w:hAnsi="Times New Roman" w:cs="Times New Roman"/>
          <w:sz w:val="24"/>
          <w:szCs w:val="24"/>
          <w:lang w:val="bg-BG" w:eastAsia="zh-CN" w:bidi="hi-IN"/>
        </w:rPr>
        <w:t xml:space="preserve"> </w:t>
      </w:r>
    </w:p>
    <w:p w14:paraId="60F04100" w14:textId="784A8156"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2001 Морфохидрографски анализ на бреговата зона на Българското Черноморско крайбрежие. В Трудове на Институт</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по океанология, т. 3, В, БАН, с. 57-64</w:t>
      </w:r>
    </w:p>
    <w:p w14:paraId="7BFA955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2005. Морфоструктурни и геодинамични предпоставки за съвременното морфоложко развитие на Българското черноморско крайбрежие. Трудове на И-та по океанология, 5, 181-208;</w:t>
      </w:r>
    </w:p>
    <w:p w14:paraId="573FD324" w14:textId="7EF67272"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2000. Морфохидрографски анализ на Българското Черноморско крайбрежие.</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В Сборник доклади от Международна научна сесия „50 години Геологически институт на Българска академия на науките“, София, с. 90-98.</w:t>
      </w:r>
    </w:p>
    <w:p w14:paraId="4693F04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2002. Морфоложки особености на терасния комплекс в бреговата зона на Българското Черноморско крайбрежие. В Проблеми на географията, 1-2, с. 121-133;</w:t>
      </w:r>
    </w:p>
    <w:p w14:paraId="3474E83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2004. Геоморфоложки анализ на бреговата зона на Авренското крайбрежие. В Проблеми на географията, 3-4, БАН, С., с. 126-134;</w:t>
      </w:r>
    </w:p>
    <w:p w14:paraId="03FCA64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Керемедчиев, Ст., Станчева, М. 2007. Оценка на геоморфодинамичната брегова активност на Българския Черноморски сектор. Проблеми на Географията, София, кн.1-2., 35-45 с.</w:t>
      </w:r>
    </w:p>
    <w:p w14:paraId="0E848D2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Чернева, Ж., 2001. Развитие на терасния комплекс в бреговата зона на Българското Черноморско крайбрежие. В Трудове на Института по океанология, 3, с. 65-76</w:t>
      </w:r>
    </w:p>
    <w:p w14:paraId="0E28A97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Керемедчиев, Ст., Чернева, Ж., 2003. Развитие на терасния комплекс в бреговата зона на Българското Черноморско крайбрежие. В Трудове на Института по океанология, 3, с. 65-76</w:t>
      </w:r>
    </w:p>
    <w:p w14:paraId="48FA74A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Климатичен справочник за НР България, том 2, С., БАН, 1979.</w:t>
      </w:r>
    </w:p>
    <w:p w14:paraId="4B5A018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Климатичен справочник за НР България, том 3, С., БАН, 1983.</w:t>
      </w:r>
    </w:p>
    <w:p w14:paraId="56F8C612" w14:textId="0F88AA35"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Клисарова, Д., Петрова-Павлова, Е., Стойков, С., Михнева, В., Герджиков, Д., Церкова, Ф., &amp; Вълчев, С. 2016б. Oценка на запаса на калкан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iCs/>
          <w:sz w:val="24"/>
          <w:szCs w:val="24"/>
          <w:lang w:val="bg-BG" w:eastAsia="zh-CN" w:bidi="hi-IN"/>
        </w:rPr>
        <w:t>Scophthalums maximus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в българските води на Черно море през пролетния сезон на 2016</w:t>
      </w:r>
      <w:r w:rsidR="00644CC8"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 xml:space="preserve">г. </w:t>
      </w:r>
      <w:hyperlink r:id="rId209">
        <w:r w:rsidRPr="00610B1B">
          <w:rPr>
            <w:rStyle w:val="Hyperlink"/>
            <w:rFonts w:ascii="Times New Roman" w:hAnsi="Times New Roman" w:cs="Times New Roman"/>
            <w:sz w:val="24"/>
            <w:szCs w:val="24"/>
            <w:lang w:val="bg-BG"/>
          </w:rPr>
          <w:t>http</w:t>
        </w:r>
      </w:hyperlink>
      <w:hyperlink r:id="rId210">
        <w:r w:rsidRPr="00610B1B">
          <w:rPr>
            <w:rStyle w:val="Hyperlink"/>
            <w:rFonts w:ascii="Times New Roman" w:hAnsi="Times New Roman" w:cs="Times New Roman"/>
            <w:sz w:val="24"/>
            <w:szCs w:val="24"/>
            <w:lang w:val="bg-BG"/>
          </w:rPr>
          <w:t>://</w:t>
        </w:r>
      </w:hyperlink>
      <w:hyperlink r:id="rId211">
        <w:r w:rsidRPr="00610B1B">
          <w:rPr>
            <w:rStyle w:val="Hyperlink"/>
            <w:rFonts w:ascii="Times New Roman" w:hAnsi="Times New Roman" w:cs="Times New Roman"/>
            <w:sz w:val="24"/>
            <w:szCs w:val="24"/>
            <w:lang w:val="bg-BG"/>
          </w:rPr>
          <w:t>iara</w:t>
        </w:r>
      </w:hyperlink>
      <w:hyperlink r:id="rId212">
        <w:r w:rsidRPr="00610B1B">
          <w:rPr>
            <w:rStyle w:val="Hyperlink"/>
            <w:rFonts w:ascii="Times New Roman" w:hAnsi="Times New Roman" w:cs="Times New Roman"/>
            <w:sz w:val="24"/>
            <w:szCs w:val="24"/>
            <w:lang w:val="bg-BG"/>
          </w:rPr>
          <w:t>.</w:t>
        </w:r>
      </w:hyperlink>
      <w:hyperlink r:id="rId213">
        <w:r w:rsidRPr="00610B1B">
          <w:rPr>
            <w:rStyle w:val="Hyperlink"/>
            <w:rFonts w:ascii="Times New Roman" w:hAnsi="Times New Roman" w:cs="Times New Roman"/>
            <w:sz w:val="24"/>
            <w:szCs w:val="24"/>
            <w:lang w:val="bg-BG"/>
          </w:rPr>
          <w:t>government</w:t>
        </w:r>
      </w:hyperlink>
      <w:hyperlink r:id="rId214">
        <w:r w:rsidRPr="00610B1B">
          <w:rPr>
            <w:rStyle w:val="Hyperlink"/>
            <w:rFonts w:ascii="Times New Roman" w:hAnsi="Times New Roman" w:cs="Times New Roman"/>
            <w:sz w:val="24"/>
            <w:szCs w:val="24"/>
            <w:lang w:val="bg-BG"/>
          </w:rPr>
          <w:t>.</w:t>
        </w:r>
      </w:hyperlink>
      <w:hyperlink r:id="rId215">
        <w:r w:rsidRPr="00610B1B">
          <w:rPr>
            <w:rStyle w:val="Hyperlink"/>
            <w:rFonts w:ascii="Times New Roman" w:hAnsi="Times New Roman" w:cs="Times New Roman"/>
            <w:sz w:val="24"/>
            <w:szCs w:val="24"/>
            <w:lang w:val="bg-BG"/>
          </w:rPr>
          <w:t>bg</w:t>
        </w:r>
      </w:hyperlink>
      <w:hyperlink r:id="rId216">
        <w:r w:rsidRPr="00610B1B">
          <w:rPr>
            <w:rStyle w:val="Hyperlink"/>
            <w:rFonts w:ascii="Times New Roman" w:hAnsi="Times New Roman" w:cs="Times New Roman"/>
            <w:sz w:val="24"/>
            <w:szCs w:val="24"/>
            <w:lang w:val="bg-BG"/>
          </w:rPr>
          <w:t>/</w:t>
        </w:r>
      </w:hyperlink>
      <w:hyperlink r:id="rId217">
        <w:r w:rsidRPr="00610B1B">
          <w:rPr>
            <w:rStyle w:val="Hyperlink"/>
            <w:rFonts w:ascii="Times New Roman" w:hAnsi="Times New Roman" w:cs="Times New Roman"/>
            <w:sz w:val="24"/>
            <w:szCs w:val="24"/>
            <w:lang w:val="bg-BG"/>
          </w:rPr>
          <w:t>wp</w:t>
        </w:r>
      </w:hyperlink>
      <w:hyperlink r:id="rId218">
        <w:r w:rsidRPr="00610B1B">
          <w:rPr>
            <w:rStyle w:val="Hyperlink"/>
            <w:rFonts w:ascii="Times New Roman" w:hAnsi="Times New Roman" w:cs="Times New Roman"/>
            <w:sz w:val="24"/>
            <w:szCs w:val="24"/>
            <w:lang w:val="bg-BG"/>
          </w:rPr>
          <w:t>-</w:t>
        </w:r>
      </w:hyperlink>
      <w:hyperlink r:id="rId219">
        <w:r w:rsidRPr="00610B1B">
          <w:rPr>
            <w:rStyle w:val="Hyperlink"/>
            <w:rFonts w:ascii="Times New Roman" w:hAnsi="Times New Roman" w:cs="Times New Roman"/>
            <w:sz w:val="24"/>
            <w:szCs w:val="24"/>
            <w:lang w:val="bg-BG"/>
          </w:rPr>
          <w:t>content</w:t>
        </w:r>
      </w:hyperlink>
      <w:hyperlink r:id="rId220">
        <w:r w:rsidRPr="00610B1B">
          <w:rPr>
            <w:rStyle w:val="Hyperlink"/>
            <w:rFonts w:ascii="Times New Roman" w:hAnsi="Times New Roman" w:cs="Times New Roman"/>
            <w:sz w:val="24"/>
            <w:szCs w:val="24"/>
            <w:lang w:val="bg-BG"/>
          </w:rPr>
          <w:t>/</w:t>
        </w:r>
      </w:hyperlink>
      <w:hyperlink r:id="rId221">
        <w:r w:rsidRPr="00610B1B">
          <w:rPr>
            <w:rStyle w:val="Hyperlink"/>
            <w:rFonts w:ascii="Times New Roman" w:hAnsi="Times New Roman" w:cs="Times New Roman"/>
            <w:sz w:val="24"/>
            <w:szCs w:val="24"/>
            <w:lang w:val="bg-BG"/>
          </w:rPr>
          <w:t>uploads</w:t>
        </w:r>
      </w:hyperlink>
      <w:hyperlink r:id="rId222">
        <w:r w:rsidRPr="00610B1B">
          <w:rPr>
            <w:rStyle w:val="Hyperlink"/>
            <w:rFonts w:ascii="Times New Roman" w:hAnsi="Times New Roman" w:cs="Times New Roman"/>
            <w:sz w:val="24"/>
            <w:szCs w:val="24"/>
            <w:lang w:val="bg-BG"/>
          </w:rPr>
          <w:t>/2017/10/</w:t>
        </w:r>
      </w:hyperlink>
      <w:hyperlink r:id="rId223">
        <w:r w:rsidRPr="00610B1B">
          <w:rPr>
            <w:rStyle w:val="Hyperlink"/>
            <w:rFonts w:ascii="Times New Roman" w:hAnsi="Times New Roman" w:cs="Times New Roman"/>
            <w:sz w:val="24"/>
            <w:szCs w:val="24"/>
            <w:lang w:val="bg-BG"/>
          </w:rPr>
          <w:t>Bulgarian_National</w:t>
        </w:r>
      </w:hyperlink>
      <w:hyperlink r:id="rId224">
        <w:r w:rsidRPr="00610B1B">
          <w:rPr>
            <w:rStyle w:val="Hyperlink"/>
            <w:rFonts w:ascii="Times New Roman" w:hAnsi="Times New Roman" w:cs="Times New Roman"/>
            <w:sz w:val="24"/>
            <w:szCs w:val="24"/>
            <w:lang w:val="bg-BG"/>
          </w:rPr>
          <w:t>-</w:t>
        </w:r>
      </w:hyperlink>
      <w:hyperlink r:id="rId225">
        <w:r w:rsidRPr="00610B1B">
          <w:rPr>
            <w:rStyle w:val="Hyperlink"/>
            <w:rFonts w:ascii="Times New Roman" w:hAnsi="Times New Roman" w:cs="Times New Roman"/>
            <w:sz w:val="24"/>
            <w:szCs w:val="24"/>
            <w:lang w:val="bg-BG"/>
          </w:rPr>
          <w:t>Bottom</w:t>
        </w:r>
      </w:hyperlink>
      <w:hyperlink r:id="rId226">
        <w:r w:rsidRPr="00610B1B">
          <w:rPr>
            <w:rStyle w:val="Hyperlink"/>
            <w:rFonts w:ascii="Times New Roman" w:hAnsi="Times New Roman" w:cs="Times New Roman"/>
            <w:sz w:val="24"/>
            <w:szCs w:val="24"/>
            <w:lang w:val="bg-BG"/>
          </w:rPr>
          <w:t>-</w:t>
        </w:r>
      </w:hyperlink>
      <w:hyperlink r:id="rId227">
        <w:r w:rsidRPr="00610B1B">
          <w:rPr>
            <w:rStyle w:val="Hyperlink"/>
            <w:rFonts w:ascii="Times New Roman" w:hAnsi="Times New Roman" w:cs="Times New Roman"/>
            <w:sz w:val="24"/>
            <w:szCs w:val="24"/>
            <w:lang w:val="bg-BG"/>
          </w:rPr>
          <w:t>Trawl</w:t>
        </w:r>
      </w:hyperlink>
      <w:hyperlink r:id="rId228">
        <w:r w:rsidRPr="00610B1B">
          <w:rPr>
            <w:rStyle w:val="Hyperlink"/>
            <w:rFonts w:ascii="Times New Roman" w:hAnsi="Times New Roman" w:cs="Times New Roman"/>
            <w:sz w:val="24"/>
            <w:szCs w:val="24"/>
            <w:lang w:val="bg-BG"/>
          </w:rPr>
          <w:t>-</w:t>
        </w:r>
      </w:hyperlink>
      <w:hyperlink r:id="rId229">
        <w:r w:rsidRPr="00610B1B">
          <w:rPr>
            <w:rStyle w:val="Hyperlink"/>
            <w:rFonts w:ascii="Times New Roman" w:hAnsi="Times New Roman" w:cs="Times New Roman"/>
            <w:sz w:val="24"/>
            <w:szCs w:val="24"/>
            <w:lang w:val="bg-BG"/>
          </w:rPr>
          <w:t>Survey</w:t>
        </w:r>
      </w:hyperlink>
      <w:hyperlink r:id="rId230">
        <w:r w:rsidRPr="00610B1B">
          <w:rPr>
            <w:rStyle w:val="Hyperlink"/>
            <w:rFonts w:ascii="Times New Roman" w:hAnsi="Times New Roman" w:cs="Times New Roman"/>
            <w:sz w:val="24"/>
            <w:szCs w:val="24"/>
            <w:lang w:val="bg-BG"/>
          </w:rPr>
          <w:t>-</w:t>
        </w:r>
      </w:hyperlink>
      <w:hyperlink r:id="rId231">
        <w:r w:rsidRPr="00610B1B">
          <w:rPr>
            <w:rStyle w:val="Hyperlink"/>
            <w:rFonts w:ascii="Times New Roman" w:hAnsi="Times New Roman" w:cs="Times New Roman"/>
            <w:sz w:val="24"/>
            <w:szCs w:val="24"/>
            <w:lang w:val="bg-BG"/>
          </w:rPr>
          <w:t>Spring</w:t>
        </w:r>
      </w:hyperlink>
      <w:hyperlink r:id="rId232">
        <w:r w:rsidRPr="00610B1B">
          <w:rPr>
            <w:rStyle w:val="Hyperlink"/>
            <w:rFonts w:ascii="Times New Roman" w:hAnsi="Times New Roman" w:cs="Times New Roman"/>
            <w:sz w:val="24"/>
            <w:szCs w:val="24"/>
            <w:lang w:val="bg-BG"/>
          </w:rPr>
          <w:t>-2016</w:t>
        </w:r>
      </w:hyperlink>
      <w:hyperlink r:id="rId233">
        <w:r w:rsidRPr="00610B1B">
          <w:rPr>
            <w:rStyle w:val="Hyperlink"/>
            <w:rFonts w:ascii="Times New Roman" w:hAnsi="Times New Roman" w:cs="Times New Roman"/>
            <w:sz w:val="24"/>
            <w:szCs w:val="24"/>
            <w:lang w:val="bg-BG"/>
          </w:rPr>
          <w:t>_Turbot_BG</w:t>
        </w:r>
      </w:hyperlink>
      <w:hyperlink r:id="rId234">
        <w:r w:rsidRPr="00610B1B">
          <w:rPr>
            <w:rStyle w:val="Hyperlink"/>
            <w:rFonts w:ascii="Times New Roman" w:hAnsi="Times New Roman" w:cs="Times New Roman"/>
            <w:sz w:val="24"/>
            <w:szCs w:val="24"/>
            <w:lang w:val="bg-BG"/>
          </w:rPr>
          <w:t>.</w:t>
        </w:r>
      </w:hyperlink>
      <w:hyperlink r:id="rId235">
        <w:r w:rsidRPr="00610B1B">
          <w:rPr>
            <w:rStyle w:val="Hyperlink"/>
            <w:rFonts w:ascii="Times New Roman" w:hAnsi="Times New Roman" w:cs="Times New Roman"/>
            <w:sz w:val="24"/>
            <w:szCs w:val="24"/>
            <w:lang w:val="bg-BG"/>
          </w:rPr>
          <w:t>pdf</w:t>
        </w:r>
      </w:hyperlink>
      <w:r w:rsidR="00D66FE0" w:rsidRPr="00610B1B">
        <w:rPr>
          <w:rFonts w:ascii="Times New Roman" w:eastAsia="Source Han Sans CN Regular" w:hAnsi="Times New Roman" w:cs="Times New Roman"/>
          <w:sz w:val="24"/>
          <w:szCs w:val="24"/>
          <w:lang w:val="bg-BG" w:eastAsia="zh-CN" w:bidi="hi-IN"/>
        </w:rPr>
        <w:t xml:space="preserve"> </w:t>
      </w:r>
    </w:p>
    <w:p w14:paraId="20D38552" w14:textId="08F677F8"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Клисарова, Д., Петрова-Павлова, Е., Стойков, С., Михнева, В., Герджиков, Д., Церкова, Ф., &amp; Вълчев, С., 2016а. Oценка на запаса на калкан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iCs/>
          <w:sz w:val="24"/>
          <w:szCs w:val="24"/>
          <w:lang w:val="bg-BG" w:eastAsia="zh-CN" w:bidi="hi-IN"/>
        </w:rPr>
        <w:t>Scophthalums maximus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в българските води на Черно море през есенно-зимния сезон на 2015</w:t>
      </w:r>
      <w:r w:rsidR="00644CC8"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 xml:space="preserve">г. </w:t>
      </w:r>
      <w:hyperlink r:id="rId236" w:history="1">
        <w:r w:rsidR="00AD38A7" w:rsidRPr="00610B1B">
          <w:rPr>
            <w:rStyle w:val="Hyperlink"/>
            <w:rFonts w:ascii="Times New Roman" w:eastAsia="Source Han Sans CN Regular" w:hAnsi="Times New Roman" w:cs="Times New Roman"/>
            <w:sz w:val="24"/>
            <w:szCs w:val="24"/>
            <w:lang w:val="bg-BG" w:eastAsia="zh-CN" w:bidi="hi-IN"/>
          </w:rPr>
          <w:t>http://iara.government.bg/wp-content/uploads/2017/10/Bulgarian_National-Bottom-Trawl-Survey-2015_TURBOT_BG.pdf</w:t>
        </w:r>
      </w:hyperlink>
      <w:r w:rsidR="00AD38A7" w:rsidRPr="00610B1B">
        <w:rPr>
          <w:rFonts w:ascii="Times New Roman" w:eastAsia="Source Han Sans CN Regular" w:hAnsi="Times New Roman" w:cs="Times New Roman"/>
          <w:sz w:val="24"/>
          <w:szCs w:val="24"/>
          <w:lang w:val="bg-BG" w:eastAsia="zh-CN" w:bidi="hi-IN"/>
        </w:rPr>
        <w:t xml:space="preserve"> </w:t>
      </w:r>
    </w:p>
    <w:p w14:paraId="6DAE5A07" w14:textId="726507DC"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Клисарова, Д., Петрова-Павлова, Е., Стойков, С., Михнева, В., Герджиков, Д., Церкова, Ф., &amp; Вълчев, С., 2017. Oценка на запаса на калкан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iCs/>
          <w:sz w:val="24"/>
          <w:szCs w:val="24"/>
          <w:lang w:val="bg-BG" w:eastAsia="zh-CN" w:bidi="hi-IN"/>
        </w:rPr>
        <w:t>Scophthalums maximus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в българските води на Черно море през есенния сезон на 2016</w:t>
      </w:r>
      <w:r w:rsidR="00644CC8"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 xml:space="preserve">г. </w:t>
      </w:r>
      <w:hyperlink r:id="rId237" w:history="1">
        <w:r w:rsidR="00AD38A7" w:rsidRPr="00610B1B">
          <w:rPr>
            <w:rStyle w:val="Hyperlink"/>
            <w:rFonts w:ascii="Times New Roman" w:eastAsia="Source Han Sans CN Regular" w:hAnsi="Times New Roman" w:cs="Times New Roman"/>
            <w:sz w:val="24"/>
            <w:szCs w:val="24"/>
            <w:lang w:val="bg-BG" w:eastAsia="zh-CN" w:bidi="hi-IN"/>
          </w:rPr>
          <w:t>http://iara.government.bg/wp-content/uploads/2017/10/Bulgarian-National-Bottom-Trawl-Survey-autumn_2016_Turbot_BG.pdf</w:t>
        </w:r>
      </w:hyperlink>
      <w:r w:rsidR="00AD38A7" w:rsidRPr="00610B1B">
        <w:rPr>
          <w:rFonts w:ascii="Times New Roman" w:eastAsia="Source Han Sans CN Regular" w:hAnsi="Times New Roman" w:cs="Times New Roman"/>
          <w:sz w:val="24"/>
          <w:szCs w:val="24"/>
          <w:lang w:val="bg-BG" w:eastAsia="zh-CN" w:bidi="hi-IN"/>
        </w:rPr>
        <w:t xml:space="preserve"> </w:t>
      </w:r>
    </w:p>
    <w:p w14:paraId="54C0A41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Кожухаров, Е., Димитров, Л., Христова, Р., Дончева, В., 2010. Обяснителна записка към геоложка карта на българския сектор от акваторията на Черно море в мащаб 1:500 000, МОСВ</w:t>
      </w:r>
    </w:p>
    <w:p w14:paraId="7D63252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Колев, К., Управление на морската сигурност, Стено, Варна, 2016 г.</w:t>
      </w:r>
    </w:p>
    <w:p w14:paraId="5F95F2A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Костичкова, Р.К., З.К. Белберов, Е.В. Трифонова, Д.И. Грудева, 2001. Максимални морски нива в Бургаския залив. Трудове на Института по океанология, т.3, стр. 3-12;</w:t>
      </w:r>
    </w:p>
    <w:p w14:paraId="168A0F30" w14:textId="764EA491"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Коцев и кол., 2014. Анализ и картографиране на чуствителността на Българската чернморска крайбрежна зона, с.216;</w:t>
      </w:r>
    </w:p>
    <w:p w14:paraId="4CA1A025" w14:textId="09323EFD" w:rsidR="00AD38A7" w:rsidRPr="00610B1B" w:rsidRDefault="00BE57CC" w:rsidP="009D4F3B">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Коцев, И., 2014. Структура, динамика и райониране на ландшафтите в Черноморската крайбрежна зона между нос Калиакра и нос Емине. Дисертация за придобиване на образователна и научна степен „Доктор“, Научен фонд на Институт по Океанология „Фритьоф Нансен”-БАН, гр. Варна, с. 303;</w:t>
      </w:r>
    </w:p>
    <w:p w14:paraId="39AB7049" w14:textId="67A73332"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Кръстев, Т., 1993. Структурно-геоморфоложко развитие на континенталната окрайнина на Българския сектор на Черно море. Автореферат на дисертация за д-р на географските науки, Научен фонд на Институт по Океанология „Фритьоф Нансен”-БАН, гр. Варна, с. 64</w:t>
      </w:r>
    </w:p>
    <w:p w14:paraId="00FF853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Крыстев, Т., Волокитина, Л., Пырличев, Д., Мирлин, Ев., 1984. Структурно-</w:t>
      </w:r>
      <w:r w:rsidRPr="00610B1B">
        <w:rPr>
          <w:rFonts w:ascii="Times New Roman" w:eastAsia="Source Han Sans CN Regular" w:hAnsi="Times New Roman" w:cs="Times New Roman"/>
          <w:sz w:val="24"/>
          <w:szCs w:val="24"/>
          <w:lang w:val="bg-BG" w:eastAsia="zh-CN" w:bidi="hi-IN"/>
        </w:rPr>
        <w:lastRenderedPageBreak/>
        <w:t>геоморфологическое строение дна. В Нефтегазо - генетические исследования Болгарского сектора Черного моря, Болгарской академии наук, София, с. 46-54</w:t>
      </w:r>
    </w:p>
    <w:p w14:paraId="65A6BA5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Крыстев, Т., Михова, E., 1990. Релеф и тектоника на българския шелф. В Крыстев, Т. (ред.). Геологическая эволюция западной части Черноморской котловины в неоген-четвертичное время, БАН, София, с. 392-431</w:t>
      </w:r>
    </w:p>
    <w:p w14:paraId="4847854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Кънева-Абаджиева, В., Маринов, Т.М., 1960. Разпределение на зообентоса пред Българското черноморско крайбрежие. Трудове На ЦНИИРР 3, 117–166.</w:t>
      </w:r>
    </w:p>
    <w:p w14:paraId="7ACFF84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Кънева-Абаджиева, В., Маринов, Т.М., 1967. Разпределение на черната морска мида и състояние на нашия мидолов. Известия На НИОРС 8, 71–79.</w:t>
      </w:r>
    </w:p>
    <w:p w14:paraId="1774008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Лилиенберг, А. 1966. Опит за морфоложко райониране и типове бряг на Българското Черноморско крайбрежие. В Изв. Бълг. Геогр. Д-во., XI (XVI), с. 23-45</w:t>
      </w:r>
    </w:p>
    <w:p w14:paraId="5844FAF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Лимонов, А., Калинин, В., Кръстев, Т., Старовойтов, А. 1980. А предложении Восточной Стара планинь в Черном море. В Геолого-геофизичиские исследования болгорского сектора Черного моря, БАН, 59-65.</w:t>
      </w:r>
    </w:p>
    <w:p w14:paraId="695C608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Люцканова, С. Морската политика на България в променящата се среда на сигурност в Черноморския регион, дисертация за получаване на образователна и научна степен “Доктор” . ВВМУ. Варна. 2015 г.</w:t>
      </w:r>
    </w:p>
    <w:p w14:paraId="17EFAE2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Мавродиева, В, Слабакова, Н., Дончева, В. 2018. Пелагични местообитания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Дескриптор 1 и 4 Хранителни мрежи</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Фитопланктонни индикатори за оценка на пелагичните местообитания. В: Доклад анализ на състоянието на морската околна среда - 2018 г.. Институт по океанология-БАН. с. 61-84;</w:t>
      </w:r>
    </w:p>
    <w:p w14:paraId="60F8CDD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Маринов, Т., 1990. Зообентосът от българския сектор на Черно море. Издателство на Българската академия на науките, София.</w:t>
      </w:r>
    </w:p>
    <w:p w14:paraId="43FE3389" w14:textId="06B68F04"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bCs/>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Маринова, 2017. Подводен шум. В: „Проучвания на състоянието на морската околна среда и подобряване на програмите за мониторинг, разработени съгласно РДМС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ISMEIMP</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с. 266 </w:t>
      </w:r>
      <w:hyperlink r:id="rId238">
        <w:r w:rsidRPr="00610B1B">
          <w:rPr>
            <w:rFonts w:ascii="Times New Roman" w:eastAsia="Source Han Sans CN Regular" w:hAnsi="Times New Roman" w:cs="Times New Roman"/>
            <w:color w:val="0000FF"/>
            <w:sz w:val="24"/>
            <w:szCs w:val="24"/>
            <w:u w:val="single"/>
            <w:lang w:val="bg-BG" w:eastAsia="zh-CN" w:bidi="hi-IN"/>
          </w:rPr>
          <w:t>https</w:t>
        </w:r>
      </w:hyperlink>
      <w:hyperlink r:id="rId239">
        <w:r w:rsidRPr="00610B1B">
          <w:rPr>
            <w:rFonts w:ascii="Times New Roman" w:eastAsia="Source Han Sans CN Regular" w:hAnsi="Times New Roman" w:cs="Times New Roman"/>
            <w:color w:val="0000FF"/>
            <w:sz w:val="24"/>
            <w:szCs w:val="24"/>
            <w:u w:val="single"/>
            <w:lang w:val="bg-BG" w:eastAsia="zh-CN" w:bidi="hi-IN"/>
          </w:rPr>
          <w:t>://</w:t>
        </w:r>
      </w:hyperlink>
      <w:hyperlink r:id="rId240">
        <w:r w:rsidRPr="00610B1B">
          <w:rPr>
            <w:rFonts w:ascii="Times New Roman" w:eastAsia="Source Han Sans CN Regular" w:hAnsi="Times New Roman" w:cs="Times New Roman"/>
            <w:color w:val="0000FF"/>
            <w:sz w:val="24"/>
            <w:szCs w:val="24"/>
            <w:u w:val="single"/>
            <w:lang w:val="bg-BG" w:eastAsia="zh-CN" w:bidi="hi-IN"/>
          </w:rPr>
          <w:t>www</w:t>
        </w:r>
      </w:hyperlink>
      <w:hyperlink r:id="rId241">
        <w:r w:rsidRPr="00610B1B">
          <w:rPr>
            <w:rFonts w:ascii="Times New Roman" w:eastAsia="Source Han Sans CN Regular" w:hAnsi="Times New Roman" w:cs="Times New Roman"/>
            <w:color w:val="0000FF"/>
            <w:sz w:val="24"/>
            <w:szCs w:val="24"/>
            <w:u w:val="single"/>
            <w:lang w:val="bg-BG" w:eastAsia="zh-CN" w:bidi="hi-IN"/>
          </w:rPr>
          <w:t>.</w:t>
        </w:r>
      </w:hyperlink>
      <w:hyperlink r:id="rId242">
        <w:r w:rsidRPr="00610B1B">
          <w:rPr>
            <w:rFonts w:ascii="Times New Roman" w:eastAsia="Source Han Sans CN Regular" w:hAnsi="Times New Roman" w:cs="Times New Roman"/>
            <w:color w:val="0000FF"/>
            <w:sz w:val="24"/>
            <w:szCs w:val="24"/>
            <w:u w:val="single"/>
            <w:lang w:val="bg-BG" w:eastAsia="zh-CN" w:bidi="hi-IN"/>
          </w:rPr>
          <w:t>bsbd</w:t>
        </w:r>
      </w:hyperlink>
      <w:hyperlink r:id="rId243">
        <w:r w:rsidRPr="00610B1B">
          <w:rPr>
            <w:rFonts w:ascii="Times New Roman" w:eastAsia="Source Han Sans CN Regular" w:hAnsi="Times New Roman" w:cs="Times New Roman"/>
            <w:color w:val="0000FF"/>
            <w:sz w:val="24"/>
            <w:szCs w:val="24"/>
            <w:u w:val="single"/>
            <w:lang w:val="bg-BG" w:eastAsia="zh-CN" w:bidi="hi-IN"/>
          </w:rPr>
          <w:t>.</w:t>
        </w:r>
      </w:hyperlink>
      <w:hyperlink r:id="rId244">
        <w:r w:rsidRPr="00610B1B">
          <w:rPr>
            <w:rFonts w:ascii="Times New Roman" w:eastAsia="Source Han Sans CN Regular" w:hAnsi="Times New Roman" w:cs="Times New Roman"/>
            <w:color w:val="0000FF"/>
            <w:sz w:val="24"/>
            <w:szCs w:val="24"/>
            <w:u w:val="single"/>
            <w:lang w:val="bg-BG" w:eastAsia="zh-CN" w:bidi="hi-IN"/>
          </w:rPr>
          <w:t>org</w:t>
        </w:r>
      </w:hyperlink>
      <w:hyperlink r:id="rId245">
        <w:r w:rsidRPr="00610B1B">
          <w:rPr>
            <w:rFonts w:ascii="Times New Roman" w:eastAsia="Source Han Sans CN Regular" w:hAnsi="Times New Roman" w:cs="Times New Roman"/>
            <w:color w:val="0000FF"/>
            <w:sz w:val="24"/>
            <w:szCs w:val="24"/>
            <w:u w:val="single"/>
            <w:lang w:val="bg-BG" w:eastAsia="zh-CN" w:bidi="hi-IN"/>
          </w:rPr>
          <w:t>/</w:t>
        </w:r>
      </w:hyperlink>
      <w:hyperlink r:id="rId246">
        <w:r w:rsidRPr="00610B1B">
          <w:rPr>
            <w:rFonts w:ascii="Times New Roman" w:eastAsia="Source Han Sans CN Regular" w:hAnsi="Times New Roman" w:cs="Times New Roman"/>
            <w:color w:val="0000FF"/>
            <w:sz w:val="24"/>
            <w:szCs w:val="24"/>
            <w:u w:val="single"/>
            <w:lang w:val="bg-BG" w:eastAsia="zh-CN" w:bidi="hi-IN"/>
          </w:rPr>
          <w:t>UserFiles</w:t>
        </w:r>
      </w:hyperlink>
      <w:hyperlink r:id="rId247">
        <w:r w:rsidRPr="00610B1B">
          <w:rPr>
            <w:rFonts w:ascii="Times New Roman" w:eastAsia="Source Han Sans CN Regular" w:hAnsi="Times New Roman" w:cs="Times New Roman"/>
            <w:color w:val="0000FF"/>
            <w:sz w:val="24"/>
            <w:szCs w:val="24"/>
            <w:u w:val="single"/>
            <w:lang w:val="bg-BG" w:eastAsia="zh-CN" w:bidi="hi-IN"/>
          </w:rPr>
          <w:t>/</w:t>
        </w:r>
      </w:hyperlink>
      <w:hyperlink r:id="rId248">
        <w:r w:rsidRPr="00610B1B">
          <w:rPr>
            <w:rFonts w:ascii="Times New Roman" w:eastAsia="Source Han Sans CN Regular" w:hAnsi="Times New Roman" w:cs="Times New Roman"/>
            <w:color w:val="0000FF"/>
            <w:sz w:val="24"/>
            <w:szCs w:val="24"/>
            <w:u w:val="single"/>
            <w:lang w:val="bg-BG" w:eastAsia="zh-CN" w:bidi="hi-IN"/>
          </w:rPr>
          <w:t>File</w:t>
        </w:r>
      </w:hyperlink>
      <w:hyperlink r:id="rId249">
        <w:r w:rsidRPr="00610B1B">
          <w:rPr>
            <w:rFonts w:ascii="Times New Roman" w:eastAsia="Source Han Sans CN Regular" w:hAnsi="Times New Roman" w:cs="Times New Roman"/>
            <w:color w:val="0000FF"/>
            <w:sz w:val="24"/>
            <w:szCs w:val="24"/>
            <w:u w:val="single"/>
            <w:lang w:val="bg-BG" w:eastAsia="zh-CN" w:bidi="hi-IN"/>
          </w:rPr>
          <w:t>/</w:t>
        </w:r>
      </w:hyperlink>
      <w:hyperlink r:id="rId250">
        <w:r w:rsidRPr="00610B1B">
          <w:rPr>
            <w:rFonts w:ascii="Times New Roman" w:eastAsia="Source Han Sans CN Regular" w:hAnsi="Times New Roman" w:cs="Times New Roman"/>
            <w:color w:val="0000FF"/>
            <w:sz w:val="24"/>
            <w:szCs w:val="24"/>
            <w:u w:val="single"/>
            <w:lang w:val="bg-BG" w:eastAsia="zh-CN" w:bidi="hi-IN"/>
          </w:rPr>
          <w:t>projects</w:t>
        </w:r>
      </w:hyperlink>
      <w:hyperlink r:id="rId251">
        <w:r w:rsidRPr="00610B1B">
          <w:rPr>
            <w:rFonts w:ascii="Times New Roman" w:eastAsia="Source Han Sans CN Regular" w:hAnsi="Times New Roman" w:cs="Times New Roman"/>
            <w:color w:val="0000FF"/>
            <w:sz w:val="24"/>
            <w:szCs w:val="24"/>
            <w:u w:val="single"/>
            <w:lang w:val="bg-BG" w:eastAsia="zh-CN" w:bidi="hi-IN"/>
          </w:rPr>
          <w:t>/</w:t>
        </w:r>
      </w:hyperlink>
      <w:hyperlink r:id="rId252">
        <w:r w:rsidRPr="00610B1B">
          <w:rPr>
            <w:rFonts w:ascii="Times New Roman" w:eastAsia="Source Han Sans CN Regular" w:hAnsi="Times New Roman" w:cs="Times New Roman"/>
            <w:color w:val="0000FF"/>
            <w:sz w:val="24"/>
            <w:szCs w:val="24"/>
            <w:u w:val="single"/>
            <w:lang w:val="bg-BG" w:eastAsia="zh-CN" w:bidi="hi-IN"/>
          </w:rPr>
          <w:t>ISMEIMP</w:t>
        </w:r>
      </w:hyperlink>
      <w:hyperlink r:id="rId253">
        <w:r w:rsidRPr="00610B1B">
          <w:rPr>
            <w:rFonts w:ascii="Times New Roman" w:eastAsia="Source Han Sans CN Regular" w:hAnsi="Times New Roman" w:cs="Times New Roman"/>
            <w:color w:val="0000FF"/>
            <w:sz w:val="24"/>
            <w:szCs w:val="24"/>
            <w:u w:val="single"/>
            <w:lang w:val="bg-BG" w:eastAsia="zh-CN" w:bidi="hi-IN"/>
          </w:rPr>
          <w:t>/</w:t>
        </w:r>
      </w:hyperlink>
      <w:hyperlink r:id="rId254">
        <w:r w:rsidRPr="00610B1B">
          <w:rPr>
            <w:rFonts w:ascii="Times New Roman" w:eastAsia="Source Han Sans CN Regular" w:hAnsi="Times New Roman" w:cs="Times New Roman"/>
            <w:color w:val="0000FF"/>
            <w:sz w:val="24"/>
            <w:szCs w:val="24"/>
            <w:u w:val="single"/>
            <w:lang w:val="bg-BG" w:eastAsia="zh-CN" w:bidi="hi-IN"/>
          </w:rPr>
          <w:t>ISMEIMP</w:t>
        </w:r>
      </w:hyperlink>
      <w:hyperlink r:id="rId255">
        <w:r w:rsidRPr="00610B1B">
          <w:rPr>
            <w:rFonts w:ascii="Times New Roman" w:eastAsia="Source Han Sans CN Regular" w:hAnsi="Times New Roman" w:cs="Times New Roman"/>
            <w:color w:val="0000FF"/>
            <w:sz w:val="24"/>
            <w:szCs w:val="24"/>
            <w:u w:val="single"/>
            <w:lang w:val="bg-BG" w:eastAsia="zh-CN" w:bidi="hi-IN"/>
          </w:rPr>
          <w:t>%20</w:t>
        </w:r>
      </w:hyperlink>
      <w:hyperlink r:id="rId256">
        <w:r w:rsidRPr="00610B1B">
          <w:rPr>
            <w:rFonts w:ascii="Times New Roman" w:eastAsia="Source Han Sans CN Regular" w:hAnsi="Times New Roman" w:cs="Times New Roman"/>
            <w:color w:val="0000FF"/>
            <w:sz w:val="24"/>
            <w:szCs w:val="24"/>
            <w:u w:val="single"/>
            <w:lang w:val="bg-BG" w:eastAsia="zh-CN" w:bidi="hi-IN"/>
          </w:rPr>
          <w:t>Project</w:t>
        </w:r>
      </w:hyperlink>
      <w:hyperlink r:id="rId257">
        <w:r w:rsidRPr="00610B1B">
          <w:rPr>
            <w:rFonts w:ascii="Times New Roman" w:eastAsia="Source Han Sans CN Regular" w:hAnsi="Times New Roman" w:cs="Times New Roman"/>
            <w:color w:val="0000FF"/>
            <w:sz w:val="24"/>
            <w:szCs w:val="24"/>
            <w:u w:val="single"/>
            <w:lang w:val="bg-BG" w:eastAsia="zh-CN" w:bidi="hi-IN"/>
          </w:rPr>
          <w:t>%20</w:t>
        </w:r>
      </w:hyperlink>
      <w:hyperlink r:id="rId258">
        <w:r w:rsidRPr="00610B1B">
          <w:rPr>
            <w:rFonts w:ascii="Times New Roman" w:eastAsia="Source Han Sans CN Regular" w:hAnsi="Times New Roman" w:cs="Times New Roman"/>
            <w:color w:val="0000FF"/>
            <w:sz w:val="24"/>
            <w:szCs w:val="24"/>
            <w:u w:val="single"/>
            <w:lang w:val="bg-BG" w:eastAsia="zh-CN" w:bidi="hi-IN"/>
          </w:rPr>
          <w:t>Final</w:t>
        </w:r>
      </w:hyperlink>
      <w:hyperlink r:id="rId259">
        <w:r w:rsidRPr="00610B1B">
          <w:rPr>
            <w:rFonts w:ascii="Times New Roman" w:eastAsia="Source Han Sans CN Regular" w:hAnsi="Times New Roman" w:cs="Times New Roman"/>
            <w:color w:val="0000FF"/>
            <w:sz w:val="24"/>
            <w:szCs w:val="24"/>
            <w:u w:val="single"/>
            <w:lang w:val="bg-BG" w:eastAsia="zh-CN" w:bidi="hi-IN"/>
          </w:rPr>
          <w:t>%20</w:t>
        </w:r>
      </w:hyperlink>
      <w:hyperlink r:id="rId260">
        <w:r w:rsidRPr="00610B1B">
          <w:rPr>
            <w:rFonts w:ascii="Times New Roman" w:eastAsia="Source Han Sans CN Regular" w:hAnsi="Times New Roman" w:cs="Times New Roman"/>
            <w:color w:val="0000FF"/>
            <w:sz w:val="24"/>
            <w:szCs w:val="24"/>
            <w:u w:val="single"/>
            <w:lang w:val="bg-BG" w:eastAsia="zh-CN" w:bidi="hi-IN"/>
          </w:rPr>
          <w:t>Report</w:t>
        </w:r>
      </w:hyperlink>
      <w:r w:rsidR="00D66FE0" w:rsidRPr="00610B1B">
        <w:rPr>
          <w:rFonts w:ascii="Times New Roman" w:eastAsia="Source Han Sans CN Regular" w:hAnsi="Times New Roman" w:cs="Times New Roman"/>
          <w:sz w:val="24"/>
          <w:szCs w:val="24"/>
          <w:lang w:val="bg-BG" w:eastAsia="zh-CN" w:bidi="hi-IN"/>
        </w:rPr>
        <w:t xml:space="preserve"> </w:t>
      </w:r>
    </w:p>
    <w:p w14:paraId="0A0BD49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Махън, Алфред (Mahan) „Влиянието на морската мощ върху развитието на историята 1660-1783” (The Influence of Sea Power upon History, 1660-1783</w:t>
      </w:r>
    </w:p>
    <w:p w14:paraId="02E7FCE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Медникаров, Боян, Защита на морския суверенитет, Варна, 2008.</w:t>
      </w:r>
    </w:p>
    <w:p w14:paraId="18DCEA8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Мильчакова, Н., Петров, А.Н., 2003. Морфофункциональный анализ многолетних изменений структуры цистозировых фитоценозов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бухта Лапси, Черное море</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Альгология 13, 355–370.</w:t>
      </w:r>
    </w:p>
    <w:p w14:paraId="6E1F0082" w14:textId="249933B8"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Михайлов, К., Делов, В., Гофман, О., Терзийски, Г., &amp; Клисарова, Д.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2015a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Оценка на природозащитно състояние с предложение за референтни стойности на афала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iCs/>
          <w:sz w:val="24"/>
          <w:szCs w:val="24"/>
          <w:lang w:val="bg-BG" w:eastAsia="zh-CN" w:bidi="hi-IN"/>
        </w:rPr>
        <w:t>Tursiops truncatus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t>
      </w:r>
      <w:hyperlink r:id="rId261" w:history="1">
        <w:r w:rsidR="00BF58D9" w:rsidRPr="00610B1B">
          <w:rPr>
            <w:rStyle w:val="Hyperlink"/>
            <w:rFonts w:ascii="Times New Roman" w:eastAsia="Source Han Sans CN Regular" w:hAnsi="Times New Roman" w:cs="Times New Roman"/>
            <w:sz w:val="24"/>
            <w:szCs w:val="24"/>
            <w:lang w:val="bg-BG" w:eastAsia="zh-CN" w:bidi="hi-IN"/>
          </w:rPr>
          <w:t>http://eea.government.bg/bg/bio/opos/activities-results/CS_TT.pdf</w:t>
        </w:r>
      </w:hyperlink>
      <w:r w:rsidR="00BF58D9" w:rsidRPr="00610B1B">
        <w:rPr>
          <w:rFonts w:ascii="Times New Roman" w:eastAsia="Source Han Sans CN Regular" w:hAnsi="Times New Roman" w:cs="Times New Roman"/>
          <w:sz w:val="24"/>
          <w:szCs w:val="24"/>
          <w:lang w:val="bg-BG" w:eastAsia="zh-CN" w:bidi="hi-IN"/>
        </w:rPr>
        <w:t xml:space="preserve"> </w:t>
      </w:r>
    </w:p>
    <w:p w14:paraId="3663718A" w14:textId="5D226AAB"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Михайлов, К., Делов, В., Гофман, О., Терзийски, Г., &amp; Клисарова, Д.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2015б</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Оценка на </w:t>
      </w:r>
      <w:r w:rsidRPr="00610B1B">
        <w:rPr>
          <w:rFonts w:ascii="Times New Roman" w:eastAsia="Source Han Sans CN Regular" w:hAnsi="Times New Roman" w:cs="Times New Roman"/>
          <w:sz w:val="24"/>
          <w:szCs w:val="24"/>
          <w:lang w:val="bg-BG" w:eastAsia="zh-CN" w:bidi="hi-IN"/>
        </w:rPr>
        <w:lastRenderedPageBreak/>
        <w:t xml:space="preserve">природозащитното състояние с предложение за референтни стойности на черноморски обикновен делфин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i/>
          <w:iCs/>
          <w:sz w:val="24"/>
          <w:szCs w:val="24"/>
          <w:lang w:val="bg-BG" w:eastAsia="zh-CN" w:bidi="hi-IN"/>
        </w:rPr>
        <w:t>Delphinus delphis ponticus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t>
      </w:r>
      <w:hyperlink r:id="rId262">
        <w:r w:rsidRPr="00610B1B">
          <w:rPr>
            <w:rFonts w:ascii="Times New Roman" w:eastAsia="Source Han Sans CN Regular" w:hAnsi="Times New Roman" w:cs="Times New Roman"/>
            <w:color w:val="0000FF"/>
            <w:sz w:val="24"/>
            <w:szCs w:val="24"/>
            <w:u w:val="single"/>
            <w:lang w:val="bg-BG" w:eastAsia="zh-CN" w:bidi="hi-IN"/>
          </w:rPr>
          <w:t>http</w:t>
        </w:r>
      </w:hyperlink>
      <w:hyperlink r:id="rId263">
        <w:r w:rsidRPr="00610B1B">
          <w:rPr>
            <w:rFonts w:ascii="Times New Roman" w:eastAsia="Source Han Sans CN Regular" w:hAnsi="Times New Roman" w:cs="Times New Roman"/>
            <w:color w:val="0000FF"/>
            <w:sz w:val="24"/>
            <w:szCs w:val="24"/>
            <w:u w:val="single"/>
            <w:lang w:val="bg-BG" w:eastAsia="zh-CN" w:bidi="hi-IN"/>
          </w:rPr>
          <w:t>://</w:t>
        </w:r>
      </w:hyperlink>
      <w:hyperlink r:id="rId264">
        <w:r w:rsidRPr="00610B1B">
          <w:rPr>
            <w:rFonts w:ascii="Times New Roman" w:eastAsia="Source Han Sans CN Regular" w:hAnsi="Times New Roman" w:cs="Times New Roman"/>
            <w:color w:val="0000FF"/>
            <w:sz w:val="24"/>
            <w:szCs w:val="24"/>
            <w:u w:val="single"/>
            <w:lang w:val="bg-BG" w:eastAsia="zh-CN" w:bidi="hi-IN"/>
          </w:rPr>
          <w:t>eea</w:t>
        </w:r>
      </w:hyperlink>
      <w:hyperlink r:id="rId265">
        <w:r w:rsidRPr="00610B1B">
          <w:rPr>
            <w:rFonts w:ascii="Times New Roman" w:eastAsia="Source Han Sans CN Regular" w:hAnsi="Times New Roman" w:cs="Times New Roman"/>
            <w:color w:val="0000FF"/>
            <w:sz w:val="24"/>
            <w:szCs w:val="24"/>
            <w:u w:val="single"/>
            <w:lang w:val="bg-BG" w:eastAsia="zh-CN" w:bidi="hi-IN"/>
          </w:rPr>
          <w:t>.</w:t>
        </w:r>
      </w:hyperlink>
      <w:hyperlink r:id="rId266">
        <w:r w:rsidRPr="00610B1B">
          <w:rPr>
            <w:rFonts w:ascii="Times New Roman" w:eastAsia="Source Han Sans CN Regular" w:hAnsi="Times New Roman" w:cs="Times New Roman"/>
            <w:color w:val="0000FF"/>
            <w:sz w:val="24"/>
            <w:szCs w:val="24"/>
            <w:u w:val="single"/>
            <w:lang w:val="bg-BG" w:eastAsia="zh-CN" w:bidi="hi-IN"/>
          </w:rPr>
          <w:t>government</w:t>
        </w:r>
      </w:hyperlink>
      <w:hyperlink r:id="rId267">
        <w:r w:rsidRPr="00610B1B">
          <w:rPr>
            <w:rFonts w:ascii="Times New Roman" w:eastAsia="Source Han Sans CN Regular" w:hAnsi="Times New Roman" w:cs="Times New Roman"/>
            <w:color w:val="0000FF"/>
            <w:sz w:val="24"/>
            <w:szCs w:val="24"/>
            <w:u w:val="single"/>
            <w:lang w:val="bg-BG" w:eastAsia="zh-CN" w:bidi="hi-IN"/>
          </w:rPr>
          <w:t>.</w:t>
        </w:r>
      </w:hyperlink>
      <w:hyperlink r:id="rId268">
        <w:r w:rsidRPr="00610B1B">
          <w:rPr>
            <w:rFonts w:ascii="Times New Roman" w:eastAsia="Source Han Sans CN Regular" w:hAnsi="Times New Roman" w:cs="Times New Roman"/>
            <w:color w:val="0000FF"/>
            <w:sz w:val="24"/>
            <w:szCs w:val="24"/>
            <w:u w:val="single"/>
            <w:lang w:val="bg-BG" w:eastAsia="zh-CN" w:bidi="hi-IN"/>
          </w:rPr>
          <w:t>bg</w:t>
        </w:r>
      </w:hyperlink>
      <w:hyperlink r:id="rId269">
        <w:r w:rsidRPr="00610B1B">
          <w:rPr>
            <w:rFonts w:ascii="Times New Roman" w:eastAsia="Source Han Sans CN Regular" w:hAnsi="Times New Roman" w:cs="Times New Roman"/>
            <w:color w:val="0000FF"/>
            <w:sz w:val="24"/>
            <w:szCs w:val="24"/>
            <w:u w:val="single"/>
            <w:lang w:val="bg-BG" w:eastAsia="zh-CN" w:bidi="hi-IN"/>
          </w:rPr>
          <w:t>/</w:t>
        </w:r>
      </w:hyperlink>
      <w:hyperlink r:id="rId270">
        <w:r w:rsidRPr="00610B1B">
          <w:rPr>
            <w:rFonts w:ascii="Times New Roman" w:eastAsia="Source Han Sans CN Regular" w:hAnsi="Times New Roman" w:cs="Times New Roman"/>
            <w:color w:val="0000FF"/>
            <w:sz w:val="24"/>
            <w:szCs w:val="24"/>
            <w:u w:val="single"/>
            <w:lang w:val="bg-BG" w:eastAsia="zh-CN" w:bidi="hi-IN"/>
          </w:rPr>
          <w:t>bg</w:t>
        </w:r>
      </w:hyperlink>
      <w:hyperlink r:id="rId271">
        <w:r w:rsidRPr="00610B1B">
          <w:rPr>
            <w:rFonts w:ascii="Times New Roman" w:eastAsia="Source Han Sans CN Regular" w:hAnsi="Times New Roman" w:cs="Times New Roman"/>
            <w:color w:val="0000FF"/>
            <w:sz w:val="24"/>
            <w:szCs w:val="24"/>
            <w:u w:val="single"/>
            <w:lang w:val="bg-BG" w:eastAsia="zh-CN" w:bidi="hi-IN"/>
          </w:rPr>
          <w:t>/</w:t>
        </w:r>
      </w:hyperlink>
      <w:hyperlink r:id="rId272">
        <w:r w:rsidRPr="00610B1B">
          <w:rPr>
            <w:rFonts w:ascii="Times New Roman" w:eastAsia="Source Han Sans CN Regular" w:hAnsi="Times New Roman" w:cs="Times New Roman"/>
            <w:color w:val="0000FF"/>
            <w:sz w:val="24"/>
            <w:szCs w:val="24"/>
            <w:u w:val="single"/>
            <w:lang w:val="bg-BG" w:eastAsia="zh-CN" w:bidi="hi-IN"/>
          </w:rPr>
          <w:t>bio</w:t>
        </w:r>
      </w:hyperlink>
      <w:hyperlink r:id="rId273">
        <w:r w:rsidRPr="00610B1B">
          <w:rPr>
            <w:rFonts w:ascii="Times New Roman" w:eastAsia="Source Han Sans CN Regular" w:hAnsi="Times New Roman" w:cs="Times New Roman"/>
            <w:color w:val="0000FF"/>
            <w:sz w:val="24"/>
            <w:szCs w:val="24"/>
            <w:u w:val="single"/>
            <w:lang w:val="bg-BG" w:eastAsia="zh-CN" w:bidi="hi-IN"/>
          </w:rPr>
          <w:t>/</w:t>
        </w:r>
      </w:hyperlink>
      <w:hyperlink r:id="rId274">
        <w:r w:rsidRPr="00610B1B">
          <w:rPr>
            <w:rFonts w:ascii="Times New Roman" w:eastAsia="Source Han Sans CN Regular" w:hAnsi="Times New Roman" w:cs="Times New Roman"/>
            <w:color w:val="0000FF"/>
            <w:sz w:val="24"/>
            <w:szCs w:val="24"/>
            <w:u w:val="single"/>
            <w:lang w:val="bg-BG" w:eastAsia="zh-CN" w:bidi="hi-IN"/>
          </w:rPr>
          <w:t>opos</w:t>
        </w:r>
      </w:hyperlink>
      <w:hyperlink r:id="rId275">
        <w:r w:rsidRPr="00610B1B">
          <w:rPr>
            <w:rFonts w:ascii="Times New Roman" w:eastAsia="Source Han Sans CN Regular" w:hAnsi="Times New Roman" w:cs="Times New Roman"/>
            <w:color w:val="0000FF"/>
            <w:sz w:val="24"/>
            <w:szCs w:val="24"/>
            <w:u w:val="single"/>
            <w:lang w:val="bg-BG" w:eastAsia="zh-CN" w:bidi="hi-IN"/>
          </w:rPr>
          <w:t>/</w:t>
        </w:r>
      </w:hyperlink>
      <w:hyperlink r:id="rId276">
        <w:r w:rsidRPr="00610B1B">
          <w:rPr>
            <w:rFonts w:ascii="Times New Roman" w:eastAsia="Source Han Sans CN Regular" w:hAnsi="Times New Roman" w:cs="Times New Roman"/>
            <w:color w:val="0000FF"/>
            <w:sz w:val="24"/>
            <w:szCs w:val="24"/>
            <w:u w:val="single"/>
            <w:lang w:val="bg-BG" w:eastAsia="zh-CN" w:bidi="hi-IN"/>
          </w:rPr>
          <w:t>activities</w:t>
        </w:r>
      </w:hyperlink>
      <w:hyperlink r:id="rId277">
        <w:r w:rsidRPr="00610B1B">
          <w:rPr>
            <w:rFonts w:ascii="Times New Roman" w:eastAsia="Source Han Sans CN Regular" w:hAnsi="Times New Roman" w:cs="Times New Roman"/>
            <w:color w:val="0000FF"/>
            <w:sz w:val="24"/>
            <w:szCs w:val="24"/>
            <w:u w:val="single"/>
            <w:lang w:val="bg-BG" w:eastAsia="zh-CN" w:bidi="hi-IN"/>
          </w:rPr>
          <w:t>-</w:t>
        </w:r>
      </w:hyperlink>
      <w:hyperlink r:id="rId278">
        <w:r w:rsidRPr="00610B1B">
          <w:rPr>
            <w:rFonts w:ascii="Times New Roman" w:eastAsia="Source Han Sans CN Regular" w:hAnsi="Times New Roman" w:cs="Times New Roman"/>
            <w:color w:val="0000FF"/>
            <w:sz w:val="24"/>
            <w:szCs w:val="24"/>
            <w:u w:val="single"/>
            <w:lang w:val="bg-BG" w:eastAsia="zh-CN" w:bidi="hi-IN"/>
          </w:rPr>
          <w:t>results</w:t>
        </w:r>
      </w:hyperlink>
      <w:hyperlink r:id="rId279">
        <w:r w:rsidRPr="00610B1B">
          <w:rPr>
            <w:rFonts w:ascii="Times New Roman" w:eastAsia="Source Han Sans CN Regular" w:hAnsi="Times New Roman" w:cs="Times New Roman"/>
            <w:color w:val="0000FF"/>
            <w:sz w:val="24"/>
            <w:szCs w:val="24"/>
            <w:u w:val="single"/>
            <w:lang w:val="bg-BG" w:eastAsia="zh-CN" w:bidi="hi-IN"/>
          </w:rPr>
          <w:t>/</w:t>
        </w:r>
      </w:hyperlink>
      <w:hyperlink r:id="rId280">
        <w:r w:rsidRPr="00610B1B">
          <w:rPr>
            <w:rFonts w:ascii="Times New Roman" w:eastAsia="Source Han Sans CN Regular" w:hAnsi="Times New Roman" w:cs="Times New Roman"/>
            <w:color w:val="0000FF"/>
            <w:sz w:val="24"/>
            <w:szCs w:val="24"/>
            <w:u w:val="single"/>
            <w:lang w:val="bg-BG" w:eastAsia="zh-CN" w:bidi="hi-IN"/>
          </w:rPr>
          <w:t>CS_DD</w:t>
        </w:r>
      </w:hyperlink>
      <w:hyperlink r:id="rId281">
        <w:r w:rsidRPr="00610B1B">
          <w:rPr>
            <w:rFonts w:ascii="Times New Roman" w:eastAsia="Source Han Sans CN Regular" w:hAnsi="Times New Roman" w:cs="Times New Roman"/>
            <w:color w:val="0000FF"/>
            <w:sz w:val="24"/>
            <w:szCs w:val="24"/>
            <w:u w:val="single"/>
            <w:lang w:val="bg-BG" w:eastAsia="zh-CN" w:bidi="hi-IN"/>
          </w:rPr>
          <w:t>.</w:t>
        </w:r>
      </w:hyperlink>
      <w:hyperlink r:id="rId282">
        <w:r w:rsidRPr="00610B1B">
          <w:rPr>
            <w:rFonts w:ascii="Times New Roman" w:eastAsia="Source Han Sans CN Regular" w:hAnsi="Times New Roman" w:cs="Times New Roman"/>
            <w:color w:val="0000FF"/>
            <w:sz w:val="24"/>
            <w:szCs w:val="24"/>
            <w:u w:val="single"/>
            <w:lang w:val="bg-BG" w:eastAsia="zh-CN" w:bidi="hi-IN"/>
          </w:rPr>
          <w:t>pdf</w:t>
        </w:r>
      </w:hyperlink>
      <w:r w:rsidR="00D66FE0" w:rsidRPr="00610B1B">
        <w:rPr>
          <w:rFonts w:ascii="Times New Roman" w:eastAsia="Source Han Sans CN Regular" w:hAnsi="Times New Roman" w:cs="Times New Roman"/>
          <w:sz w:val="24"/>
          <w:szCs w:val="24"/>
          <w:lang w:val="bg-BG" w:eastAsia="zh-CN" w:bidi="hi-IN"/>
        </w:rPr>
        <w:t xml:space="preserve"> </w:t>
      </w:r>
    </w:p>
    <w:p w14:paraId="06D071E4" w14:textId="77777777" w:rsidR="00BF58D9" w:rsidRPr="00610B1B" w:rsidRDefault="00BE57CC" w:rsidP="00BF58D9">
      <w:pPr>
        <w:widowControl w:val="0"/>
        <w:numPr>
          <w:ilvl w:val="0"/>
          <w:numId w:val="98"/>
        </w:numPr>
        <w:spacing w:after="0"/>
        <w:ind w:left="425" w:right="-153" w:hanging="425"/>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Михайлов, К., Узунова, С., &amp; Церкова, Ф., 2015. Резултати от изследванията върху изхвърлените по българското крайбрежие китоподобни през периода януари - юни 2015 г. </w:t>
      </w:r>
    </w:p>
    <w:p w14:paraId="20078DC8" w14:textId="0C630302" w:rsidR="00BE57CC" w:rsidRPr="00610B1B" w:rsidRDefault="0055393F" w:rsidP="00BF58D9">
      <w:pPr>
        <w:widowControl w:val="0"/>
        <w:spacing w:after="120"/>
        <w:ind w:left="426" w:right="-589"/>
        <w:jc w:val="both"/>
        <w:rPr>
          <w:rFonts w:ascii="Times New Roman" w:eastAsia="Source Han Sans CN Regular" w:hAnsi="Times New Roman" w:cs="Times New Roman"/>
          <w:sz w:val="24"/>
          <w:szCs w:val="24"/>
          <w:lang w:val="bg-BG" w:eastAsia="zh-CN" w:bidi="hi-IN"/>
        </w:rPr>
      </w:pPr>
      <w:hyperlink r:id="rId283" w:history="1">
        <w:r w:rsidR="00BF58D9" w:rsidRPr="00610B1B">
          <w:rPr>
            <w:rStyle w:val="Hyperlink"/>
            <w:rFonts w:ascii="Times New Roman" w:eastAsia="Source Han Sans CN Regular" w:hAnsi="Times New Roman" w:cs="Times New Roman"/>
            <w:sz w:val="24"/>
            <w:szCs w:val="24"/>
            <w:lang w:val="bg-BG" w:eastAsia="zh-CN" w:bidi="hi-IN"/>
          </w:rPr>
          <w:t>http://eea.government.bg/bg/bio/opos/activities-results/Doklad_Izhvyrleni_na_brega_kitopodobni.pdf</w:t>
        </w:r>
      </w:hyperlink>
    </w:p>
    <w:p w14:paraId="5CD6F28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Михова, Е. 1998. Колебания на морското ниво и палеоекологични условия за развитието на човешкия живот край бреговете на Черно море. В Сб. Брегоукрепване и дълготрайно стабилизиране на склоновете на Черноморското крайбрежие “. С., Акад. издателство „Проф. М. Дринов, 64-6;</w:t>
      </w:r>
    </w:p>
    <w:p w14:paraId="3D23A3E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Мичев, Т., 1984. Екологични проучвания върху разпространението и есенната миграция на реещите се птици в България. НКЦОВОС, БАН, 252;</w:t>
      </w:r>
    </w:p>
    <w:p w14:paraId="1B52990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Мичев, Т., Л. Профиров, И. Ватев, П. Симеонов. 1987. Радарни проучвания върху есенната миграция на пеликани, щъркели и жерави по Българското черноморско крайбрежие. -В: Съвременни постижения на българската зоология, С., БАН, 155-158. </w:t>
      </w:r>
    </w:p>
    <w:p w14:paraId="4AC4598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Мичев, Т., Л. Профиров. 1986. Принос към изучаване на есенната миграция при нереещи птици от разредите Pelecaniformes и Ciconiiformes в района на Бургаския залив. B: Межд. симп. „Роля на влажните зони за спазване на генетичния фонд". Сребърна, 8-12. 10. 1985, С. БАН, 176-185.</w:t>
      </w:r>
    </w:p>
    <w:p w14:paraId="69ACA48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Мичев, Т., П. Симеонов. 1981. Принос към проучването на есенния прелет на някои водолюбиви и грабливи птици при Бургас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13-23.09.1978 г.</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 Екология, БАН, 8: 43-48.</w:t>
      </w:r>
    </w:p>
    <w:p w14:paraId="1F2FD5B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Мончева, С., Слабакова, В, Пенева, Е, Вълчев, Н. 2018. Доклад анализ на състоянието на морската околна среда. Институт по океанология-БАН. 181 с. </w:t>
      </w:r>
    </w:p>
    <w:p w14:paraId="0927643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Мончева, С., Тодорова, В.Р.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2013а. Първоначална оценка на състоянието на морската околна среда, съгласно чл. 8 от РДМС и НООСМВ. БДЧР, Варна.</w:t>
      </w:r>
    </w:p>
    <w:p w14:paraId="473C606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Мончева, С., Тодорова, В.Р.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2013б. Формулиране на добро състояние на морската околна среда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ДСМОС</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Дефиниране на екологични цели за морската околна среда съгласно чл. 9 и 10 от НООСМВ. БДЧР, Варна.</w:t>
      </w:r>
    </w:p>
    <w:p w14:paraId="724C3C9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Нанкинов Д. 2009. Изследвания върху фауната на България. Птици – Aves. Изд. ЕТО, София 2009</w:t>
      </w:r>
    </w:p>
    <w:p w14:paraId="71BE5F6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Нанкинов, Д. 1978. Остров Св. Иван - интересен пункт за орнитологически изследвания. Орнитологичен информационен бюлетин, 4: 20-28;</w:t>
      </w:r>
    </w:p>
    <w:p w14:paraId="2F5DC7F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Нанкинов, Д., А. Даракчиев 1977 - Структура на орнитофауната в Атанасовското езеро - май 1978. НУ “П. Хилендарски“. Научни трудове, 15, 4: 75-96;</w:t>
      </w:r>
    </w:p>
    <w:p w14:paraId="76955F50" w14:textId="45709BDE" w:rsidR="00681162" w:rsidRPr="00610B1B" w:rsidRDefault="00BE57CC" w:rsidP="00727372">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Николов Д. Хр., 1963. Лов и разпределение на делфиновите стада пред българския бряг. Изв. ЦНИРР, Варна, т. 3, 193-198;</w:t>
      </w:r>
    </w:p>
    <w:p w14:paraId="3BC78E6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Панайотова, 2017. Нетърговски видове риби. В: “Проучване на състоянието на морската околна среда и подобряване на програмите за мониторинг, разработени съгласно </w:t>
      </w:r>
      <w:r w:rsidRPr="00610B1B">
        <w:rPr>
          <w:rFonts w:ascii="Times New Roman" w:eastAsia="Source Han Sans CN Regular" w:hAnsi="Times New Roman" w:cs="Times New Roman"/>
          <w:sz w:val="24"/>
          <w:szCs w:val="24"/>
          <w:lang w:val="bg-BG" w:eastAsia="zh-CN" w:bidi="hi-IN"/>
        </w:rPr>
        <w:lastRenderedPageBreak/>
        <w:t xml:space="preserve">РДМС“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Финален доклад по проект ISMEIMP</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Институт по океанология -БАН, с. 99-124. </w:t>
      </w:r>
    </w:p>
    <w:p w14:paraId="71AED25E" w14:textId="4D7711E2" w:rsidR="00BE57CC" w:rsidRPr="00610B1B" w:rsidRDefault="00DB227B"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284" w:history="1">
        <w:r w:rsidR="00BE57CC" w:rsidRPr="00610B1B">
          <w:rPr>
            <w:rFonts w:ascii="Times New Roman" w:eastAsia="Source Han Sans CN Regular" w:hAnsi="Times New Roman" w:cs="Times New Roman"/>
            <w:color w:val="0000FF"/>
            <w:sz w:val="24"/>
            <w:szCs w:val="24"/>
            <w:u w:val="single"/>
            <w:lang w:val="bg-BG" w:eastAsia="zh-CN" w:bidi="hi-IN"/>
          </w:rPr>
          <w:t>https://www.bsbd.org/UserFiles/File/projects/ISMEIMP/ISMEIMP Project Final Report.pdf</w:t>
        </w:r>
      </w:hyperlink>
      <w:r w:rsidR="00BE57CC" w:rsidRPr="00610B1B">
        <w:rPr>
          <w:rFonts w:ascii="Times New Roman" w:eastAsia="Source Han Sans CN Regular" w:hAnsi="Times New Roman" w:cs="Times New Roman"/>
          <w:sz w:val="24"/>
          <w:szCs w:val="24"/>
          <w:lang w:val="bg-BG" w:eastAsia="zh-CN" w:bidi="hi-IN"/>
        </w:rPr>
        <w:t xml:space="preserve"> </w:t>
      </w:r>
    </w:p>
    <w:p w14:paraId="5AC94EE4" w14:textId="1D78E0B3"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Панайотова, М., Бекова, Р., 2018. Анализ и интерпретация на резултатите по Дескриптор 1, 4 – Биоразнообразие – Нетърговски видове риби. В Доклад за анализ на състоянието на морската околна среда – 2018 г., с. 12-45;</w:t>
      </w:r>
    </w:p>
    <w:p w14:paraId="4150EC93"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77E46CA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Панайотова, М., Райков, В., 2013. Функционални групи: Риби. В: Първоначална оценка на състоянието на морската околна среда съгласно чл. 8 от НООСМВ. Варна, Басейнова дирекция Черноморски район, с.189-199.</w:t>
      </w:r>
    </w:p>
    <w:p w14:paraId="112904C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Патев, П. 1930. Бележки и наблюдения по прелета на птиците по нашето Черноморско крайбрежие. Сп. Ловец, 31.</w:t>
      </w:r>
    </w:p>
    <w:p w14:paraId="6DA8420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Патев, П. 1950. Птиците в България, БАН, София, 350 ;</w:t>
      </w:r>
    </w:p>
    <w:p w14:paraId="6AFA895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Пейчев В., Д. Димитров. 2012. Океанология. Варна. Издание Онгъл. ISBN 978-954-8279- 82-6. 476 стр;</w:t>
      </w:r>
    </w:p>
    <w:p w14:paraId="2873DDC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Пейчев, В. 2004. Морфодинамични и литодинамични процеси в бреговата зона. Изд. Славена, Варна, с. 231;</w:t>
      </w:r>
    </w:p>
    <w:p w14:paraId="0010931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Пейчев, В., Димитров, Д., Пейчева, М., 2014. Геодинамични процеси по Българското черноморско крайбрежие. Известие на Съюза на учените, Варна, 3-8 с.;</w:t>
      </w:r>
    </w:p>
    <w:p w14:paraId="16E75A6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Петров, Б., С. Златанов. 1955 - Материали по фауната на птиците в Добруджа - Списание на Научноизследователски институт при Министерство на земеделието, 1.</w:t>
      </w:r>
    </w:p>
    <w:p w14:paraId="4484101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Петров, Г. 2010. Еволюция на карстовата долина Болата – Добруджа. Сб. Научна конф. „География и регионално развитие“, Созопол. С., 2010, 176-195;</w:t>
      </w:r>
    </w:p>
    <w:p w14:paraId="196A0E5B" w14:textId="2DDA45A8"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Петрова,</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А.,</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Х.</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Дабовски,</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С.</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Савов,</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Г.</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Чаталов.</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1992. Геоложка карта на България в М 1:100000 (картен лист Царево, н. Силистар, Малко Търново, Резово). - КГМР, ПГПГК.</w:t>
      </w:r>
    </w:p>
    <w:p w14:paraId="14B56BB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Пешев, Ив. 1967. Принос към изучаване на орнитофауната по Варненското крайбрежие – Известия на Народния музей Варна, 3.</w:t>
      </w:r>
    </w:p>
    <w:p w14:paraId="0EF1F6D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Попов, В. 1966. Бургаската крайбрежна низина и Хисаро-бакаджиски праг. География на България, т. 1.</w:t>
      </w:r>
    </w:p>
    <w:p w14:paraId="73985CA4" w14:textId="3BC967FB"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Попов, Вл., Мишев, К., 1974. Геоморфология на Българското Черноморско крайбрежие и шелф,</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Изд. на Българска Академия на Науките, София, 379 с.</w:t>
      </w:r>
    </w:p>
    <w:p w14:paraId="3726F00C" w14:textId="6F897FE2"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Проданов, Б. 2017 Геоложка основа при картиране на дънни местообитания в Българския континентален шелф пред Авренското крайбрежие. Дисертация за придобиване на образователната и научна степен „Доктор“, Институт по океанолгия – БАН, Варна, 163 с</w:t>
      </w:r>
    </w:p>
    <w:p w14:paraId="36C20BBD" w14:textId="163D762F" w:rsidR="00BE57CC" w:rsidRPr="00610B1B" w:rsidRDefault="00BE57CC" w:rsidP="00DE3A13">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Проданов, Б., Димитров, Л., 2015. Морфо-литоложка характеристика на шелфа пред Авренското крайбрежие. В Годишник на Минно-геоложкия университет „Св. Иван Рилски“, т. 58, Св. I, Геология и геофизика, ISSN 1312-1820, с. 73-78;</w:t>
      </w:r>
    </w:p>
    <w:p w14:paraId="4D4919D1" w14:textId="727C716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Простов, Ал., 1964. Изучаване на орнитофауната в Бургаско. Известия на Зоологическия </w:t>
      </w:r>
      <w:r w:rsidRPr="00610B1B">
        <w:rPr>
          <w:rFonts w:ascii="Times New Roman" w:eastAsia="Source Han Sans CN Regular" w:hAnsi="Times New Roman" w:cs="Times New Roman"/>
          <w:sz w:val="24"/>
          <w:szCs w:val="24"/>
          <w:lang w:val="bg-BG" w:eastAsia="zh-CN" w:bidi="hi-IN"/>
        </w:rPr>
        <w:lastRenderedPageBreak/>
        <w:t>институт с музей, София,</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15:5-68.</w:t>
      </w:r>
    </w:p>
    <w:p w14:paraId="08703DB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Пърличев, Д., Петров, П., 1974. Опит за геоморфоложко райониране на Българския черноморски шелф. В Проблеми на географията в България, т. IV, с. 69-80;</w:t>
      </w:r>
    </w:p>
    <w:p w14:paraId="54FB962D" w14:textId="6BF5E0BE"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Райков, В., Янкова, М., Иванова, П., Стефанова, К., Стефанова, Е., &amp; Траянова, А. 2015. Пелагично трално изследване в българската част на Черно море. </w:t>
      </w:r>
      <w:hyperlink r:id="rId285" w:history="1">
        <w:r w:rsidR="00DB5CC7" w:rsidRPr="00610B1B">
          <w:rPr>
            <w:rStyle w:val="Hyperlink"/>
            <w:rFonts w:ascii="Times New Roman" w:eastAsia="Source Han Sans CN Regular" w:hAnsi="Times New Roman" w:cs="Times New Roman"/>
            <w:sz w:val="24"/>
            <w:szCs w:val="24"/>
            <w:lang w:val="bg-BG" w:eastAsia="zh-CN" w:bidi="hi-IN"/>
          </w:rPr>
          <w:t>http://iara.government.bg/wp-content/uploads/2017/10/Sprat_SURVEY_2015_December_BG.pdf</w:t>
        </w:r>
      </w:hyperlink>
      <w:r w:rsidR="00DB5CC7" w:rsidRPr="00610B1B">
        <w:rPr>
          <w:rFonts w:ascii="Times New Roman" w:eastAsia="Source Han Sans CN Regular" w:hAnsi="Times New Roman" w:cs="Times New Roman"/>
          <w:sz w:val="24"/>
          <w:szCs w:val="24"/>
          <w:lang w:val="bg-BG" w:eastAsia="zh-CN" w:bidi="hi-IN"/>
        </w:rPr>
        <w:t xml:space="preserve"> </w:t>
      </w:r>
    </w:p>
    <w:p w14:paraId="52BD253F" w14:textId="72C7446C"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Райков, В., Янкова, М., Иванова, П., Траянова, А., Михнева, В., Димитров, Д., … Вълчева, Н.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2016</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Пелагично изследване в българската ИИЗ за периода август и декември 2016. </w:t>
      </w:r>
      <w:hyperlink r:id="rId286">
        <w:r w:rsidRPr="00610B1B">
          <w:rPr>
            <w:rStyle w:val="Hyperlink"/>
            <w:rFonts w:ascii="Times New Roman" w:hAnsi="Times New Roman" w:cs="Times New Roman"/>
            <w:lang w:val="bg-BG"/>
          </w:rPr>
          <w:t>http</w:t>
        </w:r>
      </w:hyperlink>
      <w:hyperlink r:id="rId287">
        <w:r w:rsidRPr="00610B1B">
          <w:rPr>
            <w:rStyle w:val="Hyperlink"/>
            <w:rFonts w:ascii="Times New Roman" w:hAnsi="Times New Roman" w:cs="Times New Roman"/>
            <w:lang w:val="bg-BG"/>
          </w:rPr>
          <w:t>://</w:t>
        </w:r>
      </w:hyperlink>
      <w:hyperlink r:id="rId288">
        <w:r w:rsidRPr="00610B1B">
          <w:rPr>
            <w:rStyle w:val="Hyperlink"/>
            <w:rFonts w:ascii="Times New Roman" w:hAnsi="Times New Roman" w:cs="Times New Roman"/>
            <w:lang w:val="bg-BG"/>
          </w:rPr>
          <w:t>iara</w:t>
        </w:r>
      </w:hyperlink>
      <w:hyperlink r:id="rId289">
        <w:r w:rsidRPr="00610B1B">
          <w:rPr>
            <w:rStyle w:val="Hyperlink"/>
            <w:rFonts w:ascii="Times New Roman" w:hAnsi="Times New Roman" w:cs="Times New Roman"/>
            <w:lang w:val="bg-BG"/>
          </w:rPr>
          <w:t>.</w:t>
        </w:r>
      </w:hyperlink>
      <w:hyperlink r:id="rId290">
        <w:r w:rsidRPr="00610B1B">
          <w:rPr>
            <w:rStyle w:val="Hyperlink"/>
            <w:rFonts w:ascii="Times New Roman" w:hAnsi="Times New Roman" w:cs="Times New Roman"/>
            <w:lang w:val="bg-BG"/>
          </w:rPr>
          <w:t>government</w:t>
        </w:r>
      </w:hyperlink>
      <w:hyperlink r:id="rId291">
        <w:r w:rsidRPr="00610B1B">
          <w:rPr>
            <w:rStyle w:val="Hyperlink"/>
            <w:rFonts w:ascii="Times New Roman" w:hAnsi="Times New Roman" w:cs="Times New Roman"/>
            <w:lang w:val="bg-BG"/>
          </w:rPr>
          <w:t>.</w:t>
        </w:r>
      </w:hyperlink>
      <w:hyperlink r:id="rId292">
        <w:r w:rsidRPr="00610B1B">
          <w:rPr>
            <w:rStyle w:val="Hyperlink"/>
            <w:rFonts w:ascii="Times New Roman" w:hAnsi="Times New Roman" w:cs="Times New Roman"/>
            <w:lang w:val="bg-BG"/>
          </w:rPr>
          <w:t>bg</w:t>
        </w:r>
      </w:hyperlink>
      <w:hyperlink r:id="rId293">
        <w:r w:rsidRPr="00610B1B">
          <w:rPr>
            <w:rStyle w:val="Hyperlink"/>
            <w:rFonts w:ascii="Times New Roman" w:hAnsi="Times New Roman" w:cs="Times New Roman"/>
            <w:lang w:val="bg-BG"/>
          </w:rPr>
          <w:t>/</w:t>
        </w:r>
      </w:hyperlink>
      <w:hyperlink r:id="rId294">
        <w:r w:rsidRPr="00610B1B">
          <w:rPr>
            <w:rStyle w:val="Hyperlink"/>
            <w:rFonts w:ascii="Times New Roman" w:hAnsi="Times New Roman" w:cs="Times New Roman"/>
            <w:lang w:val="bg-BG"/>
          </w:rPr>
          <w:t>wp</w:t>
        </w:r>
      </w:hyperlink>
      <w:hyperlink r:id="rId295">
        <w:r w:rsidRPr="00610B1B">
          <w:rPr>
            <w:rStyle w:val="Hyperlink"/>
            <w:rFonts w:ascii="Times New Roman" w:hAnsi="Times New Roman" w:cs="Times New Roman"/>
            <w:lang w:val="bg-BG"/>
          </w:rPr>
          <w:t>-</w:t>
        </w:r>
      </w:hyperlink>
      <w:hyperlink r:id="rId296">
        <w:r w:rsidRPr="00610B1B">
          <w:rPr>
            <w:rStyle w:val="Hyperlink"/>
            <w:rFonts w:ascii="Times New Roman" w:hAnsi="Times New Roman" w:cs="Times New Roman"/>
            <w:lang w:val="bg-BG"/>
          </w:rPr>
          <w:t>content</w:t>
        </w:r>
      </w:hyperlink>
      <w:hyperlink r:id="rId297">
        <w:r w:rsidRPr="00610B1B">
          <w:rPr>
            <w:rStyle w:val="Hyperlink"/>
            <w:rFonts w:ascii="Times New Roman" w:hAnsi="Times New Roman" w:cs="Times New Roman"/>
            <w:lang w:val="bg-BG"/>
          </w:rPr>
          <w:t>/</w:t>
        </w:r>
      </w:hyperlink>
      <w:hyperlink r:id="rId298">
        <w:r w:rsidRPr="00610B1B">
          <w:rPr>
            <w:rStyle w:val="Hyperlink"/>
            <w:rFonts w:ascii="Times New Roman" w:hAnsi="Times New Roman" w:cs="Times New Roman"/>
            <w:lang w:val="bg-BG"/>
          </w:rPr>
          <w:t>uploads</w:t>
        </w:r>
      </w:hyperlink>
      <w:hyperlink r:id="rId299">
        <w:r w:rsidRPr="00610B1B">
          <w:rPr>
            <w:rStyle w:val="Hyperlink"/>
            <w:rFonts w:ascii="Times New Roman" w:hAnsi="Times New Roman" w:cs="Times New Roman"/>
            <w:lang w:val="bg-BG"/>
          </w:rPr>
          <w:t>/2017/10/</w:t>
        </w:r>
      </w:hyperlink>
      <w:hyperlink r:id="rId300">
        <w:r w:rsidRPr="00610B1B">
          <w:rPr>
            <w:rStyle w:val="Hyperlink"/>
            <w:rFonts w:ascii="Times New Roman" w:hAnsi="Times New Roman" w:cs="Times New Roman"/>
            <w:lang w:val="bg-BG"/>
          </w:rPr>
          <w:t>Pelagic_Survey_</w:t>
        </w:r>
      </w:hyperlink>
      <w:hyperlink r:id="rId301">
        <w:r w:rsidRPr="00610B1B">
          <w:rPr>
            <w:rStyle w:val="Hyperlink"/>
            <w:rFonts w:ascii="Times New Roman" w:hAnsi="Times New Roman" w:cs="Times New Roman"/>
            <w:lang w:val="bg-BG"/>
          </w:rPr>
          <w:t>2017</w:t>
        </w:r>
      </w:hyperlink>
      <w:hyperlink r:id="rId302">
        <w:r w:rsidRPr="00610B1B">
          <w:rPr>
            <w:rStyle w:val="Hyperlink"/>
            <w:rFonts w:ascii="Times New Roman" w:hAnsi="Times New Roman" w:cs="Times New Roman"/>
            <w:lang w:val="bg-BG"/>
          </w:rPr>
          <w:t>_IO</w:t>
        </w:r>
      </w:hyperlink>
      <w:hyperlink r:id="rId303">
        <w:r w:rsidRPr="00610B1B">
          <w:rPr>
            <w:rStyle w:val="Hyperlink"/>
            <w:rFonts w:ascii="Times New Roman" w:hAnsi="Times New Roman" w:cs="Times New Roman"/>
            <w:lang w:val="bg-BG"/>
          </w:rPr>
          <w:t>-</w:t>
        </w:r>
      </w:hyperlink>
      <w:hyperlink r:id="rId304">
        <w:r w:rsidRPr="00610B1B">
          <w:rPr>
            <w:rStyle w:val="Hyperlink"/>
            <w:rFonts w:ascii="Times New Roman" w:hAnsi="Times New Roman" w:cs="Times New Roman"/>
            <w:lang w:val="bg-BG"/>
          </w:rPr>
          <w:t>BAS_BG</w:t>
        </w:r>
      </w:hyperlink>
      <w:hyperlink r:id="rId305">
        <w:r w:rsidRPr="00610B1B">
          <w:rPr>
            <w:rStyle w:val="Hyperlink"/>
            <w:rFonts w:ascii="Times New Roman" w:hAnsi="Times New Roman" w:cs="Times New Roman"/>
            <w:lang w:val="bg-BG"/>
          </w:rPr>
          <w:t>.</w:t>
        </w:r>
      </w:hyperlink>
      <w:hyperlink r:id="rId306">
        <w:r w:rsidRPr="00610B1B">
          <w:rPr>
            <w:rStyle w:val="Hyperlink"/>
            <w:rFonts w:ascii="Times New Roman" w:hAnsi="Times New Roman" w:cs="Times New Roman"/>
            <w:lang w:val="bg-BG"/>
          </w:rPr>
          <w:t>pdf</w:t>
        </w:r>
      </w:hyperlink>
      <w:r w:rsidR="00DB5CC7" w:rsidRPr="00610B1B">
        <w:rPr>
          <w:rFonts w:ascii="Times New Roman" w:eastAsia="Source Han Sans CN Regular" w:hAnsi="Times New Roman" w:cs="Times New Roman"/>
          <w:sz w:val="24"/>
          <w:szCs w:val="24"/>
          <w:lang w:val="bg-BG" w:eastAsia="zh-CN" w:bidi="hi-IN"/>
        </w:rPr>
        <w:t xml:space="preserve"> </w:t>
      </w:r>
    </w:p>
    <w:p w14:paraId="3D4AC71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Рождественский, А., 1986. Хидрохимия на българския сектор на Черно море. Издателство на Българската академия на науките, София.</w:t>
      </w:r>
    </w:p>
    <w:p w14:paraId="78C58C95" w14:textId="6F5D6A82"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Стефанова, К., Дончева, В., Стефанова, Е. 2012. Зоопланктон. В: Оценка на екологичното състояние на морските води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Доклад</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с. 142-160. </w:t>
      </w:r>
      <w:hyperlink r:id="rId307">
        <w:r w:rsidRPr="00610B1B">
          <w:rPr>
            <w:rStyle w:val="Hyperlink"/>
            <w:rFonts w:ascii="Times New Roman" w:hAnsi="Times New Roman" w:cs="Times New Roman"/>
            <w:lang w:val="bg-BG"/>
          </w:rPr>
          <w:t>http</w:t>
        </w:r>
      </w:hyperlink>
      <w:hyperlink r:id="rId308">
        <w:r w:rsidRPr="00610B1B">
          <w:rPr>
            <w:rStyle w:val="Hyperlink"/>
            <w:rFonts w:ascii="Times New Roman" w:hAnsi="Times New Roman" w:cs="Times New Roman"/>
            <w:lang w:val="bg-BG"/>
          </w:rPr>
          <w:t>://</w:t>
        </w:r>
      </w:hyperlink>
      <w:hyperlink r:id="rId309">
        <w:r w:rsidRPr="00610B1B">
          <w:rPr>
            <w:rStyle w:val="Hyperlink"/>
            <w:rFonts w:ascii="Times New Roman" w:hAnsi="Times New Roman" w:cs="Times New Roman"/>
            <w:lang w:val="bg-BG"/>
          </w:rPr>
          <w:t>bgodc</w:t>
        </w:r>
      </w:hyperlink>
      <w:hyperlink r:id="rId310">
        <w:r w:rsidRPr="00610B1B">
          <w:rPr>
            <w:rStyle w:val="Hyperlink"/>
            <w:rFonts w:ascii="Times New Roman" w:hAnsi="Times New Roman" w:cs="Times New Roman"/>
            <w:lang w:val="bg-BG"/>
          </w:rPr>
          <w:t>.</w:t>
        </w:r>
      </w:hyperlink>
      <w:hyperlink r:id="rId311">
        <w:r w:rsidRPr="00610B1B">
          <w:rPr>
            <w:rStyle w:val="Hyperlink"/>
            <w:rFonts w:ascii="Times New Roman" w:hAnsi="Times New Roman" w:cs="Times New Roman"/>
            <w:lang w:val="bg-BG"/>
          </w:rPr>
          <w:t>io</w:t>
        </w:r>
      </w:hyperlink>
      <w:hyperlink r:id="rId312">
        <w:r w:rsidRPr="00610B1B">
          <w:rPr>
            <w:rStyle w:val="Hyperlink"/>
            <w:rFonts w:ascii="Times New Roman" w:hAnsi="Times New Roman" w:cs="Times New Roman"/>
            <w:lang w:val="bg-BG"/>
          </w:rPr>
          <w:t>-</w:t>
        </w:r>
      </w:hyperlink>
      <w:hyperlink r:id="rId313">
        <w:r w:rsidRPr="00610B1B">
          <w:rPr>
            <w:rStyle w:val="Hyperlink"/>
            <w:rFonts w:ascii="Times New Roman" w:hAnsi="Times New Roman" w:cs="Times New Roman"/>
            <w:lang w:val="bg-BG"/>
          </w:rPr>
          <w:t>bas</w:t>
        </w:r>
      </w:hyperlink>
      <w:hyperlink r:id="rId314">
        <w:r w:rsidRPr="00610B1B">
          <w:rPr>
            <w:rStyle w:val="Hyperlink"/>
            <w:rFonts w:ascii="Times New Roman" w:hAnsi="Times New Roman" w:cs="Times New Roman"/>
            <w:lang w:val="bg-BG"/>
          </w:rPr>
          <w:t>.</w:t>
        </w:r>
      </w:hyperlink>
      <w:hyperlink r:id="rId315">
        <w:r w:rsidRPr="00610B1B">
          <w:rPr>
            <w:rStyle w:val="Hyperlink"/>
            <w:rFonts w:ascii="Times New Roman" w:hAnsi="Times New Roman" w:cs="Times New Roman"/>
            <w:lang w:val="bg-BG"/>
          </w:rPr>
          <w:t>bg</w:t>
        </w:r>
      </w:hyperlink>
      <w:hyperlink r:id="rId316">
        <w:r w:rsidRPr="00610B1B">
          <w:rPr>
            <w:rStyle w:val="Hyperlink"/>
            <w:rFonts w:ascii="Times New Roman" w:hAnsi="Times New Roman" w:cs="Times New Roman"/>
            <w:lang w:val="bg-BG"/>
          </w:rPr>
          <w:t>/</w:t>
        </w:r>
      </w:hyperlink>
      <w:hyperlink r:id="rId317">
        <w:r w:rsidRPr="00610B1B">
          <w:rPr>
            <w:rStyle w:val="Hyperlink"/>
            <w:rFonts w:ascii="Times New Roman" w:hAnsi="Times New Roman" w:cs="Times New Roman"/>
            <w:lang w:val="bg-BG"/>
          </w:rPr>
          <w:t>documents</w:t>
        </w:r>
      </w:hyperlink>
      <w:hyperlink r:id="rId318">
        <w:r w:rsidRPr="00610B1B">
          <w:rPr>
            <w:rStyle w:val="Hyperlink"/>
            <w:rFonts w:ascii="Times New Roman" w:hAnsi="Times New Roman" w:cs="Times New Roman"/>
            <w:lang w:val="bg-BG"/>
          </w:rPr>
          <w:t>/2012/</w:t>
        </w:r>
      </w:hyperlink>
      <w:hyperlink r:id="rId319">
        <w:r w:rsidRPr="00610B1B">
          <w:rPr>
            <w:rStyle w:val="Hyperlink"/>
            <w:rFonts w:ascii="Times New Roman" w:hAnsi="Times New Roman" w:cs="Times New Roman"/>
            <w:lang w:val="bg-BG"/>
          </w:rPr>
          <w:t>Final</w:t>
        </w:r>
      </w:hyperlink>
      <w:hyperlink r:id="rId320">
        <w:r w:rsidRPr="00610B1B">
          <w:rPr>
            <w:rStyle w:val="Hyperlink"/>
            <w:rFonts w:ascii="Times New Roman" w:hAnsi="Times New Roman" w:cs="Times New Roman"/>
            <w:lang w:val="bg-BG"/>
          </w:rPr>
          <w:t>%20</w:t>
        </w:r>
      </w:hyperlink>
      <w:hyperlink r:id="rId321">
        <w:r w:rsidRPr="00610B1B">
          <w:rPr>
            <w:rStyle w:val="Hyperlink"/>
            <w:rFonts w:ascii="Times New Roman" w:hAnsi="Times New Roman" w:cs="Times New Roman"/>
            <w:lang w:val="bg-BG"/>
          </w:rPr>
          <w:t>reports</w:t>
        </w:r>
      </w:hyperlink>
      <w:hyperlink r:id="rId322">
        <w:r w:rsidRPr="00610B1B">
          <w:rPr>
            <w:rStyle w:val="Hyperlink"/>
            <w:rFonts w:ascii="Times New Roman" w:hAnsi="Times New Roman" w:cs="Times New Roman"/>
            <w:lang w:val="bg-BG"/>
          </w:rPr>
          <w:t>/</w:t>
        </w:r>
      </w:hyperlink>
      <w:hyperlink r:id="rId323">
        <w:r w:rsidRPr="00610B1B">
          <w:rPr>
            <w:rStyle w:val="Hyperlink"/>
            <w:rFonts w:ascii="Times New Roman" w:hAnsi="Times New Roman" w:cs="Times New Roman"/>
            <w:lang w:val="bg-BG"/>
          </w:rPr>
          <w:t>Vol</w:t>
        </w:r>
      </w:hyperlink>
      <w:hyperlink r:id="rId324">
        <w:r w:rsidRPr="00610B1B">
          <w:rPr>
            <w:rStyle w:val="Hyperlink"/>
            <w:rFonts w:ascii="Times New Roman" w:hAnsi="Times New Roman" w:cs="Times New Roman"/>
            <w:lang w:val="bg-BG"/>
          </w:rPr>
          <w:t>%203/</w:t>
        </w:r>
      </w:hyperlink>
      <w:hyperlink r:id="rId325">
        <w:r w:rsidRPr="00610B1B">
          <w:rPr>
            <w:rStyle w:val="Hyperlink"/>
            <w:rFonts w:ascii="Times New Roman" w:hAnsi="Times New Roman" w:cs="Times New Roman"/>
            <w:lang w:val="bg-BG"/>
          </w:rPr>
          <w:t>REPORT</w:t>
        </w:r>
      </w:hyperlink>
      <w:hyperlink r:id="rId326">
        <w:r w:rsidRPr="00610B1B">
          <w:rPr>
            <w:rStyle w:val="Hyperlink"/>
            <w:rFonts w:ascii="Times New Roman" w:hAnsi="Times New Roman" w:cs="Times New Roman"/>
            <w:lang w:val="bg-BG"/>
          </w:rPr>
          <w:t>-</w:t>
        </w:r>
      </w:hyperlink>
      <w:hyperlink r:id="rId327">
        <w:r w:rsidRPr="00610B1B">
          <w:rPr>
            <w:rStyle w:val="Hyperlink"/>
            <w:rFonts w:ascii="Times New Roman" w:hAnsi="Times New Roman" w:cs="Times New Roman"/>
            <w:lang w:val="bg-BG"/>
          </w:rPr>
          <w:t>integrated</w:t>
        </w:r>
      </w:hyperlink>
      <w:hyperlink r:id="rId328">
        <w:r w:rsidRPr="00610B1B">
          <w:rPr>
            <w:rStyle w:val="Hyperlink"/>
            <w:rFonts w:ascii="Times New Roman" w:hAnsi="Times New Roman" w:cs="Times New Roman"/>
            <w:lang w:val="bg-BG"/>
          </w:rPr>
          <w:t>-</w:t>
        </w:r>
      </w:hyperlink>
      <w:hyperlink r:id="rId329">
        <w:r w:rsidRPr="00610B1B">
          <w:rPr>
            <w:rStyle w:val="Hyperlink"/>
            <w:rFonts w:ascii="Times New Roman" w:hAnsi="Times New Roman" w:cs="Times New Roman"/>
            <w:lang w:val="bg-BG"/>
          </w:rPr>
          <w:t>WFD</w:t>
        </w:r>
      </w:hyperlink>
      <w:hyperlink r:id="rId330">
        <w:r w:rsidRPr="00610B1B">
          <w:rPr>
            <w:rStyle w:val="Hyperlink"/>
            <w:rFonts w:ascii="Times New Roman" w:hAnsi="Times New Roman" w:cs="Times New Roman"/>
            <w:lang w:val="bg-BG"/>
          </w:rPr>
          <w:t>-</w:t>
        </w:r>
      </w:hyperlink>
      <w:hyperlink r:id="rId331">
        <w:r w:rsidRPr="00610B1B">
          <w:rPr>
            <w:rStyle w:val="Hyperlink"/>
            <w:rFonts w:ascii="Times New Roman" w:hAnsi="Times New Roman" w:cs="Times New Roman"/>
            <w:lang w:val="bg-BG"/>
          </w:rPr>
          <w:t>last</w:t>
        </w:r>
      </w:hyperlink>
      <w:hyperlink r:id="rId332">
        <w:r w:rsidRPr="00610B1B">
          <w:rPr>
            <w:rStyle w:val="Hyperlink"/>
            <w:rFonts w:ascii="Times New Roman" w:hAnsi="Times New Roman" w:cs="Times New Roman"/>
            <w:lang w:val="bg-BG"/>
          </w:rPr>
          <w:t>%20</w:t>
        </w:r>
      </w:hyperlink>
      <w:hyperlink r:id="rId333">
        <w:r w:rsidRPr="00610B1B">
          <w:rPr>
            <w:rStyle w:val="Hyperlink"/>
            <w:rFonts w:ascii="Times New Roman" w:hAnsi="Times New Roman" w:cs="Times New Roman"/>
            <w:lang w:val="bg-BG"/>
          </w:rPr>
          <w:t>all</w:t>
        </w:r>
      </w:hyperlink>
      <w:hyperlink r:id="rId334">
        <w:r w:rsidRPr="00610B1B">
          <w:rPr>
            <w:rStyle w:val="Hyperlink"/>
            <w:rFonts w:ascii="Times New Roman" w:hAnsi="Times New Roman" w:cs="Times New Roman"/>
            <w:lang w:val="bg-BG"/>
          </w:rPr>
          <w:t>.</w:t>
        </w:r>
      </w:hyperlink>
      <w:hyperlink r:id="rId335">
        <w:r w:rsidRPr="00610B1B">
          <w:rPr>
            <w:rStyle w:val="Hyperlink"/>
            <w:rFonts w:ascii="Times New Roman" w:hAnsi="Times New Roman" w:cs="Times New Roman"/>
            <w:lang w:val="bg-BG"/>
          </w:rPr>
          <w:t>pdf</w:t>
        </w:r>
      </w:hyperlink>
      <w:r w:rsidR="00DB5CC7" w:rsidRPr="00610B1B">
        <w:rPr>
          <w:rFonts w:ascii="Times New Roman" w:eastAsia="Source Han Sans CN Regular" w:hAnsi="Times New Roman" w:cs="Times New Roman"/>
          <w:sz w:val="24"/>
          <w:szCs w:val="24"/>
          <w:lang w:val="bg-BG" w:eastAsia="zh-CN" w:bidi="hi-IN"/>
        </w:rPr>
        <w:t xml:space="preserve"> </w:t>
      </w:r>
    </w:p>
    <w:p w14:paraId="4DAF234B" w14:textId="6DCBE24D"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iCs/>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Стефанова, К., Мончева, С., Тодорова, В., Панайотова, М., Янкова, М., Денчева, К.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2013</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Инвентаризация на чужди видове. В „Първоначална оценка за състоянието на морската околна среда съгласно чл. 8 от НООСМВ“, стр. с. 238-252 </w:t>
      </w:r>
      <w:r w:rsidRPr="00610B1B">
        <w:rPr>
          <w:rFonts w:ascii="Times New Roman" w:eastAsia="Source Han Sans CN Regular" w:hAnsi="Times New Roman" w:cs="Times New Roman"/>
          <w:iCs/>
          <w:sz w:val="24"/>
          <w:szCs w:val="24"/>
          <w:lang w:val="bg-BG" w:eastAsia="zh-CN" w:bidi="hi-IN"/>
        </w:rPr>
        <w:t>(</w:t>
      </w:r>
      <w:hyperlink r:id="rId336" w:history="1">
        <w:r w:rsidRPr="00610B1B">
          <w:rPr>
            <w:rFonts w:ascii="Times New Roman" w:eastAsia="Source Han Sans CN Regular" w:hAnsi="Times New Roman" w:cs="Times New Roman"/>
            <w:color w:val="0000FF"/>
            <w:sz w:val="24"/>
            <w:szCs w:val="24"/>
            <w:u w:val="single"/>
            <w:lang w:val="bg-BG" w:eastAsia="zh-CN" w:bidi="hi-IN"/>
          </w:rPr>
          <w:t>https://www.bsbd.org/UserFiles/File/Initial%20Assessment.pdf</w:t>
        </w:r>
      </w:hyperlink>
      <w:r w:rsidRPr="00610B1B">
        <w:rPr>
          <w:rFonts w:ascii="Times New Roman" w:eastAsia="Source Han Sans CN Regular" w:hAnsi="Times New Roman" w:cs="Times New Roman"/>
          <w:iCs/>
          <w:sz w:val="24"/>
          <w:szCs w:val="24"/>
          <w:lang w:val="bg-BG" w:eastAsia="zh-CN" w:bidi="hi-IN"/>
        </w:rPr>
        <w:t>)</w:t>
      </w:r>
    </w:p>
    <w:p w14:paraId="52E9D521" w14:textId="41B5A586"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Стефанова, Кр, Р. Мавродиева, В.Тодорова, Е.Стефанова, В.Дончева. 2017. Неместни видове. В: Финален доклад по проект „Проучвания на състоянието на морската околна среда и подобряване на програмите за мониторинг, разработени съгласно РДМС (ISMEIMP)". Институт по океанология-БАН. с. 158-182. </w:t>
      </w:r>
      <w:hyperlink r:id="rId337" w:history="1">
        <w:r w:rsidRPr="00610B1B">
          <w:rPr>
            <w:rFonts w:ascii="Times New Roman" w:eastAsia="Source Han Sans CN Regular" w:hAnsi="Times New Roman" w:cs="Times New Roman"/>
            <w:color w:val="0000FF"/>
            <w:sz w:val="24"/>
            <w:szCs w:val="24"/>
            <w:u w:val="single"/>
            <w:lang w:val="bg-BG" w:eastAsia="zh-CN" w:bidi="hi-IN"/>
          </w:rPr>
          <w:t>https://www.bsbd.org/UserFiles/File/projects/ISMEIMP/ISMEIMP%20Project%20Final%20Report.pdf</w:t>
        </w:r>
      </w:hyperlink>
      <w:r w:rsidRPr="00610B1B">
        <w:rPr>
          <w:rFonts w:ascii="Times New Roman" w:eastAsia="Source Han Sans CN Regular" w:hAnsi="Times New Roman" w:cs="Times New Roman"/>
          <w:sz w:val="24"/>
          <w:szCs w:val="24"/>
          <w:lang w:val="bg-BG" w:eastAsia="zh-CN" w:bidi="hi-IN"/>
        </w:rPr>
        <w:t xml:space="preserve"> </w:t>
      </w:r>
    </w:p>
    <w:p w14:paraId="6FA2278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Тишков, Х., С. Велев, Б. Векилска. 1979. Климатични условия и ресурси. В Българското Черноморско крайбрежие. С., БАН.</w:t>
      </w:r>
    </w:p>
    <w:p w14:paraId="3AD27BD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Тодорова, В., 2005. Бентосни зооценози в северозападната част на Черно море - индикатор за съвременното екологично състояние на екосистемата. Трудове на Института по Океанология 5, 243–261;</w:t>
      </w:r>
    </w:p>
    <w:p w14:paraId="37E6E52A" w14:textId="4EEB9C79"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Тодорова, В., Карамфилов, В., Бисерков, 2012. Доклад по проект “Разширяване на НАТУРА 2000 екологичната мрежа в българската Черноморска акватория’’, София.</w:t>
      </w:r>
    </w:p>
    <w:p w14:paraId="2FF25D3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Тодорова, В., Милкова, Т., Мончева, С., Панайотова, М., Стефанова, К., Маринова, В., Трифонова, Е.В., Дончева, В., Мавродиева, Р., Стефанова, Е., Слабакова, В., Христова, О., Джурова, Б., Хинева, Е., Слабакова, Н., Панайотов, В., Каменова-Стайкова, К., Барова, С., Димитрова-Делева, С., 2017. Финален доклад по проект “Проучвания на състоянието на морската околна среда и подобряване на програмите за мониторинг, разработени съгласно РДМС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ISMEIMP</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ИО-БАН, БДЧР, Варна, България</w:t>
      </w:r>
    </w:p>
    <w:p w14:paraId="7FEEE27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Трифонова, Ек., 2014. Числено моделиране на деформациите на подводния брегови склон. </w:t>
      </w:r>
      <w:r w:rsidRPr="00610B1B">
        <w:rPr>
          <w:rFonts w:ascii="Times New Roman" w:eastAsia="Source Han Sans CN Regular" w:hAnsi="Times New Roman" w:cs="Times New Roman"/>
          <w:sz w:val="24"/>
          <w:szCs w:val="24"/>
          <w:lang w:val="bg-BG" w:eastAsia="zh-CN" w:bidi="hi-IN"/>
        </w:rPr>
        <w:lastRenderedPageBreak/>
        <w:t>Автореферат за придобиване на образователна и научна степен „Доктор“, Научен фонд на Институт по Океанология-БАН, гр. Варна, с. 30;</w:t>
      </w:r>
    </w:p>
    <w:p w14:paraId="0A72E71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Чешитев, Г., Кънчев, И., Вълков, В., Маринова, Р., Шиляфова, Ж., Русева, М., Илиев, К. 1989. Геоложка карта на България в мащаб 1:500 000. Издание на Комитета по геология, София;</w:t>
      </w:r>
    </w:p>
    <w:p w14:paraId="7519355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Чешитев, Г., Чонтова, Ц., Попов, Н., &amp; Коюмджиева, Е. 1992. Геоложка карта на България, М 1: 100 000. Картен лист Шабла-Балчик;</w:t>
      </w:r>
    </w:p>
    <w:p w14:paraId="6320942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Andrady, A.L., 2011. Microplastics in the marine environment. Marine pollution bulletin, 62</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8</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 1596-1605;</w:t>
      </w:r>
    </w:p>
    <w:p w14:paraId="73E0DA6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Baumgart, W. 1971. Beitrag zur Kenntnis der GreifvÖgel Bulgariens Beitr. Vogelkd., 17, 1;</w:t>
      </w:r>
    </w:p>
    <w:p w14:paraId="1427CF1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Berov, D., Deyanova, D., Georgieva, I., Gyosheva, B., Hiebaum, G., 2012. Cystoseira sp.-dominated macroalgal communities in the SW Black Sea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Burgas Bay, Bulgaria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Current state and possible long-term effects of eutrophication. Comptes Rendus L’Academie Bulg. des Sci. 65;</w:t>
      </w:r>
    </w:p>
    <w:p w14:paraId="5640F41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Berov, D., Todorov, E., Marin, O., Salas Herrero, F., 2018a. Coastal Black Sea Geographic Intercalibration Group. Macroalgae and angiosperms ecological assessment methods. Luxemburg. doi:10.2760/28858</w:t>
      </w:r>
    </w:p>
    <w:p w14:paraId="14E0A91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Berov, D., Todorova, V., Dimitrov, L., Rinde, E., Karamfilov, V., 2018b. Distribution and abundance of phytobenthic communities: Implications for connectivity and ecosystem functioning in a Black Sea Marine Protected Area. Estuar. Coast. Shelf Sci. 200. doi:10.1016/j.ecss.2017.11.020</w:t>
      </w:r>
    </w:p>
    <w:p w14:paraId="09C39A92" w14:textId="3589FC3C"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Birkun A Jr, Northridge S P, Willsteed E A, James F A, Kilgour C, Lander M, Fitzgerald G D. 2014. Studies for Carrying Out the Common Fisheries Policy: Adverse Fisheries Impacts on Cetacean Populations in the Black Sea. Final report to the European Commission, Brussels, </w:t>
      </w:r>
      <w:r w:rsidR="00681162" w:rsidRPr="00610B1B">
        <w:rPr>
          <w:rFonts w:ascii="Times New Roman" w:eastAsia="Source Han Sans CN Regular" w:hAnsi="Times New Roman" w:cs="Times New Roman"/>
          <w:sz w:val="24"/>
          <w:szCs w:val="24"/>
          <w:lang w:val="bg-BG" w:eastAsia="zh-CN" w:bidi="hi-IN"/>
        </w:rPr>
        <w:t>.</w:t>
      </w:r>
      <w:r w:rsidRPr="00610B1B">
        <w:rPr>
          <w:rFonts w:ascii="Times New Roman" w:eastAsia="Source Han Sans CN Regular" w:hAnsi="Times New Roman" w:cs="Times New Roman"/>
          <w:sz w:val="24"/>
          <w:szCs w:val="24"/>
          <w:lang w:val="bg-BG" w:eastAsia="zh-CN" w:bidi="hi-IN"/>
        </w:rPr>
        <w:t>347p.</w:t>
      </w:r>
    </w:p>
    <w:p w14:paraId="300D83E5" w14:textId="28B2F1B1"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Birkun A., Jr.</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2002а.</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Cetacean habitat loss and degradation in the Black Sea.</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In: G. Notarbartolo di Sciara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Cetaceans of the Mediterranean and Black Seas: state of knowledge and conservation strategies.</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A report to the ACCOBAMS Secretariat, Monaco, February 2002. Section 8, 19 p.</w:t>
      </w:r>
    </w:p>
    <w:p w14:paraId="6624EB05" w14:textId="338CD3CD" w:rsidR="00DB5CC7" w:rsidRPr="00610B1B" w:rsidRDefault="00BE57CC" w:rsidP="004567E9">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Birkun A., Jr. 2002b. Interactions between cetaceans and fisheries in the Black Sea. In: G. Notarbartolo di Sciara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Cetaceans of the Mediterranean and Black Seas: state of knowledge and conservation strategies. A report to the ACCOBAMS Secretariat, Monaco, February 2002. Section 10, 11 p.</w:t>
      </w:r>
    </w:p>
    <w:p w14:paraId="5700CA8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Birkun Jr, 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2008</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The state of cetacean populations. State of the environment of the Black Sea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2001-2006/7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Publications of the Commission on the Protection of the Black Sea Against Pollution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BSC</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3.</w:t>
      </w:r>
    </w:p>
    <w:p w14:paraId="481FC4DA" w14:textId="0652B63C" w:rsidR="00681162" w:rsidRPr="00610B1B" w:rsidRDefault="00BE57CC" w:rsidP="00727372">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Blæsbjerg, M. 2009. Maritime Spatial Planning in the Nordic Region: Principles, Perspectives and Opportunities. Publ. By Nature.</w:t>
      </w:r>
    </w:p>
    <w:p w14:paraId="192E25B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BLASDOL. 1999. Estimation of human impact on small cetaceans of the Black Sea and elaboration of appropriate conservation measures: Final report for EC Inco-Copernicus (contract No. ERBIC15CT960104). C.R. Joiris (Coord.), Free University of Brussels, Belgium; BREMA </w:t>
      </w:r>
      <w:r w:rsidRPr="00610B1B">
        <w:rPr>
          <w:rFonts w:ascii="Times New Roman" w:eastAsia="Source Han Sans CN Regular" w:hAnsi="Times New Roman" w:cs="Times New Roman"/>
          <w:sz w:val="24"/>
          <w:szCs w:val="24"/>
          <w:lang w:val="bg-BG" w:eastAsia="zh-CN" w:bidi="hi-IN"/>
        </w:rPr>
        <w:lastRenderedPageBreak/>
        <w:t>Laboratory, Ukraine; Justus Liebig University of Giessen, Germany; Institute of Fisheries, Bulgaria; and Institute of Marine Ecology and Fisheries, Georgia. Brussels, 113 p.</w:t>
      </w:r>
    </w:p>
    <w:p w14:paraId="1A6A4DEE" w14:textId="709BE1C4"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Chartosia, N., Anastasiadis, D., Bazairi, H., Crocetta, F., Deidun, A., Despalatović, M., Martino, V.D., Dimitriou, N., Dragičević, B., Dulčić, J., Durucan, F., Hasbek, D., Ketsilis-Rinis, V., Kleitou, P., Lipej, L., Macali, A., Marchini, A., Ousselam, M., Piraino, S., Stancanelli, B., Theodosiou, M., Tiralongo, F., Todorova, V., Trkov, D., Yapici, S., 2018. New Mediterranean biodiversity records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July 2018</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Mediterr. Mar. Sci. 19, 398–415. </w:t>
      </w:r>
      <w:hyperlink r:id="rId338" w:history="1">
        <w:r w:rsidR="009918C6" w:rsidRPr="00610B1B">
          <w:rPr>
            <w:rStyle w:val="Hyperlink"/>
            <w:rFonts w:ascii="Times New Roman" w:eastAsia="Source Han Sans CN Regular" w:hAnsi="Times New Roman" w:cs="Times New Roman"/>
            <w:sz w:val="24"/>
            <w:szCs w:val="24"/>
            <w:lang w:val="bg-BG" w:eastAsia="zh-CN" w:bidi="hi-IN"/>
          </w:rPr>
          <w:t>https://doi.org/10.12681/mms.18099</w:t>
        </w:r>
      </w:hyperlink>
      <w:r w:rsidR="009918C6" w:rsidRPr="00610B1B">
        <w:rPr>
          <w:rFonts w:ascii="Times New Roman" w:eastAsia="Source Han Sans CN Regular" w:hAnsi="Times New Roman" w:cs="Times New Roman"/>
          <w:sz w:val="24"/>
          <w:szCs w:val="24"/>
          <w:lang w:val="en-US" w:eastAsia="zh-CN" w:bidi="hi-IN"/>
        </w:rPr>
        <w:t xml:space="preserve"> </w:t>
      </w:r>
    </w:p>
    <w:p w14:paraId="7B3C5283" w14:textId="2730FF1C"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Cole, M., Lindeque, P., Halsband, C., Galloway, T.S., 2011. Microplastics as contaminants in the marine environment: A review. Mar. Pollut. Bull. 62, 2588–2597. </w:t>
      </w:r>
      <w:hyperlink r:id="rId339" w:history="1">
        <w:r w:rsidRPr="00610B1B">
          <w:rPr>
            <w:rFonts w:ascii="Times New Roman" w:eastAsia="Source Han Sans CN Regular" w:hAnsi="Times New Roman" w:cs="Times New Roman"/>
            <w:sz w:val="24"/>
            <w:szCs w:val="24"/>
            <w:lang w:val="bg-BG" w:eastAsia="zh-CN" w:bidi="hi-IN"/>
          </w:rPr>
          <w:t>https://doi.org/10.1016/j.marpolbul.2011.09.025</w:t>
        </w:r>
      </w:hyperlink>
    </w:p>
    <w:p w14:paraId="54366E7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Daskalov, G.M., 2002. Overfishing drives a trophic cascade in the Black Sea. Marine Ecology Progress Series 225, 53–63.</w:t>
      </w:r>
    </w:p>
    <w:p w14:paraId="473997D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Daskalov, G.M., 2003. Long-term changes in fish abundance and environmental indices in the Black Sea. Marine Ecology Progress Series, 255, pp.259-270.</w:t>
      </w:r>
    </w:p>
    <w:p w14:paraId="0782D23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Daskalov, G.M., Grishin, A.N., Rodionov, S. and Mihneva, V., 2007. Trophic cascades triggered by overfishing reveal possible mechanisms of ecosystem regime shifts. Proceedings of the National Academy of Sciences, 104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25</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pp.10518-10523.</w:t>
      </w:r>
    </w:p>
    <w:p w14:paraId="40C69FC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Dencheva, K., Doncheva, V., 2014. Ecological Index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EI</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 tool for estimation of ecological status in coastal and transitional waters in compliance with European Water Framework Directive, in: Proceedings of Twelfth International Conference On Marine Sciences And Technologies September 25th - 27th, 2014, Varna, Bulgaria. Varna, p. pp.219-226.</w:t>
      </w:r>
    </w:p>
    <w:p w14:paraId="1EEB95E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Dimitrov M., Michev T., Profirov L. &amp; Nyagolov K. 2005. Waterbirds of Bourgas Wetlands: Results and Evaluation of the Monthly Waterbirds Monitoring 1996-2002. Sofia: Bulgarian Biodiversity Foundation and Publ. House Pensoft. 160 pp.</w:t>
      </w:r>
    </w:p>
    <w:p w14:paraId="4EE313F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Dimitrov, L., Prodanov, B., Doncheva, V., Berov, D., &amp; Trifonova, E. 2019. Seabed mapping of the Bulgarian coastal zone between Sozopol and Tsarevo (Southern Bulgarian Black sea). Comptes rendus de l’Académie bulgare des Sciences, 72(5).</w:t>
      </w:r>
    </w:p>
    <w:p w14:paraId="60E32CA2" w14:textId="2E25D51E" w:rsidR="009B3909" w:rsidRPr="00610B1B" w:rsidRDefault="00BE57CC" w:rsidP="009B3909">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Dove, D., Bradwell, T., Carter, G., Cotterill, C., Gafeira Goncalves, J., Green, S., ... &amp; Westhead, K. 2016. Seabed geomorphology: a two-part classification system.</w:t>
      </w:r>
    </w:p>
    <w:p w14:paraId="3F661A76" w14:textId="77777777" w:rsidR="009B6D1D" w:rsidRPr="00610B1B" w:rsidRDefault="00BE57CC" w:rsidP="009B6D1D">
      <w:pPr>
        <w:widowControl w:val="0"/>
        <w:numPr>
          <w:ilvl w:val="0"/>
          <w:numId w:val="98"/>
        </w:numPr>
        <w:spacing w:after="0"/>
        <w:ind w:left="425" w:right="-153" w:hanging="425"/>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EC 2020. European economic forecast, Spring 2020</w:t>
      </w:r>
    </w:p>
    <w:p w14:paraId="7F73BB71" w14:textId="1DB7A606" w:rsidR="00BE57CC" w:rsidRPr="00610B1B" w:rsidRDefault="0055393F" w:rsidP="009B6D1D">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340" w:history="1">
        <w:r w:rsidR="009B3909" w:rsidRPr="00610B1B">
          <w:rPr>
            <w:rStyle w:val="Hyperlink"/>
            <w:rFonts w:ascii="Times New Roman" w:eastAsia="Source Han Sans CN Regular" w:hAnsi="Times New Roman" w:cs="Times New Roman"/>
            <w:sz w:val="24"/>
            <w:szCs w:val="24"/>
            <w:lang w:val="bg-BG" w:eastAsia="zh-CN" w:bidi="hi-IN"/>
          </w:rPr>
          <w:t>https://ec.europa.eu/info/sites/info/files/economy-finance/ip125_en.pdf</w:t>
        </w:r>
      </w:hyperlink>
      <w:r w:rsidR="00D66FE0" w:rsidRPr="00610B1B">
        <w:rPr>
          <w:rFonts w:ascii="Times New Roman" w:eastAsia="Source Han Sans CN Regular" w:hAnsi="Times New Roman" w:cs="Times New Roman"/>
          <w:sz w:val="24"/>
          <w:szCs w:val="24"/>
          <w:lang w:val="bg-BG" w:eastAsia="zh-CN" w:bidi="hi-IN"/>
        </w:rPr>
        <w:t xml:space="preserve"> </w:t>
      </w:r>
    </w:p>
    <w:p w14:paraId="15EAD4D1" w14:textId="08C49230"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Evtimova, V., Parvanov, D., Grozdanov, A., Dimitrov, K., Tserkova, F., Yordanov, S., Velina, Y., Petrova, E., Yordanova, Y., Delov, V., 2018. Cetacean mortality along the Bulgarian Black Sea Coast</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during</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2017.</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Zoo</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Biology.</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134.</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 xml:space="preserve">1-4. </w:t>
      </w:r>
      <w:r w:rsidRPr="00610B1B">
        <w:rPr>
          <w:rFonts w:ascii="Times New Roman" w:eastAsia="Source Han Sans CN Regular" w:hAnsi="Times New Roman" w:cs="Times New Roman"/>
          <w:iCs/>
          <w:sz w:val="24"/>
          <w:szCs w:val="24"/>
          <w:lang w:val="bg-BG" w:eastAsia="zh-CN" w:bidi="hi-IN"/>
        </w:rPr>
        <w:t>(</w:t>
      </w:r>
      <w:r w:rsidR="009B6D1D" w:rsidRPr="00610B1B">
        <w:rPr>
          <w:rStyle w:val="Hyperlink"/>
          <w:rFonts w:ascii="Times New Roman" w:hAnsi="Times New Roman" w:cs="Times New Roman"/>
          <w:sz w:val="24"/>
          <w:szCs w:val="24"/>
          <w:lang w:val="bg-BG"/>
        </w:rPr>
        <w:t>https://www.researchgate.net/profile/Dimitar_Parvanov/ publication/329144272_Cetacean_mortality_along_the_Bulgarian_Black_Sea_Coast_during_2017/links/5bf7d3f7299bf1a0202cbcf0/Cetacean-mortality-along-the-Bulgarian-Black-Sea-Coast-during-2017.pdf</w:t>
      </w:r>
      <w:r w:rsidRPr="00610B1B">
        <w:rPr>
          <w:rFonts w:ascii="Times New Roman" w:eastAsia="Source Han Sans CN Regular" w:hAnsi="Times New Roman" w:cs="Times New Roman"/>
          <w:iCs/>
          <w:sz w:val="24"/>
          <w:szCs w:val="24"/>
          <w:lang w:val="bg-BG" w:eastAsia="zh-CN" w:bidi="hi-IN"/>
        </w:rPr>
        <w:t>)</w:t>
      </w:r>
    </w:p>
    <w:p w14:paraId="6CF305A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Filipova-Marinova, M. 2007. Archaeological and paleontological evidence of climate dynamics, sea-level change, and coastline migration in the Bulgarian sector of the Circum-Pontic Region. In Yanko-Hombach, V., Gilbert, A. S., Panin, N., Dolukhanov, P. M. (Eds.) The Black Sea Flood Question: Changes in Coastline, Climate and Human Settlements, 453-481. Publ. house Springer, Dordrecht</w:t>
      </w:r>
    </w:p>
    <w:p w14:paraId="422CCC8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Filipova-Marinova, M., Pavlov, D., Coolen, M., Giosan, L. 2013. First high-resolution marinopalynological stratigraphy of Late Quaternary sediments from the central part of the Bulgarian Black Sea area. Quaternary International, 293: 170-183</w:t>
      </w:r>
    </w:p>
    <w:p w14:paraId="4BB04B3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Galloway, T.S., Cole, M., Lewis, C., 2017. Interactions of microplastic debris throughout the marine ecosystem. Nat. Ecol. Evol. 1, 0116. https://doi.org/10.1038/s41559-017-0116</w:t>
      </w:r>
    </w:p>
    <w:p w14:paraId="4542387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Georgiev, G., 2012. Geology and Hydrocarbon Systems in the Western Black Sea. Turkish J. Earth Sci., Vol. 21, pp. 723–754. doi:10.3906/yer-1102-4</w:t>
      </w:r>
    </w:p>
    <w:p w14:paraId="187D5C5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Golemansky, V., 2007. Biodiversity and ecology of the Bulgarian Black Sea invertebrates, in: Fet, V., Popov, 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Biogeography and Ecology of Bulgaria. Springer, pp. 537–553.</w:t>
      </w:r>
    </w:p>
    <w:p w14:paraId="1C4C3C0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Gordina, A.D., Pavlova, E. V, Ovsyany, E.I., Wilson, J.G., Kemp, R.B., Romanov, A.S., 2001. Long-term Changes in Sevastopol Bay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the Black Sea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with Particular Reference to the Ichthyoplankton and Zooplankton. Estuar. Coast. Shelf Sci. 52, 1–13.</w:t>
      </w:r>
    </w:p>
    <w:p w14:paraId="33A81B9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Goudie, A. 2013. Encyclopedia of geomorphology. Routledge.</w:t>
      </w:r>
    </w:p>
    <w:p w14:paraId="5336F5B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Gregory, M.R., 1999. Plastics and South Pacific Island shores: environmental implications. Ocean &amp; Coastal Management, 42</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6-7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 603-615.</w:t>
      </w:r>
    </w:p>
    <w:p w14:paraId="7E7CB44F" w14:textId="2968E748" w:rsidR="00BE57CC" w:rsidRPr="00610B1B" w:rsidRDefault="00BE57CC" w:rsidP="00BF58D9">
      <w:pPr>
        <w:widowControl w:val="0"/>
        <w:numPr>
          <w:ilvl w:val="0"/>
          <w:numId w:val="98"/>
        </w:numPr>
        <w:spacing w:after="120"/>
        <w:ind w:left="426" w:right="3238"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Handbook on Integrated Maritime Spatial Planning (2008), </w:t>
      </w:r>
      <w:hyperlink r:id="rId341" w:history="1">
        <w:r w:rsidR="00BF58D9" w:rsidRPr="00610B1B">
          <w:rPr>
            <w:rStyle w:val="Hyperlink"/>
            <w:rFonts w:ascii="Times New Roman" w:eastAsia="Source Han Sans CN Regular" w:hAnsi="Times New Roman" w:cs="Times New Roman"/>
            <w:sz w:val="24"/>
            <w:szCs w:val="24"/>
            <w:lang w:val="bg-BG" w:eastAsia="zh-CN" w:bidi="hi-IN"/>
          </w:rPr>
          <w:t>http://www.plancoast.eu/files/handbook_web.pdf</w:t>
        </w:r>
      </w:hyperlink>
      <w:r w:rsidRPr="00610B1B">
        <w:rPr>
          <w:rFonts w:ascii="Times New Roman" w:eastAsia="Source Han Sans CN Regular" w:hAnsi="Times New Roman" w:cs="Times New Roman"/>
          <w:sz w:val="24"/>
          <w:szCs w:val="24"/>
          <w:lang w:val="bg-BG" w:eastAsia="zh-CN" w:bidi="hi-IN"/>
        </w:rPr>
        <w:t>;</w:t>
      </w:r>
      <w:r w:rsidR="00D66FE0" w:rsidRPr="00610B1B">
        <w:rPr>
          <w:rFonts w:ascii="Times New Roman" w:eastAsia="Source Han Sans CN Regular" w:hAnsi="Times New Roman" w:cs="Times New Roman"/>
          <w:sz w:val="24"/>
          <w:szCs w:val="24"/>
          <w:lang w:val="bg-BG" w:eastAsia="zh-CN" w:bidi="hi-IN"/>
        </w:rPr>
        <w:t xml:space="preserve"> </w:t>
      </w:r>
    </w:p>
    <w:p w14:paraId="111E243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Hiebaum, G., 1991. Characteristic features in the seasonal dynamics of the baseic biological processes in anthropogenic eutrophicated marine coastal ecosystems, in: The Black Sea Symposium, Istanbul, 16-18 Sept. 1991. Black Sea Foundation, Istanbul, pp. 159–163.</w:t>
      </w:r>
    </w:p>
    <w:p w14:paraId="4C5F88C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Hubenov, Z., 2015. Species composition of the free living multicellular invertebrate animals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Metazoa: Invertebrata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from the Bulgarian sector of the Black Sea and the coastal brackish basins. Hist. Nat. Bulg. 21, 49–168.</w:t>
      </w:r>
    </w:p>
    <w:p w14:paraId="080F026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Huggett, R. 2016. Fundamentals of geomorphology. Routledge.</w:t>
      </w:r>
    </w:p>
    <w:p w14:paraId="42DAECAC" w14:textId="5EB359DE"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Ignatov, E. I. 2008 Coastal and bottom topography. In Kostianoy, A. G., Kosarev, A. N. (Eds.) The Black Sea Environment,</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Publ. house Springer, Heidelberg, 47-62.</w:t>
      </w:r>
    </w:p>
    <w:p w14:paraId="63B66D7B" w14:textId="387D8A5A"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ILO, 2020. A policy framework for tackling the economic and social impact of the COVID-19 crisis </w:t>
      </w:r>
      <w:hyperlink r:id="rId342" w:history="1">
        <w:r w:rsidR="00BF58D9" w:rsidRPr="00610B1B">
          <w:rPr>
            <w:rStyle w:val="Hyperlink"/>
            <w:rFonts w:ascii="Times New Roman" w:eastAsia="Source Han Sans CN Regular" w:hAnsi="Times New Roman" w:cs="Times New Roman"/>
            <w:sz w:val="24"/>
            <w:szCs w:val="24"/>
            <w:lang w:val="bg-BG" w:eastAsia="zh-CN" w:bidi="hi-IN"/>
          </w:rPr>
          <w:t>https://www.ilo.org/wcmsp5/groups/public/@dgreports/@dcomm/documents/briefingnote/wcms_745337.pdf</w:t>
        </w:r>
      </w:hyperlink>
      <w:r w:rsidR="00D66FE0" w:rsidRPr="00610B1B">
        <w:rPr>
          <w:rFonts w:ascii="Times New Roman" w:eastAsia="Source Han Sans CN Regular" w:hAnsi="Times New Roman" w:cs="Times New Roman"/>
          <w:sz w:val="24"/>
          <w:szCs w:val="24"/>
          <w:lang w:val="bg-BG" w:eastAsia="zh-CN" w:bidi="hi-IN"/>
        </w:rPr>
        <w:t xml:space="preserve"> </w:t>
      </w:r>
    </w:p>
    <w:p w14:paraId="6892F03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Ivanov L.S., Beverton R.J.H. 1985. The Fisheries Resources of the Mediterranean. Part 2: Black Sea. FAO Studies and Reviews, 60, 135 p.</w:t>
      </w:r>
    </w:p>
    <w:p w14:paraId="68160A0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Ivanova, P.P., Trayanova, A.T., Stefanova, K.B., Stefanova, E., Raykov, V.S. and Doncheva, </w:t>
      </w:r>
      <w:r w:rsidRPr="00610B1B">
        <w:rPr>
          <w:rFonts w:ascii="Times New Roman" w:eastAsia="Source Han Sans CN Regular" w:hAnsi="Times New Roman" w:cs="Times New Roman"/>
          <w:sz w:val="24"/>
          <w:szCs w:val="24"/>
          <w:lang w:val="bg-BG" w:eastAsia="zh-CN" w:bidi="hi-IN"/>
        </w:rPr>
        <w:lastRenderedPageBreak/>
        <w:t xml:space="preserve">V.G., 2017. Population Status of Some Alien Species in Varna Bay, Bulgarian Black Sea Coast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2015-2016</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Acta Zoologica Bulgarica, Supplement, 9, pp.73-82.</w:t>
      </w:r>
    </w:p>
    <w:p w14:paraId="308A9FA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Johnston, E.L., Roberts, D.A., 2009. Contaminants reduce the richness and evenness of marine communities: a review and meta-analysis. Environ. Pollut. 157, 1745–1752.</w:t>
      </w:r>
    </w:p>
    <w:p w14:paraId="511BBAF5" w14:textId="63DD580B"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Kamburska, L., 2004. Effects of Beroe cf ovata on gelatinous and other zooplankton along the Bulgarian Black Sea Coast. In Aquatic Invasions in the Black, Caspian, and Mediterranean Seas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pp. 137-154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Springer, Dordrecht.</w:t>
      </w:r>
    </w:p>
    <w:p w14:paraId="3D87803A"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2FE03B6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Kamburska, L., Doncheva, V. and Stefanova, K., 2003, March. On the recent changes of zooplankton community structure along the Bulgarian Black Sea coast–a post invasion effect of exotic ctenophores interactions. In Proceedings of the first international conference on environmental research and assessment. Bucharest, Romania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Vol. 2327, p. 6984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w:t>
      </w:r>
    </w:p>
    <w:p w14:paraId="48545FB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Kaneva-Abadjieva, V., 1958. A new harmful snail along the Bulgarian Black Sea coast. Priroda, 3: 89-91.</w:t>
      </w:r>
    </w:p>
    <w:p w14:paraId="67E90C9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Karaivanov P., N. Karaivanov 2015. Seasonal dynamics of the intensity of migration of birds of prey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Orders: Falconiformes, Accipitriformes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in the region of Balgarevo village, Municipality of Kavarna. J. BioSci. Biotechnol. 2015, SE/ONLINE: 285-290</w:t>
      </w:r>
    </w:p>
    <w:p w14:paraId="72956C5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Karamfilov, V., Berov, D., Panayotidis, P., 2019. Using Zostera noltei biometrics for evaluation of the ecological and environmental quality status of Black Sea coastal waters. Regional Studies Marine Science 27. doi:10.1016/j.rsma.2019.100524</w:t>
      </w:r>
    </w:p>
    <w:p w14:paraId="69699A1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Kenderova, R., Tcherkezova, E., Sarafov, A. 1999. Geomorphological research of the coastal strip between the Cape Humata and the Cape Kaja. In Annuaire de L`Universite de Sofia "St. Kliment Ohridski", tome 89, 59-68 p.</w:t>
      </w:r>
    </w:p>
    <w:p w14:paraId="1348905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Keremedchiev, St., Stancheva, M. 2006. Assessment of the geo-morphodynamical activity of the Bulgarian Black Sea coast. Comptes Rendus de l‘Academie Bulgare des Sciences, 59(2): 181-190</w:t>
      </w:r>
    </w:p>
    <w:p w14:paraId="61D701D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Keremedchiv, S., Cherneva, Z. 2003. А geomorplюlogic analysis of tl1e Bнlgarian Black Sea coast. РгоЫеms of geograpl1y, book 2, S. р. 38-50.</w:t>
      </w:r>
    </w:p>
    <w:p w14:paraId="106FA9C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Khrischev, Kh., V. Georgiev, S. Chochov. 1980. Geological evidence on salt production in ancient Ankhialo. – C. R. Acad. bulg. Sci., 33, 6, 825–827.</w:t>
      </w:r>
    </w:p>
    <w:p w14:paraId="26D1AC2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Konigstedt, D., D. Robel. 1978. Zur Avifauna Bulgariens - Ein Nachtrag. - Beitr. Vogelkd., 24, 5.</w:t>
      </w:r>
    </w:p>
    <w:p w14:paraId="54C66B7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Konovalov, S.M., 1995. Anthropogenic impact and ecosystems of the Black Sea. Les mers tributaires de Mediterranee. CIESM Science series, 1, pp.53-83.</w:t>
      </w:r>
    </w:p>
    <w:p w14:paraId="5B14EA5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Konsulov 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Comp.</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1998. Black Sea biological diversity. Bulgaria. UN Publ., New York, 167p.</w:t>
      </w:r>
    </w:p>
    <w:p w14:paraId="4C6F54C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Konsulov, A. and Kamburska, L., 1998. Zooplankton dynamics and variability off the Bulgarian Black Sea Coast during 1991-1995. Ecosystem Modeling as a Management Tool for the Black Sea. Proceedings of the NATO TU Black Sea Project, Kluwer Academic Publishers, Dordrecht, 1, pp.281-292.</w:t>
      </w:r>
    </w:p>
    <w:p w14:paraId="661497E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Konsulov, A., 1989. One more New-comer. A New Species in the Black Sea-Dangerous or </w:t>
      </w:r>
      <w:r w:rsidRPr="00610B1B">
        <w:rPr>
          <w:rFonts w:ascii="Times New Roman" w:eastAsia="Source Han Sans CN Regular" w:hAnsi="Times New Roman" w:cs="Times New Roman"/>
          <w:sz w:val="24"/>
          <w:szCs w:val="24"/>
          <w:lang w:val="bg-BG" w:eastAsia="zh-CN" w:bidi="hi-IN"/>
        </w:rPr>
        <w:lastRenderedPageBreak/>
        <w:t>Harmless for Ecology. Morski Svjat, 2</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8</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w:t>
      </w:r>
    </w:p>
    <w:p w14:paraId="3F1486E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Konsulov, A.S. and Kamburska, L.T., 1998. Ecological determination of the new Ctenophora–Beroe ovata invasion in the Black Sea. Oceanology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Bulgaria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2, pp.195-198.</w:t>
      </w:r>
    </w:p>
    <w:p w14:paraId="1188542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Kumerloeve, H. 1957. Ornithologische Beobachtungen im “Zurbringenraum“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Bulgarisch-rumanische Schwazmeerkuste</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des Bosphorus-zuges-Bonn. Zool. Beitr. 8.</w:t>
      </w:r>
    </w:p>
    <w:p w14:paraId="3610A51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Lacouture, R.V., Johnson, J.M., Buchanan, C. and Marshall, H.G., 2006. Phytoplankton index of biotic integrity for Chesapeake Bay and its tidal tributaries. Estuaries and Coasts, 29</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pp.598-616.</w:t>
      </w:r>
    </w:p>
    <w:p w14:paraId="379A768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Laine, L. 1978. Muutonhavainnointia Mustanmeren Iansirannikolla-Lintumies, 13.</w:t>
      </w:r>
    </w:p>
    <w:p w14:paraId="3BC175E7" w14:textId="43316654"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Lohrer, A.M., Townsend, M., Rodil, I.F., Hewitt, J.E., Thrush, S.F., 2012. Detecting shifts in ecosystem functioning: The decoupling of fundamental relationships with increased pollutant stress on sandflats. Marine Pollution Bulletin 64, 2761–2769. </w:t>
      </w:r>
      <w:hyperlink r:id="rId343" w:history="1">
        <w:r w:rsidR="00BF58D9" w:rsidRPr="00610B1B">
          <w:rPr>
            <w:rStyle w:val="Hyperlink"/>
            <w:rFonts w:ascii="Times New Roman" w:eastAsia="Source Han Sans CN Regular" w:hAnsi="Times New Roman" w:cs="Times New Roman"/>
            <w:sz w:val="24"/>
            <w:szCs w:val="24"/>
            <w:lang w:val="bg-BG" w:eastAsia="zh-CN" w:bidi="hi-IN"/>
          </w:rPr>
          <w:t>https://doi.org/10.1016/j.marpolbul.2012.09.012</w:t>
        </w:r>
      </w:hyperlink>
      <w:r w:rsidR="00BF58D9" w:rsidRPr="00610B1B">
        <w:rPr>
          <w:rFonts w:ascii="Times New Roman" w:eastAsia="Source Han Sans CN Regular" w:hAnsi="Times New Roman" w:cs="Times New Roman"/>
          <w:sz w:val="24"/>
          <w:szCs w:val="24"/>
          <w:lang w:val="bg-BG" w:eastAsia="zh-CN" w:bidi="hi-IN"/>
        </w:rPr>
        <w:t xml:space="preserve"> </w:t>
      </w:r>
    </w:p>
    <w:p w14:paraId="07D4F17E" w14:textId="592F70DE"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Marine ecology, 2013. In South Stream Gas Pipeline Project Surveys Report, p. 203 </w:t>
      </w:r>
      <w:hyperlink r:id="rId344" w:history="1">
        <w:r w:rsidRPr="00610B1B">
          <w:rPr>
            <w:rFonts w:ascii="Times New Roman" w:eastAsia="Source Han Sans CN Regular" w:hAnsi="Times New Roman" w:cs="Times New Roman"/>
            <w:color w:val="0000FF"/>
            <w:sz w:val="24"/>
            <w:szCs w:val="24"/>
            <w:u w:val="single"/>
            <w:lang w:val="bg-BG" w:eastAsia="zh-CN" w:bidi="hi-IN"/>
          </w:rPr>
          <w:t>http://www.south-stream-offshore.com</w:t>
        </w:r>
      </w:hyperlink>
      <w:r w:rsidRPr="00610B1B">
        <w:rPr>
          <w:rFonts w:ascii="Times New Roman" w:eastAsia="Source Han Sans CN Regular" w:hAnsi="Times New Roman" w:cs="Times New Roman"/>
          <w:sz w:val="24"/>
          <w:szCs w:val="24"/>
          <w:lang w:val="bg-BG" w:eastAsia="zh-CN" w:bidi="hi-IN"/>
        </w:rPr>
        <w:t>;</w:t>
      </w:r>
    </w:p>
    <w:p w14:paraId="0F4128B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Maritime technology challenges 2030 https://www.ecmar.eu/media/1813/ecmar-brochure-maritme-technology-challenges-2030.pdf</w:t>
      </w:r>
    </w:p>
    <w:p w14:paraId="51C2F7CD" w14:textId="0C09D203"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Mearns, A.J., Reish, D.J., Oshida, P.S., Ginn, T., Rempel-Hester, M.A., Arthur, C., Rutherford, N., 2013. Effects of pollution on marine organisms. Water Environ. Res. 85, 1828–1933. </w:t>
      </w:r>
      <w:hyperlink r:id="rId345" w:history="1">
        <w:r w:rsidR="00BF58D9" w:rsidRPr="00610B1B">
          <w:rPr>
            <w:rStyle w:val="Hyperlink"/>
            <w:rFonts w:ascii="Times New Roman" w:eastAsia="Source Han Sans CN Regular" w:hAnsi="Times New Roman" w:cs="Times New Roman"/>
            <w:sz w:val="24"/>
            <w:szCs w:val="24"/>
            <w:lang w:val="bg-BG" w:eastAsia="zh-CN" w:bidi="hi-IN"/>
          </w:rPr>
          <w:t>https://doi.org/10.2175/106143013X13698672322949</w:t>
        </w:r>
      </w:hyperlink>
      <w:r w:rsidR="00BF58D9" w:rsidRPr="00610B1B">
        <w:rPr>
          <w:rFonts w:ascii="Times New Roman" w:eastAsia="Source Han Sans CN Regular" w:hAnsi="Times New Roman" w:cs="Times New Roman"/>
          <w:sz w:val="24"/>
          <w:szCs w:val="24"/>
          <w:lang w:val="bg-BG" w:eastAsia="zh-CN" w:bidi="hi-IN"/>
        </w:rPr>
        <w:t xml:space="preserve"> </w:t>
      </w:r>
    </w:p>
    <w:p w14:paraId="3FA943B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Mee, L.D., Friedrich, J., 2005. Restoring the Black Sea in Times of Uncertainty. Oceanography 18, 100–111.</w:t>
      </w:r>
    </w:p>
    <w:p w14:paraId="5B97D84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Micallef, A., Krastel, S., &amp; Savini, A. (Eds.). 2017. Submarine Geomorphology. Springer.</w:t>
      </w:r>
    </w:p>
    <w:p w14:paraId="6B515EA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Michev T., L. Profirov, K. Nyagolov, M. Dimitrov 2011. Autumn migration of soaring birds at Bourgas Bay, Bulgaria 1979-2003. – British Birds, 1: 16-37.</w:t>
      </w:r>
    </w:p>
    <w:p w14:paraId="2BAA243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Michev T., L. Profirov, N. Karaivanov, B. Michev. 2012. Migration of soaring birds over Bulgaria. Acta zool. bulg. 64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33-41.</w:t>
      </w:r>
    </w:p>
    <w:p w14:paraId="0EEC1B4D" w14:textId="06298BF4" w:rsidR="002F29DE" w:rsidRPr="00610B1B" w:rsidRDefault="00BE57CC" w:rsidP="00727372">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Mihaylov K. 2011. Development of national network for monitoring the Black Sea cetaceans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stranded and by-caught</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in Bulgaria and identifying relevant measures for mitigation the adverse impact of fisheries: MoU ACCOBAMS, N° 01/2010: 70 p.</w:t>
      </w:r>
    </w:p>
    <w:p w14:paraId="4B1DD40B"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Minicheva, G., Berov, D., Dencheva, K., Dykyl, E., Tretyak, I., Karacuha, A., Marin, O., 2019. State of Macrophytobenthos, in: Black Sea State of the Environment Report 2009-2014/15. Commission on the Protection of the Black Sea Against Pollution, Istanbul, p. 812.</w:t>
      </w:r>
    </w:p>
    <w:p w14:paraId="525C814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Minicheva, G., Maximova, O., Moruchkova, N., Simakova, U., Sburlea, A., Dencheva, K., Aktan, Y., Sezgin, M., 2008. State of the macrophytobenthos, in: State of the Environment of the Black Sea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2001-2006/7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Istanbul, p. 448.</w:t>
      </w:r>
    </w:p>
    <w:p w14:paraId="41D8BED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Moncheva S., Krastev A. 1997. Some Aspects of Phytoplankton Long-Term Alterations Off Bulgarian Black Sea Shelf. In: Özsoy E., Mikaelyan 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Sensitivity to Change: Black Sea, </w:t>
      </w:r>
      <w:r w:rsidRPr="00610B1B">
        <w:rPr>
          <w:rFonts w:ascii="Times New Roman" w:eastAsia="Source Han Sans CN Regular" w:hAnsi="Times New Roman" w:cs="Times New Roman"/>
          <w:sz w:val="24"/>
          <w:szCs w:val="24"/>
          <w:lang w:val="bg-BG" w:eastAsia="zh-CN" w:bidi="hi-IN"/>
        </w:rPr>
        <w:lastRenderedPageBreak/>
        <w:t xml:space="preserve">Baltic Sea and North Sea. NATO ASI Series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Series 2: Environment</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vol 27. Springer, Dordrecht</w:t>
      </w:r>
    </w:p>
    <w:p w14:paraId="331CFD9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Moncheva S., L. Boicenko, 2010. Compliance of national assessment methods with the WFD requirements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Romania and Bulgaria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WFD Intercalibration Phase 2: Milestone 4b report- Black Sea GIG</w:t>
      </w:r>
    </w:p>
    <w:p w14:paraId="7A3A57E2" w14:textId="124F0FEF"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Moncheva, S., Dontcheva, V., Shtereva, G., Kamburska, L., Malej, A. and Gorinstein, S., 2002. Application of eutrophication indices for assessment of the Bulgarian Black Sea coastal ecosystem ecological quality. Water Science and Technology, 46</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8</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pp.19-28.</w:t>
      </w:r>
    </w:p>
    <w:p w14:paraId="7E22F5A6"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2B4A6FD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Moncheva, S., Gotsis-Skretas, O., Pagou, K. and Krastev, A., 2001. Phytoplankton blooms in Black Sea and Mediterranean coastal ecosystems subjected to anthropogenic eutrophication: similarities and differences. Estuarine, Coastal and Shelf Science, 53</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3</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pp.281-295.</w:t>
      </w:r>
    </w:p>
    <w:p w14:paraId="61B2476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Moncheva, S.P. and Kamburska, L.T., 2002. Plankton stowaways in the Black Sea- Impacts on biodiversity and ecosystem health. In CIESM Workshop Monographs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Vol. 20, pp. 47-51</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w:t>
      </w:r>
    </w:p>
    <w:p w14:paraId="0F6922C4" w14:textId="6FCA7D00" w:rsidR="00BE57CC" w:rsidRPr="00610B1B" w:rsidRDefault="00BE57CC" w:rsidP="00BE57CC">
      <w:pPr>
        <w:widowControl w:val="0"/>
        <w:numPr>
          <w:ilvl w:val="0"/>
          <w:numId w:val="98"/>
        </w:numPr>
        <w:spacing w:after="120"/>
        <w:ind w:left="426" w:right="-153" w:hanging="426"/>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National Ocean Policy Implementation Plan</w:t>
      </w:r>
      <w:r w:rsidR="00D66FE0" w:rsidRPr="00610B1B">
        <w:rPr>
          <w:rFonts w:ascii="Times New Roman" w:eastAsia="Source Han Sans CN Regular" w:hAnsi="Times New Roman" w:cs="Times New Roman"/>
          <w:sz w:val="24"/>
          <w:szCs w:val="24"/>
          <w:lang w:val="bg-BG" w:eastAsia="zh-CN" w:bidi="hi-IN"/>
        </w:rPr>
        <w:t xml:space="preserve"> </w:t>
      </w:r>
      <w:hyperlink r:id="rId346" w:history="1">
        <w:r w:rsidR="009B6D1D" w:rsidRPr="00610B1B">
          <w:rPr>
            <w:rStyle w:val="Hyperlink"/>
            <w:rFonts w:ascii="Times New Roman" w:eastAsia="Source Han Sans CN Regular" w:hAnsi="Times New Roman" w:cs="Times New Roman"/>
            <w:sz w:val="24"/>
            <w:szCs w:val="24"/>
            <w:lang w:val="bg-BG" w:eastAsia="zh-CN" w:bidi="hi-IN"/>
          </w:rPr>
          <w:t>https://obamawhitehouse.archives.gov/sites/default/files/national_ocean_policy_implementation_plan.pdf</w:t>
        </w:r>
      </w:hyperlink>
      <w:r w:rsidR="00D66FE0" w:rsidRPr="00610B1B">
        <w:rPr>
          <w:rFonts w:ascii="Times New Roman" w:eastAsia="Source Han Sans CN Regular" w:hAnsi="Times New Roman" w:cs="Times New Roman"/>
          <w:sz w:val="24"/>
          <w:szCs w:val="24"/>
          <w:lang w:val="bg-BG" w:eastAsia="zh-CN" w:bidi="hi-IN"/>
        </w:rPr>
        <w:t xml:space="preserve"> </w:t>
      </w:r>
    </w:p>
    <w:p w14:paraId="4F677A77" w14:textId="462A66E1"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National ocean policy implementation plan 2017. The Victorian Government </w:t>
      </w:r>
      <w:hyperlink r:id="rId347" w:history="1">
        <w:r w:rsidR="009B3909" w:rsidRPr="00610B1B">
          <w:rPr>
            <w:rStyle w:val="Hyperlink"/>
            <w:rFonts w:ascii="Times New Roman" w:eastAsia="Source Han Sans CN Regular" w:hAnsi="Times New Roman" w:cs="Times New Roman"/>
            <w:sz w:val="24"/>
            <w:szCs w:val="24"/>
            <w:lang w:val="bg-BG" w:eastAsia="zh-CN" w:bidi="hi-IN"/>
          </w:rPr>
          <w:t>https://www.coastsandmarine.vic.gov.au/__data/assets/pdf_file/0022/65443/Marine-Coastal__Summary_Report_web.pdf</w:t>
        </w:r>
      </w:hyperlink>
      <w:r w:rsidR="00C415D1" w:rsidRPr="00610B1B">
        <w:rPr>
          <w:rFonts w:ascii="Times New Roman" w:eastAsia="Source Han Sans CN Regular" w:hAnsi="Times New Roman" w:cs="Times New Roman"/>
          <w:sz w:val="24"/>
          <w:szCs w:val="24"/>
          <w:lang w:val="bg-BG" w:eastAsia="zh-CN" w:bidi="hi-IN"/>
        </w:rPr>
        <w:t xml:space="preserve"> </w:t>
      </w:r>
    </w:p>
    <w:p w14:paraId="4FD2091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Nesterova, S. Moncheva, A. Mikaelyan, A. Vershinin, V. Akatov, L. Boicenco, Y. Aktan, F. Sahin, T. Gvarishvili, 2008. CHAPTER 5 The State of Phytoplankton BSC, 2008. State of the Environment of the Black Sea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2001-2006/7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Black Sea Commission Publications 2008-3, Istanbul, Turkey, pp. 173-200.</w:t>
      </w:r>
    </w:p>
    <w:p w14:paraId="4A5DF04F" w14:textId="63B9A592" w:rsidR="00BE57CC" w:rsidRPr="00610B1B" w:rsidRDefault="00BE57CC" w:rsidP="00DE3A13">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Netherlands’ Maritime Spatial Plan,</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Document for the North Sea 2016-2021</w:t>
      </w:r>
      <w:r w:rsidR="00D66FE0" w:rsidRPr="00610B1B">
        <w:rPr>
          <w:rFonts w:ascii="Times New Roman" w:eastAsia="Source Han Sans CN Regular" w:hAnsi="Times New Roman" w:cs="Times New Roman"/>
          <w:sz w:val="24"/>
          <w:szCs w:val="24"/>
          <w:lang w:val="bg-BG" w:eastAsia="zh-CN" w:bidi="hi-IN"/>
        </w:rPr>
        <w:t xml:space="preserve"> </w:t>
      </w:r>
      <w:hyperlink r:id="rId348" w:history="1">
        <w:r w:rsidR="00537D06" w:rsidRPr="00610B1B">
          <w:rPr>
            <w:rStyle w:val="Hyperlink"/>
            <w:rFonts w:ascii="Times New Roman" w:eastAsia="Source Han Sans CN Regular" w:hAnsi="Times New Roman" w:cs="Times New Roman"/>
            <w:sz w:val="24"/>
            <w:szCs w:val="24"/>
            <w:lang w:val="bg-BG" w:eastAsia="zh-CN" w:bidi="hi-IN"/>
          </w:rPr>
          <w:t>http://www.msp-platform.eu/countries/netherlands</w:t>
        </w:r>
      </w:hyperlink>
      <w:r w:rsidRPr="00610B1B">
        <w:rPr>
          <w:rFonts w:ascii="Times New Roman" w:eastAsia="Source Han Sans CN Regular" w:hAnsi="Times New Roman" w:cs="Times New Roman"/>
          <w:sz w:val="24"/>
          <w:szCs w:val="24"/>
          <w:lang w:val="bg-BG" w:eastAsia="zh-CN" w:bidi="hi-IN"/>
        </w:rPr>
        <w:t>;</w:t>
      </w:r>
    </w:p>
    <w:p w14:paraId="10D8D6A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Oguz T., Fach B., Salihoglu B., 2008. Invasion dynamics of the alien ctenophore Mnemiopsis leidyi and its impact on anchovy collapse in the Black Sea. Journal Of Plankton Research, 30: 1385–1397.</w:t>
      </w:r>
    </w:p>
    <w:p w14:paraId="69AF70E0" w14:textId="61A9426A"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Oguz, T. and Velikova, V., 2010. Abrupt transition of the northwestern Black Sea shelf ecosystem from a eutrophic to an alternative pristine state. Marine Ecology Progress Series, 405, pp.231-242.</w:t>
      </w:r>
    </w:p>
    <w:p w14:paraId="0A8A21A9" w14:textId="448E7FA9"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Oguz, T., Dippner, J.W. and Kaymaz, Z., 2006. Climatic regulation of the Black Sea hydro-meteorological and ecological properties at interannual-to-decadal time scales. Journal of Marine Systems, 60</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3-4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pp.235-254.</w:t>
      </w:r>
      <w:r w:rsidR="009B3909" w:rsidRPr="00610B1B">
        <w:rPr>
          <w:rFonts w:ascii="Times New Roman" w:eastAsia="Source Han Sans CN Regular" w:hAnsi="Times New Roman" w:cs="Times New Roman"/>
          <w:sz w:val="24"/>
          <w:szCs w:val="24"/>
          <w:lang w:val="bg-BG" w:eastAsia="zh-CN" w:bidi="hi-IN"/>
        </w:rPr>
        <w:t xml:space="preserve"> </w:t>
      </w:r>
    </w:p>
    <w:p w14:paraId="703A138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Orfanidis, S., Panayotidis, P., Ugland, K.I., 2011. Ecological Evaluation Index continuous formula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EEI-c</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application: a step forward for functional groups, the formula and reference condition values. Mediterr. Mar. Sci. 12, 199–231.</w:t>
      </w:r>
    </w:p>
    <w:p w14:paraId="7F0C18A7" w14:textId="67A5CDBF"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Osvath</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I.,</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Egorov</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V. 1999.</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Radionuclides</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in</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the</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Black</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Sea.</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Pp.</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 xml:space="preserve">103-109 in: L.D. Mee and G. Topping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Black Sea pollution assessment. UN Publ., New York, 380 p.</w:t>
      </w:r>
    </w:p>
    <w:p w14:paraId="0E1AAD3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 xml:space="preserve">Panayotova, Marina &amp; Todorova, Valentina.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2015</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Distribution of three cetacean species along the Bulgarian Black Sea coast in 2006-2013. J. Black Sea/Mediterranean Environment. 21. 45-53.</w:t>
      </w:r>
    </w:p>
    <w:p w14:paraId="3072E148" w14:textId="77777777" w:rsidR="00BE57CC" w:rsidRPr="00610B1B" w:rsidRDefault="00BE57CC" w:rsidP="00BE57CC">
      <w:pPr>
        <w:widowControl w:val="0"/>
        <w:numPr>
          <w:ilvl w:val="0"/>
          <w:numId w:val="98"/>
        </w:numPr>
        <w:spacing w:after="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Pentland Firth and Orkney Waters Marine Spatial Plan Framework &amp; Regional Locational Guidance for Marine Energy Final Report</w:t>
      </w:r>
    </w:p>
    <w:p w14:paraId="42394EA3" w14:textId="6411B817" w:rsidR="00BE57CC" w:rsidRPr="00610B1B" w:rsidRDefault="0055393F" w:rsidP="00BE57CC">
      <w:pPr>
        <w:widowControl w:val="0"/>
        <w:spacing w:after="120"/>
        <w:ind w:left="426" w:right="-153"/>
        <w:jc w:val="both"/>
        <w:rPr>
          <w:rFonts w:ascii="Times New Roman" w:eastAsia="Source Han Sans CN Regular" w:hAnsi="Times New Roman" w:cs="Times New Roman"/>
          <w:sz w:val="24"/>
          <w:szCs w:val="24"/>
          <w:lang w:val="bg-BG" w:eastAsia="zh-CN" w:bidi="hi-IN"/>
        </w:rPr>
      </w:pPr>
      <w:hyperlink r:id="rId349" w:history="1">
        <w:r w:rsidR="00BE57CC" w:rsidRPr="00610B1B">
          <w:rPr>
            <w:rFonts w:ascii="Times New Roman" w:eastAsia="Source Han Sans CN Regular" w:hAnsi="Times New Roman" w:cs="Times New Roman"/>
            <w:color w:val="0000FF"/>
            <w:sz w:val="24"/>
            <w:szCs w:val="24"/>
            <w:u w:val="single"/>
            <w:lang w:val="bg-BG" w:eastAsia="zh-CN" w:bidi="hi-IN"/>
          </w:rPr>
          <w:t>https://tethys.pnnl.gov/sites/default/files/publications/Marine-Scotland-2011_0115355.pdf</w:t>
        </w:r>
      </w:hyperlink>
      <w:r w:rsidR="00D66FE0" w:rsidRPr="00610B1B">
        <w:rPr>
          <w:rFonts w:ascii="Times New Roman" w:eastAsia="Source Han Sans CN Regular" w:hAnsi="Times New Roman" w:cs="Times New Roman"/>
          <w:sz w:val="24"/>
          <w:szCs w:val="24"/>
          <w:lang w:val="bg-BG" w:eastAsia="zh-CN" w:bidi="hi-IN"/>
        </w:rPr>
        <w:t xml:space="preserve"> </w:t>
      </w:r>
    </w:p>
    <w:p w14:paraId="2B8AA7FF" w14:textId="1E36D97E"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Petrova-Karadzova, V.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1984</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Changes in planktonic flora in Bulgarian Black Sea waters under theinfluence of eutrophication. Proc. Inst. Fish.21, pp. 105–112.</w:t>
      </w:r>
    </w:p>
    <w:p w14:paraId="394277BD"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015BA0E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B., Dimitrov, L., Andreeva, N., Keremedchiev, St. 2017. Geomorphological setting of the coastal zone between cape Galata and cape Paletsa, Bulgaria Black Sea. In Comptes rendus de l’Academie Bulgarie des Sciences, Volume 70, №8, pp.1137-1142.</w:t>
      </w:r>
    </w:p>
    <w:p w14:paraId="333796E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B., Keremedchiev, St., Dimitrov, L., Andreeva, N. 2019d. Seabed Morphology of the Varna Bay coastal zone, Bulgarian Black Sea. In Comptes rendus de l’Academie Bulgarie des Sciences, 72(8), pp.1078-1085.</w:t>
      </w:r>
    </w:p>
    <w:p w14:paraId="76A4FA7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B., Kotsev, I., Keremedchiev, St., Todorova, V., Dimitrov, L. 2013. Initial assessment of the technogenic pressure in the mediolittoral zone of the Bulgarian Black Sea coast. In Proceedings of the Second European SCGIS conference „Conservation of Natural and Cultural Heritage for Sustainable Development: GIS-based Approach“, September 24th, Sofia, Bulgaria, pp. 4-13; (достъпна на http://proc.scgis.scgisbg.org/index2014.html);</w:t>
      </w:r>
    </w:p>
    <w:p w14:paraId="322A0881"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B., Kotsev, I., Lambev, T., Bekova, R. 2019c. UAVs for surveying the Bulgarian Black Sea Coast. In Comptes rendus de l’Academie Bulgarie des Sciences, In press.</w:t>
      </w:r>
    </w:p>
    <w:p w14:paraId="1195079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B., Kotsev, I., Lambev, T., Dimitrov, L., Bekova, R., Dechev, D. 2019b. Drone-based geomorphological and landscape mapping of Bolata Cove, Bulgarian coast, In Sustainable Development and Innovations in Marine Technologies, Georgiev &amp; Guedes Soares (Eds.). Taylor &amp; Francis Group, London, https://doi.org/10.1201/9780367810085 , pp. 592-598.</w:t>
      </w:r>
    </w:p>
    <w:p w14:paraId="1D50233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B., Lambev, T., Bekova, R., Kotsev, I. 2019a. Applying Unmanned Aerial Vehicles for high-resolution geomorphological mapping of the Ahtopol coastal sector (Bulgarian Black sea coast). In Proceedings of 19th International Multidisciplinary Scientific GeoConference (SGEM 2019), Vol.10. Photogrammetry and Remote Sensing, ISBN: 978-619-7408-80-5; DOI:10.5593/sgem2019/2.2/S10.05;</w:t>
      </w:r>
    </w:p>
    <w:p w14:paraId="2662B64A"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Prodanov, K, К. Dencheva, L. Ivanov, 1993. Species diversity of fish in Bulgarian Black Sea waters. National strategy for conservation of biological diversity, pp. 547-56.</w:t>
      </w:r>
    </w:p>
    <w:p w14:paraId="33F8042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Prodanov, K., Konsulova, T. and Todorova, V., 1995, March. Growth rate of Rapana thomasiana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Gastropoda</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along Bulgarian Black Sea coast. In XXXIV Congress of CIESM.</w:t>
      </w:r>
    </w:p>
    <w:p w14:paraId="4CC4531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Prodanov, K., Mikhailov, K., Daskalov, G., Maxim, C., Chashchin, A., Arkhipov, A., Shlyakhov, V. and Ozdamar, E., 1997. Environmental management of fish resources in the Black Sea and their rational exploitation. Studies and Reviews-General Fisheries Council for the Mediterranean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FAO</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w:t>
      </w:r>
    </w:p>
    <w:p w14:paraId="22B55E8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Regional oceans plan. Scotian shelf Atlantic coast. Bay of Fundy. Background and Program </w:t>
      </w:r>
      <w:r w:rsidRPr="00610B1B">
        <w:rPr>
          <w:rFonts w:ascii="Times New Roman" w:eastAsia="Source Han Sans CN Regular" w:hAnsi="Times New Roman" w:cs="Times New Roman"/>
          <w:sz w:val="24"/>
          <w:szCs w:val="24"/>
          <w:lang w:val="bg-BG" w:eastAsia="zh-CN" w:bidi="hi-IN"/>
        </w:rPr>
        <w:lastRenderedPageBreak/>
        <w:t>Description http://www.inter.dfo-mpo.gc.ca/folios/00259/docs/Oceans-Plan-Description-Background-eng.pdf );</w:t>
      </w:r>
    </w:p>
    <w:p w14:paraId="22F8E0A0"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Report of the United nations conference on environment and development (Rio de Janeiro, 3-14 June 1992)</w:t>
      </w:r>
    </w:p>
    <w:p w14:paraId="40CE23B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Revkov, N., Abaza, V., Dumitrache, C., Todorova, V., Konsulova, Ts., Mickashavidze, E., Varshanidze, M., Sezgin, M., Ozturk, B., Chikina, M.V., Kucheruk, N.V., 2008. The state of zoobenthos, in: Oguz, T.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State of the Environment of the Black Sea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2001-2006/7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BSC, Istanbul, Turkey, p. 448.</w:t>
      </w:r>
    </w:p>
    <w:p w14:paraId="3F3C987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Roberts, J. 1979. Observation of the migration of Raptors and other large soaring birds in Bulgaria, 1975-1978, - Ibis.</w:t>
      </w:r>
    </w:p>
    <w:p w14:paraId="12B1F28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Sánchez-Cabanes, A., Nimak-Wood, M., Harris, N., &amp; de Stephanis, R.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2017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Habitat preferences among three top predators inhabiting a degraded ecosystem, the Black Sea. Scientia Marina, 81</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217-227.</w:t>
      </w:r>
    </w:p>
    <w:p w14:paraId="4FB23B6C"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Scotland’s National Marine Plan, Published by The Scottish Government, March 2015</w:t>
      </w:r>
    </w:p>
    <w:p w14:paraId="039E8D4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Shiganova, T., Musaeva, E., Araskievich, E., Kamburska, L., Stefanova, K., Michneva, V., Polishchuk, L., Timofte, F., Ustun, F., Oguz, T. and Khalvashi, M., 2008. The state of zooplankton. State of the Environment of the Black Sea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2001–2006/7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pp.148-197.</w:t>
      </w:r>
    </w:p>
    <w:p w14:paraId="749EBDF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Shopov, V. 1983. Biostratigraphy of the sand accumulations on the Bulgaria Black Sea shelf. Cockatrice bank. Review of the Bulgarian Geological Society, vol. 44, part 3, 281-293.</w:t>
      </w:r>
    </w:p>
    <w:p w14:paraId="371A155B" w14:textId="46114C7E"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Simeonova, A., Chuturkova, R. and Yaneva, V., 2017. Seasonal dynamics of marine litter along the Bulgarian Black Sea coast. Marine pollution bulletin, 119</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pp.110-118.</w:t>
      </w:r>
    </w:p>
    <w:p w14:paraId="7EB210A2"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Stanchev, H., Young, R., Stancheva, M. 2013. Integrating GIS and high resolution orthophoto images for the development of a geomorphic shoreline classification and risk assessment - a case study of cliff/bluff erosion along the Bulgarian coast. Journal of coastal conservation, 17(4), 719-728.</w:t>
      </w:r>
    </w:p>
    <w:p w14:paraId="1035091F"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Stancheva, M. 2010. Sand dunes along the Bulgarian Black Sea coast. Compt. Rend. Acad. Bulg. Sci, 63(7), 1037-1048.</w:t>
      </w:r>
    </w:p>
    <w:p w14:paraId="5DAB9DE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Stancheva, M. 2013. Bulgaria. In Coastal erosion and protection in Europe. (eds. Pranzini, E., Williams, A.) Routledge.</w:t>
      </w:r>
    </w:p>
    <w:p w14:paraId="1BD4ED1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Stancheva, M., Marinski, J., Peychev, V., Palazov, A., Stanchev, H. 2011. Long-term coastal changes of Varna bay caused by anthropogenic influence. GeoEcoMarina, 17.</w:t>
      </w:r>
    </w:p>
    <w:p w14:paraId="5297C30D"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Stefanov, T., 2007. ‘Fauna and Distribution of Fishes in Bulgaria’, in Fet, V. and Popov, 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Biogeography and Ecology of Bulgaria. София: Springer, pp. 109–139. doi: 10.1007/978-1-4020-5781-6.</w:t>
      </w:r>
    </w:p>
    <w:p w14:paraId="232298B3" w14:textId="16D03355"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Stefanov, T., 2011. ‘Red Data Book of the Republic of Bulgaria. Digital Edition.’, in Golemanski, V. et al.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eds</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Red Data Book of the Republic of Bulgaria. Sofia: IBEI - BAS and MOEW, p. 48. </w:t>
      </w:r>
      <w:hyperlink r:id="rId350" w:history="1">
        <w:r w:rsidRPr="00610B1B">
          <w:rPr>
            <w:rFonts w:ascii="Times New Roman" w:eastAsia="Source Han Sans CN Regular" w:hAnsi="Times New Roman" w:cs="Times New Roman"/>
            <w:sz w:val="24"/>
            <w:szCs w:val="24"/>
            <w:lang w:val="bg-BG" w:eastAsia="zh-CN" w:bidi="hi-IN"/>
          </w:rPr>
          <w:t>http://e-ecodb.bas.bg/rdb/en/vol1/Genlutea.html</w:t>
        </w:r>
      </w:hyperlink>
      <w:r w:rsidRPr="00610B1B">
        <w:rPr>
          <w:rFonts w:ascii="Times New Roman" w:eastAsia="Source Han Sans CN Regular" w:hAnsi="Times New Roman" w:cs="Times New Roman"/>
          <w:sz w:val="24"/>
          <w:szCs w:val="24"/>
          <w:lang w:val="bg-BG" w:eastAsia="zh-CN" w:bidi="hi-IN"/>
        </w:rPr>
        <w:t>.</w:t>
      </w:r>
    </w:p>
    <w:p w14:paraId="0148CFB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Sukhanova, I.N., Flint, M. V, Hibaum, G., Karamfilov, V., Kopylov, A.I., Matveeva, E., Ratkova, </w:t>
      </w:r>
      <w:r w:rsidRPr="00610B1B">
        <w:rPr>
          <w:rFonts w:ascii="Times New Roman" w:eastAsia="Source Han Sans CN Regular" w:hAnsi="Times New Roman" w:cs="Times New Roman"/>
          <w:sz w:val="24"/>
          <w:szCs w:val="24"/>
          <w:lang w:val="bg-BG" w:eastAsia="zh-CN" w:bidi="hi-IN"/>
        </w:rPr>
        <w:lastRenderedPageBreak/>
        <w:t xml:space="preserve">T.N., Sazhin, A.F., 1988. Exuviaella cordata red tide in Bulgarian coastal waters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May to June 1986</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Mar. Biol. 99, 1–8. doi:10.1007/BF00644971</w:t>
      </w:r>
    </w:p>
    <w:p w14:paraId="61564ECA" w14:textId="4C4E09B6"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Technologies</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That</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Are</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Used</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To</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Study</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And</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Understand</w:t>
      </w:r>
      <w:r w:rsidR="009B6D1D" w:rsidRPr="00610B1B">
        <w:rPr>
          <w:rFonts w:ascii="Times New Roman" w:eastAsia="Source Han Sans CN Regular" w:hAnsi="Times New Roman" w:cs="Times New Roman"/>
          <w:sz w:val="24"/>
          <w:szCs w:val="24"/>
          <w:lang w:val="bg-BG" w:eastAsia="zh-CN" w:bidi="hi-IN"/>
        </w:rPr>
        <w:t> </w:t>
      </w:r>
      <w:r w:rsidRPr="00610B1B">
        <w:rPr>
          <w:rFonts w:ascii="Times New Roman" w:eastAsia="Source Han Sans CN Regular" w:hAnsi="Times New Roman" w:cs="Times New Roman"/>
          <w:sz w:val="24"/>
          <w:szCs w:val="24"/>
          <w:lang w:val="bg-BG" w:eastAsia="zh-CN" w:bidi="hi-IN"/>
        </w:rPr>
        <w:t xml:space="preserve">Oceans </w:t>
      </w:r>
      <w:hyperlink r:id="rId351" w:history="1">
        <w:r w:rsidRPr="00610B1B">
          <w:rPr>
            <w:rFonts w:ascii="Times New Roman" w:eastAsia="Source Han Sans CN Regular" w:hAnsi="Times New Roman" w:cs="Times New Roman"/>
            <w:color w:val="0000FF"/>
            <w:sz w:val="24"/>
            <w:szCs w:val="24"/>
            <w:u w:val="single"/>
            <w:lang w:val="bg-BG" w:eastAsia="zh-CN" w:bidi="hi-IN"/>
          </w:rPr>
          <w:t>https://www.marineinsight.com/tech/11-technologies-that-are-used-to-study-and-understand-oceans/</w:t>
        </w:r>
      </w:hyperlink>
    </w:p>
    <w:p w14:paraId="4719800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The 2019 Annual economic report on the EU fishing fleet (STECF 19-06)</w:t>
      </w:r>
    </w:p>
    <w:p w14:paraId="3850D639"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The EU Blue Economy Report, 2018, Commission for Environment, Maritime Affairs and Fisheries, EC</w:t>
      </w:r>
    </w:p>
    <w:p w14:paraId="1037081A" w14:textId="68D7700B"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The EU Blue Economy Report, 2019, Commission for Environment, Maritime Affairs and MSFD reporting on Initial Assessments (Art. 8), Good Environmental Status (Art.9), Env. targets &amp; associated indicators (Art.10) &amp; related reporting on geographic areas, regional cooperation and metadata (</w:t>
      </w:r>
      <w:hyperlink r:id="rId352" w:history="1">
        <w:r w:rsidR="00BF58D9" w:rsidRPr="00610B1B">
          <w:rPr>
            <w:rStyle w:val="Hyperlink"/>
            <w:rFonts w:ascii="Times New Roman" w:eastAsia="Source Han Sans CN Regular" w:hAnsi="Times New Roman" w:cs="Times New Roman"/>
            <w:sz w:val="24"/>
            <w:szCs w:val="24"/>
            <w:lang w:val="bg-BG" w:eastAsia="zh-CN" w:bidi="hi-IN"/>
          </w:rPr>
          <w:t>https://cdr.eionet.europa.eu/bg/eu/msfd8910/</w:t>
        </w:r>
      </w:hyperlink>
      <w:r w:rsidRPr="00610B1B">
        <w:rPr>
          <w:rFonts w:ascii="Times New Roman" w:eastAsia="Source Han Sans CN Regular" w:hAnsi="Times New Roman" w:cs="Times New Roman"/>
          <w:sz w:val="24"/>
          <w:szCs w:val="24"/>
          <w:lang w:val="bg-BG" w:eastAsia="zh-CN" w:bidi="hi-IN"/>
        </w:rPr>
        <w:t xml:space="preserve">) </w:t>
      </w:r>
    </w:p>
    <w:p w14:paraId="2A3E742F" w14:textId="2BF24989"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The Importance of Technology for the Marine and Maritime Sectors </w:t>
      </w:r>
      <w:hyperlink r:id="rId353" w:history="1">
        <w:r w:rsidRPr="00610B1B">
          <w:rPr>
            <w:rFonts w:ascii="Times New Roman" w:eastAsia="Source Han Sans CN Regular" w:hAnsi="Times New Roman" w:cs="Times New Roman"/>
            <w:color w:val="0000FF"/>
            <w:sz w:val="24"/>
            <w:szCs w:val="24"/>
            <w:u w:val="single"/>
            <w:lang w:val="bg-BG" w:eastAsia="zh-CN" w:bidi="hi-IN"/>
          </w:rPr>
          <w:t>https://www.researchgate.net/publication/279030409_The_Importance_of_Technology_for_the_Marine_and_Maritime_Sectors</w:t>
        </w:r>
      </w:hyperlink>
      <w:r w:rsidRPr="00610B1B">
        <w:rPr>
          <w:rFonts w:ascii="Times New Roman" w:eastAsia="Source Han Sans CN Regular" w:hAnsi="Times New Roman" w:cs="Times New Roman"/>
          <w:sz w:val="24"/>
          <w:szCs w:val="24"/>
          <w:lang w:val="bg-BG" w:eastAsia="zh-CN" w:bidi="hi-IN"/>
        </w:rPr>
        <w:t xml:space="preserve"> </w:t>
      </w:r>
    </w:p>
    <w:p w14:paraId="38FC0564"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Todorova, V., Abaza, V., Todorov, E., Wolfram, G., 2015. Black Sea GIG - Coastal waters – BQE invertebrate fauna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Intercalibration technical report</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WG ECOSTAT, EC.</w:t>
      </w:r>
    </w:p>
    <w:p w14:paraId="3767B0C2" w14:textId="08FBEA0F"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Todorova, V., Dimitrov, L., Doncheva, V., Trifonova, E., Prodanov, B., 2015. Benthic Habitat Mapping in the Bulgarian Black Sea. In Proceedings of 12th International Conference on the Mediterranean Coastal Environment (MEDCOAST 2015), v.1, Varna, pp.251-262(</w:t>
      </w:r>
      <w:hyperlink r:id="rId354" w:history="1">
        <w:r w:rsidRPr="00610B1B">
          <w:rPr>
            <w:rFonts w:ascii="Times New Roman" w:eastAsia="Source Han Sans CN Regular" w:hAnsi="Times New Roman" w:cs="Times New Roman"/>
            <w:color w:val="0000FF"/>
            <w:sz w:val="24"/>
            <w:szCs w:val="24"/>
            <w:u w:val="single"/>
            <w:lang w:val="bg-BG" w:eastAsia="zh-CN" w:bidi="hi-IN"/>
          </w:rPr>
          <w:t>http://www.coconet-fp7.eu/images/sci-pub/118_Todorova_edited%20(2).pdf)</w:t>
        </w:r>
      </w:hyperlink>
      <w:r w:rsidRPr="00610B1B">
        <w:rPr>
          <w:rFonts w:ascii="Times New Roman" w:eastAsia="Source Han Sans CN Regular" w:hAnsi="Times New Roman" w:cs="Times New Roman"/>
          <w:sz w:val="24"/>
          <w:szCs w:val="24"/>
          <w:lang w:val="bg-BG" w:eastAsia="zh-CN" w:bidi="hi-IN"/>
        </w:rPr>
        <w:t>;</w:t>
      </w:r>
    </w:p>
    <w:p w14:paraId="1FF4DDB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Todorova, V., Konsulova, Ts., 2008. Ecological state assessment of zoobenthic communities of the north-western Black Sea shelf - the performance of multivariate and univariate approaches. Presented at the 1st Biannual Scientific Conference: The Black Sea ecosystem 2005 and beyond, Istanbul, Turkey, pp. 726–742.</w:t>
      </w:r>
    </w:p>
    <w:p w14:paraId="0FEB7EA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Trifonova, 2007. Modelling of cross shore profile changes under combination of extreme storm events. Port· Cost· Environment, 4-th PDCE Conference, Varna 2007, рр.301-311.</w:t>
      </w:r>
    </w:p>
    <w:p w14:paraId="58663165"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Tyldesley, D. 2004. Irish sea pilot project: Report on Marine Spatial Planning: DTA</w:t>
      </w:r>
    </w:p>
    <w:p w14:paraId="6381C508"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Valchev, N., Andreeva, N., Prodanov, B., 2014. Study on wave exposure of Bulgarian Black Sea coast, In Proc. 12th Int. Conference on Marine Science and Technology „Black Sea" 2014, Varna, pp. 175-182, ISSN 1314-0957</w:t>
      </w:r>
    </w:p>
    <w:p w14:paraId="0470BFD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Vasilev, V., Karamfilov, V., Dencheva, K., Hiebaum, G., 2005. Spatial distribution of benthic macrophytes and their communities in the regions aroun Sozopol and cape Maslen. Results from a pilot study carried out within the Natura-2000 program, in: Chipev V., N.B.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Ed.</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Biodiversity, Ecosystems, Global Changes. Proceedings of the First National Ecology Conference. Petekston, Sofia.</w:t>
      </w:r>
    </w:p>
    <w:p w14:paraId="747C5F36"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Velikova, V., Moncheva, S. and Petrova, D., 1999. Phytoplankton dynamics and red tides </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1987–1997</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xml:space="preserve"> in the Bulgarian Black Sea. Water Science and Technology, 39</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8</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 27-36.</w:t>
      </w:r>
    </w:p>
    <w:p w14:paraId="625D9F1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lastRenderedPageBreak/>
        <w:t>Vollenweider, R.A., Giovanardi, F., Montanari, G. and Rinaldi, A., 1998. Characterization of the trophic conditions of marine coastal waters with special reference to the NW Adriatic Sea: proposal for a trophic scale, turbidity and generalized water quality index. Environmetrics: The official journal of the International Environmetrics Society, 9</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3</w:t>
      </w:r>
      <w:r w:rsidRPr="00610B1B">
        <w:rPr>
          <w:rFonts w:ascii="Times New Roman" w:eastAsia="Source Han Sans CN Regular" w:hAnsi="Times New Roman" w:cs="Times New Roman"/>
          <w:iCs/>
          <w:sz w:val="24"/>
          <w:szCs w:val="24"/>
          <w:lang w:val="bg-BG" w:eastAsia="zh-CN" w:bidi="hi-IN"/>
        </w:rPr>
        <w:t>)</w:t>
      </w:r>
      <w:r w:rsidRPr="00610B1B">
        <w:rPr>
          <w:rFonts w:ascii="Times New Roman" w:eastAsia="Source Han Sans CN Regular" w:hAnsi="Times New Roman" w:cs="Times New Roman"/>
          <w:sz w:val="24"/>
          <w:szCs w:val="24"/>
          <w:lang w:val="bg-BG" w:eastAsia="zh-CN" w:bidi="hi-IN"/>
        </w:rPr>
        <w:t>, pp.329-357.</w:t>
      </w:r>
    </w:p>
    <w:p w14:paraId="3CAD1497"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Yankova, M., 2016. Alien invasive fish species in Bulgarian waters: an overview. Int J Fish Aquat Stud, 4, pp.282-290.</w:t>
      </w:r>
    </w:p>
    <w:p w14:paraId="56FBB986" w14:textId="45F853A5"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Zaitsev Yu., Mamaev V. 1997. Marine Biological Diversity in</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the</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Black</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Sea:</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A</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Study</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of</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Change</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and</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Decline.</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United Nations Publ., New-York, 208 p.</w:t>
      </w:r>
    </w:p>
    <w:p w14:paraId="62ADAD71" w14:textId="77777777" w:rsidR="009918C6" w:rsidRPr="00610B1B" w:rsidRDefault="009918C6" w:rsidP="009918C6">
      <w:pPr>
        <w:widowControl w:val="0"/>
        <w:spacing w:after="120"/>
        <w:ind w:right="-153"/>
        <w:jc w:val="both"/>
        <w:rPr>
          <w:rFonts w:ascii="Times New Roman" w:eastAsia="Source Han Sans CN Regular" w:hAnsi="Times New Roman" w:cs="Times New Roman"/>
          <w:sz w:val="24"/>
          <w:szCs w:val="24"/>
          <w:lang w:val="bg-BG" w:eastAsia="zh-CN" w:bidi="hi-IN"/>
        </w:rPr>
      </w:pPr>
    </w:p>
    <w:p w14:paraId="12092D43"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Zaitsev Yu.P. 1993. Impact of eutrophication on the Black Sea fauna. FAO Studies and Reviews. 64:63-86.</w:t>
      </w:r>
    </w:p>
    <w:p w14:paraId="051A262E" w14:textId="77777777"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Zaitsev, Y., 1992. Recent changes in the trophic structure of the Black Sea. Fish. Oceanogr. Vol 1 1, 180–189.</w:t>
      </w:r>
    </w:p>
    <w:p w14:paraId="57376716" w14:textId="15D0772F" w:rsidR="00BE57CC" w:rsidRPr="00610B1B" w:rsidRDefault="00BE57CC" w:rsidP="00BE57CC">
      <w:pPr>
        <w:widowControl w:val="0"/>
        <w:numPr>
          <w:ilvl w:val="0"/>
          <w:numId w:val="98"/>
        </w:numPr>
        <w:spacing w:after="120"/>
        <w:ind w:left="426" w:right="-153" w:hanging="426"/>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Zehden, A., Gee,</w:t>
      </w:r>
      <w:r w:rsidR="00D66FE0" w:rsidRPr="00610B1B">
        <w:rPr>
          <w:rFonts w:ascii="Times New Roman" w:eastAsia="Source Han Sans CN Regular" w:hAnsi="Times New Roman" w:cs="Times New Roman"/>
          <w:sz w:val="24"/>
          <w:szCs w:val="24"/>
          <w:lang w:val="bg-BG" w:eastAsia="zh-CN" w:bidi="hi-IN"/>
        </w:rPr>
        <w:t xml:space="preserve"> </w:t>
      </w:r>
      <w:r w:rsidRPr="00610B1B">
        <w:rPr>
          <w:rFonts w:ascii="Times New Roman" w:eastAsia="Source Han Sans CN Regular" w:hAnsi="Times New Roman" w:cs="Times New Roman"/>
          <w:sz w:val="24"/>
          <w:szCs w:val="24"/>
          <w:lang w:val="bg-BG" w:eastAsia="zh-CN" w:bidi="hi-IN"/>
        </w:rPr>
        <w:t>K. and Ścibior, K. 2008. Handbook on Integrated Maritime Spatial Planning: INTERREG III B CADSES Plan Coast Project</w:t>
      </w:r>
    </w:p>
    <w:p w14:paraId="037A8F90" w14:textId="77777777" w:rsidR="00BE57CC" w:rsidRPr="00610B1B" w:rsidRDefault="00BE57CC" w:rsidP="00BE57CC">
      <w:pPr>
        <w:widowControl w:val="0"/>
        <w:spacing w:after="120"/>
        <w:ind w:left="567" w:right="-153"/>
        <w:jc w:val="both"/>
        <w:rPr>
          <w:rFonts w:ascii="Times New Roman" w:eastAsia="Source Han Sans CN Regular" w:hAnsi="Times New Roman" w:cs="Times New Roman"/>
          <w:sz w:val="24"/>
          <w:szCs w:val="24"/>
          <w:lang w:val="bg-BG" w:eastAsia="zh-CN" w:bidi="hi-IN"/>
        </w:rPr>
      </w:pPr>
    </w:p>
    <w:p w14:paraId="0FE22F41" w14:textId="77777777" w:rsidR="00BE57CC" w:rsidRPr="00610B1B" w:rsidRDefault="00BE57CC" w:rsidP="00BE57CC">
      <w:pPr>
        <w:keepNext/>
        <w:widowControl w:val="0"/>
        <w:numPr>
          <w:ilvl w:val="1"/>
          <w:numId w:val="1"/>
        </w:numPr>
        <w:spacing w:after="120"/>
        <w:ind w:right="-153"/>
        <w:outlineLvl w:val="1"/>
        <w:rPr>
          <w:rFonts w:ascii="Times New Roman" w:eastAsia="Source Han Sans CN Regular" w:hAnsi="Times New Roman" w:cs="Times New Roman"/>
          <w:b/>
          <w:bCs/>
          <w:color w:val="0F243E" w:themeColor="text2" w:themeShade="80"/>
          <w:sz w:val="32"/>
          <w:szCs w:val="32"/>
          <w:lang w:val="bg-BG" w:eastAsia="zh-CN" w:bidi="hi-IN"/>
        </w:rPr>
      </w:pPr>
      <w:bookmarkStart w:id="545" w:name="_Toc56961590"/>
      <w:bookmarkStart w:id="546" w:name="_Toc83391462"/>
      <w:r w:rsidRPr="00610B1B">
        <w:rPr>
          <w:rFonts w:ascii="Times New Roman" w:eastAsia="Source Han Sans CN Regular" w:hAnsi="Times New Roman" w:cs="Times New Roman"/>
          <w:b/>
          <w:bCs/>
          <w:color w:val="0F243E" w:themeColor="text2" w:themeShade="80"/>
          <w:sz w:val="32"/>
          <w:szCs w:val="32"/>
          <w:lang w:val="bg-BG" w:eastAsia="zh-CN" w:bidi="hi-IN"/>
        </w:rPr>
        <w:t>11.7. Интернет</w:t>
      </w:r>
      <w:bookmarkEnd w:id="545"/>
      <w:bookmarkEnd w:id="546"/>
    </w:p>
    <w:p w14:paraId="733B7CF8" w14:textId="434EFA65" w:rsidR="00BE57CC" w:rsidRPr="00610B1B" w:rsidRDefault="00BE57CC" w:rsidP="00BE57CC">
      <w:pPr>
        <w:widowControl w:val="0"/>
        <w:numPr>
          <w:ilvl w:val="0"/>
          <w:numId w:val="9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bCs/>
          <w:color w:val="000000"/>
          <w:sz w:val="24"/>
          <w:szCs w:val="24"/>
          <w:shd w:val="clear" w:color="auto" w:fill="FFFFFF"/>
          <w:lang w:val="bg-BG" w:eastAsia="zh-CN" w:bidi="hi-IN"/>
        </w:rPr>
        <w:t>Изпълнителната агенция по околна среда (ИАОС)</w:t>
      </w:r>
      <w:r w:rsidRPr="00610B1B">
        <w:rPr>
          <w:rFonts w:ascii="Times New Roman" w:eastAsia="Source Han Sans CN Regular" w:hAnsi="Times New Roman" w:cs="Times New Roman"/>
          <w:sz w:val="24"/>
          <w:szCs w:val="24"/>
          <w:lang w:val="bg-BG" w:eastAsia="zh-CN" w:bidi="hi-IN"/>
        </w:rPr>
        <w:t xml:space="preserve">: </w:t>
      </w:r>
      <w:hyperlink r:id="rId355" w:history="1">
        <w:r w:rsidRPr="00610B1B">
          <w:rPr>
            <w:rFonts w:ascii="Times New Roman" w:eastAsia="Source Han Sans CN Regular" w:hAnsi="Times New Roman" w:cs="Times New Roman"/>
            <w:color w:val="0000FF"/>
            <w:sz w:val="24"/>
            <w:szCs w:val="24"/>
            <w:u w:val="single"/>
            <w:lang w:val="bg-BG" w:eastAsia="zh-CN" w:bidi="hi-IN"/>
          </w:rPr>
          <w:t>http://eea.government.bg/bg/opos_2014-2020/opos_os3</w:t>
        </w:r>
      </w:hyperlink>
      <w:r w:rsidRPr="00610B1B">
        <w:rPr>
          <w:rFonts w:ascii="Times New Roman" w:eastAsia="Source Han Sans CN Regular" w:hAnsi="Times New Roman" w:cs="Times New Roman"/>
          <w:sz w:val="24"/>
          <w:szCs w:val="24"/>
          <w:lang w:val="bg-BG" w:eastAsia="zh-CN" w:bidi="hi-IN"/>
        </w:rPr>
        <w:t xml:space="preserve"> </w:t>
      </w:r>
    </w:p>
    <w:p w14:paraId="4C362450" w14:textId="47E8D054" w:rsidR="00BE57CC" w:rsidRPr="00610B1B" w:rsidRDefault="00BE57CC" w:rsidP="00BE57CC">
      <w:pPr>
        <w:numPr>
          <w:ilvl w:val="0"/>
          <w:numId w:val="99"/>
        </w:numPr>
        <w:spacing w:after="120"/>
        <w:ind w:left="426" w:right="-153" w:hanging="426"/>
        <w:rPr>
          <w:rFonts w:ascii="Times New Roman" w:eastAsia="Lohit Devanagari" w:hAnsi="Times New Roman" w:cs="Times New Roman"/>
          <w:color w:val="0000FF"/>
          <w:sz w:val="24"/>
          <w:szCs w:val="24"/>
          <w:u w:val="single"/>
          <w:lang w:val="bg-BG" w:eastAsia="ar-SA" w:bidi="hi-IN"/>
        </w:rPr>
      </w:pPr>
      <w:r w:rsidRPr="00610B1B">
        <w:rPr>
          <w:rFonts w:ascii="Times New Roman" w:eastAsia="Lohit Devanagari" w:hAnsi="Times New Roman" w:cs="Times New Roman"/>
          <w:iCs/>
          <w:color w:val="00000A"/>
          <w:sz w:val="24"/>
          <w:szCs w:val="24"/>
          <w:lang w:val="bg-BG" w:eastAsia="ar-SA" w:bidi="hi-IN"/>
        </w:rPr>
        <w:t xml:space="preserve">Изпълнителната агенция по рибарство и аквакултури: </w:t>
      </w:r>
      <w:hyperlink r:id="rId356" w:history="1">
        <w:r w:rsidRPr="00610B1B">
          <w:rPr>
            <w:rFonts w:ascii="Times New Roman" w:eastAsia="Lohit Devanagari" w:hAnsi="Times New Roman" w:cs="Times New Roman"/>
            <w:color w:val="0000FF"/>
            <w:sz w:val="24"/>
            <w:szCs w:val="24"/>
            <w:u w:val="single"/>
            <w:lang w:val="bg-BG" w:eastAsia="ar-SA" w:bidi="hi-IN"/>
          </w:rPr>
          <w:t>http://iara.government.bg/?page_id=11</w:t>
        </w:r>
      </w:hyperlink>
    </w:p>
    <w:p w14:paraId="541BF265" w14:textId="498D05F9" w:rsidR="00BE57CC" w:rsidRPr="00610B1B" w:rsidRDefault="00BE57CC" w:rsidP="00BE57CC">
      <w:pPr>
        <w:numPr>
          <w:ilvl w:val="0"/>
          <w:numId w:val="99"/>
        </w:numPr>
        <w:spacing w:after="120"/>
        <w:ind w:right="-153"/>
        <w:rPr>
          <w:rFonts w:ascii="Times New Roman" w:eastAsia="Lohit Devanagari" w:hAnsi="Times New Roman" w:cs="Times New Roman"/>
          <w:color w:val="00000A"/>
          <w:sz w:val="24"/>
          <w:szCs w:val="24"/>
          <w:lang w:val="bg-BG" w:eastAsia="ar-SA" w:bidi="hi-IN"/>
        </w:rPr>
      </w:pPr>
      <w:r w:rsidRPr="00610B1B">
        <w:rPr>
          <w:rFonts w:ascii="Times New Roman" w:eastAsia="Lohit Devanagari" w:hAnsi="Times New Roman" w:cs="Times New Roman"/>
          <w:sz w:val="24"/>
          <w:szCs w:val="24"/>
          <w:lang w:val="bg-BG" w:eastAsia="ar-SA" w:bidi="hi-IN"/>
        </w:rPr>
        <w:t xml:space="preserve">Министерство на околната среда и водите. Доклади по директивата за отпадъчните води: </w:t>
      </w:r>
      <w:hyperlink r:id="rId357" w:history="1">
        <w:r w:rsidRPr="00610B1B">
          <w:rPr>
            <w:rFonts w:ascii="Times New Roman" w:eastAsia="Lohit Devanagari" w:hAnsi="Times New Roman" w:cs="Times New Roman"/>
            <w:color w:val="0000FF"/>
            <w:sz w:val="24"/>
            <w:szCs w:val="24"/>
            <w:u w:val="single"/>
            <w:lang w:val="bg-BG" w:eastAsia="ar-SA" w:bidi="hi-IN"/>
          </w:rPr>
          <w:t>https://www.moew.government.bg/bg/vodi/opazvane-na-vodite-ot-zamursyavane/kanalizacionni-sistemi/dokladi/</w:t>
        </w:r>
      </w:hyperlink>
      <w:r w:rsidRPr="00610B1B">
        <w:rPr>
          <w:rFonts w:ascii="Times New Roman" w:eastAsia="Lohit Devanagari" w:hAnsi="Times New Roman" w:cs="Times New Roman"/>
          <w:color w:val="314C9B"/>
          <w:sz w:val="24"/>
          <w:szCs w:val="24"/>
          <w:lang w:val="bg-BG" w:eastAsia="ar-SA" w:bidi="hi-IN"/>
        </w:rPr>
        <w:t xml:space="preserve"> </w:t>
      </w:r>
    </w:p>
    <w:p w14:paraId="4F2EE4A8" w14:textId="422B0B08" w:rsidR="00BE57CC" w:rsidRPr="00610B1B" w:rsidRDefault="00BE57CC" w:rsidP="00BE57CC">
      <w:pPr>
        <w:widowControl w:val="0"/>
        <w:numPr>
          <w:ilvl w:val="0"/>
          <w:numId w:val="9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Проект „Интегрирана информационна система за поддръжка управлението на бреговата зона: </w:t>
      </w:r>
      <w:hyperlink r:id="rId358" w:history="1">
        <w:r w:rsidRPr="00610B1B">
          <w:rPr>
            <w:rFonts w:ascii="Times New Roman" w:eastAsia="Source Han Sans CN Regular" w:hAnsi="Times New Roman" w:cs="Times New Roman"/>
            <w:color w:val="0000FF"/>
            <w:sz w:val="24"/>
            <w:szCs w:val="24"/>
            <w:u w:val="single"/>
            <w:lang w:val="bg-BG" w:eastAsia="zh-CN" w:bidi="hi-IN"/>
          </w:rPr>
          <w:t>http://projects.nvna.eu/iissczm /</w:t>
        </w:r>
      </w:hyperlink>
      <w:r w:rsidRPr="00610B1B">
        <w:rPr>
          <w:rFonts w:ascii="Times New Roman" w:eastAsia="Source Han Sans CN Regular" w:hAnsi="Times New Roman" w:cs="Times New Roman"/>
          <w:sz w:val="24"/>
          <w:szCs w:val="24"/>
          <w:lang w:val="bg-BG" w:eastAsia="zh-CN" w:bidi="hi-IN"/>
        </w:rPr>
        <w:t xml:space="preserve"> </w:t>
      </w:r>
    </w:p>
    <w:p w14:paraId="5506E44F" w14:textId="08530920" w:rsidR="00BE57CC" w:rsidRPr="00610B1B" w:rsidRDefault="00BE57CC" w:rsidP="00BE57CC">
      <w:pPr>
        <w:widowControl w:val="0"/>
        <w:numPr>
          <w:ilvl w:val="0"/>
          <w:numId w:val="99"/>
        </w:numPr>
        <w:spacing w:after="120"/>
        <w:ind w:right="-153"/>
        <w:jc w:val="both"/>
        <w:rPr>
          <w:rFonts w:ascii="Times New Roman" w:eastAsia="Source Han Sans CN Regular" w:hAnsi="Times New Roman" w:cs="Times New Roman"/>
          <w:b/>
          <w:sz w:val="24"/>
          <w:szCs w:val="24"/>
          <w:lang w:val="bg-BG" w:eastAsia="zh-CN" w:bidi="hi-IN"/>
        </w:rPr>
      </w:pPr>
      <w:r w:rsidRPr="00610B1B">
        <w:rPr>
          <w:rFonts w:ascii="Times New Roman" w:eastAsia="Source Han Sans CN Regular" w:hAnsi="Times New Roman" w:cs="Times New Roman"/>
          <w:sz w:val="24"/>
          <w:szCs w:val="24"/>
          <w:shd w:val="clear" w:color="auto" w:fill="FFFFFF"/>
          <w:lang w:val="bg-BG" w:eastAsia="zh-CN" w:bidi="hi-IN"/>
        </w:rPr>
        <w:t>Държавно</w:t>
      </w:r>
      <w:r w:rsidR="009B6D1D" w:rsidRPr="00610B1B">
        <w:rPr>
          <w:rFonts w:ascii="Times New Roman" w:eastAsia="Source Han Sans CN Regular" w:hAnsi="Times New Roman" w:cs="Times New Roman"/>
          <w:sz w:val="24"/>
          <w:szCs w:val="24"/>
          <w:shd w:val="clear" w:color="auto" w:fill="FFFFFF"/>
          <w:lang w:val="bg-BG" w:eastAsia="zh-CN" w:bidi="hi-IN"/>
        </w:rPr>
        <w:t> </w:t>
      </w:r>
      <w:r w:rsidRPr="00610B1B">
        <w:rPr>
          <w:rFonts w:ascii="Times New Roman" w:eastAsia="Source Han Sans CN Regular" w:hAnsi="Times New Roman" w:cs="Times New Roman"/>
          <w:sz w:val="24"/>
          <w:szCs w:val="24"/>
          <w:shd w:val="clear" w:color="auto" w:fill="FFFFFF"/>
          <w:lang w:val="bg-BG" w:eastAsia="zh-CN" w:bidi="hi-IN"/>
        </w:rPr>
        <w:t>предприятие</w:t>
      </w:r>
      <w:r w:rsidR="009B6D1D" w:rsidRPr="00610B1B">
        <w:rPr>
          <w:rFonts w:ascii="Times New Roman" w:eastAsia="Source Han Sans CN Regular" w:hAnsi="Times New Roman" w:cs="Times New Roman"/>
          <w:sz w:val="24"/>
          <w:szCs w:val="24"/>
          <w:shd w:val="clear" w:color="auto" w:fill="FFFFFF"/>
          <w:lang w:val="bg-BG" w:eastAsia="zh-CN" w:bidi="hi-IN"/>
        </w:rPr>
        <w:t> </w:t>
      </w:r>
      <w:r w:rsidRPr="00610B1B">
        <w:rPr>
          <w:rFonts w:ascii="Times New Roman" w:eastAsia="Source Han Sans CN Regular" w:hAnsi="Times New Roman" w:cs="Times New Roman"/>
          <w:sz w:val="24"/>
          <w:szCs w:val="24"/>
          <w:shd w:val="clear" w:color="auto" w:fill="FFFFFF"/>
          <w:lang w:val="bg-BG" w:eastAsia="zh-CN" w:bidi="hi-IN"/>
        </w:rPr>
        <w:t>„Пристанищна</w:t>
      </w:r>
      <w:r w:rsidR="009B6D1D" w:rsidRPr="00610B1B">
        <w:rPr>
          <w:rFonts w:ascii="Times New Roman" w:eastAsia="Source Han Sans CN Regular" w:hAnsi="Times New Roman" w:cs="Times New Roman"/>
          <w:sz w:val="24"/>
          <w:szCs w:val="24"/>
          <w:shd w:val="clear" w:color="auto" w:fill="FFFFFF"/>
          <w:lang w:val="bg-BG" w:eastAsia="zh-CN" w:bidi="hi-IN"/>
        </w:rPr>
        <w:t> </w:t>
      </w:r>
      <w:r w:rsidRPr="00610B1B">
        <w:rPr>
          <w:rFonts w:ascii="Times New Roman" w:eastAsia="Source Han Sans CN Regular" w:hAnsi="Times New Roman" w:cs="Times New Roman"/>
          <w:sz w:val="24"/>
          <w:szCs w:val="24"/>
          <w:shd w:val="clear" w:color="auto" w:fill="FFFFFF"/>
          <w:lang w:val="bg-BG" w:eastAsia="zh-CN" w:bidi="hi-IN"/>
        </w:rPr>
        <w:t>инфраструктура”</w:t>
      </w:r>
      <w:r w:rsidR="009B6D1D" w:rsidRPr="00610B1B">
        <w:rPr>
          <w:rFonts w:ascii="Times New Roman" w:eastAsia="Source Han Sans CN Regular" w:hAnsi="Times New Roman" w:cs="Times New Roman"/>
          <w:sz w:val="24"/>
          <w:szCs w:val="24"/>
          <w:shd w:val="clear" w:color="auto" w:fill="FFFFFF"/>
          <w:lang w:val="bg-BG" w:eastAsia="zh-CN" w:bidi="hi-IN"/>
        </w:rPr>
        <w:t> </w:t>
      </w:r>
      <w:r w:rsidRPr="00610B1B">
        <w:rPr>
          <w:rFonts w:ascii="Times New Roman" w:eastAsia="Source Han Sans CN Regular" w:hAnsi="Times New Roman" w:cs="Times New Roman"/>
          <w:sz w:val="24"/>
          <w:szCs w:val="24"/>
          <w:shd w:val="clear" w:color="auto" w:fill="FFFFFF"/>
          <w:lang w:val="bg-BG" w:eastAsia="zh-CN" w:bidi="hi-IN"/>
        </w:rPr>
        <w:t xml:space="preserve">(ДППИ): </w:t>
      </w:r>
      <w:hyperlink r:id="rId359" w:history="1">
        <w:r w:rsidRPr="00610B1B">
          <w:rPr>
            <w:rFonts w:ascii="Times New Roman" w:eastAsia="Source Han Sans CN Regular" w:hAnsi="Times New Roman" w:cs="Times New Roman"/>
            <w:color w:val="0000FF"/>
            <w:sz w:val="24"/>
            <w:szCs w:val="24"/>
            <w:u w:val="single"/>
            <w:lang w:val="bg-BG" w:eastAsia="zh-CN" w:bidi="hi-IN"/>
          </w:rPr>
          <w:t>http://www.bgports.bg/bg/page/24</w:t>
        </w:r>
      </w:hyperlink>
      <w:r w:rsidR="00D66FE0" w:rsidRPr="00610B1B">
        <w:rPr>
          <w:rFonts w:ascii="Times New Roman" w:eastAsia="Source Han Sans CN Regular" w:hAnsi="Times New Roman" w:cs="Times New Roman"/>
          <w:b/>
          <w:sz w:val="24"/>
          <w:szCs w:val="24"/>
          <w:lang w:val="bg-BG" w:eastAsia="zh-CN" w:bidi="hi-IN"/>
        </w:rPr>
        <w:t xml:space="preserve"> </w:t>
      </w:r>
    </w:p>
    <w:p w14:paraId="75715131" w14:textId="7491D495" w:rsidR="002F29DE" w:rsidRPr="00610B1B" w:rsidRDefault="00BE57CC" w:rsidP="004567E9">
      <w:pPr>
        <w:widowControl w:val="0"/>
        <w:numPr>
          <w:ilvl w:val="0"/>
          <w:numId w:val="9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color w:val="000000"/>
          <w:sz w:val="24"/>
          <w:szCs w:val="24"/>
          <w:lang w:val="bg-BG" w:eastAsia="zh-CN" w:bidi="hi-IN"/>
        </w:rPr>
        <w:t>Басейнова</w:t>
      </w:r>
      <w:r w:rsidR="009B6D1D" w:rsidRPr="00610B1B">
        <w:rPr>
          <w:rFonts w:ascii="Times New Roman" w:eastAsia="Source Han Sans CN Regular" w:hAnsi="Times New Roman" w:cs="Times New Roman"/>
          <w:color w:val="000000"/>
          <w:sz w:val="24"/>
          <w:szCs w:val="24"/>
          <w:lang w:val="bg-BG" w:eastAsia="zh-CN" w:bidi="hi-IN"/>
        </w:rPr>
        <w:t> </w:t>
      </w:r>
      <w:r w:rsidRPr="00610B1B">
        <w:rPr>
          <w:rFonts w:ascii="Times New Roman" w:eastAsia="Source Han Sans CN Regular" w:hAnsi="Times New Roman" w:cs="Times New Roman"/>
          <w:color w:val="000000"/>
          <w:sz w:val="24"/>
          <w:szCs w:val="24"/>
          <w:lang w:val="bg-BG" w:eastAsia="zh-CN" w:bidi="hi-IN"/>
        </w:rPr>
        <w:t>Дирекция</w:t>
      </w:r>
      <w:r w:rsidR="009B6D1D" w:rsidRPr="00610B1B">
        <w:rPr>
          <w:rFonts w:ascii="Times New Roman" w:eastAsia="Source Han Sans CN Regular" w:hAnsi="Times New Roman" w:cs="Times New Roman"/>
          <w:color w:val="000000"/>
          <w:sz w:val="24"/>
          <w:szCs w:val="24"/>
          <w:lang w:val="bg-BG" w:eastAsia="zh-CN" w:bidi="hi-IN"/>
        </w:rPr>
        <w:t> </w:t>
      </w:r>
      <w:r w:rsidRPr="00610B1B">
        <w:rPr>
          <w:rFonts w:ascii="Times New Roman" w:eastAsia="Source Han Sans CN Regular" w:hAnsi="Times New Roman" w:cs="Times New Roman"/>
          <w:color w:val="000000"/>
          <w:sz w:val="24"/>
          <w:szCs w:val="24"/>
          <w:lang w:val="bg-BG" w:eastAsia="zh-CN" w:bidi="hi-IN"/>
        </w:rPr>
        <w:t>„Черноморски</w:t>
      </w:r>
      <w:r w:rsidR="009B6D1D" w:rsidRPr="00610B1B">
        <w:rPr>
          <w:rFonts w:ascii="Times New Roman" w:eastAsia="Source Han Sans CN Regular" w:hAnsi="Times New Roman" w:cs="Times New Roman"/>
          <w:color w:val="000000"/>
          <w:sz w:val="24"/>
          <w:szCs w:val="24"/>
          <w:lang w:val="bg-BG" w:eastAsia="zh-CN" w:bidi="hi-IN"/>
        </w:rPr>
        <w:t> </w:t>
      </w:r>
      <w:r w:rsidRPr="00610B1B">
        <w:rPr>
          <w:rFonts w:ascii="Times New Roman" w:eastAsia="Source Han Sans CN Regular" w:hAnsi="Times New Roman" w:cs="Times New Roman"/>
          <w:color w:val="000000"/>
          <w:sz w:val="24"/>
          <w:szCs w:val="24"/>
          <w:lang w:val="bg-BG" w:eastAsia="zh-CN" w:bidi="hi-IN"/>
        </w:rPr>
        <w:t>район”</w:t>
      </w:r>
      <w:r w:rsidR="009B6D1D" w:rsidRPr="00610B1B">
        <w:rPr>
          <w:rFonts w:ascii="Times New Roman" w:eastAsia="Source Han Sans CN Regular" w:hAnsi="Times New Roman" w:cs="Times New Roman"/>
          <w:color w:val="000000"/>
          <w:sz w:val="24"/>
          <w:szCs w:val="24"/>
          <w:lang w:val="bg-BG" w:eastAsia="zh-CN" w:bidi="hi-IN"/>
        </w:rPr>
        <w:t> </w:t>
      </w:r>
      <w:r w:rsidRPr="00610B1B">
        <w:rPr>
          <w:rFonts w:ascii="Times New Roman" w:eastAsia="Source Han Sans CN Regular" w:hAnsi="Times New Roman" w:cs="Times New Roman"/>
          <w:color w:val="000000"/>
          <w:sz w:val="24"/>
          <w:szCs w:val="24"/>
          <w:lang w:val="bg-BG" w:eastAsia="zh-CN" w:bidi="hi-IN"/>
        </w:rPr>
        <w:t xml:space="preserve">(БДЧР): </w:t>
      </w:r>
      <w:hyperlink r:id="rId360" w:history="1">
        <w:r w:rsidRPr="00610B1B">
          <w:rPr>
            <w:rFonts w:ascii="Times New Roman" w:eastAsia="Source Han Sans CN Regular" w:hAnsi="Times New Roman" w:cs="Times New Roman"/>
            <w:color w:val="0000FF"/>
            <w:sz w:val="24"/>
            <w:szCs w:val="24"/>
            <w:u w:val="single"/>
            <w:lang w:val="bg-BG" w:eastAsia="zh-CN" w:bidi="hi-IN"/>
          </w:rPr>
          <w:t>http://www.bsbd.org/bg/index_bg_3907923.html</w:t>
        </w:r>
      </w:hyperlink>
      <w:r w:rsidRPr="00610B1B">
        <w:rPr>
          <w:rFonts w:ascii="Times New Roman" w:eastAsia="Source Han Sans CN Regular" w:hAnsi="Times New Roman" w:cs="Times New Roman"/>
          <w:sz w:val="24"/>
          <w:szCs w:val="24"/>
          <w:lang w:val="bg-BG" w:eastAsia="zh-CN" w:bidi="hi-IN"/>
        </w:rPr>
        <w:t xml:space="preserve"> ;</w:t>
      </w:r>
    </w:p>
    <w:p w14:paraId="15D62731" w14:textId="19954EAB" w:rsidR="00BE57CC" w:rsidRPr="00610B1B" w:rsidRDefault="00BE57CC" w:rsidP="002F29DE">
      <w:pPr>
        <w:widowControl w:val="0"/>
        <w:numPr>
          <w:ilvl w:val="0"/>
          <w:numId w:val="99"/>
        </w:numPr>
        <w:spacing w:after="120"/>
        <w:ind w:right="12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Програми за мониторинг по чл. 11 от Рамкова директива за морска стратегия </w:t>
      </w:r>
      <w:hyperlink r:id="rId361" w:history="1">
        <w:r w:rsidRPr="00610B1B">
          <w:rPr>
            <w:rFonts w:ascii="Times New Roman" w:eastAsia="Source Han Sans CN Regular" w:hAnsi="Times New Roman" w:cs="Times New Roman"/>
            <w:color w:val="0000FF"/>
            <w:sz w:val="24"/>
            <w:szCs w:val="24"/>
            <w:u w:val="single"/>
            <w:lang w:val="bg-BG" w:eastAsia="zh-CN" w:bidi="hi-IN"/>
          </w:rPr>
          <w:t>http://www.bsbd.org/bg/msfd_monitoring.html</w:t>
        </w:r>
      </w:hyperlink>
      <w:r w:rsidRPr="00610B1B">
        <w:rPr>
          <w:rFonts w:ascii="Times New Roman" w:eastAsia="Source Han Sans CN Regular" w:hAnsi="Times New Roman" w:cs="Times New Roman"/>
          <w:sz w:val="24"/>
          <w:szCs w:val="24"/>
          <w:lang w:val="bg-BG" w:eastAsia="zh-CN" w:bidi="hi-IN"/>
        </w:rPr>
        <w:t xml:space="preserve"> </w:t>
      </w:r>
    </w:p>
    <w:p w14:paraId="53AA3381" w14:textId="0FF7B763" w:rsidR="00BE57CC" w:rsidRPr="00610B1B" w:rsidRDefault="00BE57CC" w:rsidP="002F29DE">
      <w:pPr>
        <w:widowControl w:val="0"/>
        <w:numPr>
          <w:ilvl w:val="0"/>
          <w:numId w:val="99"/>
        </w:numPr>
        <w:spacing w:after="120"/>
        <w:ind w:right="12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Информационна система в българската част на река Дунав (БУЛЛРИС) </w:t>
      </w:r>
      <w:hyperlink r:id="rId362" w:history="1">
        <w:r w:rsidRPr="00610B1B">
          <w:rPr>
            <w:rFonts w:ascii="Times New Roman" w:eastAsia="Source Han Sans CN Regular" w:hAnsi="Times New Roman" w:cs="Times New Roman"/>
            <w:color w:val="0000FF"/>
            <w:sz w:val="24"/>
            <w:szCs w:val="24"/>
            <w:u w:val="single"/>
            <w:lang w:val="bg-BG" w:eastAsia="zh-CN" w:bidi="hi-IN"/>
          </w:rPr>
          <w:t>http://www.bulris.bg/Main</w:t>
        </w:r>
      </w:hyperlink>
      <w:r w:rsidRPr="00610B1B">
        <w:rPr>
          <w:rFonts w:ascii="Times New Roman" w:eastAsia="Source Han Sans CN Regular" w:hAnsi="Times New Roman" w:cs="Times New Roman"/>
          <w:sz w:val="24"/>
          <w:szCs w:val="24"/>
          <w:lang w:val="bg-BG" w:eastAsia="zh-CN" w:bidi="hi-IN"/>
        </w:rPr>
        <w:t xml:space="preserve"> </w:t>
      </w:r>
    </w:p>
    <w:p w14:paraId="4386B840" w14:textId="2D430C76" w:rsidR="00BE57CC" w:rsidRPr="00610B1B" w:rsidRDefault="00BE57CC" w:rsidP="002F29DE">
      <w:pPr>
        <w:widowControl w:val="0"/>
        <w:numPr>
          <w:ilvl w:val="0"/>
          <w:numId w:val="99"/>
        </w:numPr>
        <w:spacing w:after="120"/>
        <w:ind w:right="12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Български национален комитет по редките видове птици (BUNARCO): </w:t>
      </w:r>
      <w:hyperlink r:id="rId363" w:history="1">
        <w:r w:rsidRPr="00610B1B">
          <w:rPr>
            <w:rFonts w:ascii="Times New Roman" w:eastAsia="Source Han Sans CN Regular" w:hAnsi="Times New Roman" w:cs="Times New Roman"/>
            <w:color w:val="0000FF"/>
            <w:sz w:val="24"/>
            <w:szCs w:val="24"/>
            <w:u w:val="single"/>
            <w:lang w:val="bg-BG" w:eastAsia="zh-CN" w:bidi="hi-IN"/>
          </w:rPr>
          <w:t>http://www.bunarco.org/bg/index.html</w:t>
        </w:r>
      </w:hyperlink>
      <w:r w:rsidRPr="00610B1B">
        <w:rPr>
          <w:rFonts w:ascii="Times New Roman" w:eastAsia="Source Han Sans CN Regular" w:hAnsi="Times New Roman" w:cs="Times New Roman"/>
          <w:sz w:val="24"/>
          <w:szCs w:val="24"/>
          <w:lang w:val="bg-BG" w:eastAsia="zh-CN" w:bidi="hi-IN"/>
        </w:rPr>
        <w:t xml:space="preserve"> </w:t>
      </w:r>
    </w:p>
    <w:p w14:paraId="225747AB" w14:textId="0041C6E4" w:rsidR="00BE57CC" w:rsidRPr="00610B1B" w:rsidRDefault="00BE57CC" w:rsidP="002F29DE">
      <w:pPr>
        <w:widowControl w:val="0"/>
        <w:numPr>
          <w:ilvl w:val="0"/>
          <w:numId w:val="99"/>
        </w:numPr>
        <w:spacing w:after="120"/>
        <w:ind w:right="12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ИА „Морска администрация“ Cross Online Bulgarian Network </w:t>
      </w:r>
      <w:hyperlink r:id="rId364" w:anchor=".WMajgfcko3E" w:history="1">
        <w:r w:rsidRPr="00610B1B">
          <w:rPr>
            <w:rFonts w:ascii="Times New Roman" w:eastAsia="Source Han Sans CN Regular" w:hAnsi="Times New Roman" w:cs="Times New Roman"/>
            <w:color w:val="0000FF"/>
            <w:sz w:val="24"/>
            <w:szCs w:val="24"/>
            <w:u w:val="single"/>
            <w:lang w:val="bg-BG" w:eastAsia="zh-CN" w:bidi="hi-IN"/>
          </w:rPr>
          <w:t>http://www.cross.bg/nablyudenie-sistemi-morsko-1531942.html#.WMajgfcko3E</w:t>
        </w:r>
      </w:hyperlink>
      <w:r w:rsidRPr="00610B1B">
        <w:rPr>
          <w:rFonts w:ascii="Times New Roman" w:eastAsia="Source Han Sans CN Regular" w:hAnsi="Times New Roman" w:cs="Times New Roman"/>
          <w:sz w:val="24"/>
          <w:szCs w:val="24"/>
          <w:lang w:val="bg-BG" w:eastAsia="zh-CN" w:bidi="hi-IN"/>
        </w:rPr>
        <w:t xml:space="preserve"> </w:t>
      </w:r>
    </w:p>
    <w:p w14:paraId="09652B7D" w14:textId="7677B8E5" w:rsidR="00BE57CC" w:rsidRPr="00610B1B" w:rsidRDefault="00BE57CC" w:rsidP="00BE57CC">
      <w:pPr>
        <w:widowControl w:val="0"/>
        <w:numPr>
          <w:ilvl w:val="0"/>
          <w:numId w:val="9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Climate adapt: Sharing Adaptation Information Across Europe. </w:t>
      </w:r>
      <w:hyperlink r:id="rId365" w:anchor="t-database" w:history="1">
        <w:r w:rsidRPr="00610B1B">
          <w:rPr>
            <w:rFonts w:ascii="Times New Roman" w:eastAsia="Source Han Sans CN Regular" w:hAnsi="Times New Roman" w:cs="Times New Roman"/>
            <w:color w:val="0000FF"/>
            <w:sz w:val="24"/>
            <w:szCs w:val="24"/>
            <w:u w:val="single"/>
            <w:lang w:val="bg-BG" w:eastAsia="zh-CN" w:bidi="hi-IN"/>
          </w:rPr>
          <w:t>https://climate-adapt.eea.europa.eu/#t-database</w:t>
        </w:r>
      </w:hyperlink>
      <w:r w:rsidRPr="00610B1B">
        <w:rPr>
          <w:rFonts w:ascii="Times New Roman" w:eastAsia="Source Han Sans CN Regular" w:hAnsi="Times New Roman" w:cs="Times New Roman"/>
          <w:sz w:val="24"/>
          <w:szCs w:val="24"/>
          <w:lang w:val="bg-BG" w:eastAsia="zh-CN" w:bidi="hi-IN"/>
        </w:rPr>
        <w:t xml:space="preserve"> </w:t>
      </w:r>
    </w:p>
    <w:p w14:paraId="09420F03" w14:textId="69FD1F81" w:rsidR="00BE57CC" w:rsidRPr="00610B1B" w:rsidRDefault="00BE57CC" w:rsidP="00BE57CC">
      <w:pPr>
        <w:widowControl w:val="0"/>
        <w:numPr>
          <w:ilvl w:val="0"/>
          <w:numId w:val="9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European Atlas of the seas: </w:t>
      </w:r>
      <w:hyperlink r:id="rId366" w:history="1">
        <w:r w:rsidRPr="00610B1B">
          <w:rPr>
            <w:rFonts w:ascii="Times New Roman" w:eastAsia="Source Han Sans CN Regular" w:hAnsi="Times New Roman" w:cs="Times New Roman"/>
            <w:color w:val="0000FF"/>
            <w:sz w:val="24"/>
            <w:szCs w:val="24"/>
            <w:u w:val="single"/>
            <w:lang w:val="bg-BG" w:eastAsia="zh-CN" w:bidi="hi-IN"/>
          </w:rPr>
          <w:t>https://ec.europa.eu/maritimeaffairs/atlas/maritime_atlas/</w:t>
        </w:r>
      </w:hyperlink>
      <w:r w:rsidRPr="00610B1B">
        <w:rPr>
          <w:rFonts w:ascii="Times New Roman" w:eastAsia="Source Han Sans CN Regular" w:hAnsi="Times New Roman" w:cs="Times New Roman"/>
          <w:sz w:val="24"/>
          <w:szCs w:val="24"/>
          <w:lang w:val="bg-BG" w:eastAsia="zh-CN" w:bidi="hi-IN"/>
        </w:rPr>
        <w:t xml:space="preserve"> </w:t>
      </w:r>
    </w:p>
    <w:p w14:paraId="4646AD32" w14:textId="2EAE78E6" w:rsidR="00BE57CC" w:rsidRPr="00610B1B" w:rsidRDefault="00BE57CC" w:rsidP="00BE57CC">
      <w:pPr>
        <w:widowControl w:val="0"/>
        <w:numPr>
          <w:ilvl w:val="0"/>
          <w:numId w:val="99"/>
        </w:numPr>
        <w:spacing w:after="120"/>
        <w:ind w:right="-153"/>
        <w:jc w:val="both"/>
        <w:rPr>
          <w:rFonts w:ascii="Times New Roman" w:eastAsia="Source Han Sans CN Regular" w:hAnsi="Times New Roman" w:cs="Times New Roman"/>
          <w:sz w:val="24"/>
          <w:szCs w:val="24"/>
          <w:lang w:val="bg-BG" w:eastAsia="zh-CN" w:bidi="hi-IN"/>
        </w:rPr>
      </w:pPr>
      <w:r w:rsidRPr="00610B1B">
        <w:rPr>
          <w:rFonts w:ascii="Times New Roman" w:eastAsia="Source Han Sans CN Regular" w:hAnsi="Times New Roman" w:cs="Times New Roman"/>
          <w:sz w:val="24"/>
          <w:szCs w:val="24"/>
          <w:lang w:val="bg-BG" w:eastAsia="zh-CN" w:bidi="hi-IN"/>
        </w:rPr>
        <w:t xml:space="preserve">The Black Sea MOU: </w:t>
      </w:r>
      <w:hyperlink r:id="rId367" w:history="1">
        <w:r w:rsidRPr="00610B1B">
          <w:rPr>
            <w:rFonts w:ascii="Times New Roman" w:eastAsia="Source Han Sans CN Regular" w:hAnsi="Times New Roman" w:cs="Times New Roman"/>
            <w:color w:val="0000FF"/>
            <w:sz w:val="24"/>
            <w:szCs w:val="24"/>
            <w:u w:val="single"/>
            <w:lang w:val="bg-BG" w:eastAsia="zh-CN" w:bidi="hi-IN"/>
          </w:rPr>
          <w:t>http://www.bsmou.org/about/</w:t>
        </w:r>
      </w:hyperlink>
      <w:r w:rsidRPr="00610B1B">
        <w:rPr>
          <w:rFonts w:ascii="Times New Roman" w:eastAsia="Source Han Sans CN Regular" w:hAnsi="Times New Roman" w:cs="Times New Roman"/>
          <w:sz w:val="24"/>
          <w:szCs w:val="24"/>
          <w:lang w:val="bg-BG" w:eastAsia="zh-CN" w:bidi="hi-IN"/>
        </w:rPr>
        <w:t xml:space="preserve"> ;</w:t>
      </w:r>
    </w:p>
    <w:p w14:paraId="206F3F77" w14:textId="7660CBA5" w:rsidR="00BE57CC" w:rsidRPr="00610B1B" w:rsidRDefault="00BE57CC" w:rsidP="00BE57CC">
      <w:pPr>
        <w:numPr>
          <w:ilvl w:val="0"/>
          <w:numId w:val="99"/>
        </w:num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The European MSP Platform: </w:t>
      </w:r>
      <w:hyperlink r:id="rId368" w:tgtFrame="_blank" w:history="1">
        <w:r w:rsidRPr="00610B1B">
          <w:rPr>
            <w:rFonts w:ascii="Times New Roman" w:eastAsia="Times New Roman" w:hAnsi="Times New Roman" w:cs="Times New Roman"/>
            <w:sz w:val="24"/>
            <w:szCs w:val="24"/>
            <w:lang w:val="bg-BG"/>
          </w:rPr>
          <w:t>https://www.msp-platform.eu/countries/united-kingdom</w:t>
        </w:r>
      </w:hyperlink>
      <w:r w:rsidRPr="00610B1B">
        <w:rPr>
          <w:rFonts w:ascii="Times New Roman" w:eastAsia="Times New Roman" w:hAnsi="Times New Roman" w:cs="Times New Roman"/>
          <w:sz w:val="24"/>
          <w:szCs w:val="24"/>
          <w:lang w:val="bg-BG"/>
        </w:rPr>
        <w:t>;</w:t>
      </w:r>
      <w:r w:rsidR="00D66FE0" w:rsidRPr="00610B1B">
        <w:rPr>
          <w:rFonts w:ascii="Times New Roman" w:eastAsia="Times New Roman" w:hAnsi="Times New Roman" w:cs="Times New Roman"/>
          <w:sz w:val="24"/>
          <w:szCs w:val="24"/>
          <w:lang w:val="bg-BG"/>
        </w:rPr>
        <w:t xml:space="preserve"> </w:t>
      </w:r>
    </w:p>
    <w:p w14:paraId="66E28C13" w14:textId="7A716CB4" w:rsidR="00BE57CC" w:rsidRPr="00610B1B" w:rsidRDefault="00BE57CC" w:rsidP="00BE57CC">
      <w:pPr>
        <w:numPr>
          <w:ilvl w:val="0"/>
          <w:numId w:val="99"/>
        </w:num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t xml:space="preserve">WISE Marine: </w:t>
      </w:r>
      <w:hyperlink r:id="rId369" w:history="1">
        <w:r w:rsidRPr="00610B1B">
          <w:rPr>
            <w:rFonts w:ascii="Times New Roman" w:eastAsia="Times New Roman" w:hAnsi="Times New Roman" w:cs="Times New Roman"/>
            <w:color w:val="0000FF"/>
            <w:sz w:val="24"/>
            <w:szCs w:val="24"/>
            <w:u w:val="single"/>
            <w:lang w:val="bg-BG"/>
          </w:rPr>
          <w:t>https://wise-test.eionet.europa.eu/marine</w:t>
        </w:r>
      </w:hyperlink>
      <w:r w:rsidR="00D66FE0" w:rsidRPr="00610B1B">
        <w:rPr>
          <w:rFonts w:ascii="Times New Roman" w:eastAsia="Times New Roman" w:hAnsi="Times New Roman" w:cs="Times New Roman"/>
          <w:sz w:val="24"/>
          <w:szCs w:val="24"/>
          <w:lang w:val="bg-BG"/>
        </w:rPr>
        <w:t xml:space="preserve"> </w:t>
      </w:r>
    </w:p>
    <w:bookmarkStart w:id="547" w:name="_Hlk49783367"/>
    <w:p w14:paraId="1C24988F" w14:textId="6C6427A7" w:rsidR="00BE57CC" w:rsidRPr="00610B1B" w:rsidRDefault="00BE57CC" w:rsidP="00BE57CC">
      <w:pPr>
        <w:numPr>
          <w:ilvl w:val="0"/>
          <w:numId w:val="99"/>
        </w:numPr>
        <w:spacing w:after="120"/>
        <w:ind w:right="-153"/>
        <w:jc w:val="both"/>
        <w:rPr>
          <w:rFonts w:ascii="Times New Roman" w:eastAsia="Times New Roman" w:hAnsi="Times New Roman" w:cs="Times New Roman"/>
          <w:sz w:val="24"/>
          <w:szCs w:val="24"/>
          <w:lang w:val="bg-BG"/>
        </w:rPr>
      </w:pPr>
      <w:r w:rsidRPr="00610B1B">
        <w:rPr>
          <w:rFonts w:ascii="Times New Roman" w:eastAsia="Times New Roman" w:hAnsi="Times New Roman" w:cs="Times New Roman"/>
          <w:sz w:val="24"/>
          <w:szCs w:val="24"/>
          <w:lang w:val="bg-BG"/>
        </w:rPr>
        <w:fldChar w:fldCharType="begin"/>
      </w:r>
      <w:r w:rsidRPr="00610B1B">
        <w:rPr>
          <w:rFonts w:ascii="Times New Roman" w:eastAsia="Times New Roman" w:hAnsi="Times New Roman" w:cs="Times New Roman"/>
          <w:sz w:val="24"/>
          <w:szCs w:val="24"/>
          <w:lang w:val="bg-BG"/>
        </w:rPr>
        <w:instrText xml:space="preserve"> HYPERLINK "http://eea.government.bg/bg/soer/2017/" </w:instrText>
      </w:r>
      <w:r w:rsidRPr="00610B1B">
        <w:rPr>
          <w:rFonts w:ascii="Times New Roman" w:eastAsia="Times New Roman" w:hAnsi="Times New Roman" w:cs="Times New Roman"/>
          <w:sz w:val="24"/>
          <w:szCs w:val="24"/>
          <w:lang w:val="bg-BG"/>
        </w:rPr>
        <w:fldChar w:fldCharType="separate"/>
      </w:r>
      <w:r w:rsidRPr="00610B1B">
        <w:rPr>
          <w:rFonts w:ascii="Times New Roman" w:eastAsia="Times New Roman" w:hAnsi="Times New Roman" w:cs="Times New Roman"/>
          <w:color w:val="0000FF"/>
          <w:sz w:val="24"/>
          <w:szCs w:val="24"/>
          <w:u w:val="single"/>
          <w:lang w:val="bg-BG"/>
        </w:rPr>
        <w:t>http://eea.government.bg/bg/soer/2017/</w:t>
      </w:r>
      <w:r w:rsidRPr="00610B1B">
        <w:rPr>
          <w:rFonts w:ascii="Times New Roman" w:eastAsia="Times New Roman" w:hAnsi="Times New Roman" w:cs="Times New Roman"/>
          <w:sz w:val="24"/>
          <w:szCs w:val="24"/>
          <w:lang w:val="bg-BG"/>
        </w:rPr>
        <w:fldChar w:fldCharType="end"/>
      </w:r>
      <w:r w:rsidR="00C415D1" w:rsidRPr="00610B1B">
        <w:rPr>
          <w:rFonts w:ascii="Times New Roman" w:eastAsia="Times New Roman" w:hAnsi="Times New Roman" w:cs="Times New Roman"/>
          <w:sz w:val="24"/>
          <w:szCs w:val="24"/>
          <w:lang w:val="bg-BG"/>
        </w:rPr>
        <w:t xml:space="preserve"> </w:t>
      </w:r>
    </w:p>
    <w:p w14:paraId="42FD6FC1" w14:textId="59523205"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0" w:history="1">
        <w:r w:rsidR="00BE57CC" w:rsidRPr="00610B1B">
          <w:rPr>
            <w:rFonts w:ascii="Times New Roman" w:eastAsia="Times New Roman" w:hAnsi="Times New Roman" w:cs="Times New Roman"/>
            <w:color w:val="0000FF"/>
            <w:sz w:val="24"/>
            <w:szCs w:val="24"/>
            <w:u w:val="single"/>
            <w:lang w:val="bg-BG"/>
          </w:rPr>
          <w:t>http://eea.government.bg/zpo/bg/result1.jsp</w:t>
        </w:r>
      </w:hyperlink>
      <w:r w:rsidR="00C415D1" w:rsidRPr="00610B1B">
        <w:rPr>
          <w:rFonts w:ascii="Times New Roman" w:eastAsia="Times New Roman" w:hAnsi="Times New Roman" w:cs="Times New Roman"/>
          <w:sz w:val="24"/>
          <w:szCs w:val="24"/>
          <w:lang w:val="bg-BG"/>
        </w:rPr>
        <w:t xml:space="preserve"> </w:t>
      </w:r>
    </w:p>
    <w:p w14:paraId="0FB515BC" w14:textId="4155C980"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1" w:history="1">
        <w:r w:rsidR="00BE57CC" w:rsidRPr="00610B1B">
          <w:rPr>
            <w:rFonts w:ascii="Times New Roman" w:eastAsia="Times New Roman" w:hAnsi="Times New Roman" w:cs="Times New Roman"/>
            <w:color w:val="0000FF"/>
            <w:sz w:val="24"/>
            <w:szCs w:val="24"/>
            <w:u w:val="single"/>
            <w:lang w:val="bg-BG"/>
          </w:rPr>
          <w:t>http://cdr.eionet.europa.eu/bg/eu/msfd_mp/</w:t>
        </w:r>
      </w:hyperlink>
      <w:r w:rsidR="00D66FE0" w:rsidRPr="00610B1B">
        <w:rPr>
          <w:rFonts w:ascii="Times New Roman" w:eastAsia="Times New Roman" w:hAnsi="Times New Roman" w:cs="Times New Roman"/>
          <w:sz w:val="24"/>
          <w:szCs w:val="24"/>
          <w:lang w:val="bg-BG"/>
        </w:rPr>
        <w:t xml:space="preserve"> </w:t>
      </w:r>
    </w:p>
    <w:p w14:paraId="310F7FE0" w14:textId="13200B9E" w:rsidR="00BE57CC" w:rsidRPr="00610B1B" w:rsidRDefault="00DB227B" w:rsidP="00BE57CC">
      <w:pPr>
        <w:numPr>
          <w:ilvl w:val="0"/>
          <w:numId w:val="99"/>
        </w:numPr>
        <w:spacing w:after="120"/>
        <w:ind w:right="-153"/>
        <w:jc w:val="both"/>
        <w:rPr>
          <w:rFonts w:ascii="Times New Roman" w:eastAsia="Times New Roman" w:hAnsi="Times New Roman" w:cs="Times New Roman"/>
          <w:sz w:val="24"/>
          <w:szCs w:val="24"/>
          <w:lang w:val="bg-BG"/>
        </w:rPr>
      </w:pPr>
      <w:hyperlink r:id="rId372" w:history="1">
        <w:r w:rsidR="00BE57CC" w:rsidRPr="00610B1B">
          <w:rPr>
            <w:rFonts w:ascii="Times New Roman" w:eastAsia="Times New Roman" w:hAnsi="Times New Roman" w:cs="Times New Roman"/>
            <w:color w:val="0000FF"/>
            <w:sz w:val="24"/>
            <w:szCs w:val="24"/>
            <w:u w:val="single"/>
            <w:lang w:val="bg-BG"/>
          </w:rPr>
          <w:t>http://deloports.com/dock58/</w:t>
        </w:r>
      </w:hyperlink>
      <w:r w:rsidR="00D66FE0" w:rsidRPr="00610B1B">
        <w:rPr>
          <w:rFonts w:ascii="Times New Roman" w:eastAsia="Times New Roman" w:hAnsi="Times New Roman" w:cs="Times New Roman"/>
          <w:sz w:val="24"/>
          <w:szCs w:val="24"/>
          <w:lang w:val="bg-BG"/>
        </w:rPr>
        <w:t xml:space="preserve"> </w:t>
      </w:r>
    </w:p>
    <w:p w14:paraId="3AA97F27" w14:textId="4F6A7740"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3" w:history="1">
        <w:r w:rsidR="00BE57CC" w:rsidRPr="00610B1B">
          <w:rPr>
            <w:rFonts w:ascii="Times New Roman" w:eastAsia="Times New Roman" w:hAnsi="Times New Roman" w:cs="Times New Roman"/>
            <w:color w:val="0000FF"/>
            <w:sz w:val="24"/>
            <w:szCs w:val="24"/>
            <w:u w:val="single"/>
            <w:lang w:val="bg-BG"/>
          </w:rPr>
          <w:t>http://dx.publications.europa.eu/10.2760/93257</w:t>
        </w:r>
      </w:hyperlink>
      <w:r w:rsidR="00D66FE0" w:rsidRPr="00610B1B">
        <w:rPr>
          <w:rFonts w:ascii="Times New Roman" w:eastAsia="Times New Roman" w:hAnsi="Times New Roman" w:cs="Times New Roman"/>
          <w:sz w:val="24"/>
          <w:szCs w:val="24"/>
          <w:lang w:val="bg-BG"/>
        </w:rPr>
        <w:t xml:space="preserve"> </w:t>
      </w:r>
    </w:p>
    <w:p w14:paraId="137FDFA6" w14:textId="426DBDB3"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4" w:history="1">
        <w:r w:rsidR="00BE57CC" w:rsidRPr="00610B1B">
          <w:rPr>
            <w:rFonts w:ascii="Times New Roman" w:eastAsia="Times New Roman" w:hAnsi="Times New Roman" w:cs="Times New Roman"/>
            <w:color w:val="0000FF"/>
            <w:sz w:val="24"/>
            <w:szCs w:val="24"/>
            <w:u w:val="single"/>
            <w:lang w:val="bg-BG"/>
          </w:rPr>
          <w:t>http://eea.government.bg/bg/bio/opos/Finalni_rezultati_Deinost_6.pdf</w:t>
        </w:r>
      </w:hyperlink>
      <w:r w:rsidR="00D66FE0" w:rsidRPr="00610B1B">
        <w:rPr>
          <w:rFonts w:ascii="Times New Roman" w:eastAsia="Times New Roman" w:hAnsi="Times New Roman" w:cs="Times New Roman"/>
          <w:sz w:val="24"/>
          <w:szCs w:val="24"/>
          <w:lang w:val="bg-BG"/>
        </w:rPr>
        <w:t xml:space="preserve"> </w:t>
      </w:r>
    </w:p>
    <w:p w14:paraId="2BB3AD09" w14:textId="071341A4"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5" w:history="1">
        <w:r w:rsidR="00BE57CC" w:rsidRPr="00610B1B">
          <w:rPr>
            <w:rFonts w:ascii="Times New Roman" w:eastAsia="Times New Roman" w:hAnsi="Times New Roman" w:cs="Times New Roman"/>
            <w:color w:val="0000FF"/>
            <w:sz w:val="24"/>
            <w:szCs w:val="24"/>
            <w:u w:val="single"/>
            <w:lang w:val="bg-BG"/>
          </w:rPr>
          <w:t>http://eea.government.bg/bg/ecosystems/B9MARINE_BG_PRINT.pdf</w:t>
        </w:r>
      </w:hyperlink>
      <w:r w:rsidR="00D66FE0" w:rsidRPr="00610B1B">
        <w:rPr>
          <w:rFonts w:ascii="Times New Roman" w:eastAsia="Times New Roman" w:hAnsi="Times New Roman" w:cs="Times New Roman"/>
          <w:sz w:val="24"/>
          <w:szCs w:val="24"/>
          <w:lang w:val="bg-BG"/>
        </w:rPr>
        <w:t xml:space="preserve"> </w:t>
      </w:r>
    </w:p>
    <w:p w14:paraId="270201EC" w14:textId="08C9DA3E"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6" w:history="1">
        <w:r w:rsidR="00BE57CC" w:rsidRPr="00610B1B">
          <w:rPr>
            <w:rFonts w:ascii="Times New Roman" w:eastAsia="Times New Roman" w:hAnsi="Times New Roman" w:cs="Times New Roman"/>
            <w:color w:val="0000FF"/>
            <w:sz w:val="24"/>
            <w:szCs w:val="24"/>
            <w:u w:val="single"/>
            <w:lang w:val="bg-BG"/>
          </w:rPr>
          <w:t>http://eea.government.bg/bg/soer/2017/biodiversity-nem/promyana-v-chislenostta-i-sastoyanie-na-zimuvashtite-vodolyubivi-ptitsi-v-balgariya</w:t>
        </w:r>
      </w:hyperlink>
      <w:r w:rsidR="00C415D1" w:rsidRPr="00610B1B">
        <w:rPr>
          <w:rFonts w:ascii="Times New Roman" w:eastAsia="Times New Roman" w:hAnsi="Times New Roman" w:cs="Times New Roman"/>
          <w:sz w:val="24"/>
          <w:szCs w:val="24"/>
          <w:lang w:val="bg-BG"/>
        </w:rPr>
        <w:t xml:space="preserve"> </w:t>
      </w:r>
    </w:p>
    <w:p w14:paraId="1310716F" w14:textId="42C62FB3"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7" w:history="1">
        <w:r w:rsidR="00BE57CC" w:rsidRPr="00610B1B">
          <w:rPr>
            <w:rFonts w:ascii="Times New Roman" w:eastAsia="Times New Roman" w:hAnsi="Times New Roman" w:cs="Times New Roman"/>
            <w:color w:val="0000FF"/>
            <w:sz w:val="24"/>
            <w:szCs w:val="24"/>
            <w:u w:val="single"/>
            <w:lang w:val="bg-BG"/>
          </w:rPr>
          <w:t>http://eea.government.bg/zpo/bg/area.jsp?NEM_Partition=1&amp;categoryID=6&amp;areaID=145</w:t>
        </w:r>
      </w:hyperlink>
      <w:r w:rsidR="00D66FE0" w:rsidRPr="00610B1B">
        <w:rPr>
          <w:rFonts w:ascii="Times New Roman" w:eastAsia="Times New Roman" w:hAnsi="Times New Roman" w:cs="Times New Roman"/>
          <w:sz w:val="24"/>
          <w:szCs w:val="24"/>
          <w:lang w:val="bg-BG"/>
        </w:rPr>
        <w:t xml:space="preserve"> </w:t>
      </w:r>
    </w:p>
    <w:p w14:paraId="78DC79BA" w14:textId="4820C230"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8" w:history="1">
        <w:r w:rsidR="00BE57CC" w:rsidRPr="00610B1B">
          <w:rPr>
            <w:rFonts w:ascii="Times New Roman" w:eastAsia="Times New Roman" w:hAnsi="Times New Roman" w:cs="Times New Roman"/>
            <w:color w:val="0000FF"/>
            <w:sz w:val="24"/>
            <w:szCs w:val="24"/>
            <w:u w:val="single"/>
            <w:lang w:val="bg-BG"/>
          </w:rPr>
          <w:t>http://eur-lex.europa.eu/legal-content/BG/TXT/PDF/?uri=CELEX:32014L0089&amp;from=BG</w:t>
        </w:r>
      </w:hyperlink>
      <w:r w:rsidR="00C415D1" w:rsidRPr="00610B1B">
        <w:rPr>
          <w:rFonts w:ascii="Times New Roman" w:eastAsia="Times New Roman" w:hAnsi="Times New Roman" w:cs="Times New Roman"/>
          <w:sz w:val="24"/>
          <w:szCs w:val="24"/>
          <w:lang w:val="bg-BG"/>
        </w:rPr>
        <w:t xml:space="preserve"> </w:t>
      </w:r>
    </w:p>
    <w:p w14:paraId="3D36BC92" w14:textId="2BC69550"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79" w:history="1">
        <w:r w:rsidR="00BE57CC" w:rsidRPr="00610B1B">
          <w:rPr>
            <w:rFonts w:ascii="Times New Roman" w:eastAsia="Times New Roman" w:hAnsi="Times New Roman" w:cs="Times New Roman"/>
            <w:color w:val="0000FF"/>
            <w:sz w:val="24"/>
            <w:szCs w:val="24"/>
            <w:u w:val="single"/>
            <w:lang w:val="bg-BG"/>
          </w:rPr>
          <w:t>http://eurogoos.eu/ferrybox-task-team/</w:t>
        </w:r>
      </w:hyperlink>
      <w:r w:rsidR="00D66FE0" w:rsidRPr="00610B1B">
        <w:rPr>
          <w:rFonts w:ascii="Times New Roman" w:eastAsia="Times New Roman" w:hAnsi="Times New Roman" w:cs="Times New Roman"/>
          <w:sz w:val="24"/>
          <w:szCs w:val="24"/>
          <w:lang w:val="bg-BG"/>
        </w:rPr>
        <w:t xml:space="preserve"> </w:t>
      </w:r>
    </w:p>
    <w:p w14:paraId="77ED0B5F" w14:textId="7C5AEAC9"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0" w:history="1">
        <w:r w:rsidR="00BE57CC" w:rsidRPr="00610B1B">
          <w:rPr>
            <w:rFonts w:ascii="Times New Roman" w:eastAsia="Times New Roman" w:hAnsi="Times New Roman" w:cs="Times New Roman"/>
            <w:color w:val="0000FF"/>
            <w:sz w:val="24"/>
            <w:szCs w:val="24"/>
            <w:u w:val="single"/>
            <w:lang w:val="bg-BG"/>
          </w:rPr>
          <w:t>http://gz-varna.mrrb.government.bg/map/</w:t>
        </w:r>
      </w:hyperlink>
      <w:r w:rsidR="00D66FE0" w:rsidRPr="00610B1B">
        <w:rPr>
          <w:rFonts w:ascii="Times New Roman" w:eastAsia="Times New Roman" w:hAnsi="Times New Roman" w:cs="Times New Roman"/>
          <w:sz w:val="24"/>
          <w:szCs w:val="24"/>
          <w:lang w:val="bg-BG"/>
        </w:rPr>
        <w:t xml:space="preserve"> </w:t>
      </w:r>
    </w:p>
    <w:p w14:paraId="5BDA2FA6" w14:textId="46EE2139" w:rsidR="00BE57CC" w:rsidRPr="00610B1B" w:rsidRDefault="00DB227B" w:rsidP="00BE57CC">
      <w:pPr>
        <w:numPr>
          <w:ilvl w:val="0"/>
          <w:numId w:val="99"/>
        </w:numPr>
        <w:spacing w:after="120"/>
        <w:ind w:right="-153"/>
        <w:jc w:val="both"/>
        <w:rPr>
          <w:rFonts w:ascii="Times New Roman" w:eastAsia="Times New Roman" w:hAnsi="Times New Roman" w:cs="Times New Roman"/>
          <w:sz w:val="24"/>
          <w:szCs w:val="24"/>
          <w:lang w:val="bg-BG"/>
        </w:rPr>
      </w:pPr>
      <w:hyperlink r:id="rId381" w:history="1">
        <w:r w:rsidR="00BE57CC" w:rsidRPr="00610B1B">
          <w:rPr>
            <w:rFonts w:ascii="Times New Roman" w:eastAsia="Times New Roman" w:hAnsi="Times New Roman" w:cs="Times New Roman"/>
            <w:color w:val="0000FF"/>
            <w:sz w:val="24"/>
            <w:szCs w:val="24"/>
            <w:u w:val="single"/>
            <w:lang w:val="bg-BG"/>
          </w:rPr>
          <w:t>http://icbss.org/</w:t>
        </w:r>
      </w:hyperlink>
      <w:r w:rsidR="00BE57CC" w:rsidRPr="00610B1B">
        <w:rPr>
          <w:rFonts w:ascii="Times New Roman" w:eastAsia="Times New Roman" w:hAnsi="Times New Roman" w:cs="Times New Roman"/>
          <w:sz w:val="24"/>
          <w:szCs w:val="24"/>
          <w:lang w:val="bg-BG"/>
        </w:rPr>
        <w:t xml:space="preserve"> </w:t>
      </w:r>
    </w:p>
    <w:p w14:paraId="5C62E21F" w14:textId="387D5974"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2" w:history="1">
        <w:r w:rsidR="00BE57CC" w:rsidRPr="00610B1B">
          <w:rPr>
            <w:rFonts w:ascii="Times New Roman" w:eastAsia="Times New Roman" w:hAnsi="Times New Roman" w:cs="Times New Roman"/>
            <w:color w:val="0000FF"/>
            <w:sz w:val="24"/>
            <w:szCs w:val="24"/>
            <w:u w:val="single"/>
            <w:lang w:val="bg-BG"/>
          </w:rPr>
          <w:t>http://mc.government.bg/files/5495_Strategy_culture_.pdf</w:t>
        </w:r>
      </w:hyperlink>
      <w:r w:rsidR="00D66FE0" w:rsidRPr="00610B1B">
        <w:rPr>
          <w:rFonts w:ascii="Times New Roman" w:eastAsia="Times New Roman" w:hAnsi="Times New Roman" w:cs="Times New Roman"/>
          <w:sz w:val="24"/>
          <w:szCs w:val="24"/>
          <w:lang w:val="bg-BG"/>
        </w:rPr>
        <w:t xml:space="preserve"> </w:t>
      </w:r>
    </w:p>
    <w:p w14:paraId="5889B1E7" w14:textId="3BDD9780" w:rsidR="00BE57CC" w:rsidRPr="00610B1B" w:rsidRDefault="0055393F" w:rsidP="00C4605F">
      <w:pPr>
        <w:numPr>
          <w:ilvl w:val="0"/>
          <w:numId w:val="99"/>
        </w:numPr>
        <w:spacing w:after="120"/>
        <w:ind w:right="-22"/>
        <w:jc w:val="both"/>
        <w:rPr>
          <w:rFonts w:ascii="Times New Roman" w:eastAsia="Times New Roman" w:hAnsi="Times New Roman" w:cs="Times New Roman"/>
          <w:sz w:val="24"/>
          <w:szCs w:val="24"/>
          <w:lang w:val="bg-BG"/>
        </w:rPr>
      </w:pPr>
      <w:hyperlink r:id="rId383" w:history="1">
        <w:r w:rsidR="00BE57CC" w:rsidRPr="00610B1B">
          <w:rPr>
            <w:rFonts w:ascii="Times New Roman" w:eastAsia="Times New Roman" w:hAnsi="Times New Roman" w:cs="Times New Roman"/>
            <w:color w:val="0000FF"/>
            <w:sz w:val="24"/>
            <w:szCs w:val="24"/>
            <w:u w:val="single"/>
            <w:lang w:val="bg-BG"/>
          </w:rPr>
          <w:t>http://publications.europa.eu/resource/cellar/f07ab00e-3795-4146-8739-07dc585b97ad.0008.01/DOC_1</w:t>
        </w:r>
      </w:hyperlink>
    </w:p>
    <w:p w14:paraId="357AC150" w14:textId="3F09D39B"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4" w:history="1">
        <w:r w:rsidR="00BE57CC" w:rsidRPr="00610B1B">
          <w:rPr>
            <w:rFonts w:ascii="Times New Roman" w:eastAsia="Times New Roman" w:hAnsi="Times New Roman" w:cs="Times New Roman"/>
            <w:color w:val="0000FF"/>
            <w:sz w:val="24"/>
            <w:szCs w:val="24"/>
            <w:u w:val="single"/>
            <w:lang w:val="bg-BG"/>
          </w:rPr>
          <w:t>http://publications.europa.eu/resource/cellar/f07ab00e-3795-4146-8739-07dc585b97ad.0008.01/DOC_1h</w:t>
        </w:r>
      </w:hyperlink>
      <w:r w:rsidR="00BE57CC" w:rsidRPr="00610B1B">
        <w:rPr>
          <w:rFonts w:ascii="Times New Roman" w:eastAsia="Times New Roman" w:hAnsi="Times New Roman" w:cs="Times New Roman"/>
          <w:sz w:val="24"/>
          <w:szCs w:val="24"/>
          <w:lang w:val="bg-BG"/>
        </w:rPr>
        <w:t xml:space="preserve"> </w:t>
      </w:r>
    </w:p>
    <w:p w14:paraId="4156DE19" w14:textId="7707AD6F"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5" w:history="1">
        <w:r w:rsidR="00BE57CC" w:rsidRPr="00610B1B">
          <w:rPr>
            <w:rFonts w:ascii="Times New Roman" w:eastAsia="Times New Roman" w:hAnsi="Times New Roman" w:cs="Times New Roman"/>
            <w:color w:val="0000FF"/>
            <w:sz w:val="24"/>
            <w:szCs w:val="24"/>
            <w:u w:val="single"/>
            <w:lang w:val="bg-BG"/>
          </w:rPr>
          <w:t>http://register.consilium.europa.eu/doc/srv?l=EN&amp;f=ST%2011205%202014%20INIT</w:t>
        </w:r>
      </w:hyperlink>
      <w:r w:rsidR="00D66FE0" w:rsidRPr="00610B1B">
        <w:rPr>
          <w:rFonts w:ascii="Times New Roman" w:eastAsia="Times New Roman" w:hAnsi="Times New Roman" w:cs="Times New Roman"/>
          <w:sz w:val="24"/>
          <w:szCs w:val="24"/>
          <w:lang w:val="bg-BG"/>
        </w:rPr>
        <w:t xml:space="preserve"> </w:t>
      </w:r>
    </w:p>
    <w:p w14:paraId="3C933C39" w14:textId="7C956A24"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6" w:history="1">
        <w:r w:rsidR="00BE57CC" w:rsidRPr="00610B1B">
          <w:rPr>
            <w:rFonts w:ascii="Times New Roman" w:eastAsia="Times New Roman" w:hAnsi="Times New Roman" w:cs="Times New Roman"/>
            <w:color w:val="0000FF"/>
            <w:sz w:val="24"/>
            <w:szCs w:val="24"/>
            <w:u w:val="single"/>
            <w:lang w:val="bg-BG"/>
          </w:rPr>
          <w:t>http://unesco-bg.org/file_store/konventsiya_podvoddno_nasledstvo.pdf</w:t>
        </w:r>
      </w:hyperlink>
      <w:r w:rsidR="00BE57CC" w:rsidRPr="00610B1B">
        <w:rPr>
          <w:rFonts w:ascii="Times New Roman" w:eastAsia="Times New Roman" w:hAnsi="Times New Roman" w:cs="Times New Roman"/>
          <w:sz w:val="24"/>
          <w:szCs w:val="24"/>
          <w:lang w:val="bg-BG"/>
        </w:rPr>
        <w:t xml:space="preserve"> </w:t>
      </w:r>
    </w:p>
    <w:p w14:paraId="777A3A0F" w14:textId="0B15D9CC"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7" w:history="1">
        <w:r w:rsidR="00BE57CC" w:rsidRPr="00610B1B">
          <w:rPr>
            <w:rFonts w:ascii="Times New Roman" w:eastAsia="Times New Roman" w:hAnsi="Times New Roman" w:cs="Times New Roman"/>
            <w:color w:val="0000FF"/>
            <w:sz w:val="24"/>
            <w:szCs w:val="24"/>
            <w:u w:val="single"/>
            <w:lang w:val="bg-BG"/>
          </w:rPr>
          <w:t>http://unesdoc.unesco.org/images/0018/001865/186559e.pdf</w:t>
        </w:r>
      </w:hyperlink>
      <w:r w:rsidR="00D66FE0" w:rsidRPr="00610B1B">
        <w:rPr>
          <w:rFonts w:ascii="Times New Roman" w:eastAsia="Times New Roman" w:hAnsi="Times New Roman" w:cs="Times New Roman"/>
          <w:sz w:val="24"/>
          <w:szCs w:val="24"/>
          <w:lang w:val="bg-BG"/>
        </w:rPr>
        <w:t xml:space="preserve"> </w:t>
      </w:r>
    </w:p>
    <w:p w14:paraId="27124C1C" w14:textId="60511E2E"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8" w:history="1">
        <w:r w:rsidR="00BE57CC" w:rsidRPr="00610B1B">
          <w:rPr>
            <w:rFonts w:ascii="Times New Roman" w:eastAsia="Times New Roman" w:hAnsi="Times New Roman" w:cs="Times New Roman"/>
            <w:color w:val="0000FF"/>
            <w:sz w:val="24"/>
            <w:szCs w:val="24"/>
            <w:u w:val="single"/>
            <w:lang w:val="bg-BG"/>
          </w:rPr>
          <w:t>http://uni-sz.bg/truni11/wp-content/uploads/biblioteka/file/TUNI10015968.pdf</w:t>
        </w:r>
      </w:hyperlink>
      <w:r w:rsidR="00BE57CC" w:rsidRPr="00610B1B">
        <w:rPr>
          <w:rFonts w:ascii="Times New Roman" w:eastAsia="Times New Roman" w:hAnsi="Times New Roman" w:cs="Times New Roman"/>
          <w:sz w:val="24"/>
          <w:szCs w:val="24"/>
          <w:lang w:val="bg-BG"/>
        </w:rPr>
        <w:t xml:space="preserve"> </w:t>
      </w:r>
    </w:p>
    <w:p w14:paraId="03FE8EFD" w14:textId="22FFB7F5"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89" w:history="1">
        <w:r w:rsidR="00BE57CC" w:rsidRPr="00610B1B">
          <w:rPr>
            <w:rFonts w:ascii="Times New Roman" w:eastAsia="Times New Roman" w:hAnsi="Times New Roman" w:cs="Times New Roman"/>
            <w:color w:val="0000FF"/>
            <w:sz w:val="24"/>
            <w:szCs w:val="24"/>
            <w:u w:val="single"/>
            <w:lang w:val="bg-BG"/>
          </w:rPr>
          <w:t>http://www.bgports.bg/bg/page/24</w:t>
        </w:r>
      </w:hyperlink>
      <w:r w:rsidR="00D66FE0" w:rsidRPr="00610B1B">
        <w:rPr>
          <w:rFonts w:ascii="Times New Roman" w:eastAsia="Times New Roman" w:hAnsi="Times New Roman" w:cs="Times New Roman"/>
          <w:sz w:val="24"/>
          <w:szCs w:val="24"/>
          <w:lang w:val="bg-BG"/>
        </w:rPr>
        <w:t xml:space="preserve"> </w:t>
      </w:r>
    </w:p>
    <w:p w14:paraId="57C037F5" w14:textId="47410566"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0" w:history="1">
        <w:r w:rsidR="00BE57CC" w:rsidRPr="00610B1B">
          <w:rPr>
            <w:rFonts w:ascii="Times New Roman" w:eastAsia="Times New Roman" w:hAnsi="Times New Roman" w:cs="Times New Roman"/>
            <w:color w:val="0000FF"/>
            <w:sz w:val="24"/>
            <w:szCs w:val="24"/>
            <w:u w:val="single"/>
            <w:lang w:val="bg-BG"/>
          </w:rPr>
          <w:t>http://www.blacksea-commission.org/</w:t>
        </w:r>
      </w:hyperlink>
      <w:r w:rsidR="00D66FE0" w:rsidRPr="00610B1B">
        <w:rPr>
          <w:rFonts w:ascii="Times New Roman" w:eastAsia="Times New Roman" w:hAnsi="Times New Roman" w:cs="Times New Roman"/>
          <w:sz w:val="24"/>
          <w:szCs w:val="24"/>
          <w:lang w:val="bg-BG"/>
        </w:rPr>
        <w:t xml:space="preserve"> </w:t>
      </w:r>
    </w:p>
    <w:p w14:paraId="042F86C0" w14:textId="2478FA44"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1" w:history="1">
        <w:r w:rsidR="00BE57CC" w:rsidRPr="00610B1B">
          <w:rPr>
            <w:rFonts w:ascii="Times New Roman" w:eastAsia="Times New Roman" w:hAnsi="Times New Roman" w:cs="Times New Roman"/>
            <w:color w:val="0000FF"/>
            <w:sz w:val="24"/>
            <w:szCs w:val="24"/>
            <w:u w:val="single"/>
            <w:lang w:val="bg-BG"/>
          </w:rPr>
          <w:t>http://www.blacksea-commission.org/</w:t>
        </w:r>
      </w:hyperlink>
      <w:r w:rsidR="00D66FE0" w:rsidRPr="00610B1B">
        <w:rPr>
          <w:rFonts w:ascii="Times New Roman" w:eastAsia="Times New Roman" w:hAnsi="Times New Roman" w:cs="Times New Roman"/>
          <w:sz w:val="24"/>
          <w:szCs w:val="24"/>
          <w:lang w:val="bg-BG"/>
        </w:rPr>
        <w:t xml:space="preserve"> </w:t>
      </w:r>
    </w:p>
    <w:p w14:paraId="2E5137F0" w14:textId="5025BEDF"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2" w:history="1">
        <w:r w:rsidR="00BE57CC" w:rsidRPr="00610B1B">
          <w:rPr>
            <w:rFonts w:ascii="Times New Roman" w:eastAsia="Times New Roman" w:hAnsi="Times New Roman" w:cs="Times New Roman"/>
            <w:color w:val="0000FF"/>
            <w:sz w:val="24"/>
            <w:szCs w:val="24"/>
            <w:u w:val="single"/>
            <w:lang w:val="bg-BG"/>
          </w:rPr>
          <w:t>http://www.blacksea-commission.org/_convention-fulltext.asp</w:t>
        </w:r>
      </w:hyperlink>
      <w:r w:rsidR="00D66FE0" w:rsidRPr="00610B1B">
        <w:rPr>
          <w:rFonts w:ascii="Times New Roman" w:eastAsia="Times New Roman" w:hAnsi="Times New Roman" w:cs="Times New Roman"/>
          <w:sz w:val="24"/>
          <w:szCs w:val="24"/>
          <w:lang w:val="bg-BG"/>
        </w:rPr>
        <w:t xml:space="preserve"> </w:t>
      </w:r>
    </w:p>
    <w:p w14:paraId="7CDBB0E6" w14:textId="53184561"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3" w:history="1">
        <w:r w:rsidR="00BE57CC" w:rsidRPr="00610B1B">
          <w:rPr>
            <w:rFonts w:ascii="Times New Roman" w:eastAsia="Times New Roman" w:hAnsi="Times New Roman" w:cs="Times New Roman"/>
            <w:color w:val="0000FF"/>
            <w:sz w:val="24"/>
            <w:szCs w:val="24"/>
            <w:u w:val="single"/>
            <w:lang w:val="bg-BG"/>
          </w:rPr>
          <w:t>http://www.blacksea-commission.org/_publications.asp</w:t>
        </w:r>
      </w:hyperlink>
      <w:r w:rsidR="00D66FE0" w:rsidRPr="00610B1B">
        <w:rPr>
          <w:rFonts w:ascii="Times New Roman" w:eastAsia="Times New Roman" w:hAnsi="Times New Roman" w:cs="Times New Roman"/>
          <w:sz w:val="24"/>
          <w:szCs w:val="24"/>
          <w:lang w:val="bg-BG"/>
        </w:rPr>
        <w:t xml:space="preserve"> </w:t>
      </w:r>
    </w:p>
    <w:p w14:paraId="131E6909" w14:textId="652A884E" w:rsidR="00BE57CC" w:rsidRPr="00610B1B" w:rsidRDefault="0055393F" w:rsidP="00C4605F">
      <w:pPr>
        <w:numPr>
          <w:ilvl w:val="0"/>
          <w:numId w:val="99"/>
        </w:numPr>
        <w:spacing w:after="120"/>
        <w:ind w:right="-306"/>
        <w:jc w:val="both"/>
        <w:rPr>
          <w:rFonts w:ascii="Times New Roman" w:eastAsia="Times New Roman" w:hAnsi="Times New Roman" w:cs="Times New Roman"/>
          <w:sz w:val="24"/>
          <w:szCs w:val="24"/>
          <w:lang w:val="bg-BG"/>
        </w:rPr>
      </w:pPr>
      <w:hyperlink r:id="rId394" w:history="1">
        <w:r w:rsidR="00BE57CC" w:rsidRPr="00610B1B">
          <w:rPr>
            <w:rFonts w:ascii="Times New Roman" w:eastAsia="Times New Roman" w:hAnsi="Times New Roman" w:cs="Times New Roman"/>
            <w:color w:val="0000FF"/>
            <w:sz w:val="24"/>
            <w:szCs w:val="24"/>
            <w:u w:val="single"/>
            <w:lang w:val="bg-BG"/>
          </w:rPr>
          <w:t>http://www.blacksea-commission.org/Official%20Documents/Black%20Sea%20Strategic%20Action%20Plan%202009/</w:t>
        </w:r>
      </w:hyperlink>
      <w:r w:rsidR="00BE57CC" w:rsidRPr="00610B1B">
        <w:rPr>
          <w:rFonts w:ascii="Times New Roman" w:eastAsia="Times New Roman" w:hAnsi="Times New Roman" w:cs="Times New Roman"/>
          <w:sz w:val="24"/>
          <w:szCs w:val="24"/>
          <w:lang w:val="bg-BG"/>
        </w:rPr>
        <w:t xml:space="preserve"> </w:t>
      </w:r>
    </w:p>
    <w:p w14:paraId="10B02CF4" w14:textId="2BBC1205"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5" w:history="1">
        <w:r w:rsidR="00BE57CC" w:rsidRPr="00610B1B">
          <w:rPr>
            <w:rFonts w:ascii="Times New Roman" w:eastAsia="Times New Roman" w:hAnsi="Times New Roman" w:cs="Times New Roman"/>
            <w:color w:val="0000FF"/>
            <w:sz w:val="24"/>
            <w:szCs w:val="24"/>
            <w:u w:val="single"/>
            <w:lang w:val="bg-BG"/>
          </w:rPr>
          <w:t>http://www.bsbd.org/bg/marine_env_assessment.html</w:t>
        </w:r>
      </w:hyperlink>
      <w:r w:rsidR="00D66FE0" w:rsidRPr="00610B1B">
        <w:rPr>
          <w:rFonts w:ascii="Times New Roman" w:eastAsia="Times New Roman" w:hAnsi="Times New Roman" w:cs="Times New Roman"/>
          <w:sz w:val="24"/>
          <w:szCs w:val="24"/>
          <w:lang w:val="bg-BG"/>
        </w:rPr>
        <w:t xml:space="preserve"> </w:t>
      </w:r>
    </w:p>
    <w:p w14:paraId="51B94656" w14:textId="690C230E"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6" w:history="1">
        <w:r w:rsidR="00BE57CC" w:rsidRPr="00610B1B">
          <w:rPr>
            <w:rFonts w:ascii="Times New Roman" w:eastAsia="Times New Roman" w:hAnsi="Times New Roman" w:cs="Times New Roman"/>
            <w:color w:val="0000FF"/>
            <w:sz w:val="24"/>
            <w:szCs w:val="24"/>
            <w:u w:val="single"/>
            <w:lang w:val="bg-BG"/>
          </w:rPr>
          <w:t>http://www.bsbd.org/bg/merki_13_rdms.html</w:t>
        </w:r>
      </w:hyperlink>
      <w:r w:rsidR="00D66FE0" w:rsidRPr="00610B1B">
        <w:rPr>
          <w:rFonts w:ascii="Times New Roman" w:eastAsia="Times New Roman" w:hAnsi="Times New Roman" w:cs="Times New Roman"/>
          <w:sz w:val="24"/>
          <w:szCs w:val="24"/>
          <w:lang w:val="bg-BG"/>
        </w:rPr>
        <w:t xml:space="preserve"> </w:t>
      </w:r>
    </w:p>
    <w:p w14:paraId="4BCC25D6" w14:textId="11A9B6BE"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7" w:history="1">
        <w:r w:rsidR="00BE57CC" w:rsidRPr="00610B1B">
          <w:rPr>
            <w:rFonts w:ascii="Times New Roman" w:eastAsia="Times New Roman" w:hAnsi="Times New Roman" w:cs="Times New Roman"/>
            <w:color w:val="0000FF"/>
            <w:sz w:val="24"/>
            <w:szCs w:val="24"/>
            <w:u w:val="single"/>
            <w:lang w:val="bg-BG"/>
          </w:rPr>
          <w:t>http://www.bsbd.org/bg/merki_13_rdms.html</w:t>
        </w:r>
      </w:hyperlink>
      <w:r w:rsidR="00D66FE0" w:rsidRPr="00610B1B">
        <w:rPr>
          <w:rFonts w:ascii="Times New Roman" w:eastAsia="Times New Roman" w:hAnsi="Times New Roman" w:cs="Times New Roman"/>
          <w:sz w:val="24"/>
          <w:szCs w:val="24"/>
          <w:lang w:val="bg-BG"/>
        </w:rPr>
        <w:t xml:space="preserve"> </w:t>
      </w:r>
    </w:p>
    <w:p w14:paraId="71D45F5A" w14:textId="36D444A8"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8" w:history="1">
        <w:r w:rsidR="00BE57CC" w:rsidRPr="00610B1B">
          <w:rPr>
            <w:rFonts w:ascii="Times New Roman" w:eastAsia="Times New Roman" w:hAnsi="Times New Roman" w:cs="Times New Roman"/>
            <w:color w:val="0000FF"/>
            <w:sz w:val="24"/>
            <w:szCs w:val="24"/>
            <w:u w:val="single"/>
            <w:lang w:val="bg-BG"/>
          </w:rPr>
          <w:t>http://www.bsbd.org/bg/msfd_monitoring.html</w:t>
        </w:r>
      </w:hyperlink>
      <w:r w:rsidR="00D66FE0" w:rsidRPr="00610B1B">
        <w:rPr>
          <w:rFonts w:ascii="Times New Roman" w:eastAsia="Times New Roman" w:hAnsi="Times New Roman" w:cs="Times New Roman"/>
          <w:sz w:val="24"/>
          <w:szCs w:val="24"/>
          <w:lang w:val="bg-BG"/>
        </w:rPr>
        <w:t xml:space="preserve"> </w:t>
      </w:r>
    </w:p>
    <w:p w14:paraId="7B5AED03" w14:textId="085AAC43"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399" w:history="1">
        <w:r w:rsidR="00BE57CC" w:rsidRPr="00610B1B">
          <w:rPr>
            <w:rFonts w:ascii="Times New Roman" w:eastAsia="Times New Roman" w:hAnsi="Times New Roman" w:cs="Times New Roman"/>
            <w:color w:val="0000FF"/>
            <w:sz w:val="24"/>
            <w:szCs w:val="24"/>
            <w:u w:val="single"/>
            <w:lang w:val="bg-BG"/>
          </w:rPr>
          <w:t>http://www.bsbd.org/bg/msfd_monitoring.html</w:t>
        </w:r>
      </w:hyperlink>
      <w:r w:rsidR="00D66FE0" w:rsidRPr="00610B1B">
        <w:rPr>
          <w:rFonts w:ascii="Times New Roman" w:eastAsia="Times New Roman" w:hAnsi="Times New Roman" w:cs="Times New Roman"/>
          <w:sz w:val="24"/>
          <w:szCs w:val="24"/>
          <w:lang w:val="bg-BG"/>
        </w:rPr>
        <w:t xml:space="preserve"> </w:t>
      </w:r>
    </w:p>
    <w:p w14:paraId="6A438CE4" w14:textId="198F47E8"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0" w:history="1">
        <w:r w:rsidR="00BE57CC" w:rsidRPr="00610B1B">
          <w:rPr>
            <w:rFonts w:ascii="Times New Roman" w:eastAsia="Times New Roman" w:hAnsi="Times New Roman" w:cs="Times New Roman"/>
            <w:color w:val="0000FF"/>
            <w:sz w:val="24"/>
            <w:szCs w:val="24"/>
            <w:u w:val="single"/>
            <w:lang w:val="bg-BG"/>
          </w:rPr>
          <w:t>http://www.bsbd.org/bg/page_1722859.html</w:t>
        </w:r>
      </w:hyperlink>
      <w:r w:rsidR="00D66FE0" w:rsidRPr="00610B1B">
        <w:rPr>
          <w:rFonts w:ascii="Times New Roman" w:eastAsia="Times New Roman" w:hAnsi="Times New Roman" w:cs="Times New Roman"/>
          <w:sz w:val="24"/>
          <w:szCs w:val="24"/>
          <w:lang w:val="bg-BG"/>
        </w:rPr>
        <w:t xml:space="preserve"> </w:t>
      </w:r>
    </w:p>
    <w:p w14:paraId="3C80E9F5" w14:textId="28C64049"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1" w:history="1">
        <w:r w:rsidR="00BE57CC" w:rsidRPr="00610B1B">
          <w:rPr>
            <w:rFonts w:ascii="Times New Roman" w:eastAsia="Times New Roman" w:hAnsi="Times New Roman" w:cs="Times New Roman"/>
            <w:color w:val="0000FF"/>
            <w:sz w:val="24"/>
            <w:szCs w:val="24"/>
            <w:u w:val="single"/>
            <w:lang w:val="bg-BG"/>
          </w:rPr>
          <w:t>http://www.bsbd.org/uk/MarineStrategy.html</w:t>
        </w:r>
      </w:hyperlink>
      <w:r w:rsidR="00D66FE0" w:rsidRPr="00610B1B">
        <w:rPr>
          <w:rFonts w:ascii="Times New Roman" w:eastAsia="Times New Roman" w:hAnsi="Times New Roman" w:cs="Times New Roman"/>
          <w:sz w:val="24"/>
          <w:szCs w:val="24"/>
          <w:lang w:val="bg-BG"/>
        </w:rPr>
        <w:t xml:space="preserve"> </w:t>
      </w:r>
    </w:p>
    <w:p w14:paraId="389C41C2" w14:textId="589D026A"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2" w:history="1">
        <w:r w:rsidR="00BE57CC" w:rsidRPr="00610B1B">
          <w:rPr>
            <w:rFonts w:ascii="Times New Roman" w:eastAsia="Times New Roman" w:hAnsi="Times New Roman" w:cs="Times New Roman"/>
            <w:color w:val="0000FF"/>
            <w:sz w:val="24"/>
            <w:szCs w:val="24"/>
            <w:u w:val="single"/>
            <w:lang w:val="bg-BG"/>
          </w:rPr>
          <w:t>http://www.bsec-organization.org/</w:t>
        </w:r>
      </w:hyperlink>
      <w:r w:rsidR="00D66FE0" w:rsidRPr="00610B1B">
        <w:rPr>
          <w:rFonts w:ascii="Times New Roman" w:eastAsia="Times New Roman" w:hAnsi="Times New Roman" w:cs="Times New Roman"/>
          <w:sz w:val="24"/>
          <w:szCs w:val="24"/>
          <w:lang w:val="bg-BG"/>
        </w:rPr>
        <w:t xml:space="preserve"> </w:t>
      </w:r>
    </w:p>
    <w:p w14:paraId="5D937C94" w14:textId="1A728ACE"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3" w:history="1">
        <w:r w:rsidR="00BE57CC" w:rsidRPr="00610B1B">
          <w:rPr>
            <w:rFonts w:ascii="Times New Roman" w:eastAsia="Times New Roman" w:hAnsi="Times New Roman" w:cs="Times New Roman"/>
            <w:color w:val="0000FF"/>
            <w:sz w:val="24"/>
            <w:szCs w:val="24"/>
            <w:u w:val="single"/>
            <w:lang w:val="bg-BG"/>
          </w:rPr>
          <w:t>http://www.bunarco.org/bg/dokladi.html</w:t>
        </w:r>
      </w:hyperlink>
      <w:r w:rsidR="00D66FE0" w:rsidRPr="00610B1B">
        <w:rPr>
          <w:rFonts w:ascii="Times New Roman" w:eastAsia="Times New Roman" w:hAnsi="Times New Roman" w:cs="Times New Roman"/>
          <w:sz w:val="24"/>
          <w:szCs w:val="24"/>
          <w:lang w:val="bg-BG"/>
        </w:rPr>
        <w:t xml:space="preserve"> </w:t>
      </w:r>
    </w:p>
    <w:p w14:paraId="7E1F1014" w14:textId="3743C2B3" w:rsidR="00BE57CC" w:rsidRPr="00610B1B" w:rsidRDefault="0055393F" w:rsidP="00C4605F">
      <w:pPr>
        <w:numPr>
          <w:ilvl w:val="0"/>
          <w:numId w:val="99"/>
        </w:numPr>
        <w:spacing w:after="120"/>
        <w:ind w:right="-589"/>
        <w:jc w:val="both"/>
        <w:rPr>
          <w:rFonts w:ascii="Times New Roman" w:eastAsia="Times New Roman" w:hAnsi="Times New Roman" w:cs="Times New Roman"/>
          <w:sz w:val="24"/>
          <w:szCs w:val="24"/>
          <w:lang w:val="bg-BG"/>
        </w:rPr>
      </w:pPr>
      <w:hyperlink r:id="rId404" w:history="1">
        <w:r w:rsidR="00BE57CC" w:rsidRPr="00610B1B">
          <w:rPr>
            <w:rFonts w:ascii="Times New Roman" w:eastAsia="Times New Roman" w:hAnsi="Times New Roman" w:cs="Times New Roman"/>
            <w:color w:val="0000FF"/>
            <w:sz w:val="24"/>
            <w:szCs w:val="24"/>
            <w:u w:val="single"/>
            <w:lang w:val="bg-BG"/>
          </w:rPr>
          <w:t>http://www.devotes-project.eu/wp-content/uploads/2014/06/DEVOTES-D1-1-ConceptualModels.pdf</w:t>
        </w:r>
      </w:hyperlink>
      <w:r w:rsidR="00D66FE0" w:rsidRPr="00610B1B">
        <w:rPr>
          <w:rFonts w:ascii="Times New Roman" w:eastAsia="Times New Roman" w:hAnsi="Times New Roman" w:cs="Times New Roman"/>
          <w:sz w:val="24"/>
          <w:szCs w:val="24"/>
          <w:lang w:val="bg-BG"/>
        </w:rPr>
        <w:t xml:space="preserve"> </w:t>
      </w:r>
    </w:p>
    <w:p w14:paraId="08B8D910" w14:textId="3D9119E7"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5" w:history="1">
        <w:r w:rsidR="00BE57CC" w:rsidRPr="00610B1B">
          <w:rPr>
            <w:rFonts w:ascii="Times New Roman" w:eastAsia="Times New Roman" w:hAnsi="Times New Roman" w:cs="Times New Roman"/>
            <w:color w:val="0000FF"/>
            <w:sz w:val="24"/>
            <w:szCs w:val="24"/>
            <w:u w:val="single"/>
            <w:lang w:val="bg-BG"/>
          </w:rPr>
          <w:t>http://www.fao.org/3/i3640e/i3640e.pdf</w:t>
        </w:r>
      </w:hyperlink>
      <w:r w:rsidR="00D66FE0" w:rsidRPr="00610B1B">
        <w:rPr>
          <w:rFonts w:ascii="Times New Roman" w:eastAsia="Times New Roman" w:hAnsi="Times New Roman" w:cs="Times New Roman"/>
          <w:sz w:val="24"/>
          <w:szCs w:val="24"/>
          <w:lang w:val="bg-BG"/>
        </w:rPr>
        <w:t xml:space="preserve"> </w:t>
      </w:r>
    </w:p>
    <w:p w14:paraId="366BEFCA" w14:textId="029B9AB3"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6" w:history="1">
        <w:r w:rsidR="00BE57CC" w:rsidRPr="00610B1B">
          <w:rPr>
            <w:rFonts w:ascii="Times New Roman" w:eastAsia="Times New Roman" w:hAnsi="Times New Roman" w:cs="Times New Roman"/>
            <w:color w:val="0000FF"/>
            <w:sz w:val="24"/>
            <w:szCs w:val="24"/>
            <w:u w:val="single"/>
            <w:lang w:val="bg-BG"/>
          </w:rPr>
          <w:t>http://www.fao.org/fishery/en</w:t>
        </w:r>
      </w:hyperlink>
      <w:r w:rsidR="00D66FE0" w:rsidRPr="00610B1B">
        <w:rPr>
          <w:rFonts w:ascii="Times New Roman" w:eastAsia="Times New Roman" w:hAnsi="Times New Roman" w:cs="Times New Roman"/>
          <w:sz w:val="24"/>
          <w:szCs w:val="24"/>
          <w:lang w:val="bg-BG"/>
        </w:rPr>
        <w:t xml:space="preserve"> </w:t>
      </w:r>
    </w:p>
    <w:p w14:paraId="65DADBF7" w14:textId="268A6818"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7" w:history="1">
        <w:r w:rsidR="00BE57CC" w:rsidRPr="00610B1B">
          <w:rPr>
            <w:rFonts w:ascii="Times New Roman" w:eastAsia="Times New Roman" w:hAnsi="Times New Roman" w:cs="Times New Roman"/>
            <w:color w:val="0000FF"/>
            <w:sz w:val="24"/>
            <w:szCs w:val="24"/>
            <w:u w:val="single"/>
            <w:lang w:val="bg-BG"/>
          </w:rPr>
          <w:t>http://www.iber.bas.bg/sites/default/files/2017/IPU_Kaliakra/IPU-Kaliakra-draft-26-06-2017.pdf</w:t>
        </w:r>
      </w:hyperlink>
      <w:r w:rsidR="00D66FE0" w:rsidRPr="00610B1B">
        <w:rPr>
          <w:rFonts w:ascii="Times New Roman" w:eastAsia="Times New Roman" w:hAnsi="Times New Roman" w:cs="Times New Roman"/>
          <w:sz w:val="24"/>
          <w:szCs w:val="24"/>
          <w:lang w:val="bg-BG"/>
        </w:rPr>
        <w:t xml:space="preserve"> </w:t>
      </w:r>
    </w:p>
    <w:p w14:paraId="18358CCB" w14:textId="26C83ADD"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8" w:history="1">
        <w:r w:rsidR="00BE57CC" w:rsidRPr="00610B1B">
          <w:rPr>
            <w:rFonts w:ascii="Times New Roman" w:eastAsia="Times New Roman" w:hAnsi="Times New Roman" w:cs="Times New Roman"/>
            <w:color w:val="0000FF"/>
            <w:sz w:val="24"/>
            <w:szCs w:val="24"/>
            <w:u w:val="single"/>
            <w:lang w:val="bg-BG"/>
          </w:rPr>
          <w:t>http://www.imo.org/en/about/conventions/listofconventions/pages/international-convention-for-the-prevention-of-pollution-from-ships-(marpol).aspx</w:t>
        </w:r>
      </w:hyperlink>
      <w:r w:rsidR="00C415D1" w:rsidRPr="00610B1B">
        <w:rPr>
          <w:rFonts w:ascii="Times New Roman" w:eastAsia="Times New Roman" w:hAnsi="Times New Roman" w:cs="Times New Roman"/>
          <w:sz w:val="24"/>
          <w:szCs w:val="24"/>
          <w:lang w:val="bg-BG"/>
        </w:rPr>
        <w:t xml:space="preserve"> </w:t>
      </w:r>
    </w:p>
    <w:p w14:paraId="5966F719" w14:textId="6A86E81B"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09" w:history="1">
        <w:r w:rsidR="00BE57CC" w:rsidRPr="00610B1B">
          <w:rPr>
            <w:rFonts w:ascii="Times New Roman" w:eastAsia="Times New Roman" w:hAnsi="Times New Roman" w:cs="Times New Roman"/>
            <w:color w:val="0000FF"/>
            <w:sz w:val="24"/>
            <w:szCs w:val="24"/>
            <w:u w:val="single"/>
            <w:lang w:val="bg-BG"/>
          </w:rPr>
          <w:t>http://www.interreg-balkanmed.eu/approved-project/9/</w:t>
        </w:r>
      </w:hyperlink>
      <w:r w:rsidR="00D66FE0" w:rsidRPr="00610B1B">
        <w:rPr>
          <w:rFonts w:ascii="Times New Roman" w:eastAsia="Times New Roman" w:hAnsi="Times New Roman" w:cs="Times New Roman"/>
          <w:sz w:val="24"/>
          <w:szCs w:val="24"/>
          <w:lang w:val="bg-BG"/>
        </w:rPr>
        <w:t xml:space="preserve"> </w:t>
      </w:r>
    </w:p>
    <w:p w14:paraId="5E22727E" w14:textId="54833A03"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10" w:history="1">
        <w:r w:rsidR="00BE57CC" w:rsidRPr="00610B1B">
          <w:rPr>
            <w:rFonts w:ascii="Times New Roman" w:eastAsia="Times New Roman" w:hAnsi="Times New Roman" w:cs="Times New Roman"/>
            <w:color w:val="0000FF"/>
            <w:sz w:val="24"/>
            <w:szCs w:val="24"/>
            <w:u w:val="single"/>
            <w:lang w:val="bg-BG"/>
          </w:rPr>
          <w:t>http://www.marineregions.org/gazetteer.php?p=details&amp;id=5672</w:t>
        </w:r>
      </w:hyperlink>
      <w:r w:rsidR="00BE57CC" w:rsidRPr="00610B1B">
        <w:rPr>
          <w:rFonts w:ascii="Times New Roman" w:eastAsia="Times New Roman" w:hAnsi="Times New Roman" w:cs="Times New Roman"/>
          <w:sz w:val="24"/>
          <w:szCs w:val="24"/>
          <w:lang w:val="bg-BG"/>
        </w:rPr>
        <w:t>)</w:t>
      </w:r>
      <w:r w:rsidR="00D66FE0" w:rsidRPr="00610B1B">
        <w:rPr>
          <w:rFonts w:ascii="Times New Roman" w:eastAsia="Times New Roman" w:hAnsi="Times New Roman" w:cs="Times New Roman"/>
          <w:sz w:val="24"/>
          <w:szCs w:val="24"/>
          <w:lang w:val="bg-BG"/>
        </w:rPr>
        <w:t xml:space="preserve"> </w:t>
      </w:r>
    </w:p>
    <w:p w14:paraId="6A8F21A4" w14:textId="495555A3"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11" w:history="1">
        <w:r w:rsidR="00BE57CC" w:rsidRPr="00610B1B">
          <w:rPr>
            <w:rFonts w:ascii="Times New Roman" w:eastAsia="Times New Roman" w:hAnsi="Times New Roman" w:cs="Times New Roman"/>
            <w:color w:val="0000FF"/>
            <w:sz w:val="24"/>
            <w:szCs w:val="24"/>
            <w:u w:val="single"/>
            <w:lang w:val="bg-BG"/>
          </w:rPr>
          <w:t>http://www.marsplan.ro/bg/</w:t>
        </w:r>
      </w:hyperlink>
      <w:r w:rsidR="00C415D1" w:rsidRPr="00610B1B">
        <w:rPr>
          <w:rFonts w:ascii="Times New Roman" w:eastAsia="Times New Roman" w:hAnsi="Times New Roman" w:cs="Times New Roman"/>
          <w:sz w:val="24"/>
          <w:szCs w:val="24"/>
          <w:lang w:val="bg-BG"/>
        </w:rPr>
        <w:t xml:space="preserve"> </w:t>
      </w:r>
    </w:p>
    <w:p w14:paraId="100A7091" w14:textId="69C3322B"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12" w:history="1">
        <w:r w:rsidR="00BE57CC" w:rsidRPr="00610B1B">
          <w:rPr>
            <w:rFonts w:ascii="Times New Roman" w:eastAsia="Times New Roman" w:hAnsi="Times New Roman" w:cs="Times New Roman"/>
            <w:color w:val="0000FF"/>
            <w:sz w:val="24"/>
            <w:szCs w:val="24"/>
            <w:u w:val="single"/>
            <w:lang w:val="bg-BG"/>
          </w:rPr>
          <w:t>http://www.marsplan.ro/bg/despre-proiectul-marsplan-%E2%80%93-bs-bg.html</w:t>
        </w:r>
      </w:hyperlink>
      <w:r w:rsidR="00D66FE0" w:rsidRPr="00610B1B">
        <w:rPr>
          <w:rFonts w:ascii="Times New Roman" w:eastAsia="Times New Roman" w:hAnsi="Times New Roman" w:cs="Times New Roman"/>
          <w:sz w:val="24"/>
          <w:szCs w:val="24"/>
          <w:lang w:val="bg-BG"/>
        </w:rPr>
        <w:t xml:space="preserve"> </w:t>
      </w:r>
    </w:p>
    <w:p w14:paraId="7B8D11EF" w14:textId="0068814E" w:rsidR="00BE57CC" w:rsidRPr="00610B1B" w:rsidRDefault="0055393F" w:rsidP="00BE57CC">
      <w:pPr>
        <w:numPr>
          <w:ilvl w:val="0"/>
          <w:numId w:val="99"/>
        </w:numPr>
        <w:spacing w:after="120"/>
        <w:ind w:right="-153"/>
        <w:jc w:val="both"/>
        <w:rPr>
          <w:rFonts w:ascii="Times New Roman" w:eastAsia="Times New Roman" w:hAnsi="Times New Roman" w:cs="Times New Roman"/>
          <w:sz w:val="24"/>
          <w:szCs w:val="24"/>
          <w:lang w:val="bg-BG"/>
        </w:rPr>
      </w:pPr>
      <w:hyperlink r:id="rId413" w:history="1">
        <w:r w:rsidR="00BE57CC" w:rsidRPr="00610B1B">
          <w:rPr>
            <w:rFonts w:ascii="Times New Roman" w:eastAsia="Times New Roman" w:hAnsi="Times New Roman" w:cs="Times New Roman"/>
            <w:color w:val="0000FF"/>
            <w:sz w:val="24"/>
            <w:szCs w:val="24"/>
            <w:u w:val="single"/>
            <w:lang w:val="bg-BG"/>
          </w:rPr>
          <w:t>http://www.marsplan.ro/en/results.html</w:t>
        </w:r>
      </w:hyperlink>
      <w:r w:rsidR="00D66FE0" w:rsidRPr="00610B1B">
        <w:rPr>
          <w:rFonts w:ascii="Times New Roman" w:eastAsia="Times New Roman" w:hAnsi="Times New Roman" w:cs="Times New Roman"/>
          <w:sz w:val="24"/>
          <w:szCs w:val="24"/>
          <w:lang w:val="bg-BG"/>
        </w:rPr>
        <w:t xml:space="preserve"> </w:t>
      </w:r>
    </w:p>
    <w:p w14:paraId="6DF604EB" w14:textId="44352D1B"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14" w:history="1">
        <w:r w:rsidR="00BE57CC" w:rsidRPr="00610B1B">
          <w:rPr>
            <w:rFonts w:ascii="Times New Roman" w:eastAsia="Times New Roman" w:hAnsi="Times New Roman" w:cs="Times New Roman"/>
            <w:color w:val="0000FF"/>
            <w:sz w:val="24"/>
            <w:szCs w:val="24"/>
            <w:u w:val="single"/>
            <w:lang w:val="bg-BG"/>
          </w:rPr>
          <w:t>http://www.marsplan.ro/en/results/case-study/432-bourgas.html</w:t>
        </w:r>
      </w:hyperlink>
      <w:r w:rsidR="00D66FE0" w:rsidRPr="00610B1B">
        <w:rPr>
          <w:rFonts w:ascii="Times New Roman" w:eastAsia="Times New Roman" w:hAnsi="Times New Roman" w:cs="Times New Roman"/>
          <w:sz w:val="24"/>
          <w:szCs w:val="24"/>
          <w:lang w:val="bg-BG"/>
        </w:rPr>
        <w:t xml:space="preserve"> </w:t>
      </w:r>
    </w:p>
    <w:p w14:paraId="12279865" w14:textId="47103F40"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15" w:history="1">
        <w:r w:rsidR="00BE57CC" w:rsidRPr="00610B1B">
          <w:rPr>
            <w:rFonts w:ascii="Times New Roman" w:eastAsia="Times New Roman" w:hAnsi="Times New Roman" w:cs="Times New Roman"/>
            <w:color w:val="0000FF"/>
            <w:sz w:val="24"/>
            <w:szCs w:val="24"/>
            <w:u w:val="single"/>
            <w:lang w:val="bg-BG"/>
          </w:rPr>
          <w:t>http://www.moew.government.bg/bg/vodi/morski-vodi/konvenciya-za-opazvane-na-cherno-more-ot-zamursyavane/</w:t>
        </w:r>
      </w:hyperlink>
      <w:r w:rsidR="00D66FE0" w:rsidRPr="00610B1B">
        <w:rPr>
          <w:rFonts w:ascii="Times New Roman" w:eastAsia="Times New Roman" w:hAnsi="Times New Roman" w:cs="Times New Roman"/>
          <w:sz w:val="24"/>
          <w:szCs w:val="24"/>
          <w:lang w:val="bg-BG"/>
        </w:rPr>
        <w:t xml:space="preserve"> </w:t>
      </w:r>
    </w:p>
    <w:p w14:paraId="140E1942" w14:textId="55574554"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16" w:history="1">
        <w:r w:rsidR="00BE57CC" w:rsidRPr="00610B1B">
          <w:rPr>
            <w:rFonts w:ascii="Times New Roman" w:eastAsia="Times New Roman" w:hAnsi="Times New Roman" w:cs="Times New Roman"/>
            <w:color w:val="0000FF"/>
            <w:sz w:val="24"/>
            <w:szCs w:val="24"/>
            <w:u w:val="single"/>
            <w:lang w:val="bg-BG"/>
          </w:rPr>
          <w:t>http://www.moew.government.bg/bg/vodi/morski-vodi/konvenciya-za-opazvane-na-cherno-more-ot-zamursyavane/</w:t>
        </w:r>
      </w:hyperlink>
      <w:r w:rsidR="00C415D1" w:rsidRPr="00610B1B">
        <w:rPr>
          <w:rFonts w:ascii="Times New Roman" w:eastAsia="Times New Roman" w:hAnsi="Times New Roman" w:cs="Times New Roman"/>
          <w:sz w:val="24"/>
          <w:szCs w:val="24"/>
          <w:lang w:val="bg-BG"/>
        </w:rPr>
        <w:t xml:space="preserve"> </w:t>
      </w:r>
    </w:p>
    <w:p w14:paraId="7BEBC626" w14:textId="100B8182"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17" w:history="1">
        <w:r w:rsidR="00BE57CC" w:rsidRPr="00610B1B">
          <w:rPr>
            <w:rFonts w:ascii="Times New Roman" w:eastAsia="Times New Roman" w:hAnsi="Times New Roman" w:cs="Times New Roman"/>
            <w:color w:val="0000FF"/>
            <w:sz w:val="24"/>
            <w:szCs w:val="24"/>
            <w:u w:val="single"/>
            <w:lang w:val="bg-BG"/>
          </w:rPr>
          <w:t>http://www.pabsec.org/page.asp?id=1&amp;hl=en</w:t>
        </w:r>
      </w:hyperlink>
      <w:r w:rsidR="00D66FE0" w:rsidRPr="00610B1B">
        <w:rPr>
          <w:rFonts w:ascii="Times New Roman" w:eastAsia="Times New Roman" w:hAnsi="Times New Roman" w:cs="Times New Roman"/>
          <w:sz w:val="24"/>
          <w:szCs w:val="24"/>
          <w:lang w:val="bg-BG"/>
        </w:rPr>
        <w:t xml:space="preserve"> </w:t>
      </w:r>
    </w:p>
    <w:p w14:paraId="1F1DA375" w14:textId="24741179"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18" w:history="1">
        <w:r w:rsidR="00BE57CC" w:rsidRPr="00610B1B">
          <w:rPr>
            <w:rFonts w:ascii="Times New Roman" w:eastAsia="Times New Roman" w:hAnsi="Times New Roman" w:cs="Times New Roman"/>
            <w:color w:val="0000FF"/>
            <w:sz w:val="24"/>
            <w:szCs w:val="24"/>
            <w:u w:val="single"/>
            <w:lang w:val="bg-BG"/>
          </w:rPr>
          <w:t>http://www.perseus-net.eu/site/content.php</w:t>
        </w:r>
      </w:hyperlink>
      <w:r w:rsidR="00D66FE0" w:rsidRPr="00610B1B">
        <w:rPr>
          <w:rFonts w:ascii="Times New Roman" w:eastAsia="Times New Roman" w:hAnsi="Times New Roman" w:cs="Times New Roman"/>
          <w:sz w:val="24"/>
          <w:szCs w:val="24"/>
          <w:lang w:val="bg-BG"/>
        </w:rPr>
        <w:t xml:space="preserve"> </w:t>
      </w:r>
    </w:p>
    <w:p w14:paraId="4F147886" w14:textId="13CF201B"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19" w:history="1">
        <w:r w:rsidR="00BE57CC" w:rsidRPr="00610B1B">
          <w:rPr>
            <w:rFonts w:ascii="Times New Roman" w:eastAsia="Times New Roman" w:hAnsi="Times New Roman" w:cs="Times New Roman"/>
            <w:color w:val="0000FF"/>
            <w:sz w:val="24"/>
            <w:szCs w:val="24"/>
            <w:u w:val="single"/>
            <w:lang w:val="bg-BG"/>
          </w:rPr>
          <w:t>http://www.strategy.bg/Publications/View.aspx?lang=bg-BG&amp;Id=90</w:t>
        </w:r>
      </w:hyperlink>
      <w:r w:rsidR="00D66FE0" w:rsidRPr="00610B1B">
        <w:rPr>
          <w:rFonts w:ascii="Times New Roman" w:eastAsia="Times New Roman" w:hAnsi="Times New Roman" w:cs="Times New Roman"/>
          <w:sz w:val="24"/>
          <w:szCs w:val="24"/>
          <w:lang w:val="bg-BG"/>
        </w:rPr>
        <w:t xml:space="preserve"> </w:t>
      </w:r>
    </w:p>
    <w:p w14:paraId="5F608F49" w14:textId="0C0F7AC9"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0" w:history="1">
        <w:r w:rsidR="00BE57CC" w:rsidRPr="00610B1B">
          <w:rPr>
            <w:rFonts w:ascii="Times New Roman" w:eastAsia="Times New Roman" w:hAnsi="Times New Roman" w:cs="Times New Roman"/>
            <w:color w:val="0000FF"/>
            <w:sz w:val="24"/>
            <w:szCs w:val="24"/>
            <w:u w:val="single"/>
            <w:lang w:val="bg-BG"/>
          </w:rPr>
          <w:t>http://www.strategy.bg/PublicConsultations/View.aspx?lang=bg-BG&amp;Id=2990</w:t>
        </w:r>
      </w:hyperlink>
      <w:r w:rsidR="00D66FE0" w:rsidRPr="00610B1B">
        <w:rPr>
          <w:rFonts w:ascii="Times New Roman" w:eastAsia="Times New Roman" w:hAnsi="Times New Roman" w:cs="Times New Roman"/>
          <w:sz w:val="24"/>
          <w:szCs w:val="24"/>
          <w:lang w:val="bg-BG"/>
        </w:rPr>
        <w:t xml:space="preserve"> </w:t>
      </w:r>
    </w:p>
    <w:p w14:paraId="1665BEDC" w14:textId="48E635BB"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1" w:history="1">
        <w:r w:rsidR="00BE57CC" w:rsidRPr="00610B1B">
          <w:rPr>
            <w:rFonts w:ascii="Times New Roman" w:eastAsia="Times New Roman" w:hAnsi="Times New Roman" w:cs="Times New Roman"/>
            <w:color w:val="0000FF"/>
            <w:sz w:val="24"/>
            <w:szCs w:val="24"/>
            <w:u w:val="single"/>
            <w:lang w:val="bg-BG"/>
          </w:rPr>
          <w:t>http://www.strategy.bg/StaticPages/CalculatingManual.aspx?guidanceType=2&amp;sectionName=PublicConsultationStandards</w:t>
        </w:r>
      </w:hyperlink>
      <w:r w:rsidR="00D66FE0" w:rsidRPr="00610B1B">
        <w:rPr>
          <w:rFonts w:ascii="Times New Roman" w:eastAsia="Times New Roman" w:hAnsi="Times New Roman" w:cs="Times New Roman"/>
          <w:sz w:val="24"/>
          <w:szCs w:val="24"/>
          <w:lang w:val="bg-BG"/>
        </w:rPr>
        <w:t xml:space="preserve"> </w:t>
      </w:r>
    </w:p>
    <w:p w14:paraId="5857C182" w14:textId="42A81010"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2" w:history="1">
        <w:r w:rsidR="00BE57CC" w:rsidRPr="00610B1B">
          <w:rPr>
            <w:rFonts w:ascii="Times New Roman" w:eastAsia="Times New Roman" w:hAnsi="Times New Roman" w:cs="Times New Roman"/>
            <w:color w:val="0000FF"/>
            <w:sz w:val="24"/>
            <w:szCs w:val="24"/>
            <w:u w:val="single"/>
            <w:lang w:val="bg-BG"/>
          </w:rPr>
          <w:t>http://www.strategy.bg/StrategicDocuments/View.aspx?lang=bg-BG&amp;Id=1231</w:t>
        </w:r>
      </w:hyperlink>
      <w:r w:rsidR="00D66FE0" w:rsidRPr="00610B1B">
        <w:rPr>
          <w:rFonts w:ascii="Times New Roman" w:eastAsia="Times New Roman" w:hAnsi="Times New Roman" w:cs="Times New Roman"/>
          <w:sz w:val="24"/>
          <w:szCs w:val="24"/>
          <w:lang w:val="bg-BG"/>
        </w:rPr>
        <w:t xml:space="preserve"> </w:t>
      </w:r>
    </w:p>
    <w:p w14:paraId="39A76BEC" w14:textId="447D1A71"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3" w:history="1">
        <w:r w:rsidR="00BE57CC" w:rsidRPr="00610B1B">
          <w:rPr>
            <w:rFonts w:ascii="Times New Roman" w:eastAsia="Times New Roman" w:hAnsi="Times New Roman" w:cs="Times New Roman"/>
            <w:color w:val="0000FF"/>
            <w:sz w:val="24"/>
            <w:szCs w:val="24"/>
            <w:u w:val="single"/>
            <w:lang w:val="bg-BG"/>
          </w:rPr>
          <w:t>http://www.strategy.bg/StrategicDocuments/View.aspx?lang=bg-BG&amp;Id=781</w:t>
        </w:r>
      </w:hyperlink>
      <w:r w:rsidR="00D66FE0" w:rsidRPr="00610B1B">
        <w:rPr>
          <w:rFonts w:ascii="Times New Roman" w:eastAsia="Times New Roman" w:hAnsi="Times New Roman" w:cs="Times New Roman"/>
          <w:sz w:val="24"/>
          <w:szCs w:val="24"/>
          <w:lang w:val="bg-BG"/>
        </w:rPr>
        <w:t xml:space="preserve"> </w:t>
      </w:r>
    </w:p>
    <w:p w14:paraId="66E41273" w14:textId="0E6C38B8"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4" w:history="1">
        <w:r w:rsidR="00BE57CC" w:rsidRPr="00610B1B">
          <w:rPr>
            <w:rFonts w:ascii="Times New Roman" w:eastAsia="Times New Roman" w:hAnsi="Times New Roman" w:cs="Times New Roman"/>
            <w:color w:val="0000FF"/>
            <w:sz w:val="24"/>
            <w:szCs w:val="24"/>
            <w:u w:val="single"/>
            <w:lang w:val="bg-BG"/>
          </w:rPr>
          <w:t>http://www.tourism.government.bg/</w:t>
        </w:r>
      </w:hyperlink>
      <w:r w:rsidR="00D66FE0" w:rsidRPr="00610B1B">
        <w:rPr>
          <w:rFonts w:ascii="Times New Roman" w:eastAsia="Times New Roman" w:hAnsi="Times New Roman" w:cs="Times New Roman"/>
          <w:sz w:val="24"/>
          <w:szCs w:val="24"/>
          <w:lang w:val="bg-BG"/>
        </w:rPr>
        <w:t xml:space="preserve"> </w:t>
      </w:r>
    </w:p>
    <w:p w14:paraId="56A4BE30" w14:textId="68C8B240"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5" w:history="1">
        <w:r w:rsidR="00BE57CC" w:rsidRPr="00610B1B">
          <w:rPr>
            <w:rFonts w:ascii="Times New Roman" w:eastAsia="Times New Roman" w:hAnsi="Times New Roman" w:cs="Times New Roman"/>
            <w:color w:val="0000FF"/>
            <w:sz w:val="24"/>
            <w:szCs w:val="24"/>
            <w:u w:val="single"/>
            <w:lang w:val="bg-BG"/>
          </w:rPr>
          <w:t>http://www.tourism.government.bg/sites/tourism.government.bg/files/documents/2018-01/nsurtb_2014-2030.pdf</w:t>
        </w:r>
      </w:hyperlink>
      <w:r w:rsidR="00D66FE0" w:rsidRPr="00610B1B">
        <w:rPr>
          <w:rFonts w:ascii="Times New Roman" w:eastAsia="Times New Roman" w:hAnsi="Times New Roman" w:cs="Times New Roman"/>
          <w:sz w:val="24"/>
          <w:szCs w:val="24"/>
          <w:lang w:val="bg-BG"/>
        </w:rPr>
        <w:t xml:space="preserve"> </w:t>
      </w:r>
    </w:p>
    <w:p w14:paraId="09210D4F" w14:textId="766B1F0F"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6" w:history="1">
        <w:r w:rsidR="00BE57CC" w:rsidRPr="00610B1B">
          <w:rPr>
            <w:rFonts w:ascii="Times New Roman" w:eastAsia="Times New Roman" w:hAnsi="Times New Roman" w:cs="Times New Roman"/>
            <w:color w:val="0000FF"/>
            <w:sz w:val="24"/>
            <w:szCs w:val="24"/>
            <w:u w:val="single"/>
            <w:lang w:val="bg-BG"/>
          </w:rPr>
          <w:t>http://www.un.org/depts/los/consultative_process/documents/A21-Ch17.htm</w:t>
        </w:r>
      </w:hyperlink>
      <w:r w:rsidR="00D66FE0" w:rsidRPr="00610B1B">
        <w:rPr>
          <w:rFonts w:ascii="Times New Roman" w:eastAsia="Times New Roman" w:hAnsi="Times New Roman" w:cs="Times New Roman"/>
          <w:sz w:val="24"/>
          <w:szCs w:val="24"/>
          <w:lang w:val="bg-BG"/>
        </w:rPr>
        <w:t xml:space="preserve"> </w:t>
      </w:r>
    </w:p>
    <w:p w14:paraId="54084951" w14:textId="06936C2D"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7" w:history="1">
        <w:r w:rsidR="00BE57CC" w:rsidRPr="00610B1B">
          <w:rPr>
            <w:rFonts w:ascii="Times New Roman" w:eastAsia="Times New Roman" w:hAnsi="Times New Roman" w:cs="Times New Roman"/>
            <w:color w:val="0000FF"/>
            <w:sz w:val="24"/>
            <w:szCs w:val="24"/>
            <w:u w:val="single"/>
            <w:lang w:val="bg-BG"/>
          </w:rPr>
          <w:t>http://www3.weforum.org/docs/WEF_TheGlobalCompetitivenessReport2019.pdf</w:t>
        </w:r>
      </w:hyperlink>
      <w:r w:rsidR="00D66FE0" w:rsidRPr="00610B1B">
        <w:rPr>
          <w:rFonts w:ascii="Times New Roman" w:eastAsia="Times New Roman" w:hAnsi="Times New Roman" w:cs="Times New Roman"/>
          <w:sz w:val="24"/>
          <w:szCs w:val="24"/>
          <w:lang w:val="bg-BG"/>
        </w:rPr>
        <w:t xml:space="preserve"> </w:t>
      </w:r>
    </w:p>
    <w:p w14:paraId="5CF19C6A" w14:textId="60A9B936"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28" w:history="1">
        <w:r w:rsidR="00BE57CC" w:rsidRPr="00610B1B">
          <w:rPr>
            <w:rFonts w:ascii="Times New Roman" w:eastAsia="Times New Roman" w:hAnsi="Times New Roman" w:cs="Times New Roman"/>
            <w:color w:val="0000FF"/>
            <w:sz w:val="24"/>
            <w:szCs w:val="24"/>
            <w:u w:val="single"/>
            <w:lang w:val="bg-BG"/>
          </w:rPr>
          <w:t>https://bbf.biodiversity.bg/bg/Uzunbudzhak.c254</w:t>
        </w:r>
      </w:hyperlink>
      <w:r w:rsidR="00D66FE0" w:rsidRPr="00610B1B">
        <w:rPr>
          <w:rFonts w:ascii="Times New Roman" w:eastAsia="Times New Roman" w:hAnsi="Times New Roman" w:cs="Times New Roman"/>
          <w:sz w:val="24"/>
          <w:szCs w:val="24"/>
          <w:lang w:val="bg-BG"/>
        </w:rPr>
        <w:t xml:space="preserve"> </w:t>
      </w:r>
    </w:p>
    <w:p w14:paraId="3C0A6F3E" w14:textId="6A3335AA" w:rsidR="00BE57CC" w:rsidRPr="00610B1B" w:rsidRDefault="00DB227B" w:rsidP="00B86414">
      <w:pPr>
        <w:numPr>
          <w:ilvl w:val="0"/>
          <w:numId w:val="99"/>
        </w:numPr>
        <w:spacing w:after="120"/>
        <w:ind w:right="-153"/>
        <w:jc w:val="both"/>
        <w:rPr>
          <w:rFonts w:ascii="Times New Roman" w:eastAsia="Times New Roman" w:hAnsi="Times New Roman" w:cs="Times New Roman"/>
          <w:sz w:val="24"/>
          <w:szCs w:val="24"/>
          <w:lang w:val="bg-BG"/>
        </w:rPr>
      </w:pPr>
      <w:hyperlink r:id="rId429" w:history="1">
        <w:r w:rsidR="00BE57CC" w:rsidRPr="00610B1B">
          <w:rPr>
            <w:rFonts w:ascii="Times New Roman" w:eastAsia="Times New Roman" w:hAnsi="Times New Roman" w:cs="Times New Roman"/>
            <w:color w:val="0000FF"/>
            <w:sz w:val="24"/>
            <w:szCs w:val="24"/>
            <w:u w:val="single"/>
            <w:lang w:val="bg-BG"/>
          </w:rPr>
          <w:t>https://blacksea-cbc.net/</w:t>
        </w:r>
      </w:hyperlink>
      <w:r w:rsidR="00D66FE0" w:rsidRPr="00610B1B">
        <w:rPr>
          <w:rFonts w:ascii="Times New Roman" w:eastAsia="Times New Roman" w:hAnsi="Times New Roman" w:cs="Times New Roman"/>
          <w:sz w:val="24"/>
          <w:szCs w:val="24"/>
          <w:lang w:val="bg-BG"/>
        </w:rPr>
        <w:t xml:space="preserve"> </w:t>
      </w:r>
    </w:p>
    <w:p w14:paraId="775A641A" w14:textId="499EADEC"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0" w:history="1">
        <w:r w:rsidR="00BE57CC" w:rsidRPr="00610B1B">
          <w:rPr>
            <w:rFonts w:ascii="Times New Roman" w:eastAsia="Times New Roman" w:hAnsi="Times New Roman" w:cs="Times New Roman"/>
            <w:color w:val="0000FF"/>
            <w:sz w:val="24"/>
            <w:szCs w:val="24"/>
            <w:u w:val="single"/>
            <w:lang w:val="bg-BG"/>
          </w:rPr>
          <w:t>https://bsbd.org/bg/msfd_monitoring.html</w:t>
        </w:r>
      </w:hyperlink>
      <w:r w:rsidR="00D66FE0" w:rsidRPr="00610B1B">
        <w:rPr>
          <w:rFonts w:ascii="Times New Roman" w:eastAsia="Times New Roman" w:hAnsi="Times New Roman" w:cs="Times New Roman"/>
          <w:sz w:val="24"/>
          <w:szCs w:val="24"/>
          <w:lang w:val="bg-BG"/>
        </w:rPr>
        <w:t xml:space="preserve"> </w:t>
      </w:r>
    </w:p>
    <w:p w14:paraId="61BF3DB1" w14:textId="6783178A"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1" w:history="1">
        <w:r w:rsidR="00BE57CC" w:rsidRPr="00610B1B">
          <w:rPr>
            <w:rFonts w:ascii="Times New Roman" w:eastAsia="Times New Roman" w:hAnsi="Times New Roman" w:cs="Times New Roman"/>
            <w:color w:val="0000FF"/>
            <w:sz w:val="24"/>
            <w:szCs w:val="24"/>
            <w:u w:val="single"/>
            <w:lang w:val="bg-BG"/>
          </w:rPr>
          <w:t>https://bsbd.org/bg/register.html</w:t>
        </w:r>
      </w:hyperlink>
      <w:r w:rsidR="00D66FE0" w:rsidRPr="00610B1B">
        <w:rPr>
          <w:rFonts w:ascii="Times New Roman" w:eastAsia="Times New Roman" w:hAnsi="Times New Roman" w:cs="Times New Roman"/>
          <w:sz w:val="24"/>
          <w:szCs w:val="24"/>
          <w:lang w:val="bg-BG"/>
        </w:rPr>
        <w:t xml:space="preserve"> </w:t>
      </w:r>
    </w:p>
    <w:p w14:paraId="00AEA012" w14:textId="2B2AFD0C"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2" w:history="1">
        <w:r w:rsidR="00BE57CC" w:rsidRPr="00610B1B">
          <w:rPr>
            <w:rFonts w:ascii="Times New Roman" w:eastAsia="Times New Roman" w:hAnsi="Times New Roman" w:cs="Times New Roman"/>
            <w:color w:val="0000FF"/>
            <w:sz w:val="24"/>
            <w:szCs w:val="24"/>
            <w:u w:val="single"/>
            <w:lang w:val="bg-BG"/>
          </w:rPr>
          <w:t>https://bsbd.org/v2/bg/index_bg_2934486.html?URI=</w:t>
        </w:r>
      </w:hyperlink>
      <w:r w:rsidR="00D66FE0" w:rsidRPr="00610B1B">
        <w:rPr>
          <w:rFonts w:ascii="Times New Roman" w:eastAsia="Times New Roman" w:hAnsi="Times New Roman" w:cs="Times New Roman"/>
          <w:sz w:val="24"/>
          <w:szCs w:val="24"/>
          <w:lang w:val="bg-BG"/>
        </w:rPr>
        <w:t xml:space="preserve"> </w:t>
      </w:r>
    </w:p>
    <w:p w14:paraId="463F942D" w14:textId="2B3A8F20"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3" w:history="1">
        <w:r w:rsidR="00BE57CC" w:rsidRPr="00610B1B">
          <w:rPr>
            <w:rFonts w:ascii="Times New Roman" w:eastAsia="Times New Roman" w:hAnsi="Times New Roman" w:cs="Times New Roman"/>
            <w:color w:val="0000FF"/>
            <w:sz w:val="24"/>
            <w:szCs w:val="24"/>
            <w:u w:val="single"/>
            <w:lang w:val="bg-BG"/>
          </w:rPr>
          <w:t>https://ec.europa.eu/environment/iczm/pdf/LSI_FINAL20180417_digital.pdf</w:t>
        </w:r>
      </w:hyperlink>
      <w:r w:rsidR="00BE57CC" w:rsidRPr="00610B1B">
        <w:rPr>
          <w:rFonts w:ascii="Times New Roman" w:eastAsia="Times New Roman" w:hAnsi="Times New Roman" w:cs="Times New Roman"/>
          <w:sz w:val="24"/>
          <w:szCs w:val="24"/>
          <w:lang w:val="bg-BG"/>
        </w:rPr>
        <w:t xml:space="preserve"> </w:t>
      </w:r>
    </w:p>
    <w:p w14:paraId="102460B0" w14:textId="00918955"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4" w:history="1">
        <w:r w:rsidR="00BE57CC" w:rsidRPr="00610B1B">
          <w:rPr>
            <w:rFonts w:ascii="Times New Roman" w:eastAsia="Times New Roman" w:hAnsi="Times New Roman" w:cs="Times New Roman"/>
            <w:color w:val="0000FF"/>
            <w:sz w:val="24"/>
            <w:szCs w:val="24"/>
            <w:u w:val="single"/>
            <w:lang w:val="bg-BG"/>
          </w:rPr>
          <w:t>https://ec.europa.eu/eurostat/web/products-eurostat-news/-/DDN-20200513-2</w:t>
        </w:r>
      </w:hyperlink>
      <w:r w:rsidR="00D66FE0" w:rsidRPr="00610B1B">
        <w:rPr>
          <w:rFonts w:ascii="Times New Roman" w:eastAsia="Times New Roman" w:hAnsi="Times New Roman" w:cs="Times New Roman"/>
          <w:sz w:val="24"/>
          <w:szCs w:val="24"/>
          <w:lang w:val="bg-BG"/>
        </w:rPr>
        <w:t xml:space="preserve"> </w:t>
      </w:r>
    </w:p>
    <w:p w14:paraId="5E9DF2D0" w14:textId="6A4E3906"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5" w:history="1">
        <w:r w:rsidR="00BE57CC" w:rsidRPr="00610B1B">
          <w:rPr>
            <w:rFonts w:ascii="Times New Roman" w:eastAsia="Times New Roman" w:hAnsi="Times New Roman" w:cs="Times New Roman"/>
            <w:color w:val="0000FF"/>
            <w:sz w:val="24"/>
            <w:szCs w:val="24"/>
            <w:u w:val="single"/>
            <w:lang w:val="bg-BG"/>
          </w:rPr>
          <w:t>https://ec.europa.eu/maritimeaffairs/maritimeday/sites/mare-emd/files/burgas-visionpaper_en.pdf</w:t>
        </w:r>
      </w:hyperlink>
      <w:r w:rsidR="00C415D1" w:rsidRPr="00610B1B">
        <w:rPr>
          <w:rFonts w:ascii="Times New Roman" w:eastAsia="Times New Roman" w:hAnsi="Times New Roman" w:cs="Times New Roman"/>
          <w:sz w:val="24"/>
          <w:szCs w:val="24"/>
          <w:lang w:val="bg-BG"/>
        </w:rPr>
        <w:t xml:space="preserve"> </w:t>
      </w:r>
    </w:p>
    <w:p w14:paraId="6C78FC36" w14:textId="55EE8F65"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6" w:history="1">
        <w:r w:rsidR="00BE57CC" w:rsidRPr="00610B1B">
          <w:rPr>
            <w:rFonts w:ascii="Times New Roman" w:eastAsia="Times New Roman" w:hAnsi="Times New Roman" w:cs="Times New Roman"/>
            <w:color w:val="0000FF"/>
            <w:sz w:val="24"/>
            <w:szCs w:val="24"/>
            <w:u w:val="single"/>
            <w:lang w:val="bg-BG"/>
          </w:rPr>
          <w:t>https://ec.europa.eu/maritimeaffairs/policy/blue_growth_bg</w:t>
        </w:r>
      </w:hyperlink>
      <w:r w:rsidR="00D66FE0" w:rsidRPr="00610B1B">
        <w:rPr>
          <w:rFonts w:ascii="Times New Roman" w:eastAsia="Times New Roman" w:hAnsi="Times New Roman" w:cs="Times New Roman"/>
          <w:sz w:val="24"/>
          <w:szCs w:val="24"/>
          <w:lang w:val="bg-BG"/>
        </w:rPr>
        <w:t xml:space="preserve"> </w:t>
      </w:r>
    </w:p>
    <w:p w14:paraId="78709DF9" w14:textId="3BFFF06E"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7" w:history="1">
        <w:r w:rsidR="00BE57CC" w:rsidRPr="00610B1B">
          <w:rPr>
            <w:rFonts w:ascii="Times New Roman" w:eastAsia="Times New Roman" w:hAnsi="Times New Roman" w:cs="Times New Roman"/>
            <w:color w:val="0000FF"/>
            <w:sz w:val="24"/>
            <w:szCs w:val="24"/>
            <w:u w:val="single"/>
            <w:lang w:val="bg-BG"/>
          </w:rPr>
          <w:t>https://ec.europa.eu/maritimeaffairs/press/common-maritime-agenda-black-sea-motion_en</w:t>
        </w:r>
      </w:hyperlink>
      <w:r w:rsidR="00D66FE0" w:rsidRPr="00610B1B">
        <w:rPr>
          <w:rFonts w:ascii="Times New Roman" w:eastAsia="Times New Roman" w:hAnsi="Times New Roman" w:cs="Times New Roman"/>
          <w:sz w:val="24"/>
          <w:szCs w:val="24"/>
          <w:lang w:val="bg-BG"/>
        </w:rPr>
        <w:t xml:space="preserve"> </w:t>
      </w:r>
    </w:p>
    <w:p w14:paraId="13694B20" w14:textId="64B78486"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38" w:history="1">
        <w:r w:rsidR="00BE57CC" w:rsidRPr="00610B1B">
          <w:rPr>
            <w:rFonts w:ascii="Times New Roman" w:eastAsia="Times New Roman" w:hAnsi="Times New Roman" w:cs="Times New Roman"/>
            <w:color w:val="0000FF"/>
            <w:sz w:val="24"/>
            <w:szCs w:val="24"/>
            <w:u w:val="single"/>
            <w:lang w:val="bg-BG"/>
          </w:rPr>
          <w:t>https://ec.europa.eu/maritimeaffairs/sites/maritimeaffairs/files/2020_06_blueeconomy-2020-ld_final.pdf</w:t>
        </w:r>
      </w:hyperlink>
      <w:r w:rsidR="00D66FE0" w:rsidRPr="00610B1B">
        <w:rPr>
          <w:rFonts w:ascii="Times New Roman" w:eastAsia="Times New Roman" w:hAnsi="Times New Roman" w:cs="Times New Roman"/>
          <w:sz w:val="24"/>
          <w:szCs w:val="24"/>
          <w:lang w:val="bg-BG"/>
        </w:rPr>
        <w:t xml:space="preserve"> </w:t>
      </w:r>
    </w:p>
    <w:p w14:paraId="4973D33B" w14:textId="6F63FD57" w:rsidR="00BE57CC" w:rsidRPr="00610B1B" w:rsidRDefault="0055393F" w:rsidP="00C4605F">
      <w:pPr>
        <w:numPr>
          <w:ilvl w:val="0"/>
          <w:numId w:val="99"/>
        </w:numPr>
        <w:spacing w:after="120"/>
        <w:ind w:right="-448"/>
        <w:jc w:val="both"/>
        <w:rPr>
          <w:rFonts w:ascii="Times New Roman" w:eastAsia="Times New Roman" w:hAnsi="Times New Roman" w:cs="Times New Roman"/>
          <w:sz w:val="24"/>
          <w:szCs w:val="24"/>
          <w:lang w:val="bg-BG"/>
        </w:rPr>
      </w:pPr>
      <w:hyperlink r:id="rId439" w:history="1">
        <w:r w:rsidR="00BE57CC" w:rsidRPr="00610B1B">
          <w:rPr>
            <w:rFonts w:ascii="Times New Roman" w:eastAsia="Times New Roman" w:hAnsi="Times New Roman" w:cs="Times New Roman"/>
            <w:color w:val="0000FF"/>
            <w:sz w:val="24"/>
            <w:szCs w:val="24"/>
            <w:u w:val="single"/>
            <w:lang w:val="bg-BG"/>
          </w:rPr>
          <w:t>https://ec.europa.eu/maritimeaffairs/sites/maritimeaffairs/files/docs/publications/blue-growth_en.pdf</w:t>
        </w:r>
      </w:hyperlink>
    </w:p>
    <w:p w14:paraId="7B7B58A5" w14:textId="69FAEBB0"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40" w:history="1">
        <w:r w:rsidR="00BE57CC" w:rsidRPr="00610B1B">
          <w:rPr>
            <w:rFonts w:ascii="Times New Roman" w:eastAsia="Times New Roman" w:hAnsi="Times New Roman" w:cs="Times New Roman"/>
            <w:color w:val="0000FF"/>
            <w:sz w:val="24"/>
            <w:szCs w:val="24"/>
            <w:u w:val="single"/>
            <w:lang w:val="bg-BG"/>
          </w:rPr>
          <w:t>https://ec.europa.eu/regional_policy/en/information/maps/regional_competitiveness/</w:t>
        </w:r>
      </w:hyperlink>
      <w:r w:rsidR="00D66FE0" w:rsidRPr="00610B1B">
        <w:rPr>
          <w:rFonts w:ascii="Times New Roman" w:eastAsia="Times New Roman" w:hAnsi="Times New Roman" w:cs="Times New Roman"/>
          <w:sz w:val="24"/>
          <w:szCs w:val="24"/>
          <w:lang w:val="bg-BG"/>
        </w:rPr>
        <w:t xml:space="preserve"> </w:t>
      </w:r>
    </w:p>
    <w:p w14:paraId="4604A674" w14:textId="5A30AD28" w:rsidR="00BE57CC" w:rsidRPr="00610B1B" w:rsidRDefault="00DB227B" w:rsidP="00B86414">
      <w:pPr>
        <w:numPr>
          <w:ilvl w:val="0"/>
          <w:numId w:val="99"/>
        </w:numPr>
        <w:spacing w:after="120"/>
        <w:ind w:right="-153"/>
        <w:jc w:val="both"/>
        <w:rPr>
          <w:rFonts w:ascii="Times New Roman" w:eastAsia="Times New Roman" w:hAnsi="Times New Roman" w:cs="Times New Roman"/>
          <w:sz w:val="24"/>
          <w:szCs w:val="24"/>
          <w:lang w:val="bg-BG"/>
        </w:rPr>
      </w:pPr>
      <w:hyperlink r:id="rId441" w:history="1">
        <w:r w:rsidR="00BE57CC" w:rsidRPr="00610B1B">
          <w:rPr>
            <w:rFonts w:ascii="Times New Roman" w:eastAsia="Times New Roman" w:hAnsi="Times New Roman" w:cs="Times New Roman"/>
            <w:color w:val="0000FF"/>
            <w:sz w:val="24"/>
            <w:szCs w:val="24"/>
            <w:u w:val="single"/>
            <w:lang w:val="bg-BG"/>
          </w:rPr>
          <w:t>https://epsg.io/7800</w:t>
        </w:r>
      </w:hyperlink>
      <w:r w:rsidR="00BE57CC" w:rsidRPr="00610B1B">
        <w:rPr>
          <w:rFonts w:ascii="Times New Roman" w:eastAsia="Times New Roman" w:hAnsi="Times New Roman" w:cs="Times New Roman"/>
          <w:sz w:val="24"/>
          <w:szCs w:val="24"/>
          <w:lang w:val="bg-BG"/>
        </w:rPr>
        <w:t xml:space="preserve"> </w:t>
      </w:r>
    </w:p>
    <w:p w14:paraId="3B729B5D" w14:textId="186FB8CA"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42" w:history="1">
        <w:r w:rsidR="00BE57CC" w:rsidRPr="00610B1B">
          <w:rPr>
            <w:rFonts w:ascii="Times New Roman" w:eastAsia="Times New Roman" w:hAnsi="Times New Roman" w:cs="Times New Roman"/>
            <w:color w:val="0000FF"/>
            <w:sz w:val="24"/>
            <w:szCs w:val="24"/>
            <w:u w:val="single"/>
            <w:lang w:val="bg-BG"/>
          </w:rPr>
          <w:t>https://eunis.eea.europa.eu/</w:t>
        </w:r>
      </w:hyperlink>
      <w:r w:rsidR="00D66FE0" w:rsidRPr="00610B1B">
        <w:rPr>
          <w:rFonts w:ascii="Times New Roman" w:eastAsia="Times New Roman" w:hAnsi="Times New Roman" w:cs="Times New Roman"/>
          <w:sz w:val="24"/>
          <w:szCs w:val="24"/>
          <w:lang w:val="bg-BG"/>
        </w:rPr>
        <w:t xml:space="preserve"> </w:t>
      </w:r>
    </w:p>
    <w:p w14:paraId="36BF15DA" w14:textId="1110EE62"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43" w:history="1">
        <w:r w:rsidR="00BE57CC" w:rsidRPr="00610B1B">
          <w:rPr>
            <w:rFonts w:ascii="Times New Roman" w:eastAsia="Times New Roman" w:hAnsi="Times New Roman" w:cs="Times New Roman"/>
            <w:color w:val="0000FF"/>
            <w:sz w:val="24"/>
            <w:szCs w:val="24"/>
            <w:u w:val="single"/>
            <w:lang w:val="bg-BG"/>
          </w:rPr>
          <w:t>https://eur-lex.europa.eu/legal-content/BG/TXT/?uri=CELEX%3A31992L0043</w:t>
        </w:r>
      </w:hyperlink>
      <w:r w:rsidR="00D66FE0" w:rsidRPr="00610B1B">
        <w:rPr>
          <w:rFonts w:ascii="Times New Roman" w:eastAsia="Times New Roman" w:hAnsi="Times New Roman" w:cs="Times New Roman"/>
          <w:sz w:val="24"/>
          <w:szCs w:val="24"/>
          <w:lang w:val="bg-BG"/>
        </w:rPr>
        <w:t xml:space="preserve"> </w:t>
      </w:r>
    </w:p>
    <w:p w14:paraId="5BB62895" w14:textId="5195E6A3"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44" w:history="1">
        <w:r w:rsidR="00BE57CC" w:rsidRPr="00610B1B">
          <w:rPr>
            <w:rFonts w:ascii="Times New Roman" w:eastAsia="Times New Roman" w:hAnsi="Times New Roman" w:cs="Times New Roman"/>
            <w:color w:val="0000FF"/>
            <w:sz w:val="24"/>
            <w:szCs w:val="24"/>
            <w:u w:val="single"/>
            <w:lang w:val="bg-BG"/>
          </w:rPr>
          <w:t>https://eur-lex.europa.eu/legal-content/BG/TXT/?uri=CELEX%3A32008L0056</w:t>
        </w:r>
      </w:hyperlink>
      <w:r w:rsidR="00D66FE0" w:rsidRPr="00610B1B">
        <w:rPr>
          <w:rFonts w:ascii="Times New Roman" w:eastAsia="Times New Roman" w:hAnsi="Times New Roman" w:cs="Times New Roman"/>
          <w:sz w:val="24"/>
          <w:szCs w:val="24"/>
          <w:lang w:val="bg-BG"/>
        </w:rPr>
        <w:t xml:space="preserve"> </w:t>
      </w:r>
    </w:p>
    <w:p w14:paraId="763FB48B" w14:textId="7EBDEE87" w:rsidR="00BE57CC" w:rsidRPr="00610B1B" w:rsidRDefault="0055393F" w:rsidP="00C4605F">
      <w:pPr>
        <w:numPr>
          <w:ilvl w:val="0"/>
          <w:numId w:val="99"/>
        </w:numPr>
        <w:spacing w:after="120"/>
        <w:ind w:right="-471"/>
        <w:jc w:val="both"/>
        <w:rPr>
          <w:rFonts w:ascii="Times New Roman" w:eastAsia="Times New Roman" w:hAnsi="Times New Roman" w:cs="Times New Roman"/>
          <w:sz w:val="24"/>
          <w:szCs w:val="24"/>
          <w:lang w:val="bg-BG"/>
        </w:rPr>
      </w:pPr>
      <w:hyperlink r:id="rId445" w:history="1">
        <w:r w:rsidR="00BE57CC" w:rsidRPr="00610B1B">
          <w:rPr>
            <w:rFonts w:ascii="Times New Roman" w:eastAsia="Times New Roman" w:hAnsi="Times New Roman" w:cs="Times New Roman"/>
            <w:color w:val="0000FF"/>
            <w:sz w:val="24"/>
            <w:szCs w:val="24"/>
            <w:u w:val="single"/>
            <w:lang w:val="bg-BG"/>
          </w:rPr>
          <w:t>https://eur-lex.europa.eu/legal-content/BG/TXT/PDF/?uri=CELEX:32000L0060&amp;from=BG</w:t>
        </w:r>
      </w:hyperlink>
      <w:r w:rsidR="00D66FE0" w:rsidRPr="00610B1B">
        <w:rPr>
          <w:rFonts w:ascii="Times New Roman" w:eastAsia="Times New Roman" w:hAnsi="Times New Roman" w:cs="Times New Roman"/>
          <w:sz w:val="24"/>
          <w:szCs w:val="24"/>
          <w:lang w:val="bg-BG"/>
        </w:rPr>
        <w:t xml:space="preserve"> </w:t>
      </w:r>
    </w:p>
    <w:p w14:paraId="04FE1F3A" w14:textId="57749FC9" w:rsidR="00BE57CC" w:rsidRPr="00610B1B" w:rsidRDefault="0055393F" w:rsidP="00C4605F">
      <w:pPr>
        <w:numPr>
          <w:ilvl w:val="0"/>
          <w:numId w:val="99"/>
        </w:numPr>
        <w:spacing w:after="120"/>
        <w:ind w:right="-471"/>
        <w:jc w:val="both"/>
        <w:rPr>
          <w:rFonts w:ascii="Times New Roman" w:eastAsia="Times New Roman" w:hAnsi="Times New Roman" w:cs="Times New Roman"/>
          <w:sz w:val="24"/>
          <w:szCs w:val="24"/>
          <w:lang w:val="bg-BG"/>
        </w:rPr>
      </w:pPr>
      <w:hyperlink r:id="rId446" w:history="1">
        <w:r w:rsidR="00BE57CC" w:rsidRPr="00610B1B">
          <w:rPr>
            <w:rFonts w:ascii="Times New Roman" w:eastAsia="Times New Roman" w:hAnsi="Times New Roman" w:cs="Times New Roman"/>
            <w:color w:val="0000FF"/>
            <w:sz w:val="24"/>
            <w:szCs w:val="24"/>
            <w:u w:val="single"/>
            <w:lang w:val="bg-BG"/>
          </w:rPr>
          <w:t>https://eur-lex.europa.eu/legal-content/BG/TXT/PDF/?uri=CELEX:32007L0060&amp;from=BG</w:t>
        </w:r>
      </w:hyperlink>
      <w:r w:rsidR="00D66FE0" w:rsidRPr="00610B1B">
        <w:rPr>
          <w:rFonts w:ascii="Times New Roman" w:eastAsia="Times New Roman" w:hAnsi="Times New Roman" w:cs="Times New Roman"/>
          <w:sz w:val="24"/>
          <w:szCs w:val="24"/>
          <w:lang w:val="bg-BG"/>
        </w:rPr>
        <w:t xml:space="preserve"> </w:t>
      </w:r>
    </w:p>
    <w:p w14:paraId="2400A8BF" w14:textId="3022CDD8" w:rsidR="00BE57CC" w:rsidRPr="00610B1B" w:rsidRDefault="0055393F" w:rsidP="00B86414">
      <w:pPr>
        <w:numPr>
          <w:ilvl w:val="0"/>
          <w:numId w:val="99"/>
        </w:numPr>
        <w:spacing w:after="120"/>
        <w:ind w:right="-153"/>
        <w:jc w:val="both"/>
        <w:rPr>
          <w:rFonts w:ascii="Times New Roman" w:eastAsia="Times New Roman" w:hAnsi="Times New Roman" w:cs="Times New Roman"/>
          <w:sz w:val="24"/>
          <w:szCs w:val="24"/>
          <w:lang w:val="bg-BG"/>
        </w:rPr>
      </w:pPr>
      <w:hyperlink r:id="rId447" w:history="1">
        <w:r w:rsidR="00BE57CC" w:rsidRPr="00610B1B">
          <w:rPr>
            <w:rFonts w:ascii="Times New Roman" w:eastAsia="Times New Roman" w:hAnsi="Times New Roman" w:cs="Times New Roman"/>
            <w:color w:val="0000FF"/>
            <w:sz w:val="24"/>
            <w:szCs w:val="24"/>
            <w:u w:val="single"/>
            <w:lang w:val="bg-BG"/>
          </w:rPr>
          <w:t>https://eur-lex.europa.eu/LexUriServ/LexUriServ.do?uri=COM:2008:0791:FIN:BG:PDF</w:t>
        </w:r>
      </w:hyperlink>
      <w:r w:rsidR="00D66FE0" w:rsidRPr="00610B1B">
        <w:rPr>
          <w:rFonts w:ascii="Times New Roman" w:eastAsia="Times New Roman" w:hAnsi="Times New Roman" w:cs="Times New Roman"/>
          <w:sz w:val="24"/>
          <w:szCs w:val="24"/>
          <w:lang w:val="bg-BG"/>
        </w:rPr>
        <w:t xml:space="preserve"> </w:t>
      </w:r>
    </w:p>
    <w:p w14:paraId="48567576" w14:textId="423F998E" w:rsidR="00BE57CC" w:rsidRPr="00610B1B" w:rsidRDefault="0055393F" w:rsidP="00C4605F">
      <w:pPr>
        <w:numPr>
          <w:ilvl w:val="0"/>
          <w:numId w:val="99"/>
        </w:numPr>
        <w:spacing w:after="120"/>
        <w:ind w:left="426" w:right="-471" w:hanging="426"/>
        <w:jc w:val="both"/>
        <w:rPr>
          <w:rFonts w:ascii="Times New Roman" w:eastAsia="Times New Roman" w:hAnsi="Times New Roman" w:cs="Times New Roman"/>
          <w:sz w:val="24"/>
          <w:szCs w:val="24"/>
          <w:lang w:val="bg-BG"/>
        </w:rPr>
      </w:pPr>
      <w:hyperlink r:id="rId448" w:history="1">
        <w:r w:rsidR="00BE57CC" w:rsidRPr="00610B1B">
          <w:rPr>
            <w:rFonts w:ascii="Times New Roman" w:eastAsia="Times New Roman" w:hAnsi="Times New Roman" w:cs="Times New Roman"/>
            <w:color w:val="0000FF"/>
            <w:sz w:val="24"/>
            <w:szCs w:val="24"/>
            <w:u w:val="single"/>
            <w:lang w:val="bg-BG"/>
          </w:rPr>
          <w:t>https://experience.bg/kude-da-akostirate-po-bulgarskoto-kraibrejie-chast-ii-iujno-chernomorie</w:t>
        </w:r>
      </w:hyperlink>
      <w:r w:rsidR="00BE57CC" w:rsidRPr="00610B1B">
        <w:rPr>
          <w:rFonts w:ascii="Times New Roman" w:eastAsia="Times New Roman" w:hAnsi="Times New Roman" w:cs="Times New Roman"/>
          <w:sz w:val="24"/>
          <w:szCs w:val="24"/>
          <w:lang w:val="bg-BG"/>
        </w:rPr>
        <w:t xml:space="preserve"> </w:t>
      </w:r>
    </w:p>
    <w:p w14:paraId="37E5140C" w14:textId="1CF2BE5F" w:rsidR="00BE57CC" w:rsidRPr="00610B1B" w:rsidRDefault="0055393F" w:rsidP="00C4605F">
      <w:pPr>
        <w:numPr>
          <w:ilvl w:val="0"/>
          <w:numId w:val="99"/>
        </w:numPr>
        <w:spacing w:after="120"/>
        <w:ind w:left="426" w:right="-754" w:hanging="426"/>
        <w:jc w:val="both"/>
        <w:rPr>
          <w:rFonts w:ascii="Times New Roman" w:eastAsia="Times New Roman" w:hAnsi="Times New Roman" w:cs="Times New Roman"/>
          <w:sz w:val="24"/>
          <w:szCs w:val="24"/>
          <w:lang w:val="bg-BG"/>
        </w:rPr>
      </w:pPr>
      <w:hyperlink r:id="rId449" w:history="1">
        <w:r w:rsidR="00BE57CC" w:rsidRPr="00610B1B">
          <w:rPr>
            <w:rFonts w:ascii="Times New Roman" w:eastAsia="Times New Roman" w:hAnsi="Times New Roman" w:cs="Times New Roman"/>
            <w:color w:val="0000FF"/>
            <w:sz w:val="24"/>
            <w:szCs w:val="24"/>
            <w:u w:val="single"/>
            <w:lang w:val="bg-BG"/>
          </w:rPr>
          <w:t>https://experience.bg/kude-da-akostirate-po-bulgarskoto-kraibrejie-chast-i-severno-chernomorie</w:t>
        </w:r>
      </w:hyperlink>
      <w:r w:rsidR="00BE57CC" w:rsidRPr="00610B1B">
        <w:rPr>
          <w:rFonts w:ascii="Times New Roman" w:eastAsia="Times New Roman" w:hAnsi="Times New Roman" w:cs="Times New Roman"/>
          <w:sz w:val="24"/>
          <w:szCs w:val="24"/>
          <w:lang w:val="bg-BG"/>
        </w:rPr>
        <w:t xml:space="preserve"> </w:t>
      </w:r>
    </w:p>
    <w:p w14:paraId="6A3EE494" w14:textId="277DF790" w:rsidR="00BE57CC" w:rsidRPr="00610B1B" w:rsidRDefault="0055393F" w:rsidP="00B86414">
      <w:pPr>
        <w:numPr>
          <w:ilvl w:val="0"/>
          <w:numId w:val="99"/>
        </w:numPr>
        <w:spacing w:after="120"/>
        <w:ind w:left="426" w:right="-153" w:hanging="426"/>
        <w:jc w:val="both"/>
        <w:rPr>
          <w:rFonts w:ascii="Times New Roman" w:eastAsia="Times New Roman" w:hAnsi="Times New Roman" w:cs="Times New Roman"/>
          <w:sz w:val="24"/>
          <w:szCs w:val="24"/>
          <w:lang w:val="bg-BG"/>
        </w:rPr>
      </w:pPr>
      <w:hyperlink r:id="rId450" w:history="1">
        <w:r w:rsidR="00BE57CC" w:rsidRPr="00610B1B">
          <w:rPr>
            <w:rFonts w:ascii="Times New Roman" w:eastAsia="Times New Roman" w:hAnsi="Times New Roman" w:cs="Times New Roman"/>
            <w:color w:val="0000FF"/>
            <w:sz w:val="24"/>
            <w:szCs w:val="24"/>
            <w:u w:val="single"/>
            <w:lang w:val="bg-BG"/>
          </w:rPr>
          <w:t>https://inspire.ec.europa.eu/id/document/tg/sr</w:t>
        </w:r>
      </w:hyperlink>
      <w:r w:rsidR="00D66FE0" w:rsidRPr="00610B1B">
        <w:rPr>
          <w:rFonts w:ascii="Times New Roman" w:eastAsia="Times New Roman" w:hAnsi="Times New Roman" w:cs="Times New Roman"/>
          <w:sz w:val="24"/>
          <w:szCs w:val="24"/>
          <w:lang w:val="bg-BG"/>
        </w:rPr>
        <w:t xml:space="preserve"> </w:t>
      </w:r>
    </w:p>
    <w:p w14:paraId="09D3E1E7" w14:textId="268F19DE" w:rsidR="00BE57CC" w:rsidRPr="00610B1B" w:rsidRDefault="0055393F" w:rsidP="00B86414">
      <w:pPr>
        <w:numPr>
          <w:ilvl w:val="0"/>
          <w:numId w:val="99"/>
        </w:numPr>
        <w:spacing w:after="120"/>
        <w:ind w:left="426" w:right="-153" w:hanging="426"/>
        <w:jc w:val="both"/>
        <w:rPr>
          <w:rFonts w:ascii="Times New Roman" w:eastAsia="Times New Roman" w:hAnsi="Times New Roman" w:cs="Times New Roman"/>
          <w:sz w:val="24"/>
          <w:szCs w:val="24"/>
          <w:lang w:val="bg-BG"/>
        </w:rPr>
      </w:pPr>
      <w:hyperlink r:id="rId451" w:history="1">
        <w:r w:rsidR="00BE57CC" w:rsidRPr="00610B1B">
          <w:rPr>
            <w:rFonts w:ascii="Times New Roman" w:eastAsia="Times New Roman" w:hAnsi="Times New Roman" w:cs="Times New Roman"/>
            <w:color w:val="0000FF"/>
            <w:sz w:val="24"/>
            <w:szCs w:val="24"/>
            <w:u w:val="single"/>
            <w:lang w:val="bg-BG"/>
          </w:rPr>
          <w:t>https://kais.cadastre.bg/bg/Map</w:t>
        </w:r>
      </w:hyperlink>
      <w:r w:rsidR="00BE57CC" w:rsidRPr="00610B1B">
        <w:rPr>
          <w:rFonts w:ascii="Times New Roman" w:eastAsia="Times New Roman" w:hAnsi="Times New Roman" w:cs="Times New Roman"/>
          <w:sz w:val="24"/>
          <w:szCs w:val="24"/>
          <w:lang w:val="bg-BG"/>
        </w:rPr>
        <w:t xml:space="preserve"> </w:t>
      </w:r>
    </w:p>
    <w:p w14:paraId="208E101F" w14:textId="5AE02939" w:rsidR="00BE57CC" w:rsidRPr="00610B1B" w:rsidRDefault="0055393F" w:rsidP="00B86414">
      <w:pPr>
        <w:numPr>
          <w:ilvl w:val="0"/>
          <w:numId w:val="99"/>
        </w:numPr>
        <w:spacing w:after="120"/>
        <w:ind w:left="426" w:right="-153" w:hanging="426"/>
        <w:jc w:val="both"/>
        <w:rPr>
          <w:rFonts w:ascii="Times New Roman" w:eastAsia="Times New Roman" w:hAnsi="Times New Roman" w:cs="Times New Roman"/>
          <w:sz w:val="24"/>
          <w:szCs w:val="24"/>
          <w:lang w:val="bg-BG"/>
        </w:rPr>
      </w:pPr>
      <w:hyperlink r:id="rId452" w:history="1">
        <w:r w:rsidR="00BE57CC" w:rsidRPr="00610B1B">
          <w:rPr>
            <w:rFonts w:ascii="Times New Roman" w:eastAsia="Times New Roman" w:hAnsi="Times New Roman" w:cs="Times New Roman"/>
            <w:color w:val="0000FF"/>
            <w:sz w:val="24"/>
            <w:szCs w:val="24"/>
            <w:u w:val="single"/>
            <w:lang w:val="bg-BG"/>
          </w:rPr>
          <w:t>https://kis-orca.eu/map/</w:t>
        </w:r>
      </w:hyperlink>
      <w:r w:rsidR="00C415D1" w:rsidRPr="00610B1B">
        <w:rPr>
          <w:rFonts w:ascii="Times New Roman" w:eastAsia="Times New Roman" w:hAnsi="Times New Roman" w:cs="Times New Roman"/>
          <w:sz w:val="24"/>
          <w:szCs w:val="24"/>
          <w:lang w:val="bg-BG"/>
        </w:rPr>
        <w:t xml:space="preserve"> </w:t>
      </w:r>
    </w:p>
    <w:p w14:paraId="050D2765" w14:textId="649A45CC"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53" w:history="1">
        <w:r w:rsidR="00BE57CC" w:rsidRPr="00610B1B">
          <w:rPr>
            <w:rFonts w:ascii="Times New Roman" w:eastAsia="Times New Roman" w:hAnsi="Times New Roman" w:cs="Times New Roman"/>
            <w:color w:val="0000FF"/>
            <w:sz w:val="24"/>
            <w:szCs w:val="24"/>
            <w:u w:val="single"/>
            <w:lang w:val="bg-BG"/>
          </w:rPr>
          <w:t>https://op.europa.eu/en/publication-detail/-/publication/676bbd4a-7dd9-11e9-9f05-01aa75ed71a1/language-en/</w:t>
        </w:r>
      </w:hyperlink>
      <w:r w:rsidR="00D66FE0" w:rsidRPr="00610B1B">
        <w:rPr>
          <w:rFonts w:ascii="Times New Roman" w:eastAsia="Times New Roman" w:hAnsi="Times New Roman" w:cs="Times New Roman"/>
          <w:sz w:val="24"/>
          <w:szCs w:val="24"/>
          <w:lang w:val="bg-BG"/>
        </w:rPr>
        <w:t xml:space="preserve"> </w:t>
      </w:r>
    </w:p>
    <w:p w14:paraId="64ACEEA8" w14:textId="0D749800" w:rsidR="00BE57CC" w:rsidRPr="00610B1B" w:rsidRDefault="00DB227B"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54" w:history="1">
        <w:r w:rsidR="00BE57CC" w:rsidRPr="00610B1B">
          <w:rPr>
            <w:rFonts w:ascii="Times New Roman" w:eastAsia="Times New Roman" w:hAnsi="Times New Roman" w:cs="Times New Roman"/>
            <w:color w:val="0000FF"/>
            <w:sz w:val="24"/>
            <w:szCs w:val="24"/>
            <w:u w:val="single"/>
            <w:lang w:val="bg-BG"/>
          </w:rPr>
          <w:t>https://polishmsp.eu/</w:t>
        </w:r>
      </w:hyperlink>
      <w:r w:rsidR="00D66FE0" w:rsidRPr="00610B1B">
        <w:rPr>
          <w:rFonts w:ascii="Times New Roman" w:eastAsia="Times New Roman" w:hAnsi="Times New Roman" w:cs="Times New Roman"/>
          <w:sz w:val="24"/>
          <w:szCs w:val="24"/>
          <w:lang w:val="bg-BG"/>
        </w:rPr>
        <w:t xml:space="preserve"> </w:t>
      </w:r>
    </w:p>
    <w:p w14:paraId="594CA03C" w14:textId="4CF7F943"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55" w:anchor="economy=BGR" w:history="1">
        <w:r w:rsidR="00BE57CC" w:rsidRPr="00610B1B">
          <w:rPr>
            <w:rFonts w:ascii="Times New Roman" w:eastAsia="Times New Roman" w:hAnsi="Times New Roman" w:cs="Times New Roman"/>
            <w:color w:val="0000FF"/>
            <w:sz w:val="24"/>
            <w:szCs w:val="24"/>
            <w:u w:val="single"/>
            <w:lang w:val="bg-BG"/>
          </w:rPr>
          <w:t>https://reports.weforum.org/travel-and-tourism-competitiveness-report-2019/country-profiles/#economy=BGR</w:t>
        </w:r>
      </w:hyperlink>
      <w:r w:rsidR="00D66FE0" w:rsidRPr="00610B1B">
        <w:rPr>
          <w:rFonts w:ascii="Times New Roman" w:eastAsia="Times New Roman" w:hAnsi="Times New Roman" w:cs="Times New Roman"/>
          <w:sz w:val="24"/>
          <w:szCs w:val="24"/>
          <w:lang w:val="bg-BG"/>
        </w:rPr>
        <w:t xml:space="preserve"> </w:t>
      </w:r>
    </w:p>
    <w:p w14:paraId="6BAC0BA4" w14:textId="60226132" w:rsidR="00BE57CC" w:rsidRPr="00610B1B" w:rsidRDefault="00DB227B"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56" w:history="1">
        <w:r w:rsidR="00BE57CC" w:rsidRPr="00610B1B">
          <w:rPr>
            <w:rFonts w:ascii="Times New Roman" w:eastAsia="Times New Roman" w:hAnsi="Times New Roman" w:cs="Times New Roman"/>
            <w:color w:val="0000FF"/>
            <w:sz w:val="24"/>
            <w:szCs w:val="24"/>
            <w:u w:val="single"/>
            <w:lang w:val="bg-BG"/>
          </w:rPr>
          <w:t>https://rm.coe.int/1680700173</w:t>
        </w:r>
      </w:hyperlink>
      <w:r w:rsidR="00D66FE0" w:rsidRPr="00610B1B">
        <w:rPr>
          <w:rFonts w:ascii="Times New Roman" w:eastAsia="Times New Roman" w:hAnsi="Times New Roman" w:cs="Times New Roman"/>
          <w:sz w:val="24"/>
          <w:szCs w:val="24"/>
          <w:lang w:val="bg-BG"/>
        </w:rPr>
        <w:t xml:space="preserve"> </w:t>
      </w:r>
    </w:p>
    <w:p w14:paraId="4247775B" w14:textId="21F79D8C" w:rsidR="00BE57CC" w:rsidRPr="00610B1B" w:rsidRDefault="0055393F" w:rsidP="009B6D1D">
      <w:pPr>
        <w:numPr>
          <w:ilvl w:val="0"/>
          <w:numId w:val="99"/>
        </w:numPr>
        <w:spacing w:after="120"/>
        <w:ind w:left="426" w:right="-448" w:hanging="567"/>
        <w:jc w:val="both"/>
        <w:rPr>
          <w:rFonts w:ascii="Times New Roman" w:eastAsia="Times New Roman" w:hAnsi="Times New Roman" w:cs="Times New Roman"/>
          <w:sz w:val="24"/>
          <w:szCs w:val="24"/>
          <w:lang w:val="bg-BG"/>
        </w:rPr>
      </w:pPr>
      <w:hyperlink r:id="rId457" w:history="1">
        <w:r w:rsidR="00BE57CC" w:rsidRPr="00610B1B">
          <w:rPr>
            <w:rFonts w:ascii="Times New Roman" w:eastAsia="Times New Roman" w:hAnsi="Times New Roman" w:cs="Times New Roman"/>
            <w:color w:val="0000FF"/>
            <w:sz w:val="24"/>
            <w:szCs w:val="24"/>
            <w:u w:val="single"/>
            <w:lang w:val="bg-BG"/>
          </w:rPr>
          <w:t>https://seenews.com/companies/company_profile/burgaski-korabostroitelnitsi-ad-non-existent-2835</w:t>
        </w:r>
      </w:hyperlink>
    </w:p>
    <w:p w14:paraId="4ABAC3BC" w14:textId="3363CA4B"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58" w:history="1">
        <w:r w:rsidR="00BE57CC" w:rsidRPr="00610B1B">
          <w:rPr>
            <w:rFonts w:ascii="Times New Roman" w:eastAsia="Times New Roman" w:hAnsi="Times New Roman" w:cs="Times New Roman"/>
            <w:color w:val="0000FF"/>
            <w:sz w:val="24"/>
            <w:szCs w:val="24"/>
            <w:u w:val="single"/>
            <w:lang w:val="bg-BG"/>
          </w:rPr>
          <w:t>https://unctad.org/en/PublicationsLibrary/ditctedinf2020d2_en.pdf</w:t>
        </w:r>
      </w:hyperlink>
      <w:r w:rsidR="00D66FE0" w:rsidRPr="00610B1B">
        <w:rPr>
          <w:rFonts w:ascii="Times New Roman" w:eastAsia="Times New Roman" w:hAnsi="Times New Roman" w:cs="Times New Roman"/>
          <w:sz w:val="24"/>
          <w:szCs w:val="24"/>
          <w:lang w:val="bg-BG"/>
        </w:rPr>
        <w:t xml:space="preserve"> </w:t>
      </w:r>
    </w:p>
    <w:p w14:paraId="79F3EFCA" w14:textId="16546F33"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59" w:history="1">
        <w:r w:rsidR="00BE57CC" w:rsidRPr="00610B1B">
          <w:rPr>
            <w:rFonts w:ascii="Times New Roman" w:eastAsia="Times New Roman" w:hAnsi="Times New Roman" w:cs="Times New Roman"/>
            <w:color w:val="0000FF"/>
            <w:sz w:val="24"/>
            <w:szCs w:val="24"/>
            <w:u w:val="single"/>
            <w:lang w:val="bg-BG"/>
          </w:rPr>
          <w:t>https://unesdoc.unesco.org/ark:/48223/pf0000186559</w:t>
        </w:r>
      </w:hyperlink>
      <w:r w:rsidR="00C415D1" w:rsidRPr="00610B1B">
        <w:rPr>
          <w:rFonts w:ascii="Times New Roman" w:eastAsia="Times New Roman" w:hAnsi="Times New Roman" w:cs="Times New Roman"/>
          <w:sz w:val="24"/>
          <w:szCs w:val="24"/>
          <w:lang w:val="bg-BG"/>
        </w:rPr>
        <w:t xml:space="preserve"> </w:t>
      </w:r>
    </w:p>
    <w:p w14:paraId="1E431930" w14:textId="403AA3BC"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0" w:anchor="%5B%7B%22num%22%3A343%2C%22gen%22%3A0%7D%2C%7B%22name%22%3A%22XYZ%22%7D%2C-94%2C599%2C0%5D" w:history="1">
        <w:r w:rsidR="00BE57CC" w:rsidRPr="00610B1B">
          <w:rPr>
            <w:rFonts w:ascii="Times New Roman" w:eastAsia="Times New Roman" w:hAnsi="Times New Roman" w:cs="Times New Roman"/>
            <w:color w:val="0000FF"/>
            <w:sz w:val="24"/>
            <w:szCs w:val="24"/>
            <w:u w:val="single"/>
            <w:lang w:val="bg-BG"/>
          </w:rPr>
          <w:t>https://unesdoc.unesco.org/in/documentViewer.xhtml?v=2.1.196&amp;id=p::usmarcdef_0000227779&amp;file=/in/rest/annotationSVC/DownloadWatermarkedAttachment/attach_import_acd86716-c5f8-432d-96bf-a42daa4dd6b0%3F_%3D227779eng.pdf&amp;locale=en&amp;multi=true&amp;ark=/ark:/48223/pf0000227779/PDF/227779eng.pdf#%5B%7B%22num%22%3A343%2C%22gen%22%3A0%7D%2C%7B%22name%22%3A%22XYZ%22%7D%2C-94%2C599%2C0%5D</w:t>
        </w:r>
      </w:hyperlink>
      <w:r w:rsidR="00D66FE0" w:rsidRPr="00610B1B">
        <w:rPr>
          <w:rFonts w:ascii="Times New Roman" w:eastAsia="Times New Roman" w:hAnsi="Times New Roman" w:cs="Times New Roman"/>
          <w:sz w:val="24"/>
          <w:szCs w:val="24"/>
          <w:lang w:val="bg-BG"/>
        </w:rPr>
        <w:t xml:space="preserve"> </w:t>
      </w:r>
    </w:p>
    <w:p w14:paraId="0F2A0335" w14:textId="24A84395" w:rsidR="00BE57CC" w:rsidRPr="00610B1B" w:rsidRDefault="00DB227B"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1" w:history="1">
        <w:r w:rsidR="00B86414" w:rsidRPr="00610B1B">
          <w:rPr>
            <w:rStyle w:val="Hyperlink"/>
            <w:rFonts w:ascii="Times New Roman" w:eastAsia="Times New Roman" w:hAnsi="Times New Roman" w:cs="Times New Roman"/>
            <w:sz w:val="24"/>
            <w:szCs w:val="24"/>
            <w:lang w:val="bg-BG"/>
          </w:rPr>
          <w:t>https://unfccc.int/</w:t>
        </w:r>
      </w:hyperlink>
      <w:r w:rsidR="00D66FE0" w:rsidRPr="00610B1B">
        <w:rPr>
          <w:rFonts w:ascii="Times New Roman" w:eastAsia="Times New Roman" w:hAnsi="Times New Roman" w:cs="Times New Roman"/>
          <w:sz w:val="24"/>
          <w:szCs w:val="24"/>
          <w:lang w:val="bg-BG"/>
        </w:rPr>
        <w:t xml:space="preserve"> </w:t>
      </w:r>
    </w:p>
    <w:p w14:paraId="59C9C7A4" w14:textId="66356E43" w:rsidR="00BE57CC" w:rsidRPr="00610B1B" w:rsidRDefault="00DB227B"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2" w:history="1">
        <w:r w:rsidR="00BE57CC" w:rsidRPr="00610B1B">
          <w:rPr>
            <w:rFonts w:ascii="Times New Roman" w:eastAsia="Times New Roman" w:hAnsi="Times New Roman" w:cs="Times New Roman"/>
            <w:color w:val="0000FF"/>
            <w:sz w:val="24"/>
            <w:szCs w:val="24"/>
            <w:u w:val="single"/>
            <w:lang w:val="bg-BG"/>
          </w:rPr>
          <w:t>https://water.europa.eu/marine</w:t>
        </w:r>
      </w:hyperlink>
      <w:r w:rsidR="00D66FE0" w:rsidRPr="00610B1B">
        <w:rPr>
          <w:rFonts w:ascii="Times New Roman" w:eastAsia="Times New Roman" w:hAnsi="Times New Roman" w:cs="Times New Roman"/>
          <w:sz w:val="24"/>
          <w:szCs w:val="24"/>
          <w:lang w:val="bg-BG"/>
        </w:rPr>
        <w:t xml:space="preserve"> </w:t>
      </w:r>
    </w:p>
    <w:p w14:paraId="2CFCD20B" w14:textId="2AD3F6F4"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3" w:history="1">
        <w:r w:rsidR="00BE57CC" w:rsidRPr="00610B1B">
          <w:rPr>
            <w:rFonts w:ascii="Times New Roman" w:eastAsia="Times New Roman" w:hAnsi="Times New Roman" w:cs="Times New Roman"/>
            <w:color w:val="0000FF"/>
            <w:sz w:val="24"/>
            <w:szCs w:val="24"/>
            <w:u w:val="single"/>
            <w:lang w:val="bg-BG"/>
          </w:rPr>
          <w:t>https://webunwto.s3.eu-west-1.amazonaws.com/s3fs-public/2020-04/COVID19_Recommendations_English_1.pdf</w:t>
        </w:r>
      </w:hyperlink>
      <w:r w:rsidR="00D66FE0" w:rsidRPr="00610B1B">
        <w:rPr>
          <w:rFonts w:ascii="Times New Roman" w:eastAsia="Times New Roman" w:hAnsi="Times New Roman" w:cs="Times New Roman"/>
          <w:sz w:val="24"/>
          <w:szCs w:val="24"/>
          <w:lang w:val="bg-BG"/>
        </w:rPr>
        <w:t xml:space="preserve"> </w:t>
      </w:r>
    </w:p>
    <w:p w14:paraId="7A12C64F" w14:textId="20B5B6B9"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4" w:history="1">
        <w:r w:rsidR="00BE57CC" w:rsidRPr="00610B1B">
          <w:rPr>
            <w:rFonts w:ascii="Times New Roman" w:eastAsia="Times New Roman" w:hAnsi="Times New Roman" w:cs="Times New Roman"/>
            <w:color w:val="0000FF"/>
            <w:sz w:val="24"/>
            <w:szCs w:val="24"/>
            <w:u w:val="single"/>
            <w:lang w:val="bg-BG"/>
          </w:rPr>
          <w:t>https://www.bsbd.org/UserFiles/File/Sea/Notice_E%D0%9E_MS&amp;PoM.pdf</w:t>
        </w:r>
      </w:hyperlink>
      <w:r w:rsidR="00C415D1" w:rsidRPr="00610B1B">
        <w:rPr>
          <w:rFonts w:ascii="Times New Roman" w:eastAsia="Times New Roman" w:hAnsi="Times New Roman" w:cs="Times New Roman"/>
          <w:sz w:val="24"/>
          <w:szCs w:val="24"/>
          <w:lang w:val="bg-BG"/>
        </w:rPr>
        <w:t xml:space="preserve"> </w:t>
      </w:r>
    </w:p>
    <w:p w14:paraId="3D4ECE7E" w14:textId="762FA701"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5" w:history="1">
        <w:r w:rsidR="00BE57CC" w:rsidRPr="00610B1B">
          <w:rPr>
            <w:rFonts w:ascii="Times New Roman" w:eastAsia="Times New Roman" w:hAnsi="Times New Roman" w:cs="Times New Roman"/>
            <w:color w:val="0000FF"/>
            <w:sz w:val="24"/>
            <w:szCs w:val="24"/>
            <w:u w:val="single"/>
            <w:lang w:val="bg-BG"/>
          </w:rPr>
          <w:t>https://www.bstdb.org/index.htm</w:t>
        </w:r>
      </w:hyperlink>
      <w:r w:rsidR="00D66FE0" w:rsidRPr="00610B1B">
        <w:rPr>
          <w:rFonts w:ascii="Times New Roman" w:eastAsia="Times New Roman" w:hAnsi="Times New Roman" w:cs="Times New Roman"/>
          <w:sz w:val="24"/>
          <w:szCs w:val="24"/>
          <w:lang w:val="bg-BG"/>
        </w:rPr>
        <w:t xml:space="preserve"> </w:t>
      </w:r>
    </w:p>
    <w:p w14:paraId="1354931D" w14:textId="1D26BC5D"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6" w:history="1">
        <w:r w:rsidR="00BE57CC" w:rsidRPr="00610B1B">
          <w:rPr>
            <w:rFonts w:ascii="Times New Roman" w:eastAsia="Times New Roman" w:hAnsi="Times New Roman" w:cs="Times New Roman"/>
            <w:color w:val="0000FF"/>
            <w:sz w:val="24"/>
            <w:szCs w:val="24"/>
            <w:u w:val="single"/>
            <w:lang w:val="bg-BG"/>
          </w:rPr>
          <w:t>https://www.buurtwijs.nl/sites/default/files/buurtwijs/bestanden/jane_jacobs_the_death_and_life_of_great_american.pdf</w:t>
        </w:r>
      </w:hyperlink>
      <w:r w:rsidR="00D66FE0" w:rsidRPr="00610B1B">
        <w:rPr>
          <w:rFonts w:ascii="Times New Roman" w:eastAsia="Times New Roman" w:hAnsi="Times New Roman" w:cs="Times New Roman"/>
          <w:sz w:val="24"/>
          <w:szCs w:val="24"/>
          <w:lang w:val="bg-BG"/>
        </w:rPr>
        <w:t xml:space="preserve"> </w:t>
      </w:r>
    </w:p>
    <w:p w14:paraId="2E9C831F" w14:textId="7214FDF2"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7" w:history="1">
        <w:r w:rsidR="00BE57CC" w:rsidRPr="00610B1B">
          <w:rPr>
            <w:rFonts w:ascii="Times New Roman" w:eastAsia="Times New Roman" w:hAnsi="Times New Roman" w:cs="Times New Roman"/>
            <w:color w:val="0000FF"/>
            <w:sz w:val="24"/>
            <w:szCs w:val="24"/>
            <w:u w:val="single"/>
            <w:lang w:val="bg-BG"/>
          </w:rPr>
          <w:t>https://www.cbd.int/ecosystem/</w:t>
        </w:r>
      </w:hyperlink>
      <w:r w:rsidR="00D66FE0" w:rsidRPr="00610B1B">
        <w:rPr>
          <w:rFonts w:ascii="Times New Roman" w:eastAsia="Times New Roman" w:hAnsi="Times New Roman" w:cs="Times New Roman"/>
          <w:sz w:val="24"/>
          <w:szCs w:val="24"/>
          <w:lang w:val="bg-BG"/>
        </w:rPr>
        <w:t xml:space="preserve"> </w:t>
      </w:r>
    </w:p>
    <w:p w14:paraId="455F0FF5" w14:textId="2A5F15AA" w:rsidR="00BE57CC" w:rsidRPr="00610B1B" w:rsidRDefault="0055393F" w:rsidP="009B6D1D">
      <w:pPr>
        <w:numPr>
          <w:ilvl w:val="0"/>
          <w:numId w:val="99"/>
        </w:numPr>
        <w:spacing w:after="120"/>
        <w:ind w:left="426" w:right="-448" w:hanging="567"/>
        <w:jc w:val="both"/>
        <w:rPr>
          <w:rFonts w:ascii="Times New Roman" w:eastAsia="Times New Roman" w:hAnsi="Times New Roman" w:cs="Times New Roman"/>
          <w:sz w:val="24"/>
          <w:szCs w:val="24"/>
          <w:lang w:val="bg-BG"/>
        </w:rPr>
      </w:pPr>
      <w:hyperlink r:id="rId468" w:history="1">
        <w:r w:rsidR="00BE57CC" w:rsidRPr="00610B1B">
          <w:rPr>
            <w:rFonts w:ascii="Times New Roman" w:eastAsia="Times New Roman" w:hAnsi="Times New Roman" w:cs="Times New Roman"/>
            <w:color w:val="0000FF"/>
            <w:sz w:val="24"/>
            <w:szCs w:val="24"/>
            <w:u w:val="single"/>
            <w:lang w:val="bg-BG"/>
          </w:rPr>
          <w:t>https://www.csis.org/analysis/covid-19-sea-impacts-blue-economy-ocean-health-and-ocean-security</w:t>
        </w:r>
      </w:hyperlink>
    </w:p>
    <w:p w14:paraId="6AF3FFB8" w14:textId="1CCEF234"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69" w:history="1">
        <w:r w:rsidR="00BE57CC" w:rsidRPr="00610B1B">
          <w:rPr>
            <w:rFonts w:ascii="Times New Roman" w:eastAsia="Times New Roman" w:hAnsi="Times New Roman" w:cs="Times New Roman"/>
            <w:color w:val="0000FF"/>
            <w:sz w:val="24"/>
            <w:szCs w:val="24"/>
            <w:u w:val="single"/>
            <w:lang w:val="bg-BG"/>
          </w:rPr>
          <w:t>https://www.ebrd.com/news/2020/ebrd-economies-seen-contracting-by-35-per-cent-in-2020-48-per-cent-rebound-in-2021.html</w:t>
        </w:r>
      </w:hyperlink>
      <w:r w:rsidR="00D66FE0" w:rsidRPr="00610B1B">
        <w:rPr>
          <w:rFonts w:ascii="Times New Roman" w:eastAsia="Times New Roman" w:hAnsi="Times New Roman" w:cs="Times New Roman"/>
          <w:sz w:val="24"/>
          <w:szCs w:val="24"/>
          <w:lang w:val="bg-BG"/>
        </w:rPr>
        <w:t xml:space="preserve"> </w:t>
      </w:r>
    </w:p>
    <w:p w14:paraId="2DA62E41" w14:textId="4A2E6764"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0" w:history="1">
        <w:r w:rsidR="00BE57CC" w:rsidRPr="00610B1B">
          <w:rPr>
            <w:rFonts w:ascii="Times New Roman" w:eastAsia="Times New Roman" w:hAnsi="Times New Roman" w:cs="Times New Roman"/>
            <w:color w:val="0000FF"/>
            <w:sz w:val="24"/>
            <w:szCs w:val="24"/>
            <w:u w:val="single"/>
            <w:lang w:val="bg-BG"/>
          </w:rPr>
          <w:t>https://www.eea.europa.eu/themes/water/europes-seas-and-coasts/europes-seas-and-coasts</w:t>
        </w:r>
      </w:hyperlink>
      <w:r w:rsidR="00D66FE0" w:rsidRPr="00610B1B">
        <w:rPr>
          <w:rFonts w:ascii="Times New Roman" w:eastAsia="Times New Roman" w:hAnsi="Times New Roman" w:cs="Times New Roman"/>
          <w:sz w:val="24"/>
          <w:szCs w:val="24"/>
          <w:lang w:val="bg-BG"/>
        </w:rPr>
        <w:t xml:space="preserve"> </w:t>
      </w:r>
    </w:p>
    <w:p w14:paraId="5B49498E" w14:textId="71415180" w:rsidR="00BE57CC" w:rsidRPr="00610B1B" w:rsidRDefault="00DB227B"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1" w:history="1">
        <w:r w:rsidR="00BE57CC" w:rsidRPr="00610B1B">
          <w:rPr>
            <w:rFonts w:ascii="Times New Roman" w:eastAsia="Times New Roman" w:hAnsi="Times New Roman" w:cs="Times New Roman"/>
            <w:color w:val="0000FF"/>
            <w:sz w:val="24"/>
            <w:szCs w:val="24"/>
            <w:u w:val="single"/>
            <w:lang w:val="bg-BG"/>
          </w:rPr>
          <w:t>https://www.emodnet.eu/portals</w:t>
        </w:r>
      </w:hyperlink>
      <w:r w:rsidR="00D66FE0" w:rsidRPr="00610B1B">
        <w:rPr>
          <w:rFonts w:ascii="Times New Roman" w:eastAsia="Times New Roman" w:hAnsi="Times New Roman" w:cs="Times New Roman"/>
          <w:sz w:val="24"/>
          <w:szCs w:val="24"/>
          <w:lang w:val="bg-BG"/>
        </w:rPr>
        <w:t xml:space="preserve"> </w:t>
      </w:r>
    </w:p>
    <w:p w14:paraId="2597B38A" w14:textId="71E08419"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2" w:history="1">
        <w:r w:rsidR="00BE57CC" w:rsidRPr="00610B1B">
          <w:rPr>
            <w:rFonts w:ascii="Times New Roman" w:eastAsia="Times New Roman" w:hAnsi="Times New Roman" w:cs="Times New Roman"/>
            <w:color w:val="0000FF"/>
            <w:sz w:val="24"/>
            <w:szCs w:val="24"/>
            <w:u w:val="single"/>
            <w:lang w:val="bg-BG"/>
          </w:rPr>
          <w:t>https://www.environment.gov.au/marine/gbr/long-term-sustainability-plan</w:t>
        </w:r>
      </w:hyperlink>
      <w:r w:rsidR="00BE57CC" w:rsidRPr="00610B1B">
        <w:rPr>
          <w:rFonts w:ascii="Times New Roman" w:eastAsia="Times New Roman" w:hAnsi="Times New Roman" w:cs="Times New Roman"/>
          <w:sz w:val="24"/>
          <w:szCs w:val="24"/>
          <w:lang w:val="bg-BG"/>
        </w:rPr>
        <w:t xml:space="preserve"> </w:t>
      </w:r>
    </w:p>
    <w:p w14:paraId="47CF7EA3" w14:textId="4D38A2CD"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3" w:history="1">
        <w:r w:rsidR="00BE57CC" w:rsidRPr="00610B1B">
          <w:rPr>
            <w:rFonts w:ascii="Times New Roman" w:eastAsia="Times New Roman" w:hAnsi="Times New Roman" w:cs="Times New Roman"/>
            <w:color w:val="0000FF"/>
            <w:sz w:val="24"/>
            <w:szCs w:val="24"/>
            <w:u w:val="single"/>
            <w:lang w:val="bg-BG"/>
          </w:rPr>
          <w:t>https://www.eufunds.bg/sites/default/files/uploads/pmdr/docs/2020-07/Final%20Draft%20Analysis%20All%2030062020.pdf</w:t>
        </w:r>
      </w:hyperlink>
      <w:r w:rsidR="00D66FE0" w:rsidRPr="00610B1B">
        <w:rPr>
          <w:rFonts w:ascii="Times New Roman" w:eastAsia="Times New Roman" w:hAnsi="Times New Roman" w:cs="Times New Roman"/>
          <w:sz w:val="24"/>
          <w:szCs w:val="24"/>
          <w:lang w:val="bg-BG"/>
        </w:rPr>
        <w:t xml:space="preserve"> </w:t>
      </w:r>
    </w:p>
    <w:p w14:paraId="7E3A1452" w14:textId="10CA65B9"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4" w:history="1">
        <w:r w:rsidR="00BE57CC" w:rsidRPr="00610B1B">
          <w:rPr>
            <w:rFonts w:ascii="Times New Roman" w:eastAsia="Times New Roman" w:hAnsi="Times New Roman" w:cs="Times New Roman"/>
            <w:color w:val="0000FF"/>
            <w:sz w:val="24"/>
            <w:szCs w:val="24"/>
            <w:u w:val="single"/>
            <w:lang w:val="bg-BG"/>
          </w:rPr>
          <w:t>https://www.marad.bg/node/857</w:t>
        </w:r>
      </w:hyperlink>
      <w:r w:rsidR="00D66FE0" w:rsidRPr="00610B1B">
        <w:rPr>
          <w:rFonts w:ascii="Times New Roman" w:eastAsia="Times New Roman" w:hAnsi="Times New Roman" w:cs="Times New Roman"/>
          <w:sz w:val="24"/>
          <w:szCs w:val="24"/>
          <w:lang w:val="bg-BG"/>
        </w:rPr>
        <w:t xml:space="preserve"> </w:t>
      </w:r>
    </w:p>
    <w:p w14:paraId="152A7737" w14:textId="3FAD161E"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5" w:history="1">
        <w:r w:rsidR="00BE57CC" w:rsidRPr="00610B1B">
          <w:rPr>
            <w:rFonts w:ascii="Times New Roman" w:eastAsia="Times New Roman" w:hAnsi="Times New Roman" w:cs="Times New Roman"/>
            <w:color w:val="0000FF"/>
            <w:sz w:val="24"/>
            <w:szCs w:val="24"/>
            <w:u w:val="single"/>
            <w:lang w:val="bg-BG"/>
          </w:rPr>
          <w:t>https://www.me.government.bg/bg/themes/energiina-strategiya-na-republika-balgariya-do-2020-g-147-295.html</w:t>
        </w:r>
      </w:hyperlink>
      <w:r w:rsidR="00D66FE0" w:rsidRPr="00610B1B">
        <w:rPr>
          <w:rFonts w:ascii="Times New Roman" w:eastAsia="Times New Roman" w:hAnsi="Times New Roman" w:cs="Times New Roman"/>
          <w:sz w:val="24"/>
          <w:szCs w:val="24"/>
          <w:lang w:val="bg-BG"/>
        </w:rPr>
        <w:t xml:space="preserve"> </w:t>
      </w:r>
    </w:p>
    <w:p w14:paraId="192C4257" w14:textId="6E36414E"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6" w:history="1">
        <w:r w:rsidR="00BE57CC" w:rsidRPr="00610B1B">
          <w:rPr>
            <w:rFonts w:ascii="Times New Roman" w:eastAsia="Times New Roman" w:hAnsi="Times New Roman" w:cs="Times New Roman"/>
            <w:color w:val="0000FF"/>
            <w:sz w:val="24"/>
            <w:szCs w:val="24"/>
            <w:u w:val="single"/>
            <w:lang w:val="bg-BG"/>
          </w:rPr>
          <w:t>https://www.mi.government.bg/bg/themes/inovacionna-strategiya-za-inteligentna-specializaciya-na-republika-balgariya-2014-2020-g-1806-287.html</w:t>
        </w:r>
      </w:hyperlink>
      <w:r w:rsidR="00D66FE0" w:rsidRPr="00610B1B">
        <w:rPr>
          <w:rFonts w:ascii="Times New Roman" w:eastAsia="Times New Roman" w:hAnsi="Times New Roman" w:cs="Times New Roman"/>
          <w:sz w:val="24"/>
          <w:szCs w:val="24"/>
          <w:lang w:val="bg-BG"/>
        </w:rPr>
        <w:t xml:space="preserve"> </w:t>
      </w:r>
    </w:p>
    <w:p w14:paraId="51F9B069" w14:textId="32744752"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7" w:history="1">
        <w:r w:rsidR="00BE57CC" w:rsidRPr="00610B1B">
          <w:rPr>
            <w:rFonts w:ascii="Times New Roman" w:eastAsia="Times New Roman" w:hAnsi="Times New Roman" w:cs="Times New Roman"/>
            <w:color w:val="0000FF"/>
            <w:sz w:val="24"/>
            <w:szCs w:val="24"/>
            <w:u w:val="single"/>
            <w:lang w:val="bg-BG"/>
          </w:rPr>
          <w:t>https://www.moew.government.bg/bg/klimat/mejdunarodni-pregovori-i-adaptaciya/adaptaciya/</w:t>
        </w:r>
      </w:hyperlink>
      <w:r w:rsidR="00D66FE0" w:rsidRPr="00610B1B">
        <w:rPr>
          <w:rFonts w:ascii="Times New Roman" w:eastAsia="Times New Roman" w:hAnsi="Times New Roman" w:cs="Times New Roman"/>
          <w:sz w:val="24"/>
          <w:szCs w:val="24"/>
          <w:lang w:val="bg-BG"/>
        </w:rPr>
        <w:t xml:space="preserve"> </w:t>
      </w:r>
    </w:p>
    <w:p w14:paraId="72F19DCF" w14:textId="31E0E38A"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8" w:history="1">
        <w:r w:rsidR="00BE57CC" w:rsidRPr="00610B1B">
          <w:rPr>
            <w:rFonts w:ascii="Times New Roman" w:eastAsia="Times New Roman" w:hAnsi="Times New Roman" w:cs="Times New Roman"/>
            <w:color w:val="0000FF"/>
            <w:sz w:val="24"/>
            <w:szCs w:val="24"/>
            <w:u w:val="single"/>
            <w:lang w:val="bg-BG"/>
          </w:rPr>
          <w:t>https://www.moew.government.bg/static/media/ups/tiny/filebase/Nature/Natura%202000/RAMSAR/Black_Sea_Wet_Catalog-Final.pdf</w:t>
        </w:r>
      </w:hyperlink>
      <w:r w:rsidR="00C415D1" w:rsidRPr="00610B1B">
        <w:rPr>
          <w:rFonts w:ascii="Times New Roman" w:eastAsia="Times New Roman" w:hAnsi="Times New Roman" w:cs="Times New Roman"/>
          <w:sz w:val="24"/>
          <w:szCs w:val="24"/>
          <w:lang w:val="bg-BG"/>
        </w:rPr>
        <w:t xml:space="preserve"> </w:t>
      </w:r>
    </w:p>
    <w:p w14:paraId="3A3FFD18" w14:textId="1B85FB4E"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79" w:history="1">
        <w:r w:rsidR="00BE57CC" w:rsidRPr="00610B1B">
          <w:rPr>
            <w:rFonts w:ascii="Times New Roman" w:eastAsia="Times New Roman" w:hAnsi="Times New Roman" w:cs="Times New Roman"/>
            <w:color w:val="0000FF"/>
            <w:sz w:val="24"/>
            <w:szCs w:val="24"/>
            <w:u w:val="single"/>
            <w:lang w:val="bg-BG"/>
          </w:rPr>
          <w:t>https://www.moew.government.bg/static/media/ups/tiny/Press/Ramsar-knijka.pdf</w:t>
        </w:r>
      </w:hyperlink>
      <w:r w:rsidR="00C415D1" w:rsidRPr="00610B1B">
        <w:rPr>
          <w:rFonts w:ascii="Times New Roman" w:eastAsia="Times New Roman" w:hAnsi="Times New Roman" w:cs="Times New Roman"/>
          <w:sz w:val="24"/>
          <w:szCs w:val="24"/>
          <w:lang w:val="bg-BG"/>
        </w:rPr>
        <w:t xml:space="preserve"> </w:t>
      </w:r>
    </w:p>
    <w:p w14:paraId="43DD54F7" w14:textId="7E068E76" w:rsidR="00BE57CC" w:rsidRPr="00610B1B" w:rsidRDefault="0055393F" w:rsidP="009B6D1D">
      <w:pPr>
        <w:numPr>
          <w:ilvl w:val="0"/>
          <w:numId w:val="99"/>
        </w:numPr>
        <w:spacing w:after="120"/>
        <w:ind w:left="426" w:right="-329" w:hanging="567"/>
        <w:jc w:val="both"/>
        <w:rPr>
          <w:rFonts w:ascii="Times New Roman" w:eastAsia="Times New Roman" w:hAnsi="Times New Roman" w:cs="Times New Roman"/>
          <w:sz w:val="24"/>
          <w:szCs w:val="24"/>
          <w:lang w:val="bg-BG"/>
        </w:rPr>
      </w:pPr>
      <w:hyperlink r:id="rId480" w:history="1">
        <w:r w:rsidR="00BE57CC" w:rsidRPr="00610B1B">
          <w:rPr>
            <w:rFonts w:ascii="Times New Roman" w:eastAsia="Times New Roman" w:hAnsi="Times New Roman" w:cs="Times New Roman"/>
            <w:color w:val="0000FF"/>
            <w:sz w:val="24"/>
            <w:szCs w:val="24"/>
            <w:u w:val="single"/>
            <w:lang w:val="bg-BG"/>
          </w:rPr>
          <w:t>https://www.mrrb.bg/bg/nacionalna-programa-za-prevenciya-i-ogranichavane-na-svlachistata-na-teritoriyata-na-republika-bulgariya-eroziyata-i-abraziyata-po-dunavskoto-i-chernomorskoto-krajbrejie-2015-2020-g-i-dopulnenie-kum-neya-s-novovuzniknali-77199/</w:t>
        </w:r>
      </w:hyperlink>
      <w:r w:rsidR="00D66FE0" w:rsidRPr="00610B1B">
        <w:rPr>
          <w:rFonts w:ascii="Times New Roman" w:eastAsia="Times New Roman" w:hAnsi="Times New Roman" w:cs="Times New Roman"/>
          <w:sz w:val="24"/>
          <w:szCs w:val="24"/>
          <w:lang w:val="bg-BG"/>
        </w:rPr>
        <w:t xml:space="preserve"> </w:t>
      </w:r>
    </w:p>
    <w:p w14:paraId="1D115A01" w14:textId="5C944EBC"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81" w:history="1">
        <w:r w:rsidR="00BE57CC" w:rsidRPr="00610B1B">
          <w:rPr>
            <w:rFonts w:ascii="Times New Roman" w:eastAsia="Times New Roman" w:hAnsi="Times New Roman" w:cs="Times New Roman"/>
            <w:color w:val="0000FF"/>
            <w:sz w:val="24"/>
            <w:szCs w:val="24"/>
            <w:u w:val="single"/>
            <w:lang w:val="bg-BG"/>
          </w:rPr>
          <w:t>https://www.msp-platform.eu/projects/coconet-towards-coast-coast-networks-marine-protected-areas-shore-high-and-deep-sea</w:t>
        </w:r>
      </w:hyperlink>
      <w:r w:rsidR="00D66FE0" w:rsidRPr="00610B1B">
        <w:rPr>
          <w:rFonts w:ascii="Times New Roman" w:eastAsia="Times New Roman" w:hAnsi="Times New Roman" w:cs="Times New Roman"/>
          <w:sz w:val="24"/>
          <w:szCs w:val="24"/>
          <w:lang w:val="bg-BG"/>
        </w:rPr>
        <w:t xml:space="preserve"> </w:t>
      </w:r>
    </w:p>
    <w:p w14:paraId="3DB69CC6" w14:textId="409D6487"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82" w:history="1">
        <w:r w:rsidR="00BE57CC" w:rsidRPr="00610B1B">
          <w:rPr>
            <w:rFonts w:ascii="Times New Roman" w:eastAsia="Times New Roman" w:hAnsi="Times New Roman" w:cs="Times New Roman"/>
            <w:color w:val="0000FF"/>
            <w:sz w:val="24"/>
            <w:szCs w:val="24"/>
            <w:u w:val="single"/>
            <w:lang w:val="bg-BG"/>
          </w:rPr>
          <w:t>https://www.mtitc.government.bg/bg/category/42/integrirana-transportna-strategiya-v-perioda-do-2030-g</w:t>
        </w:r>
      </w:hyperlink>
      <w:r w:rsidR="00D66FE0" w:rsidRPr="00610B1B">
        <w:rPr>
          <w:rFonts w:ascii="Times New Roman" w:eastAsia="Times New Roman" w:hAnsi="Times New Roman" w:cs="Times New Roman"/>
          <w:sz w:val="24"/>
          <w:szCs w:val="24"/>
          <w:lang w:val="bg-BG"/>
        </w:rPr>
        <w:t xml:space="preserve"> </w:t>
      </w:r>
    </w:p>
    <w:p w14:paraId="21A92B8D" w14:textId="71266DE6"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83" w:history="1">
        <w:r w:rsidR="00BE57CC" w:rsidRPr="00610B1B">
          <w:rPr>
            <w:rFonts w:ascii="Times New Roman" w:eastAsia="Times New Roman" w:hAnsi="Times New Roman" w:cs="Times New Roman"/>
            <w:color w:val="0000FF"/>
            <w:sz w:val="24"/>
            <w:szCs w:val="24"/>
            <w:u w:val="single"/>
            <w:lang w:val="bg-BG"/>
          </w:rPr>
          <w:t>https://www.oecd-ilibrary.org/docserver/7969896b-еn.pdf?expires=1590396731&amp;id=id&amp;accname=guest&amp;checksum=1DB3B890EB67DAA0216A6F9DC2F08F30</w:t>
        </w:r>
      </w:hyperlink>
      <w:r w:rsidR="00D66FE0" w:rsidRPr="00610B1B">
        <w:rPr>
          <w:rFonts w:ascii="Times New Roman" w:eastAsia="Times New Roman" w:hAnsi="Times New Roman" w:cs="Times New Roman"/>
          <w:sz w:val="24"/>
          <w:szCs w:val="24"/>
          <w:lang w:val="bg-BG"/>
        </w:rPr>
        <w:t xml:space="preserve"> </w:t>
      </w:r>
    </w:p>
    <w:p w14:paraId="71F88EF8" w14:textId="6A530F1B" w:rsidR="00BE57CC" w:rsidRPr="00610B1B" w:rsidRDefault="0055393F" w:rsidP="009B6D1D">
      <w:pPr>
        <w:numPr>
          <w:ilvl w:val="0"/>
          <w:numId w:val="99"/>
        </w:numPr>
        <w:spacing w:after="120"/>
        <w:ind w:left="426" w:right="-153" w:hanging="567"/>
        <w:jc w:val="both"/>
        <w:rPr>
          <w:rFonts w:ascii="Times New Roman" w:eastAsia="Times New Roman" w:hAnsi="Times New Roman" w:cs="Times New Roman"/>
          <w:sz w:val="24"/>
          <w:szCs w:val="24"/>
          <w:lang w:val="bg-BG"/>
        </w:rPr>
      </w:pPr>
      <w:hyperlink r:id="rId484" w:history="1">
        <w:r w:rsidR="00BE57CC" w:rsidRPr="00610B1B">
          <w:rPr>
            <w:rFonts w:ascii="Times New Roman" w:eastAsia="Times New Roman" w:hAnsi="Times New Roman" w:cs="Times New Roman"/>
            <w:color w:val="0000FF"/>
            <w:sz w:val="24"/>
            <w:szCs w:val="24"/>
            <w:u w:val="single"/>
            <w:lang w:val="bg-BG"/>
          </w:rPr>
          <w:t>https://www.unicef.bg/assets/PDFs/WWL/Transforming_our_world_BG.pdf</w:t>
        </w:r>
      </w:hyperlink>
      <w:bookmarkEnd w:id="547"/>
      <w:r w:rsidR="00BE57CC" w:rsidRPr="00610B1B">
        <w:rPr>
          <w:rFonts w:ascii="Times New Roman" w:eastAsia="Times New Roman" w:hAnsi="Times New Roman" w:cs="Times New Roman"/>
          <w:sz w:val="24"/>
          <w:szCs w:val="24"/>
          <w:lang w:val="bg-BG"/>
        </w:rPr>
        <w:t xml:space="preserve"> </w:t>
      </w:r>
    </w:p>
    <w:p w14:paraId="38029642" w14:textId="77777777" w:rsidR="000D1D3C" w:rsidRPr="00610B1B" w:rsidRDefault="000D1D3C" w:rsidP="00D32D6A">
      <w:pPr>
        <w:spacing w:after="120"/>
        <w:rPr>
          <w:rFonts w:ascii="Times New Roman" w:eastAsia="Times New Roman" w:hAnsi="Times New Roman" w:cs="Times New Roman"/>
          <w:sz w:val="24"/>
          <w:szCs w:val="24"/>
          <w:lang w:val="bg-BG"/>
        </w:rPr>
      </w:pPr>
      <w:r w:rsidRPr="00610B1B">
        <w:rPr>
          <w:rFonts w:ascii="Times New Roman" w:hAnsi="Times New Roman" w:cs="Times New Roman"/>
          <w:lang w:val="bg-BG"/>
        </w:rPr>
        <w:br w:type="page"/>
      </w:r>
    </w:p>
    <w:p w14:paraId="2F3CF81E" w14:textId="77777777" w:rsidR="000D1D3C" w:rsidRPr="00610B1B" w:rsidRDefault="000D1D3C" w:rsidP="000B404C">
      <w:pPr>
        <w:pStyle w:val="Heading1"/>
        <w:tabs>
          <w:tab w:val="clear" w:pos="432"/>
          <w:tab w:val="num" w:pos="142"/>
        </w:tabs>
        <w:spacing w:before="0" w:line="276" w:lineRule="auto"/>
        <w:rPr>
          <w:rFonts w:cs="Times New Roman"/>
        </w:rPr>
      </w:pPr>
      <w:bookmarkStart w:id="548" w:name="_Toc41046223"/>
      <w:bookmarkStart w:id="549" w:name="_Toc83391463"/>
      <w:r w:rsidRPr="00610B1B">
        <w:rPr>
          <w:rFonts w:cs="Times New Roman"/>
        </w:rPr>
        <w:lastRenderedPageBreak/>
        <w:t>СПИСЪК НА ЕКСПЕРТИТЕ ЗА РАЗРАБОТВАНЕ НА МППРБ</w:t>
      </w:r>
      <w:bookmarkEnd w:id="548"/>
      <w:bookmarkEnd w:id="549"/>
    </w:p>
    <w:p w14:paraId="3615F9A1"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Ръководител</w:t>
      </w:r>
      <w:r w:rsidRPr="00610B1B">
        <w:rPr>
          <w:rFonts w:ascii="Times New Roman" w:hAnsi="Times New Roman" w:cs="Times New Roman"/>
          <w:lang w:val="bg-BG"/>
        </w:rPr>
        <w:t xml:space="preserve"> (Р) – проф. д-р арх. Веселина Русева Троева</w:t>
      </w:r>
    </w:p>
    <w:p w14:paraId="041658DA"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Ключов експерт 1 “Пространствено планиране“</w:t>
      </w:r>
      <w:r w:rsidRPr="00610B1B">
        <w:rPr>
          <w:rFonts w:ascii="Times New Roman" w:hAnsi="Times New Roman" w:cs="Times New Roman"/>
          <w:lang w:val="bg-BG"/>
        </w:rPr>
        <w:t xml:space="preserve"> (КЕ1) – арх. Иван Димчев Димчев </w:t>
      </w:r>
    </w:p>
    <w:p w14:paraId="685B61FC" w14:textId="135420CF"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Ключов експерт 2</w:t>
      </w:r>
      <w:r w:rsidR="00537D06" w:rsidRPr="00610B1B">
        <w:rPr>
          <w:rFonts w:ascii="Times New Roman" w:hAnsi="Times New Roman" w:cs="Times New Roman"/>
          <w:b/>
          <w:lang w:val="bg-BG"/>
        </w:rPr>
        <w:t> </w:t>
      </w:r>
      <w:r w:rsidRPr="00610B1B">
        <w:rPr>
          <w:rFonts w:ascii="Times New Roman" w:hAnsi="Times New Roman" w:cs="Times New Roman"/>
          <w:b/>
          <w:lang w:val="bg-BG"/>
        </w:rPr>
        <w:t>“Географски</w:t>
      </w:r>
      <w:r w:rsidR="00537D06" w:rsidRPr="00610B1B">
        <w:rPr>
          <w:rFonts w:ascii="Times New Roman" w:hAnsi="Times New Roman" w:cs="Times New Roman"/>
          <w:b/>
          <w:lang w:val="bg-BG"/>
        </w:rPr>
        <w:t> </w:t>
      </w:r>
      <w:r w:rsidRPr="00610B1B">
        <w:rPr>
          <w:rFonts w:ascii="Times New Roman" w:hAnsi="Times New Roman" w:cs="Times New Roman"/>
          <w:b/>
          <w:lang w:val="bg-BG"/>
        </w:rPr>
        <w:t>информационни</w:t>
      </w:r>
      <w:r w:rsidR="00537D06" w:rsidRPr="00610B1B">
        <w:rPr>
          <w:rFonts w:ascii="Times New Roman" w:hAnsi="Times New Roman" w:cs="Times New Roman"/>
          <w:b/>
          <w:lang w:val="bg-BG"/>
        </w:rPr>
        <w:t> </w:t>
      </w:r>
      <w:r w:rsidRPr="00610B1B">
        <w:rPr>
          <w:rFonts w:ascii="Times New Roman" w:hAnsi="Times New Roman" w:cs="Times New Roman"/>
          <w:b/>
          <w:lang w:val="bg-BG"/>
        </w:rPr>
        <w:t>системи”</w:t>
      </w:r>
      <w:r w:rsidR="00537D06" w:rsidRPr="00610B1B">
        <w:rPr>
          <w:rFonts w:ascii="Times New Roman" w:hAnsi="Times New Roman" w:cs="Times New Roman"/>
          <w:lang w:val="bg-BG"/>
        </w:rPr>
        <w:t> </w:t>
      </w:r>
      <w:r w:rsidRPr="00610B1B">
        <w:rPr>
          <w:rFonts w:ascii="Times New Roman" w:hAnsi="Times New Roman" w:cs="Times New Roman"/>
          <w:lang w:val="bg-BG"/>
        </w:rPr>
        <w:t>(КЕ2)</w:t>
      </w:r>
      <w:r w:rsidR="00537D06" w:rsidRPr="00610B1B">
        <w:rPr>
          <w:rFonts w:ascii="Times New Roman" w:hAnsi="Times New Roman" w:cs="Times New Roman"/>
          <w:lang w:val="bg-BG"/>
        </w:rPr>
        <w:t> </w:t>
      </w:r>
      <w:r w:rsidRPr="00610B1B">
        <w:rPr>
          <w:rFonts w:ascii="Times New Roman" w:hAnsi="Times New Roman" w:cs="Times New Roman"/>
          <w:lang w:val="bg-BG"/>
        </w:rPr>
        <w:t xml:space="preserve">– </w:t>
      </w:r>
      <w:r w:rsidRPr="00610B1B">
        <w:rPr>
          <w:rFonts w:ascii="Times New Roman" w:hAnsi="Times New Roman" w:cs="Times New Roman"/>
          <w:lang w:val="bg-BG"/>
        </w:rPr>
        <w:br/>
        <w:t xml:space="preserve">доц. д-р инж. Христо Милев Дечев, УАСГ </w:t>
      </w:r>
    </w:p>
    <w:p w14:paraId="14CAE2A2" w14:textId="664754F1"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Ключов експерт</w:t>
      </w:r>
      <w:r w:rsidRPr="00610B1B">
        <w:rPr>
          <w:rFonts w:ascii="Times New Roman" w:hAnsi="Times New Roman" w:cs="Times New Roman"/>
          <w:lang w:val="bg-BG"/>
        </w:rPr>
        <w:t> </w:t>
      </w:r>
      <w:r w:rsidRPr="00610B1B">
        <w:rPr>
          <w:rFonts w:ascii="Times New Roman" w:hAnsi="Times New Roman" w:cs="Times New Roman"/>
          <w:b/>
          <w:lang w:val="bg-BG"/>
        </w:rPr>
        <w:t>3</w:t>
      </w:r>
      <w:r w:rsidR="00537D06" w:rsidRPr="00610B1B">
        <w:rPr>
          <w:rFonts w:ascii="Times New Roman" w:hAnsi="Times New Roman" w:cs="Times New Roman"/>
          <w:b/>
          <w:lang w:val="bg-BG"/>
        </w:rPr>
        <w:t> </w:t>
      </w:r>
      <w:r w:rsidRPr="00610B1B">
        <w:rPr>
          <w:rFonts w:ascii="Times New Roman" w:hAnsi="Times New Roman" w:cs="Times New Roman"/>
          <w:b/>
          <w:lang w:val="bg-BG"/>
        </w:rPr>
        <w:t>“Геология/Хидрогелогия”</w:t>
      </w:r>
      <w:r w:rsidR="00537D06" w:rsidRPr="00610B1B">
        <w:rPr>
          <w:rFonts w:ascii="Times New Roman" w:hAnsi="Times New Roman" w:cs="Times New Roman"/>
          <w:b/>
          <w:lang w:val="bg-BG"/>
        </w:rPr>
        <w:t> </w:t>
      </w:r>
      <w:r w:rsidRPr="00610B1B">
        <w:rPr>
          <w:rFonts w:ascii="Times New Roman" w:hAnsi="Times New Roman" w:cs="Times New Roman"/>
          <w:lang w:val="bg-BG"/>
        </w:rPr>
        <w:t>(КЕ3),</w:t>
      </w:r>
      <w:r w:rsidR="00537D06" w:rsidRPr="00610B1B">
        <w:rPr>
          <w:rFonts w:ascii="Times New Roman" w:hAnsi="Times New Roman" w:cs="Times New Roman"/>
          <w:lang w:val="bg-BG"/>
        </w:rPr>
        <w:t> </w:t>
      </w:r>
      <w:r w:rsidRPr="00610B1B">
        <w:rPr>
          <w:rFonts w:ascii="Times New Roman" w:hAnsi="Times New Roman" w:cs="Times New Roman"/>
          <w:lang w:val="bg-BG"/>
        </w:rPr>
        <w:t>проучвания</w:t>
      </w:r>
      <w:r w:rsidR="00537D06" w:rsidRPr="00610B1B">
        <w:rPr>
          <w:rFonts w:ascii="Times New Roman" w:hAnsi="Times New Roman" w:cs="Times New Roman"/>
          <w:lang w:val="bg-BG"/>
        </w:rPr>
        <w:t> </w:t>
      </w:r>
      <w:r w:rsidRPr="00610B1B">
        <w:rPr>
          <w:rFonts w:ascii="Times New Roman" w:hAnsi="Times New Roman" w:cs="Times New Roman"/>
          <w:lang w:val="bg-BG"/>
        </w:rPr>
        <w:t>и</w:t>
      </w:r>
      <w:r w:rsidR="00537D06" w:rsidRPr="00610B1B">
        <w:rPr>
          <w:rFonts w:ascii="Times New Roman" w:hAnsi="Times New Roman" w:cs="Times New Roman"/>
          <w:lang w:val="bg-BG"/>
        </w:rPr>
        <w:t> </w:t>
      </w:r>
      <w:r w:rsidRPr="00610B1B">
        <w:rPr>
          <w:rFonts w:ascii="Times New Roman" w:hAnsi="Times New Roman" w:cs="Times New Roman"/>
          <w:lang w:val="bg-BG"/>
        </w:rPr>
        <w:t>добив</w:t>
      </w:r>
      <w:r w:rsidR="00537D06" w:rsidRPr="00610B1B">
        <w:rPr>
          <w:rFonts w:ascii="Times New Roman" w:hAnsi="Times New Roman" w:cs="Times New Roman"/>
          <w:lang w:val="bg-BG"/>
        </w:rPr>
        <w:t> </w:t>
      </w:r>
      <w:r w:rsidRPr="00610B1B">
        <w:rPr>
          <w:rFonts w:ascii="Times New Roman" w:hAnsi="Times New Roman" w:cs="Times New Roman"/>
          <w:lang w:val="bg-BG"/>
        </w:rPr>
        <w:t xml:space="preserve">– </w:t>
      </w:r>
      <w:r w:rsidRPr="00610B1B">
        <w:rPr>
          <w:rFonts w:ascii="Times New Roman" w:hAnsi="Times New Roman" w:cs="Times New Roman"/>
          <w:lang w:val="bg-BG"/>
        </w:rPr>
        <w:br/>
        <w:t>проф. д-р инж. Любомир Иванов Димитров, ИО-БАН</w:t>
      </w:r>
    </w:p>
    <w:p w14:paraId="46650B69"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Ключов експерт 4 „Еколог“</w:t>
      </w:r>
      <w:r w:rsidRPr="00610B1B">
        <w:rPr>
          <w:rFonts w:ascii="Times New Roman" w:hAnsi="Times New Roman" w:cs="Times New Roman"/>
          <w:lang w:val="bg-BG"/>
        </w:rPr>
        <w:t xml:space="preserve"> (КЕ4) – д-р Георги Димитров Пърличев, Център за брегови и морски изследвания </w:t>
      </w:r>
    </w:p>
    <w:p w14:paraId="2D739B94"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Ключов експерт 5</w:t>
      </w:r>
      <w:r w:rsidRPr="00610B1B">
        <w:rPr>
          <w:rFonts w:ascii="Times New Roman" w:hAnsi="Times New Roman" w:cs="Times New Roman"/>
          <w:lang w:val="bg-BG"/>
        </w:rPr>
        <w:t xml:space="preserve"> </w:t>
      </w:r>
      <w:r w:rsidRPr="00610B1B">
        <w:rPr>
          <w:rFonts w:ascii="Times New Roman" w:hAnsi="Times New Roman" w:cs="Times New Roman"/>
          <w:b/>
          <w:lang w:val="bg-BG"/>
        </w:rPr>
        <w:t>„М</w:t>
      </w:r>
      <w:r w:rsidRPr="00610B1B">
        <w:rPr>
          <w:rFonts w:ascii="Times New Roman" w:hAnsi="Times New Roman" w:cs="Times New Roman"/>
          <w:b/>
          <w:bCs/>
          <w:lang w:val="bg-BG"/>
        </w:rPr>
        <w:t>орска транспортна и техническа инфраструктура</w:t>
      </w:r>
      <w:r w:rsidRPr="00610B1B">
        <w:rPr>
          <w:rFonts w:ascii="Times New Roman" w:hAnsi="Times New Roman" w:cs="Times New Roman"/>
          <w:b/>
          <w:lang w:val="bg-BG"/>
        </w:rPr>
        <w:t>“</w:t>
      </w:r>
      <w:r w:rsidRPr="00610B1B">
        <w:rPr>
          <w:rFonts w:ascii="Times New Roman" w:hAnsi="Times New Roman" w:cs="Times New Roman"/>
          <w:lang w:val="bg-BG"/>
        </w:rPr>
        <w:t xml:space="preserve"> (КЕ5) – кап.д.п. Богдан Христев Богданов, Българска морска камара</w:t>
      </w:r>
    </w:p>
    <w:p w14:paraId="47244DD7" w14:textId="0C4F6482"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lang w:val="bg-BG"/>
        </w:rPr>
        <w:t>Ключов</w:t>
      </w:r>
      <w:r w:rsidR="000A795E" w:rsidRPr="00610B1B">
        <w:rPr>
          <w:rFonts w:ascii="Times New Roman" w:hAnsi="Times New Roman" w:cs="Times New Roman"/>
          <w:b/>
          <w:lang w:val="bg-BG"/>
        </w:rPr>
        <w:t> </w:t>
      </w:r>
      <w:r w:rsidRPr="00610B1B">
        <w:rPr>
          <w:rFonts w:ascii="Times New Roman" w:hAnsi="Times New Roman" w:cs="Times New Roman"/>
          <w:b/>
          <w:lang w:val="bg-BG"/>
        </w:rPr>
        <w:t>експерт</w:t>
      </w:r>
      <w:r w:rsidR="000A795E" w:rsidRPr="00610B1B">
        <w:rPr>
          <w:rFonts w:ascii="Times New Roman" w:hAnsi="Times New Roman" w:cs="Times New Roman"/>
          <w:b/>
          <w:lang w:val="bg-BG"/>
        </w:rPr>
        <w:t> </w:t>
      </w:r>
      <w:r w:rsidRPr="00610B1B">
        <w:rPr>
          <w:rFonts w:ascii="Times New Roman" w:hAnsi="Times New Roman" w:cs="Times New Roman"/>
          <w:b/>
          <w:lang w:val="bg-BG"/>
        </w:rPr>
        <w:t>6</w:t>
      </w:r>
      <w:r w:rsidR="000A795E" w:rsidRPr="00610B1B">
        <w:rPr>
          <w:rFonts w:ascii="Times New Roman" w:hAnsi="Times New Roman" w:cs="Times New Roman"/>
          <w:b/>
          <w:lang w:val="bg-BG"/>
        </w:rPr>
        <w:t> </w:t>
      </w:r>
      <w:r w:rsidRPr="00610B1B">
        <w:rPr>
          <w:rFonts w:ascii="Times New Roman" w:hAnsi="Times New Roman" w:cs="Times New Roman"/>
          <w:b/>
          <w:lang w:val="bg-BG"/>
        </w:rPr>
        <w:t>“Морски</w:t>
      </w:r>
      <w:r w:rsidR="000A795E" w:rsidRPr="00610B1B">
        <w:rPr>
          <w:rFonts w:ascii="Times New Roman" w:hAnsi="Times New Roman" w:cs="Times New Roman"/>
          <w:b/>
          <w:lang w:val="bg-BG"/>
        </w:rPr>
        <w:t> </w:t>
      </w:r>
      <w:r w:rsidRPr="00610B1B">
        <w:rPr>
          <w:rFonts w:ascii="Times New Roman" w:hAnsi="Times New Roman" w:cs="Times New Roman"/>
          <w:b/>
          <w:lang w:val="bg-BG"/>
        </w:rPr>
        <w:t>икономически</w:t>
      </w:r>
      <w:r w:rsidR="000A795E" w:rsidRPr="00610B1B">
        <w:rPr>
          <w:rFonts w:ascii="Times New Roman" w:hAnsi="Times New Roman" w:cs="Times New Roman"/>
          <w:b/>
          <w:lang w:val="bg-BG"/>
        </w:rPr>
        <w:t> </w:t>
      </w:r>
      <w:r w:rsidRPr="00610B1B">
        <w:rPr>
          <w:rFonts w:ascii="Times New Roman" w:hAnsi="Times New Roman" w:cs="Times New Roman"/>
          <w:b/>
          <w:lang w:val="bg-BG"/>
        </w:rPr>
        <w:t>сектори“</w:t>
      </w:r>
      <w:r w:rsidR="000A795E" w:rsidRPr="00610B1B">
        <w:rPr>
          <w:rFonts w:ascii="Times New Roman" w:hAnsi="Times New Roman" w:cs="Times New Roman"/>
          <w:b/>
          <w:lang w:val="bg-BG"/>
        </w:rPr>
        <w:t> </w:t>
      </w:r>
      <w:r w:rsidRPr="00610B1B">
        <w:rPr>
          <w:rFonts w:ascii="Times New Roman" w:hAnsi="Times New Roman" w:cs="Times New Roman"/>
          <w:lang w:val="bg-BG"/>
        </w:rPr>
        <w:t>(КЕ6)</w:t>
      </w:r>
      <w:r w:rsidR="000A795E" w:rsidRPr="00610B1B">
        <w:rPr>
          <w:rFonts w:ascii="Times New Roman" w:hAnsi="Times New Roman" w:cs="Times New Roman"/>
          <w:lang w:val="bg-BG"/>
        </w:rPr>
        <w:t> </w:t>
      </w:r>
      <w:r w:rsidRPr="00610B1B">
        <w:rPr>
          <w:rFonts w:ascii="Times New Roman" w:hAnsi="Times New Roman" w:cs="Times New Roman"/>
          <w:lang w:val="bg-BG"/>
        </w:rPr>
        <w:t xml:space="preserve">– </w:t>
      </w:r>
      <w:r w:rsidR="000A795E" w:rsidRPr="00610B1B">
        <w:rPr>
          <w:rFonts w:ascii="Times New Roman" w:hAnsi="Times New Roman" w:cs="Times New Roman"/>
          <w:lang w:val="bg-BG"/>
        </w:rPr>
        <w:br/>
      </w:r>
      <w:r w:rsidRPr="00610B1B">
        <w:rPr>
          <w:rFonts w:ascii="Times New Roman" w:hAnsi="Times New Roman" w:cs="Times New Roman"/>
          <w:lang w:val="bg-BG"/>
        </w:rPr>
        <w:t xml:space="preserve">ик. д-р Юлия Симеонова Спиридонова </w:t>
      </w:r>
    </w:p>
    <w:p w14:paraId="56CAF91C"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iCs/>
          <w:lang w:val="bg-BG"/>
        </w:rPr>
        <w:t xml:space="preserve">Допълнителен експерт 1 „Функционално зониране“ </w:t>
      </w:r>
      <w:r w:rsidRPr="00610B1B">
        <w:rPr>
          <w:rFonts w:ascii="Times New Roman" w:hAnsi="Times New Roman" w:cs="Times New Roman"/>
          <w:iCs/>
          <w:lang w:val="bg-BG"/>
        </w:rPr>
        <w:t xml:space="preserve">(ДЕ1), трансгранично сътрудничество – арх. Пламен Николайчов Ценов </w:t>
      </w:r>
    </w:p>
    <w:p w14:paraId="43C3965E" w14:textId="524A30F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iCs/>
          <w:lang w:val="bg-BG"/>
        </w:rPr>
        <w:t>Допълнителен експерт 2 „Географски информационни системи“</w:t>
      </w:r>
      <w:r w:rsidRPr="00610B1B">
        <w:rPr>
          <w:rFonts w:ascii="Times New Roman" w:hAnsi="Times New Roman" w:cs="Times New Roman"/>
          <w:iCs/>
          <w:lang w:val="bg-BG"/>
        </w:rPr>
        <w:t xml:space="preserve"> (ДЕ2),</w:t>
      </w:r>
      <w:r w:rsidR="00D66FE0" w:rsidRPr="00610B1B">
        <w:rPr>
          <w:rFonts w:ascii="Times New Roman" w:hAnsi="Times New Roman" w:cs="Times New Roman"/>
          <w:iCs/>
          <w:lang w:val="bg-BG"/>
        </w:rPr>
        <w:t xml:space="preserve"> </w:t>
      </w:r>
      <w:r w:rsidRPr="00610B1B">
        <w:rPr>
          <w:rFonts w:ascii="Times New Roman" w:hAnsi="Times New Roman" w:cs="Times New Roman"/>
          <w:iCs/>
          <w:lang w:val="bg-BG"/>
        </w:rPr>
        <w:t>урбанизация на крайбрежието, ГИС базирани графични приложения</w:t>
      </w:r>
      <w:r w:rsidR="009417C0" w:rsidRPr="00610B1B">
        <w:rPr>
          <w:rFonts w:ascii="Times New Roman" w:hAnsi="Times New Roman" w:cs="Times New Roman"/>
          <w:iCs/>
          <w:lang w:val="bg-BG"/>
        </w:rPr>
        <w:t xml:space="preserve"> – </w:t>
      </w:r>
      <w:r w:rsidRPr="00610B1B">
        <w:rPr>
          <w:rFonts w:ascii="Times New Roman" w:hAnsi="Times New Roman" w:cs="Times New Roman"/>
          <w:lang w:val="bg-BG"/>
        </w:rPr>
        <w:t>урб. Бойко Минчев Кермекчиев</w:t>
      </w:r>
      <w:r w:rsidRPr="00610B1B">
        <w:rPr>
          <w:rFonts w:ascii="Times New Roman" w:hAnsi="Times New Roman" w:cs="Times New Roman"/>
          <w:b/>
          <w:lang w:val="bg-BG"/>
        </w:rPr>
        <w:t xml:space="preserve"> </w:t>
      </w:r>
    </w:p>
    <w:p w14:paraId="416C5CE7"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iCs/>
          <w:lang w:val="bg-BG"/>
        </w:rPr>
        <w:t>Допълнителен експерт 3 „Взаимодействия море-суша“</w:t>
      </w:r>
      <w:r w:rsidRPr="00610B1B">
        <w:rPr>
          <w:rFonts w:ascii="Times New Roman" w:hAnsi="Times New Roman" w:cs="Times New Roman"/>
          <w:iCs/>
          <w:lang w:val="bg-BG"/>
        </w:rPr>
        <w:t xml:space="preserve"> (ДЕ3), Законодателна рамка – </w:t>
      </w:r>
      <w:r w:rsidRPr="00610B1B">
        <w:rPr>
          <w:rFonts w:ascii="Times New Roman" w:hAnsi="Times New Roman" w:cs="Times New Roman"/>
          <w:lang w:val="bg-BG"/>
        </w:rPr>
        <w:t xml:space="preserve">арх. Детелина Тотева Апостолова </w:t>
      </w:r>
    </w:p>
    <w:p w14:paraId="0B376273" w14:textId="37E8FBA0" w:rsidR="00BE57CC" w:rsidRPr="00610B1B" w:rsidRDefault="00BE57CC" w:rsidP="00E83677">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b/>
          <w:iCs/>
          <w:lang w:val="bg-BG"/>
        </w:rPr>
        <w:t>Допълнителен експерт 4 „Екология“</w:t>
      </w:r>
      <w:r w:rsidRPr="00610B1B">
        <w:rPr>
          <w:rFonts w:ascii="Times New Roman" w:hAnsi="Times New Roman" w:cs="Times New Roman"/>
          <w:iCs/>
          <w:lang w:val="bg-BG"/>
        </w:rPr>
        <w:t xml:space="preserve"> (ДЕ4), защитени територии и защитени зони – </w:t>
      </w:r>
      <w:r w:rsidR="009417C0" w:rsidRPr="00610B1B">
        <w:rPr>
          <w:rFonts w:ascii="Times New Roman" w:hAnsi="Times New Roman" w:cs="Times New Roman"/>
          <w:iCs/>
          <w:lang w:val="bg-BG"/>
        </w:rPr>
        <w:br/>
      </w:r>
      <w:r w:rsidRPr="00610B1B">
        <w:rPr>
          <w:rFonts w:ascii="Times New Roman" w:hAnsi="Times New Roman" w:cs="Times New Roman"/>
          <w:iCs/>
          <w:lang w:val="bg-BG"/>
        </w:rPr>
        <w:t xml:space="preserve">ек. </w:t>
      </w:r>
      <w:r w:rsidRPr="00610B1B">
        <w:rPr>
          <w:rFonts w:ascii="Times New Roman" w:hAnsi="Times New Roman" w:cs="Times New Roman"/>
          <w:bCs/>
          <w:lang w:val="bg-BG"/>
        </w:rPr>
        <w:t>Емил Георгиев Никитов</w:t>
      </w:r>
    </w:p>
    <w:p w14:paraId="66C89B62"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spacing w:val="-3"/>
          <w:lang w:val="bg-BG" w:eastAsia="bg-BG"/>
        </w:rPr>
      </w:pPr>
      <w:r w:rsidRPr="00610B1B">
        <w:rPr>
          <w:rFonts w:ascii="Times New Roman" w:hAnsi="Times New Roman" w:cs="Times New Roman"/>
          <w:b/>
          <w:iCs/>
          <w:lang w:val="bg-BG"/>
        </w:rPr>
        <w:t>Допълнителен експерт 5 „Пристанищна инфраструктура“</w:t>
      </w:r>
      <w:r w:rsidRPr="00610B1B">
        <w:rPr>
          <w:rFonts w:ascii="Times New Roman" w:hAnsi="Times New Roman" w:cs="Times New Roman"/>
          <w:iCs/>
          <w:lang w:val="bg-BG"/>
        </w:rPr>
        <w:t xml:space="preserve"> (ДЕ5), културно наследство – </w:t>
      </w:r>
      <w:r w:rsidRPr="00610B1B">
        <w:rPr>
          <w:rFonts w:ascii="Times New Roman" w:hAnsi="Times New Roman" w:cs="Times New Roman"/>
          <w:lang w:val="bg-BG"/>
        </w:rPr>
        <w:t xml:space="preserve">урб. Милен Николаев Колев </w:t>
      </w:r>
    </w:p>
    <w:p w14:paraId="38FDF4FD"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t>Допълнителен експерт 6 „Рибарство и аквакултури“</w:t>
      </w:r>
      <w:r w:rsidRPr="00610B1B">
        <w:rPr>
          <w:rFonts w:ascii="Times New Roman" w:hAnsi="Times New Roman" w:cs="Times New Roman"/>
          <w:lang w:val="bg-BG"/>
        </w:rPr>
        <w:t xml:space="preserve"> (ДЕ6) – </w:t>
      </w:r>
      <w:r w:rsidRPr="00610B1B">
        <w:rPr>
          <w:rFonts w:ascii="Times New Roman" w:hAnsi="Times New Roman" w:cs="Times New Roman"/>
          <w:spacing w:val="-3"/>
          <w:lang w:val="bg-BG" w:eastAsia="bg-BG"/>
        </w:rPr>
        <w:t>Димитрина Чакърова, ИАРА</w:t>
      </w:r>
    </w:p>
    <w:p w14:paraId="01AC6774" w14:textId="160B1CB6"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t>Координатор –</w:t>
      </w:r>
      <w:r w:rsidR="00D66FE0" w:rsidRPr="00610B1B">
        <w:rPr>
          <w:rFonts w:ascii="Times New Roman" w:hAnsi="Times New Roman" w:cs="Times New Roman"/>
          <w:b/>
          <w:lang w:val="bg-BG"/>
        </w:rPr>
        <w:t xml:space="preserve"> </w:t>
      </w:r>
      <w:r w:rsidRPr="00610B1B">
        <w:rPr>
          <w:rFonts w:ascii="Times New Roman" w:hAnsi="Times New Roman" w:cs="Times New Roman"/>
          <w:lang w:val="bg-BG"/>
        </w:rPr>
        <w:t>инж. Тина Попова – публични консултации, връзки със заинтересовани страни</w:t>
      </w:r>
    </w:p>
    <w:p w14:paraId="4E0982F0"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t>Експерт „Културно наследство“</w:t>
      </w:r>
      <w:r w:rsidRPr="00610B1B">
        <w:rPr>
          <w:rFonts w:ascii="Times New Roman" w:hAnsi="Times New Roman" w:cs="Times New Roman"/>
          <w:lang w:val="bg-BG"/>
        </w:rPr>
        <w:t xml:space="preserve"> – доц. д-р арх. Велина Атанасова Панджарова, УАСГ </w:t>
      </w:r>
    </w:p>
    <w:p w14:paraId="5DF11B10"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t xml:space="preserve">Експерт „Подводно културно наследство“ – </w:t>
      </w:r>
      <w:r w:rsidRPr="00610B1B">
        <w:rPr>
          <w:rFonts w:ascii="Times New Roman" w:hAnsi="Times New Roman" w:cs="Times New Roman"/>
          <w:lang w:val="bg-BG"/>
        </w:rPr>
        <w:t>д-р Калин Димитров, ЦПА, АИМ-БАН</w:t>
      </w:r>
    </w:p>
    <w:p w14:paraId="05A8188C" w14:textId="100750A6"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t>Експерт</w:t>
      </w:r>
      <w:r w:rsidR="000A795E" w:rsidRPr="00610B1B">
        <w:rPr>
          <w:rFonts w:ascii="Times New Roman" w:hAnsi="Times New Roman" w:cs="Times New Roman"/>
          <w:b/>
          <w:lang w:val="bg-BG"/>
        </w:rPr>
        <w:t> </w:t>
      </w:r>
      <w:r w:rsidRPr="00610B1B">
        <w:rPr>
          <w:rFonts w:ascii="Times New Roman" w:hAnsi="Times New Roman" w:cs="Times New Roman"/>
          <w:b/>
          <w:lang w:val="bg-BG"/>
        </w:rPr>
        <w:t>„Социологически</w:t>
      </w:r>
      <w:r w:rsidR="000A795E" w:rsidRPr="00610B1B">
        <w:rPr>
          <w:rFonts w:ascii="Times New Roman" w:hAnsi="Times New Roman" w:cs="Times New Roman"/>
          <w:b/>
          <w:lang w:val="bg-BG"/>
        </w:rPr>
        <w:t> </w:t>
      </w:r>
      <w:r w:rsidRPr="00610B1B">
        <w:rPr>
          <w:rFonts w:ascii="Times New Roman" w:hAnsi="Times New Roman" w:cs="Times New Roman"/>
          <w:b/>
          <w:lang w:val="bg-BG"/>
        </w:rPr>
        <w:t>изследвания“</w:t>
      </w:r>
      <w:r w:rsidR="000A795E" w:rsidRPr="00610B1B">
        <w:rPr>
          <w:rFonts w:ascii="Times New Roman" w:hAnsi="Times New Roman" w:cs="Times New Roman"/>
          <w:b/>
          <w:lang w:val="bg-BG"/>
        </w:rPr>
        <w:t> </w:t>
      </w:r>
      <w:r w:rsidRPr="00610B1B">
        <w:rPr>
          <w:rFonts w:ascii="Times New Roman" w:hAnsi="Times New Roman" w:cs="Times New Roman"/>
          <w:b/>
          <w:lang w:val="bg-BG"/>
        </w:rPr>
        <w:t>и</w:t>
      </w:r>
      <w:r w:rsidR="000A795E" w:rsidRPr="00610B1B">
        <w:rPr>
          <w:rFonts w:ascii="Times New Roman" w:hAnsi="Times New Roman" w:cs="Times New Roman"/>
          <w:b/>
          <w:lang w:val="bg-BG"/>
        </w:rPr>
        <w:t> </w:t>
      </w:r>
      <w:r w:rsidRPr="00610B1B">
        <w:rPr>
          <w:rFonts w:ascii="Times New Roman" w:hAnsi="Times New Roman" w:cs="Times New Roman"/>
          <w:b/>
          <w:lang w:val="bg-BG"/>
        </w:rPr>
        <w:t>връзки</w:t>
      </w:r>
      <w:r w:rsidR="000A795E" w:rsidRPr="00610B1B">
        <w:rPr>
          <w:rFonts w:ascii="Times New Roman" w:hAnsi="Times New Roman" w:cs="Times New Roman"/>
          <w:b/>
          <w:lang w:val="bg-BG"/>
        </w:rPr>
        <w:t> </w:t>
      </w:r>
      <w:r w:rsidRPr="00610B1B">
        <w:rPr>
          <w:rFonts w:ascii="Times New Roman" w:hAnsi="Times New Roman" w:cs="Times New Roman"/>
          <w:b/>
          <w:lang w:val="bg-BG"/>
        </w:rPr>
        <w:t>с</w:t>
      </w:r>
      <w:r w:rsidR="000A795E" w:rsidRPr="00610B1B">
        <w:rPr>
          <w:rFonts w:ascii="Times New Roman" w:hAnsi="Times New Roman" w:cs="Times New Roman"/>
          <w:b/>
          <w:lang w:val="bg-BG"/>
        </w:rPr>
        <w:t> </w:t>
      </w:r>
      <w:r w:rsidRPr="00610B1B">
        <w:rPr>
          <w:rFonts w:ascii="Times New Roman" w:hAnsi="Times New Roman" w:cs="Times New Roman"/>
          <w:b/>
          <w:lang w:val="bg-BG"/>
        </w:rPr>
        <w:t>обществеността</w:t>
      </w:r>
      <w:r w:rsidR="000A795E" w:rsidRPr="00610B1B">
        <w:rPr>
          <w:rFonts w:ascii="Times New Roman" w:hAnsi="Times New Roman" w:cs="Times New Roman"/>
          <w:b/>
          <w:lang w:val="bg-BG"/>
        </w:rPr>
        <w:t> </w:t>
      </w:r>
      <w:r w:rsidRPr="00610B1B">
        <w:rPr>
          <w:rFonts w:ascii="Times New Roman" w:hAnsi="Times New Roman" w:cs="Times New Roman"/>
          <w:iCs/>
          <w:lang w:val="bg-BG"/>
        </w:rPr>
        <w:t xml:space="preserve">– </w:t>
      </w:r>
      <w:r w:rsidR="000A795E" w:rsidRPr="00610B1B">
        <w:rPr>
          <w:rFonts w:ascii="Times New Roman" w:hAnsi="Times New Roman" w:cs="Times New Roman"/>
          <w:iCs/>
          <w:lang w:val="bg-BG"/>
        </w:rPr>
        <w:br/>
      </w:r>
      <w:r w:rsidRPr="00610B1B">
        <w:rPr>
          <w:rFonts w:ascii="Times New Roman" w:hAnsi="Times New Roman" w:cs="Times New Roman"/>
          <w:iCs/>
          <w:lang w:val="bg-BG"/>
        </w:rPr>
        <w:t>соц. Павел Вълчев, АлфаРисърч ООД</w:t>
      </w:r>
    </w:p>
    <w:p w14:paraId="1CC25D45" w14:textId="39B3FEC3"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t xml:space="preserve">Експерти „Военни обекти и зони“ – </w:t>
      </w:r>
      <w:r w:rsidRPr="00610B1B">
        <w:rPr>
          <w:rFonts w:ascii="Times New Roman" w:hAnsi="Times New Roman" w:cs="Times New Roman"/>
          <w:lang w:val="bg-BG"/>
        </w:rPr>
        <w:t>представители на ВВМУ „Н.</w:t>
      </w:r>
      <w:r w:rsidR="00DE3A13" w:rsidRPr="00610B1B">
        <w:rPr>
          <w:rFonts w:ascii="Times New Roman" w:hAnsi="Times New Roman" w:cs="Times New Roman"/>
          <w:lang w:val="bg-BG"/>
        </w:rPr>
        <w:t xml:space="preserve"> ѝ.</w:t>
      </w:r>
      <w:r w:rsidRPr="00610B1B">
        <w:rPr>
          <w:rFonts w:ascii="Times New Roman" w:hAnsi="Times New Roman" w:cs="Times New Roman"/>
          <w:lang w:val="bg-BG"/>
        </w:rPr>
        <w:t xml:space="preserve"> Вапцаров“</w:t>
      </w:r>
    </w:p>
    <w:p w14:paraId="6780F28F" w14:textId="77777777" w:rsidR="00BE57CC" w:rsidRPr="00610B1B" w:rsidRDefault="00BE57CC" w:rsidP="00BE57CC">
      <w:pPr>
        <w:pStyle w:val="ListParagraph"/>
        <w:spacing w:after="120" w:line="240" w:lineRule="auto"/>
        <w:ind w:left="993" w:hanging="360"/>
        <w:contextualSpacing w:val="0"/>
        <w:rPr>
          <w:rFonts w:ascii="Times New Roman" w:hAnsi="Times New Roman" w:cs="Times New Roman"/>
          <w:iCs/>
          <w:lang w:val="bg-BG"/>
        </w:rPr>
      </w:pPr>
      <w:r w:rsidRPr="00610B1B">
        <w:rPr>
          <w:rFonts w:ascii="Times New Roman" w:hAnsi="Times New Roman" w:cs="Times New Roman"/>
          <w:iCs/>
          <w:lang w:val="bg-BG"/>
        </w:rPr>
        <w:t>Проф. д.в.н. Боян Кирилов Медникаров – Безопасност и сигурност</w:t>
      </w:r>
    </w:p>
    <w:p w14:paraId="58E657A0" w14:textId="77777777" w:rsidR="00BE57CC" w:rsidRPr="00610B1B" w:rsidRDefault="00BE57CC" w:rsidP="00BE57CC">
      <w:pPr>
        <w:pStyle w:val="ListParagraph"/>
        <w:spacing w:after="120" w:line="240" w:lineRule="auto"/>
        <w:ind w:left="993" w:hanging="360"/>
        <w:contextualSpacing w:val="0"/>
        <w:rPr>
          <w:rFonts w:ascii="Times New Roman" w:hAnsi="Times New Roman" w:cs="Times New Roman"/>
          <w:iCs/>
          <w:lang w:val="bg-BG"/>
        </w:rPr>
      </w:pPr>
      <w:r w:rsidRPr="00610B1B">
        <w:rPr>
          <w:rFonts w:ascii="Times New Roman" w:hAnsi="Times New Roman" w:cs="Times New Roman"/>
          <w:iCs/>
          <w:lang w:val="bg-BG"/>
        </w:rPr>
        <w:t>Проф. д-р Калин Спасов Калинов – краткосрочни и дългосрочни прогнози и сценарии</w:t>
      </w:r>
    </w:p>
    <w:p w14:paraId="17BC82BF" w14:textId="510C3DFA" w:rsidR="00BE57CC" w:rsidRPr="00610B1B" w:rsidRDefault="00BE57CC" w:rsidP="00BE57CC">
      <w:pPr>
        <w:pStyle w:val="ListParagraph"/>
        <w:spacing w:after="120" w:line="240" w:lineRule="auto"/>
        <w:ind w:left="993" w:hanging="360"/>
        <w:contextualSpacing w:val="0"/>
        <w:rPr>
          <w:rFonts w:ascii="Times New Roman" w:hAnsi="Times New Roman" w:cs="Times New Roman"/>
          <w:iCs/>
          <w:lang w:val="bg-BG"/>
        </w:rPr>
      </w:pPr>
      <w:r w:rsidRPr="00610B1B">
        <w:rPr>
          <w:rFonts w:ascii="Times New Roman" w:hAnsi="Times New Roman" w:cs="Times New Roman"/>
          <w:iCs/>
          <w:lang w:val="bg-BG"/>
        </w:rPr>
        <w:t>Проф. д-р Мирослав Йорданов Цветков – зони и маршрути</w:t>
      </w:r>
      <w:r w:rsidR="00D66FE0" w:rsidRPr="00610B1B">
        <w:rPr>
          <w:rFonts w:ascii="Times New Roman" w:hAnsi="Times New Roman" w:cs="Times New Roman"/>
          <w:iCs/>
          <w:lang w:val="bg-BG"/>
        </w:rPr>
        <w:t xml:space="preserve"> </w:t>
      </w:r>
      <w:r w:rsidRPr="00610B1B">
        <w:rPr>
          <w:rFonts w:ascii="Times New Roman" w:hAnsi="Times New Roman" w:cs="Times New Roman"/>
          <w:iCs/>
          <w:lang w:val="bg-BG"/>
        </w:rPr>
        <w:t xml:space="preserve">за военни учения </w:t>
      </w:r>
    </w:p>
    <w:p w14:paraId="35F0A943" w14:textId="77777777" w:rsidR="00BE57CC" w:rsidRPr="00610B1B" w:rsidRDefault="00BE57CC" w:rsidP="00BE57CC">
      <w:pPr>
        <w:pStyle w:val="ListParagraph"/>
        <w:spacing w:after="120" w:line="240" w:lineRule="auto"/>
        <w:ind w:left="993" w:hanging="360"/>
        <w:contextualSpacing w:val="0"/>
        <w:rPr>
          <w:rFonts w:ascii="Times New Roman" w:hAnsi="Times New Roman" w:cs="Times New Roman"/>
          <w:iCs/>
          <w:lang w:val="bg-BG"/>
        </w:rPr>
      </w:pPr>
      <w:r w:rsidRPr="00610B1B">
        <w:rPr>
          <w:rFonts w:ascii="Times New Roman" w:hAnsi="Times New Roman" w:cs="Times New Roman"/>
          <w:iCs/>
          <w:lang w:val="bg-BG"/>
        </w:rPr>
        <w:t>д-р Тодор Спасов Калинов – стратегии и прогнози</w:t>
      </w:r>
    </w:p>
    <w:p w14:paraId="6C9A3AF1" w14:textId="77777777" w:rsidR="00BE57CC" w:rsidRPr="00610B1B" w:rsidRDefault="00BE57CC" w:rsidP="00BE57CC">
      <w:pPr>
        <w:pStyle w:val="ListParagraph"/>
        <w:spacing w:after="120" w:line="240" w:lineRule="auto"/>
        <w:ind w:left="993" w:hanging="360"/>
        <w:contextualSpacing w:val="0"/>
        <w:rPr>
          <w:rFonts w:ascii="Times New Roman" w:hAnsi="Times New Roman" w:cs="Times New Roman"/>
          <w:iCs/>
          <w:lang w:val="bg-BG"/>
        </w:rPr>
      </w:pPr>
      <w:r w:rsidRPr="00610B1B">
        <w:rPr>
          <w:rFonts w:ascii="Times New Roman" w:hAnsi="Times New Roman" w:cs="Times New Roman"/>
          <w:iCs/>
          <w:lang w:val="bg-BG"/>
        </w:rPr>
        <w:t>доц. д-р Никола Людмилов Стоянов – военни пристанища и обекти</w:t>
      </w:r>
    </w:p>
    <w:p w14:paraId="73D413F4" w14:textId="77777777" w:rsidR="00BE57CC" w:rsidRPr="00610B1B" w:rsidRDefault="00BE57CC" w:rsidP="00BE57CC">
      <w:pPr>
        <w:pStyle w:val="ListParagraph"/>
        <w:spacing w:after="120" w:line="240" w:lineRule="auto"/>
        <w:ind w:left="993" w:hanging="360"/>
        <w:contextualSpacing w:val="0"/>
        <w:rPr>
          <w:rFonts w:ascii="Times New Roman" w:hAnsi="Times New Roman" w:cs="Times New Roman"/>
          <w:iCs/>
          <w:lang w:val="bg-BG"/>
        </w:rPr>
      </w:pPr>
      <w:r w:rsidRPr="00610B1B">
        <w:rPr>
          <w:rFonts w:ascii="Times New Roman" w:hAnsi="Times New Roman" w:cs="Times New Roman"/>
          <w:iCs/>
          <w:lang w:val="bg-BG"/>
        </w:rPr>
        <w:t>доц. д-р Валентин Симеонов Василев – военни полигони</w:t>
      </w:r>
    </w:p>
    <w:p w14:paraId="2A0E60C4" w14:textId="0009EA18" w:rsidR="00BE57CC" w:rsidRPr="00610B1B" w:rsidRDefault="00BE57CC" w:rsidP="00BE57CC">
      <w:pPr>
        <w:pStyle w:val="ListParagraph"/>
        <w:spacing w:after="120" w:line="240" w:lineRule="auto"/>
        <w:ind w:left="646" w:hanging="360"/>
        <w:contextualSpacing w:val="0"/>
        <w:rPr>
          <w:rFonts w:ascii="Times New Roman" w:hAnsi="Times New Roman" w:cs="Times New Roman"/>
          <w:iCs/>
          <w:lang w:val="bg-BG"/>
        </w:rPr>
      </w:pPr>
    </w:p>
    <w:p w14:paraId="17663A57" w14:textId="6BD1BD69" w:rsidR="009417C0" w:rsidRPr="00610B1B" w:rsidRDefault="009417C0" w:rsidP="00BE57CC">
      <w:pPr>
        <w:pStyle w:val="ListParagraph"/>
        <w:spacing w:after="120" w:line="240" w:lineRule="auto"/>
        <w:ind w:left="646" w:hanging="360"/>
        <w:contextualSpacing w:val="0"/>
        <w:rPr>
          <w:rFonts w:ascii="Times New Roman" w:hAnsi="Times New Roman" w:cs="Times New Roman"/>
          <w:iCs/>
          <w:lang w:val="bg-BG"/>
        </w:rPr>
      </w:pPr>
    </w:p>
    <w:p w14:paraId="685C50F7" w14:textId="77777777" w:rsidR="005C40FC" w:rsidRPr="00610B1B" w:rsidRDefault="005C40FC" w:rsidP="00BE57CC">
      <w:pPr>
        <w:pStyle w:val="ListParagraph"/>
        <w:spacing w:after="120" w:line="240" w:lineRule="auto"/>
        <w:ind w:left="646" w:hanging="360"/>
        <w:contextualSpacing w:val="0"/>
        <w:rPr>
          <w:rFonts w:ascii="Times New Roman" w:hAnsi="Times New Roman" w:cs="Times New Roman"/>
          <w:iCs/>
          <w:lang w:val="bg-BG"/>
        </w:rPr>
      </w:pPr>
    </w:p>
    <w:p w14:paraId="04A3130D"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iCs/>
          <w:lang w:val="bg-BG"/>
        </w:rPr>
      </w:pPr>
      <w:r w:rsidRPr="00610B1B">
        <w:rPr>
          <w:rFonts w:ascii="Times New Roman" w:hAnsi="Times New Roman" w:cs="Times New Roman"/>
          <w:b/>
          <w:lang w:val="bg-BG"/>
        </w:rPr>
        <w:lastRenderedPageBreak/>
        <w:t xml:space="preserve">Експерти „Защитени зони и биоразнообразие“ </w:t>
      </w:r>
      <w:r w:rsidRPr="00610B1B">
        <w:rPr>
          <w:rFonts w:ascii="Times New Roman" w:hAnsi="Times New Roman" w:cs="Times New Roman"/>
          <w:lang w:val="bg-BG"/>
        </w:rPr>
        <w:t>– представители на ИБЕИ – БАН</w:t>
      </w:r>
    </w:p>
    <w:p w14:paraId="7F1E9703" w14:textId="77777777" w:rsidR="00BE57CC" w:rsidRPr="00610B1B" w:rsidRDefault="00BE57CC" w:rsidP="00BE57CC">
      <w:pPr>
        <w:pStyle w:val="ListParagraph"/>
        <w:spacing w:after="120" w:line="240" w:lineRule="auto"/>
        <w:ind w:left="646" w:hanging="360"/>
        <w:contextualSpacing w:val="0"/>
        <w:rPr>
          <w:rFonts w:ascii="Times New Roman" w:hAnsi="Times New Roman" w:cs="Times New Roman"/>
          <w:iCs/>
          <w:lang w:val="bg-BG"/>
        </w:rPr>
      </w:pPr>
      <w:r w:rsidRPr="00610B1B">
        <w:rPr>
          <w:rFonts w:ascii="Times New Roman" w:hAnsi="Times New Roman" w:cs="Times New Roman"/>
          <w:bCs/>
          <w:lang w:val="bg-BG"/>
        </w:rPr>
        <w:t>д</w:t>
      </w:r>
      <w:r w:rsidRPr="00610B1B">
        <w:rPr>
          <w:rFonts w:ascii="Times New Roman" w:hAnsi="Times New Roman" w:cs="Times New Roman"/>
          <w:iCs/>
          <w:lang w:val="bg-BG"/>
        </w:rPr>
        <w:t>-р Димитър Николов Беров – фитобентос</w:t>
      </w:r>
    </w:p>
    <w:p w14:paraId="53943E42" w14:textId="77777777" w:rsidR="00BE57CC" w:rsidRPr="00610B1B" w:rsidRDefault="00BE57CC" w:rsidP="00BE57CC">
      <w:pPr>
        <w:pStyle w:val="ListParagraph"/>
        <w:spacing w:after="120" w:line="240" w:lineRule="auto"/>
        <w:ind w:left="646" w:hanging="360"/>
        <w:contextualSpacing w:val="0"/>
        <w:rPr>
          <w:rFonts w:ascii="Times New Roman" w:hAnsi="Times New Roman" w:cs="Times New Roman"/>
          <w:iCs/>
          <w:lang w:val="bg-BG"/>
        </w:rPr>
      </w:pPr>
      <w:r w:rsidRPr="00610B1B">
        <w:rPr>
          <w:rFonts w:ascii="Times New Roman" w:hAnsi="Times New Roman" w:cs="Times New Roman"/>
          <w:iCs/>
          <w:lang w:val="bg-BG"/>
        </w:rPr>
        <w:t>д-р Стефания Ласло Клайн – зообентос</w:t>
      </w:r>
    </w:p>
    <w:p w14:paraId="792540AA" w14:textId="77777777" w:rsidR="00BE57CC" w:rsidRPr="00610B1B" w:rsidRDefault="00BE57CC" w:rsidP="00BE57CC">
      <w:pPr>
        <w:pStyle w:val="ListParagraph"/>
        <w:spacing w:after="120" w:line="240" w:lineRule="auto"/>
        <w:ind w:left="646" w:hanging="360"/>
        <w:contextualSpacing w:val="0"/>
        <w:rPr>
          <w:rFonts w:ascii="Times New Roman" w:hAnsi="Times New Roman" w:cs="Times New Roman"/>
          <w:iCs/>
          <w:lang w:val="bg-BG"/>
        </w:rPr>
      </w:pPr>
      <w:r w:rsidRPr="00610B1B">
        <w:rPr>
          <w:rFonts w:ascii="Times New Roman" w:hAnsi="Times New Roman" w:cs="Times New Roman"/>
          <w:iCs/>
          <w:lang w:val="bg-BG"/>
        </w:rPr>
        <w:t>Николай Петров Караиванов – птици</w:t>
      </w:r>
    </w:p>
    <w:p w14:paraId="252EC008"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арх. Стойчо Мотев Мотев – Туризъм, Стратегическа част</w:t>
      </w:r>
    </w:p>
    <w:p w14:paraId="0D89B991"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мат. Мария Новакова – ГИС база данни и връзка с MARSPLAN BS II</w:t>
      </w:r>
    </w:p>
    <w:p w14:paraId="77A0AE2A"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икон.геогр. Димитър Маринов Димитров – демографска динамика и работна сила</w:t>
      </w:r>
    </w:p>
    <w:p w14:paraId="6A466DD4"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инж. урб. Диана Антонова – урбанизация на крайбрежието</w:t>
      </w:r>
    </w:p>
    <w:p w14:paraId="2AF03F80"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арх. урб. Валерия Хитова – натиск върху акваторията, брегозащита</w:t>
      </w:r>
    </w:p>
    <w:p w14:paraId="5DC0D10A" w14:textId="777015FF"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урб. Жозеф</w:t>
      </w:r>
      <w:r w:rsidR="00537D06" w:rsidRPr="00610B1B">
        <w:rPr>
          <w:rFonts w:ascii="Times New Roman" w:hAnsi="Times New Roman" w:cs="Times New Roman"/>
          <w:lang w:val="bg-BG"/>
        </w:rPr>
        <w:t xml:space="preserve"> Зен</w:t>
      </w:r>
      <w:r w:rsidRPr="00610B1B">
        <w:rPr>
          <w:rFonts w:ascii="Times New Roman" w:hAnsi="Times New Roman" w:cs="Times New Roman"/>
          <w:lang w:val="bg-BG"/>
        </w:rPr>
        <w:t xml:space="preserve"> Насер – трансгранични взаимодействия, делимитация</w:t>
      </w:r>
    </w:p>
    <w:p w14:paraId="492047AC" w14:textId="77777777" w:rsidR="00BE57CC" w:rsidRPr="00610B1B" w:rsidRDefault="00BE57CC" w:rsidP="00BE57CC">
      <w:pPr>
        <w:pStyle w:val="ListParagraph"/>
        <w:numPr>
          <w:ilvl w:val="0"/>
          <w:numId w:val="73"/>
        </w:numPr>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Мартин Христов – Рибарство и аквакултури, ИАРА</w:t>
      </w:r>
    </w:p>
    <w:p w14:paraId="766A5F8F"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инж. урб. Илиана Антова – ГИС приложения</w:t>
      </w:r>
    </w:p>
    <w:p w14:paraId="69E0D520" w14:textId="77777777" w:rsidR="00BE57CC" w:rsidRPr="00610B1B" w:rsidRDefault="00BE57CC" w:rsidP="00BE57CC">
      <w:pPr>
        <w:pStyle w:val="ListParagraph"/>
        <w:numPr>
          <w:ilvl w:val="0"/>
          <w:numId w:val="73"/>
        </w:numPr>
        <w:tabs>
          <w:tab w:val="left" w:pos="360"/>
        </w:tabs>
        <w:spacing w:after="120" w:line="240" w:lineRule="auto"/>
        <w:ind w:left="646"/>
        <w:contextualSpacing w:val="0"/>
        <w:jc w:val="both"/>
        <w:rPr>
          <w:rFonts w:ascii="Times New Roman" w:hAnsi="Times New Roman" w:cs="Times New Roman"/>
          <w:lang w:val="bg-BG"/>
        </w:rPr>
      </w:pPr>
      <w:r w:rsidRPr="00610B1B">
        <w:rPr>
          <w:rFonts w:ascii="Times New Roman" w:hAnsi="Times New Roman" w:cs="Times New Roman"/>
          <w:lang w:val="bg-BG"/>
        </w:rPr>
        <w:t>Янко Янков – ГИС платформа</w:t>
      </w:r>
    </w:p>
    <w:p w14:paraId="2C036384" w14:textId="094EB25D" w:rsidR="000D1D3C" w:rsidRPr="00610B1B" w:rsidRDefault="00BE57CC" w:rsidP="00140F67">
      <w:pPr>
        <w:pStyle w:val="ListParagraph"/>
        <w:numPr>
          <w:ilvl w:val="0"/>
          <w:numId w:val="73"/>
        </w:numPr>
        <w:tabs>
          <w:tab w:val="left" w:pos="360"/>
        </w:tabs>
        <w:spacing w:after="120" w:line="240" w:lineRule="auto"/>
        <w:ind w:left="646"/>
        <w:contextualSpacing w:val="0"/>
        <w:jc w:val="both"/>
        <w:rPr>
          <w:rFonts w:ascii="Times New Roman" w:hAnsi="Times New Roman" w:cs="Times New Roman"/>
          <w:caps/>
          <w:lang w:val="bg-BG"/>
        </w:rPr>
      </w:pPr>
      <w:r w:rsidRPr="00610B1B">
        <w:rPr>
          <w:rFonts w:ascii="Times New Roman" w:hAnsi="Times New Roman" w:cs="Times New Roman"/>
          <w:lang w:val="bg-BG"/>
        </w:rPr>
        <w:t>юрист Елена Атанасова Панджарова – правни норми и режими</w:t>
      </w:r>
    </w:p>
    <w:p w14:paraId="2B1D4731" w14:textId="77777777" w:rsidR="008C58C9" w:rsidRPr="009918C6" w:rsidRDefault="008C58C9" w:rsidP="008C58C9">
      <w:pPr>
        <w:pStyle w:val="ListParagraph"/>
        <w:tabs>
          <w:tab w:val="left" w:pos="360"/>
        </w:tabs>
        <w:spacing w:after="120" w:line="240" w:lineRule="auto"/>
        <w:ind w:left="646"/>
        <w:contextualSpacing w:val="0"/>
        <w:jc w:val="both"/>
        <w:rPr>
          <w:rFonts w:ascii="Times New Roman" w:hAnsi="Times New Roman" w:cs="Times New Roman"/>
          <w:caps/>
          <w:lang w:val="bg-BG"/>
        </w:rPr>
      </w:pPr>
      <w:bookmarkStart w:id="550" w:name="_GoBack"/>
      <w:bookmarkEnd w:id="550"/>
    </w:p>
    <w:sectPr w:rsidR="008C58C9" w:rsidRPr="009918C6" w:rsidSect="00C4605F">
      <w:pgSz w:w="11907" w:h="16839" w:code="9"/>
      <w:pgMar w:top="1134" w:right="85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B1875F" w14:textId="77777777" w:rsidR="00FD6A23" w:rsidRDefault="00FD6A23" w:rsidP="00E23207">
      <w:pPr>
        <w:spacing w:after="0" w:line="240" w:lineRule="auto"/>
      </w:pPr>
      <w:r>
        <w:separator/>
      </w:r>
    </w:p>
  </w:endnote>
  <w:endnote w:type="continuationSeparator" w:id="0">
    <w:p w14:paraId="78FEA57D" w14:textId="77777777" w:rsidR="00FD6A23" w:rsidRDefault="00FD6A23" w:rsidP="00E232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Source Han Sans CN Regular">
    <w:charset w:val="00"/>
    <w:family w:val="auto"/>
    <w:pitch w:val="variable"/>
  </w:font>
  <w:font w:name="Lohit Devanagari">
    <w:altName w:val="Cambria"/>
    <w:charset w:val="00"/>
    <w:family w:val="auto"/>
    <w:pitch w:val="variable"/>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0">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Hebar">
    <w:altName w:val="Cambria"/>
    <w:panose1 w:val="00000000000000000000"/>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Domkrat">
    <w:panose1 w:val="00000000000000000000"/>
    <w:charset w:val="00"/>
    <w:family w:val="swiss"/>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ArialMT">
    <w:altName w:val="Arial"/>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TT24o00">
    <w:panose1 w:val="00000000000000000000"/>
    <w:charset w:val="80"/>
    <w:family w:val="auto"/>
    <w:notTrueType/>
    <w:pitch w:val="default"/>
    <w:sig w:usb0="00000001" w:usb1="08070000" w:usb2="00000010" w:usb3="00000000" w:csb0="00020000" w:csb1="00000000"/>
  </w:font>
  <w:font w:name="Times New Roman,Bold">
    <w:panose1 w:val="00000000000000000000"/>
    <w:charset w:val="CC"/>
    <w:family w:val="auto"/>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88"/>
    <w:family w:val="auto"/>
    <w:notTrueType/>
    <w:pitch w:val="default"/>
    <w:sig w:usb0="00000003" w:usb1="080F0000" w:usb2="00000010" w:usb3="00000000" w:csb0="00120001"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113424259"/>
      <w:docPartObj>
        <w:docPartGallery w:val="Page Numbers (Bottom of Page)"/>
        <w:docPartUnique/>
      </w:docPartObj>
    </w:sdtPr>
    <w:sdtEndPr>
      <w:rPr>
        <w:noProof/>
      </w:rPr>
    </w:sdtEndPr>
    <w:sdtContent>
      <w:p w14:paraId="4CE4E680" w14:textId="6C2B72B6" w:rsidR="00C717D0" w:rsidRPr="006230C0" w:rsidRDefault="00C717D0">
        <w:pPr>
          <w:pStyle w:val="Footer"/>
          <w:jc w:val="right"/>
          <w:rPr>
            <w:rFonts w:ascii="Times New Roman" w:hAnsi="Times New Roman" w:cs="Times New Roman"/>
          </w:rPr>
        </w:pPr>
        <w:r w:rsidRPr="006230C0">
          <w:rPr>
            <w:rFonts w:ascii="Times New Roman" w:hAnsi="Times New Roman" w:cs="Times New Roman"/>
          </w:rPr>
          <w:fldChar w:fldCharType="begin"/>
        </w:r>
        <w:r w:rsidRPr="006230C0">
          <w:rPr>
            <w:rFonts w:ascii="Times New Roman" w:hAnsi="Times New Roman" w:cs="Times New Roman"/>
          </w:rPr>
          <w:instrText xml:space="preserve"> PAGE   \* MERGEFORMAT </w:instrText>
        </w:r>
        <w:r w:rsidRPr="006230C0">
          <w:rPr>
            <w:rFonts w:ascii="Times New Roman" w:hAnsi="Times New Roman" w:cs="Times New Roman"/>
          </w:rPr>
          <w:fldChar w:fldCharType="separate"/>
        </w:r>
        <w:r w:rsidR="00E425D8">
          <w:rPr>
            <w:rFonts w:ascii="Times New Roman" w:hAnsi="Times New Roman" w:cs="Times New Roman"/>
            <w:noProof/>
          </w:rPr>
          <w:t>x</w:t>
        </w:r>
        <w:r w:rsidRPr="006230C0">
          <w:rPr>
            <w:rFonts w:ascii="Times New Roman" w:hAnsi="Times New Roman" w:cs="Times New Roman"/>
            <w:noProof/>
          </w:rPr>
          <w:fldChar w:fldCharType="end"/>
        </w:r>
      </w:p>
    </w:sdtContent>
  </w:sdt>
  <w:p w14:paraId="046B9E36" w14:textId="4B00D4CB" w:rsidR="00C717D0" w:rsidRPr="00595F51" w:rsidRDefault="00C717D0" w:rsidP="004B76D4">
    <w:pPr>
      <w:pStyle w:val="Footer"/>
      <w:ind w:right="360"/>
      <w:jc w:val="center"/>
      <w:rPr>
        <w:i/>
        <w:iCs/>
        <w:lang w:val="bg-BG"/>
      </w:rPr>
    </w:pPr>
    <w:r>
      <w:rPr>
        <w:rFonts w:ascii="Times New Roman" w:hAnsi="Times New Roman" w:cs="Times New Roman"/>
        <w:i/>
        <w:iCs/>
        <w:color w:val="0F243E" w:themeColor="text2" w:themeShade="80"/>
        <w:lang w:val="bg-BG"/>
      </w:rPr>
      <w:t>Март 2023</w:t>
    </w:r>
    <w:r>
      <w:rPr>
        <w:lang w:val="bg-BG"/>
      </w:rPr>
      <w:t xml:space="preserve"> </w:t>
    </w:r>
    <w:r>
      <w:rPr>
        <w:i/>
        <w:iCs/>
        <w:lang w:val="bg-BG"/>
      </w:rPr>
      <w:t>г.</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550686096"/>
      <w:docPartObj>
        <w:docPartGallery w:val="Page Numbers (Bottom of Page)"/>
        <w:docPartUnique/>
      </w:docPartObj>
    </w:sdtPr>
    <w:sdtEndPr>
      <w:rPr>
        <w:noProof/>
        <w:color w:val="0F243E" w:themeColor="text2" w:themeShade="80"/>
      </w:rPr>
    </w:sdtEndPr>
    <w:sdtContent>
      <w:p w14:paraId="07E10F0B" w14:textId="0AF06084" w:rsidR="00C717D0" w:rsidRPr="006230C0" w:rsidRDefault="00C717D0">
        <w:pPr>
          <w:pStyle w:val="Footer"/>
          <w:jc w:val="right"/>
          <w:rPr>
            <w:rFonts w:ascii="Times New Roman" w:hAnsi="Times New Roman" w:cs="Times New Roman"/>
          </w:rPr>
        </w:pPr>
        <w:r w:rsidRPr="006230C0">
          <w:rPr>
            <w:rFonts w:ascii="Times New Roman" w:hAnsi="Times New Roman" w:cs="Times New Roman"/>
          </w:rPr>
          <w:fldChar w:fldCharType="begin"/>
        </w:r>
        <w:r w:rsidRPr="006230C0">
          <w:rPr>
            <w:rFonts w:ascii="Times New Roman" w:hAnsi="Times New Roman" w:cs="Times New Roman"/>
          </w:rPr>
          <w:instrText xml:space="preserve"> PAGE   \* MERGEFORMAT </w:instrText>
        </w:r>
        <w:r w:rsidRPr="006230C0">
          <w:rPr>
            <w:rFonts w:ascii="Times New Roman" w:hAnsi="Times New Roman" w:cs="Times New Roman"/>
          </w:rPr>
          <w:fldChar w:fldCharType="separate"/>
        </w:r>
        <w:r w:rsidR="00E425D8">
          <w:rPr>
            <w:rFonts w:ascii="Times New Roman" w:hAnsi="Times New Roman" w:cs="Times New Roman"/>
            <w:noProof/>
          </w:rPr>
          <w:t>416</w:t>
        </w:r>
        <w:r w:rsidRPr="006230C0">
          <w:rPr>
            <w:rFonts w:ascii="Times New Roman" w:hAnsi="Times New Roman" w:cs="Times New Roman"/>
            <w:noProof/>
          </w:rPr>
          <w:fldChar w:fldCharType="end"/>
        </w:r>
      </w:p>
    </w:sdtContent>
  </w:sdt>
  <w:p w14:paraId="600ACF8B" w14:textId="1F59C82E" w:rsidR="00C717D0" w:rsidRDefault="00C717D0" w:rsidP="004B76D4">
    <w:pPr>
      <w:pStyle w:val="Footer"/>
      <w:ind w:right="360"/>
      <w:jc w:val="center"/>
    </w:pPr>
    <w:r>
      <w:rPr>
        <w:rFonts w:ascii="Times New Roman" w:hAnsi="Times New Roman" w:cs="Times New Roman"/>
        <w:i/>
        <w:iCs/>
        <w:color w:val="0F243E" w:themeColor="text2" w:themeShade="80"/>
        <w:lang w:val="bg-BG"/>
      </w:rPr>
      <w:t>Март 2023 г.</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7A8DCE" w14:textId="77777777" w:rsidR="00FD6A23" w:rsidRDefault="00FD6A23" w:rsidP="00E23207">
      <w:pPr>
        <w:spacing w:after="0" w:line="240" w:lineRule="auto"/>
      </w:pPr>
      <w:r>
        <w:separator/>
      </w:r>
    </w:p>
  </w:footnote>
  <w:footnote w:type="continuationSeparator" w:id="0">
    <w:p w14:paraId="45FE8152" w14:textId="77777777" w:rsidR="00FD6A23" w:rsidRDefault="00FD6A23" w:rsidP="00E23207">
      <w:pPr>
        <w:spacing w:after="0" w:line="240" w:lineRule="auto"/>
      </w:pPr>
      <w:r>
        <w:continuationSeparator/>
      </w:r>
    </w:p>
  </w:footnote>
  <w:footnote w:id="1">
    <w:p w14:paraId="36ED7FEF" w14:textId="34B4EFCA" w:rsidR="00C717D0" w:rsidRPr="00FD37F6" w:rsidRDefault="00C717D0" w:rsidP="004050A5">
      <w:pPr>
        <w:pStyle w:val="FootnoteText"/>
        <w:spacing w:after="20"/>
        <w:ind w:right="-754"/>
        <w:rPr>
          <w:rFonts w:cs="Times New Roman"/>
          <w:sz w:val="20"/>
          <w:szCs w:val="20"/>
        </w:rPr>
      </w:pPr>
      <w:r w:rsidRPr="00FD37F6">
        <w:rPr>
          <w:rStyle w:val="FootnoteReference"/>
          <w:rFonts w:cs="Times New Roman"/>
          <w:sz w:val="20"/>
          <w:szCs w:val="20"/>
        </w:rPr>
        <w:footnoteRef/>
      </w:r>
      <w:r w:rsidRPr="00FD37F6">
        <w:rPr>
          <w:rFonts w:cs="Times New Roman"/>
          <w:sz w:val="20"/>
          <w:szCs w:val="20"/>
        </w:rPr>
        <w:t xml:space="preserve"> Директива 2014/89/ЕС на Европейския парламент и на Съвета за установяване на рамка за морско пространствено планиране </w:t>
      </w:r>
      <w:hyperlink r:id="rId1" w:history="1">
        <w:r w:rsidRPr="00FD37F6">
          <w:rPr>
            <w:rStyle w:val="Hyperlink"/>
            <w:rFonts w:cs="Times New Roman"/>
            <w:sz w:val="20"/>
            <w:szCs w:val="20"/>
          </w:rPr>
          <w:t>http://eur-lex.europa.eu/legal-content/BG/TXT/PDF/?uri=CELEX:32014L0089&amp;from=BG</w:t>
        </w:r>
      </w:hyperlink>
      <w:r w:rsidRPr="00FD37F6">
        <w:rPr>
          <w:rFonts w:cs="Times New Roman"/>
          <w:sz w:val="20"/>
          <w:szCs w:val="20"/>
        </w:rPr>
        <w:t xml:space="preserve"> </w:t>
      </w:r>
    </w:p>
  </w:footnote>
  <w:footnote w:id="2">
    <w:p w14:paraId="5051CD83" w14:textId="77777777" w:rsidR="00C717D0" w:rsidRPr="00FD37F6" w:rsidRDefault="00C717D0" w:rsidP="004050A5">
      <w:pPr>
        <w:pStyle w:val="FootnoteText"/>
        <w:spacing w:after="20"/>
        <w:ind w:left="284" w:hanging="284"/>
        <w:rPr>
          <w:rFonts w:cs="Times New Roman"/>
          <w:sz w:val="20"/>
          <w:szCs w:val="20"/>
        </w:rPr>
      </w:pPr>
      <w:r w:rsidRPr="00FD37F6">
        <w:rPr>
          <w:rStyle w:val="FootnoteReference"/>
          <w:rFonts w:cs="Times New Roman"/>
          <w:sz w:val="20"/>
          <w:szCs w:val="20"/>
        </w:rPr>
        <w:footnoteRef/>
      </w:r>
      <w:r w:rsidRPr="00FD37F6">
        <w:rPr>
          <w:rFonts w:cs="Times New Roman"/>
          <w:sz w:val="20"/>
          <w:szCs w:val="20"/>
        </w:rPr>
        <w:t xml:space="preserve"> Да преобразим нашия свят: програма за устойчиво развитие до 2030 година. Финален текст </w:t>
      </w:r>
      <w:hyperlink r:id="rId2" w:history="1">
        <w:r w:rsidRPr="00FD37F6">
          <w:rPr>
            <w:rStyle w:val="Hyperlink"/>
            <w:rFonts w:cs="Times New Roman"/>
            <w:sz w:val="20"/>
            <w:szCs w:val="20"/>
          </w:rPr>
          <w:t>https://www.unicef.bg/assets/PDFs/WWL/Transforming_our_world_BG.pdf</w:t>
        </w:r>
      </w:hyperlink>
      <w:r w:rsidRPr="00FD37F6">
        <w:rPr>
          <w:rFonts w:cs="Times New Roman"/>
          <w:sz w:val="20"/>
          <w:szCs w:val="20"/>
        </w:rPr>
        <w:t xml:space="preserve"> </w:t>
      </w:r>
    </w:p>
  </w:footnote>
  <w:footnote w:id="3">
    <w:p w14:paraId="6D4604B0" w14:textId="27E4E5F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 w:history="1">
        <w:r w:rsidRPr="00FD37F6">
          <w:rPr>
            <w:rStyle w:val="Hyperlink"/>
            <w:rFonts w:cs="Times New Roman"/>
            <w:sz w:val="20"/>
            <w:szCs w:val="20"/>
          </w:rPr>
          <w:t>http://publications.europa.eu/resource/cellar/f07ab00e-3795-4146-8739-07dc585b97ad.0008.01/DOC_1</w:t>
        </w:r>
      </w:hyperlink>
      <w:r w:rsidRPr="00FD37F6">
        <w:rPr>
          <w:rFonts w:cs="Times New Roman"/>
          <w:sz w:val="20"/>
          <w:szCs w:val="20"/>
          <w:lang w:val="bg-BG"/>
        </w:rPr>
        <w:t xml:space="preserve"> </w:t>
      </w:r>
    </w:p>
  </w:footnote>
  <w:footnote w:id="4">
    <w:p w14:paraId="322EB592" w14:textId="77777777" w:rsidR="00C717D0" w:rsidRPr="00FD37F6" w:rsidRDefault="00C717D0" w:rsidP="004050A5">
      <w:pPr>
        <w:pStyle w:val="FootnoteText"/>
        <w:spacing w:after="20"/>
        <w:ind w:right="-612"/>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moew</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vodi</w:t>
        </w:r>
        <w:r w:rsidRPr="00FD37F6">
          <w:rPr>
            <w:rStyle w:val="Hyperlink"/>
            <w:rFonts w:cs="Times New Roman"/>
            <w:sz w:val="20"/>
            <w:szCs w:val="20"/>
            <w:lang w:val="bg-BG"/>
          </w:rPr>
          <w:t>/</w:t>
        </w:r>
        <w:r w:rsidRPr="00FD37F6">
          <w:rPr>
            <w:rStyle w:val="Hyperlink"/>
            <w:rFonts w:cs="Times New Roman"/>
            <w:sz w:val="20"/>
            <w:szCs w:val="20"/>
          </w:rPr>
          <w:t>morski</w:t>
        </w:r>
        <w:r w:rsidRPr="00FD37F6">
          <w:rPr>
            <w:rStyle w:val="Hyperlink"/>
            <w:rFonts w:cs="Times New Roman"/>
            <w:sz w:val="20"/>
            <w:szCs w:val="20"/>
            <w:lang w:val="bg-BG"/>
          </w:rPr>
          <w:t>-</w:t>
        </w:r>
        <w:r w:rsidRPr="00FD37F6">
          <w:rPr>
            <w:rStyle w:val="Hyperlink"/>
            <w:rFonts w:cs="Times New Roman"/>
            <w:sz w:val="20"/>
            <w:szCs w:val="20"/>
          </w:rPr>
          <w:t>vodi</w:t>
        </w:r>
        <w:r w:rsidRPr="00FD37F6">
          <w:rPr>
            <w:rStyle w:val="Hyperlink"/>
            <w:rFonts w:cs="Times New Roman"/>
            <w:sz w:val="20"/>
            <w:szCs w:val="20"/>
            <w:lang w:val="bg-BG"/>
          </w:rPr>
          <w:t>/</w:t>
        </w:r>
        <w:r w:rsidRPr="00FD37F6">
          <w:rPr>
            <w:rStyle w:val="Hyperlink"/>
            <w:rFonts w:cs="Times New Roman"/>
            <w:sz w:val="20"/>
            <w:szCs w:val="20"/>
          </w:rPr>
          <w:t>konvenciya</w:t>
        </w:r>
        <w:r w:rsidRPr="00FD37F6">
          <w:rPr>
            <w:rStyle w:val="Hyperlink"/>
            <w:rFonts w:cs="Times New Roman"/>
            <w:sz w:val="20"/>
            <w:szCs w:val="20"/>
            <w:lang w:val="bg-BG"/>
          </w:rPr>
          <w:t>-</w:t>
        </w:r>
        <w:r w:rsidRPr="00FD37F6">
          <w:rPr>
            <w:rStyle w:val="Hyperlink"/>
            <w:rFonts w:cs="Times New Roman"/>
            <w:sz w:val="20"/>
            <w:szCs w:val="20"/>
          </w:rPr>
          <w:t>za</w:t>
        </w:r>
        <w:r w:rsidRPr="00FD37F6">
          <w:rPr>
            <w:rStyle w:val="Hyperlink"/>
            <w:rFonts w:cs="Times New Roman"/>
            <w:sz w:val="20"/>
            <w:szCs w:val="20"/>
            <w:lang w:val="bg-BG"/>
          </w:rPr>
          <w:t>-</w:t>
        </w:r>
        <w:r w:rsidRPr="00FD37F6">
          <w:rPr>
            <w:rStyle w:val="Hyperlink"/>
            <w:rFonts w:cs="Times New Roman"/>
            <w:sz w:val="20"/>
            <w:szCs w:val="20"/>
          </w:rPr>
          <w:t>opazvane</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cherno</w:t>
        </w:r>
        <w:r w:rsidRPr="00FD37F6">
          <w:rPr>
            <w:rStyle w:val="Hyperlink"/>
            <w:rFonts w:cs="Times New Roman"/>
            <w:sz w:val="20"/>
            <w:szCs w:val="20"/>
            <w:lang w:val="bg-BG"/>
          </w:rPr>
          <w:t>-</w:t>
        </w:r>
        <w:r w:rsidRPr="00FD37F6">
          <w:rPr>
            <w:rStyle w:val="Hyperlink"/>
            <w:rFonts w:cs="Times New Roman"/>
            <w:sz w:val="20"/>
            <w:szCs w:val="20"/>
          </w:rPr>
          <w:t>more</w:t>
        </w:r>
        <w:r w:rsidRPr="00FD37F6">
          <w:rPr>
            <w:rStyle w:val="Hyperlink"/>
            <w:rFonts w:cs="Times New Roman"/>
            <w:sz w:val="20"/>
            <w:szCs w:val="20"/>
            <w:lang w:val="bg-BG"/>
          </w:rPr>
          <w:t>-</w:t>
        </w:r>
        <w:r w:rsidRPr="00FD37F6">
          <w:rPr>
            <w:rStyle w:val="Hyperlink"/>
            <w:rFonts w:cs="Times New Roman"/>
            <w:sz w:val="20"/>
            <w:szCs w:val="20"/>
          </w:rPr>
          <w:t>ot</w:t>
        </w:r>
        <w:r w:rsidRPr="00FD37F6">
          <w:rPr>
            <w:rStyle w:val="Hyperlink"/>
            <w:rFonts w:cs="Times New Roman"/>
            <w:sz w:val="20"/>
            <w:szCs w:val="20"/>
            <w:lang w:val="bg-BG"/>
          </w:rPr>
          <w:t>-</w:t>
        </w:r>
        <w:r w:rsidRPr="00FD37F6">
          <w:rPr>
            <w:rStyle w:val="Hyperlink"/>
            <w:rFonts w:cs="Times New Roman"/>
            <w:sz w:val="20"/>
            <w:szCs w:val="20"/>
          </w:rPr>
          <w:t>zamursyavane</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5">
    <w:p w14:paraId="1C0017EF" w14:textId="4518673B"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 w:history="1">
        <w:r w:rsidRPr="00FD37F6">
          <w:rPr>
            <w:rFonts w:eastAsiaTheme="minorHAnsi" w:cs="Times New Roman"/>
            <w:color w:val="0000FF"/>
            <w:sz w:val="20"/>
            <w:szCs w:val="20"/>
            <w:u w:val="single"/>
            <w:lang w:eastAsia="en-US" w:bidi="ar-SA"/>
          </w:rPr>
          <w:t>https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www</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eea</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europa</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themes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water</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europes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seas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and</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coasts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europes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seas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and</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coasts</w:t>
        </w:r>
      </w:hyperlink>
      <w:r w:rsidRPr="00FD37F6">
        <w:rPr>
          <w:rFonts w:eastAsiaTheme="minorHAnsi" w:cs="Times New Roman"/>
          <w:sz w:val="20"/>
          <w:szCs w:val="20"/>
          <w:lang w:val="bg-BG" w:eastAsia="en-US" w:bidi="ar-SA"/>
        </w:rPr>
        <w:t xml:space="preserve"> </w:t>
      </w:r>
    </w:p>
  </w:footnote>
  <w:footnote w:id="6">
    <w:p w14:paraId="4E364D75" w14:textId="0811E7C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Marine spatial planning. A Step-by-Step Approach toward Ecosystem-based Management, </w:t>
      </w:r>
      <w:r w:rsidRPr="00FD37F6">
        <w:rPr>
          <w:rFonts w:cs="Times New Roman"/>
          <w:sz w:val="20"/>
          <w:szCs w:val="20"/>
          <w:lang w:val="bg-BG"/>
        </w:rPr>
        <w:t xml:space="preserve">2009. </w:t>
      </w:r>
      <w:r w:rsidRPr="00FD37F6">
        <w:rPr>
          <w:rFonts w:cs="Times New Roman"/>
          <w:sz w:val="20"/>
          <w:szCs w:val="20"/>
          <w:lang w:val="en-US"/>
        </w:rPr>
        <w:t>IOC</w:t>
      </w:r>
      <w:r w:rsidRPr="00FD37F6">
        <w:rPr>
          <w:rFonts w:cs="Times New Roman"/>
          <w:sz w:val="20"/>
          <w:szCs w:val="20"/>
          <w:lang w:val="bg-BG"/>
        </w:rPr>
        <w:t xml:space="preserve">, </w:t>
      </w:r>
      <w:r w:rsidRPr="00FD37F6">
        <w:rPr>
          <w:rFonts w:cs="Times New Roman"/>
          <w:sz w:val="20"/>
          <w:szCs w:val="20"/>
          <w:lang w:val="en-US"/>
        </w:rPr>
        <w:t>MAB</w:t>
      </w:r>
      <w:r w:rsidRPr="00FD37F6">
        <w:rPr>
          <w:rFonts w:cs="Times New Roman"/>
          <w:sz w:val="20"/>
          <w:szCs w:val="20"/>
          <w:lang w:val="bg-BG"/>
        </w:rPr>
        <w:t xml:space="preserve"> </w:t>
      </w:r>
      <w:r w:rsidRPr="00FD37F6">
        <w:rPr>
          <w:rFonts w:cs="Times New Roman"/>
          <w:sz w:val="20"/>
          <w:szCs w:val="20"/>
          <w:lang w:val="en-US"/>
        </w:rPr>
        <w:t>UNESCO</w:t>
      </w:r>
      <w:r w:rsidRPr="00FD37F6">
        <w:rPr>
          <w:rFonts w:cs="Times New Roman"/>
          <w:sz w:val="20"/>
          <w:szCs w:val="20"/>
          <w:lang w:val="bg-BG"/>
        </w:rPr>
        <w:t xml:space="preserve"> </w:t>
      </w:r>
      <w:hyperlink r:id="rId6"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unesdoc</w:t>
        </w:r>
        <w:r w:rsidRPr="00FD37F6">
          <w:rPr>
            <w:rStyle w:val="Hyperlink"/>
            <w:rFonts w:cs="Times New Roman"/>
            <w:sz w:val="20"/>
            <w:szCs w:val="20"/>
            <w:lang w:val="bg-BG"/>
          </w:rPr>
          <w:t>.</w:t>
        </w:r>
        <w:r w:rsidRPr="00FD37F6">
          <w:rPr>
            <w:rStyle w:val="Hyperlink"/>
            <w:rFonts w:cs="Times New Roman"/>
            <w:sz w:val="20"/>
            <w:szCs w:val="20"/>
          </w:rPr>
          <w:t>unesco</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images</w:t>
        </w:r>
        <w:r w:rsidRPr="00FD37F6">
          <w:rPr>
            <w:rStyle w:val="Hyperlink"/>
            <w:rFonts w:cs="Times New Roman"/>
            <w:sz w:val="20"/>
            <w:szCs w:val="20"/>
            <w:lang w:val="bg-BG"/>
          </w:rPr>
          <w:t>/0018/001865/186559</w:t>
        </w:r>
        <w:r w:rsidRPr="00FD37F6">
          <w:rPr>
            <w:rStyle w:val="Hyperlink"/>
            <w:rFonts w:cs="Times New Roman"/>
            <w:sz w:val="20"/>
            <w:szCs w:val="20"/>
          </w:rPr>
          <w:t>e</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7">
    <w:p w14:paraId="14466B75" w14:textId="34296F53" w:rsidR="00C717D0" w:rsidRPr="00FD37F6" w:rsidRDefault="00C717D0" w:rsidP="00A43DF1">
      <w:pPr>
        <w:pStyle w:val="FootnoteText"/>
        <w:spacing w:after="20"/>
        <w:ind w:right="-754"/>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Директива 2014/89/ЕС на Европейския парламент и на Съвета за установяване на рамка за морско пространствено планиране </w:t>
      </w:r>
      <w:hyperlink r:id="rId7"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eur</w:t>
        </w:r>
        <w:r w:rsidRPr="00FD37F6">
          <w:rPr>
            <w:rStyle w:val="Hyperlink"/>
            <w:rFonts w:cs="Times New Roman"/>
            <w:sz w:val="20"/>
            <w:szCs w:val="20"/>
            <w:lang w:val="bg-BG"/>
          </w:rPr>
          <w:t>-</w:t>
        </w:r>
        <w:r w:rsidRPr="00FD37F6">
          <w:rPr>
            <w:rStyle w:val="Hyperlink"/>
            <w:rFonts w:cs="Times New Roman"/>
            <w:sz w:val="20"/>
            <w:szCs w:val="20"/>
          </w:rPr>
          <w:t>lex</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legal</w:t>
        </w:r>
        <w:r w:rsidRPr="00FD37F6">
          <w:rPr>
            <w:rStyle w:val="Hyperlink"/>
            <w:rFonts w:cs="Times New Roman"/>
            <w:sz w:val="20"/>
            <w:szCs w:val="20"/>
            <w:lang w:val="bg-BG"/>
          </w:rPr>
          <w:t>-</w:t>
        </w:r>
        <w:r w:rsidRPr="00FD37F6">
          <w:rPr>
            <w:rStyle w:val="Hyperlink"/>
            <w:rFonts w:cs="Times New Roman"/>
            <w:sz w:val="20"/>
            <w:szCs w:val="20"/>
          </w:rPr>
          <w:t>content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TXT</w:t>
        </w:r>
        <w:r w:rsidRPr="00FD37F6">
          <w:rPr>
            <w:rStyle w:val="Hyperlink"/>
            <w:rFonts w:cs="Times New Roman"/>
            <w:sz w:val="20"/>
            <w:szCs w:val="20"/>
            <w:lang w:val="bg-BG"/>
          </w:rPr>
          <w:t>/</w:t>
        </w:r>
        <w:r w:rsidRPr="00FD37F6">
          <w:rPr>
            <w:rStyle w:val="Hyperlink"/>
            <w:rFonts w:cs="Times New Roman"/>
            <w:sz w:val="20"/>
            <w:szCs w:val="20"/>
          </w:rPr>
          <w:t>PDF</w:t>
        </w:r>
        <w:r w:rsidRPr="00FD37F6">
          <w:rPr>
            <w:rStyle w:val="Hyperlink"/>
            <w:rFonts w:cs="Times New Roman"/>
            <w:sz w:val="20"/>
            <w:szCs w:val="20"/>
            <w:lang w:val="bg-BG"/>
          </w:rPr>
          <w:t>/?</w:t>
        </w:r>
        <w:r w:rsidRPr="00FD37F6">
          <w:rPr>
            <w:rStyle w:val="Hyperlink"/>
            <w:rFonts w:cs="Times New Roman"/>
            <w:sz w:val="20"/>
            <w:szCs w:val="20"/>
          </w:rPr>
          <w:t>uri</w:t>
        </w:r>
        <w:r w:rsidRPr="00FD37F6">
          <w:rPr>
            <w:rStyle w:val="Hyperlink"/>
            <w:rFonts w:cs="Times New Roman"/>
            <w:sz w:val="20"/>
            <w:szCs w:val="20"/>
            <w:lang w:val="bg-BG"/>
          </w:rPr>
          <w:t>=</w:t>
        </w:r>
        <w:r w:rsidRPr="00FD37F6">
          <w:rPr>
            <w:rStyle w:val="Hyperlink"/>
            <w:rFonts w:cs="Times New Roman"/>
            <w:sz w:val="20"/>
            <w:szCs w:val="20"/>
          </w:rPr>
          <w:t>CELEX</w:t>
        </w:r>
        <w:r w:rsidRPr="00FD37F6">
          <w:rPr>
            <w:rStyle w:val="Hyperlink"/>
            <w:rFonts w:cs="Times New Roman"/>
            <w:sz w:val="20"/>
            <w:szCs w:val="20"/>
            <w:lang w:val="bg-BG"/>
          </w:rPr>
          <w:t>:32014</w:t>
        </w:r>
        <w:r w:rsidRPr="00FD37F6">
          <w:rPr>
            <w:rStyle w:val="Hyperlink"/>
            <w:rFonts w:cs="Times New Roman"/>
            <w:sz w:val="20"/>
            <w:szCs w:val="20"/>
          </w:rPr>
          <w:t>L</w:t>
        </w:r>
        <w:r w:rsidRPr="00FD37F6">
          <w:rPr>
            <w:rStyle w:val="Hyperlink"/>
            <w:rFonts w:cs="Times New Roman"/>
            <w:sz w:val="20"/>
            <w:szCs w:val="20"/>
            <w:lang w:val="bg-BG"/>
          </w:rPr>
          <w:t>0089&amp;</w:t>
        </w:r>
        <w:r w:rsidRPr="00FD37F6">
          <w:rPr>
            <w:rStyle w:val="Hyperlink"/>
            <w:rFonts w:cs="Times New Roman"/>
            <w:sz w:val="20"/>
            <w:szCs w:val="20"/>
          </w:rPr>
          <w:t>from</w:t>
        </w:r>
        <w:r w:rsidRPr="00FD37F6">
          <w:rPr>
            <w:rStyle w:val="Hyperlink"/>
            <w:rFonts w:cs="Times New Roman"/>
            <w:sz w:val="20"/>
            <w:szCs w:val="20"/>
            <w:lang w:val="bg-BG"/>
          </w:rPr>
          <w:t>=</w:t>
        </w:r>
        <w:r w:rsidRPr="00FD37F6">
          <w:rPr>
            <w:rStyle w:val="Hyperlink"/>
            <w:rFonts w:cs="Times New Roman"/>
            <w:sz w:val="20"/>
            <w:szCs w:val="20"/>
          </w:rPr>
          <w:t>BG</w:t>
        </w:r>
      </w:hyperlink>
      <w:r w:rsidRPr="00FD37F6">
        <w:rPr>
          <w:rFonts w:cs="Times New Roman"/>
          <w:sz w:val="20"/>
          <w:szCs w:val="20"/>
          <w:lang w:val="bg-BG"/>
        </w:rPr>
        <w:t xml:space="preserve"> </w:t>
      </w:r>
    </w:p>
  </w:footnote>
  <w:footnote w:id="8">
    <w:p w14:paraId="612D3AB9" w14:textId="4337414D"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cbd</w:t>
        </w:r>
        <w:r w:rsidRPr="00FD37F6">
          <w:rPr>
            <w:rStyle w:val="Hyperlink"/>
            <w:rFonts w:cs="Times New Roman"/>
            <w:sz w:val="20"/>
            <w:szCs w:val="20"/>
            <w:lang w:val="bg-BG"/>
          </w:rPr>
          <w:t>.</w:t>
        </w:r>
        <w:r w:rsidRPr="00FD37F6">
          <w:rPr>
            <w:rStyle w:val="Hyperlink"/>
            <w:rFonts w:cs="Times New Roman"/>
            <w:sz w:val="20"/>
            <w:szCs w:val="20"/>
          </w:rPr>
          <w:t>int</w:t>
        </w:r>
        <w:r w:rsidRPr="00FD37F6">
          <w:rPr>
            <w:rStyle w:val="Hyperlink"/>
            <w:rFonts w:cs="Times New Roman"/>
            <w:sz w:val="20"/>
            <w:szCs w:val="20"/>
            <w:lang w:val="bg-BG"/>
          </w:rPr>
          <w:t>/</w:t>
        </w:r>
        <w:r w:rsidRPr="00FD37F6">
          <w:rPr>
            <w:rStyle w:val="Hyperlink"/>
            <w:rFonts w:cs="Times New Roman"/>
            <w:sz w:val="20"/>
            <w:szCs w:val="20"/>
          </w:rPr>
          <w:t>ecosystem</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9">
    <w:p w14:paraId="66464049" w14:textId="77777777" w:rsidR="00C717D0" w:rsidRPr="00FD37F6" w:rsidRDefault="00C717D0" w:rsidP="00A43DF1">
      <w:pPr>
        <w:pStyle w:val="FootnoteText"/>
        <w:spacing w:after="20"/>
        <w:ind w:right="-187"/>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9"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eur</w:t>
        </w:r>
        <w:r w:rsidRPr="00FD37F6">
          <w:rPr>
            <w:rStyle w:val="Hyperlink"/>
            <w:rFonts w:cs="Times New Roman"/>
            <w:sz w:val="20"/>
            <w:szCs w:val="20"/>
            <w:lang w:val="bg-BG"/>
          </w:rPr>
          <w:t>-</w:t>
        </w:r>
        <w:r w:rsidRPr="00FD37F6">
          <w:rPr>
            <w:rStyle w:val="Hyperlink"/>
            <w:rFonts w:cs="Times New Roman"/>
            <w:sz w:val="20"/>
            <w:szCs w:val="20"/>
          </w:rPr>
          <w:t>lex</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legal</w:t>
        </w:r>
        <w:r w:rsidRPr="00FD37F6">
          <w:rPr>
            <w:rStyle w:val="Hyperlink"/>
            <w:rFonts w:cs="Times New Roman"/>
            <w:sz w:val="20"/>
            <w:szCs w:val="20"/>
            <w:lang w:val="bg-BG"/>
          </w:rPr>
          <w:t>-</w:t>
        </w:r>
        <w:r w:rsidRPr="00FD37F6">
          <w:rPr>
            <w:rStyle w:val="Hyperlink"/>
            <w:rFonts w:cs="Times New Roman"/>
            <w:sz w:val="20"/>
            <w:szCs w:val="20"/>
          </w:rPr>
          <w:t>content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TXT</w:t>
        </w:r>
        <w:r w:rsidRPr="00FD37F6">
          <w:rPr>
            <w:rStyle w:val="Hyperlink"/>
            <w:rFonts w:cs="Times New Roman"/>
            <w:sz w:val="20"/>
            <w:szCs w:val="20"/>
            <w:lang w:val="bg-BG"/>
          </w:rPr>
          <w:t>/?</w:t>
        </w:r>
        <w:r w:rsidRPr="00FD37F6">
          <w:rPr>
            <w:rStyle w:val="Hyperlink"/>
            <w:rFonts w:cs="Times New Roman"/>
            <w:sz w:val="20"/>
            <w:szCs w:val="20"/>
          </w:rPr>
          <w:t>uri</w:t>
        </w:r>
        <w:r w:rsidRPr="00FD37F6">
          <w:rPr>
            <w:rStyle w:val="Hyperlink"/>
            <w:rFonts w:cs="Times New Roman"/>
            <w:sz w:val="20"/>
            <w:szCs w:val="20"/>
            <w:lang w:val="bg-BG"/>
          </w:rPr>
          <w:t>=</w:t>
        </w:r>
        <w:r w:rsidRPr="00FD37F6">
          <w:rPr>
            <w:rStyle w:val="Hyperlink"/>
            <w:rFonts w:cs="Times New Roman"/>
            <w:sz w:val="20"/>
            <w:szCs w:val="20"/>
          </w:rPr>
          <w:t>CELEX</w:t>
        </w:r>
        <w:r w:rsidRPr="00FD37F6">
          <w:rPr>
            <w:rStyle w:val="Hyperlink"/>
            <w:rFonts w:cs="Times New Roman"/>
            <w:sz w:val="20"/>
            <w:szCs w:val="20"/>
            <w:lang w:val="bg-BG"/>
          </w:rPr>
          <w:t>%3</w:t>
        </w:r>
        <w:r w:rsidRPr="00FD37F6">
          <w:rPr>
            <w:rStyle w:val="Hyperlink"/>
            <w:rFonts w:cs="Times New Roman"/>
            <w:sz w:val="20"/>
            <w:szCs w:val="20"/>
          </w:rPr>
          <w:t>A</w:t>
        </w:r>
        <w:r w:rsidRPr="00FD37F6">
          <w:rPr>
            <w:rStyle w:val="Hyperlink"/>
            <w:rFonts w:cs="Times New Roman"/>
            <w:sz w:val="20"/>
            <w:szCs w:val="20"/>
            <w:lang w:val="bg-BG"/>
          </w:rPr>
          <w:t>32008</w:t>
        </w:r>
        <w:r w:rsidRPr="00FD37F6">
          <w:rPr>
            <w:rStyle w:val="Hyperlink"/>
            <w:rFonts w:cs="Times New Roman"/>
            <w:sz w:val="20"/>
            <w:szCs w:val="20"/>
          </w:rPr>
          <w:t>L</w:t>
        </w:r>
        <w:r w:rsidRPr="00FD37F6">
          <w:rPr>
            <w:rStyle w:val="Hyperlink"/>
            <w:rFonts w:cs="Times New Roman"/>
            <w:sz w:val="20"/>
            <w:szCs w:val="20"/>
            <w:lang w:val="bg-BG"/>
          </w:rPr>
          <w:t>0056</w:t>
        </w:r>
      </w:hyperlink>
      <w:r w:rsidRPr="00FD37F6">
        <w:rPr>
          <w:rFonts w:cs="Times New Roman"/>
          <w:sz w:val="20"/>
          <w:szCs w:val="20"/>
          <w:lang w:val="bg-BG"/>
        </w:rPr>
        <w:t xml:space="preserve"> </w:t>
      </w:r>
    </w:p>
  </w:footnote>
  <w:footnote w:id="10">
    <w:p w14:paraId="6CCB2882" w14:textId="54B2DED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0"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eur</w:t>
        </w:r>
        <w:r w:rsidRPr="00FD37F6">
          <w:rPr>
            <w:rStyle w:val="Hyperlink"/>
            <w:rFonts w:cs="Times New Roman"/>
            <w:sz w:val="20"/>
            <w:szCs w:val="20"/>
            <w:lang w:val="bg-BG"/>
          </w:rPr>
          <w:t>-</w:t>
        </w:r>
        <w:r w:rsidRPr="00FD37F6">
          <w:rPr>
            <w:rStyle w:val="Hyperlink"/>
            <w:rFonts w:cs="Times New Roman"/>
            <w:sz w:val="20"/>
            <w:szCs w:val="20"/>
          </w:rPr>
          <w:t>lex</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LexUriServ</w:t>
        </w:r>
        <w:r w:rsidRPr="00FD37F6">
          <w:rPr>
            <w:rStyle w:val="Hyperlink"/>
            <w:rFonts w:cs="Times New Roman"/>
            <w:sz w:val="20"/>
            <w:szCs w:val="20"/>
            <w:lang w:val="bg-BG"/>
          </w:rPr>
          <w:t>/</w:t>
        </w:r>
        <w:r w:rsidRPr="00FD37F6">
          <w:rPr>
            <w:rStyle w:val="Hyperlink"/>
            <w:rFonts w:cs="Times New Roman"/>
            <w:sz w:val="20"/>
            <w:szCs w:val="20"/>
          </w:rPr>
          <w:t>LexUriServ</w:t>
        </w:r>
        <w:r w:rsidRPr="00FD37F6">
          <w:rPr>
            <w:rStyle w:val="Hyperlink"/>
            <w:rFonts w:cs="Times New Roman"/>
            <w:sz w:val="20"/>
            <w:szCs w:val="20"/>
            <w:lang w:val="bg-BG"/>
          </w:rPr>
          <w:t>.</w:t>
        </w:r>
        <w:r w:rsidRPr="00FD37F6">
          <w:rPr>
            <w:rStyle w:val="Hyperlink"/>
            <w:rFonts w:cs="Times New Roman"/>
            <w:sz w:val="20"/>
            <w:szCs w:val="20"/>
          </w:rPr>
          <w:t>do</w:t>
        </w:r>
        <w:r w:rsidRPr="00FD37F6">
          <w:rPr>
            <w:rStyle w:val="Hyperlink"/>
            <w:rFonts w:cs="Times New Roman"/>
            <w:sz w:val="20"/>
            <w:szCs w:val="20"/>
            <w:lang w:val="bg-BG"/>
          </w:rPr>
          <w:t>?</w:t>
        </w:r>
        <w:r w:rsidRPr="00FD37F6">
          <w:rPr>
            <w:rStyle w:val="Hyperlink"/>
            <w:rFonts w:cs="Times New Roman"/>
            <w:sz w:val="20"/>
            <w:szCs w:val="20"/>
          </w:rPr>
          <w:t>uri</w:t>
        </w:r>
        <w:r w:rsidRPr="00FD37F6">
          <w:rPr>
            <w:rStyle w:val="Hyperlink"/>
            <w:rFonts w:cs="Times New Roman"/>
            <w:sz w:val="20"/>
            <w:szCs w:val="20"/>
            <w:lang w:val="bg-BG"/>
          </w:rPr>
          <w:t>=</w:t>
        </w:r>
        <w:r w:rsidRPr="00FD37F6">
          <w:rPr>
            <w:rStyle w:val="Hyperlink"/>
            <w:rFonts w:cs="Times New Roman"/>
            <w:sz w:val="20"/>
            <w:szCs w:val="20"/>
          </w:rPr>
          <w:t>COM</w:t>
        </w:r>
        <w:r w:rsidRPr="00FD37F6">
          <w:rPr>
            <w:rStyle w:val="Hyperlink"/>
            <w:rFonts w:cs="Times New Roman"/>
            <w:sz w:val="20"/>
            <w:szCs w:val="20"/>
            <w:lang w:val="bg-BG"/>
          </w:rPr>
          <w:t>:2008:0791:</w:t>
        </w:r>
        <w:r w:rsidRPr="00FD37F6">
          <w:rPr>
            <w:rStyle w:val="Hyperlink"/>
            <w:rFonts w:cs="Times New Roman"/>
            <w:sz w:val="20"/>
            <w:szCs w:val="20"/>
          </w:rPr>
          <w:t>FIN</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1">
    <w:p w14:paraId="365F111B" w14:textId="686E10AA"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1"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inspire</w:t>
        </w:r>
        <w:r w:rsidRPr="00FD37F6">
          <w:rPr>
            <w:rStyle w:val="Hyperlink"/>
            <w:rFonts w:cs="Times New Roman"/>
            <w:sz w:val="20"/>
            <w:szCs w:val="20"/>
            <w:lang w:val="bg-BG"/>
          </w:rPr>
          <w:t>.</w:t>
        </w:r>
        <w:r w:rsidRPr="00FD37F6">
          <w:rPr>
            <w:rStyle w:val="Hyperlink"/>
            <w:rFonts w:cs="Times New Roman"/>
            <w:sz w:val="20"/>
            <w:szCs w:val="20"/>
          </w:rPr>
          <w:t>ec</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id</w:t>
        </w:r>
        <w:r w:rsidRPr="00FD37F6">
          <w:rPr>
            <w:rStyle w:val="Hyperlink"/>
            <w:rFonts w:cs="Times New Roman"/>
            <w:sz w:val="20"/>
            <w:szCs w:val="20"/>
            <w:lang w:val="bg-BG"/>
          </w:rPr>
          <w:t>/</w:t>
        </w:r>
        <w:r w:rsidRPr="00FD37F6">
          <w:rPr>
            <w:rStyle w:val="Hyperlink"/>
            <w:rFonts w:cs="Times New Roman"/>
            <w:sz w:val="20"/>
            <w:szCs w:val="20"/>
          </w:rPr>
          <w:t>document</w:t>
        </w:r>
        <w:r w:rsidRPr="00FD37F6">
          <w:rPr>
            <w:rStyle w:val="Hyperlink"/>
            <w:rFonts w:cs="Times New Roman"/>
            <w:sz w:val="20"/>
            <w:szCs w:val="20"/>
            <w:lang w:val="bg-BG"/>
          </w:rPr>
          <w:t>/</w:t>
        </w:r>
        <w:r w:rsidRPr="00FD37F6">
          <w:rPr>
            <w:rStyle w:val="Hyperlink"/>
            <w:rFonts w:cs="Times New Roman"/>
            <w:sz w:val="20"/>
            <w:szCs w:val="20"/>
          </w:rPr>
          <w:t>tg</w:t>
        </w:r>
        <w:r w:rsidRPr="00FD37F6">
          <w:rPr>
            <w:rStyle w:val="Hyperlink"/>
            <w:rFonts w:cs="Times New Roman"/>
            <w:sz w:val="20"/>
            <w:szCs w:val="20"/>
            <w:lang w:val="bg-BG"/>
          </w:rPr>
          <w:t>/</w:t>
        </w:r>
        <w:r w:rsidRPr="00FD37F6">
          <w:rPr>
            <w:rStyle w:val="Hyperlink"/>
            <w:rFonts w:cs="Times New Roman"/>
            <w:sz w:val="20"/>
            <w:szCs w:val="20"/>
          </w:rPr>
          <w:t>sr</w:t>
        </w:r>
      </w:hyperlink>
      <w:r w:rsidRPr="00FD37F6">
        <w:rPr>
          <w:rFonts w:cs="Times New Roman"/>
          <w:sz w:val="20"/>
          <w:szCs w:val="20"/>
          <w:lang w:val="bg-BG"/>
        </w:rPr>
        <w:t xml:space="preserve"> </w:t>
      </w:r>
    </w:p>
  </w:footnote>
  <w:footnote w:id="12">
    <w:p w14:paraId="2FDE56AC"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2" w:history="1">
        <w:r w:rsidRPr="00FD37F6">
          <w:rPr>
            <w:rStyle w:val="Hyperlink"/>
            <w:rFonts w:cs="Times New Roman"/>
            <w:sz w:val="20"/>
            <w:szCs w:val="20"/>
            <w:lang w:val="bg-BG"/>
          </w:rPr>
          <w:t>https://epsg.io/7800</w:t>
        </w:r>
      </w:hyperlink>
    </w:p>
  </w:footnote>
  <w:footnote w:id="13">
    <w:p w14:paraId="1F8A1945" w14:textId="201F49E6"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3"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emodnet</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portals</w:t>
        </w:r>
      </w:hyperlink>
      <w:r w:rsidRPr="00FD37F6">
        <w:rPr>
          <w:rFonts w:cs="Times New Roman"/>
          <w:sz w:val="20"/>
          <w:szCs w:val="20"/>
          <w:lang w:val="bg-BG"/>
        </w:rPr>
        <w:t xml:space="preserve"> </w:t>
      </w:r>
    </w:p>
  </w:footnote>
  <w:footnote w:id="14">
    <w:p w14:paraId="60177940" w14:textId="11EF6D1C"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4"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eea</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themes</w:t>
        </w:r>
        <w:r w:rsidRPr="00FD37F6">
          <w:rPr>
            <w:rStyle w:val="Hyperlink"/>
            <w:rFonts w:cs="Times New Roman"/>
            <w:sz w:val="20"/>
            <w:szCs w:val="20"/>
            <w:lang w:val="bg-BG"/>
          </w:rPr>
          <w:t>/</w:t>
        </w:r>
        <w:r w:rsidRPr="00FD37F6">
          <w:rPr>
            <w:rStyle w:val="Hyperlink"/>
            <w:rFonts w:cs="Times New Roman"/>
            <w:sz w:val="20"/>
            <w:szCs w:val="20"/>
          </w:rPr>
          <w:t>water</w:t>
        </w:r>
        <w:r w:rsidRPr="00FD37F6">
          <w:rPr>
            <w:rStyle w:val="Hyperlink"/>
            <w:rFonts w:cs="Times New Roman"/>
            <w:sz w:val="20"/>
            <w:szCs w:val="20"/>
            <w:lang w:val="bg-BG"/>
          </w:rPr>
          <w:t>/</w:t>
        </w:r>
        <w:r w:rsidRPr="00FD37F6">
          <w:rPr>
            <w:rStyle w:val="Hyperlink"/>
            <w:rFonts w:cs="Times New Roman"/>
            <w:sz w:val="20"/>
            <w:szCs w:val="20"/>
          </w:rPr>
          <w:t>europes</w:t>
        </w:r>
        <w:r w:rsidRPr="00FD37F6">
          <w:rPr>
            <w:rStyle w:val="Hyperlink"/>
            <w:rFonts w:cs="Times New Roman"/>
            <w:sz w:val="20"/>
            <w:szCs w:val="20"/>
            <w:lang w:val="bg-BG"/>
          </w:rPr>
          <w:t>-</w:t>
        </w:r>
        <w:r w:rsidRPr="00FD37F6">
          <w:rPr>
            <w:rStyle w:val="Hyperlink"/>
            <w:rFonts w:cs="Times New Roman"/>
            <w:sz w:val="20"/>
            <w:szCs w:val="20"/>
          </w:rPr>
          <w:t>seas</w:t>
        </w:r>
        <w:r w:rsidRPr="00FD37F6">
          <w:rPr>
            <w:rStyle w:val="Hyperlink"/>
            <w:rFonts w:cs="Times New Roman"/>
            <w:sz w:val="20"/>
            <w:szCs w:val="20"/>
            <w:lang w:val="bg-BG"/>
          </w:rPr>
          <w:t>-</w:t>
        </w:r>
        <w:r w:rsidRPr="00FD37F6">
          <w:rPr>
            <w:rStyle w:val="Hyperlink"/>
            <w:rFonts w:cs="Times New Roman"/>
            <w:sz w:val="20"/>
            <w:szCs w:val="20"/>
          </w:rPr>
          <w:t>and</w:t>
        </w:r>
        <w:r w:rsidRPr="00FD37F6">
          <w:rPr>
            <w:rStyle w:val="Hyperlink"/>
            <w:rFonts w:cs="Times New Roman"/>
            <w:sz w:val="20"/>
            <w:szCs w:val="20"/>
            <w:lang w:val="bg-BG"/>
          </w:rPr>
          <w:t>-</w:t>
        </w:r>
        <w:r w:rsidRPr="00FD37F6">
          <w:rPr>
            <w:rStyle w:val="Hyperlink"/>
            <w:rFonts w:cs="Times New Roman"/>
            <w:sz w:val="20"/>
            <w:szCs w:val="20"/>
          </w:rPr>
          <w:t>coasts</w:t>
        </w:r>
      </w:hyperlink>
      <w:r w:rsidRPr="00FD37F6">
        <w:rPr>
          <w:rFonts w:cs="Times New Roman"/>
          <w:sz w:val="20"/>
          <w:szCs w:val="20"/>
          <w:lang w:val="bg-BG"/>
        </w:rPr>
        <w:t xml:space="preserve"> </w:t>
      </w:r>
    </w:p>
  </w:footnote>
  <w:footnote w:id="15">
    <w:p w14:paraId="7E0159D6" w14:textId="4BA3ABFF"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5"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water</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marine</w:t>
        </w:r>
      </w:hyperlink>
      <w:r w:rsidRPr="00FD37F6">
        <w:rPr>
          <w:rFonts w:cs="Times New Roman"/>
          <w:sz w:val="20"/>
          <w:szCs w:val="20"/>
          <w:lang w:val="bg-BG"/>
        </w:rPr>
        <w:t xml:space="preserve"> </w:t>
      </w:r>
    </w:p>
  </w:footnote>
  <w:footnote w:id="16">
    <w:p w14:paraId="08E412E9" w14:textId="6E910E7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12/11.02.2000 г., изм. и доп. ДВ бр. 28/29.03.2018 г.</w:t>
      </w:r>
    </w:p>
  </w:footnote>
  <w:footnote w:id="17">
    <w:p w14:paraId="5E3C0723" w14:textId="1D85F17C"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6"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blacksea</w:t>
        </w:r>
        <w:r w:rsidRPr="00FD37F6">
          <w:rPr>
            <w:rStyle w:val="Hyperlink"/>
            <w:rFonts w:cs="Times New Roman"/>
            <w:sz w:val="20"/>
            <w:szCs w:val="20"/>
            <w:lang w:val="bg-BG"/>
          </w:rPr>
          <w:t>-</w:t>
        </w:r>
        <w:r w:rsidRPr="00FD37F6">
          <w:rPr>
            <w:rStyle w:val="Hyperlink"/>
            <w:rFonts w:cs="Times New Roman"/>
            <w:sz w:val="20"/>
            <w:szCs w:val="20"/>
          </w:rPr>
          <w:t>commission</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18">
    <w:p w14:paraId="48359DC9" w14:textId="6EF992C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7"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fao</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fishery</w:t>
        </w:r>
        <w:r w:rsidRPr="00FD37F6">
          <w:rPr>
            <w:rStyle w:val="Hyperlink"/>
            <w:rFonts w:cs="Times New Roman"/>
            <w:sz w:val="20"/>
            <w:szCs w:val="20"/>
            <w:lang w:val="bg-BG"/>
          </w:rPr>
          <w:t>/</w:t>
        </w:r>
        <w:r w:rsidRPr="00FD37F6">
          <w:rPr>
            <w:rStyle w:val="Hyperlink"/>
            <w:rFonts w:cs="Times New Roman"/>
            <w:sz w:val="20"/>
            <w:szCs w:val="20"/>
          </w:rPr>
          <w:t>en</w:t>
        </w:r>
      </w:hyperlink>
      <w:r w:rsidRPr="00FD37F6">
        <w:rPr>
          <w:rFonts w:cs="Times New Roman"/>
          <w:sz w:val="20"/>
          <w:szCs w:val="20"/>
          <w:lang w:val="bg-BG"/>
        </w:rPr>
        <w:t xml:space="preserve"> </w:t>
      </w:r>
    </w:p>
  </w:footnote>
  <w:footnote w:id="19">
    <w:p w14:paraId="3CE6929D" w14:textId="48A14D1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23/1999 г., доп. ДВ бр. 98/27.11.2018 г.</w:t>
      </w:r>
    </w:p>
  </w:footnote>
  <w:footnote w:id="20">
    <w:p w14:paraId="4AD28FBE" w14:textId="06919A8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96/2017 г., изм. ДВ бр.</w:t>
      </w:r>
      <w:r w:rsidRPr="00390518">
        <w:rPr>
          <w:rFonts w:cs="Times New Roman"/>
          <w:sz w:val="20"/>
          <w:szCs w:val="20"/>
          <w:lang w:val="bg-BG"/>
        </w:rPr>
        <w:t xml:space="preserve"> </w:t>
      </w:r>
      <w:r w:rsidRPr="00FD37F6">
        <w:rPr>
          <w:rFonts w:cs="Times New Roman"/>
          <w:sz w:val="20"/>
          <w:szCs w:val="20"/>
          <w:lang w:val="bg-BG"/>
        </w:rPr>
        <w:t>79/08.10.2019 г.</w:t>
      </w:r>
    </w:p>
  </w:footnote>
  <w:footnote w:id="21">
    <w:p w14:paraId="0E847644" w14:textId="1C23B426"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emodnet</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portals</w:t>
        </w:r>
      </w:hyperlink>
      <w:r w:rsidRPr="00FD37F6">
        <w:rPr>
          <w:rFonts w:cs="Times New Roman"/>
          <w:sz w:val="20"/>
          <w:szCs w:val="20"/>
          <w:lang w:val="bg-BG"/>
        </w:rPr>
        <w:t xml:space="preserve"> </w:t>
      </w:r>
    </w:p>
  </w:footnote>
  <w:footnote w:id="22">
    <w:p w14:paraId="4ED4D345" w14:textId="53B33EE1"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Дневен ред 21. Глава 17, </w:t>
      </w:r>
      <w:hyperlink r:id="rId19"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un</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depts</w:t>
        </w:r>
        <w:r w:rsidRPr="00FD37F6">
          <w:rPr>
            <w:rStyle w:val="Hyperlink"/>
            <w:rFonts w:cs="Times New Roman"/>
            <w:sz w:val="20"/>
            <w:szCs w:val="20"/>
            <w:lang w:val="bg-BG"/>
          </w:rPr>
          <w:t>/</w:t>
        </w:r>
        <w:r w:rsidRPr="00FD37F6">
          <w:rPr>
            <w:rStyle w:val="Hyperlink"/>
            <w:rFonts w:cs="Times New Roman"/>
            <w:sz w:val="20"/>
            <w:szCs w:val="20"/>
          </w:rPr>
          <w:t>los</w:t>
        </w:r>
        <w:r w:rsidRPr="00FD37F6">
          <w:rPr>
            <w:rStyle w:val="Hyperlink"/>
            <w:rFonts w:cs="Times New Roman"/>
            <w:sz w:val="20"/>
            <w:szCs w:val="20"/>
            <w:lang w:val="bg-BG"/>
          </w:rPr>
          <w:t>/</w:t>
        </w:r>
        <w:r w:rsidRPr="00FD37F6">
          <w:rPr>
            <w:rStyle w:val="Hyperlink"/>
            <w:rFonts w:cs="Times New Roman"/>
            <w:sz w:val="20"/>
            <w:szCs w:val="20"/>
          </w:rPr>
          <w:t>consultative</w:t>
        </w:r>
        <w:r w:rsidRPr="00FD37F6">
          <w:rPr>
            <w:rStyle w:val="Hyperlink"/>
            <w:rFonts w:cs="Times New Roman"/>
            <w:sz w:val="20"/>
            <w:szCs w:val="20"/>
            <w:lang w:val="bg-BG"/>
          </w:rPr>
          <w:t>_</w:t>
        </w:r>
        <w:r w:rsidRPr="00FD37F6">
          <w:rPr>
            <w:rStyle w:val="Hyperlink"/>
            <w:rFonts w:cs="Times New Roman"/>
            <w:sz w:val="20"/>
            <w:szCs w:val="20"/>
          </w:rPr>
          <w:t>process</w:t>
        </w:r>
        <w:r w:rsidRPr="00FD37F6">
          <w:rPr>
            <w:rStyle w:val="Hyperlink"/>
            <w:rFonts w:cs="Times New Roman"/>
            <w:sz w:val="20"/>
            <w:szCs w:val="20"/>
            <w:lang w:val="bg-BG"/>
          </w:rPr>
          <w:t>/</w:t>
        </w:r>
        <w:r w:rsidRPr="00FD37F6">
          <w:rPr>
            <w:rStyle w:val="Hyperlink"/>
            <w:rFonts w:cs="Times New Roman"/>
            <w:sz w:val="20"/>
            <w:szCs w:val="20"/>
          </w:rPr>
          <w:t>documents</w:t>
        </w:r>
        <w:r w:rsidRPr="00FD37F6">
          <w:rPr>
            <w:rStyle w:val="Hyperlink"/>
            <w:rFonts w:cs="Times New Roman"/>
            <w:sz w:val="20"/>
            <w:szCs w:val="20"/>
            <w:lang w:val="bg-BG"/>
          </w:rPr>
          <w:t>/</w:t>
        </w:r>
        <w:r w:rsidRPr="00FD37F6">
          <w:rPr>
            <w:rStyle w:val="Hyperlink"/>
            <w:rFonts w:cs="Times New Roman"/>
            <w:sz w:val="20"/>
            <w:szCs w:val="20"/>
          </w:rPr>
          <w:t>A</w:t>
        </w:r>
        <w:r w:rsidRPr="00FD37F6">
          <w:rPr>
            <w:rStyle w:val="Hyperlink"/>
            <w:rFonts w:cs="Times New Roman"/>
            <w:sz w:val="20"/>
            <w:szCs w:val="20"/>
            <w:lang w:val="bg-BG"/>
          </w:rPr>
          <w:t>21-</w:t>
        </w:r>
        <w:r w:rsidRPr="00FD37F6">
          <w:rPr>
            <w:rStyle w:val="Hyperlink"/>
            <w:rFonts w:cs="Times New Roman"/>
            <w:sz w:val="20"/>
            <w:szCs w:val="20"/>
          </w:rPr>
          <w:t>Ch</w:t>
        </w:r>
        <w:r w:rsidRPr="00FD37F6">
          <w:rPr>
            <w:rStyle w:val="Hyperlink"/>
            <w:rFonts w:cs="Times New Roman"/>
            <w:sz w:val="20"/>
            <w:szCs w:val="20"/>
            <w:lang w:val="bg-BG"/>
          </w:rPr>
          <w:t>17.</w:t>
        </w:r>
        <w:r w:rsidRPr="00FD37F6">
          <w:rPr>
            <w:rStyle w:val="Hyperlink"/>
            <w:rFonts w:cs="Times New Roman"/>
            <w:sz w:val="20"/>
            <w:szCs w:val="20"/>
          </w:rPr>
          <w:t>htm</w:t>
        </w:r>
      </w:hyperlink>
      <w:r w:rsidRPr="00FD37F6">
        <w:rPr>
          <w:rFonts w:cs="Times New Roman"/>
          <w:sz w:val="20"/>
          <w:szCs w:val="20"/>
          <w:lang w:val="bg-BG"/>
        </w:rPr>
        <w:t xml:space="preserve"> </w:t>
      </w:r>
    </w:p>
  </w:footnote>
  <w:footnote w:id="23">
    <w:p w14:paraId="7A912663" w14:textId="77777777" w:rsidR="00C717D0" w:rsidRPr="00FD37F6" w:rsidRDefault="00C717D0" w:rsidP="00A43DF1">
      <w:pPr>
        <w:pStyle w:val="FootnoteText"/>
        <w:spacing w:after="20"/>
        <w:ind w:left="284" w:hanging="284"/>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Да преобразим нашия свят: програма за устойчиво развитие до 2030 година. Финален текст </w:t>
      </w:r>
      <w:hyperlink r:id="rId20"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unicef</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assets</w:t>
        </w:r>
        <w:r w:rsidRPr="00FD37F6">
          <w:rPr>
            <w:rStyle w:val="Hyperlink"/>
            <w:rFonts w:cs="Times New Roman"/>
            <w:sz w:val="20"/>
            <w:szCs w:val="20"/>
            <w:lang w:val="bg-BG"/>
          </w:rPr>
          <w:t>/</w:t>
        </w:r>
        <w:r w:rsidRPr="00FD37F6">
          <w:rPr>
            <w:rStyle w:val="Hyperlink"/>
            <w:rFonts w:cs="Times New Roman"/>
            <w:sz w:val="20"/>
            <w:szCs w:val="20"/>
          </w:rPr>
          <w:t>PDFs</w:t>
        </w:r>
        <w:r w:rsidRPr="00FD37F6">
          <w:rPr>
            <w:rStyle w:val="Hyperlink"/>
            <w:rFonts w:cs="Times New Roman"/>
            <w:sz w:val="20"/>
            <w:szCs w:val="20"/>
            <w:lang w:val="bg-BG"/>
          </w:rPr>
          <w:t>/</w:t>
        </w:r>
        <w:r w:rsidRPr="00FD37F6">
          <w:rPr>
            <w:rStyle w:val="Hyperlink"/>
            <w:rFonts w:cs="Times New Roman"/>
            <w:sz w:val="20"/>
            <w:szCs w:val="20"/>
          </w:rPr>
          <w:t>WWL</w:t>
        </w:r>
        <w:r w:rsidRPr="00FD37F6">
          <w:rPr>
            <w:rStyle w:val="Hyperlink"/>
            <w:rFonts w:cs="Times New Roman"/>
            <w:sz w:val="20"/>
            <w:szCs w:val="20"/>
            <w:lang w:val="bg-BG"/>
          </w:rPr>
          <w:t>/</w:t>
        </w:r>
        <w:r w:rsidRPr="00FD37F6">
          <w:rPr>
            <w:rStyle w:val="Hyperlink"/>
            <w:rFonts w:cs="Times New Roman"/>
            <w:sz w:val="20"/>
            <w:szCs w:val="20"/>
          </w:rPr>
          <w:t>Transforming</w:t>
        </w:r>
        <w:r w:rsidRPr="00FD37F6">
          <w:rPr>
            <w:rStyle w:val="Hyperlink"/>
            <w:rFonts w:cs="Times New Roman"/>
            <w:sz w:val="20"/>
            <w:szCs w:val="20"/>
            <w:lang w:val="bg-BG"/>
          </w:rPr>
          <w:t>_</w:t>
        </w:r>
        <w:r w:rsidRPr="00FD37F6">
          <w:rPr>
            <w:rStyle w:val="Hyperlink"/>
            <w:rFonts w:cs="Times New Roman"/>
            <w:sz w:val="20"/>
            <w:szCs w:val="20"/>
          </w:rPr>
          <w:t>our</w:t>
        </w:r>
        <w:r w:rsidRPr="00FD37F6">
          <w:rPr>
            <w:rStyle w:val="Hyperlink"/>
            <w:rFonts w:cs="Times New Roman"/>
            <w:sz w:val="20"/>
            <w:szCs w:val="20"/>
            <w:lang w:val="bg-BG"/>
          </w:rPr>
          <w:t>_</w:t>
        </w:r>
        <w:r w:rsidRPr="00FD37F6">
          <w:rPr>
            <w:rStyle w:val="Hyperlink"/>
            <w:rFonts w:cs="Times New Roman"/>
            <w:sz w:val="20"/>
            <w:szCs w:val="20"/>
          </w:rPr>
          <w:t>world</w:t>
        </w:r>
        <w:r w:rsidRPr="00FD37F6">
          <w:rPr>
            <w:rStyle w:val="Hyperlink"/>
            <w:rFonts w:cs="Times New Roman"/>
            <w:sz w:val="20"/>
            <w:szCs w:val="20"/>
            <w:lang w:val="bg-BG"/>
          </w:rPr>
          <w:t>_</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24">
    <w:p w14:paraId="166B74BA" w14:textId="0D01D87F"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publications</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resource</w:t>
        </w:r>
        <w:r w:rsidRPr="00FD37F6">
          <w:rPr>
            <w:rStyle w:val="Hyperlink"/>
            <w:rFonts w:cs="Times New Roman"/>
            <w:sz w:val="20"/>
            <w:szCs w:val="20"/>
            <w:lang w:val="bg-BG"/>
          </w:rPr>
          <w:t>/</w:t>
        </w:r>
        <w:r w:rsidRPr="00FD37F6">
          <w:rPr>
            <w:rStyle w:val="Hyperlink"/>
            <w:rFonts w:cs="Times New Roman"/>
            <w:sz w:val="20"/>
            <w:szCs w:val="20"/>
          </w:rPr>
          <w:t>cellar</w:t>
        </w:r>
        <w:r w:rsidRPr="00FD37F6">
          <w:rPr>
            <w:rStyle w:val="Hyperlink"/>
            <w:rFonts w:cs="Times New Roman"/>
            <w:sz w:val="20"/>
            <w:szCs w:val="20"/>
            <w:lang w:val="bg-BG"/>
          </w:rPr>
          <w:t>/</w:t>
        </w:r>
        <w:r w:rsidRPr="00FD37F6">
          <w:rPr>
            <w:rStyle w:val="Hyperlink"/>
            <w:rFonts w:cs="Times New Roman"/>
            <w:sz w:val="20"/>
            <w:szCs w:val="20"/>
          </w:rPr>
          <w:t>f</w:t>
        </w:r>
        <w:r w:rsidRPr="00FD37F6">
          <w:rPr>
            <w:rStyle w:val="Hyperlink"/>
            <w:rFonts w:cs="Times New Roman"/>
            <w:sz w:val="20"/>
            <w:szCs w:val="20"/>
            <w:lang w:val="bg-BG"/>
          </w:rPr>
          <w:t>07</w:t>
        </w:r>
        <w:r w:rsidRPr="00FD37F6">
          <w:rPr>
            <w:rStyle w:val="Hyperlink"/>
            <w:rFonts w:cs="Times New Roman"/>
            <w:sz w:val="20"/>
            <w:szCs w:val="20"/>
          </w:rPr>
          <w:t>ab</w:t>
        </w:r>
        <w:r w:rsidRPr="00FD37F6">
          <w:rPr>
            <w:rStyle w:val="Hyperlink"/>
            <w:rFonts w:cs="Times New Roman"/>
            <w:sz w:val="20"/>
            <w:szCs w:val="20"/>
            <w:lang w:val="bg-BG"/>
          </w:rPr>
          <w:t>00</w:t>
        </w:r>
        <w:r w:rsidRPr="00FD37F6">
          <w:rPr>
            <w:rStyle w:val="Hyperlink"/>
            <w:rFonts w:cs="Times New Roman"/>
            <w:sz w:val="20"/>
            <w:szCs w:val="20"/>
          </w:rPr>
          <w:t>e</w:t>
        </w:r>
        <w:r w:rsidRPr="00FD37F6">
          <w:rPr>
            <w:rStyle w:val="Hyperlink"/>
            <w:rFonts w:cs="Times New Roman"/>
            <w:sz w:val="20"/>
            <w:szCs w:val="20"/>
            <w:lang w:val="bg-BG"/>
          </w:rPr>
          <w:t>-3795-4146-8739-07</w:t>
        </w:r>
        <w:r w:rsidRPr="00FD37F6">
          <w:rPr>
            <w:rStyle w:val="Hyperlink"/>
            <w:rFonts w:cs="Times New Roman"/>
            <w:sz w:val="20"/>
            <w:szCs w:val="20"/>
          </w:rPr>
          <w:t>dc</w:t>
        </w:r>
        <w:r w:rsidRPr="00FD37F6">
          <w:rPr>
            <w:rStyle w:val="Hyperlink"/>
            <w:rFonts w:cs="Times New Roman"/>
            <w:sz w:val="20"/>
            <w:szCs w:val="20"/>
            <w:lang w:val="bg-BG"/>
          </w:rPr>
          <w:t>585</w:t>
        </w:r>
        <w:r w:rsidRPr="00FD37F6">
          <w:rPr>
            <w:rStyle w:val="Hyperlink"/>
            <w:rFonts w:cs="Times New Roman"/>
            <w:sz w:val="20"/>
            <w:szCs w:val="20"/>
          </w:rPr>
          <w:t>b</w:t>
        </w:r>
        <w:r w:rsidRPr="00FD37F6">
          <w:rPr>
            <w:rStyle w:val="Hyperlink"/>
            <w:rFonts w:cs="Times New Roman"/>
            <w:sz w:val="20"/>
            <w:szCs w:val="20"/>
            <w:lang w:val="bg-BG"/>
          </w:rPr>
          <w:t>97</w:t>
        </w:r>
        <w:r w:rsidRPr="00FD37F6">
          <w:rPr>
            <w:rStyle w:val="Hyperlink"/>
            <w:rFonts w:cs="Times New Roman"/>
            <w:sz w:val="20"/>
            <w:szCs w:val="20"/>
          </w:rPr>
          <w:t>ad</w:t>
        </w:r>
        <w:r w:rsidRPr="00FD37F6">
          <w:rPr>
            <w:rStyle w:val="Hyperlink"/>
            <w:rFonts w:cs="Times New Roman"/>
            <w:sz w:val="20"/>
            <w:szCs w:val="20"/>
            <w:lang w:val="bg-BG"/>
          </w:rPr>
          <w:t>.0008.01/</w:t>
        </w:r>
        <w:r w:rsidRPr="00FD37F6">
          <w:rPr>
            <w:rStyle w:val="Hyperlink"/>
            <w:rFonts w:cs="Times New Roman"/>
            <w:sz w:val="20"/>
            <w:szCs w:val="20"/>
          </w:rPr>
          <w:t>DOC</w:t>
        </w:r>
        <w:r w:rsidRPr="00FD37F6">
          <w:rPr>
            <w:rStyle w:val="Hyperlink"/>
            <w:rFonts w:cs="Times New Roman"/>
            <w:sz w:val="20"/>
            <w:szCs w:val="20"/>
            <w:lang w:val="bg-BG"/>
          </w:rPr>
          <w:t>_1</w:t>
        </w:r>
      </w:hyperlink>
      <w:r w:rsidRPr="00FD37F6">
        <w:rPr>
          <w:rFonts w:cs="Times New Roman"/>
          <w:sz w:val="20"/>
          <w:szCs w:val="20"/>
          <w:lang w:val="bg-BG"/>
        </w:rPr>
        <w:t xml:space="preserve"> </w:t>
      </w:r>
    </w:p>
  </w:footnote>
  <w:footnote w:id="25">
    <w:p w14:paraId="36E9BCBE" w14:textId="07B02E1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12/11.02.2000 г., изм. и доп. ДВ бр. 28/29.03.2018 г.</w:t>
      </w:r>
    </w:p>
  </w:footnote>
  <w:footnote w:id="26">
    <w:p w14:paraId="02DF54FB"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2"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imo</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en</w:t>
        </w:r>
        <w:r w:rsidRPr="00FD37F6">
          <w:rPr>
            <w:rStyle w:val="Hyperlink"/>
            <w:rFonts w:cs="Times New Roman"/>
            <w:sz w:val="20"/>
            <w:szCs w:val="20"/>
            <w:lang w:val="bg-BG"/>
          </w:rPr>
          <w:t>/</w:t>
        </w:r>
        <w:r w:rsidRPr="00FD37F6">
          <w:rPr>
            <w:rStyle w:val="Hyperlink"/>
            <w:rFonts w:cs="Times New Roman"/>
            <w:sz w:val="20"/>
            <w:szCs w:val="20"/>
          </w:rPr>
          <w:t>about</w:t>
        </w:r>
        <w:r w:rsidRPr="00FD37F6">
          <w:rPr>
            <w:rStyle w:val="Hyperlink"/>
            <w:rFonts w:cs="Times New Roman"/>
            <w:sz w:val="20"/>
            <w:szCs w:val="20"/>
            <w:lang w:val="bg-BG"/>
          </w:rPr>
          <w:t>/</w:t>
        </w:r>
        <w:r w:rsidRPr="00FD37F6">
          <w:rPr>
            <w:rStyle w:val="Hyperlink"/>
            <w:rFonts w:cs="Times New Roman"/>
            <w:sz w:val="20"/>
            <w:szCs w:val="20"/>
          </w:rPr>
          <w:t>conventions</w:t>
        </w:r>
        <w:r w:rsidRPr="00FD37F6">
          <w:rPr>
            <w:rStyle w:val="Hyperlink"/>
            <w:rFonts w:cs="Times New Roman"/>
            <w:sz w:val="20"/>
            <w:szCs w:val="20"/>
            <w:lang w:val="bg-BG"/>
          </w:rPr>
          <w:t>/</w:t>
        </w:r>
        <w:r w:rsidRPr="00FD37F6">
          <w:rPr>
            <w:rStyle w:val="Hyperlink"/>
            <w:rFonts w:cs="Times New Roman"/>
            <w:sz w:val="20"/>
            <w:szCs w:val="20"/>
          </w:rPr>
          <w:t>listofconventions</w:t>
        </w:r>
        <w:r w:rsidRPr="00FD37F6">
          <w:rPr>
            <w:rStyle w:val="Hyperlink"/>
            <w:rFonts w:cs="Times New Roman"/>
            <w:sz w:val="20"/>
            <w:szCs w:val="20"/>
            <w:lang w:val="bg-BG"/>
          </w:rPr>
          <w:t>/</w:t>
        </w:r>
        <w:r w:rsidRPr="00FD37F6">
          <w:rPr>
            <w:rStyle w:val="Hyperlink"/>
            <w:rFonts w:cs="Times New Roman"/>
            <w:sz w:val="20"/>
            <w:szCs w:val="20"/>
          </w:rPr>
          <w:t>pages</w:t>
        </w:r>
        <w:r w:rsidRPr="00FD37F6">
          <w:rPr>
            <w:rStyle w:val="Hyperlink"/>
            <w:rFonts w:cs="Times New Roman"/>
            <w:sz w:val="20"/>
            <w:szCs w:val="20"/>
            <w:lang w:val="bg-BG"/>
          </w:rPr>
          <w:t>/</w:t>
        </w:r>
        <w:r w:rsidRPr="00FD37F6">
          <w:rPr>
            <w:rStyle w:val="Hyperlink"/>
            <w:rFonts w:cs="Times New Roman"/>
            <w:sz w:val="20"/>
            <w:szCs w:val="20"/>
          </w:rPr>
          <w:t>international</w:t>
        </w:r>
        <w:r w:rsidRPr="00FD37F6">
          <w:rPr>
            <w:rStyle w:val="Hyperlink"/>
            <w:rFonts w:cs="Times New Roman"/>
            <w:sz w:val="20"/>
            <w:szCs w:val="20"/>
            <w:lang w:val="bg-BG"/>
          </w:rPr>
          <w:t>-</w:t>
        </w:r>
        <w:r w:rsidRPr="00FD37F6">
          <w:rPr>
            <w:rStyle w:val="Hyperlink"/>
            <w:rFonts w:cs="Times New Roman"/>
            <w:sz w:val="20"/>
            <w:szCs w:val="20"/>
          </w:rPr>
          <w:t>convention</w:t>
        </w:r>
        <w:r w:rsidRPr="00FD37F6">
          <w:rPr>
            <w:rStyle w:val="Hyperlink"/>
            <w:rFonts w:cs="Times New Roman"/>
            <w:sz w:val="20"/>
            <w:szCs w:val="20"/>
            <w:lang w:val="bg-BG"/>
          </w:rPr>
          <w:t>-</w:t>
        </w:r>
        <w:r w:rsidRPr="00FD37F6">
          <w:rPr>
            <w:rStyle w:val="Hyperlink"/>
            <w:rFonts w:cs="Times New Roman"/>
            <w:sz w:val="20"/>
            <w:szCs w:val="20"/>
          </w:rPr>
          <w:t>for</w:t>
        </w:r>
        <w:r w:rsidRPr="00FD37F6">
          <w:rPr>
            <w:rStyle w:val="Hyperlink"/>
            <w:rFonts w:cs="Times New Roman"/>
            <w:sz w:val="20"/>
            <w:szCs w:val="20"/>
            <w:lang w:val="bg-BG"/>
          </w:rPr>
          <w:t>-</w:t>
        </w:r>
        <w:r w:rsidRPr="00FD37F6">
          <w:rPr>
            <w:rStyle w:val="Hyperlink"/>
            <w:rFonts w:cs="Times New Roman"/>
            <w:sz w:val="20"/>
            <w:szCs w:val="20"/>
          </w:rPr>
          <w:t>the</w:t>
        </w:r>
        <w:r w:rsidRPr="00FD37F6">
          <w:rPr>
            <w:rStyle w:val="Hyperlink"/>
            <w:rFonts w:cs="Times New Roman"/>
            <w:sz w:val="20"/>
            <w:szCs w:val="20"/>
            <w:lang w:val="bg-BG"/>
          </w:rPr>
          <w:t>-</w:t>
        </w:r>
        <w:r w:rsidRPr="00FD37F6">
          <w:rPr>
            <w:rStyle w:val="Hyperlink"/>
            <w:rFonts w:cs="Times New Roman"/>
            <w:sz w:val="20"/>
            <w:szCs w:val="20"/>
          </w:rPr>
          <w:t>prevention</w:t>
        </w:r>
        <w:r w:rsidRPr="00FD37F6">
          <w:rPr>
            <w:rStyle w:val="Hyperlink"/>
            <w:rFonts w:cs="Times New Roman"/>
            <w:sz w:val="20"/>
            <w:szCs w:val="20"/>
            <w:lang w:val="bg-BG"/>
          </w:rPr>
          <w:t>-</w:t>
        </w:r>
        <w:r w:rsidRPr="00FD37F6">
          <w:rPr>
            <w:rStyle w:val="Hyperlink"/>
            <w:rFonts w:cs="Times New Roman"/>
            <w:sz w:val="20"/>
            <w:szCs w:val="20"/>
          </w:rPr>
          <w:t>of</w:t>
        </w:r>
        <w:r w:rsidRPr="00FD37F6">
          <w:rPr>
            <w:rStyle w:val="Hyperlink"/>
            <w:rFonts w:cs="Times New Roman"/>
            <w:sz w:val="20"/>
            <w:szCs w:val="20"/>
            <w:lang w:val="bg-BG"/>
          </w:rPr>
          <w:t>-</w:t>
        </w:r>
        <w:r w:rsidRPr="00FD37F6">
          <w:rPr>
            <w:rStyle w:val="Hyperlink"/>
            <w:rFonts w:cs="Times New Roman"/>
            <w:sz w:val="20"/>
            <w:szCs w:val="20"/>
          </w:rPr>
          <w:t>pollution</w:t>
        </w:r>
        <w:r w:rsidRPr="00FD37F6">
          <w:rPr>
            <w:rStyle w:val="Hyperlink"/>
            <w:rFonts w:cs="Times New Roman"/>
            <w:sz w:val="20"/>
            <w:szCs w:val="20"/>
            <w:lang w:val="bg-BG"/>
          </w:rPr>
          <w:t>-</w:t>
        </w:r>
        <w:r w:rsidRPr="00FD37F6">
          <w:rPr>
            <w:rStyle w:val="Hyperlink"/>
            <w:rFonts w:cs="Times New Roman"/>
            <w:sz w:val="20"/>
            <w:szCs w:val="20"/>
          </w:rPr>
          <w:t>from</w:t>
        </w:r>
        <w:r w:rsidRPr="00FD37F6">
          <w:rPr>
            <w:rStyle w:val="Hyperlink"/>
            <w:rFonts w:cs="Times New Roman"/>
            <w:sz w:val="20"/>
            <w:szCs w:val="20"/>
            <w:lang w:val="bg-BG"/>
          </w:rPr>
          <w:t>-</w:t>
        </w:r>
        <w:r w:rsidRPr="00FD37F6">
          <w:rPr>
            <w:rStyle w:val="Hyperlink"/>
            <w:rFonts w:cs="Times New Roman"/>
            <w:sz w:val="20"/>
            <w:szCs w:val="20"/>
          </w:rPr>
          <w:t>ships</w:t>
        </w:r>
        <w:r w:rsidRPr="00FD37F6">
          <w:rPr>
            <w:rStyle w:val="Hyperlink"/>
            <w:rFonts w:cs="Times New Roman"/>
            <w:sz w:val="20"/>
            <w:szCs w:val="20"/>
            <w:lang w:val="bg-BG"/>
          </w:rPr>
          <w:t>-(</w:t>
        </w:r>
        <w:r w:rsidRPr="00FD37F6">
          <w:rPr>
            <w:rStyle w:val="Hyperlink"/>
            <w:rFonts w:cs="Times New Roman"/>
            <w:sz w:val="20"/>
            <w:szCs w:val="20"/>
          </w:rPr>
          <w:t>marpol</w:t>
        </w:r>
        <w:r w:rsidRPr="00FD37F6">
          <w:rPr>
            <w:rStyle w:val="Hyperlink"/>
            <w:rFonts w:cs="Times New Roman"/>
            <w:sz w:val="20"/>
            <w:szCs w:val="20"/>
            <w:lang w:val="bg-BG"/>
          </w:rPr>
          <w:t>).</w:t>
        </w:r>
        <w:r w:rsidRPr="00FD37F6">
          <w:rPr>
            <w:rStyle w:val="Hyperlink"/>
            <w:rFonts w:cs="Times New Roman"/>
            <w:sz w:val="20"/>
            <w:szCs w:val="20"/>
          </w:rPr>
          <w:t>aspx</w:t>
        </w:r>
      </w:hyperlink>
      <w:r w:rsidRPr="00FD37F6">
        <w:rPr>
          <w:rFonts w:cs="Times New Roman"/>
          <w:sz w:val="20"/>
          <w:szCs w:val="20"/>
          <w:lang w:val="bg-BG"/>
        </w:rPr>
        <w:t xml:space="preserve"> </w:t>
      </w:r>
    </w:p>
  </w:footnote>
  <w:footnote w:id="27">
    <w:p w14:paraId="1E78D5E4" w14:textId="0AC935B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3"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unesco</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file</w:t>
        </w:r>
        <w:r w:rsidRPr="00FD37F6">
          <w:rPr>
            <w:rStyle w:val="Hyperlink"/>
            <w:rFonts w:cs="Times New Roman"/>
            <w:sz w:val="20"/>
            <w:szCs w:val="20"/>
            <w:lang w:val="bg-BG"/>
          </w:rPr>
          <w:t>_</w:t>
        </w:r>
        <w:r w:rsidRPr="00FD37F6">
          <w:rPr>
            <w:rStyle w:val="Hyperlink"/>
            <w:rFonts w:cs="Times New Roman"/>
            <w:sz w:val="20"/>
            <w:szCs w:val="20"/>
          </w:rPr>
          <w:t>store</w:t>
        </w:r>
        <w:r w:rsidRPr="00FD37F6">
          <w:rPr>
            <w:rStyle w:val="Hyperlink"/>
            <w:rFonts w:cs="Times New Roman"/>
            <w:sz w:val="20"/>
            <w:szCs w:val="20"/>
            <w:lang w:val="bg-BG"/>
          </w:rPr>
          <w:t>/</w:t>
        </w:r>
        <w:r w:rsidRPr="00FD37F6">
          <w:rPr>
            <w:rStyle w:val="Hyperlink"/>
            <w:rFonts w:cs="Times New Roman"/>
            <w:sz w:val="20"/>
            <w:szCs w:val="20"/>
          </w:rPr>
          <w:t>konventsiya</w:t>
        </w:r>
        <w:r w:rsidRPr="00FD37F6">
          <w:rPr>
            <w:rStyle w:val="Hyperlink"/>
            <w:rFonts w:cs="Times New Roman"/>
            <w:sz w:val="20"/>
            <w:szCs w:val="20"/>
            <w:lang w:val="bg-BG"/>
          </w:rPr>
          <w:t>_</w:t>
        </w:r>
        <w:r w:rsidRPr="00FD37F6">
          <w:rPr>
            <w:rStyle w:val="Hyperlink"/>
            <w:rFonts w:cs="Times New Roman"/>
            <w:sz w:val="20"/>
            <w:szCs w:val="20"/>
          </w:rPr>
          <w:t>podvoddno</w:t>
        </w:r>
        <w:r w:rsidRPr="00FD37F6">
          <w:rPr>
            <w:rStyle w:val="Hyperlink"/>
            <w:rFonts w:cs="Times New Roman"/>
            <w:sz w:val="20"/>
            <w:szCs w:val="20"/>
            <w:lang w:val="bg-BG"/>
          </w:rPr>
          <w:t>_</w:t>
        </w:r>
        <w:r w:rsidRPr="00FD37F6">
          <w:rPr>
            <w:rStyle w:val="Hyperlink"/>
            <w:rFonts w:cs="Times New Roman"/>
            <w:sz w:val="20"/>
            <w:szCs w:val="20"/>
          </w:rPr>
          <w:t>nasledstvo</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28">
    <w:p w14:paraId="1B7B5B7C" w14:textId="3920A909"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FD37F6">
        <w:rPr>
          <w:rFonts w:eastAsia="Arial Unicode MS" w:cs="Times New Roman"/>
          <w:sz w:val="20"/>
          <w:szCs w:val="20"/>
          <w:lang w:val="bg-BG"/>
        </w:rPr>
        <w:t>Обн. ДВ бр. 19/13.03.2009 г.</w:t>
      </w:r>
    </w:p>
  </w:footnote>
  <w:footnote w:id="29">
    <w:p w14:paraId="4A661C6C" w14:textId="6E93FB4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4"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unfccc</w:t>
        </w:r>
        <w:r w:rsidRPr="00FD37F6">
          <w:rPr>
            <w:rStyle w:val="Hyperlink"/>
            <w:rFonts w:cs="Times New Roman"/>
            <w:sz w:val="20"/>
            <w:szCs w:val="20"/>
            <w:lang w:val="bg-BG"/>
          </w:rPr>
          <w:t>.</w:t>
        </w:r>
        <w:r w:rsidRPr="00FD37F6">
          <w:rPr>
            <w:rStyle w:val="Hyperlink"/>
            <w:rFonts w:cs="Times New Roman"/>
            <w:sz w:val="20"/>
            <w:szCs w:val="20"/>
          </w:rPr>
          <w:t>int</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30">
    <w:p w14:paraId="77E96CF5" w14:textId="77777777" w:rsidR="00C717D0" w:rsidRPr="00FD37F6" w:rsidRDefault="00C717D0" w:rsidP="006665AB">
      <w:pPr>
        <w:pStyle w:val="FootnoteText"/>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Становище на ИАМА относно ДЕО, ДОСВ и МППРБ, изх. № 798/10.05.2021 г.</w:t>
      </w:r>
    </w:p>
  </w:footnote>
  <w:footnote w:id="31">
    <w:p w14:paraId="7FBB10DD" w14:textId="7212C061"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5"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msfd</w:t>
        </w:r>
        <w:r w:rsidRPr="00FD37F6">
          <w:rPr>
            <w:rStyle w:val="Hyperlink"/>
            <w:rFonts w:cs="Times New Roman"/>
            <w:sz w:val="20"/>
            <w:szCs w:val="20"/>
            <w:lang w:val="bg-BG"/>
          </w:rPr>
          <w:t>_</w:t>
        </w:r>
        <w:r w:rsidRPr="00FD37F6">
          <w:rPr>
            <w:rStyle w:val="Hyperlink"/>
            <w:rFonts w:cs="Times New Roman"/>
            <w:sz w:val="20"/>
            <w:szCs w:val="20"/>
          </w:rPr>
          <w:t>monitoring</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hyperlink r:id="rId26"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cdr</w:t>
        </w:r>
        <w:r w:rsidRPr="00FD37F6">
          <w:rPr>
            <w:rStyle w:val="Hyperlink"/>
            <w:rFonts w:cs="Times New Roman"/>
            <w:sz w:val="20"/>
            <w:szCs w:val="20"/>
            <w:lang w:val="bg-BG"/>
          </w:rPr>
          <w:t>.</w:t>
        </w:r>
        <w:r w:rsidRPr="00FD37F6">
          <w:rPr>
            <w:rStyle w:val="Hyperlink"/>
            <w:rFonts w:cs="Times New Roman"/>
            <w:sz w:val="20"/>
            <w:szCs w:val="20"/>
          </w:rPr>
          <w:t>eionet</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msfd</w:t>
        </w:r>
        <w:r w:rsidRPr="00FD37F6">
          <w:rPr>
            <w:rStyle w:val="Hyperlink"/>
            <w:rFonts w:cs="Times New Roman"/>
            <w:sz w:val="20"/>
            <w:szCs w:val="20"/>
            <w:lang w:val="bg-BG"/>
          </w:rPr>
          <w:t>_</w:t>
        </w:r>
        <w:r w:rsidRPr="00FD37F6">
          <w:rPr>
            <w:rStyle w:val="Hyperlink"/>
            <w:rFonts w:cs="Times New Roman"/>
            <w:sz w:val="20"/>
            <w:szCs w:val="20"/>
          </w:rPr>
          <w:t>mp</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32">
    <w:p w14:paraId="5818D83F" w14:textId="683DA9D9"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7"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msfd</w:t>
        </w:r>
        <w:r w:rsidRPr="00FD37F6">
          <w:rPr>
            <w:rStyle w:val="Hyperlink"/>
            <w:rFonts w:cs="Times New Roman"/>
            <w:sz w:val="20"/>
            <w:szCs w:val="20"/>
            <w:lang w:val="bg-BG"/>
          </w:rPr>
          <w:t>_</w:t>
        </w:r>
        <w:r w:rsidRPr="00FD37F6">
          <w:rPr>
            <w:rStyle w:val="Hyperlink"/>
            <w:rFonts w:cs="Times New Roman"/>
            <w:sz w:val="20"/>
            <w:szCs w:val="20"/>
          </w:rPr>
          <w:t>monitoring</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hyperlink r:id="rId28"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cdr</w:t>
        </w:r>
        <w:r w:rsidRPr="00FD37F6">
          <w:rPr>
            <w:rStyle w:val="Hyperlink"/>
            <w:rFonts w:cs="Times New Roman"/>
            <w:sz w:val="20"/>
            <w:szCs w:val="20"/>
            <w:lang w:val="bg-BG"/>
          </w:rPr>
          <w:t>.</w:t>
        </w:r>
        <w:r w:rsidRPr="00FD37F6">
          <w:rPr>
            <w:rStyle w:val="Hyperlink"/>
            <w:rFonts w:cs="Times New Roman"/>
            <w:sz w:val="20"/>
            <w:szCs w:val="20"/>
          </w:rPr>
          <w:t>eionet</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msfd</w:t>
        </w:r>
        <w:r w:rsidRPr="00FD37F6">
          <w:rPr>
            <w:rStyle w:val="Hyperlink"/>
            <w:rFonts w:cs="Times New Roman"/>
            <w:sz w:val="20"/>
            <w:szCs w:val="20"/>
            <w:lang w:val="bg-BG"/>
          </w:rPr>
          <w:t>_</w:t>
        </w:r>
        <w:r w:rsidRPr="00FD37F6">
          <w:rPr>
            <w:rStyle w:val="Hyperlink"/>
            <w:rFonts w:cs="Times New Roman"/>
            <w:sz w:val="20"/>
            <w:szCs w:val="20"/>
          </w:rPr>
          <w:t>mp</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33">
    <w:p w14:paraId="73DA8B14" w14:textId="051F72B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9"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merki</w:t>
        </w:r>
        <w:r w:rsidRPr="00FD37F6">
          <w:rPr>
            <w:rStyle w:val="Hyperlink"/>
            <w:rFonts w:cs="Times New Roman"/>
            <w:sz w:val="20"/>
            <w:szCs w:val="20"/>
            <w:lang w:val="bg-BG"/>
          </w:rPr>
          <w:t>_13_</w:t>
        </w:r>
        <w:r w:rsidRPr="00FD37F6">
          <w:rPr>
            <w:rStyle w:val="Hyperlink"/>
            <w:rFonts w:cs="Times New Roman"/>
            <w:sz w:val="20"/>
            <w:szCs w:val="20"/>
          </w:rPr>
          <w:t>rdms</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hyperlink r:id="rId30"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uk</w:t>
        </w:r>
        <w:r w:rsidRPr="00FD37F6">
          <w:rPr>
            <w:rStyle w:val="Hyperlink"/>
            <w:rFonts w:cs="Times New Roman"/>
            <w:sz w:val="20"/>
            <w:szCs w:val="20"/>
            <w:lang w:val="bg-BG"/>
          </w:rPr>
          <w:t>/</w:t>
        </w:r>
        <w:r w:rsidRPr="00FD37F6">
          <w:rPr>
            <w:rStyle w:val="Hyperlink"/>
            <w:rFonts w:cs="Times New Roman"/>
            <w:sz w:val="20"/>
            <w:szCs w:val="20"/>
          </w:rPr>
          <w:t>MarineStrategy</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34">
    <w:p w14:paraId="2640F15B" w14:textId="34B33D7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1"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eur</w:t>
        </w:r>
        <w:r w:rsidRPr="00FD37F6">
          <w:rPr>
            <w:rStyle w:val="Hyperlink"/>
            <w:rFonts w:cs="Times New Roman"/>
            <w:sz w:val="20"/>
            <w:szCs w:val="20"/>
            <w:lang w:val="bg-BG"/>
          </w:rPr>
          <w:t>-</w:t>
        </w:r>
        <w:r w:rsidRPr="00FD37F6">
          <w:rPr>
            <w:rStyle w:val="Hyperlink"/>
            <w:rFonts w:cs="Times New Roman"/>
            <w:sz w:val="20"/>
            <w:szCs w:val="20"/>
          </w:rPr>
          <w:t>lex</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legal</w:t>
        </w:r>
        <w:r w:rsidRPr="00FD37F6">
          <w:rPr>
            <w:rStyle w:val="Hyperlink"/>
            <w:rFonts w:cs="Times New Roman"/>
            <w:sz w:val="20"/>
            <w:szCs w:val="20"/>
            <w:lang w:val="bg-BG"/>
          </w:rPr>
          <w:t>-</w:t>
        </w:r>
        <w:r w:rsidRPr="00FD37F6">
          <w:rPr>
            <w:rStyle w:val="Hyperlink"/>
            <w:rFonts w:cs="Times New Roman"/>
            <w:sz w:val="20"/>
            <w:szCs w:val="20"/>
          </w:rPr>
          <w:t>content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TXT</w:t>
        </w:r>
        <w:r w:rsidRPr="00FD37F6">
          <w:rPr>
            <w:rStyle w:val="Hyperlink"/>
            <w:rFonts w:cs="Times New Roman"/>
            <w:sz w:val="20"/>
            <w:szCs w:val="20"/>
            <w:lang w:val="bg-BG"/>
          </w:rPr>
          <w:t>/</w:t>
        </w:r>
        <w:r w:rsidRPr="00FD37F6">
          <w:rPr>
            <w:rStyle w:val="Hyperlink"/>
            <w:rFonts w:cs="Times New Roman"/>
            <w:sz w:val="20"/>
            <w:szCs w:val="20"/>
          </w:rPr>
          <w:t>PDF</w:t>
        </w:r>
        <w:r w:rsidRPr="00FD37F6">
          <w:rPr>
            <w:rStyle w:val="Hyperlink"/>
            <w:rFonts w:cs="Times New Roman"/>
            <w:sz w:val="20"/>
            <w:szCs w:val="20"/>
            <w:lang w:val="bg-BG"/>
          </w:rPr>
          <w:t>/?</w:t>
        </w:r>
        <w:r w:rsidRPr="00FD37F6">
          <w:rPr>
            <w:rStyle w:val="Hyperlink"/>
            <w:rFonts w:cs="Times New Roman"/>
            <w:sz w:val="20"/>
            <w:szCs w:val="20"/>
          </w:rPr>
          <w:t>uri</w:t>
        </w:r>
        <w:r w:rsidRPr="00FD37F6">
          <w:rPr>
            <w:rStyle w:val="Hyperlink"/>
            <w:rFonts w:cs="Times New Roman"/>
            <w:sz w:val="20"/>
            <w:szCs w:val="20"/>
            <w:lang w:val="bg-BG"/>
          </w:rPr>
          <w:t>=</w:t>
        </w:r>
        <w:r w:rsidRPr="00FD37F6">
          <w:rPr>
            <w:rStyle w:val="Hyperlink"/>
            <w:rFonts w:cs="Times New Roman"/>
            <w:sz w:val="20"/>
            <w:szCs w:val="20"/>
          </w:rPr>
          <w:t>CELEX</w:t>
        </w:r>
        <w:r w:rsidRPr="00FD37F6">
          <w:rPr>
            <w:rStyle w:val="Hyperlink"/>
            <w:rFonts w:cs="Times New Roman"/>
            <w:sz w:val="20"/>
            <w:szCs w:val="20"/>
            <w:lang w:val="bg-BG"/>
          </w:rPr>
          <w:t>:32000</w:t>
        </w:r>
        <w:r w:rsidRPr="00FD37F6">
          <w:rPr>
            <w:rStyle w:val="Hyperlink"/>
            <w:rFonts w:cs="Times New Roman"/>
            <w:sz w:val="20"/>
            <w:szCs w:val="20"/>
          </w:rPr>
          <w:t>L</w:t>
        </w:r>
        <w:r w:rsidRPr="00FD37F6">
          <w:rPr>
            <w:rStyle w:val="Hyperlink"/>
            <w:rFonts w:cs="Times New Roman"/>
            <w:sz w:val="20"/>
            <w:szCs w:val="20"/>
            <w:lang w:val="bg-BG"/>
          </w:rPr>
          <w:t>0060&amp;</w:t>
        </w:r>
        <w:r w:rsidRPr="00FD37F6">
          <w:rPr>
            <w:rStyle w:val="Hyperlink"/>
            <w:rFonts w:cs="Times New Roman"/>
            <w:sz w:val="20"/>
            <w:szCs w:val="20"/>
          </w:rPr>
          <w:t>from</w:t>
        </w:r>
        <w:r w:rsidRPr="00FD37F6">
          <w:rPr>
            <w:rStyle w:val="Hyperlink"/>
            <w:rFonts w:cs="Times New Roman"/>
            <w:sz w:val="20"/>
            <w:szCs w:val="20"/>
            <w:lang w:val="bg-BG"/>
          </w:rPr>
          <w:t>=</w:t>
        </w:r>
        <w:r w:rsidRPr="00FD37F6">
          <w:rPr>
            <w:rStyle w:val="Hyperlink"/>
            <w:rFonts w:cs="Times New Roman"/>
            <w:sz w:val="20"/>
            <w:szCs w:val="20"/>
          </w:rPr>
          <w:t>BG</w:t>
        </w:r>
      </w:hyperlink>
      <w:r w:rsidRPr="00FD37F6">
        <w:rPr>
          <w:rFonts w:cs="Times New Roman"/>
          <w:sz w:val="20"/>
          <w:szCs w:val="20"/>
          <w:lang w:val="bg-BG"/>
        </w:rPr>
        <w:t xml:space="preserve"> </w:t>
      </w:r>
    </w:p>
  </w:footnote>
  <w:footnote w:id="35">
    <w:p w14:paraId="6BD6F9BE"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2"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blacksea</w:t>
        </w:r>
        <w:r w:rsidRPr="00FD37F6">
          <w:rPr>
            <w:rStyle w:val="Hyperlink"/>
            <w:rFonts w:cs="Times New Roman"/>
            <w:sz w:val="20"/>
            <w:szCs w:val="20"/>
            <w:lang w:val="bg-BG"/>
          </w:rPr>
          <w:t>-</w:t>
        </w:r>
        <w:r w:rsidRPr="00FD37F6">
          <w:rPr>
            <w:rStyle w:val="Hyperlink"/>
            <w:rFonts w:cs="Times New Roman"/>
            <w:sz w:val="20"/>
            <w:szCs w:val="20"/>
          </w:rPr>
          <w:t>commission</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/_</w:t>
        </w:r>
        <w:r w:rsidRPr="00FD37F6">
          <w:rPr>
            <w:rStyle w:val="Hyperlink"/>
            <w:rFonts w:cs="Times New Roman"/>
            <w:sz w:val="20"/>
            <w:szCs w:val="20"/>
          </w:rPr>
          <w:t>convention</w:t>
        </w:r>
        <w:r w:rsidRPr="00FD37F6">
          <w:rPr>
            <w:rStyle w:val="Hyperlink"/>
            <w:rFonts w:cs="Times New Roman"/>
            <w:sz w:val="20"/>
            <w:szCs w:val="20"/>
            <w:lang w:val="bg-BG"/>
          </w:rPr>
          <w:t>-</w:t>
        </w:r>
        <w:r w:rsidRPr="00FD37F6">
          <w:rPr>
            <w:rStyle w:val="Hyperlink"/>
            <w:rFonts w:cs="Times New Roman"/>
            <w:sz w:val="20"/>
            <w:szCs w:val="20"/>
          </w:rPr>
          <w:t>fulltext</w:t>
        </w:r>
        <w:r w:rsidRPr="00FD37F6">
          <w:rPr>
            <w:rStyle w:val="Hyperlink"/>
            <w:rFonts w:cs="Times New Roman"/>
            <w:sz w:val="20"/>
            <w:szCs w:val="20"/>
            <w:lang w:val="bg-BG"/>
          </w:rPr>
          <w:t>.</w:t>
        </w:r>
        <w:r w:rsidRPr="00FD37F6">
          <w:rPr>
            <w:rStyle w:val="Hyperlink"/>
            <w:rFonts w:cs="Times New Roman"/>
            <w:sz w:val="20"/>
            <w:szCs w:val="20"/>
          </w:rPr>
          <w:t>asp</w:t>
        </w:r>
      </w:hyperlink>
      <w:r w:rsidRPr="00FD37F6">
        <w:rPr>
          <w:rFonts w:cs="Times New Roman"/>
          <w:sz w:val="20"/>
          <w:szCs w:val="20"/>
          <w:lang w:val="bg-BG"/>
        </w:rPr>
        <w:t xml:space="preserve"> </w:t>
      </w:r>
    </w:p>
  </w:footnote>
  <w:footnote w:id="36">
    <w:p w14:paraId="3137E982" w14:textId="77777777" w:rsidR="00C717D0" w:rsidRPr="00FD37F6" w:rsidRDefault="00C717D0" w:rsidP="00906585">
      <w:pPr>
        <w:pStyle w:val="FootnoteText"/>
        <w:spacing w:after="20"/>
        <w:ind w:right="-471"/>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3"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moew</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vodi</w:t>
        </w:r>
        <w:r w:rsidRPr="00FD37F6">
          <w:rPr>
            <w:rStyle w:val="Hyperlink"/>
            <w:rFonts w:cs="Times New Roman"/>
            <w:sz w:val="20"/>
            <w:szCs w:val="20"/>
            <w:lang w:val="bg-BG"/>
          </w:rPr>
          <w:t>/</w:t>
        </w:r>
        <w:r w:rsidRPr="00FD37F6">
          <w:rPr>
            <w:rStyle w:val="Hyperlink"/>
            <w:rFonts w:cs="Times New Roman"/>
            <w:sz w:val="20"/>
            <w:szCs w:val="20"/>
          </w:rPr>
          <w:t>morski</w:t>
        </w:r>
        <w:r w:rsidRPr="00FD37F6">
          <w:rPr>
            <w:rStyle w:val="Hyperlink"/>
            <w:rFonts w:cs="Times New Roman"/>
            <w:sz w:val="20"/>
            <w:szCs w:val="20"/>
            <w:lang w:val="bg-BG"/>
          </w:rPr>
          <w:t>-</w:t>
        </w:r>
        <w:r w:rsidRPr="00FD37F6">
          <w:rPr>
            <w:rStyle w:val="Hyperlink"/>
            <w:rFonts w:cs="Times New Roman"/>
            <w:sz w:val="20"/>
            <w:szCs w:val="20"/>
          </w:rPr>
          <w:t>vodi</w:t>
        </w:r>
        <w:r w:rsidRPr="00FD37F6">
          <w:rPr>
            <w:rStyle w:val="Hyperlink"/>
            <w:rFonts w:cs="Times New Roman"/>
            <w:sz w:val="20"/>
            <w:szCs w:val="20"/>
            <w:lang w:val="bg-BG"/>
          </w:rPr>
          <w:t>/</w:t>
        </w:r>
        <w:r w:rsidRPr="00FD37F6">
          <w:rPr>
            <w:rStyle w:val="Hyperlink"/>
            <w:rFonts w:cs="Times New Roman"/>
            <w:sz w:val="20"/>
            <w:szCs w:val="20"/>
          </w:rPr>
          <w:t>konvenciya</w:t>
        </w:r>
        <w:r w:rsidRPr="00FD37F6">
          <w:rPr>
            <w:rStyle w:val="Hyperlink"/>
            <w:rFonts w:cs="Times New Roman"/>
            <w:sz w:val="20"/>
            <w:szCs w:val="20"/>
            <w:lang w:val="bg-BG"/>
          </w:rPr>
          <w:t>-</w:t>
        </w:r>
        <w:r w:rsidRPr="00FD37F6">
          <w:rPr>
            <w:rStyle w:val="Hyperlink"/>
            <w:rFonts w:cs="Times New Roman"/>
            <w:sz w:val="20"/>
            <w:szCs w:val="20"/>
          </w:rPr>
          <w:t>za</w:t>
        </w:r>
        <w:r w:rsidRPr="00FD37F6">
          <w:rPr>
            <w:rStyle w:val="Hyperlink"/>
            <w:rFonts w:cs="Times New Roman"/>
            <w:sz w:val="20"/>
            <w:szCs w:val="20"/>
            <w:lang w:val="bg-BG"/>
          </w:rPr>
          <w:t>-</w:t>
        </w:r>
        <w:r w:rsidRPr="00FD37F6">
          <w:rPr>
            <w:rStyle w:val="Hyperlink"/>
            <w:rFonts w:cs="Times New Roman"/>
            <w:sz w:val="20"/>
            <w:szCs w:val="20"/>
          </w:rPr>
          <w:t>opazvane</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cherno</w:t>
        </w:r>
        <w:r w:rsidRPr="00FD37F6">
          <w:rPr>
            <w:rStyle w:val="Hyperlink"/>
            <w:rFonts w:cs="Times New Roman"/>
            <w:sz w:val="20"/>
            <w:szCs w:val="20"/>
            <w:lang w:val="bg-BG"/>
          </w:rPr>
          <w:t>-</w:t>
        </w:r>
        <w:r w:rsidRPr="00FD37F6">
          <w:rPr>
            <w:rStyle w:val="Hyperlink"/>
            <w:rFonts w:cs="Times New Roman"/>
            <w:sz w:val="20"/>
            <w:szCs w:val="20"/>
          </w:rPr>
          <w:t>more</w:t>
        </w:r>
        <w:r w:rsidRPr="00FD37F6">
          <w:rPr>
            <w:rStyle w:val="Hyperlink"/>
            <w:rFonts w:cs="Times New Roman"/>
            <w:sz w:val="20"/>
            <w:szCs w:val="20"/>
            <w:lang w:val="bg-BG"/>
          </w:rPr>
          <w:t>-</w:t>
        </w:r>
        <w:r w:rsidRPr="00FD37F6">
          <w:rPr>
            <w:rStyle w:val="Hyperlink"/>
            <w:rFonts w:cs="Times New Roman"/>
            <w:sz w:val="20"/>
            <w:szCs w:val="20"/>
          </w:rPr>
          <w:t>ot</w:t>
        </w:r>
        <w:r w:rsidRPr="00FD37F6">
          <w:rPr>
            <w:rStyle w:val="Hyperlink"/>
            <w:rFonts w:cs="Times New Roman"/>
            <w:sz w:val="20"/>
            <w:szCs w:val="20"/>
            <w:lang w:val="bg-BG"/>
          </w:rPr>
          <w:t>-</w:t>
        </w:r>
        <w:r w:rsidRPr="00FD37F6">
          <w:rPr>
            <w:rStyle w:val="Hyperlink"/>
            <w:rFonts w:cs="Times New Roman"/>
            <w:sz w:val="20"/>
            <w:szCs w:val="20"/>
          </w:rPr>
          <w:t>zamursyavane</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37">
    <w:p w14:paraId="23EA80A0" w14:textId="6D331E8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56 от 13.07.1991 г </w:t>
      </w:r>
    </w:p>
  </w:footnote>
  <w:footnote w:id="38">
    <w:p w14:paraId="458C2D97" w14:textId="6769060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12/2000 г., изм. и доп. ДВ бр. 28/29.03.2018 г. </w:t>
      </w:r>
    </w:p>
  </w:footnote>
  <w:footnote w:id="39">
    <w:p w14:paraId="7D863DB1" w14:textId="0B51339C"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96/01.12.2017 г., изм. и доп. ДВ бр. 79/08.10.2019 г.</w:t>
      </w:r>
    </w:p>
  </w:footnote>
  <w:footnote w:id="40">
    <w:p w14:paraId="6F665932" w14:textId="6720353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23/12.03.1999 г., доп. ДВ бр. 98/27.11.2018 г.</w:t>
      </w:r>
    </w:p>
  </w:footnote>
  <w:footnote w:id="41">
    <w:p w14:paraId="11B6624E" w14:textId="3710538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бр.67/27.07.1999 г., изм. и доп. ДВ бр. 21/13.03.2020 г.</w:t>
      </w:r>
    </w:p>
  </w:footnote>
  <w:footnote w:id="42">
    <w:p w14:paraId="227D1EDA" w14:textId="2E241D59"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50/30.05.2008 г., изм. и доп. ДВ бр. 21/13.03.2020 г. </w:t>
      </w:r>
    </w:p>
  </w:footnote>
  <w:footnote w:id="43">
    <w:p w14:paraId="3821AF51" w14:textId="5740A72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1/02.01.2001 г., изм и доп. ДВ бр. 62/14.07.2020 г.</w:t>
      </w:r>
    </w:p>
  </w:footnote>
  <w:footnote w:id="44">
    <w:p w14:paraId="5CE93DED" w14:textId="3A47F84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48/2007 г., изм. ДВ бр. 21/13.032020 г. </w:t>
      </w:r>
    </w:p>
  </w:footnote>
  <w:footnote w:id="45">
    <w:p w14:paraId="7A9237D3" w14:textId="76E4552D"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77/2002 г., изм. ДВ бр. 98/27.11.2018 г.</w:t>
      </w:r>
    </w:p>
  </w:footnote>
  <w:footnote w:id="46">
    <w:p w14:paraId="0DE61533" w14:textId="11456D2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133/1998 г., изм. и доп. ДВ бр. 1/03.01.2020 г.</w:t>
      </w:r>
    </w:p>
  </w:footnote>
  <w:footnote w:id="47">
    <w:p w14:paraId="12C62E3E" w14:textId="277BEA76"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23/1999 г. изм. и доп. ДВ бр. 98/27.11.2018 г.</w:t>
      </w:r>
    </w:p>
  </w:footnote>
  <w:footnote w:id="48">
    <w:p w14:paraId="7A29F942" w14:textId="6E9CC81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41/2001 г., изм. и доп. бр. 98/13.12.2019 г.</w:t>
      </w:r>
    </w:p>
  </w:footnote>
  <w:footnote w:id="49">
    <w:p w14:paraId="5C18D77E" w14:textId="58B1193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70/2007 г., изм. бр. 85/24.10.2017 г.)</w:t>
      </w:r>
    </w:p>
  </w:footnote>
  <w:footnote w:id="50">
    <w:p w14:paraId="2A53779D" w14:textId="307B8D59"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бр.79/13.10.1987 г., изм. </w:t>
      </w:r>
      <w:r w:rsidRPr="00390518">
        <w:rPr>
          <w:rFonts w:cs="Times New Roman"/>
          <w:sz w:val="20"/>
          <w:szCs w:val="20"/>
          <w:lang w:val="bg-BG"/>
        </w:rPr>
        <w:t>ДВ бр.70/10.08.2004 г.</w:t>
      </w:r>
    </w:p>
  </w:footnote>
  <w:footnote w:id="51">
    <w:p w14:paraId="151A7F04" w14:textId="716A348A"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4"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UserFiles</w:t>
        </w:r>
        <w:r w:rsidRPr="00FD37F6">
          <w:rPr>
            <w:rStyle w:val="Hyperlink"/>
            <w:rFonts w:cs="Times New Roman"/>
            <w:sz w:val="20"/>
            <w:szCs w:val="20"/>
            <w:lang w:val="bg-BG"/>
          </w:rPr>
          <w:t>/</w:t>
        </w:r>
        <w:r w:rsidRPr="00FD37F6">
          <w:rPr>
            <w:rStyle w:val="Hyperlink"/>
            <w:rFonts w:cs="Times New Roman"/>
            <w:sz w:val="20"/>
            <w:szCs w:val="20"/>
          </w:rPr>
          <w:t>File</w:t>
        </w:r>
        <w:r w:rsidRPr="00FD37F6">
          <w:rPr>
            <w:rStyle w:val="Hyperlink"/>
            <w:rFonts w:cs="Times New Roman"/>
            <w:sz w:val="20"/>
            <w:szCs w:val="20"/>
            <w:lang w:val="bg-BG"/>
          </w:rPr>
          <w:t>/</w:t>
        </w:r>
        <w:r w:rsidRPr="00FD37F6">
          <w:rPr>
            <w:rStyle w:val="Hyperlink"/>
            <w:rFonts w:cs="Times New Roman"/>
            <w:sz w:val="20"/>
            <w:szCs w:val="20"/>
          </w:rPr>
          <w:t>Sea</w:t>
        </w:r>
        <w:r w:rsidRPr="00FD37F6">
          <w:rPr>
            <w:rStyle w:val="Hyperlink"/>
            <w:rFonts w:cs="Times New Roman"/>
            <w:sz w:val="20"/>
            <w:szCs w:val="20"/>
            <w:lang w:val="bg-BG"/>
          </w:rPr>
          <w:t>/</w:t>
        </w:r>
        <w:r w:rsidRPr="00FD37F6">
          <w:rPr>
            <w:rStyle w:val="Hyperlink"/>
            <w:rFonts w:cs="Times New Roman"/>
            <w:sz w:val="20"/>
            <w:szCs w:val="20"/>
          </w:rPr>
          <w:t>Notice</w:t>
        </w:r>
        <w:r w:rsidRPr="00FD37F6">
          <w:rPr>
            <w:rStyle w:val="Hyperlink"/>
            <w:rFonts w:cs="Times New Roman"/>
            <w:sz w:val="20"/>
            <w:szCs w:val="20"/>
            <w:lang w:val="bg-BG"/>
          </w:rPr>
          <w:t>_</w:t>
        </w:r>
        <w:r w:rsidRPr="00FD37F6">
          <w:rPr>
            <w:rStyle w:val="Hyperlink"/>
            <w:rFonts w:cs="Times New Roman"/>
            <w:sz w:val="20"/>
            <w:szCs w:val="20"/>
          </w:rPr>
          <w:t>E</w:t>
        </w:r>
        <w:r w:rsidRPr="00FD37F6">
          <w:rPr>
            <w:rStyle w:val="Hyperlink"/>
            <w:rFonts w:cs="Times New Roman"/>
            <w:sz w:val="20"/>
            <w:szCs w:val="20"/>
            <w:lang w:val="bg-BG"/>
          </w:rPr>
          <w:t>%</w:t>
        </w:r>
        <w:r w:rsidRPr="00FD37F6">
          <w:rPr>
            <w:rStyle w:val="Hyperlink"/>
            <w:rFonts w:cs="Times New Roman"/>
            <w:sz w:val="20"/>
            <w:szCs w:val="20"/>
          </w:rPr>
          <w:t>D</w:t>
        </w:r>
        <w:r w:rsidRPr="00FD37F6">
          <w:rPr>
            <w:rStyle w:val="Hyperlink"/>
            <w:rFonts w:cs="Times New Roman"/>
            <w:sz w:val="20"/>
            <w:szCs w:val="20"/>
            <w:lang w:val="bg-BG"/>
          </w:rPr>
          <w:t>0%9</w:t>
        </w:r>
        <w:r w:rsidRPr="00FD37F6">
          <w:rPr>
            <w:rStyle w:val="Hyperlink"/>
            <w:rFonts w:cs="Times New Roman"/>
            <w:sz w:val="20"/>
            <w:szCs w:val="20"/>
          </w:rPr>
          <w:t>E</w:t>
        </w:r>
        <w:r w:rsidRPr="00FD37F6">
          <w:rPr>
            <w:rStyle w:val="Hyperlink"/>
            <w:rFonts w:cs="Times New Roman"/>
            <w:sz w:val="20"/>
            <w:szCs w:val="20"/>
            <w:lang w:val="bg-BG"/>
          </w:rPr>
          <w:t>_</w:t>
        </w:r>
        <w:r w:rsidRPr="00FD37F6">
          <w:rPr>
            <w:rStyle w:val="Hyperlink"/>
            <w:rFonts w:cs="Times New Roman"/>
            <w:sz w:val="20"/>
            <w:szCs w:val="20"/>
          </w:rPr>
          <w:t>MS</w:t>
        </w:r>
        <w:r w:rsidRPr="00FD37F6">
          <w:rPr>
            <w:rStyle w:val="Hyperlink"/>
            <w:rFonts w:cs="Times New Roman"/>
            <w:sz w:val="20"/>
            <w:szCs w:val="20"/>
            <w:lang w:val="bg-BG"/>
          </w:rPr>
          <w:t>&amp;</w:t>
        </w:r>
        <w:r w:rsidRPr="00FD37F6">
          <w:rPr>
            <w:rStyle w:val="Hyperlink"/>
            <w:rFonts w:cs="Times New Roman"/>
            <w:sz w:val="20"/>
            <w:szCs w:val="20"/>
          </w:rPr>
          <w:t>PoM</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52">
    <w:p w14:paraId="53642EF5" w14:textId="570BA50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25/2002 г., изм. ДВ. бр. 53/10.06.2008 г.</w:t>
      </w:r>
    </w:p>
  </w:footnote>
  <w:footnote w:id="53">
    <w:p w14:paraId="2BCAFC96" w14:textId="3203ABFF"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5" w:history="1">
        <w:r w:rsidRPr="00FD37F6">
          <w:rPr>
            <w:rStyle w:val="Hyperlink"/>
            <w:rFonts w:cs="Times New Roman"/>
            <w:sz w:val="20"/>
            <w:szCs w:val="20"/>
            <w:lang w:val="en-US"/>
          </w:rPr>
          <w:t>http</w:t>
        </w:r>
        <w:r w:rsidRPr="00FD37F6">
          <w:rPr>
            <w:rStyle w:val="Hyperlink"/>
            <w:rFonts w:cs="Times New Roman"/>
            <w:sz w:val="20"/>
            <w:szCs w:val="20"/>
            <w:lang w:val="bg-BG"/>
          </w:rPr>
          <w:t>://</w:t>
        </w:r>
        <w:r w:rsidRPr="00FD37F6">
          <w:rPr>
            <w:rStyle w:val="Hyperlink"/>
            <w:rFonts w:cs="Times New Roman"/>
            <w:sz w:val="20"/>
            <w:szCs w:val="20"/>
            <w:lang w:val="en-US"/>
          </w:rPr>
          <w:t>www</w:t>
        </w:r>
        <w:r w:rsidRPr="00FD37F6">
          <w:rPr>
            <w:rStyle w:val="Hyperlink"/>
            <w:rFonts w:cs="Times New Roman"/>
            <w:sz w:val="20"/>
            <w:szCs w:val="20"/>
            <w:lang w:val="bg-BG"/>
          </w:rPr>
          <w:t>.</w:t>
        </w:r>
        <w:r w:rsidRPr="00FD37F6">
          <w:rPr>
            <w:rStyle w:val="Hyperlink"/>
            <w:rFonts w:cs="Times New Roman"/>
            <w:sz w:val="20"/>
            <w:szCs w:val="20"/>
            <w:lang w:val="en-US"/>
          </w:rPr>
          <w:t>strategy</w:t>
        </w:r>
        <w:r w:rsidRPr="00FD37F6">
          <w:rPr>
            <w:rStyle w:val="Hyperlink"/>
            <w:rFonts w:cs="Times New Roman"/>
            <w:sz w:val="20"/>
            <w:szCs w:val="20"/>
            <w:lang w:val="bg-BG"/>
          </w:rPr>
          <w:t>.</w:t>
        </w:r>
        <w:r w:rsidRPr="00FD37F6">
          <w:rPr>
            <w:rStyle w:val="Hyperlink"/>
            <w:rFonts w:cs="Times New Roman"/>
            <w:sz w:val="20"/>
            <w:szCs w:val="20"/>
            <w:lang w:val="en-US"/>
          </w:rPr>
          <w:t>bg</w:t>
        </w:r>
        <w:r w:rsidRPr="00FD37F6">
          <w:rPr>
            <w:rStyle w:val="Hyperlink"/>
            <w:rFonts w:cs="Times New Roman"/>
            <w:sz w:val="20"/>
            <w:szCs w:val="20"/>
            <w:lang w:val="bg-BG"/>
          </w:rPr>
          <w:t>/</w:t>
        </w:r>
        <w:r w:rsidRPr="00FD37F6">
          <w:rPr>
            <w:rStyle w:val="Hyperlink"/>
            <w:rFonts w:cs="Times New Roman"/>
            <w:sz w:val="20"/>
            <w:szCs w:val="20"/>
            <w:lang w:val="en-US"/>
          </w:rPr>
          <w:t>Publications</w:t>
        </w:r>
        <w:r w:rsidRPr="00FD37F6">
          <w:rPr>
            <w:rStyle w:val="Hyperlink"/>
            <w:rFonts w:cs="Times New Roman"/>
            <w:sz w:val="20"/>
            <w:szCs w:val="20"/>
            <w:lang w:val="bg-BG"/>
          </w:rPr>
          <w:t>/</w:t>
        </w:r>
        <w:r w:rsidRPr="00FD37F6">
          <w:rPr>
            <w:rStyle w:val="Hyperlink"/>
            <w:rFonts w:cs="Times New Roman"/>
            <w:sz w:val="20"/>
            <w:szCs w:val="20"/>
            <w:lang w:val="en-US"/>
          </w:rPr>
          <w:t>View</w:t>
        </w:r>
        <w:r w:rsidRPr="00FD37F6">
          <w:rPr>
            <w:rStyle w:val="Hyperlink"/>
            <w:rFonts w:cs="Times New Roman"/>
            <w:sz w:val="20"/>
            <w:szCs w:val="20"/>
            <w:lang w:val="bg-BG"/>
          </w:rPr>
          <w:t>.</w:t>
        </w:r>
        <w:r w:rsidRPr="00FD37F6">
          <w:rPr>
            <w:rStyle w:val="Hyperlink"/>
            <w:rFonts w:cs="Times New Roman"/>
            <w:sz w:val="20"/>
            <w:szCs w:val="20"/>
            <w:lang w:val="en-US"/>
          </w:rPr>
          <w:t>aspx</w:t>
        </w:r>
        <w:r w:rsidRPr="00FD37F6">
          <w:rPr>
            <w:rStyle w:val="Hyperlink"/>
            <w:rFonts w:cs="Times New Roman"/>
            <w:sz w:val="20"/>
            <w:szCs w:val="20"/>
            <w:lang w:val="bg-BG"/>
          </w:rPr>
          <w:t>?</w:t>
        </w:r>
        <w:r w:rsidRPr="00FD37F6">
          <w:rPr>
            <w:rStyle w:val="Hyperlink"/>
            <w:rFonts w:cs="Times New Roman"/>
            <w:sz w:val="20"/>
            <w:szCs w:val="20"/>
            <w:lang w:val="en-US"/>
          </w:rPr>
          <w:t>lang</w:t>
        </w:r>
        <w:r w:rsidRPr="00FD37F6">
          <w:rPr>
            <w:rStyle w:val="Hyperlink"/>
            <w:rFonts w:cs="Times New Roman"/>
            <w:sz w:val="20"/>
            <w:szCs w:val="20"/>
            <w:lang w:val="bg-BG"/>
          </w:rPr>
          <w:t>=</w:t>
        </w:r>
        <w:r w:rsidRPr="00FD37F6">
          <w:rPr>
            <w:rStyle w:val="Hyperlink"/>
            <w:rFonts w:cs="Times New Roman"/>
            <w:sz w:val="20"/>
            <w:szCs w:val="20"/>
            <w:lang w:val="en-US"/>
          </w:rPr>
          <w:t>bg</w:t>
        </w:r>
        <w:r w:rsidRPr="00FD37F6">
          <w:rPr>
            <w:rStyle w:val="Hyperlink"/>
            <w:rFonts w:cs="Times New Roman"/>
            <w:sz w:val="20"/>
            <w:szCs w:val="20"/>
            <w:lang w:val="bg-BG"/>
          </w:rPr>
          <w:t>-</w:t>
        </w:r>
        <w:r w:rsidRPr="00FD37F6">
          <w:rPr>
            <w:rStyle w:val="Hyperlink"/>
            <w:rFonts w:cs="Times New Roman"/>
            <w:sz w:val="20"/>
            <w:szCs w:val="20"/>
            <w:lang w:val="en-US"/>
          </w:rPr>
          <w:t>BG</w:t>
        </w:r>
        <w:r w:rsidRPr="00FD37F6">
          <w:rPr>
            <w:rStyle w:val="Hyperlink"/>
            <w:rFonts w:cs="Times New Roman"/>
            <w:sz w:val="20"/>
            <w:szCs w:val="20"/>
            <w:lang w:val="bg-BG"/>
          </w:rPr>
          <w:t>&amp;</w:t>
        </w:r>
        <w:r w:rsidRPr="00FD37F6">
          <w:rPr>
            <w:rStyle w:val="Hyperlink"/>
            <w:rFonts w:cs="Times New Roman"/>
            <w:sz w:val="20"/>
            <w:szCs w:val="20"/>
            <w:lang w:val="en-US"/>
          </w:rPr>
          <w:t>Id</w:t>
        </w:r>
        <w:r w:rsidRPr="00FD37F6">
          <w:rPr>
            <w:rStyle w:val="Hyperlink"/>
            <w:rFonts w:cs="Times New Roman"/>
            <w:sz w:val="20"/>
            <w:szCs w:val="20"/>
            <w:lang w:val="bg-BG"/>
          </w:rPr>
          <w:t>=90</w:t>
        </w:r>
      </w:hyperlink>
      <w:r w:rsidRPr="00FD37F6">
        <w:rPr>
          <w:rFonts w:cs="Times New Roman"/>
          <w:sz w:val="20"/>
          <w:szCs w:val="20"/>
          <w:lang w:val="bg-BG"/>
        </w:rPr>
        <w:t xml:space="preserve"> </w:t>
      </w:r>
    </w:p>
  </w:footnote>
  <w:footnote w:id="54">
    <w:p w14:paraId="5A49A1C6" w14:textId="2C5FFDB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6"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unesdoc</w:t>
        </w:r>
        <w:r w:rsidRPr="00FD37F6">
          <w:rPr>
            <w:rStyle w:val="Hyperlink"/>
            <w:rFonts w:cs="Times New Roman"/>
            <w:sz w:val="20"/>
            <w:szCs w:val="20"/>
            <w:lang w:val="bg-BG"/>
          </w:rPr>
          <w:t>.</w:t>
        </w:r>
        <w:r w:rsidRPr="00FD37F6">
          <w:rPr>
            <w:rStyle w:val="Hyperlink"/>
            <w:rFonts w:cs="Times New Roman"/>
            <w:sz w:val="20"/>
            <w:szCs w:val="20"/>
          </w:rPr>
          <w:t>unesco</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ark</w:t>
        </w:r>
        <w:r w:rsidRPr="00FD37F6">
          <w:rPr>
            <w:rStyle w:val="Hyperlink"/>
            <w:rFonts w:cs="Times New Roman"/>
            <w:sz w:val="20"/>
            <w:szCs w:val="20"/>
            <w:lang w:val="bg-BG"/>
          </w:rPr>
          <w:t>:/48223/</w:t>
        </w:r>
        <w:r w:rsidRPr="00FD37F6">
          <w:rPr>
            <w:rStyle w:val="Hyperlink"/>
            <w:rFonts w:cs="Times New Roman"/>
            <w:sz w:val="20"/>
            <w:szCs w:val="20"/>
          </w:rPr>
          <w:t>pf</w:t>
        </w:r>
        <w:r w:rsidRPr="00FD37F6">
          <w:rPr>
            <w:rStyle w:val="Hyperlink"/>
            <w:rFonts w:cs="Times New Roman"/>
            <w:sz w:val="20"/>
            <w:szCs w:val="20"/>
            <w:lang w:val="bg-BG"/>
          </w:rPr>
          <w:t>0000186559</w:t>
        </w:r>
      </w:hyperlink>
      <w:r w:rsidRPr="00FD37F6">
        <w:rPr>
          <w:rFonts w:cs="Times New Roman"/>
          <w:sz w:val="20"/>
          <w:szCs w:val="20"/>
          <w:lang w:val="bg-BG"/>
        </w:rPr>
        <w:t xml:space="preserve"> </w:t>
      </w:r>
    </w:p>
  </w:footnote>
  <w:footnote w:id="55">
    <w:p w14:paraId="026E525E" w14:textId="164D7437" w:rsidR="00C717D0" w:rsidRPr="00FD37F6" w:rsidRDefault="00C717D0" w:rsidP="00A43DF1">
      <w:pPr>
        <w:pStyle w:val="FootnoteText"/>
        <w:spacing w:after="20"/>
        <w:ind w:left="284" w:right="-45" w:hanging="284"/>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bg-BG"/>
        </w:rPr>
        <w:t>Е</w:t>
      </w:r>
      <w:r w:rsidRPr="00FD37F6">
        <w:rPr>
          <w:rFonts w:cs="Times New Roman"/>
          <w:sz w:val="20"/>
          <w:szCs w:val="20"/>
          <w:lang w:val="en-US"/>
        </w:rPr>
        <w:t xml:space="preserve">ropean Maritime Security Strategy </w:t>
      </w:r>
      <w:hyperlink r:id="rId37" w:history="1">
        <w:r w:rsidRPr="00FD37F6">
          <w:rPr>
            <w:rStyle w:val="Hyperlink"/>
            <w:rFonts w:cs="Times New Roman"/>
            <w:sz w:val="20"/>
            <w:szCs w:val="20"/>
          </w:rPr>
          <w:t>http://register.consilium.europa.eu/doc/srv?l=EN&amp;f=ST%2011205%202014%20INIT</w:t>
        </w:r>
      </w:hyperlink>
      <w:r w:rsidRPr="00FD37F6">
        <w:rPr>
          <w:rFonts w:cs="Times New Roman"/>
          <w:sz w:val="20"/>
          <w:szCs w:val="20"/>
          <w:lang w:val="bg-BG"/>
        </w:rPr>
        <w:t xml:space="preserve"> </w:t>
      </w:r>
    </w:p>
  </w:footnote>
  <w:footnote w:id="56">
    <w:p w14:paraId="51F1358D" w14:textId="02C2291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ec</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maritimeaffairs</w:t>
        </w:r>
        <w:r w:rsidRPr="00FD37F6">
          <w:rPr>
            <w:rStyle w:val="Hyperlink"/>
            <w:rFonts w:cs="Times New Roman"/>
            <w:sz w:val="20"/>
            <w:szCs w:val="20"/>
            <w:lang w:val="bg-BG"/>
          </w:rPr>
          <w:t>/</w:t>
        </w:r>
        <w:r w:rsidRPr="00FD37F6">
          <w:rPr>
            <w:rStyle w:val="Hyperlink"/>
            <w:rFonts w:cs="Times New Roman"/>
            <w:sz w:val="20"/>
            <w:szCs w:val="20"/>
          </w:rPr>
          <w:t>press</w:t>
        </w:r>
        <w:r w:rsidRPr="00FD37F6">
          <w:rPr>
            <w:rStyle w:val="Hyperlink"/>
            <w:rFonts w:cs="Times New Roman"/>
            <w:sz w:val="20"/>
            <w:szCs w:val="20"/>
            <w:lang w:val="bg-BG"/>
          </w:rPr>
          <w:t>/</w:t>
        </w:r>
        <w:r w:rsidRPr="00FD37F6">
          <w:rPr>
            <w:rStyle w:val="Hyperlink"/>
            <w:rFonts w:cs="Times New Roman"/>
            <w:sz w:val="20"/>
            <w:szCs w:val="20"/>
          </w:rPr>
          <w:t>common</w:t>
        </w:r>
        <w:r w:rsidRPr="00FD37F6">
          <w:rPr>
            <w:rStyle w:val="Hyperlink"/>
            <w:rFonts w:cs="Times New Roman"/>
            <w:sz w:val="20"/>
            <w:szCs w:val="20"/>
            <w:lang w:val="bg-BG"/>
          </w:rPr>
          <w:t>-</w:t>
        </w:r>
        <w:r w:rsidRPr="00FD37F6">
          <w:rPr>
            <w:rStyle w:val="Hyperlink"/>
            <w:rFonts w:cs="Times New Roman"/>
            <w:sz w:val="20"/>
            <w:szCs w:val="20"/>
          </w:rPr>
          <w:t>maritime</w:t>
        </w:r>
        <w:r w:rsidRPr="00FD37F6">
          <w:rPr>
            <w:rStyle w:val="Hyperlink"/>
            <w:rFonts w:cs="Times New Roman"/>
            <w:sz w:val="20"/>
            <w:szCs w:val="20"/>
            <w:lang w:val="bg-BG"/>
          </w:rPr>
          <w:t>-</w:t>
        </w:r>
        <w:r w:rsidRPr="00FD37F6">
          <w:rPr>
            <w:rStyle w:val="Hyperlink"/>
            <w:rFonts w:cs="Times New Roman"/>
            <w:sz w:val="20"/>
            <w:szCs w:val="20"/>
          </w:rPr>
          <w:t>agenda</w:t>
        </w:r>
        <w:r w:rsidRPr="00FD37F6">
          <w:rPr>
            <w:rStyle w:val="Hyperlink"/>
            <w:rFonts w:cs="Times New Roman"/>
            <w:sz w:val="20"/>
            <w:szCs w:val="20"/>
            <w:lang w:val="bg-BG"/>
          </w:rPr>
          <w:t>-</w:t>
        </w:r>
        <w:r w:rsidRPr="00FD37F6">
          <w:rPr>
            <w:rStyle w:val="Hyperlink"/>
            <w:rFonts w:cs="Times New Roman"/>
            <w:sz w:val="20"/>
            <w:szCs w:val="20"/>
          </w:rPr>
          <w:t>black</w:t>
        </w:r>
        <w:r w:rsidRPr="00FD37F6">
          <w:rPr>
            <w:rStyle w:val="Hyperlink"/>
            <w:rFonts w:cs="Times New Roman"/>
            <w:sz w:val="20"/>
            <w:szCs w:val="20"/>
            <w:lang w:val="bg-BG"/>
          </w:rPr>
          <w:t>-</w:t>
        </w:r>
        <w:r w:rsidRPr="00FD37F6">
          <w:rPr>
            <w:rStyle w:val="Hyperlink"/>
            <w:rFonts w:cs="Times New Roman"/>
            <w:sz w:val="20"/>
            <w:szCs w:val="20"/>
          </w:rPr>
          <w:t>sea</w:t>
        </w:r>
        <w:r w:rsidRPr="00FD37F6">
          <w:rPr>
            <w:rStyle w:val="Hyperlink"/>
            <w:rFonts w:cs="Times New Roman"/>
            <w:sz w:val="20"/>
            <w:szCs w:val="20"/>
            <w:lang w:val="bg-BG"/>
          </w:rPr>
          <w:t>-</w:t>
        </w:r>
        <w:r w:rsidRPr="00FD37F6">
          <w:rPr>
            <w:rStyle w:val="Hyperlink"/>
            <w:rFonts w:cs="Times New Roman"/>
            <w:sz w:val="20"/>
            <w:szCs w:val="20"/>
          </w:rPr>
          <w:t>motion</w:t>
        </w:r>
        <w:r w:rsidRPr="00FD37F6">
          <w:rPr>
            <w:rStyle w:val="Hyperlink"/>
            <w:rFonts w:cs="Times New Roman"/>
            <w:sz w:val="20"/>
            <w:szCs w:val="20"/>
            <w:lang w:val="bg-BG"/>
          </w:rPr>
          <w:t>_</w:t>
        </w:r>
        <w:r w:rsidRPr="00FD37F6">
          <w:rPr>
            <w:rStyle w:val="Hyperlink"/>
            <w:rFonts w:cs="Times New Roman"/>
            <w:sz w:val="20"/>
            <w:szCs w:val="20"/>
          </w:rPr>
          <w:t>en</w:t>
        </w:r>
      </w:hyperlink>
      <w:r w:rsidRPr="00FD37F6">
        <w:rPr>
          <w:rFonts w:cs="Times New Roman"/>
          <w:sz w:val="20"/>
          <w:szCs w:val="20"/>
          <w:lang w:val="bg-BG"/>
        </w:rPr>
        <w:t xml:space="preserve"> </w:t>
      </w:r>
    </w:p>
  </w:footnote>
  <w:footnote w:id="57">
    <w:p w14:paraId="78C0DEEF" w14:textId="4E3DCD71"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39"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page</w:t>
        </w:r>
        <w:r w:rsidRPr="00FD37F6">
          <w:rPr>
            <w:rStyle w:val="Hyperlink"/>
            <w:rFonts w:cs="Times New Roman"/>
            <w:sz w:val="20"/>
            <w:szCs w:val="20"/>
            <w:lang w:val="bg-BG"/>
          </w:rPr>
          <w:t>_1722859.</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58">
    <w:p w14:paraId="4CBE03F2" w14:textId="70CE803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0"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msfd</w:t>
        </w:r>
        <w:r w:rsidRPr="00FD37F6">
          <w:rPr>
            <w:rStyle w:val="Hyperlink"/>
            <w:rFonts w:cs="Times New Roman"/>
            <w:sz w:val="20"/>
            <w:szCs w:val="20"/>
            <w:lang w:val="bg-BG"/>
          </w:rPr>
          <w:t>_</w:t>
        </w:r>
        <w:r w:rsidRPr="00FD37F6">
          <w:rPr>
            <w:rStyle w:val="Hyperlink"/>
            <w:rFonts w:cs="Times New Roman"/>
            <w:sz w:val="20"/>
            <w:szCs w:val="20"/>
          </w:rPr>
          <w:t>monitoring</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59">
    <w:p w14:paraId="2A083241" w14:textId="5CDE76E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1"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merki</w:t>
        </w:r>
        <w:r w:rsidRPr="00FD37F6">
          <w:rPr>
            <w:rStyle w:val="Hyperlink"/>
            <w:rFonts w:cs="Times New Roman"/>
            <w:sz w:val="20"/>
            <w:szCs w:val="20"/>
            <w:lang w:val="bg-BG"/>
          </w:rPr>
          <w:t>_13_</w:t>
        </w:r>
        <w:r w:rsidRPr="00FD37F6">
          <w:rPr>
            <w:rStyle w:val="Hyperlink"/>
            <w:rFonts w:cs="Times New Roman"/>
            <w:sz w:val="20"/>
            <w:szCs w:val="20"/>
          </w:rPr>
          <w:t>rdms</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60">
    <w:p w14:paraId="40AD7B9B" w14:textId="0432BDF4"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2"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marine</w:t>
        </w:r>
        <w:r w:rsidRPr="00FD37F6">
          <w:rPr>
            <w:rStyle w:val="Hyperlink"/>
            <w:rFonts w:cs="Times New Roman"/>
            <w:sz w:val="20"/>
            <w:szCs w:val="20"/>
            <w:lang w:val="bg-BG"/>
          </w:rPr>
          <w:t>_</w:t>
        </w:r>
        <w:r w:rsidRPr="00FD37F6">
          <w:rPr>
            <w:rStyle w:val="Hyperlink"/>
            <w:rFonts w:cs="Times New Roman"/>
            <w:sz w:val="20"/>
            <w:szCs w:val="20"/>
          </w:rPr>
          <w:t>env</w:t>
        </w:r>
        <w:r w:rsidRPr="00FD37F6">
          <w:rPr>
            <w:rStyle w:val="Hyperlink"/>
            <w:rFonts w:cs="Times New Roman"/>
            <w:sz w:val="20"/>
            <w:szCs w:val="20"/>
            <w:lang w:val="bg-BG"/>
          </w:rPr>
          <w:t>_</w:t>
        </w:r>
        <w:r w:rsidRPr="00FD37F6">
          <w:rPr>
            <w:rStyle w:val="Hyperlink"/>
            <w:rFonts w:cs="Times New Roman"/>
            <w:sz w:val="20"/>
            <w:szCs w:val="20"/>
          </w:rPr>
          <w:t>assessment</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61">
    <w:p w14:paraId="469E93DC" w14:textId="45AEB7AD"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57/2004 г., изм. и доп. бр. 67/23.08.2019 г.</w:t>
      </w:r>
    </w:p>
  </w:footnote>
  <w:footnote w:id="62">
    <w:p w14:paraId="0647A7DD" w14:textId="54437571" w:rsidR="00C717D0" w:rsidRPr="00FD37F6" w:rsidRDefault="00C717D0" w:rsidP="00F00BE8">
      <w:pPr>
        <w:pStyle w:val="FootnoteText"/>
        <w:spacing w:after="20"/>
        <w:rPr>
          <w:rFonts w:cs="Times New Roman"/>
          <w:sz w:val="20"/>
          <w:szCs w:val="20"/>
          <w:lang w:val="en-US"/>
        </w:rPr>
      </w:pPr>
      <w:r w:rsidRPr="00FD37F6">
        <w:rPr>
          <w:rStyle w:val="FootnoteReference"/>
          <w:rFonts w:cs="Times New Roman"/>
          <w:sz w:val="20"/>
          <w:szCs w:val="20"/>
        </w:rPr>
        <w:footnoteRef/>
      </w:r>
      <w:r w:rsidRPr="00FD37F6">
        <w:rPr>
          <w:rFonts w:cs="Times New Roman"/>
          <w:sz w:val="20"/>
          <w:szCs w:val="20"/>
        </w:rPr>
        <w:t xml:space="preserve"> Guiding Principles for Sustainable Spatial Development of the European Continent, CEMAT. 2000 </w:t>
      </w:r>
      <w:hyperlink r:id="rId43" w:history="1">
        <w:r w:rsidRPr="00FD37F6">
          <w:rPr>
            <w:rStyle w:val="Hyperlink"/>
            <w:rFonts w:cs="Times New Roman"/>
            <w:sz w:val="20"/>
            <w:szCs w:val="20"/>
          </w:rPr>
          <w:t>https://rm.coe.int/1680700173</w:t>
        </w:r>
      </w:hyperlink>
      <w:r w:rsidRPr="00FD37F6">
        <w:rPr>
          <w:rFonts w:cs="Times New Roman"/>
          <w:sz w:val="20"/>
          <w:szCs w:val="20"/>
        </w:rPr>
        <w:t xml:space="preserve"> </w:t>
      </w:r>
    </w:p>
  </w:footnote>
  <w:footnote w:id="63">
    <w:p w14:paraId="7998EEA9" w14:textId="7E4D5664" w:rsidR="00C717D0" w:rsidRPr="00FD37F6" w:rsidRDefault="00C717D0" w:rsidP="00901BE7">
      <w:pPr>
        <w:pStyle w:val="FootnoteText"/>
        <w:spacing w:after="20"/>
        <w:ind w:right="-329"/>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hyperlink r:id="rId44" w:history="1">
        <w:r w:rsidRPr="00FD37F6">
          <w:rPr>
            <w:rStyle w:val="Hyperlink"/>
            <w:rFonts w:cs="Times New Roman"/>
            <w:sz w:val="20"/>
            <w:szCs w:val="20"/>
          </w:rPr>
          <w:t>http://www.tourism.government.bg/sites/tourism.government.bg/files/documents/2018-01/nsurtb_2014-2030.pdf</w:t>
        </w:r>
      </w:hyperlink>
      <w:r w:rsidRPr="00FD37F6">
        <w:rPr>
          <w:rFonts w:cs="Times New Roman"/>
          <w:sz w:val="20"/>
          <w:szCs w:val="20"/>
          <w:lang w:val="bg-BG"/>
        </w:rPr>
        <w:t xml:space="preserve"> </w:t>
      </w:r>
    </w:p>
  </w:footnote>
  <w:footnote w:id="64">
    <w:p w14:paraId="295951DC" w14:textId="31EE2CA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5"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mc</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files</w:t>
        </w:r>
        <w:r w:rsidRPr="00FD37F6">
          <w:rPr>
            <w:rStyle w:val="Hyperlink"/>
            <w:rFonts w:cs="Times New Roman"/>
            <w:sz w:val="20"/>
            <w:szCs w:val="20"/>
            <w:lang w:val="bg-BG"/>
          </w:rPr>
          <w:t>/5495_</w:t>
        </w:r>
        <w:r w:rsidRPr="00FD37F6">
          <w:rPr>
            <w:rStyle w:val="Hyperlink"/>
            <w:rFonts w:cs="Times New Roman"/>
            <w:sz w:val="20"/>
            <w:szCs w:val="20"/>
          </w:rPr>
          <w:t>Strategy</w:t>
        </w:r>
        <w:r w:rsidRPr="00FD37F6">
          <w:rPr>
            <w:rStyle w:val="Hyperlink"/>
            <w:rFonts w:cs="Times New Roman"/>
            <w:sz w:val="20"/>
            <w:szCs w:val="20"/>
            <w:lang w:val="bg-BG"/>
          </w:rPr>
          <w:t>_</w:t>
        </w:r>
        <w:r w:rsidRPr="00FD37F6">
          <w:rPr>
            <w:rStyle w:val="Hyperlink"/>
            <w:rFonts w:cs="Times New Roman"/>
            <w:sz w:val="20"/>
            <w:szCs w:val="20"/>
          </w:rPr>
          <w:t>culture</w:t>
        </w:r>
        <w:r w:rsidRPr="00FD37F6">
          <w:rPr>
            <w:rStyle w:val="Hyperlink"/>
            <w:rFonts w:cs="Times New Roman"/>
            <w:sz w:val="20"/>
            <w:szCs w:val="20"/>
            <w:lang w:val="bg-BG"/>
          </w:rPr>
          <w:t>_.</w:t>
        </w:r>
        <w:r w:rsidRPr="00FD37F6">
          <w:rPr>
            <w:rStyle w:val="Hyperlink"/>
            <w:rFonts w:cs="Times New Roman"/>
            <w:sz w:val="20"/>
            <w:szCs w:val="20"/>
          </w:rPr>
          <w:t>pdf</w:t>
        </w:r>
      </w:hyperlink>
      <w:r w:rsidRPr="00FD37F6">
        <w:rPr>
          <w:rFonts w:cs="Times New Roman"/>
          <w:sz w:val="20"/>
          <w:szCs w:val="20"/>
          <w:lang w:val="bg-BG"/>
        </w:rPr>
        <w:t xml:space="preserve"> </w:t>
      </w:r>
    </w:p>
  </w:footnote>
  <w:footnote w:id="65">
    <w:p w14:paraId="12686A20" w14:textId="455C1FC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6"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moew</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klimat</w:t>
        </w:r>
        <w:r w:rsidRPr="00FD37F6">
          <w:rPr>
            <w:rStyle w:val="Hyperlink"/>
            <w:rFonts w:cs="Times New Roman"/>
            <w:sz w:val="20"/>
            <w:szCs w:val="20"/>
            <w:lang w:val="bg-BG"/>
          </w:rPr>
          <w:t>/</w:t>
        </w:r>
        <w:r w:rsidRPr="00FD37F6">
          <w:rPr>
            <w:rStyle w:val="Hyperlink"/>
            <w:rFonts w:cs="Times New Roman"/>
            <w:sz w:val="20"/>
            <w:szCs w:val="20"/>
          </w:rPr>
          <w:t>mejdunarodni</w:t>
        </w:r>
        <w:r w:rsidRPr="00FD37F6">
          <w:rPr>
            <w:rStyle w:val="Hyperlink"/>
            <w:rFonts w:cs="Times New Roman"/>
            <w:sz w:val="20"/>
            <w:szCs w:val="20"/>
            <w:lang w:val="bg-BG"/>
          </w:rPr>
          <w:t>-</w:t>
        </w:r>
        <w:r w:rsidRPr="00FD37F6">
          <w:rPr>
            <w:rStyle w:val="Hyperlink"/>
            <w:rFonts w:cs="Times New Roman"/>
            <w:sz w:val="20"/>
            <w:szCs w:val="20"/>
          </w:rPr>
          <w:t>pregovori</w:t>
        </w:r>
        <w:r w:rsidRPr="00FD37F6">
          <w:rPr>
            <w:rStyle w:val="Hyperlink"/>
            <w:rFonts w:cs="Times New Roman"/>
            <w:sz w:val="20"/>
            <w:szCs w:val="20"/>
            <w:lang w:val="bg-BG"/>
          </w:rPr>
          <w:t>-</w:t>
        </w:r>
        <w:r w:rsidRPr="00FD37F6">
          <w:rPr>
            <w:rStyle w:val="Hyperlink"/>
            <w:rFonts w:cs="Times New Roman"/>
            <w:sz w:val="20"/>
            <w:szCs w:val="20"/>
          </w:rPr>
          <w:t>i</w:t>
        </w:r>
        <w:r w:rsidRPr="00FD37F6">
          <w:rPr>
            <w:rStyle w:val="Hyperlink"/>
            <w:rFonts w:cs="Times New Roman"/>
            <w:sz w:val="20"/>
            <w:szCs w:val="20"/>
            <w:lang w:val="bg-BG"/>
          </w:rPr>
          <w:t>-</w:t>
        </w:r>
        <w:r w:rsidRPr="00FD37F6">
          <w:rPr>
            <w:rStyle w:val="Hyperlink"/>
            <w:rFonts w:cs="Times New Roman"/>
            <w:sz w:val="20"/>
            <w:szCs w:val="20"/>
          </w:rPr>
          <w:t>adaptaciya</w:t>
        </w:r>
        <w:r w:rsidRPr="00FD37F6">
          <w:rPr>
            <w:rStyle w:val="Hyperlink"/>
            <w:rFonts w:cs="Times New Roman"/>
            <w:sz w:val="20"/>
            <w:szCs w:val="20"/>
            <w:lang w:val="bg-BG"/>
          </w:rPr>
          <w:t>/</w:t>
        </w:r>
        <w:r w:rsidRPr="00FD37F6">
          <w:rPr>
            <w:rStyle w:val="Hyperlink"/>
            <w:rFonts w:cs="Times New Roman"/>
            <w:sz w:val="20"/>
            <w:szCs w:val="20"/>
          </w:rPr>
          <w:t>adaptaciya</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66">
    <w:p w14:paraId="6855CC1C" w14:textId="59C1F32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7"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mrrb</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nacionalna</w:t>
        </w:r>
        <w:r w:rsidRPr="00FD37F6">
          <w:rPr>
            <w:rStyle w:val="Hyperlink"/>
            <w:rFonts w:cs="Times New Roman"/>
            <w:sz w:val="20"/>
            <w:szCs w:val="20"/>
            <w:lang w:val="bg-BG"/>
          </w:rPr>
          <w:t>-</w:t>
        </w:r>
        <w:r w:rsidRPr="00FD37F6">
          <w:rPr>
            <w:rStyle w:val="Hyperlink"/>
            <w:rFonts w:cs="Times New Roman"/>
            <w:sz w:val="20"/>
            <w:szCs w:val="20"/>
          </w:rPr>
          <w:t>programa</w:t>
        </w:r>
        <w:r w:rsidRPr="00FD37F6">
          <w:rPr>
            <w:rStyle w:val="Hyperlink"/>
            <w:rFonts w:cs="Times New Roman"/>
            <w:sz w:val="20"/>
            <w:szCs w:val="20"/>
            <w:lang w:val="bg-BG"/>
          </w:rPr>
          <w:t>-</w:t>
        </w:r>
        <w:r w:rsidRPr="00FD37F6">
          <w:rPr>
            <w:rStyle w:val="Hyperlink"/>
            <w:rFonts w:cs="Times New Roman"/>
            <w:sz w:val="20"/>
            <w:szCs w:val="20"/>
          </w:rPr>
          <w:t>za</w:t>
        </w:r>
        <w:r w:rsidRPr="00FD37F6">
          <w:rPr>
            <w:rStyle w:val="Hyperlink"/>
            <w:rFonts w:cs="Times New Roman"/>
            <w:sz w:val="20"/>
            <w:szCs w:val="20"/>
            <w:lang w:val="bg-BG"/>
          </w:rPr>
          <w:t>-</w:t>
        </w:r>
        <w:r w:rsidRPr="00FD37F6">
          <w:rPr>
            <w:rStyle w:val="Hyperlink"/>
            <w:rFonts w:cs="Times New Roman"/>
            <w:sz w:val="20"/>
            <w:szCs w:val="20"/>
          </w:rPr>
          <w:t>prevenciya</w:t>
        </w:r>
        <w:r w:rsidRPr="00FD37F6">
          <w:rPr>
            <w:rStyle w:val="Hyperlink"/>
            <w:rFonts w:cs="Times New Roman"/>
            <w:sz w:val="20"/>
            <w:szCs w:val="20"/>
            <w:lang w:val="bg-BG"/>
          </w:rPr>
          <w:t>-</w:t>
        </w:r>
        <w:r w:rsidRPr="00FD37F6">
          <w:rPr>
            <w:rStyle w:val="Hyperlink"/>
            <w:rFonts w:cs="Times New Roman"/>
            <w:sz w:val="20"/>
            <w:szCs w:val="20"/>
          </w:rPr>
          <w:t>i</w:t>
        </w:r>
        <w:r w:rsidRPr="00FD37F6">
          <w:rPr>
            <w:rStyle w:val="Hyperlink"/>
            <w:rFonts w:cs="Times New Roman"/>
            <w:sz w:val="20"/>
            <w:szCs w:val="20"/>
            <w:lang w:val="bg-BG"/>
          </w:rPr>
          <w:t>-</w:t>
        </w:r>
        <w:r w:rsidRPr="00FD37F6">
          <w:rPr>
            <w:rStyle w:val="Hyperlink"/>
            <w:rFonts w:cs="Times New Roman"/>
            <w:sz w:val="20"/>
            <w:szCs w:val="20"/>
          </w:rPr>
          <w:t>ogranichavane</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svlachistata</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teritoriyata</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republika</w:t>
        </w:r>
        <w:r w:rsidRPr="00FD37F6">
          <w:rPr>
            <w:rStyle w:val="Hyperlink"/>
            <w:rFonts w:cs="Times New Roman"/>
            <w:sz w:val="20"/>
            <w:szCs w:val="20"/>
            <w:lang w:val="bg-BG"/>
          </w:rPr>
          <w:t>-</w:t>
        </w:r>
        <w:r w:rsidRPr="00FD37F6">
          <w:rPr>
            <w:rStyle w:val="Hyperlink"/>
            <w:rFonts w:cs="Times New Roman"/>
            <w:sz w:val="20"/>
            <w:szCs w:val="20"/>
          </w:rPr>
          <w:t>bulgariya</w:t>
        </w:r>
        <w:r w:rsidRPr="00FD37F6">
          <w:rPr>
            <w:rStyle w:val="Hyperlink"/>
            <w:rFonts w:cs="Times New Roman"/>
            <w:sz w:val="20"/>
            <w:szCs w:val="20"/>
            <w:lang w:val="bg-BG"/>
          </w:rPr>
          <w:t>-</w:t>
        </w:r>
        <w:r w:rsidRPr="00FD37F6">
          <w:rPr>
            <w:rStyle w:val="Hyperlink"/>
            <w:rFonts w:cs="Times New Roman"/>
            <w:sz w:val="20"/>
            <w:szCs w:val="20"/>
          </w:rPr>
          <w:t>eroziyata</w:t>
        </w:r>
        <w:r w:rsidRPr="00FD37F6">
          <w:rPr>
            <w:rStyle w:val="Hyperlink"/>
            <w:rFonts w:cs="Times New Roman"/>
            <w:sz w:val="20"/>
            <w:szCs w:val="20"/>
            <w:lang w:val="bg-BG"/>
          </w:rPr>
          <w:t>-</w:t>
        </w:r>
        <w:r w:rsidRPr="00FD37F6">
          <w:rPr>
            <w:rStyle w:val="Hyperlink"/>
            <w:rFonts w:cs="Times New Roman"/>
            <w:sz w:val="20"/>
            <w:szCs w:val="20"/>
          </w:rPr>
          <w:t>i</w:t>
        </w:r>
        <w:r w:rsidRPr="00FD37F6">
          <w:rPr>
            <w:rStyle w:val="Hyperlink"/>
            <w:rFonts w:cs="Times New Roman"/>
            <w:sz w:val="20"/>
            <w:szCs w:val="20"/>
            <w:lang w:val="bg-BG"/>
          </w:rPr>
          <w:t>-</w:t>
        </w:r>
        <w:r w:rsidRPr="00FD37F6">
          <w:rPr>
            <w:rStyle w:val="Hyperlink"/>
            <w:rFonts w:cs="Times New Roman"/>
            <w:sz w:val="20"/>
            <w:szCs w:val="20"/>
          </w:rPr>
          <w:t>abraziyata</w:t>
        </w:r>
        <w:r w:rsidRPr="00FD37F6">
          <w:rPr>
            <w:rStyle w:val="Hyperlink"/>
            <w:rFonts w:cs="Times New Roman"/>
            <w:sz w:val="20"/>
            <w:szCs w:val="20"/>
            <w:lang w:val="bg-BG"/>
          </w:rPr>
          <w:t>-</w:t>
        </w:r>
        <w:r w:rsidRPr="00FD37F6">
          <w:rPr>
            <w:rStyle w:val="Hyperlink"/>
            <w:rFonts w:cs="Times New Roman"/>
            <w:sz w:val="20"/>
            <w:szCs w:val="20"/>
          </w:rPr>
          <w:t>po</w:t>
        </w:r>
        <w:r w:rsidRPr="00FD37F6">
          <w:rPr>
            <w:rStyle w:val="Hyperlink"/>
            <w:rFonts w:cs="Times New Roman"/>
            <w:sz w:val="20"/>
            <w:szCs w:val="20"/>
            <w:lang w:val="bg-BG"/>
          </w:rPr>
          <w:t>-</w:t>
        </w:r>
        <w:r w:rsidRPr="00FD37F6">
          <w:rPr>
            <w:rStyle w:val="Hyperlink"/>
            <w:rFonts w:cs="Times New Roman"/>
            <w:sz w:val="20"/>
            <w:szCs w:val="20"/>
          </w:rPr>
          <w:t>dunavskoto</w:t>
        </w:r>
        <w:r w:rsidRPr="00FD37F6">
          <w:rPr>
            <w:rStyle w:val="Hyperlink"/>
            <w:rFonts w:cs="Times New Roman"/>
            <w:sz w:val="20"/>
            <w:szCs w:val="20"/>
            <w:lang w:val="bg-BG"/>
          </w:rPr>
          <w:t>-</w:t>
        </w:r>
        <w:r w:rsidRPr="00FD37F6">
          <w:rPr>
            <w:rStyle w:val="Hyperlink"/>
            <w:rFonts w:cs="Times New Roman"/>
            <w:sz w:val="20"/>
            <w:szCs w:val="20"/>
          </w:rPr>
          <w:t>i</w:t>
        </w:r>
        <w:r w:rsidRPr="00FD37F6">
          <w:rPr>
            <w:rStyle w:val="Hyperlink"/>
            <w:rFonts w:cs="Times New Roman"/>
            <w:sz w:val="20"/>
            <w:szCs w:val="20"/>
            <w:lang w:val="bg-BG"/>
          </w:rPr>
          <w:t>-</w:t>
        </w:r>
        <w:r w:rsidRPr="00FD37F6">
          <w:rPr>
            <w:rStyle w:val="Hyperlink"/>
            <w:rFonts w:cs="Times New Roman"/>
            <w:sz w:val="20"/>
            <w:szCs w:val="20"/>
          </w:rPr>
          <w:t>chernomorskoto</w:t>
        </w:r>
        <w:r w:rsidRPr="00FD37F6">
          <w:rPr>
            <w:rStyle w:val="Hyperlink"/>
            <w:rFonts w:cs="Times New Roman"/>
            <w:sz w:val="20"/>
            <w:szCs w:val="20"/>
            <w:lang w:val="bg-BG"/>
          </w:rPr>
          <w:t>-</w:t>
        </w:r>
        <w:r w:rsidRPr="00FD37F6">
          <w:rPr>
            <w:rStyle w:val="Hyperlink"/>
            <w:rFonts w:cs="Times New Roman"/>
            <w:sz w:val="20"/>
            <w:szCs w:val="20"/>
          </w:rPr>
          <w:t>krajbrejie</w:t>
        </w:r>
        <w:r w:rsidRPr="00FD37F6">
          <w:rPr>
            <w:rStyle w:val="Hyperlink"/>
            <w:rFonts w:cs="Times New Roman"/>
            <w:sz w:val="20"/>
            <w:szCs w:val="20"/>
            <w:lang w:val="bg-BG"/>
          </w:rPr>
          <w:t>-2015-2020-</w:t>
        </w:r>
        <w:r w:rsidRPr="00FD37F6">
          <w:rPr>
            <w:rStyle w:val="Hyperlink"/>
            <w:rFonts w:cs="Times New Roman"/>
            <w:sz w:val="20"/>
            <w:szCs w:val="20"/>
          </w:rPr>
          <w:t>g</w:t>
        </w:r>
        <w:r w:rsidRPr="00FD37F6">
          <w:rPr>
            <w:rStyle w:val="Hyperlink"/>
            <w:rFonts w:cs="Times New Roman"/>
            <w:sz w:val="20"/>
            <w:szCs w:val="20"/>
            <w:lang w:val="bg-BG"/>
          </w:rPr>
          <w:t>-</w:t>
        </w:r>
        <w:r w:rsidRPr="00FD37F6">
          <w:rPr>
            <w:rStyle w:val="Hyperlink"/>
            <w:rFonts w:cs="Times New Roman"/>
            <w:sz w:val="20"/>
            <w:szCs w:val="20"/>
          </w:rPr>
          <w:t>i</w:t>
        </w:r>
        <w:r w:rsidRPr="00FD37F6">
          <w:rPr>
            <w:rStyle w:val="Hyperlink"/>
            <w:rFonts w:cs="Times New Roman"/>
            <w:sz w:val="20"/>
            <w:szCs w:val="20"/>
            <w:lang w:val="bg-BG"/>
          </w:rPr>
          <w:t>-</w:t>
        </w:r>
        <w:r w:rsidRPr="00FD37F6">
          <w:rPr>
            <w:rStyle w:val="Hyperlink"/>
            <w:rFonts w:cs="Times New Roman"/>
            <w:sz w:val="20"/>
            <w:szCs w:val="20"/>
          </w:rPr>
          <w:t>dopulnenie</w:t>
        </w:r>
        <w:r w:rsidRPr="00FD37F6">
          <w:rPr>
            <w:rStyle w:val="Hyperlink"/>
            <w:rFonts w:cs="Times New Roman"/>
            <w:sz w:val="20"/>
            <w:szCs w:val="20"/>
            <w:lang w:val="bg-BG"/>
          </w:rPr>
          <w:t>-</w:t>
        </w:r>
        <w:r w:rsidRPr="00FD37F6">
          <w:rPr>
            <w:rStyle w:val="Hyperlink"/>
            <w:rFonts w:cs="Times New Roman"/>
            <w:sz w:val="20"/>
            <w:szCs w:val="20"/>
          </w:rPr>
          <w:t>kum</w:t>
        </w:r>
        <w:r w:rsidRPr="00FD37F6">
          <w:rPr>
            <w:rStyle w:val="Hyperlink"/>
            <w:rFonts w:cs="Times New Roman"/>
            <w:sz w:val="20"/>
            <w:szCs w:val="20"/>
            <w:lang w:val="bg-BG"/>
          </w:rPr>
          <w:t>-</w:t>
        </w:r>
        <w:r w:rsidRPr="00FD37F6">
          <w:rPr>
            <w:rStyle w:val="Hyperlink"/>
            <w:rFonts w:cs="Times New Roman"/>
            <w:sz w:val="20"/>
            <w:szCs w:val="20"/>
          </w:rPr>
          <w:t>neya</w:t>
        </w:r>
        <w:r w:rsidRPr="00FD37F6">
          <w:rPr>
            <w:rStyle w:val="Hyperlink"/>
            <w:rFonts w:cs="Times New Roman"/>
            <w:sz w:val="20"/>
            <w:szCs w:val="20"/>
            <w:lang w:val="bg-BG"/>
          </w:rPr>
          <w:t>-</w:t>
        </w:r>
        <w:r w:rsidRPr="00FD37F6">
          <w:rPr>
            <w:rStyle w:val="Hyperlink"/>
            <w:rFonts w:cs="Times New Roman"/>
            <w:sz w:val="20"/>
            <w:szCs w:val="20"/>
          </w:rPr>
          <w:t>s</w:t>
        </w:r>
        <w:r w:rsidRPr="00FD37F6">
          <w:rPr>
            <w:rStyle w:val="Hyperlink"/>
            <w:rFonts w:cs="Times New Roman"/>
            <w:sz w:val="20"/>
            <w:szCs w:val="20"/>
            <w:lang w:val="bg-BG"/>
          </w:rPr>
          <w:t>-</w:t>
        </w:r>
        <w:r w:rsidRPr="00FD37F6">
          <w:rPr>
            <w:rStyle w:val="Hyperlink"/>
            <w:rFonts w:cs="Times New Roman"/>
            <w:sz w:val="20"/>
            <w:szCs w:val="20"/>
          </w:rPr>
          <w:t>novovuzniknali</w:t>
        </w:r>
        <w:r w:rsidRPr="00FD37F6">
          <w:rPr>
            <w:rStyle w:val="Hyperlink"/>
            <w:rFonts w:cs="Times New Roman"/>
            <w:sz w:val="20"/>
            <w:szCs w:val="20"/>
            <w:lang w:val="bg-BG"/>
          </w:rPr>
          <w:t>-77199/</w:t>
        </w:r>
      </w:hyperlink>
      <w:r w:rsidRPr="00FD37F6">
        <w:rPr>
          <w:rFonts w:cs="Times New Roman"/>
          <w:sz w:val="20"/>
          <w:szCs w:val="20"/>
          <w:lang w:val="bg-BG"/>
        </w:rPr>
        <w:t xml:space="preserve"> </w:t>
      </w:r>
    </w:p>
  </w:footnote>
  <w:footnote w:id="67">
    <w:p w14:paraId="4E5C5311" w14:textId="29BA522A" w:rsidR="00C717D0" w:rsidRPr="00FD37F6" w:rsidRDefault="00C717D0" w:rsidP="00901BE7">
      <w:pPr>
        <w:pStyle w:val="FootnoteText"/>
        <w:spacing w:after="20"/>
        <w:ind w:right="-187"/>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me</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themes</w:t>
        </w:r>
        <w:r w:rsidRPr="00FD37F6">
          <w:rPr>
            <w:rStyle w:val="Hyperlink"/>
            <w:rFonts w:cs="Times New Roman"/>
            <w:sz w:val="20"/>
            <w:szCs w:val="20"/>
            <w:lang w:val="bg-BG"/>
          </w:rPr>
          <w:t>/</w:t>
        </w:r>
        <w:r w:rsidRPr="00FD37F6">
          <w:rPr>
            <w:rStyle w:val="Hyperlink"/>
            <w:rFonts w:cs="Times New Roman"/>
            <w:sz w:val="20"/>
            <w:szCs w:val="20"/>
          </w:rPr>
          <w:t>energiina</w:t>
        </w:r>
        <w:r w:rsidRPr="00FD37F6">
          <w:rPr>
            <w:rStyle w:val="Hyperlink"/>
            <w:rFonts w:cs="Times New Roman"/>
            <w:sz w:val="20"/>
            <w:szCs w:val="20"/>
            <w:lang w:val="bg-BG"/>
          </w:rPr>
          <w:t>-</w:t>
        </w:r>
        <w:r w:rsidRPr="00FD37F6">
          <w:rPr>
            <w:rStyle w:val="Hyperlink"/>
            <w:rFonts w:cs="Times New Roman"/>
            <w:sz w:val="20"/>
            <w:szCs w:val="20"/>
          </w:rPr>
          <w:t>strategiya</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republika</w:t>
        </w:r>
        <w:r w:rsidRPr="00FD37F6">
          <w:rPr>
            <w:rStyle w:val="Hyperlink"/>
            <w:rFonts w:cs="Times New Roman"/>
            <w:sz w:val="20"/>
            <w:szCs w:val="20"/>
            <w:lang w:val="bg-BG"/>
          </w:rPr>
          <w:t>-</w:t>
        </w:r>
        <w:r w:rsidRPr="00FD37F6">
          <w:rPr>
            <w:rStyle w:val="Hyperlink"/>
            <w:rFonts w:cs="Times New Roman"/>
            <w:sz w:val="20"/>
            <w:szCs w:val="20"/>
          </w:rPr>
          <w:t>balgariya</w:t>
        </w:r>
        <w:r w:rsidRPr="00FD37F6">
          <w:rPr>
            <w:rStyle w:val="Hyperlink"/>
            <w:rFonts w:cs="Times New Roman"/>
            <w:sz w:val="20"/>
            <w:szCs w:val="20"/>
            <w:lang w:val="bg-BG"/>
          </w:rPr>
          <w:t>-</w:t>
        </w:r>
        <w:r w:rsidRPr="00FD37F6">
          <w:rPr>
            <w:rStyle w:val="Hyperlink"/>
            <w:rFonts w:cs="Times New Roman"/>
            <w:sz w:val="20"/>
            <w:szCs w:val="20"/>
          </w:rPr>
          <w:t>do</w:t>
        </w:r>
        <w:r w:rsidRPr="00FD37F6">
          <w:rPr>
            <w:rStyle w:val="Hyperlink"/>
            <w:rFonts w:cs="Times New Roman"/>
            <w:sz w:val="20"/>
            <w:szCs w:val="20"/>
            <w:lang w:val="bg-BG"/>
          </w:rPr>
          <w:t>-2020-</w:t>
        </w:r>
        <w:r w:rsidRPr="00FD37F6">
          <w:rPr>
            <w:rStyle w:val="Hyperlink"/>
            <w:rFonts w:cs="Times New Roman"/>
            <w:sz w:val="20"/>
            <w:szCs w:val="20"/>
          </w:rPr>
          <w:t>g</w:t>
        </w:r>
        <w:r w:rsidRPr="00FD37F6">
          <w:rPr>
            <w:rStyle w:val="Hyperlink"/>
            <w:rFonts w:cs="Times New Roman"/>
            <w:sz w:val="20"/>
            <w:szCs w:val="20"/>
            <w:lang w:val="bg-BG"/>
          </w:rPr>
          <w:t>-147-295.</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68">
    <w:p w14:paraId="5B120D73" w14:textId="73A3A43D"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49"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strategy</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PublicConsultations</w:t>
        </w:r>
        <w:r w:rsidRPr="00FD37F6">
          <w:rPr>
            <w:rStyle w:val="Hyperlink"/>
            <w:rFonts w:cs="Times New Roman"/>
            <w:sz w:val="20"/>
            <w:szCs w:val="20"/>
            <w:lang w:val="bg-BG"/>
          </w:rPr>
          <w:t>/</w:t>
        </w:r>
        <w:r w:rsidRPr="00FD37F6">
          <w:rPr>
            <w:rStyle w:val="Hyperlink"/>
            <w:rFonts w:cs="Times New Roman"/>
            <w:sz w:val="20"/>
            <w:szCs w:val="20"/>
          </w:rPr>
          <w:t>View</w:t>
        </w:r>
        <w:r w:rsidRPr="00FD37F6">
          <w:rPr>
            <w:rStyle w:val="Hyperlink"/>
            <w:rFonts w:cs="Times New Roman"/>
            <w:sz w:val="20"/>
            <w:szCs w:val="20"/>
            <w:lang w:val="bg-BG"/>
          </w:rPr>
          <w:t>.</w:t>
        </w:r>
        <w:r w:rsidRPr="00FD37F6">
          <w:rPr>
            <w:rStyle w:val="Hyperlink"/>
            <w:rFonts w:cs="Times New Roman"/>
            <w:sz w:val="20"/>
            <w:szCs w:val="20"/>
          </w:rPr>
          <w:t>aspx</w:t>
        </w:r>
        <w:r w:rsidRPr="00FD37F6">
          <w:rPr>
            <w:rStyle w:val="Hyperlink"/>
            <w:rFonts w:cs="Times New Roman"/>
            <w:sz w:val="20"/>
            <w:szCs w:val="20"/>
            <w:lang w:val="bg-BG"/>
          </w:rPr>
          <w:t>?</w:t>
        </w:r>
        <w:r w:rsidRPr="00FD37F6">
          <w:rPr>
            <w:rStyle w:val="Hyperlink"/>
            <w:rFonts w:cs="Times New Roman"/>
            <w:sz w:val="20"/>
            <w:szCs w:val="20"/>
          </w:rPr>
          <w:t>lang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&amp;</w:t>
        </w:r>
        <w:r w:rsidRPr="00FD37F6">
          <w:rPr>
            <w:rStyle w:val="Hyperlink"/>
            <w:rFonts w:cs="Times New Roman"/>
            <w:sz w:val="20"/>
            <w:szCs w:val="20"/>
          </w:rPr>
          <w:t>Id</w:t>
        </w:r>
        <w:r w:rsidRPr="00FD37F6">
          <w:rPr>
            <w:rStyle w:val="Hyperlink"/>
            <w:rFonts w:cs="Times New Roman"/>
            <w:sz w:val="20"/>
            <w:szCs w:val="20"/>
            <w:lang w:val="bg-BG"/>
          </w:rPr>
          <w:t>=2990</w:t>
        </w:r>
      </w:hyperlink>
      <w:r w:rsidRPr="00FD37F6">
        <w:rPr>
          <w:rFonts w:cs="Times New Roman"/>
          <w:sz w:val="20"/>
          <w:szCs w:val="20"/>
          <w:lang w:val="bg-BG"/>
        </w:rPr>
        <w:t xml:space="preserve"> </w:t>
      </w:r>
    </w:p>
  </w:footnote>
  <w:footnote w:id="69">
    <w:p w14:paraId="6400F7BF" w14:textId="60C33C51"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0"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strategy</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StrategicDocuments</w:t>
        </w:r>
        <w:r w:rsidRPr="00FD37F6">
          <w:rPr>
            <w:rStyle w:val="Hyperlink"/>
            <w:rFonts w:cs="Times New Roman"/>
            <w:sz w:val="20"/>
            <w:szCs w:val="20"/>
            <w:lang w:val="bg-BG"/>
          </w:rPr>
          <w:t>/</w:t>
        </w:r>
        <w:r w:rsidRPr="00FD37F6">
          <w:rPr>
            <w:rStyle w:val="Hyperlink"/>
            <w:rFonts w:cs="Times New Roman"/>
            <w:sz w:val="20"/>
            <w:szCs w:val="20"/>
          </w:rPr>
          <w:t>View</w:t>
        </w:r>
        <w:r w:rsidRPr="00FD37F6">
          <w:rPr>
            <w:rStyle w:val="Hyperlink"/>
            <w:rFonts w:cs="Times New Roman"/>
            <w:sz w:val="20"/>
            <w:szCs w:val="20"/>
            <w:lang w:val="bg-BG"/>
          </w:rPr>
          <w:t>.</w:t>
        </w:r>
        <w:r w:rsidRPr="00FD37F6">
          <w:rPr>
            <w:rStyle w:val="Hyperlink"/>
            <w:rFonts w:cs="Times New Roman"/>
            <w:sz w:val="20"/>
            <w:szCs w:val="20"/>
          </w:rPr>
          <w:t>aspx</w:t>
        </w:r>
        <w:r w:rsidRPr="00FD37F6">
          <w:rPr>
            <w:rStyle w:val="Hyperlink"/>
            <w:rFonts w:cs="Times New Roman"/>
            <w:sz w:val="20"/>
            <w:szCs w:val="20"/>
            <w:lang w:val="bg-BG"/>
          </w:rPr>
          <w:t>?</w:t>
        </w:r>
        <w:r w:rsidRPr="00FD37F6">
          <w:rPr>
            <w:rStyle w:val="Hyperlink"/>
            <w:rFonts w:cs="Times New Roman"/>
            <w:sz w:val="20"/>
            <w:szCs w:val="20"/>
          </w:rPr>
          <w:t>lang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&amp;</w:t>
        </w:r>
        <w:r w:rsidRPr="00FD37F6">
          <w:rPr>
            <w:rStyle w:val="Hyperlink"/>
            <w:rFonts w:cs="Times New Roman"/>
            <w:sz w:val="20"/>
            <w:szCs w:val="20"/>
          </w:rPr>
          <w:t>Id</w:t>
        </w:r>
        <w:r w:rsidRPr="00FD37F6">
          <w:rPr>
            <w:rStyle w:val="Hyperlink"/>
            <w:rFonts w:cs="Times New Roman"/>
            <w:sz w:val="20"/>
            <w:szCs w:val="20"/>
            <w:lang w:val="bg-BG"/>
          </w:rPr>
          <w:t>=781</w:t>
        </w:r>
      </w:hyperlink>
      <w:r w:rsidRPr="00FD37F6">
        <w:rPr>
          <w:rFonts w:cs="Times New Roman"/>
          <w:sz w:val="20"/>
          <w:szCs w:val="20"/>
          <w:lang w:val="bg-BG"/>
        </w:rPr>
        <w:t xml:space="preserve"> </w:t>
      </w:r>
    </w:p>
  </w:footnote>
  <w:footnote w:id="70">
    <w:p w14:paraId="48536494" w14:textId="2F3AE23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1"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marsplan</w:t>
        </w:r>
        <w:r w:rsidRPr="00FD37F6">
          <w:rPr>
            <w:rStyle w:val="Hyperlink"/>
            <w:rFonts w:cs="Times New Roman"/>
            <w:sz w:val="20"/>
            <w:szCs w:val="20"/>
            <w:lang w:val="bg-BG"/>
          </w:rPr>
          <w:t>.</w:t>
        </w:r>
        <w:r w:rsidRPr="00FD37F6">
          <w:rPr>
            <w:rStyle w:val="Hyperlink"/>
            <w:rFonts w:cs="Times New Roman"/>
            <w:sz w:val="20"/>
            <w:szCs w:val="20"/>
          </w:rPr>
          <w:t>ro</w:t>
        </w:r>
        <w:r w:rsidRPr="00FD37F6">
          <w:rPr>
            <w:rStyle w:val="Hyperlink"/>
            <w:rFonts w:cs="Times New Roman"/>
            <w:sz w:val="20"/>
            <w:szCs w:val="20"/>
            <w:lang w:val="bg-BG"/>
          </w:rPr>
          <w:t>/</w:t>
        </w:r>
        <w:r w:rsidRPr="00FD37F6">
          <w:rPr>
            <w:rStyle w:val="Hyperlink"/>
            <w:rFonts w:cs="Times New Roman"/>
            <w:sz w:val="20"/>
            <w:szCs w:val="20"/>
          </w:rPr>
          <w:t>en</w:t>
        </w:r>
        <w:r w:rsidRPr="00FD37F6">
          <w:rPr>
            <w:rStyle w:val="Hyperlink"/>
            <w:rFonts w:cs="Times New Roman"/>
            <w:sz w:val="20"/>
            <w:szCs w:val="20"/>
            <w:lang w:val="bg-BG"/>
          </w:rPr>
          <w:t>/</w:t>
        </w:r>
        <w:r w:rsidRPr="00FD37F6">
          <w:rPr>
            <w:rStyle w:val="Hyperlink"/>
            <w:rFonts w:cs="Times New Roman"/>
            <w:sz w:val="20"/>
            <w:szCs w:val="20"/>
          </w:rPr>
          <w:t>results</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71">
    <w:p w14:paraId="4AD112D5" w14:textId="6DB9F1FF"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86/1999 г., изм. </w:t>
      </w:r>
      <w:r w:rsidRPr="00390518">
        <w:rPr>
          <w:rFonts w:cs="Times New Roman"/>
          <w:sz w:val="20"/>
          <w:szCs w:val="20"/>
          <w:lang w:val="bg-BG"/>
        </w:rPr>
        <w:t>ДВ бр. 5/2018 г.</w:t>
      </w:r>
    </w:p>
  </w:footnote>
  <w:footnote w:id="72">
    <w:p w14:paraId="23A9C7A7" w14:textId="7C66CFE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2"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gz</w:t>
        </w:r>
        <w:r w:rsidRPr="00FD37F6">
          <w:rPr>
            <w:rStyle w:val="Hyperlink"/>
            <w:rFonts w:cs="Times New Roman"/>
            <w:sz w:val="20"/>
            <w:szCs w:val="20"/>
            <w:lang w:val="bg-BG"/>
          </w:rPr>
          <w:t>-</w:t>
        </w:r>
        <w:r w:rsidRPr="00FD37F6">
          <w:rPr>
            <w:rStyle w:val="Hyperlink"/>
            <w:rFonts w:cs="Times New Roman"/>
            <w:sz w:val="20"/>
            <w:szCs w:val="20"/>
          </w:rPr>
          <w:t>varna</w:t>
        </w:r>
        <w:r w:rsidRPr="00FD37F6">
          <w:rPr>
            <w:rStyle w:val="Hyperlink"/>
            <w:rFonts w:cs="Times New Roman"/>
            <w:sz w:val="20"/>
            <w:szCs w:val="20"/>
            <w:lang w:val="bg-BG"/>
          </w:rPr>
          <w:t>.</w:t>
        </w:r>
        <w:r w:rsidRPr="00FD37F6">
          <w:rPr>
            <w:rStyle w:val="Hyperlink"/>
            <w:rFonts w:cs="Times New Roman"/>
            <w:sz w:val="20"/>
            <w:szCs w:val="20"/>
          </w:rPr>
          <w:t>mrrb</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map</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73">
    <w:p w14:paraId="78227C6D" w14:textId="2CBCFE9A"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3"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marineregions</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gazetteer</w:t>
        </w:r>
        <w:r w:rsidRPr="00FD37F6">
          <w:rPr>
            <w:rStyle w:val="Hyperlink"/>
            <w:rFonts w:cs="Times New Roman"/>
            <w:sz w:val="20"/>
            <w:szCs w:val="20"/>
            <w:lang w:val="bg-BG"/>
          </w:rPr>
          <w:t>.</w:t>
        </w:r>
        <w:r w:rsidRPr="00FD37F6">
          <w:rPr>
            <w:rStyle w:val="Hyperlink"/>
            <w:rFonts w:cs="Times New Roman"/>
            <w:sz w:val="20"/>
            <w:szCs w:val="20"/>
          </w:rPr>
          <w:t>php</w:t>
        </w:r>
        <w:r w:rsidRPr="00FD37F6">
          <w:rPr>
            <w:rStyle w:val="Hyperlink"/>
            <w:rFonts w:cs="Times New Roman"/>
            <w:sz w:val="20"/>
            <w:szCs w:val="20"/>
            <w:lang w:val="bg-BG"/>
          </w:rPr>
          <w:t>?</w:t>
        </w:r>
        <w:r w:rsidRPr="00FD37F6">
          <w:rPr>
            <w:rStyle w:val="Hyperlink"/>
            <w:rFonts w:cs="Times New Roman"/>
            <w:sz w:val="20"/>
            <w:szCs w:val="20"/>
          </w:rPr>
          <w:t>p</w:t>
        </w:r>
        <w:r w:rsidRPr="00FD37F6">
          <w:rPr>
            <w:rStyle w:val="Hyperlink"/>
            <w:rFonts w:cs="Times New Roman"/>
            <w:sz w:val="20"/>
            <w:szCs w:val="20"/>
            <w:lang w:val="bg-BG"/>
          </w:rPr>
          <w:t>=</w:t>
        </w:r>
        <w:r w:rsidRPr="00FD37F6">
          <w:rPr>
            <w:rStyle w:val="Hyperlink"/>
            <w:rFonts w:cs="Times New Roman"/>
            <w:sz w:val="20"/>
            <w:szCs w:val="20"/>
          </w:rPr>
          <w:t>details</w:t>
        </w:r>
        <w:r w:rsidRPr="00FD37F6">
          <w:rPr>
            <w:rStyle w:val="Hyperlink"/>
            <w:rFonts w:cs="Times New Roman"/>
            <w:sz w:val="20"/>
            <w:szCs w:val="20"/>
            <w:lang w:val="bg-BG"/>
          </w:rPr>
          <w:t>&amp;</w:t>
        </w:r>
        <w:r w:rsidRPr="00FD37F6">
          <w:rPr>
            <w:rStyle w:val="Hyperlink"/>
            <w:rFonts w:cs="Times New Roman"/>
            <w:sz w:val="20"/>
            <w:szCs w:val="20"/>
          </w:rPr>
          <w:t>id</w:t>
        </w:r>
        <w:r w:rsidRPr="00FD37F6">
          <w:rPr>
            <w:rStyle w:val="Hyperlink"/>
            <w:rFonts w:cs="Times New Roman"/>
            <w:sz w:val="20"/>
            <w:szCs w:val="20"/>
            <w:lang w:val="bg-BG"/>
          </w:rPr>
          <w:t>=5672</w:t>
        </w:r>
      </w:hyperlink>
      <w:r w:rsidRPr="00FD37F6">
        <w:rPr>
          <w:rFonts w:cs="Times New Roman"/>
          <w:sz w:val="20"/>
          <w:szCs w:val="20"/>
          <w:lang w:val="bg-BG"/>
        </w:rPr>
        <w:t xml:space="preserve">) </w:t>
      </w:r>
    </w:p>
  </w:footnote>
  <w:footnote w:id="74">
    <w:p w14:paraId="710B07AF" w14:textId="1687FE29" w:rsidR="00C717D0" w:rsidRPr="00FD37F6" w:rsidRDefault="00C717D0">
      <w:pPr>
        <w:pStyle w:val="FootnoteText"/>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FD37F6">
        <w:rPr>
          <w:rFonts w:cs="Times New Roman"/>
          <w:color w:val="000000"/>
          <w:sz w:val="20"/>
          <w:szCs w:val="20"/>
          <w:lang w:val="bg-BG"/>
        </w:rPr>
        <w:t xml:space="preserve">ПУРБ 2016-2021, БДЧР </w:t>
      </w:r>
      <w:hyperlink r:id="rId54" w:history="1">
        <w:r w:rsidRPr="00FD37F6">
          <w:rPr>
            <w:rStyle w:val="Hyperlink"/>
            <w:rFonts w:cs="Times New Roman"/>
            <w:sz w:val="20"/>
            <w:szCs w:val="20"/>
            <w:lang w:val="bg-BG"/>
          </w:rPr>
          <w:t>https://bsbd.org/bg/purn_2016-2021.html</w:t>
        </w:r>
      </w:hyperlink>
    </w:p>
  </w:footnote>
  <w:footnote w:id="75">
    <w:p w14:paraId="7D7DEEE3" w14:textId="25D047FB" w:rsidR="00C717D0" w:rsidRPr="00FD37F6" w:rsidRDefault="00C717D0">
      <w:pPr>
        <w:pStyle w:val="FootnoteText"/>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5" w:history="1">
        <w:r w:rsidRPr="00FD37F6">
          <w:rPr>
            <w:rStyle w:val="Hyperlink"/>
            <w:rFonts w:cs="Times New Roman"/>
            <w:sz w:val="20"/>
            <w:szCs w:val="20"/>
            <w:lang w:val="bg-BG"/>
          </w:rPr>
          <w:t>https://bsbd.org/registri/spisyk%20ezera%20blata.01.2014.pdf</w:t>
        </w:r>
      </w:hyperlink>
    </w:p>
  </w:footnote>
  <w:footnote w:id="76">
    <w:p w14:paraId="5EE1C750" w14:textId="2F7EB2C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eastAsiaTheme="minorHAnsi" w:cs="Times New Roman"/>
          <w:sz w:val="20"/>
          <w:szCs w:val="20"/>
          <w:lang w:val="bg-BG" w:eastAsia="en-US" w:bidi="ar-SA"/>
        </w:rPr>
        <w:t xml:space="preserve"> </w:t>
      </w:r>
      <w:hyperlink r:id="rId56" w:history="1">
        <w:r w:rsidRPr="00FD37F6">
          <w:rPr>
            <w:rFonts w:eastAsiaTheme="minorHAnsi" w:cs="Times New Roman"/>
            <w:color w:val="0000FF"/>
            <w:sz w:val="20"/>
            <w:szCs w:val="20"/>
            <w:u w:val="single"/>
            <w:lang w:eastAsia="en-US" w:bidi="ar-SA"/>
          </w:rPr>
          <w:t>https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eur</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lex</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europa</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legal</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content</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BG</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TXT</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PDF</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uri</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CELEX</w:t>
        </w:r>
        <w:r w:rsidRPr="00FD37F6">
          <w:rPr>
            <w:rFonts w:eastAsiaTheme="minorHAnsi" w:cs="Times New Roman"/>
            <w:color w:val="0000FF"/>
            <w:sz w:val="20"/>
            <w:szCs w:val="20"/>
            <w:u w:val="single"/>
            <w:lang w:val="bg-BG" w:eastAsia="en-US" w:bidi="ar-SA"/>
          </w:rPr>
          <w:t>:32007</w:t>
        </w:r>
        <w:r w:rsidRPr="00FD37F6">
          <w:rPr>
            <w:rFonts w:eastAsiaTheme="minorHAnsi" w:cs="Times New Roman"/>
            <w:color w:val="0000FF"/>
            <w:sz w:val="20"/>
            <w:szCs w:val="20"/>
            <w:u w:val="single"/>
            <w:lang w:eastAsia="en-US" w:bidi="ar-SA"/>
          </w:rPr>
          <w:t>L</w:t>
        </w:r>
        <w:r w:rsidRPr="00FD37F6">
          <w:rPr>
            <w:rFonts w:eastAsiaTheme="minorHAnsi" w:cs="Times New Roman"/>
            <w:color w:val="0000FF"/>
            <w:sz w:val="20"/>
            <w:szCs w:val="20"/>
            <w:u w:val="single"/>
            <w:lang w:val="bg-BG" w:eastAsia="en-US" w:bidi="ar-SA"/>
          </w:rPr>
          <w:t>0060&amp;</w:t>
        </w:r>
        <w:r w:rsidRPr="00FD37F6">
          <w:rPr>
            <w:rFonts w:eastAsiaTheme="minorHAnsi" w:cs="Times New Roman"/>
            <w:color w:val="0000FF"/>
            <w:sz w:val="20"/>
            <w:szCs w:val="20"/>
            <w:u w:val="single"/>
            <w:lang w:eastAsia="en-US" w:bidi="ar-SA"/>
          </w:rPr>
          <w:t>from</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BG</w:t>
        </w:r>
      </w:hyperlink>
      <w:r w:rsidRPr="00FD37F6">
        <w:rPr>
          <w:rFonts w:cs="Times New Roman"/>
          <w:sz w:val="20"/>
          <w:szCs w:val="20"/>
          <w:lang w:val="bg-BG"/>
        </w:rPr>
        <w:t xml:space="preserve"> </w:t>
      </w:r>
    </w:p>
  </w:footnote>
  <w:footnote w:id="77">
    <w:p w14:paraId="285617E9" w14:textId="10430A9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7"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v</w:t>
        </w:r>
        <w:r w:rsidRPr="00FD37F6">
          <w:rPr>
            <w:rStyle w:val="Hyperlink"/>
            <w:rFonts w:cs="Times New Roman"/>
            <w:sz w:val="20"/>
            <w:szCs w:val="20"/>
            <w:lang w:val="bg-BG"/>
          </w:rPr>
          <w:t>2/</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index</w:t>
        </w:r>
        <w:r w:rsidRPr="00FD37F6">
          <w:rPr>
            <w:rStyle w:val="Hyperlink"/>
            <w:rFonts w:cs="Times New Roman"/>
            <w:sz w:val="20"/>
            <w:szCs w:val="20"/>
            <w:lang w:val="bg-BG"/>
          </w:rPr>
          <w:t>_</w:t>
        </w:r>
        <w:r w:rsidRPr="00FD37F6">
          <w:rPr>
            <w:rStyle w:val="Hyperlink"/>
            <w:rFonts w:cs="Times New Roman"/>
            <w:sz w:val="20"/>
            <w:szCs w:val="20"/>
          </w:rPr>
          <w:t>bg</w:t>
        </w:r>
        <w:r w:rsidRPr="00FD37F6">
          <w:rPr>
            <w:rStyle w:val="Hyperlink"/>
            <w:rFonts w:cs="Times New Roman"/>
            <w:sz w:val="20"/>
            <w:szCs w:val="20"/>
            <w:lang w:val="bg-BG"/>
          </w:rPr>
          <w:t>_2934486.</w:t>
        </w:r>
        <w:r w:rsidRPr="00FD37F6">
          <w:rPr>
            <w:rStyle w:val="Hyperlink"/>
            <w:rFonts w:cs="Times New Roman"/>
            <w:sz w:val="20"/>
            <w:szCs w:val="20"/>
          </w:rPr>
          <w:t>html</w:t>
        </w:r>
        <w:r w:rsidRPr="00FD37F6">
          <w:rPr>
            <w:rStyle w:val="Hyperlink"/>
            <w:rFonts w:cs="Times New Roman"/>
            <w:sz w:val="20"/>
            <w:szCs w:val="20"/>
            <w:lang w:val="bg-BG"/>
          </w:rPr>
          <w:t>?</w:t>
        </w:r>
        <w:r w:rsidRPr="00FD37F6">
          <w:rPr>
            <w:rStyle w:val="Hyperlink"/>
            <w:rFonts w:cs="Times New Roman"/>
            <w:sz w:val="20"/>
            <w:szCs w:val="20"/>
          </w:rPr>
          <w:t>URI</w:t>
        </w:r>
      </w:hyperlink>
      <w:r w:rsidRPr="00FD37F6">
        <w:rPr>
          <w:rFonts w:cs="Times New Roman"/>
          <w:sz w:val="20"/>
          <w:szCs w:val="20"/>
          <w:lang w:val="bg-BG"/>
        </w:rPr>
        <w:t xml:space="preserve">= </w:t>
      </w:r>
    </w:p>
  </w:footnote>
  <w:footnote w:id="78">
    <w:p w14:paraId="7785F980" w14:textId="1EA7178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eunis</w:t>
        </w:r>
        <w:r w:rsidRPr="00FD37F6">
          <w:rPr>
            <w:rStyle w:val="Hyperlink"/>
            <w:rFonts w:cs="Times New Roman"/>
            <w:sz w:val="20"/>
            <w:szCs w:val="20"/>
            <w:lang w:val="bg-BG"/>
          </w:rPr>
          <w:t>.</w:t>
        </w:r>
        <w:r w:rsidRPr="00FD37F6">
          <w:rPr>
            <w:rStyle w:val="Hyperlink"/>
            <w:rFonts w:cs="Times New Roman"/>
            <w:sz w:val="20"/>
            <w:szCs w:val="20"/>
          </w:rPr>
          <w:t>eea</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79">
    <w:p w14:paraId="23E05E02" w14:textId="521BFBB2" w:rsidR="00C717D0" w:rsidRPr="00FD37F6" w:rsidRDefault="00C717D0" w:rsidP="00C415D1">
      <w:pPr>
        <w:pStyle w:val="FootnoteText"/>
        <w:spacing w:after="20"/>
        <w:ind w:left="284" w:hanging="284"/>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59"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msp</w:t>
        </w:r>
        <w:r w:rsidRPr="00FD37F6">
          <w:rPr>
            <w:rStyle w:val="Hyperlink"/>
            <w:rFonts w:cs="Times New Roman"/>
            <w:sz w:val="20"/>
            <w:szCs w:val="20"/>
            <w:lang w:val="bg-BG"/>
          </w:rPr>
          <w:t>-</w:t>
        </w:r>
        <w:r w:rsidRPr="00FD37F6">
          <w:rPr>
            <w:rStyle w:val="Hyperlink"/>
            <w:rFonts w:cs="Times New Roman"/>
            <w:sz w:val="20"/>
            <w:szCs w:val="20"/>
          </w:rPr>
          <w:t>platform</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projects</w:t>
        </w:r>
        <w:r w:rsidRPr="00FD37F6">
          <w:rPr>
            <w:rStyle w:val="Hyperlink"/>
            <w:rFonts w:cs="Times New Roman"/>
            <w:sz w:val="20"/>
            <w:szCs w:val="20"/>
            <w:lang w:val="bg-BG"/>
          </w:rPr>
          <w:t>/</w:t>
        </w:r>
        <w:r w:rsidRPr="00FD37F6">
          <w:rPr>
            <w:rStyle w:val="Hyperlink"/>
            <w:rFonts w:cs="Times New Roman"/>
            <w:sz w:val="20"/>
            <w:szCs w:val="20"/>
          </w:rPr>
          <w:t>coconet</w:t>
        </w:r>
        <w:r w:rsidRPr="00FD37F6">
          <w:rPr>
            <w:rStyle w:val="Hyperlink"/>
            <w:rFonts w:cs="Times New Roman"/>
            <w:sz w:val="20"/>
            <w:szCs w:val="20"/>
            <w:lang w:val="bg-BG"/>
          </w:rPr>
          <w:t>-</w:t>
        </w:r>
        <w:r w:rsidRPr="00FD37F6">
          <w:rPr>
            <w:rStyle w:val="Hyperlink"/>
            <w:rFonts w:cs="Times New Roman"/>
            <w:sz w:val="20"/>
            <w:szCs w:val="20"/>
          </w:rPr>
          <w:t>towards</w:t>
        </w:r>
        <w:r w:rsidRPr="00FD37F6">
          <w:rPr>
            <w:rStyle w:val="Hyperlink"/>
            <w:rFonts w:cs="Times New Roman"/>
            <w:sz w:val="20"/>
            <w:szCs w:val="20"/>
            <w:lang w:val="bg-BG"/>
          </w:rPr>
          <w:t>-</w:t>
        </w:r>
        <w:r w:rsidRPr="00FD37F6">
          <w:rPr>
            <w:rStyle w:val="Hyperlink"/>
            <w:rFonts w:cs="Times New Roman"/>
            <w:sz w:val="20"/>
            <w:szCs w:val="20"/>
          </w:rPr>
          <w:t>coast</w:t>
        </w:r>
        <w:r w:rsidRPr="00FD37F6">
          <w:rPr>
            <w:rStyle w:val="Hyperlink"/>
            <w:rFonts w:cs="Times New Roman"/>
            <w:sz w:val="20"/>
            <w:szCs w:val="20"/>
            <w:lang w:val="bg-BG"/>
          </w:rPr>
          <w:t>-</w:t>
        </w:r>
        <w:r w:rsidRPr="00FD37F6">
          <w:rPr>
            <w:rStyle w:val="Hyperlink"/>
            <w:rFonts w:cs="Times New Roman"/>
            <w:sz w:val="20"/>
            <w:szCs w:val="20"/>
          </w:rPr>
          <w:t>coast</w:t>
        </w:r>
        <w:r w:rsidRPr="00FD37F6">
          <w:rPr>
            <w:rStyle w:val="Hyperlink"/>
            <w:rFonts w:cs="Times New Roman"/>
            <w:sz w:val="20"/>
            <w:szCs w:val="20"/>
            <w:lang w:val="bg-BG"/>
          </w:rPr>
          <w:t>-</w:t>
        </w:r>
        <w:r w:rsidRPr="00FD37F6">
          <w:rPr>
            <w:rStyle w:val="Hyperlink"/>
            <w:rFonts w:cs="Times New Roman"/>
            <w:sz w:val="20"/>
            <w:szCs w:val="20"/>
          </w:rPr>
          <w:t>networks</w:t>
        </w:r>
        <w:r w:rsidRPr="00FD37F6">
          <w:rPr>
            <w:rStyle w:val="Hyperlink"/>
            <w:rFonts w:cs="Times New Roman"/>
            <w:sz w:val="20"/>
            <w:szCs w:val="20"/>
            <w:lang w:val="bg-BG"/>
          </w:rPr>
          <w:t>-</w:t>
        </w:r>
        <w:r w:rsidRPr="00FD37F6">
          <w:rPr>
            <w:rStyle w:val="Hyperlink"/>
            <w:rFonts w:cs="Times New Roman"/>
            <w:sz w:val="20"/>
            <w:szCs w:val="20"/>
          </w:rPr>
          <w:t>marine</w:t>
        </w:r>
        <w:r w:rsidRPr="00FD37F6">
          <w:rPr>
            <w:rStyle w:val="Hyperlink"/>
            <w:rFonts w:cs="Times New Roman"/>
            <w:sz w:val="20"/>
            <w:szCs w:val="20"/>
            <w:lang w:val="bg-BG"/>
          </w:rPr>
          <w:t>-</w:t>
        </w:r>
        <w:r w:rsidRPr="00FD37F6">
          <w:rPr>
            <w:rStyle w:val="Hyperlink"/>
            <w:rFonts w:cs="Times New Roman"/>
            <w:sz w:val="20"/>
            <w:szCs w:val="20"/>
          </w:rPr>
          <w:t>protected</w:t>
        </w:r>
        <w:r w:rsidRPr="00FD37F6">
          <w:rPr>
            <w:rStyle w:val="Hyperlink"/>
            <w:rFonts w:cs="Times New Roman"/>
            <w:sz w:val="20"/>
            <w:szCs w:val="20"/>
            <w:lang w:val="bg-BG"/>
          </w:rPr>
          <w:t>-</w:t>
        </w:r>
        <w:r w:rsidRPr="00FD37F6">
          <w:rPr>
            <w:rStyle w:val="Hyperlink"/>
            <w:rFonts w:cs="Times New Roman"/>
            <w:sz w:val="20"/>
            <w:szCs w:val="20"/>
          </w:rPr>
          <w:t>areas</w:t>
        </w:r>
        <w:r w:rsidRPr="00FD37F6">
          <w:rPr>
            <w:rStyle w:val="Hyperlink"/>
            <w:rFonts w:cs="Times New Roman"/>
            <w:sz w:val="20"/>
            <w:szCs w:val="20"/>
            <w:lang w:val="bg-BG"/>
          </w:rPr>
          <w:t>-</w:t>
        </w:r>
        <w:r w:rsidRPr="00FD37F6">
          <w:rPr>
            <w:rStyle w:val="Hyperlink"/>
            <w:rFonts w:cs="Times New Roman"/>
            <w:sz w:val="20"/>
            <w:szCs w:val="20"/>
          </w:rPr>
          <w:t>shore</w:t>
        </w:r>
        <w:r w:rsidRPr="00FD37F6">
          <w:rPr>
            <w:rStyle w:val="Hyperlink"/>
            <w:rFonts w:cs="Times New Roman"/>
            <w:sz w:val="20"/>
            <w:szCs w:val="20"/>
            <w:lang w:val="bg-BG"/>
          </w:rPr>
          <w:t>-</w:t>
        </w:r>
        <w:r w:rsidRPr="00FD37F6">
          <w:rPr>
            <w:rStyle w:val="Hyperlink"/>
            <w:rFonts w:cs="Times New Roman"/>
            <w:sz w:val="20"/>
            <w:szCs w:val="20"/>
          </w:rPr>
          <w:t>high</w:t>
        </w:r>
        <w:r w:rsidRPr="00FD37F6">
          <w:rPr>
            <w:rStyle w:val="Hyperlink"/>
            <w:rFonts w:cs="Times New Roman"/>
            <w:sz w:val="20"/>
            <w:szCs w:val="20"/>
            <w:lang w:val="bg-BG"/>
          </w:rPr>
          <w:t>-</w:t>
        </w:r>
        <w:r w:rsidRPr="00FD37F6">
          <w:rPr>
            <w:rStyle w:val="Hyperlink"/>
            <w:rFonts w:cs="Times New Roman"/>
            <w:sz w:val="20"/>
            <w:szCs w:val="20"/>
          </w:rPr>
          <w:t>and</w:t>
        </w:r>
        <w:r w:rsidRPr="00FD37F6">
          <w:rPr>
            <w:rStyle w:val="Hyperlink"/>
            <w:rFonts w:cs="Times New Roman"/>
            <w:sz w:val="20"/>
            <w:szCs w:val="20"/>
            <w:lang w:val="bg-BG"/>
          </w:rPr>
          <w:t>-</w:t>
        </w:r>
        <w:r w:rsidRPr="00FD37F6">
          <w:rPr>
            <w:rStyle w:val="Hyperlink"/>
            <w:rFonts w:cs="Times New Roman"/>
            <w:sz w:val="20"/>
            <w:szCs w:val="20"/>
          </w:rPr>
          <w:t>deep</w:t>
        </w:r>
        <w:r w:rsidRPr="00FD37F6">
          <w:rPr>
            <w:rStyle w:val="Hyperlink"/>
            <w:rFonts w:cs="Times New Roman"/>
            <w:sz w:val="20"/>
            <w:szCs w:val="20"/>
            <w:lang w:val="bg-BG"/>
          </w:rPr>
          <w:t>-</w:t>
        </w:r>
        <w:r w:rsidRPr="00FD37F6">
          <w:rPr>
            <w:rStyle w:val="Hyperlink"/>
            <w:rFonts w:cs="Times New Roman"/>
            <w:sz w:val="20"/>
            <w:szCs w:val="20"/>
          </w:rPr>
          <w:t>sea</w:t>
        </w:r>
      </w:hyperlink>
      <w:r w:rsidRPr="00FD37F6">
        <w:rPr>
          <w:rFonts w:cs="Times New Roman"/>
          <w:sz w:val="20"/>
          <w:szCs w:val="20"/>
          <w:lang w:val="bg-BG"/>
        </w:rPr>
        <w:t xml:space="preserve"> </w:t>
      </w:r>
    </w:p>
  </w:footnote>
  <w:footnote w:id="80">
    <w:p w14:paraId="064DDF41" w14:textId="46E5D50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60"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perseus</w:t>
        </w:r>
        <w:r w:rsidRPr="00FD37F6">
          <w:rPr>
            <w:rStyle w:val="Hyperlink"/>
            <w:rFonts w:cs="Times New Roman"/>
            <w:sz w:val="20"/>
            <w:szCs w:val="20"/>
            <w:lang w:val="bg-BG"/>
          </w:rPr>
          <w:t>-</w:t>
        </w:r>
        <w:r w:rsidRPr="00FD37F6">
          <w:rPr>
            <w:rStyle w:val="Hyperlink"/>
            <w:rFonts w:cs="Times New Roman"/>
            <w:sz w:val="20"/>
            <w:szCs w:val="20"/>
          </w:rPr>
          <w:t>net</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site</w:t>
        </w:r>
        <w:r w:rsidRPr="00FD37F6">
          <w:rPr>
            <w:rStyle w:val="Hyperlink"/>
            <w:rFonts w:cs="Times New Roman"/>
            <w:sz w:val="20"/>
            <w:szCs w:val="20"/>
            <w:lang w:val="bg-BG"/>
          </w:rPr>
          <w:t>/</w:t>
        </w:r>
        <w:r w:rsidRPr="00FD37F6">
          <w:rPr>
            <w:rStyle w:val="Hyperlink"/>
            <w:rFonts w:cs="Times New Roman"/>
            <w:sz w:val="20"/>
            <w:szCs w:val="20"/>
          </w:rPr>
          <w:t>content</w:t>
        </w:r>
        <w:r w:rsidRPr="00FD37F6">
          <w:rPr>
            <w:rStyle w:val="Hyperlink"/>
            <w:rFonts w:cs="Times New Roman"/>
            <w:sz w:val="20"/>
            <w:szCs w:val="20"/>
            <w:lang w:val="bg-BG"/>
          </w:rPr>
          <w:t>.</w:t>
        </w:r>
        <w:r w:rsidRPr="00FD37F6">
          <w:rPr>
            <w:rStyle w:val="Hyperlink"/>
            <w:rFonts w:cs="Times New Roman"/>
            <w:sz w:val="20"/>
            <w:szCs w:val="20"/>
          </w:rPr>
          <w:t>php</w:t>
        </w:r>
      </w:hyperlink>
      <w:r w:rsidRPr="00FD37F6">
        <w:rPr>
          <w:rFonts w:cs="Times New Roman"/>
          <w:sz w:val="20"/>
          <w:szCs w:val="20"/>
          <w:lang w:val="bg-BG"/>
        </w:rPr>
        <w:t xml:space="preserve"> </w:t>
      </w:r>
    </w:p>
  </w:footnote>
  <w:footnote w:id="81">
    <w:p w14:paraId="2226FE37" w14:textId="3701ECB4"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61"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interreg</w:t>
        </w:r>
        <w:r w:rsidRPr="00FD37F6">
          <w:rPr>
            <w:rStyle w:val="Hyperlink"/>
            <w:rFonts w:cs="Times New Roman"/>
            <w:sz w:val="20"/>
            <w:szCs w:val="20"/>
            <w:lang w:val="bg-BG"/>
          </w:rPr>
          <w:t>-</w:t>
        </w:r>
        <w:r w:rsidRPr="00FD37F6">
          <w:rPr>
            <w:rStyle w:val="Hyperlink"/>
            <w:rFonts w:cs="Times New Roman"/>
            <w:sz w:val="20"/>
            <w:szCs w:val="20"/>
          </w:rPr>
          <w:t>balkanmed</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approved</w:t>
        </w:r>
        <w:r w:rsidRPr="00FD37F6">
          <w:rPr>
            <w:rStyle w:val="Hyperlink"/>
            <w:rFonts w:cs="Times New Roman"/>
            <w:sz w:val="20"/>
            <w:szCs w:val="20"/>
            <w:lang w:val="bg-BG"/>
          </w:rPr>
          <w:t>-</w:t>
        </w:r>
        <w:r w:rsidRPr="00FD37F6">
          <w:rPr>
            <w:rStyle w:val="Hyperlink"/>
            <w:rFonts w:cs="Times New Roman"/>
            <w:sz w:val="20"/>
            <w:szCs w:val="20"/>
          </w:rPr>
          <w:t>project</w:t>
        </w:r>
        <w:r w:rsidRPr="00FD37F6">
          <w:rPr>
            <w:rStyle w:val="Hyperlink"/>
            <w:rFonts w:cs="Times New Roman"/>
            <w:sz w:val="20"/>
            <w:szCs w:val="20"/>
            <w:lang w:val="bg-BG"/>
          </w:rPr>
          <w:t>/9/</w:t>
        </w:r>
      </w:hyperlink>
      <w:r w:rsidRPr="00FD37F6">
        <w:rPr>
          <w:rFonts w:cs="Times New Roman"/>
          <w:sz w:val="20"/>
          <w:szCs w:val="20"/>
          <w:lang w:val="bg-BG"/>
        </w:rPr>
        <w:t xml:space="preserve"> </w:t>
      </w:r>
    </w:p>
  </w:footnote>
  <w:footnote w:id="82">
    <w:p w14:paraId="03B8BEDA" w14:textId="7496D1F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62"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eur</w:t>
        </w:r>
        <w:r w:rsidRPr="00FD37F6">
          <w:rPr>
            <w:rStyle w:val="Hyperlink"/>
            <w:rFonts w:cs="Times New Roman"/>
            <w:sz w:val="20"/>
            <w:szCs w:val="20"/>
            <w:lang w:val="bg-BG"/>
          </w:rPr>
          <w:t>-</w:t>
        </w:r>
        <w:r w:rsidRPr="00FD37F6">
          <w:rPr>
            <w:rStyle w:val="Hyperlink"/>
            <w:rFonts w:cs="Times New Roman"/>
            <w:sz w:val="20"/>
            <w:szCs w:val="20"/>
          </w:rPr>
          <w:t>lex</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legal</w:t>
        </w:r>
        <w:r w:rsidRPr="00FD37F6">
          <w:rPr>
            <w:rStyle w:val="Hyperlink"/>
            <w:rFonts w:cs="Times New Roman"/>
            <w:sz w:val="20"/>
            <w:szCs w:val="20"/>
            <w:lang w:val="bg-BG"/>
          </w:rPr>
          <w:t>-</w:t>
        </w:r>
        <w:r w:rsidRPr="00FD37F6">
          <w:rPr>
            <w:rStyle w:val="Hyperlink"/>
            <w:rFonts w:cs="Times New Roman"/>
            <w:sz w:val="20"/>
            <w:szCs w:val="20"/>
          </w:rPr>
          <w:t>content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TXT</w:t>
        </w:r>
        <w:r w:rsidRPr="00FD37F6">
          <w:rPr>
            <w:rStyle w:val="Hyperlink"/>
            <w:rFonts w:cs="Times New Roman"/>
            <w:sz w:val="20"/>
            <w:szCs w:val="20"/>
            <w:lang w:val="bg-BG"/>
          </w:rPr>
          <w:t>/?</w:t>
        </w:r>
        <w:r w:rsidRPr="00FD37F6">
          <w:rPr>
            <w:rStyle w:val="Hyperlink"/>
            <w:rFonts w:cs="Times New Roman"/>
            <w:sz w:val="20"/>
            <w:szCs w:val="20"/>
          </w:rPr>
          <w:t>uri</w:t>
        </w:r>
        <w:r w:rsidRPr="00FD37F6">
          <w:rPr>
            <w:rStyle w:val="Hyperlink"/>
            <w:rFonts w:cs="Times New Roman"/>
            <w:sz w:val="20"/>
            <w:szCs w:val="20"/>
            <w:lang w:val="bg-BG"/>
          </w:rPr>
          <w:t>=</w:t>
        </w:r>
        <w:r w:rsidRPr="00FD37F6">
          <w:rPr>
            <w:rStyle w:val="Hyperlink"/>
            <w:rFonts w:cs="Times New Roman"/>
            <w:sz w:val="20"/>
            <w:szCs w:val="20"/>
          </w:rPr>
          <w:t>CELEX</w:t>
        </w:r>
        <w:r w:rsidRPr="00FD37F6">
          <w:rPr>
            <w:rStyle w:val="Hyperlink"/>
            <w:rFonts w:cs="Times New Roman"/>
            <w:sz w:val="20"/>
            <w:szCs w:val="20"/>
            <w:lang w:val="bg-BG"/>
          </w:rPr>
          <w:t>%3</w:t>
        </w:r>
        <w:r w:rsidRPr="00FD37F6">
          <w:rPr>
            <w:rStyle w:val="Hyperlink"/>
            <w:rFonts w:cs="Times New Roman"/>
            <w:sz w:val="20"/>
            <w:szCs w:val="20"/>
          </w:rPr>
          <w:t>A</w:t>
        </w:r>
        <w:r w:rsidRPr="00FD37F6">
          <w:rPr>
            <w:rStyle w:val="Hyperlink"/>
            <w:rFonts w:cs="Times New Roman"/>
            <w:sz w:val="20"/>
            <w:szCs w:val="20"/>
            <w:lang w:val="bg-BG"/>
          </w:rPr>
          <w:t>31992</w:t>
        </w:r>
        <w:r w:rsidRPr="00FD37F6">
          <w:rPr>
            <w:rStyle w:val="Hyperlink"/>
            <w:rFonts w:cs="Times New Roman"/>
            <w:sz w:val="20"/>
            <w:szCs w:val="20"/>
          </w:rPr>
          <w:t>L</w:t>
        </w:r>
        <w:r w:rsidRPr="00FD37F6">
          <w:rPr>
            <w:rStyle w:val="Hyperlink"/>
            <w:rFonts w:cs="Times New Roman"/>
            <w:sz w:val="20"/>
            <w:szCs w:val="20"/>
            <w:lang w:val="bg-BG"/>
          </w:rPr>
          <w:t>0043</w:t>
        </w:r>
      </w:hyperlink>
      <w:r w:rsidRPr="00FD37F6">
        <w:rPr>
          <w:rFonts w:cs="Times New Roman"/>
          <w:sz w:val="20"/>
          <w:szCs w:val="20"/>
          <w:lang w:val="bg-BG"/>
        </w:rPr>
        <w:t xml:space="preserve"> </w:t>
      </w:r>
    </w:p>
  </w:footnote>
  <w:footnote w:id="83">
    <w:p w14:paraId="4055055F" w14:textId="74CF06F5" w:rsidR="00C717D0" w:rsidRPr="00FD37F6" w:rsidRDefault="00C717D0" w:rsidP="00F00BE8">
      <w:pPr>
        <w:pStyle w:val="BodyText"/>
        <w:spacing w:before="0" w:after="20" w:line="240" w:lineRule="auto"/>
        <w:rPr>
          <w:rStyle w:val="FootnoteReference"/>
          <w:rFonts w:cs="Times New Roman"/>
          <w:sz w:val="20"/>
          <w:szCs w:val="20"/>
        </w:rPr>
      </w:pPr>
      <w:r w:rsidRPr="00FD37F6">
        <w:rPr>
          <w:rStyle w:val="FootnoteReference"/>
          <w:rFonts w:cs="Times New Roman"/>
          <w:sz w:val="20"/>
          <w:szCs w:val="20"/>
        </w:rPr>
        <w:footnoteRef/>
      </w:r>
      <w:r w:rsidRPr="00FD37F6">
        <w:rPr>
          <w:rFonts w:cs="Times New Roman"/>
          <w:sz w:val="20"/>
          <w:szCs w:val="20"/>
        </w:rPr>
        <w:t xml:space="preserve"> </w:t>
      </w:r>
      <w:hyperlink r:id="rId63" w:history="1">
        <w:r w:rsidRPr="00FD37F6">
          <w:rPr>
            <w:rStyle w:val="Hyperlink"/>
            <w:rFonts w:cs="Times New Roman"/>
            <w:sz w:val="20"/>
            <w:szCs w:val="20"/>
          </w:rPr>
          <w:t>http://eea.government.bg/bg/bio/opos/Finalni_rezultati_Deinost_6.pdf</w:t>
        </w:r>
      </w:hyperlink>
      <w:r w:rsidRPr="00FD37F6">
        <w:rPr>
          <w:rStyle w:val="FootnoteReference"/>
          <w:rFonts w:cs="Times New Roman"/>
          <w:sz w:val="20"/>
          <w:szCs w:val="20"/>
        </w:rPr>
        <w:t xml:space="preserve"> </w:t>
      </w:r>
    </w:p>
  </w:footnote>
  <w:footnote w:id="84">
    <w:p w14:paraId="4C219087" w14:textId="08A4FE6B" w:rsidR="00C717D0" w:rsidRPr="00FD37F6" w:rsidRDefault="00C717D0" w:rsidP="00F00BE8">
      <w:pPr>
        <w:pStyle w:val="FootnoteText"/>
        <w:spacing w:after="20"/>
        <w:rPr>
          <w:rFonts w:cs="Times New Roman"/>
          <w:sz w:val="20"/>
          <w:szCs w:val="20"/>
          <w:lang w:val="bg-BG"/>
        </w:rPr>
      </w:pPr>
      <w:r w:rsidRPr="00FD37F6">
        <w:rPr>
          <w:rStyle w:val="a5"/>
          <w:rFonts w:eastAsia="Times New Roman" w:cs="Times New Roman"/>
          <w:color w:val="000000"/>
          <w:sz w:val="20"/>
          <w:szCs w:val="20"/>
          <w:vertAlign w:val="superscript"/>
          <w:lang w:val="bg-BG" w:eastAsia="ar-SA"/>
        </w:rPr>
        <w:footnoteRef/>
      </w:r>
      <w:r w:rsidRPr="00FD37F6">
        <w:rPr>
          <w:rStyle w:val="a5"/>
          <w:rFonts w:eastAsia="Times New Roman" w:cs="Times New Roman"/>
          <w:color w:val="000000"/>
          <w:sz w:val="20"/>
          <w:szCs w:val="20"/>
          <w:vertAlign w:val="superscript"/>
          <w:lang w:val="bg-BG" w:eastAsia="ar-SA"/>
        </w:rPr>
        <w:t xml:space="preserve"> </w:t>
      </w:r>
      <w:hyperlink r:id="rId64" w:history="1">
        <w:r w:rsidRPr="00FD37F6">
          <w:rPr>
            <w:rStyle w:val="Hyperlink"/>
            <w:rFonts w:eastAsia="Times New Roman" w:cs="Times New Roman"/>
            <w:sz w:val="20"/>
            <w:szCs w:val="20"/>
            <w:lang w:eastAsia="ar-SA"/>
          </w:rPr>
          <w:t>http</w:t>
        </w:r>
        <w:r w:rsidRPr="00FD37F6">
          <w:rPr>
            <w:rStyle w:val="Hyperlink"/>
            <w:rFonts w:eastAsia="Times New Roman" w:cs="Times New Roman"/>
            <w:sz w:val="20"/>
            <w:szCs w:val="20"/>
            <w:lang w:val="bg-BG" w:eastAsia="ar-SA"/>
          </w:rPr>
          <w:t>://</w:t>
        </w:r>
        <w:r w:rsidRPr="00FD37F6">
          <w:rPr>
            <w:rStyle w:val="Hyperlink"/>
            <w:rFonts w:eastAsia="Times New Roman" w:cs="Times New Roman"/>
            <w:sz w:val="20"/>
            <w:szCs w:val="20"/>
            <w:lang w:eastAsia="ar-SA"/>
          </w:rPr>
          <w:t>www</w:t>
        </w:r>
        <w:r w:rsidRPr="00FD37F6">
          <w:rPr>
            <w:rStyle w:val="Hyperlink"/>
            <w:rFonts w:eastAsia="Times New Roman" w:cs="Times New Roman"/>
            <w:sz w:val="20"/>
            <w:szCs w:val="20"/>
            <w:lang w:val="bg-BG" w:eastAsia="ar-SA"/>
          </w:rPr>
          <w:t>.</w:t>
        </w:r>
        <w:r w:rsidRPr="00FD37F6">
          <w:rPr>
            <w:rStyle w:val="Hyperlink"/>
            <w:rFonts w:eastAsia="Times New Roman" w:cs="Times New Roman"/>
            <w:sz w:val="20"/>
            <w:szCs w:val="20"/>
            <w:lang w:eastAsia="ar-SA"/>
          </w:rPr>
          <w:t>bunarco</w:t>
        </w:r>
        <w:r w:rsidRPr="00FD37F6">
          <w:rPr>
            <w:rStyle w:val="Hyperlink"/>
            <w:rFonts w:eastAsia="Times New Roman" w:cs="Times New Roman"/>
            <w:sz w:val="20"/>
            <w:szCs w:val="20"/>
            <w:lang w:val="bg-BG" w:eastAsia="ar-SA"/>
          </w:rPr>
          <w:t>.</w:t>
        </w:r>
        <w:r w:rsidRPr="00FD37F6">
          <w:rPr>
            <w:rStyle w:val="Hyperlink"/>
            <w:rFonts w:eastAsia="Times New Roman" w:cs="Times New Roman"/>
            <w:sz w:val="20"/>
            <w:szCs w:val="20"/>
            <w:lang w:eastAsia="ar-SA"/>
          </w:rPr>
          <w:t>org</w:t>
        </w:r>
        <w:r w:rsidRPr="00FD37F6">
          <w:rPr>
            <w:rStyle w:val="Hyperlink"/>
            <w:rFonts w:eastAsia="Times New Roman" w:cs="Times New Roman"/>
            <w:sz w:val="20"/>
            <w:szCs w:val="20"/>
            <w:lang w:val="bg-BG" w:eastAsia="ar-SA"/>
          </w:rPr>
          <w:t>/</w:t>
        </w:r>
        <w:r w:rsidRPr="00FD37F6">
          <w:rPr>
            <w:rStyle w:val="Hyperlink"/>
            <w:rFonts w:eastAsia="Times New Roman" w:cs="Times New Roman"/>
            <w:sz w:val="20"/>
            <w:szCs w:val="20"/>
            <w:lang w:eastAsia="ar-SA"/>
          </w:rPr>
          <w:t>bg</w:t>
        </w:r>
        <w:r w:rsidRPr="00FD37F6">
          <w:rPr>
            <w:rStyle w:val="Hyperlink"/>
            <w:rFonts w:eastAsia="Times New Roman" w:cs="Times New Roman"/>
            <w:sz w:val="20"/>
            <w:szCs w:val="20"/>
            <w:lang w:val="bg-BG" w:eastAsia="ar-SA"/>
          </w:rPr>
          <w:t>/</w:t>
        </w:r>
        <w:r w:rsidRPr="00FD37F6">
          <w:rPr>
            <w:rStyle w:val="Hyperlink"/>
            <w:rFonts w:eastAsia="Times New Roman" w:cs="Times New Roman"/>
            <w:sz w:val="20"/>
            <w:szCs w:val="20"/>
            <w:lang w:eastAsia="ar-SA"/>
          </w:rPr>
          <w:t>dokladi</w:t>
        </w:r>
        <w:r w:rsidRPr="00FD37F6">
          <w:rPr>
            <w:rStyle w:val="Hyperlink"/>
            <w:rFonts w:eastAsia="Times New Roman" w:cs="Times New Roman"/>
            <w:sz w:val="20"/>
            <w:szCs w:val="20"/>
            <w:lang w:val="bg-BG" w:eastAsia="ar-SA"/>
          </w:rPr>
          <w:t>.</w:t>
        </w:r>
        <w:r w:rsidRPr="00FD37F6">
          <w:rPr>
            <w:rStyle w:val="Hyperlink"/>
            <w:rFonts w:eastAsia="Times New Roman" w:cs="Times New Roman"/>
            <w:sz w:val="20"/>
            <w:szCs w:val="20"/>
            <w:lang w:eastAsia="ar-SA"/>
          </w:rPr>
          <w:t>html</w:t>
        </w:r>
      </w:hyperlink>
      <w:r w:rsidRPr="00FD37F6">
        <w:rPr>
          <w:rFonts w:eastAsia="Times New Roman" w:cs="Times New Roman"/>
          <w:color w:val="000000"/>
          <w:sz w:val="20"/>
          <w:szCs w:val="20"/>
          <w:lang w:val="bg-BG" w:eastAsia="ar-SA"/>
        </w:rPr>
        <w:t xml:space="preserve"> </w:t>
      </w:r>
    </w:p>
  </w:footnote>
  <w:footnote w:id="85">
    <w:p w14:paraId="66C4CA97" w14:textId="7837D2C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65"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blacksea</w:t>
        </w:r>
        <w:r w:rsidRPr="00FD37F6">
          <w:rPr>
            <w:rStyle w:val="Hyperlink"/>
            <w:rFonts w:cs="Times New Roman"/>
            <w:sz w:val="20"/>
            <w:szCs w:val="20"/>
            <w:lang w:val="bg-BG"/>
          </w:rPr>
          <w:t>-</w:t>
        </w:r>
        <w:r w:rsidRPr="00FD37F6">
          <w:rPr>
            <w:rStyle w:val="Hyperlink"/>
            <w:rFonts w:cs="Times New Roman"/>
            <w:sz w:val="20"/>
            <w:szCs w:val="20"/>
          </w:rPr>
          <w:t>commission</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/_</w:t>
        </w:r>
        <w:r w:rsidRPr="00FD37F6">
          <w:rPr>
            <w:rStyle w:val="Hyperlink"/>
            <w:rFonts w:cs="Times New Roman"/>
            <w:sz w:val="20"/>
            <w:szCs w:val="20"/>
          </w:rPr>
          <w:t>publications</w:t>
        </w:r>
        <w:r w:rsidRPr="00FD37F6">
          <w:rPr>
            <w:rStyle w:val="Hyperlink"/>
            <w:rFonts w:cs="Times New Roman"/>
            <w:sz w:val="20"/>
            <w:szCs w:val="20"/>
            <w:lang w:val="bg-BG"/>
          </w:rPr>
          <w:t>.</w:t>
        </w:r>
        <w:r w:rsidRPr="00FD37F6">
          <w:rPr>
            <w:rStyle w:val="Hyperlink"/>
            <w:rFonts w:cs="Times New Roman"/>
            <w:sz w:val="20"/>
            <w:szCs w:val="20"/>
          </w:rPr>
          <w:t>asp</w:t>
        </w:r>
      </w:hyperlink>
      <w:r w:rsidRPr="00FD37F6">
        <w:rPr>
          <w:rFonts w:cs="Times New Roman"/>
          <w:sz w:val="20"/>
          <w:szCs w:val="20"/>
          <w:lang w:val="bg-BG"/>
        </w:rPr>
        <w:t xml:space="preserve"> </w:t>
      </w:r>
    </w:p>
  </w:footnote>
  <w:footnote w:id="86">
    <w:p w14:paraId="50DBFD95" w14:textId="62FD5EDC"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Обн. ДВ. бр. 133/1998 г., доп. ДВ бр. 1/03.01.2019 г.</w:t>
      </w:r>
    </w:p>
  </w:footnote>
  <w:footnote w:id="87">
    <w:p w14:paraId="229C0FDA" w14:textId="3254B810"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Обн. ДВ бр. 77/2002 г., изм. и доп. ДВ бр. 98/27.11.2018 г.</w:t>
      </w:r>
    </w:p>
  </w:footnote>
  <w:footnote w:id="88">
    <w:p w14:paraId="6F098EBF" w14:textId="2A4214A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Директива 92/43/ЕИО на Съвета от 21 май 1992 година за опазване на естествените местообитания и на дивата флора и фауна </w:t>
      </w:r>
    </w:p>
  </w:footnote>
  <w:footnote w:id="89">
    <w:p w14:paraId="5818E60D" w14:textId="0A57FF80"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vertAlign w:val="superscript"/>
          <w:lang w:val="bg-BG"/>
        </w:rPr>
        <w:t xml:space="preserve"> </w:t>
      </w:r>
      <w:r w:rsidRPr="00FD37F6">
        <w:rPr>
          <w:rFonts w:cs="Times New Roman"/>
          <w:sz w:val="20"/>
          <w:szCs w:val="20"/>
          <w:lang w:val="bg-BG"/>
        </w:rPr>
        <w:t>Директива 79/409/ЕИО на Съвета от 2 април 1979 г. за опазването на дивите птици</w:t>
      </w:r>
    </w:p>
  </w:footnote>
  <w:footnote w:id="90">
    <w:p w14:paraId="4A41AB2E" w14:textId="0F5154E8" w:rsidR="00C717D0" w:rsidRPr="00FD37F6" w:rsidRDefault="00C717D0" w:rsidP="00F00BE8">
      <w:pPr>
        <w:pStyle w:val="FootnoteText"/>
        <w:spacing w:after="20"/>
        <w:rPr>
          <w:rFonts w:cs="Times New Roman"/>
          <w:sz w:val="20"/>
          <w:szCs w:val="20"/>
          <w:lang w:val="bg-BG"/>
        </w:rPr>
      </w:pPr>
      <w:r w:rsidRPr="00FD37F6">
        <w:rPr>
          <w:rFonts w:cs="Times New Roman"/>
          <w:sz w:val="20"/>
          <w:szCs w:val="20"/>
        </w:rPr>
        <w:footnoteRef/>
      </w:r>
      <w:r w:rsidRPr="00FD37F6">
        <w:rPr>
          <w:rFonts w:cs="Times New Roman"/>
          <w:sz w:val="20"/>
          <w:szCs w:val="20"/>
          <w:lang w:val="bg-BG"/>
        </w:rPr>
        <w:t xml:space="preserve"> Приета на 2 февруари 1971 г. в град Рамсар, Иран. Подписана от България без задължение за ратификация в изпълнение на РМС № 389/18.11.1974 г., в сила от 24 януари 1976 г., изменена с Протокол от 3 декември 1982 г. </w:t>
      </w:r>
      <w:r w:rsidRPr="00FD37F6">
        <w:rPr>
          <w:rFonts w:cs="Times New Roman"/>
          <w:iCs/>
          <w:sz w:val="20"/>
          <w:szCs w:val="20"/>
          <w:lang w:val="bg-BG"/>
        </w:rPr>
        <w:t>(</w:t>
      </w:r>
      <w:r w:rsidRPr="00FD37F6">
        <w:rPr>
          <w:rFonts w:cs="Times New Roman"/>
          <w:sz w:val="20"/>
          <w:szCs w:val="20"/>
          <w:lang w:val="bg-BG"/>
        </w:rPr>
        <w:t>Париж</w:t>
      </w:r>
      <w:r w:rsidRPr="00FD37F6">
        <w:rPr>
          <w:rFonts w:cs="Times New Roman"/>
          <w:iCs/>
          <w:sz w:val="20"/>
          <w:szCs w:val="20"/>
          <w:lang w:val="bg-BG"/>
        </w:rPr>
        <w:t>),</w:t>
      </w:r>
      <w:r w:rsidRPr="00FD37F6">
        <w:rPr>
          <w:rFonts w:cs="Times New Roman"/>
          <w:sz w:val="20"/>
          <w:szCs w:val="20"/>
          <w:lang w:val="bg-BG"/>
        </w:rPr>
        <w:t xml:space="preserve"> влязъл в сила за България на 27 февруари 1986 г.</w:t>
      </w:r>
    </w:p>
  </w:footnote>
  <w:footnote w:id="91">
    <w:p w14:paraId="5450EB1C" w14:textId="0762C3E1"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w:t>
      </w:r>
      <w:hyperlink r:id="rId66" w:history="1">
        <w:r w:rsidRPr="00FD37F6">
          <w:rPr>
            <w:rStyle w:val="Hyperlink"/>
            <w:rFonts w:cs="Times New Roman"/>
            <w:sz w:val="20"/>
            <w:szCs w:val="20"/>
          </w:rPr>
          <w:t>https</w:t>
        </w:r>
        <w:r w:rsidRPr="00AA0892">
          <w:rPr>
            <w:rStyle w:val="Hyperlink"/>
            <w:rFonts w:cs="Times New Roman"/>
            <w:sz w:val="20"/>
            <w:szCs w:val="20"/>
            <w:lang w:val="bg-BG"/>
          </w:rPr>
          <w:t>://</w:t>
        </w:r>
        <w:r w:rsidRPr="00FD37F6">
          <w:rPr>
            <w:rStyle w:val="Hyperlink"/>
            <w:rFonts w:cs="Times New Roman"/>
            <w:sz w:val="20"/>
            <w:szCs w:val="20"/>
          </w:rPr>
          <w:t>www</w:t>
        </w:r>
        <w:r w:rsidRPr="00AA0892">
          <w:rPr>
            <w:rStyle w:val="Hyperlink"/>
            <w:rFonts w:cs="Times New Roman"/>
            <w:sz w:val="20"/>
            <w:szCs w:val="20"/>
            <w:lang w:val="bg-BG"/>
          </w:rPr>
          <w:t>.</w:t>
        </w:r>
        <w:r w:rsidRPr="00FD37F6">
          <w:rPr>
            <w:rStyle w:val="Hyperlink"/>
            <w:rFonts w:cs="Times New Roman"/>
            <w:sz w:val="20"/>
            <w:szCs w:val="20"/>
          </w:rPr>
          <w:t>moew</w:t>
        </w:r>
        <w:r w:rsidRPr="00AA0892">
          <w:rPr>
            <w:rStyle w:val="Hyperlink"/>
            <w:rFonts w:cs="Times New Roman"/>
            <w:sz w:val="20"/>
            <w:szCs w:val="20"/>
            <w:lang w:val="bg-BG"/>
          </w:rPr>
          <w:t>.</w:t>
        </w:r>
        <w:r w:rsidRPr="00FD37F6">
          <w:rPr>
            <w:rStyle w:val="Hyperlink"/>
            <w:rFonts w:cs="Times New Roman"/>
            <w:sz w:val="20"/>
            <w:szCs w:val="20"/>
          </w:rPr>
          <w:t>government</w:t>
        </w:r>
        <w:r w:rsidRPr="00AA0892">
          <w:rPr>
            <w:rStyle w:val="Hyperlink"/>
            <w:rFonts w:cs="Times New Roman"/>
            <w:sz w:val="20"/>
            <w:szCs w:val="20"/>
            <w:lang w:val="bg-BG"/>
          </w:rPr>
          <w:t>.</w:t>
        </w:r>
        <w:r w:rsidRPr="00FD37F6">
          <w:rPr>
            <w:rStyle w:val="Hyperlink"/>
            <w:rFonts w:cs="Times New Roman"/>
            <w:sz w:val="20"/>
            <w:szCs w:val="20"/>
          </w:rPr>
          <w:t>bg</w:t>
        </w:r>
        <w:r w:rsidRPr="00AA0892">
          <w:rPr>
            <w:rStyle w:val="Hyperlink"/>
            <w:rFonts w:cs="Times New Roman"/>
            <w:sz w:val="20"/>
            <w:szCs w:val="20"/>
            <w:lang w:val="bg-BG"/>
          </w:rPr>
          <w:t>/</w:t>
        </w:r>
        <w:r w:rsidRPr="00FD37F6">
          <w:rPr>
            <w:rStyle w:val="Hyperlink"/>
            <w:rFonts w:cs="Times New Roman"/>
            <w:sz w:val="20"/>
            <w:szCs w:val="20"/>
          </w:rPr>
          <w:t>static</w:t>
        </w:r>
        <w:r w:rsidRPr="00AA0892">
          <w:rPr>
            <w:rStyle w:val="Hyperlink"/>
            <w:rFonts w:cs="Times New Roman"/>
            <w:sz w:val="20"/>
            <w:szCs w:val="20"/>
            <w:lang w:val="bg-BG"/>
          </w:rPr>
          <w:t>/</w:t>
        </w:r>
        <w:r w:rsidRPr="00FD37F6">
          <w:rPr>
            <w:rStyle w:val="Hyperlink"/>
            <w:rFonts w:cs="Times New Roman"/>
            <w:sz w:val="20"/>
            <w:szCs w:val="20"/>
          </w:rPr>
          <w:t>media</w:t>
        </w:r>
        <w:r w:rsidRPr="00AA0892">
          <w:rPr>
            <w:rStyle w:val="Hyperlink"/>
            <w:rFonts w:cs="Times New Roman"/>
            <w:sz w:val="20"/>
            <w:szCs w:val="20"/>
            <w:lang w:val="bg-BG"/>
          </w:rPr>
          <w:t>/</w:t>
        </w:r>
        <w:r w:rsidRPr="00FD37F6">
          <w:rPr>
            <w:rStyle w:val="Hyperlink"/>
            <w:rFonts w:cs="Times New Roman"/>
            <w:sz w:val="20"/>
            <w:szCs w:val="20"/>
          </w:rPr>
          <w:t>ups</w:t>
        </w:r>
        <w:r w:rsidRPr="00AA0892">
          <w:rPr>
            <w:rStyle w:val="Hyperlink"/>
            <w:rFonts w:cs="Times New Roman"/>
            <w:sz w:val="20"/>
            <w:szCs w:val="20"/>
            <w:lang w:val="bg-BG"/>
          </w:rPr>
          <w:t>/</w:t>
        </w:r>
        <w:r w:rsidRPr="00FD37F6">
          <w:rPr>
            <w:rStyle w:val="Hyperlink"/>
            <w:rFonts w:cs="Times New Roman"/>
            <w:sz w:val="20"/>
            <w:szCs w:val="20"/>
          </w:rPr>
          <w:t>tiny</w:t>
        </w:r>
        <w:r w:rsidRPr="00AA0892">
          <w:rPr>
            <w:rStyle w:val="Hyperlink"/>
            <w:rFonts w:cs="Times New Roman"/>
            <w:sz w:val="20"/>
            <w:szCs w:val="20"/>
            <w:lang w:val="bg-BG"/>
          </w:rPr>
          <w:t>/</w:t>
        </w:r>
        <w:r w:rsidRPr="00FD37F6">
          <w:rPr>
            <w:rStyle w:val="Hyperlink"/>
            <w:rFonts w:cs="Times New Roman"/>
            <w:sz w:val="20"/>
            <w:szCs w:val="20"/>
          </w:rPr>
          <w:t>Press</w:t>
        </w:r>
        <w:r w:rsidRPr="00AA0892">
          <w:rPr>
            <w:rStyle w:val="Hyperlink"/>
            <w:rFonts w:cs="Times New Roman"/>
            <w:sz w:val="20"/>
            <w:szCs w:val="20"/>
            <w:lang w:val="bg-BG"/>
          </w:rPr>
          <w:t>/</w:t>
        </w:r>
        <w:r w:rsidRPr="00FD37F6">
          <w:rPr>
            <w:rStyle w:val="Hyperlink"/>
            <w:rFonts w:cs="Times New Roman"/>
            <w:sz w:val="20"/>
            <w:szCs w:val="20"/>
          </w:rPr>
          <w:t>Ramsar</w:t>
        </w:r>
        <w:r w:rsidRPr="00AA0892">
          <w:rPr>
            <w:rStyle w:val="Hyperlink"/>
            <w:rFonts w:cs="Times New Roman"/>
            <w:sz w:val="20"/>
            <w:szCs w:val="20"/>
            <w:lang w:val="bg-BG"/>
          </w:rPr>
          <w:t>-</w:t>
        </w:r>
        <w:r w:rsidRPr="00FD37F6">
          <w:rPr>
            <w:rStyle w:val="Hyperlink"/>
            <w:rFonts w:cs="Times New Roman"/>
            <w:sz w:val="20"/>
            <w:szCs w:val="20"/>
          </w:rPr>
          <w:t>knijka</w:t>
        </w:r>
        <w:r w:rsidRPr="00AA0892">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92">
    <w:p w14:paraId="3F58847D" w14:textId="33B20471"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hyperlink r:id="rId67"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moew</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static</w:t>
        </w:r>
        <w:r w:rsidRPr="00FD37F6">
          <w:rPr>
            <w:rStyle w:val="Hyperlink"/>
            <w:rFonts w:cs="Times New Roman"/>
            <w:sz w:val="20"/>
            <w:szCs w:val="20"/>
            <w:lang w:val="bg-BG"/>
          </w:rPr>
          <w:t>/</w:t>
        </w:r>
        <w:r w:rsidRPr="00FD37F6">
          <w:rPr>
            <w:rStyle w:val="Hyperlink"/>
            <w:rFonts w:cs="Times New Roman"/>
            <w:sz w:val="20"/>
            <w:szCs w:val="20"/>
          </w:rPr>
          <w:t>media</w:t>
        </w:r>
        <w:r w:rsidRPr="00FD37F6">
          <w:rPr>
            <w:rStyle w:val="Hyperlink"/>
            <w:rFonts w:cs="Times New Roman"/>
            <w:sz w:val="20"/>
            <w:szCs w:val="20"/>
            <w:lang w:val="bg-BG"/>
          </w:rPr>
          <w:t>/</w:t>
        </w:r>
        <w:r w:rsidRPr="00FD37F6">
          <w:rPr>
            <w:rStyle w:val="Hyperlink"/>
            <w:rFonts w:cs="Times New Roman"/>
            <w:sz w:val="20"/>
            <w:szCs w:val="20"/>
          </w:rPr>
          <w:t>ups</w:t>
        </w:r>
        <w:r w:rsidRPr="00FD37F6">
          <w:rPr>
            <w:rStyle w:val="Hyperlink"/>
            <w:rFonts w:cs="Times New Roman"/>
            <w:sz w:val="20"/>
            <w:szCs w:val="20"/>
            <w:lang w:val="bg-BG"/>
          </w:rPr>
          <w:t>/</w:t>
        </w:r>
        <w:r w:rsidRPr="00FD37F6">
          <w:rPr>
            <w:rStyle w:val="Hyperlink"/>
            <w:rFonts w:cs="Times New Roman"/>
            <w:sz w:val="20"/>
            <w:szCs w:val="20"/>
          </w:rPr>
          <w:t>tiny</w:t>
        </w:r>
        <w:r w:rsidRPr="00FD37F6">
          <w:rPr>
            <w:rStyle w:val="Hyperlink"/>
            <w:rFonts w:cs="Times New Roman"/>
            <w:sz w:val="20"/>
            <w:szCs w:val="20"/>
            <w:lang w:val="bg-BG"/>
          </w:rPr>
          <w:t>/</w:t>
        </w:r>
        <w:r w:rsidRPr="00FD37F6">
          <w:rPr>
            <w:rStyle w:val="Hyperlink"/>
            <w:rFonts w:cs="Times New Roman"/>
            <w:sz w:val="20"/>
            <w:szCs w:val="20"/>
          </w:rPr>
          <w:t>filebase</w:t>
        </w:r>
        <w:r w:rsidRPr="00FD37F6">
          <w:rPr>
            <w:rStyle w:val="Hyperlink"/>
            <w:rFonts w:cs="Times New Roman"/>
            <w:sz w:val="20"/>
            <w:szCs w:val="20"/>
            <w:lang w:val="bg-BG"/>
          </w:rPr>
          <w:t>/</w:t>
        </w:r>
        <w:r w:rsidRPr="00FD37F6">
          <w:rPr>
            <w:rStyle w:val="Hyperlink"/>
            <w:rFonts w:cs="Times New Roman"/>
            <w:sz w:val="20"/>
            <w:szCs w:val="20"/>
          </w:rPr>
          <w:t>Nature</w:t>
        </w:r>
        <w:r w:rsidRPr="00FD37F6">
          <w:rPr>
            <w:rStyle w:val="Hyperlink"/>
            <w:rFonts w:cs="Times New Roman"/>
            <w:sz w:val="20"/>
            <w:szCs w:val="20"/>
            <w:lang w:val="bg-BG"/>
          </w:rPr>
          <w:t>/</w:t>
        </w:r>
        <w:r w:rsidRPr="00FD37F6">
          <w:rPr>
            <w:rStyle w:val="Hyperlink"/>
            <w:rFonts w:cs="Times New Roman"/>
            <w:sz w:val="20"/>
            <w:szCs w:val="20"/>
          </w:rPr>
          <w:t>Natura</w:t>
        </w:r>
        <w:r w:rsidRPr="00FD37F6">
          <w:rPr>
            <w:rStyle w:val="Hyperlink"/>
            <w:rFonts w:cs="Times New Roman"/>
            <w:sz w:val="20"/>
            <w:szCs w:val="20"/>
            <w:lang w:val="bg-BG"/>
          </w:rPr>
          <w:t>%202000/</w:t>
        </w:r>
        <w:r w:rsidRPr="00FD37F6">
          <w:rPr>
            <w:rStyle w:val="Hyperlink"/>
            <w:rFonts w:cs="Times New Roman"/>
            <w:sz w:val="20"/>
            <w:szCs w:val="20"/>
          </w:rPr>
          <w:t>RAMSAR</w:t>
        </w:r>
        <w:r w:rsidRPr="00FD37F6">
          <w:rPr>
            <w:rStyle w:val="Hyperlink"/>
            <w:rFonts w:cs="Times New Roman"/>
            <w:sz w:val="20"/>
            <w:szCs w:val="20"/>
            <w:lang w:val="bg-BG"/>
          </w:rPr>
          <w:t>/</w:t>
        </w:r>
        <w:r w:rsidRPr="00FD37F6">
          <w:rPr>
            <w:rStyle w:val="Hyperlink"/>
            <w:rFonts w:cs="Times New Roman"/>
            <w:sz w:val="20"/>
            <w:szCs w:val="20"/>
          </w:rPr>
          <w:t>Black</w:t>
        </w:r>
        <w:r w:rsidRPr="00FD37F6">
          <w:rPr>
            <w:rStyle w:val="Hyperlink"/>
            <w:rFonts w:cs="Times New Roman"/>
            <w:sz w:val="20"/>
            <w:szCs w:val="20"/>
            <w:lang w:val="bg-BG"/>
          </w:rPr>
          <w:t>_</w:t>
        </w:r>
        <w:r w:rsidRPr="00FD37F6">
          <w:rPr>
            <w:rStyle w:val="Hyperlink"/>
            <w:rFonts w:cs="Times New Roman"/>
            <w:sz w:val="20"/>
            <w:szCs w:val="20"/>
          </w:rPr>
          <w:t>Sea</w:t>
        </w:r>
        <w:r w:rsidRPr="00FD37F6">
          <w:rPr>
            <w:rStyle w:val="Hyperlink"/>
            <w:rFonts w:cs="Times New Roman"/>
            <w:sz w:val="20"/>
            <w:szCs w:val="20"/>
            <w:lang w:val="bg-BG"/>
          </w:rPr>
          <w:t>_</w:t>
        </w:r>
        <w:r w:rsidRPr="00FD37F6">
          <w:rPr>
            <w:rStyle w:val="Hyperlink"/>
            <w:rFonts w:cs="Times New Roman"/>
            <w:sz w:val="20"/>
            <w:szCs w:val="20"/>
          </w:rPr>
          <w:t>Wet</w:t>
        </w:r>
        <w:r w:rsidRPr="00FD37F6">
          <w:rPr>
            <w:rStyle w:val="Hyperlink"/>
            <w:rFonts w:cs="Times New Roman"/>
            <w:sz w:val="20"/>
            <w:szCs w:val="20"/>
            <w:lang w:val="bg-BG"/>
          </w:rPr>
          <w:t>_</w:t>
        </w:r>
        <w:r w:rsidRPr="00FD37F6">
          <w:rPr>
            <w:rStyle w:val="Hyperlink"/>
            <w:rFonts w:cs="Times New Roman"/>
            <w:sz w:val="20"/>
            <w:szCs w:val="20"/>
          </w:rPr>
          <w:t>Catalog</w:t>
        </w:r>
        <w:r w:rsidRPr="00FD37F6">
          <w:rPr>
            <w:rStyle w:val="Hyperlink"/>
            <w:rFonts w:cs="Times New Roman"/>
            <w:sz w:val="20"/>
            <w:szCs w:val="20"/>
            <w:lang w:val="bg-BG"/>
          </w:rPr>
          <w:t>-</w:t>
        </w:r>
        <w:r w:rsidRPr="00FD37F6">
          <w:rPr>
            <w:rStyle w:val="Hyperlink"/>
            <w:rFonts w:cs="Times New Roman"/>
            <w:sz w:val="20"/>
            <w:szCs w:val="20"/>
          </w:rPr>
          <w:t>Final</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93">
    <w:p w14:paraId="41DF77CB" w14:textId="1D439941" w:rsidR="00C717D0" w:rsidRPr="00FD37F6" w:rsidRDefault="00C717D0" w:rsidP="00F00BE8">
      <w:pPr>
        <w:pStyle w:val="FootnoteText"/>
        <w:spacing w:after="20"/>
        <w:rPr>
          <w:rFonts w:cs="Times New Roman"/>
          <w:sz w:val="20"/>
          <w:szCs w:val="20"/>
        </w:rPr>
      </w:pPr>
      <w:hyperlink r:id="rId68" w:history="1">
        <w:r w:rsidRPr="00FD37F6">
          <w:rPr>
            <w:rStyle w:val="Hyperlink"/>
            <w:rFonts w:cs="Times New Roman"/>
            <w:color w:val="auto"/>
            <w:sz w:val="20"/>
            <w:szCs w:val="20"/>
            <w:u w:val="none"/>
            <w:vertAlign w:val="superscript"/>
          </w:rPr>
          <w:footnoteRef/>
        </w:r>
        <w:r w:rsidRPr="00FD37F6">
          <w:rPr>
            <w:rStyle w:val="Hyperlink"/>
            <w:rFonts w:cs="Times New Roman"/>
            <w:color w:val="auto"/>
            <w:sz w:val="20"/>
            <w:szCs w:val="20"/>
            <w:u w:val="none"/>
            <w:lang w:val="bg-BG"/>
          </w:rPr>
          <w:t xml:space="preserve"> </w:t>
        </w:r>
        <w:r w:rsidRPr="00FD37F6">
          <w:rPr>
            <w:rStyle w:val="Hyperlink"/>
            <w:rFonts w:cs="Times New Roman"/>
            <w:sz w:val="20"/>
            <w:szCs w:val="20"/>
          </w:rPr>
          <w:t>http</w:t>
        </w:r>
      </w:hyperlink>
      <w:hyperlink r:id="rId69">
        <w:r w:rsidRPr="00FD37F6">
          <w:rPr>
            <w:rStyle w:val="a1"/>
            <w:rFonts w:cs="Times New Roman"/>
            <w:color w:val="0000FF"/>
            <w:sz w:val="20"/>
            <w:szCs w:val="20"/>
            <w:lang w:val="bg-BG"/>
          </w:rPr>
          <w:t>://</w:t>
        </w:r>
      </w:hyperlink>
      <w:hyperlink r:id="rId70">
        <w:r w:rsidRPr="00FD37F6">
          <w:rPr>
            <w:rStyle w:val="a1"/>
            <w:rFonts w:cs="Times New Roman"/>
            <w:color w:val="0000FF"/>
            <w:sz w:val="20"/>
            <w:szCs w:val="20"/>
          </w:rPr>
          <w:t>bbf</w:t>
        </w:r>
      </w:hyperlink>
      <w:hyperlink r:id="rId71">
        <w:r w:rsidRPr="00FD37F6">
          <w:rPr>
            <w:rStyle w:val="a1"/>
            <w:rFonts w:cs="Times New Roman"/>
            <w:color w:val="0000FF"/>
            <w:sz w:val="20"/>
            <w:szCs w:val="20"/>
            <w:lang w:val="bg-BG"/>
          </w:rPr>
          <w:t>.</w:t>
        </w:r>
      </w:hyperlink>
      <w:hyperlink r:id="rId72">
        <w:r w:rsidRPr="00FD37F6">
          <w:rPr>
            <w:rStyle w:val="a1"/>
            <w:rFonts w:cs="Times New Roman"/>
            <w:color w:val="0000FF"/>
            <w:sz w:val="20"/>
            <w:szCs w:val="20"/>
          </w:rPr>
          <w:t>biodiversity</w:t>
        </w:r>
      </w:hyperlink>
      <w:hyperlink r:id="rId73">
        <w:r w:rsidRPr="00FD37F6">
          <w:rPr>
            <w:rStyle w:val="a1"/>
            <w:rFonts w:cs="Times New Roman"/>
            <w:color w:val="0000FF"/>
            <w:sz w:val="20"/>
            <w:szCs w:val="20"/>
            <w:lang w:val="bg-BG"/>
          </w:rPr>
          <w:t>.</w:t>
        </w:r>
      </w:hyperlink>
      <w:hyperlink r:id="rId74">
        <w:r w:rsidRPr="00FD37F6">
          <w:rPr>
            <w:rStyle w:val="a1"/>
            <w:rFonts w:cs="Times New Roman"/>
            <w:color w:val="0000FF"/>
            <w:sz w:val="20"/>
            <w:szCs w:val="20"/>
          </w:rPr>
          <w:t>bg</w:t>
        </w:r>
      </w:hyperlink>
      <w:hyperlink r:id="rId75">
        <w:r w:rsidRPr="00FD37F6">
          <w:rPr>
            <w:rStyle w:val="a1"/>
            <w:rFonts w:cs="Times New Roman"/>
            <w:color w:val="0000FF"/>
            <w:sz w:val="20"/>
            <w:szCs w:val="20"/>
            <w:lang w:val="bg-BG"/>
          </w:rPr>
          <w:t>/</w:t>
        </w:r>
      </w:hyperlink>
      <w:hyperlink r:id="rId76">
        <w:r w:rsidRPr="00FD37F6">
          <w:rPr>
            <w:rStyle w:val="a1"/>
            <w:rFonts w:cs="Times New Roman"/>
            <w:color w:val="0000FF"/>
            <w:sz w:val="20"/>
            <w:szCs w:val="20"/>
          </w:rPr>
          <w:t>bg</w:t>
        </w:r>
      </w:hyperlink>
      <w:hyperlink r:id="rId77">
        <w:r w:rsidRPr="00FD37F6">
          <w:rPr>
            <w:rStyle w:val="a1"/>
            <w:rFonts w:cs="Times New Roman"/>
            <w:color w:val="0000FF"/>
            <w:sz w:val="20"/>
            <w:szCs w:val="20"/>
            <w:lang w:val="bg-BG"/>
          </w:rPr>
          <w:t>/</w:t>
        </w:r>
      </w:hyperlink>
      <w:hyperlink r:id="rId78">
        <w:r w:rsidRPr="00FD37F6">
          <w:rPr>
            <w:rStyle w:val="a1"/>
            <w:rFonts w:cs="Times New Roman"/>
            <w:color w:val="0000FF"/>
            <w:sz w:val="20"/>
            <w:szCs w:val="20"/>
          </w:rPr>
          <w:t>Uzunbudzhak</w:t>
        </w:r>
      </w:hyperlink>
      <w:hyperlink r:id="rId79">
        <w:r w:rsidRPr="00FD37F6">
          <w:rPr>
            <w:rStyle w:val="a1"/>
            <w:rFonts w:cs="Times New Roman"/>
            <w:color w:val="0000FF"/>
            <w:sz w:val="20"/>
            <w:szCs w:val="20"/>
            <w:lang w:val="bg-BG"/>
          </w:rPr>
          <w:t>.</w:t>
        </w:r>
      </w:hyperlink>
      <w:hyperlink r:id="rId80">
        <w:r w:rsidRPr="00FD37F6">
          <w:rPr>
            <w:rStyle w:val="a1"/>
            <w:rFonts w:cs="Times New Roman"/>
            <w:color w:val="0000FF"/>
            <w:sz w:val="20"/>
            <w:szCs w:val="20"/>
          </w:rPr>
          <w:t>c</w:t>
        </w:r>
      </w:hyperlink>
      <w:hyperlink r:id="rId81">
        <w:r w:rsidRPr="00FD37F6">
          <w:rPr>
            <w:rStyle w:val="a1"/>
            <w:rFonts w:cs="Times New Roman"/>
            <w:color w:val="0000FF"/>
            <w:sz w:val="20"/>
            <w:szCs w:val="20"/>
          </w:rPr>
          <w:t>254</w:t>
        </w:r>
      </w:hyperlink>
    </w:p>
  </w:footnote>
  <w:footnote w:id="94">
    <w:p w14:paraId="35036C0E" w14:textId="14D8E28F" w:rsidR="00C717D0" w:rsidRPr="00FD37F6" w:rsidRDefault="00C717D0" w:rsidP="00F00BE8">
      <w:pPr>
        <w:pStyle w:val="FootnoteText"/>
        <w:spacing w:after="20"/>
        <w:rPr>
          <w:rFonts w:cs="Times New Roman"/>
          <w:sz w:val="20"/>
          <w:szCs w:val="20"/>
        </w:rPr>
      </w:pPr>
      <w:r w:rsidRPr="00FD37F6">
        <w:rPr>
          <w:rFonts w:cs="Times New Roman"/>
          <w:sz w:val="20"/>
          <w:szCs w:val="20"/>
          <w:vertAlign w:val="superscript"/>
        </w:rPr>
        <w:footnoteRef/>
      </w:r>
      <w:r w:rsidRPr="00FD37F6">
        <w:rPr>
          <w:rFonts w:cs="Times New Roman"/>
          <w:sz w:val="20"/>
          <w:szCs w:val="20"/>
          <w:vertAlign w:val="superscript"/>
          <w:lang w:val="bg-BG"/>
        </w:rPr>
        <w:t xml:space="preserve"> </w:t>
      </w:r>
      <w:r w:rsidRPr="00FD37F6">
        <w:rPr>
          <w:rFonts w:cs="Times New Roman"/>
          <w:sz w:val="20"/>
          <w:szCs w:val="20"/>
        </w:rPr>
        <w:t xml:space="preserve">БДЗП, 2007. Орнитологично важни места в България. Ред. Костадинова, И. и М. Граматиков. </w:t>
      </w:r>
      <w:hyperlink r:id="rId82">
        <w:r w:rsidRPr="00FD37F6">
          <w:rPr>
            <w:rStyle w:val="a1"/>
            <w:rFonts w:cs="Times New Roman"/>
            <w:color w:val="0000FF"/>
            <w:sz w:val="20"/>
            <w:szCs w:val="20"/>
          </w:rPr>
          <w:t>http</w:t>
        </w:r>
      </w:hyperlink>
      <w:hyperlink r:id="rId83">
        <w:r w:rsidRPr="00FD37F6">
          <w:rPr>
            <w:rStyle w:val="a1"/>
            <w:rFonts w:cs="Times New Roman"/>
            <w:color w:val="0000FF"/>
            <w:sz w:val="20"/>
            <w:szCs w:val="20"/>
          </w:rPr>
          <w:t>://</w:t>
        </w:r>
      </w:hyperlink>
      <w:hyperlink r:id="rId84">
        <w:r w:rsidRPr="00FD37F6">
          <w:rPr>
            <w:rStyle w:val="a1"/>
            <w:rFonts w:cs="Times New Roman"/>
            <w:color w:val="0000FF"/>
            <w:sz w:val="20"/>
            <w:szCs w:val="20"/>
          </w:rPr>
          <w:t>bspb</w:t>
        </w:r>
      </w:hyperlink>
      <w:hyperlink r:id="rId85">
        <w:r w:rsidRPr="00FD37F6">
          <w:rPr>
            <w:rStyle w:val="a1"/>
            <w:rFonts w:cs="Times New Roman"/>
            <w:color w:val="0000FF"/>
            <w:sz w:val="20"/>
            <w:szCs w:val="20"/>
          </w:rPr>
          <w:t>.</w:t>
        </w:r>
      </w:hyperlink>
      <w:hyperlink r:id="rId86">
        <w:r w:rsidRPr="00FD37F6">
          <w:rPr>
            <w:rStyle w:val="a1"/>
            <w:rFonts w:cs="Times New Roman"/>
            <w:color w:val="0000FF"/>
            <w:sz w:val="20"/>
            <w:szCs w:val="20"/>
          </w:rPr>
          <w:t>org</w:t>
        </w:r>
      </w:hyperlink>
      <w:hyperlink r:id="rId87">
        <w:r w:rsidRPr="00FD37F6">
          <w:rPr>
            <w:rStyle w:val="a1"/>
            <w:rFonts w:cs="Times New Roman"/>
            <w:color w:val="0000FF"/>
            <w:sz w:val="20"/>
            <w:szCs w:val="20"/>
          </w:rPr>
          <w:t>/</w:t>
        </w:r>
      </w:hyperlink>
      <w:hyperlink r:id="rId88">
        <w:r w:rsidRPr="00FD37F6">
          <w:rPr>
            <w:rStyle w:val="a1"/>
            <w:rFonts w:cs="Times New Roman"/>
            <w:color w:val="0000FF"/>
            <w:sz w:val="20"/>
            <w:szCs w:val="20"/>
          </w:rPr>
          <w:t>media</w:t>
        </w:r>
      </w:hyperlink>
      <w:hyperlink r:id="rId89">
        <w:r w:rsidRPr="00FD37F6">
          <w:rPr>
            <w:rStyle w:val="a1"/>
            <w:rFonts w:cs="Times New Roman"/>
            <w:color w:val="0000FF"/>
            <w:sz w:val="20"/>
            <w:szCs w:val="20"/>
          </w:rPr>
          <w:t>/</w:t>
        </w:r>
      </w:hyperlink>
      <w:hyperlink r:id="rId90">
        <w:r w:rsidRPr="00FD37F6">
          <w:rPr>
            <w:rStyle w:val="a1"/>
            <w:rFonts w:cs="Times New Roman"/>
            <w:color w:val="0000FF"/>
            <w:sz w:val="20"/>
            <w:szCs w:val="20"/>
          </w:rPr>
          <w:t>files</w:t>
        </w:r>
      </w:hyperlink>
      <w:hyperlink r:id="rId91">
        <w:r w:rsidRPr="00FD37F6">
          <w:rPr>
            <w:rStyle w:val="a1"/>
            <w:rFonts w:cs="Times New Roman"/>
            <w:color w:val="0000FF"/>
            <w:sz w:val="20"/>
            <w:szCs w:val="20"/>
          </w:rPr>
          <w:t>/</w:t>
        </w:r>
      </w:hyperlink>
      <w:hyperlink r:id="rId92">
        <w:r w:rsidRPr="00FD37F6">
          <w:rPr>
            <w:rStyle w:val="a1"/>
            <w:rFonts w:cs="Times New Roman"/>
            <w:color w:val="0000FF"/>
            <w:sz w:val="20"/>
            <w:szCs w:val="20"/>
          </w:rPr>
          <w:t>IBA_and_Natura_</w:t>
        </w:r>
      </w:hyperlink>
      <w:hyperlink r:id="rId93">
        <w:r w:rsidRPr="00FD37F6">
          <w:rPr>
            <w:rStyle w:val="a1"/>
            <w:rFonts w:cs="Times New Roman"/>
            <w:color w:val="0000FF"/>
            <w:sz w:val="20"/>
            <w:szCs w:val="20"/>
          </w:rPr>
          <w:t>2000</w:t>
        </w:r>
      </w:hyperlink>
      <w:hyperlink r:id="rId94">
        <w:r w:rsidRPr="00FD37F6">
          <w:rPr>
            <w:rStyle w:val="a1"/>
            <w:rFonts w:cs="Times New Roman"/>
            <w:color w:val="0000FF"/>
            <w:sz w:val="20"/>
            <w:szCs w:val="20"/>
          </w:rPr>
          <w:t>_Inventory_BG</w:t>
        </w:r>
      </w:hyperlink>
      <w:hyperlink r:id="rId95">
        <w:r w:rsidRPr="00FD37F6">
          <w:rPr>
            <w:rStyle w:val="a1"/>
            <w:rFonts w:cs="Times New Roman"/>
            <w:color w:val="0000FF"/>
            <w:sz w:val="20"/>
            <w:szCs w:val="20"/>
          </w:rPr>
          <w:t>.</w:t>
        </w:r>
      </w:hyperlink>
      <w:hyperlink r:id="rId96">
        <w:r w:rsidRPr="00FD37F6">
          <w:rPr>
            <w:rStyle w:val="a1"/>
            <w:rFonts w:cs="Times New Roman"/>
            <w:color w:val="0000FF"/>
            <w:sz w:val="20"/>
            <w:szCs w:val="20"/>
          </w:rPr>
          <w:t>pdf</w:t>
        </w:r>
      </w:hyperlink>
      <w:r w:rsidRPr="00FD37F6">
        <w:rPr>
          <w:rStyle w:val="a1"/>
          <w:rFonts w:cs="Times New Roman"/>
          <w:color w:val="0000FF"/>
          <w:sz w:val="20"/>
          <w:szCs w:val="20"/>
        </w:rPr>
        <w:t xml:space="preserve"> </w:t>
      </w:r>
    </w:p>
  </w:footnote>
  <w:footnote w:id="95">
    <w:p w14:paraId="5F552F99" w14:textId="4B125359" w:rsidR="00C717D0" w:rsidRPr="00FD37F6" w:rsidRDefault="00C717D0" w:rsidP="00F00BE8">
      <w:pPr>
        <w:pStyle w:val="FootnoteText"/>
        <w:spacing w:after="20"/>
        <w:rPr>
          <w:rFonts w:cs="Times New Roman"/>
          <w:sz w:val="20"/>
          <w:szCs w:val="20"/>
        </w:rPr>
      </w:pPr>
      <w:hyperlink r:id="rId97" w:history="1">
        <w:r w:rsidRPr="00FD37F6">
          <w:rPr>
            <w:rStyle w:val="Hyperlink"/>
            <w:rFonts w:cs="Times New Roman"/>
            <w:color w:val="auto"/>
            <w:sz w:val="20"/>
            <w:szCs w:val="20"/>
            <w:u w:val="none"/>
            <w:vertAlign w:val="superscript"/>
          </w:rPr>
          <w:footnoteRef/>
        </w:r>
        <w:r w:rsidRPr="00FD37F6">
          <w:rPr>
            <w:rStyle w:val="Hyperlink"/>
            <w:rFonts w:cs="Times New Roman"/>
            <w:color w:val="auto"/>
            <w:sz w:val="20"/>
            <w:szCs w:val="20"/>
            <w:u w:val="none"/>
            <w:vertAlign w:val="superscript"/>
            <w:lang w:val="bg-BG"/>
          </w:rPr>
          <w:t xml:space="preserve"> </w:t>
        </w:r>
        <w:r w:rsidRPr="00FD37F6">
          <w:rPr>
            <w:rStyle w:val="Hyperlink"/>
            <w:rFonts w:cs="Times New Roman"/>
            <w:sz w:val="20"/>
            <w:szCs w:val="20"/>
          </w:rPr>
          <w:t>http</w:t>
        </w:r>
      </w:hyperlink>
      <w:hyperlink r:id="rId98">
        <w:r w:rsidRPr="00FD37F6">
          <w:rPr>
            <w:rStyle w:val="a1"/>
            <w:rFonts w:cs="Times New Roman"/>
            <w:color w:val="0000FF"/>
            <w:sz w:val="20"/>
            <w:szCs w:val="20"/>
          </w:rPr>
          <w:t>://</w:t>
        </w:r>
      </w:hyperlink>
      <w:hyperlink r:id="rId99">
        <w:r w:rsidRPr="00FD37F6">
          <w:rPr>
            <w:rStyle w:val="a1"/>
            <w:rFonts w:cs="Times New Roman"/>
            <w:color w:val="0000FF"/>
            <w:sz w:val="20"/>
            <w:szCs w:val="20"/>
          </w:rPr>
          <w:t>eea</w:t>
        </w:r>
      </w:hyperlink>
      <w:hyperlink r:id="rId100">
        <w:r w:rsidRPr="00FD37F6">
          <w:rPr>
            <w:rStyle w:val="a1"/>
            <w:rFonts w:cs="Times New Roman"/>
            <w:color w:val="0000FF"/>
            <w:sz w:val="20"/>
            <w:szCs w:val="20"/>
          </w:rPr>
          <w:t>.</w:t>
        </w:r>
      </w:hyperlink>
      <w:hyperlink r:id="rId101">
        <w:r w:rsidRPr="00FD37F6">
          <w:rPr>
            <w:rStyle w:val="a1"/>
            <w:rFonts w:cs="Times New Roman"/>
            <w:color w:val="0000FF"/>
            <w:sz w:val="20"/>
            <w:szCs w:val="20"/>
          </w:rPr>
          <w:t>government</w:t>
        </w:r>
      </w:hyperlink>
      <w:hyperlink r:id="rId102">
        <w:r w:rsidRPr="00FD37F6">
          <w:rPr>
            <w:rStyle w:val="a1"/>
            <w:rFonts w:cs="Times New Roman"/>
            <w:color w:val="0000FF"/>
            <w:sz w:val="20"/>
            <w:szCs w:val="20"/>
          </w:rPr>
          <w:t>.</w:t>
        </w:r>
      </w:hyperlink>
      <w:hyperlink r:id="rId103">
        <w:r w:rsidRPr="00FD37F6">
          <w:rPr>
            <w:rStyle w:val="a1"/>
            <w:rFonts w:cs="Times New Roman"/>
            <w:color w:val="0000FF"/>
            <w:sz w:val="20"/>
            <w:szCs w:val="20"/>
          </w:rPr>
          <w:t>bg</w:t>
        </w:r>
      </w:hyperlink>
      <w:hyperlink r:id="rId104">
        <w:r w:rsidRPr="00FD37F6">
          <w:rPr>
            <w:rStyle w:val="a1"/>
            <w:rFonts w:cs="Times New Roman"/>
            <w:color w:val="0000FF"/>
            <w:sz w:val="20"/>
            <w:szCs w:val="20"/>
          </w:rPr>
          <w:t>/</w:t>
        </w:r>
      </w:hyperlink>
      <w:hyperlink r:id="rId105">
        <w:r w:rsidRPr="00FD37F6">
          <w:rPr>
            <w:rStyle w:val="a1"/>
            <w:rFonts w:cs="Times New Roman"/>
            <w:color w:val="0000FF"/>
            <w:sz w:val="20"/>
            <w:szCs w:val="20"/>
          </w:rPr>
          <w:t>bg</w:t>
        </w:r>
      </w:hyperlink>
      <w:hyperlink r:id="rId106">
        <w:r w:rsidRPr="00FD37F6">
          <w:rPr>
            <w:rStyle w:val="a1"/>
            <w:rFonts w:cs="Times New Roman"/>
            <w:color w:val="0000FF"/>
            <w:sz w:val="20"/>
            <w:szCs w:val="20"/>
          </w:rPr>
          <w:t>/</w:t>
        </w:r>
      </w:hyperlink>
      <w:hyperlink r:id="rId107">
        <w:r w:rsidRPr="00FD37F6">
          <w:rPr>
            <w:rStyle w:val="a1"/>
            <w:rFonts w:cs="Times New Roman"/>
            <w:color w:val="0000FF"/>
            <w:sz w:val="20"/>
            <w:szCs w:val="20"/>
          </w:rPr>
          <w:t>soer</w:t>
        </w:r>
      </w:hyperlink>
      <w:hyperlink r:id="rId108">
        <w:r w:rsidRPr="00FD37F6">
          <w:rPr>
            <w:rStyle w:val="a1"/>
            <w:rFonts w:cs="Times New Roman"/>
            <w:color w:val="0000FF"/>
            <w:sz w:val="20"/>
            <w:szCs w:val="20"/>
          </w:rPr>
          <w:t>/2017/</w:t>
        </w:r>
      </w:hyperlink>
      <w:hyperlink r:id="rId109">
        <w:r w:rsidRPr="00FD37F6">
          <w:rPr>
            <w:rStyle w:val="a1"/>
            <w:rFonts w:cs="Times New Roman"/>
            <w:color w:val="0000FF"/>
            <w:sz w:val="20"/>
            <w:szCs w:val="20"/>
          </w:rPr>
          <w:t>biodiversity</w:t>
        </w:r>
      </w:hyperlink>
      <w:hyperlink r:id="rId110">
        <w:r w:rsidRPr="00FD37F6">
          <w:rPr>
            <w:rStyle w:val="a1"/>
            <w:rFonts w:cs="Times New Roman"/>
            <w:color w:val="0000FF"/>
            <w:sz w:val="20"/>
            <w:szCs w:val="20"/>
          </w:rPr>
          <w:t>-</w:t>
        </w:r>
      </w:hyperlink>
      <w:hyperlink r:id="rId111">
        <w:r w:rsidRPr="00FD37F6">
          <w:rPr>
            <w:rStyle w:val="a1"/>
            <w:rFonts w:cs="Times New Roman"/>
            <w:color w:val="0000FF"/>
            <w:sz w:val="20"/>
            <w:szCs w:val="20"/>
          </w:rPr>
          <w:t>nem</w:t>
        </w:r>
      </w:hyperlink>
      <w:hyperlink r:id="rId112">
        <w:r w:rsidRPr="00FD37F6">
          <w:rPr>
            <w:rStyle w:val="a1"/>
            <w:rFonts w:cs="Times New Roman"/>
            <w:color w:val="0000FF"/>
            <w:sz w:val="20"/>
            <w:szCs w:val="20"/>
          </w:rPr>
          <w:t>/</w:t>
        </w:r>
      </w:hyperlink>
      <w:hyperlink r:id="rId113">
        <w:r w:rsidRPr="00FD37F6">
          <w:rPr>
            <w:rStyle w:val="a1"/>
            <w:rFonts w:cs="Times New Roman"/>
            <w:color w:val="0000FF"/>
            <w:sz w:val="20"/>
            <w:szCs w:val="20"/>
          </w:rPr>
          <w:t>promyana</w:t>
        </w:r>
      </w:hyperlink>
      <w:hyperlink r:id="rId114">
        <w:r w:rsidRPr="00FD37F6">
          <w:rPr>
            <w:rStyle w:val="a1"/>
            <w:rFonts w:cs="Times New Roman"/>
            <w:color w:val="0000FF"/>
            <w:sz w:val="20"/>
            <w:szCs w:val="20"/>
          </w:rPr>
          <w:t>-</w:t>
        </w:r>
      </w:hyperlink>
      <w:hyperlink r:id="rId115">
        <w:r w:rsidRPr="00FD37F6">
          <w:rPr>
            <w:rStyle w:val="a1"/>
            <w:rFonts w:cs="Times New Roman"/>
            <w:color w:val="0000FF"/>
            <w:sz w:val="20"/>
            <w:szCs w:val="20"/>
          </w:rPr>
          <w:t>v</w:t>
        </w:r>
      </w:hyperlink>
      <w:hyperlink r:id="rId116">
        <w:r w:rsidRPr="00FD37F6">
          <w:rPr>
            <w:rStyle w:val="a1"/>
            <w:rFonts w:cs="Times New Roman"/>
            <w:color w:val="0000FF"/>
            <w:sz w:val="20"/>
            <w:szCs w:val="20"/>
          </w:rPr>
          <w:t>-</w:t>
        </w:r>
      </w:hyperlink>
      <w:hyperlink r:id="rId117">
        <w:r w:rsidRPr="00FD37F6">
          <w:rPr>
            <w:rStyle w:val="a1"/>
            <w:rFonts w:cs="Times New Roman"/>
            <w:color w:val="0000FF"/>
            <w:sz w:val="20"/>
            <w:szCs w:val="20"/>
          </w:rPr>
          <w:t>chislenostta</w:t>
        </w:r>
      </w:hyperlink>
      <w:hyperlink r:id="rId118">
        <w:r w:rsidRPr="00FD37F6">
          <w:rPr>
            <w:rStyle w:val="a1"/>
            <w:rFonts w:cs="Times New Roman"/>
            <w:color w:val="0000FF"/>
            <w:sz w:val="20"/>
            <w:szCs w:val="20"/>
          </w:rPr>
          <w:t>-</w:t>
        </w:r>
      </w:hyperlink>
      <w:hyperlink r:id="rId119">
        <w:r w:rsidRPr="00FD37F6">
          <w:rPr>
            <w:rStyle w:val="a1"/>
            <w:rFonts w:cs="Times New Roman"/>
            <w:color w:val="0000FF"/>
            <w:sz w:val="20"/>
            <w:szCs w:val="20"/>
          </w:rPr>
          <w:t>i</w:t>
        </w:r>
      </w:hyperlink>
      <w:hyperlink r:id="rId120">
        <w:r w:rsidRPr="00FD37F6">
          <w:rPr>
            <w:rStyle w:val="a1"/>
            <w:rFonts w:cs="Times New Roman"/>
            <w:color w:val="0000FF"/>
            <w:sz w:val="20"/>
            <w:szCs w:val="20"/>
          </w:rPr>
          <w:t>-</w:t>
        </w:r>
      </w:hyperlink>
      <w:hyperlink r:id="rId121">
        <w:r w:rsidRPr="00FD37F6">
          <w:rPr>
            <w:rStyle w:val="a1"/>
            <w:rFonts w:cs="Times New Roman"/>
            <w:color w:val="0000FF"/>
            <w:sz w:val="20"/>
            <w:szCs w:val="20"/>
          </w:rPr>
          <w:t>sastoyanie</w:t>
        </w:r>
      </w:hyperlink>
      <w:hyperlink r:id="rId122">
        <w:r w:rsidRPr="00FD37F6">
          <w:rPr>
            <w:rStyle w:val="a1"/>
            <w:rFonts w:cs="Times New Roman"/>
            <w:color w:val="0000FF"/>
            <w:sz w:val="20"/>
            <w:szCs w:val="20"/>
          </w:rPr>
          <w:t>-</w:t>
        </w:r>
      </w:hyperlink>
      <w:hyperlink r:id="rId123">
        <w:r w:rsidRPr="00FD37F6">
          <w:rPr>
            <w:rStyle w:val="a1"/>
            <w:rFonts w:cs="Times New Roman"/>
            <w:color w:val="0000FF"/>
            <w:sz w:val="20"/>
            <w:szCs w:val="20"/>
          </w:rPr>
          <w:t>na</w:t>
        </w:r>
      </w:hyperlink>
      <w:hyperlink r:id="rId124">
        <w:r w:rsidRPr="00FD37F6">
          <w:rPr>
            <w:rStyle w:val="a1"/>
            <w:rFonts w:cs="Times New Roman"/>
            <w:color w:val="0000FF"/>
            <w:sz w:val="20"/>
            <w:szCs w:val="20"/>
          </w:rPr>
          <w:t>-</w:t>
        </w:r>
      </w:hyperlink>
      <w:hyperlink r:id="rId125">
        <w:r w:rsidRPr="00FD37F6">
          <w:rPr>
            <w:rStyle w:val="a1"/>
            <w:rFonts w:cs="Times New Roman"/>
            <w:color w:val="0000FF"/>
            <w:sz w:val="20"/>
            <w:szCs w:val="20"/>
          </w:rPr>
          <w:t>zimuvashtite</w:t>
        </w:r>
      </w:hyperlink>
      <w:hyperlink r:id="rId126">
        <w:r w:rsidRPr="00FD37F6">
          <w:rPr>
            <w:rStyle w:val="a1"/>
            <w:rFonts w:cs="Times New Roman"/>
            <w:color w:val="0000FF"/>
            <w:sz w:val="20"/>
            <w:szCs w:val="20"/>
          </w:rPr>
          <w:t>-</w:t>
        </w:r>
      </w:hyperlink>
      <w:hyperlink r:id="rId127">
        <w:r w:rsidRPr="00FD37F6">
          <w:rPr>
            <w:rStyle w:val="a1"/>
            <w:rFonts w:cs="Times New Roman"/>
            <w:color w:val="0000FF"/>
            <w:sz w:val="20"/>
            <w:szCs w:val="20"/>
          </w:rPr>
          <w:t>vodolyubivi</w:t>
        </w:r>
      </w:hyperlink>
      <w:hyperlink r:id="rId128">
        <w:r w:rsidRPr="00FD37F6">
          <w:rPr>
            <w:rStyle w:val="a1"/>
            <w:rFonts w:cs="Times New Roman"/>
            <w:color w:val="0000FF"/>
            <w:sz w:val="20"/>
            <w:szCs w:val="20"/>
          </w:rPr>
          <w:t>-</w:t>
        </w:r>
      </w:hyperlink>
      <w:hyperlink r:id="rId129">
        <w:r w:rsidRPr="00FD37F6">
          <w:rPr>
            <w:rStyle w:val="a1"/>
            <w:rFonts w:cs="Times New Roman"/>
            <w:color w:val="0000FF"/>
            <w:sz w:val="20"/>
            <w:szCs w:val="20"/>
          </w:rPr>
          <w:t>ptitsi</w:t>
        </w:r>
      </w:hyperlink>
      <w:hyperlink r:id="rId130">
        <w:r w:rsidRPr="00FD37F6">
          <w:rPr>
            <w:rStyle w:val="a1"/>
            <w:rFonts w:cs="Times New Roman"/>
            <w:color w:val="0000FF"/>
            <w:sz w:val="20"/>
            <w:szCs w:val="20"/>
          </w:rPr>
          <w:t>-</w:t>
        </w:r>
      </w:hyperlink>
      <w:hyperlink r:id="rId131">
        <w:r w:rsidRPr="00FD37F6">
          <w:rPr>
            <w:rStyle w:val="a1"/>
            <w:rFonts w:cs="Times New Roman"/>
            <w:color w:val="0000FF"/>
            <w:sz w:val="20"/>
            <w:szCs w:val="20"/>
          </w:rPr>
          <w:t>v</w:t>
        </w:r>
      </w:hyperlink>
      <w:hyperlink r:id="rId132">
        <w:r w:rsidRPr="00FD37F6">
          <w:rPr>
            <w:rStyle w:val="a1"/>
            <w:rFonts w:cs="Times New Roman"/>
            <w:color w:val="0000FF"/>
            <w:sz w:val="20"/>
            <w:szCs w:val="20"/>
          </w:rPr>
          <w:t>-</w:t>
        </w:r>
      </w:hyperlink>
      <w:hyperlink r:id="rId133">
        <w:r w:rsidRPr="00FD37F6">
          <w:rPr>
            <w:rStyle w:val="a1"/>
            <w:rFonts w:cs="Times New Roman"/>
            <w:color w:val="0000FF"/>
            <w:sz w:val="20"/>
            <w:szCs w:val="20"/>
          </w:rPr>
          <w:t>balgariya</w:t>
        </w:r>
      </w:hyperlink>
      <w:r w:rsidRPr="00FD37F6">
        <w:rPr>
          <w:rFonts w:cs="Times New Roman"/>
          <w:sz w:val="20"/>
          <w:szCs w:val="20"/>
        </w:rPr>
        <w:t xml:space="preserve"> </w:t>
      </w:r>
    </w:p>
  </w:footnote>
  <w:footnote w:id="96">
    <w:p w14:paraId="02888B83" w14:textId="7D9C7101" w:rsidR="00C717D0" w:rsidRPr="00FD37F6" w:rsidRDefault="00C717D0" w:rsidP="00F00BE8">
      <w:pPr>
        <w:pStyle w:val="FootnoteText"/>
        <w:spacing w:after="20"/>
        <w:rPr>
          <w:rStyle w:val="a1"/>
          <w:rFonts w:cs="Times New Roman"/>
          <w:color w:val="0000FF"/>
          <w:sz w:val="20"/>
          <w:szCs w:val="20"/>
        </w:rPr>
      </w:pPr>
      <w:hyperlink r:id="rId134" w:history="1">
        <w:r w:rsidRPr="00FD37F6">
          <w:rPr>
            <w:rStyle w:val="Hyperlink"/>
            <w:rFonts w:cs="Times New Roman"/>
            <w:color w:val="auto"/>
            <w:sz w:val="20"/>
            <w:szCs w:val="20"/>
            <w:u w:val="none"/>
            <w:vertAlign w:val="superscript"/>
          </w:rPr>
          <w:footnoteRef/>
        </w:r>
        <w:r w:rsidRPr="00FD37F6">
          <w:rPr>
            <w:rStyle w:val="Hyperlink"/>
            <w:rFonts w:cs="Times New Roman"/>
            <w:color w:val="auto"/>
            <w:sz w:val="20"/>
            <w:szCs w:val="20"/>
            <w:u w:val="none"/>
            <w:lang w:val="bg-BG"/>
          </w:rPr>
          <w:t xml:space="preserve"> </w:t>
        </w:r>
        <w:r w:rsidRPr="00FD37F6">
          <w:rPr>
            <w:rStyle w:val="Hyperlink"/>
            <w:rFonts w:cs="Times New Roman"/>
            <w:sz w:val="20"/>
            <w:szCs w:val="20"/>
          </w:rPr>
          <w:t>http</w:t>
        </w:r>
      </w:hyperlink>
      <w:hyperlink r:id="rId135">
        <w:r w:rsidRPr="00FD37F6">
          <w:rPr>
            <w:rStyle w:val="a1"/>
            <w:rFonts w:cs="Times New Roman"/>
            <w:color w:val="0000FF"/>
            <w:sz w:val="20"/>
            <w:szCs w:val="20"/>
          </w:rPr>
          <w:t>://</w:t>
        </w:r>
      </w:hyperlink>
      <w:hyperlink r:id="rId136">
        <w:r w:rsidRPr="00FD37F6">
          <w:rPr>
            <w:rStyle w:val="a1"/>
            <w:rFonts w:cs="Times New Roman"/>
            <w:color w:val="0000FF"/>
            <w:sz w:val="20"/>
            <w:szCs w:val="20"/>
          </w:rPr>
          <w:t>eea</w:t>
        </w:r>
      </w:hyperlink>
      <w:hyperlink r:id="rId137">
        <w:r w:rsidRPr="00FD37F6">
          <w:rPr>
            <w:rStyle w:val="a1"/>
            <w:rFonts w:cs="Times New Roman"/>
            <w:color w:val="0000FF"/>
            <w:sz w:val="20"/>
            <w:szCs w:val="20"/>
          </w:rPr>
          <w:t>.</w:t>
        </w:r>
      </w:hyperlink>
      <w:hyperlink r:id="rId138">
        <w:r w:rsidRPr="00FD37F6">
          <w:rPr>
            <w:rStyle w:val="a1"/>
            <w:rFonts w:cs="Times New Roman"/>
            <w:color w:val="0000FF"/>
            <w:sz w:val="20"/>
            <w:szCs w:val="20"/>
          </w:rPr>
          <w:t>government</w:t>
        </w:r>
      </w:hyperlink>
      <w:hyperlink r:id="rId139">
        <w:r w:rsidRPr="00FD37F6">
          <w:rPr>
            <w:rStyle w:val="a1"/>
            <w:rFonts w:cs="Times New Roman"/>
            <w:color w:val="0000FF"/>
            <w:sz w:val="20"/>
            <w:szCs w:val="20"/>
          </w:rPr>
          <w:t>.</w:t>
        </w:r>
      </w:hyperlink>
      <w:hyperlink r:id="rId140">
        <w:r w:rsidRPr="00FD37F6">
          <w:rPr>
            <w:rStyle w:val="a1"/>
            <w:rFonts w:cs="Times New Roman"/>
            <w:color w:val="0000FF"/>
            <w:sz w:val="20"/>
            <w:szCs w:val="20"/>
          </w:rPr>
          <w:t>bg</w:t>
        </w:r>
      </w:hyperlink>
      <w:hyperlink r:id="rId141">
        <w:r w:rsidRPr="00FD37F6">
          <w:rPr>
            <w:rStyle w:val="a1"/>
            <w:rFonts w:cs="Times New Roman"/>
            <w:color w:val="0000FF"/>
            <w:sz w:val="20"/>
            <w:szCs w:val="20"/>
          </w:rPr>
          <w:t>/</w:t>
        </w:r>
      </w:hyperlink>
      <w:hyperlink r:id="rId142">
        <w:r w:rsidRPr="00FD37F6">
          <w:rPr>
            <w:rStyle w:val="a1"/>
            <w:rFonts w:cs="Times New Roman"/>
            <w:color w:val="0000FF"/>
            <w:sz w:val="20"/>
            <w:szCs w:val="20"/>
          </w:rPr>
          <w:t>bg</w:t>
        </w:r>
      </w:hyperlink>
      <w:hyperlink r:id="rId143">
        <w:r w:rsidRPr="00FD37F6">
          <w:rPr>
            <w:rStyle w:val="a1"/>
            <w:rFonts w:cs="Times New Roman"/>
            <w:color w:val="0000FF"/>
            <w:sz w:val="20"/>
            <w:szCs w:val="20"/>
          </w:rPr>
          <w:t>/</w:t>
        </w:r>
      </w:hyperlink>
      <w:hyperlink r:id="rId144">
        <w:r w:rsidRPr="00FD37F6">
          <w:rPr>
            <w:rStyle w:val="a1"/>
            <w:rFonts w:cs="Times New Roman"/>
            <w:color w:val="0000FF"/>
            <w:sz w:val="20"/>
            <w:szCs w:val="20"/>
          </w:rPr>
          <w:t>soer</w:t>
        </w:r>
      </w:hyperlink>
      <w:hyperlink r:id="rId145">
        <w:r w:rsidRPr="00FD37F6">
          <w:rPr>
            <w:rStyle w:val="a1"/>
            <w:rFonts w:cs="Times New Roman"/>
            <w:color w:val="0000FF"/>
            <w:sz w:val="20"/>
            <w:szCs w:val="20"/>
          </w:rPr>
          <w:t>/2017/</w:t>
        </w:r>
      </w:hyperlink>
    </w:p>
  </w:footnote>
  <w:footnote w:id="97">
    <w:p w14:paraId="4B5CCC93" w14:textId="567FEBFD" w:rsidR="00C717D0" w:rsidRPr="00FD37F6" w:rsidRDefault="00C717D0" w:rsidP="00F00BE8">
      <w:pPr>
        <w:pStyle w:val="FootnoteText"/>
        <w:spacing w:after="20"/>
        <w:rPr>
          <w:rFonts w:cs="Times New Roman"/>
          <w:sz w:val="20"/>
          <w:szCs w:val="20"/>
        </w:rPr>
      </w:pPr>
      <w:hyperlink r:id="rId146" w:history="1">
        <w:r w:rsidRPr="00FD37F6">
          <w:rPr>
            <w:rStyle w:val="Hyperlink"/>
            <w:rFonts w:cs="Times New Roman"/>
            <w:color w:val="auto"/>
            <w:sz w:val="20"/>
            <w:szCs w:val="20"/>
            <w:u w:val="none"/>
            <w:vertAlign w:val="superscript"/>
          </w:rPr>
          <w:footnoteRef/>
        </w:r>
        <w:r w:rsidRPr="00FD37F6">
          <w:rPr>
            <w:rStyle w:val="Hyperlink"/>
            <w:rFonts w:cs="Times New Roman"/>
            <w:color w:val="auto"/>
            <w:sz w:val="20"/>
            <w:szCs w:val="20"/>
            <w:u w:val="none"/>
            <w:lang w:val="bg-BG"/>
          </w:rPr>
          <w:t xml:space="preserve"> </w:t>
        </w:r>
        <w:r w:rsidRPr="00FD37F6">
          <w:rPr>
            <w:rStyle w:val="Hyperlink"/>
            <w:rFonts w:cs="Times New Roman"/>
            <w:sz w:val="20"/>
            <w:szCs w:val="20"/>
          </w:rPr>
          <w:t>http</w:t>
        </w:r>
      </w:hyperlink>
      <w:hyperlink r:id="rId147">
        <w:r w:rsidRPr="00FD37F6">
          <w:rPr>
            <w:rStyle w:val="a1"/>
            <w:rFonts w:cs="Times New Roman"/>
            <w:color w:val="0000FF"/>
            <w:sz w:val="20"/>
            <w:szCs w:val="20"/>
          </w:rPr>
          <w:t>://</w:t>
        </w:r>
      </w:hyperlink>
      <w:hyperlink r:id="rId148">
        <w:r w:rsidRPr="00FD37F6">
          <w:rPr>
            <w:rStyle w:val="a1"/>
            <w:rFonts w:cs="Times New Roman"/>
            <w:color w:val="0000FF"/>
            <w:sz w:val="20"/>
            <w:szCs w:val="20"/>
          </w:rPr>
          <w:t>eea</w:t>
        </w:r>
      </w:hyperlink>
      <w:hyperlink r:id="rId149">
        <w:r w:rsidRPr="00FD37F6">
          <w:rPr>
            <w:rStyle w:val="a1"/>
            <w:rFonts w:cs="Times New Roman"/>
            <w:color w:val="0000FF"/>
            <w:sz w:val="20"/>
            <w:szCs w:val="20"/>
          </w:rPr>
          <w:t>.</w:t>
        </w:r>
      </w:hyperlink>
      <w:hyperlink r:id="rId150">
        <w:r w:rsidRPr="00FD37F6">
          <w:rPr>
            <w:rStyle w:val="a1"/>
            <w:rFonts w:cs="Times New Roman"/>
            <w:color w:val="0000FF"/>
            <w:sz w:val="20"/>
            <w:szCs w:val="20"/>
          </w:rPr>
          <w:t>government</w:t>
        </w:r>
      </w:hyperlink>
      <w:hyperlink r:id="rId151">
        <w:r w:rsidRPr="00FD37F6">
          <w:rPr>
            <w:rStyle w:val="a1"/>
            <w:rFonts w:cs="Times New Roman"/>
            <w:color w:val="0000FF"/>
            <w:sz w:val="20"/>
            <w:szCs w:val="20"/>
          </w:rPr>
          <w:t>.</w:t>
        </w:r>
      </w:hyperlink>
      <w:hyperlink r:id="rId152">
        <w:r w:rsidRPr="00FD37F6">
          <w:rPr>
            <w:rStyle w:val="a1"/>
            <w:rFonts w:cs="Times New Roman"/>
            <w:color w:val="0000FF"/>
            <w:sz w:val="20"/>
            <w:szCs w:val="20"/>
          </w:rPr>
          <w:t>bg</w:t>
        </w:r>
      </w:hyperlink>
      <w:hyperlink r:id="rId153">
        <w:r w:rsidRPr="00FD37F6">
          <w:rPr>
            <w:rStyle w:val="a1"/>
            <w:rFonts w:cs="Times New Roman"/>
            <w:color w:val="0000FF"/>
            <w:sz w:val="20"/>
            <w:szCs w:val="20"/>
          </w:rPr>
          <w:t>/</w:t>
        </w:r>
      </w:hyperlink>
      <w:hyperlink r:id="rId154">
        <w:r w:rsidRPr="00FD37F6">
          <w:rPr>
            <w:rStyle w:val="a1"/>
            <w:rFonts w:cs="Times New Roman"/>
            <w:color w:val="0000FF"/>
            <w:sz w:val="20"/>
            <w:szCs w:val="20"/>
          </w:rPr>
          <w:t>zpo</w:t>
        </w:r>
      </w:hyperlink>
      <w:hyperlink r:id="rId155">
        <w:r w:rsidRPr="00FD37F6">
          <w:rPr>
            <w:rStyle w:val="a1"/>
            <w:rFonts w:cs="Times New Roman"/>
            <w:color w:val="0000FF"/>
            <w:sz w:val="20"/>
            <w:szCs w:val="20"/>
          </w:rPr>
          <w:t>/</w:t>
        </w:r>
      </w:hyperlink>
      <w:hyperlink r:id="rId156">
        <w:r w:rsidRPr="00FD37F6">
          <w:rPr>
            <w:rStyle w:val="a1"/>
            <w:rFonts w:cs="Times New Roman"/>
            <w:color w:val="0000FF"/>
            <w:sz w:val="20"/>
            <w:szCs w:val="20"/>
          </w:rPr>
          <w:t>bg</w:t>
        </w:r>
      </w:hyperlink>
      <w:hyperlink r:id="rId157">
        <w:r w:rsidRPr="00FD37F6">
          <w:rPr>
            <w:rStyle w:val="a1"/>
            <w:rFonts w:cs="Times New Roman"/>
            <w:color w:val="0000FF"/>
            <w:sz w:val="20"/>
            <w:szCs w:val="20"/>
          </w:rPr>
          <w:t>/</w:t>
        </w:r>
      </w:hyperlink>
      <w:hyperlink r:id="rId158">
        <w:r w:rsidRPr="00FD37F6">
          <w:rPr>
            <w:rStyle w:val="a1"/>
            <w:rFonts w:cs="Times New Roman"/>
            <w:color w:val="0000FF"/>
            <w:sz w:val="20"/>
            <w:szCs w:val="20"/>
          </w:rPr>
          <w:t>result</w:t>
        </w:r>
      </w:hyperlink>
      <w:hyperlink r:id="rId159">
        <w:r w:rsidRPr="00FD37F6">
          <w:rPr>
            <w:rStyle w:val="a1"/>
            <w:rFonts w:cs="Times New Roman"/>
            <w:color w:val="0000FF"/>
            <w:sz w:val="20"/>
            <w:szCs w:val="20"/>
          </w:rPr>
          <w:t>1.</w:t>
        </w:r>
      </w:hyperlink>
      <w:hyperlink r:id="rId160">
        <w:r w:rsidRPr="00FD37F6">
          <w:rPr>
            <w:rStyle w:val="a1"/>
            <w:rFonts w:cs="Times New Roman"/>
            <w:color w:val="0000FF"/>
            <w:sz w:val="20"/>
            <w:szCs w:val="20"/>
          </w:rPr>
          <w:t>jsp</w:t>
        </w:r>
      </w:hyperlink>
      <w:r w:rsidRPr="00FD37F6">
        <w:rPr>
          <w:rFonts w:cs="Times New Roman"/>
          <w:sz w:val="20"/>
          <w:szCs w:val="20"/>
        </w:rPr>
        <w:t xml:space="preserve"> </w:t>
      </w:r>
    </w:p>
  </w:footnote>
  <w:footnote w:id="98">
    <w:p w14:paraId="0475552A" w14:textId="7B4D8263"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w:t>
      </w:r>
      <w:hyperlink r:id="rId161" w:history="1">
        <w:r w:rsidRPr="00FD37F6">
          <w:rPr>
            <w:rStyle w:val="Hyperlink"/>
            <w:rFonts w:cs="Times New Roman"/>
            <w:sz w:val="20"/>
            <w:szCs w:val="20"/>
          </w:rPr>
          <w:t>http://www.iber.bas.bg/sites/default/files/2017/IPU_Kaliakra/IPU-Kaliakra-draft-26-06-2017.pdf</w:t>
        </w:r>
      </w:hyperlink>
      <w:r w:rsidRPr="00FD37F6">
        <w:rPr>
          <w:rFonts w:cs="Times New Roman"/>
          <w:sz w:val="20"/>
          <w:szCs w:val="20"/>
          <w:lang w:val="bg-BG"/>
        </w:rPr>
        <w:t xml:space="preserve"> </w:t>
      </w:r>
    </w:p>
  </w:footnote>
  <w:footnote w:id="99">
    <w:p w14:paraId="7478E734" w14:textId="7AFF679F"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Чл.8. ал.1 от Закона за административно-териториално устройство на Република България (обн.ДВ бр.63/1995 г. изм. ДВ бр. 58/2017 г.) поставя като основно изискване за създаване на нова община наличие на население над 6000 души.</w:t>
      </w:r>
    </w:p>
  </w:footnote>
  <w:footnote w:id="100">
    <w:p w14:paraId="761EC659" w14:textId="7C3A76CD" w:rsidR="00C717D0" w:rsidRPr="00FD37F6" w:rsidRDefault="00C717D0" w:rsidP="00F00BE8">
      <w:pPr>
        <w:spacing w:after="20" w:line="240" w:lineRule="auto"/>
        <w:rPr>
          <w:rFonts w:ascii="Times New Roman" w:hAnsi="Times New Roman" w:cs="Times New Roman"/>
          <w:sz w:val="20"/>
          <w:szCs w:val="20"/>
          <w:lang w:val="bg-BG"/>
        </w:rPr>
      </w:pPr>
      <w:r w:rsidRPr="00FD37F6">
        <w:rPr>
          <w:rStyle w:val="FootnoteReference"/>
          <w:rFonts w:ascii="Times New Roman" w:hAnsi="Times New Roman" w:cs="Times New Roman"/>
          <w:sz w:val="20"/>
          <w:szCs w:val="20"/>
        </w:rPr>
        <w:footnoteRef/>
      </w:r>
      <w:r w:rsidRPr="00FD37F6">
        <w:rPr>
          <w:rFonts w:ascii="Times New Roman" w:hAnsi="Times New Roman" w:cs="Times New Roman"/>
          <w:sz w:val="20"/>
          <w:szCs w:val="20"/>
          <w:lang w:val="bg-BG"/>
        </w:rPr>
        <w:t xml:space="preserve"> Съгласно Наредба № 7 за правила и нормативи за устройство на отделните видове територии и устройствени зони, обн. ДВ бр. 3/13.01.2004 г., изм ДВ бр. 21/2013 г. </w:t>
      </w:r>
    </w:p>
  </w:footnote>
  <w:footnote w:id="101">
    <w:p w14:paraId="15AC40CA" w14:textId="3D8295C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Без селата Рудник и Черно море, закрити през 2015 г. </w:t>
      </w:r>
    </w:p>
  </w:footnote>
  <w:footnote w:id="102">
    <w:p w14:paraId="4E28B2C7" w14:textId="54F1CED7" w:rsidR="00C717D0" w:rsidRPr="00FD37F6" w:rsidRDefault="00C717D0" w:rsidP="00F00BE8">
      <w:pPr>
        <w:spacing w:after="20" w:line="240" w:lineRule="auto"/>
        <w:jc w:val="both"/>
        <w:rPr>
          <w:rFonts w:ascii="Times New Roman" w:hAnsi="Times New Roman" w:cs="Times New Roman"/>
          <w:sz w:val="20"/>
          <w:szCs w:val="20"/>
          <w:lang w:val="bg-BG"/>
        </w:rPr>
      </w:pPr>
      <w:r w:rsidRPr="00FD37F6">
        <w:rPr>
          <w:rStyle w:val="FootnoteReference"/>
          <w:rFonts w:ascii="Times New Roman" w:hAnsi="Times New Roman" w:cs="Times New Roman"/>
          <w:sz w:val="20"/>
          <w:szCs w:val="20"/>
        </w:rPr>
        <w:footnoteRef/>
      </w:r>
      <w:r w:rsidRPr="00FD37F6">
        <w:rPr>
          <w:rFonts w:ascii="Times New Roman" w:hAnsi="Times New Roman" w:cs="Times New Roman"/>
          <w:sz w:val="20"/>
          <w:szCs w:val="20"/>
          <w:lang w:val="bg-BG"/>
        </w:rPr>
        <w:t xml:space="preserve"> Съгласно Наредба № 7 за правила и нормативи за устройство на отделните видове територии и устройствени зони.</w:t>
      </w:r>
    </w:p>
  </w:footnote>
  <w:footnote w:id="103">
    <w:p w14:paraId="0A5F5A08" w14:textId="1EEB0348" w:rsidR="00C717D0" w:rsidRPr="00FD37F6" w:rsidRDefault="00C717D0" w:rsidP="001757A5">
      <w:pPr>
        <w:pStyle w:val="FootnoteText"/>
        <w:spacing w:after="20"/>
        <w:ind w:right="-612"/>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Разликата между броя на живородените и умрелите на 1000 души от средногодишния брой на населението. </w:t>
      </w:r>
    </w:p>
  </w:footnote>
  <w:footnote w:id="104">
    <w:p w14:paraId="070DA14D"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Списък на курортите в Република България, Решение на МС от 24 февруари 2012 г.</w:t>
      </w:r>
    </w:p>
  </w:footnote>
  <w:footnote w:id="105">
    <w:p w14:paraId="73EBA517" w14:textId="713E0F4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57/1999 г., изм. ДВ бр. 38/24.04.2020 г.</w:t>
      </w:r>
    </w:p>
  </w:footnote>
  <w:footnote w:id="106">
    <w:p w14:paraId="43AD34D0" w14:textId="27658329"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Прогнозите за населението на държавните-членки на ЕС на Евростат са до 2080 г.</w:t>
      </w:r>
    </w:p>
  </w:footnote>
  <w:footnote w:id="107">
    <w:p w14:paraId="4351B7A6" w14:textId="1C6AF91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Европейски център за развитие на професионалното обучение (ЕЦРПО/</w:t>
      </w:r>
      <w:r w:rsidRPr="00FD37F6">
        <w:rPr>
          <w:rFonts w:cs="Times New Roman"/>
          <w:sz w:val="20"/>
          <w:szCs w:val="20"/>
        </w:rPr>
        <w:t>Cedefop</w:t>
      </w:r>
      <w:r w:rsidRPr="00FD37F6">
        <w:rPr>
          <w:rFonts w:cs="Times New Roman"/>
          <w:sz w:val="20"/>
          <w:szCs w:val="20"/>
          <w:lang w:val="bg-BG"/>
        </w:rPr>
        <w:t>).</w:t>
      </w:r>
    </w:p>
  </w:footnote>
  <w:footnote w:id="108">
    <w:p w14:paraId="520A7316" w14:textId="0FA86F7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62"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mtitc</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category</w:t>
        </w:r>
        <w:r w:rsidRPr="00FD37F6">
          <w:rPr>
            <w:rStyle w:val="Hyperlink"/>
            <w:rFonts w:cs="Times New Roman"/>
            <w:sz w:val="20"/>
            <w:szCs w:val="20"/>
            <w:lang w:val="bg-BG"/>
          </w:rPr>
          <w:t>/42/</w:t>
        </w:r>
        <w:r w:rsidRPr="00FD37F6">
          <w:rPr>
            <w:rStyle w:val="Hyperlink"/>
            <w:rFonts w:cs="Times New Roman"/>
            <w:sz w:val="20"/>
            <w:szCs w:val="20"/>
          </w:rPr>
          <w:t>integrirana</w:t>
        </w:r>
        <w:r w:rsidRPr="00FD37F6">
          <w:rPr>
            <w:rStyle w:val="Hyperlink"/>
            <w:rFonts w:cs="Times New Roman"/>
            <w:sz w:val="20"/>
            <w:szCs w:val="20"/>
            <w:lang w:val="bg-BG"/>
          </w:rPr>
          <w:t>-</w:t>
        </w:r>
        <w:r w:rsidRPr="00FD37F6">
          <w:rPr>
            <w:rStyle w:val="Hyperlink"/>
            <w:rFonts w:cs="Times New Roman"/>
            <w:sz w:val="20"/>
            <w:szCs w:val="20"/>
          </w:rPr>
          <w:t>transportna</w:t>
        </w:r>
        <w:r w:rsidRPr="00FD37F6">
          <w:rPr>
            <w:rStyle w:val="Hyperlink"/>
            <w:rFonts w:cs="Times New Roman"/>
            <w:sz w:val="20"/>
            <w:szCs w:val="20"/>
            <w:lang w:val="bg-BG"/>
          </w:rPr>
          <w:t>-</w:t>
        </w:r>
        <w:r w:rsidRPr="00FD37F6">
          <w:rPr>
            <w:rStyle w:val="Hyperlink"/>
            <w:rFonts w:cs="Times New Roman"/>
            <w:sz w:val="20"/>
            <w:szCs w:val="20"/>
          </w:rPr>
          <w:t>strategiya</w:t>
        </w:r>
        <w:r w:rsidRPr="00FD37F6">
          <w:rPr>
            <w:rStyle w:val="Hyperlink"/>
            <w:rFonts w:cs="Times New Roman"/>
            <w:sz w:val="20"/>
            <w:szCs w:val="20"/>
            <w:lang w:val="bg-BG"/>
          </w:rPr>
          <w:t>-</w:t>
        </w:r>
        <w:r w:rsidRPr="00FD37F6">
          <w:rPr>
            <w:rStyle w:val="Hyperlink"/>
            <w:rFonts w:cs="Times New Roman"/>
            <w:sz w:val="20"/>
            <w:szCs w:val="20"/>
          </w:rPr>
          <w:t>v</w:t>
        </w:r>
        <w:r w:rsidRPr="00FD37F6">
          <w:rPr>
            <w:rStyle w:val="Hyperlink"/>
            <w:rFonts w:cs="Times New Roman"/>
            <w:sz w:val="20"/>
            <w:szCs w:val="20"/>
            <w:lang w:val="bg-BG"/>
          </w:rPr>
          <w:t>-</w:t>
        </w:r>
        <w:r w:rsidRPr="00FD37F6">
          <w:rPr>
            <w:rStyle w:val="Hyperlink"/>
            <w:rFonts w:cs="Times New Roman"/>
            <w:sz w:val="20"/>
            <w:szCs w:val="20"/>
          </w:rPr>
          <w:t>perioda</w:t>
        </w:r>
        <w:r w:rsidRPr="00FD37F6">
          <w:rPr>
            <w:rStyle w:val="Hyperlink"/>
            <w:rFonts w:cs="Times New Roman"/>
            <w:sz w:val="20"/>
            <w:szCs w:val="20"/>
            <w:lang w:val="bg-BG"/>
          </w:rPr>
          <w:t>-</w:t>
        </w:r>
        <w:r w:rsidRPr="00FD37F6">
          <w:rPr>
            <w:rStyle w:val="Hyperlink"/>
            <w:rFonts w:cs="Times New Roman"/>
            <w:sz w:val="20"/>
            <w:szCs w:val="20"/>
          </w:rPr>
          <w:t>do</w:t>
        </w:r>
        <w:r w:rsidRPr="00FD37F6">
          <w:rPr>
            <w:rStyle w:val="Hyperlink"/>
            <w:rFonts w:cs="Times New Roman"/>
            <w:sz w:val="20"/>
            <w:szCs w:val="20"/>
            <w:lang w:val="bg-BG"/>
          </w:rPr>
          <w:t>-2030-</w:t>
        </w:r>
        <w:r w:rsidRPr="00FD37F6">
          <w:rPr>
            <w:rStyle w:val="Hyperlink"/>
            <w:rFonts w:cs="Times New Roman"/>
            <w:sz w:val="20"/>
            <w:szCs w:val="20"/>
          </w:rPr>
          <w:t>g</w:t>
        </w:r>
      </w:hyperlink>
      <w:r w:rsidRPr="00FD37F6">
        <w:rPr>
          <w:rFonts w:cs="Times New Roman"/>
          <w:sz w:val="20"/>
          <w:szCs w:val="20"/>
          <w:lang w:val="bg-BG"/>
        </w:rPr>
        <w:t xml:space="preserve"> </w:t>
      </w:r>
    </w:p>
  </w:footnote>
  <w:footnote w:id="109">
    <w:p w14:paraId="12D10E13" w14:textId="57FCDDC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бр.111/21.12.2004 г., изм. и доп. </w:t>
      </w:r>
      <w:r w:rsidRPr="00390518">
        <w:rPr>
          <w:rFonts w:cs="Times New Roman"/>
          <w:sz w:val="20"/>
          <w:szCs w:val="20"/>
          <w:lang w:val="bg-BG"/>
        </w:rPr>
        <w:t>ДВ. бр.85</w:t>
      </w:r>
      <w:r w:rsidRPr="00FD37F6">
        <w:rPr>
          <w:rFonts w:cs="Times New Roman"/>
          <w:sz w:val="20"/>
          <w:szCs w:val="20"/>
          <w:lang w:val="bg-BG"/>
        </w:rPr>
        <w:t>/</w:t>
      </w:r>
      <w:r w:rsidRPr="00390518">
        <w:rPr>
          <w:rFonts w:cs="Times New Roman"/>
          <w:sz w:val="20"/>
          <w:szCs w:val="20"/>
          <w:lang w:val="bg-BG"/>
        </w:rPr>
        <w:t>24</w:t>
      </w:r>
      <w:r w:rsidRPr="00FD37F6">
        <w:rPr>
          <w:rFonts w:cs="Times New Roman"/>
          <w:sz w:val="20"/>
          <w:szCs w:val="20"/>
          <w:lang w:val="bg-BG"/>
        </w:rPr>
        <w:t>.10.</w:t>
      </w:r>
      <w:r w:rsidRPr="00390518">
        <w:rPr>
          <w:rFonts w:cs="Times New Roman"/>
          <w:sz w:val="20"/>
          <w:szCs w:val="20"/>
          <w:lang w:val="bg-BG"/>
        </w:rPr>
        <w:t>2017 г.</w:t>
      </w:r>
    </w:p>
  </w:footnote>
  <w:footnote w:id="110">
    <w:p w14:paraId="63C4134F" w14:textId="545FCF7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63"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marad</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node</w:t>
        </w:r>
        <w:r w:rsidRPr="00FD37F6">
          <w:rPr>
            <w:rStyle w:val="Hyperlink"/>
            <w:rFonts w:cs="Times New Roman"/>
            <w:sz w:val="20"/>
            <w:szCs w:val="20"/>
            <w:lang w:val="bg-BG"/>
          </w:rPr>
          <w:t>/857</w:t>
        </w:r>
      </w:hyperlink>
      <w:r w:rsidRPr="00FD37F6">
        <w:rPr>
          <w:rFonts w:cs="Times New Roman"/>
          <w:sz w:val="20"/>
          <w:szCs w:val="20"/>
          <w:lang w:val="bg-BG"/>
        </w:rPr>
        <w:t xml:space="preserve"> </w:t>
      </w:r>
    </w:p>
  </w:footnote>
  <w:footnote w:id="111">
    <w:p w14:paraId="7425A8D8" w14:textId="15036A4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64"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bgports</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page</w:t>
        </w:r>
        <w:r w:rsidRPr="00FD37F6">
          <w:rPr>
            <w:rStyle w:val="Hyperlink"/>
            <w:rFonts w:cs="Times New Roman"/>
            <w:sz w:val="20"/>
            <w:szCs w:val="20"/>
            <w:lang w:val="bg-BG"/>
          </w:rPr>
          <w:t>/24</w:t>
        </w:r>
      </w:hyperlink>
      <w:r w:rsidRPr="00FD37F6">
        <w:rPr>
          <w:rFonts w:cs="Times New Roman"/>
          <w:sz w:val="20"/>
          <w:szCs w:val="20"/>
          <w:lang w:val="bg-BG"/>
        </w:rPr>
        <w:t xml:space="preserve"> </w:t>
      </w:r>
    </w:p>
  </w:footnote>
  <w:footnote w:id="112">
    <w:p w14:paraId="63CB5CEE" w14:textId="6D0064D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65"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deloports</w:t>
        </w:r>
        <w:r w:rsidRPr="00FD37F6">
          <w:rPr>
            <w:rStyle w:val="Hyperlink"/>
            <w:rFonts w:cs="Times New Roman"/>
            <w:sz w:val="20"/>
            <w:szCs w:val="20"/>
            <w:lang w:val="bg-BG"/>
          </w:rPr>
          <w:t>.</w:t>
        </w:r>
        <w:r w:rsidRPr="00FD37F6">
          <w:rPr>
            <w:rStyle w:val="Hyperlink"/>
            <w:rFonts w:cs="Times New Roman"/>
            <w:sz w:val="20"/>
            <w:szCs w:val="20"/>
          </w:rPr>
          <w:t>com</w:t>
        </w:r>
        <w:r w:rsidRPr="00FD37F6">
          <w:rPr>
            <w:rStyle w:val="Hyperlink"/>
            <w:rFonts w:cs="Times New Roman"/>
            <w:sz w:val="20"/>
            <w:szCs w:val="20"/>
            <w:lang w:val="bg-BG"/>
          </w:rPr>
          <w:t>/</w:t>
        </w:r>
        <w:r w:rsidRPr="00FD37F6">
          <w:rPr>
            <w:rStyle w:val="Hyperlink"/>
            <w:rFonts w:cs="Times New Roman"/>
            <w:sz w:val="20"/>
            <w:szCs w:val="20"/>
          </w:rPr>
          <w:t>dock</w:t>
        </w:r>
        <w:r w:rsidRPr="00FD37F6">
          <w:rPr>
            <w:rStyle w:val="Hyperlink"/>
            <w:rFonts w:cs="Times New Roman"/>
            <w:sz w:val="20"/>
            <w:szCs w:val="20"/>
            <w:lang w:val="bg-BG"/>
          </w:rPr>
          <w:t>58/</w:t>
        </w:r>
      </w:hyperlink>
      <w:r w:rsidRPr="00FD37F6">
        <w:rPr>
          <w:rFonts w:cs="Times New Roman"/>
          <w:sz w:val="20"/>
          <w:szCs w:val="20"/>
          <w:lang w:val="bg-BG"/>
        </w:rPr>
        <w:t xml:space="preserve"> </w:t>
      </w:r>
    </w:p>
  </w:footnote>
  <w:footnote w:id="113">
    <w:p w14:paraId="759A1B51" w14:textId="508039E6" w:rsidR="00C717D0" w:rsidRPr="00FD37F6" w:rsidRDefault="00C717D0">
      <w:pPr>
        <w:pStyle w:val="FootnoteText"/>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66"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marad</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node</w:t>
        </w:r>
        <w:r w:rsidRPr="00FD37F6">
          <w:rPr>
            <w:rStyle w:val="Hyperlink"/>
            <w:rFonts w:cs="Times New Roman"/>
            <w:sz w:val="20"/>
            <w:szCs w:val="20"/>
            <w:lang w:val="bg-BG"/>
          </w:rPr>
          <w:t>/997</w:t>
        </w:r>
      </w:hyperlink>
    </w:p>
  </w:footnote>
  <w:footnote w:id="114">
    <w:p w14:paraId="245065BA" w14:textId="5E96B936" w:rsidR="00C717D0" w:rsidRPr="00E04172" w:rsidRDefault="00C717D0">
      <w:pPr>
        <w:pStyle w:val="FootnoteText"/>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E04172">
        <w:rPr>
          <w:rFonts w:cs="Times New Roman"/>
          <w:sz w:val="20"/>
          <w:szCs w:val="20"/>
          <w:lang w:val="bg-BG"/>
        </w:rPr>
        <w:t>Пълен списък на пристанищата и пристанищните терминали съгласно официалния регистър на пристанищата на ИАМА е даден в Приложение 1 на Том 6 „Морски транспорт (</w:t>
      </w:r>
      <w:hyperlink r:id="rId167" w:history="1">
        <w:r w:rsidRPr="00FD37F6">
          <w:rPr>
            <w:rStyle w:val="Hyperlink"/>
            <w:rFonts w:cs="Times New Roman"/>
            <w:sz w:val="20"/>
            <w:szCs w:val="20"/>
            <w:lang w:val="bg-BG"/>
          </w:rPr>
          <w:t>https://www.marad.bg/bg/taxonomy/term/178</w:t>
        </w:r>
      </w:hyperlink>
      <w:r w:rsidRPr="00E04172">
        <w:rPr>
          <w:rFonts w:cs="Times New Roman"/>
          <w:sz w:val="20"/>
          <w:szCs w:val="20"/>
          <w:lang w:val="bg-BG"/>
        </w:rPr>
        <w:t>), а на инвестиционните намерения в Приложение 2 към същия.</w:t>
      </w:r>
    </w:p>
  </w:footnote>
  <w:footnote w:id="115">
    <w:p w14:paraId="651EB6AE"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4/2001 г., изм. и доп. ДВ бр. 98/13.12.2019 г. </w:t>
      </w:r>
    </w:p>
  </w:footnote>
  <w:footnote w:id="116">
    <w:p w14:paraId="673C69F2" w14:textId="6AB3D964"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Б. Калинков, П. Дойчев, Варна, 2017 г.</w:t>
      </w:r>
    </w:p>
  </w:footnote>
  <w:footnote w:id="117">
    <w:p w14:paraId="39F0B7FD" w14:textId="77777777" w:rsidR="00C717D0" w:rsidRPr="00FD37F6" w:rsidRDefault="00C717D0" w:rsidP="00F00BE8">
      <w:pPr>
        <w:pStyle w:val="FootnoteText"/>
        <w:spacing w:after="20"/>
        <w:ind w:right="-187"/>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Национална стратегия за устойчиво развитие на туризма в Р. България, 2014-2030 (актуализация 2017)</w:t>
      </w:r>
    </w:p>
  </w:footnote>
  <w:footnote w:id="118">
    <w:p w14:paraId="62CF31EF" w14:textId="77777777" w:rsidR="00C717D0" w:rsidRPr="00AA0892"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AA0892">
        <w:rPr>
          <w:rFonts w:cs="Times New Roman"/>
          <w:sz w:val="20"/>
          <w:szCs w:val="20"/>
          <w:lang w:val="bg-BG"/>
        </w:rPr>
        <w:t xml:space="preserve"> </w:t>
      </w:r>
      <w:hyperlink r:id="rId168" w:history="1">
        <w:r w:rsidRPr="00FD37F6">
          <w:rPr>
            <w:rStyle w:val="Hyperlink"/>
            <w:rFonts w:cs="Times New Roman"/>
            <w:sz w:val="20"/>
            <w:szCs w:val="20"/>
          </w:rPr>
          <w:t>http</w:t>
        </w:r>
        <w:r w:rsidRPr="00AA0892">
          <w:rPr>
            <w:rStyle w:val="Hyperlink"/>
            <w:rFonts w:cs="Times New Roman"/>
            <w:sz w:val="20"/>
            <w:szCs w:val="20"/>
            <w:lang w:val="bg-BG"/>
          </w:rPr>
          <w:t>://</w:t>
        </w:r>
        <w:r w:rsidRPr="00FD37F6">
          <w:rPr>
            <w:rStyle w:val="Hyperlink"/>
            <w:rFonts w:cs="Times New Roman"/>
            <w:sz w:val="20"/>
            <w:szCs w:val="20"/>
          </w:rPr>
          <w:t>uni</w:t>
        </w:r>
        <w:r w:rsidRPr="00AA0892">
          <w:rPr>
            <w:rStyle w:val="Hyperlink"/>
            <w:rFonts w:cs="Times New Roman"/>
            <w:sz w:val="20"/>
            <w:szCs w:val="20"/>
            <w:lang w:val="bg-BG"/>
          </w:rPr>
          <w:t>-</w:t>
        </w:r>
        <w:r w:rsidRPr="00FD37F6">
          <w:rPr>
            <w:rStyle w:val="Hyperlink"/>
            <w:rFonts w:cs="Times New Roman"/>
            <w:sz w:val="20"/>
            <w:szCs w:val="20"/>
          </w:rPr>
          <w:t>sz</w:t>
        </w:r>
        <w:r w:rsidRPr="00AA0892">
          <w:rPr>
            <w:rStyle w:val="Hyperlink"/>
            <w:rFonts w:cs="Times New Roman"/>
            <w:sz w:val="20"/>
            <w:szCs w:val="20"/>
            <w:lang w:val="bg-BG"/>
          </w:rPr>
          <w:t>.</w:t>
        </w:r>
        <w:r w:rsidRPr="00FD37F6">
          <w:rPr>
            <w:rStyle w:val="Hyperlink"/>
            <w:rFonts w:cs="Times New Roman"/>
            <w:sz w:val="20"/>
            <w:szCs w:val="20"/>
          </w:rPr>
          <w:t>bg</w:t>
        </w:r>
        <w:r w:rsidRPr="00AA0892">
          <w:rPr>
            <w:rStyle w:val="Hyperlink"/>
            <w:rFonts w:cs="Times New Roman"/>
            <w:sz w:val="20"/>
            <w:szCs w:val="20"/>
            <w:lang w:val="bg-BG"/>
          </w:rPr>
          <w:t>/</w:t>
        </w:r>
        <w:r w:rsidRPr="00FD37F6">
          <w:rPr>
            <w:rStyle w:val="Hyperlink"/>
            <w:rFonts w:cs="Times New Roman"/>
            <w:sz w:val="20"/>
            <w:szCs w:val="20"/>
          </w:rPr>
          <w:t>truni</w:t>
        </w:r>
        <w:r w:rsidRPr="00AA0892">
          <w:rPr>
            <w:rStyle w:val="Hyperlink"/>
            <w:rFonts w:cs="Times New Roman"/>
            <w:sz w:val="20"/>
            <w:szCs w:val="20"/>
            <w:lang w:val="bg-BG"/>
          </w:rPr>
          <w:t>11/</w:t>
        </w:r>
        <w:r w:rsidRPr="00FD37F6">
          <w:rPr>
            <w:rStyle w:val="Hyperlink"/>
            <w:rFonts w:cs="Times New Roman"/>
            <w:sz w:val="20"/>
            <w:szCs w:val="20"/>
          </w:rPr>
          <w:t>wp</w:t>
        </w:r>
        <w:r w:rsidRPr="00AA0892">
          <w:rPr>
            <w:rStyle w:val="Hyperlink"/>
            <w:rFonts w:cs="Times New Roman"/>
            <w:sz w:val="20"/>
            <w:szCs w:val="20"/>
            <w:lang w:val="bg-BG"/>
          </w:rPr>
          <w:t>-</w:t>
        </w:r>
        <w:r w:rsidRPr="00FD37F6">
          <w:rPr>
            <w:rStyle w:val="Hyperlink"/>
            <w:rFonts w:cs="Times New Roman"/>
            <w:sz w:val="20"/>
            <w:szCs w:val="20"/>
          </w:rPr>
          <w:t>content</w:t>
        </w:r>
        <w:r w:rsidRPr="00AA0892">
          <w:rPr>
            <w:rStyle w:val="Hyperlink"/>
            <w:rFonts w:cs="Times New Roman"/>
            <w:sz w:val="20"/>
            <w:szCs w:val="20"/>
            <w:lang w:val="bg-BG"/>
          </w:rPr>
          <w:t>/</w:t>
        </w:r>
        <w:r w:rsidRPr="00FD37F6">
          <w:rPr>
            <w:rStyle w:val="Hyperlink"/>
            <w:rFonts w:cs="Times New Roman"/>
            <w:sz w:val="20"/>
            <w:szCs w:val="20"/>
          </w:rPr>
          <w:t>uploads</w:t>
        </w:r>
        <w:r w:rsidRPr="00AA0892">
          <w:rPr>
            <w:rStyle w:val="Hyperlink"/>
            <w:rFonts w:cs="Times New Roman"/>
            <w:sz w:val="20"/>
            <w:szCs w:val="20"/>
            <w:lang w:val="bg-BG"/>
          </w:rPr>
          <w:t>/</w:t>
        </w:r>
        <w:r w:rsidRPr="00FD37F6">
          <w:rPr>
            <w:rStyle w:val="Hyperlink"/>
            <w:rFonts w:cs="Times New Roman"/>
            <w:sz w:val="20"/>
            <w:szCs w:val="20"/>
          </w:rPr>
          <w:t>biblioteka</w:t>
        </w:r>
        <w:r w:rsidRPr="00AA0892">
          <w:rPr>
            <w:rStyle w:val="Hyperlink"/>
            <w:rFonts w:cs="Times New Roman"/>
            <w:sz w:val="20"/>
            <w:szCs w:val="20"/>
            <w:lang w:val="bg-BG"/>
          </w:rPr>
          <w:t>/</w:t>
        </w:r>
        <w:r w:rsidRPr="00FD37F6">
          <w:rPr>
            <w:rStyle w:val="Hyperlink"/>
            <w:rFonts w:cs="Times New Roman"/>
            <w:sz w:val="20"/>
            <w:szCs w:val="20"/>
          </w:rPr>
          <w:t>file</w:t>
        </w:r>
        <w:r w:rsidRPr="00AA0892">
          <w:rPr>
            <w:rStyle w:val="Hyperlink"/>
            <w:rFonts w:cs="Times New Roman"/>
            <w:sz w:val="20"/>
            <w:szCs w:val="20"/>
            <w:lang w:val="bg-BG"/>
          </w:rPr>
          <w:t>/</w:t>
        </w:r>
        <w:r w:rsidRPr="00FD37F6">
          <w:rPr>
            <w:rStyle w:val="Hyperlink"/>
            <w:rFonts w:cs="Times New Roman"/>
            <w:sz w:val="20"/>
            <w:szCs w:val="20"/>
          </w:rPr>
          <w:t>TUNI</w:t>
        </w:r>
        <w:r w:rsidRPr="00AA0892">
          <w:rPr>
            <w:rStyle w:val="Hyperlink"/>
            <w:rFonts w:cs="Times New Roman"/>
            <w:sz w:val="20"/>
            <w:szCs w:val="20"/>
            <w:lang w:val="bg-BG"/>
          </w:rPr>
          <w:t>10015968.</w:t>
        </w:r>
        <w:r w:rsidRPr="00FD37F6">
          <w:rPr>
            <w:rStyle w:val="Hyperlink"/>
            <w:rFonts w:cs="Times New Roman"/>
            <w:sz w:val="20"/>
            <w:szCs w:val="20"/>
          </w:rPr>
          <w:t>pdf</w:t>
        </w:r>
      </w:hyperlink>
    </w:p>
  </w:footnote>
  <w:footnote w:id="119">
    <w:p w14:paraId="639A9B3B"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Предлагане в места за настаняване под 10 легла не се следи от официалната статистика, но по емпирични проучвания на екипа, то е поне 2 пъти повече от първото, т.е. над 460 хил.</w:t>
      </w:r>
    </w:p>
  </w:footnote>
  <w:footnote w:id="120">
    <w:p w14:paraId="62085827" w14:textId="77777777" w:rsidR="00C717D0" w:rsidRPr="00FD37F6" w:rsidRDefault="00C717D0" w:rsidP="00677160">
      <w:pPr>
        <w:pStyle w:val="FootnoteText"/>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w:t>
      </w:r>
      <w:hyperlink r:id="rId169" w:history="1">
        <w:r w:rsidRPr="00FD37F6">
          <w:rPr>
            <w:rStyle w:val="Hyperlink"/>
            <w:rFonts w:cs="Times New Roman"/>
            <w:sz w:val="20"/>
            <w:szCs w:val="20"/>
          </w:rPr>
          <w:t>https</w:t>
        </w:r>
        <w:r w:rsidRPr="00390518">
          <w:rPr>
            <w:rStyle w:val="Hyperlink"/>
            <w:rFonts w:cs="Times New Roman"/>
            <w:sz w:val="20"/>
            <w:szCs w:val="20"/>
            <w:lang w:val="bg-BG"/>
          </w:rPr>
          <w:t>://</w:t>
        </w:r>
        <w:r w:rsidRPr="00FD37F6">
          <w:rPr>
            <w:rStyle w:val="Hyperlink"/>
            <w:rFonts w:cs="Times New Roman"/>
            <w:sz w:val="20"/>
            <w:szCs w:val="20"/>
          </w:rPr>
          <w:t>marad</w:t>
        </w:r>
        <w:r w:rsidRPr="00390518">
          <w:rPr>
            <w:rStyle w:val="Hyperlink"/>
            <w:rFonts w:cs="Times New Roman"/>
            <w:sz w:val="20"/>
            <w:szCs w:val="20"/>
            <w:lang w:val="bg-BG"/>
          </w:rPr>
          <w:t>.</w:t>
        </w:r>
        <w:r w:rsidRPr="00FD37F6">
          <w:rPr>
            <w:rStyle w:val="Hyperlink"/>
            <w:rFonts w:cs="Times New Roman"/>
            <w:sz w:val="20"/>
            <w:szCs w:val="20"/>
          </w:rPr>
          <w:t>bg</w:t>
        </w:r>
        <w:r w:rsidRPr="00390518">
          <w:rPr>
            <w:rStyle w:val="Hyperlink"/>
            <w:rFonts w:cs="Times New Roman"/>
            <w:sz w:val="20"/>
            <w:szCs w:val="20"/>
            <w:lang w:val="bg-BG"/>
          </w:rPr>
          <w:t>/</w:t>
        </w:r>
        <w:r w:rsidRPr="00FD37F6">
          <w:rPr>
            <w:rStyle w:val="Hyperlink"/>
            <w:rFonts w:cs="Times New Roman"/>
            <w:sz w:val="20"/>
            <w:szCs w:val="20"/>
          </w:rPr>
          <w:t>sites</w:t>
        </w:r>
        <w:r w:rsidRPr="00390518">
          <w:rPr>
            <w:rStyle w:val="Hyperlink"/>
            <w:rFonts w:cs="Times New Roman"/>
            <w:sz w:val="20"/>
            <w:szCs w:val="20"/>
            <w:lang w:val="bg-BG"/>
          </w:rPr>
          <w:t>/</w:t>
        </w:r>
        <w:r w:rsidRPr="00FD37F6">
          <w:rPr>
            <w:rStyle w:val="Hyperlink"/>
            <w:rFonts w:cs="Times New Roman"/>
            <w:sz w:val="20"/>
            <w:szCs w:val="20"/>
          </w:rPr>
          <w:t>default</w:t>
        </w:r>
        <w:r w:rsidRPr="00390518">
          <w:rPr>
            <w:rStyle w:val="Hyperlink"/>
            <w:rFonts w:cs="Times New Roman"/>
            <w:sz w:val="20"/>
            <w:szCs w:val="20"/>
            <w:lang w:val="bg-BG"/>
          </w:rPr>
          <w:t>/</w:t>
        </w:r>
        <w:r w:rsidRPr="00FD37F6">
          <w:rPr>
            <w:rStyle w:val="Hyperlink"/>
            <w:rFonts w:cs="Times New Roman"/>
            <w:sz w:val="20"/>
            <w:szCs w:val="20"/>
          </w:rPr>
          <w:t>files</w:t>
        </w:r>
        <w:r w:rsidRPr="00390518">
          <w:rPr>
            <w:rStyle w:val="Hyperlink"/>
            <w:rFonts w:cs="Times New Roman"/>
            <w:sz w:val="20"/>
            <w:szCs w:val="20"/>
            <w:lang w:val="bg-BG"/>
          </w:rPr>
          <w:t>/</w:t>
        </w:r>
        <w:r w:rsidRPr="00FD37F6">
          <w:rPr>
            <w:rStyle w:val="Hyperlink"/>
            <w:rFonts w:cs="Times New Roman"/>
            <w:sz w:val="20"/>
            <w:szCs w:val="20"/>
          </w:rPr>
          <w:t>upload</w:t>
        </w:r>
        <w:r w:rsidRPr="00390518">
          <w:rPr>
            <w:rStyle w:val="Hyperlink"/>
            <w:rFonts w:cs="Times New Roman"/>
            <w:sz w:val="20"/>
            <w:szCs w:val="20"/>
            <w:lang w:val="bg-BG"/>
          </w:rPr>
          <w:t>/</w:t>
        </w:r>
        <w:r w:rsidRPr="00FD37F6">
          <w:rPr>
            <w:rStyle w:val="Hyperlink"/>
            <w:rFonts w:cs="Times New Roman"/>
            <w:sz w:val="20"/>
            <w:szCs w:val="20"/>
          </w:rPr>
          <w:t>documents</w:t>
        </w:r>
        <w:r w:rsidRPr="00390518">
          <w:rPr>
            <w:rStyle w:val="Hyperlink"/>
            <w:rFonts w:cs="Times New Roman"/>
            <w:sz w:val="20"/>
            <w:szCs w:val="20"/>
            <w:lang w:val="bg-BG"/>
          </w:rPr>
          <w:t>/2021-03</w:t>
        </w:r>
      </w:hyperlink>
    </w:p>
  </w:footnote>
  <w:footnote w:id="121">
    <w:p w14:paraId="137F5BC2"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FD37F6">
        <w:rPr>
          <w:rFonts w:cs="Times New Roman"/>
          <w:sz w:val="20"/>
          <w:szCs w:val="20"/>
        </w:rPr>
        <w:t>World</w:t>
      </w:r>
      <w:r w:rsidRPr="00FD37F6">
        <w:rPr>
          <w:rFonts w:cs="Times New Roman"/>
          <w:sz w:val="20"/>
          <w:szCs w:val="20"/>
          <w:lang w:val="bg-BG"/>
        </w:rPr>
        <w:t xml:space="preserve"> </w:t>
      </w:r>
      <w:r w:rsidRPr="00FD37F6">
        <w:rPr>
          <w:rFonts w:cs="Times New Roman"/>
          <w:sz w:val="20"/>
          <w:szCs w:val="20"/>
        </w:rPr>
        <w:t>Travel</w:t>
      </w:r>
      <w:r w:rsidRPr="00FD37F6">
        <w:rPr>
          <w:rFonts w:cs="Times New Roman"/>
          <w:sz w:val="20"/>
          <w:szCs w:val="20"/>
          <w:lang w:val="bg-BG"/>
        </w:rPr>
        <w:t xml:space="preserve"> &amp; </w:t>
      </w:r>
      <w:r w:rsidRPr="00FD37F6">
        <w:rPr>
          <w:rFonts w:cs="Times New Roman"/>
          <w:sz w:val="20"/>
          <w:szCs w:val="20"/>
        </w:rPr>
        <w:t>Tourism</w:t>
      </w:r>
      <w:r w:rsidRPr="00FD37F6">
        <w:rPr>
          <w:rFonts w:cs="Times New Roman"/>
          <w:sz w:val="20"/>
          <w:szCs w:val="20"/>
          <w:lang w:val="bg-BG"/>
        </w:rPr>
        <w:t xml:space="preserve"> </w:t>
      </w:r>
      <w:r w:rsidRPr="00FD37F6">
        <w:rPr>
          <w:rFonts w:cs="Times New Roman"/>
          <w:sz w:val="20"/>
          <w:szCs w:val="20"/>
        </w:rPr>
        <w:t>Council</w:t>
      </w:r>
      <w:r w:rsidRPr="00FD37F6">
        <w:rPr>
          <w:rFonts w:cs="Times New Roman"/>
          <w:sz w:val="20"/>
          <w:szCs w:val="20"/>
          <w:lang w:val="bg-BG"/>
        </w:rPr>
        <w:t>, източник на информация, оценки и анализи на сектора</w:t>
      </w:r>
    </w:p>
  </w:footnote>
  <w:footnote w:id="122">
    <w:p w14:paraId="5E31E199" w14:textId="685BD9C1" w:rsidR="00C717D0" w:rsidRPr="00FD37F6" w:rsidRDefault="00C717D0" w:rsidP="00901BE7">
      <w:pPr>
        <w:pStyle w:val="FootnoteText"/>
        <w:spacing w:after="20"/>
        <w:ind w:right="-471"/>
        <w:rPr>
          <w:rFonts w:cs="Times New Roman"/>
          <w:sz w:val="20"/>
          <w:szCs w:val="20"/>
          <w:lang w:val="bg-BG"/>
        </w:rPr>
      </w:pPr>
      <w:r w:rsidRPr="00FD37F6">
        <w:rPr>
          <w:rStyle w:val="FootnoteReference"/>
          <w:rFonts w:cs="Times New Roman"/>
          <w:sz w:val="20"/>
          <w:szCs w:val="20"/>
        </w:rPr>
        <w:footnoteRef/>
      </w:r>
      <w:r w:rsidRPr="00AA0892">
        <w:rPr>
          <w:rFonts w:cs="Times New Roman"/>
          <w:sz w:val="20"/>
          <w:szCs w:val="20"/>
          <w:lang w:val="bg-BG"/>
        </w:rPr>
        <w:t xml:space="preserve"> </w:t>
      </w:r>
      <w:hyperlink r:id="rId170" w:history="1">
        <w:r w:rsidRPr="00FD37F6">
          <w:rPr>
            <w:rStyle w:val="Hyperlink"/>
            <w:rFonts w:cs="Times New Roman"/>
            <w:sz w:val="20"/>
            <w:szCs w:val="20"/>
          </w:rPr>
          <w:t>https</w:t>
        </w:r>
        <w:r w:rsidRPr="00AA0892">
          <w:rPr>
            <w:rStyle w:val="Hyperlink"/>
            <w:rFonts w:cs="Times New Roman"/>
            <w:sz w:val="20"/>
            <w:szCs w:val="20"/>
            <w:lang w:val="bg-BG"/>
          </w:rPr>
          <w:t>://</w:t>
        </w:r>
        <w:r w:rsidRPr="00FD37F6">
          <w:rPr>
            <w:rStyle w:val="Hyperlink"/>
            <w:rFonts w:cs="Times New Roman"/>
            <w:sz w:val="20"/>
            <w:szCs w:val="20"/>
          </w:rPr>
          <w:t>webunwto</w:t>
        </w:r>
        <w:r w:rsidRPr="00AA0892">
          <w:rPr>
            <w:rStyle w:val="Hyperlink"/>
            <w:rFonts w:cs="Times New Roman"/>
            <w:sz w:val="20"/>
            <w:szCs w:val="20"/>
            <w:lang w:val="bg-BG"/>
          </w:rPr>
          <w:t>.</w:t>
        </w:r>
        <w:r w:rsidRPr="00FD37F6">
          <w:rPr>
            <w:rStyle w:val="Hyperlink"/>
            <w:rFonts w:cs="Times New Roman"/>
            <w:sz w:val="20"/>
            <w:szCs w:val="20"/>
          </w:rPr>
          <w:t>s</w:t>
        </w:r>
        <w:r w:rsidRPr="00AA0892">
          <w:rPr>
            <w:rStyle w:val="Hyperlink"/>
            <w:rFonts w:cs="Times New Roman"/>
            <w:sz w:val="20"/>
            <w:szCs w:val="20"/>
            <w:lang w:val="bg-BG"/>
          </w:rPr>
          <w:t>3.</w:t>
        </w:r>
        <w:r w:rsidRPr="00FD37F6">
          <w:rPr>
            <w:rStyle w:val="Hyperlink"/>
            <w:rFonts w:cs="Times New Roman"/>
            <w:sz w:val="20"/>
            <w:szCs w:val="20"/>
          </w:rPr>
          <w:t>eu</w:t>
        </w:r>
        <w:r w:rsidRPr="00AA0892">
          <w:rPr>
            <w:rStyle w:val="Hyperlink"/>
            <w:rFonts w:cs="Times New Roman"/>
            <w:sz w:val="20"/>
            <w:szCs w:val="20"/>
            <w:lang w:val="bg-BG"/>
          </w:rPr>
          <w:t>-</w:t>
        </w:r>
        <w:r w:rsidRPr="00FD37F6">
          <w:rPr>
            <w:rStyle w:val="Hyperlink"/>
            <w:rFonts w:cs="Times New Roman"/>
            <w:sz w:val="20"/>
            <w:szCs w:val="20"/>
          </w:rPr>
          <w:t>west</w:t>
        </w:r>
        <w:r w:rsidRPr="00AA0892">
          <w:rPr>
            <w:rStyle w:val="Hyperlink"/>
            <w:rFonts w:cs="Times New Roman"/>
            <w:sz w:val="20"/>
            <w:szCs w:val="20"/>
            <w:lang w:val="bg-BG"/>
          </w:rPr>
          <w:t>-1.</w:t>
        </w:r>
        <w:r w:rsidRPr="00FD37F6">
          <w:rPr>
            <w:rStyle w:val="Hyperlink"/>
            <w:rFonts w:cs="Times New Roman"/>
            <w:sz w:val="20"/>
            <w:szCs w:val="20"/>
          </w:rPr>
          <w:t>amazonaws</w:t>
        </w:r>
        <w:r w:rsidRPr="00AA0892">
          <w:rPr>
            <w:rStyle w:val="Hyperlink"/>
            <w:rFonts w:cs="Times New Roman"/>
            <w:sz w:val="20"/>
            <w:szCs w:val="20"/>
            <w:lang w:val="bg-BG"/>
          </w:rPr>
          <w:t>.</w:t>
        </w:r>
        <w:r w:rsidRPr="00FD37F6">
          <w:rPr>
            <w:rStyle w:val="Hyperlink"/>
            <w:rFonts w:cs="Times New Roman"/>
            <w:sz w:val="20"/>
            <w:szCs w:val="20"/>
          </w:rPr>
          <w:t>com</w:t>
        </w:r>
        <w:r w:rsidRPr="00AA0892">
          <w:rPr>
            <w:rStyle w:val="Hyperlink"/>
            <w:rFonts w:cs="Times New Roman"/>
            <w:sz w:val="20"/>
            <w:szCs w:val="20"/>
            <w:lang w:val="bg-BG"/>
          </w:rPr>
          <w:t>/</w:t>
        </w:r>
        <w:r w:rsidRPr="00FD37F6">
          <w:rPr>
            <w:rStyle w:val="Hyperlink"/>
            <w:rFonts w:cs="Times New Roman"/>
            <w:sz w:val="20"/>
            <w:szCs w:val="20"/>
          </w:rPr>
          <w:t>s</w:t>
        </w:r>
        <w:r w:rsidRPr="00AA0892">
          <w:rPr>
            <w:rStyle w:val="Hyperlink"/>
            <w:rFonts w:cs="Times New Roman"/>
            <w:sz w:val="20"/>
            <w:szCs w:val="20"/>
            <w:lang w:val="bg-BG"/>
          </w:rPr>
          <w:t>3</w:t>
        </w:r>
        <w:r w:rsidRPr="00FD37F6">
          <w:rPr>
            <w:rStyle w:val="Hyperlink"/>
            <w:rFonts w:cs="Times New Roman"/>
            <w:sz w:val="20"/>
            <w:szCs w:val="20"/>
          </w:rPr>
          <w:t>fs</w:t>
        </w:r>
        <w:r w:rsidRPr="00AA0892">
          <w:rPr>
            <w:rStyle w:val="Hyperlink"/>
            <w:rFonts w:cs="Times New Roman"/>
            <w:sz w:val="20"/>
            <w:szCs w:val="20"/>
            <w:lang w:val="bg-BG"/>
          </w:rPr>
          <w:t>-</w:t>
        </w:r>
        <w:r w:rsidRPr="00FD37F6">
          <w:rPr>
            <w:rStyle w:val="Hyperlink"/>
            <w:rFonts w:cs="Times New Roman"/>
            <w:sz w:val="20"/>
            <w:szCs w:val="20"/>
          </w:rPr>
          <w:t>public</w:t>
        </w:r>
        <w:r w:rsidRPr="00AA0892">
          <w:rPr>
            <w:rStyle w:val="Hyperlink"/>
            <w:rFonts w:cs="Times New Roman"/>
            <w:sz w:val="20"/>
            <w:szCs w:val="20"/>
            <w:lang w:val="bg-BG"/>
          </w:rPr>
          <w:t>/2020</w:t>
        </w:r>
        <w:r w:rsidRPr="00FD37F6">
          <w:rPr>
            <w:rStyle w:val="Hyperlink"/>
            <w:rFonts w:cs="Times New Roman"/>
            <w:sz w:val="20"/>
            <w:szCs w:val="20"/>
            <w:lang w:val="bg-BG"/>
          </w:rPr>
          <w:t>-0</w:t>
        </w:r>
        <w:r w:rsidRPr="00AA0892">
          <w:rPr>
            <w:rStyle w:val="Hyperlink"/>
            <w:rFonts w:cs="Times New Roman"/>
            <w:sz w:val="20"/>
            <w:szCs w:val="20"/>
            <w:lang w:val="bg-BG"/>
          </w:rPr>
          <w:t>4/</w:t>
        </w:r>
        <w:r w:rsidRPr="00FD37F6">
          <w:rPr>
            <w:rStyle w:val="Hyperlink"/>
            <w:rFonts w:cs="Times New Roman"/>
            <w:sz w:val="20"/>
            <w:szCs w:val="20"/>
          </w:rPr>
          <w:t>COVID</w:t>
        </w:r>
        <w:r w:rsidRPr="00AA0892">
          <w:rPr>
            <w:rStyle w:val="Hyperlink"/>
            <w:rFonts w:cs="Times New Roman"/>
            <w:sz w:val="20"/>
            <w:szCs w:val="20"/>
            <w:lang w:val="bg-BG"/>
          </w:rPr>
          <w:t>19_</w:t>
        </w:r>
        <w:r w:rsidRPr="00FD37F6">
          <w:rPr>
            <w:rStyle w:val="Hyperlink"/>
            <w:rFonts w:cs="Times New Roman"/>
            <w:sz w:val="20"/>
            <w:szCs w:val="20"/>
          </w:rPr>
          <w:t>Recommendations</w:t>
        </w:r>
        <w:r w:rsidRPr="00AA0892">
          <w:rPr>
            <w:rStyle w:val="Hyperlink"/>
            <w:rFonts w:cs="Times New Roman"/>
            <w:sz w:val="20"/>
            <w:szCs w:val="20"/>
            <w:lang w:val="bg-BG"/>
          </w:rPr>
          <w:t>_</w:t>
        </w:r>
        <w:r w:rsidRPr="00FD37F6">
          <w:rPr>
            <w:rStyle w:val="Hyperlink"/>
            <w:rFonts w:cs="Times New Roman"/>
            <w:sz w:val="20"/>
            <w:szCs w:val="20"/>
          </w:rPr>
          <w:t>English</w:t>
        </w:r>
        <w:r w:rsidRPr="00AA0892">
          <w:rPr>
            <w:rStyle w:val="Hyperlink"/>
            <w:rFonts w:cs="Times New Roman"/>
            <w:sz w:val="20"/>
            <w:szCs w:val="20"/>
            <w:lang w:val="bg-BG"/>
          </w:rPr>
          <w:t>_1.</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23">
    <w:p w14:paraId="17EFCEA9" w14:textId="52AC56EE" w:rsidR="00C717D0" w:rsidRPr="00FD37F6" w:rsidRDefault="00C717D0" w:rsidP="00F00BE8">
      <w:pPr>
        <w:pStyle w:val="FootnoteText"/>
        <w:spacing w:after="20"/>
        <w:rPr>
          <w:rFonts w:cs="Times New Roman"/>
          <w:sz w:val="20"/>
          <w:szCs w:val="20"/>
        </w:rPr>
      </w:pPr>
      <w:r w:rsidRPr="00FD37F6">
        <w:rPr>
          <w:rStyle w:val="FootnoteReference"/>
          <w:rFonts w:cs="Times New Roman"/>
          <w:sz w:val="20"/>
          <w:szCs w:val="20"/>
        </w:rPr>
        <w:footnoteRef/>
      </w:r>
      <w:r w:rsidRPr="00FD37F6">
        <w:rPr>
          <w:rFonts w:cs="Times New Roman"/>
          <w:sz w:val="20"/>
          <w:szCs w:val="20"/>
        </w:rPr>
        <w:t xml:space="preserve"> Travel &amp; Tourism, Economic Impact 2019, Europe</w:t>
      </w:r>
    </w:p>
  </w:footnote>
  <w:footnote w:id="124">
    <w:p w14:paraId="210F6A97" w14:textId="40DC867A"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hyperlink r:id="rId171" w:history="1">
        <w:r w:rsidRPr="00FD37F6">
          <w:rPr>
            <w:rStyle w:val="Hyperlink"/>
            <w:rFonts w:cs="Times New Roman"/>
            <w:sz w:val="20"/>
            <w:szCs w:val="20"/>
          </w:rPr>
          <w:t>https://ec.europa.eu/eurostat/web/products-eurostat-news/-/DDN-20200513-2</w:t>
        </w:r>
      </w:hyperlink>
      <w:r w:rsidRPr="00FD37F6">
        <w:rPr>
          <w:rFonts w:cs="Times New Roman"/>
          <w:sz w:val="20"/>
          <w:szCs w:val="20"/>
          <w:lang w:val="bg-BG"/>
        </w:rPr>
        <w:t xml:space="preserve"> </w:t>
      </w:r>
    </w:p>
  </w:footnote>
  <w:footnote w:id="125">
    <w:p w14:paraId="65D7F12D" w14:textId="6198983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72"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tourism</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126">
    <w:p w14:paraId="1EB2DB29" w14:textId="0EFD62B4"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45/30.04.2002 г., изм и доп. ДВ бр. 60/07.07.2020 г.</w:t>
      </w:r>
    </w:p>
  </w:footnote>
  <w:footnote w:id="127">
    <w:p w14:paraId="00B257C5"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59/01.07.2008 г., изм. и доп. ДВ. бр.14/2014 г.</w:t>
      </w:r>
    </w:p>
  </w:footnote>
  <w:footnote w:id="128">
    <w:p w14:paraId="54DDCBB9" w14:textId="77777777" w:rsidR="00C717D0" w:rsidRPr="00FD37F6" w:rsidRDefault="00C717D0" w:rsidP="00F00BE8">
      <w:pPr>
        <w:pStyle w:val="FootnoteText"/>
        <w:spacing w:after="20"/>
        <w:jc w:val="both"/>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Наредбата забранява извършването на дейности за спорт, туризъм и развлечение в районите, обхванати от системата за движение в морските пространства на Република България. Там е указан и редът за обозначаване на водолазите и осигуряващите ги плавателни средства.</w:t>
      </w:r>
    </w:p>
  </w:footnote>
  <w:footnote w:id="129">
    <w:p w14:paraId="0376E3C4"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Доклад „Синята икономика на ЕС 2019” (</w:t>
      </w:r>
      <w:r w:rsidRPr="00FD37F6">
        <w:rPr>
          <w:rFonts w:cs="Times New Roman"/>
          <w:sz w:val="20"/>
          <w:szCs w:val="20"/>
        </w:rPr>
        <w:t>The</w:t>
      </w:r>
      <w:r w:rsidRPr="00390518">
        <w:rPr>
          <w:rFonts w:cs="Times New Roman"/>
          <w:sz w:val="20"/>
          <w:szCs w:val="20"/>
          <w:lang w:val="bg-BG"/>
        </w:rPr>
        <w:t xml:space="preserve"> </w:t>
      </w:r>
      <w:r w:rsidRPr="00FD37F6">
        <w:rPr>
          <w:rFonts w:cs="Times New Roman"/>
          <w:sz w:val="20"/>
          <w:szCs w:val="20"/>
        </w:rPr>
        <w:t>EU</w:t>
      </w:r>
      <w:r w:rsidRPr="00390518">
        <w:rPr>
          <w:rFonts w:cs="Times New Roman"/>
          <w:sz w:val="20"/>
          <w:szCs w:val="20"/>
          <w:lang w:val="bg-BG"/>
        </w:rPr>
        <w:t xml:space="preserve"> </w:t>
      </w:r>
      <w:r w:rsidRPr="00FD37F6">
        <w:rPr>
          <w:rFonts w:cs="Times New Roman"/>
          <w:sz w:val="20"/>
          <w:szCs w:val="20"/>
        </w:rPr>
        <w:t>Blue</w:t>
      </w:r>
      <w:r w:rsidRPr="00390518">
        <w:rPr>
          <w:rFonts w:cs="Times New Roman"/>
          <w:sz w:val="20"/>
          <w:szCs w:val="20"/>
          <w:lang w:val="bg-BG"/>
        </w:rPr>
        <w:t xml:space="preserve"> </w:t>
      </w:r>
      <w:r w:rsidRPr="00FD37F6">
        <w:rPr>
          <w:rFonts w:cs="Times New Roman"/>
          <w:sz w:val="20"/>
          <w:szCs w:val="20"/>
        </w:rPr>
        <w:t>Economy</w:t>
      </w:r>
      <w:r w:rsidRPr="00390518">
        <w:rPr>
          <w:rFonts w:cs="Times New Roman"/>
          <w:sz w:val="20"/>
          <w:szCs w:val="20"/>
          <w:lang w:val="bg-BG"/>
        </w:rPr>
        <w:t xml:space="preserve"> </w:t>
      </w:r>
      <w:r w:rsidRPr="00FD37F6">
        <w:rPr>
          <w:rFonts w:cs="Times New Roman"/>
          <w:sz w:val="20"/>
          <w:szCs w:val="20"/>
        </w:rPr>
        <w:t>Report</w:t>
      </w:r>
      <w:r w:rsidRPr="00390518">
        <w:rPr>
          <w:rFonts w:cs="Times New Roman"/>
          <w:sz w:val="20"/>
          <w:szCs w:val="20"/>
          <w:lang w:val="bg-BG"/>
        </w:rPr>
        <w:t xml:space="preserve">, 2019). </w:t>
      </w:r>
    </w:p>
  </w:footnote>
  <w:footnote w:id="130">
    <w:p w14:paraId="030C99CB"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Данните са от Търговския регистър от м. декември 2018 г.</w:t>
      </w:r>
    </w:p>
  </w:footnote>
  <w:footnote w:id="131">
    <w:p w14:paraId="1574AE15"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Пак там</w:t>
      </w:r>
    </w:p>
  </w:footnote>
  <w:footnote w:id="132">
    <w:p w14:paraId="38470AFD" w14:textId="2E94CD4E" w:rsidR="00C717D0" w:rsidRPr="00390518" w:rsidRDefault="00C717D0" w:rsidP="00F00BE8">
      <w:pPr>
        <w:pStyle w:val="FootnoteText"/>
        <w:spacing w:after="20"/>
        <w:jc w:val="both"/>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Посоченият брой Дни на море се определя от престоя на море на целия рибарски флот на страната. Приблизително 95% от регистрираните кораби са по-малки от 12 м. за този много нисък престой могат да се посочат редица причини. Дисбалансът между променливите разходи и текущите приходи, ниските покупателни възможности на населението, годишните миграции на част от видовете със стопанско значение, вариациите в цените на горивата, както и липсата на пазарен регулатор, гарантиращ еднакви нива на изкупните цени, са основните фактори, оказващи негативно влияние върху заетите с риболовна дейност риболовни съдове с обща дължина до 12 метра. Риболовът е допълнителна, а не основна дейност за този сегмент от риболовния флот.</w:t>
      </w:r>
    </w:p>
  </w:footnote>
  <w:footnote w:id="133">
    <w:p w14:paraId="187D4E99"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Възможно е тази картина да не е съвсем пълна, защото големи фирми, които имат и производство, са регистрирани като търговци</w:t>
      </w:r>
    </w:p>
  </w:footnote>
  <w:footnote w:id="134">
    <w:p w14:paraId="1A3D1063"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По данни на НСИ</w:t>
      </w:r>
    </w:p>
  </w:footnote>
  <w:footnote w:id="135">
    <w:p w14:paraId="33AA6069"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По данни от Доклад „Синята икономика на ЕС” 2019 г. (</w:t>
      </w:r>
      <w:r w:rsidRPr="00FD37F6">
        <w:rPr>
          <w:rFonts w:cs="Times New Roman"/>
          <w:sz w:val="20"/>
          <w:szCs w:val="20"/>
        </w:rPr>
        <w:t>The</w:t>
      </w:r>
      <w:r w:rsidRPr="00390518">
        <w:rPr>
          <w:rFonts w:cs="Times New Roman"/>
          <w:sz w:val="20"/>
          <w:szCs w:val="20"/>
          <w:lang w:val="bg-BG"/>
        </w:rPr>
        <w:t xml:space="preserve"> </w:t>
      </w:r>
      <w:r w:rsidRPr="00FD37F6">
        <w:rPr>
          <w:rFonts w:cs="Times New Roman"/>
          <w:sz w:val="20"/>
          <w:szCs w:val="20"/>
        </w:rPr>
        <w:t>EU</w:t>
      </w:r>
      <w:r w:rsidRPr="00390518">
        <w:rPr>
          <w:rFonts w:cs="Times New Roman"/>
          <w:sz w:val="20"/>
          <w:szCs w:val="20"/>
          <w:lang w:val="bg-BG"/>
        </w:rPr>
        <w:t xml:space="preserve"> </w:t>
      </w:r>
      <w:r w:rsidRPr="00FD37F6">
        <w:rPr>
          <w:rFonts w:cs="Times New Roman"/>
          <w:sz w:val="20"/>
          <w:szCs w:val="20"/>
        </w:rPr>
        <w:t>Blue</w:t>
      </w:r>
      <w:r w:rsidRPr="00390518">
        <w:rPr>
          <w:rFonts w:cs="Times New Roman"/>
          <w:sz w:val="20"/>
          <w:szCs w:val="20"/>
          <w:lang w:val="bg-BG"/>
        </w:rPr>
        <w:t xml:space="preserve"> </w:t>
      </w:r>
      <w:r w:rsidRPr="00FD37F6">
        <w:rPr>
          <w:rFonts w:cs="Times New Roman"/>
          <w:sz w:val="20"/>
          <w:szCs w:val="20"/>
        </w:rPr>
        <w:t>Economy</w:t>
      </w:r>
      <w:r w:rsidRPr="00390518">
        <w:rPr>
          <w:rFonts w:cs="Times New Roman"/>
          <w:sz w:val="20"/>
          <w:szCs w:val="20"/>
          <w:lang w:val="bg-BG"/>
        </w:rPr>
        <w:t xml:space="preserve"> </w:t>
      </w:r>
      <w:r w:rsidRPr="00FD37F6">
        <w:rPr>
          <w:rFonts w:cs="Times New Roman"/>
          <w:sz w:val="20"/>
          <w:szCs w:val="20"/>
        </w:rPr>
        <w:t>Report</w:t>
      </w:r>
      <w:r w:rsidRPr="00390518">
        <w:rPr>
          <w:rFonts w:cs="Times New Roman"/>
          <w:sz w:val="20"/>
          <w:szCs w:val="20"/>
          <w:lang w:val="bg-BG"/>
        </w:rPr>
        <w:t>, 2019)</w:t>
      </w:r>
    </w:p>
  </w:footnote>
  <w:footnote w:id="136">
    <w:p w14:paraId="2A4169B2"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Доклад за синята икономика на ЕС, 2019</w:t>
      </w:r>
    </w:p>
  </w:footnote>
  <w:footnote w:id="137">
    <w:p w14:paraId="2A80AB6E"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Според данни от Търговския регистър (съгл. КИД-2008 - Строителство на плавателни съдове, без тези за отдих)</w:t>
      </w:r>
    </w:p>
  </w:footnote>
  <w:footnote w:id="138">
    <w:p w14:paraId="253D65AB"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Според данни от Търговския регистър (брой социално осигурени лица за 2018 г.)</w:t>
      </w:r>
    </w:p>
  </w:footnote>
  <w:footnote w:id="139">
    <w:p w14:paraId="3F720845"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Пак там</w:t>
      </w:r>
    </w:p>
  </w:footnote>
  <w:footnote w:id="140">
    <w:p w14:paraId="14B40CEB"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Според данни от Търговския регистър (съгл. КИД-2008 - Ремонт и поддържане на плавателни съдове)</w:t>
      </w:r>
    </w:p>
  </w:footnote>
  <w:footnote w:id="141">
    <w:p w14:paraId="5A6062A5" w14:textId="77777777" w:rsidR="00C717D0" w:rsidRPr="00390518"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390518">
        <w:rPr>
          <w:rFonts w:cs="Times New Roman"/>
          <w:sz w:val="20"/>
          <w:szCs w:val="20"/>
          <w:lang w:val="bg-BG"/>
        </w:rPr>
        <w:t xml:space="preserve"> Пак там</w:t>
      </w:r>
    </w:p>
  </w:footnote>
  <w:footnote w:id="142">
    <w:p w14:paraId="3EB53486" w14:textId="27428641" w:rsidR="00C717D0" w:rsidRPr="00FD37F6" w:rsidRDefault="00C717D0" w:rsidP="00F00BE8">
      <w:pPr>
        <w:spacing w:after="20" w:line="240" w:lineRule="auto"/>
        <w:rPr>
          <w:rFonts w:ascii="Times New Roman" w:hAnsi="Times New Roman" w:cs="Times New Roman"/>
          <w:sz w:val="20"/>
          <w:szCs w:val="20"/>
          <w:lang w:val="bg-BG"/>
        </w:rPr>
      </w:pPr>
      <w:r w:rsidRPr="00FD37F6">
        <w:rPr>
          <w:rStyle w:val="FootnoteReference"/>
          <w:rFonts w:ascii="Times New Roman" w:hAnsi="Times New Roman" w:cs="Times New Roman"/>
          <w:sz w:val="20"/>
          <w:szCs w:val="20"/>
        </w:rPr>
        <w:footnoteRef/>
      </w:r>
      <w:r w:rsidRPr="00390518">
        <w:rPr>
          <w:rFonts w:ascii="Times New Roman" w:hAnsi="Times New Roman" w:cs="Times New Roman"/>
          <w:sz w:val="20"/>
          <w:szCs w:val="20"/>
          <w:lang w:val="bg-BG"/>
        </w:rPr>
        <w:t xml:space="preserve"> Националната научна програма за здравословни храни за силна биоикономика и качество на живот </w:t>
      </w:r>
    </w:p>
  </w:footnote>
  <w:footnote w:id="143">
    <w:p w14:paraId="663B5224" w14:textId="2E15022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Липсва връзка между Закона за горите и Закона за културното наследство</w:t>
      </w:r>
    </w:p>
  </w:footnote>
  <w:footnote w:id="144">
    <w:p w14:paraId="2CD8FD10" w14:textId="5CF19076"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Special focus. A Shock Like No Other: The Impact of COVID-19 on Commodity Markets</w:t>
      </w:r>
      <w:r w:rsidRPr="00FD37F6">
        <w:rPr>
          <w:rFonts w:cs="Times New Roman"/>
          <w:sz w:val="20"/>
          <w:szCs w:val="20"/>
          <w:lang w:val="bg-BG"/>
        </w:rPr>
        <w:t xml:space="preserve">. </w:t>
      </w:r>
      <w:r w:rsidRPr="00FD37F6">
        <w:rPr>
          <w:rFonts w:cs="Times New Roman"/>
          <w:sz w:val="20"/>
          <w:szCs w:val="20"/>
          <w:lang w:val="en-US"/>
        </w:rPr>
        <w:t xml:space="preserve">Comodity Markets Outlook. April 2020 </w:t>
      </w:r>
      <w:hyperlink r:id="rId173" w:history="1">
        <w:r w:rsidRPr="00FD37F6">
          <w:rPr>
            <w:rStyle w:val="Hyperlink"/>
            <w:rFonts w:cs="Times New Roman"/>
            <w:sz w:val="20"/>
            <w:szCs w:val="20"/>
          </w:rPr>
          <w:t>http://pubdocs.worldbank.org/en/558261587395154178/CMO-April-2020-Special-Focus-1.pdf</w:t>
        </w:r>
      </w:hyperlink>
      <w:r w:rsidRPr="00FD37F6">
        <w:rPr>
          <w:rFonts w:cs="Times New Roman"/>
          <w:sz w:val="20"/>
          <w:szCs w:val="20"/>
          <w:lang w:val="bg-BG"/>
        </w:rPr>
        <w:t xml:space="preserve"> </w:t>
      </w:r>
    </w:p>
  </w:footnote>
  <w:footnote w:id="145">
    <w:p w14:paraId="1B7119BE" w14:textId="77777777" w:rsidR="00C717D0" w:rsidRPr="00FD37F6" w:rsidRDefault="00C717D0" w:rsidP="00F00BE8">
      <w:pPr>
        <w:pStyle w:val="FootnoteText"/>
        <w:spacing w:after="20"/>
        <w:rPr>
          <w:rFonts w:cs="Times New Roman"/>
          <w:sz w:val="20"/>
          <w:szCs w:val="20"/>
          <w:lang w:val="en-US"/>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en-US"/>
        </w:rPr>
        <w:t>EBRD</w:t>
      </w:r>
      <w:r w:rsidRPr="00FD37F6">
        <w:rPr>
          <w:rFonts w:cs="Times New Roman"/>
          <w:sz w:val="20"/>
          <w:szCs w:val="20"/>
          <w:lang w:val="bg-BG"/>
        </w:rPr>
        <w:t xml:space="preserve">, 2020. </w:t>
      </w:r>
      <w:r w:rsidRPr="00FD37F6">
        <w:rPr>
          <w:rFonts w:cs="Times New Roman"/>
          <w:sz w:val="20"/>
          <w:szCs w:val="20"/>
          <w:lang w:val="en-US"/>
        </w:rPr>
        <w:t xml:space="preserve">Regional Economic Prospects in the EBRD regions. </w:t>
      </w:r>
      <w:hyperlink r:id="rId174" w:history="1">
        <w:r w:rsidRPr="00FD37F6">
          <w:rPr>
            <w:rStyle w:val="Hyperlink"/>
            <w:rFonts w:cs="Times New Roman"/>
            <w:sz w:val="20"/>
            <w:szCs w:val="20"/>
            <w:lang w:val="en-US"/>
          </w:rPr>
          <w:t>https://www.ebrd.com/news/2020/ebrd-economies-seen-contracting-by-35-per-cent-in-2020-48-per-cent-rebound-in-2021.html</w:t>
        </w:r>
      </w:hyperlink>
      <w:r w:rsidRPr="00FD37F6">
        <w:rPr>
          <w:rFonts w:cs="Times New Roman"/>
          <w:sz w:val="20"/>
          <w:szCs w:val="20"/>
          <w:lang w:val="en-US"/>
        </w:rPr>
        <w:t xml:space="preserve"> </w:t>
      </w:r>
    </w:p>
  </w:footnote>
  <w:footnote w:id="146">
    <w:p w14:paraId="5CF55A13" w14:textId="77777777" w:rsidR="00C717D0" w:rsidRPr="00FD37F6" w:rsidRDefault="00C717D0" w:rsidP="00AE254B">
      <w:pPr>
        <w:pStyle w:val="FootnoteText"/>
        <w:spacing w:after="20"/>
        <w:ind w:right="-187"/>
        <w:rPr>
          <w:rFonts w:cs="Times New Roman"/>
          <w:sz w:val="20"/>
          <w:szCs w:val="20"/>
          <w:lang w:val="en-US"/>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en-US"/>
        </w:rPr>
        <w:t xml:space="preserve">The Sofia Globe. 2020. Covid-19 in Bulgaria: Roundup, April 9 – from the World Bank to checks on couriers. </w:t>
      </w:r>
    </w:p>
  </w:footnote>
  <w:footnote w:id="147">
    <w:p w14:paraId="4B8D72C1"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OECD </w:t>
      </w:r>
      <w:r w:rsidRPr="00FD37F6">
        <w:rPr>
          <w:rFonts w:cs="Times New Roman"/>
          <w:sz w:val="20"/>
          <w:szCs w:val="20"/>
          <w:lang w:val="bg-BG"/>
        </w:rPr>
        <w:t xml:space="preserve">2020. </w:t>
      </w:r>
      <w:r w:rsidRPr="00FD37F6">
        <w:rPr>
          <w:rFonts w:cs="Times New Roman"/>
          <w:sz w:val="20"/>
          <w:szCs w:val="20"/>
        </w:rPr>
        <w:t>Interim Economic Assessment</w:t>
      </w:r>
      <w:r w:rsidRPr="00FD37F6">
        <w:rPr>
          <w:rFonts w:cs="Times New Roman"/>
          <w:sz w:val="20"/>
          <w:szCs w:val="20"/>
          <w:lang w:val="bg-BG"/>
        </w:rPr>
        <w:t>.</w:t>
      </w:r>
      <w:r w:rsidRPr="00FD37F6">
        <w:rPr>
          <w:rFonts w:cs="Times New Roman"/>
          <w:sz w:val="20"/>
          <w:szCs w:val="20"/>
        </w:rPr>
        <w:t xml:space="preserve"> Coronavirus: The world economy at risk</w:t>
      </w:r>
      <w:r w:rsidRPr="00FD37F6">
        <w:rPr>
          <w:rFonts w:cs="Times New Roman"/>
          <w:sz w:val="20"/>
          <w:szCs w:val="20"/>
          <w:lang w:val="bg-BG"/>
        </w:rPr>
        <w:t xml:space="preserve">. </w:t>
      </w:r>
    </w:p>
    <w:p w14:paraId="0C782684" w14:textId="77777777" w:rsidR="00C717D0" w:rsidRPr="00FD37F6" w:rsidRDefault="00C717D0" w:rsidP="00F00BE8">
      <w:pPr>
        <w:pStyle w:val="FootnoteText"/>
        <w:spacing w:after="20"/>
        <w:rPr>
          <w:rFonts w:cs="Times New Roman"/>
          <w:sz w:val="20"/>
          <w:szCs w:val="20"/>
          <w:lang w:val="bg-BG"/>
        </w:rPr>
      </w:pPr>
      <w:hyperlink r:id="rId175"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oecd</w:t>
        </w:r>
        <w:r w:rsidRPr="00FD37F6">
          <w:rPr>
            <w:rStyle w:val="Hyperlink"/>
            <w:rFonts w:cs="Times New Roman"/>
            <w:sz w:val="20"/>
            <w:szCs w:val="20"/>
            <w:lang w:val="bg-BG"/>
          </w:rPr>
          <w:t>-</w:t>
        </w:r>
        <w:r w:rsidRPr="00FD37F6">
          <w:rPr>
            <w:rStyle w:val="Hyperlink"/>
            <w:rFonts w:cs="Times New Roman"/>
            <w:sz w:val="20"/>
            <w:szCs w:val="20"/>
          </w:rPr>
          <w:t>ilibrary</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docserver</w:t>
        </w:r>
        <w:r w:rsidRPr="00FD37F6">
          <w:rPr>
            <w:rStyle w:val="Hyperlink"/>
            <w:rFonts w:cs="Times New Roman"/>
            <w:sz w:val="20"/>
            <w:szCs w:val="20"/>
            <w:lang w:val="bg-BG"/>
          </w:rPr>
          <w:t>/7969896</w:t>
        </w:r>
        <w:r w:rsidRPr="00FD37F6">
          <w:rPr>
            <w:rStyle w:val="Hyperlink"/>
            <w:rFonts w:cs="Times New Roman"/>
            <w:sz w:val="20"/>
            <w:szCs w:val="20"/>
          </w:rPr>
          <w:t>b</w:t>
        </w:r>
        <w:r w:rsidRPr="00FD37F6">
          <w:rPr>
            <w:rStyle w:val="Hyperlink"/>
            <w:rFonts w:cs="Times New Roman"/>
            <w:sz w:val="20"/>
            <w:szCs w:val="20"/>
            <w:lang w:val="bg-BG"/>
          </w:rPr>
          <w:t>-е</w:t>
        </w:r>
        <w:r w:rsidRPr="00FD37F6">
          <w:rPr>
            <w:rStyle w:val="Hyperlink"/>
            <w:rFonts w:cs="Times New Roman"/>
            <w:sz w:val="20"/>
            <w:szCs w:val="20"/>
          </w:rPr>
          <w:t>n</w:t>
        </w:r>
        <w:r w:rsidRPr="00FD37F6">
          <w:rPr>
            <w:rStyle w:val="Hyperlink"/>
            <w:rFonts w:cs="Times New Roman"/>
            <w:sz w:val="20"/>
            <w:szCs w:val="20"/>
            <w:lang w:val="bg-BG"/>
          </w:rPr>
          <w:t>.</w:t>
        </w:r>
        <w:r w:rsidRPr="00FD37F6">
          <w:rPr>
            <w:rStyle w:val="Hyperlink"/>
            <w:rFonts w:cs="Times New Roman"/>
            <w:sz w:val="20"/>
            <w:szCs w:val="20"/>
          </w:rPr>
          <w:t>pdf</w:t>
        </w:r>
        <w:r w:rsidRPr="00FD37F6">
          <w:rPr>
            <w:rStyle w:val="Hyperlink"/>
            <w:rFonts w:cs="Times New Roman"/>
            <w:sz w:val="20"/>
            <w:szCs w:val="20"/>
            <w:lang w:val="bg-BG"/>
          </w:rPr>
          <w:t>?</w:t>
        </w:r>
        <w:r w:rsidRPr="00FD37F6">
          <w:rPr>
            <w:rStyle w:val="Hyperlink"/>
            <w:rFonts w:cs="Times New Roman"/>
            <w:sz w:val="20"/>
            <w:szCs w:val="20"/>
          </w:rPr>
          <w:t>expires</w:t>
        </w:r>
        <w:r w:rsidRPr="00FD37F6">
          <w:rPr>
            <w:rStyle w:val="Hyperlink"/>
            <w:rFonts w:cs="Times New Roman"/>
            <w:sz w:val="20"/>
            <w:szCs w:val="20"/>
            <w:lang w:val="bg-BG"/>
          </w:rPr>
          <w:t>=1590396731&amp;</w:t>
        </w:r>
        <w:r w:rsidRPr="00FD37F6">
          <w:rPr>
            <w:rStyle w:val="Hyperlink"/>
            <w:rFonts w:cs="Times New Roman"/>
            <w:sz w:val="20"/>
            <w:szCs w:val="20"/>
          </w:rPr>
          <w:t>id</w:t>
        </w:r>
        <w:r w:rsidRPr="00FD37F6">
          <w:rPr>
            <w:rStyle w:val="Hyperlink"/>
            <w:rFonts w:cs="Times New Roman"/>
            <w:sz w:val="20"/>
            <w:szCs w:val="20"/>
            <w:lang w:val="bg-BG"/>
          </w:rPr>
          <w:t>=</w:t>
        </w:r>
        <w:r w:rsidRPr="00FD37F6">
          <w:rPr>
            <w:rStyle w:val="Hyperlink"/>
            <w:rFonts w:cs="Times New Roman"/>
            <w:sz w:val="20"/>
            <w:szCs w:val="20"/>
          </w:rPr>
          <w:t>id</w:t>
        </w:r>
        <w:r w:rsidRPr="00FD37F6">
          <w:rPr>
            <w:rStyle w:val="Hyperlink"/>
            <w:rFonts w:cs="Times New Roman"/>
            <w:sz w:val="20"/>
            <w:szCs w:val="20"/>
            <w:lang w:val="bg-BG"/>
          </w:rPr>
          <w:t>&amp;</w:t>
        </w:r>
        <w:r w:rsidRPr="00FD37F6">
          <w:rPr>
            <w:rStyle w:val="Hyperlink"/>
            <w:rFonts w:cs="Times New Roman"/>
            <w:sz w:val="20"/>
            <w:szCs w:val="20"/>
          </w:rPr>
          <w:t>accname</w:t>
        </w:r>
        <w:r w:rsidRPr="00FD37F6">
          <w:rPr>
            <w:rStyle w:val="Hyperlink"/>
            <w:rFonts w:cs="Times New Roman"/>
            <w:sz w:val="20"/>
            <w:szCs w:val="20"/>
            <w:lang w:val="bg-BG"/>
          </w:rPr>
          <w:t>=</w:t>
        </w:r>
        <w:r w:rsidRPr="00FD37F6">
          <w:rPr>
            <w:rStyle w:val="Hyperlink"/>
            <w:rFonts w:cs="Times New Roman"/>
            <w:sz w:val="20"/>
            <w:szCs w:val="20"/>
          </w:rPr>
          <w:t>guest</w:t>
        </w:r>
        <w:r w:rsidRPr="00FD37F6">
          <w:rPr>
            <w:rStyle w:val="Hyperlink"/>
            <w:rFonts w:cs="Times New Roman"/>
            <w:sz w:val="20"/>
            <w:szCs w:val="20"/>
            <w:lang w:val="bg-BG"/>
          </w:rPr>
          <w:t>&amp;</w:t>
        </w:r>
        <w:r w:rsidRPr="00FD37F6">
          <w:rPr>
            <w:rStyle w:val="Hyperlink"/>
            <w:rFonts w:cs="Times New Roman"/>
            <w:sz w:val="20"/>
            <w:szCs w:val="20"/>
          </w:rPr>
          <w:t>checksum</w:t>
        </w:r>
        <w:r w:rsidRPr="00FD37F6">
          <w:rPr>
            <w:rStyle w:val="Hyperlink"/>
            <w:rFonts w:cs="Times New Roman"/>
            <w:sz w:val="20"/>
            <w:szCs w:val="20"/>
            <w:lang w:val="bg-BG"/>
          </w:rPr>
          <w:t>=1</w:t>
        </w:r>
        <w:r w:rsidRPr="00FD37F6">
          <w:rPr>
            <w:rStyle w:val="Hyperlink"/>
            <w:rFonts w:cs="Times New Roman"/>
            <w:sz w:val="20"/>
            <w:szCs w:val="20"/>
          </w:rPr>
          <w:t>DB</w:t>
        </w:r>
        <w:r w:rsidRPr="00FD37F6">
          <w:rPr>
            <w:rStyle w:val="Hyperlink"/>
            <w:rFonts w:cs="Times New Roman"/>
            <w:sz w:val="20"/>
            <w:szCs w:val="20"/>
            <w:lang w:val="bg-BG"/>
          </w:rPr>
          <w:t>3</w:t>
        </w:r>
        <w:r w:rsidRPr="00FD37F6">
          <w:rPr>
            <w:rStyle w:val="Hyperlink"/>
            <w:rFonts w:cs="Times New Roman"/>
            <w:sz w:val="20"/>
            <w:szCs w:val="20"/>
          </w:rPr>
          <w:t>B</w:t>
        </w:r>
        <w:r w:rsidRPr="00FD37F6">
          <w:rPr>
            <w:rStyle w:val="Hyperlink"/>
            <w:rFonts w:cs="Times New Roman"/>
            <w:sz w:val="20"/>
            <w:szCs w:val="20"/>
            <w:lang w:val="bg-BG"/>
          </w:rPr>
          <w:t>890</w:t>
        </w:r>
        <w:r w:rsidRPr="00FD37F6">
          <w:rPr>
            <w:rStyle w:val="Hyperlink"/>
            <w:rFonts w:cs="Times New Roman"/>
            <w:sz w:val="20"/>
            <w:szCs w:val="20"/>
          </w:rPr>
          <w:t>EB</w:t>
        </w:r>
        <w:r w:rsidRPr="00FD37F6">
          <w:rPr>
            <w:rStyle w:val="Hyperlink"/>
            <w:rFonts w:cs="Times New Roman"/>
            <w:sz w:val="20"/>
            <w:szCs w:val="20"/>
            <w:lang w:val="bg-BG"/>
          </w:rPr>
          <w:t>67</w:t>
        </w:r>
        <w:r w:rsidRPr="00FD37F6">
          <w:rPr>
            <w:rStyle w:val="Hyperlink"/>
            <w:rFonts w:cs="Times New Roman"/>
            <w:sz w:val="20"/>
            <w:szCs w:val="20"/>
          </w:rPr>
          <w:t>DAA</w:t>
        </w:r>
        <w:r w:rsidRPr="00FD37F6">
          <w:rPr>
            <w:rStyle w:val="Hyperlink"/>
            <w:rFonts w:cs="Times New Roman"/>
            <w:sz w:val="20"/>
            <w:szCs w:val="20"/>
            <w:lang w:val="bg-BG"/>
          </w:rPr>
          <w:t>0216</w:t>
        </w:r>
        <w:r w:rsidRPr="00FD37F6">
          <w:rPr>
            <w:rStyle w:val="Hyperlink"/>
            <w:rFonts w:cs="Times New Roman"/>
            <w:sz w:val="20"/>
            <w:szCs w:val="20"/>
          </w:rPr>
          <w:t>A</w:t>
        </w:r>
        <w:r w:rsidRPr="00FD37F6">
          <w:rPr>
            <w:rStyle w:val="Hyperlink"/>
            <w:rFonts w:cs="Times New Roman"/>
            <w:sz w:val="20"/>
            <w:szCs w:val="20"/>
            <w:lang w:val="bg-BG"/>
          </w:rPr>
          <w:t>6</w:t>
        </w:r>
        <w:r w:rsidRPr="00FD37F6">
          <w:rPr>
            <w:rStyle w:val="Hyperlink"/>
            <w:rFonts w:cs="Times New Roman"/>
            <w:sz w:val="20"/>
            <w:szCs w:val="20"/>
          </w:rPr>
          <w:t>F</w:t>
        </w:r>
        <w:r w:rsidRPr="00FD37F6">
          <w:rPr>
            <w:rStyle w:val="Hyperlink"/>
            <w:rFonts w:cs="Times New Roman"/>
            <w:sz w:val="20"/>
            <w:szCs w:val="20"/>
            <w:lang w:val="bg-BG"/>
          </w:rPr>
          <w:t>9</w:t>
        </w:r>
        <w:r w:rsidRPr="00FD37F6">
          <w:rPr>
            <w:rStyle w:val="Hyperlink"/>
            <w:rFonts w:cs="Times New Roman"/>
            <w:sz w:val="20"/>
            <w:szCs w:val="20"/>
          </w:rPr>
          <w:t>DC</w:t>
        </w:r>
        <w:r w:rsidRPr="00FD37F6">
          <w:rPr>
            <w:rStyle w:val="Hyperlink"/>
            <w:rFonts w:cs="Times New Roman"/>
            <w:sz w:val="20"/>
            <w:szCs w:val="20"/>
            <w:lang w:val="bg-BG"/>
          </w:rPr>
          <w:t>2</w:t>
        </w:r>
        <w:r w:rsidRPr="00FD37F6">
          <w:rPr>
            <w:rStyle w:val="Hyperlink"/>
            <w:rFonts w:cs="Times New Roman"/>
            <w:sz w:val="20"/>
            <w:szCs w:val="20"/>
          </w:rPr>
          <w:t>F</w:t>
        </w:r>
        <w:r w:rsidRPr="00FD37F6">
          <w:rPr>
            <w:rStyle w:val="Hyperlink"/>
            <w:rFonts w:cs="Times New Roman"/>
            <w:sz w:val="20"/>
            <w:szCs w:val="20"/>
            <w:lang w:val="bg-BG"/>
          </w:rPr>
          <w:t>08</w:t>
        </w:r>
        <w:r w:rsidRPr="00FD37F6">
          <w:rPr>
            <w:rStyle w:val="Hyperlink"/>
            <w:rFonts w:cs="Times New Roman"/>
            <w:sz w:val="20"/>
            <w:szCs w:val="20"/>
          </w:rPr>
          <w:t>F</w:t>
        </w:r>
        <w:r w:rsidRPr="00FD37F6">
          <w:rPr>
            <w:rStyle w:val="Hyperlink"/>
            <w:rFonts w:cs="Times New Roman"/>
            <w:sz w:val="20"/>
            <w:szCs w:val="20"/>
            <w:lang w:val="bg-BG"/>
          </w:rPr>
          <w:t>30</w:t>
        </w:r>
      </w:hyperlink>
      <w:r w:rsidRPr="00FD37F6">
        <w:rPr>
          <w:rFonts w:cs="Times New Roman"/>
          <w:sz w:val="20"/>
          <w:szCs w:val="20"/>
          <w:lang w:val="bg-BG"/>
        </w:rPr>
        <w:t xml:space="preserve"> </w:t>
      </w:r>
    </w:p>
  </w:footnote>
  <w:footnote w:id="148">
    <w:p w14:paraId="786A459B" w14:textId="3F74BD66"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bg-BG"/>
        </w:rPr>
        <w:t>ЕС, 2012. Blue Growth. Opportunities for marine and maritime sustainable growth. COM(2012) 494 final</w:t>
      </w:r>
      <w:r w:rsidRPr="00FD37F6">
        <w:rPr>
          <w:rFonts w:cs="Times New Roman"/>
          <w:sz w:val="20"/>
          <w:szCs w:val="20"/>
        </w:rPr>
        <w:t xml:space="preserve"> </w:t>
      </w:r>
      <w:hyperlink r:id="rId176" w:history="1">
        <w:r w:rsidRPr="00FD37F6">
          <w:rPr>
            <w:rStyle w:val="Hyperlink"/>
            <w:rFonts w:cs="Times New Roman"/>
            <w:sz w:val="20"/>
            <w:szCs w:val="20"/>
            <w:lang w:val="bg-BG"/>
          </w:rPr>
          <w:t>https://ec.europa.eu/maritimeaffairs/sites/maritimeaffairs/files/docs/publications/blue-growth_en.pdf</w:t>
        </w:r>
      </w:hyperlink>
      <w:r w:rsidRPr="00FD37F6">
        <w:rPr>
          <w:rFonts w:cs="Times New Roman"/>
          <w:sz w:val="20"/>
          <w:szCs w:val="20"/>
          <w:lang w:val="bg-BG"/>
        </w:rPr>
        <w:t xml:space="preserve"> </w:t>
      </w:r>
    </w:p>
  </w:footnote>
  <w:footnote w:id="149">
    <w:p w14:paraId="1FFD393B" w14:textId="7BBD283F" w:rsidR="00C717D0" w:rsidRPr="00FD37F6" w:rsidRDefault="00C717D0" w:rsidP="00F00BE8">
      <w:pPr>
        <w:spacing w:after="20" w:line="240" w:lineRule="auto"/>
        <w:jc w:val="both"/>
        <w:rPr>
          <w:rFonts w:ascii="Times New Roman" w:hAnsi="Times New Roman" w:cs="Times New Roman"/>
          <w:sz w:val="20"/>
          <w:szCs w:val="20"/>
          <w:lang w:val="bg-BG"/>
        </w:rPr>
      </w:pPr>
      <w:r w:rsidRPr="00FD37F6">
        <w:rPr>
          <w:rStyle w:val="FootnoteReference"/>
          <w:rFonts w:ascii="Times New Roman" w:hAnsi="Times New Roman" w:cs="Times New Roman"/>
          <w:sz w:val="20"/>
          <w:szCs w:val="20"/>
        </w:rPr>
        <w:footnoteRef/>
      </w:r>
      <w:r w:rsidRPr="00FD37F6">
        <w:rPr>
          <w:rFonts w:ascii="Times New Roman" w:hAnsi="Times New Roman" w:cs="Times New Roman"/>
          <w:sz w:val="20"/>
          <w:szCs w:val="20"/>
          <w:lang w:val="bg-BG"/>
        </w:rPr>
        <w:t xml:space="preserve"> </w:t>
      </w:r>
      <w:r w:rsidRPr="00FD37F6">
        <w:rPr>
          <w:rFonts w:ascii="Times New Roman" w:hAnsi="Times New Roman" w:cs="Times New Roman"/>
          <w:bCs/>
          <w:i/>
          <w:sz w:val="20"/>
          <w:szCs w:val="20"/>
          <w:lang w:val="bg-BG"/>
        </w:rPr>
        <w:t>Високочестотни радари</w:t>
      </w:r>
      <w:r w:rsidRPr="00FD37F6">
        <w:rPr>
          <w:rFonts w:ascii="Times New Roman" w:hAnsi="Times New Roman" w:cs="Times New Roman"/>
          <w:bCs/>
          <w:sz w:val="20"/>
          <w:szCs w:val="20"/>
          <w:lang w:val="bg-BG"/>
        </w:rPr>
        <w:t xml:space="preserve"> – за измервания в рамките на голяма площ в помощ на морската навигация; </w:t>
      </w:r>
      <w:r w:rsidRPr="00FD37F6">
        <w:rPr>
          <w:rFonts w:ascii="Times New Roman" w:hAnsi="Times New Roman" w:cs="Times New Roman"/>
          <w:bCs/>
          <w:i/>
          <w:sz w:val="20"/>
          <w:szCs w:val="20"/>
          <w:lang w:val="bg-BG"/>
        </w:rPr>
        <w:t>морски глидери</w:t>
      </w:r>
      <w:r w:rsidRPr="00FD37F6">
        <w:rPr>
          <w:rFonts w:ascii="Times New Roman" w:hAnsi="Times New Roman" w:cs="Times New Roman"/>
          <w:bCs/>
          <w:sz w:val="20"/>
          <w:szCs w:val="20"/>
          <w:lang w:val="bg-BG"/>
        </w:rPr>
        <w:t xml:space="preserve"> - за дълги мисии като време и разстояние; </w:t>
      </w:r>
      <w:r w:rsidRPr="00FD37F6">
        <w:rPr>
          <w:rFonts w:ascii="Times New Roman" w:hAnsi="Times New Roman" w:cs="Times New Roman"/>
          <w:bCs/>
          <w:i/>
          <w:sz w:val="20"/>
          <w:szCs w:val="20"/>
          <w:lang w:val="bg-BG"/>
        </w:rPr>
        <w:t>телеметрия на животните</w:t>
      </w:r>
      <w:r w:rsidRPr="00FD37F6">
        <w:rPr>
          <w:rFonts w:ascii="Times New Roman" w:hAnsi="Times New Roman" w:cs="Times New Roman"/>
          <w:bCs/>
          <w:sz w:val="20"/>
          <w:szCs w:val="20"/>
          <w:lang w:val="bg-BG"/>
        </w:rPr>
        <w:t xml:space="preserve"> - събират информация, важна за изучаване на навиците и миграциите на животните; </w:t>
      </w:r>
      <w:r w:rsidRPr="00FD37F6">
        <w:rPr>
          <w:rFonts w:ascii="Times New Roman" w:hAnsi="Times New Roman" w:cs="Times New Roman"/>
          <w:bCs/>
          <w:i/>
          <w:sz w:val="20"/>
          <w:szCs w:val="20"/>
          <w:lang w:val="bg-BG"/>
        </w:rPr>
        <w:t>Системи от плаващи инструментални платформи – буйове</w:t>
      </w:r>
      <w:r w:rsidRPr="00FD37F6">
        <w:rPr>
          <w:rFonts w:ascii="Times New Roman" w:hAnsi="Times New Roman" w:cs="Times New Roman"/>
          <w:bCs/>
          <w:sz w:val="20"/>
          <w:szCs w:val="20"/>
          <w:lang w:val="bg-BG"/>
        </w:rPr>
        <w:t xml:space="preserve"> – събират данни за условията в морето чрез сензори; </w:t>
      </w:r>
      <w:r w:rsidRPr="00FD37F6">
        <w:rPr>
          <w:rFonts w:ascii="Times New Roman" w:hAnsi="Times New Roman" w:cs="Times New Roman"/>
          <w:bCs/>
          <w:i/>
          <w:sz w:val="20"/>
          <w:szCs w:val="20"/>
          <w:lang w:val="bg-BG"/>
        </w:rPr>
        <w:t>Дрифтери</w:t>
      </w:r>
      <w:r w:rsidRPr="00FD37F6">
        <w:rPr>
          <w:rFonts w:ascii="Times New Roman" w:hAnsi="Times New Roman" w:cs="Times New Roman"/>
          <w:bCs/>
          <w:sz w:val="20"/>
          <w:szCs w:val="20"/>
          <w:lang w:val="bg-BG"/>
        </w:rPr>
        <w:t xml:space="preserve"> - предоставят данни за морските течения и помагат за изготвянето на модели за циркулацията в океаните в реално време; </w:t>
      </w:r>
      <w:r w:rsidRPr="00FD37F6">
        <w:rPr>
          <w:rFonts w:ascii="Times New Roman" w:hAnsi="Times New Roman" w:cs="Times New Roman"/>
          <w:bCs/>
          <w:i/>
          <w:sz w:val="20"/>
          <w:szCs w:val="20"/>
          <w:lang w:val="bg-BG"/>
        </w:rPr>
        <w:t xml:space="preserve">Сонари - </w:t>
      </w:r>
      <w:r w:rsidRPr="00FD37F6">
        <w:rPr>
          <w:rFonts w:ascii="Times New Roman" w:hAnsi="Times New Roman" w:cs="Times New Roman"/>
          <w:bCs/>
          <w:sz w:val="20"/>
          <w:szCs w:val="20"/>
          <w:lang w:val="bg-BG"/>
        </w:rPr>
        <w:t xml:space="preserve">за намиране и идентифициране на обекти във водата; </w:t>
      </w:r>
      <w:r w:rsidRPr="00FD37F6">
        <w:rPr>
          <w:rFonts w:ascii="Times New Roman" w:hAnsi="Times New Roman" w:cs="Times New Roman"/>
          <w:bCs/>
          <w:i/>
          <w:sz w:val="20"/>
          <w:szCs w:val="20"/>
          <w:lang w:val="bg-BG"/>
        </w:rPr>
        <w:t>Сателитна океанография</w:t>
      </w:r>
      <w:r w:rsidRPr="00FD37F6">
        <w:rPr>
          <w:rFonts w:ascii="Times New Roman" w:hAnsi="Times New Roman" w:cs="Times New Roman"/>
          <w:bCs/>
          <w:sz w:val="20"/>
          <w:szCs w:val="20"/>
          <w:lang w:val="bg-BG"/>
        </w:rPr>
        <w:t xml:space="preserve"> - температура на морската повърхност, скорост и посока на вятъра, развитие на големи бури и урагани, коралови рифове и др. Чрез ГИС се събират, съхраняват и използват географски данни, чрез които се изработват виртуални модели на средата и се правят различни симулации.</w:t>
      </w:r>
    </w:p>
  </w:footnote>
  <w:footnote w:id="150">
    <w:p w14:paraId="41F47864" w14:textId="7A6F788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77"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ec</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maritimeaffairs</w:t>
        </w:r>
        <w:r w:rsidRPr="00FD37F6">
          <w:rPr>
            <w:rStyle w:val="Hyperlink"/>
            <w:rFonts w:cs="Times New Roman"/>
            <w:sz w:val="20"/>
            <w:szCs w:val="20"/>
            <w:lang w:val="bg-BG"/>
          </w:rPr>
          <w:t>/</w:t>
        </w:r>
        <w:r w:rsidRPr="00FD37F6">
          <w:rPr>
            <w:rStyle w:val="Hyperlink"/>
            <w:rFonts w:cs="Times New Roman"/>
            <w:sz w:val="20"/>
            <w:szCs w:val="20"/>
          </w:rPr>
          <w:t>sites</w:t>
        </w:r>
        <w:r w:rsidRPr="00FD37F6">
          <w:rPr>
            <w:rStyle w:val="Hyperlink"/>
            <w:rFonts w:cs="Times New Roman"/>
            <w:sz w:val="20"/>
            <w:szCs w:val="20"/>
            <w:lang w:val="bg-BG"/>
          </w:rPr>
          <w:t>/</w:t>
        </w:r>
        <w:r w:rsidRPr="00FD37F6">
          <w:rPr>
            <w:rStyle w:val="Hyperlink"/>
            <w:rFonts w:cs="Times New Roman"/>
            <w:sz w:val="20"/>
            <w:szCs w:val="20"/>
          </w:rPr>
          <w:t>maritimeaffairs</w:t>
        </w:r>
        <w:r w:rsidRPr="00FD37F6">
          <w:rPr>
            <w:rStyle w:val="Hyperlink"/>
            <w:rFonts w:cs="Times New Roman"/>
            <w:sz w:val="20"/>
            <w:szCs w:val="20"/>
            <w:lang w:val="bg-BG"/>
          </w:rPr>
          <w:t>/</w:t>
        </w:r>
        <w:r w:rsidRPr="00FD37F6">
          <w:rPr>
            <w:rStyle w:val="Hyperlink"/>
            <w:rFonts w:cs="Times New Roman"/>
            <w:sz w:val="20"/>
            <w:szCs w:val="20"/>
          </w:rPr>
          <w:t>files</w:t>
        </w:r>
        <w:r w:rsidRPr="00FD37F6">
          <w:rPr>
            <w:rStyle w:val="Hyperlink"/>
            <w:rFonts w:cs="Times New Roman"/>
            <w:sz w:val="20"/>
            <w:szCs w:val="20"/>
            <w:lang w:val="bg-BG"/>
          </w:rPr>
          <w:t>/2020_06_</w:t>
        </w:r>
        <w:r w:rsidRPr="00FD37F6">
          <w:rPr>
            <w:rStyle w:val="Hyperlink"/>
            <w:rFonts w:cs="Times New Roman"/>
            <w:sz w:val="20"/>
            <w:szCs w:val="20"/>
          </w:rPr>
          <w:t>blueeconomy</w:t>
        </w:r>
        <w:r w:rsidRPr="00FD37F6">
          <w:rPr>
            <w:rStyle w:val="Hyperlink"/>
            <w:rFonts w:cs="Times New Roman"/>
            <w:sz w:val="20"/>
            <w:szCs w:val="20"/>
            <w:lang w:val="bg-BG"/>
          </w:rPr>
          <w:t>-2020-</w:t>
        </w:r>
        <w:r w:rsidRPr="00FD37F6">
          <w:rPr>
            <w:rStyle w:val="Hyperlink"/>
            <w:rFonts w:cs="Times New Roman"/>
            <w:sz w:val="20"/>
            <w:szCs w:val="20"/>
          </w:rPr>
          <w:t>ld</w:t>
        </w:r>
        <w:r w:rsidRPr="00FD37F6">
          <w:rPr>
            <w:rStyle w:val="Hyperlink"/>
            <w:rFonts w:cs="Times New Roman"/>
            <w:sz w:val="20"/>
            <w:szCs w:val="20"/>
            <w:lang w:val="bg-BG"/>
          </w:rPr>
          <w:t>_</w:t>
        </w:r>
        <w:r w:rsidRPr="00FD37F6">
          <w:rPr>
            <w:rStyle w:val="Hyperlink"/>
            <w:rFonts w:cs="Times New Roman"/>
            <w:sz w:val="20"/>
            <w:szCs w:val="20"/>
          </w:rPr>
          <w:t>final</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51">
    <w:p w14:paraId="0D761655" w14:textId="1301F6C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78"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devotes</w:t>
        </w:r>
        <w:r w:rsidRPr="00FD37F6">
          <w:rPr>
            <w:rStyle w:val="Hyperlink"/>
            <w:rFonts w:cs="Times New Roman"/>
            <w:sz w:val="20"/>
            <w:szCs w:val="20"/>
            <w:lang w:val="bg-BG"/>
          </w:rPr>
          <w:t>-</w:t>
        </w:r>
        <w:r w:rsidRPr="00FD37F6">
          <w:rPr>
            <w:rStyle w:val="Hyperlink"/>
            <w:rFonts w:cs="Times New Roman"/>
            <w:sz w:val="20"/>
            <w:szCs w:val="20"/>
          </w:rPr>
          <w:t>project</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wp</w:t>
        </w:r>
        <w:r w:rsidRPr="00FD37F6">
          <w:rPr>
            <w:rStyle w:val="Hyperlink"/>
            <w:rFonts w:cs="Times New Roman"/>
            <w:sz w:val="20"/>
            <w:szCs w:val="20"/>
            <w:lang w:val="bg-BG"/>
          </w:rPr>
          <w:t>-</w:t>
        </w:r>
        <w:r w:rsidRPr="00FD37F6">
          <w:rPr>
            <w:rStyle w:val="Hyperlink"/>
            <w:rFonts w:cs="Times New Roman"/>
            <w:sz w:val="20"/>
            <w:szCs w:val="20"/>
          </w:rPr>
          <w:t>content</w:t>
        </w:r>
        <w:r w:rsidRPr="00FD37F6">
          <w:rPr>
            <w:rStyle w:val="Hyperlink"/>
            <w:rFonts w:cs="Times New Roman"/>
            <w:sz w:val="20"/>
            <w:szCs w:val="20"/>
            <w:lang w:val="bg-BG"/>
          </w:rPr>
          <w:t>/</w:t>
        </w:r>
        <w:r w:rsidRPr="00FD37F6">
          <w:rPr>
            <w:rStyle w:val="Hyperlink"/>
            <w:rFonts w:cs="Times New Roman"/>
            <w:sz w:val="20"/>
            <w:szCs w:val="20"/>
          </w:rPr>
          <w:t>uploads</w:t>
        </w:r>
        <w:r w:rsidRPr="00FD37F6">
          <w:rPr>
            <w:rStyle w:val="Hyperlink"/>
            <w:rFonts w:cs="Times New Roman"/>
            <w:sz w:val="20"/>
            <w:szCs w:val="20"/>
            <w:lang w:val="bg-BG"/>
          </w:rPr>
          <w:t>/2014/06/</w:t>
        </w:r>
        <w:r w:rsidRPr="00FD37F6">
          <w:rPr>
            <w:rStyle w:val="Hyperlink"/>
            <w:rFonts w:cs="Times New Roman"/>
            <w:sz w:val="20"/>
            <w:szCs w:val="20"/>
          </w:rPr>
          <w:t>DEVOTES</w:t>
        </w:r>
        <w:r w:rsidRPr="00FD37F6">
          <w:rPr>
            <w:rStyle w:val="Hyperlink"/>
            <w:rFonts w:cs="Times New Roman"/>
            <w:sz w:val="20"/>
            <w:szCs w:val="20"/>
            <w:lang w:val="bg-BG"/>
          </w:rPr>
          <w:t>-</w:t>
        </w:r>
        <w:r w:rsidRPr="00FD37F6">
          <w:rPr>
            <w:rStyle w:val="Hyperlink"/>
            <w:rFonts w:cs="Times New Roman"/>
            <w:sz w:val="20"/>
            <w:szCs w:val="20"/>
          </w:rPr>
          <w:t>D</w:t>
        </w:r>
        <w:r w:rsidRPr="00FD37F6">
          <w:rPr>
            <w:rStyle w:val="Hyperlink"/>
            <w:rFonts w:cs="Times New Roman"/>
            <w:sz w:val="20"/>
            <w:szCs w:val="20"/>
            <w:lang w:val="bg-BG"/>
          </w:rPr>
          <w:t>1-1-</w:t>
        </w:r>
        <w:r w:rsidRPr="00FD37F6">
          <w:rPr>
            <w:rStyle w:val="Hyperlink"/>
            <w:rFonts w:cs="Times New Roman"/>
            <w:sz w:val="20"/>
            <w:szCs w:val="20"/>
          </w:rPr>
          <w:t>ConceptualModels</w:t>
        </w:r>
        <w:r w:rsidRPr="00FD37F6">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52">
    <w:p w14:paraId="508951E4" w14:textId="09EF0D21"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FD37F6">
        <w:rPr>
          <w:rFonts w:cs="Times New Roman"/>
          <w:sz w:val="20"/>
          <w:szCs w:val="20"/>
        </w:rPr>
        <w:t xml:space="preserve">Burgas Vision Paper: </w:t>
      </w:r>
      <w:hyperlink r:id="rId179" w:history="1">
        <w:r w:rsidRPr="00FD37F6">
          <w:rPr>
            <w:rStyle w:val="Hyperlink"/>
            <w:rFonts w:cs="Times New Roman"/>
            <w:sz w:val="20"/>
            <w:szCs w:val="20"/>
          </w:rPr>
          <w:t>https://ec.europa.eu/maritimeaffairs/maritimeday/sites/mare-emd/files/burgas-visionpaper_en.pdf</w:t>
        </w:r>
      </w:hyperlink>
      <w:r w:rsidRPr="00FD37F6">
        <w:rPr>
          <w:rFonts w:cs="Times New Roman"/>
          <w:sz w:val="20"/>
          <w:szCs w:val="20"/>
          <w:lang w:val="bg-BG"/>
        </w:rPr>
        <w:t xml:space="preserve"> </w:t>
      </w:r>
      <w:r w:rsidRPr="00FD37F6">
        <w:rPr>
          <w:rFonts w:cs="Times New Roman"/>
          <w:sz w:val="20"/>
          <w:szCs w:val="20"/>
        </w:rPr>
        <w:t>European Maritime Day</w:t>
      </w:r>
      <w:r w:rsidRPr="00FD37F6">
        <w:rPr>
          <w:rFonts w:cs="Times New Roman"/>
          <w:sz w:val="20"/>
          <w:szCs w:val="20"/>
          <w:lang w:val="bg-BG"/>
        </w:rPr>
        <w:t xml:space="preserve">, </w:t>
      </w:r>
      <w:r w:rsidRPr="00FD37F6">
        <w:rPr>
          <w:rFonts w:cs="Times New Roman"/>
          <w:sz w:val="20"/>
          <w:szCs w:val="20"/>
        </w:rPr>
        <w:t xml:space="preserve">May 2018 </w:t>
      </w:r>
    </w:p>
  </w:footnote>
  <w:footnote w:id="153">
    <w:p w14:paraId="3F178047" w14:textId="0BCB6758" w:rsidR="00C717D0" w:rsidRPr="00FD37F6" w:rsidRDefault="00C717D0" w:rsidP="00F00BE8">
      <w:pPr>
        <w:pStyle w:val="FootnoteText"/>
        <w:spacing w:after="20"/>
        <w:rPr>
          <w:rFonts w:cs="Times New Roman"/>
          <w:sz w:val="20"/>
          <w:szCs w:val="20"/>
          <w:lang w:val="en-US"/>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en-US"/>
        </w:rPr>
        <w:t xml:space="preserve">UNCTAD. 2020. The Covid-19 pandemic and the Blue Economy. New challenges and prospects for recovery and resilience. </w:t>
      </w:r>
      <w:hyperlink r:id="rId180" w:history="1">
        <w:r w:rsidRPr="00FD37F6">
          <w:rPr>
            <w:rStyle w:val="Hyperlink"/>
            <w:rFonts w:cs="Times New Roman"/>
            <w:sz w:val="20"/>
            <w:szCs w:val="20"/>
            <w:lang w:val="en-US"/>
          </w:rPr>
          <w:t>https://unctad.org/en/PublicationsLibrary/ditctedinf2020d2_en.pdf</w:t>
        </w:r>
      </w:hyperlink>
      <w:r w:rsidRPr="00FD37F6">
        <w:rPr>
          <w:rFonts w:cs="Times New Roman"/>
          <w:sz w:val="20"/>
          <w:szCs w:val="20"/>
          <w:lang w:val="en-US"/>
        </w:rPr>
        <w:t xml:space="preserve"> </w:t>
      </w:r>
    </w:p>
  </w:footnote>
  <w:footnote w:id="154">
    <w:p w14:paraId="03A10594" w14:textId="632FFD74"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hyperlink r:id="rId181" w:history="1">
        <w:r w:rsidRPr="00FD37F6">
          <w:rPr>
            <w:rStyle w:val="Hyperlink"/>
            <w:rFonts w:cs="Times New Roman"/>
            <w:sz w:val="20"/>
            <w:szCs w:val="20"/>
          </w:rPr>
          <w:t>https://www.csis.org/analysis/covid-19-sea-impacts-blue-economy-ocean-health-and-ocean-security</w:t>
        </w:r>
      </w:hyperlink>
      <w:r w:rsidRPr="00FD37F6">
        <w:rPr>
          <w:rFonts w:cs="Times New Roman"/>
          <w:sz w:val="20"/>
          <w:szCs w:val="20"/>
        </w:rPr>
        <w:t xml:space="preserve"> </w:t>
      </w:r>
    </w:p>
  </w:footnote>
  <w:footnote w:id="155">
    <w:p w14:paraId="535FB3D0"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Програма за морско дело и рибарство 2014-2020</w:t>
      </w:r>
    </w:p>
  </w:footnote>
  <w:footnote w:id="156">
    <w:p w14:paraId="1982237B" w14:textId="77777777" w:rsidR="00C717D0" w:rsidRPr="00FD37F6" w:rsidRDefault="00C717D0" w:rsidP="00F00BE8">
      <w:pPr>
        <w:pStyle w:val="FootnoteText"/>
        <w:spacing w:after="20"/>
        <w:rPr>
          <w:rFonts w:cs="Times New Roman"/>
          <w:sz w:val="20"/>
          <w:szCs w:val="20"/>
          <w:lang w:val="en-US"/>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en-US"/>
        </w:rPr>
        <w:t xml:space="preserve">World Bank Report 2013. FISH TO 2030 Prospects for Fisheries and Aquaculture. </w:t>
      </w:r>
      <w:hyperlink r:id="rId182" w:history="1">
        <w:r w:rsidRPr="00FD37F6">
          <w:rPr>
            <w:rStyle w:val="Hyperlink"/>
            <w:rFonts w:cs="Times New Roman"/>
            <w:sz w:val="20"/>
            <w:szCs w:val="20"/>
            <w:lang w:val="en-US"/>
          </w:rPr>
          <w:t>http://www.fao.org/3/i3640e/i3640e.pdf</w:t>
        </w:r>
      </w:hyperlink>
      <w:r w:rsidRPr="00FD37F6">
        <w:rPr>
          <w:rFonts w:cs="Times New Roman"/>
          <w:sz w:val="20"/>
          <w:szCs w:val="20"/>
          <w:lang w:val="en-US"/>
        </w:rPr>
        <w:t xml:space="preserve"> </w:t>
      </w:r>
    </w:p>
  </w:footnote>
  <w:footnote w:id="157">
    <w:p w14:paraId="3097F542" w14:textId="522C5B7C" w:rsidR="00C717D0" w:rsidRPr="00FD37F6" w:rsidRDefault="00C717D0" w:rsidP="00C3007B">
      <w:pPr>
        <w:pStyle w:val="FootnoteText"/>
        <w:spacing w:after="20"/>
        <w:ind w:left="284" w:hanging="284"/>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bg-BG"/>
        </w:rPr>
        <w:t xml:space="preserve">ЕС. The EU Blue Economy Report 2019 </w:t>
      </w:r>
      <w:hyperlink r:id="rId183" w:history="1">
        <w:r w:rsidRPr="00FD37F6">
          <w:rPr>
            <w:rStyle w:val="Hyperlink"/>
            <w:rFonts w:cs="Times New Roman"/>
            <w:sz w:val="20"/>
            <w:szCs w:val="20"/>
          </w:rPr>
          <w:t>https://op.europa.eu/en/publication-detail/-/publication/676bbd4a-7dd9-11e9-9f05-01aa75ed71a1/language-en/</w:t>
        </w:r>
      </w:hyperlink>
      <w:r w:rsidRPr="00FD37F6">
        <w:rPr>
          <w:rFonts w:cs="Times New Roman"/>
          <w:sz w:val="20"/>
          <w:szCs w:val="20"/>
          <w:lang w:val="bg-BG"/>
        </w:rPr>
        <w:t xml:space="preserve"> </w:t>
      </w:r>
    </w:p>
  </w:footnote>
  <w:footnote w:id="158">
    <w:p w14:paraId="50A8BB12" w14:textId="191311EA"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Цитат от визията на Национална стратегия за устойчиво развитие на туризма в Република България, 2014-2030 г. Актуализирана версия 2017 г. </w:t>
      </w:r>
    </w:p>
  </w:footnote>
  <w:footnote w:id="159">
    <w:p w14:paraId="79986783" w14:textId="3DF89D7C"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84"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kis</w:t>
        </w:r>
        <w:r w:rsidRPr="00FD37F6">
          <w:rPr>
            <w:rStyle w:val="Hyperlink"/>
            <w:rFonts w:cs="Times New Roman"/>
            <w:sz w:val="20"/>
            <w:szCs w:val="20"/>
            <w:lang w:val="bg-BG"/>
          </w:rPr>
          <w:t>-</w:t>
        </w:r>
        <w:r w:rsidRPr="00FD37F6">
          <w:rPr>
            <w:rStyle w:val="Hyperlink"/>
            <w:rFonts w:cs="Times New Roman"/>
            <w:sz w:val="20"/>
            <w:szCs w:val="20"/>
          </w:rPr>
          <w:t>orca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map</w:t>
        </w:r>
      </w:hyperlink>
      <w:r w:rsidRPr="00FD37F6">
        <w:rPr>
          <w:rFonts w:cs="Times New Roman"/>
          <w:sz w:val="20"/>
          <w:szCs w:val="20"/>
          <w:lang w:val="bg-BG"/>
        </w:rPr>
        <w:t xml:space="preserve"> /</w:t>
      </w:r>
    </w:p>
  </w:footnote>
  <w:footnote w:id="160">
    <w:p w14:paraId="1981B9CA" w14:textId="141584A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ENPI CBC </w:t>
      </w:r>
      <w:hyperlink r:id="rId185" w:history="1">
        <w:r w:rsidRPr="00FD37F6">
          <w:rPr>
            <w:rStyle w:val="Hyperlink"/>
            <w:rFonts w:cs="Times New Roman"/>
            <w:sz w:val="20"/>
            <w:szCs w:val="20"/>
          </w:rPr>
          <w:t>https://blacksea-cbc.net/</w:t>
        </w:r>
      </w:hyperlink>
      <w:r w:rsidRPr="00FD37F6">
        <w:rPr>
          <w:rFonts w:cs="Times New Roman"/>
          <w:sz w:val="20"/>
          <w:szCs w:val="20"/>
        </w:rPr>
        <w:t xml:space="preserve"> </w:t>
      </w:r>
    </w:p>
  </w:footnote>
  <w:footnote w:id="161">
    <w:p w14:paraId="28AAB5A7" w14:textId="41A6CAC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86"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bsec</w:t>
        </w:r>
        <w:r w:rsidRPr="00FD37F6">
          <w:rPr>
            <w:rStyle w:val="Hyperlink"/>
            <w:rFonts w:cs="Times New Roman"/>
            <w:sz w:val="20"/>
            <w:szCs w:val="20"/>
            <w:lang w:val="bg-BG"/>
          </w:rPr>
          <w:t>-</w:t>
        </w:r>
        <w:r w:rsidRPr="00FD37F6">
          <w:rPr>
            <w:rStyle w:val="Hyperlink"/>
            <w:rFonts w:cs="Times New Roman"/>
            <w:sz w:val="20"/>
            <w:szCs w:val="20"/>
          </w:rPr>
          <w:t>organization</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162">
    <w:p w14:paraId="2C70DCEF" w14:textId="77777777" w:rsidR="00C717D0" w:rsidRPr="00FD37F6" w:rsidRDefault="00C717D0" w:rsidP="00F00BE8">
      <w:pPr>
        <w:pStyle w:val="FootnoteText"/>
        <w:spacing w:after="20"/>
        <w:rPr>
          <w:rFonts w:cs="Times New Roman"/>
          <w:sz w:val="20"/>
          <w:szCs w:val="20"/>
          <w:lang w:val="en-US"/>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en-US"/>
        </w:rPr>
        <w:t xml:space="preserve">PABSEC </w:t>
      </w:r>
      <w:hyperlink r:id="rId187" w:history="1">
        <w:r w:rsidRPr="00FD37F6">
          <w:rPr>
            <w:rStyle w:val="Hyperlink"/>
            <w:rFonts w:cs="Times New Roman"/>
            <w:sz w:val="20"/>
            <w:szCs w:val="20"/>
            <w:lang w:val="en-US"/>
          </w:rPr>
          <w:t>http://www.pabsec.org/page.asp?id=1&amp;hl=en</w:t>
        </w:r>
      </w:hyperlink>
      <w:r w:rsidRPr="00FD37F6">
        <w:rPr>
          <w:rFonts w:cs="Times New Roman"/>
          <w:sz w:val="20"/>
          <w:szCs w:val="20"/>
          <w:lang w:val="en-US"/>
        </w:rPr>
        <w:t xml:space="preserve"> </w:t>
      </w:r>
    </w:p>
  </w:footnote>
  <w:footnote w:id="163">
    <w:p w14:paraId="00D8856F"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de-DE"/>
        </w:rPr>
        <w:t xml:space="preserve"> BSTDB</w:t>
      </w:r>
      <w:r w:rsidRPr="00FD37F6">
        <w:rPr>
          <w:rFonts w:cs="Times New Roman"/>
          <w:sz w:val="20"/>
          <w:szCs w:val="20"/>
          <w:lang w:val="bg-BG"/>
        </w:rPr>
        <w:t xml:space="preserve"> </w:t>
      </w:r>
      <w:hyperlink r:id="rId188" w:history="1">
        <w:r w:rsidRPr="00FD37F6">
          <w:rPr>
            <w:rStyle w:val="Hyperlink"/>
            <w:rFonts w:cs="Times New Roman"/>
            <w:sz w:val="20"/>
            <w:szCs w:val="20"/>
            <w:lang w:val="bg-BG"/>
          </w:rPr>
          <w:t>https://www.bstdb.org/index.htm</w:t>
        </w:r>
      </w:hyperlink>
      <w:r w:rsidRPr="00FD37F6">
        <w:rPr>
          <w:rFonts w:cs="Times New Roman"/>
          <w:sz w:val="20"/>
          <w:szCs w:val="20"/>
          <w:lang w:val="bg-BG"/>
        </w:rPr>
        <w:t xml:space="preserve"> </w:t>
      </w:r>
    </w:p>
  </w:footnote>
  <w:footnote w:id="164">
    <w:p w14:paraId="0EB13781" w14:textId="2D2D0A2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FD37F6">
        <w:rPr>
          <w:rFonts w:cs="Times New Roman"/>
          <w:sz w:val="20"/>
          <w:szCs w:val="20"/>
          <w:lang w:val="en-US"/>
        </w:rPr>
        <w:t>ICBSS</w:t>
      </w:r>
      <w:r w:rsidRPr="00FD37F6">
        <w:rPr>
          <w:rFonts w:cs="Times New Roman"/>
          <w:sz w:val="20"/>
          <w:szCs w:val="20"/>
          <w:lang w:val="bg-BG"/>
        </w:rPr>
        <w:t xml:space="preserve"> </w:t>
      </w:r>
      <w:hyperlink r:id="rId189" w:history="1">
        <w:r w:rsidRPr="00FD37F6">
          <w:rPr>
            <w:rFonts w:cs="Times New Roman"/>
            <w:color w:val="0000FF"/>
            <w:sz w:val="20"/>
            <w:szCs w:val="20"/>
            <w:u w:val="single"/>
          </w:rPr>
          <w:t>http</w:t>
        </w:r>
        <w:r w:rsidRPr="00FD37F6">
          <w:rPr>
            <w:rFonts w:cs="Times New Roman"/>
            <w:color w:val="0000FF"/>
            <w:sz w:val="20"/>
            <w:szCs w:val="20"/>
            <w:u w:val="single"/>
            <w:lang w:val="bg-BG"/>
          </w:rPr>
          <w:t>://</w:t>
        </w:r>
        <w:r w:rsidRPr="00FD37F6">
          <w:rPr>
            <w:rFonts w:cs="Times New Roman"/>
            <w:color w:val="0000FF"/>
            <w:sz w:val="20"/>
            <w:szCs w:val="20"/>
            <w:u w:val="single"/>
          </w:rPr>
          <w:t>icbss</w:t>
        </w:r>
        <w:r w:rsidRPr="00FD37F6">
          <w:rPr>
            <w:rFonts w:cs="Times New Roman"/>
            <w:color w:val="0000FF"/>
            <w:sz w:val="20"/>
            <w:szCs w:val="20"/>
            <w:u w:val="single"/>
            <w:lang w:val="bg-BG"/>
          </w:rPr>
          <w:t>.</w:t>
        </w:r>
        <w:r w:rsidRPr="00FD37F6">
          <w:rPr>
            <w:rFonts w:cs="Times New Roman"/>
            <w:color w:val="0000FF"/>
            <w:sz w:val="20"/>
            <w:szCs w:val="20"/>
            <w:u w:val="single"/>
          </w:rPr>
          <w:t>org</w:t>
        </w:r>
        <w:r w:rsidRPr="00FD37F6">
          <w:rPr>
            <w:rFonts w:cs="Times New Roman"/>
            <w:color w:val="0000FF"/>
            <w:sz w:val="20"/>
            <w:szCs w:val="20"/>
            <w:u w:val="single"/>
            <w:lang w:val="bg-BG"/>
          </w:rPr>
          <w:t>/</w:t>
        </w:r>
      </w:hyperlink>
    </w:p>
  </w:footnote>
  <w:footnote w:id="165">
    <w:p w14:paraId="73FFFA45" w14:textId="61548B1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90"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blacksea</w:t>
        </w:r>
        <w:r w:rsidRPr="00FD37F6">
          <w:rPr>
            <w:rStyle w:val="Hyperlink"/>
            <w:rFonts w:cs="Times New Roman"/>
            <w:sz w:val="20"/>
            <w:szCs w:val="20"/>
            <w:lang w:val="bg-BG"/>
          </w:rPr>
          <w:t>-</w:t>
        </w:r>
        <w:r w:rsidRPr="00FD37F6">
          <w:rPr>
            <w:rStyle w:val="Hyperlink"/>
            <w:rFonts w:cs="Times New Roman"/>
            <w:sz w:val="20"/>
            <w:szCs w:val="20"/>
          </w:rPr>
          <w:t>commission</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166">
    <w:p w14:paraId="4F3C6686" w14:textId="61E3B1DC"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133B13">
        <w:rPr>
          <w:rFonts w:cs="Times New Roman"/>
          <w:sz w:val="20"/>
          <w:szCs w:val="20"/>
          <w:lang w:val="es-ES"/>
        </w:rPr>
        <w:t>MARSPLAN</w:t>
      </w:r>
      <w:r w:rsidRPr="00FD37F6">
        <w:rPr>
          <w:rFonts w:cs="Times New Roman"/>
          <w:sz w:val="20"/>
          <w:szCs w:val="20"/>
          <w:lang w:val="bg-BG"/>
        </w:rPr>
        <w:t xml:space="preserve"> </w:t>
      </w:r>
      <w:r w:rsidRPr="00133B13">
        <w:rPr>
          <w:rFonts w:cs="Times New Roman"/>
          <w:sz w:val="20"/>
          <w:szCs w:val="20"/>
          <w:lang w:val="es-ES"/>
        </w:rPr>
        <w:t>BS</w:t>
      </w:r>
      <w:r w:rsidRPr="00FD37F6">
        <w:rPr>
          <w:rFonts w:cs="Times New Roman"/>
          <w:sz w:val="20"/>
          <w:szCs w:val="20"/>
          <w:lang w:val="bg-BG"/>
        </w:rPr>
        <w:t xml:space="preserve"> </w:t>
      </w:r>
      <w:hyperlink r:id="rId191" w:history="1">
        <w:r w:rsidRPr="00133B13">
          <w:rPr>
            <w:rStyle w:val="Hyperlink"/>
            <w:rFonts w:cs="Times New Roman"/>
            <w:sz w:val="20"/>
            <w:szCs w:val="20"/>
            <w:lang w:val="es-ES"/>
          </w:rPr>
          <w:t>http</w:t>
        </w:r>
        <w:r w:rsidRPr="00FD37F6">
          <w:rPr>
            <w:rStyle w:val="Hyperlink"/>
            <w:rFonts w:cs="Times New Roman"/>
            <w:sz w:val="20"/>
            <w:szCs w:val="20"/>
            <w:lang w:val="bg-BG"/>
          </w:rPr>
          <w:t>://</w:t>
        </w:r>
        <w:r w:rsidRPr="00133B13">
          <w:rPr>
            <w:rStyle w:val="Hyperlink"/>
            <w:rFonts w:cs="Times New Roman"/>
            <w:sz w:val="20"/>
            <w:szCs w:val="20"/>
            <w:lang w:val="es-ES"/>
          </w:rPr>
          <w:t>www</w:t>
        </w:r>
        <w:r w:rsidRPr="00FD37F6">
          <w:rPr>
            <w:rStyle w:val="Hyperlink"/>
            <w:rFonts w:cs="Times New Roman"/>
            <w:sz w:val="20"/>
            <w:szCs w:val="20"/>
            <w:lang w:val="bg-BG"/>
          </w:rPr>
          <w:t>.</w:t>
        </w:r>
        <w:r w:rsidRPr="00133B13">
          <w:rPr>
            <w:rStyle w:val="Hyperlink"/>
            <w:rFonts w:cs="Times New Roman"/>
            <w:sz w:val="20"/>
            <w:szCs w:val="20"/>
            <w:lang w:val="es-ES"/>
          </w:rPr>
          <w:t>marsplan</w:t>
        </w:r>
        <w:r w:rsidRPr="00FD37F6">
          <w:rPr>
            <w:rStyle w:val="Hyperlink"/>
            <w:rFonts w:cs="Times New Roman"/>
            <w:sz w:val="20"/>
            <w:szCs w:val="20"/>
            <w:lang w:val="bg-BG"/>
          </w:rPr>
          <w:t>.</w:t>
        </w:r>
        <w:r w:rsidRPr="00133B13">
          <w:rPr>
            <w:rStyle w:val="Hyperlink"/>
            <w:rFonts w:cs="Times New Roman"/>
            <w:sz w:val="20"/>
            <w:szCs w:val="20"/>
            <w:lang w:val="es-ES"/>
          </w:rPr>
          <w:t>ro</w:t>
        </w:r>
        <w:r w:rsidRPr="00FD37F6">
          <w:rPr>
            <w:rStyle w:val="Hyperlink"/>
            <w:rFonts w:cs="Times New Roman"/>
            <w:sz w:val="20"/>
            <w:szCs w:val="20"/>
            <w:lang w:val="bg-BG"/>
          </w:rPr>
          <w:t>/</w:t>
        </w:r>
        <w:r w:rsidRPr="00133B13">
          <w:rPr>
            <w:rStyle w:val="Hyperlink"/>
            <w:rFonts w:cs="Times New Roman"/>
            <w:sz w:val="20"/>
            <w:szCs w:val="20"/>
            <w:lang w:val="es-ES"/>
          </w:rPr>
          <w:t>bg</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167">
    <w:p w14:paraId="26B65B02" w14:textId="09EA073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133B13">
        <w:rPr>
          <w:rFonts w:cs="Times New Roman"/>
          <w:sz w:val="20"/>
          <w:szCs w:val="20"/>
          <w:lang w:val="es-ES"/>
        </w:rPr>
        <w:t>MARSPLAN</w:t>
      </w:r>
      <w:r w:rsidRPr="00FD37F6">
        <w:rPr>
          <w:rFonts w:cs="Times New Roman"/>
          <w:sz w:val="20"/>
          <w:szCs w:val="20"/>
          <w:lang w:val="bg-BG"/>
        </w:rPr>
        <w:t>-</w:t>
      </w:r>
      <w:r w:rsidRPr="00133B13">
        <w:rPr>
          <w:rFonts w:cs="Times New Roman"/>
          <w:sz w:val="20"/>
          <w:szCs w:val="20"/>
          <w:lang w:val="es-ES"/>
        </w:rPr>
        <w:t>BS</w:t>
      </w:r>
      <w:r w:rsidRPr="00FD37F6">
        <w:rPr>
          <w:rFonts w:cs="Times New Roman"/>
          <w:sz w:val="20"/>
          <w:szCs w:val="20"/>
          <w:lang w:val="bg-BG"/>
        </w:rPr>
        <w:t xml:space="preserve"> </w:t>
      </w:r>
      <w:r w:rsidRPr="00133B13">
        <w:rPr>
          <w:rFonts w:cs="Times New Roman"/>
          <w:sz w:val="20"/>
          <w:szCs w:val="20"/>
          <w:lang w:val="es-ES"/>
        </w:rPr>
        <w:t>II</w:t>
      </w:r>
      <w:r w:rsidRPr="00FD37F6">
        <w:rPr>
          <w:rFonts w:cs="Times New Roman"/>
          <w:sz w:val="20"/>
          <w:szCs w:val="20"/>
          <w:lang w:val="bg-BG"/>
        </w:rPr>
        <w:t xml:space="preserve"> </w:t>
      </w:r>
      <w:hyperlink r:id="rId192" w:history="1">
        <w:r w:rsidRPr="00133B13">
          <w:rPr>
            <w:rStyle w:val="Hyperlink"/>
            <w:rFonts w:cs="Times New Roman"/>
            <w:sz w:val="20"/>
            <w:szCs w:val="20"/>
            <w:lang w:val="es-ES"/>
          </w:rPr>
          <w:t>http</w:t>
        </w:r>
        <w:r w:rsidRPr="00FD37F6">
          <w:rPr>
            <w:rStyle w:val="Hyperlink"/>
            <w:rFonts w:cs="Times New Roman"/>
            <w:sz w:val="20"/>
            <w:szCs w:val="20"/>
            <w:lang w:val="bg-BG"/>
          </w:rPr>
          <w:t>://</w:t>
        </w:r>
        <w:r w:rsidRPr="00133B13">
          <w:rPr>
            <w:rStyle w:val="Hyperlink"/>
            <w:rFonts w:cs="Times New Roman"/>
            <w:sz w:val="20"/>
            <w:szCs w:val="20"/>
            <w:lang w:val="es-ES"/>
          </w:rPr>
          <w:t>www</w:t>
        </w:r>
        <w:r w:rsidRPr="00FD37F6">
          <w:rPr>
            <w:rStyle w:val="Hyperlink"/>
            <w:rFonts w:cs="Times New Roman"/>
            <w:sz w:val="20"/>
            <w:szCs w:val="20"/>
            <w:lang w:val="bg-BG"/>
          </w:rPr>
          <w:t>.</w:t>
        </w:r>
        <w:r w:rsidRPr="00133B13">
          <w:rPr>
            <w:rStyle w:val="Hyperlink"/>
            <w:rFonts w:cs="Times New Roman"/>
            <w:sz w:val="20"/>
            <w:szCs w:val="20"/>
            <w:lang w:val="es-ES"/>
          </w:rPr>
          <w:t>marsplan</w:t>
        </w:r>
        <w:r w:rsidRPr="00FD37F6">
          <w:rPr>
            <w:rStyle w:val="Hyperlink"/>
            <w:rFonts w:cs="Times New Roman"/>
            <w:sz w:val="20"/>
            <w:szCs w:val="20"/>
            <w:lang w:val="bg-BG"/>
          </w:rPr>
          <w:t>.</w:t>
        </w:r>
        <w:r w:rsidRPr="00133B13">
          <w:rPr>
            <w:rStyle w:val="Hyperlink"/>
            <w:rFonts w:cs="Times New Roman"/>
            <w:sz w:val="20"/>
            <w:szCs w:val="20"/>
            <w:lang w:val="es-ES"/>
          </w:rPr>
          <w:t>ro</w:t>
        </w:r>
        <w:r w:rsidRPr="00FD37F6">
          <w:rPr>
            <w:rStyle w:val="Hyperlink"/>
            <w:rFonts w:cs="Times New Roman"/>
            <w:sz w:val="20"/>
            <w:szCs w:val="20"/>
            <w:lang w:val="bg-BG"/>
          </w:rPr>
          <w:t>/</w:t>
        </w:r>
        <w:r w:rsidRPr="00133B13">
          <w:rPr>
            <w:rStyle w:val="Hyperlink"/>
            <w:rFonts w:cs="Times New Roman"/>
            <w:sz w:val="20"/>
            <w:szCs w:val="20"/>
            <w:lang w:val="es-ES"/>
          </w:rPr>
          <w:t>bg</w:t>
        </w:r>
        <w:r w:rsidRPr="00FD37F6">
          <w:rPr>
            <w:rStyle w:val="Hyperlink"/>
            <w:rFonts w:cs="Times New Roman"/>
            <w:sz w:val="20"/>
            <w:szCs w:val="20"/>
            <w:lang w:val="bg-BG"/>
          </w:rPr>
          <w:t>/</w:t>
        </w:r>
        <w:r w:rsidRPr="00133B13">
          <w:rPr>
            <w:rStyle w:val="Hyperlink"/>
            <w:rFonts w:cs="Times New Roman"/>
            <w:sz w:val="20"/>
            <w:szCs w:val="20"/>
            <w:lang w:val="es-ES"/>
          </w:rPr>
          <w:t>despre</w:t>
        </w:r>
        <w:r w:rsidRPr="00FD37F6">
          <w:rPr>
            <w:rStyle w:val="Hyperlink"/>
            <w:rFonts w:cs="Times New Roman"/>
            <w:sz w:val="20"/>
            <w:szCs w:val="20"/>
            <w:lang w:val="bg-BG"/>
          </w:rPr>
          <w:t>-</w:t>
        </w:r>
        <w:r w:rsidRPr="00133B13">
          <w:rPr>
            <w:rStyle w:val="Hyperlink"/>
            <w:rFonts w:cs="Times New Roman"/>
            <w:sz w:val="20"/>
            <w:szCs w:val="20"/>
            <w:lang w:val="es-ES"/>
          </w:rPr>
          <w:t>proiectul</w:t>
        </w:r>
        <w:r w:rsidRPr="00FD37F6">
          <w:rPr>
            <w:rStyle w:val="Hyperlink"/>
            <w:rFonts w:cs="Times New Roman"/>
            <w:sz w:val="20"/>
            <w:szCs w:val="20"/>
            <w:lang w:val="bg-BG"/>
          </w:rPr>
          <w:t>-</w:t>
        </w:r>
        <w:r w:rsidRPr="00133B13">
          <w:rPr>
            <w:rStyle w:val="Hyperlink"/>
            <w:rFonts w:cs="Times New Roman"/>
            <w:sz w:val="20"/>
            <w:szCs w:val="20"/>
            <w:lang w:val="es-ES"/>
          </w:rPr>
          <w:t>marsplan</w:t>
        </w:r>
        <w:r w:rsidRPr="00FD37F6">
          <w:rPr>
            <w:rStyle w:val="Hyperlink"/>
            <w:rFonts w:cs="Times New Roman"/>
            <w:sz w:val="20"/>
            <w:szCs w:val="20"/>
            <w:lang w:val="bg-BG"/>
          </w:rPr>
          <w:t>-%</w:t>
        </w:r>
        <w:r w:rsidRPr="00133B13">
          <w:rPr>
            <w:rStyle w:val="Hyperlink"/>
            <w:rFonts w:cs="Times New Roman"/>
            <w:sz w:val="20"/>
            <w:szCs w:val="20"/>
            <w:lang w:val="es-ES"/>
          </w:rPr>
          <w:t>E</w:t>
        </w:r>
        <w:r w:rsidRPr="00FD37F6">
          <w:rPr>
            <w:rStyle w:val="Hyperlink"/>
            <w:rFonts w:cs="Times New Roman"/>
            <w:sz w:val="20"/>
            <w:szCs w:val="20"/>
            <w:lang w:val="bg-BG"/>
          </w:rPr>
          <w:t>2%80%93-</w:t>
        </w:r>
        <w:r w:rsidRPr="00133B13">
          <w:rPr>
            <w:rStyle w:val="Hyperlink"/>
            <w:rFonts w:cs="Times New Roman"/>
            <w:sz w:val="20"/>
            <w:szCs w:val="20"/>
            <w:lang w:val="es-ES"/>
          </w:rPr>
          <w:t>bs</w:t>
        </w:r>
        <w:r w:rsidRPr="00FD37F6">
          <w:rPr>
            <w:rStyle w:val="Hyperlink"/>
            <w:rFonts w:cs="Times New Roman"/>
            <w:sz w:val="20"/>
            <w:szCs w:val="20"/>
            <w:lang w:val="bg-BG"/>
          </w:rPr>
          <w:t>-</w:t>
        </w:r>
        <w:r w:rsidRPr="00133B13">
          <w:rPr>
            <w:rStyle w:val="Hyperlink"/>
            <w:rFonts w:cs="Times New Roman"/>
            <w:sz w:val="20"/>
            <w:szCs w:val="20"/>
            <w:lang w:val="es-ES"/>
          </w:rPr>
          <w:t>bg</w:t>
        </w:r>
        <w:r w:rsidRPr="00FD37F6">
          <w:rPr>
            <w:rStyle w:val="Hyperlink"/>
            <w:rFonts w:cs="Times New Roman"/>
            <w:sz w:val="20"/>
            <w:szCs w:val="20"/>
            <w:lang w:val="bg-BG"/>
          </w:rPr>
          <w:t>.</w:t>
        </w:r>
        <w:r w:rsidRPr="00133B13">
          <w:rPr>
            <w:rStyle w:val="Hyperlink"/>
            <w:rFonts w:cs="Times New Roman"/>
            <w:sz w:val="20"/>
            <w:szCs w:val="20"/>
            <w:lang w:val="es-ES"/>
          </w:rPr>
          <w:t>html</w:t>
        </w:r>
      </w:hyperlink>
      <w:r w:rsidRPr="00FD37F6">
        <w:rPr>
          <w:rFonts w:cs="Times New Roman"/>
          <w:sz w:val="20"/>
          <w:szCs w:val="20"/>
          <w:lang w:val="bg-BG"/>
        </w:rPr>
        <w:t xml:space="preserve"> </w:t>
      </w:r>
    </w:p>
    <w:p w14:paraId="6136044D" w14:textId="46418841" w:rsidR="00C717D0" w:rsidRPr="00FD37F6" w:rsidRDefault="00C717D0" w:rsidP="00F00BE8">
      <w:pPr>
        <w:pStyle w:val="FootnoteText"/>
        <w:spacing w:after="20"/>
        <w:rPr>
          <w:rFonts w:cs="Times New Roman"/>
          <w:sz w:val="20"/>
          <w:szCs w:val="20"/>
          <w:lang w:val="bg-BG"/>
        </w:rPr>
      </w:pPr>
    </w:p>
  </w:footnote>
  <w:footnote w:id="168">
    <w:p w14:paraId="2B1E88B0" w14:textId="410E414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European Commission &amp; Joint Research Centre. (2018). Climate impacts in Europe: Final report of the JRC PESETA III project. </w:t>
      </w:r>
      <w:hyperlink r:id="rId193" w:history="1">
        <w:r w:rsidRPr="00FD37F6">
          <w:rPr>
            <w:rStyle w:val="Hyperlink"/>
            <w:rFonts w:cs="Times New Roman"/>
            <w:sz w:val="20"/>
            <w:szCs w:val="20"/>
          </w:rPr>
          <w:t>http://dx.publications.europa.eu/10.2760/93257</w:t>
        </w:r>
      </w:hyperlink>
      <w:r w:rsidRPr="00FD37F6">
        <w:rPr>
          <w:rFonts w:cs="Times New Roman"/>
          <w:sz w:val="20"/>
          <w:szCs w:val="20"/>
          <w:lang w:val="bg-BG"/>
        </w:rPr>
        <w:t xml:space="preserve"> </w:t>
      </w:r>
    </w:p>
  </w:footnote>
  <w:footnote w:id="169">
    <w:p w14:paraId="402314BF" w14:textId="3A6E8118"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r w:rsidRPr="00FD37F6">
        <w:rPr>
          <w:rFonts w:cs="Times New Roman"/>
          <w:sz w:val="20"/>
          <w:szCs w:val="20"/>
        </w:rPr>
        <w:t>STOWA</w:t>
      </w:r>
      <w:r w:rsidRPr="00FD37F6">
        <w:rPr>
          <w:rFonts w:cs="Times New Roman"/>
          <w:sz w:val="20"/>
          <w:szCs w:val="20"/>
          <w:lang w:val="bg-BG"/>
        </w:rPr>
        <w:t xml:space="preserve"> (Акроним за </w:t>
      </w:r>
      <w:r w:rsidRPr="00FD37F6">
        <w:rPr>
          <w:rFonts w:cs="Times New Roman"/>
          <w:sz w:val="20"/>
          <w:szCs w:val="20"/>
        </w:rPr>
        <w:t>Foundation</w:t>
      </w:r>
      <w:r w:rsidRPr="00FD37F6">
        <w:rPr>
          <w:rFonts w:cs="Times New Roman"/>
          <w:sz w:val="20"/>
          <w:szCs w:val="20"/>
          <w:lang w:val="bg-BG"/>
        </w:rPr>
        <w:t xml:space="preserve"> </w:t>
      </w:r>
      <w:r w:rsidRPr="00FD37F6">
        <w:rPr>
          <w:rFonts w:cs="Times New Roman"/>
          <w:sz w:val="20"/>
          <w:szCs w:val="20"/>
        </w:rPr>
        <w:t>for</w:t>
      </w:r>
      <w:r w:rsidRPr="00FD37F6">
        <w:rPr>
          <w:rFonts w:cs="Times New Roman"/>
          <w:sz w:val="20"/>
          <w:szCs w:val="20"/>
          <w:lang w:val="bg-BG"/>
        </w:rPr>
        <w:t xml:space="preserve"> </w:t>
      </w:r>
      <w:r w:rsidRPr="00FD37F6">
        <w:rPr>
          <w:rFonts w:cs="Times New Roman"/>
          <w:sz w:val="20"/>
          <w:szCs w:val="20"/>
        </w:rPr>
        <w:t>Applied</w:t>
      </w:r>
      <w:r w:rsidRPr="00FD37F6">
        <w:rPr>
          <w:rFonts w:cs="Times New Roman"/>
          <w:sz w:val="20"/>
          <w:szCs w:val="20"/>
          <w:lang w:val="bg-BG"/>
        </w:rPr>
        <w:t xml:space="preserve"> </w:t>
      </w:r>
      <w:r w:rsidRPr="00FD37F6">
        <w:rPr>
          <w:rFonts w:cs="Times New Roman"/>
          <w:sz w:val="20"/>
          <w:szCs w:val="20"/>
        </w:rPr>
        <w:t>Water</w:t>
      </w:r>
      <w:r w:rsidRPr="00FD37F6">
        <w:rPr>
          <w:rFonts w:cs="Times New Roman"/>
          <w:sz w:val="20"/>
          <w:szCs w:val="20"/>
          <w:lang w:val="bg-BG"/>
        </w:rPr>
        <w:t xml:space="preserve"> </w:t>
      </w:r>
      <w:r w:rsidRPr="00FD37F6">
        <w:rPr>
          <w:rFonts w:cs="Times New Roman"/>
          <w:sz w:val="20"/>
          <w:szCs w:val="20"/>
        </w:rPr>
        <w:t>Research</w:t>
      </w:r>
      <w:r w:rsidRPr="00FD37F6">
        <w:rPr>
          <w:rFonts w:cs="Times New Roman"/>
          <w:sz w:val="20"/>
          <w:szCs w:val="20"/>
          <w:lang w:val="bg-BG"/>
        </w:rPr>
        <w:t>) е център за експертиза на специалистите по регионално управление на водите (</w:t>
      </w:r>
      <w:r w:rsidRPr="00FD37F6">
        <w:rPr>
          <w:rFonts w:cs="Times New Roman"/>
          <w:sz w:val="20"/>
          <w:szCs w:val="20"/>
        </w:rPr>
        <w:t>the</w:t>
      </w:r>
      <w:r w:rsidRPr="00FD37F6">
        <w:rPr>
          <w:rFonts w:cs="Times New Roman"/>
          <w:sz w:val="20"/>
          <w:szCs w:val="20"/>
          <w:lang w:val="bg-BG"/>
        </w:rPr>
        <w:t xml:space="preserve"> </w:t>
      </w:r>
      <w:r w:rsidRPr="00FD37F6">
        <w:rPr>
          <w:rFonts w:cs="Times New Roman"/>
          <w:sz w:val="20"/>
          <w:szCs w:val="20"/>
        </w:rPr>
        <w:t>Dutch</w:t>
      </w:r>
      <w:r w:rsidRPr="00FD37F6">
        <w:rPr>
          <w:rFonts w:cs="Times New Roman"/>
          <w:sz w:val="20"/>
          <w:szCs w:val="20"/>
          <w:lang w:val="bg-BG"/>
        </w:rPr>
        <w:t xml:space="preserve"> </w:t>
      </w:r>
      <w:r w:rsidRPr="00FD37F6">
        <w:rPr>
          <w:rFonts w:cs="Times New Roman"/>
          <w:sz w:val="20"/>
          <w:szCs w:val="20"/>
        </w:rPr>
        <w:t>Water</w:t>
      </w:r>
      <w:r w:rsidRPr="00FD37F6">
        <w:rPr>
          <w:rFonts w:cs="Times New Roman"/>
          <w:sz w:val="20"/>
          <w:szCs w:val="20"/>
          <w:lang w:val="bg-BG"/>
        </w:rPr>
        <w:t xml:space="preserve"> </w:t>
      </w:r>
      <w:r w:rsidRPr="00FD37F6">
        <w:rPr>
          <w:rFonts w:cs="Times New Roman"/>
          <w:sz w:val="20"/>
          <w:szCs w:val="20"/>
        </w:rPr>
        <w:t>Authorities</w:t>
      </w:r>
      <w:r w:rsidRPr="00FD37F6">
        <w:rPr>
          <w:rFonts w:cs="Times New Roman"/>
          <w:sz w:val="20"/>
          <w:szCs w:val="20"/>
          <w:lang w:val="bg-BG"/>
        </w:rPr>
        <w:t xml:space="preserve">). </w:t>
      </w:r>
    </w:p>
  </w:footnote>
  <w:footnote w:id="170">
    <w:p w14:paraId="6F5F520E" w14:textId="402355B2"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133B13">
        <w:rPr>
          <w:rFonts w:cs="Times New Roman"/>
          <w:sz w:val="20"/>
          <w:szCs w:val="20"/>
          <w:lang w:val="bg-BG"/>
        </w:rPr>
        <w:t xml:space="preserve"> </w:t>
      </w:r>
      <w:hyperlink r:id="rId194" w:history="1">
        <w:r w:rsidRPr="00FD37F6">
          <w:rPr>
            <w:rStyle w:val="Hyperlink"/>
            <w:rFonts w:cs="Times New Roman"/>
            <w:sz w:val="20"/>
            <w:szCs w:val="20"/>
          </w:rPr>
          <w:t>http</w:t>
        </w:r>
        <w:r w:rsidRPr="00133B13">
          <w:rPr>
            <w:rStyle w:val="Hyperlink"/>
            <w:rFonts w:cs="Times New Roman"/>
            <w:sz w:val="20"/>
            <w:szCs w:val="20"/>
            <w:lang w:val="bg-BG"/>
          </w:rPr>
          <w:t>://</w:t>
        </w:r>
        <w:r w:rsidRPr="00FD37F6">
          <w:rPr>
            <w:rStyle w:val="Hyperlink"/>
            <w:rFonts w:cs="Times New Roman"/>
            <w:sz w:val="20"/>
            <w:szCs w:val="20"/>
          </w:rPr>
          <w:t>eea</w:t>
        </w:r>
        <w:r w:rsidRPr="00133B13">
          <w:rPr>
            <w:rStyle w:val="Hyperlink"/>
            <w:rFonts w:cs="Times New Roman"/>
            <w:sz w:val="20"/>
            <w:szCs w:val="20"/>
            <w:lang w:val="bg-BG"/>
          </w:rPr>
          <w:t>.</w:t>
        </w:r>
        <w:r w:rsidRPr="00FD37F6">
          <w:rPr>
            <w:rStyle w:val="Hyperlink"/>
            <w:rFonts w:cs="Times New Roman"/>
            <w:sz w:val="20"/>
            <w:szCs w:val="20"/>
          </w:rPr>
          <w:t>government</w:t>
        </w:r>
        <w:r w:rsidRPr="00133B13">
          <w:rPr>
            <w:rStyle w:val="Hyperlink"/>
            <w:rFonts w:cs="Times New Roman"/>
            <w:sz w:val="20"/>
            <w:szCs w:val="20"/>
            <w:lang w:val="bg-BG"/>
          </w:rPr>
          <w:t>.</w:t>
        </w:r>
        <w:r w:rsidRPr="00FD37F6">
          <w:rPr>
            <w:rStyle w:val="Hyperlink"/>
            <w:rFonts w:cs="Times New Roman"/>
            <w:sz w:val="20"/>
            <w:szCs w:val="20"/>
          </w:rPr>
          <w:t>bg</w:t>
        </w:r>
        <w:r w:rsidRPr="00133B13">
          <w:rPr>
            <w:rStyle w:val="Hyperlink"/>
            <w:rFonts w:cs="Times New Roman"/>
            <w:sz w:val="20"/>
            <w:szCs w:val="20"/>
            <w:lang w:val="bg-BG"/>
          </w:rPr>
          <w:t>/</w:t>
        </w:r>
        <w:r w:rsidRPr="00FD37F6">
          <w:rPr>
            <w:rStyle w:val="Hyperlink"/>
            <w:rFonts w:cs="Times New Roman"/>
            <w:sz w:val="20"/>
            <w:szCs w:val="20"/>
          </w:rPr>
          <w:t>bg</w:t>
        </w:r>
        <w:r w:rsidRPr="00133B13">
          <w:rPr>
            <w:rStyle w:val="Hyperlink"/>
            <w:rFonts w:cs="Times New Roman"/>
            <w:sz w:val="20"/>
            <w:szCs w:val="20"/>
            <w:lang w:val="bg-BG"/>
          </w:rPr>
          <w:t>/</w:t>
        </w:r>
        <w:r w:rsidRPr="00FD37F6">
          <w:rPr>
            <w:rStyle w:val="Hyperlink"/>
            <w:rFonts w:cs="Times New Roman"/>
            <w:sz w:val="20"/>
            <w:szCs w:val="20"/>
          </w:rPr>
          <w:t>ecosystems</w:t>
        </w:r>
        <w:r w:rsidRPr="00133B13">
          <w:rPr>
            <w:rStyle w:val="Hyperlink"/>
            <w:rFonts w:cs="Times New Roman"/>
            <w:sz w:val="20"/>
            <w:szCs w:val="20"/>
            <w:lang w:val="bg-BG"/>
          </w:rPr>
          <w:t>/</w:t>
        </w:r>
        <w:r w:rsidRPr="00FD37F6">
          <w:rPr>
            <w:rStyle w:val="Hyperlink"/>
            <w:rFonts w:cs="Times New Roman"/>
            <w:sz w:val="20"/>
            <w:szCs w:val="20"/>
          </w:rPr>
          <w:t>B</w:t>
        </w:r>
        <w:r w:rsidRPr="00133B13">
          <w:rPr>
            <w:rStyle w:val="Hyperlink"/>
            <w:rFonts w:cs="Times New Roman"/>
            <w:sz w:val="20"/>
            <w:szCs w:val="20"/>
            <w:lang w:val="bg-BG"/>
          </w:rPr>
          <w:t>9</w:t>
        </w:r>
        <w:r w:rsidRPr="00FD37F6">
          <w:rPr>
            <w:rStyle w:val="Hyperlink"/>
            <w:rFonts w:cs="Times New Roman"/>
            <w:sz w:val="20"/>
            <w:szCs w:val="20"/>
          </w:rPr>
          <w:t>MARINE</w:t>
        </w:r>
        <w:r w:rsidRPr="00133B13">
          <w:rPr>
            <w:rStyle w:val="Hyperlink"/>
            <w:rFonts w:cs="Times New Roman"/>
            <w:sz w:val="20"/>
            <w:szCs w:val="20"/>
            <w:lang w:val="bg-BG"/>
          </w:rPr>
          <w:t>_</w:t>
        </w:r>
        <w:r w:rsidRPr="00FD37F6">
          <w:rPr>
            <w:rStyle w:val="Hyperlink"/>
            <w:rFonts w:cs="Times New Roman"/>
            <w:sz w:val="20"/>
            <w:szCs w:val="20"/>
          </w:rPr>
          <w:t>BG</w:t>
        </w:r>
        <w:r w:rsidRPr="00133B13">
          <w:rPr>
            <w:rStyle w:val="Hyperlink"/>
            <w:rFonts w:cs="Times New Roman"/>
            <w:sz w:val="20"/>
            <w:szCs w:val="20"/>
            <w:lang w:val="bg-BG"/>
          </w:rPr>
          <w:t>_</w:t>
        </w:r>
        <w:r w:rsidRPr="00FD37F6">
          <w:rPr>
            <w:rStyle w:val="Hyperlink"/>
            <w:rFonts w:cs="Times New Roman"/>
            <w:sz w:val="20"/>
            <w:szCs w:val="20"/>
          </w:rPr>
          <w:t>PRINT</w:t>
        </w:r>
        <w:r w:rsidRPr="00133B13">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71">
    <w:p w14:paraId="6BB94034"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95"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ec</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maritimeaffairs</w:t>
        </w:r>
        <w:r w:rsidRPr="00FD37F6">
          <w:rPr>
            <w:rStyle w:val="Hyperlink"/>
            <w:rFonts w:cs="Times New Roman"/>
            <w:sz w:val="20"/>
            <w:szCs w:val="20"/>
            <w:lang w:val="bg-BG"/>
          </w:rPr>
          <w:t>/</w:t>
        </w:r>
        <w:r w:rsidRPr="00FD37F6">
          <w:rPr>
            <w:rStyle w:val="Hyperlink"/>
            <w:rFonts w:cs="Times New Roman"/>
            <w:sz w:val="20"/>
            <w:szCs w:val="20"/>
          </w:rPr>
          <w:t>policy</w:t>
        </w:r>
        <w:r w:rsidRPr="00FD37F6">
          <w:rPr>
            <w:rStyle w:val="Hyperlink"/>
            <w:rFonts w:cs="Times New Roman"/>
            <w:sz w:val="20"/>
            <w:szCs w:val="20"/>
            <w:lang w:val="bg-BG"/>
          </w:rPr>
          <w:t>/</w:t>
        </w:r>
        <w:r w:rsidRPr="00FD37F6">
          <w:rPr>
            <w:rStyle w:val="Hyperlink"/>
            <w:rFonts w:cs="Times New Roman"/>
            <w:sz w:val="20"/>
            <w:szCs w:val="20"/>
          </w:rPr>
          <w:t>blue</w:t>
        </w:r>
        <w:r w:rsidRPr="00FD37F6">
          <w:rPr>
            <w:rStyle w:val="Hyperlink"/>
            <w:rFonts w:cs="Times New Roman"/>
            <w:sz w:val="20"/>
            <w:szCs w:val="20"/>
            <w:lang w:val="bg-BG"/>
          </w:rPr>
          <w:t>_</w:t>
        </w:r>
        <w:r w:rsidRPr="00FD37F6">
          <w:rPr>
            <w:rStyle w:val="Hyperlink"/>
            <w:rFonts w:cs="Times New Roman"/>
            <w:sz w:val="20"/>
            <w:szCs w:val="20"/>
          </w:rPr>
          <w:t>growth</w:t>
        </w:r>
        <w:r w:rsidRPr="00FD37F6">
          <w:rPr>
            <w:rStyle w:val="Hyperlink"/>
            <w:rFonts w:cs="Times New Roman"/>
            <w:sz w:val="20"/>
            <w:szCs w:val="20"/>
            <w:lang w:val="bg-BG"/>
          </w:rPr>
          <w:t>_</w:t>
        </w:r>
        <w:r w:rsidRPr="00FD37F6">
          <w:rPr>
            <w:rStyle w:val="Hyperlink"/>
            <w:rFonts w:cs="Times New Roman"/>
            <w:sz w:val="20"/>
            <w:szCs w:val="20"/>
          </w:rPr>
          <w:t>bg</w:t>
        </w:r>
      </w:hyperlink>
      <w:r w:rsidRPr="00FD37F6">
        <w:rPr>
          <w:rFonts w:cs="Times New Roman"/>
          <w:sz w:val="20"/>
          <w:szCs w:val="20"/>
          <w:lang w:val="bg-BG"/>
        </w:rPr>
        <w:t xml:space="preserve"> </w:t>
      </w:r>
    </w:p>
  </w:footnote>
  <w:footnote w:id="172">
    <w:p w14:paraId="3CE0F151" w14:textId="77777777" w:rsidR="00C717D0" w:rsidRPr="00FD37F6" w:rsidRDefault="00C717D0" w:rsidP="00F00BE8">
      <w:pPr>
        <w:pStyle w:val="FootnoteText"/>
        <w:spacing w:after="20"/>
        <w:jc w:val="both"/>
        <w:rPr>
          <w:rFonts w:cs="Times New Roman"/>
          <w:color w:val="000000" w:themeColor="text1"/>
          <w:sz w:val="20"/>
          <w:szCs w:val="20"/>
          <w:lang w:val="bg-BG"/>
        </w:rPr>
      </w:pPr>
      <w:r w:rsidRPr="00FD37F6">
        <w:rPr>
          <w:rStyle w:val="FootnoteReference"/>
          <w:rFonts w:cs="Times New Roman"/>
          <w:color w:val="000000" w:themeColor="text1"/>
          <w:sz w:val="20"/>
          <w:szCs w:val="20"/>
        </w:rPr>
        <w:footnoteRef/>
      </w:r>
      <w:r w:rsidRPr="00FD37F6">
        <w:rPr>
          <w:rFonts w:cs="Times New Roman"/>
          <w:color w:val="000000" w:themeColor="text1"/>
          <w:sz w:val="20"/>
          <w:szCs w:val="20"/>
          <w:lang w:val="bg-BG"/>
        </w:rPr>
        <w:t xml:space="preserve"> Приоритет 4 на „България 2030“: „Ще бъдат въведени пазарни стимули за намаляване на разходването на енергия от бизнеса, включително чрез подпомагането на инвестициите в енергоефективно оборудване и строителство и създаването на предпоставки за разпространението и ефективното управление на </w:t>
      </w:r>
      <w:r w:rsidRPr="00FD37F6">
        <w:rPr>
          <w:rFonts w:cs="Times New Roman"/>
          <w:i/>
          <w:color w:val="000000" w:themeColor="text1"/>
          <w:sz w:val="20"/>
          <w:szCs w:val="20"/>
          <w:lang w:val="bg-BG"/>
        </w:rPr>
        <w:t>микромрежи за възобновяема енергия</w:t>
      </w:r>
      <w:r w:rsidRPr="00FD37F6">
        <w:rPr>
          <w:rFonts w:cs="Times New Roman"/>
          <w:color w:val="000000" w:themeColor="text1"/>
          <w:sz w:val="20"/>
          <w:szCs w:val="20"/>
          <w:lang w:val="bg-BG"/>
        </w:rPr>
        <w:t>.“</w:t>
      </w:r>
    </w:p>
  </w:footnote>
  <w:footnote w:id="173">
    <w:p w14:paraId="58039033" w14:textId="3112985E" w:rsidR="00C717D0" w:rsidRPr="00FD37F6" w:rsidRDefault="00C717D0" w:rsidP="00F00BE8">
      <w:pPr>
        <w:pStyle w:val="FootnoteText"/>
        <w:spacing w:after="20"/>
        <w:rPr>
          <w:rFonts w:cs="Times New Roman"/>
          <w:color w:val="000000" w:themeColor="text1"/>
          <w:sz w:val="20"/>
          <w:szCs w:val="20"/>
          <w:lang w:val="bg-BG"/>
        </w:rPr>
      </w:pPr>
      <w:r w:rsidRPr="00FD37F6">
        <w:rPr>
          <w:rStyle w:val="FootnoteReference"/>
          <w:rFonts w:cs="Times New Roman"/>
          <w:color w:val="000000" w:themeColor="text1"/>
          <w:sz w:val="20"/>
          <w:szCs w:val="20"/>
        </w:rPr>
        <w:footnoteRef/>
      </w:r>
      <w:r w:rsidRPr="00FD37F6">
        <w:rPr>
          <w:rFonts w:cs="Times New Roman"/>
          <w:color w:val="000000" w:themeColor="text1"/>
          <w:sz w:val="20"/>
          <w:szCs w:val="20"/>
          <w:lang w:val="bg-BG"/>
        </w:rPr>
        <w:t xml:space="preserve"> </w:t>
      </w:r>
      <w:hyperlink r:id="rId196"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ec</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maritimeaffairs</w:t>
        </w:r>
        <w:r w:rsidRPr="00FD37F6">
          <w:rPr>
            <w:rStyle w:val="Hyperlink"/>
            <w:rFonts w:cs="Times New Roman"/>
            <w:sz w:val="20"/>
            <w:szCs w:val="20"/>
            <w:lang w:val="bg-BG"/>
          </w:rPr>
          <w:t>/</w:t>
        </w:r>
        <w:r w:rsidRPr="00FD37F6">
          <w:rPr>
            <w:rStyle w:val="Hyperlink"/>
            <w:rFonts w:cs="Times New Roman"/>
            <w:sz w:val="20"/>
            <w:szCs w:val="20"/>
          </w:rPr>
          <w:t>policy</w:t>
        </w:r>
        <w:r w:rsidRPr="00FD37F6">
          <w:rPr>
            <w:rStyle w:val="Hyperlink"/>
            <w:rFonts w:cs="Times New Roman"/>
            <w:sz w:val="20"/>
            <w:szCs w:val="20"/>
            <w:lang w:val="bg-BG"/>
          </w:rPr>
          <w:t>/</w:t>
        </w:r>
        <w:r w:rsidRPr="00FD37F6">
          <w:rPr>
            <w:rStyle w:val="Hyperlink"/>
            <w:rFonts w:cs="Times New Roman"/>
            <w:sz w:val="20"/>
            <w:szCs w:val="20"/>
          </w:rPr>
          <w:t>blue</w:t>
        </w:r>
        <w:r w:rsidRPr="00FD37F6">
          <w:rPr>
            <w:rStyle w:val="Hyperlink"/>
            <w:rFonts w:cs="Times New Roman"/>
            <w:sz w:val="20"/>
            <w:szCs w:val="20"/>
            <w:lang w:val="bg-BG"/>
          </w:rPr>
          <w:t>_</w:t>
        </w:r>
        <w:r w:rsidRPr="00FD37F6">
          <w:rPr>
            <w:rStyle w:val="Hyperlink"/>
            <w:rFonts w:cs="Times New Roman"/>
            <w:sz w:val="20"/>
            <w:szCs w:val="20"/>
          </w:rPr>
          <w:t>growth</w:t>
        </w:r>
        <w:r w:rsidRPr="00FD37F6">
          <w:rPr>
            <w:rStyle w:val="Hyperlink"/>
            <w:rFonts w:cs="Times New Roman"/>
            <w:sz w:val="20"/>
            <w:szCs w:val="20"/>
            <w:lang w:val="bg-BG"/>
          </w:rPr>
          <w:t>_</w:t>
        </w:r>
        <w:r w:rsidRPr="00FD37F6">
          <w:rPr>
            <w:rStyle w:val="Hyperlink"/>
            <w:rFonts w:cs="Times New Roman"/>
            <w:sz w:val="20"/>
            <w:szCs w:val="20"/>
          </w:rPr>
          <w:t>bg</w:t>
        </w:r>
      </w:hyperlink>
      <w:r w:rsidRPr="00FD37F6">
        <w:rPr>
          <w:rFonts w:cs="Times New Roman"/>
          <w:color w:val="000000" w:themeColor="text1"/>
          <w:sz w:val="20"/>
          <w:szCs w:val="20"/>
          <w:lang w:val="bg-BG"/>
        </w:rPr>
        <w:t xml:space="preserve"> </w:t>
      </w:r>
    </w:p>
  </w:footnote>
  <w:footnote w:id="174">
    <w:p w14:paraId="526B2524" w14:textId="4EA67539" w:rsidR="00C717D0" w:rsidRPr="00FD37F6" w:rsidRDefault="00C717D0" w:rsidP="00F00BE8">
      <w:pPr>
        <w:pStyle w:val="FootnoteText"/>
        <w:spacing w:after="20"/>
        <w:rPr>
          <w:rStyle w:val="FootnoteReference"/>
          <w:rFonts w:cs="Times New Roman"/>
          <w:sz w:val="20"/>
          <w:szCs w:val="20"/>
          <w:vertAlign w:val="baseline"/>
          <w:lang w:val="bg-BG"/>
        </w:rPr>
      </w:pPr>
      <w:r w:rsidRPr="00FD37F6">
        <w:rPr>
          <w:rStyle w:val="FootnoteReference"/>
          <w:rFonts w:cs="Times New Roman"/>
          <w:sz w:val="20"/>
          <w:szCs w:val="20"/>
        </w:rPr>
        <w:footnoteRef/>
      </w:r>
      <w:r w:rsidRPr="00FD37F6">
        <w:rPr>
          <w:rFonts w:cs="Times New Roman"/>
          <w:sz w:val="20"/>
          <w:szCs w:val="20"/>
          <w:lang w:val="bg-BG"/>
        </w:rPr>
        <w:t xml:space="preserve"> По експертна оценка съотношение 35/47/18 съответно за Варианти № 1, 2 и 3 и резултати</w:t>
      </w:r>
      <w:r w:rsidRPr="00FD37F6">
        <w:rPr>
          <w:rStyle w:val="FootnoteReference"/>
          <w:rFonts w:cs="Times New Roman"/>
          <w:sz w:val="20"/>
          <w:szCs w:val="20"/>
          <w:lang w:val="bg-BG"/>
        </w:rPr>
        <w:t xml:space="preserve"> </w:t>
      </w:r>
      <w:r w:rsidRPr="00FD37F6">
        <w:rPr>
          <w:rStyle w:val="FootnoteReference"/>
          <w:rFonts w:cs="Times New Roman"/>
          <w:sz w:val="20"/>
          <w:szCs w:val="20"/>
          <w:vertAlign w:val="baseline"/>
          <w:lang w:val="bg-BG"/>
        </w:rPr>
        <w:t xml:space="preserve">от анкетното проучване </w:t>
      </w:r>
      <w:r w:rsidRPr="00FD37F6">
        <w:rPr>
          <w:rFonts w:cs="Times New Roman"/>
          <w:sz w:val="20"/>
          <w:szCs w:val="20"/>
          <w:lang w:val="bg-BG"/>
        </w:rPr>
        <w:t>34/17/49 в полза на последния вариант.</w:t>
      </w:r>
    </w:p>
  </w:footnote>
  <w:footnote w:id="175">
    <w:p w14:paraId="711854B6" w14:textId="2B786F6F"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Бургаски корабостроителници са отписани от Търговския регистър на 30 юни 2020 г. и не съществуват като юридическо лице. </w:t>
      </w:r>
      <w:hyperlink r:id="rId197" w:history="1">
        <w:r w:rsidRPr="00FD37F6">
          <w:rPr>
            <w:rStyle w:val="Hyperlink"/>
            <w:rFonts w:cs="Times New Roman"/>
            <w:sz w:val="20"/>
            <w:szCs w:val="20"/>
            <w:lang w:val="bg-BG"/>
          </w:rPr>
          <w:t>https://seenews.com/companies/company_profile/burgaski-korabostroitelnitsi-ad-non-existent-2835</w:t>
        </w:r>
      </w:hyperlink>
      <w:r w:rsidRPr="00FD37F6">
        <w:rPr>
          <w:rFonts w:cs="Times New Roman"/>
          <w:sz w:val="20"/>
          <w:szCs w:val="20"/>
          <w:lang w:val="bg-BG"/>
        </w:rPr>
        <w:t xml:space="preserve"> </w:t>
      </w:r>
    </w:p>
  </w:footnote>
  <w:footnote w:id="176">
    <w:p w14:paraId="755C4E99" w14:textId="0AD66A1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9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eufunds</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sites</w:t>
        </w:r>
        <w:r w:rsidRPr="00FD37F6">
          <w:rPr>
            <w:rStyle w:val="Hyperlink"/>
            <w:rFonts w:cs="Times New Roman"/>
            <w:sz w:val="20"/>
            <w:szCs w:val="20"/>
            <w:lang w:val="bg-BG"/>
          </w:rPr>
          <w:t>/</w:t>
        </w:r>
        <w:r w:rsidRPr="00FD37F6">
          <w:rPr>
            <w:rStyle w:val="Hyperlink"/>
            <w:rFonts w:cs="Times New Roman"/>
            <w:sz w:val="20"/>
            <w:szCs w:val="20"/>
          </w:rPr>
          <w:t>default</w:t>
        </w:r>
        <w:r w:rsidRPr="00FD37F6">
          <w:rPr>
            <w:rStyle w:val="Hyperlink"/>
            <w:rFonts w:cs="Times New Roman"/>
            <w:sz w:val="20"/>
            <w:szCs w:val="20"/>
            <w:lang w:val="bg-BG"/>
          </w:rPr>
          <w:t>/</w:t>
        </w:r>
        <w:r w:rsidRPr="00FD37F6">
          <w:rPr>
            <w:rStyle w:val="Hyperlink"/>
            <w:rFonts w:cs="Times New Roman"/>
            <w:sz w:val="20"/>
            <w:szCs w:val="20"/>
          </w:rPr>
          <w:t>files</w:t>
        </w:r>
        <w:r w:rsidRPr="00FD37F6">
          <w:rPr>
            <w:rStyle w:val="Hyperlink"/>
            <w:rFonts w:cs="Times New Roman"/>
            <w:sz w:val="20"/>
            <w:szCs w:val="20"/>
            <w:lang w:val="bg-BG"/>
          </w:rPr>
          <w:t>/</w:t>
        </w:r>
        <w:r w:rsidRPr="00FD37F6">
          <w:rPr>
            <w:rStyle w:val="Hyperlink"/>
            <w:rFonts w:cs="Times New Roman"/>
            <w:sz w:val="20"/>
            <w:szCs w:val="20"/>
          </w:rPr>
          <w:t>uploads</w:t>
        </w:r>
        <w:r w:rsidRPr="00FD37F6">
          <w:rPr>
            <w:rStyle w:val="Hyperlink"/>
            <w:rFonts w:cs="Times New Roman"/>
            <w:sz w:val="20"/>
            <w:szCs w:val="20"/>
            <w:lang w:val="bg-BG"/>
          </w:rPr>
          <w:t>/</w:t>
        </w:r>
        <w:r w:rsidRPr="00FD37F6">
          <w:rPr>
            <w:rStyle w:val="Hyperlink"/>
            <w:rFonts w:cs="Times New Roman"/>
            <w:sz w:val="20"/>
            <w:szCs w:val="20"/>
          </w:rPr>
          <w:t>pmdr</w:t>
        </w:r>
        <w:r w:rsidRPr="00FD37F6">
          <w:rPr>
            <w:rStyle w:val="Hyperlink"/>
            <w:rFonts w:cs="Times New Roman"/>
            <w:sz w:val="20"/>
            <w:szCs w:val="20"/>
            <w:lang w:val="bg-BG"/>
          </w:rPr>
          <w:t>/</w:t>
        </w:r>
        <w:r w:rsidRPr="00FD37F6">
          <w:rPr>
            <w:rStyle w:val="Hyperlink"/>
            <w:rFonts w:cs="Times New Roman"/>
            <w:sz w:val="20"/>
            <w:szCs w:val="20"/>
          </w:rPr>
          <w:t>docs</w:t>
        </w:r>
        <w:r w:rsidRPr="00FD37F6">
          <w:rPr>
            <w:rStyle w:val="Hyperlink"/>
            <w:rFonts w:cs="Times New Roman"/>
            <w:sz w:val="20"/>
            <w:szCs w:val="20"/>
            <w:lang w:val="bg-BG"/>
          </w:rPr>
          <w:t>/2020-07/</w:t>
        </w:r>
        <w:r w:rsidRPr="00FD37F6">
          <w:rPr>
            <w:rStyle w:val="Hyperlink"/>
            <w:rFonts w:cs="Times New Roman"/>
            <w:sz w:val="20"/>
            <w:szCs w:val="20"/>
          </w:rPr>
          <w:t>Final</w:t>
        </w:r>
        <w:r w:rsidRPr="00FD37F6">
          <w:rPr>
            <w:rStyle w:val="Hyperlink"/>
            <w:rFonts w:cs="Times New Roman"/>
            <w:sz w:val="20"/>
            <w:szCs w:val="20"/>
            <w:lang w:val="bg-BG"/>
          </w:rPr>
          <w:t>%20</w:t>
        </w:r>
        <w:r w:rsidRPr="00FD37F6">
          <w:rPr>
            <w:rStyle w:val="Hyperlink"/>
            <w:rFonts w:cs="Times New Roman"/>
            <w:sz w:val="20"/>
            <w:szCs w:val="20"/>
          </w:rPr>
          <w:t>Draft</w:t>
        </w:r>
        <w:r w:rsidRPr="00FD37F6">
          <w:rPr>
            <w:rStyle w:val="Hyperlink"/>
            <w:rFonts w:cs="Times New Roman"/>
            <w:sz w:val="20"/>
            <w:szCs w:val="20"/>
            <w:lang w:val="bg-BG"/>
          </w:rPr>
          <w:t>%20</w:t>
        </w:r>
        <w:r w:rsidRPr="00FD37F6">
          <w:rPr>
            <w:rStyle w:val="Hyperlink"/>
            <w:rFonts w:cs="Times New Roman"/>
            <w:sz w:val="20"/>
            <w:szCs w:val="20"/>
          </w:rPr>
          <w:t>Analysis</w:t>
        </w:r>
        <w:r w:rsidRPr="00FD37F6">
          <w:rPr>
            <w:rStyle w:val="Hyperlink"/>
            <w:rFonts w:cs="Times New Roman"/>
            <w:sz w:val="20"/>
            <w:szCs w:val="20"/>
            <w:lang w:val="bg-BG"/>
          </w:rPr>
          <w:t>%20</w:t>
        </w:r>
        <w:r w:rsidRPr="00FD37F6">
          <w:rPr>
            <w:rStyle w:val="Hyperlink"/>
            <w:rFonts w:cs="Times New Roman"/>
            <w:sz w:val="20"/>
            <w:szCs w:val="20"/>
          </w:rPr>
          <w:t>All</w:t>
        </w:r>
        <w:r w:rsidRPr="00FD37F6">
          <w:rPr>
            <w:rStyle w:val="Hyperlink"/>
            <w:rFonts w:cs="Times New Roman"/>
            <w:sz w:val="20"/>
            <w:szCs w:val="20"/>
            <w:lang w:val="bg-BG"/>
          </w:rPr>
          <w:t>%2030062020.</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77">
    <w:p w14:paraId="1A8A8F70" w14:textId="79067B85"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199"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mi</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themes</w:t>
        </w:r>
        <w:r w:rsidRPr="00FD37F6">
          <w:rPr>
            <w:rStyle w:val="Hyperlink"/>
            <w:rFonts w:cs="Times New Roman"/>
            <w:sz w:val="20"/>
            <w:szCs w:val="20"/>
            <w:lang w:val="bg-BG"/>
          </w:rPr>
          <w:t>/</w:t>
        </w:r>
        <w:r w:rsidRPr="00FD37F6">
          <w:rPr>
            <w:rStyle w:val="Hyperlink"/>
            <w:rFonts w:cs="Times New Roman"/>
            <w:sz w:val="20"/>
            <w:szCs w:val="20"/>
          </w:rPr>
          <w:t>inovacionna</w:t>
        </w:r>
        <w:r w:rsidRPr="00FD37F6">
          <w:rPr>
            <w:rStyle w:val="Hyperlink"/>
            <w:rFonts w:cs="Times New Roman"/>
            <w:sz w:val="20"/>
            <w:szCs w:val="20"/>
            <w:lang w:val="bg-BG"/>
          </w:rPr>
          <w:t>-</w:t>
        </w:r>
        <w:r w:rsidRPr="00FD37F6">
          <w:rPr>
            <w:rStyle w:val="Hyperlink"/>
            <w:rFonts w:cs="Times New Roman"/>
            <w:sz w:val="20"/>
            <w:szCs w:val="20"/>
          </w:rPr>
          <w:t>strategiya</w:t>
        </w:r>
        <w:r w:rsidRPr="00FD37F6">
          <w:rPr>
            <w:rStyle w:val="Hyperlink"/>
            <w:rFonts w:cs="Times New Roman"/>
            <w:sz w:val="20"/>
            <w:szCs w:val="20"/>
            <w:lang w:val="bg-BG"/>
          </w:rPr>
          <w:t>-</w:t>
        </w:r>
        <w:r w:rsidRPr="00FD37F6">
          <w:rPr>
            <w:rStyle w:val="Hyperlink"/>
            <w:rFonts w:cs="Times New Roman"/>
            <w:sz w:val="20"/>
            <w:szCs w:val="20"/>
          </w:rPr>
          <w:t>za</w:t>
        </w:r>
        <w:r w:rsidRPr="00FD37F6">
          <w:rPr>
            <w:rStyle w:val="Hyperlink"/>
            <w:rFonts w:cs="Times New Roman"/>
            <w:sz w:val="20"/>
            <w:szCs w:val="20"/>
            <w:lang w:val="bg-BG"/>
          </w:rPr>
          <w:t>-</w:t>
        </w:r>
        <w:r w:rsidRPr="00FD37F6">
          <w:rPr>
            <w:rStyle w:val="Hyperlink"/>
            <w:rFonts w:cs="Times New Roman"/>
            <w:sz w:val="20"/>
            <w:szCs w:val="20"/>
          </w:rPr>
          <w:t>inteligentna</w:t>
        </w:r>
        <w:r w:rsidRPr="00FD37F6">
          <w:rPr>
            <w:rStyle w:val="Hyperlink"/>
            <w:rFonts w:cs="Times New Roman"/>
            <w:sz w:val="20"/>
            <w:szCs w:val="20"/>
            <w:lang w:val="bg-BG"/>
          </w:rPr>
          <w:t>-</w:t>
        </w:r>
        <w:r w:rsidRPr="00FD37F6">
          <w:rPr>
            <w:rStyle w:val="Hyperlink"/>
            <w:rFonts w:cs="Times New Roman"/>
            <w:sz w:val="20"/>
            <w:szCs w:val="20"/>
          </w:rPr>
          <w:t>specializaciya</w:t>
        </w:r>
        <w:r w:rsidRPr="00FD37F6">
          <w:rPr>
            <w:rStyle w:val="Hyperlink"/>
            <w:rFonts w:cs="Times New Roman"/>
            <w:sz w:val="20"/>
            <w:szCs w:val="20"/>
            <w:lang w:val="bg-BG"/>
          </w:rPr>
          <w:t>-</w:t>
        </w:r>
        <w:r w:rsidRPr="00FD37F6">
          <w:rPr>
            <w:rStyle w:val="Hyperlink"/>
            <w:rFonts w:cs="Times New Roman"/>
            <w:sz w:val="20"/>
            <w:szCs w:val="20"/>
          </w:rPr>
          <w:t>na</w:t>
        </w:r>
        <w:r w:rsidRPr="00FD37F6">
          <w:rPr>
            <w:rStyle w:val="Hyperlink"/>
            <w:rFonts w:cs="Times New Roman"/>
            <w:sz w:val="20"/>
            <w:szCs w:val="20"/>
            <w:lang w:val="bg-BG"/>
          </w:rPr>
          <w:t>-</w:t>
        </w:r>
        <w:r w:rsidRPr="00FD37F6">
          <w:rPr>
            <w:rStyle w:val="Hyperlink"/>
            <w:rFonts w:cs="Times New Roman"/>
            <w:sz w:val="20"/>
            <w:szCs w:val="20"/>
          </w:rPr>
          <w:t>republika</w:t>
        </w:r>
        <w:r w:rsidRPr="00FD37F6">
          <w:rPr>
            <w:rStyle w:val="Hyperlink"/>
            <w:rFonts w:cs="Times New Roman"/>
            <w:sz w:val="20"/>
            <w:szCs w:val="20"/>
            <w:lang w:val="bg-BG"/>
          </w:rPr>
          <w:t>-</w:t>
        </w:r>
        <w:r w:rsidRPr="00FD37F6">
          <w:rPr>
            <w:rStyle w:val="Hyperlink"/>
            <w:rFonts w:cs="Times New Roman"/>
            <w:sz w:val="20"/>
            <w:szCs w:val="20"/>
          </w:rPr>
          <w:t>balgariya</w:t>
        </w:r>
        <w:r w:rsidRPr="00FD37F6">
          <w:rPr>
            <w:rStyle w:val="Hyperlink"/>
            <w:rFonts w:cs="Times New Roman"/>
            <w:sz w:val="20"/>
            <w:szCs w:val="20"/>
            <w:lang w:val="bg-BG"/>
          </w:rPr>
          <w:t>-2014-2020-</w:t>
        </w:r>
        <w:r w:rsidRPr="00FD37F6">
          <w:rPr>
            <w:rStyle w:val="Hyperlink"/>
            <w:rFonts w:cs="Times New Roman"/>
            <w:sz w:val="20"/>
            <w:szCs w:val="20"/>
          </w:rPr>
          <w:t>g</w:t>
        </w:r>
        <w:r w:rsidRPr="00FD37F6">
          <w:rPr>
            <w:rStyle w:val="Hyperlink"/>
            <w:rFonts w:cs="Times New Roman"/>
            <w:sz w:val="20"/>
            <w:szCs w:val="20"/>
            <w:lang w:val="bg-BG"/>
          </w:rPr>
          <w:t>-1806-287.</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178">
    <w:p w14:paraId="5CA92C13" w14:textId="154E8F03"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00"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strategy</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StrategicDocuments</w:t>
        </w:r>
        <w:r w:rsidRPr="00FD37F6">
          <w:rPr>
            <w:rStyle w:val="Hyperlink"/>
            <w:rFonts w:cs="Times New Roman"/>
            <w:sz w:val="20"/>
            <w:szCs w:val="20"/>
            <w:lang w:val="bg-BG"/>
          </w:rPr>
          <w:t>/</w:t>
        </w:r>
        <w:r w:rsidRPr="00FD37F6">
          <w:rPr>
            <w:rStyle w:val="Hyperlink"/>
            <w:rFonts w:cs="Times New Roman"/>
            <w:sz w:val="20"/>
            <w:szCs w:val="20"/>
          </w:rPr>
          <w:t>View</w:t>
        </w:r>
        <w:r w:rsidRPr="00FD37F6">
          <w:rPr>
            <w:rStyle w:val="Hyperlink"/>
            <w:rFonts w:cs="Times New Roman"/>
            <w:sz w:val="20"/>
            <w:szCs w:val="20"/>
            <w:lang w:val="bg-BG"/>
          </w:rPr>
          <w:t>.</w:t>
        </w:r>
        <w:r w:rsidRPr="00FD37F6">
          <w:rPr>
            <w:rStyle w:val="Hyperlink"/>
            <w:rFonts w:cs="Times New Roman"/>
            <w:sz w:val="20"/>
            <w:szCs w:val="20"/>
          </w:rPr>
          <w:t>aspx</w:t>
        </w:r>
        <w:r w:rsidRPr="00FD37F6">
          <w:rPr>
            <w:rStyle w:val="Hyperlink"/>
            <w:rFonts w:cs="Times New Roman"/>
            <w:sz w:val="20"/>
            <w:szCs w:val="20"/>
            <w:lang w:val="bg-BG"/>
          </w:rPr>
          <w:t>?</w:t>
        </w:r>
        <w:r w:rsidRPr="00FD37F6">
          <w:rPr>
            <w:rStyle w:val="Hyperlink"/>
            <w:rFonts w:cs="Times New Roman"/>
            <w:sz w:val="20"/>
            <w:szCs w:val="20"/>
          </w:rPr>
          <w:t>lang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&amp;</w:t>
        </w:r>
        <w:r w:rsidRPr="00FD37F6">
          <w:rPr>
            <w:rStyle w:val="Hyperlink"/>
            <w:rFonts w:cs="Times New Roman"/>
            <w:sz w:val="20"/>
            <w:szCs w:val="20"/>
          </w:rPr>
          <w:t>Id</w:t>
        </w:r>
        <w:r w:rsidRPr="00FD37F6">
          <w:rPr>
            <w:rStyle w:val="Hyperlink"/>
            <w:rFonts w:cs="Times New Roman"/>
            <w:sz w:val="20"/>
            <w:szCs w:val="20"/>
            <w:lang w:val="bg-BG"/>
          </w:rPr>
          <w:t>=1231</w:t>
        </w:r>
      </w:hyperlink>
      <w:r w:rsidRPr="00FD37F6">
        <w:rPr>
          <w:rFonts w:cs="Times New Roman"/>
          <w:sz w:val="20"/>
          <w:szCs w:val="20"/>
          <w:lang w:val="bg-BG"/>
        </w:rPr>
        <w:t xml:space="preserve"> </w:t>
      </w:r>
    </w:p>
  </w:footnote>
  <w:footnote w:id="179">
    <w:p w14:paraId="7BE1B7A1" w14:textId="7B3BEE6F" w:rsidR="00C717D0" w:rsidRPr="00FD37F6" w:rsidRDefault="00C717D0" w:rsidP="00140F67">
      <w:pPr>
        <w:pStyle w:val="FootnoteText"/>
        <w:spacing w:after="20"/>
        <w:ind w:right="-612"/>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rPr>
        <w:t xml:space="preserve"> </w:t>
      </w:r>
      <w:r w:rsidRPr="00FD37F6">
        <w:rPr>
          <w:rFonts w:cs="Times New Roman"/>
          <w:sz w:val="20"/>
          <w:szCs w:val="20"/>
          <w:lang w:val="en-US"/>
        </w:rPr>
        <w:t>Jacobs, J.</w:t>
      </w:r>
      <w:r w:rsidRPr="00FD37F6">
        <w:rPr>
          <w:rFonts w:cs="Times New Roman"/>
          <w:sz w:val="20"/>
          <w:szCs w:val="20"/>
          <w:lang w:val="bg-BG"/>
        </w:rPr>
        <w:t xml:space="preserve"> 1961</w:t>
      </w:r>
      <w:r w:rsidRPr="00FD37F6">
        <w:rPr>
          <w:rFonts w:cs="Times New Roman"/>
          <w:sz w:val="20"/>
          <w:szCs w:val="20"/>
          <w:lang w:val="en-US"/>
        </w:rPr>
        <w:t xml:space="preserve">. The Death and Life of Great American Cities. </w:t>
      </w:r>
      <w:hyperlink r:id="rId201" w:history="1">
        <w:r w:rsidRPr="00FD37F6">
          <w:rPr>
            <w:rStyle w:val="Hyperlink"/>
            <w:rFonts w:cs="Times New Roman"/>
            <w:sz w:val="20"/>
            <w:szCs w:val="20"/>
            <w:lang w:val="en-US"/>
          </w:rPr>
          <w:t>https://www.buurtwijs.nl/sites/default/files/buurtwijs/bestanden/jane_jacobs_the_death_and_life_of_great_american.pdf</w:t>
        </w:r>
      </w:hyperlink>
      <w:r w:rsidRPr="00FD37F6">
        <w:rPr>
          <w:rFonts w:cs="Times New Roman"/>
          <w:sz w:val="20"/>
          <w:szCs w:val="20"/>
          <w:lang w:val="bg-BG"/>
        </w:rPr>
        <w:t xml:space="preserve"> </w:t>
      </w:r>
    </w:p>
  </w:footnote>
  <w:footnote w:id="180">
    <w:p w14:paraId="4CB2BDF0" w14:textId="7BC76ECE" w:rsidR="00C717D0" w:rsidRPr="00FD37F6" w:rsidRDefault="00C717D0" w:rsidP="00140F67">
      <w:pPr>
        <w:pStyle w:val="FootnoteText"/>
        <w:spacing w:after="20"/>
        <w:ind w:right="-896"/>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02" w:history="1">
        <w:r w:rsidRPr="00FD37F6">
          <w:rPr>
            <w:rFonts w:eastAsiaTheme="minorHAnsi" w:cs="Times New Roman"/>
            <w:color w:val="0000FF"/>
            <w:sz w:val="20"/>
            <w:szCs w:val="20"/>
            <w:u w:val="single"/>
            <w:lang w:eastAsia="en-US" w:bidi="ar-SA"/>
          </w:rPr>
          <w:t>http</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www</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blacksea</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commission</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org</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Official</w:t>
        </w:r>
        <w:r w:rsidRPr="00FD37F6">
          <w:rPr>
            <w:rFonts w:eastAsiaTheme="minorHAnsi" w:cs="Times New Roman"/>
            <w:color w:val="0000FF"/>
            <w:sz w:val="20"/>
            <w:szCs w:val="20"/>
            <w:u w:val="single"/>
            <w:lang w:val="bg-BG" w:eastAsia="en-US" w:bidi="ar-SA"/>
          </w:rPr>
          <w:t>%20</w:t>
        </w:r>
        <w:r w:rsidRPr="00FD37F6">
          <w:rPr>
            <w:rFonts w:eastAsiaTheme="minorHAnsi" w:cs="Times New Roman"/>
            <w:color w:val="0000FF"/>
            <w:sz w:val="20"/>
            <w:szCs w:val="20"/>
            <w:u w:val="single"/>
            <w:lang w:eastAsia="en-US" w:bidi="ar-SA"/>
          </w:rPr>
          <w:t>Documents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Black</w:t>
        </w:r>
        <w:r w:rsidRPr="00FD37F6">
          <w:rPr>
            <w:rFonts w:eastAsiaTheme="minorHAnsi" w:cs="Times New Roman"/>
            <w:color w:val="0000FF"/>
            <w:sz w:val="20"/>
            <w:szCs w:val="20"/>
            <w:u w:val="single"/>
            <w:lang w:val="bg-BG" w:eastAsia="en-US" w:bidi="ar-SA"/>
          </w:rPr>
          <w:t>%20</w:t>
        </w:r>
        <w:r w:rsidRPr="00FD37F6">
          <w:rPr>
            <w:rFonts w:eastAsiaTheme="minorHAnsi" w:cs="Times New Roman"/>
            <w:color w:val="0000FF"/>
            <w:sz w:val="20"/>
            <w:szCs w:val="20"/>
            <w:u w:val="single"/>
            <w:lang w:eastAsia="en-US" w:bidi="ar-SA"/>
          </w:rPr>
          <w:t>Sea</w:t>
        </w:r>
        <w:r w:rsidRPr="00FD37F6">
          <w:rPr>
            <w:rFonts w:eastAsiaTheme="minorHAnsi" w:cs="Times New Roman"/>
            <w:color w:val="0000FF"/>
            <w:sz w:val="20"/>
            <w:szCs w:val="20"/>
            <w:u w:val="single"/>
            <w:lang w:val="bg-BG" w:eastAsia="en-US" w:bidi="ar-SA"/>
          </w:rPr>
          <w:t>%20</w:t>
        </w:r>
        <w:r w:rsidRPr="00FD37F6">
          <w:rPr>
            <w:rFonts w:eastAsiaTheme="minorHAnsi" w:cs="Times New Roman"/>
            <w:color w:val="0000FF"/>
            <w:sz w:val="20"/>
            <w:szCs w:val="20"/>
            <w:u w:val="single"/>
            <w:lang w:eastAsia="en-US" w:bidi="ar-SA"/>
          </w:rPr>
          <w:t>Strategic</w:t>
        </w:r>
        <w:r w:rsidRPr="00FD37F6">
          <w:rPr>
            <w:rFonts w:eastAsiaTheme="minorHAnsi" w:cs="Times New Roman"/>
            <w:color w:val="0000FF"/>
            <w:sz w:val="20"/>
            <w:szCs w:val="20"/>
            <w:u w:val="single"/>
            <w:lang w:val="bg-BG" w:eastAsia="en-US" w:bidi="ar-SA"/>
          </w:rPr>
          <w:t>%20</w:t>
        </w:r>
        <w:r w:rsidRPr="00FD37F6">
          <w:rPr>
            <w:rFonts w:eastAsiaTheme="minorHAnsi" w:cs="Times New Roman"/>
            <w:color w:val="0000FF"/>
            <w:sz w:val="20"/>
            <w:szCs w:val="20"/>
            <w:u w:val="single"/>
            <w:lang w:eastAsia="en-US" w:bidi="ar-SA"/>
          </w:rPr>
          <w:t>Action</w:t>
        </w:r>
        <w:r w:rsidRPr="00FD37F6">
          <w:rPr>
            <w:rFonts w:eastAsiaTheme="minorHAnsi" w:cs="Times New Roman"/>
            <w:color w:val="0000FF"/>
            <w:sz w:val="20"/>
            <w:szCs w:val="20"/>
            <w:u w:val="single"/>
            <w:lang w:val="bg-BG" w:eastAsia="en-US" w:bidi="ar-SA"/>
          </w:rPr>
          <w:t>%20</w:t>
        </w:r>
        <w:r w:rsidRPr="00FD37F6">
          <w:rPr>
            <w:rFonts w:eastAsiaTheme="minorHAnsi" w:cs="Times New Roman"/>
            <w:color w:val="0000FF"/>
            <w:sz w:val="20"/>
            <w:szCs w:val="20"/>
            <w:u w:val="single"/>
            <w:lang w:eastAsia="en-US" w:bidi="ar-SA"/>
          </w:rPr>
          <w:t>Plan</w:t>
        </w:r>
        <w:r w:rsidRPr="00FD37F6">
          <w:rPr>
            <w:rFonts w:eastAsiaTheme="minorHAnsi" w:cs="Times New Roman"/>
            <w:color w:val="0000FF"/>
            <w:sz w:val="20"/>
            <w:szCs w:val="20"/>
            <w:u w:val="single"/>
            <w:lang w:val="bg-BG" w:eastAsia="en-US" w:bidi="ar-SA"/>
          </w:rPr>
          <w:t>%202009/</w:t>
        </w:r>
      </w:hyperlink>
    </w:p>
  </w:footnote>
  <w:footnote w:id="181">
    <w:p w14:paraId="0EEA8FF3" w14:textId="442029B5"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lang w:val="bg-BG"/>
        </w:rPr>
        <w:footnoteRef/>
      </w:r>
      <w:r w:rsidRPr="00FD37F6">
        <w:rPr>
          <w:rFonts w:cs="Times New Roman"/>
          <w:sz w:val="20"/>
          <w:szCs w:val="20"/>
          <w:lang w:val="bg-BG"/>
        </w:rPr>
        <w:t xml:space="preserve"> Ратифицирана с Указ № 461 от 6 март 1975 г. На Държавния съвет на Народна Република България, ДВ бр. 22 от 1975 г. В сила от 15 юни 1977 г.</w:t>
      </w:r>
    </w:p>
  </w:footnote>
  <w:footnote w:id="182">
    <w:p w14:paraId="57A12069" w14:textId="4BD201E2"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lang w:val="bg-BG"/>
        </w:rPr>
        <w:footnoteRef/>
      </w:r>
      <w:r w:rsidRPr="00FD37F6">
        <w:rPr>
          <w:rFonts w:cs="Times New Roman"/>
          <w:sz w:val="20"/>
          <w:szCs w:val="20"/>
          <w:lang w:val="bg-BG"/>
        </w:rPr>
        <w:t xml:space="preserve"> Наредба за изискванията за предотвратяване на аварии при търсене и проучване или проучване, или добив на подземни богатства – нефт и природен газ, в териториалното море, континенталния шелф и в изключителната икономическа зона на Република България в Черно море, Обн. ДВ бр. 103/27.12.2016 г.</w:t>
      </w:r>
    </w:p>
  </w:footnote>
  <w:footnote w:id="183">
    <w:p w14:paraId="5B6552C1" w14:textId="1436500A"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Директива (ЕС) 2017/845 на Комисията от 17 май 2017 година за изменение на Директива 2008/56/ЕО на Европейския парламент и на Съвета по отношение на примерните списъци от елементи, които следва да се вземат предвид при подготовката на морски стратегии (Официален вестник на ЕС, </w:t>
      </w:r>
      <w:r w:rsidRPr="00FD37F6">
        <w:rPr>
          <w:rFonts w:cs="Times New Roman"/>
          <w:sz w:val="20"/>
          <w:szCs w:val="20"/>
        </w:rPr>
        <w:t>L</w:t>
      </w:r>
      <w:r w:rsidRPr="00FD37F6">
        <w:rPr>
          <w:rFonts w:cs="Times New Roman"/>
          <w:sz w:val="20"/>
          <w:szCs w:val="20"/>
          <w:lang w:val="bg-BG"/>
        </w:rPr>
        <w:t xml:space="preserve"> 125, с. 27).</w:t>
      </w:r>
    </w:p>
  </w:footnote>
  <w:footnote w:id="184">
    <w:p w14:paraId="5924A48E" w14:textId="6DFBB866" w:rsidR="00C717D0" w:rsidRPr="00FD37F6" w:rsidRDefault="00C717D0" w:rsidP="00F00BE8">
      <w:pPr>
        <w:pStyle w:val="FootnoteText"/>
        <w:spacing w:after="20"/>
        <w:rPr>
          <w:rFonts w:cs="Times New Roman"/>
          <w:sz w:val="20"/>
          <w:szCs w:val="20"/>
        </w:rPr>
      </w:pPr>
      <w:r w:rsidRPr="00FD37F6">
        <w:rPr>
          <w:rFonts w:cs="Times New Roman"/>
          <w:sz w:val="20"/>
          <w:szCs w:val="20"/>
          <w:vertAlign w:val="superscript"/>
        </w:rPr>
        <w:footnoteRef/>
      </w:r>
      <w:r w:rsidRPr="00FD37F6">
        <w:rPr>
          <w:rFonts w:cs="Times New Roman"/>
          <w:sz w:val="20"/>
          <w:szCs w:val="20"/>
        </w:rPr>
        <w:t xml:space="preserve"> Обн. ДВ. бр. 66</w:t>
      </w:r>
      <w:r w:rsidRPr="00FD37F6">
        <w:rPr>
          <w:rFonts w:cs="Times New Roman"/>
          <w:sz w:val="20"/>
          <w:szCs w:val="20"/>
          <w:lang w:val="bg-BG"/>
        </w:rPr>
        <w:t>/</w:t>
      </w:r>
      <w:r w:rsidRPr="00FD37F6">
        <w:rPr>
          <w:rFonts w:cs="Times New Roman"/>
          <w:sz w:val="20"/>
          <w:szCs w:val="20"/>
        </w:rPr>
        <w:t>25</w:t>
      </w:r>
      <w:r w:rsidRPr="00FD37F6">
        <w:rPr>
          <w:rFonts w:cs="Times New Roman"/>
          <w:sz w:val="20"/>
          <w:szCs w:val="20"/>
          <w:lang w:val="bg-BG"/>
        </w:rPr>
        <w:t>.07.</w:t>
      </w:r>
      <w:r w:rsidRPr="00FD37F6">
        <w:rPr>
          <w:rFonts w:cs="Times New Roman"/>
          <w:sz w:val="20"/>
          <w:szCs w:val="20"/>
        </w:rPr>
        <w:t>2003 г.</w:t>
      </w:r>
    </w:p>
  </w:footnote>
  <w:footnote w:id="185">
    <w:p w14:paraId="6DC9D1BF" w14:textId="24B4595F"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w:t>
      </w:r>
      <w:r w:rsidRPr="00FD37F6">
        <w:rPr>
          <w:rFonts w:cs="Times New Roman"/>
          <w:sz w:val="20"/>
          <w:szCs w:val="20"/>
        </w:rPr>
        <w:t xml:space="preserve">European Global Ocean Observation System: </w:t>
      </w:r>
      <w:hyperlink r:id="rId203" w:history="1">
        <w:r w:rsidRPr="00FD37F6">
          <w:rPr>
            <w:rStyle w:val="Hyperlink"/>
            <w:rFonts w:cs="Times New Roman"/>
            <w:sz w:val="20"/>
            <w:szCs w:val="20"/>
          </w:rPr>
          <w:t>http://eurogoos.eu/ferrybox-task-team/</w:t>
        </w:r>
      </w:hyperlink>
      <w:r w:rsidRPr="00FD37F6">
        <w:rPr>
          <w:rFonts w:cs="Times New Roman"/>
          <w:sz w:val="20"/>
          <w:szCs w:val="20"/>
          <w:lang w:val="bg-BG"/>
        </w:rPr>
        <w:t xml:space="preserve"> </w:t>
      </w:r>
    </w:p>
  </w:footnote>
  <w:footnote w:id="186">
    <w:p w14:paraId="72807762" w14:textId="2AFBDAD4"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vertAlign w:val="superscript"/>
          <w:lang w:val="bg-BG"/>
        </w:rPr>
        <w:t xml:space="preserve"> </w:t>
      </w:r>
      <w:r w:rsidRPr="00FD37F6">
        <w:rPr>
          <w:rFonts w:cs="Times New Roman"/>
          <w:sz w:val="20"/>
          <w:szCs w:val="20"/>
          <w:lang w:val="bg-BG"/>
        </w:rPr>
        <w:t xml:space="preserve">Програми за мониторинг по чл. 11 от РДМС: </w:t>
      </w:r>
      <w:hyperlink r:id="rId204"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lang w:val="en-US"/>
          </w:rPr>
          <w:t>www</w:t>
        </w:r>
        <w:r w:rsidRPr="00FD37F6">
          <w:rPr>
            <w:rStyle w:val="Hyperlink"/>
            <w:rFonts w:cs="Times New Roman"/>
            <w:sz w:val="20"/>
            <w:szCs w:val="20"/>
            <w:lang w:val="bg-BG"/>
          </w:rPr>
          <w:t>.</w:t>
        </w:r>
        <w:r w:rsidRPr="00FD37F6">
          <w:rPr>
            <w:rStyle w:val="Hyperlink"/>
            <w:rFonts w:cs="Times New Roman"/>
            <w:sz w:val="20"/>
            <w:szCs w:val="20"/>
          </w:rPr>
          <w:t>bsbd</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msfd</w:t>
        </w:r>
        <w:r w:rsidRPr="00FD37F6">
          <w:rPr>
            <w:rStyle w:val="Hyperlink"/>
            <w:rFonts w:cs="Times New Roman"/>
            <w:sz w:val="20"/>
            <w:szCs w:val="20"/>
            <w:lang w:val="bg-BG"/>
          </w:rPr>
          <w:t>_</w:t>
        </w:r>
        <w:r w:rsidRPr="00FD37F6">
          <w:rPr>
            <w:rStyle w:val="Hyperlink"/>
            <w:rFonts w:cs="Times New Roman"/>
            <w:sz w:val="20"/>
            <w:szCs w:val="20"/>
          </w:rPr>
          <w:t>monitoring</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187">
    <w:p w14:paraId="4570D320" w14:textId="5460A009"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Ползване на воден обект за други цели в Черно море: </w:t>
      </w:r>
      <w:r w:rsidRPr="00FD37F6">
        <w:rPr>
          <w:rFonts w:cs="Times New Roman"/>
          <w:sz w:val="20"/>
          <w:szCs w:val="20"/>
        </w:rPr>
        <w:t>https</w:t>
      </w:r>
      <w:r w:rsidRPr="00FD37F6">
        <w:rPr>
          <w:rFonts w:cs="Times New Roman"/>
          <w:sz w:val="20"/>
          <w:szCs w:val="20"/>
          <w:lang w:val="bg-BG"/>
        </w:rPr>
        <w:t>://</w:t>
      </w:r>
      <w:r w:rsidRPr="00FD37F6">
        <w:rPr>
          <w:rFonts w:cs="Times New Roman"/>
          <w:sz w:val="20"/>
          <w:szCs w:val="20"/>
        </w:rPr>
        <w:t>bsbd</w:t>
      </w:r>
      <w:r w:rsidRPr="00FD37F6">
        <w:rPr>
          <w:rFonts w:cs="Times New Roman"/>
          <w:sz w:val="20"/>
          <w:szCs w:val="20"/>
          <w:lang w:val="bg-BG"/>
        </w:rPr>
        <w:t>.</w:t>
      </w:r>
      <w:r w:rsidRPr="00FD37F6">
        <w:rPr>
          <w:rFonts w:cs="Times New Roman"/>
          <w:sz w:val="20"/>
          <w:szCs w:val="20"/>
        </w:rPr>
        <w:t>org</w:t>
      </w:r>
      <w:r w:rsidRPr="00FD37F6">
        <w:rPr>
          <w:rFonts w:cs="Times New Roman"/>
          <w:sz w:val="20"/>
          <w:szCs w:val="20"/>
          <w:lang w:val="bg-BG"/>
        </w:rPr>
        <w:t>/</w:t>
      </w:r>
      <w:r w:rsidRPr="00FD37F6">
        <w:rPr>
          <w:rFonts w:cs="Times New Roman"/>
          <w:sz w:val="20"/>
          <w:szCs w:val="20"/>
        </w:rPr>
        <w:t>bg</w:t>
      </w:r>
      <w:r w:rsidRPr="00FD37F6">
        <w:rPr>
          <w:rFonts w:cs="Times New Roman"/>
          <w:sz w:val="20"/>
          <w:szCs w:val="20"/>
          <w:lang w:val="bg-BG"/>
        </w:rPr>
        <w:t>/</w:t>
      </w:r>
      <w:r w:rsidRPr="00FD37F6">
        <w:rPr>
          <w:rFonts w:cs="Times New Roman"/>
          <w:sz w:val="20"/>
          <w:szCs w:val="20"/>
        </w:rPr>
        <w:t>register</w:t>
      </w:r>
      <w:r w:rsidRPr="00FD37F6">
        <w:rPr>
          <w:rFonts w:cs="Times New Roman"/>
          <w:sz w:val="20"/>
          <w:szCs w:val="20"/>
          <w:lang w:val="bg-BG"/>
        </w:rPr>
        <w:t>.</w:t>
      </w:r>
      <w:r w:rsidRPr="00FD37F6">
        <w:rPr>
          <w:rFonts w:cs="Times New Roman"/>
          <w:sz w:val="20"/>
          <w:szCs w:val="20"/>
        </w:rPr>
        <w:t>html</w:t>
      </w:r>
    </w:p>
  </w:footnote>
  <w:footnote w:id="188">
    <w:p w14:paraId="14605B74" w14:textId="18FB3895"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lang w:val="bg-BG"/>
        </w:rPr>
        <w:footnoteRef/>
      </w:r>
      <w:r w:rsidRPr="00FD37F6">
        <w:rPr>
          <w:rFonts w:cs="Times New Roman"/>
          <w:sz w:val="20"/>
          <w:szCs w:val="20"/>
          <w:lang w:val="bg-BG"/>
        </w:rPr>
        <w:t xml:space="preserve"> Наредба №1 от 11.04.2011 г. за мониторинг на водите, Обн. ДВ, бр. 34/29.04.2011 г.</w:t>
      </w:r>
    </w:p>
  </w:footnote>
  <w:footnote w:id="189">
    <w:p w14:paraId="4FA12909" w14:textId="7F2847C5" w:rsidR="00C717D0" w:rsidRPr="00FD37F6" w:rsidRDefault="00C717D0" w:rsidP="00F00BE8">
      <w:pPr>
        <w:pStyle w:val="FootnoteText"/>
        <w:spacing w:after="20"/>
        <w:rPr>
          <w:rFonts w:cs="Times New Roman"/>
          <w:sz w:val="20"/>
          <w:szCs w:val="20"/>
          <w:lang w:val="bg-BG"/>
        </w:rPr>
      </w:pPr>
      <w:r w:rsidRPr="00FD37F6">
        <w:rPr>
          <w:rFonts w:cs="Times New Roman"/>
          <w:sz w:val="20"/>
          <w:szCs w:val="20"/>
          <w:vertAlign w:val="superscript"/>
        </w:rPr>
        <w:footnoteRef/>
      </w:r>
      <w:r w:rsidRPr="00FD37F6">
        <w:rPr>
          <w:rFonts w:cs="Times New Roman"/>
          <w:sz w:val="20"/>
          <w:szCs w:val="20"/>
          <w:lang w:val="bg-BG"/>
        </w:rPr>
        <w:t xml:space="preserve"> Обн. ДВ. бр. 88/10.10.2008 г.</w:t>
      </w:r>
    </w:p>
  </w:footnote>
  <w:footnote w:id="190">
    <w:p w14:paraId="7B6B3F0E" w14:textId="5DF2044F"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133B13">
        <w:rPr>
          <w:rFonts w:cs="Times New Roman"/>
          <w:sz w:val="20"/>
          <w:szCs w:val="20"/>
          <w:lang w:val="bg-BG"/>
        </w:rPr>
        <w:t xml:space="preserve"> </w:t>
      </w:r>
      <w:hyperlink r:id="rId205" w:history="1">
        <w:r w:rsidRPr="00FD37F6">
          <w:rPr>
            <w:rStyle w:val="Hyperlink"/>
            <w:rFonts w:cs="Times New Roman"/>
            <w:sz w:val="20"/>
            <w:szCs w:val="20"/>
          </w:rPr>
          <w:t>https</w:t>
        </w:r>
        <w:r w:rsidRPr="00133B13">
          <w:rPr>
            <w:rStyle w:val="Hyperlink"/>
            <w:rFonts w:cs="Times New Roman"/>
            <w:sz w:val="20"/>
            <w:szCs w:val="20"/>
            <w:lang w:val="bg-BG"/>
          </w:rPr>
          <w:t>://</w:t>
        </w:r>
        <w:r w:rsidRPr="00FD37F6">
          <w:rPr>
            <w:rStyle w:val="Hyperlink"/>
            <w:rFonts w:cs="Times New Roman"/>
            <w:sz w:val="20"/>
            <w:szCs w:val="20"/>
          </w:rPr>
          <w:t>ec</w:t>
        </w:r>
        <w:r w:rsidRPr="00133B13">
          <w:rPr>
            <w:rStyle w:val="Hyperlink"/>
            <w:rFonts w:cs="Times New Roman"/>
            <w:sz w:val="20"/>
            <w:szCs w:val="20"/>
            <w:lang w:val="bg-BG"/>
          </w:rPr>
          <w:t>.</w:t>
        </w:r>
        <w:r w:rsidRPr="00FD37F6">
          <w:rPr>
            <w:rStyle w:val="Hyperlink"/>
            <w:rFonts w:cs="Times New Roman"/>
            <w:sz w:val="20"/>
            <w:szCs w:val="20"/>
          </w:rPr>
          <w:t>europa</w:t>
        </w:r>
        <w:r w:rsidRPr="00133B13">
          <w:rPr>
            <w:rStyle w:val="Hyperlink"/>
            <w:rFonts w:cs="Times New Roman"/>
            <w:sz w:val="20"/>
            <w:szCs w:val="20"/>
            <w:lang w:val="bg-BG"/>
          </w:rPr>
          <w:t>.</w:t>
        </w:r>
        <w:r w:rsidRPr="00FD37F6">
          <w:rPr>
            <w:rStyle w:val="Hyperlink"/>
            <w:rFonts w:cs="Times New Roman"/>
            <w:sz w:val="20"/>
            <w:szCs w:val="20"/>
          </w:rPr>
          <w:t>eu</w:t>
        </w:r>
        <w:r w:rsidRPr="00133B13">
          <w:rPr>
            <w:rStyle w:val="Hyperlink"/>
            <w:rFonts w:cs="Times New Roman"/>
            <w:sz w:val="20"/>
            <w:szCs w:val="20"/>
            <w:lang w:val="bg-BG"/>
          </w:rPr>
          <w:t>/</w:t>
        </w:r>
        <w:r w:rsidRPr="00FD37F6">
          <w:rPr>
            <w:rStyle w:val="Hyperlink"/>
            <w:rFonts w:cs="Times New Roman"/>
            <w:sz w:val="20"/>
            <w:szCs w:val="20"/>
          </w:rPr>
          <w:t>environment</w:t>
        </w:r>
        <w:r w:rsidRPr="00133B13">
          <w:rPr>
            <w:rStyle w:val="Hyperlink"/>
            <w:rFonts w:cs="Times New Roman"/>
            <w:sz w:val="20"/>
            <w:szCs w:val="20"/>
            <w:lang w:val="bg-BG"/>
          </w:rPr>
          <w:t>/</w:t>
        </w:r>
        <w:r w:rsidRPr="00FD37F6">
          <w:rPr>
            <w:rStyle w:val="Hyperlink"/>
            <w:rFonts w:cs="Times New Roman"/>
            <w:sz w:val="20"/>
            <w:szCs w:val="20"/>
          </w:rPr>
          <w:t>iczm</w:t>
        </w:r>
        <w:r w:rsidRPr="00133B13">
          <w:rPr>
            <w:rStyle w:val="Hyperlink"/>
            <w:rFonts w:cs="Times New Roman"/>
            <w:sz w:val="20"/>
            <w:szCs w:val="20"/>
            <w:lang w:val="bg-BG"/>
          </w:rPr>
          <w:t>/</w:t>
        </w:r>
        <w:r w:rsidRPr="00FD37F6">
          <w:rPr>
            <w:rStyle w:val="Hyperlink"/>
            <w:rFonts w:cs="Times New Roman"/>
            <w:sz w:val="20"/>
            <w:szCs w:val="20"/>
          </w:rPr>
          <w:t>pdf</w:t>
        </w:r>
        <w:r w:rsidRPr="00133B13">
          <w:rPr>
            <w:rStyle w:val="Hyperlink"/>
            <w:rFonts w:cs="Times New Roman"/>
            <w:sz w:val="20"/>
            <w:szCs w:val="20"/>
            <w:lang w:val="bg-BG"/>
          </w:rPr>
          <w:t>/</w:t>
        </w:r>
        <w:r w:rsidRPr="00FD37F6">
          <w:rPr>
            <w:rStyle w:val="Hyperlink"/>
            <w:rFonts w:cs="Times New Roman"/>
            <w:sz w:val="20"/>
            <w:szCs w:val="20"/>
          </w:rPr>
          <w:t>LSI</w:t>
        </w:r>
        <w:r w:rsidRPr="00133B13">
          <w:rPr>
            <w:rStyle w:val="Hyperlink"/>
            <w:rFonts w:cs="Times New Roman"/>
            <w:sz w:val="20"/>
            <w:szCs w:val="20"/>
            <w:lang w:val="bg-BG"/>
          </w:rPr>
          <w:t>_</w:t>
        </w:r>
        <w:r w:rsidRPr="00FD37F6">
          <w:rPr>
            <w:rStyle w:val="Hyperlink"/>
            <w:rFonts w:cs="Times New Roman"/>
            <w:sz w:val="20"/>
            <w:szCs w:val="20"/>
          </w:rPr>
          <w:t>FINAL</w:t>
        </w:r>
        <w:r w:rsidRPr="00133B13">
          <w:rPr>
            <w:rStyle w:val="Hyperlink"/>
            <w:rFonts w:cs="Times New Roman"/>
            <w:sz w:val="20"/>
            <w:szCs w:val="20"/>
            <w:lang w:val="bg-BG"/>
          </w:rPr>
          <w:t>20180417_</w:t>
        </w:r>
        <w:r w:rsidRPr="00FD37F6">
          <w:rPr>
            <w:rStyle w:val="Hyperlink"/>
            <w:rFonts w:cs="Times New Roman"/>
            <w:sz w:val="20"/>
            <w:szCs w:val="20"/>
          </w:rPr>
          <w:t>digital</w:t>
        </w:r>
        <w:r w:rsidRPr="00133B13">
          <w:rPr>
            <w:rStyle w:val="Hyperlink"/>
            <w:rFonts w:cs="Times New Roman"/>
            <w:sz w:val="20"/>
            <w:szCs w:val="20"/>
            <w:lang w:val="bg-BG"/>
          </w:rPr>
          <w:t>.</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91">
    <w:p w14:paraId="0F89CD32" w14:textId="0FB9A970"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06"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marsplan</w:t>
        </w:r>
        <w:r w:rsidRPr="00FD37F6">
          <w:rPr>
            <w:rStyle w:val="Hyperlink"/>
            <w:rFonts w:cs="Times New Roman"/>
            <w:sz w:val="20"/>
            <w:szCs w:val="20"/>
            <w:lang w:val="bg-BG"/>
          </w:rPr>
          <w:t>.</w:t>
        </w:r>
        <w:r w:rsidRPr="00FD37F6">
          <w:rPr>
            <w:rStyle w:val="Hyperlink"/>
            <w:rFonts w:cs="Times New Roman"/>
            <w:sz w:val="20"/>
            <w:szCs w:val="20"/>
          </w:rPr>
          <w:t>ro</w:t>
        </w:r>
        <w:r w:rsidRPr="00FD37F6">
          <w:rPr>
            <w:rStyle w:val="Hyperlink"/>
            <w:rFonts w:cs="Times New Roman"/>
            <w:sz w:val="20"/>
            <w:szCs w:val="20"/>
            <w:lang w:val="bg-BG"/>
          </w:rPr>
          <w:t>/</w:t>
        </w:r>
        <w:r w:rsidRPr="00FD37F6">
          <w:rPr>
            <w:rStyle w:val="Hyperlink"/>
            <w:rFonts w:cs="Times New Roman"/>
            <w:sz w:val="20"/>
            <w:szCs w:val="20"/>
          </w:rPr>
          <w:t>en</w:t>
        </w:r>
        <w:r w:rsidRPr="00FD37F6">
          <w:rPr>
            <w:rStyle w:val="Hyperlink"/>
            <w:rFonts w:cs="Times New Roman"/>
            <w:sz w:val="20"/>
            <w:szCs w:val="20"/>
            <w:lang w:val="bg-BG"/>
          </w:rPr>
          <w:t>/</w:t>
        </w:r>
        <w:r w:rsidRPr="00FD37F6">
          <w:rPr>
            <w:rStyle w:val="Hyperlink"/>
            <w:rFonts w:cs="Times New Roman"/>
            <w:sz w:val="20"/>
            <w:szCs w:val="20"/>
          </w:rPr>
          <w:t>results</w:t>
        </w:r>
        <w:r w:rsidRPr="00FD37F6">
          <w:rPr>
            <w:rStyle w:val="Hyperlink"/>
            <w:rFonts w:cs="Times New Roman"/>
            <w:sz w:val="20"/>
            <w:szCs w:val="20"/>
            <w:lang w:val="bg-BG"/>
          </w:rPr>
          <w:t>/</w:t>
        </w:r>
        <w:r w:rsidRPr="00FD37F6">
          <w:rPr>
            <w:rStyle w:val="Hyperlink"/>
            <w:rFonts w:cs="Times New Roman"/>
            <w:sz w:val="20"/>
            <w:szCs w:val="20"/>
          </w:rPr>
          <w:t>case</w:t>
        </w:r>
        <w:r w:rsidRPr="00FD37F6">
          <w:rPr>
            <w:rStyle w:val="Hyperlink"/>
            <w:rFonts w:cs="Times New Roman"/>
            <w:sz w:val="20"/>
            <w:szCs w:val="20"/>
            <w:lang w:val="bg-BG"/>
          </w:rPr>
          <w:t>-</w:t>
        </w:r>
        <w:r w:rsidRPr="00FD37F6">
          <w:rPr>
            <w:rStyle w:val="Hyperlink"/>
            <w:rFonts w:cs="Times New Roman"/>
            <w:sz w:val="20"/>
            <w:szCs w:val="20"/>
          </w:rPr>
          <w:t>study</w:t>
        </w:r>
        <w:r w:rsidRPr="00FD37F6">
          <w:rPr>
            <w:rStyle w:val="Hyperlink"/>
            <w:rFonts w:cs="Times New Roman"/>
            <w:sz w:val="20"/>
            <w:szCs w:val="20"/>
            <w:lang w:val="bg-BG"/>
          </w:rPr>
          <w:t>/432-</w:t>
        </w:r>
        <w:r w:rsidRPr="00FD37F6">
          <w:rPr>
            <w:rStyle w:val="Hyperlink"/>
            <w:rFonts w:cs="Times New Roman"/>
            <w:sz w:val="20"/>
            <w:szCs w:val="20"/>
          </w:rPr>
          <w:t>bourgas</w:t>
        </w:r>
        <w:r w:rsidRPr="00FD37F6">
          <w:rPr>
            <w:rStyle w:val="Hyperlink"/>
            <w:rFonts w:cs="Times New Roman"/>
            <w:sz w:val="20"/>
            <w:szCs w:val="20"/>
            <w:lang w:val="bg-BG"/>
          </w:rPr>
          <w:t>.</w:t>
        </w:r>
        <w:r w:rsidRPr="00FD37F6">
          <w:rPr>
            <w:rStyle w:val="Hyperlink"/>
            <w:rFonts w:cs="Times New Roman"/>
            <w:sz w:val="20"/>
            <w:szCs w:val="20"/>
          </w:rPr>
          <w:t>html</w:t>
        </w:r>
      </w:hyperlink>
      <w:r w:rsidRPr="00FD37F6">
        <w:rPr>
          <w:rFonts w:cs="Times New Roman"/>
          <w:sz w:val="20"/>
          <w:szCs w:val="20"/>
          <w:lang w:val="bg-BG"/>
        </w:rPr>
        <w:t xml:space="preserve"> </w:t>
      </w:r>
    </w:p>
  </w:footnote>
  <w:footnote w:id="192">
    <w:p w14:paraId="7D34D543" w14:textId="147BE501"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07" w:history="1">
        <w:r w:rsidRPr="00FD37F6">
          <w:rPr>
            <w:rFonts w:eastAsiaTheme="minorHAnsi" w:cs="Times New Roman"/>
            <w:color w:val="0000FF"/>
            <w:sz w:val="20"/>
            <w:szCs w:val="20"/>
            <w:u w:val="single"/>
            <w:lang w:eastAsia="en-US" w:bidi="ar-SA"/>
          </w:rPr>
          <w:t>https</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ec</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europa</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eu</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environment</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iczm</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pdf</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LSI</w:t>
        </w:r>
        <w:r w:rsidRPr="00FD37F6">
          <w:rPr>
            <w:rFonts w:eastAsiaTheme="minorHAnsi" w:cs="Times New Roman"/>
            <w:color w:val="0000FF"/>
            <w:sz w:val="20"/>
            <w:szCs w:val="20"/>
            <w:u w:val="single"/>
            <w:lang w:val="bg-BG" w:eastAsia="en-US" w:bidi="ar-SA"/>
          </w:rPr>
          <w:t>_</w:t>
        </w:r>
        <w:r w:rsidRPr="00FD37F6">
          <w:rPr>
            <w:rFonts w:eastAsiaTheme="minorHAnsi" w:cs="Times New Roman"/>
            <w:color w:val="0000FF"/>
            <w:sz w:val="20"/>
            <w:szCs w:val="20"/>
            <w:u w:val="single"/>
            <w:lang w:eastAsia="en-US" w:bidi="ar-SA"/>
          </w:rPr>
          <w:t>FINAL</w:t>
        </w:r>
        <w:r w:rsidRPr="00FD37F6">
          <w:rPr>
            <w:rFonts w:eastAsiaTheme="minorHAnsi" w:cs="Times New Roman"/>
            <w:color w:val="0000FF"/>
            <w:sz w:val="20"/>
            <w:szCs w:val="20"/>
            <w:u w:val="single"/>
            <w:lang w:val="bg-BG" w:eastAsia="en-US" w:bidi="ar-SA"/>
          </w:rPr>
          <w:t>20180417_</w:t>
        </w:r>
        <w:r w:rsidRPr="00FD37F6">
          <w:rPr>
            <w:rFonts w:eastAsiaTheme="minorHAnsi" w:cs="Times New Roman"/>
            <w:color w:val="0000FF"/>
            <w:sz w:val="20"/>
            <w:szCs w:val="20"/>
            <w:u w:val="single"/>
            <w:lang w:eastAsia="en-US" w:bidi="ar-SA"/>
          </w:rPr>
          <w:t>digital</w:t>
        </w:r>
        <w:r w:rsidRPr="00FD37F6">
          <w:rPr>
            <w:rFonts w:eastAsiaTheme="minorHAnsi" w:cs="Times New Roman"/>
            <w:color w:val="0000FF"/>
            <w:sz w:val="20"/>
            <w:szCs w:val="20"/>
            <w:u w:val="single"/>
            <w:lang w:val="bg-BG" w:eastAsia="en-US" w:bidi="ar-SA"/>
          </w:rPr>
          <w:t>.</w:t>
        </w:r>
        <w:r w:rsidRPr="00FD37F6">
          <w:rPr>
            <w:rFonts w:eastAsiaTheme="minorHAnsi" w:cs="Times New Roman"/>
            <w:color w:val="0000FF"/>
            <w:sz w:val="20"/>
            <w:szCs w:val="20"/>
            <w:u w:val="single"/>
            <w:lang w:eastAsia="en-US" w:bidi="ar-SA"/>
          </w:rPr>
          <w:t>pdf</w:t>
        </w:r>
      </w:hyperlink>
    </w:p>
  </w:footnote>
  <w:footnote w:id="193">
    <w:p w14:paraId="33398735" w14:textId="0666D3D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08"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balance</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xpdf</w:t>
        </w:r>
        <w:r w:rsidRPr="00FD37F6">
          <w:rPr>
            <w:rStyle w:val="Hyperlink"/>
            <w:rFonts w:cs="Times New Roman"/>
            <w:sz w:val="20"/>
            <w:szCs w:val="20"/>
            <w:lang w:val="bg-BG"/>
          </w:rPr>
          <w:t>/</w:t>
        </w:r>
        <w:r w:rsidRPr="00FD37F6">
          <w:rPr>
            <w:rStyle w:val="Hyperlink"/>
            <w:rFonts w:cs="Times New Roman"/>
            <w:sz w:val="20"/>
            <w:szCs w:val="20"/>
          </w:rPr>
          <w:t>balance</w:t>
        </w:r>
        <w:r w:rsidRPr="00FD37F6">
          <w:rPr>
            <w:rStyle w:val="Hyperlink"/>
            <w:rFonts w:cs="Times New Roman"/>
            <w:sz w:val="20"/>
            <w:szCs w:val="20"/>
            <w:lang w:val="bg-BG"/>
          </w:rPr>
          <w:t>-</w:t>
        </w:r>
        <w:r w:rsidRPr="00FD37F6">
          <w:rPr>
            <w:rStyle w:val="Hyperlink"/>
            <w:rFonts w:cs="Times New Roman"/>
            <w:sz w:val="20"/>
            <w:szCs w:val="20"/>
          </w:rPr>
          <w:t>technical</w:t>
        </w:r>
        <w:r w:rsidRPr="00FD37F6">
          <w:rPr>
            <w:rStyle w:val="Hyperlink"/>
            <w:rFonts w:cs="Times New Roman"/>
            <w:sz w:val="20"/>
            <w:szCs w:val="20"/>
            <w:lang w:val="bg-BG"/>
          </w:rPr>
          <w:t>-</w:t>
        </w:r>
        <w:r w:rsidRPr="00FD37F6">
          <w:rPr>
            <w:rStyle w:val="Hyperlink"/>
            <w:rFonts w:cs="Times New Roman"/>
            <w:sz w:val="20"/>
            <w:szCs w:val="20"/>
          </w:rPr>
          <w:t>summary</w:t>
        </w:r>
        <w:r w:rsidRPr="00FD37F6">
          <w:rPr>
            <w:rStyle w:val="Hyperlink"/>
            <w:rFonts w:cs="Times New Roman"/>
            <w:sz w:val="20"/>
            <w:szCs w:val="20"/>
            <w:lang w:val="bg-BG"/>
          </w:rPr>
          <w:t>-</w:t>
        </w:r>
        <w:r w:rsidRPr="00FD37F6">
          <w:rPr>
            <w:rStyle w:val="Hyperlink"/>
            <w:rFonts w:cs="Times New Roman"/>
            <w:sz w:val="20"/>
            <w:szCs w:val="20"/>
          </w:rPr>
          <w:t>report</w:t>
        </w:r>
        <w:r w:rsidRPr="00FD37F6">
          <w:rPr>
            <w:rStyle w:val="Hyperlink"/>
            <w:rFonts w:cs="Times New Roman"/>
            <w:sz w:val="20"/>
            <w:szCs w:val="20"/>
            <w:lang w:val="bg-BG"/>
          </w:rPr>
          <w:t>-</w:t>
        </w:r>
        <w:r w:rsidRPr="00FD37F6">
          <w:rPr>
            <w:rStyle w:val="Hyperlink"/>
            <w:rFonts w:cs="Times New Roman"/>
            <w:sz w:val="20"/>
            <w:szCs w:val="20"/>
          </w:rPr>
          <w:t>no</w:t>
        </w:r>
        <w:r w:rsidRPr="00FD37F6">
          <w:rPr>
            <w:rStyle w:val="Hyperlink"/>
            <w:rFonts w:cs="Times New Roman"/>
            <w:sz w:val="20"/>
            <w:szCs w:val="20"/>
            <w:lang w:val="bg-BG"/>
          </w:rPr>
          <w:t>-4-4.</w:t>
        </w:r>
        <w:r w:rsidRPr="00FD37F6">
          <w:rPr>
            <w:rStyle w:val="Hyperlink"/>
            <w:rFonts w:cs="Times New Roman"/>
            <w:sz w:val="20"/>
            <w:szCs w:val="20"/>
          </w:rPr>
          <w:t>pdf</w:t>
        </w:r>
      </w:hyperlink>
      <w:r w:rsidRPr="00FD37F6">
        <w:rPr>
          <w:rFonts w:cs="Times New Roman"/>
          <w:sz w:val="20"/>
          <w:szCs w:val="20"/>
          <w:lang w:val="bg-BG"/>
        </w:rPr>
        <w:t xml:space="preserve"> </w:t>
      </w:r>
    </w:p>
  </w:footnote>
  <w:footnote w:id="194">
    <w:p w14:paraId="4104D8B7"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09"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w:t>
        </w:r>
        <w:r w:rsidRPr="00FD37F6">
          <w:rPr>
            <w:rStyle w:val="Hyperlink"/>
            <w:rFonts w:cs="Times New Roman"/>
            <w:sz w:val="20"/>
            <w:szCs w:val="20"/>
          </w:rPr>
          <w:t>environment</w:t>
        </w:r>
        <w:r w:rsidRPr="00FD37F6">
          <w:rPr>
            <w:rStyle w:val="Hyperlink"/>
            <w:rFonts w:cs="Times New Roman"/>
            <w:sz w:val="20"/>
            <w:szCs w:val="20"/>
            <w:lang w:val="bg-BG"/>
          </w:rPr>
          <w:t>.</w:t>
        </w:r>
        <w:r w:rsidRPr="00FD37F6">
          <w:rPr>
            <w:rStyle w:val="Hyperlink"/>
            <w:rFonts w:cs="Times New Roman"/>
            <w:sz w:val="20"/>
            <w:szCs w:val="20"/>
          </w:rPr>
          <w:t>gov</w:t>
        </w:r>
        <w:r w:rsidRPr="00FD37F6">
          <w:rPr>
            <w:rStyle w:val="Hyperlink"/>
            <w:rFonts w:cs="Times New Roman"/>
            <w:sz w:val="20"/>
            <w:szCs w:val="20"/>
            <w:lang w:val="bg-BG"/>
          </w:rPr>
          <w:t>.</w:t>
        </w:r>
        <w:r w:rsidRPr="00FD37F6">
          <w:rPr>
            <w:rStyle w:val="Hyperlink"/>
            <w:rFonts w:cs="Times New Roman"/>
            <w:sz w:val="20"/>
            <w:szCs w:val="20"/>
          </w:rPr>
          <w:t>au</w:t>
        </w:r>
        <w:r w:rsidRPr="00FD37F6">
          <w:rPr>
            <w:rStyle w:val="Hyperlink"/>
            <w:rFonts w:cs="Times New Roman"/>
            <w:sz w:val="20"/>
            <w:szCs w:val="20"/>
            <w:lang w:val="bg-BG"/>
          </w:rPr>
          <w:t>/</w:t>
        </w:r>
        <w:r w:rsidRPr="00FD37F6">
          <w:rPr>
            <w:rStyle w:val="Hyperlink"/>
            <w:rFonts w:cs="Times New Roman"/>
            <w:sz w:val="20"/>
            <w:szCs w:val="20"/>
          </w:rPr>
          <w:t>marine</w:t>
        </w:r>
        <w:r w:rsidRPr="00FD37F6">
          <w:rPr>
            <w:rStyle w:val="Hyperlink"/>
            <w:rFonts w:cs="Times New Roman"/>
            <w:sz w:val="20"/>
            <w:szCs w:val="20"/>
            <w:lang w:val="bg-BG"/>
          </w:rPr>
          <w:t>/</w:t>
        </w:r>
        <w:r w:rsidRPr="00FD37F6">
          <w:rPr>
            <w:rStyle w:val="Hyperlink"/>
            <w:rFonts w:cs="Times New Roman"/>
            <w:sz w:val="20"/>
            <w:szCs w:val="20"/>
          </w:rPr>
          <w:t>gbr</w:t>
        </w:r>
        <w:r w:rsidRPr="00FD37F6">
          <w:rPr>
            <w:rStyle w:val="Hyperlink"/>
            <w:rFonts w:cs="Times New Roman"/>
            <w:sz w:val="20"/>
            <w:szCs w:val="20"/>
            <w:lang w:val="bg-BG"/>
          </w:rPr>
          <w:t>/</w:t>
        </w:r>
        <w:r w:rsidRPr="00FD37F6">
          <w:rPr>
            <w:rStyle w:val="Hyperlink"/>
            <w:rFonts w:cs="Times New Roman"/>
            <w:sz w:val="20"/>
            <w:szCs w:val="20"/>
          </w:rPr>
          <w:t>long</w:t>
        </w:r>
        <w:r w:rsidRPr="00FD37F6">
          <w:rPr>
            <w:rStyle w:val="Hyperlink"/>
            <w:rFonts w:cs="Times New Roman"/>
            <w:sz w:val="20"/>
            <w:szCs w:val="20"/>
            <w:lang w:val="bg-BG"/>
          </w:rPr>
          <w:t>-</w:t>
        </w:r>
        <w:r w:rsidRPr="00FD37F6">
          <w:rPr>
            <w:rStyle w:val="Hyperlink"/>
            <w:rFonts w:cs="Times New Roman"/>
            <w:sz w:val="20"/>
            <w:szCs w:val="20"/>
          </w:rPr>
          <w:t>term</w:t>
        </w:r>
        <w:r w:rsidRPr="00FD37F6">
          <w:rPr>
            <w:rStyle w:val="Hyperlink"/>
            <w:rFonts w:cs="Times New Roman"/>
            <w:sz w:val="20"/>
            <w:szCs w:val="20"/>
            <w:lang w:val="bg-BG"/>
          </w:rPr>
          <w:t>-</w:t>
        </w:r>
        <w:r w:rsidRPr="00FD37F6">
          <w:rPr>
            <w:rStyle w:val="Hyperlink"/>
            <w:rFonts w:cs="Times New Roman"/>
            <w:sz w:val="20"/>
            <w:szCs w:val="20"/>
          </w:rPr>
          <w:t>sustainability</w:t>
        </w:r>
        <w:r w:rsidRPr="00FD37F6">
          <w:rPr>
            <w:rStyle w:val="Hyperlink"/>
            <w:rFonts w:cs="Times New Roman"/>
            <w:sz w:val="20"/>
            <w:szCs w:val="20"/>
            <w:lang w:val="bg-BG"/>
          </w:rPr>
          <w:t>-</w:t>
        </w:r>
        <w:r w:rsidRPr="00FD37F6">
          <w:rPr>
            <w:rStyle w:val="Hyperlink"/>
            <w:rFonts w:cs="Times New Roman"/>
            <w:sz w:val="20"/>
            <w:szCs w:val="20"/>
          </w:rPr>
          <w:t>plan</w:t>
        </w:r>
      </w:hyperlink>
    </w:p>
  </w:footnote>
  <w:footnote w:id="195">
    <w:p w14:paraId="71FAC3DD" w14:textId="2A26105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0"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polishmsp</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196">
    <w:p w14:paraId="3C38D7E4"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59/01.07.2008 г., изм. и доп. ДВ бр. 14/18.02.2014 г.</w:t>
      </w:r>
    </w:p>
  </w:footnote>
  <w:footnote w:id="197">
    <w:p w14:paraId="6BBF212A"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 79/13.10.1987 г., изм. ДВ. бр.70/10.08.2004 г.</w:t>
      </w:r>
    </w:p>
  </w:footnote>
  <w:footnote w:id="198">
    <w:p w14:paraId="1E683235" w14:textId="7777777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Обн. ДВ. бр.99/15.12.2009 г., изм. и доп. </w:t>
      </w:r>
      <w:r w:rsidRPr="00390518">
        <w:rPr>
          <w:rFonts w:cs="Times New Roman"/>
          <w:sz w:val="20"/>
          <w:szCs w:val="20"/>
          <w:lang w:val="bg-BG"/>
        </w:rPr>
        <w:t>ДВ. бр.33/27.04.2012 г.</w:t>
      </w:r>
    </w:p>
  </w:footnote>
  <w:footnote w:id="199">
    <w:p w14:paraId="1E5AEF1A" w14:textId="1118710A"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1"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eea</w:t>
        </w:r>
        <w:r w:rsidRPr="00FD37F6">
          <w:rPr>
            <w:rStyle w:val="Hyperlink"/>
            <w:rFonts w:cs="Times New Roman"/>
            <w:sz w:val="20"/>
            <w:szCs w:val="20"/>
            <w:lang w:val="bg-BG"/>
          </w:rPr>
          <w:t>.</w:t>
        </w:r>
        <w:r w:rsidRPr="00FD37F6">
          <w:rPr>
            <w:rStyle w:val="Hyperlink"/>
            <w:rFonts w:cs="Times New Roman"/>
            <w:sz w:val="20"/>
            <w:szCs w:val="20"/>
          </w:rPr>
          <w:t>government</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zpo</w:t>
        </w:r>
        <w:r w:rsidRPr="00FD37F6">
          <w:rPr>
            <w:rStyle w:val="Hyperlink"/>
            <w:rFonts w:cs="Times New Roman"/>
            <w:sz w:val="20"/>
            <w:szCs w:val="20"/>
            <w:lang w:val="bg-BG"/>
          </w:rPr>
          <w:t>/</w:t>
        </w:r>
        <w:r w:rsidRPr="00FD37F6">
          <w:rPr>
            <w:rStyle w:val="Hyperlink"/>
            <w:rFonts w:cs="Times New Roman"/>
            <w:sz w:val="20"/>
            <w:szCs w:val="20"/>
          </w:rPr>
          <w:t>bg</w:t>
        </w:r>
        <w:r w:rsidRPr="00FD37F6">
          <w:rPr>
            <w:rStyle w:val="Hyperlink"/>
            <w:rFonts w:cs="Times New Roman"/>
            <w:sz w:val="20"/>
            <w:szCs w:val="20"/>
            <w:lang w:val="bg-BG"/>
          </w:rPr>
          <w:t>/</w:t>
        </w:r>
        <w:r w:rsidRPr="00FD37F6">
          <w:rPr>
            <w:rStyle w:val="Hyperlink"/>
            <w:rFonts w:cs="Times New Roman"/>
            <w:sz w:val="20"/>
            <w:szCs w:val="20"/>
          </w:rPr>
          <w:t>area</w:t>
        </w:r>
        <w:r w:rsidRPr="00FD37F6">
          <w:rPr>
            <w:rStyle w:val="Hyperlink"/>
            <w:rFonts w:cs="Times New Roman"/>
            <w:sz w:val="20"/>
            <w:szCs w:val="20"/>
            <w:lang w:val="bg-BG"/>
          </w:rPr>
          <w:t>.</w:t>
        </w:r>
        <w:r w:rsidRPr="00FD37F6">
          <w:rPr>
            <w:rStyle w:val="Hyperlink"/>
            <w:rFonts w:cs="Times New Roman"/>
            <w:sz w:val="20"/>
            <w:szCs w:val="20"/>
          </w:rPr>
          <w:t>jsp</w:t>
        </w:r>
        <w:r w:rsidRPr="00FD37F6">
          <w:rPr>
            <w:rStyle w:val="Hyperlink"/>
            <w:rFonts w:cs="Times New Roman"/>
            <w:sz w:val="20"/>
            <w:szCs w:val="20"/>
            <w:lang w:val="bg-BG"/>
          </w:rPr>
          <w:t>?</w:t>
        </w:r>
        <w:r w:rsidRPr="00FD37F6">
          <w:rPr>
            <w:rStyle w:val="Hyperlink"/>
            <w:rFonts w:cs="Times New Roman"/>
            <w:sz w:val="20"/>
            <w:szCs w:val="20"/>
          </w:rPr>
          <w:t>NEM</w:t>
        </w:r>
        <w:r w:rsidRPr="00FD37F6">
          <w:rPr>
            <w:rStyle w:val="Hyperlink"/>
            <w:rFonts w:cs="Times New Roman"/>
            <w:sz w:val="20"/>
            <w:szCs w:val="20"/>
            <w:lang w:val="bg-BG"/>
          </w:rPr>
          <w:t>_</w:t>
        </w:r>
        <w:r w:rsidRPr="00FD37F6">
          <w:rPr>
            <w:rStyle w:val="Hyperlink"/>
            <w:rFonts w:cs="Times New Roman"/>
            <w:sz w:val="20"/>
            <w:szCs w:val="20"/>
          </w:rPr>
          <w:t>Partition</w:t>
        </w:r>
        <w:r w:rsidRPr="00FD37F6">
          <w:rPr>
            <w:rStyle w:val="Hyperlink"/>
            <w:rFonts w:cs="Times New Roman"/>
            <w:sz w:val="20"/>
            <w:szCs w:val="20"/>
            <w:lang w:val="bg-BG"/>
          </w:rPr>
          <w:t>=1&amp;</w:t>
        </w:r>
        <w:r w:rsidRPr="00FD37F6">
          <w:rPr>
            <w:rStyle w:val="Hyperlink"/>
            <w:rFonts w:cs="Times New Roman"/>
            <w:sz w:val="20"/>
            <w:szCs w:val="20"/>
          </w:rPr>
          <w:t>categoryID</w:t>
        </w:r>
        <w:r w:rsidRPr="00FD37F6">
          <w:rPr>
            <w:rStyle w:val="Hyperlink"/>
            <w:rFonts w:cs="Times New Roman"/>
            <w:sz w:val="20"/>
            <w:szCs w:val="20"/>
            <w:lang w:val="bg-BG"/>
          </w:rPr>
          <w:t>=6&amp;</w:t>
        </w:r>
        <w:r w:rsidRPr="00FD37F6">
          <w:rPr>
            <w:rStyle w:val="Hyperlink"/>
            <w:rFonts w:cs="Times New Roman"/>
            <w:sz w:val="20"/>
            <w:szCs w:val="20"/>
          </w:rPr>
          <w:t>areaID</w:t>
        </w:r>
        <w:r w:rsidRPr="00FD37F6">
          <w:rPr>
            <w:rStyle w:val="Hyperlink"/>
            <w:rFonts w:cs="Times New Roman"/>
            <w:sz w:val="20"/>
            <w:szCs w:val="20"/>
            <w:lang w:val="bg-BG"/>
          </w:rPr>
          <w:t>=145</w:t>
        </w:r>
      </w:hyperlink>
      <w:r w:rsidRPr="00FD37F6">
        <w:rPr>
          <w:rFonts w:cs="Times New Roman"/>
          <w:sz w:val="20"/>
          <w:szCs w:val="20"/>
          <w:lang w:val="bg-BG"/>
        </w:rPr>
        <w:t xml:space="preserve"> </w:t>
      </w:r>
    </w:p>
  </w:footnote>
  <w:footnote w:id="200">
    <w:p w14:paraId="64DF0A81" w14:textId="77777777" w:rsidR="00C717D0" w:rsidRPr="00FD37F6" w:rsidRDefault="00C717D0" w:rsidP="00963B36">
      <w:pPr>
        <w:pStyle w:val="FootnoteText"/>
        <w:rPr>
          <w:rFonts w:cs="Times New Roman"/>
          <w:color w:val="FF0000"/>
          <w:sz w:val="20"/>
          <w:szCs w:val="20"/>
          <w:lang w:val="bg-BG"/>
        </w:rPr>
      </w:pPr>
      <w:r w:rsidRPr="003C41B4">
        <w:rPr>
          <w:rStyle w:val="FootnoteReference"/>
          <w:rFonts w:cs="Times New Roman"/>
          <w:sz w:val="20"/>
          <w:szCs w:val="20"/>
        </w:rPr>
        <w:footnoteRef/>
      </w:r>
      <w:r w:rsidRPr="003C41B4">
        <w:rPr>
          <w:rFonts w:cs="Times New Roman"/>
          <w:sz w:val="20"/>
          <w:szCs w:val="20"/>
          <w:lang w:val="bg-BG"/>
        </w:rPr>
        <w:t xml:space="preserve"> Обн. ДВ бр. 50/2009 г., изм. и доп. ДВ бр. 8/29 .01.2021 г.)</w:t>
      </w:r>
    </w:p>
  </w:footnote>
  <w:footnote w:id="201">
    <w:p w14:paraId="199CFB73" w14:textId="74A9E6F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Наредба за опазване на околната среда в морските води, обн. </w:t>
      </w:r>
      <w:r w:rsidRPr="00390518">
        <w:rPr>
          <w:rFonts w:cs="Times New Roman"/>
          <w:sz w:val="20"/>
          <w:szCs w:val="20"/>
          <w:lang w:val="bg-BG"/>
        </w:rPr>
        <w:t>ДВ бр. 94</w:t>
      </w:r>
      <w:r w:rsidRPr="00FD37F6">
        <w:rPr>
          <w:rFonts w:cs="Times New Roman"/>
          <w:sz w:val="20"/>
          <w:szCs w:val="20"/>
          <w:lang w:val="bg-BG"/>
        </w:rPr>
        <w:t>/</w:t>
      </w:r>
      <w:r w:rsidRPr="00390518">
        <w:rPr>
          <w:rFonts w:cs="Times New Roman"/>
          <w:sz w:val="20"/>
          <w:szCs w:val="20"/>
          <w:lang w:val="bg-BG"/>
        </w:rPr>
        <w:t>30.11.2010 г.</w:t>
      </w:r>
      <w:r w:rsidRPr="00FD37F6">
        <w:rPr>
          <w:rFonts w:cs="Times New Roman"/>
          <w:sz w:val="20"/>
          <w:szCs w:val="20"/>
          <w:lang w:val="bg-BG"/>
        </w:rPr>
        <w:t xml:space="preserve"> </w:t>
      </w:r>
    </w:p>
  </w:footnote>
  <w:footnote w:id="202">
    <w:p w14:paraId="38F1D34B" w14:textId="437D7FAB"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2" w:history="1">
        <w:r w:rsidRPr="00FD37F6">
          <w:rPr>
            <w:rStyle w:val="Hyperlink"/>
            <w:rFonts w:cs="Times New Roman"/>
            <w:sz w:val="20"/>
            <w:szCs w:val="20"/>
          </w:rPr>
          <w:t>http</w:t>
        </w:r>
        <w:r w:rsidRPr="00FD37F6">
          <w:rPr>
            <w:rStyle w:val="Hyperlink"/>
            <w:rFonts w:cs="Times New Roman"/>
            <w:sz w:val="20"/>
            <w:szCs w:val="20"/>
            <w:lang w:val="bg-BG"/>
          </w:rPr>
          <w:t>://</w:t>
        </w:r>
        <w:r w:rsidRPr="00FD37F6">
          <w:rPr>
            <w:rStyle w:val="Hyperlink"/>
            <w:rFonts w:cs="Times New Roman"/>
            <w:sz w:val="20"/>
            <w:szCs w:val="20"/>
          </w:rPr>
          <w:t>www</w:t>
        </w:r>
        <w:r w:rsidRPr="00FD37F6">
          <w:rPr>
            <w:rStyle w:val="Hyperlink"/>
            <w:rFonts w:cs="Times New Roman"/>
            <w:sz w:val="20"/>
            <w:szCs w:val="20"/>
            <w:lang w:val="bg-BG"/>
          </w:rPr>
          <w:t>3.</w:t>
        </w:r>
        <w:r w:rsidRPr="00FD37F6">
          <w:rPr>
            <w:rStyle w:val="Hyperlink"/>
            <w:rFonts w:cs="Times New Roman"/>
            <w:sz w:val="20"/>
            <w:szCs w:val="20"/>
          </w:rPr>
          <w:t>weforum</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docs</w:t>
        </w:r>
        <w:r w:rsidRPr="00FD37F6">
          <w:rPr>
            <w:rStyle w:val="Hyperlink"/>
            <w:rFonts w:cs="Times New Roman"/>
            <w:sz w:val="20"/>
            <w:szCs w:val="20"/>
            <w:lang w:val="bg-BG"/>
          </w:rPr>
          <w:t>/</w:t>
        </w:r>
        <w:r w:rsidRPr="00FD37F6">
          <w:rPr>
            <w:rStyle w:val="Hyperlink"/>
            <w:rFonts w:cs="Times New Roman"/>
            <w:sz w:val="20"/>
            <w:szCs w:val="20"/>
          </w:rPr>
          <w:t>WEF</w:t>
        </w:r>
        <w:r w:rsidRPr="00FD37F6">
          <w:rPr>
            <w:rStyle w:val="Hyperlink"/>
            <w:rFonts w:cs="Times New Roman"/>
            <w:sz w:val="20"/>
            <w:szCs w:val="20"/>
            <w:lang w:val="bg-BG"/>
          </w:rPr>
          <w:t>_</w:t>
        </w:r>
        <w:r w:rsidRPr="00FD37F6">
          <w:rPr>
            <w:rStyle w:val="Hyperlink"/>
            <w:rFonts w:cs="Times New Roman"/>
            <w:sz w:val="20"/>
            <w:szCs w:val="20"/>
          </w:rPr>
          <w:t>TheGlobalCompetitivenessReport</w:t>
        </w:r>
        <w:r w:rsidRPr="00FD37F6">
          <w:rPr>
            <w:rStyle w:val="Hyperlink"/>
            <w:rFonts w:cs="Times New Roman"/>
            <w:sz w:val="20"/>
            <w:szCs w:val="20"/>
            <w:lang w:val="bg-BG"/>
          </w:rPr>
          <w:t>2019.</w:t>
        </w:r>
        <w:r w:rsidRPr="00FD37F6">
          <w:rPr>
            <w:rStyle w:val="Hyperlink"/>
            <w:rFonts w:cs="Times New Roman"/>
            <w:sz w:val="20"/>
            <w:szCs w:val="20"/>
          </w:rPr>
          <w:t>pdf</w:t>
        </w:r>
      </w:hyperlink>
      <w:r w:rsidRPr="00FD37F6">
        <w:rPr>
          <w:rFonts w:cs="Times New Roman"/>
          <w:sz w:val="20"/>
          <w:szCs w:val="20"/>
          <w:lang w:val="bg-BG"/>
        </w:rPr>
        <w:t xml:space="preserve"> </w:t>
      </w:r>
    </w:p>
  </w:footnote>
  <w:footnote w:id="203">
    <w:p w14:paraId="0EF201E3" w14:textId="286E9AC4"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3"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ec</w:t>
        </w:r>
        <w:r w:rsidRPr="00FD37F6">
          <w:rPr>
            <w:rStyle w:val="Hyperlink"/>
            <w:rFonts w:cs="Times New Roman"/>
            <w:sz w:val="20"/>
            <w:szCs w:val="20"/>
            <w:lang w:val="bg-BG"/>
          </w:rPr>
          <w:t>.</w:t>
        </w:r>
        <w:r w:rsidRPr="00FD37F6">
          <w:rPr>
            <w:rStyle w:val="Hyperlink"/>
            <w:rFonts w:cs="Times New Roman"/>
            <w:sz w:val="20"/>
            <w:szCs w:val="20"/>
          </w:rPr>
          <w:t>europa</w:t>
        </w:r>
        <w:r w:rsidRPr="00FD37F6">
          <w:rPr>
            <w:rStyle w:val="Hyperlink"/>
            <w:rFonts w:cs="Times New Roman"/>
            <w:sz w:val="20"/>
            <w:szCs w:val="20"/>
            <w:lang w:val="bg-BG"/>
          </w:rPr>
          <w:t>.</w:t>
        </w:r>
        <w:r w:rsidRPr="00FD37F6">
          <w:rPr>
            <w:rStyle w:val="Hyperlink"/>
            <w:rFonts w:cs="Times New Roman"/>
            <w:sz w:val="20"/>
            <w:szCs w:val="20"/>
          </w:rPr>
          <w:t>eu</w:t>
        </w:r>
        <w:r w:rsidRPr="00FD37F6">
          <w:rPr>
            <w:rStyle w:val="Hyperlink"/>
            <w:rFonts w:cs="Times New Roman"/>
            <w:sz w:val="20"/>
            <w:szCs w:val="20"/>
            <w:lang w:val="bg-BG"/>
          </w:rPr>
          <w:t>/</w:t>
        </w:r>
        <w:r w:rsidRPr="00FD37F6">
          <w:rPr>
            <w:rStyle w:val="Hyperlink"/>
            <w:rFonts w:cs="Times New Roman"/>
            <w:sz w:val="20"/>
            <w:szCs w:val="20"/>
          </w:rPr>
          <w:t>regional</w:t>
        </w:r>
        <w:r w:rsidRPr="00FD37F6">
          <w:rPr>
            <w:rStyle w:val="Hyperlink"/>
            <w:rFonts w:cs="Times New Roman"/>
            <w:sz w:val="20"/>
            <w:szCs w:val="20"/>
            <w:lang w:val="bg-BG"/>
          </w:rPr>
          <w:t>_</w:t>
        </w:r>
        <w:r w:rsidRPr="00FD37F6">
          <w:rPr>
            <w:rStyle w:val="Hyperlink"/>
            <w:rFonts w:cs="Times New Roman"/>
            <w:sz w:val="20"/>
            <w:szCs w:val="20"/>
          </w:rPr>
          <w:t>policy</w:t>
        </w:r>
        <w:r w:rsidRPr="00FD37F6">
          <w:rPr>
            <w:rStyle w:val="Hyperlink"/>
            <w:rFonts w:cs="Times New Roman"/>
            <w:sz w:val="20"/>
            <w:szCs w:val="20"/>
            <w:lang w:val="bg-BG"/>
          </w:rPr>
          <w:t>/</w:t>
        </w:r>
        <w:r w:rsidRPr="00FD37F6">
          <w:rPr>
            <w:rStyle w:val="Hyperlink"/>
            <w:rFonts w:cs="Times New Roman"/>
            <w:sz w:val="20"/>
            <w:szCs w:val="20"/>
          </w:rPr>
          <w:t>en</w:t>
        </w:r>
        <w:r w:rsidRPr="00FD37F6">
          <w:rPr>
            <w:rStyle w:val="Hyperlink"/>
            <w:rFonts w:cs="Times New Roman"/>
            <w:sz w:val="20"/>
            <w:szCs w:val="20"/>
            <w:lang w:val="bg-BG"/>
          </w:rPr>
          <w:t>/</w:t>
        </w:r>
        <w:r w:rsidRPr="00FD37F6">
          <w:rPr>
            <w:rStyle w:val="Hyperlink"/>
            <w:rFonts w:cs="Times New Roman"/>
            <w:sz w:val="20"/>
            <w:szCs w:val="20"/>
          </w:rPr>
          <w:t>information</w:t>
        </w:r>
        <w:r w:rsidRPr="00FD37F6">
          <w:rPr>
            <w:rStyle w:val="Hyperlink"/>
            <w:rFonts w:cs="Times New Roman"/>
            <w:sz w:val="20"/>
            <w:szCs w:val="20"/>
            <w:lang w:val="bg-BG"/>
          </w:rPr>
          <w:t>/</w:t>
        </w:r>
        <w:r w:rsidRPr="00FD37F6">
          <w:rPr>
            <w:rStyle w:val="Hyperlink"/>
            <w:rFonts w:cs="Times New Roman"/>
            <w:sz w:val="20"/>
            <w:szCs w:val="20"/>
          </w:rPr>
          <w:t>maps</w:t>
        </w:r>
        <w:r w:rsidRPr="00FD37F6">
          <w:rPr>
            <w:rStyle w:val="Hyperlink"/>
            <w:rFonts w:cs="Times New Roman"/>
            <w:sz w:val="20"/>
            <w:szCs w:val="20"/>
            <w:lang w:val="bg-BG"/>
          </w:rPr>
          <w:t>/</w:t>
        </w:r>
        <w:r w:rsidRPr="00FD37F6">
          <w:rPr>
            <w:rStyle w:val="Hyperlink"/>
            <w:rFonts w:cs="Times New Roman"/>
            <w:sz w:val="20"/>
            <w:szCs w:val="20"/>
          </w:rPr>
          <w:t>regional</w:t>
        </w:r>
        <w:r w:rsidRPr="00FD37F6">
          <w:rPr>
            <w:rStyle w:val="Hyperlink"/>
            <w:rFonts w:cs="Times New Roman"/>
            <w:sz w:val="20"/>
            <w:szCs w:val="20"/>
            <w:lang w:val="bg-BG"/>
          </w:rPr>
          <w:t>_</w:t>
        </w:r>
        <w:r w:rsidRPr="00FD37F6">
          <w:rPr>
            <w:rStyle w:val="Hyperlink"/>
            <w:rFonts w:cs="Times New Roman"/>
            <w:sz w:val="20"/>
            <w:szCs w:val="20"/>
          </w:rPr>
          <w:t>competitiveness</w:t>
        </w:r>
        <w:r w:rsidRPr="00FD37F6">
          <w:rPr>
            <w:rStyle w:val="Hyperlink"/>
            <w:rFonts w:cs="Times New Roman"/>
            <w:sz w:val="20"/>
            <w:szCs w:val="20"/>
            <w:lang w:val="bg-BG"/>
          </w:rPr>
          <w:t>/</w:t>
        </w:r>
      </w:hyperlink>
      <w:r w:rsidRPr="00FD37F6">
        <w:rPr>
          <w:rFonts w:cs="Times New Roman"/>
          <w:sz w:val="20"/>
          <w:szCs w:val="20"/>
          <w:lang w:val="bg-BG"/>
        </w:rPr>
        <w:t xml:space="preserve"> </w:t>
      </w:r>
    </w:p>
  </w:footnote>
  <w:footnote w:id="204">
    <w:p w14:paraId="0A84B18C" w14:textId="4B2A46C7"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4" w:anchor="economy=BGR"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reports</w:t>
        </w:r>
        <w:r w:rsidRPr="00FD37F6">
          <w:rPr>
            <w:rStyle w:val="Hyperlink"/>
            <w:rFonts w:cs="Times New Roman"/>
            <w:sz w:val="20"/>
            <w:szCs w:val="20"/>
            <w:lang w:val="bg-BG"/>
          </w:rPr>
          <w:t>.</w:t>
        </w:r>
        <w:r w:rsidRPr="00FD37F6">
          <w:rPr>
            <w:rStyle w:val="Hyperlink"/>
            <w:rFonts w:cs="Times New Roman"/>
            <w:sz w:val="20"/>
            <w:szCs w:val="20"/>
          </w:rPr>
          <w:t>weforum</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travel</w:t>
        </w:r>
        <w:r w:rsidRPr="00FD37F6">
          <w:rPr>
            <w:rStyle w:val="Hyperlink"/>
            <w:rFonts w:cs="Times New Roman"/>
            <w:sz w:val="20"/>
            <w:szCs w:val="20"/>
            <w:lang w:val="bg-BG"/>
          </w:rPr>
          <w:t>-</w:t>
        </w:r>
        <w:r w:rsidRPr="00FD37F6">
          <w:rPr>
            <w:rStyle w:val="Hyperlink"/>
            <w:rFonts w:cs="Times New Roman"/>
            <w:sz w:val="20"/>
            <w:szCs w:val="20"/>
          </w:rPr>
          <w:t>and</w:t>
        </w:r>
        <w:r w:rsidRPr="00FD37F6">
          <w:rPr>
            <w:rStyle w:val="Hyperlink"/>
            <w:rFonts w:cs="Times New Roman"/>
            <w:sz w:val="20"/>
            <w:szCs w:val="20"/>
            <w:lang w:val="bg-BG"/>
          </w:rPr>
          <w:t>-</w:t>
        </w:r>
        <w:r w:rsidRPr="00FD37F6">
          <w:rPr>
            <w:rStyle w:val="Hyperlink"/>
            <w:rFonts w:cs="Times New Roman"/>
            <w:sz w:val="20"/>
            <w:szCs w:val="20"/>
          </w:rPr>
          <w:t>tourism</w:t>
        </w:r>
        <w:r w:rsidRPr="00FD37F6">
          <w:rPr>
            <w:rStyle w:val="Hyperlink"/>
            <w:rFonts w:cs="Times New Roman"/>
            <w:sz w:val="20"/>
            <w:szCs w:val="20"/>
            <w:lang w:val="bg-BG"/>
          </w:rPr>
          <w:t>-</w:t>
        </w:r>
        <w:r w:rsidRPr="00FD37F6">
          <w:rPr>
            <w:rStyle w:val="Hyperlink"/>
            <w:rFonts w:cs="Times New Roman"/>
            <w:sz w:val="20"/>
            <w:szCs w:val="20"/>
          </w:rPr>
          <w:t>competitiveness</w:t>
        </w:r>
        <w:r w:rsidRPr="00FD37F6">
          <w:rPr>
            <w:rStyle w:val="Hyperlink"/>
            <w:rFonts w:cs="Times New Roman"/>
            <w:sz w:val="20"/>
            <w:szCs w:val="20"/>
            <w:lang w:val="bg-BG"/>
          </w:rPr>
          <w:t>-</w:t>
        </w:r>
        <w:r w:rsidRPr="00FD37F6">
          <w:rPr>
            <w:rStyle w:val="Hyperlink"/>
            <w:rFonts w:cs="Times New Roman"/>
            <w:sz w:val="20"/>
            <w:szCs w:val="20"/>
          </w:rPr>
          <w:t>report</w:t>
        </w:r>
        <w:r w:rsidRPr="00FD37F6">
          <w:rPr>
            <w:rStyle w:val="Hyperlink"/>
            <w:rFonts w:cs="Times New Roman"/>
            <w:sz w:val="20"/>
            <w:szCs w:val="20"/>
            <w:lang w:val="bg-BG"/>
          </w:rPr>
          <w:t>-2019/</w:t>
        </w:r>
        <w:r w:rsidRPr="00FD37F6">
          <w:rPr>
            <w:rStyle w:val="Hyperlink"/>
            <w:rFonts w:cs="Times New Roman"/>
            <w:sz w:val="20"/>
            <w:szCs w:val="20"/>
          </w:rPr>
          <w:t>country</w:t>
        </w:r>
        <w:r w:rsidRPr="00FD37F6">
          <w:rPr>
            <w:rStyle w:val="Hyperlink"/>
            <w:rFonts w:cs="Times New Roman"/>
            <w:sz w:val="20"/>
            <w:szCs w:val="20"/>
            <w:lang w:val="bg-BG"/>
          </w:rPr>
          <w:t>-</w:t>
        </w:r>
        <w:r w:rsidRPr="00FD37F6">
          <w:rPr>
            <w:rStyle w:val="Hyperlink"/>
            <w:rFonts w:cs="Times New Roman"/>
            <w:sz w:val="20"/>
            <w:szCs w:val="20"/>
          </w:rPr>
          <w:t>profiles</w:t>
        </w:r>
        <w:r w:rsidRPr="00FD37F6">
          <w:rPr>
            <w:rStyle w:val="Hyperlink"/>
            <w:rFonts w:cs="Times New Roman"/>
            <w:sz w:val="20"/>
            <w:szCs w:val="20"/>
            <w:lang w:val="bg-BG"/>
          </w:rPr>
          <w:t>/#</w:t>
        </w:r>
        <w:r w:rsidRPr="00FD37F6">
          <w:rPr>
            <w:rStyle w:val="Hyperlink"/>
            <w:rFonts w:cs="Times New Roman"/>
            <w:sz w:val="20"/>
            <w:szCs w:val="20"/>
          </w:rPr>
          <w:t>economy</w:t>
        </w:r>
        <w:r w:rsidRPr="00FD37F6">
          <w:rPr>
            <w:rStyle w:val="Hyperlink"/>
            <w:rFonts w:cs="Times New Roman"/>
            <w:sz w:val="20"/>
            <w:szCs w:val="20"/>
            <w:lang w:val="bg-BG"/>
          </w:rPr>
          <w:t>=</w:t>
        </w:r>
        <w:r w:rsidRPr="00FD37F6">
          <w:rPr>
            <w:rStyle w:val="Hyperlink"/>
            <w:rFonts w:cs="Times New Roman"/>
            <w:sz w:val="20"/>
            <w:szCs w:val="20"/>
          </w:rPr>
          <w:t>BGR</w:t>
        </w:r>
      </w:hyperlink>
      <w:r w:rsidRPr="00FD37F6">
        <w:rPr>
          <w:rFonts w:cs="Times New Roman"/>
          <w:sz w:val="20"/>
          <w:szCs w:val="20"/>
          <w:lang w:val="bg-BG"/>
        </w:rPr>
        <w:t xml:space="preserve"> </w:t>
      </w:r>
    </w:p>
  </w:footnote>
  <w:footnote w:id="205">
    <w:p w14:paraId="16DE36D1" w14:textId="75FE18FE" w:rsidR="00C717D0" w:rsidRPr="00FD37F6" w:rsidRDefault="00C717D0" w:rsidP="00F00BE8">
      <w:pPr>
        <w:pStyle w:val="FootnoteText"/>
        <w:spacing w:after="20"/>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w:t>
      </w:r>
      <w:hyperlink r:id="rId215" w:history="1">
        <w:r w:rsidRPr="00FD37F6">
          <w:rPr>
            <w:rStyle w:val="Hyperlink"/>
            <w:rFonts w:cs="Times New Roman"/>
            <w:sz w:val="20"/>
            <w:szCs w:val="20"/>
          </w:rPr>
          <w:t>https</w:t>
        </w:r>
        <w:r w:rsidRPr="00FD37F6">
          <w:rPr>
            <w:rStyle w:val="Hyperlink"/>
            <w:rFonts w:cs="Times New Roman"/>
            <w:sz w:val="20"/>
            <w:szCs w:val="20"/>
            <w:lang w:val="bg-BG"/>
          </w:rPr>
          <w:t>://</w:t>
        </w:r>
        <w:r w:rsidRPr="00FD37F6">
          <w:rPr>
            <w:rStyle w:val="Hyperlink"/>
            <w:rFonts w:cs="Times New Roman"/>
            <w:sz w:val="20"/>
            <w:szCs w:val="20"/>
          </w:rPr>
          <w:t>unesdoc</w:t>
        </w:r>
        <w:r w:rsidRPr="00FD37F6">
          <w:rPr>
            <w:rStyle w:val="Hyperlink"/>
            <w:rFonts w:cs="Times New Roman"/>
            <w:sz w:val="20"/>
            <w:szCs w:val="20"/>
            <w:lang w:val="bg-BG"/>
          </w:rPr>
          <w:t>.</w:t>
        </w:r>
        <w:r w:rsidRPr="00FD37F6">
          <w:rPr>
            <w:rStyle w:val="Hyperlink"/>
            <w:rFonts w:cs="Times New Roman"/>
            <w:sz w:val="20"/>
            <w:szCs w:val="20"/>
          </w:rPr>
          <w:t>unesco</w:t>
        </w:r>
        <w:r w:rsidRPr="00FD37F6">
          <w:rPr>
            <w:rStyle w:val="Hyperlink"/>
            <w:rFonts w:cs="Times New Roman"/>
            <w:sz w:val="20"/>
            <w:szCs w:val="20"/>
            <w:lang w:val="bg-BG"/>
          </w:rPr>
          <w:t>.</w:t>
        </w:r>
        <w:r w:rsidRPr="00FD37F6">
          <w:rPr>
            <w:rStyle w:val="Hyperlink"/>
            <w:rFonts w:cs="Times New Roman"/>
            <w:sz w:val="20"/>
            <w:szCs w:val="20"/>
          </w:rPr>
          <w:t>org</w:t>
        </w:r>
        <w:r w:rsidRPr="00FD37F6">
          <w:rPr>
            <w:rStyle w:val="Hyperlink"/>
            <w:rFonts w:cs="Times New Roman"/>
            <w:sz w:val="20"/>
            <w:szCs w:val="20"/>
            <w:lang w:val="bg-BG"/>
          </w:rPr>
          <w:t>/</w:t>
        </w:r>
        <w:r w:rsidRPr="00FD37F6">
          <w:rPr>
            <w:rStyle w:val="Hyperlink"/>
            <w:rFonts w:cs="Times New Roman"/>
            <w:sz w:val="20"/>
            <w:szCs w:val="20"/>
          </w:rPr>
          <w:t>ark</w:t>
        </w:r>
        <w:r w:rsidRPr="00FD37F6">
          <w:rPr>
            <w:rStyle w:val="Hyperlink"/>
            <w:rFonts w:cs="Times New Roman"/>
            <w:sz w:val="20"/>
            <w:szCs w:val="20"/>
            <w:lang w:val="bg-BG"/>
          </w:rPr>
          <w:t>:/48223/</w:t>
        </w:r>
        <w:r w:rsidRPr="00FD37F6">
          <w:rPr>
            <w:rStyle w:val="Hyperlink"/>
            <w:rFonts w:cs="Times New Roman"/>
            <w:sz w:val="20"/>
            <w:szCs w:val="20"/>
          </w:rPr>
          <w:t>pf</w:t>
        </w:r>
        <w:r w:rsidRPr="00FD37F6">
          <w:rPr>
            <w:rStyle w:val="Hyperlink"/>
            <w:rFonts w:cs="Times New Roman"/>
            <w:sz w:val="20"/>
            <w:szCs w:val="20"/>
            <w:lang w:val="bg-BG"/>
          </w:rPr>
          <w:t>0000147313</w:t>
        </w:r>
      </w:hyperlink>
      <w:r w:rsidRPr="00FD37F6">
        <w:rPr>
          <w:rFonts w:cs="Times New Roman"/>
          <w:sz w:val="20"/>
          <w:szCs w:val="20"/>
          <w:lang w:val="bg-BG"/>
        </w:rPr>
        <w:t xml:space="preserve"> </w:t>
      </w:r>
    </w:p>
  </w:footnote>
  <w:footnote w:id="206">
    <w:p w14:paraId="480DD5CE" w14:textId="577FEF8E" w:rsidR="00C717D0" w:rsidRPr="00963B36" w:rsidRDefault="00C717D0" w:rsidP="00BE57CC">
      <w:pPr>
        <w:pStyle w:val="FootnoteText"/>
        <w:spacing w:after="20"/>
        <w:ind w:right="-896"/>
        <w:rPr>
          <w:rFonts w:cs="Times New Roman"/>
          <w:sz w:val="20"/>
          <w:szCs w:val="20"/>
          <w:lang w:val="bg-BG"/>
        </w:rPr>
      </w:pPr>
      <w:r w:rsidRPr="00FD37F6">
        <w:rPr>
          <w:rStyle w:val="FootnoteReference"/>
          <w:rFonts w:cs="Times New Roman"/>
          <w:sz w:val="20"/>
          <w:szCs w:val="20"/>
        </w:rPr>
        <w:footnoteRef/>
      </w:r>
      <w:r w:rsidRPr="00FD37F6">
        <w:rPr>
          <w:rFonts w:cs="Times New Roman"/>
          <w:sz w:val="20"/>
          <w:szCs w:val="20"/>
          <w:lang w:val="bg-BG"/>
        </w:rPr>
        <w:t xml:space="preserve"> Министерски съвет, 2009. Стандарти за провеждане на обществени консултации. </w:t>
      </w:r>
      <w:hyperlink r:id="rId216" w:history="1">
        <w:r w:rsidRPr="00FD37F6">
          <w:rPr>
            <w:rStyle w:val="Hyperlink"/>
            <w:rFonts w:cs="Times New Roman"/>
            <w:sz w:val="20"/>
            <w:szCs w:val="20"/>
          </w:rPr>
          <w:t>http</w:t>
        </w:r>
        <w:r w:rsidRPr="00133B13">
          <w:rPr>
            <w:rStyle w:val="Hyperlink"/>
            <w:rFonts w:cs="Times New Roman"/>
            <w:sz w:val="20"/>
            <w:szCs w:val="20"/>
            <w:lang w:val="bg-BG"/>
          </w:rPr>
          <w:t>://</w:t>
        </w:r>
        <w:r w:rsidRPr="00FD37F6">
          <w:rPr>
            <w:rStyle w:val="Hyperlink"/>
            <w:rFonts w:cs="Times New Roman"/>
            <w:sz w:val="20"/>
            <w:szCs w:val="20"/>
          </w:rPr>
          <w:t>www</w:t>
        </w:r>
        <w:r w:rsidRPr="00133B13">
          <w:rPr>
            <w:rStyle w:val="Hyperlink"/>
            <w:rFonts w:cs="Times New Roman"/>
            <w:sz w:val="20"/>
            <w:szCs w:val="20"/>
            <w:lang w:val="bg-BG"/>
          </w:rPr>
          <w:t>.</w:t>
        </w:r>
        <w:r w:rsidRPr="00FD37F6">
          <w:rPr>
            <w:rStyle w:val="Hyperlink"/>
            <w:rFonts w:cs="Times New Roman"/>
            <w:sz w:val="20"/>
            <w:szCs w:val="20"/>
          </w:rPr>
          <w:t>strategy</w:t>
        </w:r>
        <w:r w:rsidRPr="00133B13">
          <w:rPr>
            <w:rStyle w:val="Hyperlink"/>
            <w:rFonts w:cs="Times New Roman"/>
            <w:sz w:val="20"/>
            <w:szCs w:val="20"/>
            <w:lang w:val="bg-BG"/>
          </w:rPr>
          <w:t>.</w:t>
        </w:r>
        <w:r w:rsidRPr="00FD37F6">
          <w:rPr>
            <w:rStyle w:val="Hyperlink"/>
            <w:rFonts w:cs="Times New Roman"/>
            <w:sz w:val="20"/>
            <w:szCs w:val="20"/>
          </w:rPr>
          <w:t>bg</w:t>
        </w:r>
        <w:r w:rsidRPr="00133B13">
          <w:rPr>
            <w:rStyle w:val="Hyperlink"/>
            <w:rFonts w:cs="Times New Roman"/>
            <w:sz w:val="20"/>
            <w:szCs w:val="20"/>
            <w:lang w:val="bg-BG"/>
          </w:rPr>
          <w:t>/</w:t>
        </w:r>
        <w:r w:rsidRPr="00FD37F6">
          <w:rPr>
            <w:rStyle w:val="Hyperlink"/>
            <w:rFonts w:cs="Times New Roman"/>
            <w:sz w:val="20"/>
            <w:szCs w:val="20"/>
          </w:rPr>
          <w:t>StaticPages</w:t>
        </w:r>
        <w:r w:rsidRPr="00133B13">
          <w:rPr>
            <w:rStyle w:val="Hyperlink"/>
            <w:rFonts w:cs="Times New Roman"/>
            <w:sz w:val="20"/>
            <w:szCs w:val="20"/>
            <w:lang w:val="bg-BG"/>
          </w:rPr>
          <w:t>/</w:t>
        </w:r>
        <w:r w:rsidRPr="00FD37F6">
          <w:rPr>
            <w:rStyle w:val="Hyperlink"/>
            <w:rFonts w:cs="Times New Roman"/>
            <w:sz w:val="20"/>
            <w:szCs w:val="20"/>
          </w:rPr>
          <w:t>CalculatingManual</w:t>
        </w:r>
        <w:r w:rsidRPr="00133B13">
          <w:rPr>
            <w:rStyle w:val="Hyperlink"/>
            <w:rFonts w:cs="Times New Roman"/>
            <w:sz w:val="20"/>
            <w:szCs w:val="20"/>
            <w:lang w:val="bg-BG"/>
          </w:rPr>
          <w:t>.</w:t>
        </w:r>
        <w:r w:rsidRPr="00FD37F6">
          <w:rPr>
            <w:rStyle w:val="Hyperlink"/>
            <w:rFonts w:cs="Times New Roman"/>
            <w:sz w:val="20"/>
            <w:szCs w:val="20"/>
          </w:rPr>
          <w:t>aspx</w:t>
        </w:r>
        <w:r w:rsidRPr="00133B13">
          <w:rPr>
            <w:rStyle w:val="Hyperlink"/>
            <w:rFonts w:cs="Times New Roman"/>
            <w:sz w:val="20"/>
            <w:szCs w:val="20"/>
            <w:lang w:val="bg-BG"/>
          </w:rPr>
          <w:t>?</w:t>
        </w:r>
        <w:r w:rsidRPr="00FD37F6">
          <w:rPr>
            <w:rStyle w:val="Hyperlink"/>
            <w:rFonts w:cs="Times New Roman"/>
            <w:sz w:val="20"/>
            <w:szCs w:val="20"/>
          </w:rPr>
          <w:t>guidanceType</w:t>
        </w:r>
        <w:r w:rsidRPr="00133B13">
          <w:rPr>
            <w:rStyle w:val="Hyperlink"/>
            <w:rFonts w:cs="Times New Roman"/>
            <w:sz w:val="20"/>
            <w:szCs w:val="20"/>
            <w:lang w:val="bg-BG"/>
          </w:rPr>
          <w:t>=2&amp;</w:t>
        </w:r>
        <w:r w:rsidRPr="00FD37F6">
          <w:rPr>
            <w:rStyle w:val="Hyperlink"/>
            <w:rFonts w:cs="Times New Roman"/>
            <w:sz w:val="20"/>
            <w:szCs w:val="20"/>
          </w:rPr>
          <w:t>sectionName</w:t>
        </w:r>
        <w:r w:rsidRPr="00133B13">
          <w:rPr>
            <w:rStyle w:val="Hyperlink"/>
            <w:rFonts w:cs="Times New Roman"/>
            <w:sz w:val="20"/>
            <w:szCs w:val="20"/>
            <w:lang w:val="bg-BG"/>
          </w:rPr>
          <w:t>=</w:t>
        </w:r>
        <w:r w:rsidRPr="00FD37F6">
          <w:rPr>
            <w:rStyle w:val="Hyperlink"/>
            <w:rFonts w:cs="Times New Roman"/>
            <w:sz w:val="20"/>
            <w:szCs w:val="20"/>
          </w:rPr>
          <w:t>PublicConsultationStandards</w:t>
        </w:r>
      </w:hyperlink>
      <w:r w:rsidRPr="00133B13">
        <w:rPr>
          <w:rFonts w:cs="Times New Roman"/>
          <w:sz w:val="20"/>
          <w:szCs w:val="20"/>
          <w:lang w:val="bg-BG"/>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74FBD9" w14:textId="77777777" w:rsidR="00C717D0" w:rsidRPr="009E6842" w:rsidRDefault="00C717D0" w:rsidP="006230C0">
    <w:pPr>
      <w:spacing w:after="120"/>
      <w:ind w:right="-153"/>
      <w:jc w:val="center"/>
      <w:rPr>
        <w:rFonts w:ascii="Times New Roman" w:hAnsi="Times New Roman" w:cs="Times New Roman"/>
        <w:b/>
        <w:color w:val="0F243E" w:themeColor="text2" w:themeShade="80"/>
        <w:sz w:val="24"/>
        <w:szCs w:val="24"/>
        <w:lang w:val="bg-BG"/>
      </w:rPr>
    </w:pPr>
    <w:r w:rsidRPr="009E6842">
      <w:rPr>
        <w:rFonts w:ascii="Times New Roman" w:hAnsi="Times New Roman" w:cs="Times New Roman"/>
        <w:b/>
        <w:color w:val="0F243E" w:themeColor="text2" w:themeShade="80"/>
        <w:sz w:val="24"/>
        <w:szCs w:val="24"/>
        <w:lang w:val="bg-BG"/>
      </w:rPr>
      <w:t>МОРСКИ ПРОСТРАНСТВЕН ПЛАН НА РЕПУБЛИКА БЪЛГАРИЯ 2021-2035</w:t>
    </w:r>
  </w:p>
  <w:p w14:paraId="03F05686" w14:textId="77777777" w:rsidR="00C717D0" w:rsidRDefault="00C717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ABFF66" w14:textId="48D2775A" w:rsidR="00C717D0" w:rsidRPr="009E6842" w:rsidRDefault="00C717D0" w:rsidP="001E3FED">
    <w:pPr>
      <w:spacing w:after="120"/>
      <w:ind w:right="-153"/>
      <w:jc w:val="center"/>
      <w:rPr>
        <w:rFonts w:ascii="Times New Roman" w:hAnsi="Times New Roman" w:cs="Times New Roman"/>
        <w:b/>
        <w:color w:val="0F243E" w:themeColor="text2" w:themeShade="80"/>
        <w:sz w:val="24"/>
        <w:szCs w:val="24"/>
        <w:lang w:val="bg-BG"/>
      </w:rPr>
    </w:pPr>
    <w:r w:rsidRPr="009E6842">
      <w:rPr>
        <w:rFonts w:ascii="Times New Roman" w:hAnsi="Times New Roman" w:cs="Times New Roman"/>
        <w:b/>
        <w:color w:val="0F243E" w:themeColor="text2" w:themeShade="80"/>
        <w:sz w:val="24"/>
        <w:szCs w:val="24"/>
        <w:lang w:val="bg-BG"/>
      </w:rPr>
      <w:t>МОРСКИ ПРОСТРАНСТВЕН ПЛАН НА РЕПУБЛИКА БЪЛГАРИЯ 2021-2035</w:t>
    </w:r>
  </w:p>
  <w:p w14:paraId="4E71C2EF" w14:textId="6D4EDD1C" w:rsidR="00C717D0" w:rsidRDefault="00C7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31B8D"/>
    <w:multiLevelType w:val="hybridMultilevel"/>
    <w:tmpl w:val="6B10AA7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0294816"/>
    <w:multiLevelType w:val="hybridMultilevel"/>
    <w:tmpl w:val="71D8EB0A"/>
    <w:lvl w:ilvl="0" w:tplc="A5BA80BC">
      <w:start w:val="1"/>
      <w:numFmt w:val="bullet"/>
      <w:lvlText w:val=""/>
      <w:lvlJc w:val="left"/>
      <w:pPr>
        <w:ind w:left="420" w:hanging="360"/>
      </w:pPr>
      <w:rPr>
        <w:rFonts w:ascii="Wingdings" w:hAnsi="Wingdings" w:hint="default"/>
        <w:i w:val="0"/>
        <w:iCs/>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 w15:restartNumberingAfterBreak="0">
    <w:nsid w:val="00AA1B08"/>
    <w:multiLevelType w:val="hybridMultilevel"/>
    <w:tmpl w:val="64347D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EA503A"/>
    <w:multiLevelType w:val="hybridMultilevel"/>
    <w:tmpl w:val="288600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501A6"/>
    <w:multiLevelType w:val="hybridMultilevel"/>
    <w:tmpl w:val="ED48AA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0F3B2E"/>
    <w:multiLevelType w:val="multilevel"/>
    <w:tmpl w:val="9C00328A"/>
    <w:lvl w:ilvl="0">
      <w:start w:val="1"/>
      <w:numFmt w:val="decimal"/>
      <w:lvlText w:val="%1."/>
      <w:lvlJc w:val="left"/>
      <w:pPr>
        <w:ind w:left="810" w:hanging="360"/>
      </w:pPr>
      <w:rPr>
        <w:rFonts w:cs="Times New Roman"/>
      </w:rPr>
    </w:lvl>
    <w:lvl w:ilvl="1">
      <w:start w:val="1"/>
      <w:numFmt w:val="decimal"/>
      <w:isLgl/>
      <w:lvlText w:val="%1.%2."/>
      <w:lvlJc w:val="left"/>
      <w:pPr>
        <w:ind w:left="855" w:hanging="405"/>
      </w:pPr>
      <w:rPr>
        <w:rFonts w:hint="default"/>
        <w:color w:val="000000"/>
      </w:rPr>
    </w:lvl>
    <w:lvl w:ilvl="2">
      <w:start w:val="1"/>
      <w:numFmt w:val="decimal"/>
      <w:isLgl/>
      <w:lvlText w:val="%1.%2.%3."/>
      <w:lvlJc w:val="left"/>
      <w:pPr>
        <w:ind w:left="1170" w:hanging="720"/>
      </w:pPr>
      <w:rPr>
        <w:rFonts w:hint="default"/>
        <w:color w:val="000000"/>
      </w:rPr>
    </w:lvl>
    <w:lvl w:ilvl="3">
      <w:start w:val="1"/>
      <w:numFmt w:val="decimal"/>
      <w:isLgl/>
      <w:lvlText w:val="%1.%2.%3.%4."/>
      <w:lvlJc w:val="left"/>
      <w:pPr>
        <w:ind w:left="1170" w:hanging="720"/>
      </w:pPr>
      <w:rPr>
        <w:rFonts w:hint="default"/>
        <w:color w:val="000000"/>
      </w:rPr>
    </w:lvl>
    <w:lvl w:ilvl="4">
      <w:start w:val="1"/>
      <w:numFmt w:val="decimal"/>
      <w:isLgl/>
      <w:lvlText w:val="%1.%2.%3.%4.%5."/>
      <w:lvlJc w:val="left"/>
      <w:pPr>
        <w:ind w:left="1530" w:hanging="1080"/>
      </w:pPr>
      <w:rPr>
        <w:rFonts w:hint="default"/>
        <w:color w:val="000000"/>
      </w:rPr>
    </w:lvl>
    <w:lvl w:ilvl="5">
      <w:start w:val="1"/>
      <w:numFmt w:val="decimal"/>
      <w:isLgl/>
      <w:lvlText w:val="%1.%2.%3.%4.%5.%6."/>
      <w:lvlJc w:val="left"/>
      <w:pPr>
        <w:ind w:left="1530" w:hanging="1080"/>
      </w:pPr>
      <w:rPr>
        <w:rFonts w:hint="default"/>
        <w:color w:val="000000"/>
      </w:rPr>
    </w:lvl>
    <w:lvl w:ilvl="6">
      <w:start w:val="1"/>
      <w:numFmt w:val="decimal"/>
      <w:isLgl/>
      <w:lvlText w:val="%1.%2.%3.%4.%5.%6.%7."/>
      <w:lvlJc w:val="left"/>
      <w:pPr>
        <w:ind w:left="1530" w:hanging="1080"/>
      </w:pPr>
      <w:rPr>
        <w:rFonts w:hint="default"/>
        <w:color w:val="000000"/>
      </w:rPr>
    </w:lvl>
    <w:lvl w:ilvl="7">
      <w:start w:val="1"/>
      <w:numFmt w:val="decimal"/>
      <w:isLgl/>
      <w:lvlText w:val="%1.%2.%3.%4.%5.%6.%7.%8."/>
      <w:lvlJc w:val="left"/>
      <w:pPr>
        <w:ind w:left="1890" w:hanging="1440"/>
      </w:pPr>
      <w:rPr>
        <w:rFonts w:hint="default"/>
        <w:color w:val="000000"/>
      </w:rPr>
    </w:lvl>
    <w:lvl w:ilvl="8">
      <w:start w:val="1"/>
      <w:numFmt w:val="decimal"/>
      <w:isLgl/>
      <w:lvlText w:val="%1.%2.%3.%4.%5.%6.%7.%8.%9."/>
      <w:lvlJc w:val="left"/>
      <w:pPr>
        <w:ind w:left="1890" w:hanging="1440"/>
      </w:pPr>
      <w:rPr>
        <w:rFonts w:hint="default"/>
        <w:color w:val="000000"/>
      </w:rPr>
    </w:lvl>
  </w:abstractNum>
  <w:abstractNum w:abstractNumId="6" w15:restartNumberingAfterBreak="0">
    <w:nsid w:val="032C5FED"/>
    <w:multiLevelType w:val="multilevel"/>
    <w:tmpl w:val="419EA1E8"/>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52D309B"/>
    <w:multiLevelType w:val="hybridMultilevel"/>
    <w:tmpl w:val="D65645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1508FE"/>
    <w:multiLevelType w:val="hybridMultilevel"/>
    <w:tmpl w:val="C1102A26"/>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92249A"/>
    <w:multiLevelType w:val="multilevel"/>
    <w:tmpl w:val="A5260C52"/>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2347F6D"/>
    <w:multiLevelType w:val="hybridMultilevel"/>
    <w:tmpl w:val="E7541770"/>
    <w:lvl w:ilvl="0" w:tplc="0402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2840566"/>
    <w:multiLevelType w:val="hybridMultilevel"/>
    <w:tmpl w:val="979482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F26695"/>
    <w:multiLevelType w:val="multilevel"/>
    <w:tmpl w:val="5EE88358"/>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15:restartNumberingAfterBreak="0">
    <w:nsid w:val="16D75D0B"/>
    <w:multiLevelType w:val="hybridMultilevel"/>
    <w:tmpl w:val="8A52D1CC"/>
    <w:lvl w:ilvl="0" w:tplc="04020005">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175374DD"/>
    <w:multiLevelType w:val="hybridMultilevel"/>
    <w:tmpl w:val="34F85FB8"/>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1778C650">
      <w:start w:val="1"/>
      <w:numFmt w:val="bullet"/>
      <w:pStyle w:val="romb"/>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8A76AD1"/>
    <w:multiLevelType w:val="hybridMultilevel"/>
    <w:tmpl w:val="4698B46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19342647"/>
    <w:multiLevelType w:val="hybridMultilevel"/>
    <w:tmpl w:val="4A9A6A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9157CC"/>
    <w:multiLevelType w:val="hybridMultilevel"/>
    <w:tmpl w:val="F438946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770A55"/>
    <w:multiLevelType w:val="hybridMultilevel"/>
    <w:tmpl w:val="03820E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C240FC"/>
    <w:multiLevelType w:val="hybridMultilevel"/>
    <w:tmpl w:val="8CD446E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0494A5A"/>
    <w:multiLevelType w:val="hybridMultilevel"/>
    <w:tmpl w:val="653AEB7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204E7EE4"/>
    <w:multiLevelType w:val="hybridMultilevel"/>
    <w:tmpl w:val="8FA66AE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D46C56"/>
    <w:multiLevelType w:val="hybridMultilevel"/>
    <w:tmpl w:val="BED6CC8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ED2D44"/>
    <w:multiLevelType w:val="hybridMultilevel"/>
    <w:tmpl w:val="987A21D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23D29B7"/>
    <w:multiLevelType w:val="hybridMultilevel"/>
    <w:tmpl w:val="153A9F82"/>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2401033C"/>
    <w:multiLevelType w:val="hybridMultilevel"/>
    <w:tmpl w:val="6A8628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AC0E92"/>
    <w:multiLevelType w:val="hybridMultilevel"/>
    <w:tmpl w:val="517EC3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6C615F"/>
    <w:multiLevelType w:val="hybridMultilevel"/>
    <w:tmpl w:val="47C0E552"/>
    <w:lvl w:ilvl="0" w:tplc="0402000D">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start w:val="1"/>
      <w:numFmt w:val="bullet"/>
      <w:lvlText w:val=""/>
      <w:lvlJc w:val="left"/>
      <w:pPr>
        <w:tabs>
          <w:tab w:val="num" w:pos="2160"/>
        </w:tabs>
        <w:ind w:left="2160" w:hanging="360"/>
      </w:pPr>
      <w:rPr>
        <w:rFonts w:ascii="Wingdings" w:hAnsi="Wingdings" w:cs="Wingdings" w:hint="default"/>
      </w:rPr>
    </w:lvl>
    <w:lvl w:ilvl="3" w:tplc="04020001">
      <w:start w:val="1"/>
      <w:numFmt w:val="bullet"/>
      <w:lvlText w:val=""/>
      <w:lvlJc w:val="left"/>
      <w:pPr>
        <w:tabs>
          <w:tab w:val="num" w:pos="2880"/>
        </w:tabs>
        <w:ind w:left="2880" w:hanging="360"/>
      </w:pPr>
      <w:rPr>
        <w:rFonts w:ascii="Symbol" w:hAnsi="Symbol" w:cs="Symbol" w:hint="default"/>
      </w:rPr>
    </w:lvl>
    <w:lvl w:ilvl="4" w:tplc="04020003">
      <w:start w:val="1"/>
      <w:numFmt w:val="bullet"/>
      <w:lvlText w:val="o"/>
      <w:lvlJc w:val="left"/>
      <w:pPr>
        <w:tabs>
          <w:tab w:val="num" w:pos="3600"/>
        </w:tabs>
        <w:ind w:left="3600" w:hanging="360"/>
      </w:pPr>
      <w:rPr>
        <w:rFonts w:ascii="Courier New" w:hAnsi="Courier New" w:cs="Courier New" w:hint="default"/>
      </w:rPr>
    </w:lvl>
    <w:lvl w:ilvl="5" w:tplc="04020005">
      <w:start w:val="1"/>
      <w:numFmt w:val="bullet"/>
      <w:lvlText w:val=""/>
      <w:lvlJc w:val="left"/>
      <w:pPr>
        <w:tabs>
          <w:tab w:val="num" w:pos="4320"/>
        </w:tabs>
        <w:ind w:left="4320" w:hanging="360"/>
      </w:pPr>
      <w:rPr>
        <w:rFonts w:ascii="Wingdings" w:hAnsi="Wingdings" w:cs="Wingdings" w:hint="default"/>
      </w:rPr>
    </w:lvl>
    <w:lvl w:ilvl="6" w:tplc="04020001">
      <w:start w:val="1"/>
      <w:numFmt w:val="bullet"/>
      <w:lvlText w:val=""/>
      <w:lvlJc w:val="left"/>
      <w:pPr>
        <w:tabs>
          <w:tab w:val="num" w:pos="5040"/>
        </w:tabs>
        <w:ind w:left="5040" w:hanging="360"/>
      </w:pPr>
      <w:rPr>
        <w:rFonts w:ascii="Symbol" w:hAnsi="Symbol" w:cs="Symbol" w:hint="default"/>
      </w:rPr>
    </w:lvl>
    <w:lvl w:ilvl="7" w:tplc="04020003">
      <w:start w:val="1"/>
      <w:numFmt w:val="bullet"/>
      <w:lvlText w:val="o"/>
      <w:lvlJc w:val="left"/>
      <w:pPr>
        <w:tabs>
          <w:tab w:val="num" w:pos="5760"/>
        </w:tabs>
        <w:ind w:left="5760" w:hanging="360"/>
      </w:pPr>
      <w:rPr>
        <w:rFonts w:ascii="Courier New" w:hAnsi="Courier New" w:cs="Courier New" w:hint="default"/>
      </w:rPr>
    </w:lvl>
    <w:lvl w:ilvl="8" w:tplc="04020005">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26F420F0"/>
    <w:multiLevelType w:val="multilevel"/>
    <w:tmpl w:val="7CD0B00C"/>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9" w15:restartNumberingAfterBreak="0">
    <w:nsid w:val="273545DE"/>
    <w:multiLevelType w:val="hybridMultilevel"/>
    <w:tmpl w:val="3B1AA4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0514E0"/>
    <w:multiLevelType w:val="hybridMultilevel"/>
    <w:tmpl w:val="2A14B2B4"/>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82253F0"/>
    <w:multiLevelType w:val="hybridMultilevel"/>
    <w:tmpl w:val="E31C33DA"/>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28C30740"/>
    <w:multiLevelType w:val="hybridMultilevel"/>
    <w:tmpl w:val="80E687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AFA7DF7"/>
    <w:multiLevelType w:val="hybridMultilevel"/>
    <w:tmpl w:val="A978EE78"/>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D07228F"/>
    <w:multiLevelType w:val="hybridMultilevel"/>
    <w:tmpl w:val="59B006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5" w15:restartNumberingAfterBreak="0">
    <w:nsid w:val="2D1C55BB"/>
    <w:multiLevelType w:val="multilevel"/>
    <w:tmpl w:val="BF4C5F0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2D445450"/>
    <w:multiLevelType w:val="multilevel"/>
    <w:tmpl w:val="B6928D90"/>
    <w:lvl w:ilvl="0">
      <w:start w:val="13"/>
      <w:numFmt w:val="decimal"/>
      <w:lvlText w:val="%1."/>
      <w:lvlJc w:val="left"/>
      <w:pPr>
        <w:ind w:left="405" w:hanging="405"/>
      </w:pPr>
      <w:rPr>
        <w:rFonts w:hint="default"/>
      </w:rPr>
    </w:lvl>
    <w:lvl w:ilvl="1">
      <w:start w:val="9"/>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2D4B4F04"/>
    <w:multiLevelType w:val="hybridMultilevel"/>
    <w:tmpl w:val="FF146AD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81475F"/>
    <w:multiLevelType w:val="hybridMultilevel"/>
    <w:tmpl w:val="7C0A16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9" w15:restartNumberingAfterBreak="0">
    <w:nsid w:val="2E86097E"/>
    <w:multiLevelType w:val="multilevel"/>
    <w:tmpl w:val="419EA1E8"/>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2F701200"/>
    <w:multiLevelType w:val="hybridMultilevel"/>
    <w:tmpl w:val="73142066"/>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2FB023BF"/>
    <w:multiLevelType w:val="hybridMultilevel"/>
    <w:tmpl w:val="070A8DDC"/>
    <w:lvl w:ilvl="0" w:tplc="0409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30724300"/>
    <w:multiLevelType w:val="hybridMultilevel"/>
    <w:tmpl w:val="6A5CB71A"/>
    <w:lvl w:ilvl="0" w:tplc="08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18D28AA"/>
    <w:multiLevelType w:val="hybridMultilevel"/>
    <w:tmpl w:val="7F80E31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15:restartNumberingAfterBreak="0">
    <w:nsid w:val="31DE57FE"/>
    <w:multiLevelType w:val="hybridMultilevel"/>
    <w:tmpl w:val="00CAC1FC"/>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31B5BD9"/>
    <w:multiLevelType w:val="hybridMultilevel"/>
    <w:tmpl w:val="CD2831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3596735B"/>
    <w:multiLevelType w:val="hybridMultilevel"/>
    <w:tmpl w:val="521689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AA61DE"/>
    <w:multiLevelType w:val="multilevel"/>
    <w:tmpl w:val="96D261C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384901E5"/>
    <w:multiLevelType w:val="hybridMultilevel"/>
    <w:tmpl w:val="ACAA81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9E25896"/>
    <w:multiLevelType w:val="hybridMultilevel"/>
    <w:tmpl w:val="8234826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935AA8"/>
    <w:multiLevelType w:val="hybridMultilevel"/>
    <w:tmpl w:val="A978EE78"/>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D1506D2"/>
    <w:multiLevelType w:val="multilevel"/>
    <w:tmpl w:val="BA862D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3D860C7F"/>
    <w:multiLevelType w:val="hybridMultilevel"/>
    <w:tmpl w:val="A978EE78"/>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DE41E12"/>
    <w:multiLevelType w:val="hybridMultilevel"/>
    <w:tmpl w:val="9FC279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DB1123"/>
    <w:multiLevelType w:val="hybridMultilevel"/>
    <w:tmpl w:val="199CC3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F9E504C"/>
    <w:multiLevelType w:val="multilevel"/>
    <w:tmpl w:val="6FA8E1FE"/>
    <w:lvl w:ilvl="0">
      <w:start w:val="1"/>
      <w:numFmt w:val="bullet"/>
      <w:lvlText w:val=""/>
      <w:lvlJc w:val="left"/>
      <w:pPr>
        <w:ind w:left="720" w:hanging="360"/>
      </w:pPr>
      <w:rPr>
        <w:rFonts w:ascii="Wingdings" w:hAnsi="Wingdings" w:cs="Wingdings"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6" w15:restartNumberingAfterBreak="0">
    <w:nsid w:val="43C75AC5"/>
    <w:multiLevelType w:val="hybridMultilevel"/>
    <w:tmpl w:val="0F9082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8B5DD6"/>
    <w:multiLevelType w:val="hybridMultilevel"/>
    <w:tmpl w:val="530C58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50470AE"/>
    <w:multiLevelType w:val="hybridMultilevel"/>
    <w:tmpl w:val="41F6C83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6D3194"/>
    <w:multiLevelType w:val="hybridMultilevel"/>
    <w:tmpl w:val="53903E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223DAF"/>
    <w:multiLevelType w:val="hybridMultilevel"/>
    <w:tmpl w:val="E7483B7E"/>
    <w:lvl w:ilvl="0" w:tplc="F676B148">
      <w:start w:val="1"/>
      <w:numFmt w:val="decimal"/>
      <w:lvlText w:val="%1."/>
      <w:lvlJc w:val="left"/>
      <w:pPr>
        <w:ind w:left="644" w:hanging="360"/>
      </w:pPr>
      <w:rPr>
        <w:rFonts w:hint="default"/>
        <w:b/>
        <w:i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1" w15:restartNumberingAfterBreak="0">
    <w:nsid w:val="48250901"/>
    <w:multiLevelType w:val="hybridMultilevel"/>
    <w:tmpl w:val="241CCB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8A361FA"/>
    <w:multiLevelType w:val="hybridMultilevel"/>
    <w:tmpl w:val="5F86146E"/>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9354565"/>
    <w:multiLevelType w:val="hybridMultilevel"/>
    <w:tmpl w:val="DD4C4E7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958797C"/>
    <w:multiLevelType w:val="hybridMultilevel"/>
    <w:tmpl w:val="B434D160"/>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15:restartNumberingAfterBreak="0">
    <w:nsid w:val="4ADB7172"/>
    <w:multiLevelType w:val="hybridMultilevel"/>
    <w:tmpl w:val="A978EE78"/>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B4B5203"/>
    <w:multiLevelType w:val="hybridMultilevel"/>
    <w:tmpl w:val="EB3E2A7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7" w15:restartNumberingAfterBreak="0">
    <w:nsid w:val="4D020B6F"/>
    <w:multiLevelType w:val="multilevel"/>
    <w:tmpl w:val="BF4C5F0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4DE872CD"/>
    <w:multiLevelType w:val="hybridMultilevel"/>
    <w:tmpl w:val="205602D6"/>
    <w:lvl w:ilvl="0" w:tplc="08090005">
      <w:start w:val="1"/>
      <w:numFmt w:val="bullet"/>
      <w:lvlText w:val=""/>
      <w:lvlJc w:val="left"/>
      <w:pPr>
        <w:ind w:left="720" w:hanging="360"/>
      </w:pPr>
      <w:rPr>
        <w:rFonts w:ascii="Wingdings" w:hAnsi="Wingdings" w:hint="default"/>
      </w:rPr>
    </w:lvl>
    <w:lvl w:ilvl="1" w:tplc="3960A82A">
      <w:numFmt w:val="bullet"/>
      <w:lvlText w:val="•"/>
      <w:lvlJc w:val="left"/>
      <w:pPr>
        <w:ind w:left="1665" w:hanging="585"/>
      </w:pPr>
      <w:rPr>
        <w:rFonts w:ascii="Times New Roman" w:eastAsiaTheme="minorHAns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E7E6FC2"/>
    <w:multiLevelType w:val="multilevel"/>
    <w:tmpl w:val="44EA18F4"/>
    <w:lvl w:ilvl="0">
      <w:start w:val="1"/>
      <w:numFmt w:val="decimal"/>
      <w:lvlText w:val="%1."/>
      <w:lvlJc w:val="left"/>
      <w:pPr>
        <w:ind w:left="720"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70" w15:restartNumberingAfterBreak="0">
    <w:nsid w:val="4F1238CC"/>
    <w:multiLevelType w:val="hybridMultilevel"/>
    <w:tmpl w:val="4470FC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1" w15:restartNumberingAfterBreak="0">
    <w:nsid w:val="4F510A4C"/>
    <w:multiLevelType w:val="hybridMultilevel"/>
    <w:tmpl w:val="7F3483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11011C3"/>
    <w:multiLevelType w:val="multilevel"/>
    <w:tmpl w:val="A1E41306"/>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pStyle w:val="Heading5"/>
      <w:suff w:val="nothing"/>
      <w:lvlText w:val=""/>
      <w:lvlJc w:val="left"/>
      <w:pPr>
        <w:tabs>
          <w:tab w:val="num" w:pos="1008"/>
        </w:tabs>
        <w:ind w:left="1008" w:hanging="1008"/>
      </w:pPr>
    </w:lvl>
    <w:lvl w:ilvl="5">
      <w:start w:val="1"/>
      <w:numFmt w:val="none"/>
      <w:pStyle w:val="Heading6"/>
      <w:suff w:val="nothing"/>
      <w:lvlText w:val=""/>
      <w:lvlJc w:val="left"/>
      <w:pPr>
        <w:tabs>
          <w:tab w:val="num" w:pos="1152"/>
        </w:tabs>
        <w:ind w:left="1152" w:hanging="1152"/>
      </w:pPr>
    </w:lvl>
    <w:lvl w:ilvl="6">
      <w:start w:val="1"/>
      <w:numFmt w:val="none"/>
      <w:pStyle w:val="Heading7"/>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73" w15:restartNumberingAfterBreak="0">
    <w:nsid w:val="52194917"/>
    <w:multiLevelType w:val="hybridMultilevel"/>
    <w:tmpl w:val="918E9FAA"/>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4" w15:restartNumberingAfterBreak="0">
    <w:nsid w:val="52A14025"/>
    <w:multiLevelType w:val="hybridMultilevel"/>
    <w:tmpl w:val="78BC26B8"/>
    <w:lvl w:ilvl="0" w:tplc="04090005">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Times New Roman"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Times New Roman"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Times New Roman"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3326D54"/>
    <w:multiLevelType w:val="hybridMultilevel"/>
    <w:tmpl w:val="DBDE73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4F036E1"/>
    <w:multiLevelType w:val="hybridMultilevel"/>
    <w:tmpl w:val="4C4A393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79020D"/>
    <w:multiLevelType w:val="hybridMultilevel"/>
    <w:tmpl w:val="A9AE0F28"/>
    <w:lvl w:ilvl="0" w:tplc="04020005">
      <w:start w:val="1"/>
      <w:numFmt w:val="bullet"/>
      <w:lvlText w:val=""/>
      <w:lvlJc w:val="left"/>
      <w:pPr>
        <w:ind w:left="630" w:hanging="360"/>
      </w:pPr>
      <w:rPr>
        <w:rFonts w:ascii="Wingdings" w:hAnsi="Wingdings" w:hint="default"/>
      </w:rPr>
    </w:lvl>
    <w:lvl w:ilvl="1" w:tplc="04020003" w:tentative="1">
      <w:start w:val="1"/>
      <w:numFmt w:val="bullet"/>
      <w:lvlText w:val="o"/>
      <w:lvlJc w:val="left"/>
      <w:pPr>
        <w:ind w:left="1350" w:hanging="360"/>
      </w:pPr>
      <w:rPr>
        <w:rFonts w:ascii="Courier New" w:hAnsi="Courier New" w:cs="Courier New" w:hint="default"/>
      </w:rPr>
    </w:lvl>
    <w:lvl w:ilvl="2" w:tplc="04020005" w:tentative="1">
      <w:start w:val="1"/>
      <w:numFmt w:val="bullet"/>
      <w:lvlText w:val=""/>
      <w:lvlJc w:val="left"/>
      <w:pPr>
        <w:ind w:left="2070" w:hanging="360"/>
      </w:pPr>
      <w:rPr>
        <w:rFonts w:ascii="Wingdings" w:hAnsi="Wingdings" w:hint="default"/>
      </w:rPr>
    </w:lvl>
    <w:lvl w:ilvl="3" w:tplc="04020001" w:tentative="1">
      <w:start w:val="1"/>
      <w:numFmt w:val="bullet"/>
      <w:lvlText w:val=""/>
      <w:lvlJc w:val="left"/>
      <w:pPr>
        <w:ind w:left="2790" w:hanging="360"/>
      </w:pPr>
      <w:rPr>
        <w:rFonts w:ascii="Symbol" w:hAnsi="Symbol" w:hint="default"/>
      </w:rPr>
    </w:lvl>
    <w:lvl w:ilvl="4" w:tplc="04020003" w:tentative="1">
      <w:start w:val="1"/>
      <w:numFmt w:val="bullet"/>
      <w:lvlText w:val="o"/>
      <w:lvlJc w:val="left"/>
      <w:pPr>
        <w:ind w:left="3510" w:hanging="360"/>
      </w:pPr>
      <w:rPr>
        <w:rFonts w:ascii="Courier New" w:hAnsi="Courier New" w:cs="Courier New" w:hint="default"/>
      </w:rPr>
    </w:lvl>
    <w:lvl w:ilvl="5" w:tplc="04020005" w:tentative="1">
      <w:start w:val="1"/>
      <w:numFmt w:val="bullet"/>
      <w:lvlText w:val=""/>
      <w:lvlJc w:val="left"/>
      <w:pPr>
        <w:ind w:left="4230" w:hanging="360"/>
      </w:pPr>
      <w:rPr>
        <w:rFonts w:ascii="Wingdings" w:hAnsi="Wingdings" w:hint="default"/>
      </w:rPr>
    </w:lvl>
    <w:lvl w:ilvl="6" w:tplc="04020001" w:tentative="1">
      <w:start w:val="1"/>
      <w:numFmt w:val="bullet"/>
      <w:lvlText w:val=""/>
      <w:lvlJc w:val="left"/>
      <w:pPr>
        <w:ind w:left="4950" w:hanging="360"/>
      </w:pPr>
      <w:rPr>
        <w:rFonts w:ascii="Symbol" w:hAnsi="Symbol" w:hint="default"/>
      </w:rPr>
    </w:lvl>
    <w:lvl w:ilvl="7" w:tplc="04020003" w:tentative="1">
      <w:start w:val="1"/>
      <w:numFmt w:val="bullet"/>
      <w:lvlText w:val="o"/>
      <w:lvlJc w:val="left"/>
      <w:pPr>
        <w:ind w:left="5670" w:hanging="360"/>
      </w:pPr>
      <w:rPr>
        <w:rFonts w:ascii="Courier New" w:hAnsi="Courier New" w:cs="Courier New" w:hint="default"/>
      </w:rPr>
    </w:lvl>
    <w:lvl w:ilvl="8" w:tplc="04020005" w:tentative="1">
      <w:start w:val="1"/>
      <w:numFmt w:val="bullet"/>
      <w:lvlText w:val=""/>
      <w:lvlJc w:val="left"/>
      <w:pPr>
        <w:ind w:left="6390" w:hanging="360"/>
      </w:pPr>
      <w:rPr>
        <w:rFonts w:ascii="Wingdings" w:hAnsi="Wingdings" w:hint="default"/>
      </w:rPr>
    </w:lvl>
  </w:abstractNum>
  <w:abstractNum w:abstractNumId="78" w15:restartNumberingAfterBreak="0">
    <w:nsid w:val="57D72155"/>
    <w:multiLevelType w:val="hybridMultilevel"/>
    <w:tmpl w:val="DE0C32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802030E"/>
    <w:multiLevelType w:val="hybridMultilevel"/>
    <w:tmpl w:val="66A4FA8E"/>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9920BA4"/>
    <w:multiLevelType w:val="hybridMultilevel"/>
    <w:tmpl w:val="A3EC1A30"/>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1" w15:restartNumberingAfterBreak="0">
    <w:nsid w:val="5AAB09C3"/>
    <w:multiLevelType w:val="hybridMultilevel"/>
    <w:tmpl w:val="A978EE78"/>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FAA56F3"/>
    <w:multiLevelType w:val="hybridMultilevel"/>
    <w:tmpl w:val="DE947E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32388A"/>
    <w:multiLevelType w:val="hybridMultilevel"/>
    <w:tmpl w:val="AACABC5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2244A0A"/>
    <w:multiLevelType w:val="hybridMultilevel"/>
    <w:tmpl w:val="536016B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3405AE0"/>
    <w:multiLevelType w:val="hybridMultilevel"/>
    <w:tmpl w:val="2E2820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3C4287D"/>
    <w:multiLevelType w:val="hybridMultilevel"/>
    <w:tmpl w:val="F2A649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7" w15:restartNumberingAfterBreak="0">
    <w:nsid w:val="63CF3E44"/>
    <w:multiLevelType w:val="hybridMultilevel"/>
    <w:tmpl w:val="DF66ED8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6324DA4"/>
    <w:multiLevelType w:val="hybridMultilevel"/>
    <w:tmpl w:val="9E9C7680"/>
    <w:lvl w:ilvl="0" w:tplc="04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9" w15:restartNumberingAfterBreak="0">
    <w:nsid w:val="66342AD8"/>
    <w:multiLevelType w:val="hybridMultilevel"/>
    <w:tmpl w:val="A978EE78"/>
    <w:lvl w:ilvl="0" w:tplc="356A6C34">
      <w:start w:val="1"/>
      <w:numFmt w:val="decimal"/>
      <w:lvlText w:val="%1."/>
      <w:lvlJc w:val="left"/>
      <w:pPr>
        <w:ind w:left="360" w:hanging="360"/>
      </w:pPr>
      <w:rPr>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7FB63B8"/>
    <w:multiLevelType w:val="multilevel"/>
    <w:tmpl w:val="C51E9A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1" w15:restartNumberingAfterBreak="0">
    <w:nsid w:val="68F665F4"/>
    <w:multiLevelType w:val="hybridMultilevel"/>
    <w:tmpl w:val="2E4444A8"/>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2" w15:restartNumberingAfterBreak="0">
    <w:nsid w:val="6E417447"/>
    <w:multiLevelType w:val="hybridMultilevel"/>
    <w:tmpl w:val="3B8E37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EA570D5"/>
    <w:multiLevelType w:val="hybridMultilevel"/>
    <w:tmpl w:val="EBBC1A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FB4295A"/>
    <w:multiLevelType w:val="hybridMultilevel"/>
    <w:tmpl w:val="5ABAF4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FD34FB6"/>
    <w:multiLevelType w:val="hybridMultilevel"/>
    <w:tmpl w:val="99CA50B6"/>
    <w:lvl w:ilvl="0" w:tplc="04020005">
      <w:start w:val="1"/>
      <w:numFmt w:val="bullet"/>
      <w:lvlText w:val=""/>
      <w:lvlJc w:val="left"/>
      <w:pPr>
        <w:ind w:left="720" w:hanging="360"/>
      </w:pPr>
      <w:rPr>
        <w:rFonts w:ascii="Wingdings" w:hAnsi="Wingdings" w:hint="default"/>
      </w:rPr>
    </w:lvl>
    <w:lvl w:ilvl="1" w:tplc="04020001">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6" w15:restartNumberingAfterBreak="0">
    <w:nsid w:val="7196571C"/>
    <w:multiLevelType w:val="multilevel"/>
    <w:tmpl w:val="419EA1E8"/>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7" w15:restartNumberingAfterBreak="0">
    <w:nsid w:val="71B0444B"/>
    <w:multiLevelType w:val="hybridMultilevel"/>
    <w:tmpl w:val="7878FC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3247278"/>
    <w:multiLevelType w:val="hybridMultilevel"/>
    <w:tmpl w:val="6E8EAC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9" w15:restartNumberingAfterBreak="0">
    <w:nsid w:val="748308DB"/>
    <w:multiLevelType w:val="hybridMultilevel"/>
    <w:tmpl w:val="DA7C40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52C57FE"/>
    <w:multiLevelType w:val="hybridMultilevel"/>
    <w:tmpl w:val="BF582F26"/>
    <w:lvl w:ilvl="0" w:tplc="0409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1" w15:restartNumberingAfterBreak="0">
    <w:nsid w:val="79D531F1"/>
    <w:multiLevelType w:val="hybridMultilevel"/>
    <w:tmpl w:val="70747408"/>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2" w15:restartNumberingAfterBreak="0">
    <w:nsid w:val="7AD92267"/>
    <w:multiLevelType w:val="hybridMultilevel"/>
    <w:tmpl w:val="F2043B4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3" w15:restartNumberingAfterBreak="0">
    <w:nsid w:val="7AEA3AE1"/>
    <w:multiLevelType w:val="hybridMultilevel"/>
    <w:tmpl w:val="FE7C61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AFA177D"/>
    <w:multiLevelType w:val="hybridMultilevel"/>
    <w:tmpl w:val="828CC8EC"/>
    <w:lvl w:ilvl="0" w:tplc="04090005">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1C1439"/>
    <w:multiLevelType w:val="hybridMultilevel"/>
    <w:tmpl w:val="00B20C0E"/>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7D6F501B"/>
    <w:multiLevelType w:val="hybridMultilevel"/>
    <w:tmpl w:val="B708630A"/>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7" w15:restartNumberingAfterBreak="0">
    <w:nsid w:val="7F0A09E9"/>
    <w:multiLevelType w:val="hybridMultilevel"/>
    <w:tmpl w:val="A3ACADDC"/>
    <w:lvl w:ilvl="0" w:tplc="0402000D">
      <w:start w:val="1"/>
      <w:numFmt w:val="bullet"/>
      <w:lvlText w:val=""/>
      <w:lvlJc w:val="left"/>
      <w:pPr>
        <w:ind w:left="1571" w:hanging="360"/>
      </w:pPr>
      <w:rPr>
        <w:rFonts w:ascii="Wingdings" w:hAnsi="Wingdings" w:hint="default"/>
      </w:rPr>
    </w:lvl>
    <w:lvl w:ilvl="1" w:tplc="0402000D">
      <w:start w:val="1"/>
      <w:numFmt w:val="bullet"/>
      <w:lvlText w:val=""/>
      <w:lvlJc w:val="left"/>
      <w:pPr>
        <w:ind w:left="2291" w:hanging="360"/>
      </w:pPr>
      <w:rPr>
        <w:rFonts w:ascii="Wingdings" w:hAnsi="Wingdings"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num w:numId="1">
    <w:abstractNumId w:val="72"/>
  </w:num>
  <w:num w:numId="2">
    <w:abstractNumId w:val="23"/>
  </w:num>
  <w:num w:numId="3">
    <w:abstractNumId w:val="62"/>
  </w:num>
  <w:num w:numId="4">
    <w:abstractNumId w:val="74"/>
  </w:num>
  <w:num w:numId="5">
    <w:abstractNumId w:val="26"/>
  </w:num>
  <w:num w:numId="6">
    <w:abstractNumId w:val="45"/>
  </w:num>
  <w:num w:numId="7">
    <w:abstractNumId w:val="98"/>
  </w:num>
  <w:num w:numId="8">
    <w:abstractNumId w:val="48"/>
  </w:num>
  <w:num w:numId="9">
    <w:abstractNumId w:val="38"/>
  </w:num>
  <w:num w:numId="10">
    <w:abstractNumId w:val="86"/>
  </w:num>
  <w:num w:numId="11">
    <w:abstractNumId w:val="70"/>
  </w:num>
  <w:num w:numId="12">
    <w:abstractNumId w:val="88"/>
  </w:num>
  <w:num w:numId="13">
    <w:abstractNumId w:val="34"/>
  </w:num>
  <w:num w:numId="14">
    <w:abstractNumId w:val="14"/>
  </w:num>
  <w:num w:numId="15">
    <w:abstractNumId w:val="5"/>
  </w:num>
  <w:num w:numId="16">
    <w:abstractNumId w:val="68"/>
  </w:num>
  <w:num w:numId="17">
    <w:abstractNumId w:val="87"/>
  </w:num>
  <w:num w:numId="18">
    <w:abstractNumId w:val="15"/>
  </w:num>
  <w:num w:numId="19">
    <w:abstractNumId w:val="102"/>
  </w:num>
  <w:num w:numId="20">
    <w:abstractNumId w:val="0"/>
  </w:num>
  <w:num w:numId="21">
    <w:abstractNumId w:val="20"/>
  </w:num>
  <w:num w:numId="22">
    <w:abstractNumId w:val="16"/>
  </w:num>
  <w:num w:numId="23">
    <w:abstractNumId w:val="61"/>
  </w:num>
  <w:num w:numId="24">
    <w:abstractNumId w:val="78"/>
  </w:num>
  <w:num w:numId="25">
    <w:abstractNumId w:val="7"/>
  </w:num>
  <w:num w:numId="26">
    <w:abstractNumId w:val="32"/>
  </w:num>
  <w:num w:numId="27">
    <w:abstractNumId w:val="76"/>
  </w:num>
  <w:num w:numId="28">
    <w:abstractNumId w:val="44"/>
  </w:num>
  <w:num w:numId="29">
    <w:abstractNumId w:val="71"/>
  </w:num>
  <w:num w:numId="30">
    <w:abstractNumId w:val="18"/>
  </w:num>
  <w:num w:numId="31">
    <w:abstractNumId w:val="94"/>
  </w:num>
  <w:num w:numId="32">
    <w:abstractNumId w:val="84"/>
  </w:num>
  <w:num w:numId="33">
    <w:abstractNumId w:val="41"/>
  </w:num>
  <w:num w:numId="34">
    <w:abstractNumId w:val="99"/>
  </w:num>
  <w:num w:numId="35">
    <w:abstractNumId w:val="92"/>
  </w:num>
  <w:num w:numId="36">
    <w:abstractNumId w:val="53"/>
  </w:num>
  <w:num w:numId="37">
    <w:abstractNumId w:val="43"/>
  </w:num>
  <w:num w:numId="38">
    <w:abstractNumId w:val="82"/>
  </w:num>
  <w:num w:numId="39">
    <w:abstractNumId w:val="30"/>
  </w:num>
  <w:num w:numId="40">
    <w:abstractNumId w:val="24"/>
  </w:num>
  <w:num w:numId="41">
    <w:abstractNumId w:val="13"/>
  </w:num>
  <w:num w:numId="42">
    <w:abstractNumId w:val="80"/>
  </w:num>
  <w:num w:numId="43">
    <w:abstractNumId w:val="107"/>
  </w:num>
  <w:num w:numId="44">
    <w:abstractNumId w:val="106"/>
  </w:num>
  <w:num w:numId="45">
    <w:abstractNumId w:val="104"/>
  </w:num>
  <w:num w:numId="46">
    <w:abstractNumId w:val="31"/>
  </w:num>
  <w:num w:numId="47">
    <w:abstractNumId w:val="1"/>
  </w:num>
  <w:num w:numId="48">
    <w:abstractNumId w:val="25"/>
  </w:num>
  <w:num w:numId="49">
    <w:abstractNumId w:val="81"/>
  </w:num>
  <w:num w:numId="50">
    <w:abstractNumId w:val="103"/>
  </w:num>
  <w:num w:numId="51">
    <w:abstractNumId w:val="21"/>
  </w:num>
  <w:num w:numId="52">
    <w:abstractNumId w:val="85"/>
  </w:num>
  <w:num w:numId="53">
    <w:abstractNumId w:val="54"/>
  </w:num>
  <w:num w:numId="54">
    <w:abstractNumId w:val="3"/>
  </w:num>
  <w:num w:numId="55">
    <w:abstractNumId w:val="58"/>
  </w:num>
  <w:num w:numId="56">
    <w:abstractNumId w:val="17"/>
  </w:num>
  <w:num w:numId="57">
    <w:abstractNumId w:val="97"/>
  </w:num>
  <w:num w:numId="58">
    <w:abstractNumId w:val="2"/>
  </w:num>
  <w:num w:numId="59">
    <w:abstractNumId w:val="91"/>
  </w:num>
  <w:num w:numId="60">
    <w:abstractNumId w:val="40"/>
  </w:num>
  <w:num w:numId="61">
    <w:abstractNumId w:val="105"/>
  </w:num>
  <w:num w:numId="62">
    <w:abstractNumId w:val="73"/>
  </w:num>
  <w:num w:numId="63">
    <w:abstractNumId w:val="100"/>
  </w:num>
  <w:num w:numId="64">
    <w:abstractNumId w:val="27"/>
  </w:num>
  <w:num w:numId="65">
    <w:abstractNumId w:val="10"/>
  </w:num>
  <w:num w:numId="66">
    <w:abstractNumId w:val="11"/>
  </w:num>
  <w:num w:numId="67">
    <w:abstractNumId w:val="4"/>
  </w:num>
  <w:num w:numId="68">
    <w:abstractNumId w:val="59"/>
  </w:num>
  <w:num w:numId="69">
    <w:abstractNumId w:val="75"/>
  </w:num>
  <w:num w:numId="70">
    <w:abstractNumId w:val="93"/>
  </w:num>
  <w:num w:numId="71">
    <w:abstractNumId w:val="56"/>
  </w:num>
  <w:num w:numId="72">
    <w:abstractNumId w:val="29"/>
  </w:num>
  <w:num w:numId="73">
    <w:abstractNumId w:val="60"/>
  </w:num>
  <w:num w:numId="74">
    <w:abstractNumId w:val="9"/>
  </w:num>
  <w:num w:numId="75">
    <w:abstractNumId w:val="66"/>
  </w:num>
  <w:num w:numId="76">
    <w:abstractNumId w:val="101"/>
  </w:num>
  <w:num w:numId="77">
    <w:abstractNumId w:val="64"/>
  </w:num>
  <w:num w:numId="78">
    <w:abstractNumId w:val="57"/>
  </w:num>
  <w:num w:numId="79">
    <w:abstractNumId w:val="46"/>
  </w:num>
  <w:num w:numId="80">
    <w:abstractNumId w:val="63"/>
  </w:num>
  <w:num w:numId="81">
    <w:abstractNumId w:val="37"/>
  </w:num>
  <w:num w:numId="82">
    <w:abstractNumId w:val="12"/>
  </w:num>
  <w:num w:numId="83">
    <w:abstractNumId w:val="77"/>
  </w:num>
  <w:num w:numId="84">
    <w:abstractNumId w:val="49"/>
  </w:num>
  <w:num w:numId="85">
    <w:abstractNumId w:val="47"/>
  </w:num>
  <w:num w:numId="86">
    <w:abstractNumId w:val="67"/>
  </w:num>
  <w:num w:numId="87">
    <w:abstractNumId w:val="35"/>
  </w:num>
  <w:num w:numId="88">
    <w:abstractNumId w:val="96"/>
  </w:num>
  <w:num w:numId="89">
    <w:abstractNumId w:val="6"/>
  </w:num>
  <w:num w:numId="90">
    <w:abstractNumId w:val="39"/>
  </w:num>
  <w:num w:numId="91">
    <w:abstractNumId w:val="36"/>
  </w:num>
  <w:num w:numId="92">
    <w:abstractNumId w:val="55"/>
  </w:num>
  <w:num w:numId="93">
    <w:abstractNumId w:val="28"/>
  </w:num>
  <w:num w:numId="94">
    <w:abstractNumId w:val="8"/>
  </w:num>
  <w:num w:numId="95">
    <w:abstractNumId w:val="52"/>
  </w:num>
  <w:num w:numId="96">
    <w:abstractNumId w:val="33"/>
  </w:num>
  <w:num w:numId="97">
    <w:abstractNumId w:val="89"/>
  </w:num>
  <w:num w:numId="98">
    <w:abstractNumId w:val="50"/>
  </w:num>
  <w:num w:numId="99">
    <w:abstractNumId w:val="79"/>
  </w:num>
  <w:num w:numId="100">
    <w:abstractNumId w:val="42"/>
  </w:num>
  <w:num w:numId="101">
    <w:abstractNumId w:val="22"/>
  </w:num>
  <w:num w:numId="102">
    <w:abstractNumId w:val="90"/>
  </w:num>
  <w:num w:numId="103">
    <w:abstractNumId w:val="72"/>
  </w:num>
  <w:num w:numId="104">
    <w:abstractNumId w:val="72"/>
  </w:num>
  <w:num w:numId="105">
    <w:abstractNumId w:val="72"/>
  </w:num>
  <w:num w:numId="106">
    <w:abstractNumId w:val="72"/>
  </w:num>
  <w:num w:numId="107">
    <w:abstractNumId w:val="95"/>
  </w:num>
  <w:num w:numId="108">
    <w:abstractNumId w:val="83"/>
  </w:num>
  <w:num w:numId="109">
    <w:abstractNumId w:val="19"/>
  </w:num>
  <w:num w:numId="110">
    <w:abstractNumId w:val="65"/>
  </w:num>
  <w:num w:numId="111">
    <w:abstractNumId w:val="51"/>
  </w:num>
  <w:num w:numId="11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72"/>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4096" w:nlCheck="1" w:checkStyle="0"/>
  <w:activeWritingStyle w:appName="MSWord" w:lang="ru-RU"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s-ES" w:vendorID="64" w:dllVersion="4096" w:nlCheck="1" w:checkStyle="0"/>
  <w:activeWritingStyle w:appName="MSWord" w:lang="en-US" w:vendorID="64" w:dllVersion="0" w:nlCheck="1" w:checkStyle="0"/>
  <w:activeWritingStyle w:appName="MSWord" w:lang="en-GB" w:vendorID="64" w:dllVersion="0" w:nlCheck="1" w:checkStyle="0"/>
  <w:activeWritingStyle w:appName="MSWord" w:lang="ru-RU" w:vendorID="64" w:dllVersion="0" w:nlCheck="1" w:checkStyle="0"/>
  <w:activeWritingStyle w:appName="MSWord" w:lang="de-DE" w:vendorID="64" w:dllVersion="0" w:nlCheck="1" w:checkStyle="0"/>
  <w:activeWritingStyle w:appName="MSWord" w:lang="es-ES" w:vendorID="64" w:dllVersion="0" w:nlCheck="1" w:checkStyle="0"/>
  <w:activeWritingStyle w:appName="MSWord" w:lang="en-GB" w:vendorID="64" w:dllVersion="131078" w:nlCheck="1" w:checkStyle="1"/>
  <w:activeWritingStyle w:appName="MSWord" w:lang="en-US" w:vendorID="64" w:dllVersion="131078" w:nlCheck="1" w:checkStyle="1"/>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62CF"/>
    <w:rsid w:val="000006E3"/>
    <w:rsid w:val="00001C83"/>
    <w:rsid w:val="00001D34"/>
    <w:rsid w:val="00002A51"/>
    <w:rsid w:val="00004BA4"/>
    <w:rsid w:val="00004E6B"/>
    <w:rsid w:val="000064CC"/>
    <w:rsid w:val="00006A20"/>
    <w:rsid w:val="0000713E"/>
    <w:rsid w:val="0000740D"/>
    <w:rsid w:val="00007910"/>
    <w:rsid w:val="00007BFA"/>
    <w:rsid w:val="00010904"/>
    <w:rsid w:val="00010F9A"/>
    <w:rsid w:val="00011434"/>
    <w:rsid w:val="00011F0B"/>
    <w:rsid w:val="00012D1F"/>
    <w:rsid w:val="00013089"/>
    <w:rsid w:val="00013745"/>
    <w:rsid w:val="000139D5"/>
    <w:rsid w:val="00014204"/>
    <w:rsid w:val="00014D09"/>
    <w:rsid w:val="00015013"/>
    <w:rsid w:val="0001598E"/>
    <w:rsid w:val="0001651D"/>
    <w:rsid w:val="00016A5C"/>
    <w:rsid w:val="00016AB5"/>
    <w:rsid w:val="00016AE0"/>
    <w:rsid w:val="00017F59"/>
    <w:rsid w:val="000210AC"/>
    <w:rsid w:val="000212A3"/>
    <w:rsid w:val="00022803"/>
    <w:rsid w:val="00022EE3"/>
    <w:rsid w:val="00024ACE"/>
    <w:rsid w:val="00025817"/>
    <w:rsid w:val="00027234"/>
    <w:rsid w:val="00031379"/>
    <w:rsid w:val="00031DFD"/>
    <w:rsid w:val="00032F47"/>
    <w:rsid w:val="00033701"/>
    <w:rsid w:val="000337E8"/>
    <w:rsid w:val="00033AA4"/>
    <w:rsid w:val="00033EAD"/>
    <w:rsid w:val="000344BF"/>
    <w:rsid w:val="0003451C"/>
    <w:rsid w:val="0003485E"/>
    <w:rsid w:val="00035054"/>
    <w:rsid w:val="00035509"/>
    <w:rsid w:val="00037207"/>
    <w:rsid w:val="00037722"/>
    <w:rsid w:val="00037924"/>
    <w:rsid w:val="00041385"/>
    <w:rsid w:val="0004160B"/>
    <w:rsid w:val="00042919"/>
    <w:rsid w:val="00042A23"/>
    <w:rsid w:val="00042C3E"/>
    <w:rsid w:val="00043308"/>
    <w:rsid w:val="000434A3"/>
    <w:rsid w:val="0004579C"/>
    <w:rsid w:val="000463D1"/>
    <w:rsid w:val="00046646"/>
    <w:rsid w:val="00046B23"/>
    <w:rsid w:val="000472CD"/>
    <w:rsid w:val="00047817"/>
    <w:rsid w:val="00047852"/>
    <w:rsid w:val="00047F05"/>
    <w:rsid w:val="00051251"/>
    <w:rsid w:val="00051B0E"/>
    <w:rsid w:val="00052828"/>
    <w:rsid w:val="00052A22"/>
    <w:rsid w:val="0005362C"/>
    <w:rsid w:val="00053CAD"/>
    <w:rsid w:val="00054383"/>
    <w:rsid w:val="00054741"/>
    <w:rsid w:val="0005519C"/>
    <w:rsid w:val="0005678A"/>
    <w:rsid w:val="00056D53"/>
    <w:rsid w:val="00057D7B"/>
    <w:rsid w:val="0006067C"/>
    <w:rsid w:val="00060A03"/>
    <w:rsid w:val="00060F79"/>
    <w:rsid w:val="000610CF"/>
    <w:rsid w:val="00061406"/>
    <w:rsid w:val="00062DA1"/>
    <w:rsid w:val="00064F2D"/>
    <w:rsid w:val="00065180"/>
    <w:rsid w:val="00065426"/>
    <w:rsid w:val="0006569B"/>
    <w:rsid w:val="0006689E"/>
    <w:rsid w:val="000669A5"/>
    <w:rsid w:val="00066ABA"/>
    <w:rsid w:val="00066E8D"/>
    <w:rsid w:val="000677A5"/>
    <w:rsid w:val="00071B6B"/>
    <w:rsid w:val="00074716"/>
    <w:rsid w:val="000747BC"/>
    <w:rsid w:val="00074EEC"/>
    <w:rsid w:val="00075321"/>
    <w:rsid w:val="00075703"/>
    <w:rsid w:val="000765AE"/>
    <w:rsid w:val="00076EB3"/>
    <w:rsid w:val="000771A4"/>
    <w:rsid w:val="00077396"/>
    <w:rsid w:val="00077854"/>
    <w:rsid w:val="00080DB1"/>
    <w:rsid w:val="00081F8B"/>
    <w:rsid w:val="0008394A"/>
    <w:rsid w:val="00083FA4"/>
    <w:rsid w:val="0008419D"/>
    <w:rsid w:val="00084A45"/>
    <w:rsid w:val="00085647"/>
    <w:rsid w:val="0008574A"/>
    <w:rsid w:val="00086877"/>
    <w:rsid w:val="00087A20"/>
    <w:rsid w:val="00090867"/>
    <w:rsid w:val="00090FCB"/>
    <w:rsid w:val="00091235"/>
    <w:rsid w:val="000917AA"/>
    <w:rsid w:val="00091BE7"/>
    <w:rsid w:val="000929F1"/>
    <w:rsid w:val="00092A84"/>
    <w:rsid w:val="000932C2"/>
    <w:rsid w:val="0009366F"/>
    <w:rsid w:val="00093752"/>
    <w:rsid w:val="00094654"/>
    <w:rsid w:val="00094ADD"/>
    <w:rsid w:val="00095524"/>
    <w:rsid w:val="00095F0C"/>
    <w:rsid w:val="0009742C"/>
    <w:rsid w:val="00097679"/>
    <w:rsid w:val="00097B37"/>
    <w:rsid w:val="000A0B20"/>
    <w:rsid w:val="000A1E1A"/>
    <w:rsid w:val="000A25AA"/>
    <w:rsid w:val="000A2F66"/>
    <w:rsid w:val="000A31CC"/>
    <w:rsid w:val="000A32C6"/>
    <w:rsid w:val="000A3416"/>
    <w:rsid w:val="000A381F"/>
    <w:rsid w:val="000A3D51"/>
    <w:rsid w:val="000A3DD3"/>
    <w:rsid w:val="000A4141"/>
    <w:rsid w:val="000A6746"/>
    <w:rsid w:val="000A795E"/>
    <w:rsid w:val="000A7AFB"/>
    <w:rsid w:val="000B048C"/>
    <w:rsid w:val="000B05B7"/>
    <w:rsid w:val="000B1118"/>
    <w:rsid w:val="000B17D1"/>
    <w:rsid w:val="000B1E6E"/>
    <w:rsid w:val="000B29A9"/>
    <w:rsid w:val="000B2B0B"/>
    <w:rsid w:val="000B3682"/>
    <w:rsid w:val="000B3D99"/>
    <w:rsid w:val="000B404C"/>
    <w:rsid w:val="000B43FD"/>
    <w:rsid w:val="000B48B7"/>
    <w:rsid w:val="000B5FFA"/>
    <w:rsid w:val="000B71B9"/>
    <w:rsid w:val="000B73C4"/>
    <w:rsid w:val="000B7461"/>
    <w:rsid w:val="000B7E9C"/>
    <w:rsid w:val="000C019D"/>
    <w:rsid w:val="000C0A71"/>
    <w:rsid w:val="000C0B67"/>
    <w:rsid w:val="000C1420"/>
    <w:rsid w:val="000C40FB"/>
    <w:rsid w:val="000C428F"/>
    <w:rsid w:val="000C47C1"/>
    <w:rsid w:val="000C5716"/>
    <w:rsid w:val="000C5B22"/>
    <w:rsid w:val="000C6509"/>
    <w:rsid w:val="000C67F0"/>
    <w:rsid w:val="000C774E"/>
    <w:rsid w:val="000D13E1"/>
    <w:rsid w:val="000D1D3C"/>
    <w:rsid w:val="000D2175"/>
    <w:rsid w:val="000D2AAD"/>
    <w:rsid w:val="000D2FE8"/>
    <w:rsid w:val="000D40DA"/>
    <w:rsid w:val="000D5BF5"/>
    <w:rsid w:val="000D6378"/>
    <w:rsid w:val="000D7A35"/>
    <w:rsid w:val="000E0953"/>
    <w:rsid w:val="000E0A3F"/>
    <w:rsid w:val="000E2DE5"/>
    <w:rsid w:val="000E3B90"/>
    <w:rsid w:val="000E47EC"/>
    <w:rsid w:val="000E57B7"/>
    <w:rsid w:val="000E64B6"/>
    <w:rsid w:val="000E6BA7"/>
    <w:rsid w:val="000E7851"/>
    <w:rsid w:val="000E7C6A"/>
    <w:rsid w:val="000E7EC5"/>
    <w:rsid w:val="000F0DD4"/>
    <w:rsid w:val="000F1A0C"/>
    <w:rsid w:val="000F1C5C"/>
    <w:rsid w:val="000F26BE"/>
    <w:rsid w:val="000F2950"/>
    <w:rsid w:val="000F2BE5"/>
    <w:rsid w:val="000F3667"/>
    <w:rsid w:val="000F3849"/>
    <w:rsid w:val="000F4270"/>
    <w:rsid w:val="000F54F8"/>
    <w:rsid w:val="000F6B91"/>
    <w:rsid w:val="000F6CBC"/>
    <w:rsid w:val="000F6E27"/>
    <w:rsid w:val="000F727D"/>
    <w:rsid w:val="001025B6"/>
    <w:rsid w:val="0010314D"/>
    <w:rsid w:val="00103F1F"/>
    <w:rsid w:val="00104A46"/>
    <w:rsid w:val="00105A09"/>
    <w:rsid w:val="00105B23"/>
    <w:rsid w:val="00106945"/>
    <w:rsid w:val="00106D00"/>
    <w:rsid w:val="00107A8E"/>
    <w:rsid w:val="00107E3C"/>
    <w:rsid w:val="00110467"/>
    <w:rsid w:val="00110503"/>
    <w:rsid w:val="00110E77"/>
    <w:rsid w:val="00111024"/>
    <w:rsid w:val="001119B3"/>
    <w:rsid w:val="00111A49"/>
    <w:rsid w:val="00111A5D"/>
    <w:rsid w:val="00111F72"/>
    <w:rsid w:val="001122B3"/>
    <w:rsid w:val="001122D3"/>
    <w:rsid w:val="00112630"/>
    <w:rsid w:val="00112FEA"/>
    <w:rsid w:val="0011358A"/>
    <w:rsid w:val="00113EE1"/>
    <w:rsid w:val="001145F8"/>
    <w:rsid w:val="00115731"/>
    <w:rsid w:val="00115C71"/>
    <w:rsid w:val="00115C8D"/>
    <w:rsid w:val="00116976"/>
    <w:rsid w:val="00116A4A"/>
    <w:rsid w:val="00116E1E"/>
    <w:rsid w:val="001223CA"/>
    <w:rsid w:val="00124648"/>
    <w:rsid w:val="00124B49"/>
    <w:rsid w:val="00125BDB"/>
    <w:rsid w:val="00125EB4"/>
    <w:rsid w:val="00126AA7"/>
    <w:rsid w:val="00126C31"/>
    <w:rsid w:val="00126CF5"/>
    <w:rsid w:val="00130DCC"/>
    <w:rsid w:val="0013176E"/>
    <w:rsid w:val="001318DA"/>
    <w:rsid w:val="00131E8B"/>
    <w:rsid w:val="001332C1"/>
    <w:rsid w:val="00133370"/>
    <w:rsid w:val="0013343B"/>
    <w:rsid w:val="00133B13"/>
    <w:rsid w:val="0013510D"/>
    <w:rsid w:val="001356EE"/>
    <w:rsid w:val="00135F86"/>
    <w:rsid w:val="001363AC"/>
    <w:rsid w:val="00136FB2"/>
    <w:rsid w:val="001377DF"/>
    <w:rsid w:val="001403D3"/>
    <w:rsid w:val="00140F67"/>
    <w:rsid w:val="001412C7"/>
    <w:rsid w:val="0014263F"/>
    <w:rsid w:val="001430C2"/>
    <w:rsid w:val="00143CBE"/>
    <w:rsid w:val="00144A0E"/>
    <w:rsid w:val="001454C5"/>
    <w:rsid w:val="00150F08"/>
    <w:rsid w:val="00151493"/>
    <w:rsid w:val="001514E1"/>
    <w:rsid w:val="00151853"/>
    <w:rsid w:val="00151973"/>
    <w:rsid w:val="0015205E"/>
    <w:rsid w:val="0015264A"/>
    <w:rsid w:val="00152891"/>
    <w:rsid w:val="00152A3E"/>
    <w:rsid w:val="00153340"/>
    <w:rsid w:val="001537DF"/>
    <w:rsid w:val="001552E0"/>
    <w:rsid w:val="00155C52"/>
    <w:rsid w:val="00155FCD"/>
    <w:rsid w:val="00156DE9"/>
    <w:rsid w:val="00157F20"/>
    <w:rsid w:val="0016036F"/>
    <w:rsid w:val="00160777"/>
    <w:rsid w:val="00160C72"/>
    <w:rsid w:val="00162B7E"/>
    <w:rsid w:val="00163F41"/>
    <w:rsid w:val="0016487D"/>
    <w:rsid w:val="00164941"/>
    <w:rsid w:val="00164B8D"/>
    <w:rsid w:val="00164E27"/>
    <w:rsid w:val="00165537"/>
    <w:rsid w:val="001662DD"/>
    <w:rsid w:val="001662E7"/>
    <w:rsid w:val="00166AB2"/>
    <w:rsid w:val="00170C6D"/>
    <w:rsid w:val="00172ADA"/>
    <w:rsid w:val="00172D5E"/>
    <w:rsid w:val="00173C7E"/>
    <w:rsid w:val="001744D3"/>
    <w:rsid w:val="001748FA"/>
    <w:rsid w:val="00175199"/>
    <w:rsid w:val="001757A5"/>
    <w:rsid w:val="00175A82"/>
    <w:rsid w:val="00176171"/>
    <w:rsid w:val="001773B3"/>
    <w:rsid w:val="001802D1"/>
    <w:rsid w:val="001807DB"/>
    <w:rsid w:val="0018150C"/>
    <w:rsid w:val="00183FEA"/>
    <w:rsid w:val="00184BAA"/>
    <w:rsid w:val="00184F3D"/>
    <w:rsid w:val="001856E2"/>
    <w:rsid w:val="00185FE2"/>
    <w:rsid w:val="0018632B"/>
    <w:rsid w:val="0018725C"/>
    <w:rsid w:val="00187BC9"/>
    <w:rsid w:val="00187F5C"/>
    <w:rsid w:val="001906A6"/>
    <w:rsid w:val="00190E62"/>
    <w:rsid w:val="001912E5"/>
    <w:rsid w:val="001917E1"/>
    <w:rsid w:val="0019197F"/>
    <w:rsid w:val="00192031"/>
    <w:rsid w:val="001920BC"/>
    <w:rsid w:val="00192401"/>
    <w:rsid w:val="00192B75"/>
    <w:rsid w:val="00192D03"/>
    <w:rsid w:val="00193336"/>
    <w:rsid w:val="00193C0D"/>
    <w:rsid w:val="00194619"/>
    <w:rsid w:val="00194C18"/>
    <w:rsid w:val="00194F68"/>
    <w:rsid w:val="001958B4"/>
    <w:rsid w:val="00196326"/>
    <w:rsid w:val="00196EE1"/>
    <w:rsid w:val="001A042A"/>
    <w:rsid w:val="001A0866"/>
    <w:rsid w:val="001A0E21"/>
    <w:rsid w:val="001A1698"/>
    <w:rsid w:val="001A1BA2"/>
    <w:rsid w:val="001A2091"/>
    <w:rsid w:val="001A4286"/>
    <w:rsid w:val="001A4567"/>
    <w:rsid w:val="001A48C4"/>
    <w:rsid w:val="001A48D3"/>
    <w:rsid w:val="001A585E"/>
    <w:rsid w:val="001A58D0"/>
    <w:rsid w:val="001A625C"/>
    <w:rsid w:val="001A6AED"/>
    <w:rsid w:val="001A6B94"/>
    <w:rsid w:val="001B01A3"/>
    <w:rsid w:val="001B06F9"/>
    <w:rsid w:val="001B1364"/>
    <w:rsid w:val="001B2264"/>
    <w:rsid w:val="001B2B8B"/>
    <w:rsid w:val="001B3DB0"/>
    <w:rsid w:val="001B44D8"/>
    <w:rsid w:val="001B46F3"/>
    <w:rsid w:val="001B4765"/>
    <w:rsid w:val="001B64DC"/>
    <w:rsid w:val="001B78DC"/>
    <w:rsid w:val="001B7B97"/>
    <w:rsid w:val="001B7D8F"/>
    <w:rsid w:val="001B7FEF"/>
    <w:rsid w:val="001C14BD"/>
    <w:rsid w:val="001C154B"/>
    <w:rsid w:val="001C16D4"/>
    <w:rsid w:val="001C2964"/>
    <w:rsid w:val="001C5219"/>
    <w:rsid w:val="001C54F7"/>
    <w:rsid w:val="001C58DB"/>
    <w:rsid w:val="001C6046"/>
    <w:rsid w:val="001C77B4"/>
    <w:rsid w:val="001D0AE8"/>
    <w:rsid w:val="001D16B6"/>
    <w:rsid w:val="001D18C9"/>
    <w:rsid w:val="001D323E"/>
    <w:rsid w:val="001D3664"/>
    <w:rsid w:val="001D5354"/>
    <w:rsid w:val="001D56B2"/>
    <w:rsid w:val="001D583C"/>
    <w:rsid w:val="001D585B"/>
    <w:rsid w:val="001D5DB3"/>
    <w:rsid w:val="001D5E5A"/>
    <w:rsid w:val="001D6411"/>
    <w:rsid w:val="001D6B42"/>
    <w:rsid w:val="001D6C00"/>
    <w:rsid w:val="001D6DD8"/>
    <w:rsid w:val="001D6FBC"/>
    <w:rsid w:val="001E1A48"/>
    <w:rsid w:val="001E1EED"/>
    <w:rsid w:val="001E24FF"/>
    <w:rsid w:val="001E2ED7"/>
    <w:rsid w:val="001E3FED"/>
    <w:rsid w:val="001E4042"/>
    <w:rsid w:val="001E4316"/>
    <w:rsid w:val="001E44C8"/>
    <w:rsid w:val="001E46E8"/>
    <w:rsid w:val="001E4D9F"/>
    <w:rsid w:val="001E56D1"/>
    <w:rsid w:val="001E600B"/>
    <w:rsid w:val="001E6492"/>
    <w:rsid w:val="001E699C"/>
    <w:rsid w:val="001E71AA"/>
    <w:rsid w:val="001F0427"/>
    <w:rsid w:val="001F08F0"/>
    <w:rsid w:val="001F1F61"/>
    <w:rsid w:val="001F24A9"/>
    <w:rsid w:val="001F36D2"/>
    <w:rsid w:val="001F56CC"/>
    <w:rsid w:val="001F583D"/>
    <w:rsid w:val="001F5A6E"/>
    <w:rsid w:val="001F7694"/>
    <w:rsid w:val="001F7EA6"/>
    <w:rsid w:val="00200B0D"/>
    <w:rsid w:val="002010C3"/>
    <w:rsid w:val="00201F98"/>
    <w:rsid w:val="002021A7"/>
    <w:rsid w:val="002022D3"/>
    <w:rsid w:val="00203212"/>
    <w:rsid w:val="002035B3"/>
    <w:rsid w:val="002045B4"/>
    <w:rsid w:val="00204AF3"/>
    <w:rsid w:val="0020521A"/>
    <w:rsid w:val="00205252"/>
    <w:rsid w:val="002072B8"/>
    <w:rsid w:val="00207E29"/>
    <w:rsid w:val="002109C3"/>
    <w:rsid w:val="00210FAA"/>
    <w:rsid w:val="002111EF"/>
    <w:rsid w:val="002115E5"/>
    <w:rsid w:val="00212792"/>
    <w:rsid w:val="00212964"/>
    <w:rsid w:val="002129A9"/>
    <w:rsid w:val="0021340C"/>
    <w:rsid w:val="002134B1"/>
    <w:rsid w:val="00213DBF"/>
    <w:rsid w:val="002144F1"/>
    <w:rsid w:val="00214E2E"/>
    <w:rsid w:val="00214E8E"/>
    <w:rsid w:val="00214FFD"/>
    <w:rsid w:val="00215939"/>
    <w:rsid w:val="00215C86"/>
    <w:rsid w:val="00216DEF"/>
    <w:rsid w:val="00217EF5"/>
    <w:rsid w:val="00220BAE"/>
    <w:rsid w:val="00220E46"/>
    <w:rsid w:val="00220EA9"/>
    <w:rsid w:val="0022108C"/>
    <w:rsid w:val="00221514"/>
    <w:rsid w:val="002218E6"/>
    <w:rsid w:val="00221AAF"/>
    <w:rsid w:val="00222641"/>
    <w:rsid w:val="00222D22"/>
    <w:rsid w:val="002230BB"/>
    <w:rsid w:val="00225025"/>
    <w:rsid w:val="00225D18"/>
    <w:rsid w:val="00225F69"/>
    <w:rsid w:val="00227363"/>
    <w:rsid w:val="002309DF"/>
    <w:rsid w:val="00230E7E"/>
    <w:rsid w:val="00232311"/>
    <w:rsid w:val="00232735"/>
    <w:rsid w:val="00233FA3"/>
    <w:rsid w:val="0023520B"/>
    <w:rsid w:val="00235374"/>
    <w:rsid w:val="0023542D"/>
    <w:rsid w:val="00237125"/>
    <w:rsid w:val="00240A2F"/>
    <w:rsid w:val="00240EBC"/>
    <w:rsid w:val="00240F11"/>
    <w:rsid w:val="002411EA"/>
    <w:rsid w:val="0024140D"/>
    <w:rsid w:val="002419AD"/>
    <w:rsid w:val="002419F5"/>
    <w:rsid w:val="00241C88"/>
    <w:rsid w:val="00242C0F"/>
    <w:rsid w:val="00242CA8"/>
    <w:rsid w:val="00243784"/>
    <w:rsid w:val="00244306"/>
    <w:rsid w:val="0024480A"/>
    <w:rsid w:val="00244AC4"/>
    <w:rsid w:val="00245184"/>
    <w:rsid w:val="00245C00"/>
    <w:rsid w:val="00246D46"/>
    <w:rsid w:val="00246EED"/>
    <w:rsid w:val="0024776B"/>
    <w:rsid w:val="002477EA"/>
    <w:rsid w:val="002478BD"/>
    <w:rsid w:val="00250448"/>
    <w:rsid w:val="002506B1"/>
    <w:rsid w:val="00250A42"/>
    <w:rsid w:val="00251E0D"/>
    <w:rsid w:val="00252141"/>
    <w:rsid w:val="002530F8"/>
    <w:rsid w:val="0025348F"/>
    <w:rsid w:val="00253E20"/>
    <w:rsid w:val="00254155"/>
    <w:rsid w:val="00254372"/>
    <w:rsid w:val="0025588B"/>
    <w:rsid w:val="002559FB"/>
    <w:rsid w:val="00255EC2"/>
    <w:rsid w:val="00256951"/>
    <w:rsid w:val="00256B95"/>
    <w:rsid w:val="0025746D"/>
    <w:rsid w:val="002602C4"/>
    <w:rsid w:val="00260629"/>
    <w:rsid w:val="00260B7D"/>
    <w:rsid w:val="00261676"/>
    <w:rsid w:val="00261A06"/>
    <w:rsid w:val="00261BD3"/>
    <w:rsid w:val="00261EAE"/>
    <w:rsid w:val="00261F15"/>
    <w:rsid w:val="002629C4"/>
    <w:rsid w:val="00263420"/>
    <w:rsid w:val="00263517"/>
    <w:rsid w:val="0026412D"/>
    <w:rsid w:val="00264226"/>
    <w:rsid w:val="0026507E"/>
    <w:rsid w:val="002660ED"/>
    <w:rsid w:val="002664A0"/>
    <w:rsid w:val="00266EF8"/>
    <w:rsid w:val="00267B2D"/>
    <w:rsid w:val="00267BE0"/>
    <w:rsid w:val="0027057B"/>
    <w:rsid w:val="002711E8"/>
    <w:rsid w:val="00271565"/>
    <w:rsid w:val="00271C7A"/>
    <w:rsid w:val="002722B7"/>
    <w:rsid w:val="002745F2"/>
    <w:rsid w:val="00274B6D"/>
    <w:rsid w:val="00274C60"/>
    <w:rsid w:val="002754B9"/>
    <w:rsid w:val="00275F94"/>
    <w:rsid w:val="0027693E"/>
    <w:rsid w:val="00276A00"/>
    <w:rsid w:val="00281401"/>
    <w:rsid w:val="00281515"/>
    <w:rsid w:val="00281709"/>
    <w:rsid w:val="002820DA"/>
    <w:rsid w:val="00282315"/>
    <w:rsid w:val="00282A96"/>
    <w:rsid w:val="00283192"/>
    <w:rsid w:val="0028400F"/>
    <w:rsid w:val="00285023"/>
    <w:rsid w:val="00285B77"/>
    <w:rsid w:val="00287C4D"/>
    <w:rsid w:val="00290200"/>
    <w:rsid w:val="0029048A"/>
    <w:rsid w:val="002915C2"/>
    <w:rsid w:val="002918AA"/>
    <w:rsid w:val="0029238A"/>
    <w:rsid w:val="00292AFC"/>
    <w:rsid w:val="0029323A"/>
    <w:rsid w:val="002933FD"/>
    <w:rsid w:val="002939EC"/>
    <w:rsid w:val="002947B3"/>
    <w:rsid w:val="002949C6"/>
    <w:rsid w:val="00294C28"/>
    <w:rsid w:val="00294F59"/>
    <w:rsid w:val="00295ABE"/>
    <w:rsid w:val="002960F3"/>
    <w:rsid w:val="00297176"/>
    <w:rsid w:val="002A02CC"/>
    <w:rsid w:val="002A160F"/>
    <w:rsid w:val="002A1729"/>
    <w:rsid w:val="002A1892"/>
    <w:rsid w:val="002A1BEF"/>
    <w:rsid w:val="002A1DEE"/>
    <w:rsid w:val="002A2D48"/>
    <w:rsid w:val="002A3A27"/>
    <w:rsid w:val="002A3D39"/>
    <w:rsid w:val="002A4171"/>
    <w:rsid w:val="002A61A4"/>
    <w:rsid w:val="002A63A6"/>
    <w:rsid w:val="002A7344"/>
    <w:rsid w:val="002A78FB"/>
    <w:rsid w:val="002A7FB4"/>
    <w:rsid w:val="002B06AB"/>
    <w:rsid w:val="002B1ECB"/>
    <w:rsid w:val="002B2A19"/>
    <w:rsid w:val="002B3BC7"/>
    <w:rsid w:val="002B3D05"/>
    <w:rsid w:val="002B4107"/>
    <w:rsid w:val="002B4A06"/>
    <w:rsid w:val="002B6CAB"/>
    <w:rsid w:val="002B71BB"/>
    <w:rsid w:val="002B75E3"/>
    <w:rsid w:val="002C047B"/>
    <w:rsid w:val="002C0CEB"/>
    <w:rsid w:val="002C140A"/>
    <w:rsid w:val="002C14C7"/>
    <w:rsid w:val="002C3B05"/>
    <w:rsid w:val="002C3CC9"/>
    <w:rsid w:val="002C49BB"/>
    <w:rsid w:val="002C575F"/>
    <w:rsid w:val="002C5975"/>
    <w:rsid w:val="002C654B"/>
    <w:rsid w:val="002C7132"/>
    <w:rsid w:val="002D045E"/>
    <w:rsid w:val="002D0A49"/>
    <w:rsid w:val="002D3E58"/>
    <w:rsid w:val="002D4035"/>
    <w:rsid w:val="002D53ED"/>
    <w:rsid w:val="002D5618"/>
    <w:rsid w:val="002D5B90"/>
    <w:rsid w:val="002D6459"/>
    <w:rsid w:val="002D662E"/>
    <w:rsid w:val="002D6F65"/>
    <w:rsid w:val="002D7650"/>
    <w:rsid w:val="002E027D"/>
    <w:rsid w:val="002E056C"/>
    <w:rsid w:val="002E14F4"/>
    <w:rsid w:val="002E22F4"/>
    <w:rsid w:val="002E288E"/>
    <w:rsid w:val="002E413F"/>
    <w:rsid w:val="002E5B20"/>
    <w:rsid w:val="002E7BED"/>
    <w:rsid w:val="002F1337"/>
    <w:rsid w:val="002F1BED"/>
    <w:rsid w:val="002F1FCE"/>
    <w:rsid w:val="002F2112"/>
    <w:rsid w:val="002F261E"/>
    <w:rsid w:val="002F26AA"/>
    <w:rsid w:val="002F2988"/>
    <w:rsid w:val="002F29DE"/>
    <w:rsid w:val="002F32F4"/>
    <w:rsid w:val="002F3575"/>
    <w:rsid w:val="002F377F"/>
    <w:rsid w:val="002F3A4A"/>
    <w:rsid w:val="002F4D16"/>
    <w:rsid w:val="002F6792"/>
    <w:rsid w:val="0030110A"/>
    <w:rsid w:val="0030291B"/>
    <w:rsid w:val="00305B8C"/>
    <w:rsid w:val="00306C98"/>
    <w:rsid w:val="00306F51"/>
    <w:rsid w:val="00307986"/>
    <w:rsid w:val="003079FF"/>
    <w:rsid w:val="00307D22"/>
    <w:rsid w:val="003103F7"/>
    <w:rsid w:val="00314D97"/>
    <w:rsid w:val="00315962"/>
    <w:rsid w:val="00315CCD"/>
    <w:rsid w:val="00315EBC"/>
    <w:rsid w:val="0031677A"/>
    <w:rsid w:val="003167C5"/>
    <w:rsid w:val="00317067"/>
    <w:rsid w:val="00317CAD"/>
    <w:rsid w:val="00317FF1"/>
    <w:rsid w:val="003209C9"/>
    <w:rsid w:val="00321B32"/>
    <w:rsid w:val="00321C9F"/>
    <w:rsid w:val="003233AE"/>
    <w:rsid w:val="0032460E"/>
    <w:rsid w:val="003248C4"/>
    <w:rsid w:val="00324B44"/>
    <w:rsid w:val="00325553"/>
    <w:rsid w:val="00325E25"/>
    <w:rsid w:val="00325FAF"/>
    <w:rsid w:val="0032612D"/>
    <w:rsid w:val="00326A4B"/>
    <w:rsid w:val="00327C16"/>
    <w:rsid w:val="00330627"/>
    <w:rsid w:val="003307B7"/>
    <w:rsid w:val="003308C9"/>
    <w:rsid w:val="00330C54"/>
    <w:rsid w:val="00331812"/>
    <w:rsid w:val="0033306F"/>
    <w:rsid w:val="003331E2"/>
    <w:rsid w:val="0033348A"/>
    <w:rsid w:val="0033375C"/>
    <w:rsid w:val="003339A8"/>
    <w:rsid w:val="00334A21"/>
    <w:rsid w:val="00334CB3"/>
    <w:rsid w:val="0033525D"/>
    <w:rsid w:val="003369A4"/>
    <w:rsid w:val="00336B78"/>
    <w:rsid w:val="00337D6F"/>
    <w:rsid w:val="00340BF8"/>
    <w:rsid w:val="00341579"/>
    <w:rsid w:val="003416A7"/>
    <w:rsid w:val="00341758"/>
    <w:rsid w:val="0034191D"/>
    <w:rsid w:val="0034205B"/>
    <w:rsid w:val="00342409"/>
    <w:rsid w:val="003425A0"/>
    <w:rsid w:val="00342BD5"/>
    <w:rsid w:val="00343145"/>
    <w:rsid w:val="00343828"/>
    <w:rsid w:val="00343993"/>
    <w:rsid w:val="00343A67"/>
    <w:rsid w:val="0034512A"/>
    <w:rsid w:val="00345474"/>
    <w:rsid w:val="00345A67"/>
    <w:rsid w:val="00345A8A"/>
    <w:rsid w:val="00345AB3"/>
    <w:rsid w:val="00345C8A"/>
    <w:rsid w:val="00346E69"/>
    <w:rsid w:val="003473EF"/>
    <w:rsid w:val="00347E6E"/>
    <w:rsid w:val="003502C5"/>
    <w:rsid w:val="00351625"/>
    <w:rsid w:val="003528BC"/>
    <w:rsid w:val="00352BBB"/>
    <w:rsid w:val="00353DD3"/>
    <w:rsid w:val="003542B5"/>
    <w:rsid w:val="003547AA"/>
    <w:rsid w:val="00354EFB"/>
    <w:rsid w:val="003556B4"/>
    <w:rsid w:val="00356E69"/>
    <w:rsid w:val="00356FA4"/>
    <w:rsid w:val="00357AC3"/>
    <w:rsid w:val="00360C03"/>
    <w:rsid w:val="00361ECE"/>
    <w:rsid w:val="00362739"/>
    <w:rsid w:val="00362E25"/>
    <w:rsid w:val="00362F07"/>
    <w:rsid w:val="003647CF"/>
    <w:rsid w:val="003659B5"/>
    <w:rsid w:val="00365A8D"/>
    <w:rsid w:val="003668A5"/>
    <w:rsid w:val="00366AFE"/>
    <w:rsid w:val="00370CEC"/>
    <w:rsid w:val="00371313"/>
    <w:rsid w:val="00371619"/>
    <w:rsid w:val="0037269C"/>
    <w:rsid w:val="00372811"/>
    <w:rsid w:val="00372C8D"/>
    <w:rsid w:val="00372D5F"/>
    <w:rsid w:val="00375B2C"/>
    <w:rsid w:val="003764FC"/>
    <w:rsid w:val="00376EA7"/>
    <w:rsid w:val="003776BC"/>
    <w:rsid w:val="00377CE0"/>
    <w:rsid w:val="003809B4"/>
    <w:rsid w:val="00381391"/>
    <w:rsid w:val="00382FAE"/>
    <w:rsid w:val="00385DA2"/>
    <w:rsid w:val="003862DF"/>
    <w:rsid w:val="00387017"/>
    <w:rsid w:val="0038752B"/>
    <w:rsid w:val="00387669"/>
    <w:rsid w:val="00390518"/>
    <w:rsid w:val="003906EE"/>
    <w:rsid w:val="003915DA"/>
    <w:rsid w:val="003915FD"/>
    <w:rsid w:val="00391E87"/>
    <w:rsid w:val="00391F0A"/>
    <w:rsid w:val="0039202C"/>
    <w:rsid w:val="003922DC"/>
    <w:rsid w:val="0039276B"/>
    <w:rsid w:val="00392A32"/>
    <w:rsid w:val="00393404"/>
    <w:rsid w:val="00393A65"/>
    <w:rsid w:val="00394C99"/>
    <w:rsid w:val="00395F83"/>
    <w:rsid w:val="00396157"/>
    <w:rsid w:val="003971F5"/>
    <w:rsid w:val="003A00D7"/>
    <w:rsid w:val="003A13CE"/>
    <w:rsid w:val="003A146E"/>
    <w:rsid w:val="003A2389"/>
    <w:rsid w:val="003A26CF"/>
    <w:rsid w:val="003A32AC"/>
    <w:rsid w:val="003A54F8"/>
    <w:rsid w:val="003A6812"/>
    <w:rsid w:val="003A6D4A"/>
    <w:rsid w:val="003B00FD"/>
    <w:rsid w:val="003B0BD5"/>
    <w:rsid w:val="003B3046"/>
    <w:rsid w:val="003B3126"/>
    <w:rsid w:val="003B4078"/>
    <w:rsid w:val="003B47D0"/>
    <w:rsid w:val="003B4C8A"/>
    <w:rsid w:val="003B538F"/>
    <w:rsid w:val="003B5D46"/>
    <w:rsid w:val="003B6F94"/>
    <w:rsid w:val="003B712E"/>
    <w:rsid w:val="003C09AE"/>
    <w:rsid w:val="003C139E"/>
    <w:rsid w:val="003C1648"/>
    <w:rsid w:val="003C16C6"/>
    <w:rsid w:val="003C1A1C"/>
    <w:rsid w:val="003C1AA7"/>
    <w:rsid w:val="003C238B"/>
    <w:rsid w:val="003C337B"/>
    <w:rsid w:val="003C41B4"/>
    <w:rsid w:val="003C533F"/>
    <w:rsid w:val="003C57C2"/>
    <w:rsid w:val="003D0949"/>
    <w:rsid w:val="003D1550"/>
    <w:rsid w:val="003D259F"/>
    <w:rsid w:val="003D2B62"/>
    <w:rsid w:val="003D39EA"/>
    <w:rsid w:val="003D4517"/>
    <w:rsid w:val="003D460D"/>
    <w:rsid w:val="003D57FE"/>
    <w:rsid w:val="003D5E23"/>
    <w:rsid w:val="003D7D4A"/>
    <w:rsid w:val="003E0FDD"/>
    <w:rsid w:val="003E1B55"/>
    <w:rsid w:val="003E218F"/>
    <w:rsid w:val="003E240D"/>
    <w:rsid w:val="003E24D9"/>
    <w:rsid w:val="003E2691"/>
    <w:rsid w:val="003E3350"/>
    <w:rsid w:val="003E38B0"/>
    <w:rsid w:val="003E3EE2"/>
    <w:rsid w:val="003E4039"/>
    <w:rsid w:val="003E4915"/>
    <w:rsid w:val="003E4E07"/>
    <w:rsid w:val="003E632F"/>
    <w:rsid w:val="003E66BB"/>
    <w:rsid w:val="003E6FF9"/>
    <w:rsid w:val="003F0443"/>
    <w:rsid w:val="003F1B54"/>
    <w:rsid w:val="003F1CBC"/>
    <w:rsid w:val="003F268E"/>
    <w:rsid w:val="003F2FFE"/>
    <w:rsid w:val="003F31E1"/>
    <w:rsid w:val="003F3C59"/>
    <w:rsid w:val="003F5D95"/>
    <w:rsid w:val="003F61FA"/>
    <w:rsid w:val="003F6532"/>
    <w:rsid w:val="003F68E4"/>
    <w:rsid w:val="003F7344"/>
    <w:rsid w:val="003F7686"/>
    <w:rsid w:val="004035B4"/>
    <w:rsid w:val="00403E40"/>
    <w:rsid w:val="00403E90"/>
    <w:rsid w:val="004040E6"/>
    <w:rsid w:val="004050A5"/>
    <w:rsid w:val="00405E41"/>
    <w:rsid w:val="00406A3D"/>
    <w:rsid w:val="0040750C"/>
    <w:rsid w:val="00407772"/>
    <w:rsid w:val="00407C7C"/>
    <w:rsid w:val="00410372"/>
    <w:rsid w:val="00410897"/>
    <w:rsid w:val="004108C1"/>
    <w:rsid w:val="00410C5C"/>
    <w:rsid w:val="00411168"/>
    <w:rsid w:val="0041129F"/>
    <w:rsid w:val="00414348"/>
    <w:rsid w:val="00414B2D"/>
    <w:rsid w:val="00414E37"/>
    <w:rsid w:val="00414FA9"/>
    <w:rsid w:val="004150F6"/>
    <w:rsid w:val="00415B20"/>
    <w:rsid w:val="004165E4"/>
    <w:rsid w:val="00416BCA"/>
    <w:rsid w:val="004179F7"/>
    <w:rsid w:val="0042031F"/>
    <w:rsid w:val="00420A95"/>
    <w:rsid w:val="00421174"/>
    <w:rsid w:val="00421A32"/>
    <w:rsid w:val="00422374"/>
    <w:rsid w:val="00422C95"/>
    <w:rsid w:val="00422FD8"/>
    <w:rsid w:val="00424F76"/>
    <w:rsid w:val="0042506B"/>
    <w:rsid w:val="0042507B"/>
    <w:rsid w:val="00425317"/>
    <w:rsid w:val="00425D9F"/>
    <w:rsid w:val="0042644C"/>
    <w:rsid w:val="00430786"/>
    <w:rsid w:val="004313B7"/>
    <w:rsid w:val="00431AD9"/>
    <w:rsid w:val="00432A60"/>
    <w:rsid w:val="00432EC5"/>
    <w:rsid w:val="004343F5"/>
    <w:rsid w:val="00434676"/>
    <w:rsid w:val="00434B1E"/>
    <w:rsid w:val="00434D52"/>
    <w:rsid w:val="00435343"/>
    <w:rsid w:val="00440761"/>
    <w:rsid w:val="00440CCA"/>
    <w:rsid w:val="00440FB7"/>
    <w:rsid w:val="004415EB"/>
    <w:rsid w:val="00441DF5"/>
    <w:rsid w:val="00442579"/>
    <w:rsid w:val="00442728"/>
    <w:rsid w:val="004430A8"/>
    <w:rsid w:val="004436CF"/>
    <w:rsid w:val="00443817"/>
    <w:rsid w:val="004444FD"/>
    <w:rsid w:val="00444977"/>
    <w:rsid w:val="00444F8C"/>
    <w:rsid w:val="00445217"/>
    <w:rsid w:val="00447637"/>
    <w:rsid w:val="004476C3"/>
    <w:rsid w:val="00447751"/>
    <w:rsid w:val="00447993"/>
    <w:rsid w:val="00447F5C"/>
    <w:rsid w:val="004503EB"/>
    <w:rsid w:val="00450A13"/>
    <w:rsid w:val="004517A7"/>
    <w:rsid w:val="004530E1"/>
    <w:rsid w:val="00453BA1"/>
    <w:rsid w:val="00453CE0"/>
    <w:rsid w:val="0045463D"/>
    <w:rsid w:val="00454E79"/>
    <w:rsid w:val="00454F11"/>
    <w:rsid w:val="004556AB"/>
    <w:rsid w:val="004557C3"/>
    <w:rsid w:val="00455B50"/>
    <w:rsid w:val="00455E78"/>
    <w:rsid w:val="004566C7"/>
    <w:rsid w:val="004567E9"/>
    <w:rsid w:val="00456EF6"/>
    <w:rsid w:val="00457431"/>
    <w:rsid w:val="00457CAE"/>
    <w:rsid w:val="00457E9C"/>
    <w:rsid w:val="004602C7"/>
    <w:rsid w:val="00461059"/>
    <w:rsid w:val="004617B8"/>
    <w:rsid w:val="00461A34"/>
    <w:rsid w:val="00462209"/>
    <w:rsid w:val="00462552"/>
    <w:rsid w:val="00463127"/>
    <w:rsid w:val="00463B1E"/>
    <w:rsid w:val="00463F0C"/>
    <w:rsid w:val="00463F1F"/>
    <w:rsid w:val="004640B2"/>
    <w:rsid w:val="00467630"/>
    <w:rsid w:val="00470AB5"/>
    <w:rsid w:val="00470C13"/>
    <w:rsid w:val="00471DF0"/>
    <w:rsid w:val="00471E34"/>
    <w:rsid w:val="00471EF8"/>
    <w:rsid w:val="004723EB"/>
    <w:rsid w:val="004724AF"/>
    <w:rsid w:val="00472E3F"/>
    <w:rsid w:val="00473177"/>
    <w:rsid w:val="00473AAA"/>
    <w:rsid w:val="0048018E"/>
    <w:rsid w:val="00480E02"/>
    <w:rsid w:val="0048259D"/>
    <w:rsid w:val="00482912"/>
    <w:rsid w:val="004829B2"/>
    <w:rsid w:val="00483373"/>
    <w:rsid w:val="004838DC"/>
    <w:rsid w:val="0048393E"/>
    <w:rsid w:val="00483F71"/>
    <w:rsid w:val="00484947"/>
    <w:rsid w:val="00485043"/>
    <w:rsid w:val="004873B2"/>
    <w:rsid w:val="004879EB"/>
    <w:rsid w:val="00490173"/>
    <w:rsid w:val="004901D7"/>
    <w:rsid w:val="004901F6"/>
    <w:rsid w:val="00490395"/>
    <w:rsid w:val="00490D5D"/>
    <w:rsid w:val="00491157"/>
    <w:rsid w:val="00491B07"/>
    <w:rsid w:val="00491DB7"/>
    <w:rsid w:val="00492F69"/>
    <w:rsid w:val="00493CF1"/>
    <w:rsid w:val="00493F95"/>
    <w:rsid w:val="00493FE8"/>
    <w:rsid w:val="004942EC"/>
    <w:rsid w:val="0049452E"/>
    <w:rsid w:val="004948F8"/>
    <w:rsid w:val="00494F47"/>
    <w:rsid w:val="00496361"/>
    <w:rsid w:val="0049641D"/>
    <w:rsid w:val="004965FA"/>
    <w:rsid w:val="00496963"/>
    <w:rsid w:val="004A1C5B"/>
    <w:rsid w:val="004A3399"/>
    <w:rsid w:val="004A3547"/>
    <w:rsid w:val="004A38CF"/>
    <w:rsid w:val="004A4473"/>
    <w:rsid w:val="004A4C3D"/>
    <w:rsid w:val="004A51AB"/>
    <w:rsid w:val="004A5F4D"/>
    <w:rsid w:val="004A73AB"/>
    <w:rsid w:val="004A7472"/>
    <w:rsid w:val="004B17B0"/>
    <w:rsid w:val="004B2858"/>
    <w:rsid w:val="004B3301"/>
    <w:rsid w:val="004B350D"/>
    <w:rsid w:val="004B3E87"/>
    <w:rsid w:val="004B4080"/>
    <w:rsid w:val="004B590E"/>
    <w:rsid w:val="004B6B3E"/>
    <w:rsid w:val="004B7385"/>
    <w:rsid w:val="004B73C5"/>
    <w:rsid w:val="004B76D4"/>
    <w:rsid w:val="004B76E6"/>
    <w:rsid w:val="004B7C18"/>
    <w:rsid w:val="004C08D4"/>
    <w:rsid w:val="004C177A"/>
    <w:rsid w:val="004C259A"/>
    <w:rsid w:val="004C27DF"/>
    <w:rsid w:val="004C382F"/>
    <w:rsid w:val="004C5740"/>
    <w:rsid w:val="004C5903"/>
    <w:rsid w:val="004C5EA4"/>
    <w:rsid w:val="004C5FB0"/>
    <w:rsid w:val="004C6010"/>
    <w:rsid w:val="004C69F9"/>
    <w:rsid w:val="004C738A"/>
    <w:rsid w:val="004D033E"/>
    <w:rsid w:val="004D0527"/>
    <w:rsid w:val="004D064A"/>
    <w:rsid w:val="004D1A76"/>
    <w:rsid w:val="004D1EEB"/>
    <w:rsid w:val="004D40B5"/>
    <w:rsid w:val="004D4768"/>
    <w:rsid w:val="004D4C1F"/>
    <w:rsid w:val="004D4DE9"/>
    <w:rsid w:val="004D4F60"/>
    <w:rsid w:val="004D506A"/>
    <w:rsid w:val="004D5BE3"/>
    <w:rsid w:val="004D63BB"/>
    <w:rsid w:val="004D7064"/>
    <w:rsid w:val="004D724C"/>
    <w:rsid w:val="004D76ED"/>
    <w:rsid w:val="004D7FC7"/>
    <w:rsid w:val="004E02CD"/>
    <w:rsid w:val="004E14A2"/>
    <w:rsid w:val="004E16AF"/>
    <w:rsid w:val="004E20F4"/>
    <w:rsid w:val="004E2B62"/>
    <w:rsid w:val="004E2DE6"/>
    <w:rsid w:val="004E3310"/>
    <w:rsid w:val="004E40D4"/>
    <w:rsid w:val="004E4716"/>
    <w:rsid w:val="004E4CAD"/>
    <w:rsid w:val="004E5177"/>
    <w:rsid w:val="004E5C10"/>
    <w:rsid w:val="004E6850"/>
    <w:rsid w:val="004E6C8D"/>
    <w:rsid w:val="004F0987"/>
    <w:rsid w:val="004F0E21"/>
    <w:rsid w:val="004F0EA1"/>
    <w:rsid w:val="004F1FAF"/>
    <w:rsid w:val="004F2A16"/>
    <w:rsid w:val="004F34DC"/>
    <w:rsid w:val="004F3808"/>
    <w:rsid w:val="004F39A8"/>
    <w:rsid w:val="004F3AE8"/>
    <w:rsid w:val="004F3FB3"/>
    <w:rsid w:val="004F41D3"/>
    <w:rsid w:val="004F5162"/>
    <w:rsid w:val="004F541A"/>
    <w:rsid w:val="004F554A"/>
    <w:rsid w:val="004F621C"/>
    <w:rsid w:val="004F6A49"/>
    <w:rsid w:val="004F6CE6"/>
    <w:rsid w:val="004F72E6"/>
    <w:rsid w:val="00500E30"/>
    <w:rsid w:val="0050133F"/>
    <w:rsid w:val="0050166D"/>
    <w:rsid w:val="0050183D"/>
    <w:rsid w:val="005024ED"/>
    <w:rsid w:val="00502892"/>
    <w:rsid w:val="0050362A"/>
    <w:rsid w:val="00503A30"/>
    <w:rsid w:val="00504D15"/>
    <w:rsid w:val="00505DAF"/>
    <w:rsid w:val="00506659"/>
    <w:rsid w:val="00506859"/>
    <w:rsid w:val="00506FB0"/>
    <w:rsid w:val="00510B92"/>
    <w:rsid w:val="00511013"/>
    <w:rsid w:val="005118BB"/>
    <w:rsid w:val="005118F2"/>
    <w:rsid w:val="00511CA6"/>
    <w:rsid w:val="00511F88"/>
    <w:rsid w:val="00512B41"/>
    <w:rsid w:val="005134FE"/>
    <w:rsid w:val="00513974"/>
    <w:rsid w:val="00513BC5"/>
    <w:rsid w:val="00514248"/>
    <w:rsid w:val="00514936"/>
    <w:rsid w:val="0051579B"/>
    <w:rsid w:val="00515A32"/>
    <w:rsid w:val="00515BCA"/>
    <w:rsid w:val="0051606B"/>
    <w:rsid w:val="00516303"/>
    <w:rsid w:val="005170B1"/>
    <w:rsid w:val="00517675"/>
    <w:rsid w:val="00517C9F"/>
    <w:rsid w:val="005202E5"/>
    <w:rsid w:val="00521FE5"/>
    <w:rsid w:val="00522528"/>
    <w:rsid w:val="00522682"/>
    <w:rsid w:val="00523EAB"/>
    <w:rsid w:val="00523FFA"/>
    <w:rsid w:val="00524D30"/>
    <w:rsid w:val="00525DC8"/>
    <w:rsid w:val="00525E9A"/>
    <w:rsid w:val="00526628"/>
    <w:rsid w:val="00527038"/>
    <w:rsid w:val="00527A14"/>
    <w:rsid w:val="0053073F"/>
    <w:rsid w:val="005320C4"/>
    <w:rsid w:val="00532630"/>
    <w:rsid w:val="00532850"/>
    <w:rsid w:val="00532AA9"/>
    <w:rsid w:val="00532AF9"/>
    <w:rsid w:val="0053333F"/>
    <w:rsid w:val="005336A7"/>
    <w:rsid w:val="0053589E"/>
    <w:rsid w:val="00535909"/>
    <w:rsid w:val="00536709"/>
    <w:rsid w:val="00536C29"/>
    <w:rsid w:val="00537AFA"/>
    <w:rsid w:val="00537D06"/>
    <w:rsid w:val="00540C6E"/>
    <w:rsid w:val="005410E5"/>
    <w:rsid w:val="00541C0D"/>
    <w:rsid w:val="00543303"/>
    <w:rsid w:val="00543321"/>
    <w:rsid w:val="00543E0C"/>
    <w:rsid w:val="00546CDF"/>
    <w:rsid w:val="0054738A"/>
    <w:rsid w:val="00547E0C"/>
    <w:rsid w:val="005503A4"/>
    <w:rsid w:val="005507B9"/>
    <w:rsid w:val="00550B9F"/>
    <w:rsid w:val="00551B0F"/>
    <w:rsid w:val="00551B98"/>
    <w:rsid w:val="00551D89"/>
    <w:rsid w:val="00551FA6"/>
    <w:rsid w:val="00552C23"/>
    <w:rsid w:val="00553559"/>
    <w:rsid w:val="0055393F"/>
    <w:rsid w:val="00553BBF"/>
    <w:rsid w:val="00554492"/>
    <w:rsid w:val="005547A1"/>
    <w:rsid w:val="0055674E"/>
    <w:rsid w:val="00556BAC"/>
    <w:rsid w:val="00557B54"/>
    <w:rsid w:val="00557D0A"/>
    <w:rsid w:val="00557F63"/>
    <w:rsid w:val="0056086B"/>
    <w:rsid w:val="00560BE2"/>
    <w:rsid w:val="00560C72"/>
    <w:rsid w:val="0056125D"/>
    <w:rsid w:val="0056166E"/>
    <w:rsid w:val="00561A00"/>
    <w:rsid w:val="00561C1B"/>
    <w:rsid w:val="00562CBA"/>
    <w:rsid w:val="00562FDE"/>
    <w:rsid w:val="00563307"/>
    <w:rsid w:val="00563C85"/>
    <w:rsid w:val="00563D51"/>
    <w:rsid w:val="00564316"/>
    <w:rsid w:val="005644BF"/>
    <w:rsid w:val="00564BAD"/>
    <w:rsid w:val="00564F20"/>
    <w:rsid w:val="0056559B"/>
    <w:rsid w:val="00565DC5"/>
    <w:rsid w:val="00566026"/>
    <w:rsid w:val="005660C9"/>
    <w:rsid w:val="00566CC3"/>
    <w:rsid w:val="00567A0E"/>
    <w:rsid w:val="00570BB7"/>
    <w:rsid w:val="00570E43"/>
    <w:rsid w:val="00572C6B"/>
    <w:rsid w:val="0057566D"/>
    <w:rsid w:val="00575DBD"/>
    <w:rsid w:val="00577575"/>
    <w:rsid w:val="005805E7"/>
    <w:rsid w:val="00580BE9"/>
    <w:rsid w:val="00582427"/>
    <w:rsid w:val="00582735"/>
    <w:rsid w:val="005828EF"/>
    <w:rsid w:val="00582BDB"/>
    <w:rsid w:val="005839F9"/>
    <w:rsid w:val="005843B2"/>
    <w:rsid w:val="00584435"/>
    <w:rsid w:val="00584B96"/>
    <w:rsid w:val="005851CE"/>
    <w:rsid w:val="0058548C"/>
    <w:rsid w:val="0058589D"/>
    <w:rsid w:val="00585C13"/>
    <w:rsid w:val="00586B90"/>
    <w:rsid w:val="00586E75"/>
    <w:rsid w:val="0058723E"/>
    <w:rsid w:val="00587B26"/>
    <w:rsid w:val="00590634"/>
    <w:rsid w:val="00590858"/>
    <w:rsid w:val="0059133E"/>
    <w:rsid w:val="00591575"/>
    <w:rsid w:val="005915F9"/>
    <w:rsid w:val="00591E6B"/>
    <w:rsid w:val="00592FD5"/>
    <w:rsid w:val="0059309D"/>
    <w:rsid w:val="005954F9"/>
    <w:rsid w:val="00595F51"/>
    <w:rsid w:val="00596AE6"/>
    <w:rsid w:val="00596BC1"/>
    <w:rsid w:val="00596FB5"/>
    <w:rsid w:val="005A0621"/>
    <w:rsid w:val="005A2402"/>
    <w:rsid w:val="005A24B3"/>
    <w:rsid w:val="005A2A99"/>
    <w:rsid w:val="005A2FDC"/>
    <w:rsid w:val="005A3291"/>
    <w:rsid w:val="005A32CE"/>
    <w:rsid w:val="005A4D1B"/>
    <w:rsid w:val="005A5833"/>
    <w:rsid w:val="005B0197"/>
    <w:rsid w:val="005B085B"/>
    <w:rsid w:val="005B352A"/>
    <w:rsid w:val="005B3535"/>
    <w:rsid w:val="005B47C1"/>
    <w:rsid w:val="005B5860"/>
    <w:rsid w:val="005B5A56"/>
    <w:rsid w:val="005C15C8"/>
    <w:rsid w:val="005C1935"/>
    <w:rsid w:val="005C1DD5"/>
    <w:rsid w:val="005C2AA5"/>
    <w:rsid w:val="005C2B9F"/>
    <w:rsid w:val="005C3375"/>
    <w:rsid w:val="005C345A"/>
    <w:rsid w:val="005C34D0"/>
    <w:rsid w:val="005C40FC"/>
    <w:rsid w:val="005C4A17"/>
    <w:rsid w:val="005C4C99"/>
    <w:rsid w:val="005C52CC"/>
    <w:rsid w:val="005C55F7"/>
    <w:rsid w:val="005C74E7"/>
    <w:rsid w:val="005C76F0"/>
    <w:rsid w:val="005D00D4"/>
    <w:rsid w:val="005D0808"/>
    <w:rsid w:val="005D147D"/>
    <w:rsid w:val="005D1B45"/>
    <w:rsid w:val="005D1D86"/>
    <w:rsid w:val="005D1FF6"/>
    <w:rsid w:val="005D581C"/>
    <w:rsid w:val="005D5EFC"/>
    <w:rsid w:val="005E0470"/>
    <w:rsid w:val="005E04E1"/>
    <w:rsid w:val="005E084F"/>
    <w:rsid w:val="005E0A54"/>
    <w:rsid w:val="005E0A6E"/>
    <w:rsid w:val="005E2899"/>
    <w:rsid w:val="005E308D"/>
    <w:rsid w:val="005E3F04"/>
    <w:rsid w:val="005E42BA"/>
    <w:rsid w:val="005E685F"/>
    <w:rsid w:val="005E79C7"/>
    <w:rsid w:val="005E7CAF"/>
    <w:rsid w:val="005E7D58"/>
    <w:rsid w:val="005E7E37"/>
    <w:rsid w:val="005F0F25"/>
    <w:rsid w:val="005F200C"/>
    <w:rsid w:val="005F21CD"/>
    <w:rsid w:val="005F22D9"/>
    <w:rsid w:val="005F2456"/>
    <w:rsid w:val="005F284F"/>
    <w:rsid w:val="005F2B92"/>
    <w:rsid w:val="005F300E"/>
    <w:rsid w:val="005F3062"/>
    <w:rsid w:val="005F3BE6"/>
    <w:rsid w:val="005F3D47"/>
    <w:rsid w:val="005F4023"/>
    <w:rsid w:val="005F6D43"/>
    <w:rsid w:val="005F6EAB"/>
    <w:rsid w:val="005F6F91"/>
    <w:rsid w:val="005F788F"/>
    <w:rsid w:val="005F7963"/>
    <w:rsid w:val="005F7D40"/>
    <w:rsid w:val="00600C58"/>
    <w:rsid w:val="00601122"/>
    <w:rsid w:val="006011C0"/>
    <w:rsid w:val="00601B87"/>
    <w:rsid w:val="00601DD5"/>
    <w:rsid w:val="00601EFD"/>
    <w:rsid w:val="0060293B"/>
    <w:rsid w:val="006044F5"/>
    <w:rsid w:val="00604E56"/>
    <w:rsid w:val="00604EF9"/>
    <w:rsid w:val="006052F8"/>
    <w:rsid w:val="00606663"/>
    <w:rsid w:val="006074B9"/>
    <w:rsid w:val="00607611"/>
    <w:rsid w:val="00607A22"/>
    <w:rsid w:val="00610177"/>
    <w:rsid w:val="00610B1B"/>
    <w:rsid w:val="00610C08"/>
    <w:rsid w:val="00610CA1"/>
    <w:rsid w:val="0061134F"/>
    <w:rsid w:val="00612496"/>
    <w:rsid w:val="00612EAA"/>
    <w:rsid w:val="00613998"/>
    <w:rsid w:val="00613E92"/>
    <w:rsid w:val="0061403C"/>
    <w:rsid w:val="006148F9"/>
    <w:rsid w:val="0061525D"/>
    <w:rsid w:val="0061567A"/>
    <w:rsid w:val="00615A13"/>
    <w:rsid w:val="00615E39"/>
    <w:rsid w:val="00616D6F"/>
    <w:rsid w:val="00616F33"/>
    <w:rsid w:val="00617C67"/>
    <w:rsid w:val="00620116"/>
    <w:rsid w:val="006204B2"/>
    <w:rsid w:val="00620E54"/>
    <w:rsid w:val="006210EB"/>
    <w:rsid w:val="006218CB"/>
    <w:rsid w:val="006227CB"/>
    <w:rsid w:val="00622D3E"/>
    <w:rsid w:val="006230C0"/>
    <w:rsid w:val="006237F3"/>
    <w:rsid w:val="00623CAA"/>
    <w:rsid w:val="00625373"/>
    <w:rsid w:val="00625391"/>
    <w:rsid w:val="0062582C"/>
    <w:rsid w:val="00625BCA"/>
    <w:rsid w:val="00625F7B"/>
    <w:rsid w:val="0062651E"/>
    <w:rsid w:val="00626735"/>
    <w:rsid w:val="006275FA"/>
    <w:rsid w:val="006278DC"/>
    <w:rsid w:val="00632B55"/>
    <w:rsid w:val="00632B7B"/>
    <w:rsid w:val="00633377"/>
    <w:rsid w:val="00634606"/>
    <w:rsid w:val="00634C54"/>
    <w:rsid w:val="00636DEB"/>
    <w:rsid w:val="00640060"/>
    <w:rsid w:val="00640742"/>
    <w:rsid w:val="00640C4F"/>
    <w:rsid w:val="006418C3"/>
    <w:rsid w:val="00641B2C"/>
    <w:rsid w:val="00641CDD"/>
    <w:rsid w:val="00643762"/>
    <w:rsid w:val="00643837"/>
    <w:rsid w:val="00644C11"/>
    <w:rsid w:val="00644CC8"/>
    <w:rsid w:val="006460E7"/>
    <w:rsid w:val="006463BC"/>
    <w:rsid w:val="00646512"/>
    <w:rsid w:val="0064716E"/>
    <w:rsid w:val="006471E2"/>
    <w:rsid w:val="006473F9"/>
    <w:rsid w:val="00647784"/>
    <w:rsid w:val="00647C34"/>
    <w:rsid w:val="00651060"/>
    <w:rsid w:val="006511A9"/>
    <w:rsid w:val="006528F0"/>
    <w:rsid w:val="00652999"/>
    <w:rsid w:val="00653FB2"/>
    <w:rsid w:val="00654188"/>
    <w:rsid w:val="0065428D"/>
    <w:rsid w:val="006543DF"/>
    <w:rsid w:val="00654BD7"/>
    <w:rsid w:val="0065508C"/>
    <w:rsid w:val="00656958"/>
    <w:rsid w:val="00656DFC"/>
    <w:rsid w:val="0065702F"/>
    <w:rsid w:val="00657128"/>
    <w:rsid w:val="0065726F"/>
    <w:rsid w:val="0065733D"/>
    <w:rsid w:val="006575D8"/>
    <w:rsid w:val="00657B78"/>
    <w:rsid w:val="00660473"/>
    <w:rsid w:val="006610D1"/>
    <w:rsid w:val="00661C06"/>
    <w:rsid w:val="00661E6A"/>
    <w:rsid w:val="0066270B"/>
    <w:rsid w:val="00663982"/>
    <w:rsid w:val="00664D72"/>
    <w:rsid w:val="00665626"/>
    <w:rsid w:val="00665654"/>
    <w:rsid w:val="00665AEC"/>
    <w:rsid w:val="00665C7D"/>
    <w:rsid w:val="006665AB"/>
    <w:rsid w:val="00667439"/>
    <w:rsid w:val="0066785F"/>
    <w:rsid w:val="006711BC"/>
    <w:rsid w:val="00671600"/>
    <w:rsid w:val="00671754"/>
    <w:rsid w:val="00672B6D"/>
    <w:rsid w:val="00673934"/>
    <w:rsid w:val="00673EC7"/>
    <w:rsid w:val="00673EFB"/>
    <w:rsid w:val="006746B0"/>
    <w:rsid w:val="0067505D"/>
    <w:rsid w:val="006752AF"/>
    <w:rsid w:val="00675515"/>
    <w:rsid w:val="0067611E"/>
    <w:rsid w:val="00677160"/>
    <w:rsid w:val="0067781E"/>
    <w:rsid w:val="00677D3C"/>
    <w:rsid w:val="00680B4B"/>
    <w:rsid w:val="00681162"/>
    <w:rsid w:val="0068147B"/>
    <w:rsid w:val="006821C5"/>
    <w:rsid w:val="0068338C"/>
    <w:rsid w:val="00683586"/>
    <w:rsid w:val="00683D30"/>
    <w:rsid w:val="00683DD9"/>
    <w:rsid w:val="006854A5"/>
    <w:rsid w:val="006858CE"/>
    <w:rsid w:val="006861EF"/>
    <w:rsid w:val="006861F7"/>
    <w:rsid w:val="00686CE6"/>
    <w:rsid w:val="00686D51"/>
    <w:rsid w:val="006875FD"/>
    <w:rsid w:val="006907C2"/>
    <w:rsid w:val="00691047"/>
    <w:rsid w:val="00691A4A"/>
    <w:rsid w:val="0069232A"/>
    <w:rsid w:val="00694464"/>
    <w:rsid w:val="00694DF5"/>
    <w:rsid w:val="00695267"/>
    <w:rsid w:val="006956E0"/>
    <w:rsid w:val="00695A4A"/>
    <w:rsid w:val="00695B14"/>
    <w:rsid w:val="00695BEA"/>
    <w:rsid w:val="00697416"/>
    <w:rsid w:val="006A05E6"/>
    <w:rsid w:val="006A1361"/>
    <w:rsid w:val="006A1AA3"/>
    <w:rsid w:val="006A2F4F"/>
    <w:rsid w:val="006A30BA"/>
    <w:rsid w:val="006A51B4"/>
    <w:rsid w:val="006A569B"/>
    <w:rsid w:val="006A5A3B"/>
    <w:rsid w:val="006A6784"/>
    <w:rsid w:val="006A7678"/>
    <w:rsid w:val="006A7DA8"/>
    <w:rsid w:val="006B0C30"/>
    <w:rsid w:val="006B0C4A"/>
    <w:rsid w:val="006B1272"/>
    <w:rsid w:val="006B2281"/>
    <w:rsid w:val="006B2463"/>
    <w:rsid w:val="006B59C6"/>
    <w:rsid w:val="006B6474"/>
    <w:rsid w:val="006B65F8"/>
    <w:rsid w:val="006B6BE2"/>
    <w:rsid w:val="006B7E10"/>
    <w:rsid w:val="006C07D8"/>
    <w:rsid w:val="006C142E"/>
    <w:rsid w:val="006C1B95"/>
    <w:rsid w:val="006C33E4"/>
    <w:rsid w:val="006C5684"/>
    <w:rsid w:val="006C5D2B"/>
    <w:rsid w:val="006C6299"/>
    <w:rsid w:val="006C67DA"/>
    <w:rsid w:val="006D1542"/>
    <w:rsid w:val="006D1A06"/>
    <w:rsid w:val="006D1F29"/>
    <w:rsid w:val="006D3272"/>
    <w:rsid w:val="006D3B6E"/>
    <w:rsid w:val="006D42BB"/>
    <w:rsid w:val="006D509C"/>
    <w:rsid w:val="006D51CB"/>
    <w:rsid w:val="006D52F4"/>
    <w:rsid w:val="006D54B4"/>
    <w:rsid w:val="006D7AA8"/>
    <w:rsid w:val="006D7D7D"/>
    <w:rsid w:val="006E03C8"/>
    <w:rsid w:val="006E1573"/>
    <w:rsid w:val="006E2A57"/>
    <w:rsid w:val="006E2B4B"/>
    <w:rsid w:val="006E2CB6"/>
    <w:rsid w:val="006E33CE"/>
    <w:rsid w:val="006E3575"/>
    <w:rsid w:val="006E3DC2"/>
    <w:rsid w:val="006E4740"/>
    <w:rsid w:val="006E5961"/>
    <w:rsid w:val="006E609A"/>
    <w:rsid w:val="006F000C"/>
    <w:rsid w:val="006F076F"/>
    <w:rsid w:val="006F0B40"/>
    <w:rsid w:val="006F0D2A"/>
    <w:rsid w:val="006F1997"/>
    <w:rsid w:val="006F3411"/>
    <w:rsid w:val="006F3A6E"/>
    <w:rsid w:val="006F3D7F"/>
    <w:rsid w:val="006F4640"/>
    <w:rsid w:val="006F4739"/>
    <w:rsid w:val="006F4CEA"/>
    <w:rsid w:val="006F4D8F"/>
    <w:rsid w:val="006F4F8F"/>
    <w:rsid w:val="006F5000"/>
    <w:rsid w:val="006F5396"/>
    <w:rsid w:val="006F54EE"/>
    <w:rsid w:val="006F5FF5"/>
    <w:rsid w:val="006F7055"/>
    <w:rsid w:val="006F7DAF"/>
    <w:rsid w:val="007023E9"/>
    <w:rsid w:val="00703CD2"/>
    <w:rsid w:val="00704345"/>
    <w:rsid w:val="00705C48"/>
    <w:rsid w:val="00705E9E"/>
    <w:rsid w:val="00706318"/>
    <w:rsid w:val="00706524"/>
    <w:rsid w:val="00706D7D"/>
    <w:rsid w:val="0071119F"/>
    <w:rsid w:val="007111D6"/>
    <w:rsid w:val="00711CC5"/>
    <w:rsid w:val="0071406A"/>
    <w:rsid w:val="00714646"/>
    <w:rsid w:val="007151FC"/>
    <w:rsid w:val="007155C9"/>
    <w:rsid w:val="007157A5"/>
    <w:rsid w:val="00717C53"/>
    <w:rsid w:val="007210E7"/>
    <w:rsid w:val="00722761"/>
    <w:rsid w:val="00722DFF"/>
    <w:rsid w:val="0072328E"/>
    <w:rsid w:val="00723622"/>
    <w:rsid w:val="00723FFF"/>
    <w:rsid w:val="00724BB7"/>
    <w:rsid w:val="00725023"/>
    <w:rsid w:val="00725373"/>
    <w:rsid w:val="007253B5"/>
    <w:rsid w:val="00725429"/>
    <w:rsid w:val="00725837"/>
    <w:rsid w:val="00725E9E"/>
    <w:rsid w:val="00727038"/>
    <w:rsid w:val="00727372"/>
    <w:rsid w:val="00727BAE"/>
    <w:rsid w:val="0073013D"/>
    <w:rsid w:val="007315C8"/>
    <w:rsid w:val="0073161F"/>
    <w:rsid w:val="00731651"/>
    <w:rsid w:val="007318D7"/>
    <w:rsid w:val="00731C0F"/>
    <w:rsid w:val="00731D3C"/>
    <w:rsid w:val="00732482"/>
    <w:rsid w:val="0073313F"/>
    <w:rsid w:val="00733333"/>
    <w:rsid w:val="00733364"/>
    <w:rsid w:val="00733CD9"/>
    <w:rsid w:val="00734FC2"/>
    <w:rsid w:val="007360D9"/>
    <w:rsid w:val="00737206"/>
    <w:rsid w:val="00737394"/>
    <w:rsid w:val="007376F3"/>
    <w:rsid w:val="00740788"/>
    <w:rsid w:val="00740A1A"/>
    <w:rsid w:val="00741129"/>
    <w:rsid w:val="007415C7"/>
    <w:rsid w:val="007416A7"/>
    <w:rsid w:val="0074232E"/>
    <w:rsid w:val="007425A2"/>
    <w:rsid w:val="0074287E"/>
    <w:rsid w:val="00742EF7"/>
    <w:rsid w:val="007431DC"/>
    <w:rsid w:val="00743D33"/>
    <w:rsid w:val="007440F7"/>
    <w:rsid w:val="007444E2"/>
    <w:rsid w:val="007449C0"/>
    <w:rsid w:val="00744CB1"/>
    <w:rsid w:val="00744F8C"/>
    <w:rsid w:val="00745530"/>
    <w:rsid w:val="0074647C"/>
    <w:rsid w:val="0074775A"/>
    <w:rsid w:val="00747D13"/>
    <w:rsid w:val="007505F9"/>
    <w:rsid w:val="0075083C"/>
    <w:rsid w:val="0075098D"/>
    <w:rsid w:val="00751B5D"/>
    <w:rsid w:val="007520B0"/>
    <w:rsid w:val="00752989"/>
    <w:rsid w:val="007533CF"/>
    <w:rsid w:val="00753FBA"/>
    <w:rsid w:val="00754371"/>
    <w:rsid w:val="00755752"/>
    <w:rsid w:val="0075654A"/>
    <w:rsid w:val="007570BD"/>
    <w:rsid w:val="00757306"/>
    <w:rsid w:val="00757909"/>
    <w:rsid w:val="00757A45"/>
    <w:rsid w:val="00757F22"/>
    <w:rsid w:val="00760598"/>
    <w:rsid w:val="00760E2D"/>
    <w:rsid w:val="00761215"/>
    <w:rsid w:val="00761260"/>
    <w:rsid w:val="007618A3"/>
    <w:rsid w:val="00761AFA"/>
    <w:rsid w:val="0076412F"/>
    <w:rsid w:val="00764A7C"/>
    <w:rsid w:val="00764A7D"/>
    <w:rsid w:val="00765AF8"/>
    <w:rsid w:val="00765BD4"/>
    <w:rsid w:val="00765BE6"/>
    <w:rsid w:val="007666BF"/>
    <w:rsid w:val="00767BA4"/>
    <w:rsid w:val="007706C4"/>
    <w:rsid w:val="00770DBA"/>
    <w:rsid w:val="0077136B"/>
    <w:rsid w:val="00771593"/>
    <w:rsid w:val="007716A9"/>
    <w:rsid w:val="007726D2"/>
    <w:rsid w:val="00772935"/>
    <w:rsid w:val="00772A7D"/>
    <w:rsid w:val="00772B9B"/>
    <w:rsid w:val="0077316D"/>
    <w:rsid w:val="00773225"/>
    <w:rsid w:val="00773484"/>
    <w:rsid w:val="00773C72"/>
    <w:rsid w:val="0077446E"/>
    <w:rsid w:val="00774CD7"/>
    <w:rsid w:val="00775368"/>
    <w:rsid w:val="0077553B"/>
    <w:rsid w:val="00775AE0"/>
    <w:rsid w:val="00776031"/>
    <w:rsid w:val="007763DD"/>
    <w:rsid w:val="00776513"/>
    <w:rsid w:val="00776CC6"/>
    <w:rsid w:val="0077776D"/>
    <w:rsid w:val="007779C5"/>
    <w:rsid w:val="00780137"/>
    <w:rsid w:val="00780DD5"/>
    <w:rsid w:val="007815F4"/>
    <w:rsid w:val="0078160F"/>
    <w:rsid w:val="00782B42"/>
    <w:rsid w:val="00782D1A"/>
    <w:rsid w:val="00784BBB"/>
    <w:rsid w:val="00785AEB"/>
    <w:rsid w:val="00787465"/>
    <w:rsid w:val="007876D1"/>
    <w:rsid w:val="007900CA"/>
    <w:rsid w:val="0079021B"/>
    <w:rsid w:val="00790420"/>
    <w:rsid w:val="00790ADF"/>
    <w:rsid w:val="00790D07"/>
    <w:rsid w:val="00790E40"/>
    <w:rsid w:val="00790F3C"/>
    <w:rsid w:val="007926B3"/>
    <w:rsid w:val="007927C6"/>
    <w:rsid w:val="00792FA7"/>
    <w:rsid w:val="0079319F"/>
    <w:rsid w:val="00794973"/>
    <w:rsid w:val="0079533D"/>
    <w:rsid w:val="00796354"/>
    <w:rsid w:val="00796C2C"/>
    <w:rsid w:val="00797122"/>
    <w:rsid w:val="007A095A"/>
    <w:rsid w:val="007A0F49"/>
    <w:rsid w:val="007A16BB"/>
    <w:rsid w:val="007A19D0"/>
    <w:rsid w:val="007A26A5"/>
    <w:rsid w:val="007A436D"/>
    <w:rsid w:val="007A467A"/>
    <w:rsid w:val="007A4FEC"/>
    <w:rsid w:val="007A51A3"/>
    <w:rsid w:val="007A590B"/>
    <w:rsid w:val="007A6FCF"/>
    <w:rsid w:val="007A72D9"/>
    <w:rsid w:val="007A7F54"/>
    <w:rsid w:val="007B00D8"/>
    <w:rsid w:val="007B1212"/>
    <w:rsid w:val="007B20F2"/>
    <w:rsid w:val="007B2661"/>
    <w:rsid w:val="007B3865"/>
    <w:rsid w:val="007B3A20"/>
    <w:rsid w:val="007B3AAB"/>
    <w:rsid w:val="007B3AAC"/>
    <w:rsid w:val="007B3F70"/>
    <w:rsid w:val="007B4463"/>
    <w:rsid w:val="007B4888"/>
    <w:rsid w:val="007B4C57"/>
    <w:rsid w:val="007B5113"/>
    <w:rsid w:val="007B53D7"/>
    <w:rsid w:val="007B571B"/>
    <w:rsid w:val="007B64A7"/>
    <w:rsid w:val="007B6D77"/>
    <w:rsid w:val="007B7168"/>
    <w:rsid w:val="007B78A7"/>
    <w:rsid w:val="007C026D"/>
    <w:rsid w:val="007C06FF"/>
    <w:rsid w:val="007C0C9F"/>
    <w:rsid w:val="007C0D77"/>
    <w:rsid w:val="007C1E40"/>
    <w:rsid w:val="007C2753"/>
    <w:rsid w:val="007C3109"/>
    <w:rsid w:val="007C3D7E"/>
    <w:rsid w:val="007C43DB"/>
    <w:rsid w:val="007C476D"/>
    <w:rsid w:val="007C58CB"/>
    <w:rsid w:val="007C5993"/>
    <w:rsid w:val="007C60B4"/>
    <w:rsid w:val="007C6C3E"/>
    <w:rsid w:val="007D045E"/>
    <w:rsid w:val="007D1ED8"/>
    <w:rsid w:val="007D2C48"/>
    <w:rsid w:val="007D3739"/>
    <w:rsid w:val="007D3FF2"/>
    <w:rsid w:val="007D576C"/>
    <w:rsid w:val="007D6FA4"/>
    <w:rsid w:val="007D7678"/>
    <w:rsid w:val="007E01AB"/>
    <w:rsid w:val="007E0558"/>
    <w:rsid w:val="007E056E"/>
    <w:rsid w:val="007E11E8"/>
    <w:rsid w:val="007E1218"/>
    <w:rsid w:val="007E18F8"/>
    <w:rsid w:val="007E28B9"/>
    <w:rsid w:val="007E31BD"/>
    <w:rsid w:val="007E336F"/>
    <w:rsid w:val="007E3467"/>
    <w:rsid w:val="007E3886"/>
    <w:rsid w:val="007E3A6B"/>
    <w:rsid w:val="007E5787"/>
    <w:rsid w:val="007E5DE6"/>
    <w:rsid w:val="007E61E6"/>
    <w:rsid w:val="007E674C"/>
    <w:rsid w:val="007E73F3"/>
    <w:rsid w:val="007F1AF6"/>
    <w:rsid w:val="007F21D9"/>
    <w:rsid w:val="007F261D"/>
    <w:rsid w:val="007F2CEB"/>
    <w:rsid w:val="007F3121"/>
    <w:rsid w:val="007F31E4"/>
    <w:rsid w:val="007F3E96"/>
    <w:rsid w:val="007F454B"/>
    <w:rsid w:val="007F4D0C"/>
    <w:rsid w:val="007F4D14"/>
    <w:rsid w:val="007F4E78"/>
    <w:rsid w:val="007F718F"/>
    <w:rsid w:val="0080016F"/>
    <w:rsid w:val="00800DA1"/>
    <w:rsid w:val="00801CB8"/>
    <w:rsid w:val="00802BCE"/>
    <w:rsid w:val="0080451D"/>
    <w:rsid w:val="00804BE2"/>
    <w:rsid w:val="008055A5"/>
    <w:rsid w:val="00805776"/>
    <w:rsid w:val="00805D7B"/>
    <w:rsid w:val="00806A94"/>
    <w:rsid w:val="008070E1"/>
    <w:rsid w:val="00807CD3"/>
    <w:rsid w:val="008107B9"/>
    <w:rsid w:val="00810A41"/>
    <w:rsid w:val="008116FE"/>
    <w:rsid w:val="00811DB7"/>
    <w:rsid w:val="00813473"/>
    <w:rsid w:val="0081367D"/>
    <w:rsid w:val="008152C1"/>
    <w:rsid w:val="0081561D"/>
    <w:rsid w:val="00815A73"/>
    <w:rsid w:val="00815BC2"/>
    <w:rsid w:val="0081627B"/>
    <w:rsid w:val="008168EF"/>
    <w:rsid w:val="0081703D"/>
    <w:rsid w:val="00817C8F"/>
    <w:rsid w:val="00820006"/>
    <w:rsid w:val="0082227D"/>
    <w:rsid w:val="00822E31"/>
    <w:rsid w:val="00823A0B"/>
    <w:rsid w:val="00823BE7"/>
    <w:rsid w:val="00825967"/>
    <w:rsid w:val="00825BDE"/>
    <w:rsid w:val="00825C6F"/>
    <w:rsid w:val="00826228"/>
    <w:rsid w:val="00826709"/>
    <w:rsid w:val="00826726"/>
    <w:rsid w:val="00826B98"/>
    <w:rsid w:val="00827326"/>
    <w:rsid w:val="0083023B"/>
    <w:rsid w:val="00831E16"/>
    <w:rsid w:val="008320F5"/>
    <w:rsid w:val="00832365"/>
    <w:rsid w:val="00832ADC"/>
    <w:rsid w:val="00832B62"/>
    <w:rsid w:val="00832FA5"/>
    <w:rsid w:val="00834542"/>
    <w:rsid w:val="00834867"/>
    <w:rsid w:val="00834C30"/>
    <w:rsid w:val="00834F65"/>
    <w:rsid w:val="008357D8"/>
    <w:rsid w:val="00835D89"/>
    <w:rsid w:val="0083641C"/>
    <w:rsid w:val="00836952"/>
    <w:rsid w:val="008371A2"/>
    <w:rsid w:val="00837C62"/>
    <w:rsid w:val="00840C04"/>
    <w:rsid w:val="00840EA7"/>
    <w:rsid w:val="0084164F"/>
    <w:rsid w:val="00841B6E"/>
    <w:rsid w:val="008421C8"/>
    <w:rsid w:val="008439BC"/>
    <w:rsid w:val="0084583B"/>
    <w:rsid w:val="00846269"/>
    <w:rsid w:val="00846281"/>
    <w:rsid w:val="008466D0"/>
    <w:rsid w:val="00847791"/>
    <w:rsid w:val="00850515"/>
    <w:rsid w:val="00850D1A"/>
    <w:rsid w:val="00850DB5"/>
    <w:rsid w:val="00851672"/>
    <w:rsid w:val="0085174B"/>
    <w:rsid w:val="00851776"/>
    <w:rsid w:val="00852405"/>
    <w:rsid w:val="00852978"/>
    <w:rsid w:val="00853347"/>
    <w:rsid w:val="008551F6"/>
    <w:rsid w:val="00857179"/>
    <w:rsid w:val="00857F73"/>
    <w:rsid w:val="008604A1"/>
    <w:rsid w:val="008604ED"/>
    <w:rsid w:val="00860503"/>
    <w:rsid w:val="0086117F"/>
    <w:rsid w:val="00861376"/>
    <w:rsid w:val="008629C3"/>
    <w:rsid w:val="00862D60"/>
    <w:rsid w:val="00863A36"/>
    <w:rsid w:val="00864D42"/>
    <w:rsid w:val="00864EC5"/>
    <w:rsid w:val="0086540F"/>
    <w:rsid w:val="008657F1"/>
    <w:rsid w:val="00865EAC"/>
    <w:rsid w:val="00866097"/>
    <w:rsid w:val="008670AC"/>
    <w:rsid w:val="00867495"/>
    <w:rsid w:val="00871ADB"/>
    <w:rsid w:val="008732E8"/>
    <w:rsid w:val="00873603"/>
    <w:rsid w:val="00873CE6"/>
    <w:rsid w:val="00873E4B"/>
    <w:rsid w:val="008753B6"/>
    <w:rsid w:val="008753EC"/>
    <w:rsid w:val="008756DB"/>
    <w:rsid w:val="00876AE6"/>
    <w:rsid w:val="00877E0C"/>
    <w:rsid w:val="00877E69"/>
    <w:rsid w:val="00880250"/>
    <w:rsid w:val="00880D07"/>
    <w:rsid w:val="00880FA7"/>
    <w:rsid w:val="0088169A"/>
    <w:rsid w:val="00881CF9"/>
    <w:rsid w:val="0088200F"/>
    <w:rsid w:val="00884116"/>
    <w:rsid w:val="008849C8"/>
    <w:rsid w:val="00885BF6"/>
    <w:rsid w:val="00885C17"/>
    <w:rsid w:val="008873BD"/>
    <w:rsid w:val="00887A42"/>
    <w:rsid w:val="00887EDB"/>
    <w:rsid w:val="00890297"/>
    <w:rsid w:val="008918E6"/>
    <w:rsid w:val="008920B2"/>
    <w:rsid w:val="00892EA9"/>
    <w:rsid w:val="00893838"/>
    <w:rsid w:val="0089428A"/>
    <w:rsid w:val="008943EA"/>
    <w:rsid w:val="00895324"/>
    <w:rsid w:val="00895CC2"/>
    <w:rsid w:val="00896496"/>
    <w:rsid w:val="00896C45"/>
    <w:rsid w:val="00896DB9"/>
    <w:rsid w:val="00897CEA"/>
    <w:rsid w:val="008A031B"/>
    <w:rsid w:val="008A039D"/>
    <w:rsid w:val="008A1589"/>
    <w:rsid w:val="008A182C"/>
    <w:rsid w:val="008A20A0"/>
    <w:rsid w:val="008A21C5"/>
    <w:rsid w:val="008A4842"/>
    <w:rsid w:val="008A49C4"/>
    <w:rsid w:val="008A4ECC"/>
    <w:rsid w:val="008A50EE"/>
    <w:rsid w:val="008A55CA"/>
    <w:rsid w:val="008A5A87"/>
    <w:rsid w:val="008A62D8"/>
    <w:rsid w:val="008A6718"/>
    <w:rsid w:val="008A6990"/>
    <w:rsid w:val="008A719B"/>
    <w:rsid w:val="008B08C2"/>
    <w:rsid w:val="008B0DF1"/>
    <w:rsid w:val="008B370D"/>
    <w:rsid w:val="008B3B5A"/>
    <w:rsid w:val="008B3DB9"/>
    <w:rsid w:val="008B508B"/>
    <w:rsid w:val="008B585D"/>
    <w:rsid w:val="008B5DA1"/>
    <w:rsid w:val="008B60FE"/>
    <w:rsid w:val="008B710B"/>
    <w:rsid w:val="008B7C57"/>
    <w:rsid w:val="008C034A"/>
    <w:rsid w:val="008C0BBF"/>
    <w:rsid w:val="008C1195"/>
    <w:rsid w:val="008C2231"/>
    <w:rsid w:val="008C3197"/>
    <w:rsid w:val="008C454A"/>
    <w:rsid w:val="008C4F3D"/>
    <w:rsid w:val="008C5142"/>
    <w:rsid w:val="008C58C9"/>
    <w:rsid w:val="008C59C2"/>
    <w:rsid w:val="008C6018"/>
    <w:rsid w:val="008C677A"/>
    <w:rsid w:val="008C6A3B"/>
    <w:rsid w:val="008C6B1F"/>
    <w:rsid w:val="008D04DD"/>
    <w:rsid w:val="008D08D5"/>
    <w:rsid w:val="008D0D8D"/>
    <w:rsid w:val="008D26D8"/>
    <w:rsid w:val="008D2C29"/>
    <w:rsid w:val="008D2DCA"/>
    <w:rsid w:val="008D3D80"/>
    <w:rsid w:val="008D424F"/>
    <w:rsid w:val="008D4A00"/>
    <w:rsid w:val="008D4C1E"/>
    <w:rsid w:val="008D5400"/>
    <w:rsid w:val="008D6EE4"/>
    <w:rsid w:val="008D739F"/>
    <w:rsid w:val="008E37F5"/>
    <w:rsid w:val="008E4331"/>
    <w:rsid w:val="008E45AC"/>
    <w:rsid w:val="008E52A5"/>
    <w:rsid w:val="008E54C0"/>
    <w:rsid w:val="008E5D9F"/>
    <w:rsid w:val="008E6E49"/>
    <w:rsid w:val="008E7D9C"/>
    <w:rsid w:val="008F0F92"/>
    <w:rsid w:val="008F25A1"/>
    <w:rsid w:val="008F433B"/>
    <w:rsid w:val="008F4426"/>
    <w:rsid w:val="008F57C6"/>
    <w:rsid w:val="008F5CE7"/>
    <w:rsid w:val="008F61CB"/>
    <w:rsid w:val="008F72B8"/>
    <w:rsid w:val="008F79D5"/>
    <w:rsid w:val="008F7EA3"/>
    <w:rsid w:val="0090049C"/>
    <w:rsid w:val="00901BE7"/>
    <w:rsid w:val="009021CB"/>
    <w:rsid w:val="00903006"/>
    <w:rsid w:val="009030B4"/>
    <w:rsid w:val="009031A0"/>
    <w:rsid w:val="00903513"/>
    <w:rsid w:val="00903F05"/>
    <w:rsid w:val="0090444E"/>
    <w:rsid w:val="0090467F"/>
    <w:rsid w:val="00904FB2"/>
    <w:rsid w:val="009054C7"/>
    <w:rsid w:val="00905535"/>
    <w:rsid w:val="00906585"/>
    <w:rsid w:val="0090694C"/>
    <w:rsid w:val="00906C62"/>
    <w:rsid w:val="009072E7"/>
    <w:rsid w:val="00907F26"/>
    <w:rsid w:val="00910F07"/>
    <w:rsid w:val="0091208B"/>
    <w:rsid w:val="00912DAB"/>
    <w:rsid w:val="009132A8"/>
    <w:rsid w:val="00914567"/>
    <w:rsid w:val="009147DA"/>
    <w:rsid w:val="009152FB"/>
    <w:rsid w:val="00916301"/>
    <w:rsid w:val="0091678D"/>
    <w:rsid w:val="00917918"/>
    <w:rsid w:val="00917E0C"/>
    <w:rsid w:val="00921474"/>
    <w:rsid w:val="009226DB"/>
    <w:rsid w:val="00922890"/>
    <w:rsid w:val="00923BBB"/>
    <w:rsid w:val="00923E90"/>
    <w:rsid w:val="00923F27"/>
    <w:rsid w:val="009240AB"/>
    <w:rsid w:val="00924970"/>
    <w:rsid w:val="00924B42"/>
    <w:rsid w:val="00925561"/>
    <w:rsid w:val="009265C2"/>
    <w:rsid w:val="009278D0"/>
    <w:rsid w:val="00927AF9"/>
    <w:rsid w:val="0093089D"/>
    <w:rsid w:val="0093127F"/>
    <w:rsid w:val="009315E5"/>
    <w:rsid w:val="00931BE1"/>
    <w:rsid w:val="00931C12"/>
    <w:rsid w:val="009346C3"/>
    <w:rsid w:val="00935FA2"/>
    <w:rsid w:val="00936F67"/>
    <w:rsid w:val="0093725E"/>
    <w:rsid w:val="009373EC"/>
    <w:rsid w:val="00937850"/>
    <w:rsid w:val="009379D4"/>
    <w:rsid w:val="009402C6"/>
    <w:rsid w:val="0094158B"/>
    <w:rsid w:val="009417C0"/>
    <w:rsid w:val="00943C43"/>
    <w:rsid w:val="00944BC6"/>
    <w:rsid w:val="009450A4"/>
    <w:rsid w:val="009454AB"/>
    <w:rsid w:val="0094579C"/>
    <w:rsid w:val="009463FB"/>
    <w:rsid w:val="00950581"/>
    <w:rsid w:val="00950DC7"/>
    <w:rsid w:val="00951296"/>
    <w:rsid w:val="009515ED"/>
    <w:rsid w:val="0095196E"/>
    <w:rsid w:val="00951CE9"/>
    <w:rsid w:val="00953118"/>
    <w:rsid w:val="00953270"/>
    <w:rsid w:val="00953799"/>
    <w:rsid w:val="00954279"/>
    <w:rsid w:val="009543BA"/>
    <w:rsid w:val="00954840"/>
    <w:rsid w:val="009549BB"/>
    <w:rsid w:val="00956133"/>
    <w:rsid w:val="0095719A"/>
    <w:rsid w:val="009576A9"/>
    <w:rsid w:val="00961E08"/>
    <w:rsid w:val="009620CF"/>
    <w:rsid w:val="009627A7"/>
    <w:rsid w:val="00962DE7"/>
    <w:rsid w:val="00962F45"/>
    <w:rsid w:val="009634AE"/>
    <w:rsid w:val="00963B36"/>
    <w:rsid w:val="00964B3A"/>
    <w:rsid w:val="00964F8E"/>
    <w:rsid w:val="00965463"/>
    <w:rsid w:val="009656AE"/>
    <w:rsid w:val="00965CCD"/>
    <w:rsid w:val="00965D79"/>
    <w:rsid w:val="00965E0B"/>
    <w:rsid w:val="00966356"/>
    <w:rsid w:val="009679AE"/>
    <w:rsid w:val="00971318"/>
    <w:rsid w:val="00971BB5"/>
    <w:rsid w:val="009727F1"/>
    <w:rsid w:val="009738EB"/>
    <w:rsid w:val="00973C85"/>
    <w:rsid w:val="00974470"/>
    <w:rsid w:val="009746D6"/>
    <w:rsid w:val="00974E96"/>
    <w:rsid w:val="00975517"/>
    <w:rsid w:val="009755D9"/>
    <w:rsid w:val="00976746"/>
    <w:rsid w:val="009768E1"/>
    <w:rsid w:val="00976C96"/>
    <w:rsid w:val="00977026"/>
    <w:rsid w:val="00977430"/>
    <w:rsid w:val="00977A5A"/>
    <w:rsid w:val="00977C9E"/>
    <w:rsid w:val="009802E0"/>
    <w:rsid w:val="009808D4"/>
    <w:rsid w:val="0098119F"/>
    <w:rsid w:val="009820F9"/>
    <w:rsid w:val="00982A83"/>
    <w:rsid w:val="00982C6F"/>
    <w:rsid w:val="00982F6E"/>
    <w:rsid w:val="0098375E"/>
    <w:rsid w:val="009842C3"/>
    <w:rsid w:val="0098466F"/>
    <w:rsid w:val="009848A7"/>
    <w:rsid w:val="00984D79"/>
    <w:rsid w:val="009879BF"/>
    <w:rsid w:val="00987A82"/>
    <w:rsid w:val="00987B10"/>
    <w:rsid w:val="00987E11"/>
    <w:rsid w:val="009907CE"/>
    <w:rsid w:val="00990859"/>
    <w:rsid w:val="009918C6"/>
    <w:rsid w:val="00991E30"/>
    <w:rsid w:val="00993306"/>
    <w:rsid w:val="009939C8"/>
    <w:rsid w:val="00993A3C"/>
    <w:rsid w:val="00994536"/>
    <w:rsid w:val="00994DE8"/>
    <w:rsid w:val="00994F47"/>
    <w:rsid w:val="0099505E"/>
    <w:rsid w:val="009967E2"/>
    <w:rsid w:val="00996F5A"/>
    <w:rsid w:val="009A010A"/>
    <w:rsid w:val="009A016D"/>
    <w:rsid w:val="009A114F"/>
    <w:rsid w:val="009A2225"/>
    <w:rsid w:val="009A27CA"/>
    <w:rsid w:val="009A2898"/>
    <w:rsid w:val="009A3B23"/>
    <w:rsid w:val="009A4354"/>
    <w:rsid w:val="009A5503"/>
    <w:rsid w:val="009A5A17"/>
    <w:rsid w:val="009A5AFE"/>
    <w:rsid w:val="009A6CF6"/>
    <w:rsid w:val="009A76C6"/>
    <w:rsid w:val="009A7D1B"/>
    <w:rsid w:val="009A7D84"/>
    <w:rsid w:val="009B0B1B"/>
    <w:rsid w:val="009B33B6"/>
    <w:rsid w:val="009B3738"/>
    <w:rsid w:val="009B3909"/>
    <w:rsid w:val="009B47D3"/>
    <w:rsid w:val="009B495E"/>
    <w:rsid w:val="009B4E26"/>
    <w:rsid w:val="009B501C"/>
    <w:rsid w:val="009B6D1D"/>
    <w:rsid w:val="009B79CD"/>
    <w:rsid w:val="009C0007"/>
    <w:rsid w:val="009C07C2"/>
    <w:rsid w:val="009C0D93"/>
    <w:rsid w:val="009C0F32"/>
    <w:rsid w:val="009C0F85"/>
    <w:rsid w:val="009C1D72"/>
    <w:rsid w:val="009C3D6C"/>
    <w:rsid w:val="009C40CD"/>
    <w:rsid w:val="009C4D65"/>
    <w:rsid w:val="009C6865"/>
    <w:rsid w:val="009D0D83"/>
    <w:rsid w:val="009D231E"/>
    <w:rsid w:val="009D32BB"/>
    <w:rsid w:val="009D4A0E"/>
    <w:rsid w:val="009D4F3B"/>
    <w:rsid w:val="009D5553"/>
    <w:rsid w:val="009D63D5"/>
    <w:rsid w:val="009D64F3"/>
    <w:rsid w:val="009D7337"/>
    <w:rsid w:val="009D7952"/>
    <w:rsid w:val="009D7C79"/>
    <w:rsid w:val="009E01EF"/>
    <w:rsid w:val="009E14CB"/>
    <w:rsid w:val="009E1C5C"/>
    <w:rsid w:val="009E1C66"/>
    <w:rsid w:val="009E1CCA"/>
    <w:rsid w:val="009E3665"/>
    <w:rsid w:val="009E37C8"/>
    <w:rsid w:val="009E381D"/>
    <w:rsid w:val="009E418E"/>
    <w:rsid w:val="009E47BC"/>
    <w:rsid w:val="009E4FC1"/>
    <w:rsid w:val="009E50F2"/>
    <w:rsid w:val="009E6006"/>
    <w:rsid w:val="009E604E"/>
    <w:rsid w:val="009E63F6"/>
    <w:rsid w:val="009E6842"/>
    <w:rsid w:val="009E6FE1"/>
    <w:rsid w:val="009F0564"/>
    <w:rsid w:val="009F21A7"/>
    <w:rsid w:val="009F2BF6"/>
    <w:rsid w:val="009F304E"/>
    <w:rsid w:val="009F37A6"/>
    <w:rsid w:val="009F3C0B"/>
    <w:rsid w:val="009F3F53"/>
    <w:rsid w:val="009F4237"/>
    <w:rsid w:val="009F53C3"/>
    <w:rsid w:val="009F57D1"/>
    <w:rsid w:val="009F7507"/>
    <w:rsid w:val="009F7D22"/>
    <w:rsid w:val="00A007D8"/>
    <w:rsid w:val="00A02103"/>
    <w:rsid w:val="00A02128"/>
    <w:rsid w:val="00A02DDF"/>
    <w:rsid w:val="00A03FE9"/>
    <w:rsid w:val="00A0406F"/>
    <w:rsid w:val="00A04F91"/>
    <w:rsid w:val="00A05030"/>
    <w:rsid w:val="00A06087"/>
    <w:rsid w:val="00A0638E"/>
    <w:rsid w:val="00A065D0"/>
    <w:rsid w:val="00A0799A"/>
    <w:rsid w:val="00A102FE"/>
    <w:rsid w:val="00A10A70"/>
    <w:rsid w:val="00A11253"/>
    <w:rsid w:val="00A13509"/>
    <w:rsid w:val="00A1377C"/>
    <w:rsid w:val="00A14088"/>
    <w:rsid w:val="00A1764F"/>
    <w:rsid w:val="00A17F38"/>
    <w:rsid w:val="00A2160D"/>
    <w:rsid w:val="00A21981"/>
    <w:rsid w:val="00A220E8"/>
    <w:rsid w:val="00A221E9"/>
    <w:rsid w:val="00A22DF2"/>
    <w:rsid w:val="00A231F8"/>
    <w:rsid w:val="00A23366"/>
    <w:rsid w:val="00A23CF5"/>
    <w:rsid w:val="00A24087"/>
    <w:rsid w:val="00A2539B"/>
    <w:rsid w:val="00A2577F"/>
    <w:rsid w:val="00A2600B"/>
    <w:rsid w:val="00A264DA"/>
    <w:rsid w:val="00A30F28"/>
    <w:rsid w:val="00A319ED"/>
    <w:rsid w:val="00A3243C"/>
    <w:rsid w:val="00A333DA"/>
    <w:rsid w:val="00A33496"/>
    <w:rsid w:val="00A339D0"/>
    <w:rsid w:val="00A339EF"/>
    <w:rsid w:val="00A34F11"/>
    <w:rsid w:val="00A354F6"/>
    <w:rsid w:val="00A35EBA"/>
    <w:rsid w:val="00A36718"/>
    <w:rsid w:val="00A36D74"/>
    <w:rsid w:val="00A37102"/>
    <w:rsid w:val="00A37913"/>
    <w:rsid w:val="00A40DA9"/>
    <w:rsid w:val="00A41F51"/>
    <w:rsid w:val="00A421AB"/>
    <w:rsid w:val="00A4263E"/>
    <w:rsid w:val="00A42AC5"/>
    <w:rsid w:val="00A43DF1"/>
    <w:rsid w:val="00A44877"/>
    <w:rsid w:val="00A450C2"/>
    <w:rsid w:val="00A4560E"/>
    <w:rsid w:val="00A45EF1"/>
    <w:rsid w:val="00A4626B"/>
    <w:rsid w:val="00A46DD3"/>
    <w:rsid w:val="00A508F7"/>
    <w:rsid w:val="00A50A50"/>
    <w:rsid w:val="00A50BF2"/>
    <w:rsid w:val="00A517CD"/>
    <w:rsid w:val="00A51C36"/>
    <w:rsid w:val="00A51DB4"/>
    <w:rsid w:val="00A523D4"/>
    <w:rsid w:val="00A52EE7"/>
    <w:rsid w:val="00A539B8"/>
    <w:rsid w:val="00A546A7"/>
    <w:rsid w:val="00A55C29"/>
    <w:rsid w:val="00A56360"/>
    <w:rsid w:val="00A56745"/>
    <w:rsid w:val="00A5699E"/>
    <w:rsid w:val="00A572F0"/>
    <w:rsid w:val="00A5784D"/>
    <w:rsid w:val="00A579CE"/>
    <w:rsid w:val="00A61A4E"/>
    <w:rsid w:val="00A625F5"/>
    <w:rsid w:val="00A640FE"/>
    <w:rsid w:val="00A643FE"/>
    <w:rsid w:val="00A64AE8"/>
    <w:rsid w:val="00A64FDC"/>
    <w:rsid w:val="00A65092"/>
    <w:rsid w:val="00A65862"/>
    <w:rsid w:val="00A65B0D"/>
    <w:rsid w:val="00A6640F"/>
    <w:rsid w:val="00A66678"/>
    <w:rsid w:val="00A6698C"/>
    <w:rsid w:val="00A6713C"/>
    <w:rsid w:val="00A67814"/>
    <w:rsid w:val="00A679CF"/>
    <w:rsid w:val="00A67B42"/>
    <w:rsid w:val="00A67B98"/>
    <w:rsid w:val="00A70213"/>
    <w:rsid w:val="00A70E5F"/>
    <w:rsid w:val="00A7173A"/>
    <w:rsid w:val="00A71967"/>
    <w:rsid w:val="00A71B9D"/>
    <w:rsid w:val="00A72142"/>
    <w:rsid w:val="00A72A41"/>
    <w:rsid w:val="00A7301D"/>
    <w:rsid w:val="00A73022"/>
    <w:rsid w:val="00A73032"/>
    <w:rsid w:val="00A742EC"/>
    <w:rsid w:val="00A74329"/>
    <w:rsid w:val="00A74792"/>
    <w:rsid w:val="00A747CE"/>
    <w:rsid w:val="00A74C29"/>
    <w:rsid w:val="00A75841"/>
    <w:rsid w:val="00A75CEC"/>
    <w:rsid w:val="00A7683E"/>
    <w:rsid w:val="00A77233"/>
    <w:rsid w:val="00A846D3"/>
    <w:rsid w:val="00A85910"/>
    <w:rsid w:val="00A85E4A"/>
    <w:rsid w:val="00A86A77"/>
    <w:rsid w:val="00A87424"/>
    <w:rsid w:val="00A87F7F"/>
    <w:rsid w:val="00A9007A"/>
    <w:rsid w:val="00A90803"/>
    <w:rsid w:val="00A90FD3"/>
    <w:rsid w:val="00A9156F"/>
    <w:rsid w:val="00A942A3"/>
    <w:rsid w:val="00A94A97"/>
    <w:rsid w:val="00A95442"/>
    <w:rsid w:val="00A959A4"/>
    <w:rsid w:val="00A959D9"/>
    <w:rsid w:val="00A97477"/>
    <w:rsid w:val="00A9753C"/>
    <w:rsid w:val="00A97E58"/>
    <w:rsid w:val="00AA0892"/>
    <w:rsid w:val="00AA0CC2"/>
    <w:rsid w:val="00AA1092"/>
    <w:rsid w:val="00AA191D"/>
    <w:rsid w:val="00AA2012"/>
    <w:rsid w:val="00AA27F1"/>
    <w:rsid w:val="00AA2E39"/>
    <w:rsid w:val="00AA3ED5"/>
    <w:rsid w:val="00AA78A6"/>
    <w:rsid w:val="00AB0916"/>
    <w:rsid w:val="00AB2BB0"/>
    <w:rsid w:val="00AB2DBE"/>
    <w:rsid w:val="00AB33BD"/>
    <w:rsid w:val="00AB3A6D"/>
    <w:rsid w:val="00AB3B7E"/>
    <w:rsid w:val="00AB46C3"/>
    <w:rsid w:val="00AB4C9E"/>
    <w:rsid w:val="00AB5F09"/>
    <w:rsid w:val="00AB6436"/>
    <w:rsid w:val="00AB7FDB"/>
    <w:rsid w:val="00AC025D"/>
    <w:rsid w:val="00AC1265"/>
    <w:rsid w:val="00AC1887"/>
    <w:rsid w:val="00AC2234"/>
    <w:rsid w:val="00AC2BA8"/>
    <w:rsid w:val="00AC39F3"/>
    <w:rsid w:val="00AC3F5F"/>
    <w:rsid w:val="00AC48C0"/>
    <w:rsid w:val="00AC4A7B"/>
    <w:rsid w:val="00AC5BD2"/>
    <w:rsid w:val="00AC5F2E"/>
    <w:rsid w:val="00AC64E1"/>
    <w:rsid w:val="00AC675D"/>
    <w:rsid w:val="00AC77BB"/>
    <w:rsid w:val="00AD0CFF"/>
    <w:rsid w:val="00AD3365"/>
    <w:rsid w:val="00AD38A7"/>
    <w:rsid w:val="00AD74D0"/>
    <w:rsid w:val="00AD7E50"/>
    <w:rsid w:val="00AE054A"/>
    <w:rsid w:val="00AE1622"/>
    <w:rsid w:val="00AE1A36"/>
    <w:rsid w:val="00AE1E21"/>
    <w:rsid w:val="00AE254B"/>
    <w:rsid w:val="00AE2A4E"/>
    <w:rsid w:val="00AE3125"/>
    <w:rsid w:val="00AE376C"/>
    <w:rsid w:val="00AE48C5"/>
    <w:rsid w:val="00AE50C9"/>
    <w:rsid w:val="00AE51A2"/>
    <w:rsid w:val="00AE549F"/>
    <w:rsid w:val="00AE66CD"/>
    <w:rsid w:val="00AE69E4"/>
    <w:rsid w:val="00AF035C"/>
    <w:rsid w:val="00AF057D"/>
    <w:rsid w:val="00AF2803"/>
    <w:rsid w:val="00AF286B"/>
    <w:rsid w:val="00AF2EB7"/>
    <w:rsid w:val="00AF41FD"/>
    <w:rsid w:val="00AF4C05"/>
    <w:rsid w:val="00AF508B"/>
    <w:rsid w:val="00AF5170"/>
    <w:rsid w:val="00AF5326"/>
    <w:rsid w:val="00AF5446"/>
    <w:rsid w:val="00AF6E4D"/>
    <w:rsid w:val="00AF7269"/>
    <w:rsid w:val="00AF76DE"/>
    <w:rsid w:val="00B00CF5"/>
    <w:rsid w:val="00B0133C"/>
    <w:rsid w:val="00B0139B"/>
    <w:rsid w:val="00B0273C"/>
    <w:rsid w:val="00B02A7D"/>
    <w:rsid w:val="00B0602F"/>
    <w:rsid w:val="00B0678F"/>
    <w:rsid w:val="00B06D8F"/>
    <w:rsid w:val="00B06F36"/>
    <w:rsid w:val="00B0756C"/>
    <w:rsid w:val="00B07D3B"/>
    <w:rsid w:val="00B11603"/>
    <w:rsid w:val="00B116E1"/>
    <w:rsid w:val="00B123FC"/>
    <w:rsid w:val="00B12CCE"/>
    <w:rsid w:val="00B13BC8"/>
    <w:rsid w:val="00B13CFC"/>
    <w:rsid w:val="00B13E7A"/>
    <w:rsid w:val="00B14B6A"/>
    <w:rsid w:val="00B15D09"/>
    <w:rsid w:val="00B166AA"/>
    <w:rsid w:val="00B204C4"/>
    <w:rsid w:val="00B2105C"/>
    <w:rsid w:val="00B21160"/>
    <w:rsid w:val="00B21B7A"/>
    <w:rsid w:val="00B21D85"/>
    <w:rsid w:val="00B2201E"/>
    <w:rsid w:val="00B22B51"/>
    <w:rsid w:val="00B23091"/>
    <w:rsid w:val="00B2312E"/>
    <w:rsid w:val="00B232B2"/>
    <w:rsid w:val="00B23667"/>
    <w:rsid w:val="00B23E34"/>
    <w:rsid w:val="00B24265"/>
    <w:rsid w:val="00B24CAE"/>
    <w:rsid w:val="00B24CCA"/>
    <w:rsid w:val="00B24F63"/>
    <w:rsid w:val="00B2598A"/>
    <w:rsid w:val="00B267B4"/>
    <w:rsid w:val="00B26B59"/>
    <w:rsid w:val="00B26F02"/>
    <w:rsid w:val="00B2753E"/>
    <w:rsid w:val="00B27848"/>
    <w:rsid w:val="00B300B3"/>
    <w:rsid w:val="00B3170A"/>
    <w:rsid w:val="00B3199A"/>
    <w:rsid w:val="00B328CF"/>
    <w:rsid w:val="00B32CA5"/>
    <w:rsid w:val="00B33136"/>
    <w:rsid w:val="00B332D1"/>
    <w:rsid w:val="00B33A02"/>
    <w:rsid w:val="00B345CA"/>
    <w:rsid w:val="00B34F4D"/>
    <w:rsid w:val="00B354DD"/>
    <w:rsid w:val="00B3557F"/>
    <w:rsid w:val="00B359D6"/>
    <w:rsid w:val="00B35A5F"/>
    <w:rsid w:val="00B35E5B"/>
    <w:rsid w:val="00B362E0"/>
    <w:rsid w:val="00B36ACE"/>
    <w:rsid w:val="00B36ECD"/>
    <w:rsid w:val="00B37E06"/>
    <w:rsid w:val="00B40160"/>
    <w:rsid w:val="00B4100D"/>
    <w:rsid w:val="00B4146C"/>
    <w:rsid w:val="00B41569"/>
    <w:rsid w:val="00B44959"/>
    <w:rsid w:val="00B45276"/>
    <w:rsid w:val="00B45669"/>
    <w:rsid w:val="00B45BA5"/>
    <w:rsid w:val="00B46189"/>
    <w:rsid w:val="00B463A7"/>
    <w:rsid w:val="00B4652F"/>
    <w:rsid w:val="00B50B76"/>
    <w:rsid w:val="00B50BB2"/>
    <w:rsid w:val="00B5159C"/>
    <w:rsid w:val="00B51F9D"/>
    <w:rsid w:val="00B52226"/>
    <w:rsid w:val="00B531D6"/>
    <w:rsid w:val="00B5450F"/>
    <w:rsid w:val="00B54660"/>
    <w:rsid w:val="00B5486D"/>
    <w:rsid w:val="00B55274"/>
    <w:rsid w:val="00B55C78"/>
    <w:rsid w:val="00B5638E"/>
    <w:rsid w:val="00B601CD"/>
    <w:rsid w:val="00B6024B"/>
    <w:rsid w:val="00B60338"/>
    <w:rsid w:val="00B6058C"/>
    <w:rsid w:val="00B605EB"/>
    <w:rsid w:val="00B61304"/>
    <w:rsid w:val="00B61843"/>
    <w:rsid w:val="00B61AC0"/>
    <w:rsid w:val="00B61E10"/>
    <w:rsid w:val="00B62269"/>
    <w:rsid w:val="00B6229C"/>
    <w:rsid w:val="00B62E54"/>
    <w:rsid w:val="00B6332F"/>
    <w:rsid w:val="00B633FB"/>
    <w:rsid w:val="00B63594"/>
    <w:rsid w:val="00B638D7"/>
    <w:rsid w:val="00B667FA"/>
    <w:rsid w:val="00B66FB4"/>
    <w:rsid w:val="00B673D6"/>
    <w:rsid w:val="00B7028B"/>
    <w:rsid w:val="00B7057E"/>
    <w:rsid w:val="00B70945"/>
    <w:rsid w:val="00B70ED4"/>
    <w:rsid w:val="00B70F3A"/>
    <w:rsid w:val="00B71A1C"/>
    <w:rsid w:val="00B71F43"/>
    <w:rsid w:val="00B720E4"/>
    <w:rsid w:val="00B72672"/>
    <w:rsid w:val="00B74621"/>
    <w:rsid w:val="00B7481D"/>
    <w:rsid w:val="00B75D36"/>
    <w:rsid w:val="00B7768B"/>
    <w:rsid w:val="00B8047B"/>
    <w:rsid w:val="00B81075"/>
    <w:rsid w:val="00B8154C"/>
    <w:rsid w:val="00B81DFE"/>
    <w:rsid w:val="00B81E4B"/>
    <w:rsid w:val="00B82500"/>
    <w:rsid w:val="00B82563"/>
    <w:rsid w:val="00B82791"/>
    <w:rsid w:val="00B8298C"/>
    <w:rsid w:val="00B82D21"/>
    <w:rsid w:val="00B833AC"/>
    <w:rsid w:val="00B848A8"/>
    <w:rsid w:val="00B855DA"/>
    <w:rsid w:val="00B862CF"/>
    <w:rsid w:val="00B86414"/>
    <w:rsid w:val="00B8686E"/>
    <w:rsid w:val="00B86940"/>
    <w:rsid w:val="00B86AB6"/>
    <w:rsid w:val="00B86E5F"/>
    <w:rsid w:val="00B878F1"/>
    <w:rsid w:val="00B9028E"/>
    <w:rsid w:val="00B91925"/>
    <w:rsid w:val="00B92570"/>
    <w:rsid w:val="00B92588"/>
    <w:rsid w:val="00B9353E"/>
    <w:rsid w:val="00B9407E"/>
    <w:rsid w:val="00B943B3"/>
    <w:rsid w:val="00B946F8"/>
    <w:rsid w:val="00B94FB1"/>
    <w:rsid w:val="00B95195"/>
    <w:rsid w:val="00B95206"/>
    <w:rsid w:val="00B953A7"/>
    <w:rsid w:val="00B95EA5"/>
    <w:rsid w:val="00B961B1"/>
    <w:rsid w:val="00B962BD"/>
    <w:rsid w:val="00B96A2C"/>
    <w:rsid w:val="00B96DCB"/>
    <w:rsid w:val="00B97066"/>
    <w:rsid w:val="00B97748"/>
    <w:rsid w:val="00BA01CF"/>
    <w:rsid w:val="00BA3267"/>
    <w:rsid w:val="00BA3583"/>
    <w:rsid w:val="00BA4E71"/>
    <w:rsid w:val="00BA5503"/>
    <w:rsid w:val="00BA5862"/>
    <w:rsid w:val="00BA5F20"/>
    <w:rsid w:val="00BA61CA"/>
    <w:rsid w:val="00BA69EE"/>
    <w:rsid w:val="00BA76A2"/>
    <w:rsid w:val="00BB033C"/>
    <w:rsid w:val="00BB060D"/>
    <w:rsid w:val="00BB0D23"/>
    <w:rsid w:val="00BB14E8"/>
    <w:rsid w:val="00BB1991"/>
    <w:rsid w:val="00BB22A6"/>
    <w:rsid w:val="00BB2476"/>
    <w:rsid w:val="00BB28B8"/>
    <w:rsid w:val="00BB2D6E"/>
    <w:rsid w:val="00BB499D"/>
    <w:rsid w:val="00BB4AD6"/>
    <w:rsid w:val="00BB507E"/>
    <w:rsid w:val="00BB5787"/>
    <w:rsid w:val="00BB617E"/>
    <w:rsid w:val="00BB66EE"/>
    <w:rsid w:val="00BB67D1"/>
    <w:rsid w:val="00BB6D9A"/>
    <w:rsid w:val="00BB78A1"/>
    <w:rsid w:val="00BC0234"/>
    <w:rsid w:val="00BC053E"/>
    <w:rsid w:val="00BC088E"/>
    <w:rsid w:val="00BC1196"/>
    <w:rsid w:val="00BC1B1E"/>
    <w:rsid w:val="00BC2073"/>
    <w:rsid w:val="00BC2B4F"/>
    <w:rsid w:val="00BC2C93"/>
    <w:rsid w:val="00BC381D"/>
    <w:rsid w:val="00BC44C1"/>
    <w:rsid w:val="00BC4A2E"/>
    <w:rsid w:val="00BC571D"/>
    <w:rsid w:val="00BC6049"/>
    <w:rsid w:val="00BC605A"/>
    <w:rsid w:val="00BC6536"/>
    <w:rsid w:val="00BC6EFF"/>
    <w:rsid w:val="00BC752D"/>
    <w:rsid w:val="00BD0893"/>
    <w:rsid w:val="00BD144C"/>
    <w:rsid w:val="00BD18D3"/>
    <w:rsid w:val="00BD3321"/>
    <w:rsid w:val="00BD5690"/>
    <w:rsid w:val="00BD5F65"/>
    <w:rsid w:val="00BD6AF0"/>
    <w:rsid w:val="00BD6FD3"/>
    <w:rsid w:val="00BD75A7"/>
    <w:rsid w:val="00BE074C"/>
    <w:rsid w:val="00BE0E45"/>
    <w:rsid w:val="00BE21FF"/>
    <w:rsid w:val="00BE3634"/>
    <w:rsid w:val="00BE3FFE"/>
    <w:rsid w:val="00BE41EE"/>
    <w:rsid w:val="00BE4E4C"/>
    <w:rsid w:val="00BE57CC"/>
    <w:rsid w:val="00BE5FB5"/>
    <w:rsid w:val="00BE6DD4"/>
    <w:rsid w:val="00BE7649"/>
    <w:rsid w:val="00BE77CF"/>
    <w:rsid w:val="00BF063E"/>
    <w:rsid w:val="00BF0D18"/>
    <w:rsid w:val="00BF1D76"/>
    <w:rsid w:val="00BF281A"/>
    <w:rsid w:val="00BF2A7D"/>
    <w:rsid w:val="00BF417A"/>
    <w:rsid w:val="00BF45B7"/>
    <w:rsid w:val="00BF58D9"/>
    <w:rsid w:val="00BF5F75"/>
    <w:rsid w:val="00BF6C28"/>
    <w:rsid w:val="00BF7495"/>
    <w:rsid w:val="00BF7836"/>
    <w:rsid w:val="00BF79BE"/>
    <w:rsid w:val="00C001AC"/>
    <w:rsid w:val="00C002BA"/>
    <w:rsid w:val="00C00782"/>
    <w:rsid w:val="00C00FC1"/>
    <w:rsid w:val="00C01AB6"/>
    <w:rsid w:val="00C03406"/>
    <w:rsid w:val="00C03BB3"/>
    <w:rsid w:val="00C03E62"/>
    <w:rsid w:val="00C04CC4"/>
    <w:rsid w:val="00C055CB"/>
    <w:rsid w:val="00C05A14"/>
    <w:rsid w:val="00C06AC4"/>
    <w:rsid w:val="00C076B6"/>
    <w:rsid w:val="00C07C46"/>
    <w:rsid w:val="00C10582"/>
    <w:rsid w:val="00C1107C"/>
    <w:rsid w:val="00C11A47"/>
    <w:rsid w:val="00C12C3D"/>
    <w:rsid w:val="00C14A7B"/>
    <w:rsid w:val="00C14AA0"/>
    <w:rsid w:val="00C1592B"/>
    <w:rsid w:val="00C1644A"/>
    <w:rsid w:val="00C1734D"/>
    <w:rsid w:val="00C1799D"/>
    <w:rsid w:val="00C17AAC"/>
    <w:rsid w:val="00C20596"/>
    <w:rsid w:val="00C208E2"/>
    <w:rsid w:val="00C21954"/>
    <w:rsid w:val="00C21C4B"/>
    <w:rsid w:val="00C21E97"/>
    <w:rsid w:val="00C22DD4"/>
    <w:rsid w:val="00C23F0D"/>
    <w:rsid w:val="00C2445D"/>
    <w:rsid w:val="00C24484"/>
    <w:rsid w:val="00C24BC4"/>
    <w:rsid w:val="00C25C13"/>
    <w:rsid w:val="00C25CC1"/>
    <w:rsid w:val="00C26352"/>
    <w:rsid w:val="00C26AAA"/>
    <w:rsid w:val="00C26B3C"/>
    <w:rsid w:val="00C26EB8"/>
    <w:rsid w:val="00C276E6"/>
    <w:rsid w:val="00C27865"/>
    <w:rsid w:val="00C27F5D"/>
    <w:rsid w:val="00C3007B"/>
    <w:rsid w:val="00C306D4"/>
    <w:rsid w:val="00C326DF"/>
    <w:rsid w:val="00C32833"/>
    <w:rsid w:val="00C32D10"/>
    <w:rsid w:val="00C334CF"/>
    <w:rsid w:val="00C33C1F"/>
    <w:rsid w:val="00C346F9"/>
    <w:rsid w:val="00C35649"/>
    <w:rsid w:val="00C35CCD"/>
    <w:rsid w:val="00C360A4"/>
    <w:rsid w:val="00C369A0"/>
    <w:rsid w:val="00C375D2"/>
    <w:rsid w:val="00C37CA2"/>
    <w:rsid w:val="00C37F62"/>
    <w:rsid w:val="00C40FFC"/>
    <w:rsid w:val="00C415D1"/>
    <w:rsid w:val="00C416DC"/>
    <w:rsid w:val="00C4204D"/>
    <w:rsid w:val="00C422E6"/>
    <w:rsid w:val="00C42E17"/>
    <w:rsid w:val="00C4355F"/>
    <w:rsid w:val="00C46043"/>
    <w:rsid w:val="00C4605F"/>
    <w:rsid w:val="00C46405"/>
    <w:rsid w:val="00C47564"/>
    <w:rsid w:val="00C47DC9"/>
    <w:rsid w:val="00C509CC"/>
    <w:rsid w:val="00C519AD"/>
    <w:rsid w:val="00C52B23"/>
    <w:rsid w:val="00C5300D"/>
    <w:rsid w:val="00C531C9"/>
    <w:rsid w:val="00C534F3"/>
    <w:rsid w:val="00C54963"/>
    <w:rsid w:val="00C55992"/>
    <w:rsid w:val="00C57052"/>
    <w:rsid w:val="00C57F93"/>
    <w:rsid w:val="00C60496"/>
    <w:rsid w:val="00C6122B"/>
    <w:rsid w:val="00C619EB"/>
    <w:rsid w:val="00C62013"/>
    <w:rsid w:val="00C6211B"/>
    <w:rsid w:val="00C636FC"/>
    <w:rsid w:val="00C65778"/>
    <w:rsid w:val="00C659D2"/>
    <w:rsid w:val="00C65AB9"/>
    <w:rsid w:val="00C66154"/>
    <w:rsid w:val="00C668AE"/>
    <w:rsid w:val="00C66C9F"/>
    <w:rsid w:val="00C67FF1"/>
    <w:rsid w:val="00C704EE"/>
    <w:rsid w:val="00C70A89"/>
    <w:rsid w:val="00C70FFC"/>
    <w:rsid w:val="00C713E8"/>
    <w:rsid w:val="00C714C3"/>
    <w:rsid w:val="00C717D0"/>
    <w:rsid w:val="00C71B7E"/>
    <w:rsid w:val="00C71E82"/>
    <w:rsid w:val="00C71FA3"/>
    <w:rsid w:val="00C73658"/>
    <w:rsid w:val="00C740FA"/>
    <w:rsid w:val="00C74B1F"/>
    <w:rsid w:val="00C75124"/>
    <w:rsid w:val="00C76F63"/>
    <w:rsid w:val="00C778B8"/>
    <w:rsid w:val="00C80294"/>
    <w:rsid w:val="00C80F0D"/>
    <w:rsid w:val="00C812E9"/>
    <w:rsid w:val="00C82519"/>
    <w:rsid w:val="00C83043"/>
    <w:rsid w:val="00C8621A"/>
    <w:rsid w:val="00C872DC"/>
    <w:rsid w:val="00C90090"/>
    <w:rsid w:val="00C91335"/>
    <w:rsid w:val="00C9258F"/>
    <w:rsid w:val="00C92E2E"/>
    <w:rsid w:val="00C93349"/>
    <w:rsid w:val="00C93A41"/>
    <w:rsid w:val="00C93B15"/>
    <w:rsid w:val="00C9400B"/>
    <w:rsid w:val="00C94107"/>
    <w:rsid w:val="00C942D5"/>
    <w:rsid w:val="00C94C31"/>
    <w:rsid w:val="00C96384"/>
    <w:rsid w:val="00C971ED"/>
    <w:rsid w:val="00CA00F4"/>
    <w:rsid w:val="00CA0E47"/>
    <w:rsid w:val="00CA1297"/>
    <w:rsid w:val="00CA23CB"/>
    <w:rsid w:val="00CA375F"/>
    <w:rsid w:val="00CA427B"/>
    <w:rsid w:val="00CA540C"/>
    <w:rsid w:val="00CA65F9"/>
    <w:rsid w:val="00CA7213"/>
    <w:rsid w:val="00CA7AF8"/>
    <w:rsid w:val="00CA7E24"/>
    <w:rsid w:val="00CB0470"/>
    <w:rsid w:val="00CB0822"/>
    <w:rsid w:val="00CB0CC0"/>
    <w:rsid w:val="00CB17E0"/>
    <w:rsid w:val="00CB1910"/>
    <w:rsid w:val="00CB3618"/>
    <w:rsid w:val="00CB6466"/>
    <w:rsid w:val="00CB655F"/>
    <w:rsid w:val="00CB6867"/>
    <w:rsid w:val="00CB6AEC"/>
    <w:rsid w:val="00CB73C4"/>
    <w:rsid w:val="00CB7DFA"/>
    <w:rsid w:val="00CB7F09"/>
    <w:rsid w:val="00CC0C91"/>
    <w:rsid w:val="00CC0CB7"/>
    <w:rsid w:val="00CC1F25"/>
    <w:rsid w:val="00CC1F81"/>
    <w:rsid w:val="00CC2289"/>
    <w:rsid w:val="00CC2314"/>
    <w:rsid w:val="00CC25B0"/>
    <w:rsid w:val="00CC547B"/>
    <w:rsid w:val="00CC55C7"/>
    <w:rsid w:val="00CC58FA"/>
    <w:rsid w:val="00CC5D15"/>
    <w:rsid w:val="00CC5EB6"/>
    <w:rsid w:val="00CC761E"/>
    <w:rsid w:val="00CC76AB"/>
    <w:rsid w:val="00CC7A2B"/>
    <w:rsid w:val="00CD0CB4"/>
    <w:rsid w:val="00CD0FD8"/>
    <w:rsid w:val="00CD1214"/>
    <w:rsid w:val="00CD1714"/>
    <w:rsid w:val="00CD17AF"/>
    <w:rsid w:val="00CD1B77"/>
    <w:rsid w:val="00CD3368"/>
    <w:rsid w:val="00CD39D6"/>
    <w:rsid w:val="00CD3E68"/>
    <w:rsid w:val="00CD5FED"/>
    <w:rsid w:val="00CD6099"/>
    <w:rsid w:val="00CD6DB2"/>
    <w:rsid w:val="00CD7942"/>
    <w:rsid w:val="00CE1E29"/>
    <w:rsid w:val="00CE28E6"/>
    <w:rsid w:val="00CE31A6"/>
    <w:rsid w:val="00CE3A92"/>
    <w:rsid w:val="00CE5067"/>
    <w:rsid w:val="00CE5BA3"/>
    <w:rsid w:val="00CE784E"/>
    <w:rsid w:val="00CF05D9"/>
    <w:rsid w:val="00CF0DBA"/>
    <w:rsid w:val="00CF18BE"/>
    <w:rsid w:val="00CF1D43"/>
    <w:rsid w:val="00CF208F"/>
    <w:rsid w:val="00CF2912"/>
    <w:rsid w:val="00CF31EC"/>
    <w:rsid w:val="00CF3674"/>
    <w:rsid w:val="00CF3856"/>
    <w:rsid w:val="00CF406C"/>
    <w:rsid w:val="00CF4A88"/>
    <w:rsid w:val="00CF53D2"/>
    <w:rsid w:val="00CF5953"/>
    <w:rsid w:val="00CF5B6B"/>
    <w:rsid w:val="00CF62C0"/>
    <w:rsid w:val="00CF7458"/>
    <w:rsid w:val="00D0096F"/>
    <w:rsid w:val="00D0108C"/>
    <w:rsid w:val="00D01A20"/>
    <w:rsid w:val="00D02C9F"/>
    <w:rsid w:val="00D02DCB"/>
    <w:rsid w:val="00D039AE"/>
    <w:rsid w:val="00D03DA8"/>
    <w:rsid w:val="00D046DE"/>
    <w:rsid w:val="00D04DA6"/>
    <w:rsid w:val="00D04DCD"/>
    <w:rsid w:val="00D05544"/>
    <w:rsid w:val="00D06882"/>
    <w:rsid w:val="00D06DF6"/>
    <w:rsid w:val="00D07268"/>
    <w:rsid w:val="00D07A65"/>
    <w:rsid w:val="00D07D69"/>
    <w:rsid w:val="00D106CF"/>
    <w:rsid w:val="00D10B41"/>
    <w:rsid w:val="00D11207"/>
    <w:rsid w:val="00D117C6"/>
    <w:rsid w:val="00D11F2C"/>
    <w:rsid w:val="00D12263"/>
    <w:rsid w:val="00D1295D"/>
    <w:rsid w:val="00D12A42"/>
    <w:rsid w:val="00D12E68"/>
    <w:rsid w:val="00D1311C"/>
    <w:rsid w:val="00D136B9"/>
    <w:rsid w:val="00D1437C"/>
    <w:rsid w:val="00D14B5D"/>
    <w:rsid w:val="00D14E10"/>
    <w:rsid w:val="00D14F3C"/>
    <w:rsid w:val="00D16E58"/>
    <w:rsid w:val="00D17085"/>
    <w:rsid w:val="00D201EA"/>
    <w:rsid w:val="00D203E9"/>
    <w:rsid w:val="00D20CE8"/>
    <w:rsid w:val="00D21736"/>
    <w:rsid w:val="00D221D6"/>
    <w:rsid w:val="00D22CE3"/>
    <w:rsid w:val="00D22EE5"/>
    <w:rsid w:val="00D23904"/>
    <w:rsid w:val="00D23EDE"/>
    <w:rsid w:val="00D248A1"/>
    <w:rsid w:val="00D25BCC"/>
    <w:rsid w:val="00D263C1"/>
    <w:rsid w:val="00D26DC3"/>
    <w:rsid w:val="00D274ED"/>
    <w:rsid w:val="00D276F1"/>
    <w:rsid w:val="00D305F0"/>
    <w:rsid w:val="00D30E1E"/>
    <w:rsid w:val="00D3151E"/>
    <w:rsid w:val="00D321B0"/>
    <w:rsid w:val="00D32A44"/>
    <w:rsid w:val="00D32D6A"/>
    <w:rsid w:val="00D349E6"/>
    <w:rsid w:val="00D34C79"/>
    <w:rsid w:val="00D34DCF"/>
    <w:rsid w:val="00D34FF8"/>
    <w:rsid w:val="00D35E34"/>
    <w:rsid w:val="00D36276"/>
    <w:rsid w:val="00D36892"/>
    <w:rsid w:val="00D372F9"/>
    <w:rsid w:val="00D4156A"/>
    <w:rsid w:val="00D41A32"/>
    <w:rsid w:val="00D420BB"/>
    <w:rsid w:val="00D425D0"/>
    <w:rsid w:val="00D4336B"/>
    <w:rsid w:val="00D437D0"/>
    <w:rsid w:val="00D44027"/>
    <w:rsid w:val="00D44498"/>
    <w:rsid w:val="00D4500D"/>
    <w:rsid w:val="00D45F5A"/>
    <w:rsid w:val="00D50057"/>
    <w:rsid w:val="00D509CD"/>
    <w:rsid w:val="00D50BAF"/>
    <w:rsid w:val="00D50DD5"/>
    <w:rsid w:val="00D50F8D"/>
    <w:rsid w:val="00D5208C"/>
    <w:rsid w:val="00D520FA"/>
    <w:rsid w:val="00D52898"/>
    <w:rsid w:val="00D52D32"/>
    <w:rsid w:val="00D54308"/>
    <w:rsid w:val="00D546CE"/>
    <w:rsid w:val="00D549FE"/>
    <w:rsid w:val="00D551EE"/>
    <w:rsid w:val="00D5568E"/>
    <w:rsid w:val="00D5597E"/>
    <w:rsid w:val="00D5649F"/>
    <w:rsid w:val="00D56951"/>
    <w:rsid w:val="00D57741"/>
    <w:rsid w:val="00D57899"/>
    <w:rsid w:val="00D60074"/>
    <w:rsid w:val="00D603E3"/>
    <w:rsid w:val="00D60400"/>
    <w:rsid w:val="00D61D9F"/>
    <w:rsid w:val="00D62E87"/>
    <w:rsid w:val="00D63242"/>
    <w:rsid w:val="00D649FB"/>
    <w:rsid w:val="00D64FC1"/>
    <w:rsid w:val="00D65324"/>
    <w:rsid w:val="00D655DE"/>
    <w:rsid w:val="00D65E9D"/>
    <w:rsid w:val="00D66C5A"/>
    <w:rsid w:val="00D66FE0"/>
    <w:rsid w:val="00D70308"/>
    <w:rsid w:val="00D703D4"/>
    <w:rsid w:val="00D72982"/>
    <w:rsid w:val="00D730FD"/>
    <w:rsid w:val="00D735AF"/>
    <w:rsid w:val="00D75953"/>
    <w:rsid w:val="00D760AC"/>
    <w:rsid w:val="00D76D23"/>
    <w:rsid w:val="00D77217"/>
    <w:rsid w:val="00D8033B"/>
    <w:rsid w:val="00D80B15"/>
    <w:rsid w:val="00D811CA"/>
    <w:rsid w:val="00D813A6"/>
    <w:rsid w:val="00D82608"/>
    <w:rsid w:val="00D8277D"/>
    <w:rsid w:val="00D82FF2"/>
    <w:rsid w:val="00D83525"/>
    <w:rsid w:val="00D83D51"/>
    <w:rsid w:val="00D83D9A"/>
    <w:rsid w:val="00D84E05"/>
    <w:rsid w:val="00D86805"/>
    <w:rsid w:val="00D86B15"/>
    <w:rsid w:val="00D86F72"/>
    <w:rsid w:val="00D91351"/>
    <w:rsid w:val="00D91614"/>
    <w:rsid w:val="00D929DA"/>
    <w:rsid w:val="00D92A69"/>
    <w:rsid w:val="00D934B0"/>
    <w:rsid w:val="00D93652"/>
    <w:rsid w:val="00D93B8C"/>
    <w:rsid w:val="00D96E78"/>
    <w:rsid w:val="00D979CF"/>
    <w:rsid w:val="00D97D9C"/>
    <w:rsid w:val="00DA00DC"/>
    <w:rsid w:val="00DA0106"/>
    <w:rsid w:val="00DA01CC"/>
    <w:rsid w:val="00DA0827"/>
    <w:rsid w:val="00DA1734"/>
    <w:rsid w:val="00DA1A9B"/>
    <w:rsid w:val="00DA20C9"/>
    <w:rsid w:val="00DA2C5E"/>
    <w:rsid w:val="00DA2D41"/>
    <w:rsid w:val="00DA3310"/>
    <w:rsid w:val="00DA3588"/>
    <w:rsid w:val="00DA408B"/>
    <w:rsid w:val="00DA4A02"/>
    <w:rsid w:val="00DA54EA"/>
    <w:rsid w:val="00DA58A3"/>
    <w:rsid w:val="00DA5D69"/>
    <w:rsid w:val="00DA612C"/>
    <w:rsid w:val="00DB062B"/>
    <w:rsid w:val="00DB0EF5"/>
    <w:rsid w:val="00DB0FAB"/>
    <w:rsid w:val="00DB1201"/>
    <w:rsid w:val="00DB12D1"/>
    <w:rsid w:val="00DB13AB"/>
    <w:rsid w:val="00DB1747"/>
    <w:rsid w:val="00DB18C6"/>
    <w:rsid w:val="00DB227B"/>
    <w:rsid w:val="00DB2DA1"/>
    <w:rsid w:val="00DB5407"/>
    <w:rsid w:val="00DB5CC7"/>
    <w:rsid w:val="00DB64EE"/>
    <w:rsid w:val="00DB669C"/>
    <w:rsid w:val="00DB7CEE"/>
    <w:rsid w:val="00DC1E0D"/>
    <w:rsid w:val="00DC1E4E"/>
    <w:rsid w:val="00DC23F6"/>
    <w:rsid w:val="00DC3B09"/>
    <w:rsid w:val="00DC3F7B"/>
    <w:rsid w:val="00DC4656"/>
    <w:rsid w:val="00DC481F"/>
    <w:rsid w:val="00DC4938"/>
    <w:rsid w:val="00DC512E"/>
    <w:rsid w:val="00DC54A6"/>
    <w:rsid w:val="00DC5D6A"/>
    <w:rsid w:val="00DC6365"/>
    <w:rsid w:val="00DC6743"/>
    <w:rsid w:val="00DC7A74"/>
    <w:rsid w:val="00DD02B3"/>
    <w:rsid w:val="00DD3386"/>
    <w:rsid w:val="00DD35B2"/>
    <w:rsid w:val="00DD507D"/>
    <w:rsid w:val="00DD51C3"/>
    <w:rsid w:val="00DD593B"/>
    <w:rsid w:val="00DD62CE"/>
    <w:rsid w:val="00DD654A"/>
    <w:rsid w:val="00DD68AE"/>
    <w:rsid w:val="00DD6CD4"/>
    <w:rsid w:val="00DD6F02"/>
    <w:rsid w:val="00DD7129"/>
    <w:rsid w:val="00DD7B40"/>
    <w:rsid w:val="00DE0369"/>
    <w:rsid w:val="00DE07BA"/>
    <w:rsid w:val="00DE08C2"/>
    <w:rsid w:val="00DE1E57"/>
    <w:rsid w:val="00DE1E92"/>
    <w:rsid w:val="00DE2680"/>
    <w:rsid w:val="00DE2EB3"/>
    <w:rsid w:val="00DE3432"/>
    <w:rsid w:val="00DE3A13"/>
    <w:rsid w:val="00DE4B4C"/>
    <w:rsid w:val="00DE5152"/>
    <w:rsid w:val="00DE74DB"/>
    <w:rsid w:val="00DE7F8C"/>
    <w:rsid w:val="00DF16BB"/>
    <w:rsid w:val="00DF1FEE"/>
    <w:rsid w:val="00DF2908"/>
    <w:rsid w:val="00DF3365"/>
    <w:rsid w:val="00DF4C1E"/>
    <w:rsid w:val="00DF5070"/>
    <w:rsid w:val="00DF50FE"/>
    <w:rsid w:val="00DF5621"/>
    <w:rsid w:val="00DF653E"/>
    <w:rsid w:val="00DF6C3A"/>
    <w:rsid w:val="00DF6C73"/>
    <w:rsid w:val="00E00945"/>
    <w:rsid w:val="00E013DD"/>
    <w:rsid w:val="00E03101"/>
    <w:rsid w:val="00E031FD"/>
    <w:rsid w:val="00E0370F"/>
    <w:rsid w:val="00E03A23"/>
    <w:rsid w:val="00E03DEB"/>
    <w:rsid w:val="00E03DEF"/>
    <w:rsid w:val="00E04172"/>
    <w:rsid w:val="00E0439B"/>
    <w:rsid w:val="00E0531B"/>
    <w:rsid w:val="00E057DD"/>
    <w:rsid w:val="00E06AC8"/>
    <w:rsid w:val="00E07025"/>
    <w:rsid w:val="00E07927"/>
    <w:rsid w:val="00E100A6"/>
    <w:rsid w:val="00E10275"/>
    <w:rsid w:val="00E10F89"/>
    <w:rsid w:val="00E1365A"/>
    <w:rsid w:val="00E13D50"/>
    <w:rsid w:val="00E14A65"/>
    <w:rsid w:val="00E14FE4"/>
    <w:rsid w:val="00E15933"/>
    <w:rsid w:val="00E16001"/>
    <w:rsid w:val="00E1620B"/>
    <w:rsid w:val="00E16795"/>
    <w:rsid w:val="00E169D0"/>
    <w:rsid w:val="00E17264"/>
    <w:rsid w:val="00E174FA"/>
    <w:rsid w:val="00E17CC6"/>
    <w:rsid w:val="00E17EF6"/>
    <w:rsid w:val="00E20D38"/>
    <w:rsid w:val="00E2145D"/>
    <w:rsid w:val="00E216B5"/>
    <w:rsid w:val="00E21A4C"/>
    <w:rsid w:val="00E23207"/>
    <w:rsid w:val="00E248B8"/>
    <w:rsid w:val="00E24DBE"/>
    <w:rsid w:val="00E261CD"/>
    <w:rsid w:val="00E31502"/>
    <w:rsid w:val="00E331E1"/>
    <w:rsid w:val="00E34F7C"/>
    <w:rsid w:val="00E35EF8"/>
    <w:rsid w:val="00E37053"/>
    <w:rsid w:val="00E373EC"/>
    <w:rsid w:val="00E374C2"/>
    <w:rsid w:val="00E400E5"/>
    <w:rsid w:val="00E405D1"/>
    <w:rsid w:val="00E41333"/>
    <w:rsid w:val="00E4135B"/>
    <w:rsid w:val="00E425BA"/>
    <w:rsid w:val="00E425D8"/>
    <w:rsid w:val="00E428E6"/>
    <w:rsid w:val="00E42AC4"/>
    <w:rsid w:val="00E448CC"/>
    <w:rsid w:val="00E45540"/>
    <w:rsid w:val="00E45844"/>
    <w:rsid w:val="00E459E7"/>
    <w:rsid w:val="00E50494"/>
    <w:rsid w:val="00E50CF6"/>
    <w:rsid w:val="00E50DED"/>
    <w:rsid w:val="00E51B86"/>
    <w:rsid w:val="00E53C62"/>
    <w:rsid w:val="00E53E81"/>
    <w:rsid w:val="00E53F44"/>
    <w:rsid w:val="00E53F95"/>
    <w:rsid w:val="00E55D2B"/>
    <w:rsid w:val="00E5619C"/>
    <w:rsid w:val="00E56F25"/>
    <w:rsid w:val="00E57029"/>
    <w:rsid w:val="00E57141"/>
    <w:rsid w:val="00E57A82"/>
    <w:rsid w:val="00E60B83"/>
    <w:rsid w:val="00E619EF"/>
    <w:rsid w:val="00E6252F"/>
    <w:rsid w:val="00E62919"/>
    <w:rsid w:val="00E63187"/>
    <w:rsid w:val="00E63B89"/>
    <w:rsid w:val="00E6554B"/>
    <w:rsid w:val="00E65651"/>
    <w:rsid w:val="00E65BBF"/>
    <w:rsid w:val="00E66DAD"/>
    <w:rsid w:val="00E66E6C"/>
    <w:rsid w:val="00E7089E"/>
    <w:rsid w:val="00E71041"/>
    <w:rsid w:val="00E71B5C"/>
    <w:rsid w:val="00E72539"/>
    <w:rsid w:val="00E72C84"/>
    <w:rsid w:val="00E73424"/>
    <w:rsid w:val="00E7390B"/>
    <w:rsid w:val="00E73BAC"/>
    <w:rsid w:val="00E73CCD"/>
    <w:rsid w:val="00E750E4"/>
    <w:rsid w:val="00E779AD"/>
    <w:rsid w:val="00E8024B"/>
    <w:rsid w:val="00E806F6"/>
    <w:rsid w:val="00E80B32"/>
    <w:rsid w:val="00E80E6D"/>
    <w:rsid w:val="00E81C4F"/>
    <w:rsid w:val="00E82066"/>
    <w:rsid w:val="00E822EF"/>
    <w:rsid w:val="00E8347C"/>
    <w:rsid w:val="00E83677"/>
    <w:rsid w:val="00E8422F"/>
    <w:rsid w:val="00E85525"/>
    <w:rsid w:val="00E85735"/>
    <w:rsid w:val="00E85EA4"/>
    <w:rsid w:val="00E86199"/>
    <w:rsid w:val="00E864B5"/>
    <w:rsid w:val="00E9140D"/>
    <w:rsid w:val="00E9183F"/>
    <w:rsid w:val="00E9252C"/>
    <w:rsid w:val="00E927A9"/>
    <w:rsid w:val="00E93751"/>
    <w:rsid w:val="00E9389A"/>
    <w:rsid w:val="00E94973"/>
    <w:rsid w:val="00E949EE"/>
    <w:rsid w:val="00E9520D"/>
    <w:rsid w:val="00E956B6"/>
    <w:rsid w:val="00E960FA"/>
    <w:rsid w:val="00E965CA"/>
    <w:rsid w:val="00E9671C"/>
    <w:rsid w:val="00E96879"/>
    <w:rsid w:val="00E975CC"/>
    <w:rsid w:val="00E97886"/>
    <w:rsid w:val="00E978AD"/>
    <w:rsid w:val="00EA19F6"/>
    <w:rsid w:val="00EA22C0"/>
    <w:rsid w:val="00EA241E"/>
    <w:rsid w:val="00EA2980"/>
    <w:rsid w:val="00EA2C8A"/>
    <w:rsid w:val="00EA34A9"/>
    <w:rsid w:val="00EA44CF"/>
    <w:rsid w:val="00EA4600"/>
    <w:rsid w:val="00EA5059"/>
    <w:rsid w:val="00EA610C"/>
    <w:rsid w:val="00EA69BF"/>
    <w:rsid w:val="00EA7ED2"/>
    <w:rsid w:val="00EB0A4C"/>
    <w:rsid w:val="00EB0B29"/>
    <w:rsid w:val="00EB1AF3"/>
    <w:rsid w:val="00EB1BCB"/>
    <w:rsid w:val="00EB1C49"/>
    <w:rsid w:val="00EB1E26"/>
    <w:rsid w:val="00EB2472"/>
    <w:rsid w:val="00EB27A6"/>
    <w:rsid w:val="00EB27F4"/>
    <w:rsid w:val="00EB2995"/>
    <w:rsid w:val="00EB2E49"/>
    <w:rsid w:val="00EB3431"/>
    <w:rsid w:val="00EB5A70"/>
    <w:rsid w:val="00EB6226"/>
    <w:rsid w:val="00EB6719"/>
    <w:rsid w:val="00EB7679"/>
    <w:rsid w:val="00EB785E"/>
    <w:rsid w:val="00EB7874"/>
    <w:rsid w:val="00EB7F85"/>
    <w:rsid w:val="00EC097D"/>
    <w:rsid w:val="00EC0A5A"/>
    <w:rsid w:val="00EC141D"/>
    <w:rsid w:val="00EC1458"/>
    <w:rsid w:val="00EC1EB7"/>
    <w:rsid w:val="00EC20C3"/>
    <w:rsid w:val="00EC2FC2"/>
    <w:rsid w:val="00EC62EB"/>
    <w:rsid w:val="00EC62EC"/>
    <w:rsid w:val="00EC6CCA"/>
    <w:rsid w:val="00EC7555"/>
    <w:rsid w:val="00ED0123"/>
    <w:rsid w:val="00ED05E4"/>
    <w:rsid w:val="00ED118F"/>
    <w:rsid w:val="00ED19DF"/>
    <w:rsid w:val="00ED1BFE"/>
    <w:rsid w:val="00ED1D25"/>
    <w:rsid w:val="00ED26BD"/>
    <w:rsid w:val="00ED2E2E"/>
    <w:rsid w:val="00ED3341"/>
    <w:rsid w:val="00ED357B"/>
    <w:rsid w:val="00ED4054"/>
    <w:rsid w:val="00ED428F"/>
    <w:rsid w:val="00ED44FF"/>
    <w:rsid w:val="00ED4C62"/>
    <w:rsid w:val="00ED5DA6"/>
    <w:rsid w:val="00ED611F"/>
    <w:rsid w:val="00ED6D11"/>
    <w:rsid w:val="00ED6DFB"/>
    <w:rsid w:val="00ED6E4B"/>
    <w:rsid w:val="00ED74EC"/>
    <w:rsid w:val="00ED7944"/>
    <w:rsid w:val="00ED7AFA"/>
    <w:rsid w:val="00EE0185"/>
    <w:rsid w:val="00EE0736"/>
    <w:rsid w:val="00EE1976"/>
    <w:rsid w:val="00EE2296"/>
    <w:rsid w:val="00EE3466"/>
    <w:rsid w:val="00EE398C"/>
    <w:rsid w:val="00EE3D0D"/>
    <w:rsid w:val="00EE40AB"/>
    <w:rsid w:val="00EE4544"/>
    <w:rsid w:val="00EE59E1"/>
    <w:rsid w:val="00EE683C"/>
    <w:rsid w:val="00EE6959"/>
    <w:rsid w:val="00EF0966"/>
    <w:rsid w:val="00EF0AB0"/>
    <w:rsid w:val="00EF1EFD"/>
    <w:rsid w:val="00EF39A1"/>
    <w:rsid w:val="00EF3BBC"/>
    <w:rsid w:val="00EF4A50"/>
    <w:rsid w:val="00EF614D"/>
    <w:rsid w:val="00EF6BFD"/>
    <w:rsid w:val="00EF7660"/>
    <w:rsid w:val="00F00BE8"/>
    <w:rsid w:val="00F01154"/>
    <w:rsid w:val="00F02BF7"/>
    <w:rsid w:val="00F03345"/>
    <w:rsid w:val="00F04B0A"/>
    <w:rsid w:val="00F05DDE"/>
    <w:rsid w:val="00F05E77"/>
    <w:rsid w:val="00F063BB"/>
    <w:rsid w:val="00F06832"/>
    <w:rsid w:val="00F12B1F"/>
    <w:rsid w:val="00F12FBF"/>
    <w:rsid w:val="00F131A7"/>
    <w:rsid w:val="00F133A3"/>
    <w:rsid w:val="00F134BC"/>
    <w:rsid w:val="00F13837"/>
    <w:rsid w:val="00F13C45"/>
    <w:rsid w:val="00F15077"/>
    <w:rsid w:val="00F151C6"/>
    <w:rsid w:val="00F152CD"/>
    <w:rsid w:val="00F15A08"/>
    <w:rsid w:val="00F17BA3"/>
    <w:rsid w:val="00F20157"/>
    <w:rsid w:val="00F204D5"/>
    <w:rsid w:val="00F21D9C"/>
    <w:rsid w:val="00F22106"/>
    <w:rsid w:val="00F22221"/>
    <w:rsid w:val="00F230B6"/>
    <w:rsid w:val="00F23650"/>
    <w:rsid w:val="00F249B9"/>
    <w:rsid w:val="00F24CC3"/>
    <w:rsid w:val="00F250D0"/>
    <w:rsid w:val="00F2671E"/>
    <w:rsid w:val="00F26827"/>
    <w:rsid w:val="00F27365"/>
    <w:rsid w:val="00F31824"/>
    <w:rsid w:val="00F31EA9"/>
    <w:rsid w:val="00F33CA9"/>
    <w:rsid w:val="00F33F2F"/>
    <w:rsid w:val="00F3404C"/>
    <w:rsid w:val="00F34641"/>
    <w:rsid w:val="00F357D2"/>
    <w:rsid w:val="00F35D14"/>
    <w:rsid w:val="00F36594"/>
    <w:rsid w:val="00F3669D"/>
    <w:rsid w:val="00F369FE"/>
    <w:rsid w:val="00F37354"/>
    <w:rsid w:val="00F373EE"/>
    <w:rsid w:val="00F37D59"/>
    <w:rsid w:val="00F40194"/>
    <w:rsid w:val="00F40505"/>
    <w:rsid w:val="00F4058D"/>
    <w:rsid w:val="00F40F71"/>
    <w:rsid w:val="00F41C4B"/>
    <w:rsid w:val="00F42362"/>
    <w:rsid w:val="00F437BF"/>
    <w:rsid w:val="00F4426F"/>
    <w:rsid w:val="00F443E2"/>
    <w:rsid w:val="00F44C92"/>
    <w:rsid w:val="00F46597"/>
    <w:rsid w:val="00F46876"/>
    <w:rsid w:val="00F502EE"/>
    <w:rsid w:val="00F50DDC"/>
    <w:rsid w:val="00F512B4"/>
    <w:rsid w:val="00F51E17"/>
    <w:rsid w:val="00F524A1"/>
    <w:rsid w:val="00F52575"/>
    <w:rsid w:val="00F529AD"/>
    <w:rsid w:val="00F52D77"/>
    <w:rsid w:val="00F5304A"/>
    <w:rsid w:val="00F5321F"/>
    <w:rsid w:val="00F53A42"/>
    <w:rsid w:val="00F557ED"/>
    <w:rsid w:val="00F55905"/>
    <w:rsid w:val="00F55A23"/>
    <w:rsid w:val="00F55BCD"/>
    <w:rsid w:val="00F55FFF"/>
    <w:rsid w:val="00F561A8"/>
    <w:rsid w:val="00F5747A"/>
    <w:rsid w:val="00F60ECD"/>
    <w:rsid w:val="00F611A4"/>
    <w:rsid w:val="00F61AC9"/>
    <w:rsid w:val="00F63461"/>
    <w:rsid w:val="00F63700"/>
    <w:rsid w:val="00F64178"/>
    <w:rsid w:val="00F64674"/>
    <w:rsid w:val="00F64F87"/>
    <w:rsid w:val="00F6543A"/>
    <w:rsid w:val="00F6547A"/>
    <w:rsid w:val="00F66038"/>
    <w:rsid w:val="00F6658B"/>
    <w:rsid w:val="00F67FD1"/>
    <w:rsid w:val="00F71111"/>
    <w:rsid w:val="00F72D2B"/>
    <w:rsid w:val="00F72F09"/>
    <w:rsid w:val="00F73926"/>
    <w:rsid w:val="00F74239"/>
    <w:rsid w:val="00F74673"/>
    <w:rsid w:val="00F75D47"/>
    <w:rsid w:val="00F76609"/>
    <w:rsid w:val="00F767EC"/>
    <w:rsid w:val="00F76C91"/>
    <w:rsid w:val="00F772FC"/>
    <w:rsid w:val="00F77619"/>
    <w:rsid w:val="00F77CC3"/>
    <w:rsid w:val="00F805EC"/>
    <w:rsid w:val="00F80626"/>
    <w:rsid w:val="00F8079E"/>
    <w:rsid w:val="00F811C4"/>
    <w:rsid w:val="00F81A03"/>
    <w:rsid w:val="00F82C1E"/>
    <w:rsid w:val="00F82F66"/>
    <w:rsid w:val="00F830FB"/>
    <w:rsid w:val="00F8327A"/>
    <w:rsid w:val="00F83A25"/>
    <w:rsid w:val="00F85215"/>
    <w:rsid w:val="00F85461"/>
    <w:rsid w:val="00F85B17"/>
    <w:rsid w:val="00F85D31"/>
    <w:rsid w:val="00F8735E"/>
    <w:rsid w:val="00F876FC"/>
    <w:rsid w:val="00F87963"/>
    <w:rsid w:val="00F908E6"/>
    <w:rsid w:val="00F90A9B"/>
    <w:rsid w:val="00F90B52"/>
    <w:rsid w:val="00F91091"/>
    <w:rsid w:val="00F917D4"/>
    <w:rsid w:val="00F918D8"/>
    <w:rsid w:val="00F91E7B"/>
    <w:rsid w:val="00F92CF8"/>
    <w:rsid w:val="00F93631"/>
    <w:rsid w:val="00F947F1"/>
    <w:rsid w:val="00F94B32"/>
    <w:rsid w:val="00F95668"/>
    <w:rsid w:val="00F95A8A"/>
    <w:rsid w:val="00F95B14"/>
    <w:rsid w:val="00F95FDB"/>
    <w:rsid w:val="00F96DBA"/>
    <w:rsid w:val="00F96FFC"/>
    <w:rsid w:val="00F97044"/>
    <w:rsid w:val="00F973C7"/>
    <w:rsid w:val="00FA15BD"/>
    <w:rsid w:val="00FA15C3"/>
    <w:rsid w:val="00FA208D"/>
    <w:rsid w:val="00FA2174"/>
    <w:rsid w:val="00FA3A4A"/>
    <w:rsid w:val="00FA3E3F"/>
    <w:rsid w:val="00FA4BE4"/>
    <w:rsid w:val="00FA5B95"/>
    <w:rsid w:val="00FA6E07"/>
    <w:rsid w:val="00FA7D60"/>
    <w:rsid w:val="00FB0267"/>
    <w:rsid w:val="00FB035B"/>
    <w:rsid w:val="00FB070F"/>
    <w:rsid w:val="00FB0824"/>
    <w:rsid w:val="00FB0941"/>
    <w:rsid w:val="00FB17C1"/>
    <w:rsid w:val="00FB1BDA"/>
    <w:rsid w:val="00FB252D"/>
    <w:rsid w:val="00FB2736"/>
    <w:rsid w:val="00FB2A12"/>
    <w:rsid w:val="00FB2BB6"/>
    <w:rsid w:val="00FB3133"/>
    <w:rsid w:val="00FB4757"/>
    <w:rsid w:val="00FB556F"/>
    <w:rsid w:val="00FB58CD"/>
    <w:rsid w:val="00FB5A36"/>
    <w:rsid w:val="00FB7400"/>
    <w:rsid w:val="00FB7CDE"/>
    <w:rsid w:val="00FC043B"/>
    <w:rsid w:val="00FC0783"/>
    <w:rsid w:val="00FC20A3"/>
    <w:rsid w:val="00FC2AB3"/>
    <w:rsid w:val="00FC36FA"/>
    <w:rsid w:val="00FC3BA2"/>
    <w:rsid w:val="00FC41E9"/>
    <w:rsid w:val="00FC431F"/>
    <w:rsid w:val="00FC501B"/>
    <w:rsid w:val="00FC5588"/>
    <w:rsid w:val="00FC612B"/>
    <w:rsid w:val="00FC616F"/>
    <w:rsid w:val="00FC6F37"/>
    <w:rsid w:val="00FD1919"/>
    <w:rsid w:val="00FD21EC"/>
    <w:rsid w:val="00FD37F6"/>
    <w:rsid w:val="00FD3F2A"/>
    <w:rsid w:val="00FD3F8A"/>
    <w:rsid w:val="00FD59A8"/>
    <w:rsid w:val="00FD6286"/>
    <w:rsid w:val="00FD6A23"/>
    <w:rsid w:val="00FD6A58"/>
    <w:rsid w:val="00FD7124"/>
    <w:rsid w:val="00FD755D"/>
    <w:rsid w:val="00FD764E"/>
    <w:rsid w:val="00FD7863"/>
    <w:rsid w:val="00FD7CFF"/>
    <w:rsid w:val="00FE1308"/>
    <w:rsid w:val="00FE142D"/>
    <w:rsid w:val="00FE3E20"/>
    <w:rsid w:val="00FE3E84"/>
    <w:rsid w:val="00FE4551"/>
    <w:rsid w:val="00FE47ED"/>
    <w:rsid w:val="00FE49AF"/>
    <w:rsid w:val="00FE4C06"/>
    <w:rsid w:val="00FE53D2"/>
    <w:rsid w:val="00FE5635"/>
    <w:rsid w:val="00FE5EEB"/>
    <w:rsid w:val="00FE664C"/>
    <w:rsid w:val="00FF0539"/>
    <w:rsid w:val="00FF126A"/>
    <w:rsid w:val="00FF16C0"/>
    <w:rsid w:val="00FF19B0"/>
    <w:rsid w:val="00FF1CC9"/>
    <w:rsid w:val="00FF44EF"/>
    <w:rsid w:val="00FF57C8"/>
    <w:rsid w:val="00FF610F"/>
    <w:rsid w:val="00FF6A8A"/>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FF6278"/>
  <w15:docId w15:val="{12252B0B-D247-4DD0-80E3-26567D5C9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076F"/>
    <w:rPr>
      <w:lang w:val="en-GB"/>
    </w:rPr>
  </w:style>
  <w:style w:type="paragraph" w:styleId="Heading1">
    <w:name w:val="heading 1"/>
    <w:basedOn w:val="a"/>
    <w:next w:val="BodyText"/>
    <w:link w:val="Heading1Char"/>
    <w:qFormat/>
    <w:rsid w:val="005A2FDC"/>
    <w:pPr>
      <w:numPr>
        <w:numId w:val="1"/>
      </w:numPr>
      <w:spacing w:after="240"/>
      <w:outlineLvl w:val="0"/>
    </w:pPr>
    <w:rPr>
      <w:b/>
      <w:bCs/>
      <w:color w:val="0F243E" w:themeColor="text2" w:themeShade="80"/>
      <w:sz w:val="36"/>
      <w:szCs w:val="36"/>
      <w:lang w:val="bg-BG"/>
    </w:rPr>
  </w:style>
  <w:style w:type="paragraph" w:styleId="Heading2">
    <w:name w:val="heading 2"/>
    <w:basedOn w:val="a"/>
    <w:next w:val="BodyText"/>
    <w:link w:val="Heading2Char"/>
    <w:qFormat/>
    <w:rsid w:val="00873603"/>
    <w:pPr>
      <w:numPr>
        <w:ilvl w:val="1"/>
        <w:numId w:val="1"/>
      </w:numPr>
      <w:spacing w:before="200"/>
      <w:outlineLvl w:val="1"/>
    </w:pPr>
    <w:rPr>
      <w:b/>
      <w:bCs/>
      <w:color w:val="0F243E" w:themeColor="text2" w:themeShade="80"/>
      <w:sz w:val="32"/>
      <w:szCs w:val="32"/>
      <w:lang w:val="bg-BG"/>
    </w:rPr>
  </w:style>
  <w:style w:type="paragraph" w:styleId="Heading3">
    <w:name w:val="heading 3"/>
    <w:basedOn w:val="a"/>
    <w:next w:val="BodyText"/>
    <w:link w:val="Heading3Char"/>
    <w:qFormat/>
    <w:rsid w:val="00873603"/>
    <w:pPr>
      <w:numPr>
        <w:ilvl w:val="2"/>
        <w:numId w:val="1"/>
      </w:numPr>
      <w:spacing w:before="140"/>
      <w:ind w:left="0" w:firstLine="0"/>
      <w:outlineLvl w:val="2"/>
    </w:pPr>
    <w:rPr>
      <w:b/>
      <w:bCs/>
      <w:color w:val="0F243E" w:themeColor="text2" w:themeShade="80"/>
      <w:lang w:val="bg-BG"/>
    </w:rPr>
  </w:style>
  <w:style w:type="paragraph" w:styleId="Heading4">
    <w:name w:val="heading 4"/>
    <w:basedOn w:val="a"/>
    <w:next w:val="BodyText"/>
    <w:link w:val="Heading4Char"/>
    <w:qFormat/>
    <w:rsid w:val="00873603"/>
    <w:pPr>
      <w:numPr>
        <w:ilvl w:val="3"/>
        <w:numId w:val="1"/>
      </w:numPr>
      <w:spacing w:before="120"/>
      <w:outlineLvl w:val="3"/>
    </w:pPr>
    <w:rPr>
      <w:b/>
      <w:bCs/>
      <w:iCs/>
      <w:color w:val="0F243E" w:themeColor="text2" w:themeShade="80"/>
      <w:sz w:val="24"/>
      <w:szCs w:val="27"/>
      <w:lang w:val="bg-BG"/>
    </w:rPr>
  </w:style>
  <w:style w:type="paragraph" w:styleId="Heading5">
    <w:name w:val="heading 5"/>
    <w:basedOn w:val="a"/>
    <w:next w:val="BodyText"/>
    <w:link w:val="Heading5Char"/>
    <w:qFormat/>
    <w:rsid w:val="009D4A0E"/>
    <w:pPr>
      <w:numPr>
        <w:ilvl w:val="4"/>
        <w:numId w:val="1"/>
      </w:numPr>
      <w:spacing w:before="120" w:after="60"/>
      <w:outlineLvl w:val="4"/>
    </w:pPr>
    <w:rPr>
      <w:b/>
      <w:bCs/>
      <w:sz w:val="24"/>
      <w:szCs w:val="24"/>
    </w:rPr>
  </w:style>
  <w:style w:type="paragraph" w:styleId="Heading6">
    <w:name w:val="heading 6"/>
    <w:basedOn w:val="a"/>
    <w:next w:val="BodyText"/>
    <w:link w:val="Heading6Char"/>
    <w:qFormat/>
    <w:rsid w:val="009D4A0E"/>
    <w:pPr>
      <w:numPr>
        <w:ilvl w:val="5"/>
        <w:numId w:val="1"/>
      </w:numPr>
      <w:spacing w:before="60" w:after="60"/>
      <w:outlineLvl w:val="5"/>
    </w:pPr>
    <w:rPr>
      <w:b/>
      <w:bCs/>
      <w:i/>
      <w:iCs/>
      <w:sz w:val="24"/>
      <w:szCs w:val="24"/>
    </w:rPr>
  </w:style>
  <w:style w:type="paragraph" w:styleId="Heading7">
    <w:name w:val="heading 7"/>
    <w:basedOn w:val="a"/>
    <w:next w:val="BodyText"/>
    <w:link w:val="Heading7Char"/>
    <w:qFormat/>
    <w:rsid w:val="009D4A0E"/>
    <w:pPr>
      <w:numPr>
        <w:ilvl w:val="6"/>
        <w:numId w:val="1"/>
      </w:numPr>
      <w:spacing w:before="60" w:after="60"/>
      <w:outlineLvl w:val="6"/>
    </w:pPr>
    <w:rPr>
      <w:b/>
      <w:bCs/>
      <w:sz w:val="22"/>
      <w:szCs w:val="22"/>
    </w:rPr>
  </w:style>
  <w:style w:type="paragraph" w:styleId="Heading8">
    <w:name w:val="heading 8"/>
    <w:basedOn w:val="Normal"/>
    <w:next w:val="Normal"/>
    <w:link w:val="Heading8Char"/>
    <w:unhideWhenUsed/>
    <w:qFormat/>
    <w:rsid w:val="00796C2C"/>
    <w:pPr>
      <w:keepNext/>
      <w:keepLines/>
      <w:spacing w:before="80" w:after="0" w:line="264" w:lineRule="auto"/>
      <w:outlineLvl w:val="7"/>
    </w:pPr>
    <w:rPr>
      <w:rFonts w:asciiTheme="majorHAnsi" w:eastAsiaTheme="majorEastAsia" w:hAnsiTheme="majorHAnsi" w:cstheme="majorBidi"/>
      <w:smallCaps/>
      <w:color w:val="595959" w:themeColor="text1" w:themeTint="A6"/>
      <w:sz w:val="21"/>
      <w:szCs w:val="21"/>
      <w:lang w:val="bg-BG"/>
    </w:rPr>
  </w:style>
  <w:style w:type="paragraph" w:styleId="Heading9">
    <w:name w:val="heading 9"/>
    <w:basedOn w:val="Normal"/>
    <w:next w:val="Normal"/>
    <w:link w:val="Heading9Char"/>
    <w:unhideWhenUsed/>
    <w:qFormat/>
    <w:rsid w:val="00796C2C"/>
    <w:pPr>
      <w:keepNext/>
      <w:keepLines/>
      <w:spacing w:before="80" w:after="0" w:line="264" w:lineRule="auto"/>
      <w:outlineLvl w:val="8"/>
    </w:pPr>
    <w:rPr>
      <w:rFonts w:asciiTheme="majorHAnsi" w:eastAsiaTheme="majorEastAsia" w:hAnsiTheme="majorHAnsi" w:cstheme="majorBidi"/>
      <w:i/>
      <w:iCs/>
      <w:smallCaps/>
      <w:color w:val="595959" w:themeColor="text1" w:themeTint="A6"/>
      <w:sz w:val="21"/>
      <w:szCs w:val="21"/>
      <w:lang w:val="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B862CF"/>
    <w:pPr>
      <w:ind w:left="720"/>
      <w:contextualSpacing/>
    </w:pPr>
  </w:style>
  <w:style w:type="paragraph" w:customStyle="1" w:styleId="Default">
    <w:name w:val="Default"/>
    <w:qFormat/>
    <w:rsid w:val="008C2231"/>
    <w:pPr>
      <w:autoSpaceDE w:val="0"/>
      <w:autoSpaceDN w:val="0"/>
      <w:adjustRightInd w:val="0"/>
      <w:spacing w:after="0" w:line="240" w:lineRule="auto"/>
    </w:pPr>
    <w:rPr>
      <w:rFonts w:ascii="Times New Roman" w:hAnsi="Times New Roman" w:cs="Calibri"/>
      <w:color w:val="000000"/>
      <w:sz w:val="24"/>
      <w:szCs w:val="24"/>
    </w:rPr>
  </w:style>
  <w:style w:type="paragraph" w:styleId="Header">
    <w:name w:val="header"/>
    <w:basedOn w:val="Normal"/>
    <w:link w:val="HeaderChar"/>
    <w:uiPriority w:val="99"/>
    <w:unhideWhenUsed/>
    <w:rsid w:val="00E23207"/>
    <w:pPr>
      <w:tabs>
        <w:tab w:val="center" w:pos="4703"/>
        <w:tab w:val="right" w:pos="9406"/>
      </w:tabs>
      <w:spacing w:after="0" w:line="240" w:lineRule="auto"/>
    </w:pPr>
  </w:style>
  <w:style w:type="character" w:customStyle="1" w:styleId="HeaderChar">
    <w:name w:val="Header Char"/>
    <w:basedOn w:val="DefaultParagraphFont"/>
    <w:link w:val="Header"/>
    <w:uiPriority w:val="99"/>
    <w:qFormat/>
    <w:rsid w:val="00E23207"/>
    <w:rPr>
      <w:lang w:val="en-GB"/>
    </w:rPr>
  </w:style>
  <w:style w:type="paragraph" w:styleId="Footer">
    <w:name w:val="footer"/>
    <w:basedOn w:val="Normal"/>
    <w:link w:val="FooterChar"/>
    <w:uiPriority w:val="99"/>
    <w:unhideWhenUsed/>
    <w:rsid w:val="00E23207"/>
    <w:pPr>
      <w:tabs>
        <w:tab w:val="center" w:pos="4703"/>
        <w:tab w:val="right" w:pos="9406"/>
      </w:tabs>
      <w:spacing w:after="0" w:line="240" w:lineRule="auto"/>
    </w:pPr>
  </w:style>
  <w:style w:type="character" w:customStyle="1" w:styleId="FooterChar">
    <w:name w:val="Footer Char"/>
    <w:basedOn w:val="DefaultParagraphFont"/>
    <w:link w:val="Footer"/>
    <w:uiPriority w:val="99"/>
    <w:qFormat/>
    <w:rsid w:val="00E23207"/>
    <w:rPr>
      <w:lang w:val="en-GB"/>
    </w:rPr>
  </w:style>
  <w:style w:type="paragraph" w:styleId="BalloonText">
    <w:name w:val="Balloon Text"/>
    <w:basedOn w:val="Normal"/>
    <w:link w:val="BalloonTextChar"/>
    <w:uiPriority w:val="99"/>
    <w:unhideWhenUsed/>
    <w:qFormat/>
    <w:rsid w:val="007155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7155C9"/>
    <w:rPr>
      <w:rFonts w:ascii="Segoe UI" w:hAnsi="Segoe UI" w:cs="Segoe UI"/>
      <w:sz w:val="18"/>
      <w:szCs w:val="18"/>
      <w:lang w:val="en-GB"/>
    </w:rPr>
  </w:style>
  <w:style w:type="paragraph" w:styleId="NormalWeb">
    <w:name w:val="Normal (Web)"/>
    <w:aliases w:val=" Char Char Char Char Char"/>
    <w:basedOn w:val="Normal"/>
    <w:link w:val="NormalWebChar"/>
    <w:uiPriority w:val="99"/>
    <w:unhideWhenUsed/>
    <w:qFormat/>
    <w:rsid w:val="009D4A0E"/>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9D4A0E"/>
    <w:rPr>
      <w:color w:val="0000FF"/>
      <w:u w:val="single"/>
    </w:rPr>
  </w:style>
  <w:style w:type="character" w:customStyle="1" w:styleId="Heading1Char">
    <w:name w:val="Heading 1 Char"/>
    <w:basedOn w:val="DefaultParagraphFont"/>
    <w:link w:val="Heading1"/>
    <w:rsid w:val="005A2FDC"/>
    <w:rPr>
      <w:rFonts w:ascii="Times New Roman" w:eastAsia="Source Han Sans CN Regular" w:hAnsi="Times New Roman" w:cs="Lohit Devanagari"/>
      <w:b/>
      <w:bCs/>
      <w:color w:val="0F243E" w:themeColor="text2" w:themeShade="80"/>
      <w:sz w:val="36"/>
      <w:szCs w:val="36"/>
      <w:lang w:val="bg-BG" w:eastAsia="zh-CN" w:bidi="hi-IN"/>
    </w:rPr>
  </w:style>
  <w:style w:type="character" w:customStyle="1" w:styleId="Heading2Char">
    <w:name w:val="Heading 2 Char"/>
    <w:basedOn w:val="DefaultParagraphFont"/>
    <w:link w:val="Heading2"/>
    <w:rsid w:val="00873603"/>
    <w:rPr>
      <w:rFonts w:ascii="Times New Roman" w:eastAsia="Source Han Sans CN Regular" w:hAnsi="Times New Roman" w:cs="Lohit Devanagari"/>
      <w:b/>
      <w:bCs/>
      <w:color w:val="0F243E" w:themeColor="text2" w:themeShade="80"/>
      <w:sz w:val="32"/>
      <w:szCs w:val="32"/>
      <w:lang w:val="bg-BG" w:eastAsia="zh-CN" w:bidi="hi-IN"/>
    </w:rPr>
  </w:style>
  <w:style w:type="character" w:customStyle="1" w:styleId="Heading3Char">
    <w:name w:val="Heading 3 Char"/>
    <w:basedOn w:val="DefaultParagraphFont"/>
    <w:link w:val="Heading3"/>
    <w:qFormat/>
    <w:rsid w:val="00873603"/>
    <w:rPr>
      <w:rFonts w:ascii="Times New Roman" w:eastAsia="Source Han Sans CN Regular" w:hAnsi="Times New Roman" w:cs="Lohit Devanagari"/>
      <w:b/>
      <w:bCs/>
      <w:color w:val="0F243E" w:themeColor="text2" w:themeShade="80"/>
      <w:sz w:val="28"/>
      <w:szCs w:val="28"/>
      <w:lang w:val="bg-BG" w:eastAsia="zh-CN" w:bidi="hi-IN"/>
    </w:rPr>
  </w:style>
  <w:style w:type="character" w:customStyle="1" w:styleId="Heading4Char">
    <w:name w:val="Heading 4 Char"/>
    <w:basedOn w:val="DefaultParagraphFont"/>
    <w:link w:val="Heading4"/>
    <w:qFormat/>
    <w:rsid w:val="00873603"/>
    <w:rPr>
      <w:rFonts w:ascii="Times New Roman" w:eastAsia="Source Han Sans CN Regular" w:hAnsi="Times New Roman" w:cs="Lohit Devanagari"/>
      <w:b/>
      <w:bCs/>
      <w:iCs/>
      <w:color w:val="0F243E" w:themeColor="text2" w:themeShade="80"/>
      <w:sz w:val="24"/>
      <w:szCs w:val="27"/>
      <w:lang w:val="bg-BG" w:eastAsia="zh-CN" w:bidi="hi-IN"/>
    </w:rPr>
  </w:style>
  <w:style w:type="character" w:customStyle="1" w:styleId="Heading5Char">
    <w:name w:val="Heading 5 Char"/>
    <w:basedOn w:val="DefaultParagraphFont"/>
    <w:link w:val="Heading5"/>
    <w:rsid w:val="009D4A0E"/>
    <w:rPr>
      <w:rFonts w:ascii="Times New Roman" w:eastAsia="Source Han Sans CN Regular" w:hAnsi="Times New Roman" w:cs="Lohit Devanagari"/>
      <w:b/>
      <w:bCs/>
      <w:sz w:val="24"/>
      <w:szCs w:val="24"/>
      <w:lang w:val="en-GB" w:eastAsia="zh-CN" w:bidi="hi-IN"/>
    </w:rPr>
  </w:style>
  <w:style w:type="character" w:customStyle="1" w:styleId="Heading6Char">
    <w:name w:val="Heading 6 Char"/>
    <w:basedOn w:val="DefaultParagraphFont"/>
    <w:link w:val="Heading6"/>
    <w:rsid w:val="009D4A0E"/>
    <w:rPr>
      <w:rFonts w:ascii="Times New Roman" w:eastAsia="Source Han Sans CN Regular" w:hAnsi="Times New Roman" w:cs="Lohit Devanagari"/>
      <w:b/>
      <w:bCs/>
      <w:i/>
      <w:iCs/>
      <w:sz w:val="24"/>
      <w:szCs w:val="24"/>
      <w:lang w:val="en-GB" w:eastAsia="zh-CN" w:bidi="hi-IN"/>
    </w:rPr>
  </w:style>
  <w:style w:type="character" w:customStyle="1" w:styleId="Heading7Char">
    <w:name w:val="Heading 7 Char"/>
    <w:basedOn w:val="DefaultParagraphFont"/>
    <w:link w:val="Heading7"/>
    <w:rsid w:val="009D4A0E"/>
    <w:rPr>
      <w:rFonts w:ascii="Times New Roman" w:eastAsia="Source Han Sans CN Regular" w:hAnsi="Times New Roman" w:cs="Lohit Devanagari"/>
      <w:b/>
      <w:bCs/>
      <w:lang w:val="en-GB" w:eastAsia="zh-CN" w:bidi="hi-IN"/>
    </w:rPr>
  </w:style>
  <w:style w:type="character" w:customStyle="1" w:styleId="a0">
    <w:name w:val="Водачи"/>
    <w:qFormat/>
    <w:rsid w:val="009D4A0E"/>
    <w:rPr>
      <w:rFonts w:ascii="OpenSymbol" w:eastAsia="OpenSymbol" w:hAnsi="OpenSymbol" w:cs="OpenSymbol"/>
    </w:rPr>
  </w:style>
  <w:style w:type="character" w:customStyle="1" w:styleId="a1">
    <w:name w:val="Връзка към Интернет"/>
    <w:rsid w:val="009D4A0E"/>
    <w:rPr>
      <w:color w:val="000080"/>
      <w:u w:val="single"/>
    </w:rPr>
  </w:style>
  <w:style w:type="character" w:customStyle="1" w:styleId="ListLabel254">
    <w:name w:val="ListLabel 254"/>
    <w:qFormat/>
    <w:rsid w:val="009D4A0E"/>
    <w:rPr>
      <w:rFonts w:eastAsia="Wingdings"/>
    </w:rPr>
  </w:style>
  <w:style w:type="character" w:customStyle="1" w:styleId="ListLabel253">
    <w:name w:val="ListLabel 253"/>
    <w:qFormat/>
    <w:rsid w:val="009D4A0E"/>
    <w:rPr>
      <w:rFonts w:eastAsia="Courier New"/>
    </w:rPr>
  </w:style>
  <w:style w:type="character" w:customStyle="1" w:styleId="ListLabel252">
    <w:name w:val="ListLabel 252"/>
    <w:qFormat/>
    <w:rsid w:val="009D4A0E"/>
    <w:rPr>
      <w:rFonts w:eastAsia="Symbol"/>
    </w:rPr>
  </w:style>
  <w:style w:type="character" w:customStyle="1" w:styleId="ListLabel251">
    <w:name w:val="ListLabel 251"/>
    <w:qFormat/>
    <w:rsid w:val="009D4A0E"/>
    <w:rPr>
      <w:rFonts w:eastAsia="Wingdings"/>
    </w:rPr>
  </w:style>
  <w:style w:type="character" w:customStyle="1" w:styleId="ListLabel250">
    <w:name w:val="ListLabel 250"/>
    <w:qFormat/>
    <w:rsid w:val="009D4A0E"/>
    <w:rPr>
      <w:rFonts w:eastAsia="Courier New"/>
    </w:rPr>
  </w:style>
  <w:style w:type="character" w:customStyle="1" w:styleId="ListLabel249">
    <w:name w:val="ListLabel 249"/>
    <w:qFormat/>
    <w:rsid w:val="009D4A0E"/>
    <w:rPr>
      <w:rFonts w:eastAsia="Symbol"/>
    </w:rPr>
  </w:style>
  <w:style w:type="character" w:customStyle="1" w:styleId="ListLabel248">
    <w:name w:val="ListLabel 248"/>
    <w:qFormat/>
    <w:rsid w:val="009D4A0E"/>
    <w:rPr>
      <w:rFonts w:eastAsia="Wingdings"/>
    </w:rPr>
  </w:style>
  <w:style w:type="character" w:customStyle="1" w:styleId="ListLabel247">
    <w:name w:val="ListLabel 247"/>
    <w:qFormat/>
    <w:rsid w:val="009D4A0E"/>
    <w:rPr>
      <w:rFonts w:eastAsia="Courier New"/>
    </w:rPr>
  </w:style>
  <w:style w:type="character" w:customStyle="1" w:styleId="ListLabel246">
    <w:name w:val="ListLabel 246"/>
    <w:qFormat/>
    <w:rsid w:val="009D4A0E"/>
    <w:rPr>
      <w:rFonts w:eastAsia="Symbol"/>
    </w:rPr>
  </w:style>
  <w:style w:type="character" w:customStyle="1" w:styleId="ListLabel245">
    <w:name w:val="ListLabel 245"/>
    <w:qFormat/>
    <w:rsid w:val="009D4A0E"/>
    <w:rPr>
      <w:rFonts w:eastAsia="Wingdings"/>
    </w:rPr>
  </w:style>
  <w:style w:type="character" w:customStyle="1" w:styleId="ListLabel244">
    <w:name w:val="ListLabel 244"/>
    <w:qFormat/>
    <w:rsid w:val="009D4A0E"/>
    <w:rPr>
      <w:rFonts w:eastAsia="Courier New"/>
    </w:rPr>
  </w:style>
  <w:style w:type="character" w:customStyle="1" w:styleId="ListLabel243">
    <w:name w:val="ListLabel 243"/>
    <w:qFormat/>
    <w:rsid w:val="009D4A0E"/>
    <w:rPr>
      <w:rFonts w:eastAsia="Symbol"/>
    </w:rPr>
  </w:style>
  <w:style w:type="character" w:customStyle="1" w:styleId="ListLabel242">
    <w:name w:val="ListLabel 242"/>
    <w:qFormat/>
    <w:rsid w:val="009D4A0E"/>
    <w:rPr>
      <w:rFonts w:eastAsia="Wingdings"/>
    </w:rPr>
  </w:style>
  <w:style w:type="character" w:customStyle="1" w:styleId="ListLabel241">
    <w:name w:val="ListLabel 241"/>
    <w:qFormat/>
    <w:rsid w:val="009D4A0E"/>
    <w:rPr>
      <w:rFonts w:eastAsia="Courier New"/>
    </w:rPr>
  </w:style>
  <w:style w:type="character" w:customStyle="1" w:styleId="ListLabel240">
    <w:name w:val="ListLabel 240"/>
    <w:qFormat/>
    <w:rsid w:val="009D4A0E"/>
    <w:rPr>
      <w:rFonts w:eastAsia="Symbol"/>
    </w:rPr>
  </w:style>
  <w:style w:type="character" w:customStyle="1" w:styleId="ListLabel239">
    <w:name w:val="ListLabel 239"/>
    <w:qFormat/>
    <w:rsid w:val="009D4A0E"/>
    <w:rPr>
      <w:rFonts w:eastAsia="Wingdings"/>
    </w:rPr>
  </w:style>
  <w:style w:type="character" w:customStyle="1" w:styleId="ListLabel238">
    <w:name w:val="ListLabel 238"/>
    <w:qFormat/>
    <w:rsid w:val="009D4A0E"/>
    <w:rPr>
      <w:rFonts w:eastAsia="Courier New"/>
    </w:rPr>
  </w:style>
  <w:style w:type="character" w:customStyle="1" w:styleId="ListLabel237">
    <w:name w:val="ListLabel 237"/>
    <w:qFormat/>
    <w:rsid w:val="009D4A0E"/>
    <w:rPr>
      <w:rFonts w:eastAsia="Symbol"/>
    </w:rPr>
  </w:style>
  <w:style w:type="character" w:customStyle="1" w:styleId="ListLabel236">
    <w:name w:val="ListLabel 236"/>
    <w:qFormat/>
    <w:rsid w:val="009D4A0E"/>
    <w:rPr>
      <w:rFonts w:eastAsia="Wingdings"/>
    </w:rPr>
  </w:style>
  <w:style w:type="character" w:customStyle="1" w:styleId="ListLabel235">
    <w:name w:val="ListLabel 235"/>
    <w:qFormat/>
    <w:rsid w:val="009D4A0E"/>
    <w:rPr>
      <w:rFonts w:eastAsia="Courier New"/>
    </w:rPr>
  </w:style>
  <w:style w:type="character" w:customStyle="1" w:styleId="ListLabel234">
    <w:name w:val="ListLabel 234"/>
    <w:qFormat/>
    <w:rsid w:val="009D4A0E"/>
    <w:rPr>
      <w:rFonts w:eastAsia="Symbol"/>
    </w:rPr>
  </w:style>
  <w:style w:type="character" w:customStyle="1" w:styleId="ListLabel233">
    <w:name w:val="ListLabel 233"/>
    <w:qFormat/>
    <w:rsid w:val="009D4A0E"/>
    <w:rPr>
      <w:rFonts w:eastAsia="Wingdings"/>
    </w:rPr>
  </w:style>
  <w:style w:type="character" w:customStyle="1" w:styleId="ListLabel232">
    <w:name w:val="ListLabel 232"/>
    <w:qFormat/>
    <w:rsid w:val="009D4A0E"/>
    <w:rPr>
      <w:rFonts w:eastAsia="Courier New"/>
    </w:rPr>
  </w:style>
  <w:style w:type="character" w:customStyle="1" w:styleId="ListLabel231">
    <w:name w:val="ListLabel 231"/>
    <w:qFormat/>
    <w:rsid w:val="009D4A0E"/>
    <w:rPr>
      <w:rFonts w:eastAsia="Symbol"/>
    </w:rPr>
  </w:style>
  <w:style w:type="character" w:customStyle="1" w:styleId="ListLabel230">
    <w:name w:val="ListLabel 230"/>
    <w:qFormat/>
    <w:rsid w:val="009D4A0E"/>
    <w:rPr>
      <w:rFonts w:eastAsia="Wingdings"/>
    </w:rPr>
  </w:style>
  <w:style w:type="character" w:customStyle="1" w:styleId="ListLabel229">
    <w:name w:val="ListLabel 229"/>
    <w:qFormat/>
    <w:rsid w:val="009D4A0E"/>
    <w:rPr>
      <w:rFonts w:eastAsia="Courier New"/>
    </w:rPr>
  </w:style>
  <w:style w:type="character" w:customStyle="1" w:styleId="ListLabel228">
    <w:name w:val="ListLabel 228"/>
    <w:qFormat/>
    <w:rsid w:val="009D4A0E"/>
    <w:rPr>
      <w:rFonts w:eastAsia="Symbol"/>
    </w:rPr>
  </w:style>
  <w:style w:type="character" w:customStyle="1" w:styleId="ListLabel227">
    <w:name w:val="ListLabel 227"/>
    <w:qFormat/>
    <w:rsid w:val="009D4A0E"/>
    <w:rPr>
      <w:rFonts w:eastAsia="Wingdings"/>
    </w:rPr>
  </w:style>
  <w:style w:type="character" w:customStyle="1" w:styleId="ListLabel226">
    <w:name w:val="ListLabel 226"/>
    <w:qFormat/>
    <w:rsid w:val="009D4A0E"/>
    <w:rPr>
      <w:rFonts w:eastAsia="Courier New"/>
    </w:rPr>
  </w:style>
  <w:style w:type="character" w:customStyle="1" w:styleId="ListLabel225">
    <w:name w:val="ListLabel 225"/>
    <w:qFormat/>
    <w:rsid w:val="009D4A0E"/>
    <w:rPr>
      <w:rFonts w:eastAsia="Symbol"/>
    </w:rPr>
  </w:style>
  <w:style w:type="character" w:customStyle="1" w:styleId="ListLabel224">
    <w:name w:val="ListLabel 224"/>
    <w:qFormat/>
    <w:rsid w:val="009D4A0E"/>
    <w:rPr>
      <w:rFonts w:eastAsia="Wingdings"/>
    </w:rPr>
  </w:style>
  <w:style w:type="character" w:customStyle="1" w:styleId="ListLabel223">
    <w:name w:val="ListLabel 223"/>
    <w:qFormat/>
    <w:rsid w:val="009D4A0E"/>
    <w:rPr>
      <w:rFonts w:eastAsia="Courier New"/>
    </w:rPr>
  </w:style>
  <w:style w:type="character" w:customStyle="1" w:styleId="ListLabel222">
    <w:name w:val="ListLabel 222"/>
    <w:qFormat/>
    <w:rsid w:val="009D4A0E"/>
    <w:rPr>
      <w:rFonts w:eastAsia="Symbol"/>
    </w:rPr>
  </w:style>
  <w:style w:type="character" w:customStyle="1" w:styleId="ListLabel221">
    <w:name w:val="ListLabel 221"/>
    <w:qFormat/>
    <w:rsid w:val="009D4A0E"/>
    <w:rPr>
      <w:rFonts w:eastAsia="Wingdings"/>
    </w:rPr>
  </w:style>
  <w:style w:type="character" w:customStyle="1" w:styleId="ListLabel220">
    <w:name w:val="ListLabel 220"/>
    <w:qFormat/>
    <w:rsid w:val="009D4A0E"/>
    <w:rPr>
      <w:rFonts w:eastAsia="Courier New"/>
    </w:rPr>
  </w:style>
  <w:style w:type="character" w:customStyle="1" w:styleId="ListLabel219">
    <w:name w:val="ListLabel 219"/>
    <w:qFormat/>
    <w:rsid w:val="009D4A0E"/>
    <w:rPr>
      <w:rFonts w:eastAsia="Symbol"/>
    </w:rPr>
  </w:style>
  <w:style w:type="character" w:customStyle="1" w:styleId="ListLabel218">
    <w:name w:val="ListLabel 218"/>
    <w:qFormat/>
    <w:rsid w:val="009D4A0E"/>
    <w:rPr>
      <w:rFonts w:eastAsia="Wingdings"/>
    </w:rPr>
  </w:style>
  <w:style w:type="character" w:customStyle="1" w:styleId="ListLabel217">
    <w:name w:val="ListLabel 217"/>
    <w:qFormat/>
    <w:rsid w:val="009D4A0E"/>
    <w:rPr>
      <w:rFonts w:eastAsia="Courier New"/>
    </w:rPr>
  </w:style>
  <w:style w:type="character" w:customStyle="1" w:styleId="ListLabel216">
    <w:name w:val="ListLabel 216"/>
    <w:qFormat/>
    <w:rsid w:val="009D4A0E"/>
    <w:rPr>
      <w:rFonts w:eastAsia="Symbol"/>
    </w:rPr>
  </w:style>
  <w:style w:type="character" w:customStyle="1" w:styleId="ListLabel215">
    <w:name w:val="ListLabel 215"/>
    <w:qFormat/>
    <w:rsid w:val="009D4A0E"/>
    <w:rPr>
      <w:rFonts w:eastAsia="Wingdings"/>
    </w:rPr>
  </w:style>
  <w:style w:type="character" w:customStyle="1" w:styleId="ListLabel214">
    <w:name w:val="ListLabel 214"/>
    <w:qFormat/>
    <w:rsid w:val="009D4A0E"/>
    <w:rPr>
      <w:rFonts w:eastAsia="Courier New"/>
    </w:rPr>
  </w:style>
  <w:style w:type="character" w:customStyle="1" w:styleId="ListLabel213">
    <w:name w:val="ListLabel 213"/>
    <w:qFormat/>
    <w:rsid w:val="009D4A0E"/>
    <w:rPr>
      <w:rFonts w:eastAsia="Symbol"/>
    </w:rPr>
  </w:style>
  <w:style w:type="character" w:customStyle="1" w:styleId="ListLabel212">
    <w:name w:val="ListLabel 212"/>
    <w:qFormat/>
    <w:rsid w:val="009D4A0E"/>
    <w:rPr>
      <w:rFonts w:eastAsia="Wingdings"/>
    </w:rPr>
  </w:style>
  <w:style w:type="character" w:customStyle="1" w:styleId="ListLabel211">
    <w:name w:val="ListLabel 211"/>
    <w:qFormat/>
    <w:rsid w:val="009D4A0E"/>
    <w:rPr>
      <w:rFonts w:eastAsia="Courier New"/>
    </w:rPr>
  </w:style>
  <w:style w:type="character" w:customStyle="1" w:styleId="ListLabel210">
    <w:name w:val="ListLabel 210"/>
    <w:qFormat/>
    <w:rsid w:val="009D4A0E"/>
    <w:rPr>
      <w:rFonts w:eastAsia="Symbol"/>
    </w:rPr>
  </w:style>
  <w:style w:type="character" w:customStyle="1" w:styleId="ListLabel209">
    <w:name w:val="ListLabel 209"/>
    <w:qFormat/>
    <w:rsid w:val="009D4A0E"/>
    <w:rPr>
      <w:rFonts w:eastAsia="Wingdings"/>
    </w:rPr>
  </w:style>
  <w:style w:type="character" w:customStyle="1" w:styleId="ListLabel208">
    <w:name w:val="ListLabel 208"/>
    <w:qFormat/>
    <w:rsid w:val="009D4A0E"/>
    <w:rPr>
      <w:rFonts w:eastAsia="Courier New"/>
    </w:rPr>
  </w:style>
  <w:style w:type="character" w:customStyle="1" w:styleId="ListLabel207">
    <w:name w:val="ListLabel 207"/>
    <w:qFormat/>
    <w:rsid w:val="009D4A0E"/>
    <w:rPr>
      <w:rFonts w:eastAsia="Symbol"/>
    </w:rPr>
  </w:style>
  <w:style w:type="character" w:customStyle="1" w:styleId="ListLabel206">
    <w:name w:val="ListLabel 206"/>
    <w:qFormat/>
    <w:rsid w:val="009D4A0E"/>
    <w:rPr>
      <w:rFonts w:eastAsia="Wingdings"/>
    </w:rPr>
  </w:style>
  <w:style w:type="character" w:customStyle="1" w:styleId="ListLabel205">
    <w:name w:val="ListLabel 205"/>
    <w:qFormat/>
    <w:rsid w:val="009D4A0E"/>
    <w:rPr>
      <w:rFonts w:eastAsia="Courier New"/>
    </w:rPr>
  </w:style>
  <w:style w:type="character" w:customStyle="1" w:styleId="ListLabel204">
    <w:name w:val="ListLabel 204"/>
    <w:qFormat/>
    <w:rsid w:val="009D4A0E"/>
    <w:rPr>
      <w:rFonts w:eastAsia="Symbol"/>
    </w:rPr>
  </w:style>
  <w:style w:type="character" w:customStyle="1" w:styleId="ListLabel203">
    <w:name w:val="ListLabel 203"/>
    <w:qFormat/>
    <w:rsid w:val="009D4A0E"/>
    <w:rPr>
      <w:rFonts w:eastAsia="Wingdings"/>
    </w:rPr>
  </w:style>
  <w:style w:type="character" w:customStyle="1" w:styleId="ListLabel202">
    <w:name w:val="ListLabel 202"/>
    <w:qFormat/>
    <w:rsid w:val="009D4A0E"/>
    <w:rPr>
      <w:rFonts w:eastAsia="Courier New"/>
    </w:rPr>
  </w:style>
  <w:style w:type="character" w:customStyle="1" w:styleId="ListLabel201">
    <w:name w:val="ListLabel 201"/>
    <w:qFormat/>
    <w:rsid w:val="009D4A0E"/>
    <w:rPr>
      <w:rFonts w:eastAsia="Symbol"/>
    </w:rPr>
  </w:style>
  <w:style w:type="character" w:customStyle="1" w:styleId="ListLabel200">
    <w:name w:val="ListLabel 200"/>
    <w:qFormat/>
    <w:rsid w:val="009D4A0E"/>
    <w:rPr>
      <w:rFonts w:eastAsia="Wingdings"/>
    </w:rPr>
  </w:style>
  <w:style w:type="character" w:customStyle="1" w:styleId="ListLabel199">
    <w:name w:val="ListLabel 199"/>
    <w:qFormat/>
    <w:rsid w:val="009D4A0E"/>
    <w:rPr>
      <w:rFonts w:eastAsia="Courier New"/>
    </w:rPr>
  </w:style>
  <w:style w:type="character" w:customStyle="1" w:styleId="ListLabel198">
    <w:name w:val="ListLabel 198"/>
    <w:qFormat/>
    <w:rsid w:val="009D4A0E"/>
    <w:rPr>
      <w:rFonts w:eastAsia="Symbol"/>
    </w:rPr>
  </w:style>
  <w:style w:type="character" w:customStyle="1" w:styleId="ListLabel197">
    <w:name w:val="ListLabel 197"/>
    <w:qFormat/>
    <w:rsid w:val="009D4A0E"/>
    <w:rPr>
      <w:rFonts w:eastAsia="Wingdings"/>
    </w:rPr>
  </w:style>
  <w:style w:type="character" w:customStyle="1" w:styleId="ListLabel196">
    <w:name w:val="ListLabel 196"/>
    <w:qFormat/>
    <w:rsid w:val="009D4A0E"/>
    <w:rPr>
      <w:rFonts w:eastAsia="Courier New"/>
    </w:rPr>
  </w:style>
  <w:style w:type="character" w:customStyle="1" w:styleId="ListLabel195">
    <w:name w:val="ListLabel 195"/>
    <w:qFormat/>
    <w:rsid w:val="009D4A0E"/>
    <w:rPr>
      <w:rFonts w:eastAsia="Symbol"/>
    </w:rPr>
  </w:style>
  <w:style w:type="character" w:customStyle="1" w:styleId="ListLabel194">
    <w:name w:val="ListLabel 194"/>
    <w:qFormat/>
    <w:rsid w:val="009D4A0E"/>
    <w:rPr>
      <w:rFonts w:eastAsia="Wingdings"/>
    </w:rPr>
  </w:style>
  <w:style w:type="character" w:customStyle="1" w:styleId="ListLabel193">
    <w:name w:val="ListLabel 193"/>
    <w:qFormat/>
    <w:rsid w:val="009D4A0E"/>
    <w:rPr>
      <w:rFonts w:eastAsia="Courier New"/>
    </w:rPr>
  </w:style>
  <w:style w:type="character" w:customStyle="1" w:styleId="ListLabel192">
    <w:name w:val="ListLabel 192"/>
    <w:qFormat/>
    <w:rsid w:val="009D4A0E"/>
    <w:rPr>
      <w:rFonts w:eastAsia="Symbol"/>
    </w:rPr>
  </w:style>
  <w:style w:type="character" w:customStyle="1" w:styleId="ListLabel191">
    <w:name w:val="ListLabel 191"/>
    <w:qFormat/>
    <w:rsid w:val="009D4A0E"/>
    <w:rPr>
      <w:rFonts w:eastAsia="Wingdings"/>
    </w:rPr>
  </w:style>
  <w:style w:type="character" w:customStyle="1" w:styleId="ListLabel190">
    <w:name w:val="ListLabel 190"/>
    <w:qFormat/>
    <w:rsid w:val="009D4A0E"/>
    <w:rPr>
      <w:rFonts w:eastAsia="Courier New"/>
    </w:rPr>
  </w:style>
  <w:style w:type="character" w:customStyle="1" w:styleId="ListLabel189">
    <w:name w:val="ListLabel 189"/>
    <w:qFormat/>
    <w:rsid w:val="009D4A0E"/>
    <w:rPr>
      <w:rFonts w:eastAsia="Symbol"/>
    </w:rPr>
  </w:style>
  <w:style w:type="character" w:customStyle="1" w:styleId="ListLabel188">
    <w:name w:val="ListLabel 188"/>
    <w:qFormat/>
    <w:rsid w:val="009D4A0E"/>
    <w:rPr>
      <w:rFonts w:eastAsia="Wingdings"/>
    </w:rPr>
  </w:style>
  <w:style w:type="character" w:customStyle="1" w:styleId="ListLabel187">
    <w:name w:val="ListLabel 187"/>
    <w:qFormat/>
    <w:rsid w:val="009D4A0E"/>
    <w:rPr>
      <w:rFonts w:eastAsia="Courier New"/>
    </w:rPr>
  </w:style>
  <w:style w:type="character" w:customStyle="1" w:styleId="ListLabel186">
    <w:name w:val="ListLabel 186"/>
    <w:qFormat/>
    <w:rsid w:val="009D4A0E"/>
    <w:rPr>
      <w:rFonts w:eastAsia="Symbol"/>
    </w:rPr>
  </w:style>
  <w:style w:type="character" w:customStyle="1" w:styleId="ListLabel185">
    <w:name w:val="ListLabel 185"/>
    <w:qFormat/>
    <w:rsid w:val="009D4A0E"/>
    <w:rPr>
      <w:rFonts w:eastAsia="Wingdings"/>
    </w:rPr>
  </w:style>
  <w:style w:type="character" w:customStyle="1" w:styleId="ListLabel184">
    <w:name w:val="ListLabel 184"/>
    <w:qFormat/>
    <w:rsid w:val="009D4A0E"/>
    <w:rPr>
      <w:rFonts w:eastAsia="Courier New"/>
    </w:rPr>
  </w:style>
  <w:style w:type="character" w:customStyle="1" w:styleId="ListLabel183">
    <w:name w:val="ListLabel 183"/>
    <w:qFormat/>
    <w:rsid w:val="009D4A0E"/>
    <w:rPr>
      <w:rFonts w:eastAsia="Symbol"/>
    </w:rPr>
  </w:style>
  <w:style w:type="character" w:customStyle="1" w:styleId="ListLabel182">
    <w:name w:val="ListLabel 182"/>
    <w:qFormat/>
    <w:rsid w:val="009D4A0E"/>
    <w:rPr>
      <w:rFonts w:eastAsia="Wingdings"/>
    </w:rPr>
  </w:style>
  <w:style w:type="character" w:customStyle="1" w:styleId="ListLabel181">
    <w:name w:val="ListLabel 181"/>
    <w:qFormat/>
    <w:rsid w:val="009D4A0E"/>
    <w:rPr>
      <w:rFonts w:eastAsia="Courier New"/>
    </w:rPr>
  </w:style>
  <w:style w:type="character" w:customStyle="1" w:styleId="ListLabel180">
    <w:name w:val="ListLabel 180"/>
    <w:qFormat/>
    <w:rsid w:val="009D4A0E"/>
    <w:rPr>
      <w:rFonts w:eastAsia="Symbol"/>
    </w:rPr>
  </w:style>
  <w:style w:type="character" w:customStyle="1" w:styleId="ListLabel179">
    <w:name w:val="ListLabel 179"/>
    <w:qFormat/>
    <w:rsid w:val="009D4A0E"/>
    <w:rPr>
      <w:rFonts w:eastAsia="Wingdings"/>
    </w:rPr>
  </w:style>
  <w:style w:type="character" w:customStyle="1" w:styleId="ListLabel178">
    <w:name w:val="ListLabel 178"/>
    <w:qFormat/>
    <w:rsid w:val="009D4A0E"/>
    <w:rPr>
      <w:rFonts w:eastAsia="Courier New"/>
    </w:rPr>
  </w:style>
  <w:style w:type="character" w:customStyle="1" w:styleId="ListLabel177">
    <w:name w:val="ListLabel 177"/>
    <w:qFormat/>
    <w:rsid w:val="009D4A0E"/>
    <w:rPr>
      <w:rFonts w:eastAsia="Symbol"/>
    </w:rPr>
  </w:style>
  <w:style w:type="character" w:customStyle="1" w:styleId="ListLabel176">
    <w:name w:val="ListLabel 176"/>
    <w:qFormat/>
    <w:rsid w:val="009D4A0E"/>
    <w:rPr>
      <w:rFonts w:eastAsia="Wingdings"/>
    </w:rPr>
  </w:style>
  <w:style w:type="character" w:customStyle="1" w:styleId="ListLabel175">
    <w:name w:val="ListLabel 175"/>
    <w:qFormat/>
    <w:rsid w:val="009D4A0E"/>
    <w:rPr>
      <w:rFonts w:eastAsia="Courier New"/>
    </w:rPr>
  </w:style>
  <w:style w:type="character" w:customStyle="1" w:styleId="ListLabel174">
    <w:name w:val="ListLabel 174"/>
    <w:qFormat/>
    <w:rsid w:val="009D4A0E"/>
    <w:rPr>
      <w:rFonts w:eastAsia="Symbol"/>
    </w:rPr>
  </w:style>
  <w:style w:type="character" w:customStyle="1" w:styleId="ListLabel173">
    <w:name w:val="ListLabel 173"/>
    <w:qFormat/>
    <w:rsid w:val="009D4A0E"/>
    <w:rPr>
      <w:rFonts w:eastAsia="Wingdings"/>
    </w:rPr>
  </w:style>
  <w:style w:type="character" w:customStyle="1" w:styleId="ListLabel172">
    <w:name w:val="ListLabel 172"/>
    <w:qFormat/>
    <w:rsid w:val="009D4A0E"/>
    <w:rPr>
      <w:rFonts w:eastAsia="Courier New"/>
    </w:rPr>
  </w:style>
  <w:style w:type="character" w:customStyle="1" w:styleId="ListLabel171">
    <w:name w:val="ListLabel 171"/>
    <w:qFormat/>
    <w:rsid w:val="009D4A0E"/>
    <w:rPr>
      <w:rFonts w:eastAsia="Symbol"/>
    </w:rPr>
  </w:style>
  <w:style w:type="character" w:customStyle="1" w:styleId="ListLabel170">
    <w:name w:val="ListLabel 170"/>
    <w:qFormat/>
    <w:rsid w:val="009D4A0E"/>
    <w:rPr>
      <w:rFonts w:eastAsia="Wingdings"/>
    </w:rPr>
  </w:style>
  <w:style w:type="character" w:customStyle="1" w:styleId="ListLabel169">
    <w:name w:val="ListLabel 169"/>
    <w:qFormat/>
    <w:rsid w:val="009D4A0E"/>
    <w:rPr>
      <w:rFonts w:eastAsia="Courier New"/>
    </w:rPr>
  </w:style>
  <w:style w:type="character" w:customStyle="1" w:styleId="ListLabel168">
    <w:name w:val="ListLabel 168"/>
    <w:qFormat/>
    <w:rsid w:val="009D4A0E"/>
    <w:rPr>
      <w:rFonts w:eastAsia="Symbol"/>
    </w:rPr>
  </w:style>
  <w:style w:type="character" w:customStyle="1" w:styleId="ListLabel167">
    <w:name w:val="ListLabel 167"/>
    <w:qFormat/>
    <w:rsid w:val="009D4A0E"/>
    <w:rPr>
      <w:rFonts w:eastAsia="Wingdings"/>
    </w:rPr>
  </w:style>
  <w:style w:type="character" w:customStyle="1" w:styleId="ListLabel166">
    <w:name w:val="ListLabel 166"/>
    <w:qFormat/>
    <w:rsid w:val="009D4A0E"/>
    <w:rPr>
      <w:rFonts w:eastAsia="Courier New"/>
    </w:rPr>
  </w:style>
  <w:style w:type="character" w:customStyle="1" w:styleId="ListLabel165">
    <w:name w:val="ListLabel 165"/>
    <w:qFormat/>
    <w:rsid w:val="009D4A0E"/>
    <w:rPr>
      <w:rFonts w:eastAsia="Symbol"/>
    </w:rPr>
  </w:style>
  <w:style w:type="character" w:customStyle="1" w:styleId="ListLabel164">
    <w:name w:val="ListLabel 164"/>
    <w:qFormat/>
    <w:rsid w:val="009D4A0E"/>
    <w:rPr>
      <w:rFonts w:eastAsia="Wingdings"/>
    </w:rPr>
  </w:style>
  <w:style w:type="character" w:customStyle="1" w:styleId="ListLabel163">
    <w:name w:val="ListLabel 163"/>
    <w:qFormat/>
    <w:rsid w:val="009D4A0E"/>
    <w:rPr>
      <w:rFonts w:eastAsia="Courier New"/>
    </w:rPr>
  </w:style>
  <w:style w:type="character" w:customStyle="1" w:styleId="ListLabel162">
    <w:name w:val="ListLabel 162"/>
    <w:qFormat/>
    <w:rsid w:val="009D4A0E"/>
    <w:rPr>
      <w:rFonts w:eastAsia="Symbol"/>
    </w:rPr>
  </w:style>
  <w:style w:type="character" w:customStyle="1" w:styleId="ListLabel161">
    <w:name w:val="ListLabel 161"/>
    <w:qFormat/>
    <w:rsid w:val="009D4A0E"/>
    <w:rPr>
      <w:rFonts w:eastAsia="Wingdings"/>
    </w:rPr>
  </w:style>
  <w:style w:type="character" w:customStyle="1" w:styleId="ListLabel160">
    <w:name w:val="ListLabel 160"/>
    <w:qFormat/>
    <w:rsid w:val="009D4A0E"/>
    <w:rPr>
      <w:rFonts w:eastAsia="Courier New"/>
    </w:rPr>
  </w:style>
  <w:style w:type="character" w:customStyle="1" w:styleId="ListLabel159">
    <w:name w:val="ListLabel 159"/>
    <w:qFormat/>
    <w:rsid w:val="009D4A0E"/>
    <w:rPr>
      <w:rFonts w:eastAsia="Symbol"/>
    </w:rPr>
  </w:style>
  <w:style w:type="character" w:customStyle="1" w:styleId="ListLabel158">
    <w:name w:val="ListLabel 158"/>
    <w:qFormat/>
    <w:rsid w:val="009D4A0E"/>
    <w:rPr>
      <w:rFonts w:eastAsia="Wingdings"/>
    </w:rPr>
  </w:style>
  <w:style w:type="character" w:customStyle="1" w:styleId="ListLabel157">
    <w:name w:val="ListLabel 157"/>
    <w:qFormat/>
    <w:rsid w:val="009D4A0E"/>
    <w:rPr>
      <w:rFonts w:eastAsia="Courier New"/>
    </w:rPr>
  </w:style>
  <w:style w:type="character" w:customStyle="1" w:styleId="ListLabel156">
    <w:name w:val="ListLabel 156"/>
    <w:qFormat/>
    <w:rsid w:val="009D4A0E"/>
    <w:rPr>
      <w:rFonts w:eastAsia="Symbol"/>
    </w:rPr>
  </w:style>
  <w:style w:type="character" w:customStyle="1" w:styleId="ListLabel155">
    <w:name w:val="ListLabel 155"/>
    <w:qFormat/>
    <w:rsid w:val="009D4A0E"/>
    <w:rPr>
      <w:rFonts w:eastAsia="Wingdings"/>
    </w:rPr>
  </w:style>
  <w:style w:type="character" w:customStyle="1" w:styleId="ListLabel154">
    <w:name w:val="ListLabel 154"/>
    <w:qFormat/>
    <w:rsid w:val="009D4A0E"/>
    <w:rPr>
      <w:rFonts w:eastAsia="Courier New"/>
    </w:rPr>
  </w:style>
  <w:style w:type="character" w:customStyle="1" w:styleId="ListLabel153">
    <w:name w:val="ListLabel 153"/>
    <w:qFormat/>
    <w:rsid w:val="009D4A0E"/>
    <w:rPr>
      <w:rFonts w:eastAsia="Symbol"/>
    </w:rPr>
  </w:style>
  <w:style w:type="character" w:customStyle="1" w:styleId="ListLabel152">
    <w:name w:val="ListLabel 152"/>
    <w:qFormat/>
    <w:rsid w:val="009D4A0E"/>
    <w:rPr>
      <w:rFonts w:eastAsia="Wingdings"/>
    </w:rPr>
  </w:style>
  <w:style w:type="character" w:customStyle="1" w:styleId="ListLabel151">
    <w:name w:val="ListLabel 151"/>
    <w:qFormat/>
    <w:rsid w:val="009D4A0E"/>
    <w:rPr>
      <w:rFonts w:eastAsia="Courier New"/>
    </w:rPr>
  </w:style>
  <w:style w:type="character" w:customStyle="1" w:styleId="ListLabel150">
    <w:name w:val="ListLabel 150"/>
    <w:qFormat/>
    <w:rsid w:val="009D4A0E"/>
    <w:rPr>
      <w:rFonts w:eastAsia="Symbol"/>
    </w:rPr>
  </w:style>
  <w:style w:type="character" w:customStyle="1" w:styleId="ListLabel149">
    <w:name w:val="ListLabel 149"/>
    <w:qFormat/>
    <w:rsid w:val="009D4A0E"/>
    <w:rPr>
      <w:rFonts w:eastAsia="Wingdings"/>
    </w:rPr>
  </w:style>
  <w:style w:type="character" w:customStyle="1" w:styleId="ListLabel148">
    <w:name w:val="ListLabel 148"/>
    <w:qFormat/>
    <w:rsid w:val="009D4A0E"/>
    <w:rPr>
      <w:rFonts w:eastAsia="Courier New"/>
    </w:rPr>
  </w:style>
  <w:style w:type="character" w:customStyle="1" w:styleId="ListLabel147">
    <w:name w:val="ListLabel 147"/>
    <w:qFormat/>
    <w:rsid w:val="009D4A0E"/>
    <w:rPr>
      <w:rFonts w:eastAsia="Symbol"/>
    </w:rPr>
  </w:style>
  <w:style w:type="character" w:customStyle="1" w:styleId="ListLabel146">
    <w:name w:val="ListLabel 146"/>
    <w:qFormat/>
    <w:rsid w:val="009D4A0E"/>
    <w:rPr>
      <w:rFonts w:eastAsia="Wingdings"/>
    </w:rPr>
  </w:style>
  <w:style w:type="character" w:customStyle="1" w:styleId="ListLabel145">
    <w:name w:val="ListLabel 145"/>
    <w:qFormat/>
    <w:rsid w:val="009D4A0E"/>
    <w:rPr>
      <w:rFonts w:eastAsia="Courier New"/>
    </w:rPr>
  </w:style>
  <w:style w:type="character" w:customStyle="1" w:styleId="ListLabel144">
    <w:name w:val="ListLabel 144"/>
    <w:qFormat/>
    <w:rsid w:val="009D4A0E"/>
    <w:rPr>
      <w:rFonts w:eastAsia="Symbol"/>
    </w:rPr>
  </w:style>
  <w:style w:type="character" w:customStyle="1" w:styleId="ListLabel143">
    <w:name w:val="ListLabel 143"/>
    <w:qFormat/>
    <w:rsid w:val="009D4A0E"/>
    <w:rPr>
      <w:rFonts w:eastAsia="Wingdings"/>
    </w:rPr>
  </w:style>
  <w:style w:type="character" w:customStyle="1" w:styleId="ListLabel142">
    <w:name w:val="ListLabel 142"/>
    <w:qFormat/>
    <w:rsid w:val="009D4A0E"/>
    <w:rPr>
      <w:rFonts w:eastAsia="Courier New"/>
    </w:rPr>
  </w:style>
  <w:style w:type="character" w:customStyle="1" w:styleId="ListLabel141">
    <w:name w:val="ListLabel 141"/>
    <w:qFormat/>
    <w:rsid w:val="009D4A0E"/>
    <w:rPr>
      <w:rFonts w:eastAsia="Symbol"/>
    </w:rPr>
  </w:style>
  <w:style w:type="character" w:customStyle="1" w:styleId="ListLabel140">
    <w:name w:val="ListLabel 140"/>
    <w:qFormat/>
    <w:rsid w:val="009D4A0E"/>
    <w:rPr>
      <w:rFonts w:eastAsia="Wingdings"/>
    </w:rPr>
  </w:style>
  <w:style w:type="character" w:customStyle="1" w:styleId="ListLabel139">
    <w:name w:val="ListLabel 139"/>
    <w:qFormat/>
    <w:rsid w:val="009D4A0E"/>
    <w:rPr>
      <w:rFonts w:eastAsia="Courier New"/>
    </w:rPr>
  </w:style>
  <w:style w:type="character" w:customStyle="1" w:styleId="ListLabel138">
    <w:name w:val="ListLabel 138"/>
    <w:qFormat/>
    <w:rsid w:val="009D4A0E"/>
    <w:rPr>
      <w:rFonts w:eastAsia="Symbol"/>
    </w:rPr>
  </w:style>
  <w:style w:type="character" w:customStyle="1" w:styleId="ListLabel137">
    <w:name w:val="ListLabel 137"/>
    <w:qFormat/>
    <w:rsid w:val="009D4A0E"/>
    <w:rPr>
      <w:rFonts w:eastAsia="Wingdings"/>
    </w:rPr>
  </w:style>
  <w:style w:type="character" w:customStyle="1" w:styleId="ListLabel136">
    <w:name w:val="ListLabel 136"/>
    <w:qFormat/>
    <w:rsid w:val="009D4A0E"/>
    <w:rPr>
      <w:rFonts w:eastAsia="Courier New"/>
    </w:rPr>
  </w:style>
  <w:style w:type="character" w:customStyle="1" w:styleId="ListLabel135">
    <w:name w:val="ListLabel 135"/>
    <w:qFormat/>
    <w:rsid w:val="009D4A0E"/>
    <w:rPr>
      <w:rFonts w:eastAsia="Symbol"/>
    </w:rPr>
  </w:style>
  <w:style w:type="character" w:customStyle="1" w:styleId="ListLabel134">
    <w:name w:val="ListLabel 134"/>
    <w:qFormat/>
    <w:rsid w:val="009D4A0E"/>
    <w:rPr>
      <w:rFonts w:eastAsia="Wingdings"/>
    </w:rPr>
  </w:style>
  <w:style w:type="character" w:customStyle="1" w:styleId="ListLabel133">
    <w:name w:val="ListLabel 133"/>
    <w:qFormat/>
    <w:rsid w:val="009D4A0E"/>
    <w:rPr>
      <w:rFonts w:eastAsia="Courier New"/>
    </w:rPr>
  </w:style>
  <w:style w:type="character" w:customStyle="1" w:styleId="ListLabel132">
    <w:name w:val="ListLabel 132"/>
    <w:qFormat/>
    <w:rsid w:val="009D4A0E"/>
    <w:rPr>
      <w:rFonts w:eastAsia="Symbol"/>
    </w:rPr>
  </w:style>
  <w:style w:type="character" w:customStyle="1" w:styleId="ListLabel131">
    <w:name w:val="ListLabel 131"/>
    <w:qFormat/>
    <w:rsid w:val="009D4A0E"/>
    <w:rPr>
      <w:rFonts w:eastAsia="Wingdings"/>
    </w:rPr>
  </w:style>
  <w:style w:type="character" w:customStyle="1" w:styleId="ListLabel130">
    <w:name w:val="ListLabel 130"/>
    <w:qFormat/>
    <w:rsid w:val="009D4A0E"/>
    <w:rPr>
      <w:rFonts w:eastAsia="Courier New"/>
    </w:rPr>
  </w:style>
  <w:style w:type="character" w:customStyle="1" w:styleId="ListLabel129">
    <w:name w:val="ListLabel 129"/>
    <w:qFormat/>
    <w:rsid w:val="009D4A0E"/>
    <w:rPr>
      <w:rFonts w:eastAsia="Symbol"/>
    </w:rPr>
  </w:style>
  <w:style w:type="character" w:customStyle="1" w:styleId="ListLabel128">
    <w:name w:val="ListLabel 128"/>
    <w:qFormat/>
    <w:rsid w:val="009D4A0E"/>
    <w:rPr>
      <w:rFonts w:eastAsia="Wingdings"/>
    </w:rPr>
  </w:style>
  <w:style w:type="character" w:customStyle="1" w:styleId="ListLabel127">
    <w:name w:val="ListLabel 127"/>
    <w:qFormat/>
    <w:rsid w:val="009D4A0E"/>
    <w:rPr>
      <w:rFonts w:eastAsia="Courier New"/>
    </w:rPr>
  </w:style>
  <w:style w:type="character" w:customStyle="1" w:styleId="ListLabel126">
    <w:name w:val="ListLabel 126"/>
    <w:qFormat/>
    <w:rsid w:val="009D4A0E"/>
    <w:rPr>
      <w:rFonts w:eastAsia="Symbol"/>
    </w:rPr>
  </w:style>
  <w:style w:type="character" w:customStyle="1" w:styleId="ListLabel125">
    <w:name w:val="ListLabel 125"/>
    <w:qFormat/>
    <w:rsid w:val="009D4A0E"/>
    <w:rPr>
      <w:rFonts w:eastAsia="Wingdings"/>
    </w:rPr>
  </w:style>
  <w:style w:type="character" w:customStyle="1" w:styleId="ListLabel124">
    <w:name w:val="ListLabel 124"/>
    <w:qFormat/>
    <w:rsid w:val="009D4A0E"/>
    <w:rPr>
      <w:rFonts w:eastAsia="Courier New"/>
    </w:rPr>
  </w:style>
  <w:style w:type="character" w:customStyle="1" w:styleId="ListLabel123">
    <w:name w:val="ListLabel 123"/>
    <w:qFormat/>
    <w:rsid w:val="009D4A0E"/>
    <w:rPr>
      <w:rFonts w:eastAsia="Symbol"/>
    </w:rPr>
  </w:style>
  <w:style w:type="character" w:customStyle="1" w:styleId="ListLabel122">
    <w:name w:val="ListLabel 122"/>
    <w:qFormat/>
    <w:rsid w:val="009D4A0E"/>
    <w:rPr>
      <w:rFonts w:eastAsia="Wingdings"/>
    </w:rPr>
  </w:style>
  <w:style w:type="character" w:customStyle="1" w:styleId="ListLabel121">
    <w:name w:val="ListLabel 121"/>
    <w:qFormat/>
    <w:rsid w:val="009D4A0E"/>
    <w:rPr>
      <w:rFonts w:eastAsia="Courier New"/>
    </w:rPr>
  </w:style>
  <w:style w:type="character" w:customStyle="1" w:styleId="ListLabel120">
    <w:name w:val="ListLabel 120"/>
    <w:qFormat/>
    <w:rsid w:val="009D4A0E"/>
    <w:rPr>
      <w:rFonts w:eastAsia="Symbol"/>
    </w:rPr>
  </w:style>
  <w:style w:type="character" w:customStyle="1" w:styleId="ListLabel119">
    <w:name w:val="ListLabel 119"/>
    <w:qFormat/>
    <w:rsid w:val="009D4A0E"/>
    <w:rPr>
      <w:rFonts w:eastAsia="Wingdings"/>
    </w:rPr>
  </w:style>
  <w:style w:type="character" w:customStyle="1" w:styleId="ListLabel118">
    <w:name w:val="ListLabel 118"/>
    <w:qFormat/>
    <w:rsid w:val="009D4A0E"/>
    <w:rPr>
      <w:rFonts w:eastAsia="Courier New"/>
    </w:rPr>
  </w:style>
  <w:style w:type="character" w:customStyle="1" w:styleId="ListLabel117">
    <w:name w:val="ListLabel 117"/>
    <w:qFormat/>
    <w:rsid w:val="009D4A0E"/>
    <w:rPr>
      <w:rFonts w:eastAsia="Symbol"/>
    </w:rPr>
  </w:style>
  <w:style w:type="character" w:customStyle="1" w:styleId="ListLabel116">
    <w:name w:val="ListLabel 116"/>
    <w:qFormat/>
    <w:rsid w:val="009D4A0E"/>
    <w:rPr>
      <w:rFonts w:eastAsia="Wingdings"/>
    </w:rPr>
  </w:style>
  <w:style w:type="character" w:customStyle="1" w:styleId="ListLabel115">
    <w:name w:val="ListLabel 115"/>
    <w:qFormat/>
    <w:rsid w:val="009D4A0E"/>
    <w:rPr>
      <w:rFonts w:eastAsia="Courier New"/>
    </w:rPr>
  </w:style>
  <w:style w:type="character" w:customStyle="1" w:styleId="ListLabel114">
    <w:name w:val="ListLabel 114"/>
    <w:qFormat/>
    <w:rsid w:val="009D4A0E"/>
    <w:rPr>
      <w:rFonts w:eastAsia="Symbol"/>
    </w:rPr>
  </w:style>
  <w:style w:type="character" w:customStyle="1" w:styleId="ListLabel113">
    <w:name w:val="ListLabel 113"/>
    <w:qFormat/>
    <w:rsid w:val="009D4A0E"/>
    <w:rPr>
      <w:rFonts w:eastAsia="Wingdings"/>
    </w:rPr>
  </w:style>
  <w:style w:type="character" w:customStyle="1" w:styleId="ListLabel112">
    <w:name w:val="ListLabel 112"/>
    <w:qFormat/>
    <w:rsid w:val="009D4A0E"/>
    <w:rPr>
      <w:rFonts w:eastAsia="Courier New"/>
    </w:rPr>
  </w:style>
  <w:style w:type="character" w:customStyle="1" w:styleId="ListLabel111">
    <w:name w:val="ListLabel 111"/>
    <w:qFormat/>
    <w:rsid w:val="009D4A0E"/>
    <w:rPr>
      <w:rFonts w:eastAsia="Symbol"/>
    </w:rPr>
  </w:style>
  <w:style w:type="character" w:customStyle="1" w:styleId="ListLabel110">
    <w:name w:val="ListLabel 110"/>
    <w:qFormat/>
    <w:rsid w:val="009D4A0E"/>
    <w:rPr>
      <w:rFonts w:eastAsia="Wingdings"/>
    </w:rPr>
  </w:style>
  <w:style w:type="character" w:customStyle="1" w:styleId="ListLabel109">
    <w:name w:val="ListLabel 109"/>
    <w:qFormat/>
    <w:rsid w:val="009D4A0E"/>
    <w:rPr>
      <w:rFonts w:eastAsia="Courier New"/>
    </w:rPr>
  </w:style>
  <w:style w:type="character" w:customStyle="1" w:styleId="ListLabel108">
    <w:name w:val="ListLabel 108"/>
    <w:qFormat/>
    <w:rsid w:val="009D4A0E"/>
    <w:rPr>
      <w:rFonts w:eastAsia="Symbol"/>
    </w:rPr>
  </w:style>
  <w:style w:type="character" w:customStyle="1" w:styleId="ListLabel107">
    <w:name w:val="ListLabel 107"/>
    <w:qFormat/>
    <w:rsid w:val="009D4A0E"/>
    <w:rPr>
      <w:rFonts w:eastAsia="Wingdings"/>
    </w:rPr>
  </w:style>
  <w:style w:type="character" w:customStyle="1" w:styleId="ListLabel106">
    <w:name w:val="ListLabel 106"/>
    <w:qFormat/>
    <w:rsid w:val="009D4A0E"/>
    <w:rPr>
      <w:rFonts w:eastAsia="Courier New"/>
    </w:rPr>
  </w:style>
  <w:style w:type="character" w:customStyle="1" w:styleId="ListLabel105">
    <w:name w:val="ListLabel 105"/>
    <w:qFormat/>
    <w:rsid w:val="009D4A0E"/>
    <w:rPr>
      <w:rFonts w:eastAsia="Symbol"/>
    </w:rPr>
  </w:style>
  <w:style w:type="character" w:customStyle="1" w:styleId="ListLabel104">
    <w:name w:val="ListLabel 104"/>
    <w:qFormat/>
    <w:rsid w:val="009D4A0E"/>
    <w:rPr>
      <w:rFonts w:eastAsia="Wingdings"/>
    </w:rPr>
  </w:style>
  <w:style w:type="character" w:customStyle="1" w:styleId="ListLabel103">
    <w:name w:val="ListLabel 103"/>
    <w:qFormat/>
    <w:rsid w:val="009D4A0E"/>
    <w:rPr>
      <w:rFonts w:eastAsia="Courier New"/>
    </w:rPr>
  </w:style>
  <w:style w:type="character" w:customStyle="1" w:styleId="ListLabel102">
    <w:name w:val="ListLabel 102"/>
    <w:qFormat/>
    <w:rsid w:val="009D4A0E"/>
    <w:rPr>
      <w:rFonts w:eastAsia="Symbol"/>
    </w:rPr>
  </w:style>
  <w:style w:type="character" w:customStyle="1" w:styleId="ListLabel101">
    <w:name w:val="ListLabel 101"/>
    <w:qFormat/>
    <w:rsid w:val="009D4A0E"/>
    <w:rPr>
      <w:rFonts w:eastAsia="Wingdings"/>
    </w:rPr>
  </w:style>
  <w:style w:type="character" w:customStyle="1" w:styleId="ListLabel100">
    <w:name w:val="ListLabel 100"/>
    <w:qFormat/>
    <w:rsid w:val="009D4A0E"/>
    <w:rPr>
      <w:rFonts w:eastAsia="Courier New"/>
    </w:rPr>
  </w:style>
  <w:style w:type="character" w:customStyle="1" w:styleId="ListLabel99">
    <w:name w:val="ListLabel 99"/>
    <w:qFormat/>
    <w:rsid w:val="009D4A0E"/>
    <w:rPr>
      <w:rFonts w:eastAsia="Symbol"/>
    </w:rPr>
  </w:style>
  <w:style w:type="character" w:customStyle="1" w:styleId="ListLabel98">
    <w:name w:val="ListLabel 98"/>
    <w:qFormat/>
    <w:rsid w:val="009D4A0E"/>
    <w:rPr>
      <w:rFonts w:eastAsia="Wingdings"/>
    </w:rPr>
  </w:style>
  <w:style w:type="character" w:customStyle="1" w:styleId="ListLabel97">
    <w:name w:val="ListLabel 97"/>
    <w:qFormat/>
    <w:rsid w:val="009D4A0E"/>
    <w:rPr>
      <w:rFonts w:eastAsia="Courier New"/>
    </w:rPr>
  </w:style>
  <w:style w:type="character" w:customStyle="1" w:styleId="ListLabel96">
    <w:name w:val="ListLabel 96"/>
    <w:qFormat/>
    <w:rsid w:val="009D4A0E"/>
    <w:rPr>
      <w:rFonts w:eastAsia="Symbol"/>
    </w:rPr>
  </w:style>
  <w:style w:type="character" w:customStyle="1" w:styleId="ListLabel95">
    <w:name w:val="ListLabel 95"/>
    <w:qFormat/>
    <w:rsid w:val="009D4A0E"/>
    <w:rPr>
      <w:rFonts w:eastAsia="Wingdings"/>
    </w:rPr>
  </w:style>
  <w:style w:type="character" w:customStyle="1" w:styleId="ListLabel94">
    <w:name w:val="ListLabel 94"/>
    <w:qFormat/>
    <w:rsid w:val="009D4A0E"/>
    <w:rPr>
      <w:rFonts w:eastAsia="Courier New"/>
    </w:rPr>
  </w:style>
  <w:style w:type="character" w:customStyle="1" w:styleId="ListLabel93">
    <w:name w:val="ListLabel 93"/>
    <w:qFormat/>
    <w:rsid w:val="009D4A0E"/>
    <w:rPr>
      <w:rFonts w:eastAsia="Symbol"/>
    </w:rPr>
  </w:style>
  <w:style w:type="character" w:customStyle="1" w:styleId="ListLabel92">
    <w:name w:val="ListLabel 92"/>
    <w:qFormat/>
    <w:rsid w:val="009D4A0E"/>
    <w:rPr>
      <w:rFonts w:eastAsia="Wingdings"/>
    </w:rPr>
  </w:style>
  <w:style w:type="character" w:customStyle="1" w:styleId="ListLabel91">
    <w:name w:val="ListLabel 91"/>
    <w:qFormat/>
    <w:rsid w:val="009D4A0E"/>
    <w:rPr>
      <w:rFonts w:eastAsia="Courier New"/>
    </w:rPr>
  </w:style>
  <w:style w:type="character" w:customStyle="1" w:styleId="ListLabel90">
    <w:name w:val="ListLabel 90"/>
    <w:qFormat/>
    <w:rsid w:val="009D4A0E"/>
    <w:rPr>
      <w:rFonts w:eastAsia="Symbol"/>
    </w:rPr>
  </w:style>
  <w:style w:type="character" w:customStyle="1" w:styleId="ListLabel89">
    <w:name w:val="ListLabel 89"/>
    <w:qFormat/>
    <w:rsid w:val="009D4A0E"/>
    <w:rPr>
      <w:rFonts w:eastAsia="Wingdings"/>
    </w:rPr>
  </w:style>
  <w:style w:type="character" w:customStyle="1" w:styleId="ListLabel88">
    <w:name w:val="ListLabel 88"/>
    <w:qFormat/>
    <w:rsid w:val="009D4A0E"/>
    <w:rPr>
      <w:rFonts w:eastAsia="Courier New"/>
    </w:rPr>
  </w:style>
  <w:style w:type="character" w:customStyle="1" w:styleId="ListLabel87">
    <w:name w:val="ListLabel 87"/>
    <w:qFormat/>
    <w:rsid w:val="009D4A0E"/>
    <w:rPr>
      <w:rFonts w:eastAsia="Symbol"/>
    </w:rPr>
  </w:style>
  <w:style w:type="character" w:customStyle="1" w:styleId="ListLabel86">
    <w:name w:val="ListLabel 86"/>
    <w:qFormat/>
    <w:rsid w:val="009D4A0E"/>
    <w:rPr>
      <w:rFonts w:eastAsia="Wingdings"/>
    </w:rPr>
  </w:style>
  <w:style w:type="character" w:customStyle="1" w:styleId="ListLabel85">
    <w:name w:val="ListLabel 85"/>
    <w:qFormat/>
    <w:rsid w:val="009D4A0E"/>
    <w:rPr>
      <w:rFonts w:eastAsia="Courier New"/>
    </w:rPr>
  </w:style>
  <w:style w:type="character" w:customStyle="1" w:styleId="ListLabel84">
    <w:name w:val="ListLabel 84"/>
    <w:qFormat/>
    <w:rsid w:val="009D4A0E"/>
    <w:rPr>
      <w:rFonts w:eastAsia="Symbol"/>
    </w:rPr>
  </w:style>
  <w:style w:type="character" w:customStyle="1" w:styleId="ListLabel83">
    <w:name w:val="ListLabel 83"/>
    <w:qFormat/>
    <w:rsid w:val="009D4A0E"/>
    <w:rPr>
      <w:rFonts w:eastAsia="Wingdings"/>
    </w:rPr>
  </w:style>
  <w:style w:type="character" w:customStyle="1" w:styleId="ListLabel82">
    <w:name w:val="ListLabel 82"/>
    <w:qFormat/>
    <w:rsid w:val="009D4A0E"/>
    <w:rPr>
      <w:rFonts w:eastAsia="Courier New"/>
    </w:rPr>
  </w:style>
  <w:style w:type="character" w:customStyle="1" w:styleId="ListLabel81">
    <w:name w:val="ListLabel 81"/>
    <w:qFormat/>
    <w:rsid w:val="009D4A0E"/>
    <w:rPr>
      <w:rFonts w:eastAsia="Symbol"/>
    </w:rPr>
  </w:style>
  <w:style w:type="character" w:customStyle="1" w:styleId="ListLabel80">
    <w:name w:val="ListLabel 80"/>
    <w:qFormat/>
    <w:rsid w:val="009D4A0E"/>
    <w:rPr>
      <w:rFonts w:eastAsia="Wingdings"/>
    </w:rPr>
  </w:style>
  <w:style w:type="character" w:customStyle="1" w:styleId="ListLabel79">
    <w:name w:val="ListLabel 79"/>
    <w:qFormat/>
    <w:rsid w:val="009D4A0E"/>
    <w:rPr>
      <w:rFonts w:eastAsia="Courier New"/>
    </w:rPr>
  </w:style>
  <w:style w:type="character" w:customStyle="1" w:styleId="ListLabel78">
    <w:name w:val="ListLabel 78"/>
    <w:qFormat/>
    <w:rsid w:val="009D4A0E"/>
    <w:rPr>
      <w:rFonts w:eastAsia="Symbol"/>
    </w:rPr>
  </w:style>
  <w:style w:type="character" w:customStyle="1" w:styleId="ListLabel77">
    <w:name w:val="ListLabel 77"/>
    <w:qFormat/>
    <w:rsid w:val="009D4A0E"/>
    <w:rPr>
      <w:rFonts w:eastAsia="Wingdings"/>
    </w:rPr>
  </w:style>
  <w:style w:type="character" w:customStyle="1" w:styleId="ListLabel76">
    <w:name w:val="ListLabel 76"/>
    <w:qFormat/>
    <w:rsid w:val="009D4A0E"/>
    <w:rPr>
      <w:rFonts w:eastAsia="Courier New"/>
    </w:rPr>
  </w:style>
  <w:style w:type="character" w:customStyle="1" w:styleId="ListLabel75">
    <w:name w:val="ListLabel 75"/>
    <w:qFormat/>
    <w:rsid w:val="009D4A0E"/>
    <w:rPr>
      <w:rFonts w:eastAsia="Symbol"/>
    </w:rPr>
  </w:style>
  <w:style w:type="character" w:customStyle="1" w:styleId="ListLabel74">
    <w:name w:val="ListLabel 74"/>
    <w:qFormat/>
    <w:rsid w:val="009D4A0E"/>
    <w:rPr>
      <w:rFonts w:eastAsia="Wingdings"/>
    </w:rPr>
  </w:style>
  <w:style w:type="character" w:customStyle="1" w:styleId="ListLabel73">
    <w:name w:val="ListLabel 73"/>
    <w:qFormat/>
    <w:rsid w:val="009D4A0E"/>
    <w:rPr>
      <w:rFonts w:eastAsia="Courier New"/>
    </w:rPr>
  </w:style>
  <w:style w:type="character" w:customStyle="1" w:styleId="ListLabel72">
    <w:name w:val="ListLabel 72"/>
    <w:qFormat/>
    <w:rsid w:val="009D4A0E"/>
    <w:rPr>
      <w:rFonts w:eastAsia="Symbol"/>
    </w:rPr>
  </w:style>
  <w:style w:type="character" w:customStyle="1" w:styleId="ListLabel71">
    <w:name w:val="ListLabel 71"/>
    <w:qFormat/>
    <w:rsid w:val="009D4A0E"/>
    <w:rPr>
      <w:rFonts w:eastAsia="Wingdings"/>
    </w:rPr>
  </w:style>
  <w:style w:type="character" w:customStyle="1" w:styleId="ListLabel70">
    <w:name w:val="ListLabel 70"/>
    <w:qFormat/>
    <w:rsid w:val="009D4A0E"/>
    <w:rPr>
      <w:rFonts w:eastAsia="Courier New"/>
    </w:rPr>
  </w:style>
  <w:style w:type="character" w:customStyle="1" w:styleId="ListLabel69">
    <w:name w:val="ListLabel 69"/>
    <w:qFormat/>
    <w:rsid w:val="009D4A0E"/>
    <w:rPr>
      <w:rFonts w:eastAsia="Symbol"/>
    </w:rPr>
  </w:style>
  <w:style w:type="character" w:customStyle="1" w:styleId="ListLabel68">
    <w:name w:val="ListLabel 68"/>
    <w:qFormat/>
    <w:rsid w:val="009D4A0E"/>
    <w:rPr>
      <w:rFonts w:eastAsia="Wingdings"/>
    </w:rPr>
  </w:style>
  <w:style w:type="character" w:customStyle="1" w:styleId="ListLabel67">
    <w:name w:val="ListLabel 67"/>
    <w:qFormat/>
    <w:rsid w:val="009D4A0E"/>
    <w:rPr>
      <w:rFonts w:eastAsia="Courier New"/>
    </w:rPr>
  </w:style>
  <w:style w:type="character" w:customStyle="1" w:styleId="ListLabel66">
    <w:name w:val="ListLabel 66"/>
    <w:qFormat/>
    <w:rsid w:val="009D4A0E"/>
    <w:rPr>
      <w:rFonts w:eastAsia="Symbol"/>
    </w:rPr>
  </w:style>
  <w:style w:type="character" w:customStyle="1" w:styleId="ListLabel65">
    <w:name w:val="ListLabel 65"/>
    <w:qFormat/>
    <w:rsid w:val="009D4A0E"/>
    <w:rPr>
      <w:rFonts w:eastAsia="Wingdings"/>
    </w:rPr>
  </w:style>
  <w:style w:type="character" w:customStyle="1" w:styleId="ListLabel64">
    <w:name w:val="ListLabel 64"/>
    <w:qFormat/>
    <w:rsid w:val="009D4A0E"/>
    <w:rPr>
      <w:rFonts w:eastAsia="Courier New"/>
    </w:rPr>
  </w:style>
  <w:style w:type="character" w:customStyle="1" w:styleId="ListLabel63">
    <w:name w:val="ListLabel 63"/>
    <w:qFormat/>
    <w:rsid w:val="009D4A0E"/>
    <w:rPr>
      <w:rFonts w:eastAsia="Symbol"/>
    </w:rPr>
  </w:style>
  <w:style w:type="character" w:customStyle="1" w:styleId="ListLabel62">
    <w:name w:val="ListLabel 62"/>
    <w:qFormat/>
    <w:rsid w:val="009D4A0E"/>
    <w:rPr>
      <w:rFonts w:eastAsia="Wingdings"/>
    </w:rPr>
  </w:style>
  <w:style w:type="character" w:customStyle="1" w:styleId="ListLabel61">
    <w:name w:val="ListLabel 61"/>
    <w:qFormat/>
    <w:rsid w:val="009D4A0E"/>
    <w:rPr>
      <w:rFonts w:eastAsia="Courier New"/>
    </w:rPr>
  </w:style>
  <w:style w:type="character" w:customStyle="1" w:styleId="ListLabel60">
    <w:name w:val="ListLabel 60"/>
    <w:qFormat/>
    <w:rsid w:val="009D4A0E"/>
    <w:rPr>
      <w:rFonts w:eastAsia="Symbol"/>
    </w:rPr>
  </w:style>
  <w:style w:type="character" w:customStyle="1" w:styleId="ListLabel59">
    <w:name w:val="ListLabel 59"/>
    <w:qFormat/>
    <w:rsid w:val="009D4A0E"/>
    <w:rPr>
      <w:rFonts w:eastAsia="Wingdings"/>
    </w:rPr>
  </w:style>
  <w:style w:type="character" w:customStyle="1" w:styleId="ListLabel58">
    <w:name w:val="ListLabel 58"/>
    <w:qFormat/>
    <w:rsid w:val="009D4A0E"/>
    <w:rPr>
      <w:rFonts w:eastAsia="Courier New"/>
    </w:rPr>
  </w:style>
  <w:style w:type="character" w:customStyle="1" w:styleId="ListLabel57">
    <w:name w:val="ListLabel 57"/>
    <w:qFormat/>
    <w:rsid w:val="009D4A0E"/>
    <w:rPr>
      <w:rFonts w:eastAsia="Symbol"/>
    </w:rPr>
  </w:style>
  <w:style w:type="character" w:customStyle="1" w:styleId="ListLabel56">
    <w:name w:val="ListLabel 56"/>
    <w:qFormat/>
    <w:rsid w:val="009D4A0E"/>
    <w:rPr>
      <w:rFonts w:eastAsia="Wingdings"/>
    </w:rPr>
  </w:style>
  <w:style w:type="character" w:customStyle="1" w:styleId="ListLabel55">
    <w:name w:val="ListLabel 55"/>
    <w:qFormat/>
    <w:rsid w:val="009D4A0E"/>
    <w:rPr>
      <w:rFonts w:eastAsia="Courier New"/>
    </w:rPr>
  </w:style>
  <w:style w:type="character" w:customStyle="1" w:styleId="ListLabel54">
    <w:name w:val="ListLabel 54"/>
    <w:qFormat/>
    <w:rsid w:val="009D4A0E"/>
    <w:rPr>
      <w:rFonts w:eastAsia="Symbol"/>
    </w:rPr>
  </w:style>
  <w:style w:type="character" w:customStyle="1" w:styleId="ListLabel53">
    <w:name w:val="ListLabel 53"/>
    <w:qFormat/>
    <w:rsid w:val="009D4A0E"/>
    <w:rPr>
      <w:rFonts w:eastAsia="Wingdings"/>
    </w:rPr>
  </w:style>
  <w:style w:type="character" w:customStyle="1" w:styleId="ListLabel52">
    <w:name w:val="ListLabel 52"/>
    <w:qFormat/>
    <w:rsid w:val="009D4A0E"/>
    <w:rPr>
      <w:rFonts w:eastAsia="Courier New"/>
    </w:rPr>
  </w:style>
  <w:style w:type="character" w:customStyle="1" w:styleId="ListLabel51">
    <w:name w:val="ListLabel 51"/>
    <w:qFormat/>
    <w:rsid w:val="009D4A0E"/>
    <w:rPr>
      <w:rFonts w:eastAsia="Symbol"/>
    </w:rPr>
  </w:style>
  <w:style w:type="character" w:customStyle="1" w:styleId="ListLabel50">
    <w:name w:val="ListLabel 50"/>
    <w:qFormat/>
    <w:rsid w:val="009D4A0E"/>
    <w:rPr>
      <w:rFonts w:eastAsia="Wingdings"/>
    </w:rPr>
  </w:style>
  <w:style w:type="character" w:customStyle="1" w:styleId="ListLabel49">
    <w:name w:val="ListLabel 49"/>
    <w:qFormat/>
    <w:rsid w:val="009D4A0E"/>
    <w:rPr>
      <w:rFonts w:eastAsia="Courier New"/>
    </w:rPr>
  </w:style>
  <w:style w:type="character" w:customStyle="1" w:styleId="ListLabel48">
    <w:name w:val="ListLabel 48"/>
    <w:qFormat/>
    <w:rsid w:val="009D4A0E"/>
    <w:rPr>
      <w:rFonts w:eastAsia="Symbol"/>
    </w:rPr>
  </w:style>
  <w:style w:type="character" w:customStyle="1" w:styleId="ListLabel47">
    <w:name w:val="ListLabel 47"/>
    <w:qFormat/>
    <w:rsid w:val="009D4A0E"/>
    <w:rPr>
      <w:rFonts w:eastAsia="Wingdings"/>
    </w:rPr>
  </w:style>
  <w:style w:type="character" w:customStyle="1" w:styleId="ListLabel46">
    <w:name w:val="ListLabel 46"/>
    <w:qFormat/>
    <w:rsid w:val="009D4A0E"/>
    <w:rPr>
      <w:rFonts w:eastAsia="Courier New"/>
    </w:rPr>
  </w:style>
  <w:style w:type="character" w:customStyle="1" w:styleId="ListLabel45">
    <w:name w:val="ListLabel 45"/>
    <w:qFormat/>
    <w:rsid w:val="009D4A0E"/>
    <w:rPr>
      <w:rFonts w:eastAsia="Symbol"/>
    </w:rPr>
  </w:style>
  <w:style w:type="character" w:customStyle="1" w:styleId="ListLabel44">
    <w:name w:val="ListLabel 44"/>
    <w:qFormat/>
    <w:rsid w:val="009D4A0E"/>
    <w:rPr>
      <w:rFonts w:eastAsia="Wingdings"/>
    </w:rPr>
  </w:style>
  <w:style w:type="character" w:customStyle="1" w:styleId="ListLabel43">
    <w:name w:val="ListLabel 43"/>
    <w:qFormat/>
    <w:rsid w:val="009D4A0E"/>
    <w:rPr>
      <w:rFonts w:eastAsia="Courier New"/>
    </w:rPr>
  </w:style>
  <w:style w:type="character" w:customStyle="1" w:styleId="ListLabel42">
    <w:name w:val="ListLabel 42"/>
    <w:qFormat/>
    <w:rsid w:val="009D4A0E"/>
    <w:rPr>
      <w:rFonts w:eastAsia="Symbol"/>
    </w:rPr>
  </w:style>
  <w:style w:type="character" w:customStyle="1" w:styleId="ListLabel41">
    <w:name w:val="ListLabel 41"/>
    <w:qFormat/>
    <w:rsid w:val="009D4A0E"/>
    <w:rPr>
      <w:rFonts w:eastAsia="Wingdings"/>
    </w:rPr>
  </w:style>
  <w:style w:type="character" w:customStyle="1" w:styleId="ListLabel40">
    <w:name w:val="ListLabel 40"/>
    <w:qFormat/>
    <w:rsid w:val="009D4A0E"/>
    <w:rPr>
      <w:rFonts w:eastAsia="Courier New"/>
    </w:rPr>
  </w:style>
  <w:style w:type="character" w:customStyle="1" w:styleId="ListLabel39">
    <w:name w:val="ListLabel 39"/>
    <w:qFormat/>
    <w:rsid w:val="009D4A0E"/>
    <w:rPr>
      <w:rFonts w:eastAsia="Symbol"/>
    </w:rPr>
  </w:style>
  <w:style w:type="character" w:customStyle="1" w:styleId="ListLabel38">
    <w:name w:val="ListLabel 38"/>
    <w:qFormat/>
    <w:rsid w:val="009D4A0E"/>
    <w:rPr>
      <w:rFonts w:eastAsia="Courier New"/>
    </w:rPr>
  </w:style>
  <w:style w:type="character" w:customStyle="1" w:styleId="ListLabel37">
    <w:name w:val="ListLabel 37"/>
    <w:qFormat/>
    <w:rsid w:val="009D4A0E"/>
    <w:rPr>
      <w:rFonts w:eastAsia="Courier New"/>
    </w:rPr>
  </w:style>
  <w:style w:type="character" w:customStyle="1" w:styleId="ListLabel36">
    <w:name w:val="ListLabel 36"/>
    <w:qFormat/>
    <w:rsid w:val="009D4A0E"/>
    <w:rPr>
      <w:rFonts w:eastAsia="Courier New"/>
    </w:rPr>
  </w:style>
  <w:style w:type="character" w:customStyle="1" w:styleId="ListLabel35">
    <w:name w:val="ListLabel 35"/>
    <w:qFormat/>
    <w:rsid w:val="009D4A0E"/>
    <w:rPr>
      <w:rFonts w:eastAsia="Courier New"/>
    </w:rPr>
  </w:style>
  <w:style w:type="character" w:customStyle="1" w:styleId="ListLabel34">
    <w:name w:val="ListLabel 34"/>
    <w:qFormat/>
    <w:rsid w:val="009D4A0E"/>
    <w:rPr>
      <w:rFonts w:eastAsia="Courier New"/>
    </w:rPr>
  </w:style>
  <w:style w:type="character" w:customStyle="1" w:styleId="ListLabel33">
    <w:name w:val="ListLabel 33"/>
    <w:qFormat/>
    <w:rsid w:val="009D4A0E"/>
    <w:rPr>
      <w:rFonts w:eastAsia="Courier New"/>
    </w:rPr>
  </w:style>
  <w:style w:type="character" w:customStyle="1" w:styleId="ListLabel32">
    <w:name w:val="ListLabel 32"/>
    <w:qFormat/>
    <w:rsid w:val="009D4A0E"/>
    <w:rPr>
      <w:rFonts w:eastAsia="Courier New"/>
    </w:rPr>
  </w:style>
  <w:style w:type="character" w:customStyle="1" w:styleId="ListLabel31">
    <w:name w:val="ListLabel 31"/>
    <w:qFormat/>
    <w:rsid w:val="009D4A0E"/>
    <w:rPr>
      <w:rFonts w:eastAsia="Courier New"/>
    </w:rPr>
  </w:style>
  <w:style w:type="character" w:customStyle="1" w:styleId="ListLabel30">
    <w:name w:val="ListLabel 30"/>
    <w:qFormat/>
    <w:rsid w:val="009D4A0E"/>
    <w:rPr>
      <w:rFonts w:eastAsia="Courier New"/>
    </w:rPr>
  </w:style>
  <w:style w:type="character" w:customStyle="1" w:styleId="ListLabel29">
    <w:name w:val="ListLabel 29"/>
    <w:qFormat/>
    <w:rsid w:val="009D4A0E"/>
    <w:rPr>
      <w:rFonts w:eastAsia="Courier New"/>
    </w:rPr>
  </w:style>
  <w:style w:type="character" w:customStyle="1" w:styleId="ListLabel28">
    <w:name w:val="ListLabel 28"/>
    <w:qFormat/>
    <w:rsid w:val="009D4A0E"/>
    <w:rPr>
      <w:rFonts w:eastAsia="Courier New"/>
    </w:rPr>
  </w:style>
  <w:style w:type="character" w:customStyle="1" w:styleId="ListLabel27">
    <w:name w:val="ListLabel 27"/>
    <w:qFormat/>
    <w:rsid w:val="009D4A0E"/>
    <w:rPr>
      <w:rFonts w:eastAsia="Courier New"/>
    </w:rPr>
  </w:style>
  <w:style w:type="character" w:customStyle="1" w:styleId="ListLabel26">
    <w:name w:val="ListLabel 26"/>
    <w:qFormat/>
    <w:rsid w:val="009D4A0E"/>
    <w:rPr>
      <w:rFonts w:eastAsia="Wingdings"/>
    </w:rPr>
  </w:style>
  <w:style w:type="character" w:customStyle="1" w:styleId="ListLabel25">
    <w:name w:val="ListLabel 25"/>
    <w:qFormat/>
    <w:rsid w:val="009D4A0E"/>
    <w:rPr>
      <w:rFonts w:eastAsia="Courier New"/>
    </w:rPr>
  </w:style>
  <w:style w:type="character" w:customStyle="1" w:styleId="ListLabel24">
    <w:name w:val="ListLabel 24"/>
    <w:qFormat/>
    <w:rsid w:val="009D4A0E"/>
    <w:rPr>
      <w:rFonts w:eastAsia="Symbol"/>
    </w:rPr>
  </w:style>
  <w:style w:type="character" w:customStyle="1" w:styleId="ListLabel23">
    <w:name w:val="ListLabel 23"/>
    <w:qFormat/>
    <w:rsid w:val="009D4A0E"/>
    <w:rPr>
      <w:rFonts w:eastAsia="Wingdings"/>
    </w:rPr>
  </w:style>
  <w:style w:type="character" w:customStyle="1" w:styleId="ListLabel22">
    <w:name w:val="ListLabel 22"/>
    <w:qFormat/>
    <w:rsid w:val="009D4A0E"/>
    <w:rPr>
      <w:rFonts w:eastAsia="Courier New"/>
    </w:rPr>
  </w:style>
  <w:style w:type="character" w:customStyle="1" w:styleId="ListLabel21">
    <w:name w:val="ListLabel 21"/>
    <w:qFormat/>
    <w:rsid w:val="009D4A0E"/>
    <w:rPr>
      <w:rFonts w:eastAsia="Symbol"/>
    </w:rPr>
  </w:style>
  <w:style w:type="character" w:customStyle="1" w:styleId="ListLabel20">
    <w:name w:val="ListLabel 20"/>
    <w:qFormat/>
    <w:rsid w:val="009D4A0E"/>
    <w:rPr>
      <w:rFonts w:eastAsia="Wingdings"/>
    </w:rPr>
  </w:style>
  <w:style w:type="character" w:customStyle="1" w:styleId="ListLabel19">
    <w:name w:val="ListLabel 19"/>
    <w:qFormat/>
    <w:rsid w:val="009D4A0E"/>
    <w:rPr>
      <w:rFonts w:eastAsia="Courier New"/>
    </w:rPr>
  </w:style>
  <w:style w:type="character" w:customStyle="1" w:styleId="ListLabel18">
    <w:name w:val="ListLabel 18"/>
    <w:qFormat/>
    <w:rsid w:val="009D4A0E"/>
    <w:rPr>
      <w:rFonts w:eastAsia="Arial"/>
    </w:rPr>
  </w:style>
  <w:style w:type="character" w:customStyle="1" w:styleId="ListLabel17">
    <w:name w:val="ListLabel 17"/>
    <w:qFormat/>
    <w:rsid w:val="009D4A0E"/>
    <w:rPr>
      <w:rFonts w:eastAsia="Wingdings"/>
    </w:rPr>
  </w:style>
  <w:style w:type="character" w:customStyle="1" w:styleId="ListLabel16">
    <w:name w:val="ListLabel 16"/>
    <w:qFormat/>
    <w:rsid w:val="009D4A0E"/>
    <w:rPr>
      <w:rFonts w:eastAsia="Courier New"/>
    </w:rPr>
  </w:style>
  <w:style w:type="character" w:customStyle="1" w:styleId="ListLabel15">
    <w:name w:val="ListLabel 15"/>
    <w:qFormat/>
    <w:rsid w:val="009D4A0E"/>
    <w:rPr>
      <w:rFonts w:eastAsia="Symbol"/>
    </w:rPr>
  </w:style>
  <w:style w:type="character" w:customStyle="1" w:styleId="ListLabel14">
    <w:name w:val="ListLabel 14"/>
    <w:qFormat/>
    <w:rsid w:val="009D4A0E"/>
    <w:rPr>
      <w:rFonts w:eastAsia="Wingdings"/>
    </w:rPr>
  </w:style>
  <w:style w:type="character" w:customStyle="1" w:styleId="ListLabel13">
    <w:name w:val="ListLabel 13"/>
    <w:qFormat/>
    <w:rsid w:val="009D4A0E"/>
    <w:rPr>
      <w:rFonts w:eastAsia="Courier New"/>
    </w:rPr>
  </w:style>
  <w:style w:type="character" w:customStyle="1" w:styleId="ListLabel12">
    <w:name w:val="ListLabel 12"/>
    <w:qFormat/>
    <w:rsid w:val="009D4A0E"/>
    <w:rPr>
      <w:rFonts w:eastAsia="Symbol"/>
    </w:rPr>
  </w:style>
  <w:style w:type="character" w:customStyle="1" w:styleId="ListLabel11">
    <w:name w:val="ListLabel 11"/>
    <w:qFormat/>
    <w:rsid w:val="009D4A0E"/>
    <w:rPr>
      <w:rFonts w:eastAsia="Wingdings"/>
    </w:rPr>
  </w:style>
  <w:style w:type="character" w:customStyle="1" w:styleId="ListLabel10">
    <w:name w:val="ListLabel 10"/>
    <w:qFormat/>
    <w:rsid w:val="009D4A0E"/>
    <w:rPr>
      <w:rFonts w:eastAsia="Courier New"/>
    </w:rPr>
  </w:style>
  <w:style w:type="character" w:customStyle="1" w:styleId="ListLabel9">
    <w:name w:val="ListLabel 9"/>
    <w:qFormat/>
    <w:rsid w:val="009D4A0E"/>
    <w:rPr>
      <w:rFonts w:ascii="Arial" w:eastAsia="Arial" w:hAnsi="Arial"/>
    </w:rPr>
  </w:style>
  <w:style w:type="character" w:customStyle="1" w:styleId="EndnoteCharacters">
    <w:name w:val="Endnote Characters"/>
    <w:qFormat/>
    <w:rsid w:val="009D4A0E"/>
  </w:style>
  <w:style w:type="character" w:customStyle="1" w:styleId="EndnoteAnchor">
    <w:name w:val="Endnote Anchor"/>
    <w:qFormat/>
    <w:rsid w:val="009D4A0E"/>
    <w:rPr>
      <w:vertAlign w:val="superscript"/>
    </w:rPr>
  </w:style>
  <w:style w:type="character" w:customStyle="1" w:styleId="ListLabel8">
    <w:name w:val="ListLabel 8"/>
    <w:qFormat/>
    <w:rsid w:val="009D4A0E"/>
    <w:rPr>
      <w:rFonts w:eastAsia="Courier New"/>
    </w:rPr>
  </w:style>
  <w:style w:type="character" w:customStyle="1" w:styleId="ListLabel7">
    <w:name w:val="ListLabel 7"/>
    <w:qFormat/>
    <w:rsid w:val="009D4A0E"/>
    <w:rPr>
      <w:rFonts w:eastAsia="Courier New"/>
    </w:rPr>
  </w:style>
  <w:style w:type="character" w:customStyle="1" w:styleId="ListLabel6">
    <w:name w:val="ListLabel 6"/>
    <w:qFormat/>
    <w:rsid w:val="009D4A0E"/>
    <w:rPr>
      <w:rFonts w:eastAsia="Courier New"/>
    </w:rPr>
  </w:style>
  <w:style w:type="character" w:customStyle="1" w:styleId="ListLabel5">
    <w:name w:val="ListLabel 5"/>
    <w:qFormat/>
    <w:rsid w:val="009D4A0E"/>
    <w:rPr>
      <w:rFonts w:ascii="Arial" w:eastAsia="Arial" w:hAnsi="Arial"/>
    </w:rPr>
  </w:style>
  <w:style w:type="character" w:customStyle="1" w:styleId="ListLabel4">
    <w:name w:val="ListLabel 4"/>
    <w:qFormat/>
    <w:rsid w:val="009D4A0E"/>
    <w:rPr>
      <w:rFonts w:eastAsia="Courier New"/>
    </w:rPr>
  </w:style>
  <w:style w:type="character" w:customStyle="1" w:styleId="ListLabel3">
    <w:name w:val="ListLabel 3"/>
    <w:qFormat/>
    <w:rsid w:val="009D4A0E"/>
    <w:rPr>
      <w:rFonts w:eastAsia="Courier New"/>
    </w:rPr>
  </w:style>
  <w:style w:type="character" w:customStyle="1" w:styleId="ListLabel2">
    <w:name w:val="ListLabel 2"/>
    <w:qFormat/>
    <w:rsid w:val="009D4A0E"/>
    <w:rPr>
      <w:rFonts w:eastAsia="Courier New"/>
    </w:rPr>
  </w:style>
  <w:style w:type="character" w:customStyle="1" w:styleId="ListLabel1">
    <w:name w:val="ListLabel 1"/>
    <w:qFormat/>
    <w:rsid w:val="009D4A0E"/>
    <w:rPr>
      <w:rFonts w:eastAsia="Arial"/>
    </w:rPr>
  </w:style>
  <w:style w:type="character" w:customStyle="1" w:styleId="InternetLink">
    <w:name w:val="Internet Link"/>
    <w:qFormat/>
    <w:rsid w:val="009D4A0E"/>
    <w:rPr>
      <w:rFonts w:eastAsia="Times New Roman"/>
      <w:color w:val="0000FF"/>
      <w:u w:val="single"/>
    </w:rPr>
  </w:style>
  <w:style w:type="character" w:customStyle="1" w:styleId="FootnoteAnchor">
    <w:name w:val="Footnote Anchor"/>
    <w:qFormat/>
    <w:rsid w:val="009D4A0E"/>
    <w:rPr>
      <w:vertAlign w:val="superscript"/>
    </w:rPr>
  </w:style>
  <w:style w:type="character" w:customStyle="1" w:styleId="FootnoteCharacters">
    <w:name w:val="Footnote Characters"/>
    <w:qFormat/>
    <w:rsid w:val="009D4A0E"/>
    <w:rPr>
      <w:vertAlign w:val="superscript"/>
    </w:rPr>
  </w:style>
  <w:style w:type="character" w:customStyle="1" w:styleId="FootnoteTextChar">
    <w:name w:val="Footnote Text Char"/>
    <w:aliases w:val="Fußnotentext arial Char Char Char Char,stile 1 Char,Footnote1 Char,Footnote2 Char,Footnote3 Char,Footnote4 Char,Footnote5 Char,Footnote6 Char,Footnote7 Char,Footnote8 Char,Footnote9 Char,Footnote10 Char,Footnote11 Char,Footnote21 Char"/>
    <w:uiPriority w:val="99"/>
    <w:qFormat/>
    <w:rsid w:val="009D4A0E"/>
    <w:rPr>
      <w:rFonts w:ascii="Times New Roman" w:eastAsia="Times New Roman" w:hAnsi="Times New Roman"/>
      <w:sz w:val="20"/>
      <w:lang w:val="en-GB"/>
    </w:rPr>
  </w:style>
  <w:style w:type="character" w:styleId="PageNumber">
    <w:name w:val="page number"/>
    <w:qFormat/>
    <w:rsid w:val="009D4A0E"/>
  </w:style>
  <w:style w:type="character" w:customStyle="1" w:styleId="ListLabel255">
    <w:name w:val="ListLabel 255"/>
    <w:qFormat/>
    <w:rsid w:val="009D4A0E"/>
    <w:rPr>
      <w:rFonts w:eastAsia="Symbol"/>
    </w:rPr>
  </w:style>
  <w:style w:type="character" w:customStyle="1" w:styleId="ListLabel256">
    <w:name w:val="ListLabel 256"/>
    <w:qFormat/>
    <w:rsid w:val="009D4A0E"/>
    <w:rPr>
      <w:rFonts w:eastAsia="Courier New"/>
    </w:rPr>
  </w:style>
  <w:style w:type="character" w:customStyle="1" w:styleId="ListLabel257">
    <w:name w:val="ListLabel 257"/>
    <w:qFormat/>
    <w:rsid w:val="009D4A0E"/>
    <w:rPr>
      <w:rFonts w:eastAsia="Wingdings"/>
    </w:rPr>
  </w:style>
  <w:style w:type="character" w:customStyle="1" w:styleId="ListLabel258">
    <w:name w:val="ListLabel 258"/>
    <w:qFormat/>
    <w:rsid w:val="009D4A0E"/>
    <w:rPr>
      <w:rFonts w:eastAsia="Symbol"/>
    </w:rPr>
  </w:style>
  <w:style w:type="character" w:customStyle="1" w:styleId="ListLabel259">
    <w:name w:val="ListLabel 259"/>
    <w:qFormat/>
    <w:rsid w:val="009D4A0E"/>
    <w:rPr>
      <w:rFonts w:eastAsia="Courier New"/>
    </w:rPr>
  </w:style>
  <w:style w:type="character" w:customStyle="1" w:styleId="ListLabel260">
    <w:name w:val="ListLabel 260"/>
    <w:qFormat/>
    <w:rsid w:val="009D4A0E"/>
    <w:rPr>
      <w:rFonts w:eastAsia="Wingdings"/>
    </w:rPr>
  </w:style>
  <w:style w:type="character" w:customStyle="1" w:styleId="ListLabel261">
    <w:name w:val="ListLabel 261"/>
    <w:qFormat/>
    <w:rsid w:val="009D4A0E"/>
    <w:rPr>
      <w:rFonts w:eastAsia="Symbol"/>
    </w:rPr>
  </w:style>
  <w:style w:type="character" w:customStyle="1" w:styleId="ListLabel262">
    <w:name w:val="ListLabel 262"/>
    <w:qFormat/>
    <w:rsid w:val="009D4A0E"/>
    <w:rPr>
      <w:rFonts w:eastAsia="Courier New"/>
    </w:rPr>
  </w:style>
  <w:style w:type="character" w:customStyle="1" w:styleId="ListLabel263">
    <w:name w:val="ListLabel 263"/>
    <w:qFormat/>
    <w:rsid w:val="009D4A0E"/>
    <w:rPr>
      <w:rFonts w:eastAsia="Wingdings"/>
    </w:rPr>
  </w:style>
  <w:style w:type="character" w:customStyle="1" w:styleId="ListLabel264">
    <w:name w:val="ListLabel 264"/>
    <w:qFormat/>
    <w:rsid w:val="009D4A0E"/>
    <w:rPr>
      <w:rFonts w:eastAsia="Symbol"/>
    </w:rPr>
  </w:style>
  <w:style w:type="character" w:customStyle="1" w:styleId="ListLabel265">
    <w:name w:val="ListLabel 265"/>
    <w:qFormat/>
    <w:rsid w:val="009D4A0E"/>
    <w:rPr>
      <w:rFonts w:eastAsia="Courier New"/>
    </w:rPr>
  </w:style>
  <w:style w:type="character" w:customStyle="1" w:styleId="ListLabel266">
    <w:name w:val="ListLabel 266"/>
    <w:qFormat/>
    <w:rsid w:val="009D4A0E"/>
    <w:rPr>
      <w:rFonts w:eastAsia="Wingdings"/>
    </w:rPr>
  </w:style>
  <w:style w:type="character" w:customStyle="1" w:styleId="ListLabel267">
    <w:name w:val="ListLabel 267"/>
    <w:qFormat/>
    <w:rsid w:val="009D4A0E"/>
    <w:rPr>
      <w:rFonts w:eastAsia="Symbol"/>
    </w:rPr>
  </w:style>
  <w:style w:type="character" w:customStyle="1" w:styleId="ListLabel268">
    <w:name w:val="ListLabel 268"/>
    <w:qFormat/>
    <w:rsid w:val="009D4A0E"/>
    <w:rPr>
      <w:rFonts w:eastAsia="Courier New"/>
    </w:rPr>
  </w:style>
  <w:style w:type="character" w:customStyle="1" w:styleId="ListLabel269">
    <w:name w:val="ListLabel 269"/>
    <w:qFormat/>
    <w:rsid w:val="009D4A0E"/>
    <w:rPr>
      <w:rFonts w:eastAsia="Wingdings"/>
    </w:rPr>
  </w:style>
  <w:style w:type="character" w:customStyle="1" w:styleId="ListLabel270">
    <w:name w:val="ListLabel 270"/>
    <w:qFormat/>
    <w:rsid w:val="009D4A0E"/>
    <w:rPr>
      <w:rFonts w:eastAsia="Symbol"/>
    </w:rPr>
  </w:style>
  <w:style w:type="character" w:customStyle="1" w:styleId="ListLabel271">
    <w:name w:val="ListLabel 271"/>
    <w:qFormat/>
    <w:rsid w:val="009D4A0E"/>
    <w:rPr>
      <w:rFonts w:eastAsia="Courier New"/>
    </w:rPr>
  </w:style>
  <w:style w:type="character" w:customStyle="1" w:styleId="ListLabel272">
    <w:name w:val="ListLabel 272"/>
    <w:qFormat/>
    <w:rsid w:val="009D4A0E"/>
    <w:rPr>
      <w:rFonts w:eastAsia="Wingdings"/>
    </w:rPr>
  </w:style>
  <w:style w:type="character" w:customStyle="1" w:styleId="ListLabel273">
    <w:name w:val="ListLabel 273"/>
    <w:qFormat/>
    <w:rsid w:val="009D4A0E"/>
    <w:rPr>
      <w:rFonts w:eastAsia="Symbol"/>
    </w:rPr>
  </w:style>
  <w:style w:type="character" w:customStyle="1" w:styleId="ListLabel274">
    <w:name w:val="ListLabel 274"/>
    <w:qFormat/>
    <w:rsid w:val="009D4A0E"/>
    <w:rPr>
      <w:rFonts w:eastAsia="Courier New"/>
    </w:rPr>
  </w:style>
  <w:style w:type="character" w:customStyle="1" w:styleId="ListLabel275">
    <w:name w:val="ListLabel 275"/>
    <w:qFormat/>
    <w:rsid w:val="009D4A0E"/>
    <w:rPr>
      <w:rFonts w:eastAsia="Wingdings"/>
    </w:rPr>
  </w:style>
  <w:style w:type="character" w:customStyle="1" w:styleId="ListLabel276">
    <w:name w:val="ListLabel 276"/>
    <w:qFormat/>
    <w:rsid w:val="009D4A0E"/>
    <w:rPr>
      <w:rFonts w:eastAsia="Symbol"/>
    </w:rPr>
  </w:style>
  <w:style w:type="character" w:customStyle="1" w:styleId="ListLabel277">
    <w:name w:val="ListLabel 277"/>
    <w:qFormat/>
    <w:rsid w:val="009D4A0E"/>
    <w:rPr>
      <w:rFonts w:eastAsia="Courier New"/>
    </w:rPr>
  </w:style>
  <w:style w:type="character" w:customStyle="1" w:styleId="ListLabel278">
    <w:name w:val="ListLabel 278"/>
    <w:qFormat/>
    <w:rsid w:val="009D4A0E"/>
    <w:rPr>
      <w:rFonts w:eastAsia="Wingdings"/>
    </w:rPr>
  </w:style>
  <w:style w:type="character" w:customStyle="1" w:styleId="ListLabel279">
    <w:name w:val="ListLabel 279"/>
    <w:qFormat/>
    <w:rsid w:val="009D4A0E"/>
    <w:rPr>
      <w:rFonts w:eastAsia="Symbol"/>
    </w:rPr>
  </w:style>
  <w:style w:type="character" w:customStyle="1" w:styleId="ListLabel280">
    <w:name w:val="ListLabel 280"/>
    <w:qFormat/>
    <w:rsid w:val="009D4A0E"/>
    <w:rPr>
      <w:rFonts w:eastAsia="Courier New"/>
    </w:rPr>
  </w:style>
  <w:style w:type="character" w:customStyle="1" w:styleId="ListLabel281">
    <w:name w:val="ListLabel 281"/>
    <w:qFormat/>
    <w:rsid w:val="009D4A0E"/>
    <w:rPr>
      <w:rFonts w:eastAsia="Wingdings"/>
    </w:rPr>
  </w:style>
  <w:style w:type="character" w:customStyle="1" w:styleId="ListLabel282">
    <w:name w:val="ListLabel 282"/>
    <w:qFormat/>
    <w:rsid w:val="009D4A0E"/>
    <w:rPr>
      <w:rFonts w:eastAsia="Symbol"/>
    </w:rPr>
  </w:style>
  <w:style w:type="character" w:customStyle="1" w:styleId="ListLabel283">
    <w:name w:val="ListLabel 283"/>
    <w:qFormat/>
    <w:rsid w:val="009D4A0E"/>
    <w:rPr>
      <w:rFonts w:eastAsia="Courier New"/>
    </w:rPr>
  </w:style>
  <w:style w:type="character" w:customStyle="1" w:styleId="ListLabel284">
    <w:name w:val="ListLabel 284"/>
    <w:qFormat/>
    <w:rsid w:val="009D4A0E"/>
    <w:rPr>
      <w:rFonts w:eastAsia="Wingdings"/>
    </w:rPr>
  </w:style>
  <w:style w:type="character" w:customStyle="1" w:styleId="ListLabel285">
    <w:name w:val="ListLabel 285"/>
    <w:qFormat/>
    <w:rsid w:val="009D4A0E"/>
    <w:rPr>
      <w:rFonts w:eastAsia="Symbol"/>
    </w:rPr>
  </w:style>
  <w:style w:type="character" w:customStyle="1" w:styleId="ListLabel286">
    <w:name w:val="ListLabel 286"/>
    <w:qFormat/>
    <w:rsid w:val="009D4A0E"/>
    <w:rPr>
      <w:rFonts w:eastAsia="Courier New"/>
    </w:rPr>
  </w:style>
  <w:style w:type="character" w:customStyle="1" w:styleId="ListLabel287">
    <w:name w:val="ListLabel 287"/>
    <w:qFormat/>
    <w:rsid w:val="009D4A0E"/>
    <w:rPr>
      <w:rFonts w:eastAsia="Wingdings"/>
    </w:rPr>
  </w:style>
  <w:style w:type="character" w:customStyle="1" w:styleId="ListLabel288">
    <w:name w:val="ListLabel 288"/>
    <w:qFormat/>
    <w:rsid w:val="009D4A0E"/>
    <w:rPr>
      <w:rFonts w:eastAsia="Symbol"/>
    </w:rPr>
  </w:style>
  <w:style w:type="character" w:customStyle="1" w:styleId="ListLabel289">
    <w:name w:val="ListLabel 289"/>
    <w:qFormat/>
    <w:rsid w:val="009D4A0E"/>
    <w:rPr>
      <w:rFonts w:eastAsia="Courier New"/>
    </w:rPr>
  </w:style>
  <w:style w:type="character" w:customStyle="1" w:styleId="ListLabel290">
    <w:name w:val="ListLabel 290"/>
    <w:qFormat/>
    <w:rsid w:val="009D4A0E"/>
    <w:rPr>
      <w:rFonts w:eastAsia="Wingdings"/>
    </w:rPr>
  </w:style>
  <w:style w:type="character" w:customStyle="1" w:styleId="WW-EndnoteCharacters">
    <w:name w:val="WW-Endnote Characters"/>
    <w:qFormat/>
    <w:rsid w:val="009D4A0E"/>
  </w:style>
  <w:style w:type="character" w:customStyle="1" w:styleId="WW8Num2z8">
    <w:name w:val="WW8Num2z8"/>
    <w:qFormat/>
    <w:rsid w:val="009D4A0E"/>
  </w:style>
  <w:style w:type="character" w:customStyle="1" w:styleId="WW8Num2z7">
    <w:name w:val="WW8Num2z7"/>
    <w:qFormat/>
    <w:rsid w:val="009D4A0E"/>
  </w:style>
  <w:style w:type="character" w:customStyle="1" w:styleId="WW8Num2z6">
    <w:name w:val="WW8Num2z6"/>
    <w:qFormat/>
    <w:rsid w:val="009D4A0E"/>
  </w:style>
  <w:style w:type="character" w:customStyle="1" w:styleId="WW8Num2z5">
    <w:name w:val="WW8Num2z5"/>
    <w:qFormat/>
    <w:rsid w:val="009D4A0E"/>
  </w:style>
  <w:style w:type="character" w:customStyle="1" w:styleId="WW8Num2z4">
    <w:name w:val="WW8Num2z4"/>
    <w:qFormat/>
    <w:rsid w:val="009D4A0E"/>
  </w:style>
  <w:style w:type="character" w:customStyle="1" w:styleId="WW8Num2z3">
    <w:name w:val="WW8Num2z3"/>
    <w:qFormat/>
    <w:rsid w:val="009D4A0E"/>
  </w:style>
  <w:style w:type="character" w:customStyle="1" w:styleId="WW8Num2z2">
    <w:name w:val="WW8Num2z2"/>
    <w:qFormat/>
    <w:rsid w:val="009D4A0E"/>
  </w:style>
  <w:style w:type="character" w:customStyle="1" w:styleId="WW8Num2z1">
    <w:name w:val="WW8Num2z1"/>
    <w:qFormat/>
    <w:rsid w:val="009D4A0E"/>
  </w:style>
  <w:style w:type="character" w:customStyle="1" w:styleId="WW8Num2z0">
    <w:name w:val="WW8Num2z0"/>
    <w:qFormat/>
    <w:rsid w:val="009D4A0E"/>
  </w:style>
  <w:style w:type="character" w:customStyle="1" w:styleId="WW8Num1z3">
    <w:name w:val="WW8Num1z3"/>
    <w:qFormat/>
    <w:rsid w:val="009D4A0E"/>
    <w:rPr>
      <w:rFonts w:ascii="Symbol" w:eastAsia="Symbol" w:hAnsi="Symbol"/>
    </w:rPr>
  </w:style>
  <w:style w:type="character" w:customStyle="1" w:styleId="WW8Num1z2">
    <w:name w:val="WW8Num1z2"/>
    <w:qFormat/>
    <w:rsid w:val="009D4A0E"/>
    <w:rPr>
      <w:rFonts w:ascii="Wingdings" w:eastAsia="Wingdings" w:hAnsi="Wingdings"/>
    </w:rPr>
  </w:style>
  <w:style w:type="character" w:customStyle="1" w:styleId="WW8Num1z1">
    <w:name w:val="WW8Num1z1"/>
    <w:qFormat/>
    <w:rsid w:val="009D4A0E"/>
    <w:rPr>
      <w:rFonts w:ascii="Courier New" w:eastAsia="Courier New" w:hAnsi="Courier New"/>
    </w:rPr>
  </w:style>
  <w:style w:type="character" w:customStyle="1" w:styleId="WW8Num1z0">
    <w:name w:val="WW8Num1z0"/>
    <w:qFormat/>
    <w:rsid w:val="009D4A0E"/>
    <w:rPr>
      <w:rFonts w:ascii="Arial" w:eastAsia="Arial" w:hAnsi="Arial"/>
      <w:color w:val="00A65D"/>
      <w:highlight w:val="white"/>
    </w:rPr>
  </w:style>
  <w:style w:type="character" w:customStyle="1" w:styleId="ListLabel291">
    <w:name w:val="ListLabel 291"/>
    <w:qFormat/>
    <w:rsid w:val="009D4A0E"/>
    <w:rPr>
      <w:rFonts w:eastAsia="OpenSymbol"/>
    </w:rPr>
  </w:style>
  <w:style w:type="character" w:customStyle="1" w:styleId="ListLabel292">
    <w:name w:val="ListLabel 292"/>
    <w:qFormat/>
    <w:rsid w:val="009D4A0E"/>
    <w:rPr>
      <w:rFonts w:eastAsia="OpenSymbol"/>
    </w:rPr>
  </w:style>
  <w:style w:type="character" w:customStyle="1" w:styleId="ListLabel293">
    <w:name w:val="ListLabel 293"/>
    <w:qFormat/>
    <w:rsid w:val="009D4A0E"/>
    <w:rPr>
      <w:rFonts w:eastAsia="OpenSymbol"/>
    </w:rPr>
  </w:style>
  <w:style w:type="character" w:customStyle="1" w:styleId="ListLabel294">
    <w:name w:val="ListLabel 294"/>
    <w:qFormat/>
    <w:rsid w:val="009D4A0E"/>
    <w:rPr>
      <w:rFonts w:eastAsia="OpenSymbol"/>
    </w:rPr>
  </w:style>
  <w:style w:type="character" w:customStyle="1" w:styleId="ListLabel295">
    <w:name w:val="ListLabel 295"/>
    <w:qFormat/>
    <w:rsid w:val="009D4A0E"/>
    <w:rPr>
      <w:rFonts w:eastAsia="OpenSymbol"/>
    </w:rPr>
  </w:style>
  <w:style w:type="character" w:customStyle="1" w:styleId="ListLabel296">
    <w:name w:val="ListLabel 296"/>
    <w:qFormat/>
    <w:rsid w:val="009D4A0E"/>
    <w:rPr>
      <w:rFonts w:eastAsia="OpenSymbol"/>
    </w:rPr>
  </w:style>
  <w:style w:type="character" w:customStyle="1" w:styleId="ListLabel297">
    <w:name w:val="ListLabel 297"/>
    <w:qFormat/>
    <w:rsid w:val="009D4A0E"/>
    <w:rPr>
      <w:rFonts w:eastAsia="OpenSymbol"/>
    </w:rPr>
  </w:style>
  <w:style w:type="character" w:customStyle="1" w:styleId="ListLabel298">
    <w:name w:val="ListLabel 298"/>
    <w:qFormat/>
    <w:rsid w:val="009D4A0E"/>
    <w:rPr>
      <w:rFonts w:eastAsia="OpenSymbol"/>
    </w:rPr>
  </w:style>
  <w:style w:type="character" w:customStyle="1" w:styleId="ListLabel299">
    <w:name w:val="ListLabel 299"/>
    <w:qFormat/>
    <w:rsid w:val="009D4A0E"/>
    <w:rPr>
      <w:rFonts w:eastAsia="OpenSymbol"/>
    </w:rPr>
  </w:style>
  <w:style w:type="character" w:customStyle="1" w:styleId="ListLabel300">
    <w:name w:val="ListLabel 300"/>
    <w:qFormat/>
    <w:rsid w:val="009D4A0E"/>
    <w:rPr>
      <w:rFonts w:eastAsia="OpenSymbol"/>
    </w:rPr>
  </w:style>
  <w:style w:type="character" w:customStyle="1" w:styleId="ListLabel301">
    <w:name w:val="ListLabel 301"/>
    <w:qFormat/>
    <w:rsid w:val="009D4A0E"/>
    <w:rPr>
      <w:rFonts w:eastAsia="OpenSymbol"/>
    </w:rPr>
  </w:style>
  <w:style w:type="character" w:customStyle="1" w:styleId="ListLabel302">
    <w:name w:val="ListLabel 302"/>
    <w:qFormat/>
    <w:rsid w:val="009D4A0E"/>
    <w:rPr>
      <w:rFonts w:eastAsia="OpenSymbol"/>
    </w:rPr>
  </w:style>
  <w:style w:type="character" w:customStyle="1" w:styleId="ListLabel303">
    <w:name w:val="ListLabel 303"/>
    <w:qFormat/>
    <w:rsid w:val="009D4A0E"/>
    <w:rPr>
      <w:rFonts w:eastAsia="OpenSymbol"/>
    </w:rPr>
  </w:style>
  <w:style w:type="character" w:customStyle="1" w:styleId="ListLabel304">
    <w:name w:val="ListLabel 304"/>
    <w:qFormat/>
    <w:rsid w:val="009D4A0E"/>
    <w:rPr>
      <w:rFonts w:eastAsia="OpenSymbol"/>
    </w:rPr>
  </w:style>
  <w:style w:type="character" w:customStyle="1" w:styleId="ListLabel305">
    <w:name w:val="ListLabel 305"/>
    <w:qFormat/>
    <w:rsid w:val="009D4A0E"/>
    <w:rPr>
      <w:rFonts w:eastAsia="OpenSymbol"/>
    </w:rPr>
  </w:style>
  <w:style w:type="character" w:customStyle="1" w:styleId="ListLabel306">
    <w:name w:val="ListLabel 306"/>
    <w:qFormat/>
    <w:rsid w:val="009D4A0E"/>
    <w:rPr>
      <w:rFonts w:eastAsia="OpenSymbol"/>
    </w:rPr>
  </w:style>
  <w:style w:type="character" w:customStyle="1" w:styleId="ListLabel307">
    <w:name w:val="ListLabel 307"/>
    <w:qFormat/>
    <w:rsid w:val="009D4A0E"/>
    <w:rPr>
      <w:rFonts w:eastAsia="OpenSymbol"/>
    </w:rPr>
  </w:style>
  <w:style w:type="character" w:customStyle="1" w:styleId="ListLabel308">
    <w:name w:val="ListLabel 308"/>
    <w:qFormat/>
    <w:rsid w:val="009D4A0E"/>
    <w:rPr>
      <w:rFonts w:eastAsia="OpenSymbol"/>
    </w:rPr>
  </w:style>
  <w:style w:type="character" w:customStyle="1" w:styleId="ListLabel309">
    <w:name w:val="ListLabel 309"/>
    <w:qFormat/>
    <w:rsid w:val="009D4A0E"/>
    <w:rPr>
      <w:rFonts w:eastAsia="OpenSymbol"/>
      <w:b w:val="0"/>
    </w:rPr>
  </w:style>
  <w:style w:type="character" w:customStyle="1" w:styleId="ListLabel310">
    <w:name w:val="ListLabel 310"/>
    <w:qFormat/>
    <w:rsid w:val="009D4A0E"/>
    <w:rPr>
      <w:rFonts w:eastAsia="OpenSymbol"/>
    </w:rPr>
  </w:style>
  <w:style w:type="character" w:customStyle="1" w:styleId="ListLabel311">
    <w:name w:val="ListLabel 311"/>
    <w:qFormat/>
    <w:rsid w:val="009D4A0E"/>
    <w:rPr>
      <w:rFonts w:eastAsia="OpenSymbol"/>
    </w:rPr>
  </w:style>
  <w:style w:type="character" w:customStyle="1" w:styleId="ListLabel312">
    <w:name w:val="ListLabel 312"/>
    <w:qFormat/>
    <w:rsid w:val="009D4A0E"/>
    <w:rPr>
      <w:rFonts w:eastAsia="OpenSymbol"/>
    </w:rPr>
  </w:style>
  <w:style w:type="character" w:customStyle="1" w:styleId="ListLabel313">
    <w:name w:val="ListLabel 313"/>
    <w:qFormat/>
    <w:rsid w:val="009D4A0E"/>
    <w:rPr>
      <w:rFonts w:eastAsia="OpenSymbol"/>
    </w:rPr>
  </w:style>
  <w:style w:type="character" w:customStyle="1" w:styleId="ListLabel314">
    <w:name w:val="ListLabel 314"/>
    <w:qFormat/>
    <w:rsid w:val="009D4A0E"/>
    <w:rPr>
      <w:rFonts w:eastAsia="OpenSymbol"/>
    </w:rPr>
  </w:style>
  <w:style w:type="character" w:customStyle="1" w:styleId="ListLabel315">
    <w:name w:val="ListLabel 315"/>
    <w:qFormat/>
    <w:rsid w:val="009D4A0E"/>
    <w:rPr>
      <w:rFonts w:eastAsia="OpenSymbol"/>
    </w:rPr>
  </w:style>
  <w:style w:type="character" w:customStyle="1" w:styleId="ListLabel316">
    <w:name w:val="ListLabel 316"/>
    <w:qFormat/>
    <w:rsid w:val="009D4A0E"/>
    <w:rPr>
      <w:rFonts w:eastAsia="OpenSymbol"/>
    </w:rPr>
  </w:style>
  <w:style w:type="character" w:customStyle="1" w:styleId="ListLabel317">
    <w:name w:val="ListLabel 317"/>
    <w:qFormat/>
    <w:rsid w:val="009D4A0E"/>
    <w:rPr>
      <w:rFonts w:eastAsia="OpenSymbol"/>
    </w:rPr>
  </w:style>
  <w:style w:type="character" w:customStyle="1" w:styleId="ListLabel318">
    <w:name w:val="ListLabel 318"/>
    <w:qFormat/>
    <w:rsid w:val="009D4A0E"/>
    <w:rPr>
      <w:rFonts w:eastAsia="OpenSymbol"/>
    </w:rPr>
  </w:style>
  <w:style w:type="character" w:customStyle="1" w:styleId="ListLabel319">
    <w:name w:val="ListLabel 319"/>
    <w:qFormat/>
    <w:rsid w:val="009D4A0E"/>
    <w:rPr>
      <w:rFonts w:eastAsia="OpenSymbol"/>
    </w:rPr>
  </w:style>
  <w:style w:type="character" w:customStyle="1" w:styleId="ListLabel320">
    <w:name w:val="ListLabel 320"/>
    <w:qFormat/>
    <w:rsid w:val="009D4A0E"/>
    <w:rPr>
      <w:rFonts w:eastAsia="OpenSymbol"/>
    </w:rPr>
  </w:style>
  <w:style w:type="character" w:customStyle="1" w:styleId="ListLabel321">
    <w:name w:val="ListLabel 321"/>
    <w:qFormat/>
    <w:rsid w:val="009D4A0E"/>
    <w:rPr>
      <w:rFonts w:eastAsia="OpenSymbol"/>
    </w:rPr>
  </w:style>
  <w:style w:type="character" w:customStyle="1" w:styleId="ListLabel322">
    <w:name w:val="ListLabel 322"/>
    <w:qFormat/>
    <w:rsid w:val="009D4A0E"/>
    <w:rPr>
      <w:rFonts w:eastAsia="OpenSymbol"/>
    </w:rPr>
  </w:style>
  <w:style w:type="character" w:customStyle="1" w:styleId="ListLabel323">
    <w:name w:val="ListLabel 323"/>
    <w:qFormat/>
    <w:rsid w:val="009D4A0E"/>
    <w:rPr>
      <w:rFonts w:eastAsia="OpenSymbol"/>
    </w:rPr>
  </w:style>
  <w:style w:type="character" w:customStyle="1" w:styleId="ListLabel324">
    <w:name w:val="ListLabel 324"/>
    <w:qFormat/>
    <w:rsid w:val="009D4A0E"/>
    <w:rPr>
      <w:rFonts w:eastAsia="OpenSymbol"/>
    </w:rPr>
  </w:style>
  <w:style w:type="character" w:customStyle="1" w:styleId="ListLabel325">
    <w:name w:val="ListLabel 325"/>
    <w:qFormat/>
    <w:rsid w:val="009D4A0E"/>
    <w:rPr>
      <w:rFonts w:eastAsia="OpenSymbol"/>
    </w:rPr>
  </w:style>
  <w:style w:type="character" w:customStyle="1" w:styleId="ListLabel326">
    <w:name w:val="ListLabel 326"/>
    <w:qFormat/>
    <w:rsid w:val="009D4A0E"/>
    <w:rPr>
      <w:rFonts w:eastAsia="OpenSymbol"/>
    </w:rPr>
  </w:style>
  <w:style w:type="character" w:customStyle="1" w:styleId="ListLabel327">
    <w:name w:val="ListLabel 327"/>
    <w:qFormat/>
    <w:rsid w:val="009D4A0E"/>
    <w:rPr>
      <w:rFonts w:eastAsia="OpenSymbol"/>
    </w:rPr>
  </w:style>
  <w:style w:type="character" w:customStyle="1" w:styleId="ListLabel328">
    <w:name w:val="ListLabel 328"/>
    <w:qFormat/>
    <w:rsid w:val="009D4A0E"/>
    <w:rPr>
      <w:rFonts w:eastAsia="OpenSymbol"/>
    </w:rPr>
  </w:style>
  <w:style w:type="character" w:customStyle="1" w:styleId="ListLabel329">
    <w:name w:val="ListLabel 329"/>
    <w:qFormat/>
    <w:rsid w:val="009D4A0E"/>
    <w:rPr>
      <w:rFonts w:eastAsia="OpenSymbol"/>
    </w:rPr>
  </w:style>
  <w:style w:type="character" w:customStyle="1" w:styleId="ListLabel330">
    <w:name w:val="ListLabel 330"/>
    <w:qFormat/>
    <w:rsid w:val="009D4A0E"/>
    <w:rPr>
      <w:rFonts w:eastAsia="OpenSymbol"/>
    </w:rPr>
  </w:style>
  <w:style w:type="character" w:customStyle="1" w:styleId="ListLabel331">
    <w:name w:val="ListLabel 331"/>
    <w:qFormat/>
    <w:rsid w:val="009D4A0E"/>
    <w:rPr>
      <w:rFonts w:eastAsia="OpenSymbol"/>
    </w:rPr>
  </w:style>
  <w:style w:type="character" w:customStyle="1" w:styleId="ListLabel332">
    <w:name w:val="ListLabel 332"/>
    <w:qFormat/>
    <w:rsid w:val="009D4A0E"/>
    <w:rPr>
      <w:rFonts w:eastAsia="OpenSymbol"/>
    </w:rPr>
  </w:style>
  <w:style w:type="character" w:customStyle="1" w:styleId="ListLabel333">
    <w:name w:val="ListLabel 333"/>
    <w:qFormat/>
    <w:rsid w:val="009D4A0E"/>
    <w:rPr>
      <w:rFonts w:eastAsia="OpenSymbol"/>
    </w:rPr>
  </w:style>
  <w:style w:type="character" w:customStyle="1" w:styleId="ListLabel334">
    <w:name w:val="ListLabel 334"/>
    <w:qFormat/>
    <w:rsid w:val="009D4A0E"/>
    <w:rPr>
      <w:rFonts w:eastAsia="OpenSymbol"/>
    </w:rPr>
  </w:style>
  <w:style w:type="character" w:customStyle="1" w:styleId="ListLabel335">
    <w:name w:val="ListLabel 335"/>
    <w:qFormat/>
    <w:rsid w:val="009D4A0E"/>
    <w:rPr>
      <w:rFonts w:eastAsia="OpenSymbol"/>
    </w:rPr>
  </w:style>
  <w:style w:type="character" w:customStyle="1" w:styleId="ListLabel336">
    <w:name w:val="ListLabel 336"/>
    <w:qFormat/>
    <w:rsid w:val="009D4A0E"/>
    <w:rPr>
      <w:rFonts w:eastAsia="OpenSymbol"/>
    </w:rPr>
  </w:style>
  <w:style w:type="character" w:customStyle="1" w:styleId="ListLabel337">
    <w:name w:val="ListLabel 337"/>
    <w:qFormat/>
    <w:rsid w:val="009D4A0E"/>
    <w:rPr>
      <w:rFonts w:eastAsia="OpenSymbol"/>
    </w:rPr>
  </w:style>
  <w:style w:type="character" w:customStyle="1" w:styleId="ListLabel338">
    <w:name w:val="ListLabel 338"/>
    <w:qFormat/>
    <w:rsid w:val="009D4A0E"/>
    <w:rPr>
      <w:rFonts w:eastAsia="OpenSymbol"/>
    </w:rPr>
  </w:style>
  <w:style w:type="character" w:customStyle="1" w:styleId="ListLabel339">
    <w:name w:val="ListLabel 339"/>
    <w:qFormat/>
    <w:rsid w:val="009D4A0E"/>
    <w:rPr>
      <w:rFonts w:eastAsia="OpenSymbol"/>
    </w:rPr>
  </w:style>
  <w:style w:type="character" w:customStyle="1" w:styleId="ListLabel340">
    <w:name w:val="ListLabel 340"/>
    <w:qFormat/>
    <w:rsid w:val="009D4A0E"/>
    <w:rPr>
      <w:rFonts w:eastAsia="OpenSymbol"/>
    </w:rPr>
  </w:style>
  <w:style w:type="character" w:customStyle="1" w:styleId="ListLabel341">
    <w:name w:val="ListLabel 341"/>
    <w:qFormat/>
    <w:rsid w:val="009D4A0E"/>
    <w:rPr>
      <w:rFonts w:eastAsia="OpenSymbol"/>
    </w:rPr>
  </w:style>
  <w:style w:type="character" w:customStyle="1" w:styleId="ListLabel342">
    <w:name w:val="ListLabel 342"/>
    <w:qFormat/>
    <w:rsid w:val="009D4A0E"/>
    <w:rPr>
      <w:rFonts w:eastAsia="OpenSymbol"/>
    </w:rPr>
  </w:style>
  <w:style w:type="character" w:customStyle="1" w:styleId="ListLabel343">
    <w:name w:val="ListLabel 343"/>
    <w:qFormat/>
    <w:rsid w:val="009D4A0E"/>
    <w:rPr>
      <w:rFonts w:eastAsia="OpenSymbol"/>
    </w:rPr>
  </w:style>
  <w:style w:type="character" w:customStyle="1" w:styleId="ListLabel344">
    <w:name w:val="ListLabel 344"/>
    <w:qFormat/>
    <w:rsid w:val="009D4A0E"/>
    <w:rPr>
      <w:rFonts w:eastAsia="OpenSymbol"/>
    </w:rPr>
  </w:style>
  <w:style w:type="character" w:customStyle="1" w:styleId="ListLabel345">
    <w:name w:val="ListLabel 345"/>
    <w:qFormat/>
    <w:rsid w:val="009D4A0E"/>
    <w:rPr>
      <w:rFonts w:eastAsia="OpenSymbol"/>
      <w:b w:val="0"/>
      <w:sz w:val="24"/>
    </w:rPr>
  </w:style>
  <w:style w:type="character" w:customStyle="1" w:styleId="ListLabel346">
    <w:name w:val="ListLabel 346"/>
    <w:qFormat/>
    <w:rsid w:val="009D4A0E"/>
    <w:rPr>
      <w:rFonts w:eastAsia="OpenSymbol"/>
    </w:rPr>
  </w:style>
  <w:style w:type="character" w:customStyle="1" w:styleId="ListLabel347">
    <w:name w:val="ListLabel 347"/>
    <w:qFormat/>
    <w:rsid w:val="009D4A0E"/>
    <w:rPr>
      <w:rFonts w:eastAsia="OpenSymbol"/>
    </w:rPr>
  </w:style>
  <w:style w:type="character" w:customStyle="1" w:styleId="ListLabel348">
    <w:name w:val="ListLabel 348"/>
    <w:qFormat/>
    <w:rsid w:val="009D4A0E"/>
    <w:rPr>
      <w:rFonts w:eastAsia="OpenSymbol"/>
    </w:rPr>
  </w:style>
  <w:style w:type="character" w:customStyle="1" w:styleId="ListLabel349">
    <w:name w:val="ListLabel 349"/>
    <w:qFormat/>
    <w:rsid w:val="009D4A0E"/>
    <w:rPr>
      <w:rFonts w:eastAsia="OpenSymbol"/>
    </w:rPr>
  </w:style>
  <w:style w:type="character" w:customStyle="1" w:styleId="ListLabel350">
    <w:name w:val="ListLabel 350"/>
    <w:qFormat/>
    <w:rsid w:val="009D4A0E"/>
    <w:rPr>
      <w:rFonts w:eastAsia="OpenSymbol"/>
    </w:rPr>
  </w:style>
  <w:style w:type="character" w:customStyle="1" w:styleId="ListLabel351">
    <w:name w:val="ListLabel 351"/>
    <w:qFormat/>
    <w:rsid w:val="009D4A0E"/>
    <w:rPr>
      <w:rFonts w:eastAsia="OpenSymbol"/>
    </w:rPr>
  </w:style>
  <w:style w:type="character" w:customStyle="1" w:styleId="ListLabel352">
    <w:name w:val="ListLabel 352"/>
    <w:qFormat/>
    <w:rsid w:val="009D4A0E"/>
    <w:rPr>
      <w:rFonts w:eastAsia="OpenSymbol"/>
    </w:rPr>
  </w:style>
  <w:style w:type="character" w:customStyle="1" w:styleId="ListLabel353">
    <w:name w:val="ListLabel 353"/>
    <w:qFormat/>
    <w:rsid w:val="009D4A0E"/>
    <w:rPr>
      <w:rFonts w:eastAsia="OpenSymbol"/>
    </w:rPr>
  </w:style>
  <w:style w:type="character" w:customStyle="1" w:styleId="ListLabel354">
    <w:name w:val="ListLabel 354"/>
    <w:qFormat/>
    <w:rsid w:val="009D4A0E"/>
    <w:rPr>
      <w:rFonts w:eastAsia="OpenSymbol"/>
      <w:b w:val="0"/>
      <w:sz w:val="24"/>
    </w:rPr>
  </w:style>
  <w:style w:type="character" w:customStyle="1" w:styleId="ListLabel355">
    <w:name w:val="ListLabel 355"/>
    <w:qFormat/>
    <w:rsid w:val="009D4A0E"/>
    <w:rPr>
      <w:rFonts w:eastAsia="OpenSymbol"/>
    </w:rPr>
  </w:style>
  <w:style w:type="character" w:customStyle="1" w:styleId="ListLabel356">
    <w:name w:val="ListLabel 356"/>
    <w:qFormat/>
    <w:rsid w:val="009D4A0E"/>
    <w:rPr>
      <w:rFonts w:eastAsia="OpenSymbol"/>
    </w:rPr>
  </w:style>
  <w:style w:type="character" w:customStyle="1" w:styleId="ListLabel357">
    <w:name w:val="ListLabel 357"/>
    <w:qFormat/>
    <w:rsid w:val="009D4A0E"/>
    <w:rPr>
      <w:rFonts w:eastAsia="OpenSymbol"/>
    </w:rPr>
  </w:style>
  <w:style w:type="character" w:customStyle="1" w:styleId="ListLabel358">
    <w:name w:val="ListLabel 358"/>
    <w:qFormat/>
    <w:rsid w:val="009D4A0E"/>
    <w:rPr>
      <w:rFonts w:eastAsia="OpenSymbol"/>
    </w:rPr>
  </w:style>
  <w:style w:type="character" w:customStyle="1" w:styleId="ListLabel359">
    <w:name w:val="ListLabel 359"/>
    <w:qFormat/>
    <w:rsid w:val="009D4A0E"/>
    <w:rPr>
      <w:rFonts w:eastAsia="OpenSymbol"/>
    </w:rPr>
  </w:style>
  <w:style w:type="character" w:customStyle="1" w:styleId="ListLabel360">
    <w:name w:val="ListLabel 360"/>
    <w:qFormat/>
    <w:rsid w:val="009D4A0E"/>
    <w:rPr>
      <w:rFonts w:eastAsia="OpenSymbol"/>
    </w:rPr>
  </w:style>
  <w:style w:type="character" w:customStyle="1" w:styleId="ListLabel361">
    <w:name w:val="ListLabel 361"/>
    <w:qFormat/>
    <w:rsid w:val="009D4A0E"/>
    <w:rPr>
      <w:rFonts w:eastAsia="OpenSymbol"/>
    </w:rPr>
  </w:style>
  <w:style w:type="character" w:customStyle="1" w:styleId="ListLabel362">
    <w:name w:val="ListLabel 362"/>
    <w:qFormat/>
    <w:rsid w:val="009D4A0E"/>
    <w:rPr>
      <w:rFonts w:eastAsia="OpenSymbol"/>
    </w:rPr>
  </w:style>
  <w:style w:type="character" w:customStyle="1" w:styleId="a2">
    <w:name w:val="Акцентиран"/>
    <w:qFormat/>
    <w:rsid w:val="009D4A0E"/>
    <w:rPr>
      <w:i/>
      <w:iCs/>
    </w:rPr>
  </w:style>
  <w:style w:type="character" w:customStyle="1" w:styleId="a3">
    <w:name w:val="Цитат"/>
    <w:qFormat/>
    <w:rsid w:val="009D4A0E"/>
    <w:rPr>
      <w:i/>
      <w:iCs/>
    </w:rPr>
  </w:style>
  <w:style w:type="character" w:customStyle="1" w:styleId="a4">
    <w:name w:val="Котва на бележка под линия"/>
    <w:rsid w:val="009D4A0E"/>
    <w:rPr>
      <w:vertAlign w:val="superscript"/>
    </w:rPr>
  </w:style>
  <w:style w:type="character" w:customStyle="1" w:styleId="CommentSubjectChar">
    <w:name w:val="Comment Subject Char"/>
    <w:uiPriority w:val="99"/>
    <w:qFormat/>
    <w:rsid w:val="009D4A0E"/>
    <w:rPr>
      <w:b/>
    </w:rPr>
  </w:style>
  <w:style w:type="character" w:customStyle="1" w:styleId="CommentTextChar">
    <w:name w:val="Comment Text Char"/>
    <w:uiPriority w:val="99"/>
    <w:qFormat/>
    <w:rsid w:val="009D4A0E"/>
  </w:style>
  <w:style w:type="character" w:styleId="CommentReference">
    <w:name w:val="annotation reference"/>
    <w:qFormat/>
    <w:rsid w:val="009D4A0E"/>
    <w:rPr>
      <w:sz w:val="16"/>
    </w:rPr>
  </w:style>
  <w:style w:type="character" w:customStyle="1" w:styleId="Absatz-Standardschriftart">
    <w:name w:val="Absatz-Standardschriftart"/>
    <w:qFormat/>
    <w:rsid w:val="009D4A0E"/>
  </w:style>
  <w:style w:type="character" w:customStyle="1" w:styleId="WW8Num7z3">
    <w:name w:val="WW8Num7z3"/>
    <w:qFormat/>
    <w:rsid w:val="009D4A0E"/>
    <w:rPr>
      <w:rFonts w:ascii="Symbol" w:eastAsia="Symbol" w:hAnsi="Symbol"/>
    </w:rPr>
  </w:style>
  <w:style w:type="character" w:customStyle="1" w:styleId="WW8Num7z1">
    <w:name w:val="WW8Num7z1"/>
    <w:qFormat/>
    <w:rsid w:val="009D4A0E"/>
    <w:rPr>
      <w:rFonts w:ascii="Courier New" w:eastAsia="Courier New" w:hAnsi="Courier New"/>
    </w:rPr>
  </w:style>
  <w:style w:type="character" w:customStyle="1" w:styleId="WW8Num7z0">
    <w:name w:val="WW8Num7z0"/>
    <w:qFormat/>
    <w:rsid w:val="009D4A0E"/>
    <w:rPr>
      <w:rFonts w:ascii="Wingdings" w:eastAsia="Wingdings" w:hAnsi="Wingdings"/>
    </w:rPr>
  </w:style>
  <w:style w:type="character" w:customStyle="1" w:styleId="WW8Num6z3">
    <w:name w:val="WW8Num6z3"/>
    <w:qFormat/>
    <w:rsid w:val="009D4A0E"/>
    <w:rPr>
      <w:rFonts w:ascii="Symbol" w:eastAsia="Symbol" w:hAnsi="Symbol"/>
    </w:rPr>
  </w:style>
  <w:style w:type="character" w:customStyle="1" w:styleId="WW8Num6z1">
    <w:name w:val="WW8Num6z1"/>
    <w:qFormat/>
    <w:rsid w:val="009D4A0E"/>
    <w:rPr>
      <w:rFonts w:ascii="Courier New" w:eastAsia="Courier New" w:hAnsi="Courier New"/>
    </w:rPr>
  </w:style>
  <w:style w:type="character" w:customStyle="1" w:styleId="WW8Num6z0">
    <w:name w:val="WW8Num6z0"/>
    <w:qFormat/>
    <w:rsid w:val="009D4A0E"/>
    <w:rPr>
      <w:rFonts w:ascii="Wingdings" w:eastAsia="Wingdings" w:hAnsi="Wingdings"/>
    </w:rPr>
  </w:style>
  <w:style w:type="character" w:customStyle="1" w:styleId="WW8Num5z8">
    <w:name w:val="WW8Num5z8"/>
    <w:qFormat/>
    <w:rsid w:val="009D4A0E"/>
  </w:style>
  <w:style w:type="character" w:customStyle="1" w:styleId="WW8Num5z7">
    <w:name w:val="WW8Num5z7"/>
    <w:qFormat/>
    <w:rsid w:val="009D4A0E"/>
  </w:style>
  <w:style w:type="character" w:customStyle="1" w:styleId="WW8Num5z6">
    <w:name w:val="WW8Num5z6"/>
    <w:qFormat/>
    <w:rsid w:val="009D4A0E"/>
  </w:style>
  <w:style w:type="character" w:customStyle="1" w:styleId="WW8Num5z5">
    <w:name w:val="WW8Num5z5"/>
    <w:qFormat/>
    <w:rsid w:val="009D4A0E"/>
  </w:style>
  <w:style w:type="character" w:customStyle="1" w:styleId="WW8Num5z4">
    <w:name w:val="WW8Num5z4"/>
    <w:qFormat/>
    <w:rsid w:val="009D4A0E"/>
  </w:style>
  <w:style w:type="character" w:customStyle="1" w:styleId="WW8Num5z3">
    <w:name w:val="WW8Num5z3"/>
    <w:qFormat/>
    <w:rsid w:val="009D4A0E"/>
  </w:style>
  <w:style w:type="character" w:customStyle="1" w:styleId="WW8Num5z2">
    <w:name w:val="WW8Num5z2"/>
    <w:qFormat/>
    <w:rsid w:val="009D4A0E"/>
  </w:style>
  <w:style w:type="character" w:customStyle="1" w:styleId="WW8Num5z1">
    <w:name w:val="WW8Num5z1"/>
    <w:qFormat/>
    <w:rsid w:val="009D4A0E"/>
  </w:style>
  <w:style w:type="character" w:customStyle="1" w:styleId="WW8Num5z0">
    <w:name w:val="WW8Num5z0"/>
    <w:qFormat/>
    <w:rsid w:val="009D4A0E"/>
  </w:style>
  <w:style w:type="character" w:customStyle="1" w:styleId="WW8Num4z4">
    <w:name w:val="WW8Num4z4"/>
    <w:qFormat/>
    <w:rsid w:val="009D4A0E"/>
    <w:rPr>
      <w:rFonts w:ascii="Courier New" w:eastAsia="Courier New" w:hAnsi="Courier New"/>
    </w:rPr>
  </w:style>
  <w:style w:type="character" w:customStyle="1" w:styleId="WW8Num4z3">
    <w:name w:val="WW8Num4z3"/>
    <w:qFormat/>
    <w:rsid w:val="009D4A0E"/>
    <w:rPr>
      <w:rFonts w:ascii="Symbol" w:eastAsia="Symbol" w:hAnsi="Symbol"/>
    </w:rPr>
  </w:style>
  <w:style w:type="character" w:customStyle="1" w:styleId="WW8Num4z1">
    <w:name w:val="WW8Num4z1"/>
    <w:qFormat/>
    <w:rsid w:val="009D4A0E"/>
    <w:rPr>
      <w:rFonts w:ascii="Times New Roman" w:eastAsia="Times New Roman" w:hAnsi="Times New Roman"/>
    </w:rPr>
  </w:style>
  <w:style w:type="character" w:customStyle="1" w:styleId="WW8Num4z0">
    <w:name w:val="WW8Num4z0"/>
    <w:qFormat/>
    <w:rsid w:val="009D4A0E"/>
    <w:rPr>
      <w:rFonts w:ascii="Wingdings" w:eastAsia="Wingdings" w:hAnsi="Wingdings"/>
    </w:rPr>
  </w:style>
  <w:style w:type="character" w:customStyle="1" w:styleId="WW8Num3z8">
    <w:name w:val="WW8Num3z8"/>
    <w:qFormat/>
    <w:rsid w:val="009D4A0E"/>
  </w:style>
  <w:style w:type="character" w:customStyle="1" w:styleId="WW8Num3z7">
    <w:name w:val="WW8Num3z7"/>
    <w:qFormat/>
    <w:rsid w:val="009D4A0E"/>
  </w:style>
  <w:style w:type="character" w:customStyle="1" w:styleId="WW8Num3z6">
    <w:name w:val="WW8Num3z6"/>
    <w:qFormat/>
    <w:rsid w:val="009D4A0E"/>
  </w:style>
  <w:style w:type="character" w:customStyle="1" w:styleId="WW8Num3z5">
    <w:name w:val="WW8Num3z5"/>
    <w:qFormat/>
    <w:rsid w:val="009D4A0E"/>
  </w:style>
  <w:style w:type="character" w:customStyle="1" w:styleId="WW8Num3z4">
    <w:name w:val="WW8Num3z4"/>
    <w:qFormat/>
    <w:rsid w:val="009D4A0E"/>
  </w:style>
  <w:style w:type="character" w:customStyle="1" w:styleId="WW8Num3z3">
    <w:name w:val="WW8Num3z3"/>
    <w:qFormat/>
    <w:rsid w:val="009D4A0E"/>
  </w:style>
  <w:style w:type="character" w:customStyle="1" w:styleId="WW8Num3z2">
    <w:name w:val="WW8Num3z2"/>
    <w:qFormat/>
    <w:rsid w:val="009D4A0E"/>
  </w:style>
  <w:style w:type="character" w:customStyle="1" w:styleId="WW8Num3z1">
    <w:name w:val="WW8Num3z1"/>
    <w:qFormat/>
    <w:rsid w:val="009D4A0E"/>
  </w:style>
  <w:style w:type="character" w:customStyle="1" w:styleId="WW8Num3z0">
    <w:name w:val="WW8Num3z0"/>
    <w:qFormat/>
    <w:rsid w:val="009D4A0E"/>
  </w:style>
  <w:style w:type="character" w:customStyle="1" w:styleId="a5">
    <w:name w:val="Знаци за бележки под линия"/>
    <w:qFormat/>
    <w:rsid w:val="009D4A0E"/>
  </w:style>
  <w:style w:type="character" w:customStyle="1" w:styleId="WW-">
    <w:name w:val="WW-Знаци за бележки в края"/>
    <w:qFormat/>
    <w:rsid w:val="009D4A0E"/>
  </w:style>
  <w:style w:type="character" w:customStyle="1" w:styleId="WW8Num1z8">
    <w:name w:val="WW8Num1z8"/>
    <w:qFormat/>
    <w:rsid w:val="009D4A0E"/>
  </w:style>
  <w:style w:type="character" w:customStyle="1" w:styleId="WW8Num1z7">
    <w:name w:val="WW8Num1z7"/>
    <w:qFormat/>
    <w:rsid w:val="009D4A0E"/>
  </w:style>
  <w:style w:type="character" w:customStyle="1" w:styleId="WW8Num1z6">
    <w:name w:val="WW8Num1z6"/>
    <w:qFormat/>
    <w:rsid w:val="009D4A0E"/>
  </w:style>
  <w:style w:type="character" w:customStyle="1" w:styleId="WW8Num1z5">
    <w:name w:val="WW8Num1z5"/>
    <w:qFormat/>
    <w:rsid w:val="009D4A0E"/>
  </w:style>
  <w:style w:type="character" w:customStyle="1" w:styleId="WW8Num1z4">
    <w:name w:val="WW8Num1z4"/>
    <w:qFormat/>
    <w:rsid w:val="009D4A0E"/>
  </w:style>
  <w:style w:type="character" w:customStyle="1" w:styleId="a6">
    <w:name w:val="Посетена връзка към Интернет"/>
    <w:rsid w:val="009D4A0E"/>
    <w:rPr>
      <w:color w:val="800000"/>
      <w:u w:val="single"/>
    </w:rPr>
  </w:style>
  <w:style w:type="character" w:styleId="FootnoteReference">
    <w:name w:val="footnote reference"/>
    <w:aliases w:val="ftref Char1,BVI fnr Char2,Footnote symbol Char1,Footnote Char1,Appel note de bas de p Char1,Footnote Reference Number Char1,Footnote Reference_LVL6 Char1,Footnote Reference_LVL61 Char,Footnote Reference_LVL62 Char Char Char Char Char"/>
    <w:link w:val="FootnoteReferenceLVL62CharCharCharChar"/>
    <w:qFormat/>
    <w:rsid w:val="009D4A0E"/>
    <w:rPr>
      <w:vertAlign w:val="superscript"/>
    </w:rPr>
  </w:style>
  <w:style w:type="character" w:styleId="Strong">
    <w:name w:val="Strong"/>
    <w:uiPriority w:val="22"/>
    <w:qFormat/>
    <w:rsid w:val="009D4A0E"/>
    <w:rPr>
      <w:b/>
    </w:rPr>
  </w:style>
  <w:style w:type="character" w:customStyle="1" w:styleId="FontStyle19">
    <w:name w:val="Font Style19"/>
    <w:qFormat/>
    <w:rsid w:val="009D4A0E"/>
    <w:rPr>
      <w:rFonts w:ascii="Times New Roman" w:eastAsia="Times New Roman" w:hAnsi="Times New Roman"/>
      <w:sz w:val="22"/>
    </w:rPr>
  </w:style>
  <w:style w:type="character" w:customStyle="1" w:styleId="FontStyle18">
    <w:name w:val="Font Style18"/>
    <w:uiPriority w:val="99"/>
    <w:qFormat/>
    <w:rsid w:val="009D4A0E"/>
    <w:rPr>
      <w:rFonts w:ascii="Times New Roman" w:eastAsia="Times New Roman" w:hAnsi="Times New Roman"/>
      <w:b/>
      <w:sz w:val="22"/>
    </w:rPr>
  </w:style>
  <w:style w:type="character" w:customStyle="1" w:styleId="HTMLPreformattedChar">
    <w:name w:val="HTML Preformatted Char"/>
    <w:qFormat/>
    <w:rsid w:val="009D4A0E"/>
    <w:rPr>
      <w:rFonts w:ascii="Courier New" w:eastAsia="Courier New" w:hAnsi="Courier New"/>
      <w:sz w:val="20"/>
      <w:lang w:eastAsia="bg-BG"/>
    </w:rPr>
  </w:style>
  <w:style w:type="character" w:customStyle="1" w:styleId="FontStyle11">
    <w:name w:val="Font Style11"/>
    <w:qFormat/>
    <w:rsid w:val="009D4A0E"/>
    <w:rPr>
      <w:rFonts w:ascii="Times New Roman" w:eastAsia="Times New Roman" w:hAnsi="Times New Roman"/>
      <w:sz w:val="18"/>
    </w:rPr>
  </w:style>
  <w:style w:type="character" w:customStyle="1" w:styleId="FontStyle12">
    <w:name w:val="Font Style12"/>
    <w:qFormat/>
    <w:rsid w:val="00425D9F"/>
    <w:rPr>
      <w:rFonts w:ascii="Times New Roman" w:eastAsia="Times New Roman" w:hAnsi="Times New Roman"/>
      <w:i w:val="0"/>
      <w:sz w:val="24"/>
    </w:rPr>
  </w:style>
  <w:style w:type="character" w:customStyle="1" w:styleId="FontStyle14">
    <w:name w:val="Font Style14"/>
    <w:qFormat/>
    <w:rsid w:val="000210AC"/>
    <w:rPr>
      <w:rFonts w:ascii="Times New Roman" w:eastAsia="Times New Roman" w:hAnsi="Times New Roman"/>
      <w:b/>
      <w:sz w:val="24"/>
    </w:rPr>
  </w:style>
  <w:style w:type="character" w:customStyle="1" w:styleId="FontStyle13">
    <w:name w:val="Font Style13"/>
    <w:qFormat/>
    <w:rsid w:val="009D4A0E"/>
    <w:rPr>
      <w:rFonts w:ascii="Times New Roman" w:eastAsia="Times New Roman" w:hAnsi="Times New Roman"/>
      <w:sz w:val="22"/>
    </w:rPr>
  </w:style>
  <w:style w:type="character" w:customStyle="1" w:styleId="Character20style">
    <w:name w:val="Character_20_style"/>
    <w:qFormat/>
    <w:rsid w:val="009D4A0E"/>
  </w:style>
  <w:style w:type="character" w:customStyle="1" w:styleId="a7">
    <w:name w:val="Силно акцентиран"/>
    <w:qFormat/>
    <w:rsid w:val="009D4A0E"/>
    <w:rPr>
      <w:b/>
      <w:bCs/>
    </w:rPr>
  </w:style>
  <w:style w:type="character" w:customStyle="1" w:styleId="a8">
    <w:name w:val="Символи за номериране"/>
    <w:qFormat/>
    <w:rsid w:val="009D4A0E"/>
  </w:style>
  <w:style w:type="character" w:customStyle="1" w:styleId="a9">
    <w:name w:val="Котва на бележка в края"/>
    <w:rsid w:val="009D4A0E"/>
    <w:rPr>
      <w:vertAlign w:val="superscript"/>
    </w:rPr>
  </w:style>
  <w:style w:type="character" w:customStyle="1" w:styleId="aa">
    <w:name w:val="Знаци за бележки в края"/>
    <w:qFormat/>
    <w:rsid w:val="009D4A0E"/>
  </w:style>
  <w:style w:type="paragraph" w:customStyle="1" w:styleId="a">
    <w:name w:val="Заглавие"/>
    <w:basedOn w:val="Normal"/>
    <w:next w:val="BodyText"/>
    <w:qFormat/>
    <w:rsid w:val="009D4A0E"/>
    <w:pPr>
      <w:keepNext/>
      <w:widowControl w:val="0"/>
      <w:spacing w:before="240" w:after="120" w:line="240" w:lineRule="auto"/>
    </w:pPr>
    <w:rPr>
      <w:rFonts w:ascii="Times New Roman" w:eastAsia="Source Han Sans CN Regular" w:hAnsi="Times New Roman" w:cs="Lohit Devanagari"/>
      <w:sz w:val="28"/>
      <w:szCs w:val="28"/>
      <w:lang w:eastAsia="zh-CN" w:bidi="hi-IN"/>
    </w:rPr>
  </w:style>
  <w:style w:type="paragraph" w:styleId="BodyText">
    <w:name w:val="Body Text"/>
    <w:basedOn w:val="Normal"/>
    <w:link w:val="BodyTextChar"/>
    <w:rsid w:val="009D4A0E"/>
    <w:pPr>
      <w:widowControl w:val="0"/>
      <w:spacing w:before="113" w:after="57" w:line="288" w:lineRule="auto"/>
      <w:jc w:val="both"/>
    </w:pPr>
    <w:rPr>
      <w:rFonts w:ascii="Times New Roman" w:eastAsia="Source Han Sans CN Regular" w:hAnsi="Times New Roman" w:cs="Lohit Devanagari"/>
      <w:sz w:val="24"/>
      <w:szCs w:val="24"/>
      <w:lang w:val="bg-BG" w:eastAsia="zh-CN" w:bidi="hi-IN"/>
    </w:rPr>
  </w:style>
  <w:style w:type="character" w:customStyle="1" w:styleId="BodyTextChar">
    <w:name w:val="Body Text Char"/>
    <w:basedOn w:val="DefaultParagraphFont"/>
    <w:link w:val="BodyText"/>
    <w:qFormat/>
    <w:rsid w:val="009D4A0E"/>
    <w:rPr>
      <w:rFonts w:ascii="Times New Roman" w:eastAsia="Source Han Sans CN Regular" w:hAnsi="Times New Roman" w:cs="Lohit Devanagari"/>
      <w:sz w:val="24"/>
      <w:szCs w:val="24"/>
      <w:lang w:val="bg-BG" w:eastAsia="zh-CN" w:bidi="hi-IN"/>
    </w:rPr>
  </w:style>
  <w:style w:type="paragraph" w:styleId="List">
    <w:name w:val="List"/>
    <w:basedOn w:val="BodyText"/>
    <w:rsid w:val="009D4A0E"/>
  </w:style>
  <w:style w:type="paragraph" w:styleId="Caption">
    <w:name w:val="caption"/>
    <w:basedOn w:val="Normal"/>
    <w:qFormat/>
    <w:rsid w:val="00751B5D"/>
    <w:pPr>
      <w:spacing w:before="120" w:after="120" w:line="256" w:lineRule="auto"/>
    </w:pPr>
    <w:rPr>
      <w:rFonts w:ascii="Times New Roman" w:eastAsia="Lohit Devanagari" w:hAnsi="Times New Roman" w:cs="Lohit Devanagari"/>
      <w:color w:val="00000A"/>
      <w:sz w:val="24"/>
      <w:szCs w:val="24"/>
      <w:lang w:val="bg-BG" w:eastAsia="ar-SA" w:bidi="hi-IN"/>
    </w:rPr>
  </w:style>
  <w:style w:type="paragraph" w:customStyle="1" w:styleId="ab">
    <w:name w:val="Указател"/>
    <w:basedOn w:val="Normal"/>
    <w:qFormat/>
    <w:rsid w:val="009D4A0E"/>
    <w:pPr>
      <w:widowControl w:val="0"/>
      <w:suppressLineNumbers/>
      <w:spacing w:after="0" w:line="240" w:lineRule="auto"/>
    </w:pPr>
    <w:rPr>
      <w:rFonts w:ascii="Times New Roman" w:eastAsia="Source Han Sans CN Regular" w:hAnsi="Times New Roman" w:cs="Lohit Devanagari"/>
      <w:sz w:val="24"/>
      <w:szCs w:val="24"/>
      <w:lang w:eastAsia="zh-CN" w:bidi="hi-IN"/>
    </w:rPr>
  </w:style>
  <w:style w:type="paragraph" w:customStyle="1" w:styleId="Quotations">
    <w:name w:val="Quotations"/>
    <w:basedOn w:val="Normal"/>
    <w:qFormat/>
    <w:rsid w:val="009D4A0E"/>
    <w:pPr>
      <w:widowControl w:val="0"/>
      <w:spacing w:after="283" w:line="240" w:lineRule="auto"/>
      <w:ind w:left="567" w:right="567"/>
    </w:pPr>
    <w:rPr>
      <w:rFonts w:ascii="Times New Roman" w:eastAsia="Source Han Sans CN Regular" w:hAnsi="Times New Roman" w:cs="Lohit Devanagari"/>
      <w:sz w:val="24"/>
      <w:szCs w:val="24"/>
      <w:lang w:eastAsia="zh-CN" w:bidi="hi-IN"/>
    </w:rPr>
  </w:style>
  <w:style w:type="paragraph" w:styleId="Title">
    <w:name w:val="Title"/>
    <w:basedOn w:val="a"/>
    <w:next w:val="BodyText"/>
    <w:link w:val="TitleChar"/>
    <w:qFormat/>
    <w:rsid w:val="009D4A0E"/>
    <w:pPr>
      <w:jc w:val="center"/>
    </w:pPr>
    <w:rPr>
      <w:b/>
      <w:bCs/>
      <w:sz w:val="56"/>
      <w:szCs w:val="56"/>
    </w:rPr>
  </w:style>
  <w:style w:type="character" w:customStyle="1" w:styleId="TitleChar">
    <w:name w:val="Title Char"/>
    <w:basedOn w:val="DefaultParagraphFont"/>
    <w:link w:val="Title"/>
    <w:rsid w:val="009D4A0E"/>
    <w:rPr>
      <w:rFonts w:ascii="Times New Roman" w:eastAsia="Source Han Sans CN Regular" w:hAnsi="Times New Roman" w:cs="Lohit Devanagari"/>
      <w:b/>
      <w:bCs/>
      <w:sz w:val="56"/>
      <w:szCs w:val="56"/>
      <w:lang w:val="en-GB" w:eastAsia="zh-CN" w:bidi="hi-IN"/>
    </w:rPr>
  </w:style>
  <w:style w:type="paragraph" w:styleId="Subtitle">
    <w:name w:val="Subtitle"/>
    <w:basedOn w:val="a"/>
    <w:next w:val="BodyText"/>
    <w:link w:val="SubtitleChar"/>
    <w:qFormat/>
    <w:rsid w:val="009D4A0E"/>
    <w:pPr>
      <w:spacing w:before="60"/>
      <w:jc w:val="center"/>
    </w:pPr>
    <w:rPr>
      <w:sz w:val="36"/>
      <w:szCs w:val="36"/>
    </w:rPr>
  </w:style>
  <w:style w:type="character" w:customStyle="1" w:styleId="SubtitleChar">
    <w:name w:val="Subtitle Char"/>
    <w:basedOn w:val="DefaultParagraphFont"/>
    <w:link w:val="Subtitle"/>
    <w:rsid w:val="009D4A0E"/>
    <w:rPr>
      <w:rFonts w:ascii="Times New Roman" w:eastAsia="Source Han Sans CN Regular" w:hAnsi="Times New Roman" w:cs="Lohit Devanagari"/>
      <w:sz w:val="36"/>
      <w:szCs w:val="36"/>
      <w:lang w:val="en-GB" w:eastAsia="zh-CN" w:bidi="hi-IN"/>
    </w:rPr>
  </w:style>
  <w:style w:type="paragraph" w:customStyle="1" w:styleId="-">
    <w:name w:val="Таблица - съдържание"/>
    <w:basedOn w:val="Normal"/>
    <w:qFormat/>
    <w:rsid w:val="009D4A0E"/>
    <w:pPr>
      <w:widowControl w:val="0"/>
      <w:suppressLineNumbers/>
      <w:spacing w:after="0" w:line="240" w:lineRule="auto"/>
    </w:pPr>
    <w:rPr>
      <w:rFonts w:ascii="Times New Roman" w:eastAsia="Source Han Sans CN Regular" w:hAnsi="Times New Roman" w:cs="Lohit Devanagari"/>
      <w:sz w:val="24"/>
      <w:szCs w:val="24"/>
      <w:lang w:eastAsia="zh-CN" w:bidi="hi-IN"/>
    </w:rPr>
  </w:style>
  <w:style w:type="paragraph" w:customStyle="1" w:styleId="-0">
    <w:name w:val="Таблица - заглавие"/>
    <w:basedOn w:val="-"/>
    <w:qFormat/>
    <w:rsid w:val="009D4A0E"/>
    <w:pPr>
      <w:jc w:val="center"/>
    </w:pPr>
    <w:rPr>
      <w:b/>
      <w:bCs/>
    </w:rPr>
  </w:style>
  <w:style w:type="paragraph" w:styleId="BodyTextFirstIndent">
    <w:name w:val="Body Text First Indent"/>
    <w:basedOn w:val="BodyText"/>
    <w:link w:val="BodyTextFirstIndentChar"/>
    <w:rsid w:val="009D4A0E"/>
    <w:pPr>
      <w:ind w:firstLine="283"/>
    </w:pPr>
  </w:style>
  <w:style w:type="character" w:customStyle="1" w:styleId="BodyTextFirstIndentChar">
    <w:name w:val="Body Text First Indent Char"/>
    <w:basedOn w:val="BodyTextChar"/>
    <w:link w:val="BodyTextFirstIndent"/>
    <w:rsid w:val="009D4A0E"/>
    <w:rPr>
      <w:rFonts w:ascii="Times New Roman" w:eastAsia="Source Han Sans CN Regular" w:hAnsi="Times New Roman" w:cs="Lohit Devanagari"/>
      <w:sz w:val="24"/>
      <w:szCs w:val="24"/>
      <w:lang w:val="bg-BG" w:eastAsia="zh-CN" w:bidi="hi-IN"/>
    </w:rPr>
  </w:style>
  <w:style w:type="paragraph" w:styleId="FootnoteText">
    <w:name w:val="footnote text"/>
    <w:aliases w:val="Fußnotentext arial Char Char Char,stile 1,Footnote1,Footnote2,Footnote3,Footnote4,Footnote5,Footnote6,Footnote7,Footnote8,Footnote9,Footnote10,Footnote11,Footnote21,Footnote31,Footnote41,Footnote51,Footnote61,Footnote71 Char Char Char Char"/>
    <w:basedOn w:val="Normal"/>
    <w:link w:val="FootnoteTextChar1"/>
    <w:rsid w:val="009D4A0E"/>
    <w:pPr>
      <w:widowControl w:val="0"/>
      <w:spacing w:after="0" w:line="240" w:lineRule="auto"/>
    </w:pPr>
    <w:rPr>
      <w:rFonts w:ascii="Times New Roman" w:eastAsia="Source Han Sans CN Regular" w:hAnsi="Times New Roman" w:cs="Lohit Devanagari"/>
      <w:sz w:val="24"/>
      <w:szCs w:val="24"/>
      <w:lang w:eastAsia="zh-CN" w:bidi="hi-IN"/>
    </w:rPr>
  </w:style>
  <w:style w:type="character" w:customStyle="1" w:styleId="FootnoteTextChar1">
    <w:name w:val="Footnote Text Char1"/>
    <w:aliases w:val="Fußnotentext arial Char Char Char Char1,stile 1 Char1,Footnote1 Char1,Footnote2 Char1,Footnote3 Char1,Footnote4 Char1,Footnote5 Char1,Footnote6 Char1,Footnote7 Char1,Footnote8 Char1,Footnote9 Char1,Footnote10 Char1,Footnote11 Char1"/>
    <w:basedOn w:val="DefaultParagraphFont"/>
    <w:link w:val="FootnoteText"/>
    <w:rsid w:val="009D4A0E"/>
    <w:rPr>
      <w:rFonts w:ascii="Times New Roman" w:eastAsia="Source Han Sans CN Regular" w:hAnsi="Times New Roman" w:cs="Lohit Devanagari"/>
      <w:sz w:val="24"/>
      <w:szCs w:val="24"/>
      <w:lang w:val="en-GB" w:eastAsia="zh-CN" w:bidi="hi-IN"/>
    </w:rPr>
  </w:style>
  <w:style w:type="paragraph" w:customStyle="1" w:styleId="FrameContents">
    <w:name w:val="Frame Contents"/>
    <w:basedOn w:val="Normal"/>
    <w:qFormat/>
    <w:rsid w:val="009D4A0E"/>
    <w:pPr>
      <w:suppressAutoHyphens/>
      <w:spacing w:after="160" w:line="252" w:lineRule="auto"/>
    </w:pPr>
    <w:rPr>
      <w:rFonts w:ascii="Times New Roman" w:eastAsia="0" w:hAnsi="Times New Roman" w:cs="Lohit Devanagari"/>
      <w:color w:val="000000"/>
      <w:sz w:val="24"/>
      <w:szCs w:val="24"/>
      <w:lang w:val="bg-BG" w:eastAsia="ar-SA" w:bidi="hi-IN"/>
    </w:rPr>
  </w:style>
  <w:style w:type="paragraph" w:customStyle="1" w:styleId="ac">
    <w:name w:val="Фиг."/>
    <w:qFormat/>
    <w:rsid w:val="009D4A0E"/>
    <w:pPr>
      <w:suppressAutoHyphens/>
      <w:spacing w:before="120" w:after="120" w:line="252" w:lineRule="auto"/>
    </w:pPr>
    <w:rPr>
      <w:rFonts w:ascii="Times New Roman" w:eastAsia="Lohit Devanagari" w:hAnsi="Times New Roman" w:cs="Lohit Devanagari"/>
      <w:i/>
      <w:color w:val="000000"/>
      <w:sz w:val="24"/>
      <w:szCs w:val="24"/>
      <w:lang w:val="bg-BG" w:eastAsia="ar-SA" w:bidi="hi-IN"/>
    </w:rPr>
  </w:style>
  <w:style w:type="paragraph" w:customStyle="1" w:styleId="ad">
    <w:name w:val="Таблица"/>
    <w:basedOn w:val="Caption"/>
    <w:qFormat/>
    <w:rsid w:val="009D4A0E"/>
  </w:style>
  <w:style w:type="paragraph" w:customStyle="1" w:styleId="TableContents">
    <w:name w:val="Table Contents"/>
    <w:basedOn w:val="Normal"/>
    <w:qFormat/>
    <w:rsid w:val="009D4A0E"/>
    <w:pPr>
      <w:widowControl w:val="0"/>
      <w:suppressLineNumbers/>
      <w:spacing w:after="0" w:line="240" w:lineRule="auto"/>
    </w:pPr>
    <w:rPr>
      <w:rFonts w:ascii="Times New Roman" w:eastAsia="Source Han Sans CN Regular" w:hAnsi="Times New Roman" w:cs="Lohit Devanagari"/>
      <w:sz w:val="24"/>
      <w:szCs w:val="24"/>
      <w:lang w:eastAsia="zh-CN" w:bidi="hi-IN"/>
    </w:rPr>
  </w:style>
  <w:style w:type="paragraph" w:styleId="CommentText">
    <w:name w:val="annotation text"/>
    <w:basedOn w:val="Normal"/>
    <w:link w:val="CommentTextChar1"/>
    <w:unhideWhenUsed/>
    <w:qFormat/>
    <w:rsid w:val="009D4A0E"/>
    <w:pPr>
      <w:spacing w:line="240" w:lineRule="auto"/>
    </w:pPr>
    <w:rPr>
      <w:sz w:val="20"/>
      <w:szCs w:val="20"/>
    </w:rPr>
  </w:style>
  <w:style w:type="character" w:customStyle="1" w:styleId="CommentTextChar1">
    <w:name w:val="Comment Text Char1"/>
    <w:basedOn w:val="DefaultParagraphFont"/>
    <w:link w:val="CommentText"/>
    <w:uiPriority w:val="99"/>
    <w:rsid w:val="009D4A0E"/>
    <w:rPr>
      <w:sz w:val="20"/>
      <w:szCs w:val="20"/>
      <w:lang w:val="en-GB"/>
    </w:rPr>
  </w:style>
  <w:style w:type="paragraph" w:styleId="CommentSubject">
    <w:name w:val="annotation subject"/>
    <w:link w:val="CommentSubjectChar1"/>
    <w:qFormat/>
    <w:rsid w:val="009D4A0E"/>
    <w:pPr>
      <w:spacing w:after="0" w:line="240" w:lineRule="auto"/>
    </w:pPr>
    <w:rPr>
      <w:rFonts w:ascii="Times New Roman" w:eastAsia="Times New Roman" w:hAnsi="Times New Roman" w:cs="Lohit Devanagari"/>
      <w:b/>
      <w:color w:val="000000"/>
      <w:sz w:val="20"/>
      <w:szCs w:val="24"/>
      <w:lang w:val="bg-BG" w:eastAsia="ar-SA" w:bidi="hi-IN"/>
    </w:rPr>
  </w:style>
  <w:style w:type="character" w:customStyle="1" w:styleId="CommentSubjectChar1">
    <w:name w:val="Comment Subject Char1"/>
    <w:basedOn w:val="CommentTextChar1"/>
    <w:link w:val="CommentSubject"/>
    <w:qFormat/>
    <w:rsid w:val="009D4A0E"/>
    <w:rPr>
      <w:rFonts w:ascii="Times New Roman" w:eastAsia="Times New Roman" w:hAnsi="Times New Roman" w:cs="Lohit Devanagari"/>
      <w:b/>
      <w:color w:val="000000"/>
      <w:sz w:val="20"/>
      <w:szCs w:val="24"/>
      <w:lang w:val="bg-BG" w:eastAsia="ar-SA" w:bidi="hi-IN"/>
    </w:rPr>
  </w:style>
  <w:style w:type="paragraph" w:customStyle="1" w:styleId="ae">
    <w:name w:val="Илюстрация"/>
    <w:basedOn w:val="Caption"/>
    <w:qFormat/>
    <w:rsid w:val="009D4A0E"/>
  </w:style>
  <w:style w:type="paragraph" w:customStyle="1" w:styleId="mcorsiva">
    <w:name w:val="mcorsiva"/>
    <w:basedOn w:val="Normal"/>
    <w:qFormat/>
    <w:rsid w:val="009D4A0E"/>
    <w:pPr>
      <w:spacing w:before="280" w:after="280" w:line="240" w:lineRule="auto"/>
    </w:pPr>
    <w:rPr>
      <w:rFonts w:ascii="Times New Roman" w:eastAsia="Times New Roman" w:hAnsi="Times New Roman" w:cs="Lohit Devanagari"/>
      <w:sz w:val="24"/>
      <w:szCs w:val="24"/>
      <w:lang w:eastAsia="bg-BG" w:bidi="hi-IN"/>
    </w:rPr>
  </w:style>
  <w:style w:type="paragraph" w:customStyle="1" w:styleId="Style3">
    <w:name w:val="Style3"/>
    <w:basedOn w:val="Normal"/>
    <w:uiPriority w:val="99"/>
    <w:qFormat/>
    <w:rsid w:val="009D4A0E"/>
    <w:pPr>
      <w:widowControl w:val="0"/>
      <w:spacing w:after="0" w:line="240" w:lineRule="auto"/>
    </w:pPr>
    <w:rPr>
      <w:rFonts w:ascii="Times New Roman" w:eastAsia="Times New Roman" w:hAnsi="Times New Roman" w:cs="Lohit Devanagari"/>
      <w:sz w:val="24"/>
      <w:szCs w:val="24"/>
      <w:lang w:eastAsia="bg-BG" w:bidi="hi-IN"/>
    </w:rPr>
  </w:style>
  <w:style w:type="paragraph" w:customStyle="1" w:styleId="Style2">
    <w:name w:val="Style2"/>
    <w:basedOn w:val="Normal"/>
    <w:uiPriority w:val="99"/>
    <w:qFormat/>
    <w:rsid w:val="009D4A0E"/>
    <w:pPr>
      <w:widowControl w:val="0"/>
      <w:spacing w:after="0" w:line="274" w:lineRule="exact"/>
      <w:jc w:val="both"/>
    </w:pPr>
    <w:rPr>
      <w:rFonts w:ascii="Times New Roman" w:eastAsia="Times New Roman" w:hAnsi="Times New Roman" w:cs="Lohit Devanagari"/>
      <w:sz w:val="24"/>
      <w:szCs w:val="24"/>
      <w:lang w:eastAsia="bg-BG" w:bidi="hi-IN"/>
    </w:rPr>
  </w:style>
  <w:style w:type="paragraph" w:styleId="HTMLPreformatted">
    <w:name w:val="HTML Preformatted"/>
    <w:basedOn w:val="Normal"/>
    <w:link w:val="HTMLPreformattedChar1"/>
    <w:qFormat/>
    <w:rsid w:val="009D4A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Lohit Devanagari"/>
      <w:sz w:val="20"/>
      <w:szCs w:val="24"/>
      <w:lang w:eastAsia="bg-BG" w:bidi="hi-IN"/>
    </w:rPr>
  </w:style>
  <w:style w:type="character" w:customStyle="1" w:styleId="HTMLPreformattedChar1">
    <w:name w:val="HTML Preformatted Char1"/>
    <w:basedOn w:val="DefaultParagraphFont"/>
    <w:link w:val="HTMLPreformatted"/>
    <w:rsid w:val="009D4A0E"/>
    <w:rPr>
      <w:rFonts w:ascii="Courier New" w:eastAsia="Courier New" w:hAnsi="Courier New" w:cs="Lohit Devanagari"/>
      <w:sz w:val="20"/>
      <w:szCs w:val="24"/>
      <w:lang w:val="en-GB" w:eastAsia="bg-BG" w:bidi="hi-IN"/>
    </w:rPr>
  </w:style>
  <w:style w:type="paragraph" w:customStyle="1" w:styleId="Style1">
    <w:name w:val="Style1"/>
    <w:basedOn w:val="Normal"/>
    <w:link w:val="Style1Char"/>
    <w:qFormat/>
    <w:rsid w:val="009D4A0E"/>
    <w:pPr>
      <w:widowControl w:val="0"/>
      <w:spacing w:after="0" w:line="276" w:lineRule="exact"/>
      <w:jc w:val="both"/>
    </w:pPr>
    <w:rPr>
      <w:rFonts w:ascii="Times New Roman" w:eastAsia="Times New Roman" w:hAnsi="Times New Roman" w:cs="Lohit Devanagari"/>
      <w:sz w:val="24"/>
      <w:szCs w:val="24"/>
      <w:lang w:eastAsia="bg-BG" w:bidi="hi-IN"/>
    </w:rPr>
  </w:style>
  <w:style w:type="paragraph" w:customStyle="1" w:styleId="Style7">
    <w:name w:val="Style7"/>
    <w:basedOn w:val="Normal"/>
    <w:qFormat/>
    <w:rsid w:val="009D4A0E"/>
    <w:pPr>
      <w:widowControl w:val="0"/>
      <w:spacing w:after="0" w:line="240" w:lineRule="auto"/>
      <w:jc w:val="both"/>
    </w:pPr>
    <w:rPr>
      <w:rFonts w:ascii="Times New Roman" w:eastAsia="Times New Roman" w:hAnsi="Times New Roman" w:cs="Lohit Devanagari"/>
      <w:sz w:val="24"/>
      <w:szCs w:val="24"/>
      <w:lang w:eastAsia="bg-BG" w:bidi="hi-IN"/>
    </w:rPr>
  </w:style>
  <w:style w:type="paragraph" w:customStyle="1" w:styleId="Style4">
    <w:name w:val="Style4"/>
    <w:basedOn w:val="Normal"/>
    <w:uiPriority w:val="99"/>
    <w:qFormat/>
    <w:rsid w:val="009D4A0E"/>
    <w:pPr>
      <w:widowControl w:val="0"/>
      <w:spacing w:after="0" w:line="276" w:lineRule="exact"/>
      <w:ind w:firstLine="706"/>
      <w:jc w:val="both"/>
    </w:pPr>
    <w:rPr>
      <w:rFonts w:ascii="Times New Roman" w:eastAsia="Times New Roman" w:hAnsi="Times New Roman" w:cs="Lohit Devanagari"/>
      <w:sz w:val="24"/>
      <w:szCs w:val="24"/>
      <w:lang w:eastAsia="bg-BG" w:bidi="hi-IN"/>
    </w:rPr>
  </w:style>
  <w:style w:type="paragraph" w:styleId="TableofFigures">
    <w:name w:val="table of figures"/>
    <w:basedOn w:val="Caption"/>
    <w:uiPriority w:val="99"/>
    <w:rsid w:val="009D4A0E"/>
  </w:style>
  <w:style w:type="paragraph" w:styleId="TableofAuthorities">
    <w:name w:val="table of authorities"/>
    <w:basedOn w:val="a"/>
    <w:rsid w:val="009D4A0E"/>
  </w:style>
  <w:style w:type="paragraph" w:styleId="List2">
    <w:name w:val="List 2"/>
    <w:basedOn w:val="List"/>
    <w:rsid w:val="009D4A0E"/>
  </w:style>
  <w:style w:type="paragraph" w:styleId="TOC1">
    <w:name w:val="toc 1"/>
    <w:basedOn w:val="ab"/>
    <w:uiPriority w:val="39"/>
    <w:rsid w:val="009D4A0E"/>
  </w:style>
  <w:style w:type="paragraph" w:styleId="ListBullet3">
    <w:name w:val="List Bullet 3"/>
    <w:basedOn w:val="List"/>
    <w:rsid w:val="009D4A0E"/>
  </w:style>
  <w:style w:type="paragraph" w:customStyle="1" w:styleId="2-">
    <w:name w:val="Списък 2 - край"/>
    <w:basedOn w:val="List"/>
    <w:qFormat/>
    <w:rsid w:val="009D4A0E"/>
  </w:style>
  <w:style w:type="paragraph" w:customStyle="1" w:styleId="-1">
    <w:name w:val="Рамка - съдържание"/>
    <w:basedOn w:val="Normal"/>
    <w:qFormat/>
    <w:rsid w:val="009D4A0E"/>
    <w:pPr>
      <w:widowControl w:val="0"/>
      <w:spacing w:after="0" w:line="240" w:lineRule="auto"/>
    </w:pPr>
    <w:rPr>
      <w:rFonts w:ascii="Times New Roman" w:eastAsia="Source Han Sans CN Regular" w:hAnsi="Times New Roman" w:cs="Lohit Devanagari"/>
      <w:sz w:val="24"/>
      <w:szCs w:val="24"/>
      <w:lang w:eastAsia="zh-CN" w:bidi="hi-IN"/>
    </w:rPr>
  </w:style>
  <w:style w:type="numbering" w:customStyle="1" w:styleId="WW8Num7">
    <w:name w:val="WW8Num7"/>
    <w:qFormat/>
    <w:rsid w:val="009D4A0E"/>
  </w:style>
  <w:style w:type="paragraph" w:customStyle="1" w:styleId="CharChar4CharChar">
    <w:name w:val="Char Char4 Знак Знак Char Char Знак Знак"/>
    <w:basedOn w:val="Normal"/>
    <w:rsid w:val="0082227D"/>
    <w:pPr>
      <w:tabs>
        <w:tab w:val="left" w:pos="709"/>
      </w:tabs>
      <w:spacing w:before="120" w:after="0" w:line="240" w:lineRule="auto"/>
      <w:ind w:firstLine="709"/>
      <w:jc w:val="both"/>
    </w:pPr>
    <w:rPr>
      <w:rFonts w:ascii="Tahoma" w:eastAsia="Times New Roman" w:hAnsi="Tahoma" w:cs="Times New Roman"/>
      <w:sz w:val="24"/>
      <w:szCs w:val="24"/>
      <w:lang w:val="pl-PL" w:eastAsia="pl-PL"/>
    </w:rPr>
  </w:style>
  <w:style w:type="paragraph" w:customStyle="1" w:styleId="FootnoteReferenceLVL62CharCharCharChar">
    <w:name w:val="Footnote Reference_LVL62 Char Char Char Char"/>
    <w:basedOn w:val="Normal"/>
    <w:link w:val="FootnoteReference"/>
    <w:rsid w:val="0082227D"/>
    <w:pPr>
      <w:spacing w:after="160" w:line="240" w:lineRule="exact"/>
      <w:jc w:val="both"/>
    </w:pPr>
    <w:rPr>
      <w:vertAlign w:val="superscript"/>
      <w:lang w:val="en-CA"/>
    </w:rPr>
  </w:style>
  <w:style w:type="character" w:customStyle="1" w:styleId="Footnote81CharChar">
    <w:name w:val="Footnote81 Char Char"/>
    <w:semiHidden/>
    <w:rsid w:val="0082227D"/>
    <w:rPr>
      <w:rFonts w:ascii="Verdana" w:hAnsi="Verdana"/>
      <w:sz w:val="24"/>
      <w:szCs w:val="24"/>
      <w:lang w:val="bg-BG" w:eastAsia="bg-BG" w:bidi="ar-SA"/>
    </w:rPr>
  </w:style>
  <w:style w:type="paragraph" w:customStyle="1" w:styleId="FootnoteReferenceLVL62CharCharChar">
    <w:name w:val="Footnote Reference_LVL62 Char Char Char"/>
    <w:basedOn w:val="Normal"/>
    <w:rsid w:val="0082227D"/>
    <w:pPr>
      <w:spacing w:after="160" w:line="240" w:lineRule="exact"/>
      <w:jc w:val="both"/>
    </w:pPr>
    <w:rPr>
      <w:rFonts w:ascii="Verdana" w:eastAsia="Times New Roman" w:hAnsi="Verdana" w:cs="Times New Roman"/>
      <w:sz w:val="24"/>
      <w:szCs w:val="24"/>
      <w:vertAlign w:val="superscript"/>
      <w:lang w:val="bg-BG" w:eastAsia="bg-BG"/>
    </w:rPr>
  </w:style>
  <w:style w:type="paragraph" w:customStyle="1" w:styleId="CharCharCharCharCharCharCharCharCharCharCharCharCharCharChar">
    <w:name w:val="Char Char Char Char Char Char Char Char Char Char Char Char Char Char Char"/>
    <w:basedOn w:val="Normal"/>
    <w:rsid w:val="0082227D"/>
    <w:pPr>
      <w:tabs>
        <w:tab w:val="left" w:pos="709"/>
      </w:tabs>
      <w:spacing w:after="0" w:line="240" w:lineRule="auto"/>
    </w:pPr>
    <w:rPr>
      <w:rFonts w:ascii="Tahoma" w:eastAsia="Times New Roman" w:hAnsi="Tahoma" w:cs="Times New Roman"/>
      <w:sz w:val="24"/>
      <w:szCs w:val="24"/>
      <w:lang w:val="pl-PL" w:eastAsia="pl-PL"/>
    </w:rPr>
  </w:style>
  <w:style w:type="character" w:customStyle="1" w:styleId="NormalWebChar">
    <w:name w:val="Normal (Web) Char"/>
    <w:aliases w:val=" Char Char Char Char Char Char"/>
    <w:link w:val="NormalWeb"/>
    <w:uiPriority w:val="99"/>
    <w:rsid w:val="0082227D"/>
    <w:rPr>
      <w:rFonts w:ascii="Times New Roman" w:eastAsia="Times New Roman" w:hAnsi="Times New Roman" w:cs="Times New Roman"/>
      <w:sz w:val="24"/>
      <w:szCs w:val="24"/>
      <w:lang w:val="en-US"/>
    </w:rPr>
  </w:style>
  <w:style w:type="character" w:customStyle="1" w:styleId="Heading8Char">
    <w:name w:val="Heading 8 Char"/>
    <w:basedOn w:val="DefaultParagraphFont"/>
    <w:link w:val="Heading8"/>
    <w:rsid w:val="00796C2C"/>
    <w:rPr>
      <w:rFonts w:asciiTheme="majorHAnsi" w:eastAsiaTheme="majorEastAsia" w:hAnsiTheme="majorHAnsi" w:cstheme="majorBidi"/>
      <w:smallCaps/>
      <w:color w:val="595959" w:themeColor="text1" w:themeTint="A6"/>
      <w:sz w:val="21"/>
      <w:szCs w:val="21"/>
      <w:lang w:val="bg-BG"/>
    </w:rPr>
  </w:style>
  <w:style w:type="character" w:customStyle="1" w:styleId="Heading9Char">
    <w:name w:val="Heading 9 Char"/>
    <w:basedOn w:val="DefaultParagraphFont"/>
    <w:link w:val="Heading9"/>
    <w:rsid w:val="00796C2C"/>
    <w:rPr>
      <w:rFonts w:asciiTheme="majorHAnsi" w:eastAsiaTheme="majorEastAsia" w:hAnsiTheme="majorHAnsi" w:cstheme="majorBidi"/>
      <w:i/>
      <w:iCs/>
      <w:smallCaps/>
      <w:color w:val="595959" w:themeColor="text1" w:themeTint="A6"/>
      <w:sz w:val="21"/>
      <w:szCs w:val="21"/>
      <w:lang w:val="bg-BG"/>
    </w:rPr>
  </w:style>
  <w:style w:type="paragraph" w:styleId="NoSpacing">
    <w:name w:val="No Spacing"/>
    <w:link w:val="NoSpacingChar"/>
    <w:uiPriority w:val="1"/>
    <w:qFormat/>
    <w:rsid w:val="00796C2C"/>
    <w:pPr>
      <w:spacing w:after="0" w:line="240" w:lineRule="auto"/>
    </w:pPr>
    <w:rPr>
      <w:rFonts w:eastAsiaTheme="minorEastAsia"/>
      <w:sz w:val="21"/>
      <w:szCs w:val="21"/>
      <w:lang w:val="bg-BG"/>
    </w:rPr>
  </w:style>
  <w:style w:type="character" w:styleId="SubtleEmphasis">
    <w:name w:val="Subtle Emphasis"/>
    <w:basedOn w:val="DefaultParagraphFont"/>
    <w:uiPriority w:val="19"/>
    <w:qFormat/>
    <w:rsid w:val="00796C2C"/>
    <w:rPr>
      <w:i/>
      <w:iCs/>
      <w:color w:val="595959" w:themeColor="text1" w:themeTint="A6"/>
    </w:rPr>
  </w:style>
  <w:style w:type="character" w:styleId="Emphasis">
    <w:name w:val="Emphasis"/>
    <w:basedOn w:val="DefaultParagraphFont"/>
    <w:qFormat/>
    <w:rsid w:val="00796C2C"/>
    <w:rPr>
      <w:i/>
      <w:iCs/>
    </w:rPr>
  </w:style>
  <w:style w:type="paragraph" w:customStyle="1" w:styleId="Style10">
    <w:name w:val="Style10"/>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11">
    <w:name w:val="Style11"/>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18">
    <w:name w:val="Style18"/>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19">
    <w:name w:val="Style19"/>
    <w:basedOn w:val="Normal"/>
    <w:uiPriority w:val="99"/>
    <w:rsid w:val="00796C2C"/>
    <w:pPr>
      <w:widowControl w:val="0"/>
      <w:autoSpaceDE w:val="0"/>
      <w:autoSpaceDN w:val="0"/>
      <w:adjustRightInd w:val="0"/>
      <w:spacing w:after="0" w:line="269" w:lineRule="exact"/>
      <w:jc w:val="center"/>
    </w:pPr>
    <w:rPr>
      <w:rFonts w:ascii="Times New Roman" w:eastAsiaTheme="minorEastAsia" w:hAnsi="Times New Roman" w:cs="Times New Roman"/>
      <w:sz w:val="24"/>
      <w:szCs w:val="24"/>
      <w:lang w:val="bg-BG" w:eastAsia="bg-BG"/>
    </w:rPr>
  </w:style>
  <w:style w:type="paragraph" w:customStyle="1" w:styleId="Style21">
    <w:name w:val="Style21"/>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22">
    <w:name w:val="Style22"/>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23">
    <w:name w:val="Style23"/>
    <w:basedOn w:val="Normal"/>
    <w:uiPriority w:val="99"/>
    <w:rsid w:val="00796C2C"/>
    <w:pPr>
      <w:widowControl w:val="0"/>
      <w:autoSpaceDE w:val="0"/>
      <w:autoSpaceDN w:val="0"/>
      <w:adjustRightInd w:val="0"/>
      <w:spacing w:after="0" w:line="211" w:lineRule="exact"/>
      <w:ind w:hanging="1123"/>
    </w:pPr>
    <w:rPr>
      <w:rFonts w:ascii="Times New Roman" w:eastAsiaTheme="minorEastAsia" w:hAnsi="Times New Roman" w:cs="Times New Roman"/>
      <w:sz w:val="24"/>
      <w:szCs w:val="24"/>
      <w:lang w:val="bg-BG" w:eastAsia="bg-BG"/>
    </w:rPr>
  </w:style>
  <w:style w:type="paragraph" w:customStyle="1" w:styleId="Style24">
    <w:name w:val="Style24"/>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25">
    <w:name w:val="Style25"/>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27">
    <w:name w:val="Style27"/>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28">
    <w:name w:val="Style28"/>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30">
    <w:name w:val="Style30"/>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31">
    <w:name w:val="Style31"/>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32">
    <w:name w:val="Style32"/>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33">
    <w:name w:val="Style33"/>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34">
    <w:name w:val="Style34"/>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character" w:customStyle="1" w:styleId="FontStyle39">
    <w:name w:val="Font Style39"/>
    <w:basedOn w:val="DefaultParagraphFont"/>
    <w:uiPriority w:val="99"/>
    <w:rsid w:val="00796C2C"/>
    <w:rPr>
      <w:rFonts w:ascii="Times New Roman" w:hAnsi="Times New Roman" w:cs="Times New Roman"/>
      <w:sz w:val="22"/>
      <w:szCs w:val="22"/>
    </w:rPr>
  </w:style>
  <w:style w:type="character" w:customStyle="1" w:styleId="FontStyle42">
    <w:name w:val="Font Style42"/>
    <w:basedOn w:val="DefaultParagraphFont"/>
    <w:uiPriority w:val="99"/>
    <w:rsid w:val="00796C2C"/>
    <w:rPr>
      <w:rFonts w:ascii="Times New Roman" w:hAnsi="Times New Roman" w:cs="Times New Roman"/>
      <w:b/>
      <w:bCs/>
      <w:sz w:val="16"/>
      <w:szCs w:val="16"/>
    </w:rPr>
  </w:style>
  <w:style w:type="character" w:customStyle="1" w:styleId="FontStyle43">
    <w:name w:val="Font Style43"/>
    <w:basedOn w:val="DefaultParagraphFont"/>
    <w:uiPriority w:val="99"/>
    <w:rsid w:val="00796C2C"/>
    <w:rPr>
      <w:rFonts w:ascii="Times New Roman" w:hAnsi="Times New Roman" w:cs="Times New Roman"/>
      <w:b/>
      <w:bCs/>
      <w:sz w:val="18"/>
      <w:szCs w:val="18"/>
    </w:rPr>
  </w:style>
  <w:style w:type="character" w:customStyle="1" w:styleId="FontStyle44">
    <w:name w:val="Font Style44"/>
    <w:basedOn w:val="DefaultParagraphFont"/>
    <w:uiPriority w:val="99"/>
    <w:rsid w:val="00796C2C"/>
    <w:rPr>
      <w:rFonts w:ascii="Times New Roman" w:hAnsi="Times New Roman" w:cs="Times New Roman"/>
      <w:spacing w:val="10"/>
      <w:sz w:val="12"/>
      <w:szCs w:val="12"/>
    </w:rPr>
  </w:style>
  <w:style w:type="character" w:customStyle="1" w:styleId="FontStyle45">
    <w:name w:val="Font Style45"/>
    <w:basedOn w:val="DefaultParagraphFont"/>
    <w:uiPriority w:val="99"/>
    <w:rsid w:val="00796C2C"/>
    <w:rPr>
      <w:rFonts w:ascii="Times New Roman" w:hAnsi="Times New Roman" w:cs="Times New Roman"/>
      <w:b/>
      <w:bCs/>
      <w:spacing w:val="10"/>
      <w:sz w:val="12"/>
      <w:szCs w:val="12"/>
    </w:rPr>
  </w:style>
  <w:style w:type="character" w:customStyle="1" w:styleId="FontStyle46">
    <w:name w:val="Font Style46"/>
    <w:basedOn w:val="DefaultParagraphFont"/>
    <w:uiPriority w:val="99"/>
    <w:rsid w:val="00796C2C"/>
    <w:rPr>
      <w:rFonts w:ascii="Times New Roman" w:hAnsi="Times New Roman" w:cs="Times New Roman"/>
      <w:b/>
      <w:bCs/>
      <w:sz w:val="14"/>
      <w:szCs w:val="14"/>
    </w:rPr>
  </w:style>
  <w:style w:type="character" w:customStyle="1" w:styleId="FontStyle47">
    <w:name w:val="Font Style47"/>
    <w:basedOn w:val="DefaultParagraphFont"/>
    <w:uiPriority w:val="99"/>
    <w:rsid w:val="00796C2C"/>
    <w:rPr>
      <w:rFonts w:ascii="Times New Roman" w:hAnsi="Times New Roman" w:cs="Times New Roman"/>
      <w:spacing w:val="-20"/>
      <w:sz w:val="16"/>
      <w:szCs w:val="16"/>
    </w:rPr>
  </w:style>
  <w:style w:type="character" w:customStyle="1" w:styleId="FontStyle48">
    <w:name w:val="Font Style48"/>
    <w:basedOn w:val="DefaultParagraphFont"/>
    <w:uiPriority w:val="99"/>
    <w:rsid w:val="00796C2C"/>
    <w:rPr>
      <w:rFonts w:ascii="Times New Roman" w:hAnsi="Times New Roman" w:cs="Times New Roman"/>
      <w:b/>
      <w:bCs/>
      <w:spacing w:val="-10"/>
      <w:sz w:val="16"/>
      <w:szCs w:val="16"/>
    </w:rPr>
  </w:style>
  <w:style w:type="character" w:customStyle="1" w:styleId="FontStyle49">
    <w:name w:val="Font Style49"/>
    <w:basedOn w:val="DefaultParagraphFont"/>
    <w:uiPriority w:val="99"/>
    <w:rsid w:val="00796C2C"/>
    <w:rPr>
      <w:rFonts w:ascii="Consolas" w:hAnsi="Consolas" w:cs="Consolas"/>
      <w:b/>
      <w:bCs/>
      <w:i/>
      <w:iCs/>
      <w:sz w:val="28"/>
      <w:szCs w:val="28"/>
    </w:rPr>
  </w:style>
  <w:style w:type="character" w:customStyle="1" w:styleId="FontStyle50">
    <w:name w:val="Font Style50"/>
    <w:basedOn w:val="DefaultParagraphFont"/>
    <w:uiPriority w:val="99"/>
    <w:rsid w:val="00796C2C"/>
    <w:rPr>
      <w:rFonts w:ascii="Sylfaen" w:hAnsi="Sylfaen" w:cs="Sylfaen"/>
      <w:b/>
      <w:bCs/>
      <w:i/>
      <w:iCs/>
      <w:sz w:val="8"/>
      <w:szCs w:val="8"/>
    </w:rPr>
  </w:style>
  <w:style w:type="character" w:customStyle="1" w:styleId="FontStyle51">
    <w:name w:val="Font Style51"/>
    <w:basedOn w:val="DefaultParagraphFont"/>
    <w:uiPriority w:val="99"/>
    <w:rsid w:val="00796C2C"/>
    <w:rPr>
      <w:rFonts w:ascii="Times New Roman" w:hAnsi="Times New Roman" w:cs="Times New Roman"/>
      <w:sz w:val="14"/>
      <w:szCs w:val="14"/>
    </w:rPr>
  </w:style>
  <w:style w:type="character" w:customStyle="1" w:styleId="FontStyle52">
    <w:name w:val="Font Style52"/>
    <w:basedOn w:val="DefaultParagraphFont"/>
    <w:uiPriority w:val="99"/>
    <w:rsid w:val="00796C2C"/>
    <w:rPr>
      <w:rFonts w:ascii="Franklin Gothic Medium" w:hAnsi="Franklin Gothic Medium" w:cs="Franklin Gothic Medium"/>
      <w:b/>
      <w:bCs/>
      <w:i/>
      <w:iCs/>
      <w:spacing w:val="20"/>
      <w:sz w:val="10"/>
      <w:szCs w:val="10"/>
    </w:rPr>
  </w:style>
  <w:style w:type="character" w:customStyle="1" w:styleId="FontStyle53">
    <w:name w:val="Font Style53"/>
    <w:basedOn w:val="DefaultParagraphFont"/>
    <w:uiPriority w:val="99"/>
    <w:rsid w:val="00796C2C"/>
    <w:rPr>
      <w:rFonts w:ascii="Times New Roman" w:hAnsi="Times New Roman" w:cs="Times New Roman"/>
      <w:b/>
      <w:bCs/>
      <w:i/>
      <w:iCs/>
      <w:spacing w:val="20"/>
      <w:sz w:val="12"/>
      <w:szCs w:val="12"/>
    </w:rPr>
  </w:style>
  <w:style w:type="character" w:customStyle="1" w:styleId="FontStyle54">
    <w:name w:val="Font Style54"/>
    <w:basedOn w:val="DefaultParagraphFont"/>
    <w:uiPriority w:val="99"/>
    <w:rsid w:val="00796C2C"/>
    <w:rPr>
      <w:rFonts w:ascii="Times New Roman" w:hAnsi="Times New Roman" w:cs="Times New Roman"/>
      <w:b/>
      <w:bCs/>
      <w:spacing w:val="20"/>
      <w:sz w:val="14"/>
      <w:szCs w:val="14"/>
    </w:rPr>
  </w:style>
  <w:style w:type="character" w:customStyle="1" w:styleId="FontStyle55">
    <w:name w:val="Font Style55"/>
    <w:basedOn w:val="DefaultParagraphFont"/>
    <w:uiPriority w:val="99"/>
    <w:rsid w:val="00796C2C"/>
    <w:rPr>
      <w:rFonts w:ascii="Tahoma" w:hAnsi="Tahoma" w:cs="Tahoma"/>
      <w:b/>
      <w:bCs/>
      <w:sz w:val="10"/>
      <w:szCs w:val="10"/>
    </w:rPr>
  </w:style>
  <w:style w:type="character" w:customStyle="1" w:styleId="FontStyle56">
    <w:name w:val="Font Style56"/>
    <w:basedOn w:val="DefaultParagraphFont"/>
    <w:uiPriority w:val="99"/>
    <w:rsid w:val="00796C2C"/>
    <w:rPr>
      <w:rFonts w:ascii="Times New Roman" w:hAnsi="Times New Roman" w:cs="Times New Roman"/>
      <w:spacing w:val="10"/>
      <w:sz w:val="12"/>
      <w:szCs w:val="12"/>
    </w:rPr>
  </w:style>
  <w:style w:type="character" w:customStyle="1" w:styleId="FontStyle62">
    <w:name w:val="Font Style62"/>
    <w:basedOn w:val="DefaultParagraphFont"/>
    <w:uiPriority w:val="99"/>
    <w:rsid w:val="00796C2C"/>
    <w:rPr>
      <w:rFonts w:ascii="Times New Roman" w:hAnsi="Times New Roman" w:cs="Times New Roman"/>
      <w:b/>
      <w:bCs/>
      <w:sz w:val="22"/>
      <w:szCs w:val="22"/>
    </w:rPr>
  </w:style>
  <w:style w:type="paragraph" w:customStyle="1" w:styleId="Style8">
    <w:name w:val="Style8"/>
    <w:basedOn w:val="Normal"/>
    <w:uiPriority w:val="99"/>
    <w:rsid w:val="00796C2C"/>
    <w:pPr>
      <w:widowControl w:val="0"/>
      <w:autoSpaceDE w:val="0"/>
      <w:autoSpaceDN w:val="0"/>
      <w:adjustRightInd w:val="0"/>
      <w:spacing w:after="0" w:line="202" w:lineRule="exact"/>
      <w:jc w:val="center"/>
    </w:pPr>
    <w:rPr>
      <w:rFonts w:ascii="Times New Roman" w:eastAsiaTheme="minorEastAsia" w:hAnsi="Times New Roman" w:cs="Times New Roman"/>
      <w:sz w:val="24"/>
      <w:szCs w:val="24"/>
      <w:lang w:val="bg-BG" w:eastAsia="bg-BG"/>
    </w:rPr>
  </w:style>
  <w:style w:type="paragraph" w:customStyle="1" w:styleId="Style15">
    <w:name w:val="Style15"/>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16">
    <w:name w:val="Style16"/>
    <w:basedOn w:val="Normal"/>
    <w:uiPriority w:val="99"/>
    <w:rsid w:val="00796C2C"/>
    <w:pPr>
      <w:widowControl w:val="0"/>
      <w:autoSpaceDE w:val="0"/>
      <w:autoSpaceDN w:val="0"/>
      <w:adjustRightInd w:val="0"/>
      <w:spacing w:after="0" w:line="276" w:lineRule="exact"/>
      <w:jc w:val="center"/>
    </w:pPr>
    <w:rPr>
      <w:rFonts w:ascii="Times New Roman" w:eastAsiaTheme="minorEastAsia" w:hAnsi="Times New Roman" w:cs="Times New Roman"/>
      <w:sz w:val="24"/>
      <w:szCs w:val="24"/>
      <w:lang w:val="bg-BG" w:eastAsia="bg-BG"/>
    </w:rPr>
  </w:style>
  <w:style w:type="paragraph" w:customStyle="1" w:styleId="Style17">
    <w:name w:val="Style17"/>
    <w:basedOn w:val="Normal"/>
    <w:uiPriority w:val="99"/>
    <w:rsid w:val="00796C2C"/>
    <w:pPr>
      <w:widowControl w:val="0"/>
      <w:autoSpaceDE w:val="0"/>
      <w:autoSpaceDN w:val="0"/>
      <w:adjustRightInd w:val="0"/>
      <w:spacing w:after="0" w:line="274" w:lineRule="exact"/>
    </w:pPr>
    <w:rPr>
      <w:rFonts w:ascii="Times New Roman" w:eastAsiaTheme="minorEastAsia" w:hAnsi="Times New Roman" w:cs="Times New Roman"/>
      <w:sz w:val="24"/>
      <w:szCs w:val="24"/>
      <w:lang w:val="bg-BG" w:eastAsia="bg-BG"/>
    </w:rPr>
  </w:style>
  <w:style w:type="paragraph" w:customStyle="1" w:styleId="Style20">
    <w:name w:val="Style20"/>
    <w:basedOn w:val="Normal"/>
    <w:uiPriority w:val="99"/>
    <w:rsid w:val="00796C2C"/>
    <w:pPr>
      <w:widowControl w:val="0"/>
      <w:autoSpaceDE w:val="0"/>
      <w:autoSpaceDN w:val="0"/>
      <w:adjustRightInd w:val="0"/>
      <w:spacing w:after="0" w:line="211" w:lineRule="exact"/>
      <w:ind w:hanging="1066"/>
    </w:pPr>
    <w:rPr>
      <w:rFonts w:ascii="Times New Roman" w:eastAsiaTheme="minorEastAsia" w:hAnsi="Times New Roman" w:cs="Times New Roman"/>
      <w:sz w:val="24"/>
      <w:szCs w:val="24"/>
      <w:lang w:val="bg-BG" w:eastAsia="bg-BG"/>
    </w:rPr>
  </w:style>
  <w:style w:type="paragraph" w:customStyle="1" w:styleId="Style29">
    <w:name w:val="Style29"/>
    <w:basedOn w:val="Normal"/>
    <w:uiPriority w:val="99"/>
    <w:rsid w:val="00796C2C"/>
    <w:pPr>
      <w:widowControl w:val="0"/>
      <w:autoSpaceDE w:val="0"/>
      <w:autoSpaceDN w:val="0"/>
      <w:adjustRightInd w:val="0"/>
      <w:spacing w:after="0" w:line="1661" w:lineRule="exact"/>
      <w:jc w:val="center"/>
    </w:pPr>
    <w:rPr>
      <w:rFonts w:ascii="Times New Roman" w:eastAsiaTheme="minorEastAsia" w:hAnsi="Times New Roman" w:cs="Times New Roman"/>
      <w:sz w:val="24"/>
      <w:szCs w:val="24"/>
      <w:lang w:val="bg-BG" w:eastAsia="bg-BG"/>
    </w:rPr>
  </w:style>
  <w:style w:type="character" w:customStyle="1" w:styleId="FontStyle38">
    <w:name w:val="Font Style38"/>
    <w:basedOn w:val="DefaultParagraphFont"/>
    <w:uiPriority w:val="99"/>
    <w:rsid w:val="00796C2C"/>
    <w:rPr>
      <w:rFonts w:ascii="Times New Roman" w:hAnsi="Times New Roman" w:cs="Times New Roman"/>
      <w:b/>
      <w:bCs/>
      <w:sz w:val="22"/>
      <w:szCs w:val="22"/>
    </w:rPr>
  </w:style>
  <w:style w:type="character" w:customStyle="1" w:styleId="FontStyle40">
    <w:name w:val="Font Style40"/>
    <w:basedOn w:val="DefaultParagraphFont"/>
    <w:uiPriority w:val="99"/>
    <w:rsid w:val="00796C2C"/>
    <w:rPr>
      <w:rFonts w:ascii="Times New Roman" w:hAnsi="Times New Roman" w:cs="Times New Roman"/>
      <w:b/>
      <w:bCs/>
      <w:sz w:val="26"/>
      <w:szCs w:val="26"/>
    </w:rPr>
  </w:style>
  <w:style w:type="character" w:customStyle="1" w:styleId="FontStyle41">
    <w:name w:val="Font Style41"/>
    <w:basedOn w:val="DefaultParagraphFont"/>
    <w:uiPriority w:val="99"/>
    <w:rsid w:val="00796C2C"/>
    <w:rPr>
      <w:rFonts w:ascii="Times New Roman" w:hAnsi="Times New Roman" w:cs="Times New Roman"/>
      <w:b/>
      <w:bCs/>
      <w:sz w:val="22"/>
      <w:szCs w:val="22"/>
    </w:rPr>
  </w:style>
  <w:style w:type="paragraph" w:customStyle="1" w:styleId="Style9">
    <w:name w:val="Style9"/>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12">
    <w:name w:val="Style12"/>
    <w:basedOn w:val="Normal"/>
    <w:uiPriority w:val="99"/>
    <w:rsid w:val="00796C2C"/>
    <w:pPr>
      <w:widowControl w:val="0"/>
      <w:autoSpaceDE w:val="0"/>
      <w:autoSpaceDN w:val="0"/>
      <w:adjustRightInd w:val="0"/>
      <w:spacing w:after="0" w:line="269" w:lineRule="exact"/>
      <w:jc w:val="both"/>
    </w:pPr>
    <w:rPr>
      <w:rFonts w:ascii="Times New Roman" w:eastAsiaTheme="minorEastAsia" w:hAnsi="Times New Roman" w:cs="Times New Roman"/>
      <w:sz w:val="24"/>
      <w:szCs w:val="24"/>
      <w:lang w:val="bg-BG" w:eastAsia="bg-BG"/>
    </w:rPr>
  </w:style>
  <w:style w:type="paragraph" w:customStyle="1" w:styleId="Style13">
    <w:name w:val="Style13"/>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paragraph" w:customStyle="1" w:styleId="Style14">
    <w:name w:val="Style14"/>
    <w:basedOn w:val="Normal"/>
    <w:uiPriority w:val="99"/>
    <w:rsid w:val="00796C2C"/>
    <w:pPr>
      <w:widowControl w:val="0"/>
      <w:autoSpaceDE w:val="0"/>
      <w:autoSpaceDN w:val="0"/>
      <w:adjustRightInd w:val="0"/>
      <w:spacing w:after="0" w:line="240" w:lineRule="auto"/>
    </w:pPr>
    <w:rPr>
      <w:rFonts w:ascii="Times New Roman" w:eastAsiaTheme="minorEastAsia" w:hAnsi="Times New Roman" w:cs="Times New Roman"/>
      <w:sz w:val="24"/>
      <w:szCs w:val="24"/>
      <w:lang w:val="bg-BG" w:eastAsia="bg-BG"/>
    </w:rPr>
  </w:style>
  <w:style w:type="character" w:customStyle="1" w:styleId="FontStyle26">
    <w:name w:val="Font Style26"/>
    <w:basedOn w:val="DefaultParagraphFont"/>
    <w:uiPriority w:val="99"/>
    <w:rsid w:val="00796C2C"/>
    <w:rPr>
      <w:rFonts w:ascii="Times New Roman" w:hAnsi="Times New Roman" w:cs="Times New Roman"/>
      <w:i/>
      <w:iCs/>
      <w:sz w:val="22"/>
      <w:szCs w:val="22"/>
    </w:rPr>
  </w:style>
  <w:style w:type="character" w:customStyle="1" w:styleId="FontStyle27">
    <w:name w:val="Font Style27"/>
    <w:basedOn w:val="DefaultParagraphFont"/>
    <w:uiPriority w:val="99"/>
    <w:rsid w:val="00796C2C"/>
    <w:rPr>
      <w:rFonts w:ascii="Times New Roman" w:hAnsi="Times New Roman" w:cs="Times New Roman"/>
      <w:b/>
      <w:bCs/>
      <w:sz w:val="22"/>
      <w:szCs w:val="22"/>
    </w:rPr>
  </w:style>
  <w:style w:type="character" w:customStyle="1" w:styleId="FontStyle28">
    <w:name w:val="Font Style28"/>
    <w:basedOn w:val="DefaultParagraphFont"/>
    <w:uiPriority w:val="99"/>
    <w:rsid w:val="00796C2C"/>
    <w:rPr>
      <w:rFonts w:ascii="Times New Roman" w:hAnsi="Times New Roman" w:cs="Times New Roman"/>
      <w:sz w:val="22"/>
      <w:szCs w:val="22"/>
    </w:rPr>
  </w:style>
  <w:style w:type="character" w:customStyle="1" w:styleId="FontStyle29">
    <w:name w:val="Font Style29"/>
    <w:basedOn w:val="DefaultParagraphFont"/>
    <w:uiPriority w:val="99"/>
    <w:rsid w:val="00796C2C"/>
    <w:rPr>
      <w:rFonts w:ascii="Times New Roman" w:hAnsi="Times New Roman" w:cs="Times New Roman"/>
      <w:sz w:val="18"/>
      <w:szCs w:val="18"/>
    </w:rPr>
  </w:style>
  <w:style w:type="table" w:styleId="TableGrid">
    <w:name w:val="Table Grid"/>
    <w:basedOn w:val="TableNormal"/>
    <w:uiPriority w:val="39"/>
    <w:rsid w:val="00796C2C"/>
    <w:pPr>
      <w:spacing w:after="0" w:line="240" w:lineRule="auto"/>
    </w:pPr>
    <w:rPr>
      <w:rFonts w:eastAsiaTheme="minorEastAsia"/>
      <w:sz w:val="21"/>
      <w:szCs w:val="21"/>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Normal"/>
    <w:uiPriority w:val="99"/>
    <w:rsid w:val="00796C2C"/>
    <w:pPr>
      <w:widowControl w:val="0"/>
      <w:autoSpaceDE w:val="0"/>
      <w:autoSpaceDN w:val="0"/>
      <w:adjustRightInd w:val="0"/>
      <w:spacing w:after="0" w:line="240" w:lineRule="auto"/>
    </w:pPr>
    <w:rPr>
      <w:rFonts w:ascii="Verdana" w:eastAsiaTheme="minorEastAsia" w:hAnsi="Verdana"/>
      <w:sz w:val="24"/>
      <w:szCs w:val="24"/>
      <w:lang w:val="bg-BG" w:eastAsia="bg-BG"/>
    </w:rPr>
  </w:style>
  <w:style w:type="character" w:customStyle="1" w:styleId="FontStyle15">
    <w:name w:val="Font Style15"/>
    <w:basedOn w:val="DefaultParagraphFont"/>
    <w:uiPriority w:val="99"/>
    <w:rsid w:val="00796C2C"/>
    <w:rPr>
      <w:rFonts w:ascii="Times New Roman" w:hAnsi="Times New Roman" w:cs="Times New Roman"/>
      <w:b/>
      <w:bCs/>
      <w:spacing w:val="10"/>
      <w:sz w:val="20"/>
      <w:szCs w:val="20"/>
    </w:rPr>
  </w:style>
  <w:style w:type="character" w:customStyle="1" w:styleId="FontStyle20">
    <w:name w:val="Font Style20"/>
    <w:basedOn w:val="DefaultParagraphFont"/>
    <w:uiPriority w:val="99"/>
    <w:rsid w:val="00796C2C"/>
    <w:rPr>
      <w:rFonts w:ascii="Times New Roman" w:hAnsi="Times New Roman" w:cs="Times New Roman"/>
      <w:sz w:val="20"/>
      <w:szCs w:val="20"/>
    </w:rPr>
  </w:style>
  <w:style w:type="character" w:customStyle="1" w:styleId="FontStyle21">
    <w:name w:val="Font Style21"/>
    <w:basedOn w:val="DefaultParagraphFont"/>
    <w:uiPriority w:val="99"/>
    <w:rsid w:val="00796C2C"/>
    <w:rPr>
      <w:rFonts w:ascii="Times New Roman" w:hAnsi="Times New Roman" w:cs="Times New Roman"/>
      <w:b/>
      <w:bCs/>
      <w:sz w:val="22"/>
      <w:szCs w:val="22"/>
    </w:rPr>
  </w:style>
  <w:style w:type="paragraph" w:styleId="Quote">
    <w:name w:val="Quote"/>
    <w:basedOn w:val="Normal"/>
    <w:next w:val="Normal"/>
    <w:link w:val="QuoteChar"/>
    <w:uiPriority w:val="29"/>
    <w:qFormat/>
    <w:rsid w:val="00796C2C"/>
    <w:pPr>
      <w:spacing w:before="240" w:after="240" w:line="252" w:lineRule="auto"/>
      <w:ind w:left="864" w:right="864"/>
      <w:jc w:val="center"/>
    </w:pPr>
    <w:rPr>
      <w:rFonts w:eastAsiaTheme="minorEastAsia"/>
      <w:i/>
      <w:iCs/>
      <w:sz w:val="21"/>
      <w:szCs w:val="21"/>
      <w:lang w:val="bg-BG"/>
    </w:rPr>
  </w:style>
  <w:style w:type="character" w:customStyle="1" w:styleId="QuoteChar">
    <w:name w:val="Quote Char"/>
    <w:basedOn w:val="DefaultParagraphFont"/>
    <w:link w:val="Quote"/>
    <w:uiPriority w:val="29"/>
    <w:rsid w:val="00796C2C"/>
    <w:rPr>
      <w:rFonts w:eastAsiaTheme="minorEastAsia"/>
      <w:i/>
      <w:iCs/>
      <w:sz w:val="21"/>
      <w:szCs w:val="21"/>
      <w:lang w:val="bg-BG"/>
    </w:rPr>
  </w:style>
  <w:style w:type="paragraph" w:styleId="IntenseQuote">
    <w:name w:val="Intense Quote"/>
    <w:basedOn w:val="Normal"/>
    <w:next w:val="Normal"/>
    <w:link w:val="IntenseQuoteChar"/>
    <w:uiPriority w:val="30"/>
    <w:qFormat/>
    <w:rsid w:val="00796C2C"/>
    <w:pPr>
      <w:spacing w:before="100" w:beforeAutospacing="1" w:after="240" w:line="264" w:lineRule="auto"/>
      <w:ind w:left="864" w:right="864"/>
      <w:jc w:val="center"/>
    </w:pPr>
    <w:rPr>
      <w:rFonts w:asciiTheme="majorHAnsi" w:eastAsiaTheme="majorEastAsia" w:hAnsiTheme="majorHAnsi" w:cstheme="majorBidi"/>
      <w:color w:val="4F81BD" w:themeColor="accent1"/>
      <w:sz w:val="28"/>
      <w:szCs w:val="28"/>
      <w:lang w:val="bg-BG"/>
    </w:rPr>
  </w:style>
  <w:style w:type="character" w:customStyle="1" w:styleId="IntenseQuoteChar">
    <w:name w:val="Intense Quote Char"/>
    <w:basedOn w:val="DefaultParagraphFont"/>
    <w:link w:val="IntenseQuote"/>
    <w:uiPriority w:val="30"/>
    <w:rsid w:val="00796C2C"/>
    <w:rPr>
      <w:rFonts w:asciiTheme="majorHAnsi" w:eastAsiaTheme="majorEastAsia" w:hAnsiTheme="majorHAnsi" w:cstheme="majorBidi"/>
      <w:color w:val="4F81BD" w:themeColor="accent1"/>
      <w:sz w:val="28"/>
      <w:szCs w:val="28"/>
      <w:lang w:val="bg-BG"/>
    </w:rPr>
  </w:style>
  <w:style w:type="character" w:styleId="IntenseEmphasis">
    <w:name w:val="Intense Emphasis"/>
    <w:basedOn w:val="DefaultParagraphFont"/>
    <w:uiPriority w:val="21"/>
    <w:qFormat/>
    <w:rsid w:val="00796C2C"/>
    <w:rPr>
      <w:b/>
      <w:bCs/>
      <w:i/>
      <w:iCs/>
    </w:rPr>
  </w:style>
  <w:style w:type="character" w:styleId="SubtleReference">
    <w:name w:val="Subtle Reference"/>
    <w:basedOn w:val="DefaultParagraphFont"/>
    <w:uiPriority w:val="31"/>
    <w:qFormat/>
    <w:rsid w:val="00796C2C"/>
    <w:rPr>
      <w:smallCaps/>
      <w:color w:val="404040" w:themeColor="text1" w:themeTint="BF"/>
    </w:rPr>
  </w:style>
  <w:style w:type="character" w:styleId="IntenseReference">
    <w:name w:val="Intense Reference"/>
    <w:basedOn w:val="DefaultParagraphFont"/>
    <w:uiPriority w:val="32"/>
    <w:qFormat/>
    <w:rsid w:val="00796C2C"/>
    <w:rPr>
      <w:b/>
      <w:bCs/>
      <w:smallCaps/>
      <w:u w:val="single"/>
    </w:rPr>
  </w:style>
  <w:style w:type="character" w:styleId="BookTitle">
    <w:name w:val="Book Title"/>
    <w:basedOn w:val="DefaultParagraphFont"/>
    <w:uiPriority w:val="33"/>
    <w:qFormat/>
    <w:rsid w:val="00796C2C"/>
    <w:rPr>
      <w:b/>
      <w:bCs/>
      <w:smallCaps/>
    </w:rPr>
  </w:style>
  <w:style w:type="paragraph" w:styleId="TOCHeading">
    <w:name w:val="TOC Heading"/>
    <w:basedOn w:val="Heading1"/>
    <w:next w:val="Normal"/>
    <w:uiPriority w:val="39"/>
    <w:unhideWhenUsed/>
    <w:qFormat/>
    <w:rsid w:val="00796C2C"/>
    <w:pPr>
      <w:keepLines/>
      <w:widowControl/>
      <w:numPr>
        <w:numId w:val="0"/>
      </w:numPr>
      <w:pBdr>
        <w:bottom w:val="single" w:sz="4" w:space="1" w:color="4F81BD" w:themeColor="accent1"/>
      </w:pBdr>
      <w:spacing w:before="400" w:after="40"/>
      <w:outlineLvl w:val="9"/>
    </w:pPr>
    <w:rPr>
      <w:rFonts w:asciiTheme="majorHAnsi" w:eastAsiaTheme="majorEastAsia" w:hAnsiTheme="majorHAnsi" w:cstheme="majorBidi"/>
      <w:b w:val="0"/>
      <w:bCs w:val="0"/>
      <w:color w:val="365F91" w:themeColor="accent1" w:themeShade="BF"/>
      <w:lang w:eastAsia="en-US" w:bidi="ar-SA"/>
    </w:rPr>
  </w:style>
  <w:style w:type="character" w:customStyle="1" w:styleId="NoSpacingChar">
    <w:name w:val="No Spacing Char"/>
    <w:basedOn w:val="DefaultParagraphFont"/>
    <w:link w:val="NoSpacing"/>
    <w:uiPriority w:val="1"/>
    <w:rsid w:val="00796C2C"/>
    <w:rPr>
      <w:rFonts w:eastAsiaTheme="minorEastAsia"/>
      <w:sz w:val="21"/>
      <w:szCs w:val="21"/>
      <w:lang w:val="bg-BG"/>
    </w:rPr>
  </w:style>
  <w:style w:type="paragraph" w:styleId="TOC2">
    <w:name w:val="toc 2"/>
    <w:basedOn w:val="Normal"/>
    <w:next w:val="Normal"/>
    <w:autoRedefine/>
    <w:uiPriority w:val="39"/>
    <w:unhideWhenUsed/>
    <w:rsid w:val="00342BD5"/>
    <w:pPr>
      <w:tabs>
        <w:tab w:val="right" w:leader="dot" w:pos="9017"/>
      </w:tabs>
      <w:spacing w:after="100" w:line="259" w:lineRule="auto"/>
      <w:ind w:left="220"/>
    </w:pPr>
    <w:rPr>
      <w:rFonts w:ascii="Times New Roman" w:eastAsia="Source Han Sans CN Regular" w:hAnsi="Times New Roman" w:cs="Times New Roman"/>
      <w:noProof/>
      <w:lang w:val="bg-BG" w:eastAsia="zh-CN" w:bidi="hi-IN"/>
    </w:rPr>
  </w:style>
  <w:style w:type="paragraph" w:styleId="TOC3">
    <w:name w:val="toc 3"/>
    <w:basedOn w:val="Normal"/>
    <w:next w:val="Normal"/>
    <w:autoRedefine/>
    <w:uiPriority w:val="39"/>
    <w:unhideWhenUsed/>
    <w:rsid w:val="00FE3E84"/>
    <w:pPr>
      <w:tabs>
        <w:tab w:val="right" w:leader="dot" w:pos="9017"/>
      </w:tabs>
      <w:spacing w:afterLines="60" w:after="144" w:line="259" w:lineRule="auto"/>
      <w:ind w:left="440"/>
    </w:pPr>
    <w:rPr>
      <w:rFonts w:eastAsiaTheme="minorEastAsia" w:cs="Times New Roman"/>
      <w:lang w:val="bg-BG" w:eastAsia="bg-BG"/>
    </w:rPr>
  </w:style>
  <w:style w:type="character" w:styleId="FollowedHyperlink">
    <w:name w:val="FollowedHyperlink"/>
    <w:basedOn w:val="DefaultParagraphFont"/>
    <w:uiPriority w:val="99"/>
    <w:unhideWhenUsed/>
    <w:rsid w:val="00796C2C"/>
    <w:rPr>
      <w:color w:val="800080" w:themeColor="followedHyperlink"/>
      <w:u w:val="single"/>
    </w:rPr>
  </w:style>
  <w:style w:type="paragraph" w:styleId="EndnoteText">
    <w:name w:val="endnote text"/>
    <w:basedOn w:val="Normal"/>
    <w:link w:val="EndnoteTextChar"/>
    <w:uiPriority w:val="99"/>
    <w:semiHidden/>
    <w:unhideWhenUsed/>
    <w:rsid w:val="00796C2C"/>
    <w:pPr>
      <w:spacing w:after="0" w:line="240" w:lineRule="auto"/>
    </w:pPr>
    <w:rPr>
      <w:rFonts w:eastAsiaTheme="minorEastAsia"/>
      <w:sz w:val="20"/>
      <w:szCs w:val="20"/>
      <w:lang w:val="bg-BG"/>
    </w:rPr>
  </w:style>
  <w:style w:type="character" w:customStyle="1" w:styleId="EndnoteTextChar">
    <w:name w:val="Endnote Text Char"/>
    <w:basedOn w:val="DefaultParagraphFont"/>
    <w:link w:val="EndnoteText"/>
    <w:uiPriority w:val="99"/>
    <w:semiHidden/>
    <w:rsid w:val="00796C2C"/>
    <w:rPr>
      <w:rFonts w:eastAsiaTheme="minorEastAsia"/>
      <w:sz w:val="20"/>
      <w:szCs w:val="20"/>
      <w:lang w:val="bg-BG"/>
    </w:rPr>
  </w:style>
  <w:style w:type="character" w:styleId="EndnoteReference">
    <w:name w:val="endnote reference"/>
    <w:basedOn w:val="DefaultParagraphFont"/>
    <w:uiPriority w:val="99"/>
    <w:semiHidden/>
    <w:unhideWhenUsed/>
    <w:rsid w:val="00796C2C"/>
    <w:rPr>
      <w:vertAlign w:val="superscript"/>
    </w:rPr>
  </w:style>
  <w:style w:type="character" w:customStyle="1" w:styleId="FontStyle17">
    <w:name w:val="Font Style17"/>
    <w:basedOn w:val="DefaultParagraphFont"/>
    <w:uiPriority w:val="99"/>
    <w:rsid w:val="00796C2C"/>
    <w:rPr>
      <w:rFonts w:ascii="Times New Roman" w:hAnsi="Times New Roman" w:cs="Times New Roman"/>
      <w:sz w:val="22"/>
      <w:szCs w:val="22"/>
    </w:rPr>
  </w:style>
  <w:style w:type="character" w:customStyle="1" w:styleId="gmail-msofootnotereference">
    <w:name w:val="gmail-msofootnotereference"/>
    <w:basedOn w:val="DefaultParagraphFont"/>
    <w:rsid w:val="002918AA"/>
  </w:style>
  <w:style w:type="paragraph" w:customStyle="1" w:styleId="doc-ti">
    <w:name w:val="doc-ti"/>
    <w:basedOn w:val="Normal"/>
    <w:rsid w:val="002918AA"/>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Revision">
    <w:name w:val="Revision"/>
    <w:hidden/>
    <w:uiPriority w:val="99"/>
    <w:semiHidden/>
    <w:rsid w:val="002918AA"/>
    <w:pPr>
      <w:spacing w:after="0" w:line="240" w:lineRule="auto"/>
    </w:pPr>
    <w:rPr>
      <w:lang w:val="bg-BG"/>
    </w:rPr>
  </w:style>
  <w:style w:type="numbering" w:customStyle="1" w:styleId="NoList1">
    <w:name w:val="No List1"/>
    <w:next w:val="NoList"/>
    <w:uiPriority w:val="99"/>
    <w:semiHidden/>
    <w:unhideWhenUsed/>
    <w:rsid w:val="00823BE7"/>
  </w:style>
  <w:style w:type="paragraph" w:customStyle="1" w:styleId="af">
    <w:name w:val="Оф.Текст"/>
    <w:basedOn w:val="Normal"/>
    <w:link w:val="af0"/>
    <w:qFormat/>
    <w:rsid w:val="00823BE7"/>
    <w:pPr>
      <w:spacing w:before="60" w:after="60" w:line="360" w:lineRule="auto"/>
      <w:ind w:firstLine="709"/>
      <w:jc w:val="both"/>
    </w:pPr>
    <w:rPr>
      <w:rFonts w:ascii="Times New Roman" w:hAnsi="Times New Roman"/>
      <w:sz w:val="24"/>
      <w:lang w:val="bg-BG"/>
    </w:rPr>
  </w:style>
  <w:style w:type="character" w:customStyle="1" w:styleId="af0">
    <w:name w:val="Оф.Текст Знак"/>
    <w:basedOn w:val="DefaultParagraphFont"/>
    <w:link w:val="af"/>
    <w:rsid w:val="00823BE7"/>
    <w:rPr>
      <w:rFonts w:ascii="Times New Roman" w:hAnsi="Times New Roman"/>
      <w:sz w:val="24"/>
      <w:lang w:val="bg-BG"/>
    </w:rPr>
  </w:style>
  <w:style w:type="table" w:customStyle="1" w:styleId="TableGrid1">
    <w:name w:val="Table Grid1"/>
    <w:basedOn w:val="TableNormal"/>
    <w:next w:val="TableGrid"/>
    <w:uiPriority w:val="59"/>
    <w:rsid w:val="00823BE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823BE7"/>
  </w:style>
  <w:style w:type="paragraph" w:customStyle="1" w:styleId="NormalAfter6ptChar">
    <w:name w:val="Normal + After:  6 pt Char"/>
    <w:basedOn w:val="Normal"/>
    <w:link w:val="NormalAfter6ptCharChar"/>
    <w:rsid w:val="00823BE7"/>
    <w:pPr>
      <w:spacing w:after="120" w:line="240" w:lineRule="auto"/>
      <w:jc w:val="both"/>
    </w:pPr>
    <w:rPr>
      <w:rFonts w:ascii="Times New Roman" w:eastAsia="Times New Roman" w:hAnsi="Times New Roman" w:cs="Times New Roman"/>
      <w:sz w:val="24"/>
      <w:szCs w:val="24"/>
      <w:lang w:val="en-US" w:eastAsia="ko-KR"/>
    </w:rPr>
  </w:style>
  <w:style w:type="character" w:customStyle="1" w:styleId="NormalAfter6ptCharChar">
    <w:name w:val="Normal + After:  6 pt Char Char"/>
    <w:link w:val="NormalAfter6ptChar"/>
    <w:rsid w:val="00823BE7"/>
    <w:rPr>
      <w:rFonts w:ascii="Times New Roman" w:eastAsia="Times New Roman" w:hAnsi="Times New Roman" w:cs="Times New Roman"/>
      <w:sz w:val="24"/>
      <w:szCs w:val="24"/>
      <w:lang w:val="en-US" w:eastAsia="ko-KR"/>
    </w:rPr>
  </w:style>
  <w:style w:type="paragraph" w:styleId="BodyText2">
    <w:name w:val="Body Text 2"/>
    <w:basedOn w:val="Normal"/>
    <w:link w:val="BodyText2Char"/>
    <w:unhideWhenUsed/>
    <w:rsid w:val="00823BE7"/>
    <w:pPr>
      <w:spacing w:after="120" w:line="480" w:lineRule="auto"/>
    </w:pPr>
    <w:rPr>
      <w:lang w:val="en-US"/>
    </w:rPr>
  </w:style>
  <w:style w:type="character" w:customStyle="1" w:styleId="BodyText2Char">
    <w:name w:val="Body Text 2 Char"/>
    <w:basedOn w:val="DefaultParagraphFont"/>
    <w:link w:val="BodyText2"/>
    <w:rsid w:val="00823BE7"/>
    <w:rPr>
      <w:lang w:val="en-US"/>
    </w:rPr>
  </w:style>
  <w:style w:type="paragraph" w:customStyle="1" w:styleId="Captionfigtabl">
    <w:name w:val="Caption fig tabl"/>
    <w:basedOn w:val="Normal"/>
    <w:link w:val="CaptionfigtablChar"/>
    <w:qFormat/>
    <w:rsid w:val="00823BE7"/>
    <w:pPr>
      <w:spacing w:before="120" w:after="120"/>
      <w:jc w:val="both"/>
    </w:pPr>
    <w:rPr>
      <w:rFonts w:ascii="Times New Roman" w:eastAsia="Calibri" w:hAnsi="Times New Roman" w:cs="Times New Roman"/>
      <w:i/>
      <w:spacing w:val="10"/>
      <w:sz w:val="24"/>
      <w:szCs w:val="24"/>
      <w:lang w:val="bg-BG"/>
    </w:rPr>
  </w:style>
  <w:style w:type="character" w:customStyle="1" w:styleId="CaptionfigtablChar">
    <w:name w:val="Caption fig tabl Char"/>
    <w:link w:val="Captionfigtabl"/>
    <w:rsid w:val="00823BE7"/>
    <w:rPr>
      <w:rFonts w:ascii="Times New Roman" w:eastAsia="Calibri" w:hAnsi="Times New Roman" w:cs="Times New Roman"/>
      <w:i/>
      <w:spacing w:val="10"/>
      <w:sz w:val="24"/>
      <w:szCs w:val="24"/>
      <w:lang w:val="bg-BG"/>
    </w:rPr>
  </w:style>
  <w:style w:type="numbering" w:customStyle="1" w:styleId="NoList2">
    <w:name w:val="No List2"/>
    <w:next w:val="NoList"/>
    <w:uiPriority w:val="99"/>
    <w:semiHidden/>
    <w:unhideWhenUsed/>
    <w:rsid w:val="00823BE7"/>
  </w:style>
  <w:style w:type="table" w:customStyle="1" w:styleId="TableGrid2">
    <w:name w:val="Table Grid2"/>
    <w:basedOn w:val="TableNormal"/>
    <w:next w:val="TableGrid"/>
    <w:uiPriority w:val="59"/>
    <w:rsid w:val="00823BE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CharCharChar">
    <w:name w:val="Char Char Char Char Char Char Char Char Char Char Char Char Char Char Char Char"/>
    <w:basedOn w:val="Normal"/>
    <w:rsid w:val="00043308"/>
    <w:pPr>
      <w:tabs>
        <w:tab w:val="left" w:pos="709"/>
      </w:tabs>
      <w:spacing w:after="0" w:line="240" w:lineRule="auto"/>
    </w:pPr>
    <w:rPr>
      <w:rFonts w:ascii="Tahoma" w:eastAsia="Times New Roman" w:hAnsi="Tahoma" w:cs="Times New Roman"/>
      <w:sz w:val="24"/>
      <w:szCs w:val="24"/>
      <w:lang w:val="pl-PL" w:eastAsia="pl-PL"/>
    </w:rPr>
  </w:style>
  <w:style w:type="table" w:customStyle="1" w:styleId="TableStyle1NUTRVIT">
    <w:name w:val="Table Style1 NUTR&amp;VIT"/>
    <w:basedOn w:val="TableNormal"/>
    <w:rsid w:val="007E3886"/>
    <w:pPr>
      <w:spacing w:before="40" w:after="40" w:line="240" w:lineRule="auto"/>
    </w:pPr>
    <w:rPr>
      <w:rFonts w:ascii="Tahoma" w:eastAsia="Times New Roman" w:hAnsi="Tahoma" w:cs="Times New Roman"/>
      <w:sz w:val="20"/>
      <w:szCs w:val="20"/>
      <w:lang w:val="en-US"/>
    </w:rPr>
    <w:tblPr>
      <w:tblStyleRowBandSize w:val="1"/>
      <w:jc w:val="center"/>
    </w:tblPr>
    <w:trPr>
      <w:cantSplit/>
      <w:jc w:val="center"/>
    </w:trPr>
    <w:tblStylePr w:type="firstRow">
      <w:rPr>
        <w:b/>
      </w:rPr>
      <w:tblPr/>
      <w:trPr>
        <w:cantSplit/>
        <w:tblHeader/>
      </w:trPr>
      <w:tcPr>
        <w:tcBorders>
          <w:top w:val="nil"/>
          <w:left w:val="nil"/>
          <w:bottom w:val="nil"/>
          <w:right w:val="nil"/>
          <w:insideH w:val="nil"/>
          <w:insideV w:val="nil"/>
          <w:tl2br w:val="nil"/>
          <w:tr2bl w:val="nil"/>
        </w:tcBorders>
        <w:shd w:val="solid" w:color="008080" w:fill="auto"/>
      </w:tcPr>
    </w:tblStylePr>
    <w:tblStylePr w:type="band2Horz">
      <w:tblPr/>
      <w:tcPr>
        <w:tcBorders>
          <w:top w:val="nil"/>
          <w:left w:val="nil"/>
          <w:bottom w:val="nil"/>
          <w:right w:val="nil"/>
          <w:insideH w:val="nil"/>
          <w:insideV w:val="nil"/>
          <w:tl2br w:val="nil"/>
          <w:tr2bl w:val="nil"/>
        </w:tcBorders>
        <w:shd w:val="pct25" w:color="008080" w:fill="auto"/>
      </w:tcPr>
    </w:tblStylePr>
  </w:style>
  <w:style w:type="character" w:customStyle="1" w:styleId="130ptExact">
    <w:name w:val="Основной текст (13) + Интервал 0 pt Exact"/>
    <w:rsid w:val="007E3886"/>
    <w:rPr>
      <w:rFonts w:ascii="Franklin Gothic Book" w:hAnsi="Franklin Gothic Book"/>
      <w:color w:val="000000"/>
      <w:spacing w:val="1"/>
      <w:w w:val="100"/>
      <w:position w:val="0"/>
      <w:sz w:val="14"/>
      <w:szCs w:val="14"/>
      <w:lang w:bidi="ar-SA"/>
    </w:rPr>
  </w:style>
  <w:style w:type="character" w:customStyle="1" w:styleId="13Exact1">
    <w:name w:val="Основной текст (13) Exact1"/>
    <w:rsid w:val="007E3886"/>
    <w:rPr>
      <w:rFonts w:ascii="Franklin Gothic Book" w:hAnsi="Franklin Gothic Book"/>
      <w:color w:val="000000"/>
      <w:spacing w:val="3"/>
      <w:w w:val="100"/>
      <w:position w:val="0"/>
      <w:sz w:val="14"/>
      <w:szCs w:val="14"/>
      <w:lang w:bidi="ar-SA"/>
    </w:rPr>
  </w:style>
  <w:style w:type="character" w:customStyle="1" w:styleId="3Exact1">
    <w:name w:val="Подпись к картинке (3) Exact1"/>
    <w:rsid w:val="007E3886"/>
    <w:rPr>
      <w:rFonts w:ascii="Franklin Gothic Book" w:hAnsi="Franklin Gothic Book"/>
      <w:color w:val="000000"/>
      <w:spacing w:val="1"/>
      <w:w w:val="100"/>
      <w:position w:val="0"/>
      <w:sz w:val="14"/>
      <w:szCs w:val="14"/>
      <w:lang w:bidi="ar-SA"/>
    </w:rPr>
  </w:style>
  <w:style w:type="character" w:customStyle="1" w:styleId="3">
    <w:name w:val="Подпись к картинке (3)_"/>
    <w:link w:val="31"/>
    <w:rsid w:val="007E3886"/>
    <w:rPr>
      <w:rFonts w:ascii="Franklin Gothic Book" w:hAnsi="Franklin Gothic Book"/>
      <w:sz w:val="16"/>
      <w:szCs w:val="16"/>
      <w:shd w:val="clear" w:color="auto" w:fill="FFFFFF"/>
    </w:rPr>
  </w:style>
  <w:style w:type="paragraph" w:customStyle="1" w:styleId="31">
    <w:name w:val="Подпись к картинке (3)1"/>
    <w:basedOn w:val="Normal"/>
    <w:link w:val="3"/>
    <w:rsid w:val="007E3886"/>
    <w:pPr>
      <w:widowControl w:val="0"/>
      <w:shd w:val="clear" w:color="auto" w:fill="FFFFFF"/>
      <w:spacing w:before="60" w:after="60" w:line="240" w:lineRule="atLeast"/>
      <w:jc w:val="right"/>
    </w:pPr>
    <w:rPr>
      <w:rFonts w:ascii="Franklin Gothic Book" w:hAnsi="Franklin Gothic Book"/>
      <w:sz w:val="16"/>
      <w:szCs w:val="16"/>
      <w:lang w:val="en-CA"/>
    </w:rPr>
  </w:style>
  <w:style w:type="character" w:customStyle="1" w:styleId="6">
    <w:name w:val="Основной текст (6)_"/>
    <w:link w:val="61"/>
    <w:rsid w:val="007E3886"/>
    <w:rPr>
      <w:rFonts w:ascii="Franklin Gothic Book" w:hAnsi="Franklin Gothic Book"/>
      <w:sz w:val="12"/>
      <w:szCs w:val="12"/>
      <w:shd w:val="clear" w:color="auto" w:fill="FFFFFF"/>
    </w:rPr>
  </w:style>
  <w:style w:type="character" w:customStyle="1" w:styleId="6Exact3">
    <w:name w:val="Основной текст (6) Exact3"/>
    <w:rsid w:val="007E3886"/>
    <w:rPr>
      <w:rFonts w:ascii="Franklin Gothic Book" w:hAnsi="Franklin Gothic Book"/>
      <w:spacing w:val="3"/>
      <w:sz w:val="11"/>
      <w:szCs w:val="11"/>
      <w:lang w:bidi="ar-SA"/>
    </w:rPr>
  </w:style>
  <w:style w:type="paragraph" w:customStyle="1" w:styleId="61">
    <w:name w:val="Основной текст (6)1"/>
    <w:basedOn w:val="Normal"/>
    <w:link w:val="6"/>
    <w:rsid w:val="007E3886"/>
    <w:pPr>
      <w:widowControl w:val="0"/>
      <w:shd w:val="clear" w:color="auto" w:fill="FFFFFF"/>
      <w:spacing w:before="1440" w:after="0" w:line="274" w:lineRule="exact"/>
      <w:ind w:hanging="840"/>
    </w:pPr>
    <w:rPr>
      <w:rFonts w:ascii="Franklin Gothic Book" w:hAnsi="Franklin Gothic Book"/>
      <w:sz w:val="12"/>
      <w:szCs w:val="12"/>
      <w:lang w:val="en-CA"/>
    </w:rPr>
  </w:style>
  <w:style w:type="character" w:customStyle="1" w:styleId="6Exact1">
    <w:name w:val="Основной текст (6) Exact1"/>
    <w:rsid w:val="007E3886"/>
    <w:rPr>
      <w:rFonts w:ascii="Franklin Gothic Book" w:hAnsi="Franklin Gothic Book" w:cs="Franklin Gothic Book"/>
      <w:spacing w:val="3"/>
      <w:sz w:val="11"/>
      <w:szCs w:val="11"/>
      <w:u w:val="none"/>
      <w:lang w:bidi="ar-SA"/>
    </w:rPr>
  </w:style>
  <w:style w:type="character" w:customStyle="1" w:styleId="6Calibri">
    <w:name w:val="Основной текст (6) + Calibri"/>
    <w:aliases w:val="6 pt21,Интервал 0 pt Exact56"/>
    <w:rsid w:val="007E3886"/>
    <w:rPr>
      <w:rFonts w:ascii="Calibri" w:hAnsi="Calibri" w:cs="Calibri"/>
      <w:spacing w:val="5"/>
      <w:sz w:val="12"/>
      <w:szCs w:val="12"/>
      <w:u w:val="none"/>
      <w:lang w:bidi="ar-SA"/>
    </w:rPr>
  </w:style>
  <w:style w:type="character" w:customStyle="1" w:styleId="20ptExact">
    <w:name w:val="Подпись к картинке (2) + Интервал 0 pt Exact"/>
    <w:rsid w:val="007E3886"/>
    <w:rPr>
      <w:rFonts w:ascii="Franklin Gothic Book" w:hAnsi="Franklin Gothic Book"/>
      <w:color w:val="000000"/>
      <w:spacing w:val="1"/>
      <w:w w:val="100"/>
      <w:position w:val="0"/>
      <w:sz w:val="14"/>
      <w:szCs w:val="14"/>
      <w:lang w:bidi="ar-SA"/>
    </w:rPr>
  </w:style>
  <w:style w:type="character" w:customStyle="1" w:styleId="2Exact1">
    <w:name w:val="Подпись к картинке (2) Exact1"/>
    <w:rsid w:val="007E3886"/>
    <w:rPr>
      <w:rFonts w:ascii="Franklin Gothic Book" w:hAnsi="Franklin Gothic Book"/>
      <w:color w:val="000000"/>
      <w:spacing w:val="3"/>
      <w:w w:val="100"/>
      <w:position w:val="0"/>
      <w:sz w:val="14"/>
      <w:szCs w:val="14"/>
      <w:lang w:bidi="ar-SA"/>
    </w:rPr>
  </w:style>
  <w:style w:type="character" w:customStyle="1" w:styleId="2">
    <w:name w:val="Подпись к картинке (2)_"/>
    <w:link w:val="21"/>
    <w:rsid w:val="007E3886"/>
    <w:rPr>
      <w:rFonts w:ascii="Franklin Gothic Book" w:hAnsi="Franklin Gothic Book"/>
      <w:sz w:val="15"/>
      <w:szCs w:val="15"/>
      <w:shd w:val="clear" w:color="auto" w:fill="FFFFFF"/>
    </w:rPr>
  </w:style>
  <w:style w:type="paragraph" w:customStyle="1" w:styleId="21">
    <w:name w:val="Подпись к картинке (2)1"/>
    <w:basedOn w:val="Normal"/>
    <w:link w:val="2"/>
    <w:rsid w:val="007E3886"/>
    <w:pPr>
      <w:widowControl w:val="0"/>
      <w:shd w:val="clear" w:color="auto" w:fill="FFFFFF"/>
      <w:spacing w:after="60" w:line="240" w:lineRule="atLeast"/>
      <w:ind w:hanging="1660"/>
      <w:jc w:val="right"/>
    </w:pPr>
    <w:rPr>
      <w:rFonts w:ascii="Franklin Gothic Book" w:hAnsi="Franklin Gothic Book"/>
      <w:sz w:val="15"/>
      <w:szCs w:val="15"/>
      <w:lang w:val="en-CA"/>
    </w:rPr>
  </w:style>
  <w:style w:type="character" w:customStyle="1" w:styleId="Exact6">
    <w:name w:val="Подпись к картинке Exact6"/>
    <w:rsid w:val="007E3886"/>
    <w:rPr>
      <w:rFonts w:ascii="Franklin Gothic Book" w:hAnsi="Franklin Gothic Book"/>
      <w:color w:val="000000"/>
      <w:spacing w:val="3"/>
      <w:w w:val="100"/>
      <w:position w:val="0"/>
      <w:sz w:val="11"/>
      <w:szCs w:val="11"/>
      <w:lang w:bidi="ar-SA"/>
    </w:rPr>
  </w:style>
  <w:style w:type="character" w:customStyle="1" w:styleId="af1">
    <w:name w:val="Основной текст_"/>
    <w:link w:val="1"/>
    <w:rsid w:val="007E3886"/>
    <w:rPr>
      <w:rFonts w:ascii="Franklin Gothic Book" w:hAnsi="Franklin Gothic Book"/>
      <w:sz w:val="16"/>
      <w:szCs w:val="16"/>
      <w:shd w:val="clear" w:color="auto" w:fill="FFFFFF"/>
    </w:rPr>
  </w:style>
  <w:style w:type="paragraph" w:customStyle="1" w:styleId="1">
    <w:name w:val="Основной текст1"/>
    <w:basedOn w:val="Normal"/>
    <w:link w:val="af1"/>
    <w:rsid w:val="007E3886"/>
    <w:pPr>
      <w:widowControl w:val="0"/>
      <w:shd w:val="clear" w:color="auto" w:fill="FFFFFF"/>
      <w:spacing w:after="60" w:line="230" w:lineRule="exact"/>
      <w:ind w:hanging="220"/>
      <w:jc w:val="both"/>
    </w:pPr>
    <w:rPr>
      <w:rFonts w:ascii="Franklin Gothic Book" w:hAnsi="Franklin Gothic Book"/>
      <w:sz w:val="16"/>
      <w:szCs w:val="16"/>
      <w:lang w:val="en-CA"/>
    </w:rPr>
  </w:style>
  <w:style w:type="character" w:customStyle="1" w:styleId="af2">
    <w:name w:val="Подпись к картинке + Курсив"/>
    <w:aliases w:val="Интервал 0 pt Exact"/>
    <w:rsid w:val="007E3886"/>
    <w:rPr>
      <w:rFonts w:ascii="Franklin Gothic Book" w:hAnsi="Franklin Gothic Book" w:cs="Franklin Gothic Book"/>
      <w:i/>
      <w:iCs/>
      <w:color w:val="000000"/>
      <w:spacing w:val="-2"/>
      <w:w w:val="100"/>
      <w:position w:val="0"/>
      <w:sz w:val="11"/>
      <w:szCs w:val="11"/>
      <w:u w:val="none"/>
      <w:lang w:bidi="ar-SA"/>
    </w:rPr>
  </w:style>
  <w:style w:type="character" w:customStyle="1" w:styleId="Exact1">
    <w:name w:val="Основной текст Exact1"/>
    <w:rsid w:val="007E3886"/>
    <w:rPr>
      <w:rFonts w:ascii="Franklin Gothic Book" w:hAnsi="Franklin Gothic Book" w:cs="Franklin Gothic Book"/>
      <w:spacing w:val="1"/>
      <w:sz w:val="14"/>
      <w:szCs w:val="14"/>
      <w:u w:val="none"/>
      <w:lang w:bidi="ar-SA"/>
    </w:rPr>
  </w:style>
  <w:style w:type="character" w:customStyle="1" w:styleId="19Exact">
    <w:name w:val="Основной текст (19) Exact"/>
    <w:link w:val="19"/>
    <w:rsid w:val="007E3886"/>
    <w:rPr>
      <w:rFonts w:ascii="Franklin Gothic Book" w:hAnsi="Franklin Gothic Book"/>
      <w:b/>
      <w:bCs/>
      <w:spacing w:val="3"/>
      <w:sz w:val="12"/>
      <w:szCs w:val="12"/>
      <w:shd w:val="clear" w:color="auto" w:fill="FFFFFF"/>
    </w:rPr>
  </w:style>
  <w:style w:type="character" w:customStyle="1" w:styleId="19Exact2">
    <w:name w:val="Основной текст (19) Exact2"/>
    <w:basedOn w:val="19Exact"/>
    <w:rsid w:val="007E3886"/>
    <w:rPr>
      <w:rFonts w:ascii="Franklin Gothic Book" w:hAnsi="Franklin Gothic Book"/>
      <w:b/>
      <w:bCs/>
      <w:spacing w:val="3"/>
      <w:sz w:val="12"/>
      <w:szCs w:val="12"/>
      <w:shd w:val="clear" w:color="auto" w:fill="FFFFFF"/>
    </w:rPr>
  </w:style>
  <w:style w:type="paragraph" w:customStyle="1" w:styleId="19">
    <w:name w:val="Основной текст (19)"/>
    <w:basedOn w:val="Normal"/>
    <w:link w:val="19Exact"/>
    <w:rsid w:val="007E3886"/>
    <w:pPr>
      <w:widowControl w:val="0"/>
      <w:shd w:val="clear" w:color="auto" w:fill="FFFFFF"/>
      <w:spacing w:after="240" w:line="240" w:lineRule="atLeast"/>
    </w:pPr>
    <w:rPr>
      <w:rFonts w:ascii="Franklin Gothic Book" w:hAnsi="Franklin Gothic Book"/>
      <w:b/>
      <w:bCs/>
      <w:spacing w:val="3"/>
      <w:sz w:val="12"/>
      <w:szCs w:val="12"/>
      <w:lang w:val="en-CA"/>
    </w:rPr>
  </w:style>
  <w:style w:type="character" w:customStyle="1" w:styleId="7Exact1">
    <w:name w:val="Подпись к картинке (7) Exact1"/>
    <w:rsid w:val="007E3886"/>
    <w:rPr>
      <w:rFonts w:ascii="Franklin Gothic Book" w:hAnsi="Franklin Gothic Book"/>
      <w:b/>
      <w:bCs/>
      <w:color w:val="000000"/>
      <w:spacing w:val="3"/>
      <w:w w:val="100"/>
      <w:position w:val="0"/>
      <w:sz w:val="12"/>
      <w:szCs w:val="12"/>
      <w:lang w:bidi="ar-SA"/>
    </w:rPr>
  </w:style>
  <w:style w:type="character" w:customStyle="1" w:styleId="7">
    <w:name w:val="Подпись к картинке (7)_"/>
    <w:link w:val="71"/>
    <w:rsid w:val="007E3886"/>
    <w:rPr>
      <w:rFonts w:ascii="Franklin Gothic Book" w:hAnsi="Franklin Gothic Book"/>
      <w:b/>
      <w:bCs/>
      <w:sz w:val="13"/>
      <w:szCs w:val="13"/>
      <w:shd w:val="clear" w:color="auto" w:fill="FFFFFF"/>
    </w:rPr>
  </w:style>
  <w:style w:type="paragraph" w:customStyle="1" w:styleId="71">
    <w:name w:val="Подпись к картинке (7)1"/>
    <w:basedOn w:val="Normal"/>
    <w:link w:val="7"/>
    <w:rsid w:val="007E3886"/>
    <w:pPr>
      <w:widowControl w:val="0"/>
      <w:shd w:val="clear" w:color="auto" w:fill="FFFFFF"/>
      <w:spacing w:after="240" w:line="240" w:lineRule="atLeast"/>
    </w:pPr>
    <w:rPr>
      <w:rFonts w:ascii="Franklin Gothic Book" w:hAnsi="Franklin Gothic Book"/>
      <w:b/>
      <w:bCs/>
      <w:sz w:val="13"/>
      <w:szCs w:val="13"/>
      <w:lang w:val="en-CA"/>
    </w:rPr>
  </w:style>
  <w:style w:type="character" w:customStyle="1" w:styleId="af3">
    <w:name w:val="Подпись к картинке_"/>
    <w:link w:val="10"/>
    <w:rsid w:val="007E3886"/>
    <w:rPr>
      <w:rFonts w:ascii="Franklin Gothic Book" w:hAnsi="Franklin Gothic Book"/>
      <w:sz w:val="12"/>
      <w:szCs w:val="12"/>
      <w:shd w:val="clear" w:color="auto" w:fill="FFFFFF"/>
    </w:rPr>
  </w:style>
  <w:style w:type="paragraph" w:customStyle="1" w:styleId="10">
    <w:name w:val="Подпись к картинке1"/>
    <w:basedOn w:val="Normal"/>
    <w:link w:val="af3"/>
    <w:rsid w:val="007E3886"/>
    <w:pPr>
      <w:widowControl w:val="0"/>
      <w:shd w:val="clear" w:color="auto" w:fill="FFFFFF"/>
      <w:spacing w:after="0" w:line="158" w:lineRule="exact"/>
      <w:ind w:hanging="1360"/>
    </w:pPr>
    <w:rPr>
      <w:rFonts w:ascii="Franklin Gothic Book" w:hAnsi="Franklin Gothic Book"/>
      <w:sz w:val="12"/>
      <w:szCs w:val="12"/>
      <w:lang w:val="en-CA"/>
    </w:rPr>
  </w:style>
  <w:style w:type="character" w:customStyle="1" w:styleId="375pt4">
    <w:name w:val="Подпись к картинке (3) + 7.5 pt4"/>
    <w:aliases w:val="Интервал 0 pt Exact44"/>
    <w:rsid w:val="007E3886"/>
    <w:rPr>
      <w:rFonts w:ascii="Franklin Gothic Book" w:hAnsi="Franklin Gothic Book" w:cs="Franklin Gothic Book"/>
      <w:sz w:val="15"/>
      <w:szCs w:val="15"/>
      <w:u w:val="none"/>
      <w:lang w:bidi="ar-SA"/>
    </w:rPr>
  </w:style>
  <w:style w:type="character" w:customStyle="1" w:styleId="0ptExact9">
    <w:name w:val="Подпись к картинке + Интервал 0 pt Exact9"/>
    <w:rsid w:val="007E3886"/>
    <w:rPr>
      <w:rFonts w:ascii="Franklin Gothic Book" w:hAnsi="Franklin Gothic Book" w:cs="Franklin Gothic Book"/>
      <w:spacing w:val="2"/>
      <w:sz w:val="11"/>
      <w:szCs w:val="11"/>
      <w:u w:val="none"/>
      <w:lang w:bidi="ar-SA"/>
    </w:rPr>
  </w:style>
  <w:style w:type="character" w:customStyle="1" w:styleId="BookmanOldStyle">
    <w:name w:val="Основной текст + Bookman Old Style"/>
    <w:aliases w:val="7.5 pt40"/>
    <w:rsid w:val="007E3886"/>
    <w:rPr>
      <w:rFonts w:ascii="Bookman Old Style" w:hAnsi="Bookman Old Style" w:cs="Bookman Old Style"/>
      <w:sz w:val="15"/>
      <w:szCs w:val="15"/>
      <w:u w:val="none"/>
      <w:lang w:bidi="ar-SA"/>
    </w:rPr>
  </w:style>
  <w:style w:type="character" w:customStyle="1" w:styleId="ListParagraphChar">
    <w:name w:val="List Paragraph Char"/>
    <w:link w:val="ListParagraph"/>
    <w:locked/>
    <w:rsid w:val="007E3886"/>
    <w:rPr>
      <w:lang w:val="en-GB"/>
    </w:rPr>
  </w:style>
  <w:style w:type="character" w:customStyle="1" w:styleId="18">
    <w:name w:val="Основной текст (18)_"/>
    <w:link w:val="180"/>
    <w:rsid w:val="007E3886"/>
    <w:rPr>
      <w:sz w:val="23"/>
      <w:szCs w:val="23"/>
      <w:shd w:val="clear" w:color="auto" w:fill="FFFFFF"/>
    </w:rPr>
  </w:style>
  <w:style w:type="paragraph" w:customStyle="1" w:styleId="180">
    <w:name w:val="Основной текст (18)"/>
    <w:basedOn w:val="Normal"/>
    <w:link w:val="18"/>
    <w:rsid w:val="007E3886"/>
    <w:pPr>
      <w:widowControl w:val="0"/>
      <w:shd w:val="clear" w:color="auto" w:fill="FFFFFF"/>
      <w:spacing w:after="0" w:line="240" w:lineRule="atLeast"/>
      <w:jc w:val="both"/>
    </w:pPr>
    <w:rPr>
      <w:sz w:val="23"/>
      <w:szCs w:val="23"/>
      <w:lang w:val="en-CA"/>
    </w:rPr>
  </w:style>
  <w:style w:type="character" w:customStyle="1" w:styleId="18BookmanOldStyle">
    <w:name w:val="Основной текст (18) + Bookman Old Style"/>
    <w:aliases w:val="8.5 pt15,Интервал 0 pt68"/>
    <w:rsid w:val="007E3886"/>
    <w:rPr>
      <w:rFonts w:ascii="Bookman Old Style" w:hAnsi="Bookman Old Style" w:cs="Bookman Old Style"/>
      <w:spacing w:val="10"/>
      <w:sz w:val="17"/>
      <w:szCs w:val="17"/>
      <w:u w:val="none"/>
      <w:lang w:bidi="ar-SA"/>
    </w:rPr>
  </w:style>
  <w:style w:type="character" w:customStyle="1" w:styleId="CharChar">
    <w:name w:val="Char Char"/>
    <w:semiHidden/>
    <w:locked/>
    <w:rsid w:val="007E3886"/>
    <w:rPr>
      <w:lang w:val="bg-BG" w:eastAsia="bg-BG" w:bidi="ar-SA"/>
    </w:rPr>
  </w:style>
  <w:style w:type="paragraph" w:customStyle="1" w:styleId="Normal1">
    <w:name w:val="Normal1"/>
    <w:uiPriority w:val="99"/>
    <w:rsid w:val="00232311"/>
    <w:pPr>
      <w:spacing w:before="40" w:after="0" w:line="240" w:lineRule="auto"/>
    </w:pPr>
    <w:rPr>
      <w:rFonts w:ascii="Times New Roman" w:eastAsia="Times New Roman" w:hAnsi="Times New Roman" w:cs="Times New Roman"/>
      <w:lang w:val="bg-BG" w:eastAsia="bg-BG"/>
    </w:rPr>
  </w:style>
  <w:style w:type="paragraph" w:styleId="BodyTextIndent">
    <w:name w:val="Body Text Indent"/>
    <w:basedOn w:val="Normal"/>
    <w:link w:val="BodyTextIndentChar"/>
    <w:unhideWhenUsed/>
    <w:rsid w:val="00E013DD"/>
    <w:pPr>
      <w:spacing w:after="120"/>
      <w:ind w:left="283"/>
    </w:pPr>
  </w:style>
  <w:style w:type="character" w:customStyle="1" w:styleId="BodyTextIndentChar">
    <w:name w:val="Body Text Indent Char"/>
    <w:basedOn w:val="DefaultParagraphFont"/>
    <w:link w:val="BodyTextIndent"/>
    <w:rsid w:val="00E013DD"/>
    <w:rPr>
      <w:lang w:val="en-GB"/>
    </w:rPr>
  </w:style>
  <w:style w:type="paragraph" w:customStyle="1" w:styleId="20">
    <w:name w:val="2"/>
    <w:basedOn w:val="Normal"/>
    <w:rsid w:val="00E013DD"/>
    <w:pPr>
      <w:tabs>
        <w:tab w:val="left" w:pos="709"/>
      </w:tabs>
      <w:spacing w:after="0" w:line="240" w:lineRule="auto"/>
    </w:pPr>
    <w:rPr>
      <w:rFonts w:ascii="Tahoma" w:eastAsia="Times New Roman" w:hAnsi="Tahoma" w:cs="Times New Roman"/>
      <w:sz w:val="24"/>
      <w:szCs w:val="24"/>
      <w:lang w:val="pl-PL" w:eastAsia="pl-PL"/>
    </w:rPr>
  </w:style>
  <w:style w:type="paragraph" w:customStyle="1" w:styleId="ftrefChar1CharChar">
    <w:name w:val="ftref Char1 Char Char"/>
    <w:basedOn w:val="Normal"/>
    <w:rsid w:val="00065426"/>
    <w:pPr>
      <w:widowControl w:val="0"/>
      <w:spacing w:after="120" w:line="240" w:lineRule="exact"/>
      <w:jc w:val="both"/>
    </w:pPr>
    <w:rPr>
      <w:vertAlign w:val="superscript"/>
      <w:lang w:val="en-US"/>
    </w:rPr>
  </w:style>
  <w:style w:type="character" w:customStyle="1" w:styleId="UnresolvedMention1">
    <w:name w:val="Unresolved Mention1"/>
    <w:basedOn w:val="DefaultParagraphFont"/>
    <w:uiPriority w:val="99"/>
    <w:semiHidden/>
    <w:unhideWhenUsed/>
    <w:rsid w:val="0001651D"/>
    <w:rPr>
      <w:color w:val="605E5C"/>
      <w:shd w:val="clear" w:color="auto" w:fill="E1DFDD"/>
    </w:rPr>
  </w:style>
  <w:style w:type="character" w:customStyle="1" w:styleId="UnresolvedMention2">
    <w:name w:val="Unresolved Mention2"/>
    <w:basedOn w:val="DefaultParagraphFont"/>
    <w:uiPriority w:val="99"/>
    <w:semiHidden/>
    <w:unhideWhenUsed/>
    <w:rsid w:val="006460E7"/>
    <w:rPr>
      <w:color w:val="605E5C"/>
      <w:shd w:val="clear" w:color="auto" w:fill="E1DFDD"/>
    </w:rPr>
  </w:style>
  <w:style w:type="character" w:customStyle="1" w:styleId="UnresolvedMention3">
    <w:name w:val="Unresolved Mention3"/>
    <w:basedOn w:val="DefaultParagraphFont"/>
    <w:uiPriority w:val="99"/>
    <w:semiHidden/>
    <w:unhideWhenUsed/>
    <w:rsid w:val="005F7D40"/>
    <w:rPr>
      <w:color w:val="605E5C"/>
      <w:shd w:val="clear" w:color="auto" w:fill="E1DFDD"/>
    </w:rPr>
  </w:style>
  <w:style w:type="numbering" w:customStyle="1" w:styleId="NoList3">
    <w:name w:val="No List3"/>
    <w:next w:val="NoList"/>
    <w:uiPriority w:val="99"/>
    <w:semiHidden/>
    <w:unhideWhenUsed/>
    <w:rsid w:val="009C0D93"/>
  </w:style>
  <w:style w:type="paragraph" w:customStyle="1" w:styleId="msonormal0">
    <w:name w:val="msonormal"/>
    <w:basedOn w:val="Normal"/>
    <w:uiPriority w:val="99"/>
    <w:rsid w:val="009C0D93"/>
    <w:pPr>
      <w:spacing w:before="100" w:beforeAutospacing="1" w:after="100" w:afterAutospacing="1" w:line="240" w:lineRule="auto"/>
      <w:jc w:val="both"/>
    </w:pPr>
    <w:rPr>
      <w:rFonts w:ascii="Times New Roman" w:eastAsia="Times New Roman" w:hAnsi="Times New Roman" w:cs="Times New Roman"/>
      <w:sz w:val="24"/>
      <w:szCs w:val="24"/>
      <w:lang w:val="en-CA" w:eastAsia="en-CA"/>
    </w:rPr>
  </w:style>
  <w:style w:type="paragraph" w:styleId="TOC4">
    <w:name w:val="toc 4"/>
    <w:basedOn w:val="Normal"/>
    <w:next w:val="Normal"/>
    <w:autoRedefine/>
    <w:uiPriority w:val="39"/>
    <w:unhideWhenUsed/>
    <w:rsid w:val="009C0D93"/>
    <w:pPr>
      <w:spacing w:after="100"/>
      <w:ind w:left="660"/>
      <w:jc w:val="both"/>
    </w:pPr>
    <w:rPr>
      <w:rFonts w:ascii="Calibri" w:eastAsia="Times New Roman" w:hAnsi="Calibri" w:cs="Times New Roman"/>
      <w:lang w:val="en-CA" w:eastAsia="en-CA"/>
    </w:rPr>
  </w:style>
  <w:style w:type="paragraph" w:styleId="TOC5">
    <w:name w:val="toc 5"/>
    <w:basedOn w:val="Normal"/>
    <w:next w:val="Normal"/>
    <w:autoRedefine/>
    <w:uiPriority w:val="39"/>
    <w:unhideWhenUsed/>
    <w:rsid w:val="009C0D93"/>
    <w:pPr>
      <w:spacing w:after="100"/>
      <w:ind w:left="880"/>
      <w:jc w:val="both"/>
    </w:pPr>
    <w:rPr>
      <w:rFonts w:ascii="Calibri" w:eastAsia="Times New Roman" w:hAnsi="Calibri" w:cs="Times New Roman"/>
      <w:lang w:val="en-CA" w:eastAsia="en-CA"/>
    </w:rPr>
  </w:style>
  <w:style w:type="paragraph" w:styleId="TOC6">
    <w:name w:val="toc 6"/>
    <w:basedOn w:val="Normal"/>
    <w:next w:val="Normal"/>
    <w:autoRedefine/>
    <w:uiPriority w:val="39"/>
    <w:unhideWhenUsed/>
    <w:rsid w:val="009C0D93"/>
    <w:pPr>
      <w:spacing w:after="100"/>
      <w:ind w:left="1100"/>
      <w:jc w:val="both"/>
    </w:pPr>
    <w:rPr>
      <w:rFonts w:ascii="Calibri" w:eastAsia="Times New Roman" w:hAnsi="Calibri" w:cs="Times New Roman"/>
      <w:lang w:val="en-CA" w:eastAsia="en-CA"/>
    </w:rPr>
  </w:style>
  <w:style w:type="paragraph" w:styleId="TOC7">
    <w:name w:val="toc 7"/>
    <w:basedOn w:val="Normal"/>
    <w:next w:val="Normal"/>
    <w:autoRedefine/>
    <w:uiPriority w:val="39"/>
    <w:unhideWhenUsed/>
    <w:rsid w:val="009C0D93"/>
    <w:pPr>
      <w:spacing w:after="100"/>
      <w:ind w:left="1320"/>
      <w:jc w:val="both"/>
    </w:pPr>
    <w:rPr>
      <w:rFonts w:ascii="Calibri" w:eastAsia="Times New Roman" w:hAnsi="Calibri" w:cs="Times New Roman"/>
      <w:lang w:val="en-CA" w:eastAsia="en-CA"/>
    </w:rPr>
  </w:style>
  <w:style w:type="paragraph" w:styleId="TOC8">
    <w:name w:val="toc 8"/>
    <w:basedOn w:val="Normal"/>
    <w:next w:val="Normal"/>
    <w:autoRedefine/>
    <w:uiPriority w:val="39"/>
    <w:unhideWhenUsed/>
    <w:rsid w:val="009C0D93"/>
    <w:pPr>
      <w:spacing w:after="100"/>
      <w:ind w:left="1540"/>
      <w:jc w:val="both"/>
    </w:pPr>
    <w:rPr>
      <w:rFonts w:ascii="Calibri" w:eastAsia="Times New Roman" w:hAnsi="Calibri" w:cs="Times New Roman"/>
      <w:lang w:val="en-CA" w:eastAsia="en-CA"/>
    </w:rPr>
  </w:style>
  <w:style w:type="paragraph" w:styleId="TOC9">
    <w:name w:val="toc 9"/>
    <w:basedOn w:val="Normal"/>
    <w:next w:val="Normal"/>
    <w:autoRedefine/>
    <w:uiPriority w:val="39"/>
    <w:unhideWhenUsed/>
    <w:rsid w:val="009C0D93"/>
    <w:pPr>
      <w:spacing w:after="100"/>
      <w:ind w:left="1760"/>
      <w:jc w:val="both"/>
    </w:pPr>
    <w:rPr>
      <w:rFonts w:ascii="Calibri" w:eastAsia="Times New Roman" w:hAnsi="Calibri" w:cs="Times New Roman"/>
      <w:lang w:val="en-CA" w:eastAsia="en-CA"/>
    </w:rPr>
  </w:style>
  <w:style w:type="paragraph" w:styleId="ListBullet">
    <w:name w:val="List Bullet"/>
    <w:basedOn w:val="Normal"/>
    <w:autoRedefine/>
    <w:uiPriority w:val="99"/>
    <w:unhideWhenUsed/>
    <w:rsid w:val="009C0D93"/>
    <w:pPr>
      <w:spacing w:after="240" w:line="240" w:lineRule="auto"/>
      <w:jc w:val="both"/>
    </w:pPr>
    <w:rPr>
      <w:rFonts w:ascii="Times New Roman" w:eastAsia="Times New Roman" w:hAnsi="Times New Roman" w:cs="Times New Roman"/>
      <w:sz w:val="24"/>
      <w:szCs w:val="20"/>
    </w:rPr>
  </w:style>
  <w:style w:type="paragraph" w:styleId="BodyTextIndent3">
    <w:name w:val="Body Text Indent 3"/>
    <w:basedOn w:val="Normal"/>
    <w:link w:val="BodyTextIndent3Char"/>
    <w:unhideWhenUsed/>
    <w:rsid w:val="009C0D93"/>
    <w:pPr>
      <w:spacing w:after="0" w:line="240" w:lineRule="auto"/>
      <w:ind w:firstLine="851"/>
      <w:jc w:val="both"/>
    </w:pPr>
    <w:rPr>
      <w:rFonts w:ascii="Times New Roman" w:eastAsia="Times New Roman" w:hAnsi="Times New Roman" w:cs="Times New Roman"/>
      <w:sz w:val="26"/>
      <w:szCs w:val="20"/>
      <w:lang w:val="en-US"/>
    </w:rPr>
  </w:style>
  <w:style w:type="character" w:customStyle="1" w:styleId="BodyTextIndent3Char">
    <w:name w:val="Body Text Indent 3 Char"/>
    <w:basedOn w:val="DefaultParagraphFont"/>
    <w:link w:val="BodyTextIndent3"/>
    <w:rsid w:val="009C0D93"/>
    <w:rPr>
      <w:rFonts w:ascii="Times New Roman" w:eastAsia="Times New Roman" w:hAnsi="Times New Roman" w:cs="Times New Roman"/>
      <w:sz w:val="26"/>
      <w:szCs w:val="20"/>
      <w:lang w:val="en-US"/>
    </w:rPr>
  </w:style>
  <w:style w:type="paragraph" w:customStyle="1" w:styleId="BodyText21">
    <w:name w:val="Body Text 21"/>
    <w:basedOn w:val="Normal"/>
    <w:uiPriority w:val="99"/>
    <w:rsid w:val="009C0D93"/>
    <w:pPr>
      <w:widowControl w:val="0"/>
      <w:overflowPunct w:val="0"/>
      <w:autoSpaceDE w:val="0"/>
      <w:autoSpaceDN w:val="0"/>
      <w:adjustRightInd w:val="0"/>
      <w:spacing w:after="0" w:line="240" w:lineRule="auto"/>
      <w:jc w:val="center"/>
    </w:pPr>
    <w:rPr>
      <w:rFonts w:ascii="Times New Roman" w:eastAsia="Times New Roman" w:hAnsi="Times New Roman" w:cs="Times New Roman"/>
      <w:b/>
      <w:sz w:val="24"/>
      <w:szCs w:val="20"/>
      <w:lang w:val="en-US"/>
    </w:rPr>
  </w:style>
  <w:style w:type="character" w:customStyle="1" w:styleId="Style1Char">
    <w:name w:val="Style1 Char"/>
    <w:link w:val="Style1"/>
    <w:locked/>
    <w:rsid w:val="009C0D93"/>
    <w:rPr>
      <w:rFonts w:ascii="Times New Roman" w:eastAsia="Times New Roman" w:hAnsi="Times New Roman" w:cs="Lohit Devanagari"/>
      <w:sz w:val="24"/>
      <w:szCs w:val="24"/>
      <w:lang w:val="en-GB" w:eastAsia="bg-BG" w:bidi="hi-IN"/>
    </w:rPr>
  </w:style>
  <w:style w:type="paragraph" w:customStyle="1" w:styleId="buttons">
    <w:name w:val="buttons"/>
    <w:basedOn w:val="Normal"/>
    <w:uiPriority w:val="99"/>
    <w:rsid w:val="009C0D93"/>
    <w:pPr>
      <w:spacing w:before="100" w:beforeAutospacing="1" w:after="100" w:afterAutospacing="1" w:line="240" w:lineRule="auto"/>
      <w:jc w:val="both"/>
    </w:pPr>
    <w:rPr>
      <w:rFonts w:ascii="Times New Roman" w:eastAsia="Times New Roman" w:hAnsi="Times New Roman" w:cs="Times New Roman"/>
      <w:sz w:val="24"/>
      <w:szCs w:val="24"/>
      <w:lang w:val="en-CA" w:eastAsia="en-CA"/>
    </w:rPr>
  </w:style>
  <w:style w:type="paragraph" w:customStyle="1" w:styleId="CharCharChar2Char">
    <w:name w:val="Char Char Char2 Char"/>
    <w:basedOn w:val="Normal"/>
    <w:uiPriority w:val="99"/>
    <w:rsid w:val="009C0D93"/>
    <w:pPr>
      <w:tabs>
        <w:tab w:val="left" w:pos="709"/>
      </w:tabs>
      <w:spacing w:after="0" w:line="240" w:lineRule="auto"/>
      <w:jc w:val="both"/>
    </w:pPr>
    <w:rPr>
      <w:rFonts w:ascii="Tahoma" w:eastAsia="Times New Roman" w:hAnsi="Tahoma" w:cs="Times New Roman"/>
      <w:sz w:val="24"/>
      <w:szCs w:val="24"/>
      <w:lang w:val="pl-PL" w:eastAsia="pl-PL"/>
    </w:rPr>
  </w:style>
  <w:style w:type="paragraph" w:customStyle="1" w:styleId="entry-title">
    <w:name w:val="entry-title"/>
    <w:basedOn w:val="Normal"/>
    <w:uiPriority w:val="99"/>
    <w:rsid w:val="009C0D93"/>
    <w:pPr>
      <w:spacing w:before="100" w:beforeAutospacing="1" w:after="100" w:afterAutospacing="1" w:line="240" w:lineRule="auto"/>
      <w:jc w:val="both"/>
    </w:pPr>
    <w:rPr>
      <w:rFonts w:ascii="Times New Roman" w:eastAsia="Times New Roman" w:hAnsi="Times New Roman" w:cs="Times New Roman"/>
      <w:sz w:val="24"/>
      <w:szCs w:val="24"/>
      <w:lang w:val="en-CA" w:eastAsia="en-CA"/>
    </w:rPr>
  </w:style>
  <w:style w:type="character" w:customStyle="1" w:styleId="apple-converted-space">
    <w:name w:val="apple-converted-space"/>
    <w:uiPriority w:val="99"/>
    <w:rsid w:val="009C0D93"/>
  </w:style>
  <w:style w:type="character" w:customStyle="1" w:styleId="newdocreference">
    <w:name w:val="newdocreference"/>
    <w:rsid w:val="009C0D93"/>
  </w:style>
  <w:style w:type="character" w:customStyle="1" w:styleId="samedocreference">
    <w:name w:val="samedocreference"/>
    <w:uiPriority w:val="99"/>
    <w:rsid w:val="009C0D93"/>
  </w:style>
  <w:style w:type="table" w:customStyle="1" w:styleId="TableGrid3">
    <w:name w:val="Table Grid3"/>
    <w:basedOn w:val="TableNormal"/>
    <w:next w:val="TableGrid"/>
    <w:uiPriority w:val="59"/>
    <w:rsid w:val="009C0D9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99"/>
    <w:semiHidden/>
    <w:unhideWhenUsed/>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shd w:val="clear" w:color="auto" w:fill="4472C4"/>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tblStylePr w:type="band1Horz">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1">
    <w:name w:val="Light Shading - Accent 51"/>
    <w:uiPriority w:val="99"/>
    <w:rsid w:val="009C0D93"/>
    <w:pPr>
      <w:spacing w:after="0" w:line="240" w:lineRule="auto"/>
    </w:pPr>
    <w:rPr>
      <w:rFonts w:ascii="Times New Roman" w:eastAsia="Times New Roman" w:hAnsi="Times New Roman"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
    <w:name w:val="Light List - Accent 11"/>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
    <w:name w:val="Light Grid - Accent 11"/>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
    <w:name w:val="Medium Shading 1 - Accent 11"/>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
    <w:name w:val="Medium Shading 2 - Accent 11"/>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1">
    <w:name w:val="Table Grid11"/>
    <w:uiPriority w:val="99"/>
    <w:rsid w:val="009C0D93"/>
    <w:pPr>
      <w:spacing w:after="0" w:line="240" w:lineRule="auto"/>
    </w:pPr>
    <w:rPr>
      <w:rFonts w:ascii="Calibri" w:eastAsia="Times New Rom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52">
    <w:name w:val="Light Shading - Accent 52"/>
    <w:uiPriority w:val="99"/>
    <w:rsid w:val="009C0D93"/>
    <w:pPr>
      <w:spacing w:after="0" w:line="240" w:lineRule="auto"/>
    </w:pPr>
    <w:rPr>
      <w:rFonts w:ascii="Times New Roman" w:eastAsia="Times New Roman" w:hAnsi="Times New Roman"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
    <w:name w:val="Light List - Accent 12"/>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
    <w:name w:val="Light Grid - Accent 12"/>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
    <w:name w:val="Medium Shading 1 - Accent 12"/>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
    <w:name w:val="Medium Shading 2 - Accent 12"/>
    <w:uiPriority w:val="99"/>
    <w:rsid w:val="009C0D9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377CE0"/>
  </w:style>
  <w:style w:type="table" w:customStyle="1" w:styleId="TableGrid4">
    <w:name w:val="Table Grid4"/>
    <w:basedOn w:val="TableNormal"/>
    <w:next w:val="TableGrid"/>
    <w:uiPriority w:val="99"/>
    <w:rsid w:val="00377CE0"/>
    <w:pPr>
      <w:spacing w:after="0" w:line="240" w:lineRule="auto"/>
    </w:pPr>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1">
    <w:name w:val="Light Shading - Accent 511"/>
    <w:uiPriority w:val="99"/>
    <w:rsid w:val="00377CE0"/>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1">
    <w:name w:val="Light List - Accent 11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1">
    <w:name w:val="Light Grid - Accent 11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1">
    <w:name w:val="Medium Shading 1 - Accent 11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1">
    <w:name w:val="Medium Shading 2 - Accent 11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2">
    <w:name w:val="Table Grid12"/>
    <w:uiPriority w:val="99"/>
    <w:rsid w:val="00377CE0"/>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uiPriority w:val="99"/>
    <w:rsid w:val="00377CE0"/>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51">
    <w:name w:val="Light List - Accent 51"/>
    <w:basedOn w:val="TableNormal"/>
    <w:next w:val="LightList-Accent5"/>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pPr>
      <w:rPr>
        <w:rFonts w:cs="Times New Roman"/>
        <w:b/>
        <w:bCs/>
        <w:color w:val="FFFFFF"/>
      </w:rPr>
      <w:tblPr/>
      <w:tcPr>
        <w:shd w:val="clear" w:color="auto" w:fill="4472C4"/>
      </w:tcPr>
    </w:tblStylePr>
    <w:tblStylePr w:type="lastRow">
      <w:pPr>
        <w:spacing w:before="0" w:after="0"/>
      </w:pPr>
      <w:rPr>
        <w:rFonts w:cs="Times New Roman"/>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left w:val="single" w:sz="8" w:space="0" w:color="4472C4"/>
          <w:bottom w:val="single" w:sz="8" w:space="0" w:color="4472C4"/>
          <w:right w:val="single" w:sz="8" w:space="0" w:color="4472C4"/>
        </w:tcBorders>
      </w:tcPr>
    </w:tblStylePr>
    <w:tblStylePr w:type="band1Horz">
      <w:rPr>
        <w:rFonts w:cs="Times New Roman"/>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21">
    <w:name w:val="Light Shading - Accent 521"/>
    <w:uiPriority w:val="99"/>
    <w:rsid w:val="00377CE0"/>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1">
    <w:name w:val="Light List - Accent 12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1">
    <w:name w:val="Light Grid - Accent 12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1">
    <w:name w:val="Medium Shading 1 - Accent 12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1">
    <w:name w:val="Medium Shading 2 - Accent 121"/>
    <w:uiPriority w:val="99"/>
    <w:rsid w:val="00377CE0"/>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Style16ptJustified">
    <w:name w:val="Style 16 pt Justified"/>
    <w:basedOn w:val="Normal"/>
    <w:rsid w:val="00604EF9"/>
    <w:pPr>
      <w:widowControl w:val="0"/>
      <w:spacing w:after="0" w:line="240" w:lineRule="auto"/>
      <w:jc w:val="both"/>
    </w:pPr>
    <w:rPr>
      <w:rFonts w:ascii="Times New Roman" w:eastAsia="Times New Roman" w:hAnsi="Times New Roman" w:cs="Times New Roman"/>
      <w:sz w:val="32"/>
      <w:szCs w:val="20"/>
      <w:lang w:val="en-US" w:eastAsia="bg-BG"/>
    </w:rPr>
  </w:style>
  <w:style w:type="paragraph" w:styleId="BodyTextIndent2">
    <w:name w:val="Body Text Indent 2"/>
    <w:basedOn w:val="Normal"/>
    <w:link w:val="BodyTextIndent2Char"/>
    <w:rsid w:val="00604EF9"/>
    <w:pPr>
      <w:widowControl w:val="0"/>
      <w:overflowPunct w:val="0"/>
      <w:autoSpaceDE w:val="0"/>
      <w:autoSpaceDN w:val="0"/>
      <w:adjustRightInd w:val="0"/>
      <w:spacing w:after="120" w:line="480" w:lineRule="auto"/>
      <w:ind w:left="283"/>
      <w:textAlignment w:val="baseline"/>
    </w:pPr>
    <w:rPr>
      <w:rFonts w:ascii="Hebar" w:eastAsia="Times New Roman" w:hAnsi="Hebar" w:cs="Times New Roman"/>
      <w:sz w:val="24"/>
      <w:szCs w:val="20"/>
      <w:lang w:val="bg-BG"/>
    </w:rPr>
  </w:style>
  <w:style w:type="character" w:customStyle="1" w:styleId="BodyTextIndent2Char">
    <w:name w:val="Body Text Indent 2 Char"/>
    <w:basedOn w:val="DefaultParagraphFont"/>
    <w:link w:val="BodyTextIndent2"/>
    <w:rsid w:val="00604EF9"/>
    <w:rPr>
      <w:rFonts w:ascii="Hebar" w:eastAsia="Times New Roman" w:hAnsi="Hebar" w:cs="Times New Roman"/>
      <w:sz w:val="24"/>
      <w:szCs w:val="20"/>
      <w:lang w:val="bg-BG"/>
    </w:rPr>
  </w:style>
  <w:style w:type="paragraph" w:styleId="BlockText">
    <w:name w:val="Block Text"/>
    <w:basedOn w:val="Normal"/>
    <w:rsid w:val="00604EF9"/>
    <w:pPr>
      <w:overflowPunct w:val="0"/>
      <w:autoSpaceDE w:val="0"/>
      <w:autoSpaceDN w:val="0"/>
      <w:adjustRightInd w:val="0"/>
      <w:spacing w:after="0" w:line="240" w:lineRule="auto"/>
      <w:ind w:left="567" w:right="284" w:firstLine="720"/>
      <w:jc w:val="both"/>
      <w:textAlignment w:val="baseline"/>
    </w:pPr>
    <w:rPr>
      <w:rFonts w:ascii="Times New Roman" w:eastAsia="Times New Roman" w:hAnsi="Times New Roman" w:cs="Times New Roman"/>
      <w:color w:val="FF0000"/>
      <w:sz w:val="24"/>
      <w:szCs w:val="20"/>
      <w:lang w:val="bg-BG"/>
    </w:rPr>
  </w:style>
  <w:style w:type="paragraph" w:customStyle="1" w:styleId="StyleHeading1LeftLeft0cmHanging063cm">
    <w:name w:val="Style Heading 1 + Left Left:  0 cm Hanging:  063 cm"/>
    <w:basedOn w:val="Heading1"/>
    <w:rsid w:val="00604EF9"/>
    <w:pPr>
      <w:widowControl/>
      <w:numPr>
        <w:numId w:val="0"/>
      </w:numPr>
      <w:tabs>
        <w:tab w:val="num" w:pos="432"/>
      </w:tabs>
      <w:overflowPunct w:val="0"/>
      <w:autoSpaceDE w:val="0"/>
      <w:autoSpaceDN w:val="0"/>
      <w:adjustRightInd w:val="0"/>
      <w:spacing w:before="0" w:after="0"/>
      <w:ind w:left="357" w:hanging="357"/>
      <w:textAlignment w:val="baseline"/>
      <w:outlineLvl w:val="9"/>
    </w:pPr>
    <w:rPr>
      <w:rFonts w:eastAsia="Times New Roman" w:cs="Times New Roman"/>
      <w:bCs w:val="0"/>
      <w:sz w:val="28"/>
      <w:szCs w:val="20"/>
      <w:lang w:eastAsia="en-US" w:bidi="ar-SA"/>
    </w:rPr>
  </w:style>
  <w:style w:type="paragraph" w:customStyle="1" w:styleId="ChapterSubtitle">
    <w:name w:val="Chapter Subtitle"/>
    <w:basedOn w:val="Subtitle"/>
    <w:rsid w:val="00604EF9"/>
    <w:pPr>
      <w:widowControl/>
      <w:suppressLineNumbers/>
      <w:tabs>
        <w:tab w:val="left" w:pos="360"/>
      </w:tabs>
      <w:overflowPunct w:val="0"/>
      <w:autoSpaceDE w:val="0"/>
      <w:autoSpaceDN w:val="0"/>
      <w:adjustRightInd w:val="0"/>
      <w:spacing w:before="120"/>
      <w:textAlignment w:val="baseline"/>
    </w:pPr>
    <w:rPr>
      <w:rFonts w:eastAsia="Times New Roman" w:cs="Times New Roman"/>
      <w:b/>
      <w:spacing w:val="-16"/>
      <w:kern w:val="28"/>
      <w:sz w:val="32"/>
      <w:szCs w:val="20"/>
      <w:lang w:val="be-BY" w:eastAsia="en-US" w:bidi="ar-SA"/>
    </w:rPr>
  </w:style>
  <w:style w:type="paragraph" w:customStyle="1" w:styleId="bulleted1">
    <w:name w:val="bulleted1"/>
    <w:basedOn w:val="Normal"/>
    <w:rsid w:val="00604EF9"/>
    <w:pPr>
      <w:tabs>
        <w:tab w:val="left" w:pos="720"/>
      </w:tabs>
      <w:overflowPunct w:val="0"/>
      <w:autoSpaceDE w:val="0"/>
      <w:autoSpaceDN w:val="0"/>
      <w:adjustRightInd w:val="0"/>
      <w:spacing w:after="0" w:line="240" w:lineRule="auto"/>
      <w:ind w:left="720" w:hanging="363"/>
      <w:textAlignment w:val="baseline"/>
    </w:pPr>
    <w:rPr>
      <w:rFonts w:ascii="Times New Roman" w:eastAsia="Times New Roman" w:hAnsi="Times New Roman" w:cs="Times New Roman"/>
      <w:sz w:val="24"/>
      <w:szCs w:val="20"/>
      <w:lang w:val="bg-BG"/>
    </w:rPr>
  </w:style>
  <w:style w:type="paragraph" w:customStyle="1" w:styleId="Level1">
    <w:name w:val="Level 1"/>
    <w:rsid w:val="00604EF9"/>
    <w:pPr>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spacing w:before="100" w:after="100" w:line="240" w:lineRule="auto"/>
    </w:pPr>
    <w:rPr>
      <w:rFonts w:ascii="Arial" w:eastAsia="Times New Roman" w:hAnsi="Arial" w:cs="Arial"/>
      <w:lang w:val="en-US"/>
    </w:rPr>
  </w:style>
  <w:style w:type="paragraph" w:customStyle="1" w:styleId="Picture">
    <w:name w:val="Picture"/>
    <w:basedOn w:val="Normal"/>
    <w:next w:val="Caption"/>
    <w:rsid w:val="00604EF9"/>
    <w:pPr>
      <w:keepNext/>
      <w:suppressLineNumbers/>
      <w:tabs>
        <w:tab w:val="left" w:pos="360"/>
      </w:tabs>
      <w:spacing w:after="120" w:line="240" w:lineRule="auto"/>
      <w:ind w:firstLine="357"/>
      <w:jc w:val="both"/>
    </w:pPr>
    <w:rPr>
      <w:rFonts w:ascii="Times New Roman" w:eastAsia="Times New Roman" w:hAnsi="Times New Roman" w:cs="Times New Roman"/>
      <w:sz w:val="24"/>
      <w:szCs w:val="20"/>
      <w:lang w:val="en-US"/>
    </w:rPr>
  </w:style>
  <w:style w:type="paragraph" w:styleId="PlainText">
    <w:name w:val="Plain Text"/>
    <w:basedOn w:val="Normal"/>
    <w:link w:val="PlainTextChar"/>
    <w:rsid w:val="00604EF9"/>
    <w:pPr>
      <w:spacing w:after="0" w:line="320" w:lineRule="atLeast"/>
      <w:ind w:firstLine="720"/>
      <w:jc w:val="both"/>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rsid w:val="00604EF9"/>
    <w:rPr>
      <w:rFonts w:ascii="Courier New" w:eastAsia="Times New Roman" w:hAnsi="Courier New" w:cs="Times New Roman"/>
      <w:sz w:val="20"/>
      <w:szCs w:val="20"/>
      <w:lang w:val="en-US"/>
    </w:rPr>
  </w:style>
  <w:style w:type="paragraph" w:customStyle="1" w:styleId="Style">
    <w:name w:val="Style"/>
    <w:rsid w:val="00604EF9"/>
    <w:pPr>
      <w:spacing w:after="0" w:line="240" w:lineRule="auto"/>
      <w:ind w:left="140" w:right="140" w:firstLine="840"/>
      <w:jc w:val="both"/>
    </w:pPr>
    <w:rPr>
      <w:rFonts w:ascii="Times New Roman" w:eastAsia="Times New Roman" w:hAnsi="Times New Roman" w:cs="Times New Roman"/>
      <w:snapToGrid w:val="0"/>
      <w:sz w:val="24"/>
      <w:szCs w:val="20"/>
      <w:lang w:val="en-AU"/>
    </w:rPr>
  </w:style>
  <w:style w:type="paragraph" w:styleId="BodyText3">
    <w:name w:val="Body Text 3"/>
    <w:aliases w:val=" Char"/>
    <w:basedOn w:val="Normal"/>
    <w:link w:val="BodyText3Char"/>
    <w:rsid w:val="00604EF9"/>
    <w:pPr>
      <w:widowControl w:val="0"/>
      <w:spacing w:after="120" w:line="240" w:lineRule="auto"/>
    </w:pPr>
    <w:rPr>
      <w:rFonts w:ascii="Times New Roman" w:eastAsia="Times New Roman" w:hAnsi="Times New Roman" w:cs="Times New Roman"/>
      <w:sz w:val="16"/>
      <w:szCs w:val="16"/>
      <w:lang w:val="en-US" w:eastAsia="bg-BG"/>
    </w:rPr>
  </w:style>
  <w:style w:type="character" w:customStyle="1" w:styleId="BodyText3Char">
    <w:name w:val="Body Text 3 Char"/>
    <w:aliases w:val=" Char Char"/>
    <w:basedOn w:val="DefaultParagraphFont"/>
    <w:link w:val="BodyText3"/>
    <w:rsid w:val="00604EF9"/>
    <w:rPr>
      <w:rFonts w:ascii="Times New Roman" w:eastAsia="Times New Roman" w:hAnsi="Times New Roman" w:cs="Times New Roman"/>
      <w:sz w:val="16"/>
      <w:szCs w:val="16"/>
      <w:lang w:val="en-US" w:eastAsia="bg-BG"/>
    </w:rPr>
  </w:style>
  <w:style w:type="paragraph" w:customStyle="1" w:styleId="text">
    <w:name w:val="text"/>
    <w:basedOn w:val="Normal"/>
    <w:rsid w:val="00604EF9"/>
    <w:pPr>
      <w:spacing w:before="100" w:beforeAutospacing="1" w:after="100" w:afterAutospacing="1" w:line="240" w:lineRule="auto"/>
    </w:pPr>
    <w:rPr>
      <w:rFonts w:ascii="Times New Roman" w:eastAsia="Times New Roman" w:hAnsi="Times New Roman" w:cs="Times New Roman"/>
      <w:sz w:val="24"/>
      <w:szCs w:val="24"/>
      <w:lang w:val="bg-BG" w:eastAsia="bg-BG"/>
    </w:rPr>
  </w:style>
  <w:style w:type="paragraph" w:customStyle="1" w:styleId="msiParagraph">
    <w:name w:val="msiParagraph"/>
    <w:basedOn w:val="Normal"/>
    <w:rsid w:val="00604EF9"/>
    <w:pPr>
      <w:spacing w:before="120" w:after="0" w:line="240" w:lineRule="auto"/>
    </w:pPr>
    <w:rPr>
      <w:rFonts w:ascii="Times New Roman" w:eastAsia="Times New Roman" w:hAnsi="Times New Roman" w:cs="Times New Roman"/>
      <w:sz w:val="24"/>
      <w:szCs w:val="20"/>
      <w:lang w:val="en-US"/>
    </w:rPr>
  </w:style>
  <w:style w:type="paragraph" w:customStyle="1" w:styleId="header1">
    <w:name w:val="header1"/>
    <w:basedOn w:val="Normal"/>
    <w:rsid w:val="00604EF9"/>
    <w:pPr>
      <w:spacing w:before="100" w:beforeAutospacing="1" w:after="100" w:afterAutospacing="1" w:line="240" w:lineRule="auto"/>
    </w:pPr>
    <w:rPr>
      <w:rFonts w:ascii="Arial" w:eastAsia="Times New Roman" w:hAnsi="Arial" w:cs="Arial"/>
      <w:b/>
      <w:bCs/>
      <w:color w:val="003399"/>
      <w:sz w:val="32"/>
      <w:szCs w:val="32"/>
      <w:lang w:val="en-US"/>
    </w:rPr>
  </w:style>
  <w:style w:type="paragraph" w:customStyle="1" w:styleId="FR2">
    <w:name w:val="FR2"/>
    <w:rsid w:val="00604EF9"/>
    <w:pPr>
      <w:widowControl w:val="0"/>
      <w:spacing w:before="1120" w:after="0" w:line="420" w:lineRule="auto"/>
      <w:ind w:right="600"/>
      <w:jc w:val="right"/>
    </w:pPr>
    <w:rPr>
      <w:rFonts w:ascii="Arial" w:eastAsia="Times New Roman" w:hAnsi="Arial" w:cs="Times New Roman"/>
      <w:snapToGrid w:val="0"/>
      <w:sz w:val="32"/>
      <w:szCs w:val="20"/>
      <w:lang w:val="bg-BG"/>
    </w:rPr>
  </w:style>
  <w:style w:type="paragraph" w:styleId="ListContinue2">
    <w:name w:val="List Continue 2"/>
    <w:basedOn w:val="Normal"/>
    <w:rsid w:val="00604EF9"/>
    <w:pPr>
      <w:widowControl w:val="0"/>
      <w:spacing w:after="120" w:line="240" w:lineRule="auto"/>
      <w:ind w:left="566"/>
    </w:pPr>
    <w:rPr>
      <w:rFonts w:ascii="Times New Roman" w:eastAsia="Times New Roman" w:hAnsi="Times New Roman" w:cs="Times New Roman"/>
      <w:sz w:val="20"/>
      <w:szCs w:val="20"/>
      <w:lang w:val="en-AU" w:eastAsia="bg-BG"/>
    </w:rPr>
  </w:style>
  <w:style w:type="paragraph" w:customStyle="1" w:styleId="article">
    <w:name w:val="article"/>
    <w:basedOn w:val="Normal"/>
    <w:rsid w:val="00604EF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romb">
    <w:name w:val="romb"/>
    <w:basedOn w:val="Normal"/>
    <w:rsid w:val="00604EF9"/>
    <w:pPr>
      <w:numPr>
        <w:ilvl w:val="2"/>
        <w:numId w:val="14"/>
      </w:numPr>
      <w:spacing w:before="240" w:after="120" w:line="240" w:lineRule="auto"/>
      <w:jc w:val="both"/>
    </w:pPr>
    <w:rPr>
      <w:rFonts w:ascii="Times New Roman" w:eastAsia="PMingLiU" w:hAnsi="Times New Roman" w:cs="Times New Roman"/>
      <w:sz w:val="24"/>
      <w:szCs w:val="24"/>
      <w:lang w:val="bg-BG" w:eastAsia="zh-TW"/>
    </w:rPr>
  </w:style>
  <w:style w:type="paragraph" w:customStyle="1" w:styleId="11">
    <w:name w:val="Заглавие1"/>
    <w:basedOn w:val="Normal"/>
    <w:uiPriority w:val="99"/>
    <w:rsid w:val="00604EF9"/>
    <w:pPr>
      <w:spacing w:before="100" w:beforeAutospacing="1" w:after="100" w:afterAutospacing="1" w:line="240" w:lineRule="auto"/>
    </w:pPr>
    <w:rPr>
      <w:rFonts w:ascii="Calibri" w:eastAsia="Calibri" w:hAnsi="Calibri" w:cs="Times New Roman"/>
      <w:sz w:val="24"/>
      <w:szCs w:val="24"/>
      <w:lang w:val="bg-BG" w:eastAsia="bg-BG"/>
    </w:rPr>
  </w:style>
  <w:style w:type="character" w:customStyle="1" w:styleId="BalloonTextChar1">
    <w:name w:val="Balloon Text Char1"/>
    <w:uiPriority w:val="99"/>
    <w:rsid w:val="00604EF9"/>
    <w:rPr>
      <w:rFonts w:ascii="Tahoma" w:eastAsia="MS Mincho" w:hAnsi="Tahoma" w:cs="Tahoma"/>
      <w:sz w:val="16"/>
      <w:szCs w:val="16"/>
      <w:lang w:val="bg-BG"/>
    </w:rPr>
  </w:style>
  <w:style w:type="character" w:customStyle="1" w:styleId="HeaderChar1">
    <w:name w:val="Header Char1"/>
    <w:uiPriority w:val="99"/>
    <w:rsid w:val="00604EF9"/>
    <w:rPr>
      <w:sz w:val="28"/>
      <w:lang w:val="en-GB"/>
    </w:rPr>
  </w:style>
  <w:style w:type="character" w:customStyle="1" w:styleId="FooterChar1">
    <w:name w:val="Footer Char1"/>
    <w:uiPriority w:val="99"/>
    <w:rsid w:val="00604EF9"/>
    <w:rPr>
      <w:rFonts w:ascii="Domkrat" w:hAnsi="Domkrat"/>
      <w:sz w:val="28"/>
    </w:rPr>
  </w:style>
  <w:style w:type="numbering" w:customStyle="1" w:styleId="12">
    <w:name w:val="Без списък1"/>
    <w:next w:val="NoList"/>
    <w:uiPriority w:val="99"/>
    <w:semiHidden/>
    <w:unhideWhenUsed/>
    <w:rsid w:val="00604EF9"/>
  </w:style>
  <w:style w:type="paragraph" w:customStyle="1" w:styleId="ListParagraph1">
    <w:name w:val="List Paragraph1"/>
    <w:basedOn w:val="Normal"/>
    <w:next w:val="ListParagraph"/>
    <w:uiPriority w:val="34"/>
    <w:qFormat/>
    <w:rsid w:val="00604EF9"/>
    <w:pPr>
      <w:ind w:left="720"/>
      <w:contextualSpacing/>
    </w:pPr>
    <w:rPr>
      <w:rFonts w:ascii="Calibri" w:eastAsia="Calibri" w:hAnsi="Calibri" w:cs="Times New Roman"/>
      <w:lang w:val="bg-BG"/>
    </w:rPr>
  </w:style>
  <w:style w:type="paragraph" w:customStyle="1" w:styleId="BalloonText1">
    <w:name w:val="Balloon Text1"/>
    <w:basedOn w:val="Normal"/>
    <w:next w:val="BalloonText"/>
    <w:uiPriority w:val="99"/>
    <w:semiHidden/>
    <w:unhideWhenUsed/>
    <w:rsid w:val="00604EF9"/>
    <w:pPr>
      <w:spacing w:after="0" w:line="240" w:lineRule="auto"/>
    </w:pPr>
    <w:rPr>
      <w:rFonts w:ascii="Segoe UI" w:eastAsia="Times New Roman" w:hAnsi="Segoe UI" w:cs="Segoe UI"/>
      <w:sz w:val="18"/>
      <w:szCs w:val="18"/>
      <w:lang w:val="en-US" w:eastAsia="bg-BG"/>
    </w:rPr>
  </w:style>
  <w:style w:type="paragraph" w:customStyle="1" w:styleId="Header10">
    <w:name w:val="Header1"/>
    <w:basedOn w:val="Normal"/>
    <w:next w:val="Header"/>
    <w:uiPriority w:val="99"/>
    <w:unhideWhenUsed/>
    <w:rsid w:val="00604EF9"/>
    <w:pPr>
      <w:tabs>
        <w:tab w:val="center" w:pos="4536"/>
        <w:tab w:val="right" w:pos="9072"/>
      </w:tabs>
      <w:spacing w:after="0" w:line="240" w:lineRule="auto"/>
    </w:pPr>
    <w:rPr>
      <w:rFonts w:ascii="Times New Roman" w:eastAsia="Times New Roman" w:hAnsi="Times New Roman" w:cs="Times New Roman"/>
      <w:sz w:val="24"/>
      <w:szCs w:val="20"/>
      <w:lang w:val="en-US" w:eastAsia="bg-BG"/>
    </w:rPr>
  </w:style>
  <w:style w:type="paragraph" w:customStyle="1" w:styleId="Footer1">
    <w:name w:val="Footer1"/>
    <w:basedOn w:val="Normal"/>
    <w:next w:val="Footer"/>
    <w:uiPriority w:val="99"/>
    <w:unhideWhenUsed/>
    <w:rsid w:val="00604EF9"/>
    <w:pPr>
      <w:tabs>
        <w:tab w:val="center" w:pos="4536"/>
        <w:tab w:val="right" w:pos="9072"/>
      </w:tabs>
      <w:spacing w:after="0" w:line="240" w:lineRule="auto"/>
    </w:pPr>
    <w:rPr>
      <w:rFonts w:ascii="Times New Roman" w:eastAsia="Times New Roman" w:hAnsi="Times New Roman" w:cs="Times New Roman"/>
      <w:sz w:val="24"/>
      <w:szCs w:val="20"/>
      <w:lang w:val="en-US" w:eastAsia="bg-BG"/>
    </w:rPr>
  </w:style>
  <w:style w:type="character" w:customStyle="1" w:styleId="UnresolvedMention4">
    <w:name w:val="Unresolved Mention4"/>
    <w:basedOn w:val="DefaultParagraphFont"/>
    <w:uiPriority w:val="99"/>
    <w:semiHidden/>
    <w:unhideWhenUsed/>
    <w:rsid w:val="00306F51"/>
    <w:rPr>
      <w:color w:val="605E5C"/>
      <w:shd w:val="clear" w:color="auto" w:fill="E1DFDD"/>
    </w:rPr>
  </w:style>
  <w:style w:type="numbering" w:customStyle="1" w:styleId="NoList5">
    <w:name w:val="No List5"/>
    <w:next w:val="NoList"/>
    <w:uiPriority w:val="99"/>
    <w:semiHidden/>
    <w:unhideWhenUsed/>
    <w:rsid w:val="00725023"/>
  </w:style>
  <w:style w:type="numbering" w:customStyle="1" w:styleId="WW8Num71">
    <w:name w:val="WW8Num71"/>
    <w:qFormat/>
    <w:rsid w:val="00725023"/>
  </w:style>
  <w:style w:type="table" w:customStyle="1" w:styleId="TableGrid5">
    <w:name w:val="Table Grid5"/>
    <w:basedOn w:val="TableNormal"/>
    <w:next w:val="TableGrid"/>
    <w:uiPriority w:val="59"/>
    <w:rsid w:val="00725023"/>
    <w:pPr>
      <w:spacing w:after="0" w:line="240" w:lineRule="auto"/>
    </w:pPr>
    <w:rPr>
      <w:rFonts w:eastAsiaTheme="minorEastAsia"/>
      <w:sz w:val="21"/>
      <w:szCs w:val="21"/>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725023"/>
  </w:style>
  <w:style w:type="table" w:customStyle="1" w:styleId="TableGrid13">
    <w:name w:val="Table Grid13"/>
    <w:basedOn w:val="TableNormal"/>
    <w:next w:val="TableGrid"/>
    <w:uiPriority w:val="59"/>
    <w:rsid w:val="0072502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725023"/>
  </w:style>
  <w:style w:type="table" w:customStyle="1" w:styleId="TableGrid21">
    <w:name w:val="Table Grid21"/>
    <w:basedOn w:val="TableNormal"/>
    <w:next w:val="TableGrid"/>
    <w:uiPriority w:val="59"/>
    <w:rsid w:val="0072502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NUTRVIT1">
    <w:name w:val="Table Style1 NUTR&amp;VIT1"/>
    <w:basedOn w:val="TableNormal"/>
    <w:locked/>
    <w:rsid w:val="00725023"/>
    <w:pPr>
      <w:spacing w:before="40" w:after="40" w:line="240" w:lineRule="auto"/>
    </w:pPr>
    <w:rPr>
      <w:rFonts w:ascii="Tahoma" w:eastAsia="Times New Roman" w:hAnsi="Tahoma" w:cs="Times New Roman"/>
      <w:sz w:val="20"/>
      <w:szCs w:val="20"/>
      <w:lang w:val="en-US"/>
    </w:rPr>
    <w:tblPr>
      <w:tblStyleRowBandSize w:val="1"/>
      <w:jc w:val="center"/>
    </w:tblPr>
    <w:trPr>
      <w:cantSplit/>
      <w:jc w:val="center"/>
    </w:trPr>
    <w:tblStylePr w:type="firstRow">
      <w:rPr>
        <w:b/>
      </w:rPr>
      <w:tblPr/>
      <w:trPr>
        <w:cantSplit/>
        <w:tblHeader/>
      </w:trPr>
      <w:tcPr>
        <w:tcBorders>
          <w:top w:val="nil"/>
          <w:left w:val="nil"/>
          <w:bottom w:val="nil"/>
          <w:right w:val="nil"/>
          <w:insideH w:val="nil"/>
          <w:insideV w:val="nil"/>
          <w:tl2br w:val="nil"/>
          <w:tr2bl w:val="nil"/>
        </w:tcBorders>
        <w:shd w:val="solid" w:color="008080" w:fill="auto"/>
      </w:tcPr>
    </w:tblStylePr>
    <w:tblStylePr w:type="band2Horz">
      <w:tblPr/>
      <w:tcPr>
        <w:tcBorders>
          <w:top w:val="nil"/>
          <w:left w:val="nil"/>
          <w:bottom w:val="nil"/>
          <w:right w:val="nil"/>
          <w:insideH w:val="nil"/>
          <w:insideV w:val="nil"/>
          <w:tl2br w:val="nil"/>
          <w:tr2bl w:val="nil"/>
        </w:tcBorders>
        <w:shd w:val="pct25" w:color="008080" w:fill="auto"/>
      </w:tcPr>
    </w:tblStylePr>
  </w:style>
  <w:style w:type="numbering" w:customStyle="1" w:styleId="NoList31">
    <w:name w:val="No List31"/>
    <w:next w:val="NoList"/>
    <w:uiPriority w:val="99"/>
    <w:semiHidden/>
    <w:unhideWhenUsed/>
    <w:rsid w:val="00725023"/>
  </w:style>
  <w:style w:type="table" w:customStyle="1" w:styleId="TableGrid31">
    <w:name w:val="Table Grid31"/>
    <w:basedOn w:val="TableNormal"/>
    <w:next w:val="TableGrid"/>
    <w:uiPriority w:val="59"/>
    <w:rsid w:val="0072502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2">
    <w:name w:val="Light List - Accent 52"/>
    <w:basedOn w:val="TableNormal"/>
    <w:next w:val="LightList-Accent5"/>
    <w:uiPriority w:val="99"/>
    <w:semiHidden/>
    <w:unhideWhenUsed/>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shd w:val="clear" w:color="auto" w:fill="4472C4"/>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tblStylePr w:type="band1Horz">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12">
    <w:name w:val="Light Shading - Accent 512"/>
    <w:uiPriority w:val="99"/>
    <w:rsid w:val="00725023"/>
    <w:pPr>
      <w:spacing w:after="0" w:line="240" w:lineRule="auto"/>
    </w:pPr>
    <w:rPr>
      <w:rFonts w:ascii="Times New Roman" w:eastAsia="Times New Roman" w:hAnsi="Times New Roman"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2">
    <w:name w:val="Light List - Accent 11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2">
    <w:name w:val="Light Grid - Accent 11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2">
    <w:name w:val="Medium Shading 1 - Accent 11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2">
    <w:name w:val="Medium Shading 2 - Accent 11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12">
    <w:name w:val="Table Grid112"/>
    <w:uiPriority w:val="99"/>
    <w:rsid w:val="00725023"/>
    <w:pPr>
      <w:spacing w:after="0" w:line="240" w:lineRule="auto"/>
    </w:pPr>
    <w:rPr>
      <w:rFonts w:ascii="Calibri" w:eastAsia="Times New Rom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522">
    <w:name w:val="Light Shading - Accent 522"/>
    <w:uiPriority w:val="99"/>
    <w:rsid w:val="00725023"/>
    <w:pPr>
      <w:spacing w:after="0" w:line="240" w:lineRule="auto"/>
    </w:pPr>
    <w:rPr>
      <w:rFonts w:ascii="Times New Roman" w:eastAsia="Times New Roman" w:hAnsi="Times New Roman"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2">
    <w:name w:val="Light List - Accent 12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2">
    <w:name w:val="Light Grid - Accent 12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2">
    <w:name w:val="Medium Shading 1 - Accent 12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2">
    <w:name w:val="Medium Shading 2 - Accent 122"/>
    <w:uiPriority w:val="99"/>
    <w:rsid w:val="0072502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725023"/>
  </w:style>
  <w:style w:type="table" w:customStyle="1" w:styleId="TableGrid41">
    <w:name w:val="Table Grid41"/>
    <w:basedOn w:val="TableNormal"/>
    <w:next w:val="TableGrid"/>
    <w:uiPriority w:val="99"/>
    <w:rsid w:val="00725023"/>
    <w:pPr>
      <w:spacing w:after="0" w:line="240" w:lineRule="auto"/>
    </w:pPr>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11">
    <w:name w:val="Light Shading - Accent 5111"/>
    <w:uiPriority w:val="99"/>
    <w:rsid w:val="00725023"/>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11">
    <w:name w:val="Light List - Accent 11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11">
    <w:name w:val="Light Grid - Accent 11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11">
    <w:name w:val="Medium Shading 1 - Accent 11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11">
    <w:name w:val="Medium Shading 2 - Accent 11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21">
    <w:name w:val="Table Grid121"/>
    <w:uiPriority w:val="99"/>
    <w:rsid w:val="00725023"/>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uiPriority w:val="99"/>
    <w:rsid w:val="00725023"/>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511">
    <w:name w:val="Light List - Accent 511"/>
    <w:basedOn w:val="TableNormal"/>
    <w:next w:val="LightList-Accent5"/>
    <w:uiPriority w:val="99"/>
    <w:locked/>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pPr>
      <w:rPr>
        <w:rFonts w:cs="Times New Roman"/>
        <w:b/>
        <w:bCs/>
        <w:color w:val="FFFFFF"/>
      </w:rPr>
      <w:tblPr/>
      <w:tcPr>
        <w:shd w:val="clear" w:color="auto" w:fill="4472C4"/>
      </w:tcPr>
    </w:tblStylePr>
    <w:tblStylePr w:type="lastRow">
      <w:pPr>
        <w:spacing w:before="0" w:after="0"/>
      </w:pPr>
      <w:rPr>
        <w:rFonts w:cs="Times New Roman"/>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left w:val="single" w:sz="8" w:space="0" w:color="4472C4"/>
          <w:bottom w:val="single" w:sz="8" w:space="0" w:color="4472C4"/>
          <w:right w:val="single" w:sz="8" w:space="0" w:color="4472C4"/>
        </w:tcBorders>
      </w:tcPr>
    </w:tblStylePr>
    <w:tblStylePr w:type="band1Horz">
      <w:rPr>
        <w:rFonts w:cs="Times New Roman"/>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211">
    <w:name w:val="Light Shading - Accent 5211"/>
    <w:uiPriority w:val="99"/>
    <w:rsid w:val="00725023"/>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11">
    <w:name w:val="Light List - Accent 12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11">
    <w:name w:val="Light Grid - Accent 12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11">
    <w:name w:val="Medium Shading 1 - Accent 12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11">
    <w:name w:val="Medium Shading 2 - Accent 1211"/>
    <w:uiPriority w:val="99"/>
    <w:rsid w:val="00725023"/>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numbering" w:customStyle="1" w:styleId="110">
    <w:name w:val="Без списък11"/>
    <w:next w:val="NoList"/>
    <w:uiPriority w:val="99"/>
    <w:semiHidden/>
    <w:unhideWhenUsed/>
    <w:rsid w:val="00725023"/>
  </w:style>
  <w:style w:type="character" w:customStyle="1" w:styleId="UnresolvedMention5">
    <w:name w:val="Unresolved Mention5"/>
    <w:basedOn w:val="DefaultParagraphFont"/>
    <w:uiPriority w:val="99"/>
    <w:semiHidden/>
    <w:unhideWhenUsed/>
    <w:rsid w:val="0094579C"/>
    <w:rPr>
      <w:color w:val="605E5C"/>
      <w:shd w:val="clear" w:color="auto" w:fill="E1DFDD"/>
    </w:rPr>
  </w:style>
  <w:style w:type="table" w:customStyle="1" w:styleId="TableGrid6">
    <w:name w:val="Table Grid6"/>
    <w:basedOn w:val="TableNormal"/>
    <w:next w:val="TableGrid"/>
    <w:uiPriority w:val="39"/>
    <w:rsid w:val="00155C52"/>
    <w:pPr>
      <w:spacing w:after="0" w:line="240" w:lineRule="auto"/>
    </w:pPr>
    <w:rPr>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442579"/>
  </w:style>
  <w:style w:type="table" w:customStyle="1" w:styleId="TableGrid7">
    <w:name w:val="Table Grid7"/>
    <w:basedOn w:val="TableNormal"/>
    <w:next w:val="TableGrid"/>
    <w:uiPriority w:val="99"/>
    <w:rsid w:val="00442579"/>
    <w:pPr>
      <w:spacing w:after="0" w:line="240" w:lineRule="auto"/>
    </w:pPr>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3">
    <w:name w:val="Light Shading - Accent 513"/>
    <w:uiPriority w:val="99"/>
    <w:rsid w:val="00442579"/>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3">
    <w:name w:val="Light List - Accent 11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3">
    <w:name w:val="Light Grid - Accent 11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3">
    <w:name w:val="Medium Shading 1 - Accent 11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3">
    <w:name w:val="Medium Shading 2 - Accent 11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4">
    <w:name w:val="Table Grid14"/>
    <w:uiPriority w:val="99"/>
    <w:rsid w:val="00442579"/>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uiPriority w:val="99"/>
    <w:rsid w:val="00442579"/>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53">
    <w:name w:val="Light List - Accent 53"/>
    <w:basedOn w:val="TableNormal"/>
    <w:next w:val="LightList-Accent5"/>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pPr>
      <w:rPr>
        <w:rFonts w:cs="Times New Roman"/>
        <w:b/>
        <w:bCs/>
        <w:color w:val="FFFFFF"/>
      </w:rPr>
      <w:tblPr/>
      <w:tcPr>
        <w:shd w:val="clear" w:color="auto" w:fill="4472C4"/>
      </w:tcPr>
    </w:tblStylePr>
    <w:tblStylePr w:type="lastRow">
      <w:pPr>
        <w:spacing w:before="0" w:after="0"/>
      </w:pPr>
      <w:rPr>
        <w:rFonts w:cs="Times New Roman"/>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left w:val="single" w:sz="8" w:space="0" w:color="4472C4"/>
          <w:bottom w:val="single" w:sz="8" w:space="0" w:color="4472C4"/>
          <w:right w:val="single" w:sz="8" w:space="0" w:color="4472C4"/>
        </w:tcBorders>
      </w:tcPr>
    </w:tblStylePr>
    <w:tblStylePr w:type="band1Horz">
      <w:rPr>
        <w:rFonts w:cs="Times New Roman"/>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23">
    <w:name w:val="Light Shading - Accent 523"/>
    <w:uiPriority w:val="99"/>
    <w:rsid w:val="00442579"/>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3">
    <w:name w:val="Light List - Accent 12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3">
    <w:name w:val="Light Grid - Accent 12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3">
    <w:name w:val="Medium Shading 1 - Accent 12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3">
    <w:name w:val="Medium Shading 2 - Accent 123"/>
    <w:uiPriority w:val="99"/>
    <w:rsid w:val="00442579"/>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42579"/>
  </w:style>
  <w:style w:type="character" w:customStyle="1" w:styleId="UnresolvedMention6">
    <w:name w:val="Unresolved Mention6"/>
    <w:basedOn w:val="DefaultParagraphFont"/>
    <w:uiPriority w:val="99"/>
    <w:semiHidden/>
    <w:unhideWhenUsed/>
    <w:rsid w:val="00250A42"/>
    <w:rPr>
      <w:color w:val="605E5C"/>
      <w:shd w:val="clear" w:color="auto" w:fill="E1DFDD"/>
    </w:rPr>
  </w:style>
  <w:style w:type="character" w:customStyle="1" w:styleId="UnresolvedMention7">
    <w:name w:val="Unresolved Mention7"/>
    <w:basedOn w:val="DefaultParagraphFont"/>
    <w:uiPriority w:val="99"/>
    <w:semiHidden/>
    <w:unhideWhenUsed/>
    <w:rsid w:val="007023E9"/>
    <w:rPr>
      <w:color w:val="605E5C"/>
      <w:shd w:val="clear" w:color="auto" w:fill="E1DFDD"/>
    </w:rPr>
  </w:style>
  <w:style w:type="character" w:customStyle="1" w:styleId="UnresolvedMention8">
    <w:name w:val="Unresolved Mention8"/>
    <w:basedOn w:val="DefaultParagraphFont"/>
    <w:uiPriority w:val="99"/>
    <w:semiHidden/>
    <w:unhideWhenUsed/>
    <w:rsid w:val="00923F27"/>
    <w:rPr>
      <w:color w:val="605E5C"/>
      <w:shd w:val="clear" w:color="auto" w:fill="E1DFDD"/>
    </w:rPr>
  </w:style>
  <w:style w:type="character" w:customStyle="1" w:styleId="UnresolvedMention9">
    <w:name w:val="Unresolved Mention9"/>
    <w:basedOn w:val="DefaultParagraphFont"/>
    <w:uiPriority w:val="99"/>
    <w:semiHidden/>
    <w:unhideWhenUsed/>
    <w:rsid w:val="00CE784E"/>
    <w:rPr>
      <w:color w:val="605E5C"/>
      <w:shd w:val="clear" w:color="auto" w:fill="E1DFDD"/>
    </w:rPr>
  </w:style>
  <w:style w:type="character" w:customStyle="1" w:styleId="UnresolvedMention10">
    <w:name w:val="Unresolved Mention10"/>
    <w:basedOn w:val="DefaultParagraphFont"/>
    <w:uiPriority w:val="99"/>
    <w:semiHidden/>
    <w:unhideWhenUsed/>
    <w:rsid w:val="00B62269"/>
    <w:rPr>
      <w:color w:val="605E5C"/>
      <w:shd w:val="clear" w:color="auto" w:fill="E1DFDD"/>
    </w:rPr>
  </w:style>
  <w:style w:type="character" w:customStyle="1" w:styleId="UnresolvedMention11">
    <w:name w:val="Unresolved Mention11"/>
    <w:basedOn w:val="DefaultParagraphFont"/>
    <w:uiPriority w:val="99"/>
    <w:semiHidden/>
    <w:unhideWhenUsed/>
    <w:rsid w:val="00552C23"/>
    <w:rPr>
      <w:color w:val="605E5C"/>
      <w:shd w:val="clear" w:color="auto" w:fill="E1DFDD"/>
    </w:rPr>
  </w:style>
  <w:style w:type="character" w:customStyle="1" w:styleId="UnresolvedMention12">
    <w:name w:val="Unresolved Mention12"/>
    <w:basedOn w:val="DefaultParagraphFont"/>
    <w:uiPriority w:val="99"/>
    <w:semiHidden/>
    <w:unhideWhenUsed/>
    <w:rsid w:val="00220EA9"/>
    <w:rPr>
      <w:color w:val="605E5C"/>
      <w:shd w:val="clear" w:color="auto" w:fill="E1DFDD"/>
    </w:rPr>
  </w:style>
  <w:style w:type="character" w:customStyle="1" w:styleId="UnresolvedMention13">
    <w:name w:val="Unresolved Mention13"/>
    <w:basedOn w:val="DefaultParagraphFont"/>
    <w:uiPriority w:val="99"/>
    <w:semiHidden/>
    <w:unhideWhenUsed/>
    <w:rsid w:val="00FE47ED"/>
    <w:rPr>
      <w:color w:val="605E5C"/>
      <w:shd w:val="clear" w:color="auto" w:fill="E1DFDD"/>
    </w:rPr>
  </w:style>
  <w:style w:type="paragraph" w:customStyle="1" w:styleId="4">
    <w:name w:val="заглавие4"/>
    <w:basedOn w:val="Normal"/>
    <w:next w:val="Normal"/>
    <w:uiPriority w:val="99"/>
    <w:rsid w:val="00F36594"/>
    <w:pPr>
      <w:keepNext/>
      <w:keepLines/>
      <w:spacing w:before="120" w:after="0" w:line="360" w:lineRule="auto"/>
      <w:ind w:left="2492" w:hanging="648"/>
      <w:outlineLvl w:val="3"/>
    </w:pPr>
    <w:rPr>
      <w:rFonts w:ascii="Times New Roman" w:eastAsia="Calibri" w:hAnsi="Times New Roman" w:cs="Times New Roman"/>
      <w:b/>
      <w:bCs/>
      <w:sz w:val="24"/>
      <w:szCs w:val="24"/>
      <w:lang w:val="bg-BG"/>
    </w:rPr>
  </w:style>
  <w:style w:type="paragraph" w:customStyle="1" w:styleId="30">
    <w:name w:val="заглавие3"/>
    <w:basedOn w:val="Heading2"/>
    <w:uiPriority w:val="99"/>
    <w:rsid w:val="00F36594"/>
    <w:pPr>
      <w:keepLines/>
      <w:widowControl/>
      <w:numPr>
        <w:ilvl w:val="0"/>
        <w:numId w:val="0"/>
      </w:numPr>
      <w:spacing w:before="0" w:line="360" w:lineRule="atLeast"/>
      <w:ind w:left="646" w:hanging="504"/>
      <w:jc w:val="both"/>
    </w:pPr>
    <w:rPr>
      <w:rFonts w:eastAsia="Times New Roman" w:cs="Times New Roman"/>
      <w:sz w:val="24"/>
      <w:szCs w:val="24"/>
      <w:lang w:eastAsia="en-US" w:bidi="ar-SA"/>
    </w:rPr>
  </w:style>
  <w:style w:type="character" w:customStyle="1" w:styleId="UnresolvedMention14">
    <w:name w:val="Unresolved Mention14"/>
    <w:basedOn w:val="DefaultParagraphFont"/>
    <w:uiPriority w:val="99"/>
    <w:semiHidden/>
    <w:unhideWhenUsed/>
    <w:rsid w:val="00447F5C"/>
    <w:rPr>
      <w:color w:val="605E5C"/>
      <w:shd w:val="clear" w:color="auto" w:fill="E1DFDD"/>
    </w:rPr>
  </w:style>
  <w:style w:type="character" w:customStyle="1" w:styleId="Podrozdzia">
    <w:name w:val="Podrozdział"/>
    <w:aliases w:val="Footnote,Footnote71,Footnote81,Footnote91,single s Char"/>
    <w:locked/>
    <w:rsid w:val="00DF6C73"/>
    <w:rPr>
      <w:lang w:val="bg-BG" w:eastAsia="bg-BG" w:bidi="ar-SA"/>
    </w:rPr>
  </w:style>
  <w:style w:type="character" w:customStyle="1" w:styleId="UnresolvedMention15">
    <w:name w:val="Unresolved Mention15"/>
    <w:basedOn w:val="DefaultParagraphFont"/>
    <w:uiPriority w:val="99"/>
    <w:semiHidden/>
    <w:unhideWhenUsed/>
    <w:rsid w:val="004E3310"/>
    <w:rPr>
      <w:color w:val="605E5C"/>
      <w:shd w:val="clear" w:color="auto" w:fill="E1DFDD"/>
    </w:rPr>
  </w:style>
  <w:style w:type="character" w:customStyle="1" w:styleId="UnresolvedMention16">
    <w:name w:val="Unresolved Mention16"/>
    <w:basedOn w:val="DefaultParagraphFont"/>
    <w:uiPriority w:val="99"/>
    <w:semiHidden/>
    <w:unhideWhenUsed/>
    <w:rsid w:val="00873603"/>
    <w:rPr>
      <w:color w:val="605E5C"/>
      <w:shd w:val="clear" w:color="auto" w:fill="E1DFDD"/>
    </w:rPr>
  </w:style>
  <w:style w:type="character" w:customStyle="1" w:styleId="UnresolvedMention17">
    <w:name w:val="Unresolved Mention17"/>
    <w:basedOn w:val="DefaultParagraphFont"/>
    <w:uiPriority w:val="99"/>
    <w:semiHidden/>
    <w:unhideWhenUsed/>
    <w:rsid w:val="00DC4938"/>
    <w:rPr>
      <w:color w:val="605E5C"/>
      <w:shd w:val="clear" w:color="auto" w:fill="E1DFDD"/>
    </w:rPr>
  </w:style>
  <w:style w:type="character" w:customStyle="1" w:styleId="UnresolvedMention18">
    <w:name w:val="Unresolved Mention18"/>
    <w:basedOn w:val="DefaultParagraphFont"/>
    <w:uiPriority w:val="99"/>
    <w:semiHidden/>
    <w:unhideWhenUsed/>
    <w:rsid w:val="00EB3431"/>
    <w:rPr>
      <w:color w:val="605E5C"/>
      <w:shd w:val="clear" w:color="auto" w:fill="E1DFDD"/>
    </w:rPr>
  </w:style>
  <w:style w:type="character" w:customStyle="1" w:styleId="UnresolvedMention19">
    <w:name w:val="Unresolved Mention19"/>
    <w:basedOn w:val="DefaultParagraphFont"/>
    <w:uiPriority w:val="99"/>
    <w:semiHidden/>
    <w:unhideWhenUsed/>
    <w:rsid w:val="00E53F95"/>
    <w:rPr>
      <w:color w:val="605E5C"/>
      <w:shd w:val="clear" w:color="auto" w:fill="E1DFDD"/>
    </w:rPr>
  </w:style>
  <w:style w:type="character" w:customStyle="1" w:styleId="UnresolvedMention20">
    <w:name w:val="Unresolved Mention20"/>
    <w:basedOn w:val="DefaultParagraphFont"/>
    <w:uiPriority w:val="99"/>
    <w:semiHidden/>
    <w:unhideWhenUsed/>
    <w:rsid w:val="00794973"/>
    <w:rPr>
      <w:color w:val="605E5C"/>
      <w:shd w:val="clear" w:color="auto" w:fill="E1DFDD"/>
    </w:rPr>
  </w:style>
  <w:style w:type="character" w:customStyle="1" w:styleId="UnresolvedMention21">
    <w:name w:val="Unresolved Mention21"/>
    <w:basedOn w:val="DefaultParagraphFont"/>
    <w:uiPriority w:val="99"/>
    <w:semiHidden/>
    <w:unhideWhenUsed/>
    <w:rsid w:val="00954840"/>
    <w:rPr>
      <w:color w:val="605E5C"/>
      <w:shd w:val="clear" w:color="auto" w:fill="E1DFDD"/>
    </w:rPr>
  </w:style>
  <w:style w:type="character" w:customStyle="1" w:styleId="UnresolvedMention22">
    <w:name w:val="Unresolved Mention22"/>
    <w:basedOn w:val="DefaultParagraphFont"/>
    <w:uiPriority w:val="99"/>
    <w:semiHidden/>
    <w:unhideWhenUsed/>
    <w:rsid w:val="009A27CA"/>
    <w:rPr>
      <w:color w:val="605E5C"/>
      <w:shd w:val="clear" w:color="auto" w:fill="E1DFDD"/>
    </w:rPr>
  </w:style>
  <w:style w:type="character" w:customStyle="1" w:styleId="UnresolvedMention23">
    <w:name w:val="Unresolved Mention23"/>
    <w:basedOn w:val="DefaultParagraphFont"/>
    <w:uiPriority w:val="99"/>
    <w:semiHidden/>
    <w:unhideWhenUsed/>
    <w:rsid w:val="00962DE7"/>
    <w:rPr>
      <w:color w:val="605E5C"/>
      <w:shd w:val="clear" w:color="auto" w:fill="E1DFDD"/>
    </w:rPr>
  </w:style>
  <w:style w:type="character" w:customStyle="1" w:styleId="UnresolvedMention24">
    <w:name w:val="Unresolved Mention24"/>
    <w:basedOn w:val="DefaultParagraphFont"/>
    <w:uiPriority w:val="99"/>
    <w:semiHidden/>
    <w:unhideWhenUsed/>
    <w:rsid w:val="007763DD"/>
    <w:rPr>
      <w:color w:val="605E5C"/>
      <w:shd w:val="clear" w:color="auto" w:fill="E1DFDD"/>
    </w:rPr>
  </w:style>
  <w:style w:type="character" w:customStyle="1" w:styleId="UnresolvedMention25">
    <w:name w:val="Unresolved Mention25"/>
    <w:basedOn w:val="DefaultParagraphFont"/>
    <w:uiPriority w:val="99"/>
    <w:semiHidden/>
    <w:unhideWhenUsed/>
    <w:rsid w:val="00ED74EC"/>
    <w:rPr>
      <w:color w:val="605E5C"/>
      <w:shd w:val="clear" w:color="auto" w:fill="E1DFDD"/>
    </w:rPr>
  </w:style>
  <w:style w:type="character" w:customStyle="1" w:styleId="UnresolvedMention26">
    <w:name w:val="Unresolved Mention26"/>
    <w:basedOn w:val="DefaultParagraphFont"/>
    <w:uiPriority w:val="99"/>
    <w:semiHidden/>
    <w:unhideWhenUsed/>
    <w:rsid w:val="00566CC3"/>
    <w:rPr>
      <w:color w:val="605E5C"/>
      <w:shd w:val="clear" w:color="auto" w:fill="E1DFDD"/>
    </w:rPr>
  </w:style>
  <w:style w:type="character" w:customStyle="1" w:styleId="UnresolvedMention27">
    <w:name w:val="Unresolved Mention27"/>
    <w:basedOn w:val="DefaultParagraphFont"/>
    <w:uiPriority w:val="99"/>
    <w:semiHidden/>
    <w:unhideWhenUsed/>
    <w:rsid w:val="006F5FF5"/>
    <w:rPr>
      <w:color w:val="605E5C"/>
      <w:shd w:val="clear" w:color="auto" w:fill="E1DFDD"/>
    </w:rPr>
  </w:style>
  <w:style w:type="character" w:customStyle="1" w:styleId="UnresolvedMention28">
    <w:name w:val="Unresolved Mention28"/>
    <w:basedOn w:val="DefaultParagraphFont"/>
    <w:uiPriority w:val="99"/>
    <w:semiHidden/>
    <w:unhideWhenUsed/>
    <w:rsid w:val="009918C6"/>
    <w:rPr>
      <w:color w:val="605E5C"/>
      <w:shd w:val="clear" w:color="auto" w:fill="E1DFDD"/>
    </w:rPr>
  </w:style>
  <w:style w:type="character" w:customStyle="1" w:styleId="Bodytext2Italic">
    <w:name w:val="Body text (2) + Italic"/>
    <w:basedOn w:val="DefaultParagraphFont"/>
    <w:rsid w:val="001E1A48"/>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character" w:customStyle="1" w:styleId="Bodytext20">
    <w:name w:val="Body text (2)_"/>
    <w:basedOn w:val="DefaultParagraphFont"/>
    <w:link w:val="Bodytext22"/>
    <w:rsid w:val="001773B3"/>
    <w:rPr>
      <w:rFonts w:ascii="Times New Roman" w:eastAsia="Times New Roman" w:hAnsi="Times New Roman" w:cs="Times New Roman"/>
      <w:shd w:val="clear" w:color="auto" w:fill="FFFFFF"/>
    </w:rPr>
  </w:style>
  <w:style w:type="paragraph" w:customStyle="1" w:styleId="Bodytext22">
    <w:name w:val="Body text (2)"/>
    <w:basedOn w:val="Normal"/>
    <w:link w:val="Bodytext20"/>
    <w:rsid w:val="001773B3"/>
    <w:pPr>
      <w:widowControl w:val="0"/>
      <w:shd w:val="clear" w:color="auto" w:fill="FFFFFF"/>
      <w:spacing w:before="360" w:after="480" w:line="315" w:lineRule="exact"/>
      <w:ind w:hanging="160"/>
      <w:jc w:val="both"/>
    </w:pPr>
    <w:rPr>
      <w:rFonts w:ascii="Times New Roman" w:eastAsia="Times New Roman" w:hAnsi="Times New Roman" w:cs="Times New Roman"/>
      <w:lang w:val="en-CA"/>
    </w:rPr>
  </w:style>
  <w:style w:type="character" w:customStyle="1" w:styleId="Bodytext2Constantia14ptItalicSpacing-1pt">
    <w:name w:val="Body text (2) + Constantia;14 pt;Italic;Spacing -1 pt"/>
    <w:basedOn w:val="Bodytext20"/>
    <w:rsid w:val="001E6492"/>
    <w:rPr>
      <w:rFonts w:ascii="Constantia" w:eastAsia="Constantia" w:hAnsi="Constantia" w:cs="Constantia"/>
      <w:b w:val="0"/>
      <w:bCs w:val="0"/>
      <w:i/>
      <w:iCs/>
      <w:smallCaps w:val="0"/>
      <w:strike w:val="0"/>
      <w:color w:val="000000"/>
      <w:spacing w:val="-30"/>
      <w:w w:val="100"/>
      <w:position w:val="0"/>
      <w:sz w:val="28"/>
      <w:szCs w:val="28"/>
      <w:u w:val="none"/>
      <w:shd w:val="clear" w:color="auto" w:fill="FFFFFF"/>
      <w:lang w:val="bg-BG" w:eastAsia="bg-BG" w:bidi="bg-BG"/>
    </w:rPr>
  </w:style>
  <w:style w:type="character" w:customStyle="1" w:styleId="Heading40">
    <w:name w:val="Heading #4_"/>
    <w:basedOn w:val="DefaultParagraphFont"/>
    <w:link w:val="Heading41"/>
    <w:rsid w:val="00A517CD"/>
    <w:rPr>
      <w:rFonts w:ascii="Times New Roman" w:eastAsia="Times New Roman" w:hAnsi="Times New Roman" w:cs="Times New Roman"/>
      <w:b/>
      <w:bCs/>
      <w:shd w:val="clear" w:color="auto" w:fill="FFFFFF"/>
    </w:rPr>
  </w:style>
  <w:style w:type="character" w:customStyle="1" w:styleId="Bodytext2Spacing1pt">
    <w:name w:val="Body text (2) + Spacing 1 pt"/>
    <w:basedOn w:val="Bodytext20"/>
    <w:rsid w:val="00A517CD"/>
    <w:rPr>
      <w:rFonts w:ascii="Times New Roman" w:eastAsia="Times New Roman" w:hAnsi="Times New Roman" w:cs="Times New Roman"/>
      <w:color w:val="000000"/>
      <w:spacing w:val="30"/>
      <w:w w:val="100"/>
      <w:position w:val="0"/>
      <w:sz w:val="24"/>
      <w:szCs w:val="24"/>
      <w:shd w:val="clear" w:color="auto" w:fill="FFFFFF"/>
      <w:lang w:val="bg-BG" w:eastAsia="bg-BG" w:bidi="bg-BG"/>
    </w:rPr>
  </w:style>
  <w:style w:type="paragraph" w:customStyle="1" w:styleId="Heading41">
    <w:name w:val="Heading #4"/>
    <w:basedOn w:val="Normal"/>
    <w:link w:val="Heading40"/>
    <w:rsid w:val="00A517CD"/>
    <w:pPr>
      <w:widowControl w:val="0"/>
      <w:shd w:val="clear" w:color="auto" w:fill="FFFFFF"/>
      <w:spacing w:before="360" w:after="360" w:line="0" w:lineRule="atLeast"/>
      <w:jc w:val="both"/>
      <w:outlineLvl w:val="3"/>
    </w:pPr>
    <w:rPr>
      <w:rFonts w:ascii="Times New Roman" w:eastAsia="Times New Roman" w:hAnsi="Times New Roman" w:cs="Times New Roman"/>
      <w:b/>
      <w:bCs/>
      <w:lang w:val="en-CA"/>
    </w:rPr>
  </w:style>
  <w:style w:type="character" w:customStyle="1" w:styleId="Bodytext2Bold">
    <w:name w:val="Body text (2) + Bold"/>
    <w:basedOn w:val="Bodytext20"/>
    <w:rsid w:val="00A517CD"/>
    <w:rPr>
      <w:rFonts w:ascii="Times New Roman" w:eastAsia="Times New Roman" w:hAnsi="Times New Roman" w:cs="Times New Roman"/>
      <w:b/>
      <w:bCs/>
      <w:color w:val="000000"/>
      <w:spacing w:val="0"/>
      <w:w w:val="100"/>
      <w:position w:val="0"/>
      <w:sz w:val="24"/>
      <w:szCs w:val="24"/>
      <w:shd w:val="clear" w:color="auto" w:fill="FFFFFF"/>
      <w:lang w:val="bg-BG" w:eastAsia="bg-BG" w:bidi="bg-BG"/>
    </w:rPr>
  </w:style>
  <w:style w:type="character" w:customStyle="1" w:styleId="fontstyle01">
    <w:name w:val="fontstyle01"/>
    <w:basedOn w:val="DefaultParagraphFont"/>
    <w:rsid w:val="004E6C8D"/>
    <w:rPr>
      <w:rFonts w:ascii="ArialMT" w:hAnsi="Arial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0500">
      <w:bodyDiv w:val="1"/>
      <w:marLeft w:val="0"/>
      <w:marRight w:val="0"/>
      <w:marTop w:val="0"/>
      <w:marBottom w:val="0"/>
      <w:divBdr>
        <w:top w:val="none" w:sz="0" w:space="0" w:color="auto"/>
        <w:left w:val="none" w:sz="0" w:space="0" w:color="auto"/>
        <w:bottom w:val="none" w:sz="0" w:space="0" w:color="auto"/>
        <w:right w:val="none" w:sz="0" w:space="0" w:color="auto"/>
      </w:divBdr>
    </w:div>
    <w:div w:id="137037277">
      <w:bodyDiv w:val="1"/>
      <w:marLeft w:val="0"/>
      <w:marRight w:val="0"/>
      <w:marTop w:val="0"/>
      <w:marBottom w:val="0"/>
      <w:divBdr>
        <w:top w:val="none" w:sz="0" w:space="0" w:color="auto"/>
        <w:left w:val="none" w:sz="0" w:space="0" w:color="auto"/>
        <w:bottom w:val="none" w:sz="0" w:space="0" w:color="auto"/>
        <w:right w:val="none" w:sz="0" w:space="0" w:color="auto"/>
      </w:divBdr>
    </w:div>
    <w:div w:id="141822181">
      <w:bodyDiv w:val="1"/>
      <w:marLeft w:val="0"/>
      <w:marRight w:val="0"/>
      <w:marTop w:val="0"/>
      <w:marBottom w:val="0"/>
      <w:divBdr>
        <w:top w:val="none" w:sz="0" w:space="0" w:color="auto"/>
        <w:left w:val="none" w:sz="0" w:space="0" w:color="auto"/>
        <w:bottom w:val="none" w:sz="0" w:space="0" w:color="auto"/>
        <w:right w:val="none" w:sz="0" w:space="0" w:color="auto"/>
      </w:divBdr>
    </w:div>
    <w:div w:id="167714312">
      <w:bodyDiv w:val="1"/>
      <w:marLeft w:val="0"/>
      <w:marRight w:val="0"/>
      <w:marTop w:val="0"/>
      <w:marBottom w:val="0"/>
      <w:divBdr>
        <w:top w:val="none" w:sz="0" w:space="0" w:color="auto"/>
        <w:left w:val="none" w:sz="0" w:space="0" w:color="auto"/>
        <w:bottom w:val="none" w:sz="0" w:space="0" w:color="auto"/>
        <w:right w:val="none" w:sz="0" w:space="0" w:color="auto"/>
      </w:divBdr>
      <w:divsChild>
        <w:div w:id="16199129">
          <w:marLeft w:val="0"/>
          <w:marRight w:val="0"/>
          <w:marTop w:val="0"/>
          <w:marBottom w:val="0"/>
          <w:divBdr>
            <w:top w:val="none" w:sz="0" w:space="0" w:color="auto"/>
            <w:left w:val="none" w:sz="0" w:space="0" w:color="auto"/>
            <w:bottom w:val="none" w:sz="0" w:space="0" w:color="auto"/>
            <w:right w:val="none" w:sz="0" w:space="0" w:color="auto"/>
          </w:divBdr>
        </w:div>
        <w:div w:id="103237297">
          <w:marLeft w:val="0"/>
          <w:marRight w:val="0"/>
          <w:marTop w:val="0"/>
          <w:marBottom w:val="0"/>
          <w:divBdr>
            <w:top w:val="none" w:sz="0" w:space="0" w:color="auto"/>
            <w:left w:val="none" w:sz="0" w:space="0" w:color="auto"/>
            <w:bottom w:val="none" w:sz="0" w:space="0" w:color="auto"/>
            <w:right w:val="none" w:sz="0" w:space="0" w:color="auto"/>
          </w:divBdr>
        </w:div>
        <w:div w:id="267735184">
          <w:marLeft w:val="0"/>
          <w:marRight w:val="0"/>
          <w:marTop w:val="0"/>
          <w:marBottom w:val="0"/>
          <w:divBdr>
            <w:top w:val="none" w:sz="0" w:space="0" w:color="auto"/>
            <w:left w:val="none" w:sz="0" w:space="0" w:color="auto"/>
            <w:bottom w:val="none" w:sz="0" w:space="0" w:color="auto"/>
            <w:right w:val="none" w:sz="0" w:space="0" w:color="auto"/>
          </w:divBdr>
        </w:div>
        <w:div w:id="736588114">
          <w:marLeft w:val="0"/>
          <w:marRight w:val="0"/>
          <w:marTop w:val="0"/>
          <w:marBottom w:val="0"/>
          <w:divBdr>
            <w:top w:val="none" w:sz="0" w:space="0" w:color="auto"/>
            <w:left w:val="none" w:sz="0" w:space="0" w:color="auto"/>
            <w:bottom w:val="none" w:sz="0" w:space="0" w:color="auto"/>
            <w:right w:val="none" w:sz="0" w:space="0" w:color="auto"/>
          </w:divBdr>
        </w:div>
        <w:div w:id="1467435384">
          <w:marLeft w:val="0"/>
          <w:marRight w:val="0"/>
          <w:marTop w:val="0"/>
          <w:marBottom w:val="0"/>
          <w:divBdr>
            <w:top w:val="none" w:sz="0" w:space="0" w:color="auto"/>
            <w:left w:val="none" w:sz="0" w:space="0" w:color="auto"/>
            <w:bottom w:val="none" w:sz="0" w:space="0" w:color="auto"/>
            <w:right w:val="none" w:sz="0" w:space="0" w:color="auto"/>
          </w:divBdr>
        </w:div>
      </w:divsChild>
    </w:div>
    <w:div w:id="209272617">
      <w:bodyDiv w:val="1"/>
      <w:marLeft w:val="0"/>
      <w:marRight w:val="0"/>
      <w:marTop w:val="0"/>
      <w:marBottom w:val="0"/>
      <w:divBdr>
        <w:top w:val="none" w:sz="0" w:space="0" w:color="auto"/>
        <w:left w:val="none" w:sz="0" w:space="0" w:color="auto"/>
        <w:bottom w:val="none" w:sz="0" w:space="0" w:color="auto"/>
        <w:right w:val="none" w:sz="0" w:space="0" w:color="auto"/>
      </w:divBdr>
    </w:div>
    <w:div w:id="216358578">
      <w:bodyDiv w:val="1"/>
      <w:marLeft w:val="0"/>
      <w:marRight w:val="0"/>
      <w:marTop w:val="0"/>
      <w:marBottom w:val="0"/>
      <w:divBdr>
        <w:top w:val="none" w:sz="0" w:space="0" w:color="auto"/>
        <w:left w:val="none" w:sz="0" w:space="0" w:color="auto"/>
        <w:bottom w:val="none" w:sz="0" w:space="0" w:color="auto"/>
        <w:right w:val="none" w:sz="0" w:space="0" w:color="auto"/>
      </w:divBdr>
      <w:divsChild>
        <w:div w:id="718478333">
          <w:marLeft w:val="0"/>
          <w:marRight w:val="0"/>
          <w:marTop w:val="0"/>
          <w:marBottom w:val="0"/>
          <w:divBdr>
            <w:top w:val="none" w:sz="0" w:space="0" w:color="auto"/>
            <w:left w:val="none" w:sz="0" w:space="0" w:color="auto"/>
            <w:bottom w:val="none" w:sz="0" w:space="0" w:color="auto"/>
            <w:right w:val="none" w:sz="0" w:space="0" w:color="auto"/>
          </w:divBdr>
          <w:divsChild>
            <w:div w:id="1125464870">
              <w:marLeft w:val="0"/>
              <w:marRight w:val="0"/>
              <w:marTop w:val="0"/>
              <w:marBottom w:val="0"/>
              <w:divBdr>
                <w:top w:val="none" w:sz="0" w:space="0" w:color="auto"/>
                <w:left w:val="none" w:sz="0" w:space="0" w:color="auto"/>
                <w:bottom w:val="none" w:sz="0" w:space="0" w:color="auto"/>
                <w:right w:val="none" w:sz="0" w:space="0" w:color="auto"/>
              </w:divBdr>
              <w:divsChild>
                <w:div w:id="519666802">
                  <w:marLeft w:val="0"/>
                  <w:marRight w:val="0"/>
                  <w:marTop w:val="0"/>
                  <w:marBottom w:val="0"/>
                  <w:divBdr>
                    <w:top w:val="none" w:sz="0" w:space="0" w:color="auto"/>
                    <w:left w:val="none" w:sz="0" w:space="0" w:color="auto"/>
                    <w:bottom w:val="none" w:sz="0" w:space="0" w:color="auto"/>
                    <w:right w:val="none" w:sz="0" w:space="0" w:color="auto"/>
                  </w:divBdr>
                  <w:divsChild>
                    <w:div w:id="116007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933755">
      <w:bodyDiv w:val="1"/>
      <w:marLeft w:val="0"/>
      <w:marRight w:val="0"/>
      <w:marTop w:val="0"/>
      <w:marBottom w:val="0"/>
      <w:divBdr>
        <w:top w:val="none" w:sz="0" w:space="0" w:color="auto"/>
        <w:left w:val="none" w:sz="0" w:space="0" w:color="auto"/>
        <w:bottom w:val="none" w:sz="0" w:space="0" w:color="auto"/>
        <w:right w:val="none" w:sz="0" w:space="0" w:color="auto"/>
      </w:divBdr>
    </w:div>
    <w:div w:id="417219208">
      <w:bodyDiv w:val="1"/>
      <w:marLeft w:val="0"/>
      <w:marRight w:val="0"/>
      <w:marTop w:val="0"/>
      <w:marBottom w:val="0"/>
      <w:divBdr>
        <w:top w:val="none" w:sz="0" w:space="0" w:color="auto"/>
        <w:left w:val="none" w:sz="0" w:space="0" w:color="auto"/>
        <w:bottom w:val="none" w:sz="0" w:space="0" w:color="auto"/>
        <w:right w:val="none" w:sz="0" w:space="0" w:color="auto"/>
      </w:divBdr>
    </w:div>
    <w:div w:id="438642398">
      <w:bodyDiv w:val="1"/>
      <w:marLeft w:val="0"/>
      <w:marRight w:val="0"/>
      <w:marTop w:val="0"/>
      <w:marBottom w:val="0"/>
      <w:divBdr>
        <w:top w:val="none" w:sz="0" w:space="0" w:color="auto"/>
        <w:left w:val="none" w:sz="0" w:space="0" w:color="auto"/>
        <w:bottom w:val="none" w:sz="0" w:space="0" w:color="auto"/>
        <w:right w:val="none" w:sz="0" w:space="0" w:color="auto"/>
      </w:divBdr>
      <w:divsChild>
        <w:div w:id="933780693">
          <w:marLeft w:val="0"/>
          <w:marRight w:val="0"/>
          <w:marTop w:val="0"/>
          <w:marBottom w:val="0"/>
          <w:divBdr>
            <w:top w:val="none" w:sz="0" w:space="0" w:color="auto"/>
            <w:left w:val="none" w:sz="0" w:space="0" w:color="auto"/>
            <w:bottom w:val="none" w:sz="0" w:space="0" w:color="auto"/>
            <w:right w:val="none" w:sz="0" w:space="0" w:color="auto"/>
          </w:divBdr>
        </w:div>
        <w:div w:id="1044334123">
          <w:marLeft w:val="0"/>
          <w:marRight w:val="0"/>
          <w:marTop w:val="0"/>
          <w:marBottom w:val="0"/>
          <w:divBdr>
            <w:top w:val="none" w:sz="0" w:space="0" w:color="auto"/>
            <w:left w:val="none" w:sz="0" w:space="0" w:color="auto"/>
            <w:bottom w:val="none" w:sz="0" w:space="0" w:color="auto"/>
            <w:right w:val="none" w:sz="0" w:space="0" w:color="auto"/>
          </w:divBdr>
        </w:div>
        <w:div w:id="1550337566">
          <w:marLeft w:val="0"/>
          <w:marRight w:val="0"/>
          <w:marTop w:val="0"/>
          <w:marBottom w:val="0"/>
          <w:divBdr>
            <w:top w:val="none" w:sz="0" w:space="0" w:color="auto"/>
            <w:left w:val="none" w:sz="0" w:space="0" w:color="auto"/>
            <w:bottom w:val="none" w:sz="0" w:space="0" w:color="auto"/>
            <w:right w:val="none" w:sz="0" w:space="0" w:color="auto"/>
          </w:divBdr>
        </w:div>
        <w:div w:id="1837646688">
          <w:marLeft w:val="0"/>
          <w:marRight w:val="0"/>
          <w:marTop w:val="0"/>
          <w:marBottom w:val="0"/>
          <w:divBdr>
            <w:top w:val="none" w:sz="0" w:space="0" w:color="auto"/>
            <w:left w:val="none" w:sz="0" w:space="0" w:color="auto"/>
            <w:bottom w:val="none" w:sz="0" w:space="0" w:color="auto"/>
            <w:right w:val="none" w:sz="0" w:space="0" w:color="auto"/>
          </w:divBdr>
        </w:div>
        <w:div w:id="1888374067">
          <w:marLeft w:val="0"/>
          <w:marRight w:val="0"/>
          <w:marTop w:val="0"/>
          <w:marBottom w:val="0"/>
          <w:divBdr>
            <w:top w:val="none" w:sz="0" w:space="0" w:color="auto"/>
            <w:left w:val="none" w:sz="0" w:space="0" w:color="auto"/>
            <w:bottom w:val="none" w:sz="0" w:space="0" w:color="auto"/>
            <w:right w:val="none" w:sz="0" w:space="0" w:color="auto"/>
          </w:divBdr>
        </w:div>
        <w:div w:id="1957518043">
          <w:marLeft w:val="0"/>
          <w:marRight w:val="0"/>
          <w:marTop w:val="0"/>
          <w:marBottom w:val="0"/>
          <w:divBdr>
            <w:top w:val="none" w:sz="0" w:space="0" w:color="auto"/>
            <w:left w:val="none" w:sz="0" w:space="0" w:color="auto"/>
            <w:bottom w:val="none" w:sz="0" w:space="0" w:color="auto"/>
            <w:right w:val="none" w:sz="0" w:space="0" w:color="auto"/>
          </w:divBdr>
        </w:div>
      </w:divsChild>
    </w:div>
    <w:div w:id="522550623">
      <w:bodyDiv w:val="1"/>
      <w:marLeft w:val="0"/>
      <w:marRight w:val="0"/>
      <w:marTop w:val="0"/>
      <w:marBottom w:val="0"/>
      <w:divBdr>
        <w:top w:val="none" w:sz="0" w:space="0" w:color="auto"/>
        <w:left w:val="none" w:sz="0" w:space="0" w:color="auto"/>
        <w:bottom w:val="none" w:sz="0" w:space="0" w:color="auto"/>
        <w:right w:val="none" w:sz="0" w:space="0" w:color="auto"/>
      </w:divBdr>
    </w:div>
    <w:div w:id="536432931">
      <w:bodyDiv w:val="1"/>
      <w:marLeft w:val="0"/>
      <w:marRight w:val="0"/>
      <w:marTop w:val="0"/>
      <w:marBottom w:val="0"/>
      <w:divBdr>
        <w:top w:val="none" w:sz="0" w:space="0" w:color="auto"/>
        <w:left w:val="none" w:sz="0" w:space="0" w:color="auto"/>
        <w:bottom w:val="none" w:sz="0" w:space="0" w:color="auto"/>
        <w:right w:val="none" w:sz="0" w:space="0" w:color="auto"/>
      </w:divBdr>
    </w:div>
    <w:div w:id="539828219">
      <w:bodyDiv w:val="1"/>
      <w:marLeft w:val="0"/>
      <w:marRight w:val="0"/>
      <w:marTop w:val="0"/>
      <w:marBottom w:val="0"/>
      <w:divBdr>
        <w:top w:val="none" w:sz="0" w:space="0" w:color="auto"/>
        <w:left w:val="none" w:sz="0" w:space="0" w:color="auto"/>
        <w:bottom w:val="none" w:sz="0" w:space="0" w:color="auto"/>
        <w:right w:val="none" w:sz="0" w:space="0" w:color="auto"/>
      </w:divBdr>
      <w:divsChild>
        <w:div w:id="464741691">
          <w:marLeft w:val="0"/>
          <w:marRight w:val="0"/>
          <w:marTop w:val="0"/>
          <w:marBottom w:val="0"/>
          <w:divBdr>
            <w:top w:val="none" w:sz="0" w:space="0" w:color="auto"/>
            <w:left w:val="none" w:sz="0" w:space="0" w:color="auto"/>
            <w:bottom w:val="none" w:sz="0" w:space="0" w:color="auto"/>
            <w:right w:val="none" w:sz="0" w:space="0" w:color="auto"/>
          </w:divBdr>
          <w:divsChild>
            <w:div w:id="165049756">
              <w:marLeft w:val="0"/>
              <w:marRight w:val="0"/>
              <w:marTop w:val="0"/>
              <w:marBottom w:val="0"/>
              <w:divBdr>
                <w:top w:val="none" w:sz="0" w:space="0" w:color="auto"/>
                <w:left w:val="none" w:sz="0" w:space="0" w:color="auto"/>
                <w:bottom w:val="none" w:sz="0" w:space="0" w:color="auto"/>
                <w:right w:val="none" w:sz="0" w:space="0" w:color="auto"/>
              </w:divBdr>
            </w:div>
            <w:div w:id="235406120">
              <w:marLeft w:val="0"/>
              <w:marRight w:val="0"/>
              <w:marTop w:val="0"/>
              <w:marBottom w:val="0"/>
              <w:divBdr>
                <w:top w:val="none" w:sz="0" w:space="0" w:color="auto"/>
                <w:left w:val="none" w:sz="0" w:space="0" w:color="auto"/>
                <w:bottom w:val="none" w:sz="0" w:space="0" w:color="auto"/>
                <w:right w:val="none" w:sz="0" w:space="0" w:color="auto"/>
              </w:divBdr>
            </w:div>
            <w:div w:id="293676912">
              <w:marLeft w:val="0"/>
              <w:marRight w:val="0"/>
              <w:marTop w:val="0"/>
              <w:marBottom w:val="0"/>
              <w:divBdr>
                <w:top w:val="none" w:sz="0" w:space="0" w:color="auto"/>
                <w:left w:val="none" w:sz="0" w:space="0" w:color="auto"/>
                <w:bottom w:val="none" w:sz="0" w:space="0" w:color="auto"/>
                <w:right w:val="none" w:sz="0" w:space="0" w:color="auto"/>
              </w:divBdr>
            </w:div>
            <w:div w:id="1895462384">
              <w:marLeft w:val="0"/>
              <w:marRight w:val="0"/>
              <w:marTop w:val="0"/>
              <w:marBottom w:val="0"/>
              <w:divBdr>
                <w:top w:val="none" w:sz="0" w:space="0" w:color="auto"/>
                <w:left w:val="none" w:sz="0" w:space="0" w:color="auto"/>
                <w:bottom w:val="none" w:sz="0" w:space="0" w:color="auto"/>
                <w:right w:val="none" w:sz="0" w:space="0" w:color="auto"/>
              </w:divBdr>
            </w:div>
          </w:divsChild>
        </w:div>
        <w:div w:id="1504859052">
          <w:marLeft w:val="0"/>
          <w:marRight w:val="0"/>
          <w:marTop w:val="0"/>
          <w:marBottom w:val="0"/>
          <w:divBdr>
            <w:top w:val="none" w:sz="0" w:space="0" w:color="auto"/>
            <w:left w:val="none" w:sz="0" w:space="0" w:color="auto"/>
            <w:bottom w:val="none" w:sz="0" w:space="0" w:color="auto"/>
            <w:right w:val="none" w:sz="0" w:space="0" w:color="auto"/>
          </w:divBdr>
        </w:div>
      </w:divsChild>
    </w:div>
    <w:div w:id="590505810">
      <w:bodyDiv w:val="1"/>
      <w:marLeft w:val="0"/>
      <w:marRight w:val="0"/>
      <w:marTop w:val="0"/>
      <w:marBottom w:val="0"/>
      <w:divBdr>
        <w:top w:val="none" w:sz="0" w:space="0" w:color="auto"/>
        <w:left w:val="none" w:sz="0" w:space="0" w:color="auto"/>
        <w:bottom w:val="none" w:sz="0" w:space="0" w:color="auto"/>
        <w:right w:val="none" w:sz="0" w:space="0" w:color="auto"/>
      </w:divBdr>
    </w:div>
    <w:div w:id="662054587">
      <w:bodyDiv w:val="1"/>
      <w:marLeft w:val="0"/>
      <w:marRight w:val="0"/>
      <w:marTop w:val="0"/>
      <w:marBottom w:val="0"/>
      <w:divBdr>
        <w:top w:val="none" w:sz="0" w:space="0" w:color="auto"/>
        <w:left w:val="none" w:sz="0" w:space="0" w:color="auto"/>
        <w:bottom w:val="none" w:sz="0" w:space="0" w:color="auto"/>
        <w:right w:val="none" w:sz="0" w:space="0" w:color="auto"/>
      </w:divBdr>
    </w:div>
    <w:div w:id="809900886">
      <w:bodyDiv w:val="1"/>
      <w:marLeft w:val="0"/>
      <w:marRight w:val="0"/>
      <w:marTop w:val="0"/>
      <w:marBottom w:val="0"/>
      <w:divBdr>
        <w:top w:val="none" w:sz="0" w:space="0" w:color="auto"/>
        <w:left w:val="none" w:sz="0" w:space="0" w:color="auto"/>
        <w:bottom w:val="none" w:sz="0" w:space="0" w:color="auto"/>
        <w:right w:val="none" w:sz="0" w:space="0" w:color="auto"/>
      </w:divBdr>
    </w:div>
    <w:div w:id="861087241">
      <w:bodyDiv w:val="1"/>
      <w:marLeft w:val="0"/>
      <w:marRight w:val="0"/>
      <w:marTop w:val="0"/>
      <w:marBottom w:val="0"/>
      <w:divBdr>
        <w:top w:val="none" w:sz="0" w:space="0" w:color="auto"/>
        <w:left w:val="none" w:sz="0" w:space="0" w:color="auto"/>
        <w:bottom w:val="none" w:sz="0" w:space="0" w:color="auto"/>
        <w:right w:val="none" w:sz="0" w:space="0" w:color="auto"/>
      </w:divBdr>
    </w:div>
    <w:div w:id="980887764">
      <w:bodyDiv w:val="1"/>
      <w:marLeft w:val="0"/>
      <w:marRight w:val="0"/>
      <w:marTop w:val="0"/>
      <w:marBottom w:val="0"/>
      <w:divBdr>
        <w:top w:val="none" w:sz="0" w:space="0" w:color="auto"/>
        <w:left w:val="none" w:sz="0" w:space="0" w:color="auto"/>
        <w:bottom w:val="none" w:sz="0" w:space="0" w:color="auto"/>
        <w:right w:val="none" w:sz="0" w:space="0" w:color="auto"/>
      </w:divBdr>
      <w:divsChild>
        <w:div w:id="1657952958">
          <w:marLeft w:val="0"/>
          <w:marRight w:val="0"/>
          <w:marTop w:val="0"/>
          <w:marBottom w:val="0"/>
          <w:divBdr>
            <w:top w:val="none" w:sz="0" w:space="0" w:color="auto"/>
            <w:left w:val="none" w:sz="0" w:space="0" w:color="auto"/>
            <w:bottom w:val="none" w:sz="0" w:space="0" w:color="auto"/>
            <w:right w:val="none" w:sz="0" w:space="0" w:color="auto"/>
          </w:divBdr>
        </w:div>
      </w:divsChild>
    </w:div>
    <w:div w:id="1073235868">
      <w:bodyDiv w:val="1"/>
      <w:marLeft w:val="0"/>
      <w:marRight w:val="0"/>
      <w:marTop w:val="0"/>
      <w:marBottom w:val="0"/>
      <w:divBdr>
        <w:top w:val="none" w:sz="0" w:space="0" w:color="auto"/>
        <w:left w:val="none" w:sz="0" w:space="0" w:color="auto"/>
        <w:bottom w:val="none" w:sz="0" w:space="0" w:color="auto"/>
        <w:right w:val="none" w:sz="0" w:space="0" w:color="auto"/>
      </w:divBdr>
    </w:div>
    <w:div w:id="1243294141">
      <w:bodyDiv w:val="1"/>
      <w:marLeft w:val="0"/>
      <w:marRight w:val="0"/>
      <w:marTop w:val="0"/>
      <w:marBottom w:val="0"/>
      <w:divBdr>
        <w:top w:val="none" w:sz="0" w:space="0" w:color="auto"/>
        <w:left w:val="none" w:sz="0" w:space="0" w:color="auto"/>
        <w:bottom w:val="none" w:sz="0" w:space="0" w:color="auto"/>
        <w:right w:val="none" w:sz="0" w:space="0" w:color="auto"/>
      </w:divBdr>
      <w:divsChild>
        <w:div w:id="920336206">
          <w:marLeft w:val="0"/>
          <w:marRight w:val="0"/>
          <w:marTop w:val="0"/>
          <w:marBottom w:val="0"/>
          <w:divBdr>
            <w:top w:val="none" w:sz="0" w:space="0" w:color="auto"/>
            <w:left w:val="none" w:sz="0" w:space="0" w:color="auto"/>
            <w:bottom w:val="none" w:sz="0" w:space="0" w:color="auto"/>
            <w:right w:val="none" w:sz="0" w:space="0" w:color="auto"/>
          </w:divBdr>
        </w:div>
      </w:divsChild>
    </w:div>
    <w:div w:id="1275362204">
      <w:bodyDiv w:val="1"/>
      <w:marLeft w:val="0"/>
      <w:marRight w:val="0"/>
      <w:marTop w:val="0"/>
      <w:marBottom w:val="0"/>
      <w:divBdr>
        <w:top w:val="none" w:sz="0" w:space="0" w:color="auto"/>
        <w:left w:val="none" w:sz="0" w:space="0" w:color="auto"/>
        <w:bottom w:val="none" w:sz="0" w:space="0" w:color="auto"/>
        <w:right w:val="none" w:sz="0" w:space="0" w:color="auto"/>
      </w:divBdr>
      <w:divsChild>
        <w:div w:id="659383388">
          <w:marLeft w:val="0"/>
          <w:marRight w:val="0"/>
          <w:marTop w:val="0"/>
          <w:marBottom w:val="0"/>
          <w:divBdr>
            <w:top w:val="none" w:sz="0" w:space="0" w:color="auto"/>
            <w:left w:val="none" w:sz="0" w:space="0" w:color="auto"/>
            <w:bottom w:val="none" w:sz="0" w:space="0" w:color="auto"/>
            <w:right w:val="none" w:sz="0" w:space="0" w:color="auto"/>
          </w:divBdr>
          <w:divsChild>
            <w:div w:id="1261376005">
              <w:marLeft w:val="0"/>
              <w:marRight w:val="0"/>
              <w:marTop w:val="0"/>
              <w:marBottom w:val="0"/>
              <w:divBdr>
                <w:top w:val="none" w:sz="0" w:space="0" w:color="auto"/>
                <w:left w:val="none" w:sz="0" w:space="0" w:color="auto"/>
                <w:bottom w:val="none" w:sz="0" w:space="0" w:color="auto"/>
                <w:right w:val="none" w:sz="0" w:space="0" w:color="auto"/>
              </w:divBdr>
            </w:div>
            <w:div w:id="1514949745">
              <w:marLeft w:val="0"/>
              <w:marRight w:val="0"/>
              <w:marTop w:val="0"/>
              <w:marBottom w:val="0"/>
              <w:divBdr>
                <w:top w:val="none" w:sz="0" w:space="0" w:color="auto"/>
                <w:left w:val="none" w:sz="0" w:space="0" w:color="auto"/>
                <w:bottom w:val="none" w:sz="0" w:space="0" w:color="auto"/>
                <w:right w:val="none" w:sz="0" w:space="0" w:color="auto"/>
              </w:divBdr>
            </w:div>
          </w:divsChild>
        </w:div>
        <w:div w:id="1392996505">
          <w:marLeft w:val="0"/>
          <w:marRight w:val="0"/>
          <w:marTop w:val="0"/>
          <w:marBottom w:val="0"/>
          <w:divBdr>
            <w:top w:val="none" w:sz="0" w:space="0" w:color="auto"/>
            <w:left w:val="none" w:sz="0" w:space="0" w:color="auto"/>
            <w:bottom w:val="none" w:sz="0" w:space="0" w:color="auto"/>
            <w:right w:val="none" w:sz="0" w:space="0" w:color="auto"/>
          </w:divBdr>
        </w:div>
        <w:div w:id="1682854359">
          <w:marLeft w:val="0"/>
          <w:marRight w:val="0"/>
          <w:marTop w:val="0"/>
          <w:marBottom w:val="0"/>
          <w:divBdr>
            <w:top w:val="none" w:sz="0" w:space="0" w:color="auto"/>
            <w:left w:val="none" w:sz="0" w:space="0" w:color="auto"/>
            <w:bottom w:val="none" w:sz="0" w:space="0" w:color="auto"/>
            <w:right w:val="none" w:sz="0" w:space="0" w:color="auto"/>
          </w:divBdr>
          <w:divsChild>
            <w:div w:id="142544671">
              <w:marLeft w:val="0"/>
              <w:marRight w:val="0"/>
              <w:marTop w:val="0"/>
              <w:marBottom w:val="0"/>
              <w:divBdr>
                <w:top w:val="none" w:sz="0" w:space="0" w:color="auto"/>
                <w:left w:val="none" w:sz="0" w:space="0" w:color="auto"/>
                <w:bottom w:val="none" w:sz="0" w:space="0" w:color="auto"/>
                <w:right w:val="none" w:sz="0" w:space="0" w:color="auto"/>
              </w:divBdr>
            </w:div>
            <w:div w:id="314995352">
              <w:marLeft w:val="0"/>
              <w:marRight w:val="0"/>
              <w:marTop w:val="0"/>
              <w:marBottom w:val="0"/>
              <w:divBdr>
                <w:top w:val="none" w:sz="0" w:space="0" w:color="auto"/>
                <w:left w:val="none" w:sz="0" w:space="0" w:color="auto"/>
                <w:bottom w:val="none" w:sz="0" w:space="0" w:color="auto"/>
                <w:right w:val="none" w:sz="0" w:space="0" w:color="auto"/>
              </w:divBdr>
            </w:div>
            <w:div w:id="547765486">
              <w:marLeft w:val="0"/>
              <w:marRight w:val="0"/>
              <w:marTop w:val="0"/>
              <w:marBottom w:val="0"/>
              <w:divBdr>
                <w:top w:val="none" w:sz="0" w:space="0" w:color="auto"/>
                <w:left w:val="none" w:sz="0" w:space="0" w:color="auto"/>
                <w:bottom w:val="none" w:sz="0" w:space="0" w:color="auto"/>
                <w:right w:val="none" w:sz="0" w:space="0" w:color="auto"/>
              </w:divBdr>
            </w:div>
            <w:div w:id="697662020">
              <w:marLeft w:val="0"/>
              <w:marRight w:val="0"/>
              <w:marTop w:val="0"/>
              <w:marBottom w:val="0"/>
              <w:divBdr>
                <w:top w:val="none" w:sz="0" w:space="0" w:color="auto"/>
                <w:left w:val="none" w:sz="0" w:space="0" w:color="auto"/>
                <w:bottom w:val="none" w:sz="0" w:space="0" w:color="auto"/>
                <w:right w:val="none" w:sz="0" w:space="0" w:color="auto"/>
              </w:divBdr>
            </w:div>
            <w:div w:id="737899702">
              <w:marLeft w:val="0"/>
              <w:marRight w:val="0"/>
              <w:marTop w:val="0"/>
              <w:marBottom w:val="0"/>
              <w:divBdr>
                <w:top w:val="none" w:sz="0" w:space="0" w:color="auto"/>
                <w:left w:val="none" w:sz="0" w:space="0" w:color="auto"/>
                <w:bottom w:val="none" w:sz="0" w:space="0" w:color="auto"/>
                <w:right w:val="none" w:sz="0" w:space="0" w:color="auto"/>
              </w:divBdr>
            </w:div>
            <w:div w:id="938486166">
              <w:marLeft w:val="0"/>
              <w:marRight w:val="0"/>
              <w:marTop w:val="0"/>
              <w:marBottom w:val="0"/>
              <w:divBdr>
                <w:top w:val="none" w:sz="0" w:space="0" w:color="auto"/>
                <w:left w:val="none" w:sz="0" w:space="0" w:color="auto"/>
                <w:bottom w:val="none" w:sz="0" w:space="0" w:color="auto"/>
                <w:right w:val="none" w:sz="0" w:space="0" w:color="auto"/>
              </w:divBdr>
            </w:div>
            <w:div w:id="1202281439">
              <w:marLeft w:val="0"/>
              <w:marRight w:val="0"/>
              <w:marTop w:val="0"/>
              <w:marBottom w:val="0"/>
              <w:divBdr>
                <w:top w:val="none" w:sz="0" w:space="0" w:color="auto"/>
                <w:left w:val="none" w:sz="0" w:space="0" w:color="auto"/>
                <w:bottom w:val="none" w:sz="0" w:space="0" w:color="auto"/>
                <w:right w:val="none" w:sz="0" w:space="0" w:color="auto"/>
              </w:divBdr>
            </w:div>
            <w:div w:id="158781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675874">
      <w:bodyDiv w:val="1"/>
      <w:marLeft w:val="0"/>
      <w:marRight w:val="0"/>
      <w:marTop w:val="0"/>
      <w:marBottom w:val="0"/>
      <w:divBdr>
        <w:top w:val="none" w:sz="0" w:space="0" w:color="auto"/>
        <w:left w:val="none" w:sz="0" w:space="0" w:color="auto"/>
        <w:bottom w:val="none" w:sz="0" w:space="0" w:color="auto"/>
        <w:right w:val="none" w:sz="0" w:space="0" w:color="auto"/>
      </w:divBdr>
    </w:div>
    <w:div w:id="1371111185">
      <w:bodyDiv w:val="1"/>
      <w:marLeft w:val="0"/>
      <w:marRight w:val="0"/>
      <w:marTop w:val="0"/>
      <w:marBottom w:val="0"/>
      <w:divBdr>
        <w:top w:val="none" w:sz="0" w:space="0" w:color="auto"/>
        <w:left w:val="none" w:sz="0" w:space="0" w:color="auto"/>
        <w:bottom w:val="none" w:sz="0" w:space="0" w:color="auto"/>
        <w:right w:val="none" w:sz="0" w:space="0" w:color="auto"/>
      </w:divBdr>
      <w:divsChild>
        <w:div w:id="66467147">
          <w:marLeft w:val="0"/>
          <w:marRight w:val="0"/>
          <w:marTop w:val="0"/>
          <w:marBottom w:val="0"/>
          <w:divBdr>
            <w:top w:val="none" w:sz="0" w:space="0" w:color="auto"/>
            <w:left w:val="none" w:sz="0" w:space="0" w:color="auto"/>
            <w:bottom w:val="none" w:sz="0" w:space="0" w:color="auto"/>
            <w:right w:val="none" w:sz="0" w:space="0" w:color="auto"/>
          </w:divBdr>
        </w:div>
        <w:div w:id="75521404">
          <w:marLeft w:val="0"/>
          <w:marRight w:val="0"/>
          <w:marTop w:val="0"/>
          <w:marBottom w:val="0"/>
          <w:divBdr>
            <w:top w:val="none" w:sz="0" w:space="0" w:color="auto"/>
            <w:left w:val="none" w:sz="0" w:space="0" w:color="auto"/>
            <w:bottom w:val="none" w:sz="0" w:space="0" w:color="auto"/>
            <w:right w:val="none" w:sz="0" w:space="0" w:color="auto"/>
          </w:divBdr>
        </w:div>
        <w:div w:id="370233516">
          <w:marLeft w:val="0"/>
          <w:marRight w:val="0"/>
          <w:marTop w:val="0"/>
          <w:marBottom w:val="0"/>
          <w:divBdr>
            <w:top w:val="none" w:sz="0" w:space="0" w:color="auto"/>
            <w:left w:val="none" w:sz="0" w:space="0" w:color="auto"/>
            <w:bottom w:val="none" w:sz="0" w:space="0" w:color="auto"/>
            <w:right w:val="none" w:sz="0" w:space="0" w:color="auto"/>
          </w:divBdr>
        </w:div>
        <w:div w:id="433593408">
          <w:marLeft w:val="0"/>
          <w:marRight w:val="0"/>
          <w:marTop w:val="0"/>
          <w:marBottom w:val="0"/>
          <w:divBdr>
            <w:top w:val="none" w:sz="0" w:space="0" w:color="auto"/>
            <w:left w:val="none" w:sz="0" w:space="0" w:color="auto"/>
            <w:bottom w:val="none" w:sz="0" w:space="0" w:color="auto"/>
            <w:right w:val="none" w:sz="0" w:space="0" w:color="auto"/>
          </w:divBdr>
        </w:div>
        <w:div w:id="477503384">
          <w:marLeft w:val="0"/>
          <w:marRight w:val="0"/>
          <w:marTop w:val="0"/>
          <w:marBottom w:val="0"/>
          <w:divBdr>
            <w:top w:val="none" w:sz="0" w:space="0" w:color="auto"/>
            <w:left w:val="none" w:sz="0" w:space="0" w:color="auto"/>
            <w:bottom w:val="none" w:sz="0" w:space="0" w:color="auto"/>
            <w:right w:val="none" w:sz="0" w:space="0" w:color="auto"/>
          </w:divBdr>
        </w:div>
        <w:div w:id="598759265">
          <w:marLeft w:val="0"/>
          <w:marRight w:val="0"/>
          <w:marTop w:val="0"/>
          <w:marBottom w:val="0"/>
          <w:divBdr>
            <w:top w:val="none" w:sz="0" w:space="0" w:color="auto"/>
            <w:left w:val="none" w:sz="0" w:space="0" w:color="auto"/>
            <w:bottom w:val="none" w:sz="0" w:space="0" w:color="auto"/>
            <w:right w:val="none" w:sz="0" w:space="0" w:color="auto"/>
          </w:divBdr>
        </w:div>
        <w:div w:id="698968129">
          <w:marLeft w:val="0"/>
          <w:marRight w:val="0"/>
          <w:marTop w:val="0"/>
          <w:marBottom w:val="0"/>
          <w:divBdr>
            <w:top w:val="none" w:sz="0" w:space="0" w:color="auto"/>
            <w:left w:val="none" w:sz="0" w:space="0" w:color="auto"/>
            <w:bottom w:val="none" w:sz="0" w:space="0" w:color="auto"/>
            <w:right w:val="none" w:sz="0" w:space="0" w:color="auto"/>
          </w:divBdr>
        </w:div>
        <w:div w:id="772827128">
          <w:marLeft w:val="0"/>
          <w:marRight w:val="0"/>
          <w:marTop w:val="0"/>
          <w:marBottom w:val="0"/>
          <w:divBdr>
            <w:top w:val="none" w:sz="0" w:space="0" w:color="auto"/>
            <w:left w:val="none" w:sz="0" w:space="0" w:color="auto"/>
            <w:bottom w:val="none" w:sz="0" w:space="0" w:color="auto"/>
            <w:right w:val="none" w:sz="0" w:space="0" w:color="auto"/>
          </w:divBdr>
        </w:div>
        <w:div w:id="989943457">
          <w:marLeft w:val="0"/>
          <w:marRight w:val="0"/>
          <w:marTop w:val="0"/>
          <w:marBottom w:val="0"/>
          <w:divBdr>
            <w:top w:val="none" w:sz="0" w:space="0" w:color="auto"/>
            <w:left w:val="none" w:sz="0" w:space="0" w:color="auto"/>
            <w:bottom w:val="none" w:sz="0" w:space="0" w:color="auto"/>
            <w:right w:val="none" w:sz="0" w:space="0" w:color="auto"/>
          </w:divBdr>
        </w:div>
        <w:div w:id="1068382043">
          <w:marLeft w:val="0"/>
          <w:marRight w:val="0"/>
          <w:marTop w:val="0"/>
          <w:marBottom w:val="0"/>
          <w:divBdr>
            <w:top w:val="none" w:sz="0" w:space="0" w:color="auto"/>
            <w:left w:val="none" w:sz="0" w:space="0" w:color="auto"/>
            <w:bottom w:val="none" w:sz="0" w:space="0" w:color="auto"/>
            <w:right w:val="none" w:sz="0" w:space="0" w:color="auto"/>
          </w:divBdr>
        </w:div>
        <w:div w:id="1280529459">
          <w:marLeft w:val="0"/>
          <w:marRight w:val="0"/>
          <w:marTop w:val="0"/>
          <w:marBottom w:val="0"/>
          <w:divBdr>
            <w:top w:val="none" w:sz="0" w:space="0" w:color="auto"/>
            <w:left w:val="none" w:sz="0" w:space="0" w:color="auto"/>
            <w:bottom w:val="none" w:sz="0" w:space="0" w:color="auto"/>
            <w:right w:val="none" w:sz="0" w:space="0" w:color="auto"/>
          </w:divBdr>
        </w:div>
        <w:div w:id="1780107170">
          <w:marLeft w:val="0"/>
          <w:marRight w:val="0"/>
          <w:marTop w:val="0"/>
          <w:marBottom w:val="0"/>
          <w:divBdr>
            <w:top w:val="none" w:sz="0" w:space="0" w:color="auto"/>
            <w:left w:val="none" w:sz="0" w:space="0" w:color="auto"/>
            <w:bottom w:val="none" w:sz="0" w:space="0" w:color="auto"/>
            <w:right w:val="none" w:sz="0" w:space="0" w:color="auto"/>
          </w:divBdr>
        </w:div>
      </w:divsChild>
    </w:div>
    <w:div w:id="1373840891">
      <w:bodyDiv w:val="1"/>
      <w:marLeft w:val="0"/>
      <w:marRight w:val="0"/>
      <w:marTop w:val="0"/>
      <w:marBottom w:val="0"/>
      <w:divBdr>
        <w:top w:val="none" w:sz="0" w:space="0" w:color="auto"/>
        <w:left w:val="none" w:sz="0" w:space="0" w:color="auto"/>
        <w:bottom w:val="none" w:sz="0" w:space="0" w:color="auto"/>
        <w:right w:val="none" w:sz="0" w:space="0" w:color="auto"/>
      </w:divBdr>
    </w:div>
    <w:div w:id="1426461350">
      <w:bodyDiv w:val="1"/>
      <w:marLeft w:val="0"/>
      <w:marRight w:val="0"/>
      <w:marTop w:val="0"/>
      <w:marBottom w:val="0"/>
      <w:divBdr>
        <w:top w:val="none" w:sz="0" w:space="0" w:color="auto"/>
        <w:left w:val="none" w:sz="0" w:space="0" w:color="auto"/>
        <w:bottom w:val="none" w:sz="0" w:space="0" w:color="auto"/>
        <w:right w:val="none" w:sz="0" w:space="0" w:color="auto"/>
      </w:divBdr>
    </w:div>
    <w:div w:id="1552108458">
      <w:bodyDiv w:val="1"/>
      <w:marLeft w:val="0"/>
      <w:marRight w:val="0"/>
      <w:marTop w:val="0"/>
      <w:marBottom w:val="0"/>
      <w:divBdr>
        <w:top w:val="none" w:sz="0" w:space="0" w:color="auto"/>
        <w:left w:val="none" w:sz="0" w:space="0" w:color="auto"/>
        <w:bottom w:val="none" w:sz="0" w:space="0" w:color="auto"/>
        <w:right w:val="none" w:sz="0" w:space="0" w:color="auto"/>
      </w:divBdr>
    </w:div>
    <w:div w:id="1717582151">
      <w:bodyDiv w:val="1"/>
      <w:marLeft w:val="0"/>
      <w:marRight w:val="0"/>
      <w:marTop w:val="0"/>
      <w:marBottom w:val="0"/>
      <w:divBdr>
        <w:top w:val="none" w:sz="0" w:space="0" w:color="auto"/>
        <w:left w:val="none" w:sz="0" w:space="0" w:color="auto"/>
        <w:bottom w:val="none" w:sz="0" w:space="0" w:color="auto"/>
        <w:right w:val="none" w:sz="0" w:space="0" w:color="auto"/>
      </w:divBdr>
    </w:div>
    <w:div w:id="1882017010">
      <w:bodyDiv w:val="1"/>
      <w:marLeft w:val="0"/>
      <w:marRight w:val="0"/>
      <w:marTop w:val="0"/>
      <w:marBottom w:val="0"/>
      <w:divBdr>
        <w:top w:val="none" w:sz="0" w:space="0" w:color="auto"/>
        <w:left w:val="none" w:sz="0" w:space="0" w:color="auto"/>
        <w:bottom w:val="none" w:sz="0" w:space="0" w:color="auto"/>
        <w:right w:val="none" w:sz="0" w:space="0" w:color="auto"/>
      </w:divBdr>
    </w:div>
    <w:div w:id="1896811800">
      <w:bodyDiv w:val="1"/>
      <w:marLeft w:val="0"/>
      <w:marRight w:val="0"/>
      <w:marTop w:val="0"/>
      <w:marBottom w:val="0"/>
      <w:divBdr>
        <w:top w:val="none" w:sz="0" w:space="0" w:color="auto"/>
        <w:left w:val="none" w:sz="0" w:space="0" w:color="auto"/>
        <w:bottom w:val="none" w:sz="0" w:space="0" w:color="auto"/>
        <w:right w:val="none" w:sz="0" w:space="0" w:color="auto"/>
      </w:divBdr>
      <w:divsChild>
        <w:div w:id="829635781">
          <w:marLeft w:val="0"/>
          <w:marRight w:val="0"/>
          <w:marTop w:val="0"/>
          <w:marBottom w:val="0"/>
          <w:divBdr>
            <w:top w:val="none" w:sz="0" w:space="0" w:color="auto"/>
            <w:left w:val="none" w:sz="0" w:space="0" w:color="auto"/>
            <w:bottom w:val="none" w:sz="0" w:space="0" w:color="auto"/>
            <w:right w:val="none" w:sz="0" w:space="0" w:color="auto"/>
          </w:divBdr>
        </w:div>
        <w:div w:id="1965847112">
          <w:marLeft w:val="0"/>
          <w:marRight w:val="0"/>
          <w:marTop w:val="0"/>
          <w:marBottom w:val="0"/>
          <w:divBdr>
            <w:top w:val="none" w:sz="0" w:space="0" w:color="auto"/>
            <w:left w:val="none" w:sz="0" w:space="0" w:color="auto"/>
            <w:bottom w:val="none" w:sz="0" w:space="0" w:color="auto"/>
            <w:right w:val="none" w:sz="0" w:space="0" w:color="auto"/>
          </w:divBdr>
        </w:div>
      </w:divsChild>
    </w:div>
    <w:div w:id="1940674308">
      <w:bodyDiv w:val="1"/>
      <w:marLeft w:val="0"/>
      <w:marRight w:val="0"/>
      <w:marTop w:val="0"/>
      <w:marBottom w:val="0"/>
      <w:divBdr>
        <w:top w:val="none" w:sz="0" w:space="0" w:color="auto"/>
        <w:left w:val="none" w:sz="0" w:space="0" w:color="auto"/>
        <w:bottom w:val="none" w:sz="0" w:space="0" w:color="auto"/>
        <w:right w:val="none" w:sz="0" w:space="0" w:color="auto"/>
      </w:divBdr>
    </w:div>
    <w:div w:id="2053117630">
      <w:bodyDiv w:val="1"/>
      <w:marLeft w:val="0"/>
      <w:marRight w:val="0"/>
      <w:marTop w:val="0"/>
      <w:marBottom w:val="0"/>
      <w:divBdr>
        <w:top w:val="none" w:sz="0" w:space="0" w:color="auto"/>
        <w:left w:val="none" w:sz="0" w:space="0" w:color="auto"/>
        <w:bottom w:val="none" w:sz="0" w:space="0" w:color="auto"/>
        <w:right w:val="none" w:sz="0" w:space="0" w:color="auto"/>
      </w:divBdr>
    </w:div>
    <w:div w:id="2059209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Vesselina\Downloads\http" TargetMode="External"/><Relationship Id="rId299" Type="http://schemas.openxmlformats.org/officeDocument/2006/relationships/hyperlink" Target="http://iara.government.bg/wp-content/uploads/2017/10/Pelagic_Survey_2017_IO-BAS_BG.pdf" TargetMode="External"/><Relationship Id="rId21" Type="http://schemas.openxmlformats.org/officeDocument/2006/relationships/image" Target="media/image6.png"/><Relationship Id="rId63" Type="http://schemas.openxmlformats.org/officeDocument/2006/relationships/header" Target="header2.xml"/><Relationship Id="rId159" Type="http://schemas.openxmlformats.org/officeDocument/2006/relationships/hyperlink" Target="https://www.south-stream-transport.com/project/document-library/" TargetMode="External"/><Relationship Id="rId324" Type="http://schemas.openxmlformats.org/officeDocument/2006/relationships/hyperlink" Target="http://bgodc.io-bas.bg/documents/2012/Final%20reports/Vol%203/REPORT-integrated-WFD-last%20all.pdf" TargetMode="External"/><Relationship Id="rId366" Type="http://schemas.openxmlformats.org/officeDocument/2006/relationships/hyperlink" Target="https://ec.europa.eu/maritimeaffairs/atlas/maritime_atlas/" TargetMode="External"/><Relationship Id="rId170" Type="http://schemas.openxmlformats.org/officeDocument/2006/relationships/hyperlink" Target="http://eea.government.bg/wp/publicregister/PWSRegisters.aspx" TargetMode="External"/><Relationship Id="rId226" Type="http://schemas.openxmlformats.org/officeDocument/2006/relationships/hyperlink" Target="http://iara.government.bg/wp-content/uploads/2017/10/Bulgarian_National-Bottom-Trawl-Survey-Spring-2016_Turbot_BG.pdf" TargetMode="External"/><Relationship Id="rId433" Type="http://schemas.openxmlformats.org/officeDocument/2006/relationships/hyperlink" Target="https://ec.europa.eu/environment/iczm/pdf/LSI_FINAL20180417_digital.pdf" TargetMode="External"/><Relationship Id="rId268" Type="http://schemas.openxmlformats.org/officeDocument/2006/relationships/hyperlink" Target="http://eea.government.bg/bg/bio/opos/activities-results/CS_DD.pdf" TargetMode="External"/><Relationship Id="rId475" Type="http://schemas.openxmlformats.org/officeDocument/2006/relationships/hyperlink" Target="https://www.me.government.bg/bg/themes/energiina-strategiya-na-republika-balgariya-do-2020-g-147-295.html" TargetMode="External"/><Relationship Id="rId32" Type="http://schemas.openxmlformats.org/officeDocument/2006/relationships/image" Target="media/image15.png"/><Relationship Id="rId74" Type="http://schemas.openxmlformats.org/officeDocument/2006/relationships/hyperlink" Target="http://whc.unesco.org/en/conventiontext" TargetMode="External"/><Relationship Id="rId128" Type="http://schemas.openxmlformats.org/officeDocument/2006/relationships/hyperlink" Target="http://bgodc.io-bas.bg/documents/" TargetMode="External"/><Relationship Id="rId335" Type="http://schemas.openxmlformats.org/officeDocument/2006/relationships/hyperlink" Target="http://bgodc.io-bas.bg/documents/2012/Final%20reports/Vol%203/REPORT-integrated-WFD-last%20all.pdf" TargetMode="External"/><Relationship Id="rId377" Type="http://schemas.openxmlformats.org/officeDocument/2006/relationships/hyperlink" Target="http://eea.government.bg/zpo/bg/area.jsp?NEM_Partition=1&amp;categoryID=6&amp;areaID=145" TargetMode="External"/><Relationship Id="rId5" Type="http://schemas.openxmlformats.org/officeDocument/2006/relationships/webSettings" Target="webSettings.xml"/><Relationship Id="rId181" Type="http://schemas.openxmlformats.org/officeDocument/2006/relationships/hyperlink" Target="http://eea.government.bg/wp/publicregister/PWSRegisters.aspx" TargetMode="External"/><Relationship Id="rId237" Type="http://schemas.openxmlformats.org/officeDocument/2006/relationships/hyperlink" Target="http://iara.government.bg/wp-content/uploads/2017/10/Bulgarian-National-Bottom-Trawl-Survey-autumn_2016_Turbot_BG.pdf" TargetMode="External"/><Relationship Id="rId402" Type="http://schemas.openxmlformats.org/officeDocument/2006/relationships/hyperlink" Target="http://www.bsec-organization.org/" TargetMode="External"/><Relationship Id="rId279" Type="http://schemas.openxmlformats.org/officeDocument/2006/relationships/hyperlink" Target="http://eea.government.bg/bg/bio/opos/activities-results/CS_DD.pdf" TargetMode="External"/><Relationship Id="rId444" Type="http://schemas.openxmlformats.org/officeDocument/2006/relationships/hyperlink" Target="https://eur-lex.europa.eu/legal-content/BG/TXT/?uri=CELEX%3A32008L0056" TargetMode="External"/><Relationship Id="rId486" Type="http://schemas.openxmlformats.org/officeDocument/2006/relationships/theme" Target="theme/theme1.xml"/><Relationship Id="rId43" Type="http://schemas.openxmlformats.org/officeDocument/2006/relationships/hyperlink" Target="https://en.wikipedia.org/wiki/Caucasus_Cable_System" TargetMode="External"/><Relationship Id="rId139" Type="http://schemas.openxmlformats.org/officeDocument/2006/relationships/hyperlink" Target="https://bsbd.org/bg/index_bg_1668393.html" TargetMode="External"/><Relationship Id="rId290" Type="http://schemas.openxmlformats.org/officeDocument/2006/relationships/hyperlink" Target="http://iara.government.bg/wp-content/uploads/2017/10/Pelagic_Survey_2017_IO-BAS_BG.pdf" TargetMode="External"/><Relationship Id="rId304" Type="http://schemas.openxmlformats.org/officeDocument/2006/relationships/hyperlink" Target="http://iara.government.bg/wp-content/uploads/2017/10/Pelagic_Survey_2017_IO-BAS_BG.pdf" TargetMode="External"/><Relationship Id="rId346" Type="http://schemas.openxmlformats.org/officeDocument/2006/relationships/hyperlink" Target="https://obamawhitehouse.archives.gov/sites/default/files/national_ocean_policy_implementation_plan.pdf" TargetMode="External"/><Relationship Id="rId388" Type="http://schemas.openxmlformats.org/officeDocument/2006/relationships/hyperlink" Target="http://uni-sz.bg/truni11/wp-content/uploads/biblioteka/file/TUNI10015968.pdf" TargetMode="External"/><Relationship Id="rId85" Type="http://schemas.openxmlformats.org/officeDocument/2006/relationships/hyperlink" Target="http://eur-lex.europa.eu/legal-content/BG/TXT/?uri=CELEX%3A32009L0017" TargetMode="External"/><Relationship Id="rId150" Type="http://schemas.openxmlformats.org/officeDocument/2006/relationships/hyperlink" Target="https://www.south-stream-transport.com/project/document-library/" TargetMode="External"/><Relationship Id="rId192" Type="http://schemas.openxmlformats.org/officeDocument/2006/relationships/hyperlink" Target="http://eea.government.bg/bg/bio/opos/activities-results/CS_DD.pdf" TargetMode="External"/><Relationship Id="rId206" Type="http://schemas.openxmlformats.org/officeDocument/2006/relationships/hyperlink" Target="http://eea.government.bg/bg/bio/opos/activities-results/CS_DD.pdf" TargetMode="External"/><Relationship Id="rId413" Type="http://schemas.openxmlformats.org/officeDocument/2006/relationships/hyperlink" Target="http://www.marsplan.ro/en/results.html" TargetMode="External"/><Relationship Id="rId248" Type="http://schemas.openxmlformats.org/officeDocument/2006/relationships/hyperlink" Target="https://www.bsbd.org/UserFiles/File/projects/ISMEIMP/ISMEIMP%20Project%20Final%20Report.pdf" TargetMode="External"/><Relationship Id="rId455" Type="http://schemas.openxmlformats.org/officeDocument/2006/relationships/hyperlink" Target="https://reports.weforum.org/travel-and-tourism-competitiveness-report-2019/country-profiles/" TargetMode="External"/><Relationship Id="rId12" Type="http://schemas.openxmlformats.org/officeDocument/2006/relationships/footer" Target="footer1.xml"/><Relationship Id="rId108" Type="http://schemas.openxmlformats.org/officeDocument/2006/relationships/hyperlink" Target="http://www.aksakovo.net/section-156-obschinski_plan_za_razvi.html" TargetMode="External"/><Relationship Id="rId315" Type="http://schemas.openxmlformats.org/officeDocument/2006/relationships/hyperlink" Target="http://bgodc.io-bas.bg/documents/2012/Final%20reports/Vol%203/REPORT-integrated-WFD-last%20all.pdf" TargetMode="External"/><Relationship Id="rId357" Type="http://schemas.openxmlformats.org/officeDocument/2006/relationships/hyperlink" Target="https://www.moew.government.bg/bg/vodi/opazvane-na-vodite-ot-zamursyavane/kanalizacionni-sistemi/dokladi/" TargetMode="External"/><Relationship Id="rId54" Type="http://schemas.openxmlformats.org/officeDocument/2006/relationships/hyperlink" Target="https://www.bsbd.org/registri/r/pvo_za_drugi_celi_black_sea.xlsx" TargetMode="External"/><Relationship Id="rId96" Type="http://schemas.openxmlformats.org/officeDocument/2006/relationships/hyperlink" Target="https://www.bsbd.org/UserFiles/File/Sea/Zad-MS-PoM.pdf" TargetMode="External"/><Relationship Id="rId161" Type="http://schemas.openxmlformats.org/officeDocument/2006/relationships/hyperlink" Target="https://www.south-stream-transport.com/project/document-library/" TargetMode="External"/><Relationship Id="rId217" Type="http://schemas.openxmlformats.org/officeDocument/2006/relationships/hyperlink" Target="http://iara.government.bg/wp-content/uploads/2017/10/Bulgarian_National-Bottom-Trawl-Survey-Spring-2016_Turbot_BG.pdf" TargetMode="External"/><Relationship Id="rId399" Type="http://schemas.openxmlformats.org/officeDocument/2006/relationships/hyperlink" Target="http://www.bsbd.org/bg/msfd_monitoring.html" TargetMode="External"/><Relationship Id="rId259" Type="http://schemas.openxmlformats.org/officeDocument/2006/relationships/hyperlink" Target="https://www.bsbd.org/UserFiles/File/projects/ISMEIMP/ISMEIMP%20Project%20Final%20Report.pdf" TargetMode="External"/><Relationship Id="rId424" Type="http://schemas.openxmlformats.org/officeDocument/2006/relationships/hyperlink" Target="http://www.tourism.government.bg/" TargetMode="External"/><Relationship Id="rId466" Type="http://schemas.openxmlformats.org/officeDocument/2006/relationships/hyperlink" Target="https://www.buurtwijs.nl/sites/default/files/buurtwijs/bestanden/jane_jacobs_the_death_and_life_of_great_american.pdf" TargetMode="External"/><Relationship Id="rId23" Type="http://schemas.openxmlformats.org/officeDocument/2006/relationships/image" Target="media/image8.png"/><Relationship Id="rId119" Type="http://schemas.openxmlformats.org/officeDocument/2006/relationships/hyperlink" Target="http://bgodc.io-bas.bg/documents/" TargetMode="External"/><Relationship Id="rId270" Type="http://schemas.openxmlformats.org/officeDocument/2006/relationships/hyperlink" Target="http://eea.government.bg/bg/bio/opos/activities-results/CS_DD.pdf" TargetMode="External"/><Relationship Id="rId326" Type="http://schemas.openxmlformats.org/officeDocument/2006/relationships/hyperlink" Target="http://bgodc.io-bas.bg/documents/2012/Final%20reports/Vol%203/REPORT-integrated-WFD-last%20all.pdf" TargetMode="External"/><Relationship Id="rId65" Type="http://schemas.openxmlformats.org/officeDocument/2006/relationships/hyperlink" Target="http://www.iber.bas.bg/?q=bg/node/1" TargetMode="External"/><Relationship Id="rId130" Type="http://schemas.openxmlformats.org/officeDocument/2006/relationships/hyperlink" Target="http://www.mrrb.government.bg/bg/regionalni-planove-za-razvitie-na-rajonite-ot-nivo-2-za-perioda-2014-2020-g-prieti-s-reshenie-na-ms/" TargetMode="External"/><Relationship Id="rId368" Type="http://schemas.openxmlformats.org/officeDocument/2006/relationships/hyperlink" Target="https://www.msp-platform.eu/countries/united-kingdom" TargetMode="External"/><Relationship Id="rId172" Type="http://schemas.openxmlformats.org/officeDocument/2006/relationships/hyperlink" Target="http://eea.government.bg/wp/publicregister/PWSRegisters.aspx" TargetMode="External"/><Relationship Id="rId228" Type="http://schemas.openxmlformats.org/officeDocument/2006/relationships/hyperlink" Target="http://iara.government.bg/wp-content/uploads/2017/10/Bulgarian_National-Bottom-Trawl-Survey-Spring-2016_Turbot_BG.pdf" TargetMode="External"/><Relationship Id="rId435" Type="http://schemas.openxmlformats.org/officeDocument/2006/relationships/hyperlink" Target="https://ec.europa.eu/maritimeaffairs/maritimeday/sites/mare-emd/files/burgas-visionpaper_en.pdf" TargetMode="External"/><Relationship Id="rId477" Type="http://schemas.openxmlformats.org/officeDocument/2006/relationships/hyperlink" Target="https://www.moew.government.bg/bg/klimat/mejdunarodni-pregovori-i-adaptaciya/adaptaciya/" TargetMode="External"/><Relationship Id="rId281" Type="http://schemas.openxmlformats.org/officeDocument/2006/relationships/hyperlink" Target="http://eea.government.bg/bg/bio/opos/activities-results/CS_DD.pdf" TargetMode="External"/><Relationship Id="rId337" Type="http://schemas.openxmlformats.org/officeDocument/2006/relationships/hyperlink" Target="https://www.bsbd.org/UserFiles/File/projects/ISMEIMP/ISMEIMP%20Project%20Final%20Report.pdf" TargetMode="External"/><Relationship Id="rId34" Type="http://schemas.openxmlformats.org/officeDocument/2006/relationships/image" Target="media/image16.png"/><Relationship Id="rId76" Type="http://schemas.openxmlformats.org/officeDocument/2006/relationships/hyperlink" Target="http://www.iucngisd.org/gisd/species.php?sc=95" TargetMode="External"/><Relationship Id="rId141" Type="http://schemas.openxmlformats.org/officeDocument/2006/relationships/hyperlink" Target="https://bsbd.org/bg/index_bg_1668393.html" TargetMode="External"/><Relationship Id="rId379" Type="http://schemas.openxmlformats.org/officeDocument/2006/relationships/hyperlink" Target="http://eurogoos.eu/ferrybox-task-team/" TargetMode="External"/><Relationship Id="rId7" Type="http://schemas.openxmlformats.org/officeDocument/2006/relationships/endnotes" Target="endnotes.xml"/><Relationship Id="rId183" Type="http://schemas.openxmlformats.org/officeDocument/2006/relationships/hyperlink" Target="https://www.riosv-varna.org/docs/RIOSV-Varna%20Doklad%20OS%202018.pdf" TargetMode="External"/><Relationship Id="rId239" Type="http://schemas.openxmlformats.org/officeDocument/2006/relationships/hyperlink" Target="https://www.bsbd.org/UserFiles/File/projects/ISMEIMP/ISMEIMP%20Project%20Final%20Report.pdf" TargetMode="External"/><Relationship Id="rId390" Type="http://schemas.openxmlformats.org/officeDocument/2006/relationships/hyperlink" Target="http://www.blacksea-commission.org/" TargetMode="External"/><Relationship Id="rId404" Type="http://schemas.openxmlformats.org/officeDocument/2006/relationships/hyperlink" Target="http://www.devotes-project.eu/wp-content/uploads/2014/06/DEVOTES-D1-1-ConceptualModels.pdf" TargetMode="External"/><Relationship Id="rId446" Type="http://schemas.openxmlformats.org/officeDocument/2006/relationships/hyperlink" Target="https://eur-lex.europa.eu/legal-content/BG/TXT/PDF/?uri=CELEX:32007L0060&amp;from=BG" TargetMode="External"/><Relationship Id="rId250" Type="http://schemas.openxmlformats.org/officeDocument/2006/relationships/hyperlink" Target="https://www.bsbd.org/UserFiles/File/projects/ISMEIMP/ISMEIMP%20Project%20Final%20Report.pdf" TargetMode="External"/><Relationship Id="rId292" Type="http://schemas.openxmlformats.org/officeDocument/2006/relationships/hyperlink" Target="http://iara.government.bg/wp-content/uploads/2017/10/Pelagic_Survey_2017_IO-BAS_BG.pdf" TargetMode="External"/><Relationship Id="rId306" Type="http://schemas.openxmlformats.org/officeDocument/2006/relationships/hyperlink" Target="http://iara.government.bg/wp-content/uploads/2017/10/Pelagic_Survey_2017_IO-BAS_BG.pdf" TargetMode="External"/><Relationship Id="rId45" Type="http://schemas.openxmlformats.org/officeDocument/2006/relationships/image" Target="media/image26.emf"/><Relationship Id="rId87" Type="http://schemas.openxmlformats.org/officeDocument/2006/relationships/hyperlink" Target="http://eur-lex.europa.eu/legal-content/BG/TXT/?uri=uriserv%3AOJ.L_.2014.308.01.0082.01.BUL" TargetMode="External"/><Relationship Id="rId110" Type="http://schemas.openxmlformats.org/officeDocument/2006/relationships/hyperlink" Target="http://byala.bg/home/index.php/2014/01/27/plan-14-20/" TargetMode="External"/><Relationship Id="rId348" Type="http://schemas.openxmlformats.org/officeDocument/2006/relationships/hyperlink" Target="http://www.msp-platform.eu/countries/netherlands" TargetMode="External"/><Relationship Id="rId152" Type="http://schemas.openxmlformats.org/officeDocument/2006/relationships/hyperlink" Target="https://www.south-stream-transport.com/project/document-library/" TargetMode="External"/><Relationship Id="rId194" Type="http://schemas.openxmlformats.org/officeDocument/2006/relationships/hyperlink" Target="http://eea.government.bg/bg/bio/opos/activities-results/CS_DD.pdf" TargetMode="External"/><Relationship Id="rId208" Type="http://schemas.openxmlformats.org/officeDocument/2006/relationships/hyperlink" Target="http://www.io-bas.bg/downloads/Ocean_V4_12.pdf" TargetMode="External"/><Relationship Id="rId415" Type="http://schemas.openxmlformats.org/officeDocument/2006/relationships/hyperlink" Target="http://www.moew.government.bg/bg/vodi/morski-vodi/konvenciya-za-opazvane-na-cherno-more-ot-zamursyavane/" TargetMode="External"/><Relationship Id="rId457" Type="http://schemas.openxmlformats.org/officeDocument/2006/relationships/hyperlink" Target="https://seenews.com/companies/company_profile/burgaski-korabostroitelnitsi-ad-non-existent-2835" TargetMode="External"/><Relationship Id="rId261" Type="http://schemas.openxmlformats.org/officeDocument/2006/relationships/hyperlink" Target="http://eea.government.bg/bg/bio/opos/activities-results/CS_TT.pdf" TargetMode="External"/><Relationship Id="rId14" Type="http://schemas.openxmlformats.org/officeDocument/2006/relationships/diagramLayout" Target="diagrams/layout1.xml"/><Relationship Id="rId56" Type="http://schemas.openxmlformats.org/officeDocument/2006/relationships/hyperlink" Target="https://www.moew.government.bg/bg/vodi/planove-za-upravlenie/planove-za-upravlenie-na-rechnite-basejni-purb/" TargetMode="External"/><Relationship Id="rId317" Type="http://schemas.openxmlformats.org/officeDocument/2006/relationships/hyperlink" Target="http://bgodc.io-bas.bg/documents/2012/Final%20reports/Vol%203/REPORT-integrated-WFD-last%20all.pdf" TargetMode="External"/><Relationship Id="rId359" Type="http://schemas.openxmlformats.org/officeDocument/2006/relationships/hyperlink" Target="http://www.bgports.bg/bg/page/24" TargetMode="External"/><Relationship Id="rId98" Type="http://schemas.openxmlformats.org/officeDocument/2006/relationships/hyperlink" Target="https://www.bsbd.org/UserFiles/bg/m_env_and_action.html" TargetMode="External"/><Relationship Id="rId121" Type="http://schemas.openxmlformats.org/officeDocument/2006/relationships/hyperlink" Target="http://bgodc.io-bas.bg/documents/" TargetMode="External"/><Relationship Id="rId163" Type="http://schemas.openxmlformats.org/officeDocument/2006/relationships/hyperlink" Target="https://www.south-stream-transport.com/project/document-library/" TargetMode="External"/><Relationship Id="rId219" Type="http://schemas.openxmlformats.org/officeDocument/2006/relationships/hyperlink" Target="http://iara.government.bg/wp-content/uploads/2017/10/Bulgarian_National-Bottom-Trawl-Survey-Spring-2016_Turbot_BG.pdf" TargetMode="External"/><Relationship Id="rId370" Type="http://schemas.openxmlformats.org/officeDocument/2006/relationships/hyperlink" Target="http://eea.government.bg/zpo/bg/result1.jsp" TargetMode="External"/><Relationship Id="rId426" Type="http://schemas.openxmlformats.org/officeDocument/2006/relationships/hyperlink" Target="http://www.un.org/depts/los/consultative_process/documents/A21-Ch17.htm" TargetMode="External"/><Relationship Id="rId230" Type="http://schemas.openxmlformats.org/officeDocument/2006/relationships/hyperlink" Target="http://iara.government.bg/wp-content/uploads/2017/10/Bulgarian_National-Bottom-Trawl-Survey-Spring-2016_Turbot_BG.pdf" TargetMode="External"/><Relationship Id="rId468" Type="http://schemas.openxmlformats.org/officeDocument/2006/relationships/hyperlink" Target="https://www.csis.org/analysis/covid-19-sea-impacts-blue-economy-ocean-health-and-ocean-security" TargetMode="External"/><Relationship Id="rId25" Type="http://schemas.openxmlformats.org/officeDocument/2006/relationships/hyperlink" Target="https://bg.wikipedia.org/wiki/%D0%A1%D0%BE%D1%84%D0%B8%D1%8F" TargetMode="External"/><Relationship Id="rId67" Type="http://schemas.openxmlformats.org/officeDocument/2006/relationships/hyperlink" Target="http://naim.bg/bg/content/category/100/32/" TargetMode="External"/><Relationship Id="rId272" Type="http://schemas.openxmlformats.org/officeDocument/2006/relationships/hyperlink" Target="http://eea.government.bg/bg/bio/opos/activities-results/CS_DD.pdf" TargetMode="External"/><Relationship Id="rId328" Type="http://schemas.openxmlformats.org/officeDocument/2006/relationships/hyperlink" Target="http://bgodc.io-bas.bg/documents/2012/Final%20reports/Vol%203/REPORT-integrated-WFD-last%20all.pdf" TargetMode="External"/><Relationship Id="rId132" Type="http://schemas.openxmlformats.org/officeDocument/2006/relationships/hyperlink" Target="http://www.marad.bg/upload/docs/SAR_Strategy.doc" TargetMode="External"/><Relationship Id="rId174" Type="http://schemas.openxmlformats.org/officeDocument/2006/relationships/hyperlink" Target="http://eea.government.bg/wp/publicregister/PWSRegisters.aspx" TargetMode="External"/><Relationship Id="rId381" Type="http://schemas.openxmlformats.org/officeDocument/2006/relationships/hyperlink" Target="http://icbss.org/" TargetMode="External"/><Relationship Id="rId241" Type="http://schemas.openxmlformats.org/officeDocument/2006/relationships/hyperlink" Target="https://www.bsbd.org/UserFiles/File/projects/ISMEIMP/ISMEIMP%20Project%20Final%20Report.pdf" TargetMode="External"/><Relationship Id="rId437" Type="http://schemas.openxmlformats.org/officeDocument/2006/relationships/hyperlink" Target="https://ec.europa.eu/maritimeaffairs/press/common-maritime-agenda-black-sea-motion_en" TargetMode="External"/><Relationship Id="rId479" Type="http://schemas.openxmlformats.org/officeDocument/2006/relationships/hyperlink" Target="https://www.moew.government.bg/static/media/ups/tiny/Press/Ramsar-knijka.pdf" TargetMode="External"/><Relationship Id="rId36" Type="http://schemas.openxmlformats.org/officeDocument/2006/relationships/image" Target="media/image18.png"/><Relationship Id="rId283" Type="http://schemas.openxmlformats.org/officeDocument/2006/relationships/hyperlink" Target="http://eea.government.bg/bg/bio/opos/activities-results/Doklad_Izhvyrleni_na_brega_kitopodobni.pdf" TargetMode="External"/><Relationship Id="rId339" Type="http://schemas.openxmlformats.org/officeDocument/2006/relationships/hyperlink" Target="https://doi.org/10.1016/j.marpolbul.2011.09.025" TargetMode="External"/><Relationship Id="rId78" Type="http://schemas.openxmlformats.org/officeDocument/2006/relationships/hyperlink" Target="http://msp.ioc-unesco.org/world-applications/americas/canada/" TargetMode="External"/><Relationship Id="rId101" Type="http://schemas.openxmlformats.org/officeDocument/2006/relationships/hyperlink" Target="http://www.mrrb.government.bg/static/media/ups/articles/attachments/9c601820f838fec4e00cb3332fab39d4.pdf" TargetMode="External"/><Relationship Id="rId143" Type="http://schemas.openxmlformats.org/officeDocument/2006/relationships/hyperlink" Target="https://bsbd.org/bg/index_bg_1668393.html" TargetMode="External"/><Relationship Id="rId185" Type="http://schemas.openxmlformats.org/officeDocument/2006/relationships/hyperlink" Target="http://e-ecodb.bas.bg/rdb/bg/vol2/" TargetMode="External"/><Relationship Id="rId350" Type="http://schemas.openxmlformats.org/officeDocument/2006/relationships/hyperlink" Target="http://e-ecodb.bas.bg/rdb/en/vol1/Genlutea.html" TargetMode="External"/><Relationship Id="rId406" Type="http://schemas.openxmlformats.org/officeDocument/2006/relationships/hyperlink" Target="http://www.fao.org/fishery/en" TargetMode="External"/><Relationship Id="rId9" Type="http://schemas.openxmlformats.org/officeDocument/2006/relationships/image" Target="media/image2.png"/><Relationship Id="rId210" Type="http://schemas.openxmlformats.org/officeDocument/2006/relationships/hyperlink" Target="http://iara.government.bg/wp-content/uploads/2017/10/Bulgarian_National-Bottom-Trawl-Survey-Spring-2016_Turbot_BG.pdf" TargetMode="External"/><Relationship Id="rId392" Type="http://schemas.openxmlformats.org/officeDocument/2006/relationships/hyperlink" Target="http://www.blacksea-commission.org/_convention-fulltext.asp" TargetMode="External"/><Relationship Id="rId448" Type="http://schemas.openxmlformats.org/officeDocument/2006/relationships/hyperlink" Target="https://experience.bg/kude-da-akostirate-po-bulgarskoto-kraibrejie-chast-ii-iujno-chernomorie" TargetMode="External"/><Relationship Id="rId252" Type="http://schemas.openxmlformats.org/officeDocument/2006/relationships/hyperlink" Target="https://www.bsbd.org/UserFiles/File/projects/ISMEIMP/ISMEIMP%20Project%20Final%20Report.pdf" TargetMode="External"/><Relationship Id="rId294" Type="http://schemas.openxmlformats.org/officeDocument/2006/relationships/hyperlink" Target="http://iara.government.bg/wp-content/uploads/2017/10/Pelagic_Survey_2017_IO-BAS_BG.pdf" TargetMode="External"/><Relationship Id="rId308" Type="http://schemas.openxmlformats.org/officeDocument/2006/relationships/hyperlink" Target="http://bgodc.io-bas.bg/documents/2012/Final%20reports/Vol%203/REPORT-integrated-WFD-last%20all.pdf" TargetMode="External"/><Relationship Id="rId47" Type="http://schemas.openxmlformats.org/officeDocument/2006/relationships/image" Target="media/image28.png"/><Relationship Id="rId89" Type="http://schemas.openxmlformats.org/officeDocument/2006/relationships/hyperlink" Target="http://eur-lex.europa.eu/legal-content/BG/TXT/?uri=CELEX%3A32015L2087" TargetMode="External"/><Relationship Id="rId112" Type="http://schemas.openxmlformats.org/officeDocument/2006/relationships/hyperlink" Target="http://dolni-chiflik.acstre.com/assets/C/opr2014-2020.pdf" TargetMode="External"/><Relationship Id="rId154" Type="http://schemas.openxmlformats.org/officeDocument/2006/relationships/hyperlink" Target="https://www.south-stream-transport.com/project/document-library/" TargetMode="External"/><Relationship Id="rId361" Type="http://schemas.openxmlformats.org/officeDocument/2006/relationships/hyperlink" Target="http://www.bsbd.org/bg/msfd_monitoring.html" TargetMode="External"/><Relationship Id="rId196" Type="http://schemas.openxmlformats.org/officeDocument/2006/relationships/hyperlink" Target="http://eea.government.bg/bg/bio/opos/activities-results/CS_DD.pdf" TargetMode="External"/><Relationship Id="rId417" Type="http://schemas.openxmlformats.org/officeDocument/2006/relationships/hyperlink" Target="http://www.pabsec.org/page.asp?id=1&amp;hl=en" TargetMode="External"/><Relationship Id="rId459" Type="http://schemas.openxmlformats.org/officeDocument/2006/relationships/hyperlink" Target="https://unesdoc.unesco.org/ark:/48223/pf0000186559" TargetMode="External"/><Relationship Id="rId16" Type="http://schemas.openxmlformats.org/officeDocument/2006/relationships/diagramColors" Target="diagrams/colors1.xml"/><Relationship Id="rId221" Type="http://schemas.openxmlformats.org/officeDocument/2006/relationships/hyperlink" Target="http://iara.government.bg/wp-content/uploads/2017/10/Bulgarian_National-Bottom-Trawl-Survey-Spring-2016_Turbot_BG.pdf" TargetMode="External"/><Relationship Id="rId263" Type="http://schemas.openxmlformats.org/officeDocument/2006/relationships/hyperlink" Target="http://eea.government.bg/bg/bio/opos/activities-results/CS_DD.pdf" TargetMode="External"/><Relationship Id="rId319" Type="http://schemas.openxmlformats.org/officeDocument/2006/relationships/hyperlink" Target="http://bgodc.io-bas.bg/documents/2012/Final%20reports/Vol%203/REPORT-integrated-WFD-last%20all.pdf" TargetMode="External"/><Relationship Id="rId470" Type="http://schemas.openxmlformats.org/officeDocument/2006/relationships/hyperlink" Target="https://www.eea.europa.eu/themes/water/europes-seas-and-coasts/europes-seas-and-coasts" TargetMode="External"/><Relationship Id="rId58" Type="http://schemas.openxmlformats.org/officeDocument/2006/relationships/hyperlink" Target="https://www.openstreetmap.org/" TargetMode="External"/><Relationship Id="rId123" Type="http://schemas.openxmlformats.org/officeDocument/2006/relationships/hyperlink" Target="http://bgodc.io-bas.bg/documents/" TargetMode="External"/><Relationship Id="rId330" Type="http://schemas.openxmlformats.org/officeDocument/2006/relationships/hyperlink" Target="http://bgodc.io-bas.bg/documents/2012/Final%20reports/Vol%203/REPORT-integrated-WFD-last%20all.pdf" TargetMode="External"/><Relationship Id="rId165" Type="http://schemas.openxmlformats.org/officeDocument/2006/relationships/hyperlink" Target="https://www.south-stream-transport.com/project/document-library/" TargetMode="External"/><Relationship Id="rId372" Type="http://schemas.openxmlformats.org/officeDocument/2006/relationships/hyperlink" Target="http://deloports.com/dock58/" TargetMode="External"/><Relationship Id="rId428" Type="http://schemas.openxmlformats.org/officeDocument/2006/relationships/hyperlink" Target="https://bbf.biodiversity.bg/bg/Uzunbudzhak.c254" TargetMode="External"/><Relationship Id="rId232" Type="http://schemas.openxmlformats.org/officeDocument/2006/relationships/hyperlink" Target="http://iara.government.bg/wp-content/uploads/2017/10/Bulgarian_National-Bottom-Trawl-Survey-Spring-2016_Turbot_BG.pdf" TargetMode="External"/><Relationship Id="rId274" Type="http://schemas.openxmlformats.org/officeDocument/2006/relationships/hyperlink" Target="http://eea.government.bg/bg/bio/opos/activities-results/CS_DD.pdf" TargetMode="External"/><Relationship Id="rId481" Type="http://schemas.openxmlformats.org/officeDocument/2006/relationships/hyperlink" Target="https://www.msp-platform.eu/projects/coconet-towards-coast-coast-networks-marine-protected-areas-shore-high-and-deep-sea" TargetMode="External"/><Relationship Id="rId27" Type="http://schemas.openxmlformats.org/officeDocument/2006/relationships/image" Target="media/image10.png"/><Relationship Id="rId69" Type="http://schemas.openxmlformats.org/officeDocument/2006/relationships/hyperlink" Target="http://www.blacksea-commission.org/_convention.asp" TargetMode="External"/><Relationship Id="rId134" Type="http://schemas.openxmlformats.org/officeDocument/2006/relationships/hyperlink" Target="http://www.bsh.de/en/Marine_uses/Spatial_Planning_in_the_German_EEZ/documents2/Spatial_Plan_North_Sea.pdf" TargetMode="External"/><Relationship Id="rId80" Type="http://schemas.openxmlformats.org/officeDocument/2006/relationships/hyperlink" Target="https://eur-lex.europa.eu/legal-content/BG/TXT/HTML/?uri=CELEX:32017L0845&amp;from=EN" TargetMode="External"/><Relationship Id="rId176" Type="http://schemas.openxmlformats.org/officeDocument/2006/relationships/hyperlink" Target="http://eea.government.bg/wp/publicregister/PWSRegisters.aspx" TargetMode="External"/><Relationship Id="rId341" Type="http://schemas.openxmlformats.org/officeDocument/2006/relationships/hyperlink" Target="http://www.plancoast.eu/files/handbook_web.pdf" TargetMode="External"/><Relationship Id="rId383" Type="http://schemas.openxmlformats.org/officeDocument/2006/relationships/hyperlink" Target="http://publications.europa.eu/resource/cellar/f07ab00e-3795-4146-8739-07dc585b97ad.0008.01/DOC_1" TargetMode="External"/><Relationship Id="rId439" Type="http://schemas.openxmlformats.org/officeDocument/2006/relationships/hyperlink" Target="https://ec.europa.eu/maritimeaffairs/sites/maritimeaffairs/files/docs/publications/blue-growth_en.pdf" TargetMode="External"/><Relationship Id="rId201" Type="http://schemas.openxmlformats.org/officeDocument/2006/relationships/hyperlink" Target="http://eea.government.bg/bg/bio/opos/activities-results/CS_DD.pdf" TargetMode="External"/><Relationship Id="rId243" Type="http://schemas.openxmlformats.org/officeDocument/2006/relationships/hyperlink" Target="https://www.bsbd.org/UserFiles/File/projects/ISMEIMP/ISMEIMP%20Project%20Final%20Report.pdf" TargetMode="External"/><Relationship Id="rId285" Type="http://schemas.openxmlformats.org/officeDocument/2006/relationships/hyperlink" Target="http://iara.government.bg/wp-content/uploads/2017/10/Sprat_SURVEY_2015_December_BG.pdf" TargetMode="External"/><Relationship Id="rId450" Type="http://schemas.openxmlformats.org/officeDocument/2006/relationships/hyperlink" Target="https://inspire.ec.europa.eu/id/document/tg/sr" TargetMode="External"/><Relationship Id="rId38" Type="http://schemas.openxmlformats.org/officeDocument/2006/relationships/image" Target="media/image20.png"/><Relationship Id="rId103" Type="http://schemas.openxmlformats.org/officeDocument/2006/relationships/hyperlink" Target="http://www.strategy.bg/StrategicDocuments/View.aspx?lang=bg-BG&amp;Id=1025" TargetMode="External"/><Relationship Id="rId310" Type="http://schemas.openxmlformats.org/officeDocument/2006/relationships/hyperlink" Target="http://bgodc.io-bas.bg/documents/2012/Final%20reports/Vol%203/REPORT-integrated-WFD-last%20all.pdf" TargetMode="External"/><Relationship Id="rId91" Type="http://schemas.openxmlformats.org/officeDocument/2006/relationships/hyperlink" Target="https://eur-lex.europa.eu/legal-content/BG/TXT/PDF/?uri=CELEX:32017R0352&amp;from=BG" TargetMode="External"/><Relationship Id="rId145" Type="http://schemas.openxmlformats.org/officeDocument/2006/relationships/hyperlink" Target="https://bsbd.org/bg/index_bg_1668393.html" TargetMode="External"/><Relationship Id="rId187" Type="http://schemas.openxmlformats.org/officeDocument/2006/relationships/hyperlink" Target="http://eea.government.bg/bg/bio/opos/activities-results/CS_DD.pdf" TargetMode="External"/><Relationship Id="rId352" Type="http://schemas.openxmlformats.org/officeDocument/2006/relationships/hyperlink" Target="https://cdr.eionet.europa.eu/bg/eu/msfd8910/" TargetMode="External"/><Relationship Id="rId394" Type="http://schemas.openxmlformats.org/officeDocument/2006/relationships/hyperlink" Target="http://www.blacksea-commission.org/Official%20Documents/Black%20Sea%20Strategic%20Action%20Plan%202009/" TargetMode="External"/><Relationship Id="rId408" Type="http://schemas.openxmlformats.org/officeDocument/2006/relationships/hyperlink" Target="http://www.imo.org/en/about/conventions/listofconventions/pages/international-convention-for-the-prevention-of-pollution-from-ships-(marpol).aspx" TargetMode="External"/><Relationship Id="rId212" Type="http://schemas.openxmlformats.org/officeDocument/2006/relationships/hyperlink" Target="http://iara.government.bg/wp-content/uploads/2017/10/Bulgarian_National-Bottom-Trawl-Survey-Spring-2016_Turbot_BG.pdf" TargetMode="External"/><Relationship Id="rId254" Type="http://schemas.openxmlformats.org/officeDocument/2006/relationships/hyperlink" Target="https://www.bsbd.org/UserFiles/File/projects/ISMEIMP/ISMEIMP%20Project%20Final%20Report.pdf" TargetMode="External"/><Relationship Id="rId49" Type="http://schemas.openxmlformats.org/officeDocument/2006/relationships/image" Target="media/image30.png"/><Relationship Id="rId114" Type="http://schemas.openxmlformats.org/officeDocument/2006/relationships/hyperlink" Target="https://www.mod.bg/bg/doc/strategicheski/20160128_Plan_za_razvitie_VS-2020.pdf" TargetMode="External"/><Relationship Id="rId296" Type="http://schemas.openxmlformats.org/officeDocument/2006/relationships/hyperlink" Target="http://iara.government.bg/wp-content/uploads/2017/10/Pelagic_Survey_2017_IO-BAS_BG.pdf" TargetMode="External"/><Relationship Id="rId461" Type="http://schemas.openxmlformats.org/officeDocument/2006/relationships/hyperlink" Target="https://unfccc.int/" TargetMode="External"/><Relationship Id="rId60" Type="http://schemas.openxmlformats.org/officeDocument/2006/relationships/image" Target="media/image33.jpeg"/><Relationship Id="rId156" Type="http://schemas.openxmlformats.org/officeDocument/2006/relationships/hyperlink" Target="https://www.south-stream-transport.com/project/document-library/" TargetMode="External"/><Relationship Id="rId198" Type="http://schemas.openxmlformats.org/officeDocument/2006/relationships/hyperlink" Target="http://eea.government.bg/bg/bio/opos/activities-results/CS_DD.pdf" TargetMode="External"/><Relationship Id="rId321" Type="http://schemas.openxmlformats.org/officeDocument/2006/relationships/hyperlink" Target="http://bgodc.io-bas.bg/documents/2012/Final%20reports/Vol%203/REPORT-integrated-WFD-last%20all.pdf" TargetMode="External"/><Relationship Id="rId363" Type="http://schemas.openxmlformats.org/officeDocument/2006/relationships/hyperlink" Target="http://www.bunarco.org/bg/index.html" TargetMode="External"/><Relationship Id="rId419" Type="http://schemas.openxmlformats.org/officeDocument/2006/relationships/hyperlink" Target="http://www.strategy.bg/Publications/View.aspx?lang=bg-BG&amp;Id=90" TargetMode="External"/><Relationship Id="rId223" Type="http://schemas.openxmlformats.org/officeDocument/2006/relationships/hyperlink" Target="http://iara.government.bg/wp-content/uploads/2017/10/Bulgarian_National-Bottom-Trawl-Survey-Spring-2016_Turbot_BG.pdf" TargetMode="External"/><Relationship Id="rId430" Type="http://schemas.openxmlformats.org/officeDocument/2006/relationships/hyperlink" Target="https://bsbd.org/bg/msfd_monitoring.html" TargetMode="External"/><Relationship Id="rId18" Type="http://schemas.openxmlformats.org/officeDocument/2006/relationships/image" Target="media/image3.jpg"/><Relationship Id="rId265" Type="http://schemas.openxmlformats.org/officeDocument/2006/relationships/hyperlink" Target="http://eea.government.bg/bg/bio/opos/activities-results/CS_DD.pdf" TargetMode="External"/><Relationship Id="rId472" Type="http://schemas.openxmlformats.org/officeDocument/2006/relationships/hyperlink" Target="https://www.environment.gov.au/marine/gbr/long-term-sustainability-plan" TargetMode="External"/><Relationship Id="rId125" Type="http://schemas.openxmlformats.org/officeDocument/2006/relationships/hyperlink" Target="http://bgodc.io-bas.bg/documents/" TargetMode="External"/><Relationship Id="rId167" Type="http://schemas.openxmlformats.org/officeDocument/2006/relationships/hyperlink" Target="http://eea.government.bg/wp/publicregister/PWSRegisters.aspx" TargetMode="External"/><Relationship Id="rId332" Type="http://schemas.openxmlformats.org/officeDocument/2006/relationships/hyperlink" Target="http://bgodc.io-bas.bg/documents/2012/Final%20reports/Vol%203/REPORT-integrated-WFD-last%20all.pdf" TargetMode="External"/><Relationship Id="rId374" Type="http://schemas.openxmlformats.org/officeDocument/2006/relationships/hyperlink" Target="http://eea.government.bg/bg/bio/opos/Finalni_rezultati_Deinost_6.pdf" TargetMode="External"/><Relationship Id="rId71" Type="http://schemas.openxmlformats.org/officeDocument/2006/relationships/hyperlink" Target="http://www.un.org/depts/los/convention_agreements/texts/unclos/part2.htm" TargetMode="External"/><Relationship Id="rId234" Type="http://schemas.openxmlformats.org/officeDocument/2006/relationships/hyperlink" Target="http://iara.government.bg/wp-content/uploads/2017/10/Bulgarian_National-Bottom-Trawl-Survey-Spring-2016_Turbot_BG.pdf" TargetMode="External"/><Relationship Id="rId2" Type="http://schemas.openxmlformats.org/officeDocument/2006/relationships/numbering" Target="numbering.xml"/><Relationship Id="rId29" Type="http://schemas.openxmlformats.org/officeDocument/2006/relationships/image" Target="media/image12.png"/><Relationship Id="rId276" Type="http://schemas.openxmlformats.org/officeDocument/2006/relationships/hyperlink" Target="http://eea.government.bg/bg/bio/opos/activities-results/CS_DD.pdf" TargetMode="External"/><Relationship Id="rId441" Type="http://schemas.openxmlformats.org/officeDocument/2006/relationships/hyperlink" Target="https://epsg.io/7800" TargetMode="External"/><Relationship Id="rId483" Type="http://schemas.openxmlformats.org/officeDocument/2006/relationships/hyperlink" Target="https://www.oecd-ilibrary.org/docserver/7969896b-&#1077;n.pdf?expires=1590396731&amp;id=id&amp;accname=guest&amp;checksum=1DB3B890EB67DAA0216A6F9DC2F08F30" TargetMode="External"/><Relationship Id="rId40" Type="http://schemas.openxmlformats.org/officeDocument/2006/relationships/image" Target="media/image22.png"/><Relationship Id="rId136" Type="http://schemas.openxmlformats.org/officeDocument/2006/relationships/hyperlink" Target="http://eea.government.bg/bg/soer/2017" TargetMode="External"/><Relationship Id="rId178" Type="http://schemas.openxmlformats.org/officeDocument/2006/relationships/hyperlink" Target="http://eea.government.bg/wp/publicregister/PWSRegisters.aspx" TargetMode="External"/><Relationship Id="rId301" Type="http://schemas.openxmlformats.org/officeDocument/2006/relationships/hyperlink" Target="http://iara.government.bg/wp-content/uploads/2017/10/Pelagic_Survey_2017_IO-BAS_BG.pdf" TargetMode="External"/><Relationship Id="rId343" Type="http://schemas.openxmlformats.org/officeDocument/2006/relationships/hyperlink" Target="https://doi.org/10.1016/j.marpolbul.2012.09.012" TargetMode="External"/><Relationship Id="rId82" Type="http://schemas.openxmlformats.org/officeDocument/2006/relationships/hyperlink" Target="http://eur-lex.europa.eu/legal-content/BG/ALL/?uri=CELEX:32002L0084" TargetMode="External"/><Relationship Id="rId203" Type="http://schemas.openxmlformats.org/officeDocument/2006/relationships/hyperlink" Target="http://eea.government.bg/bg/bio/opos/activities-results/CS_DD.pdf" TargetMode="External"/><Relationship Id="rId385" Type="http://schemas.openxmlformats.org/officeDocument/2006/relationships/hyperlink" Target="http://register.consilium.europa.eu/doc/srv?l=EN&amp;f=ST%2011205%202014%20INIT" TargetMode="External"/><Relationship Id="rId245" Type="http://schemas.openxmlformats.org/officeDocument/2006/relationships/hyperlink" Target="https://www.bsbd.org/UserFiles/File/projects/ISMEIMP/ISMEIMP%20Project%20Final%20Report.pdf" TargetMode="External"/><Relationship Id="rId287" Type="http://schemas.openxmlformats.org/officeDocument/2006/relationships/hyperlink" Target="http://iara.government.bg/wp-content/uploads/2017/10/Pelagic_Survey_2017_IO-BAS_BG.pdf" TargetMode="External"/><Relationship Id="rId410" Type="http://schemas.openxmlformats.org/officeDocument/2006/relationships/hyperlink" Target="http://www.marineregions.org/gazetteer.php?p=details&amp;id=5672" TargetMode="External"/><Relationship Id="rId452" Type="http://schemas.openxmlformats.org/officeDocument/2006/relationships/hyperlink" Target="https://kis-orca.eu/map/" TargetMode="External"/><Relationship Id="rId105" Type="http://schemas.openxmlformats.org/officeDocument/2006/relationships/hyperlink" Target="http://dobrich.government.bg/ipage.php?id=320" TargetMode="External"/><Relationship Id="rId147" Type="http://schemas.openxmlformats.org/officeDocument/2006/relationships/hyperlink" Target="https://bsbd.org/bg/index_bg_1668393.html" TargetMode="External"/><Relationship Id="rId312" Type="http://schemas.openxmlformats.org/officeDocument/2006/relationships/hyperlink" Target="http://bgodc.io-bas.bg/documents/2012/Final%20reports/Vol%203/REPORT-integrated-WFD-last%20all.pdf" TargetMode="External"/><Relationship Id="rId354" Type="http://schemas.openxmlformats.org/officeDocument/2006/relationships/hyperlink" Target="http://www.coconet-fp7.eu/images/sci-pub/118_Todorova_edited%20(2).pdf)" TargetMode="External"/><Relationship Id="rId51" Type="http://schemas.openxmlformats.org/officeDocument/2006/relationships/hyperlink" Target="https://www.me.government.bg/files/useruploads/files/karti/eve_wgs35_nefi&amp;gaz.pdf" TargetMode="External"/><Relationship Id="rId93" Type="http://schemas.openxmlformats.org/officeDocument/2006/relationships/hyperlink" Target="https://www.bsbd.org/bg/index_bg_5493788.html" TargetMode="External"/><Relationship Id="rId189" Type="http://schemas.openxmlformats.org/officeDocument/2006/relationships/hyperlink" Target="http://eea.government.bg/bg/bio/opos/activities-results/CS_DD.pdf" TargetMode="External"/><Relationship Id="rId396" Type="http://schemas.openxmlformats.org/officeDocument/2006/relationships/hyperlink" Target="http://www.bsbd.org/bg/merki_13_rdms.html" TargetMode="External"/><Relationship Id="rId214" Type="http://schemas.openxmlformats.org/officeDocument/2006/relationships/hyperlink" Target="http://iara.government.bg/wp-content/uploads/2017/10/Bulgarian_National-Bottom-Trawl-Survey-Spring-2016_Turbot_BG.pdf" TargetMode="External"/><Relationship Id="rId256" Type="http://schemas.openxmlformats.org/officeDocument/2006/relationships/hyperlink" Target="https://www.bsbd.org/UserFiles/File/projects/ISMEIMP/ISMEIMP%20Project%20Final%20Report.pdf" TargetMode="External"/><Relationship Id="rId298" Type="http://schemas.openxmlformats.org/officeDocument/2006/relationships/hyperlink" Target="http://iara.government.bg/wp-content/uploads/2017/10/Pelagic_Survey_2017_IO-BAS_BG.pdf" TargetMode="External"/><Relationship Id="rId421" Type="http://schemas.openxmlformats.org/officeDocument/2006/relationships/hyperlink" Target="http://www.strategy.bg/StaticPages/CalculatingManual.aspx?guidanceType=2&amp;sectionName=PublicConsultationStandards" TargetMode="External"/><Relationship Id="rId463" Type="http://schemas.openxmlformats.org/officeDocument/2006/relationships/hyperlink" Target="https://webunwto.s3.eu-west-1.amazonaws.com/s3fs-public/2020-04/COVID19_Recommendations_English_1.pdf" TargetMode="External"/><Relationship Id="rId116" Type="http://schemas.openxmlformats.org/officeDocument/2006/relationships/hyperlink" Target="https://www.bsbd.org/bg/page_purn_bsbd.html" TargetMode="External"/><Relationship Id="rId137" Type="http://schemas.openxmlformats.org/officeDocument/2006/relationships/hyperlink" Target="https://bsbd.org/bg/index_bg_1668393.html" TargetMode="External"/><Relationship Id="rId158" Type="http://schemas.openxmlformats.org/officeDocument/2006/relationships/hyperlink" Target="https://www.south-stream-transport.com/project/document-library/" TargetMode="External"/><Relationship Id="rId302" Type="http://schemas.openxmlformats.org/officeDocument/2006/relationships/hyperlink" Target="http://iara.government.bg/wp-content/uploads/2017/10/Pelagic_Survey_2017_IO-BAS_BG.pdf" TargetMode="External"/><Relationship Id="rId323" Type="http://schemas.openxmlformats.org/officeDocument/2006/relationships/hyperlink" Target="http://bgodc.io-bas.bg/documents/2012/Final%20reports/Vol%203/REPORT-integrated-WFD-last%20all.pdf" TargetMode="External"/><Relationship Id="rId344" Type="http://schemas.openxmlformats.org/officeDocument/2006/relationships/hyperlink" Target="http://www.south-stream-offshore.com" TargetMode="External"/><Relationship Id="rId20" Type="http://schemas.openxmlformats.org/officeDocument/2006/relationships/image" Target="media/image5.png"/><Relationship Id="rId41" Type="http://schemas.openxmlformats.org/officeDocument/2006/relationships/image" Target="media/image23.emf"/><Relationship Id="rId62" Type="http://schemas.openxmlformats.org/officeDocument/2006/relationships/image" Target="media/image35.jpeg"/><Relationship Id="rId83" Type="http://schemas.openxmlformats.org/officeDocument/2006/relationships/hyperlink" Target="http://eur-lex.europa.eu/legal-content/BG/ALL/?uri=celex:32003L0035" TargetMode="External"/><Relationship Id="rId179" Type="http://schemas.openxmlformats.org/officeDocument/2006/relationships/hyperlink" Target="http://eea.government.bg/wp/publicregister/PWSRegisters.aspx" TargetMode="External"/><Relationship Id="rId365" Type="http://schemas.openxmlformats.org/officeDocument/2006/relationships/hyperlink" Target="https://climate-adapt.eea.europa.eu/" TargetMode="External"/><Relationship Id="rId386" Type="http://schemas.openxmlformats.org/officeDocument/2006/relationships/hyperlink" Target="http://unesco-bg.org/file_store/konventsiya_podvoddno_nasledstvo.pdf" TargetMode="External"/><Relationship Id="rId190" Type="http://schemas.openxmlformats.org/officeDocument/2006/relationships/hyperlink" Target="http://eea.government.bg/bg/bio/opos/activities-results/CS_DD.pdf" TargetMode="External"/><Relationship Id="rId204" Type="http://schemas.openxmlformats.org/officeDocument/2006/relationships/hyperlink" Target="http://eea.government.bg/bg/bio/opos/activities-results/CS_DD.pdf" TargetMode="External"/><Relationship Id="rId225" Type="http://schemas.openxmlformats.org/officeDocument/2006/relationships/hyperlink" Target="http://iara.government.bg/wp-content/uploads/2017/10/Bulgarian_National-Bottom-Trawl-Survey-Spring-2016_Turbot_BG.pdf" TargetMode="External"/><Relationship Id="rId246" Type="http://schemas.openxmlformats.org/officeDocument/2006/relationships/hyperlink" Target="https://www.bsbd.org/UserFiles/File/projects/ISMEIMP/ISMEIMP%20Project%20Final%20Report.pdf" TargetMode="External"/><Relationship Id="rId267" Type="http://schemas.openxmlformats.org/officeDocument/2006/relationships/hyperlink" Target="http://eea.government.bg/bg/bio/opos/activities-results/CS_DD.pdf" TargetMode="External"/><Relationship Id="rId288" Type="http://schemas.openxmlformats.org/officeDocument/2006/relationships/hyperlink" Target="http://iara.government.bg/wp-content/uploads/2017/10/Pelagic_Survey_2017_IO-BAS_BG.pdf" TargetMode="External"/><Relationship Id="rId411" Type="http://schemas.openxmlformats.org/officeDocument/2006/relationships/hyperlink" Target="http://www.marsplan.ro/bg/" TargetMode="External"/><Relationship Id="rId432" Type="http://schemas.openxmlformats.org/officeDocument/2006/relationships/hyperlink" Target="https://bsbd.org/v2/bg/index_bg_2934486.html?URI=" TargetMode="External"/><Relationship Id="rId453" Type="http://schemas.openxmlformats.org/officeDocument/2006/relationships/hyperlink" Target="https://op.europa.eu/en/publication-detail/-/publication/676bbd4a-7dd9-11e9-9f05-01aa75ed71a1/language-en/" TargetMode="External"/><Relationship Id="rId474" Type="http://schemas.openxmlformats.org/officeDocument/2006/relationships/hyperlink" Target="https://www.marad.bg/node/857" TargetMode="External"/><Relationship Id="rId106" Type="http://schemas.openxmlformats.org/officeDocument/2006/relationships/hyperlink" Target="http://www.strategy.bg/PublicConsultations/View.aspx?lang=bg-BG&amp;Id=1356" TargetMode="External"/><Relationship Id="rId127" Type="http://schemas.openxmlformats.org/officeDocument/2006/relationships/hyperlink" Target="http://bgodc.io-bas.bg/documents/" TargetMode="External"/><Relationship Id="rId313" Type="http://schemas.openxmlformats.org/officeDocument/2006/relationships/hyperlink" Target="http://bgodc.io-bas.bg/documents/2012/Final%20reports/Vol%203/REPORT-integrated-WFD-last%20all.pdf" TargetMode="External"/><Relationship Id="rId10" Type="http://schemas.openxmlformats.org/officeDocument/2006/relationships/image" Target="media/image2.jpeg"/><Relationship Id="rId31" Type="http://schemas.openxmlformats.org/officeDocument/2006/relationships/image" Target="media/image14.png"/><Relationship Id="rId52" Type="http://schemas.openxmlformats.org/officeDocument/2006/relationships/hyperlink" Target="https://www.me.government.bg/bg/themes/koncesii-za-dobiv-735-406.html" TargetMode="External"/><Relationship Id="rId73" Type="http://schemas.openxmlformats.org/officeDocument/2006/relationships/hyperlink" Target="http://www.blacksea-commission.org/_tda2008.asp" TargetMode="External"/><Relationship Id="rId94" Type="http://schemas.openxmlformats.org/officeDocument/2006/relationships/hyperlink" Target="https://www.bsbd.org/bg/index_bg_5493788.html" TargetMode="External"/><Relationship Id="rId148" Type="http://schemas.openxmlformats.org/officeDocument/2006/relationships/hyperlink" Target="https://www.south-stream-transport.com/project/document-library/" TargetMode="External"/><Relationship Id="rId169" Type="http://schemas.openxmlformats.org/officeDocument/2006/relationships/hyperlink" Target="http://eea.government.bg/wp/publicregister/PWSRegisters.aspx" TargetMode="External"/><Relationship Id="rId334" Type="http://schemas.openxmlformats.org/officeDocument/2006/relationships/hyperlink" Target="http://bgodc.io-bas.bg/documents/2012/Final%20reports/Vol%203/REPORT-integrated-WFD-last%20all.pdf" TargetMode="External"/><Relationship Id="rId355" Type="http://schemas.openxmlformats.org/officeDocument/2006/relationships/hyperlink" Target="http://eea.government.bg/bg/opos_2014-2020/opos_os3" TargetMode="External"/><Relationship Id="rId376" Type="http://schemas.openxmlformats.org/officeDocument/2006/relationships/hyperlink" Target="http://eea.government.bg/bg/soer/2017/biodiversity-nem/promyana-v-chislenostta-i-sastoyanie-na-zimuvashtite-vodolyubivi-ptitsi-v-balgariya" TargetMode="External"/><Relationship Id="rId397" Type="http://schemas.openxmlformats.org/officeDocument/2006/relationships/hyperlink" Target="http://www.bsbd.org/bg/merki_13_rdms.html" TargetMode="External"/><Relationship Id="rId4" Type="http://schemas.openxmlformats.org/officeDocument/2006/relationships/settings" Target="settings.xml"/><Relationship Id="rId180" Type="http://schemas.openxmlformats.org/officeDocument/2006/relationships/hyperlink" Target="http://eea.government.bg/wp/publicregister/PWSRegisters.aspx" TargetMode="External"/><Relationship Id="rId215" Type="http://schemas.openxmlformats.org/officeDocument/2006/relationships/hyperlink" Target="http://iara.government.bg/wp-content/uploads/2017/10/Bulgarian_National-Bottom-Trawl-Survey-Spring-2016_Turbot_BG.pdf" TargetMode="External"/><Relationship Id="rId236" Type="http://schemas.openxmlformats.org/officeDocument/2006/relationships/hyperlink" Target="http://iara.government.bg/wp-content/uploads/2017/10/Bulgarian_National-Bottom-Trawl-Survey-2015_TURBOT_BG.pdf" TargetMode="External"/><Relationship Id="rId257" Type="http://schemas.openxmlformats.org/officeDocument/2006/relationships/hyperlink" Target="https://www.bsbd.org/UserFiles/File/projects/ISMEIMP/ISMEIMP%20Project%20Final%20Report.pdf" TargetMode="External"/><Relationship Id="rId278" Type="http://schemas.openxmlformats.org/officeDocument/2006/relationships/hyperlink" Target="http://eea.government.bg/bg/bio/opos/activities-results/CS_DD.pdf" TargetMode="External"/><Relationship Id="rId401" Type="http://schemas.openxmlformats.org/officeDocument/2006/relationships/hyperlink" Target="http://www.bsbd.org/uk/MarineStrategy.html" TargetMode="External"/><Relationship Id="rId422" Type="http://schemas.openxmlformats.org/officeDocument/2006/relationships/hyperlink" Target="http://www.strategy.bg/StrategicDocuments/View.aspx?lang=bg-BG&amp;Id=1231" TargetMode="External"/><Relationship Id="rId443" Type="http://schemas.openxmlformats.org/officeDocument/2006/relationships/hyperlink" Target="https://eur-lex.europa.eu/legal-content/BG/TXT/?uri=CELEX%3A31992L0043" TargetMode="External"/><Relationship Id="rId464" Type="http://schemas.openxmlformats.org/officeDocument/2006/relationships/hyperlink" Target="https://www.bsbd.org/UserFiles/File/Sea/Notice_E%D0%9E_MS&amp;PoM.pdf" TargetMode="External"/><Relationship Id="rId303" Type="http://schemas.openxmlformats.org/officeDocument/2006/relationships/hyperlink" Target="http://iara.government.bg/wp-content/uploads/2017/10/Pelagic_Survey_2017_IO-BAS_BG.pdf" TargetMode="External"/><Relationship Id="rId485" Type="http://schemas.openxmlformats.org/officeDocument/2006/relationships/fontTable" Target="fontTable.xml"/><Relationship Id="rId42" Type="http://schemas.openxmlformats.org/officeDocument/2006/relationships/image" Target="media/image24.emf"/><Relationship Id="rId84" Type="http://schemas.openxmlformats.org/officeDocument/2006/relationships/hyperlink" Target="http://eur-lex.europa.eu/legal-content/BG/ALL/?uri=celex:32005L0035" TargetMode="External"/><Relationship Id="rId138" Type="http://schemas.openxmlformats.org/officeDocument/2006/relationships/hyperlink" Target="https://bsbd.org/bg/index_bg_1668393.html" TargetMode="External"/><Relationship Id="rId345" Type="http://schemas.openxmlformats.org/officeDocument/2006/relationships/hyperlink" Target="https://doi.org/10.2175/106143013X13698672322949" TargetMode="External"/><Relationship Id="rId387" Type="http://schemas.openxmlformats.org/officeDocument/2006/relationships/hyperlink" Target="http://unesdoc.unesco.org/images/0018/001865/186559e.pdf" TargetMode="External"/><Relationship Id="rId191" Type="http://schemas.openxmlformats.org/officeDocument/2006/relationships/hyperlink" Target="http://eea.government.bg/bg/bio/opos/activities-results/CS_DD.pdf" TargetMode="External"/><Relationship Id="rId205" Type="http://schemas.openxmlformats.org/officeDocument/2006/relationships/hyperlink" Target="http://eea.government.bg/bg/bio/opos/activities-results/CS_DD.pdf" TargetMode="External"/><Relationship Id="rId247" Type="http://schemas.openxmlformats.org/officeDocument/2006/relationships/hyperlink" Target="https://www.bsbd.org/UserFiles/File/projects/ISMEIMP/ISMEIMP%20Project%20Final%20Report.pdf" TargetMode="External"/><Relationship Id="rId412" Type="http://schemas.openxmlformats.org/officeDocument/2006/relationships/hyperlink" Target="http://www.marsplan.ro/bg/despre-proiectul-marsplan-%E2%80%93-bs-bg.html" TargetMode="External"/><Relationship Id="rId107" Type="http://schemas.openxmlformats.org/officeDocument/2006/relationships/hyperlink" Target="http://www.avren.bg/assets/Obsavet%20AVREN/Naredbi/2014-2020%2008-2016.pdf" TargetMode="External"/><Relationship Id="rId289" Type="http://schemas.openxmlformats.org/officeDocument/2006/relationships/hyperlink" Target="http://iara.government.bg/wp-content/uploads/2017/10/Pelagic_Survey_2017_IO-BAS_BG.pdf" TargetMode="External"/><Relationship Id="rId454" Type="http://schemas.openxmlformats.org/officeDocument/2006/relationships/hyperlink" Target="https://polishmsp.eu/" TargetMode="External"/><Relationship Id="rId11" Type="http://schemas.openxmlformats.org/officeDocument/2006/relationships/header" Target="header1.xml"/><Relationship Id="rId53" Type="http://schemas.openxmlformats.org/officeDocument/2006/relationships/hyperlink" Target="https://mnr.jncc.gov.uk/" TargetMode="External"/><Relationship Id="rId149" Type="http://schemas.openxmlformats.org/officeDocument/2006/relationships/hyperlink" Target="https://www.south-stream-transport.com/project/document-library/" TargetMode="External"/><Relationship Id="rId314" Type="http://schemas.openxmlformats.org/officeDocument/2006/relationships/hyperlink" Target="http://bgodc.io-bas.bg/documents/2012/Final%20reports/Vol%203/REPORT-integrated-WFD-last%20all.pdf" TargetMode="External"/><Relationship Id="rId356" Type="http://schemas.openxmlformats.org/officeDocument/2006/relationships/hyperlink" Target="http://iara.government.bg/?page_id=11" TargetMode="External"/><Relationship Id="rId398" Type="http://schemas.openxmlformats.org/officeDocument/2006/relationships/hyperlink" Target="http://www.bsbd.org/bg/msfd_monitoring.html" TargetMode="External"/><Relationship Id="rId95" Type="http://schemas.openxmlformats.org/officeDocument/2006/relationships/hyperlink" Target="https://www.bsbd.org/bg/m_env_and_action.html" TargetMode="External"/><Relationship Id="rId160" Type="http://schemas.openxmlformats.org/officeDocument/2006/relationships/hyperlink" Target="https://www.south-stream-transport.com/project/document-library/" TargetMode="External"/><Relationship Id="rId216" Type="http://schemas.openxmlformats.org/officeDocument/2006/relationships/hyperlink" Target="http://iara.government.bg/wp-content/uploads/2017/10/Bulgarian_National-Bottom-Trawl-Survey-Spring-2016_Turbot_BG.pdf" TargetMode="External"/><Relationship Id="rId423" Type="http://schemas.openxmlformats.org/officeDocument/2006/relationships/hyperlink" Target="http://www.strategy.bg/StrategicDocuments/View.aspx?lang=bg-BG&amp;Id=781" TargetMode="External"/><Relationship Id="rId258" Type="http://schemas.openxmlformats.org/officeDocument/2006/relationships/hyperlink" Target="https://www.bsbd.org/UserFiles/File/projects/ISMEIMP/ISMEIMP%20Project%20Final%20Report.pdf" TargetMode="External"/><Relationship Id="rId465" Type="http://schemas.openxmlformats.org/officeDocument/2006/relationships/hyperlink" Target="https://www.bstdb.org/index.htm" TargetMode="External"/><Relationship Id="rId22" Type="http://schemas.openxmlformats.org/officeDocument/2006/relationships/image" Target="media/image7.jpeg"/><Relationship Id="rId64" Type="http://schemas.openxmlformats.org/officeDocument/2006/relationships/footer" Target="footer2.xml"/><Relationship Id="rId118" Type="http://schemas.openxmlformats.org/officeDocument/2006/relationships/hyperlink" Target="http://bgodc.io-bas.bg/documents/" TargetMode="External"/><Relationship Id="rId325" Type="http://schemas.openxmlformats.org/officeDocument/2006/relationships/hyperlink" Target="http://bgodc.io-bas.bg/documents/2012/Final%20reports/Vol%203/REPORT-integrated-WFD-last%20all.pdf" TargetMode="External"/><Relationship Id="rId367" Type="http://schemas.openxmlformats.org/officeDocument/2006/relationships/hyperlink" Target="http://www.bsmou.org/about/" TargetMode="External"/><Relationship Id="rId171" Type="http://schemas.openxmlformats.org/officeDocument/2006/relationships/hyperlink" Target="http://eea.government.bg/wp/publicregister/PWSRegisters.aspx" TargetMode="External"/><Relationship Id="rId227" Type="http://schemas.openxmlformats.org/officeDocument/2006/relationships/hyperlink" Target="http://iara.government.bg/wp-content/uploads/2017/10/Bulgarian_National-Bottom-Trawl-Survey-Spring-2016_Turbot_BG.pdf" TargetMode="External"/><Relationship Id="rId269" Type="http://schemas.openxmlformats.org/officeDocument/2006/relationships/hyperlink" Target="http://eea.government.bg/bg/bio/opos/activities-results/CS_DD.pdf" TargetMode="External"/><Relationship Id="rId434" Type="http://schemas.openxmlformats.org/officeDocument/2006/relationships/hyperlink" Target="https://ec.europa.eu/eurostat/web/products-eurostat-news/-/DDN-20200513-2" TargetMode="External"/><Relationship Id="rId476" Type="http://schemas.openxmlformats.org/officeDocument/2006/relationships/hyperlink" Target="https://www.mi.government.bg/bg/themes/inovacionna-strategiya-za-inteligentna-specializaciya-na-republika-balgariya-2014-2020-g-1806-287.html" TargetMode="External"/><Relationship Id="rId33" Type="http://schemas.openxmlformats.org/officeDocument/2006/relationships/hyperlink" Target="https://ec.europa.eu/eurostat/web/transport/data/database" TargetMode="External"/><Relationship Id="rId129" Type="http://schemas.openxmlformats.org/officeDocument/2006/relationships/hyperlink" Target="https://www.mod.bg/bg/doc/strategicheski" TargetMode="External"/><Relationship Id="rId280" Type="http://schemas.openxmlformats.org/officeDocument/2006/relationships/hyperlink" Target="http://eea.government.bg/bg/bio/opos/activities-results/CS_DD.pdf" TargetMode="External"/><Relationship Id="rId336" Type="http://schemas.openxmlformats.org/officeDocument/2006/relationships/hyperlink" Target="https://www.bsbd.org/UserFiles/File/Initial%20Assessment.pdf" TargetMode="External"/><Relationship Id="rId75" Type="http://schemas.openxmlformats.org/officeDocument/2006/relationships/hyperlink" Target="http://www.fao.org/gfcm/data/capture-production" TargetMode="External"/><Relationship Id="rId140" Type="http://schemas.openxmlformats.org/officeDocument/2006/relationships/hyperlink" Target="https://bsbd.org/bg/index_bg_1668393.html" TargetMode="External"/><Relationship Id="rId182" Type="http://schemas.openxmlformats.org/officeDocument/2006/relationships/hyperlink" Target="http://www.eea.government.bg/zpo/bg/result1.jsp" TargetMode="External"/><Relationship Id="rId378" Type="http://schemas.openxmlformats.org/officeDocument/2006/relationships/hyperlink" Target="http://eur-lex.europa.eu/legal-content/BG/TXT/PDF/?uri=CELEX:32014L0089&amp;from=BG" TargetMode="External"/><Relationship Id="rId403" Type="http://schemas.openxmlformats.org/officeDocument/2006/relationships/hyperlink" Target="http://www.bunarco.org/bg/dokladi.html" TargetMode="External"/><Relationship Id="rId6" Type="http://schemas.openxmlformats.org/officeDocument/2006/relationships/footnotes" Target="footnotes.xml"/><Relationship Id="rId238" Type="http://schemas.openxmlformats.org/officeDocument/2006/relationships/hyperlink" Target="https://www.bsbd.org/UserFiles/File/projects/ISMEIMP/ISMEIMP%20Project%20Final%20Report.pdf" TargetMode="External"/><Relationship Id="rId445" Type="http://schemas.openxmlformats.org/officeDocument/2006/relationships/hyperlink" Target="https://eur-lex.europa.eu/legal-content/BG/TXT/PDF/?uri=CELEX:32000L0060&amp;from=BG" TargetMode="External"/><Relationship Id="rId291" Type="http://schemas.openxmlformats.org/officeDocument/2006/relationships/hyperlink" Target="http://iara.government.bg/wp-content/uploads/2017/10/Pelagic_Survey_2017_IO-BAS_BG.pdf" TargetMode="External"/><Relationship Id="rId305" Type="http://schemas.openxmlformats.org/officeDocument/2006/relationships/hyperlink" Target="http://iara.government.bg/wp-content/uploads/2017/10/Pelagic_Survey_2017_IO-BAS_BG.pdf" TargetMode="External"/><Relationship Id="rId347" Type="http://schemas.openxmlformats.org/officeDocument/2006/relationships/hyperlink" Target="https://www.coastsandmarine.vic.gov.au/__data/assets/pdf_file/0022/65443/Marine-Coastal__Summary_Report_web.pdf" TargetMode="External"/><Relationship Id="rId44" Type="http://schemas.openxmlformats.org/officeDocument/2006/relationships/image" Target="media/image25.png"/><Relationship Id="rId86" Type="http://schemas.openxmlformats.org/officeDocument/2006/relationships/hyperlink" Target="https://eur-lex.europa.eu/legal-content/BG/TXT/HTML/?uri=CELEX:32009L0028&amp;from=BG" TargetMode="External"/><Relationship Id="rId151" Type="http://schemas.openxmlformats.org/officeDocument/2006/relationships/hyperlink" Target="https://www.south-stream-transport.com/project/document-library/" TargetMode="External"/><Relationship Id="rId389" Type="http://schemas.openxmlformats.org/officeDocument/2006/relationships/hyperlink" Target="http://www.bgports.bg/bg/page/24" TargetMode="External"/><Relationship Id="rId193" Type="http://schemas.openxmlformats.org/officeDocument/2006/relationships/hyperlink" Target="http://eea.government.bg/bg/bio/opos/activities-results/CS_DD.pdf" TargetMode="External"/><Relationship Id="rId207" Type="http://schemas.openxmlformats.org/officeDocument/2006/relationships/hyperlink" Target="http://eea.government.bg/bg/bio/opos/activities-results/CS_DD.pdf" TargetMode="External"/><Relationship Id="rId249" Type="http://schemas.openxmlformats.org/officeDocument/2006/relationships/hyperlink" Target="https://www.bsbd.org/UserFiles/File/projects/ISMEIMP/ISMEIMP%20Project%20Final%20Report.pdf" TargetMode="External"/><Relationship Id="rId414" Type="http://schemas.openxmlformats.org/officeDocument/2006/relationships/hyperlink" Target="http://www.marsplan.ro/en/results/case-study/432-bourgas.html" TargetMode="External"/><Relationship Id="rId456" Type="http://schemas.openxmlformats.org/officeDocument/2006/relationships/hyperlink" Target="https://rm.coe.int/1680700173" TargetMode="External"/><Relationship Id="rId13" Type="http://schemas.openxmlformats.org/officeDocument/2006/relationships/diagramData" Target="diagrams/data1.xml"/><Relationship Id="rId109" Type="http://schemas.openxmlformats.org/officeDocument/2006/relationships/hyperlink" Target="https://www.burgas.bg/uploads/420728ff5d6e4c378b8e4bf1f7743829.pdf" TargetMode="External"/><Relationship Id="rId260" Type="http://schemas.openxmlformats.org/officeDocument/2006/relationships/hyperlink" Target="https://www.bsbd.org/UserFiles/File/projects/ISMEIMP/ISMEIMP%20Project%20Final%20Report.pdf" TargetMode="External"/><Relationship Id="rId316" Type="http://schemas.openxmlformats.org/officeDocument/2006/relationships/hyperlink" Target="http://bgodc.io-bas.bg/documents/2012/Final%20reports/Vol%203/REPORT-integrated-WFD-last%20all.pdf" TargetMode="External"/><Relationship Id="rId55" Type="http://schemas.openxmlformats.org/officeDocument/2006/relationships/hyperlink" Target="https://www.me.government.bg/bg/themes/koncesii-za-dobiv-735-406.html" TargetMode="External"/><Relationship Id="rId97" Type="http://schemas.openxmlformats.org/officeDocument/2006/relationships/hyperlink" Target="http://www.aksakovo.net/section-156-obschinski_plan_za_razvi.html" TargetMode="External"/><Relationship Id="rId120" Type="http://schemas.openxmlformats.org/officeDocument/2006/relationships/hyperlink" Target="http://bgodc.io-bas.bg/documents/" TargetMode="External"/><Relationship Id="rId358" Type="http://schemas.openxmlformats.org/officeDocument/2006/relationships/hyperlink" Target="http://projects.nvna.eu/iissczm%20/" TargetMode="External"/><Relationship Id="rId162" Type="http://schemas.openxmlformats.org/officeDocument/2006/relationships/hyperlink" Target="https://www.south-stream-transport.com/project/document-library/" TargetMode="External"/><Relationship Id="rId218" Type="http://schemas.openxmlformats.org/officeDocument/2006/relationships/hyperlink" Target="http://iara.government.bg/wp-content/uploads/2017/10/Bulgarian_National-Bottom-Trawl-Survey-Spring-2016_Turbot_BG.pdf" TargetMode="External"/><Relationship Id="rId425" Type="http://schemas.openxmlformats.org/officeDocument/2006/relationships/hyperlink" Target="http://www.tourism.government.bg/sites/tourism.government.bg/files/documents/2018-01/nsurtb_2014-2030.pdf" TargetMode="External"/><Relationship Id="rId467" Type="http://schemas.openxmlformats.org/officeDocument/2006/relationships/hyperlink" Target="https://www.cbd.int/ecosystem/" TargetMode="External"/><Relationship Id="rId271" Type="http://schemas.openxmlformats.org/officeDocument/2006/relationships/hyperlink" Target="http://eea.government.bg/bg/bio/opos/activities-results/CS_DD.pdf" TargetMode="External"/><Relationship Id="rId24" Type="http://schemas.openxmlformats.org/officeDocument/2006/relationships/hyperlink" Target="https://www.emodnet-humanactivities.eu/" TargetMode="External"/><Relationship Id="rId66" Type="http://schemas.openxmlformats.org/officeDocument/2006/relationships/hyperlink" Target="http://www.niggg.bas.bg/" TargetMode="External"/><Relationship Id="rId131" Type="http://schemas.openxmlformats.org/officeDocument/2006/relationships/hyperlink" Target="http://www.mrrb.government.bg/bg/regionalni-planove-za-razvitie-na-rajonite-ot-nivo-2-za-perioda-2014-2020-g-prieti-s-reshenie-na-ms/" TargetMode="External"/><Relationship Id="rId327" Type="http://schemas.openxmlformats.org/officeDocument/2006/relationships/hyperlink" Target="http://bgodc.io-bas.bg/documents/2012/Final%20reports/Vol%203/REPORT-integrated-WFD-last%20all.pdf" TargetMode="External"/><Relationship Id="rId369" Type="http://schemas.openxmlformats.org/officeDocument/2006/relationships/hyperlink" Target="https://wise-test.eionet.europa.eu/marine" TargetMode="External"/><Relationship Id="rId173" Type="http://schemas.openxmlformats.org/officeDocument/2006/relationships/hyperlink" Target="http://eea.government.bg/wp/publicregister/PWSRegisters.aspx" TargetMode="External"/><Relationship Id="rId229" Type="http://schemas.openxmlformats.org/officeDocument/2006/relationships/hyperlink" Target="http://iara.government.bg/wp-content/uploads/2017/10/Bulgarian_National-Bottom-Trawl-Survey-Spring-2016_Turbot_BG.pdf" TargetMode="External"/><Relationship Id="rId380" Type="http://schemas.openxmlformats.org/officeDocument/2006/relationships/hyperlink" Target="http://gz-varna.mrrb.government.bg/map/" TargetMode="External"/><Relationship Id="rId436" Type="http://schemas.openxmlformats.org/officeDocument/2006/relationships/hyperlink" Target="https://ec.europa.eu/maritimeaffairs/policy/blue_growth_bg" TargetMode="External"/><Relationship Id="rId240" Type="http://schemas.openxmlformats.org/officeDocument/2006/relationships/hyperlink" Target="https://www.bsbd.org/UserFiles/File/projects/ISMEIMP/ISMEIMP%20Project%20Final%20Report.pdf" TargetMode="External"/><Relationship Id="rId478" Type="http://schemas.openxmlformats.org/officeDocument/2006/relationships/hyperlink" Target="https://www.moew.government.bg/static/media/ups/tiny/filebase/Nature/Natura%202000/RAMSAR/Black_Sea_Wet_Catalog-Final.pdf" TargetMode="External"/><Relationship Id="rId35" Type="http://schemas.openxmlformats.org/officeDocument/2006/relationships/image" Target="media/image17.png"/><Relationship Id="rId77" Type="http://schemas.openxmlformats.org/officeDocument/2006/relationships/hyperlink" Target="https://doi.org/10.17895/ices.pub.5471" TargetMode="External"/><Relationship Id="rId100" Type="http://schemas.openxmlformats.org/officeDocument/2006/relationships/hyperlink" Target="https://www.mod.bg/bg/doc/strategicheski/20160419_Natsioanalna_otbranitelna_strategia_RMS_283_18.04.2016.pdf" TargetMode="External"/><Relationship Id="rId282" Type="http://schemas.openxmlformats.org/officeDocument/2006/relationships/hyperlink" Target="http://eea.government.bg/bg/bio/opos/activities-results/CS_DD.pdf" TargetMode="External"/><Relationship Id="rId338" Type="http://schemas.openxmlformats.org/officeDocument/2006/relationships/hyperlink" Target="https://doi.org/10.12681/mms.18099" TargetMode="External"/><Relationship Id="rId8" Type="http://schemas.openxmlformats.org/officeDocument/2006/relationships/image" Target="media/image1.png"/><Relationship Id="rId142" Type="http://schemas.openxmlformats.org/officeDocument/2006/relationships/hyperlink" Target="https://bsbd.org/bg/index_bg_1668393.html" TargetMode="External"/><Relationship Id="rId184" Type="http://schemas.openxmlformats.org/officeDocument/2006/relationships/hyperlink" Target="http://bsbd.org" TargetMode="External"/><Relationship Id="rId391" Type="http://schemas.openxmlformats.org/officeDocument/2006/relationships/hyperlink" Target="http://www.blacksea-commission.org/" TargetMode="External"/><Relationship Id="rId405" Type="http://schemas.openxmlformats.org/officeDocument/2006/relationships/hyperlink" Target="http://www.fao.org/3/i3640e/i3640e.pdf" TargetMode="External"/><Relationship Id="rId447" Type="http://schemas.openxmlformats.org/officeDocument/2006/relationships/hyperlink" Target="https://eur-lex.europa.eu/LexUriServ/LexUriServ.do?uri=COM:2008:0791:FIN:BG:PDF" TargetMode="External"/><Relationship Id="rId251" Type="http://schemas.openxmlformats.org/officeDocument/2006/relationships/hyperlink" Target="https://www.bsbd.org/UserFiles/File/projects/ISMEIMP/ISMEIMP%20Project%20Final%20Report.pdf" TargetMode="External"/><Relationship Id="rId46" Type="http://schemas.openxmlformats.org/officeDocument/2006/relationships/image" Target="media/image27.emf"/><Relationship Id="rId293" Type="http://schemas.openxmlformats.org/officeDocument/2006/relationships/hyperlink" Target="http://iara.government.bg/wp-content/uploads/2017/10/Pelagic_Survey_2017_IO-BAS_BG.pdf" TargetMode="External"/><Relationship Id="rId307" Type="http://schemas.openxmlformats.org/officeDocument/2006/relationships/hyperlink" Target="http://bgodc.io-bas.bg/documents/2012/Final%20reports/Vol%203/REPORT-integrated-WFD-last%20all.pdf" TargetMode="External"/><Relationship Id="rId349" Type="http://schemas.openxmlformats.org/officeDocument/2006/relationships/hyperlink" Target="https://tethys.pnnl.gov/sites/default/files/publications/Marine-Scotland-2011_0115355.pdf" TargetMode="External"/><Relationship Id="rId88" Type="http://schemas.openxmlformats.org/officeDocument/2006/relationships/hyperlink" Target="http://eur-lex.europa.eu/legal-content/BG/TXT/?uri=CELEX%3A32014L0089" TargetMode="External"/><Relationship Id="rId111" Type="http://schemas.openxmlformats.org/officeDocument/2006/relationships/hyperlink" Target="http://www.varna.bg/bg/html" TargetMode="External"/><Relationship Id="rId153" Type="http://schemas.openxmlformats.org/officeDocument/2006/relationships/hyperlink" Target="https://www.south-stream-transport.com/project/document-library/" TargetMode="External"/><Relationship Id="rId195" Type="http://schemas.openxmlformats.org/officeDocument/2006/relationships/hyperlink" Target="http://eea.government.bg/bg/bio/opos/activities-results/CS_DD.pdf" TargetMode="External"/><Relationship Id="rId209" Type="http://schemas.openxmlformats.org/officeDocument/2006/relationships/hyperlink" Target="http://iara.government.bg/wp-content/uploads/2017/10/Bulgarian_National-Bottom-Trawl-Survey-Spring-2016_Turbot_BG.pdf" TargetMode="External"/><Relationship Id="rId360" Type="http://schemas.openxmlformats.org/officeDocument/2006/relationships/hyperlink" Target="http://www.bsbd.org/bg/index_bg_3907923.html" TargetMode="External"/><Relationship Id="rId416" Type="http://schemas.openxmlformats.org/officeDocument/2006/relationships/hyperlink" Target="http://www.moew.government.bg/bg/vodi/morski-vodi/konvenciya-za-opazvane-na-cherno-more-ot-zamursyavane/" TargetMode="External"/><Relationship Id="rId220" Type="http://schemas.openxmlformats.org/officeDocument/2006/relationships/hyperlink" Target="http://iara.government.bg/wp-content/uploads/2017/10/Bulgarian_National-Bottom-Trawl-Survey-Spring-2016_Turbot_BG.pdf" TargetMode="External"/><Relationship Id="rId458" Type="http://schemas.openxmlformats.org/officeDocument/2006/relationships/hyperlink" Target="https://unctad.org/en/PublicationsLibrary/ditctedinf2020d2_en.pdf" TargetMode="External"/><Relationship Id="rId15" Type="http://schemas.openxmlformats.org/officeDocument/2006/relationships/diagramQuickStyle" Target="diagrams/quickStyle1.xml"/><Relationship Id="rId57" Type="http://schemas.openxmlformats.org/officeDocument/2006/relationships/hyperlink" Target="https://www.eea.europa.eu/data-and-maps/data/eea-coastline-for-analysis-2" TargetMode="External"/><Relationship Id="rId262" Type="http://schemas.openxmlformats.org/officeDocument/2006/relationships/hyperlink" Target="http://eea.government.bg/bg/bio/opos/activities-results/CS_DD.pdf" TargetMode="External"/><Relationship Id="rId318" Type="http://schemas.openxmlformats.org/officeDocument/2006/relationships/hyperlink" Target="http://bgodc.io-bas.bg/documents/2012/Final%20reports/Vol%203/REPORT-integrated-WFD-last%20all.pdf" TargetMode="External"/><Relationship Id="rId99" Type="http://schemas.openxmlformats.org/officeDocument/2006/relationships/hyperlink" Target="http://www.mrrb.government.bg/static/media/ups/articles/attachments/d747ca682ac1a70380428fd1dc664fb3.pdf" TargetMode="External"/><Relationship Id="rId122" Type="http://schemas.openxmlformats.org/officeDocument/2006/relationships/hyperlink" Target="http://bgodc.io-bas.bg/documents/" TargetMode="External"/><Relationship Id="rId164" Type="http://schemas.openxmlformats.org/officeDocument/2006/relationships/hyperlink" Target="https://www.south-stream-transport.com/project/document-library/" TargetMode="External"/><Relationship Id="rId371" Type="http://schemas.openxmlformats.org/officeDocument/2006/relationships/hyperlink" Target="http://cdr.eionet.europa.eu/bg/eu/msfd_mp/" TargetMode="External"/><Relationship Id="rId427" Type="http://schemas.openxmlformats.org/officeDocument/2006/relationships/hyperlink" Target="http://www3.weforum.org/docs/WEF_TheGlobalCompetitivenessReport2019.pdf" TargetMode="External"/><Relationship Id="rId469" Type="http://schemas.openxmlformats.org/officeDocument/2006/relationships/hyperlink" Target="https://www.ebrd.com/news/2020/ebrd-economies-seen-contracting-by-35-per-cent-in-2020-48-per-cent-rebound-in-2021.html" TargetMode="External"/><Relationship Id="rId26" Type="http://schemas.openxmlformats.org/officeDocument/2006/relationships/image" Target="media/image9.png"/><Relationship Id="rId231" Type="http://schemas.openxmlformats.org/officeDocument/2006/relationships/hyperlink" Target="http://iara.government.bg/wp-content/uploads/2017/10/Bulgarian_National-Bottom-Trawl-Survey-Spring-2016_Turbot_BG.pdf" TargetMode="External"/><Relationship Id="rId273" Type="http://schemas.openxmlformats.org/officeDocument/2006/relationships/hyperlink" Target="http://eea.government.bg/bg/bio/opos/activities-results/CS_DD.pdf" TargetMode="External"/><Relationship Id="rId329" Type="http://schemas.openxmlformats.org/officeDocument/2006/relationships/hyperlink" Target="http://bgodc.io-bas.bg/documents/2012/Final%20reports/Vol%203/REPORT-integrated-WFD-last%20all.pdf" TargetMode="External"/><Relationship Id="rId480" Type="http://schemas.openxmlformats.org/officeDocument/2006/relationships/hyperlink" Target="https://www.mrrb.bg/bg/nacionalna-programa-za-prevenciya-i-ogranichavane-na-svlachistata-na-teritoriyata-na-republika-bulgariya-eroziyata-i-abraziyata-po-dunavskoto-i-chernomorskoto-krajbrejie-2015-2020-g-i-dopulnenie-kum-neya-s-novovuzniknali-77199/" TargetMode="External"/><Relationship Id="rId68" Type="http://schemas.openxmlformats.org/officeDocument/2006/relationships/image" Target="media/image36.png"/><Relationship Id="rId133" Type="http://schemas.openxmlformats.org/officeDocument/2006/relationships/hyperlink" Target="http://www.bsh.de/en/Marine_uses/Spatial_Planning_in_the_German_EEZ/documents2/Spatial_Plan_Baltic_Sea.pdf" TargetMode="External"/><Relationship Id="rId175" Type="http://schemas.openxmlformats.org/officeDocument/2006/relationships/hyperlink" Target="http://eea.government.bg/wp/publicregister/PWSRegisters.aspx" TargetMode="External"/><Relationship Id="rId340" Type="http://schemas.openxmlformats.org/officeDocument/2006/relationships/hyperlink" Target="https://ec.europa.eu/info/sites/info/files/economy-finance/ip125_en.pdf" TargetMode="External"/><Relationship Id="rId200" Type="http://schemas.openxmlformats.org/officeDocument/2006/relationships/hyperlink" Target="http://eea.government.bg/bg/bio/opos/activities-results/CS_DD.pdf" TargetMode="External"/><Relationship Id="rId382" Type="http://schemas.openxmlformats.org/officeDocument/2006/relationships/hyperlink" Target="http://mc.government.bg/files/5495_Strategy_culture_.pdf" TargetMode="External"/><Relationship Id="rId438" Type="http://schemas.openxmlformats.org/officeDocument/2006/relationships/hyperlink" Target="https://ec.europa.eu/maritimeaffairs/sites/maritimeaffairs/files/2020_06_blueeconomy-2020-ld_final.pdf" TargetMode="External"/><Relationship Id="rId242" Type="http://schemas.openxmlformats.org/officeDocument/2006/relationships/hyperlink" Target="https://www.bsbd.org/UserFiles/File/projects/ISMEIMP/ISMEIMP%20Project%20Final%20Report.pdf" TargetMode="External"/><Relationship Id="rId284" Type="http://schemas.openxmlformats.org/officeDocument/2006/relationships/hyperlink" Target="https://www.bsbd.org/UserFiles/File/projects/ISMEIMP/ISMEIMP%20Project%20Final%20Report.pdf" TargetMode="External"/><Relationship Id="rId37" Type="http://schemas.openxmlformats.org/officeDocument/2006/relationships/image" Target="media/image19.png"/><Relationship Id="rId79" Type="http://schemas.openxmlformats.org/officeDocument/2006/relationships/hyperlink" Target="http://msp.ioc-unesco.org/msp-guides/msp-step-by-step-approach/" TargetMode="External"/><Relationship Id="rId102" Type="http://schemas.openxmlformats.org/officeDocument/2006/relationships/hyperlink" Target="https://www.bsbd.org/bg/index_bg_5493788.html" TargetMode="External"/><Relationship Id="rId144" Type="http://schemas.openxmlformats.org/officeDocument/2006/relationships/hyperlink" Target="https://bsbd.org/bg/index_bg_1668393.html" TargetMode="External"/><Relationship Id="rId90" Type="http://schemas.openxmlformats.org/officeDocument/2006/relationships/hyperlink" Target="http://eur-lex.europa.eu/legal-content/EN/TXT/HTML/?uri=LEGISSUM:l66029&amp;from=EN" TargetMode="External"/><Relationship Id="rId186" Type="http://schemas.openxmlformats.org/officeDocument/2006/relationships/hyperlink" Target="https://www.unicef.bg/assets/PDFs/WWL/Transforming_our_world_BG.pdf" TargetMode="External"/><Relationship Id="rId351" Type="http://schemas.openxmlformats.org/officeDocument/2006/relationships/hyperlink" Target="https://www.marineinsight.com/tech/11-technologies-that-are-used-to-study-and-understand-oceans/" TargetMode="External"/><Relationship Id="rId393" Type="http://schemas.openxmlformats.org/officeDocument/2006/relationships/hyperlink" Target="http://www.blacksea-commission.org/_publications.asp" TargetMode="External"/><Relationship Id="rId407" Type="http://schemas.openxmlformats.org/officeDocument/2006/relationships/hyperlink" Target="http://www.iber.bas.bg/sites/default/files/2017/IPU_Kaliakra/IPU-Kaliakra-draft-26-06-2017.pdf" TargetMode="External"/><Relationship Id="rId449" Type="http://schemas.openxmlformats.org/officeDocument/2006/relationships/hyperlink" Target="https://experience.bg/kude-da-akostirate-po-bulgarskoto-kraibrejie-chast-i-severno-chernomorie" TargetMode="External"/><Relationship Id="rId211" Type="http://schemas.openxmlformats.org/officeDocument/2006/relationships/hyperlink" Target="http://iara.government.bg/wp-content/uploads/2017/10/Bulgarian_National-Bottom-Trawl-Survey-Spring-2016_Turbot_BG.pdf" TargetMode="External"/><Relationship Id="rId253" Type="http://schemas.openxmlformats.org/officeDocument/2006/relationships/hyperlink" Target="https://www.bsbd.org/UserFiles/File/projects/ISMEIMP/ISMEIMP%20Project%20Final%20Report.pdf" TargetMode="External"/><Relationship Id="rId295" Type="http://schemas.openxmlformats.org/officeDocument/2006/relationships/hyperlink" Target="http://iara.government.bg/wp-content/uploads/2017/10/Pelagic_Survey_2017_IO-BAS_BG.pdf" TargetMode="External"/><Relationship Id="rId309" Type="http://schemas.openxmlformats.org/officeDocument/2006/relationships/hyperlink" Target="http://bgodc.io-bas.bg/documents/2012/Final%20reports/Vol%203/REPORT-integrated-WFD-last%20all.pdf" TargetMode="External"/><Relationship Id="rId460" Type="http://schemas.openxmlformats.org/officeDocument/2006/relationships/hyperlink" Target="https://unesdoc.unesco.org/in/documentViewer.xhtml?v=2.1.196&amp;id=p::usmarcdef_0000227779&amp;file=/in/rest/annotationSVC/DownloadWatermarkedAttachment/attach_import_acd86716-c5f8-432d-96bf-a42daa4dd6b0%3F_%3D227779eng.pdf&amp;locale=en&amp;multi=true&amp;ark=/ark:/48223/pf0000227779/PDF/227779eng.pdf" TargetMode="External"/><Relationship Id="rId48" Type="http://schemas.openxmlformats.org/officeDocument/2006/relationships/image" Target="media/image29.png"/><Relationship Id="rId113" Type="http://schemas.openxmlformats.org/officeDocument/2006/relationships/hyperlink" Target="http://www.sozopol.bg/index.php?option=com_content&amp;view=article&amp;id=7504:-2014-2020&amp;catid=212:2012-04-13-05-05-04&amp;Itemid=91" TargetMode="External"/><Relationship Id="rId320" Type="http://schemas.openxmlformats.org/officeDocument/2006/relationships/hyperlink" Target="http://bgodc.io-bas.bg/documents/2012/Final%20reports/Vol%203/REPORT-integrated-WFD-last%20all.pdf" TargetMode="External"/><Relationship Id="rId155" Type="http://schemas.openxmlformats.org/officeDocument/2006/relationships/hyperlink" Target="https://www.south-stream-transport.com/project/document-library/" TargetMode="External"/><Relationship Id="rId197" Type="http://schemas.openxmlformats.org/officeDocument/2006/relationships/hyperlink" Target="http://eea.government.bg/bg/bio/opos/activities-results/CS_DD.pdf" TargetMode="External"/><Relationship Id="rId362" Type="http://schemas.openxmlformats.org/officeDocument/2006/relationships/hyperlink" Target="http://www.bulris.bg/Main" TargetMode="External"/><Relationship Id="rId418" Type="http://schemas.openxmlformats.org/officeDocument/2006/relationships/hyperlink" Target="http://www.perseus-net.eu/site/content.php" TargetMode="External"/><Relationship Id="rId222" Type="http://schemas.openxmlformats.org/officeDocument/2006/relationships/hyperlink" Target="http://iara.government.bg/wp-content/uploads/2017/10/Bulgarian_National-Bottom-Trawl-Survey-Spring-2016_Turbot_BG.pdf" TargetMode="External"/><Relationship Id="rId264" Type="http://schemas.openxmlformats.org/officeDocument/2006/relationships/hyperlink" Target="http://eea.government.bg/bg/bio/opos/activities-results/CS_DD.pdf" TargetMode="External"/><Relationship Id="rId471" Type="http://schemas.openxmlformats.org/officeDocument/2006/relationships/hyperlink" Target="https://www.emodnet.eu/portals" TargetMode="External"/><Relationship Id="rId17" Type="http://schemas.microsoft.com/office/2007/relationships/diagramDrawing" Target="diagrams/drawing1.xml"/><Relationship Id="rId59" Type="http://schemas.openxmlformats.org/officeDocument/2006/relationships/image" Target="media/image32.jpeg"/><Relationship Id="rId124" Type="http://schemas.openxmlformats.org/officeDocument/2006/relationships/hyperlink" Target="http://bgodc.io-bas.bg/documents/" TargetMode="External"/><Relationship Id="rId70" Type="http://schemas.openxmlformats.org/officeDocument/2006/relationships/hyperlink" Target="http://www.imo.org/en/about/conventions/listofconventions/pages/international-convention-for-the-prevention-of-pollution-from-ships-(marpol).aspx" TargetMode="External"/><Relationship Id="rId166" Type="http://schemas.openxmlformats.org/officeDocument/2006/relationships/hyperlink" Target="http://www.bsbd.org/UserFiles/File/Initial%20Assessment_new.pdf" TargetMode="External"/><Relationship Id="rId331" Type="http://schemas.openxmlformats.org/officeDocument/2006/relationships/hyperlink" Target="http://bgodc.io-bas.bg/documents/2012/Final%20reports/Vol%203/REPORT-integrated-WFD-last%20all.pdf" TargetMode="External"/><Relationship Id="rId373" Type="http://schemas.openxmlformats.org/officeDocument/2006/relationships/hyperlink" Target="http://dx.publications.europa.eu/10.2760/93257" TargetMode="External"/><Relationship Id="rId429" Type="http://schemas.openxmlformats.org/officeDocument/2006/relationships/hyperlink" Target="https://blacksea-cbc.net/" TargetMode="External"/><Relationship Id="rId1" Type="http://schemas.openxmlformats.org/officeDocument/2006/relationships/customXml" Target="../customXml/item1.xml"/><Relationship Id="rId233" Type="http://schemas.openxmlformats.org/officeDocument/2006/relationships/hyperlink" Target="http://iara.government.bg/wp-content/uploads/2017/10/Bulgarian_National-Bottom-Trawl-Survey-Spring-2016_Turbot_BG.pdf" TargetMode="External"/><Relationship Id="rId440" Type="http://schemas.openxmlformats.org/officeDocument/2006/relationships/hyperlink" Target="https://ec.europa.eu/regional_policy/en/information/maps/regional_competitiveness/" TargetMode="External"/><Relationship Id="rId28" Type="http://schemas.openxmlformats.org/officeDocument/2006/relationships/image" Target="media/image11.png"/><Relationship Id="rId275" Type="http://schemas.openxmlformats.org/officeDocument/2006/relationships/hyperlink" Target="http://eea.government.bg/bg/bio/opos/activities-results/CS_DD.pdf" TargetMode="External"/><Relationship Id="rId300" Type="http://schemas.openxmlformats.org/officeDocument/2006/relationships/hyperlink" Target="http://iara.government.bg/wp-content/uploads/2017/10/Pelagic_Survey_2017_IO-BAS_BG.pdf" TargetMode="External"/><Relationship Id="rId482" Type="http://schemas.openxmlformats.org/officeDocument/2006/relationships/hyperlink" Target="https://www.mtitc.government.bg/bg/category/42/integrirana-transportna-strategiya-v-perioda-do-2030-g" TargetMode="External"/><Relationship Id="rId81" Type="http://schemas.openxmlformats.org/officeDocument/2006/relationships/hyperlink" Target="http://eur-lex.europa.eu/legal-content/BG/TXT/?uri=CELEX%3A32001L0042" TargetMode="External"/><Relationship Id="rId135" Type="http://schemas.openxmlformats.org/officeDocument/2006/relationships/hyperlink" Target="http://bgodc.io-bas.bg/documents/2018/" TargetMode="External"/><Relationship Id="rId177" Type="http://schemas.openxmlformats.org/officeDocument/2006/relationships/hyperlink" Target="http://eea.government.bg/wp/publicregister/PWSRegisters.aspx" TargetMode="External"/><Relationship Id="rId342" Type="http://schemas.openxmlformats.org/officeDocument/2006/relationships/hyperlink" Target="https://www.ilo.org/wcmsp5/groups/public/@dgreports/@dcomm/documents/briefingnote/wcms_745337.pdf" TargetMode="External"/><Relationship Id="rId384" Type="http://schemas.openxmlformats.org/officeDocument/2006/relationships/hyperlink" Target="http://publications.europa.eu/resource/cellar/f07ab00e-3795-4146-8739-07dc585b97ad.0008.01/DOC_1h" TargetMode="External"/><Relationship Id="rId202" Type="http://schemas.openxmlformats.org/officeDocument/2006/relationships/hyperlink" Target="http://eea.government.bg/bg/bio/opos/activities-results/CS_DD.pdf" TargetMode="External"/><Relationship Id="rId244" Type="http://schemas.openxmlformats.org/officeDocument/2006/relationships/hyperlink" Target="https://www.bsbd.org/UserFiles/File/projects/ISMEIMP/ISMEIMP%20Project%20Final%20Report.pdf" TargetMode="External"/><Relationship Id="rId39" Type="http://schemas.openxmlformats.org/officeDocument/2006/relationships/image" Target="media/image21.png"/><Relationship Id="rId286" Type="http://schemas.openxmlformats.org/officeDocument/2006/relationships/hyperlink" Target="http://iara.government.bg/wp-content/uploads/2017/10/Pelagic_Survey_2017_IO-BAS_BG.pdf" TargetMode="External"/><Relationship Id="rId451" Type="http://schemas.openxmlformats.org/officeDocument/2006/relationships/hyperlink" Target="https://kais.cadastre.bg/bg/Map" TargetMode="External"/><Relationship Id="rId50" Type="http://schemas.openxmlformats.org/officeDocument/2006/relationships/image" Target="media/image31.emf"/><Relationship Id="rId104" Type="http://schemas.openxmlformats.org/officeDocument/2006/relationships/hyperlink" Target="http://www.vn.government.bg/stranici/%CE%D1%D0%20%ED%E0%20%C2%E0%F0%ED%E5%ED%F1%EA%E0%20%EE%E1%EB%E0%F1%F2%202014-2020.pdf" TargetMode="External"/><Relationship Id="rId146" Type="http://schemas.openxmlformats.org/officeDocument/2006/relationships/hyperlink" Target="https://bsbd.org/bg/index_bg_1668393.html" TargetMode="External"/><Relationship Id="rId188" Type="http://schemas.openxmlformats.org/officeDocument/2006/relationships/hyperlink" Target="http://eea.government.bg/bg/bio/opos/activities-results/CS_DD.pdf" TargetMode="External"/><Relationship Id="rId311" Type="http://schemas.openxmlformats.org/officeDocument/2006/relationships/hyperlink" Target="http://bgodc.io-bas.bg/documents/2012/Final%20reports/Vol%203/REPORT-integrated-WFD-last%20all.pdf" TargetMode="External"/><Relationship Id="rId353" Type="http://schemas.openxmlformats.org/officeDocument/2006/relationships/hyperlink" Target="https://www.researchgate.net/publication/279030409_The_Importance_of_Technology_for_the_Marine_and_Maritime_Sectors" TargetMode="External"/><Relationship Id="rId395" Type="http://schemas.openxmlformats.org/officeDocument/2006/relationships/hyperlink" Target="http://www.bsbd.org/bg/marine_env_assessment.html" TargetMode="External"/><Relationship Id="rId409" Type="http://schemas.openxmlformats.org/officeDocument/2006/relationships/hyperlink" Target="http://www.interreg-balkanmed.eu/approved-project/9/" TargetMode="External"/><Relationship Id="rId92" Type="http://schemas.openxmlformats.org/officeDocument/2006/relationships/hyperlink" Target="http://www.europarl.europa.eu/RegData/docs_autres_institutions/commission_europeenne/com/2007/0575/COM_COM(2007)0575_BG.pdf" TargetMode="External"/><Relationship Id="rId213" Type="http://schemas.openxmlformats.org/officeDocument/2006/relationships/hyperlink" Target="http://iara.government.bg/wp-content/uploads/2017/10/Bulgarian_National-Bottom-Trawl-Survey-Spring-2016_Turbot_BG.pdf" TargetMode="External"/><Relationship Id="rId420" Type="http://schemas.openxmlformats.org/officeDocument/2006/relationships/hyperlink" Target="http://www.strategy.bg/PublicConsultations/View.aspx?lang=bg-BG&amp;Id=2990" TargetMode="External"/><Relationship Id="rId255" Type="http://schemas.openxmlformats.org/officeDocument/2006/relationships/hyperlink" Target="https://www.bsbd.org/UserFiles/File/projects/ISMEIMP/ISMEIMP%20Project%20Final%20Report.pdf" TargetMode="External"/><Relationship Id="rId297" Type="http://schemas.openxmlformats.org/officeDocument/2006/relationships/hyperlink" Target="http://iara.government.bg/wp-content/uploads/2017/10/Pelagic_Survey_2017_IO-BAS_BG.pdf" TargetMode="External"/><Relationship Id="rId462" Type="http://schemas.openxmlformats.org/officeDocument/2006/relationships/hyperlink" Target="https://water.europa.eu/marine" TargetMode="External"/><Relationship Id="rId115" Type="http://schemas.openxmlformats.org/officeDocument/2006/relationships/hyperlink" Target="http://www.moew.government.bg/bg/vodi/planove-za-upravlenie/planove-za-upravlenie-na-rechnite-basejni-purb/" TargetMode="External"/><Relationship Id="rId157" Type="http://schemas.openxmlformats.org/officeDocument/2006/relationships/hyperlink" Target="https://www.south-stream-transport.com/project/document-library/" TargetMode="External"/><Relationship Id="rId322" Type="http://schemas.openxmlformats.org/officeDocument/2006/relationships/hyperlink" Target="http://bgodc.io-bas.bg/documents/2012/Final%20reports/Vol%203/REPORT-integrated-WFD-last%20all.pdf" TargetMode="External"/><Relationship Id="rId364" Type="http://schemas.openxmlformats.org/officeDocument/2006/relationships/hyperlink" Target="http://www.cross.bg/nablyudenie-sistemi-morsko-1531942.html" TargetMode="External"/><Relationship Id="rId61" Type="http://schemas.openxmlformats.org/officeDocument/2006/relationships/image" Target="media/image34.jpeg"/><Relationship Id="rId199" Type="http://schemas.openxmlformats.org/officeDocument/2006/relationships/hyperlink" Target="http://eea.government.bg/bg/bio/opos/activities-results/CS_DD.pdf" TargetMode="External"/><Relationship Id="rId19" Type="http://schemas.openxmlformats.org/officeDocument/2006/relationships/image" Target="media/image4.jpeg"/><Relationship Id="rId224" Type="http://schemas.openxmlformats.org/officeDocument/2006/relationships/hyperlink" Target="http://iara.government.bg/wp-content/uploads/2017/10/Bulgarian_National-Bottom-Trawl-Survey-Spring-2016_Turbot_BG.pdf" TargetMode="External"/><Relationship Id="rId266" Type="http://schemas.openxmlformats.org/officeDocument/2006/relationships/hyperlink" Target="http://eea.government.bg/bg/bio/opos/activities-results/CS_DD.pdf" TargetMode="External"/><Relationship Id="rId431" Type="http://schemas.openxmlformats.org/officeDocument/2006/relationships/hyperlink" Target="https://bsbd.org/bg/register.html" TargetMode="External"/><Relationship Id="rId473" Type="http://schemas.openxmlformats.org/officeDocument/2006/relationships/hyperlink" Target="https://www.eufunds.bg/sites/default/files/uploads/pmdr/docs/2020-07/Final%20Draft%20Analysis%20All%2030062020.pdf" TargetMode="External"/><Relationship Id="rId30" Type="http://schemas.openxmlformats.org/officeDocument/2006/relationships/image" Target="media/image13.png"/><Relationship Id="rId126" Type="http://schemas.openxmlformats.org/officeDocument/2006/relationships/hyperlink" Target="http://bgodc.io-bas.bg/documents/" TargetMode="External"/><Relationship Id="rId168" Type="http://schemas.openxmlformats.org/officeDocument/2006/relationships/hyperlink" Target="http://eea.government.bg/wp/publicregister/PWSRegisters.aspx" TargetMode="External"/><Relationship Id="rId333" Type="http://schemas.openxmlformats.org/officeDocument/2006/relationships/hyperlink" Target="http://bgodc.io-bas.bg/documents/2012/Final%20reports/Vol%203/REPORT-integrated-WFD-last%20all.pdf" TargetMode="External"/><Relationship Id="rId72" Type="http://schemas.openxmlformats.org/officeDocument/2006/relationships/hyperlink" Target="http://www.kantei.go.jp/jp/singi/kaiyou/konkyo5.pdf" TargetMode="External"/><Relationship Id="rId375" Type="http://schemas.openxmlformats.org/officeDocument/2006/relationships/hyperlink" Target="http://eea.government.bg/bg/ecosystems/B9MARINE_BG_PRINT.pdf" TargetMode="External"/><Relationship Id="rId3" Type="http://schemas.openxmlformats.org/officeDocument/2006/relationships/styles" Target="styles.xml"/><Relationship Id="rId235" Type="http://schemas.openxmlformats.org/officeDocument/2006/relationships/hyperlink" Target="http://iara.government.bg/wp-content/uploads/2017/10/Bulgarian_National-Bottom-Trawl-Survey-Spring-2016_Turbot_BG.pdf" TargetMode="External"/><Relationship Id="rId277" Type="http://schemas.openxmlformats.org/officeDocument/2006/relationships/hyperlink" Target="http://eea.government.bg/bg/bio/opos/activities-results/CS_DD.pdf" TargetMode="External"/><Relationship Id="rId400" Type="http://schemas.openxmlformats.org/officeDocument/2006/relationships/hyperlink" Target="http://www.bsbd.org/bg/page_1722859.html" TargetMode="External"/><Relationship Id="rId442" Type="http://schemas.openxmlformats.org/officeDocument/2006/relationships/hyperlink" Target="https://eunis.eea.europa.eu/" TargetMode="External"/><Relationship Id="rId484" Type="http://schemas.openxmlformats.org/officeDocument/2006/relationships/hyperlink" Target="https://www.unicef.bg/assets/PDFs/WWL/Transforming_our_world_BG.pdf" TargetMode="External"/></Relationships>
</file>

<file path=word/_rels/footnotes.xml.rels><?xml version="1.0" encoding="UTF-8" standalone="yes"?>
<Relationships xmlns="http://schemas.openxmlformats.org/package/2006/relationships"><Relationship Id="rId117" Type="http://schemas.openxmlformats.org/officeDocument/2006/relationships/hyperlink" Target="http://eea.government.bg/bg/soer/2017/biodiversity-nem/promyana-v-chislenostta-i-sastoyanie-na-zimuvashtite-vodolyubivi-ptitsi-v-balgariya" TargetMode="External"/><Relationship Id="rId21" Type="http://schemas.openxmlformats.org/officeDocument/2006/relationships/hyperlink" Target="http://publications.europa.eu/resource/cellar/f07ab00e-3795-4146-8739-07dc585b97ad.0008.01/DOC_1" TargetMode="External"/><Relationship Id="rId42" Type="http://schemas.openxmlformats.org/officeDocument/2006/relationships/hyperlink" Target="http://www.bsbd.org/bg/marine_env_assessment.html" TargetMode="External"/><Relationship Id="rId63" Type="http://schemas.openxmlformats.org/officeDocument/2006/relationships/hyperlink" Target="http://eea.government.bg/bg/bio/opos/Finalni_rezultati_Deinost_6.pdf" TargetMode="External"/><Relationship Id="rId84" Type="http://schemas.openxmlformats.org/officeDocument/2006/relationships/hyperlink" Target="http://bspb.org/media/files/IBA_and_Natura_2000_Inventory_BG.pdf" TargetMode="External"/><Relationship Id="rId138" Type="http://schemas.openxmlformats.org/officeDocument/2006/relationships/hyperlink" Target="http://eea.government.bg/bg/soer/2017/" TargetMode="External"/><Relationship Id="rId159" Type="http://schemas.openxmlformats.org/officeDocument/2006/relationships/hyperlink" Target="http://eea.government.bg/zpo/bg/result1.jsp" TargetMode="External"/><Relationship Id="rId170" Type="http://schemas.openxmlformats.org/officeDocument/2006/relationships/hyperlink" Target="https://webunwto.s3.eu-west-1.amazonaws.com/s3fs-public/2020-04/COVID19_Recommendations_English_1.pdf" TargetMode="External"/><Relationship Id="rId191" Type="http://schemas.openxmlformats.org/officeDocument/2006/relationships/hyperlink" Target="http://www.marsplan.ro/bg/" TargetMode="External"/><Relationship Id="rId205" Type="http://schemas.openxmlformats.org/officeDocument/2006/relationships/hyperlink" Target="https://ec.europa.eu/environment/iczm/pdf/LSI_FINAL20180417_digital.pdf" TargetMode="External"/><Relationship Id="rId107" Type="http://schemas.openxmlformats.org/officeDocument/2006/relationships/hyperlink" Target="http://eea.government.bg/bg/soer/2017/biodiversity-nem/promyana-v-chislenostta-i-sastoyanie-na-zimuvashtite-vodolyubivi-ptitsi-v-balgariya" TargetMode="External"/><Relationship Id="rId11" Type="http://schemas.openxmlformats.org/officeDocument/2006/relationships/hyperlink" Target="https://inspire.ec.europa.eu/id/document/tg/sr" TargetMode="External"/><Relationship Id="rId32" Type="http://schemas.openxmlformats.org/officeDocument/2006/relationships/hyperlink" Target="http://www.blacksea-commission.org/_convention-fulltext.asp" TargetMode="External"/><Relationship Id="rId53" Type="http://schemas.openxmlformats.org/officeDocument/2006/relationships/hyperlink" Target="http://www.marineregions.org/gazetteer.php?p=details&amp;id=5672" TargetMode="External"/><Relationship Id="rId74" Type="http://schemas.openxmlformats.org/officeDocument/2006/relationships/hyperlink" Target="http://bbf.biodiversity.bg/bg/Uzunbudzhak.c254" TargetMode="External"/><Relationship Id="rId128" Type="http://schemas.openxmlformats.org/officeDocument/2006/relationships/hyperlink" Target="http://eea.government.bg/bg/soer/2017/biodiversity-nem/promyana-v-chislenostta-i-sastoyanie-na-zimuvashtite-vodolyubivi-ptitsi-v-balgariya" TargetMode="External"/><Relationship Id="rId149" Type="http://schemas.openxmlformats.org/officeDocument/2006/relationships/hyperlink" Target="http://eea.government.bg/zpo/bg/result1.jsp" TargetMode="External"/><Relationship Id="rId5" Type="http://schemas.openxmlformats.org/officeDocument/2006/relationships/hyperlink" Target="https://www.eea.europa.eu/themes/water/europes-seas-and-coasts/europes-seas-and-coasts" TargetMode="External"/><Relationship Id="rId95" Type="http://schemas.openxmlformats.org/officeDocument/2006/relationships/hyperlink" Target="http://bspb.org/media/files/IBA_and_Natura_2000_Inventory_BG.pdf" TargetMode="External"/><Relationship Id="rId160" Type="http://schemas.openxmlformats.org/officeDocument/2006/relationships/hyperlink" Target="http://eea.government.bg/zpo/bg/result1.jsp" TargetMode="External"/><Relationship Id="rId181" Type="http://schemas.openxmlformats.org/officeDocument/2006/relationships/hyperlink" Target="https://www.csis.org/analysis/covid-19-sea-impacts-blue-economy-ocean-health-and-ocean-security" TargetMode="External"/><Relationship Id="rId216" Type="http://schemas.openxmlformats.org/officeDocument/2006/relationships/hyperlink" Target="http://www.strategy.bg/StaticPages/CalculatingManual.aspx?guidanceType=2&amp;sectionName=PublicConsultationStandards" TargetMode="External"/><Relationship Id="rId22" Type="http://schemas.openxmlformats.org/officeDocument/2006/relationships/hyperlink" Target="http://www.imo.org/en/about/conventions/listofconventions/pages/international-convention-for-the-prevention-of-pollution-from-ships-(marpol).aspx" TargetMode="External"/><Relationship Id="rId43" Type="http://schemas.openxmlformats.org/officeDocument/2006/relationships/hyperlink" Target="https://rm.coe.int/1680700173" TargetMode="External"/><Relationship Id="rId64" Type="http://schemas.openxmlformats.org/officeDocument/2006/relationships/hyperlink" Target="http://www.bunarco.org/bg/dokladi.html" TargetMode="External"/><Relationship Id="rId118" Type="http://schemas.openxmlformats.org/officeDocument/2006/relationships/hyperlink" Target="http://eea.government.bg/bg/soer/2017/biodiversity-nem/promyana-v-chislenostta-i-sastoyanie-na-zimuvashtite-vodolyubivi-ptitsi-v-balgariya" TargetMode="External"/><Relationship Id="rId139" Type="http://schemas.openxmlformats.org/officeDocument/2006/relationships/hyperlink" Target="http://eea.government.bg/bg/soer/2017/" TargetMode="External"/><Relationship Id="rId85" Type="http://schemas.openxmlformats.org/officeDocument/2006/relationships/hyperlink" Target="http://bspb.org/media/files/IBA_and_Natura_2000_Inventory_BG.pdf" TargetMode="External"/><Relationship Id="rId150" Type="http://schemas.openxmlformats.org/officeDocument/2006/relationships/hyperlink" Target="http://eea.government.bg/zpo/bg/result1.jsp" TargetMode="External"/><Relationship Id="rId171" Type="http://schemas.openxmlformats.org/officeDocument/2006/relationships/hyperlink" Target="https://ec.europa.eu/eurostat/web/products-eurostat-news/-/DDN-20200513-2" TargetMode="External"/><Relationship Id="rId192" Type="http://schemas.openxmlformats.org/officeDocument/2006/relationships/hyperlink" Target="http://www.marsplan.ro/bg/despre-proiectul-marsplan-%E2%80%93-bs-bg.html" TargetMode="External"/><Relationship Id="rId206" Type="http://schemas.openxmlformats.org/officeDocument/2006/relationships/hyperlink" Target="http://www.marsplan.ro/en/results/case-study/432-bourgas.html" TargetMode="External"/><Relationship Id="rId12" Type="http://schemas.openxmlformats.org/officeDocument/2006/relationships/hyperlink" Target="https://epsg.io/7800" TargetMode="External"/><Relationship Id="rId33" Type="http://schemas.openxmlformats.org/officeDocument/2006/relationships/hyperlink" Target="http://www.moew.government.bg/bg/vodi/morski-vodi/konvenciya-za-opazvane-na-cherno-more-ot-zamursyavane/" TargetMode="External"/><Relationship Id="rId108" Type="http://schemas.openxmlformats.org/officeDocument/2006/relationships/hyperlink" Target="http://eea.government.bg/bg/soer/2017/biodiversity-nem/promyana-v-chislenostta-i-sastoyanie-na-zimuvashtite-vodolyubivi-ptitsi-v-balgariya" TargetMode="External"/><Relationship Id="rId129" Type="http://schemas.openxmlformats.org/officeDocument/2006/relationships/hyperlink" Target="http://eea.government.bg/bg/soer/2017/biodiversity-nem/promyana-v-chislenostta-i-sastoyanie-na-zimuvashtite-vodolyubivi-ptitsi-v-balgariya" TargetMode="External"/><Relationship Id="rId54" Type="http://schemas.openxmlformats.org/officeDocument/2006/relationships/hyperlink" Target="https://bsbd.org/bg/purn_2016-2021.html" TargetMode="External"/><Relationship Id="rId75" Type="http://schemas.openxmlformats.org/officeDocument/2006/relationships/hyperlink" Target="http://bbf.biodiversity.bg/bg/Uzunbudzhak.c254" TargetMode="External"/><Relationship Id="rId96" Type="http://schemas.openxmlformats.org/officeDocument/2006/relationships/hyperlink" Target="http://bspb.org/media/files/IBA_and_Natura_2000_Inventory_BG.pdf" TargetMode="External"/><Relationship Id="rId140" Type="http://schemas.openxmlformats.org/officeDocument/2006/relationships/hyperlink" Target="http://eea.government.bg/bg/soer/2017/" TargetMode="External"/><Relationship Id="rId161" Type="http://schemas.openxmlformats.org/officeDocument/2006/relationships/hyperlink" Target="http://www.iber.bas.bg/sites/default/files/2017/IPU_Kaliakra/IPU-Kaliakra-draft-26-06-2017.pdf" TargetMode="External"/><Relationship Id="rId182" Type="http://schemas.openxmlformats.org/officeDocument/2006/relationships/hyperlink" Target="http://www.fao.org/3/i3640e/i3640e.pdf" TargetMode="External"/><Relationship Id="rId6" Type="http://schemas.openxmlformats.org/officeDocument/2006/relationships/hyperlink" Target="http://unesdoc.unesco.org/images/0018/001865/186559e.pdf" TargetMode="External"/><Relationship Id="rId23" Type="http://schemas.openxmlformats.org/officeDocument/2006/relationships/hyperlink" Target="http://unesco-bg.org/file_store/konventsiya_podvoddno_nasledstvo.pdf" TargetMode="External"/><Relationship Id="rId119" Type="http://schemas.openxmlformats.org/officeDocument/2006/relationships/hyperlink" Target="http://eea.government.bg/bg/soer/2017/biodiversity-nem/promyana-v-chislenostta-i-sastoyanie-na-zimuvashtite-vodolyubivi-ptitsi-v-balgariya" TargetMode="External"/><Relationship Id="rId44" Type="http://schemas.openxmlformats.org/officeDocument/2006/relationships/hyperlink" Target="http://www.tourism.government.bg/sites/tourism.government.bg/files/documents/2018-01/nsurtb_2014-2030.pdf" TargetMode="External"/><Relationship Id="rId65" Type="http://schemas.openxmlformats.org/officeDocument/2006/relationships/hyperlink" Target="http://www.blacksea-commission.org/_publications.asp" TargetMode="External"/><Relationship Id="rId86" Type="http://schemas.openxmlformats.org/officeDocument/2006/relationships/hyperlink" Target="http://bspb.org/media/files/IBA_and_Natura_2000_Inventory_BG.pdf" TargetMode="External"/><Relationship Id="rId130" Type="http://schemas.openxmlformats.org/officeDocument/2006/relationships/hyperlink" Target="http://eea.government.bg/bg/soer/2017/biodiversity-nem/promyana-v-chislenostta-i-sastoyanie-na-zimuvashtite-vodolyubivi-ptitsi-v-balgariya" TargetMode="External"/><Relationship Id="rId151" Type="http://schemas.openxmlformats.org/officeDocument/2006/relationships/hyperlink" Target="http://eea.government.bg/zpo/bg/result1.jsp" TargetMode="External"/><Relationship Id="rId172" Type="http://schemas.openxmlformats.org/officeDocument/2006/relationships/hyperlink" Target="http://www.tourism.government.bg/" TargetMode="External"/><Relationship Id="rId193" Type="http://schemas.openxmlformats.org/officeDocument/2006/relationships/hyperlink" Target="http://dx.publications.europa.eu/10.2760/93257" TargetMode="External"/><Relationship Id="rId207" Type="http://schemas.openxmlformats.org/officeDocument/2006/relationships/hyperlink" Target="https://ec.europa.eu/environment/iczm/pdf/LSI_FINAL20180417_digital.pdf" TargetMode="External"/><Relationship Id="rId13" Type="http://schemas.openxmlformats.org/officeDocument/2006/relationships/hyperlink" Target="https://www.emodnet.eu/portals" TargetMode="External"/><Relationship Id="rId109" Type="http://schemas.openxmlformats.org/officeDocument/2006/relationships/hyperlink" Target="http://eea.government.bg/bg/soer/2017/biodiversity-nem/promyana-v-chislenostta-i-sastoyanie-na-zimuvashtite-vodolyubivi-ptitsi-v-balgariya" TargetMode="External"/><Relationship Id="rId34" Type="http://schemas.openxmlformats.org/officeDocument/2006/relationships/hyperlink" Target="https://www.bsbd.org/UserFiles/File/Sea/Notice_E%D0%9E_MS&amp;PoM.pdf" TargetMode="External"/><Relationship Id="rId55" Type="http://schemas.openxmlformats.org/officeDocument/2006/relationships/hyperlink" Target="https://bsbd.org/registri/spisyk%20ezera%20blata.01.2014.pdf" TargetMode="External"/><Relationship Id="rId76" Type="http://schemas.openxmlformats.org/officeDocument/2006/relationships/hyperlink" Target="http://bbf.biodiversity.bg/bg/Uzunbudzhak.c254" TargetMode="External"/><Relationship Id="rId97" Type="http://schemas.openxmlformats.org/officeDocument/2006/relationships/hyperlink" Target="file:///E:\2019_MRRB%20OFERTI\MSP\PRODUCT\%20http" TargetMode="External"/><Relationship Id="rId120" Type="http://schemas.openxmlformats.org/officeDocument/2006/relationships/hyperlink" Target="http://eea.government.bg/bg/soer/2017/biodiversity-nem/promyana-v-chislenostta-i-sastoyanie-na-zimuvashtite-vodolyubivi-ptitsi-v-balgariya" TargetMode="External"/><Relationship Id="rId141" Type="http://schemas.openxmlformats.org/officeDocument/2006/relationships/hyperlink" Target="http://eea.government.bg/bg/soer/2017/" TargetMode="External"/><Relationship Id="rId7" Type="http://schemas.openxmlformats.org/officeDocument/2006/relationships/hyperlink" Target="http://eur-lex.europa.eu/legal-content/BG/TXT/PDF/?uri=CELEX:32014L0089&amp;from=BG" TargetMode="External"/><Relationship Id="rId162" Type="http://schemas.openxmlformats.org/officeDocument/2006/relationships/hyperlink" Target="https://www.mtitc.government.bg/bg/category/42/integrirana-transportna-strategiya-v-perioda-do-2030-g" TargetMode="External"/><Relationship Id="rId183" Type="http://schemas.openxmlformats.org/officeDocument/2006/relationships/hyperlink" Target="https://op.europa.eu/en/publication-detail/-/publication/676bbd4a-7dd9-11e9-9f05-01aa75ed71a1/language-en/" TargetMode="External"/><Relationship Id="rId24" Type="http://schemas.openxmlformats.org/officeDocument/2006/relationships/hyperlink" Target="https://unfccc.int/" TargetMode="External"/><Relationship Id="rId45" Type="http://schemas.openxmlformats.org/officeDocument/2006/relationships/hyperlink" Target="http://mc.government.bg/files/5495_Strategy_culture_.pdf" TargetMode="External"/><Relationship Id="rId66" Type="http://schemas.openxmlformats.org/officeDocument/2006/relationships/hyperlink" Target="https://www.moew.government.bg/static/media/ups/tiny/Press/Ramsar-knijka.pdf" TargetMode="External"/><Relationship Id="rId87" Type="http://schemas.openxmlformats.org/officeDocument/2006/relationships/hyperlink" Target="http://bspb.org/media/files/IBA_and_Natura_2000_Inventory_BG.pdf" TargetMode="External"/><Relationship Id="rId110" Type="http://schemas.openxmlformats.org/officeDocument/2006/relationships/hyperlink" Target="http://eea.government.bg/bg/soer/2017/biodiversity-nem/promyana-v-chislenostta-i-sastoyanie-na-zimuvashtite-vodolyubivi-ptitsi-v-balgariya" TargetMode="External"/><Relationship Id="rId131" Type="http://schemas.openxmlformats.org/officeDocument/2006/relationships/hyperlink" Target="http://eea.government.bg/bg/soer/2017/biodiversity-nem/promyana-v-chislenostta-i-sastoyanie-na-zimuvashtite-vodolyubivi-ptitsi-v-balgariya" TargetMode="External"/><Relationship Id="rId152" Type="http://schemas.openxmlformats.org/officeDocument/2006/relationships/hyperlink" Target="http://eea.government.bg/zpo/bg/result1.jsp" TargetMode="External"/><Relationship Id="rId173" Type="http://schemas.openxmlformats.org/officeDocument/2006/relationships/hyperlink" Target="http://pubdocs.worldbank.org/en/558261587395154178/CMO-April-2020-Special-Focus-1.pdf" TargetMode="External"/><Relationship Id="rId194" Type="http://schemas.openxmlformats.org/officeDocument/2006/relationships/hyperlink" Target="http://eea.government.bg/bg/ecosystems/B9MARINE_BG_PRINT.pdf" TargetMode="External"/><Relationship Id="rId208" Type="http://schemas.openxmlformats.org/officeDocument/2006/relationships/hyperlink" Target="https://balance-eu.org/xpdf/balance-technical-summary-report-no-4-4.pdf" TargetMode="External"/><Relationship Id="rId19" Type="http://schemas.openxmlformats.org/officeDocument/2006/relationships/hyperlink" Target="http://www.un.org/depts/los/consultative_process/documents/A21-Ch17.htm" TargetMode="External"/><Relationship Id="rId14" Type="http://schemas.openxmlformats.org/officeDocument/2006/relationships/hyperlink" Target="https://www.eea.europa.eu/themes/water/europes-seas-and-coasts" TargetMode="External"/><Relationship Id="rId30" Type="http://schemas.openxmlformats.org/officeDocument/2006/relationships/hyperlink" Target="http://www.bsbd.org/uk/MarineStrategy.html" TargetMode="External"/><Relationship Id="rId35" Type="http://schemas.openxmlformats.org/officeDocument/2006/relationships/hyperlink" Target="http://www.strategy.bg/Publications/View.aspx?lang=bg-BG&amp;Id=90" TargetMode="External"/><Relationship Id="rId56" Type="http://schemas.openxmlformats.org/officeDocument/2006/relationships/hyperlink" Target="https://eur-lex.europa.eu/legal-content/BG/TXT/PDF/?uri=CELEX:32007L0060&amp;from=BG" TargetMode="External"/><Relationship Id="rId77" Type="http://schemas.openxmlformats.org/officeDocument/2006/relationships/hyperlink" Target="http://bbf.biodiversity.bg/bg/Uzunbudzhak.c254" TargetMode="External"/><Relationship Id="rId100" Type="http://schemas.openxmlformats.org/officeDocument/2006/relationships/hyperlink" Target="http://eea.government.bg/bg/soer/2017/biodiversity-nem/promyana-v-chislenostta-i-sastoyanie-na-zimuvashtite-vodolyubivi-ptitsi-v-balgariya" TargetMode="External"/><Relationship Id="rId105" Type="http://schemas.openxmlformats.org/officeDocument/2006/relationships/hyperlink" Target="http://eea.government.bg/bg/soer/2017/biodiversity-nem/promyana-v-chislenostta-i-sastoyanie-na-zimuvashtite-vodolyubivi-ptitsi-v-balgariya" TargetMode="External"/><Relationship Id="rId126" Type="http://schemas.openxmlformats.org/officeDocument/2006/relationships/hyperlink" Target="http://eea.government.bg/bg/soer/2017/biodiversity-nem/promyana-v-chislenostta-i-sastoyanie-na-zimuvashtite-vodolyubivi-ptitsi-v-balgariya" TargetMode="External"/><Relationship Id="rId147" Type="http://schemas.openxmlformats.org/officeDocument/2006/relationships/hyperlink" Target="http://eea.government.bg/zpo/bg/result1.jsp" TargetMode="External"/><Relationship Id="rId168" Type="http://schemas.openxmlformats.org/officeDocument/2006/relationships/hyperlink" Target="http://uni-sz.bg/truni11/wp-content/uploads/biblioteka/file/TUNI10015968.pdf" TargetMode="External"/><Relationship Id="rId8" Type="http://schemas.openxmlformats.org/officeDocument/2006/relationships/hyperlink" Target="https://www.cbd.int/ecosystem/" TargetMode="External"/><Relationship Id="rId51" Type="http://schemas.openxmlformats.org/officeDocument/2006/relationships/hyperlink" Target="http://www.marsplan.ro/en/results.html" TargetMode="External"/><Relationship Id="rId72" Type="http://schemas.openxmlformats.org/officeDocument/2006/relationships/hyperlink" Target="http://bbf.biodiversity.bg/bg/Uzunbudzhak.c254" TargetMode="External"/><Relationship Id="rId93" Type="http://schemas.openxmlformats.org/officeDocument/2006/relationships/hyperlink" Target="http://bspb.org/media/files/IBA_and_Natura_2000_Inventory_BG.pdf" TargetMode="External"/><Relationship Id="rId98" Type="http://schemas.openxmlformats.org/officeDocument/2006/relationships/hyperlink" Target="http://eea.government.bg/bg/soer/2017/biodiversity-nem/promyana-v-chislenostta-i-sastoyanie-na-zimuvashtite-vodolyubivi-ptitsi-v-balgariya" TargetMode="External"/><Relationship Id="rId121" Type="http://schemas.openxmlformats.org/officeDocument/2006/relationships/hyperlink" Target="http://eea.government.bg/bg/soer/2017/biodiversity-nem/promyana-v-chislenostta-i-sastoyanie-na-zimuvashtite-vodolyubivi-ptitsi-v-balgariya" TargetMode="External"/><Relationship Id="rId142" Type="http://schemas.openxmlformats.org/officeDocument/2006/relationships/hyperlink" Target="http://eea.government.bg/bg/soer/2017/" TargetMode="External"/><Relationship Id="rId163" Type="http://schemas.openxmlformats.org/officeDocument/2006/relationships/hyperlink" Target="https://www.marad.bg/node/857" TargetMode="External"/><Relationship Id="rId184" Type="http://schemas.openxmlformats.org/officeDocument/2006/relationships/hyperlink" Target="https://kis-orca.eu/map" TargetMode="External"/><Relationship Id="rId189" Type="http://schemas.openxmlformats.org/officeDocument/2006/relationships/hyperlink" Target="http://icbss.org/" TargetMode="External"/><Relationship Id="rId3" Type="http://schemas.openxmlformats.org/officeDocument/2006/relationships/hyperlink" Target="http://publications.europa.eu/resource/cellar/f07ab00e-3795-4146-8739-07dc585b97ad.0008.01/DOC_1" TargetMode="External"/><Relationship Id="rId214" Type="http://schemas.openxmlformats.org/officeDocument/2006/relationships/hyperlink" Target="https://reports.weforum.org/travel-and-tourism-competitiveness-report-2019/country-profiles/" TargetMode="External"/><Relationship Id="rId25" Type="http://schemas.openxmlformats.org/officeDocument/2006/relationships/hyperlink" Target="http://www.bsbd.org/bg/msfd_monitoring.html" TargetMode="External"/><Relationship Id="rId46" Type="http://schemas.openxmlformats.org/officeDocument/2006/relationships/hyperlink" Target="https://www.moew.government.bg/bg/klimat/mejdunarodni-pregovori-i-adaptaciya/adaptaciya/" TargetMode="External"/><Relationship Id="rId67" Type="http://schemas.openxmlformats.org/officeDocument/2006/relationships/hyperlink" Target="https://www.moew.government.bg/static/media/ups/tiny/filebase/Nature/Natura%202000/RAMSAR/Black_Sea_Wet_Catalog-Final.pdf" TargetMode="External"/><Relationship Id="rId116" Type="http://schemas.openxmlformats.org/officeDocument/2006/relationships/hyperlink" Target="http://eea.government.bg/bg/soer/2017/biodiversity-nem/promyana-v-chislenostta-i-sastoyanie-na-zimuvashtite-vodolyubivi-ptitsi-v-balgariya" TargetMode="External"/><Relationship Id="rId137" Type="http://schemas.openxmlformats.org/officeDocument/2006/relationships/hyperlink" Target="http://eea.government.bg/bg/soer/2017/" TargetMode="External"/><Relationship Id="rId158" Type="http://schemas.openxmlformats.org/officeDocument/2006/relationships/hyperlink" Target="http://eea.government.bg/zpo/bg/result1.jsp" TargetMode="External"/><Relationship Id="rId20" Type="http://schemas.openxmlformats.org/officeDocument/2006/relationships/hyperlink" Target="https://www.unicef.bg/assets/PDFs/WWL/Transforming_our_world_BG.pdf" TargetMode="External"/><Relationship Id="rId41" Type="http://schemas.openxmlformats.org/officeDocument/2006/relationships/hyperlink" Target="http://www.bsbd.org/bg/merki_13_rdms.html" TargetMode="External"/><Relationship Id="rId62" Type="http://schemas.openxmlformats.org/officeDocument/2006/relationships/hyperlink" Target="https://eur-lex.europa.eu/legal-content/BG/TXT/?uri=CELEX%3A31992L0043" TargetMode="External"/><Relationship Id="rId83" Type="http://schemas.openxmlformats.org/officeDocument/2006/relationships/hyperlink" Target="http://bspb.org/media/files/IBA_and_Natura_2000_Inventory_BG.pdf" TargetMode="External"/><Relationship Id="rId88" Type="http://schemas.openxmlformats.org/officeDocument/2006/relationships/hyperlink" Target="http://bspb.org/media/files/IBA_and_Natura_2000_Inventory_BG.pdf" TargetMode="External"/><Relationship Id="rId111" Type="http://schemas.openxmlformats.org/officeDocument/2006/relationships/hyperlink" Target="http://eea.government.bg/bg/soer/2017/biodiversity-nem/promyana-v-chislenostta-i-sastoyanie-na-zimuvashtite-vodolyubivi-ptitsi-v-balgariya" TargetMode="External"/><Relationship Id="rId132" Type="http://schemas.openxmlformats.org/officeDocument/2006/relationships/hyperlink" Target="http://eea.government.bg/bg/soer/2017/biodiversity-nem/promyana-v-chislenostta-i-sastoyanie-na-zimuvashtite-vodolyubivi-ptitsi-v-balgariya" TargetMode="External"/><Relationship Id="rId153" Type="http://schemas.openxmlformats.org/officeDocument/2006/relationships/hyperlink" Target="http://eea.government.bg/zpo/bg/result1.jsp" TargetMode="External"/><Relationship Id="rId174" Type="http://schemas.openxmlformats.org/officeDocument/2006/relationships/hyperlink" Target="https://www.ebrd.com/news/2020/ebrd-economies-seen-contracting-by-35-per-cent-in-2020-48-per-cent-rebound-in-2021.html" TargetMode="External"/><Relationship Id="rId179" Type="http://schemas.openxmlformats.org/officeDocument/2006/relationships/hyperlink" Target="https://ec.europa.eu/maritimeaffairs/maritimeday/sites/mare-emd/files/burgas-visionpaper_en.pdf" TargetMode="External"/><Relationship Id="rId195" Type="http://schemas.openxmlformats.org/officeDocument/2006/relationships/hyperlink" Target="https://ec.europa.eu/maritimeaffairs/policy/blue_growth_bg" TargetMode="External"/><Relationship Id="rId209" Type="http://schemas.openxmlformats.org/officeDocument/2006/relationships/hyperlink" Target="https://www.environment.gov.au/marine/gbr/long-term-sustainability-plan" TargetMode="External"/><Relationship Id="rId190" Type="http://schemas.openxmlformats.org/officeDocument/2006/relationships/hyperlink" Target="http://www.blacksea-commission.org/" TargetMode="External"/><Relationship Id="rId204" Type="http://schemas.openxmlformats.org/officeDocument/2006/relationships/hyperlink" Target="https://www.bsbd.org/bg/msfd_monitoring.html" TargetMode="External"/><Relationship Id="rId15" Type="http://schemas.openxmlformats.org/officeDocument/2006/relationships/hyperlink" Target="https://water.europa.eu/marine" TargetMode="External"/><Relationship Id="rId36" Type="http://schemas.openxmlformats.org/officeDocument/2006/relationships/hyperlink" Target="https://unesdoc.unesco.org/ark:/48223/pf0000186559" TargetMode="External"/><Relationship Id="rId57" Type="http://schemas.openxmlformats.org/officeDocument/2006/relationships/hyperlink" Target="https://bsbd.org/v2/bg/index_bg_2934486.html?URI" TargetMode="External"/><Relationship Id="rId106" Type="http://schemas.openxmlformats.org/officeDocument/2006/relationships/hyperlink" Target="http://eea.government.bg/bg/soer/2017/biodiversity-nem/promyana-v-chislenostta-i-sastoyanie-na-zimuvashtite-vodolyubivi-ptitsi-v-balgariya" TargetMode="External"/><Relationship Id="rId127" Type="http://schemas.openxmlformats.org/officeDocument/2006/relationships/hyperlink" Target="http://eea.government.bg/bg/soer/2017/biodiversity-nem/promyana-v-chislenostta-i-sastoyanie-na-zimuvashtite-vodolyubivi-ptitsi-v-balgariya" TargetMode="External"/><Relationship Id="rId10" Type="http://schemas.openxmlformats.org/officeDocument/2006/relationships/hyperlink" Target="https://eur-lex.europa.eu/LexUriServ/LexUriServ.do?uri=COM:2008:0791:FIN:BG:PDF" TargetMode="External"/><Relationship Id="rId31" Type="http://schemas.openxmlformats.org/officeDocument/2006/relationships/hyperlink" Target="https://eur-lex.europa.eu/legal-content/BG/TXT/PDF/?uri=CELEX:32000L0060&amp;from=BG" TargetMode="External"/><Relationship Id="rId52" Type="http://schemas.openxmlformats.org/officeDocument/2006/relationships/hyperlink" Target="http://gz-varna.mrrb.government.bg/map/" TargetMode="External"/><Relationship Id="rId73" Type="http://schemas.openxmlformats.org/officeDocument/2006/relationships/hyperlink" Target="http://bbf.biodiversity.bg/bg/Uzunbudzhak.c254" TargetMode="External"/><Relationship Id="rId78" Type="http://schemas.openxmlformats.org/officeDocument/2006/relationships/hyperlink" Target="http://bbf.biodiversity.bg/bg/Uzunbudzhak.c254" TargetMode="External"/><Relationship Id="rId94" Type="http://schemas.openxmlformats.org/officeDocument/2006/relationships/hyperlink" Target="http://bspb.org/media/files/IBA_and_Natura_2000_Inventory_BG.pdf" TargetMode="External"/><Relationship Id="rId99" Type="http://schemas.openxmlformats.org/officeDocument/2006/relationships/hyperlink" Target="http://eea.government.bg/bg/soer/2017/biodiversity-nem/promyana-v-chislenostta-i-sastoyanie-na-zimuvashtite-vodolyubivi-ptitsi-v-balgariya" TargetMode="External"/><Relationship Id="rId101" Type="http://schemas.openxmlformats.org/officeDocument/2006/relationships/hyperlink" Target="http://eea.government.bg/bg/soer/2017/biodiversity-nem/promyana-v-chislenostta-i-sastoyanie-na-zimuvashtite-vodolyubivi-ptitsi-v-balgariya" TargetMode="External"/><Relationship Id="rId122" Type="http://schemas.openxmlformats.org/officeDocument/2006/relationships/hyperlink" Target="http://eea.government.bg/bg/soer/2017/biodiversity-nem/promyana-v-chislenostta-i-sastoyanie-na-zimuvashtite-vodolyubivi-ptitsi-v-balgariya" TargetMode="External"/><Relationship Id="rId143" Type="http://schemas.openxmlformats.org/officeDocument/2006/relationships/hyperlink" Target="http://eea.government.bg/bg/soer/2017/" TargetMode="External"/><Relationship Id="rId148" Type="http://schemas.openxmlformats.org/officeDocument/2006/relationships/hyperlink" Target="http://eea.government.bg/zpo/bg/result1.jsp" TargetMode="External"/><Relationship Id="rId164" Type="http://schemas.openxmlformats.org/officeDocument/2006/relationships/hyperlink" Target="http://www.bgports.bg/bg/page/24" TargetMode="External"/><Relationship Id="rId169" Type="http://schemas.openxmlformats.org/officeDocument/2006/relationships/hyperlink" Target="https://marad.bg/sites/default/files/upload/documents/2021-03" TargetMode="External"/><Relationship Id="rId185" Type="http://schemas.openxmlformats.org/officeDocument/2006/relationships/hyperlink" Target="https://blacksea-cbc.net/" TargetMode="External"/><Relationship Id="rId4" Type="http://schemas.openxmlformats.org/officeDocument/2006/relationships/hyperlink" Target="http://www.moew.government.bg/bg/vodi/morski-vodi/konvenciya-za-opazvane-na-cherno-more-ot-zamursyavane/" TargetMode="External"/><Relationship Id="rId9" Type="http://schemas.openxmlformats.org/officeDocument/2006/relationships/hyperlink" Target="https://eur-lex.europa.eu/legal-content/BG/TXT/?uri=CELEX%3A32008L0056" TargetMode="External"/><Relationship Id="rId180" Type="http://schemas.openxmlformats.org/officeDocument/2006/relationships/hyperlink" Target="https://unctad.org/en/PublicationsLibrary/ditctedinf2020d2_en.pdf" TargetMode="External"/><Relationship Id="rId210" Type="http://schemas.openxmlformats.org/officeDocument/2006/relationships/hyperlink" Target="https://polishmsp.eu/" TargetMode="External"/><Relationship Id="rId215" Type="http://schemas.openxmlformats.org/officeDocument/2006/relationships/hyperlink" Target="https://unesdoc.unesco.org/ark:/48223/pf0000147313" TargetMode="External"/><Relationship Id="rId26" Type="http://schemas.openxmlformats.org/officeDocument/2006/relationships/hyperlink" Target="http://cdr.eionet.europa.eu/bg/eu/msfd_mp/" TargetMode="External"/><Relationship Id="rId47" Type="http://schemas.openxmlformats.org/officeDocument/2006/relationships/hyperlink" Target="https://www.mrrb.bg/bg/nacionalna-programa-za-prevenciya-i-ogranichavane-na-svlachistata-na-teritoriyata-na-republika-bulgariya-eroziyata-i-abraziyata-po-dunavskoto-i-chernomorskoto-krajbrejie-2015-2020-g-i-dopulnenie-kum-neya-s-novovuzniknali-77199/" TargetMode="External"/><Relationship Id="rId68" Type="http://schemas.openxmlformats.org/officeDocument/2006/relationships/hyperlink" Target="file:///E:\2019_MRRB%20OFERTI\MSP\PRODUCT\%20http" TargetMode="External"/><Relationship Id="rId89" Type="http://schemas.openxmlformats.org/officeDocument/2006/relationships/hyperlink" Target="http://bspb.org/media/files/IBA_and_Natura_2000_Inventory_BG.pdf" TargetMode="External"/><Relationship Id="rId112" Type="http://schemas.openxmlformats.org/officeDocument/2006/relationships/hyperlink" Target="http://eea.government.bg/bg/soer/2017/biodiversity-nem/promyana-v-chislenostta-i-sastoyanie-na-zimuvashtite-vodolyubivi-ptitsi-v-balgariya" TargetMode="External"/><Relationship Id="rId133" Type="http://schemas.openxmlformats.org/officeDocument/2006/relationships/hyperlink" Target="http://eea.government.bg/bg/soer/2017/biodiversity-nem/promyana-v-chislenostta-i-sastoyanie-na-zimuvashtite-vodolyubivi-ptitsi-v-balgariya" TargetMode="External"/><Relationship Id="rId154" Type="http://schemas.openxmlformats.org/officeDocument/2006/relationships/hyperlink" Target="http://eea.government.bg/zpo/bg/result1.jsp" TargetMode="External"/><Relationship Id="rId175" Type="http://schemas.openxmlformats.org/officeDocument/2006/relationships/hyperlink" Target="https://www.oecd-ilibrary.org/docserver/7969896b-&#1077;n.pdf?expires=1590396731&amp;id=id&amp;accname=guest&amp;checksum=1DB3B890EB67DAA0216A6F9DC2F08F30" TargetMode="External"/><Relationship Id="rId196" Type="http://schemas.openxmlformats.org/officeDocument/2006/relationships/hyperlink" Target="https://ec.europa.eu/maritimeaffairs/policy/blue_growth_bg" TargetMode="External"/><Relationship Id="rId200" Type="http://schemas.openxmlformats.org/officeDocument/2006/relationships/hyperlink" Target="http://www.strategy.bg/StrategicDocuments/View.aspx?lang=bg-BG&amp;Id=1231" TargetMode="External"/><Relationship Id="rId16" Type="http://schemas.openxmlformats.org/officeDocument/2006/relationships/hyperlink" Target="http://www.blacksea-commission.org/" TargetMode="External"/><Relationship Id="rId37" Type="http://schemas.openxmlformats.org/officeDocument/2006/relationships/hyperlink" Target="http://register.consilium.europa.eu/doc/srv?l=EN&amp;f=ST%2011205%202014%20INIT" TargetMode="External"/><Relationship Id="rId58" Type="http://schemas.openxmlformats.org/officeDocument/2006/relationships/hyperlink" Target="https://eunis.eea.europa.eu/" TargetMode="External"/><Relationship Id="rId79" Type="http://schemas.openxmlformats.org/officeDocument/2006/relationships/hyperlink" Target="http://bbf.biodiversity.bg/bg/Uzunbudzhak.c254" TargetMode="External"/><Relationship Id="rId102" Type="http://schemas.openxmlformats.org/officeDocument/2006/relationships/hyperlink" Target="http://eea.government.bg/bg/soer/2017/biodiversity-nem/promyana-v-chislenostta-i-sastoyanie-na-zimuvashtite-vodolyubivi-ptitsi-v-balgariya" TargetMode="External"/><Relationship Id="rId123" Type="http://schemas.openxmlformats.org/officeDocument/2006/relationships/hyperlink" Target="http://eea.government.bg/bg/soer/2017/biodiversity-nem/promyana-v-chislenostta-i-sastoyanie-na-zimuvashtite-vodolyubivi-ptitsi-v-balgariya" TargetMode="External"/><Relationship Id="rId144" Type="http://schemas.openxmlformats.org/officeDocument/2006/relationships/hyperlink" Target="http://eea.government.bg/bg/soer/2017/" TargetMode="External"/><Relationship Id="rId90" Type="http://schemas.openxmlformats.org/officeDocument/2006/relationships/hyperlink" Target="http://bspb.org/media/files/IBA_and_Natura_2000_Inventory_BG.pdf" TargetMode="External"/><Relationship Id="rId165" Type="http://schemas.openxmlformats.org/officeDocument/2006/relationships/hyperlink" Target="http://deloports.com/dock58/" TargetMode="External"/><Relationship Id="rId186" Type="http://schemas.openxmlformats.org/officeDocument/2006/relationships/hyperlink" Target="http://www.bsec-organization.org/" TargetMode="External"/><Relationship Id="rId211" Type="http://schemas.openxmlformats.org/officeDocument/2006/relationships/hyperlink" Target="http://eea.government.bg/zpo/bg/area.jsp?NEM_Partition=1&amp;categoryID=6&amp;areaID=145" TargetMode="External"/><Relationship Id="rId27" Type="http://schemas.openxmlformats.org/officeDocument/2006/relationships/hyperlink" Target="http://www.bsbd.org/bg/msfd_monitoring.html" TargetMode="External"/><Relationship Id="rId48" Type="http://schemas.openxmlformats.org/officeDocument/2006/relationships/hyperlink" Target="https://www.me.government.bg/bg/themes/energiina-strategiya-na-republika-balgariya-do-2020-g-147-295.html" TargetMode="External"/><Relationship Id="rId69" Type="http://schemas.openxmlformats.org/officeDocument/2006/relationships/hyperlink" Target="http://bbf.biodiversity.bg/bg/Uzunbudzhak.c254" TargetMode="External"/><Relationship Id="rId113" Type="http://schemas.openxmlformats.org/officeDocument/2006/relationships/hyperlink" Target="http://eea.government.bg/bg/soer/2017/biodiversity-nem/promyana-v-chislenostta-i-sastoyanie-na-zimuvashtite-vodolyubivi-ptitsi-v-balgariya" TargetMode="External"/><Relationship Id="rId134" Type="http://schemas.openxmlformats.org/officeDocument/2006/relationships/hyperlink" Target="file:///E:\2019_MRRB%20OFERTI\MSP\PRODUCT\%20http" TargetMode="External"/><Relationship Id="rId80" Type="http://schemas.openxmlformats.org/officeDocument/2006/relationships/hyperlink" Target="http://bbf.biodiversity.bg/bg/Uzunbudzhak.c254" TargetMode="External"/><Relationship Id="rId155" Type="http://schemas.openxmlformats.org/officeDocument/2006/relationships/hyperlink" Target="http://eea.government.bg/zpo/bg/result1.jsp" TargetMode="External"/><Relationship Id="rId176" Type="http://schemas.openxmlformats.org/officeDocument/2006/relationships/hyperlink" Target="https://ec.europa.eu/maritimeaffairs/sites/maritimeaffairs/files/docs/publications/blue-growth_en.pdf" TargetMode="External"/><Relationship Id="rId197" Type="http://schemas.openxmlformats.org/officeDocument/2006/relationships/hyperlink" Target="https://seenews.com/companies/company_profile/burgaski-korabostroitelnitsi-ad-non-existent-2835" TargetMode="External"/><Relationship Id="rId201" Type="http://schemas.openxmlformats.org/officeDocument/2006/relationships/hyperlink" Target="https://www.buurtwijs.nl/sites/default/files/buurtwijs/bestanden/jane_jacobs_the_death_and_life_of_great_american.pdf" TargetMode="External"/><Relationship Id="rId17" Type="http://schemas.openxmlformats.org/officeDocument/2006/relationships/hyperlink" Target="http://www.fao.org/fishery/en" TargetMode="External"/><Relationship Id="rId38" Type="http://schemas.openxmlformats.org/officeDocument/2006/relationships/hyperlink" Target="https://ec.europa.eu/maritimeaffairs/press/common-maritime-agenda-black-sea-motion_en" TargetMode="External"/><Relationship Id="rId59" Type="http://schemas.openxmlformats.org/officeDocument/2006/relationships/hyperlink" Target="https://www.msp-platform.eu/projects/coconet-towards-coast-coast-networks-marine-protected-areas-shore-high-and-deep-sea" TargetMode="External"/><Relationship Id="rId103" Type="http://schemas.openxmlformats.org/officeDocument/2006/relationships/hyperlink" Target="http://eea.government.bg/bg/soer/2017/biodiversity-nem/promyana-v-chislenostta-i-sastoyanie-na-zimuvashtite-vodolyubivi-ptitsi-v-balgariya" TargetMode="External"/><Relationship Id="rId124" Type="http://schemas.openxmlformats.org/officeDocument/2006/relationships/hyperlink" Target="http://eea.government.bg/bg/soer/2017/biodiversity-nem/promyana-v-chislenostta-i-sastoyanie-na-zimuvashtite-vodolyubivi-ptitsi-v-balgariya" TargetMode="External"/><Relationship Id="rId70" Type="http://schemas.openxmlformats.org/officeDocument/2006/relationships/hyperlink" Target="http://bbf.biodiversity.bg/bg/Uzunbudzhak.c254" TargetMode="External"/><Relationship Id="rId91" Type="http://schemas.openxmlformats.org/officeDocument/2006/relationships/hyperlink" Target="http://bspb.org/media/files/IBA_and_Natura_2000_Inventory_BG.pdf" TargetMode="External"/><Relationship Id="rId145" Type="http://schemas.openxmlformats.org/officeDocument/2006/relationships/hyperlink" Target="http://eea.government.bg/bg/soer/2017/" TargetMode="External"/><Relationship Id="rId166" Type="http://schemas.openxmlformats.org/officeDocument/2006/relationships/hyperlink" Target="https://www.marad.bg/bg/node/997" TargetMode="External"/><Relationship Id="rId187" Type="http://schemas.openxmlformats.org/officeDocument/2006/relationships/hyperlink" Target="http://www.pabsec.org/page.asp?id=1&amp;hl=en" TargetMode="External"/><Relationship Id="rId1" Type="http://schemas.openxmlformats.org/officeDocument/2006/relationships/hyperlink" Target="http://eur-lex.europa.eu/legal-content/BG/TXT/PDF/?uri=CELEX:32014L0089&amp;from=BG" TargetMode="External"/><Relationship Id="rId212" Type="http://schemas.openxmlformats.org/officeDocument/2006/relationships/hyperlink" Target="http://www3.weforum.org/docs/WEF_TheGlobalCompetitivenessReport2019.pdf" TargetMode="External"/><Relationship Id="rId28" Type="http://schemas.openxmlformats.org/officeDocument/2006/relationships/hyperlink" Target="http://cdr.eionet.europa.eu/bg/eu/msfd_mp/" TargetMode="External"/><Relationship Id="rId49" Type="http://schemas.openxmlformats.org/officeDocument/2006/relationships/hyperlink" Target="http://www.strategy.bg/PublicConsultations/View.aspx?lang=bg-BG&amp;Id=2990" TargetMode="External"/><Relationship Id="rId114" Type="http://schemas.openxmlformats.org/officeDocument/2006/relationships/hyperlink" Target="http://eea.government.bg/bg/soer/2017/biodiversity-nem/promyana-v-chislenostta-i-sastoyanie-na-zimuvashtite-vodolyubivi-ptitsi-v-balgariya" TargetMode="External"/><Relationship Id="rId60" Type="http://schemas.openxmlformats.org/officeDocument/2006/relationships/hyperlink" Target="http://www.perseus-net.eu/site/content.php" TargetMode="External"/><Relationship Id="rId81" Type="http://schemas.openxmlformats.org/officeDocument/2006/relationships/hyperlink" Target="http://bbf.biodiversity.bg/bg/Uzunbudzhak.c254" TargetMode="External"/><Relationship Id="rId135" Type="http://schemas.openxmlformats.org/officeDocument/2006/relationships/hyperlink" Target="http://eea.government.bg/bg/soer/2017/" TargetMode="External"/><Relationship Id="rId156" Type="http://schemas.openxmlformats.org/officeDocument/2006/relationships/hyperlink" Target="http://eea.government.bg/zpo/bg/result1.jsp" TargetMode="External"/><Relationship Id="rId177" Type="http://schemas.openxmlformats.org/officeDocument/2006/relationships/hyperlink" Target="https://ec.europa.eu/maritimeaffairs/sites/maritimeaffairs/files/2020_06_blueeconomy-2020-ld_final.pdf" TargetMode="External"/><Relationship Id="rId198" Type="http://schemas.openxmlformats.org/officeDocument/2006/relationships/hyperlink" Target="https://www.eufunds.bg/sites/default/files/uploads/pmdr/docs/2020-07/Final%20Draft%20Analysis%20All%2030062020.pdf" TargetMode="External"/><Relationship Id="rId202" Type="http://schemas.openxmlformats.org/officeDocument/2006/relationships/hyperlink" Target="http://www.blacksea-commission.org/Official%20Documents/Black%20Sea%20Strategic%20Action%20Plan%202009/" TargetMode="External"/><Relationship Id="rId18" Type="http://schemas.openxmlformats.org/officeDocument/2006/relationships/hyperlink" Target="https://www.emodnet.eu/portals" TargetMode="External"/><Relationship Id="rId39" Type="http://schemas.openxmlformats.org/officeDocument/2006/relationships/hyperlink" Target="http://www.bsbd.org/bg/page_1722859.html" TargetMode="External"/><Relationship Id="rId50" Type="http://schemas.openxmlformats.org/officeDocument/2006/relationships/hyperlink" Target="http://www.strategy.bg/StrategicDocuments/View.aspx?lang=bg-BG&amp;Id=781" TargetMode="External"/><Relationship Id="rId104" Type="http://schemas.openxmlformats.org/officeDocument/2006/relationships/hyperlink" Target="http://eea.government.bg/bg/soer/2017/biodiversity-nem/promyana-v-chislenostta-i-sastoyanie-na-zimuvashtite-vodolyubivi-ptitsi-v-balgariya" TargetMode="External"/><Relationship Id="rId125" Type="http://schemas.openxmlformats.org/officeDocument/2006/relationships/hyperlink" Target="http://eea.government.bg/bg/soer/2017/biodiversity-nem/promyana-v-chislenostta-i-sastoyanie-na-zimuvashtite-vodolyubivi-ptitsi-v-balgariya" TargetMode="External"/><Relationship Id="rId146" Type="http://schemas.openxmlformats.org/officeDocument/2006/relationships/hyperlink" Target="file:///E:\2019_MRRB%20OFERTI\MSP\PRODUCT\%20http" TargetMode="External"/><Relationship Id="rId167" Type="http://schemas.openxmlformats.org/officeDocument/2006/relationships/hyperlink" Target="https://www.marad.bg/bg/taxonomy/term/178" TargetMode="External"/><Relationship Id="rId188" Type="http://schemas.openxmlformats.org/officeDocument/2006/relationships/hyperlink" Target="https://www.bstdb.org/index.htm" TargetMode="External"/><Relationship Id="rId71" Type="http://schemas.openxmlformats.org/officeDocument/2006/relationships/hyperlink" Target="http://bbf.biodiversity.bg/bg/Uzunbudzhak.c254" TargetMode="External"/><Relationship Id="rId92" Type="http://schemas.openxmlformats.org/officeDocument/2006/relationships/hyperlink" Target="http://bspb.org/media/files/IBA_and_Natura_2000_Inventory_BG.pdf" TargetMode="External"/><Relationship Id="rId213" Type="http://schemas.openxmlformats.org/officeDocument/2006/relationships/hyperlink" Target="https://ec.europa.eu/regional_policy/en/information/maps/regional_competitiveness/" TargetMode="External"/><Relationship Id="rId2" Type="http://schemas.openxmlformats.org/officeDocument/2006/relationships/hyperlink" Target="https://www.unicef.bg/assets/PDFs/WWL/Transforming_our_world_BG.pdf" TargetMode="External"/><Relationship Id="rId29" Type="http://schemas.openxmlformats.org/officeDocument/2006/relationships/hyperlink" Target="http://www.bsbd.org/bg/merki_13_rdms.html" TargetMode="External"/><Relationship Id="rId40" Type="http://schemas.openxmlformats.org/officeDocument/2006/relationships/hyperlink" Target="http://www.bsbd.org/bg/msfd_monitoring.html" TargetMode="External"/><Relationship Id="rId115" Type="http://schemas.openxmlformats.org/officeDocument/2006/relationships/hyperlink" Target="http://eea.government.bg/bg/soer/2017/biodiversity-nem/promyana-v-chislenostta-i-sastoyanie-na-zimuvashtite-vodolyubivi-ptitsi-v-balgariya" TargetMode="External"/><Relationship Id="rId136" Type="http://schemas.openxmlformats.org/officeDocument/2006/relationships/hyperlink" Target="http://eea.government.bg/bg/soer/2017/" TargetMode="External"/><Relationship Id="rId157" Type="http://schemas.openxmlformats.org/officeDocument/2006/relationships/hyperlink" Target="http://eea.government.bg/zpo/bg/result1.jsp" TargetMode="External"/><Relationship Id="rId178" Type="http://schemas.openxmlformats.org/officeDocument/2006/relationships/hyperlink" Target="http://www.devotes-project.eu/wp-content/uploads/2014/06/DEVOTES-D1-1-ConceptualModels.pdf" TargetMode="External"/><Relationship Id="rId61" Type="http://schemas.openxmlformats.org/officeDocument/2006/relationships/hyperlink" Target="http://www.interreg-balkanmed.eu/approved-project/9/" TargetMode="External"/><Relationship Id="rId82" Type="http://schemas.openxmlformats.org/officeDocument/2006/relationships/hyperlink" Target="http://bspb.org/media/files/IBA_and_Natura_2000_Inventory_BG.pdf" TargetMode="External"/><Relationship Id="rId199" Type="http://schemas.openxmlformats.org/officeDocument/2006/relationships/hyperlink" Target="https://www.mi.government.bg/bg/themes/inovacionna-strategiya-za-inteligentna-specializaciya-na-republika-balgariya-2014-2020-g-1806-287.html" TargetMode="External"/><Relationship Id="rId203" Type="http://schemas.openxmlformats.org/officeDocument/2006/relationships/hyperlink" Target="http://eurogoos.eu/ferrybox-task-tea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50C17D8-3A05-4775-A4AF-413E949B946B}"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n-GB"/>
        </a:p>
      </dgm:t>
    </dgm:pt>
    <dgm:pt modelId="{2C4D1D2F-1811-424A-B824-9472A4BA4C29}">
      <dgm:prSet phldrT="[Text]" custT="1"/>
      <dgm:spPr>
        <a:solidFill>
          <a:srgbClr val="BEE6F0"/>
        </a:solidFill>
      </dgm:spPr>
      <dgm:t>
        <a:bodyPr/>
        <a:lstStyle/>
        <a:p>
          <a:r>
            <a:rPr lang="bg-BG" sz="1000">
              <a:latin typeface="Times New Roman" panose="02020603050405020304" pitchFamily="18" charset="0"/>
              <a:cs typeface="Times New Roman" panose="02020603050405020304" pitchFamily="18" charset="0"/>
            </a:rPr>
            <a:t>СЦ1. Регулиране и координиране на морските ползвания</a:t>
          </a:r>
          <a:endParaRPr lang="en-GB" sz="1000">
            <a:latin typeface="Times New Roman" panose="02020603050405020304" pitchFamily="18" charset="0"/>
            <a:cs typeface="Times New Roman" panose="02020603050405020304" pitchFamily="18" charset="0"/>
          </a:endParaRPr>
        </a:p>
      </dgm:t>
    </dgm:pt>
    <dgm:pt modelId="{B215B739-4615-4888-BC3B-439527BBEFBB}" type="parTrans" cxnId="{1E85CDF5-D6A1-4F92-90A5-946984349945}">
      <dgm:prSet/>
      <dgm:spPr/>
      <dgm:t>
        <a:bodyPr/>
        <a:lstStyle/>
        <a:p>
          <a:endParaRPr lang="en-GB">
            <a:latin typeface="Times New Roman" panose="02020603050405020304" pitchFamily="18" charset="0"/>
            <a:cs typeface="Times New Roman" panose="02020603050405020304" pitchFamily="18" charset="0"/>
          </a:endParaRPr>
        </a:p>
      </dgm:t>
    </dgm:pt>
    <dgm:pt modelId="{B6A33020-0B81-439A-BAC2-D3B7BCD253D6}" type="sibTrans" cxnId="{1E85CDF5-D6A1-4F92-90A5-946984349945}">
      <dgm:prSet/>
      <dgm:spPr/>
      <dgm:t>
        <a:bodyPr/>
        <a:lstStyle/>
        <a:p>
          <a:endParaRPr lang="en-GB">
            <a:latin typeface="Times New Roman" panose="02020603050405020304" pitchFamily="18" charset="0"/>
            <a:cs typeface="Times New Roman" panose="02020603050405020304" pitchFamily="18" charset="0"/>
          </a:endParaRPr>
        </a:p>
      </dgm:t>
    </dgm:pt>
    <dgm:pt modelId="{578DC743-887A-4FD5-BE36-7CB3BFECF8AB}">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1.1. Функционално зониране на морското пространство </a:t>
          </a:r>
          <a:endParaRPr lang="en-GB" sz="1000">
            <a:latin typeface="Times New Roman" panose="02020603050405020304" pitchFamily="18" charset="0"/>
            <a:cs typeface="Times New Roman" panose="02020603050405020304" pitchFamily="18" charset="0"/>
          </a:endParaRPr>
        </a:p>
      </dgm:t>
    </dgm:pt>
    <dgm:pt modelId="{05BCBF47-5CB0-4478-898B-C4D08371BF74}" type="parTrans" cxnId="{FCE3329D-B8A6-4606-80B9-07805B94496C}">
      <dgm:prSet/>
      <dgm:spPr/>
      <dgm:t>
        <a:bodyPr/>
        <a:lstStyle/>
        <a:p>
          <a:endParaRPr lang="en-GB">
            <a:latin typeface="Times New Roman" panose="02020603050405020304" pitchFamily="18" charset="0"/>
            <a:cs typeface="Times New Roman" panose="02020603050405020304" pitchFamily="18" charset="0"/>
          </a:endParaRPr>
        </a:p>
      </dgm:t>
    </dgm:pt>
    <dgm:pt modelId="{A0355C52-F324-4CFC-A67F-B467A087154F}" type="sibTrans" cxnId="{FCE3329D-B8A6-4606-80B9-07805B94496C}">
      <dgm:prSet/>
      <dgm:spPr/>
      <dgm:t>
        <a:bodyPr/>
        <a:lstStyle/>
        <a:p>
          <a:endParaRPr lang="en-GB">
            <a:latin typeface="Times New Roman" panose="02020603050405020304" pitchFamily="18" charset="0"/>
            <a:cs typeface="Times New Roman" panose="02020603050405020304" pitchFamily="18" charset="0"/>
          </a:endParaRPr>
        </a:p>
      </dgm:t>
    </dgm:pt>
    <dgm:pt modelId="{F61AA200-E7EC-4D41-ACB9-CC958DC51703}">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1.2. Постигане на консенсус между заинтересованите страни</a:t>
          </a:r>
          <a:endParaRPr lang="en-GB" sz="1000">
            <a:latin typeface="Times New Roman" panose="02020603050405020304" pitchFamily="18" charset="0"/>
            <a:cs typeface="Times New Roman" panose="02020603050405020304" pitchFamily="18" charset="0"/>
          </a:endParaRPr>
        </a:p>
      </dgm:t>
    </dgm:pt>
    <dgm:pt modelId="{BB01C05C-63B8-4CC5-85DD-F5653A78AD33}" type="parTrans" cxnId="{63AC6B57-AFA8-4059-BC90-DFE0034D7EBF}">
      <dgm:prSet/>
      <dgm:spPr/>
      <dgm:t>
        <a:bodyPr/>
        <a:lstStyle/>
        <a:p>
          <a:endParaRPr lang="en-GB">
            <a:latin typeface="Times New Roman" panose="02020603050405020304" pitchFamily="18" charset="0"/>
            <a:cs typeface="Times New Roman" panose="02020603050405020304" pitchFamily="18" charset="0"/>
          </a:endParaRPr>
        </a:p>
      </dgm:t>
    </dgm:pt>
    <dgm:pt modelId="{53FE1C82-FDB4-458F-8F23-A3EDDF53CE8A}" type="sibTrans" cxnId="{63AC6B57-AFA8-4059-BC90-DFE0034D7EBF}">
      <dgm:prSet/>
      <dgm:spPr/>
      <dgm:t>
        <a:bodyPr/>
        <a:lstStyle/>
        <a:p>
          <a:endParaRPr lang="en-GB">
            <a:latin typeface="Times New Roman" panose="02020603050405020304" pitchFamily="18" charset="0"/>
            <a:cs typeface="Times New Roman" panose="02020603050405020304" pitchFamily="18" charset="0"/>
          </a:endParaRPr>
        </a:p>
      </dgm:t>
    </dgm:pt>
    <dgm:pt modelId="{E8649623-B0E6-427E-9883-FB2498ABE4CE}">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3.1. Развитие на научна инфраструктура и изследователски капацитет</a:t>
          </a:r>
          <a:endParaRPr lang="en-GB" sz="1000">
            <a:latin typeface="Times New Roman" panose="02020603050405020304" pitchFamily="18" charset="0"/>
            <a:cs typeface="Times New Roman" panose="02020603050405020304" pitchFamily="18" charset="0"/>
          </a:endParaRPr>
        </a:p>
      </dgm:t>
    </dgm:pt>
    <dgm:pt modelId="{353BB683-FBD3-42A5-BCF8-AAA36C3CA997}" type="parTrans" cxnId="{713721DF-4DE3-4C1E-BB92-78BC16D148FB}">
      <dgm:prSet/>
      <dgm:spPr/>
      <dgm:t>
        <a:bodyPr/>
        <a:lstStyle/>
        <a:p>
          <a:endParaRPr lang="en-GB">
            <a:latin typeface="Times New Roman" panose="02020603050405020304" pitchFamily="18" charset="0"/>
            <a:cs typeface="Times New Roman" panose="02020603050405020304" pitchFamily="18" charset="0"/>
          </a:endParaRPr>
        </a:p>
      </dgm:t>
    </dgm:pt>
    <dgm:pt modelId="{427B9B03-35CC-48AA-9294-E853818EE980}" type="sibTrans" cxnId="{713721DF-4DE3-4C1E-BB92-78BC16D148FB}">
      <dgm:prSet/>
      <dgm:spPr/>
      <dgm:t>
        <a:bodyPr/>
        <a:lstStyle/>
        <a:p>
          <a:endParaRPr lang="en-GB">
            <a:latin typeface="Times New Roman" panose="02020603050405020304" pitchFamily="18" charset="0"/>
            <a:cs typeface="Times New Roman" panose="02020603050405020304" pitchFamily="18" charset="0"/>
          </a:endParaRPr>
        </a:p>
      </dgm:t>
    </dgm:pt>
    <dgm:pt modelId="{F141DCC7-B22B-438D-8A54-111ECDA6ED18}">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3.2. Подобряване на връзките на образованието и научно-изследователската дейност с бизнеса</a:t>
          </a:r>
          <a:endParaRPr lang="en-GB" sz="1000">
            <a:latin typeface="Times New Roman" panose="02020603050405020304" pitchFamily="18" charset="0"/>
            <a:cs typeface="Times New Roman" panose="02020603050405020304" pitchFamily="18" charset="0"/>
          </a:endParaRPr>
        </a:p>
      </dgm:t>
    </dgm:pt>
    <dgm:pt modelId="{B44C6FC5-A308-48FB-B73E-100486882354}" type="parTrans" cxnId="{CDB8C664-76CF-4EBB-8E61-E6C1C1F4A033}">
      <dgm:prSet/>
      <dgm:spPr/>
      <dgm:t>
        <a:bodyPr/>
        <a:lstStyle/>
        <a:p>
          <a:endParaRPr lang="en-GB">
            <a:latin typeface="Times New Roman" panose="02020603050405020304" pitchFamily="18" charset="0"/>
            <a:cs typeface="Times New Roman" panose="02020603050405020304" pitchFamily="18" charset="0"/>
          </a:endParaRPr>
        </a:p>
      </dgm:t>
    </dgm:pt>
    <dgm:pt modelId="{04BC12E9-E7E5-4723-B645-86AE3C112521}" type="sibTrans" cxnId="{CDB8C664-76CF-4EBB-8E61-E6C1C1F4A033}">
      <dgm:prSet/>
      <dgm:spPr/>
      <dgm:t>
        <a:bodyPr/>
        <a:lstStyle/>
        <a:p>
          <a:endParaRPr lang="en-GB">
            <a:latin typeface="Times New Roman" panose="02020603050405020304" pitchFamily="18" charset="0"/>
            <a:cs typeface="Times New Roman" panose="02020603050405020304" pitchFamily="18" charset="0"/>
          </a:endParaRPr>
        </a:p>
      </dgm:t>
    </dgm:pt>
    <dgm:pt modelId="{C0ECAF4F-2554-47F4-BC67-EA0D4675A481}">
      <dgm:prSet phldrT="[Text]" custT="1"/>
      <dgm:spPr>
        <a:solidFill>
          <a:srgbClr val="BEE6F0"/>
        </a:solidFill>
      </dgm:spPr>
      <dgm:t>
        <a:bodyPr/>
        <a:lstStyle/>
        <a:p>
          <a:r>
            <a:rPr lang="bg-BG" sz="1000">
              <a:latin typeface="Times New Roman" panose="02020603050405020304" pitchFamily="18" charset="0"/>
              <a:cs typeface="Times New Roman" panose="02020603050405020304" pitchFamily="18" charset="0"/>
            </a:rPr>
            <a:t>СЦ4. Международно и регионално сътрудничество за опазване и ползване на Черноморските ресурси </a:t>
          </a:r>
          <a:endParaRPr lang="en-GB" sz="1000">
            <a:latin typeface="Times New Roman" panose="02020603050405020304" pitchFamily="18" charset="0"/>
            <a:cs typeface="Times New Roman" panose="02020603050405020304" pitchFamily="18" charset="0"/>
          </a:endParaRPr>
        </a:p>
      </dgm:t>
    </dgm:pt>
    <dgm:pt modelId="{C20D9D63-6945-4C53-888D-5E3601643DE2}" type="parTrans" cxnId="{CAB8CE7D-556F-4783-B9A4-127C8DD362C5}">
      <dgm:prSet/>
      <dgm:spPr/>
      <dgm:t>
        <a:bodyPr/>
        <a:lstStyle/>
        <a:p>
          <a:endParaRPr lang="en-GB">
            <a:latin typeface="Times New Roman" panose="02020603050405020304" pitchFamily="18" charset="0"/>
            <a:cs typeface="Times New Roman" panose="02020603050405020304" pitchFamily="18" charset="0"/>
          </a:endParaRPr>
        </a:p>
      </dgm:t>
    </dgm:pt>
    <dgm:pt modelId="{DBF14B7B-8109-4370-9DCA-752273945B43}" type="sibTrans" cxnId="{CAB8CE7D-556F-4783-B9A4-127C8DD362C5}">
      <dgm:prSet/>
      <dgm:spPr/>
      <dgm:t>
        <a:bodyPr/>
        <a:lstStyle/>
        <a:p>
          <a:endParaRPr lang="en-GB">
            <a:latin typeface="Times New Roman" panose="02020603050405020304" pitchFamily="18" charset="0"/>
            <a:cs typeface="Times New Roman" panose="02020603050405020304" pitchFamily="18" charset="0"/>
          </a:endParaRPr>
        </a:p>
      </dgm:t>
    </dgm:pt>
    <dgm:pt modelId="{1DB7F2C9-FDCF-4FE6-B573-94FDCECFD28C}">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4.1. Сътрудничество за намаляване нивата на замърсителите до безвредни за морските екосистеми стойности </a:t>
          </a:r>
          <a:endParaRPr lang="en-GB" sz="1000">
            <a:latin typeface="Times New Roman" panose="02020603050405020304" pitchFamily="18" charset="0"/>
            <a:cs typeface="Times New Roman" panose="02020603050405020304" pitchFamily="18" charset="0"/>
          </a:endParaRPr>
        </a:p>
      </dgm:t>
    </dgm:pt>
    <dgm:pt modelId="{6E2B12EB-1F24-4D2F-8070-4D7AB7E9C493}" type="parTrans" cxnId="{D3F9EE2C-A221-454D-80BB-203EDEE8D892}">
      <dgm:prSet/>
      <dgm:spPr/>
      <dgm:t>
        <a:bodyPr/>
        <a:lstStyle/>
        <a:p>
          <a:endParaRPr lang="en-GB">
            <a:latin typeface="Times New Roman" panose="02020603050405020304" pitchFamily="18" charset="0"/>
            <a:cs typeface="Times New Roman" panose="02020603050405020304" pitchFamily="18" charset="0"/>
          </a:endParaRPr>
        </a:p>
      </dgm:t>
    </dgm:pt>
    <dgm:pt modelId="{009825E4-2A6D-4CA3-AA34-8C0999A87934}" type="sibTrans" cxnId="{D3F9EE2C-A221-454D-80BB-203EDEE8D892}">
      <dgm:prSet/>
      <dgm:spPr/>
      <dgm:t>
        <a:bodyPr/>
        <a:lstStyle/>
        <a:p>
          <a:endParaRPr lang="en-GB">
            <a:latin typeface="Times New Roman" panose="02020603050405020304" pitchFamily="18" charset="0"/>
            <a:cs typeface="Times New Roman" panose="02020603050405020304" pitchFamily="18" charset="0"/>
          </a:endParaRPr>
        </a:p>
      </dgm:t>
    </dgm:pt>
    <dgm:pt modelId="{41B4BD45-9B59-49FA-8F51-8BCBD0FE27B0}">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4.2. Сътрудничество за ефективно управление на риболова и прекратяване на свръхулова</a:t>
          </a:r>
          <a:endParaRPr lang="en-GB" sz="1000">
            <a:latin typeface="Times New Roman" panose="02020603050405020304" pitchFamily="18" charset="0"/>
            <a:cs typeface="Times New Roman" panose="02020603050405020304" pitchFamily="18" charset="0"/>
          </a:endParaRPr>
        </a:p>
      </dgm:t>
    </dgm:pt>
    <dgm:pt modelId="{B9A2E41A-2A64-43FD-B520-A0EF80659153}" type="parTrans" cxnId="{6F0B6249-7289-45C1-B882-12715D8101C2}">
      <dgm:prSet/>
      <dgm:spPr/>
      <dgm:t>
        <a:bodyPr/>
        <a:lstStyle/>
        <a:p>
          <a:endParaRPr lang="en-GB">
            <a:latin typeface="Times New Roman" panose="02020603050405020304" pitchFamily="18" charset="0"/>
            <a:cs typeface="Times New Roman" panose="02020603050405020304" pitchFamily="18" charset="0"/>
          </a:endParaRPr>
        </a:p>
      </dgm:t>
    </dgm:pt>
    <dgm:pt modelId="{2E3675C3-DB07-4A08-9CF4-29682D1500A6}" type="sibTrans" cxnId="{6F0B6249-7289-45C1-B882-12715D8101C2}">
      <dgm:prSet/>
      <dgm:spPr/>
      <dgm:t>
        <a:bodyPr/>
        <a:lstStyle/>
        <a:p>
          <a:endParaRPr lang="en-GB">
            <a:latin typeface="Times New Roman" panose="02020603050405020304" pitchFamily="18" charset="0"/>
            <a:cs typeface="Times New Roman" panose="02020603050405020304" pitchFamily="18" charset="0"/>
          </a:endParaRPr>
        </a:p>
      </dgm:t>
    </dgm:pt>
    <dgm:pt modelId="{F771A992-F51C-41C4-9DE6-14ED60133A40}">
      <dgm:prSet custT="1"/>
      <dgm:spPr>
        <a:solidFill>
          <a:srgbClr val="BEE6F0"/>
        </a:solidFill>
      </dgm:spPr>
      <dgm:t>
        <a:bodyPr/>
        <a:lstStyle/>
        <a:p>
          <a:r>
            <a:rPr lang="bg-BG" sz="1000">
              <a:latin typeface="Times New Roman" panose="02020603050405020304" pitchFamily="18" charset="0"/>
              <a:cs typeface="Times New Roman" panose="02020603050405020304" pitchFamily="18" charset="0"/>
            </a:rPr>
            <a:t>СЦ2. Изграждане на диверсифицирана и устойчива морска икономика и гизнени териториални общности</a:t>
          </a:r>
          <a:endParaRPr lang="en-GB" sz="1000">
            <a:latin typeface="Times New Roman" panose="02020603050405020304" pitchFamily="18" charset="0"/>
            <a:cs typeface="Times New Roman" panose="02020603050405020304" pitchFamily="18" charset="0"/>
          </a:endParaRPr>
        </a:p>
      </dgm:t>
    </dgm:pt>
    <dgm:pt modelId="{920D46B6-A1A0-4BC5-9C8A-6E495E78069C}" type="parTrans" cxnId="{72ECAEFB-203B-4345-814D-5037211DDFD5}">
      <dgm:prSet/>
      <dgm:spPr/>
      <dgm:t>
        <a:bodyPr/>
        <a:lstStyle/>
        <a:p>
          <a:endParaRPr lang="en-GB">
            <a:latin typeface="Times New Roman" panose="02020603050405020304" pitchFamily="18" charset="0"/>
            <a:cs typeface="Times New Roman" panose="02020603050405020304" pitchFamily="18" charset="0"/>
          </a:endParaRPr>
        </a:p>
      </dgm:t>
    </dgm:pt>
    <dgm:pt modelId="{106581B5-46F8-48DD-A84E-ACA6AF5B1E45}" type="sibTrans" cxnId="{72ECAEFB-203B-4345-814D-5037211DDFD5}">
      <dgm:prSet/>
      <dgm:spPr/>
      <dgm:t>
        <a:bodyPr/>
        <a:lstStyle/>
        <a:p>
          <a:endParaRPr lang="en-GB">
            <a:latin typeface="Times New Roman" panose="02020603050405020304" pitchFamily="18" charset="0"/>
            <a:cs typeface="Times New Roman" panose="02020603050405020304" pitchFamily="18" charset="0"/>
          </a:endParaRPr>
        </a:p>
      </dgm:t>
    </dgm:pt>
    <dgm:pt modelId="{386D4CED-A1A4-4E03-B66B-EFFC1AC1AD75}">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1.3. Институционализация на МППРБ</a:t>
          </a:r>
          <a:endParaRPr lang="en-GB" sz="1000">
            <a:latin typeface="Times New Roman" panose="02020603050405020304" pitchFamily="18" charset="0"/>
            <a:cs typeface="Times New Roman" panose="02020603050405020304" pitchFamily="18" charset="0"/>
          </a:endParaRPr>
        </a:p>
      </dgm:t>
    </dgm:pt>
    <dgm:pt modelId="{9C4C0453-83F6-42AE-93EE-79E16AD7AB20}" type="parTrans" cxnId="{5C26CBEA-3720-48C2-9E52-E94E8A275734}">
      <dgm:prSet/>
      <dgm:spPr/>
      <dgm:t>
        <a:bodyPr/>
        <a:lstStyle/>
        <a:p>
          <a:endParaRPr lang="en-US">
            <a:latin typeface="Times New Roman" panose="02020603050405020304" pitchFamily="18" charset="0"/>
            <a:cs typeface="Times New Roman" panose="02020603050405020304" pitchFamily="18" charset="0"/>
          </a:endParaRPr>
        </a:p>
      </dgm:t>
    </dgm:pt>
    <dgm:pt modelId="{866ED4A0-A2DC-4757-92A7-5380FC0DD9C2}" type="sibTrans" cxnId="{5C26CBEA-3720-48C2-9E52-E94E8A275734}">
      <dgm:prSet/>
      <dgm:spPr/>
      <dgm:t>
        <a:bodyPr/>
        <a:lstStyle/>
        <a:p>
          <a:endParaRPr lang="en-US">
            <a:latin typeface="Times New Roman" panose="02020603050405020304" pitchFamily="18" charset="0"/>
            <a:cs typeface="Times New Roman" panose="02020603050405020304" pitchFamily="18" charset="0"/>
          </a:endParaRPr>
        </a:p>
      </dgm:t>
    </dgm:pt>
    <dgm:pt modelId="{716FD416-CE01-404A-8D6A-01CFA90C2C48}">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1.4. Информационно осигуряване на процеса на прилагане и мониторинг на МППРБ</a:t>
          </a:r>
          <a:endParaRPr lang="en-GB" sz="1000">
            <a:latin typeface="Times New Roman" panose="02020603050405020304" pitchFamily="18" charset="0"/>
            <a:cs typeface="Times New Roman" panose="02020603050405020304" pitchFamily="18" charset="0"/>
          </a:endParaRPr>
        </a:p>
      </dgm:t>
    </dgm:pt>
    <dgm:pt modelId="{EA693796-CA61-40C6-B45A-107840D1AB3B}" type="parTrans" cxnId="{10A6C052-8FDB-463E-A330-154A7380DF42}">
      <dgm:prSet/>
      <dgm:spPr/>
      <dgm:t>
        <a:bodyPr/>
        <a:lstStyle/>
        <a:p>
          <a:endParaRPr lang="en-US">
            <a:latin typeface="Times New Roman" panose="02020603050405020304" pitchFamily="18" charset="0"/>
            <a:cs typeface="Times New Roman" panose="02020603050405020304" pitchFamily="18" charset="0"/>
          </a:endParaRPr>
        </a:p>
      </dgm:t>
    </dgm:pt>
    <dgm:pt modelId="{ACD7EFB8-7858-4334-98C3-8F81FBB85D05}" type="sibTrans" cxnId="{10A6C052-8FDB-463E-A330-154A7380DF42}">
      <dgm:prSet/>
      <dgm:spPr/>
      <dgm:t>
        <a:bodyPr/>
        <a:lstStyle/>
        <a:p>
          <a:endParaRPr lang="en-US">
            <a:latin typeface="Times New Roman" panose="02020603050405020304" pitchFamily="18" charset="0"/>
            <a:cs typeface="Times New Roman" panose="02020603050405020304" pitchFamily="18" charset="0"/>
          </a:endParaRPr>
        </a:p>
      </dgm:t>
    </dgm:pt>
    <dgm:pt modelId="{36CE141A-87DA-472C-86D3-C1FC47B036C0}">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 СпЦ 3.3. Изграждане на база от знания и иновации за морска политика </a:t>
          </a:r>
          <a:endParaRPr lang="en-GB" sz="1000">
            <a:latin typeface="Times New Roman" panose="02020603050405020304" pitchFamily="18" charset="0"/>
            <a:cs typeface="Times New Roman" panose="02020603050405020304" pitchFamily="18" charset="0"/>
          </a:endParaRPr>
        </a:p>
      </dgm:t>
    </dgm:pt>
    <dgm:pt modelId="{34C78E12-72A2-470D-89D7-84ECB788E155}" type="parTrans" cxnId="{21CDBED2-EF13-48B8-98A9-FF50F7C0DD95}">
      <dgm:prSet/>
      <dgm:spPr/>
      <dgm:t>
        <a:bodyPr/>
        <a:lstStyle/>
        <a:p>
          <a:endParaRPr lang="en-US">
            <a:latin typeface="Times New Roman" panose="02020603050405020304" pitchFamily="18" charset="0"/>
            <a:cs typeface="Times New Roman" panose="02020603050405020304" pitchFamily="18" charset="0"/>
          </a:endParaRPr>
        </a:p>
      </dgm:t>
    </dgm:pt>
    <dgm:pt modelId="{09B7BF03-B52D-44DB-A94E-6A666F15B4E0}" type="sibTrans" cxnId="{21CDBED2-EF13-48B8-98A9-FF50F7C0DD95}">
      <dgm:prSet/>
      <dgm:spPr/>
      <dgm:t>
        <a:bodyPr/>
        <a:lstStyle/>
        <a:p>
          <a:endParaRPr lang="en-US">
            <a:latin typeface="Times New Roman" panose="02020603050405020304" pitchFamily="18" charset="0"/>
            <a:cs typeface="Times New Roman" panose="02020603050405020304" pitchFamily="18" charset="0"/>
          </a:endParaRPr>
        </a:p>
      </dgm:t>
    </dgm:pt>
    <dgm:pt modelId="{42E61B67-55D0-4961-8186-519EDC874C06}">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3.4. Повишаване на екологичното възпитание и знание за морето </a:t>
          </a:r>
          <a:endParaRPr lang="en-GB" sz="1000">
            <a:latin typeface="Times New Roman" panose="02020603050405020304" pitchFamily="18" charset="0"/>
            <a:cs typeface="Times New Roman" panose="02020603050405020304" pitchFamily="18" charset="0"/>
          </a:endParaRPr>
        </a:p>
      </dgm:t>
    </dgm:pt>
    <dgm:pt modelId="{A6129779-21AD-47E8-B02A-D3474EE24883}" type="parTrans" cxnId="{2C121117-1246-4EFF-BE7A-EB94E3D61558}">
      <dgm:prSet/>
      <dgm:spPr/>
      <dgm:t>
        <a:bodyPr/>
        <a:lstStyle/>
        <a:p>
          <a:endParaRPr lang="en-US">
            <a:latin typeface="Times New Roman" panose="02020603050405020304" pitchFamily="18" charset="0"/>
            <a:cs typeface="Times New Roman" panose="02020603050405020304" pitchFamily="18" charset="0"/>
          </a:endParaRPr>
        </a:p>
      </dgm:t>
    </dgm:pt>
    <dgm:pt modelId="{E5AAC324-4A34-4F9F-BF48-D276CB5F4805}" type="sibTrans" cxnId="{2C121117-1246-4EFF-BE7A-EB94E3D61558}">
      <dgm:prSet/>
      <dgm:spPr/>
      <dgm:t>
        <a:bodyPr/>
        <a:lstStyle/>
        <a:p>
          <a:endParaRPr lang="en-US">
            <a:latin typeface="Times New Roman" panose="02020603050405020304" pitchFamily="18" charset="0"/>
            <a:cs typeface="Times New Roman" panose="02020603050405020304" pitchFamily="18" charset="0"/>
          </a:endParaRPr>
        </a:p>
      </dgm:t>
    </dgm:pt>
    <dgm:pt modelId="{D1EF163B-2DAC-4BE7-B572-3566B4B2D453}">
      <dgm:prSet phldrT="[Text]" custT="1"/>
      <dgm:spPr>
        <a:solidFill>
          <a:srgbClr val="BEE6F0"/>
        </a:solidFill>
      </dgm:spPr>
      <dgm:t>
        <a:bodyPr/>
        <a:lstStyle/>
        <a:p>
          <a:r>
            <a:rPr lang="bg-BG" sz="1000">
              <a:latin typeface="Times New Roman" panose="02020603050405020304" pitchFamily="18" charset="0"/>
              <a:cs typeface="Times New Roman" panose="02020603050405020304" pitchFamily="18" charset="0"/>
            </a:rPr>
            <a:t>СЦ3. Повишаване на морската култура, образование и знание</a:t>
          </a:r>
          <a:endParaRPr lang="en-GB" sz="1000">
            <a:latin typeface="Times New Roman" panose="02020603050405020304" pitchFamily="18" charset="0"/>
            <a:cs typeface="Times New Roman" panose="02020603050405020304" pitchFamily="18" charset="0"/>
          </a:endParaRPr>
        </a:p>
      </dgm:t>
    </dgm:pt>
    <dgm:pt modelId="{42C7A1F1-1533-412D-9F51-0AAA85159B37}" type="sibTrans" cxnId="{2605437D-A163-4580-8429-3199997290BE}">
      <dgm:prSet/>
      <dgm:spPr/>
      <dgm:t>
        <a:bodyPr/>
        <a:lstStyle/>
        <a:p>
          <a:endParaRPr lang="en-GB">
            <a:latin typeface="Times New Roman" panose="02020603050405020304" pitchFamily="18" charset="0"/>
            <a:cs typeface="Times New Roman" panose="02020603050405020304" pitchFamily="18" charset="0"/>
          </a:endParaRPr>
        </a:p>
      </dgm:t>
    </dgm:pt>
    <dgm:pt modelId="{44F7A9C2-C465-4A6B-A0E4-DB8458909B07}" type="parTrans" cxnId="{2605437D-A163-4580-8429-3199997290BE}">
      <dgm:prSet/>
      <dgm:spPr/>
      <dgm:t>
        <a:bodyPr/>
        <a:lstStyle/>
        <a:p>
          <a:endParaRPr lang="en-GB">
            <a:latin typeface="Times New Roman" panose="02020603050405020304" pitchFamily="18" charset="0"/>
            <a:cs typeface="Times New Roman" panose="02020603050405020304" pitchFamily="18" charset="0"/>
          </a:endParaRPr>
        </a:p>
      </dgm:t>
    </dgm:pt>
    <dgm:pt modelId="{A6AEDD3A-AE9C-40F5-908B-B8DDF89CEB41}">
      <dgm:prSet phldrT="[Tex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4.3. Сътрудничество за споделени услуги, работни места и трансгранични продукти</a:t>
          </a:r>
          <a:endParaRPr lang="en-GB" sz="1000">
            <a:latin typeface="Times New Roman" panose="02020603050405020304" pitchFamily="18" charset="0"/>
            <a:cs typeface="Times New Roman" panose="02020603050405020304" pitchFamily="18" charset="0"/>
          </a:endParaRPr>
        </a:p>
      </dgm:t>
    </dgm:pt>
    <dgm:pt modelId="{205B9D75-BF91-4496-A7EF-53A4E611E347}" type="parTrans" cxnId="{4CB45244-A7B4-4300-8528-0C52950574C4}">
      <dgm:prSet/>
      <dgm:spPr/>
      <dgm:t>
        <a:bodyPr/>
        <a:lstStyle/>
        <a:p>
          <a:endParaRPr lang="en-US">
            <a:latin typeface="Times New Roman" panose="02020603050405020304" pitchFamily="18" charset="0"/>
            <a:cs typeface="Times New Roman" panose="02020603050405020304" pitchFamily="18" charset="0"/>
          </a:endParaRPr>
        </a:p>
      </dgm:t>
    </dgm:pt>
    <dgm:pt modelId="{8FA9F9DC-9E21-425C-A4E6-CE6C19918DB0}" type="sibTrans" cxnId="{4CB45244-A7B4-4300-8528-0C52950574C4}">
      <dgm:prSet/>
      <dgm:spPr/>
      <dgm:t>
        <a:bodyPr/>
        <a:lstStyle/>
        <a:p>
          <a:endParaRPr lang="en-US">
            <a:latin typeface="Times New Roman" panose="02020603050405020304" pitchFamily="18" charset="0"/>
            <a:cs typeface="Times New Roman" panose="02020603050405020304" pitchFamily="18" charset="0"/>
          </a:endParaRPr>
        </a:p>
      </dgm:t>
    </dgm:pt>
    <dgm:pt modelId="{E4023C2B-EB6A-4E1C-819F-B8FA3BE81A03}">
      <dgm:prSe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2.1. Координация на секторните политики в синята икономика и подкрепа на Зелената сделка</a:t>
          </a:r>
          <a:endParaRPr lang="en-US" sz="1000">
            <a:latin typeface="Times New Roman" panose="02020603050405020304" pitchFamily="18" charset="0"/>
            <a:cs typeface="Times New Roman" panose="02020603050405020304" pitchFamily="18" charset="0"/>
          </a:endParaRPr>
        </a:p>
      </dgm:t>
    </dgm:pt>
    <dgm:pt modelId="{AC9189C3-9DF1-4703-9EBF-3B693F70AF5A}" type="parTrans" cxnId="{6781FC5D-DC87-4F03-91F5-C0ADF71BBC7B}">
      <dgm:prSet/>
      <dgm:spPr/>
      <dgm:t>
        <a:bodyPr/>
        <a:lstStyle/>
        <a:p>
          <a:endParaRPr lang="en-US">
            <a:latin typeface="Times New Roman" panose="02020603050405020304" pitchFamily="18" charset="0"/>
            <a:cs typeface="Times New Roman" panose="02020603050405020304" pitchFamily="18" charset="0"/>
          </a:endParaRPr>
        </a:p>
      </dgm:t>
    </dgm:pt>
    <dgm:pt modelId="{58DE8DC6-0452-41F4-AE9B-0936391EA268}" type="sibTrans" cxnId="{6781FC5D-DC87-4F03-91F5-C0ADF71BBC7B}">
      <dgm:prSet/>
      <dgm:spPr/>
      <dgm:t>
        <a:bodyPr/>
        <a:lstStyle/>
        <a:p>
          <a:endParaRPr lang="en-US">
            <a:latin typeface="Times New Roman" panose="02020603050405020304" pitchFamily="18" charset="0"/>
            <a:cs typeface="Times New Roman" panose="02020603050405020304" pitchFamily="18" charset="0"/>
          </a:endParaRPr>
        </a:p>
      </dgm:t>
    </dgm:pt>
    <dgm:pt modelId="{CC648B7B-3737-4139-A6E1-EC6622A70A66}">
      <dgm:prSe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2.3. Устойчиво развитие на корабоплаването и корабостроенето </a:t>
          </a:r>
          <a:endParaRPr lang="en-US" sz="1000">
            <a:latin typeface="Times New Roman" panose="02020603050405020304" pitchFamily="18" charset="0"/>
            <a:cs typeface="Times New Roman" panose="02020603050405020304" pitchFamily="18" charset="0"/>
          </a:endParaRPr>
        </a:p>
      </dgm:t>
    </dgm:pt>
    <dgm:pt modelId="{35272B71-BBED-4CF8-925F-F68A6DF2879E}" type="parTrans" cxnId="{DD09A5B9-CA7F-48CB-B6F3-E76DB650B7E6}">
      <dgm:prSet/>
      <dgm:spPr/>
      <dgm:t>
        <a:bodyPr/>
        <a:lstStyle/>
        <a:p>
          <a:endParaRPr lang="en-US">
            <a:latin typeface="Times New Roman" panose="02020603050405020304" pitchFamily="18" charset="0"/>
            <a:cs typeface="Times New Roman" panose="02020603050405020304" pitchFamily="18" charset="0"/>
          </a:endParaRPr>
        </a:p>
      </dgm:t>
    </dgm:pt>
    <dgm:pt modelId="{AF31D0DC-3698-448B-864D-446F8A2EB900}" type="sibTrans" cxnId="{DD09A5B9-CA7F-48CB-B6F3-E76DB650B7E6}">
      <dgm:prSet/>
      <dgm:spPr/>
      <dgm:t>
        <a:bodyPr/>
        <a:lstStyle/>
        <a:p>
          <a:endParaRPr lang="en-US">
            <a:latin typeface="Times New Roman" panose="02020603050405020304" pitchFamily="18" charset="0"/>
            <a:cs typeface="Times New Roman" panose="02020603050405020304" pitchFamily="18" charset="0"/>
          </a:endParaRPr>
        </a:p>
      </dgm:t>
    </dgm:pt>
    <dgm:pt modelId="{2FCF7F15-638F-41DD-9D6F-454B941D0E0A}">
      <dgm:prSe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2.2. Устойчиво развитие на крайбрежния и морски туризъм </a:t>
          </a:r>
          <a:endParaRPr lang="en-US" sz="1000">
            <a:latin typeface="Times New Roman" panose="02020603050405020304" pitchFamily="18" charset="0"/>
            <a:cs typeface="Times New Roman" panose="02020603050405020304" pitchFamily="18" charset="0"/>
          </a:endParaRPr>
        </a:p>
      </dgm:t>
    </dgm:pt>
    <dgm:pt modelId="{15E97936-7A6D-40B6-8110-06B24C0A5B45}" type="parTrans" cxnId="{6329F5BE-0F48-40CA-9FE6-9099D1284AFB}">
      <dgm:prSet/>
      <dgm:spPr/>
      <dgm:t>
        <a:bodyPr/>
        <a:lstStyle/>
        <a:p>
          <a:endParaRPr lang="en-US">
            <a:latin typeface="Times New Roman" panose="02020603050405020304" pitchFamily="18" charset="0"/>
            <a:cs typeface="Times New Roman" panose="02020603050405020304" pitchFamily="18" charset="0"/>
          </a:endParaRPr>
        </a:p>
      </dgm:t>
    </dgm:pt>
    <dgm:pt modelId="{BB736D8A-830F-4B53-B8B8-DCF6CC0B00B0}" type="sibTrans" cxnId="{6329F5BE-0F48-40CA-9FE6-9099D1284AFB}">
      <dgm:prSet/>
      <dgm:spPr/>
      <dgm:t>
        <a:bodyPr/>
        <a:lstStyle/>
        <a:p>
          <a:endParaRPr lang="en-US">
            <a:latin typeface="Times New Roman" panose="02020603050405020304" pitchFamily="18" charset="0"/>
            <a:cs typeface="Times New Roman" panose="02020603050405020304" pitchFamily="18" charset="0"/>
          </a:endParaRPr>
        </a:p>
      </dgm:t>
    </dgm:pt>
    <dgm:pt modelId="{6D007006-DA3B-403B-9E5F-F478CE7661A5}">
      <dgm:prSet custT="1"/>
      <dgm:spPr>
        <a:solidFill>
          <a:srgbClr val="196181"/>
        </a:solidFill>
        <a:ln>
          <a:noFill/>
        </a:ln>
      </dgm:spPr>
      <dgm:t>
        <a:bodyPr/>
        <a:lstStyle/>
        <a:p>
          <a:r>
            <a:rPr lang="bg-BG" sz="1000">
              <a:latin typeface="Times New Roman" panose="02020603050405020304" pitchFamily="18" charset="0"/>
              <a:cs typeface="Times New Roman" panose="02020603050405020304" pitchFamily="18" charset="0"/>
            </a:rPr>
            <a:t>СпЦ 2.4. Устойчиво развитие на сектор „Рибарство и аквакултури“ </a:t>
          </a:r>
          <a:endParaRPr lang="en-US" sz="1000">
            <a:latin typeface="Times New Roman" panose="02020603050405020304" pitchFamily="18" charset="0"/>
            <a:cs typeface="Times New Roman" panose="02020603050405020304" pitchFamily="18" charset="0"/>
          </a:endParaRPr>
        </a:p>
      </dgm:t>
    </dgm:pt>
    <dgm:pt modelId="{5BC10D31-7CAC-45D7-9DE5-FCFE189816EC}" type="parTrans" cxnId="{B380C1A5-9C0F-4E96-896B-416F92E8EF42}">
      <dgm:prSet/>
      <dgm:spPr/>
      <dgm:t>
        <a:bodyPr/>
        <a:lstStyle/>
        <a:p>
          <a:endParaRPr lang="en-US">
            <a:latin typeface="Times New Roman" panose="02020603050405020304" pitchFamily="18" charset="0"/>
            <a:cs typeface="Times New Roman" panose="02020603050405020304" pitchFamily="18" charset="0"/>
          </a:endParaRPr>
        </a:p>
      </dgm:t>
    </dgm:pt>
    <dgm:pt modelId="{91EB94C4-0871-4A58-82F1-DB15408D5E23}" type="sibTrans" cxnId="{B380C1A5-9C0F-4E96-896B-416F92E8EF42}">
      <dgm:prSet/>
      <dgm:spPr/>
      <dgm:t>
        <a:bodyPr/>
        <a:lstStyle/>
        <a:p>
          <a:endParaRPr lang="en-US">
            <a:latin typeface="Times New Roman" panose="02020603050405020304" pitchFamily="18" charset="0"/>
            <a:cs typeface="Times New Roman" panose="02020603050405020304" pitchFamily="18" charset="0"/>
          </a:endParaRPr>
        </a:p>
      </dgm:t>
    </dgm:pt>
    <dgm:pt modelId="{9FE1C0CF-E84F-4267-AF5C-F04B971CB3F2}" type="pres">
      <dgm:prSet presAssocID="{250C17D8-3A05-4775-A4AF-413E949B946B}" presName="theList" presStyleCnt="0">
        <dgm:presLayoutVars>
          <dgm:dir/>
          <dgm:animLvl val="lvl"/>
          <dgm:resizeHandles val="exact"/>
        </dgm:presLayoutVars>
      </dgm:prSet>
      <dgm:spPr/>
      <dgm:t>
        <a:bodyPr/>
        <a:lstStyle/>
        <a:p>
          <a:endParaRPr lang="en-US"/>
        </a:p>
      </dgm:t>
    </dgm:pt>
    <dgm:pt modelId="{E2175E94-6051-4D0A-8DDA-4A1B0081D800}" type="pres">
      <dgm:prSet presAssocID="{2C4D1D2F-1811-424A-B824-9472A4BA4C29}" presName="compNode" presStyleCnt="0"/>
      <dgm:spPr/>
    </dgm:pt>
    <dgm:pt modelId="{5A1FCAFA-A958-481F-880D-CD04F4330755}" type="pres">
      <dgm:prSet presAssocID="{2C4D1D2F-1811-424A-B824-9472A4BA4C29}" presName="aNode" presStyleLbl="bgShp" presStyleIdx="0" presStyleCnt="4" custLinFactNeighborX="-10230" custLinFactNeighborY="557"/>
      <dgm:spPr/>
      <dgm:t>
        <a:bodyPr/>
        <a:lstStyle/>
        <a:p>
          <a:endParaRPr lang="en-US"/>
        </a:p>
      </dgm:t>
    </dgm:pt>
    <dgm:pt modelId="{AD17B7BD-FA0D-437C-8E3B-BFFF41935ACB}" type="pres">
      <dgm:prSet presAssocID="{2C4D1D2F-1811-424A-B824-9472A4BA4C29}" presName="textNode" presStyleLbl="bgShp" presStyleIdx="0" presStyleCnt="4"/>
      <dgm:spPr/>
      <dgm:t>
        <a:bodyPr/>
        <a:lstStyle/>
        <a:p>
          <a:endParaRPr lang="en-US"/>
        </a:p>
      </dgm:t>
    </dgm:pt>
    <dgm:pt modelId="{AAB9EB0B-9825-41E4-925D-A22AD4891DED}" type="pres">
      <dgm:prSet presAssocID="{2C4D1D2F-1811-424A-B824-9472A4BA4C29}" presName="compChildNode" presStyleCnt="0"/>
      <dgm:spPr/>
    </dgm:pt>
    <dgm:pt modelId="{DFAEA74E-C294-44CF-ABE7-1684D30F4F9B}" type="pres">
      <dgm:prSet presAssocID="{2C4D1D2F-1811-424A-B824-9472A4BA4C29}" presName="theInnerList" presStyleCnt="0"/>
      <dgm:spPr/>
    </dgm:pt>
    <dgm:pt modelId="{618CBD18-DE87-43E9-B0F9-273D1A2219CA}" type="pres">
      <dgm:prSet presAssocID="{578DC743-887A-4FD5-BE36-7CB3BFECF8AB}" presName="childNode" presStyleLbl="node1" presStyleIdx="0" presStyleCnt="15" custScaleX="110795" custScaleY="97361" custLinFactY="-29848" custLinFactNeighborX="-657" custLinFactNeighborY="-100000">
        <dgm:presLayoutVars>
          <dgm:bulletEnabled val="1"/>
        </dgm:presLayoutVars>
      </dgm:prSet>
      <dgm:spPr/>
      <dgm:t>
        <a:bodyPr/>
        <a:lstStyle/>
        <a:p>
          <a:endParaRPr lang="en-US"/>
        </a:p>
      </dgm:t>
    </dgm:pt>
    <dgm:pt modelId="{1A53B552-D3BD-4FE3-B831-D02D4310EFF8}" type="pres">
      <dgm:prSet presAssocID="{578DC743-887A-4FD5-BE36-7CB3BFECF8AB}" presName="aSpace2" presStyleCnt="0"/>
      <dgm:spPr/>
    </dgm:pt>
    <dgm:pt modelId="{7FCEF541-530F-41BC-9345-821B20D5B2F6}" type="pres">
      <dgm:prSet presAssocID="{F61AA200-E7EC-4D41-ACB9-CC958DC51703}" presName="childNode" presStyleLbl="node1" presStyleIdx="1" presStyleCnt="15" custScaleX="110795" custScaleY="96099" custLinFactY="-28218" custLinFactNeighborY="-100000">
        <dgm:presLayoutVars>
          <dgm:bulletEnabled val="1"/>
        </dgm:presLayoutVars>
      </dgm:prSet>
      <dgm:spPr/>
      <dgm:t>
        <a:bodyPr/>
        <a:lstStyle/>
        <a:p>
          <a:endParaRPr lang="en-US"/>
        </a:p>
      </dgm:t>
    </dgm:pt>
    <dgm:pt modelId="{D2D22123-0ABE-41CA-B596-C24FE389BB28}" type="pres">
      <dgm:prSet presAssocID="{F61AA200-E7EC-4D41-ACB9-CC958DC51703}" presName="aSpace2" presStyleCnt="0"/>
      <dgm:spPr/>
    </dgm:pt>
    <dgm:pt modelId="{D51D869D-BCE2-4BDF-9D3D-873775402965}" type="pres">
      <dgm:prSet presAssocID="{386D4CED-A1A4-4E03-B66B-EFFC1AC1AD75}" presName="childNode" presStyleLbl="node1" presStyleIdx="2" presStyleCnt="15" custScaleX="110796" custLinFactY="-29323" custLinFactNeighborX="-1314" custLinFactNeighborY="-100000">
        <dgm:presLayoutVars>
          <dgm:bulletEnabled val="1"/>
        </dgm:presLayoutVars>
      </dgm:prSet>
      <dgm:spPr/>
      <dgm:t>
        <a:bodyPr/>
        <a:lstStyle/>
        <a:p>
          <a:endParaRPr lang="en-US"/>
        </a:p>
      </dgm:t>
    </dgm:pt>
    <dgm:pt modelId="{95CA2ABB-725A-4197-A3B6-ABEDDF24BCE0}" type="pres">
      <dgm:prSet presAssocID="{386D4CED-A1A4-4E03-B66B-EFFC1AC1AD75}" presName="aSpace2" presStyleCnt="0"/>
      <dgm:spPr/>
    </dgm:pt>
    <dgm:pt modelId="{5CC9BB53-F13B-49A4-A959-2CF3D307144C}" type="pres">
      <dgm:prSet presAssocID="{716FD416-CE01-404A-8D6A-01CFA90C2C48}" presName="childNode" presStyleLbl="node1" presStyleIdx="3" presStyleCnt="15" custScaleX="110795" custScaleY="139325" custLinFactY="-32649" custLinFactNeighborY="-100000">
        <dgm:presLayoutVars>
          <dgm:bulletEnabled val="1"/>
        </dgm:presLayoutVars>
      </dgm:prSet>
      <dgm:spPr/>
      <dgm:t>
        <a:bodyPr/>
        <a:lstStyle/>
        <a:p>
          <a:endParaRPr lang="en-US"/>
        </a:p>
      </dgm:t>
    </dgm:pt>
    <dgm:pt modelId="{B6ED9A21-EF58-4535-A69E-85F4D4773C0F}" type="pres">
      <dgm:prSet presAssocID="{2C4D1D2F-1811-424A-B824-9472A4BA4C29}" presName="aSpace" presStyleCnt="0"/>
      <dgm:spPr/>
    </dgm:pt>
    <dgm:pt modelId="{8A4BC7F7-AA75-4FB6-9F74-96097A5F22C5}" type="pres">
      <dgm:prSet presAssocID="{F771A992-F51C-41C4-9DE6-14ED60133A40}" presName="compNode" presStyleCnt="0"/>
      <dgm:spPr/>
    </dgm:pt>
    <dgm:pt modelId="{15C31490-9821-4292-94AB-2265C22381C2}" type="pres">
      <dgm:prSet presAssocID="{F771A992-F51C-41C4-9DE6-14ED60133A40}" presName="aNode" presStyleLbl="bgShp" presStyleIdx="1" presStyleCnt="4"/>
      <dgm:spPr/>
      <dgm:t>
        <a:bodyPr/>
        <a:lstStyle/>
        <a:p>
          <a:endParaRPr lang="en-US"/>
        </a:p>
      </dgm:t>
    </dgm:pt>
    <dgm:pt modelId="{C266EDB7-59A4-4372-B51C-CF996A274813}" type="pres">
      <dgm:prSet presAssocID="{F771A992-F51C-41C4-9DE6-14ED60133A40}" presName="textNode" presStyleLbl="bgShp" presStyleIdx="1" presStyleCnt="4"/>
      <dgm:spPr/>
      <dgm:t>
        <a:bodyPr/>
        <a:lstStyle/>
        <a:p>
          <a:endParaRPr lang="en-US"/>
        </a:p>
      </dgm:t>
    </dgm:pt>
    <dgm:pt modelId="{7D0C955B-D9A1-4357-A6A3-AD6B4AA4A0EA}" type="pres">
      <dgm:prSet presAssocID="{F771A992-F51C-41C4-9DE6-14ED60133A40}" presName="compChildNode" presStyleCnt="0"/>
      <dgm:spPr/>
    </dgm:pt>
    <dgm:pt modelId="{0176EA7C-1E17-424A-8EBD-BB2690132260}" type="pres">
      <dgm:prSet presAssocID="{F771A992-F51C-41C4-9DE6-14ED60133A40}" presName="theInnerList" presStyleCnt="0"/>
      <dgm:spPr/>
    </dgm:pt>
    <dgm:pt modelId="{8A6289E2-AD86-461F-B39F-2FC094D4CFA2}" type="pres">
      <dgm:prSet presAssocID="{E4023C2B-EB6A-4E1C-819F-B8FA3BE81A03}" presName="childNode" presStyleLbl="node1" presStyleIdx="4" presStyleCnt="15" custScaleX="111385" custScaleY="219352" custLinFactY="-49856" custLinFactNeighborX="-657" custLinFactNeighborY="-100000">
        <dgm:presLayoutVars>
          <dgm:bulletEnabled val="1"/>
        </dgm:presLayoutVars>
      </dgm:prSet>
      <dgm:spPr/>
      <dgm:t>
        <a:bodyPr/>
        <a:lstStyle/>
        <a:p>
          <a:endParaRPr lang="en-US"/>
        </a:p>
      </dgm:t>
    </dgm:pt>
    <dgm:pt modelId="{400ACCD2-9697-4330-999B-AC9E1F584308}" type="pres">
      <dgm:prSet presAssocID="{E4023C2B-EB6A-4E1C-819F-B8FA3BE81A03}" presName="aSpace2" presStyleCnt="0"/>
      <dgm:spPr/>
    </dgm:pt>
    <dgm:pt modelId="{5577D278-71D2-46F1-8390-C0891F7AFA08}" type="pres">
      <dgm:prSet presAssocID="{2FCF7F15-638F-41DD-9D6F-454B941D0E0A}" presName="childNode" presStyleLbl="node1" presStyleIdx="5" presStyleCnt="15" custScaleX="113395" custScaleY="158688" custLinFactY="-37423" custLinFactNeighborY="-100000">
        <dgm:presLayoutVars>
          <dgm:bulletEnabled val="1"/>
        </dgm:presLayoutVars>
      </dgm:prSet>
      <dgm:spPr/>
      <dgm:t>
        <a:bodyPr/>
        <a:lstStyle/>
        <a:p>
          <a:endParaRPr lang="en-US"/>
        </a:p>
      </dgm:t>
    </dgm:pt>
    <dgm:pt modelId="{14B830CA-8A71-43C3-BB83-A24E4C4B88FF}" type="pres">
      <dgm:prSet presAssocID="{2FCF7F15-638F-41DD-9D6F-454B941D0E0A}" presName="aSpace2" presStyleCnt="0"/>
      <dgm:spPr/>
    </dgm:pt>
    <dgm:pt modelId="{AE838385-E119-4815-A759-89C3EC7B47E1}" type="pres">
      <dgm:prSet presAssocID="{CC648B7B-3737-4139-A6E1-EC6622A70A66}" presName="childNode" presStyleLbl="node1" presStyleIdx="6" presStyleCnt="15" custScaleX="110767" custScaleY="174313" custLinFactY="-26667" custLinFactNeighborX="-640" custLinFactNeighborY="-100000">
        <dgm:presLayoutVars>
          <dgm:bulletEnabled val="1"/>
        </dgm:presLayoutVars>
      </dgm:prSet>
      <dgm:spPr/>
      <dgm:t>
        <a:bodyPr/>
        <a:lstStyle/>
        <a:p>
          <a:endParaRPr lang="en-US"/>
        </a:p>
      </dgm:t>
    </dgm:pt>
    <dgm:pt modelId="{B2DE4CF0-B8B0-472C-9F53-4D12E8C638A3}" type="pres">
      <dgm:prSet presAssocID="{CC648B7B-3737-4139-A6E1-EC6622A70A66}" presName="aSpace2" presStyleCnt="0"/>
      <dgm:spPr/>
    </dgm:pt>
    <dgm:pt modelId="{1F60DE90-A7F2-4A91-B116-06C08D6A63EA}" type="pres">
      <dgm:prSet presAssocID="{6D007006-DA3B-403B-9E5F-F478CE7661A5}" presName="childNode" presStyleLbl="node1" presStyleIdx="7" presStyleCnt="15" custScaleX="112700" custScaleY="172418" custLinFactY="-9672" custLinFactNeighborX="-1297" custLinFactNeighborY="-100000">
        <dgm:presLayoutVars>
          <dgm:bulletEnabled val="1"/>
        </dgm:presLayoutVars>
      </dgm:prSet>
      <dgm:spPr/>
      <dgm:t>
        <a:bodyPr/>
        <a:lstStyle/>
        <a:p>
          <a:endParaRPr lang="en-US"/>
        </a:p>
      </dgm:t>
    </dgm:pt>
    <dgm:pt modelId="{C5FF72F9-E48C-4318-A9B4-364584E80427}" type="pres">
      <dgm:prSet presAssocID="{F771A992-F51C-41C4-9DE6-14ED60133A40}" presName="aSpace" presStyleCnt="0"/>
      <dgm:spPr/>
    </dgm:pt>
    <dgm:pt modelId="{2A7C7330-16F3-476D-8657-8D064CB8854D}" type="pres">
      <dgm:prSet presAssocID="{D1EF163B-2DAC-4BE7-B572-3566B4B2D453}" presName="compNode" presStyleCnt="0"/>
      <dgm:spPr/>
    </dgm:pt>
    <dgm:pt modelId="{229CC9F2-6B58-4676-A496-7BF9F14D118B}" type="pres">
      <dgm:prSet presAssocID="{D1EF163B-2DAC-4BE7-B572-3566B4B2D453}" presName="aNode" presStyleLbl="bgShp" presStyleIdx="2" presStyleCnt="4"/>
      <dgm:spPr/>
      <dgm:t>
        <a:bodyPr/>
        <a:lstStyle/>
        <a:p>
          <a:endParaRPr lang="en-US"/>
        </a:p>
      </dgm:t>
    </dgm:pt>
    <dgm:pt modelId="{81CF4ED0-F9CB-4608-9B92-66672EAD3BB8}" type="pres">
      <dgm:prSet presAssocID="{D1EF163B-2DAC-4BE7-B572-3566B4B2D453}" presName="textNode" presStyleLbl="bgShp" presStyleIdx="2" presStyleCnt="4"/>
      <dgm:spPr/>
      <dgm:t>
        <a:bodyPr/>
        <a:lstStyle/>
        <a:p>
          <a:endParaRPr lang="en-US"/>
        </a:p>
      </dgm:t>
    </dgm:pt>
    <dgm:pt modelId="{8A6EBA2A-7063-4179-B737-BD09D6A0134F}" type="pres">
      <dgm:prSet presAssocID="{D1EF163B-2DAC-4BE7-B572-3566B4B2D453}" presName="compChildNode" presStyleCnt="0"/>
      <dgm:spPr/>
    </dgm:pt>
    <dgm:pt modelId="{E2691940-8E15-4A41-BF73-3BA1F48F52CD}" type="pres">
      <dgm:prSet presAssocID="{D1EF163B-2DAC-4BE7-B572-3566B4B2D453}" presName="theInnerList" presStyleCnt="0"/>
      <dgm:spPr/>
    </dgm:pt>
    <dgm:pt modelId="{DE129205-E8F8-4A3A-906B-E40F4B811CC9}" type="pres">
      <dgm:prSet presAssocID="{E8649623-B0E6-427E-9883-FB2498ABE4CE}" presName="childNode" presStyleLbl="node1" presStyleIdx="8" presStyleCnt="15" custScaleX="112806" custScaleY="573060" custLinFactY="-132208" custLinFactNeighborX="656" custLinFactNeighborY="-200000">
        <dgm:presLayoutVars>
          <dgm:bulletEnabled val="1"/>
        </dgm:presLayoutVars>
      </dgm:prSet>
      <dgm:spPr/>
      <dgm:t>
        <a:bodyPr/>
        <a:lstStyle/>
        <a:p>
          <a:endParaRPr lang="en-US"/>
        </a:p>
      </dgm:t>
    </dgm:pt>
    <dgm:pt modelId="{9DBFACFF-F50D-4FFD-8511-E7A8C3927901}" type="pres">
      <dgm:prSet presAssocID="{E8649623-B0E6-427E-9883-FB2498ABE4CE}" presName="aSpace2" presStyleCnt="0"/>
      <dgm:spPr/>
    </dgm:pt>
    <dgm:pt modelId="{C9E8A151-9D41-4A33-90C5-3A010FE1BB50}" type="pres">
      <dgm:prSet presAssocID="{F141DCC7-B22B-438D-8A54-111ECDA6ED18}" presName="childNode" presStyleLbl="node1" presStyleIdx="9" presStyleCnt="15" custScaleX="112806" custScaleY="615963" custLinFactY="-100000" custLinFactNeighborX="-1315" custLinFactNeighborY="-148624">
        <dgm:presLayoutVars>
          <dgm:bulletEnabled val="1"/>
        </dgm:presLayoutVars>
      </dgm:prSet>
      <dgm:spPr/>
      <dgm:t>
        <a:bodyPr/>
        <a:lstStyle/>
        <a:p>
          <a:endParaRPr lang="en-US"/>
        </a:p>
      </dgm:t>
    </dgm:pt>
    <dgm:pt modelId="{12536F92-096A-4FAF-9FC4-9662E4724FF1}" type="pres">
      <dgm:prSet presAssocID="{F141DCC7-B22B-438D-8A54-111ECDA6ED18}" presName="aSpace2" presStyleCnt="0"/>
      <dgm:spPr/>
    </dgm:pt>
    <dgm:pt modelId="{0C2D1862-E574-41FB-8BF5-60D329572AFF}" type="pres">
      <dgm:prSet presAssocID="{36CE141A-87DA-472C-86D3-C1FC47B036C0}" presName="childNode" presStyleLbl="node1" presStyleIdx="10" presStyleCnt="15" custScaleX="115918" custScaleY="425634" custLinFactY="-34186" custLinFactNeighborX="0" custLinFactNeighborY="-100000">
        <dgm:presLayoutVars>
          <dgm:bulletEnabled val="1"/>
        </dgm:presLayoutVars>
      </dgm:prSet>
      <dgm:spPr/>
      <dgm:t>
        <a:bodyPr/>
        <a:lstStyle/>
        <a:p>
          <a:endParaRPr lang="en-US"/>
        </a:p>
      </dgm:t>
    </dgm:pt>
    <dgm:pt modelId="{65DE7198-5F09-4686-85F0-AAEEDCAE8FBF}" type="pres">
      <dgm:prSet presAssocID="{36CE141A-87DA-472C-86D3-C1FC47B036C0}" presName="aSpace2" presStyleCnt="0"/>
      <dgm:spPr/>
    </dgm:pt>
    <dgm:pt modelId="{E52F88F4-6563-4025-931E-CB7ABD46998A}" type="pres">
      <dgm:prSet presAssocID="{42E61B67-55D0-4961-8186-519EDC874C06}" presName="childNode" presStyleLbl="node1" presStyleIdx="11" presStyleCnt="15" custScaleX="111975" custScaleY="443617" custLinFactY="4777" custLinFactNeighborX="-1315" custLinFactNeighborY="100000">
        <dgm:presLayoutVars>
          <dgm:bulletEnabled val="1"/>
        </dgm:presLayoutVars>
      </dgm:prSet>
      <dgm:spPr/>
      <dgm:t>
        <a:bodyPr/>
        <a:lstStyle/>
        <a:p>
          <a:endParaRPr lang="en-US"/>
        </a:p>
      </dgm:t>
    </dgm:pt>
    <dgm:pt modelId="{C25B57AD-E332-46C1-A3A7-4343F3739AAF}" type="pres">
      <dgm:prSet presAssocID="{D1EF163B-2DAC-4BE7-B572-3566B4B2D453}" presName="aSpace" presStyleCnt="0"/>
      <dgm:spPr/>
    </dgm:pt>
    <dgm:pt modelId="{411AAE47-AD4E-4D42-BCCC-96F9A37D565E}" type="pres">
      <dgm:prSet presAssocID="{C0ECAF4F-2554-47F4-BC67-EA0D4675A481}" presName="compNode" presStyleCnt="0"/>
      <dgm:spPr/>
    </dgm:pt>
    <dgm:pt modelId="{C1CD18B6-D61E-4813-BB51-A112E14F99A6}" type="pres">
      <dgm:prSet presAssocID="{C0ECAF4F-2554-47F4-BC67-EA0D4675A481}" presName="aNode" presStyleLbl="bgShp" presStyleIdx="3" presStyleCnt="4"/>
      <dgm:spPr/>
      <dgm:t>
        <a:bodyPr/>
        <a:lstStyle/>
        <a:p>
          <a:endParaRPr lang="en-US"/>
        </a:p>
      </dgm:t>
    </dgm:pt>
    <dgm:pt modelId="{F8E589C6-C9F4-47CB-84F1-A468B45A0517}" type="pres">
      <dgm:prSet presAssocID="{C0ECAF4F-2554-47F4-BC67-EA0D4675A481}" presName="textNode" presStyleLbl="bgShp" presStyleIdx="3" presStyleCnt="4"/>
      <dgm:spPr/>
      <dgm:t>
        <a:bodyPr/>
        <a:lstStyle/>
        <a:p>
          <a:endParaRPr lang="en-US"/>
        </a:p>
      </dgm:t>
    </dgm:pt>
    <dgm:pt modelId="{F65021A2-07E1-404F-9DE4-41D35FE5D5D6}" type="pres">
      <dgm:prSet presAssocID="{C0ECAF4F-2554-47F4-BC67-EA0D4675A481}" presName="compChildNode" presStyleCnt="0"/>
      <dgm:spPr/>
    </dgm:pt>
    <dgm:pt modelId="{5C16AD5F-D624-41E8-A62B-4B17B6AB2816}" type="pres">
      <dgm:prSet presAssocID="{C0ECAF4F-2554-47F4-BC67-EA0D4675A481}" presName="theInnerList" presStyleCnt="0"/>
      <dgm:spPr/>
    </dgm:pt>
    <dgm:pt modelId="{946E0432-50F6-4A8B-9380-06F4BE7A89D2}" type="pres">
      <dgm:prSet presAssocID="{1DB7F2C9-FDCF-4FE6-B573-94FDCECFD28C}" presName="childNode" presStyleLbl="node1" presStyleIdx="12" presStyleCnt="15" custScaleX="111252" custScaleY="185672" custLinFactY="-24685" custLinFactNeighborX="117" custLinFactNeighborY="-100000">
        <dgm:presLayoutVars>
          <dgm:bulletEnabled val="1"/>
        </dgm:presLayoutVars>
      </dgm:prSet>
      <dgm:spPr/>
      <dgm:t>
        <a:bodyPr/>
        <a:lstStyle/>
        <a:p>
          <a:endParaRPr lang="en-US"/>
        </a:p>
      </dgm:t>
    </dgm:pt>
    <dgm:pt modelId="{13C76366-1DBB-49D6-9908-B3314D50B1F2}" type="pres">
      <dgm:prSet presAssocID="{1DB7F2C9-FDCF-4FE6-B573-94FDCECFD28C}" presName="aSpace2" presStyleCnt="0"/>
      <dgm:spPr/>
    </dgm:pt>
    <dgm:pt modelId="{007E6977-91CF-4F9B-8E02-746F53A280AB}" type="pres">
      <dgm:prSet presAssocID="{41B4BD45-9B59-49FA-8F51-8BCBD0FE27B0}" presName="childNode" presStyleLbl="node1" presStyleIdx="13" presStyleCnt="15" custScaleX="111252" custScaleY="200009" custLinFactY="-27600" custLinFactNeighborX="216" custLinFactNeighborY="-100000">
        <dgm:presLayoutVars>
          <dgm:bulletEnabled val="1"/>
        </dgm:presLayoutVars>
      </dgm:prSet>
      <dgm:spPr/>
      <dgm:t>
        <a:bodyPr/>
        <a:lstStyle/>
        <a:p>
          <a:endParaRPr lang="en-US"/>
        </a:p>
      </dgm:t>
    </dgm:pt>
    <dgm:pt modelId="{457BF53E-2C82-465C-994E-128C0C1D9F3E}" type="pres">
      <dgm:prSet presAssocID="{41B4BD45-9B59-49FA-8F51-8BCBD0FE27B0}" presName="aSpace2" presStyleCnt="0"/>
      <dgm:spPr/>
    </dgm:pt>
    <dgm:pt modelId="{44E27403-0DE9-44DC-A6FF-D8566CDAF98B}" type="pres">
      <dgm:prSet presAssocID="{A6AEDD3A-AE9C-40F5-908B-B8DDF89CEB41}" presName="childNode" presStyleLbl="node1" presStyleIdx="14" presStyleCnt="15" custScaleX="109937" custScaleY="157936" custLinFactY="-18258" custLinFactNeighborY="-100000">
        <dgm:presLayoutVars>
          <dgm:bulletEnabled val="1"/>
        </dgm:presLayoutVars>
      </dgm:prSet>
      <dgm:spPr/>
      <dgm:t>
        <a:bodyPr/>
        <a:lstStyle/>
        <a:p>
          <a:endParaRPr lang="en-US"/>
        </a:p>
      </dgm:t>
    </dgm:pt>
  </dgm:ptLst>
  <dgm:cxnLst>
    <dgm:cxn modelId="{016BF670-CD50-489A-B5E7-89B0DC7EF1A8}" type="presOf" srcId="{E4023C2B-EB6A-4E1C-819F-B8FA3BE81A03}" destId="{8A6289E2-AD86-461F-B39F-2FC094D4CFA2}" srcOrd="0" destOrd="0" presId="urn:microsoft.com/office/officeart/2005/8/layout/lProcess2"/>
    <dgm:cxn modelId="{36994F31-908E-4A63-96B4-B53C8B5554D6}" type="presOf" srcId="{2FCF7F15-638F-41DD-9D6F-454B941D0E0A}" destId="{5577D278-71D2-46F1-8390-C0891F7AFA08}" srcOrd="0" destOrd="0" presId="urn:microsoft.com/office/officeart/2005/8/layout/lProcess2"/>
    <dgm:cxn modelId="{FCE3329D-B8A6-4606-80B9-07805B94496C}" srcId="{2C4D1D2F-1811-424A-B824-9472A4BA4C29}" destId="{578DC743-887A-4FD5-BE36-7CB3BFECF8AB}" srcOrd="0" destOrd="0" parTransId="{05BCBF47-5CB0-4478-898B-C4D08371BF74}" sibTransId="{A0355C52-F324-4CFC-A67F-B467A087154F}"/>
    <dgm:cxn modelId="{67255239-8538-47CD-8B69-21DBA02DE2D6}" type="presOf" srcId="{1DB7F2C9-FDCF-4FE6-B573-94FDCECFD28C}" destId="{946E0432-50F6-4A8B-9380-06F4BE7A89D2}" srcOrd="0" destOrd="0" presId="urn:microsoft.com/office/officeart/2005/8/layout/lProcess2"/>
    <dgm:cxn modelId="{63AC6B57-AFA8-4059-BC90-DFE0034D7EBF}" srcId="{2C4D1D2F-1811-424A-B824-9472A4BA4C29}" destId="{F61AA200-E7EC-4D41-ACB9-CC958DC51703}" srcOrd="1" destOrd="0" parTransId="{BB01C05C-63B8-4CC5-85DD-F5653A78AD33}" sibTransId="{53FE1C82-FDB4-458F-8F23-A3EDDF53CE8A}"/>
    <dgm:cxn modelId="{B380C1A5-9C0F-4E96-896B-416F92E8EF42}" srcId="{F771A992-F51C-41C4-9DE6-14ED60133A40}" destId="{6D007006-DA3B-403B-9E5F-F478CE7661A5}" srcOrd="3" destOrd="0" parTransId="{5BC10D31-7CAC-45D7-9DE5-FCFE189816EC}" sibTransId="{91EB94C4-0871-4A58-82F1-DB15408D5E23}"/>
    <dgm:cxn modelId="{6F0B6249-7289-45C1-B882-12715D8101C2}" srcId="{C0ECAF4F-2554-47F4-BC67-EA0D4675A481}" destId="{41B4BD45-9B59-49FA-8F51-8BCBD0FE27B0}" srcOrd="1" destOrd="0" parTransId="{B9A2E41A-2A64-43FD-B520-A0EF80659153}" sibTransId="{2E3675C3-DB07-4A08-9CF4-29682D1500A6}"/>
    <dgm:cxn modelId="{1ADD162E-BB90-4103-B3A8-FF04F28D47DC}" type="presOf" srcId="{A6AEDD3A-AE9C-40F5-908B-B8DDF89CEB41}" destId="{44E27403-0DE9-44DC-A6FF-D8566CDAF98B}" srcOrd="0" destOrd="0" presId="urn:microsoft.com/office/officeart/2005/8/layout/lProcess2"/>
    <dgm:cxn modelId="{5C26CBEA-3720-48C2-9E52-E94E8A275734}" srcId="{2C4D1D2F-1811-424A-B824-9472A4BA4C29}" destId="{386D4CED-A1A4-4E03-B66B-EFFC1AC1AD75}" srcOrd="2" destOrd="0" parTransId="{9C4C0453-83F6-42AE-93EE-79E16AD7AB20}" sibTransId="{866ED4A0-A2DC-4757-92A7-5380FC0DD9C2}"/>
    <dgm:cxn modelId="{2EAEC4BC-CA38-4FA1-9105-3956AFCBBF75}" type="presOf" srcId="{41B4BD45-9B59-49FA-8F51-8BCBD0FE27B0}" destId="{007E6977-91CF-4F9B-8E02-746F53A280AB}" srcOrd="0" destOrd="0" presId="urn:microsoft.com/office/officeart/2005/8/layout/lProcess2"/>
    <dgm:cxn modelId="{05F39FAD-A898-4CD7-94F7-E815FEF225C4}" type="presOf" srcId="{E8649623-B0E6-427E-9883-FB2498ABE4CE}" destId="{DE129205-E8F8-4A3A-906B-E40F4B811CC9}" srcOrd="0" destOrd="0" presId="urn:microsoft.com/office/officeart/2005/8/layout/lProcess2"/>
    <dgm:cxn modelId="{72ECAEFB-203B-4345-814D-5037211DDFD5}" srcId="{250C17D8-3A05-4775-A4AF-413E949B946B}" destId="{F771A992-F51C-41C4-9DE6-14ED60133A40}" srcOrd="1" destOrd="0" parTransId="{920D46B6-A1A0-4BC5-9C8A-6E495E78069C}" sibTransId="{106581B5-46F8-48DD-A84E-ACA6AF5B1E45}"/>
    <dgm:cxn modelId="{713721DF-4DE3-4C1E-BB92-78BC16D148FB}" srcId="{D1EF163B-2DAC-4BE7-B572-3566B4B2D453}" destId="{E8649623-B0E6-427E-9883-FB2498ABE4CE}" srcOrd="0" destOrd="0" parTransId="{353BB683-FBD3-42A5-BCF8-AAA36C3CA997}" sibTransId="{427B9B03-35CC-48AA-9294-E853818EE980}"/>
    <dgm:cxn modelId="{1FC7E2DE-CF61-42C1-8CED-172543238E63}" type="presOf" srcId="{42E61B67-55D0-4961-8186-519EDC874C06}" destId="{E52F88F4-6563-4025-931E-CB7ABD46998A}" srcOrd="0" destOrd="0" presId="urn:microsoft.com/office/officeart/2005/8/layout/lProcess2"/>
    <dgm:cxn modelId="{33610C9D-C0E7-4104-B56F-DD7B03F36507}" type="presOf" srcId="{D1EF163B-2DAC-4BE7-B572-3566B4B2D453}" destId="{229CC9F2-6B58-4676-A496-7BF9F14D118B}" srcOrd="0" destOrd="0" presId="urn:microsoft.com/office/officeart/2005/8/layout/lProcess2"/>
    <dgm:cxn modelId="{A0380F99-3F59-4657-B20A-3287D4D7B970}" type="presOf" srcId="{C0ECAF4F-2554-47F4-BC67-EA0D4675A481}" destId="{F8E589C6-C9F4-47CB-84F1-A468B45A0517}" srcOrd="1" destOrd="0" presId="urn:microsoft.com/office/officeart/2005/8/layout/lProcess2"/>
    <dgm:cxn modelId="{CDB8C664-76CF-4EBB-8E61-E6C1C1F4A033}" srcId="{D1EF163B-2DAC-4BE7-B572-3566B4B2D453}" destId="{F141DCC7-B22B-438D-8A54-111ECDA6ED18}" srcOrd="1" destOrd="0" parTransId="{B44C6FC5-A308-48FB-B73E-100486882354}" sibTransId="{04BC12E9-E7E5-4723-B645-86AE3C112521}"/>
    <dgm:cxn modelId="{10A6C052-8FDB-463E-A330-154A7380DF42}" srcId="{2C4D1D2F-1811-424A-B824-9472A4BA4C29}" destId="{716FD416-CE01-404A-8D6A-01CFA90C2C48}" srcOrd="3" destOrd="0" parTransId="{EA693796-CA61-40C6-B45A-107840D1AB3B}" sibTransId="{ACD7EFB8-7858-4334-98C3-8F81FBB85D05}"/>
    <dgm:cxn modelId="{F28E679C-EFAE-4D67-A908-171D54A23C88}" type="presOf" srcId="{F61AA200-E7EC-4D41-ACB9-CC958DC51703}" destId="{7FCEF541-530F-41BC-9345-821B20D5B2F6}" srcOrd="0" destOrd="0" presId="urn:microsoft.com/office/officeart/2005/8/layout/lProcess2"/>
    <dgm:cxn modelId="{06FEFBD5-1047-4C5E-B13F-9317B758D9AE}" type="presOf" srcId="{C0ECAF4F-2554-47F4-BC67-EA0D4675A481}" destId="{C1CD18B6-D61E-4813-BB51-A112E14F99A6}" srcOrd="0" destOrd="0" presId="urn:microsoft.com/office/officeart/2005/8/layout/lProcess2"/>
    <dgm:cxn modelId="{2BC86B3C-F329-408F-8B67-F35158F5225C}" type="presOf" srcId="{386D4CED-A1A4-4E03-B66B-EFFC1AC1AD75}" destId="{D51D869D-BCE2-4BDF-9D3D-873775402965}" srcOrd="0" destOrd="0" presId="urn:microsoft.com/office/officeart/2005/8/layout/lProcess2"/>
    <dgm:cxn modelId="{2F44D74B-AA5E-44B0-B128-F860F1C9E5A9}" type="presOf" srcId="{CC648B7B-3737-4139-A6E1-EC6622A70A66}" destId="{AE838385-E119-4815-A759-89C3EC7B47E1}" srcOrd="0" destOrd="0" presId="urn:microsoft.com/office/officeart/2005/8/layout/lProcess2"/>
    <dgm:cxn modelId="{D014DD33-2E8F-49DD-9228-4EC2BD13D050}" type="presOf" srcId="{F141DCC7-B22B-438D-8A54-111ECDA6ED18}" destId="{C9E8A151-9D41-4A33-90C5-3A010FE1BB50}" srcOrd="0" destOrd="0" presId="urn:microsoft.com/office/officeart/2005/8/layout/lProcess2"/>
    <dgm:cxn modelId="{15DEC686-B344-4040-8D3C-1366942C06E9}" type="presOf" srcId="{2C4D1D2F-1811-424A-B824-9472A4BA4C29}" destId="{AD17B7BD-FA0D-437C-8E3B-BFFF41935ACB}" srcOrd="1" destOrd="0" presId="urn:microsoft.com/office/officeart/2005/8/layout/lProcess2"/>
    <dgm:cxn modelId="{CAB8CE7D-556F-4783-B9A4-127C8DD362C5}" srcId="{250C17D8-3A05-4775-A4AF-413E949B946B}" destId="{C0ECAF4F-2554-47F4-BC67-EA0D4675A481}" srcOrd="3" destOrd="0" parTransId="{C20D9D63-6945-4C53-888D-5E3601643DE2}" sibTransId="{DBF14B7B-8109-4370-9DCA-752273945B43}"/>
    <dgm:cxn modelId="{2605437D-A163-4580-8429-3199997290BE}" srcId="{250C17D8-3A05-4775-A4AF-413E949B946B}" destId="{D1EF163B-2DAC-4BE7-B572-3566B4B2D453}" srcOrd="2" destOrd="0" parTransId="{44F7A9C2-C465-4A6B-A0E4-DB8458909B07}" sibTransId="{42C7A1F1-1533-412D-9F51-0AAA85159B37}"/>
    <dgm:cxn modelId="{759CB10E-4F59-4AFC-80B0-7E2963EB23B5}" type="presOf" srcId="{578DC743-887A-4FD5-BE36-7CB3BFECF8AB}" destId="{618CBD18-DE87-43E9-B0F9-273D1A2219CA}" srcOrd="0" destOrd="0" presId="urn:microsoft.com/office/officeart/2005/8/layout/lProcess2"/>
    <dgm:cxn modelId="{4CB45244-A7B4-4300-8528-0C52950574C4}" srcId="{C0ECAF4F-2554-47F4-BC67-EA0D4675A481}" destId="{A6AEDD3A-AE9C-40F5-908B-B8DDF89CEB41}" srcOrd="2" destOrd="0" parTransId="{205B9D75-BF91-4496-A7EF-53A4E611E347}" sibTransId="{8FA9F9DC-9E21-425C-A4E6-CE6C19918DB0}"/>
    <dgm:cxn modelId="{6329F5BE-0F48-40CA-9FE6-9099D1284AFB}" srcId="{F771A992-F51C-41C4-9DE6-14ED60133A40}" destId="{2FCF7F15-638F-41DD-9D6F-454B941D0E0A}" srcOrd="1" destOrd="0" parTransId="{15E97936-7A6D-40B6-8110-06B24C0A5B45}" sibTransId="{BB736D8A-830F-4B53-B8B8-DCF6CC0B00B0}"/>
    <dgm:cxn modelId="{D3F9EE2C-A221-454D-80BB-203EDEE8D892}" srcId="{C0ECAF4F-2554-47F4-BC67-EA0D4675A481}" destId="{1DB7F2C9-FDCF-4FE6-B573-94FDCECFD28C}" srcOrd="0" destOrd="0" parTransId="{6E2B12EB-1F24-4D2F-8070-4D7AB7E9C493}" sibTransId="{009825E4-2A6D-4CA3-AA34-8C0999A87934}"/>
    <dgm:cxn modelId="{FFBDAE45-4D20-43D3-8470-ED874AF26A9A}" type="presOf" srcId="{D1EF163B-2DAC-4BE7-B572-3566B4B2D453}" destId="{81CF4ED0-F9CB-4608-9B92-66672EAD3BB8}" srcOrd="1" destOrd="0" presId="urn:microsoft.com/office/officeart/2005/8/layout/lProcess2"/>
    <dgm:cxn modelId="{D6157D96-1A77-4B7E-941F-B30AB08CE889}" type="presOf" srcId="{250C17D8-3A05-4775-A4AF-413E949B946B}" destId="{9FE1C0CF-E84F-4267-AF5C-F04B971CB3F2}" srcOrd="0" destOrd="0" presId="urn:microsoft.com/office/officeart/2005/8/layout/lProcess2"/>
    <dgm:cxn modelId="{2C121117-1246-4EFF-BE7A-EB94E3D61558}" srcId="{D1EF163B-2DAC-4BE7-B572-3566B4B2D453}" destId="{42E61B67-55D0-4961-8186-519EDC874C06}" srcOrd="3" destOrd="0" parTransId="{A6129779-21AD-47E8-B02A-D3474EE24883}" sibTransId="{E5AAC324-4A34-4F9F-BF48-D276CB5F4805}"/>
    <dgm:cxn modelId="{1E85CDF5-D6A1-4F92-90A5-946984349945}" srcId="{250C17D8-3A05-4775-A4AF-413E949B946B}" destId="{2C4D1D2F-1811-424A-B824-9472A4BA4C29}" srcOrd="0" destOrd="0" parTransId="{B215B739-4615-4888-BC3B-439527BBEFBB}" sibTransId="{B6A33020-0B81-439A-BAC2-D3B7BCD253D6}"/>
    <dgm:cxn modelId="{21CDBED2-EF13-48B8-98A9-FF50F7C0DD95}" srcId="{D1EF163B-2DAC-4BE7-B572-3566B4B2D453}" destId="{36CE141A-87DA-472C-86D3-C1FC47B036C0}" srcOrd="2" destOrd="0" parTransId="{34C78E12-72A2-470D-89D7-84ECB788E155}" sibTransId="{09B7BF03-B52D-44DB-A94E-6A666F15B4E0}"/>
    <dgm:cxn modelId="{ADDE19CB-4774-4CBA-96C3-D4541D3DC0BB}" type="presOf" srcId="{6D007006-DA3B-403B-9E5F-F478CE7661A5}" destId="{1F60DE90-A7F2-4A91-B116-06C08D6A63EA}" srcOrd="0" destOrd="0" presId="urn:microsoft.com/office/officeart/2005/8/layout/lProcess2"/>
    <dgm:cxn modelId="{DD09A5B9-CA7F-48CB-B6F3-E76DB650B7E6}" srcId="{F771A992-F51C-41C4-9DE6-14ED60133A40}" destId="{CC648B7B-3737-4139-A6E1-EC6622A70A66}" srcOrd="2" destOrd="0" parTransId="{35272B71-BBED-4CF8-925F-F68A6DF2879E}" sibTransId="{AF31D0DC-3698-448B-864D-446F8A2EB900}"/>
    <dgm:cxn modelId="{6781FC5D-DC87-4F03-91F5-C0ADF71BBC7B}" srcId="{F771A992-F51C-41C4-9DE6-14ED60133A40}" destId="{E4023C2B-EB6A-4E1C-819F-B8FA3BE81A03}" srcOrd="0" destOrd="0" parTransId="{AC9189C3-9DF1-4703-9EBF-3B693F70AF5A}" sibTransId="{58DE8DC6-0452-41F4-AE9B-0936391EA268}"/>
    <dgm:cxn modelId="{43F0B617-B149-48DB-A9A7-754451E6C6C4}" type="presOf" srcId="{2C4D1D2F-1811-424A-B824-9472A4BA4C29}" destId="{5A1FCAFA-A958-481F-880D-CD04F4330755}" srcOrd="0" destOrd="0" presId="urn:microsoft.com/office/officeart/2005/8/layout/lProcess2"/>
    <dgm:cxn modelId="{CC531528-79C3-4BFA-AC75-CBF5C402CFE0}" type="presOf" srcId="{F771A992-F51C-41C4-9DE6-14ED60133A40}" destId="{15C31490-9821-4292-94AB-2265C22381C2}" srcOrd="0" destOrd="0" presId="urn:microsoft.com/office/officeart/2005/8/layout/lProcess2"/>
    <dgm:cxn modelId="{D070ADD7-1191-4815-A84A-C9D09F95F010}" type="presOf" srcId="{716FD416-CE01-404A-8D6A-01CFA90C2C48}" destId="{5CC9BB53-F13B-49A4-A959-2CF3D307144C}" srcOrd="0" destOrd="0" presId="urn:microsoft.com/office/officeart/2005/8/layout/lProcess2"/>
    <dgm:cxn modelId="{BBD70B80-7DAA-45DB-A0FF-F09276522AE5}" type="presOf" srcId="{36CE141A-87DA-472C-86D3-C1FC47B036C0}" destId="{0C2D1862-E574-41FB-8BF5-60D329572AFF}" srcOrd="0" destOrd="0" presId="urn:microsoft.com/office/officeart/2005/8/layout/lProcess2"/>
    <dgm:cxn modelId="{71584BF5-B7FC-4670-AF04-DEE0CA95FEC6}" type="presOf" srcId="{F771A992-F51C-41C4-9DE6-14ED60133A40}" destId="{C266EDB7-59A4-4372-B51C-CF996A274813}" srcOrd="1" destOrd="0" presId="urn:microsoft.com/office/officeart/2005/8/layout/lProcess2"/>
    <dgm:cxn modelId="{DF65017E-5F86-474C-9B04-1B8EA1AC523B}" type="presParOf" srcId="{9FE1C0CF-E84F-4267-AF5C-F04B971CB3F2}" destId="{E2175E94-6051-4D0A-8DDA-4A1B0081D800}" srcOrd="0" destOrd="0" presId="urn:microsoft.com/office/officeart/2005/8/layout/lProcess2"/>
    <dgm:cxn modelId="{AD40ED80-E3AC-43E2-BDC1-5EDBA8B7B1E4}" type="presParOf" srcId="{E2175E94-6051-4D0A-8DDA-4A1B0081D800}" destId="{5A1FCAFA-A958-481F-880D-CD04F4330755}" srcOrd="0" destOrd="0" presId="urn:microsoft.com/office/officeart/2005/8/layout/lProcess2"/>
    <dgm:cxn modelId="{FBBA9211-2725-488A-A8C3-FC5C00296632}" type="presParOf" srcId="{E2175E94-6051-4D0A-8DDA-4A1B0081D800}" destId="{AD17B7BD-FA0D-437C-8E3B-BFFF41935ACB}" srcOrd="1" destOrd="0" presId="urn:microsoft.com/office/officeart/2005/8/layout/lProcess2"/>
    <dgm:cxn modelId="{932013E9-A257-4555-BF1F-E6DA826B4E5A}" type="presParOf" srcId="{E2175E94-6051-4D0A-8DDA-4A1B0081D800}" destId="{AAB9EB0B-9825-41E4-925D-A22AD4891DED}" srcOrd="2" destOrd="0" presId="urn:microsoft.com/office/officeart/2005/8/layout/lProcess2"/>
    <dgm:cxn modelId="{97645749-DFBC-4F94-AF90-7BF34564639D}" type="presParOf" srcId="{AAB9EB0B-9825-41E4-925D-A22AD4891DED}" destId="{DFAEA74E-C294-44CF-ABE7-1684D30F4F9B}" srcOrd="0" destOrd="0" presId="urn:microsoft.com/office/officeart/2005/8/layout/lProcess2"/>
    <dgm:cxn modelId="{455D4D44-5772-4F7F-AE67-05019D149920}" type="presParOf" srcId="{DFAEA74E-C294-44CF-ABE7-1684D30F4F9B}" destId="{618CBD18-DE87-43E9-B0F9-273D1A2219CA}" srcOrd="0" destOrd="0" presId="urn:microsoft.com/office/officeart/2005/8/layout/lProcess2"/>
    <dgm:cxn modelId="{FB1A6AAE-6DE0-4660-A405-6402DD0DCD32}" type="presParOf" srcId="{DFAEA74E-C294-44CF-ABE7-1684D30F4F9B}" destId="{1A53B552-D3BD-4FE3-B831-D02D4310EFF8}" srcOrd="1" destOrd="0" presId="urn:microsoft.com/office/officeart/2005/8/layout/lProcess2"/>
    <dgm:cxn modelId="{466354BD-4913-4776-A55A-8EB810CD6F6B}" type="presParOf" srcId="{DFAEA74E-C294-44CF-ABE7-1684D30F4F9B}" destId="{7FCEF541-530F-41BC-9345-821B20D5B2F6}" srcOrd="2" destOrd="0" presId="urn:microsoft.com/office/officeart/2005/8/layout/lProcess2"/>
    <dgm:cxn modelId="{94C03B04-A7BC-4AA7-A9AE-B4DE98F7F56B}" type="presParOf" srcId="{DFAEA74E-C294-44CF-ABE7-1684D30F4F9B}" destId="{D2D22123-0ABE-41CA-B596-C24FE389BB28}" srcOrd="3" destOrd="0" presId="urn:microsoft.com/office/officeart/2005/8/layout/lProcess2"/>
    <dgm:cxn modelId="{211832E6-249E-4520-85B4-2108F1BE51BC}" type="presParOf" srcId="{DFAEA74E-C294-44CF-ABE7-1684D30F4F9B}" destId="{D51D869D-BCE2-4BDF-9D3D-873775402965}" srcOrd="4" destOrd="0" presId="urn:microsoft.com/office/officeart/2005/8/layout/lProcess2"/>
    <dgm:cxn modelId="{BC420BD4-8E3B-4F8C-9686-BF3A284DD9C3}" type="presParOf" srcId="{DFAEA74E-C294-44CF-ABE7-1684D30F4F9B}" destId="{95CA2ABB-725A-4197-A3B6-ABEDDF24BCE0}" srcOrd="5" destOrd="0" presId="urn:microsoft.com/office/officeart/2005/8/layout/lProcess2"/>
    <dgm:cxn modelId="{917A37A7-51FF-4665-A21A-1663590C108E}" type="presParOf" srcId="{DFAEA74E-C294-44CF-ABE7-1684D30F4F9B}" destId="{5CC9BB53-F13B-49A4-A959-2CF3D307144C}" srcOrd="6" destOrd="0" presId="urn:microsoft.com/office/officeart/2005/8/layout/lProcess2"/>
    <dgm:cxn modelId="{69907711-3A26-4965-B8BF-E6AB37F19DF2}" type="presParOf" srcId="{9FE1C0CF-E84F-4267-AF5C-F04B971CB3F2}" destId="{B6ED9A21-EF58-4535-A69E-85F4D4773C0F}" srcOrd="1" destOrd="0" presId="urn:microsoft.com/office/officeart/2005/8/layout/lProcess2"/>
    <dgm:cxn modelId="{B2324718-1799-4C1C-9709-A2D0BB9E3515}" type="presParOf" srcId="{9FE1C0CF-E84F-4267-AF5C-F04B971CB3F2}" destId="{8A4BC7F7-AA75-4FB6-9F74-96097A5F22C5}" srcOrd="2" destOrd="0" presId="urn:microsoft.com/office/officeart/2005/8/layout/lProcess2"/>
    <dgm:cxn modelId="{FAECF992-086F-433D-84A2-EC2A69CC3E4B}" type="presParOf" srcId="{8A4BC7F7-AA75-4FB6-9F74-96097A5F22C5}" destId="{15C31490-9821-4292-94AB-2265C22381C2}" srcOrd="0" destOrd="0" presId="urn:microsoft.com/office/officeart/2005/8/layout/lProcess2"/>
    <dgm:cxn modelId="{8BCCF5AA-7AB0-44B7-89D3-7D2D3A702256}" type="presParOf" srcId="{8A4BC7F7-AA75-4FB6-9F74-96097A5F22C5}" destId="{C266EDB7-59A4-4372-B51C-CF996A274813}" srcOrd="1" destOrd="0" presId="urn:microsoft.com/office/officeart/2005/8/layout/lProcess2"/>
    <dgm:cxn modelId="{676A3AF7-D009-465E-B46B-472821C49268}" type="presParOf" srcId="{8A4BC7F7-AA75-4FB6-9F74-96097A5F22C5}" destId="{7D0C955B-D9A1-4357-A6A3-AD6B4AA4A0EA}" srcOrd="2" destOrd="0" presId="urn:microsoft.com/office/officeart/2005/8/layout/lProcess2"/>
    <dgm:cxn modelId="{6B48A6FB-8763-41E7-A6CB-6C59A0AC5DFB}" type="presParOf" srcId="{7D0C955B-D9A1-4357-A6A3-AD6B4AA4A0EA}" destId="{0176EA7C-1E17-424A-8EBD-BB2690132260}" srcOrd="0" destOrd="0" presId="urn:microsoft.com/office/officeart/2005/8/layout/lProcess2"/>
    <dgm:cxn modelId="{5CFFE2FA-5C69-4DF0-8B69-9C12B610A3C9}" type="presParOf" srcId="{0176EA7C-1E17-424A-8EBD-BB2690132260}" destId="{8A6289E2-AD86-461F-B39F-2FC094D4CFA2}" srcOrd="0" destOrd="0" presId="urn:microsoft.com/office/officeart/2005/8/layout/lProcess2"/>
    <dgm:cxn modelId="{5A5EFFE6-8EA7-400F-8EC7-6CEC65EC9CC8}" type="presParOf" srcId="{0176EA7C-1E17-424A-8EBD-BB2690132260}" destId="{400ACCD2-9697-4330-999B-AC9E1F584308}" srcOrd="1" destOrd="0" presId="urn:microsoft.com/office/officeart/2005/8/layout/lProcess2"/>
    <dgm:cxn modelId="{88192731-D5C2-48A4-91D8-246810C1E952}" type="presParOf" srcId="{0176EA7C-1E17-424A-8EBD-BB2690132260}" destId="{5577D278-71D2-46F1-8390-C0891F7AFA08}" srcOrd="2" destOrd="0" presId="urn:microsoft.com/office/officeart/2005/8/layout/lProcess2"/>
    <dgm:cxn modelId="{E659F5CD-2386-4A4A-AAA4-ACCD3B8FADC3}" type="presParOf" srcId="{0176EA7C-1E17-424A-8EBD-BB2690132260}" destId="{14B830CA-8A71-43C3-BB83-A24E4C4B88FF}" srcOrd="3" destOrd="0" presId="urn:microsoft.com/office/officeart/2005/8/layout/lProcess2"/>
    <dgm:cxn modelId="{96F85CBD-7FC0-4E33-914A-C0149B6E484F}" type="presParOf" srcId="{0176EA7C-1E17-424A-8EBD-BB2690132260}" destId="{AE838385-E119-4815-A759-89C3EC7B47E1}" srcOrd="4" destOrd="0" presId="urn:microsoft.com/office/officeart/2005/8/layout/lProcess2"/>
    <dgm:cxn modelId="{56C710F2-2227-4A38-BBE6-FD8390F849D8}" type="presParOf" srcId="{0176EA7C-1E17-424A-8EBD-BB2690132260}" destId="{B2DE4CF0-B8B0-472C-9F53-4D12E8C638A3}" srcOrd="5" destOrd="0" presId="urn:microsoft.com/office/officeart/2005/8/layout/lProcess2"/>
    <dgm:cxn modelId="{4B03FB1C-8A3E-4FAC-95C5-B189B3363AD5}" type="presParOf" srcId="{0176EA7C-1E17-424A-8EBD-BB2690132260}" destId="{1F60DE90-A7F2-4A91-B116-06C08D6A63EA}" srcOrd="6" destOrd="0" presId="urn:microsoft.com/office/officeart/2005/8/layout/lProcess2"/>
    <dgm:cxn modelId="{48557148-6572-4107-B153-E0E5F57D6C76}" type="presParOf" srcId="{9FE1C0CF-E84F-4267-AF5C-F04B971CB3F2}" destId="{C5FF72F9-E48C-4318-A9B4-364584E80427}" srcOrd="3" destOrd="0" presId="urn:microsoft.com/office/officeart/2005/8/layout/lProcess2"/>
    <dgm:cxn modelId="{56538569-4A6D-40AB-9C3F-EF6852C9A63C}" type="presParOf" srcId="{9FE1C0CF-E84F-4267-AF5C-F04B971CB3F2}" destId="{2A7C7330-16F3-476D-8657-8D064CB8854D}" srcOrd="4" destOrd="0" presId="urn:microsoft.com/office/officeart/2005/8/layout/lProcess2"/>
    <dgm:cxn modelId="{0E9941C0-4283-48BD-B882-8A8FD03A4D8D}" type="presParOf" srcId="{2A7C7330-16F3-476D-8657-8D064CB8854D}" destId="{229CC9F2-6B58-4676-A496-7BF9F14D118B}" srcOrd="0" destOrd="0" presId="urn:microsoft.com/office/officeart/2005/8/layout/lProcess2"/>
    <dgm:cxn modelId="{B7993E67-7D15-4467-8C3E-14AF7073EA27}" type="presParOf" srcId="{2A7C7330-16F3-476D-8657-8D064CB8854D}" destId="{81CF4ED0-F9CB-4608-9B92-66672EAD3BB8}" srcOrd="1" destOrd="0" presId="urn:microsoft.com/office/officeart/2005/8/layout/lProcess2"/>
    <dgm:cxn modelId="{4211B0E1-39CF-4AE4-A99F-915C6CE231C1}" type="presParOf" srcId="{2A7C7330-16F3-476D-8657-8D064CB8854D}" destId="{8A6EBA2A-7063-4179-B737-BD09D6A0134F}" srcOrd="2" destOrd="0" presId="urn:microsoft.com/office/officeart/2005/8/layout/lProcess2"/>
    <dgm:cxn modelId="{87309BF8-BEEF-4860-8E50-FB930C2F4988}" type="presParOf" srcId="{8A6EBA2A-7063-4179-B737-BD09D6A0134F}" destId="{E2691940-8E15-4A41-BF73-3BA1F48F52CD}" srcOrd="0" destOrd="0" presId="urn:microsoft.com/office/officeart/2005/8/layout/lProcess2"/>
    <dgm:cxn modelId="{0B0ECD08-667A-4955-B337-0C54A6B04456}" type="presParOf" srcId="{E2691940-8E15-4A41-BF73-3BA1F48F52CD}" destId="{DE129205-E8F8-4A3A-906B-E40F4B811CC9}" srcOrd="0" destOrd="0" presId="urn:microsoft.com/office/officeart/2005/8/layout/lProcess2"/>
    <dgm:cxn modelId="{AEB73572-3036-45A7-A406-2F304902CE86}" type="presParOf" srcId="{E2691940-8E15-4A41-BF73-3BA1F48F52CD}" destId="{9DBFACFF-F50D-4FFD-8511-E7A8C3927901}" srcOrd="1" destOrd="0" presId="urn:microsoft.com/office/officeart/2005/8/layout/lProcess2"/>
    <dgm:cxn modelId="{DC4C2C39-2A1A-4A91-8735-75BFF18ABF1D}" type="presParOf" srcId="{E2691940-8E15-4A41-BF73-3BA1F48F52CD}" destId="{C9E8A151-9D41-4A33-90C5-3A010FE1BB50}" srcOrd="2" destOrd="0" presId="urn:microsoft.com/office/officeart/2005/8/layout/lProcess2"/>
    <dgm:cxn modelId="{2508D4BA-E41E-468E-A337-39F10B6E54D5}" type="presParOf" srcId="{E2691940-8E15-4A41-BF73-3BA1F48F52CD}" destId="{12536F92-096A-4FAF-9FC4-9662E4724FF1}" srcOrd="3" destOrd="0" presId="urn:microsoft.com/office/officeart/2005/8/layout/lProcess2"/>
    <dgm:cxn modelId="{FA8027C2-47F1-4B93-97F3-7D7DEB132757}" type="presParOf" srcId="{E2691940-8E15-4A41-BF73-3BA1F48F52CD}" destId="{0C2D1862-E574-41FB-8BF5-60D329572AFF}" srcOrd="4" destOrd="0" presId="urn:microsoft.com/office/officeart/2005/8/layout/lProcess2"/>
    <dgm:cxn modelId="{ADF12CA7-D6DE-4B3A-9874-3635A6A1ADA1}" type="presParOf" srcId="{E2691940-8E15-4A41-BF73-3BA1F48F52CD}" destId="{65DE7198-5F09-4686-85F0-AAEEDCAE8FBF}" srcOrd="5" destOrd="0" presId="urn:microsoft.com/office/officeart/2005/8/layout/lProcess2"/>
    <dgm:cxn modelId="{AF3CA643-D6B1-4C57-9431-2228A63DDA36}" type="presParOf" srcId="{E2691940-8E15-4A41-BF73-3BA1F48F52CD}" destId="{E52F88F4-6563-4025-931E-CB7ABD46998A}" srcOrd="6" destOrd="0" presId="urn:microsoft.com/office/officeart/2005/8/layout/lProcess2"/>
    <dgm:cxn modelId="{12890D16-15B0-4AB8-A4E7-0C39437F0CBA}" type="presParOf" srcId="{9FE1C0CF-E84F-4267-AF5C-F04B971CB3F2}" destId="{C25B57AD-E332-46C1-A3A7-4343F3739AAF}" srcOrd="5" destOrd="0" presId="urn:microsoft.com/office/officeart/2005/8/layout/lProcess2"/>
    <dgm:cxn modelId="{F2C3BCB5-8E9B-4ADB-ABBC-D00169FD38EB}" type="presParOf" srcId="{9FE1C0CF-E84F-4267-AF5C-F04B971CB3F2}" destId="{411AAE47-AD4E-4D42-BCCC-96F9A37D565E}" srcOrd="6" destOrd="0" presId="urn:microsoft.com/office/officeart/2005/8/layout/lProcess2"/>
    <dgm:cxn modelId="{E4B5DF92-68F2-4DE0-BA1F-D91056F51B87}" type="presParOf" srcId="{411AAE47-AD4E-4D42-BCCC-96F9A37D565E}" destId="{C1CD18B6-D61E-4813-BB51-A112E14F99A6}" srcOrd="0" destOrd="0" presId="urn:microsoft.com/office/officeart/2005/8/layout/lProcess2"/>
    <dgm:cxn modelId="{D7D3A114-B87D-47F7-8254-AE15A0EC8B53}" type="presParOf" srcId="{411AAE47-AD4E-4D42-BCCC-96F9A37D565E}" destId="{F8E589C6-C9F4-47CB-84F1-A468B45A0517}" srcOrd="1" destOrd="0" presId="urn:microsoft.com/office/officeart/2005/8/layout/lProcess2"/>
    <dgm:cxn modelId="{63DEAA1E-4A2E-40BD-89B8-73894058D746}" type="presParOf" srcId="{411AAE47-AD4E-4D42-BCCC-96F9A37D565E}" destId="{F65021A2-07E1-404F-9DE4-41D35FE5D5D6}" srcOrd="2" destOrd="0" presId="urn:microsoft.com/office/officeart/2005/8/layout/lProcess2"/>
    <dgm:cxn modelId="{57CB50FF-3690-48A7-BF9D-9EF56BBA5E55}" type="presParOf" srcId="{F65021A2-07E1-404F-9DE4-41D35FE5D5D6}" destId="{5C16AD5F-D624-41E8-A62B-4B17B6AB2816}" srcOrd="0" destOrd="0" presId="urn:microsoft.com/office/officeart/2005/8/layout/lProcess2"/>
    <dgm:cxn modelId="{7CD19FB5-E8C6-446D-8F20-755D6A0029A0}" type="presParOf" srcId="{5C16AD5F-D624-41E8-A62B-4B17B6AB2816}" destId="{946E0432-50F6-4A8B-9380-06F4BE7A89D2}" srcOrd="0" destOrd="0" presId="urn:microsoft.com/office/officeart/2005/8/layout/lProcess2"/>
    <dgm:cxn modelId="{18527FAC-B0D8-45E4-867A-574ECC50F53F}" type="presParOf" srcId="{5C16AD5F-D624-41E8-A62B-4B17B6AB2816}" destId="{13C76366-1DBB-49D6-9908-B3314D50B1F2}" srcOrd="1" destOrd="0" presId="urn:microsoft.com/office/officeart/2005/8/layout/lProcess2"/>
    <dgm:cxn modelId="{3138EB25-B022-4FAB-B497-DD8A7BE28DE5}" type="presParOf" srcId="{5C16AD5F-D624-41E8-A62B-4B17B6AB2816}" destId="{007E6977-91CF-4F9B-8E02-746F53A280AB}" srcOrd="2" destOrd="0" presId="urn:microsoft.com/office/officeart/2005/8/layout/lProcess2"/>
    <dgm:cxn modelId="{0EA9E9A3-0ACD-4E54-B46C-DD6C2C92E491}" type="presParOf" srcId="{5C16AD5F-D624-41E8-A62B-4B17B6AB2816}" destId="{457BF53E-2C82-465C-994E-128C0C1D9F3E}" srcOrd="3" destOrd="0" presId="urn:microsoft.com/office/officeart/2005/8/layout/lProcess2"/>
    <dgm:cxn modelId="{769FB0C2-44A0-40D1-A47F-00E2AF433698}" type="presParOf" srcId="{5C16AD5F-D624-41E8-A62B-4B17B6AB2816}" destId="{44E27403-0DE9-44DC-A6FF-D8566CDAF98B}" srcOrd="4" destOrd="0" presId="urn:microsoft.com/office/officeart/2005/8/layout/lProcess2"/>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1FCAFA-A958-481F-880D-CD04F4330755}">
      <dsp:nvSpPr>
        <dsp:cNvPr id="0" name=""/>
        <dsp:cNvSpPr/>
      </dsp:nvSpPr>
      <dsp:spPr>
        <a:xfrm>
          <a:off x="0" y="0"/>
          <a:ext cx="1469034" cy="4330700"/>
        </a:xfrm>
        <a:prstGeom prst="roundRect">
          <a:avLst>
            <a:gd name="adj" fmla="val 10000"/>
          </a:avLst>
        </a:prstGeom>
        <a:solidFill>
          <a:srgbClr val="BEE6F0"/>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СЦ1. Регулиране и координиране на морските ползвания</a:t>
          </a:r>
          <a:endParaRPr lang="en-GB" sz="1000" kern="1200">
            <a:latin typeface="Times New Roman" panose="02020603050405020304" pitchFamily="18" charset="0"/>
            <a:cs typeface="Times New Roman" panose="02020603050405020304" pitchFamily="18" charset="0"/>
          </a:endParaRPr>
        </a:p>
      </dsp:txBody>
      <dsp:txXfrm>
        <a:off x="0" y="0"/>
        <a:ext cx="1469034" cy="1299210"/>
      </dsp:txXfrm>
    </dsp:sp>
    <dsp:sp modelId="{618CBD18-DE87-43E9-B0F9-273D1A2219CA}">
      <dsp:nvSpPr>
        <dsp:cNvPr id="0" name=""/>
        <dsp:cNvSpPr/>
      </dsp:nvSpPr>
      <dsp:spPr>
        <a:xfrm>
          <a:off x="77246" y="1033794"/>
          <a:ext cx="1302093" cy="572087"/>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1.1. Функционално зониране на морското пространство </a:t>
          </a:r>
          <a:endParaRPr lang="en-GB" sz="1000" kern="1200">
            <a:latin typeface="Times New Roman" panose="02020603050405020304" pitchFamily="18" charset="0"/>
            <a:cs typeface="Times New Roman" panose="02020603050405020304" pitchFamily="18" charset="0"/>
          </a:endParaRPr>
        </a:p>
      </dsp:txBody>
      <dsp:txXfrm>
        <a:off x="94002" y="1050550"/>
        <a:ext cx="1268581" cy="538575"/>
      </dsp:txXfrm>
    </dsp:sp>
    <dsp:sp modelId="{7FCEF541-530F-41BC-9345-821B20D5B2F6}">
      <dsp:nvSpPr>
        <dsp:cNvPr id="0" name=""/>
        <dsp:cNvSpPr/>
      </dsp:nvSpPr>
      <dsp:spPr>
        <a:xfrm>
          <a:off x="84967" y="1705859"/>
          <a:ext cx="1302093" cy="564672"/>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1.2. Постигане на консенсус между заинтересованите страни</a:t>
          </a:r>
          <a:endParaRPr lang="en-GB" sz="1000" kern="1200">
            <a:latin typeface="Times New Roman" panose="02020603050405020304" pitchFamily="18" charset="0"/>
            <a:cs typeface="Times New Roman" panose="02020603050405020304" pitchFamily="18" charset="0"/>
          </a:endParaRPr>
        </a:p>
      </dsp:txBody>
      <dsp:txXfrm>
        <a:off x="101506" y="1722398"/>
        <a:ext cx="1269015" cy="531594"/>
      </dsp:txXfrm>
    </dsp:sp>
    <dsp:sp modelId="{D51D869D-BCE2-4BDF-9D3D-873775402965}">
      <dsp:nvSpPr>
        <dsp:cNvPr id="0" name=""/>
        <dsp:cNvSpPr/>
      </dsp:nvSpPr>
      <dsp:spPr>
        <a:xfrm>
          <a:off x="69519" y="2354437"/>
          <a:ext cx="1302105" cy="587594"/>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1.3. Институционализация на МППРБ</a:t>
          </a:r>
          <a:endParaRPr lang="en-GB" sz="1000" kern="1200">
            <a:latin typeface="Times New Roman" panose="02020603050405020304" pitchFamily="18" charset="0"/>
            <a:cs typeface="Times New Roman" panose="02020603050405020304" pitchFamily="18" charset="0"/>
          </a:endParaRPr>
        </a:p>
      </dsp:txBody>
      <dsp:txXfrm>
        <a:off x="86729" y="2371647"/>
        <a:ext cx="1267685" cy="553174"/>
      </dsp:txXfrm>
    </dsp:sp>
    <dsp:sp modelId="{5CC9BB53-F13B-49A4-A959-2CF3D307144C}">
      <dsp:nvSpPr>
        <dsp:cNvPr id="0" name=""/>
        <dsp:cNvSpPr/>
      </dsp:nvSpPr>
      <dsp:spPr>
        <a:xfrm>
          <a:off x="84967" y="3012887"/>
          <a:ext cx="1302093" cy="818665"/>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1.4. Информационно осигуряване на процеса на прилагане и мониторинг на МППРБ</a:t>
          </a:r>
          <a:endParaRPr lang="en-GB" sz="1000" kern="1200">
            <a:latin typeface="Times New Roman" panose="02020603050405020304" pitchFamily="18" charset="0"/>
            <a:cs typeface="Times New Roman" panose="02020603050405020304" pitchFamily="18" charset="0"/>
          </a:endParaRPr>
        </a:p>
      </dsp:txBody>
      <dsp:txXfrm>
        <a:off x="108945" y="3036865"/>
        <a:ext cx="1254137" cy="770709"/>
      </dsp:txXfrm>
    </dsp:sp>
    <dsp:sp modelId="{15C31490-9821-4292-94AB-2265C22381C2}">
      <dsp:nvSpPr>
        <dsp:cNvPr id="0" name=""/>
        <dsp:cNvSpPr/>
      </dsp:nvSpPr>
      <dsp:spPr>
        <a:xfrm>
          <a:off x="1580709" y="0"/>
          <a:ext cx="1469034" cy="4330700"/>
        </a:xfrm>
        <a:prstGeom prst="roundRect">
          <a:avLst>
            <a:gd name="adj" fmla="val 10000"/>
          </a:avLst>
        </a:prstGeom>
        <a:solidFill>
          <a:srgbClr val="BEE6F0"/>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СЦ2. Изграждане на диверсифицирана и устойчива морска икономика и гизнени териториални общности</a:t>
          </a:r>
          <a:endParaRPr lang="en-GB" sz="1000" kern="1200">
            <a:latin typeface="Times New Roman" panose="02020603050405020304" pitchFamily="18" charset="0"/>
            <a:cs typeface="Times New Roman" panose="02020603050405020304" pitchFamily="18" charset="0"/>
          </a:endParaRPr>
        </a:p>
      </dsp:txBody>
      <dsp:txXfrm>
        <a:off x="1580709" y="0"/>
        <a:ext cx="1469034" cy="1299210"/>
      </dsp:txXfrm>
    </dsp:sp>
    <dsp:sp modelId="{8A6289E2-AD86-461F-B39F-2FC094D4CFA2}">
      <dsp:nvSpPr>
        <dsp:cNvPr id="0" name=""/>
        <dsp:cNvSpPr/>
      </dsp:nvSpPr>
      <dsp:spPr>
        <a:xfrm>
          <a:off x="1652991" y="1061950"/>
          <a:ext cx="1309027" cy="800474"/>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2.1. Координация на секторните политики в синята икономика и подкрепа на Зелената сделка</a:t>
          </a:r>
          <a:endParaRPr lang="en-US" sz="1000" kern="1200">
            <a:latin typeface="Times New Roman" panose="02020603050405020304" pitchFamily="18" charset="0"/>
            <a:cs typeface="Times New Roman" panose="02020603050405020304" pitchFamily="18" charset="0"/>
          </a:endParaRPr>
        </a:p>
      </dsp:txBody>
      <dsp:txXfrm>
        <a:off x="1676436" y="1085395"/>
        <a:ext cx="1262137" cy="753584"/>
      </dsp:txXfrm>
    </dsp:sp>
    <dsp:sp modelId="{5577D278-71D2-46F1-8390-C0891F7AFA08}">
      <dsp:nvSpPr>
        <dsp:cNvPr id="0" name=""/>
        <dsp:cNvSpPr/>
      </dsp:nvSpPr>
      <dsp:spPr>
        <a:xfrm>
          <a:off x="1648901" y="1963939"/>
          <a:ext cx="1332649" cy="579095"/>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2.2. Устойчиво развитие на крайбрежния и морски туризъм </a:t>
          </a:r>
          <a:endParaRPr lang="en-US" sz="1000" kern="1200">
            <a:latin typeface="Times New Roman" panose="02020603050405020304" pitchFamily="18" charset="0"/>
            <a:cs typeface="Times New Roman" panose="02020603050405020304" pitchFamily="18" charset="0"/>
          </a:endParaRPr>
        </a:p>
      </dsp:txBody>
      <dsp:txXfrm>
        <a:off x="1665862" y="1980900"/>
        <a:ext cx="1298727" cy="545173"/>
      </dsp:txXfrm>
    </dsp:sp>
    <dsp:sp modelId="{AE838385-E119-4815-A759-89C3EC7B47E1}">
      <dsp:nvSpPr>
        <dsp:cNvPr id="0" name=""/>
        <dsp:cNvSpPr/>
      </dsp:nvSpPr>
      <dsp:spPr>
        <a:xfrm>
          <a:off x="1656822" y="2638428"/>
          <a:ext cx="1301764" cy="636115"/>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2.3. Устойчиво развитие на корабоплаването и корабостроенето </a:t>
          </a:r>
          <a:endParaRPr lang="en-US" sz="1000" kern="1200">
            <a:latin typeface="Times New Roman" panose="02020603050405020304" pitchFamily="18" charset="0"/>
            <a:cs typeface="Times New Roman" panose="02020603050405020304" pitchFamily="18" charset="0"/>
          </a:endParaRPr>
        </a:p>
      </dsp:txBody>
      <dsp:txXfrm>
        <a:off x="1675453" y="2657059"/>
        <a:ext cx="1264502" cy="598853"/>
      </dsp:txXfrm>
    </dsp:sp>
    <dsp:sp modelId="{1F60DE90-A7F2-4A91-B116-06C08D6A63EA}">
      <dsp:nvSpPr>
        <dsp:cNvPr id="0" name=""/>
        <dsp:cNvSpPr/>
      </dsp:nvSpPr>
      <dsp:spPr>
        <a:xfrm>
          <a:off x="1637742" y="3392705"/>
          <a:ext cx="1324481" cy="629199"/>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2.4. Устойчиво развитие на сектор „Рибарство и аквакултури“ </a:t>
          </a:r>
          <a:endParaRPr lang="en-US" sz="1000" kern="1200">
            <a:latin typeface="Times New Roman" panose="02020603050405020304" pitchFamily="18" charset="0"/>
            <a:cs typeface="Times New Roman" panose="02020603050405020304" pitchFamily="18" charset="0"/>
          </a:endParaRPr>
        </a:p>
      </dsp:txBody>
      <dsp:txXfrm>
        <a:off x="1656171" y="3411134"/>
        <a:ext cx="1287623" cy="592341"/>
      </dsp:txXfrm>
    </dsp:sp>
    <dsp:sp modelId="{229CC9F2-6B58-4676-A496-7BF9F14D118B}">
      <dsp:nvSpPr>
        <dsp:cNvPr id="0" name=""/>
        <dsp:cNvSpPr/>
      </dsp:nvSpPr>
      <dsp:spPr>
        <a:xfrm>
          <a:off x="3159921" y="0"/>
          <a:ext cx="1469034" cy="4330700"/>
        </a:xfrm>
        <a:prstGeom prst="roundRect">
          <a:avLst>
            <a:gd name="adj" fmla="val 10000"/>
          </a:avLst>
        </a:prstGeom>
        <a:solidFill>
          <a:srgbClr val="BEE6F0"/>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СЦ3. Повишаване на морската култура, образование и знание</a:t>
          </a:r>
          <a:endParaRPr lang="en-GB" sz="1000" kern="1200">
            <a:latin typeface="Times New Roman" panose="02020603050405020304" pitchFamily="18" charset="0"/>
            <a:cs typeface="Times New Roman" panose="02020603050405020304" pitchFamily="18" charset="0"/>
          </a:endParaRPr>
        </a:p>
      </dsp:txBody>
      <dsp:txXfrm>
        <a:off x="3159921" y="0"/>
        <a:ext cx="1469034" cy="1299210"/>
      </dsp:txXfrm>
    </dsp:sp>
    <dsp:sp modelId="{DE129205-E8F8-4A3A-906B-E40F4B811CC9}">
      <dsp:nvSpPr>
        <dsp:cNvPr id="0" name=""/>
        <dsp:cNvSpPr/>
      </dsp:nvSpPr>
      <dsp:spPr>
        <a:xfrm>
          <a:off x="3239284" y="1082352"/>
          <a:ext cx="1325727" cy="766004"/>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3.1. Развитие на научна инфраструктура и изследователски капацитет</a:t>
          </a:r>
          <a:endParaRPr lang="en-GB" sz="1000" kern="1200">
            <a:latin typeface="Times New Roman" panose="02020603050405020304" pitchFamily="18" charset="0"/>
            <a:cs typeface="Times New Roman" panose="02020603050405020304" pitchFamily="18" charset="0"/>
          </a:endParaRPr>
        </a:p>
      </dsp:txBody>
      <dsp:txXfrm>
        <a:off x="3261719" y="1104787"/>
        <a:ext cx="1280857" cy="721134"/>
      </dsp:txXfrm>
    </dsp:sp>
    <dsp:sp modelId="{C9E8A151-9D41-4A33-90C5-3A010FE1BB50}">
      <dsp:nvSpPr>
        <dsp:cNvPr id="0" name=""/>
        <dsp:cNvSpPr/>
      </dsp:nvSpPr>
      <dsp:spPr>
        <a:xfrm>
          <a:off x="3216120" y="1922538"/>
          <a:ext cx="1325727" cy="823352"/>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3.2. Подобряване на връзките на образованието и научно-изследователската дейност с бизнеса</a:t>
          </a:r>
          <a:endParaRPr lang="en-GB" sz="1000" kern="1200">
            <a:latin typeface="Times New Roman" panose="02020603050405020304" pitchFamily="18" charset="0"/>
            <a:cs typeface="Times New Roman" panose="02020603050405020304" pitchFamily="18" charset="0"/>
          </a:endParaRPr>
        </a:p>
      </dsp:txBody>
      <dsp:txXfrm>
        <a:off x="3240235" y="1946653"/>
        <a:ext cx="1277497" cy="775122"/>
      </dsp:txXfrm>
    </dsp:sp>
    <dsp:sp modelId="{0C2D1862-E574-41FB-8BF5-60D329572AFF}">
      <dsp:nvSpPr>
        <dsp:cNvPr id="0" name=""/>
        <dsp:cNvSpPr/>
      </dsp:nvSpPr>
      <dsp:spPr>
        <a:xfrm>
          <a:off x="3213288" y="2864427"/>
          <a:ext cx="1362300" cy="568941"/>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 СпЦ 3.3. Изграждане на база от знания и иновации за морска политика </a:t>
          </a:r>
          <a:endParaRPr lang="en-GB" sz="1000" kern="1200">
            <a:latin typeface="Times New Roman" panose="02020603050405020304" pitchFamily="18" charset="0"/>
            <a:cs typeface="Times New Roman" panose="02020603050405020304" pitchFamily="18" charset="0"/>
          </a:endParaRPr>
        </a:p>
      </dsp:txBody>
      <dsp:txXfrm>
        <a:off x="3229952" y="2881091"/>
        <a:ext cx="1328972" cy="535613"/>
      </dsp:txXfrm>
    </dsp:sp>
    <dsp:sp modelId="{E52F88F4-6563-4025-931E-CB7ABD46998A}">
      <dsp:nvSpPr>
        <dsp:cNvPr id="0" name=""/>
        <dsp:cNvSpPr/>
      </dsp:nvSpPr>
      <dsp:spPr>
        <a:xfrm>
          <a:off x="3221003" y="3547143"/>
          <a:ext cx="1315961" cy="592978"/>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3.4. Повишаване на екологичното възпитание и знание за морето </a:t>
          </a:r>
          <a:endParaRPr lang="en-GB" sz="1000" kern="1200">
            <a:latin typeface="Times New Roman" panose="02020603050405020304" pitchFamily="18" charset="0"/>
            <a:cs typeface="Times New Roman" panose="02020603050405020304" pitchFamily="18" charset="0"/>
          </a:endParaRPr>
        </a:p>
      </dsp:txBody>
      <dsp:txXfrm>
        <a:off x="3238371" y="3564511"/>
        <a:ext cx="1281225" cy="558242"/>
      </dsp:txXfrm>
    </dsp:sp>
    <dsp:sp modelId="{C1CD18B6-D61E-4813-BB51-A112E14F99A6}">
      <dsp:nvSpPr>
        <dsp:cNvPr id="0" name=""/>
        <dsp:cNvSpPr/>
      </dsp:nvSpPr>
      <dsp:spPr>
        <a:xfrm>
          <a:off x="4739133" y="0"/>
          <a:ext cx="1469034" cy="4330700"/>
        </a:xfrm>
        <a:prstGeom prst="roundRect">
          <a:avLst>
            <a:gd name="adj" fmla="val 10000"/>
          </a:avLst>
        </a:prstGeom>
        <a:solidFill>
          <a:srgbClr val="BEE6F0"/>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СЦ4. Международно и регионално сътрудничество за опазване и ползване на Черноморските ресурси </a:t>
          </a:r>
          <a:endParaRPr lang="en-GB" sz="1000" kern="1200">
            <a:latin typeface="Times New Roman" panose="02020603050405020304" pitchFamily="18" charset="0"/>
            <a:cs typeface="Times New Roman" panose="02020603050405020304" pitchFamily="18" charset="0"/>
          </a:endParaRPr>
        </a:p>
      </dsp:txBody>
      <dsp:txXfrm>
        <a:off x="4739133" y="0"/>
        <a:ext cx="1469034" cy="1299210"/>
      </dsp:txXfrm>
    </dsp:sp>
    <dsp:sp modelId="{946E0432-50F6-4A8B-9380-06F4BE7A89D2}">
      <dsp:nvSpPr>
        <dsp:cNvPr id="0" name=""/>
        <dsp:cNvSpPr/>
      </dsp:nvSpPr>
      <dsp:spPr>
        <a:xfrm>
          <a:off x="4821293" y="1103081"/>
          <a:ext cx="1307464" cy="909803"/>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4.1. Сътрудничество за намаляване нивата на замърсителите до безвредни за морските екосистеми стойности </a:t>
          </a:r>
          <a:endParaRPr lang="en-GB" sz="1000" kern="1200">
            <a:latin typeface="Times New Roman" panose="02020603050405020304" pitchFamily="18" charset="0"/>
            <a:cs typeface="Times New Roman" panose="02020603050405020304" pitchFamily="18" charset="0"/>
          </a:endParaRPr>
        </a:p>
      </dsp:txBody>
      <dsp:txXfrm>
        <a:off x="4847940" y="1129728"/>
        <a:ext cx="1254170" cy="856509"/>
      </dsp:txXfrm>
    </dsp:sp>
    <dsp:sp modelId="{007E6977-91CF-4F9B-8E02-746F53A280AB}">
      <dsp:nvSpPr>
        <dsp:cNvPr id="0" name=""/>
        <dsp:cNvSpPr/>
      </dsp:nvSpPr>
      <dsp:spPr>
        <a:xfrm>
          <a:off x="4822457" y="2073986"/>
          <a:ext cx="1307464" cy="980055"/>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4.2. Сътрудничество за ефективно управление на риболова и прекратяване на свръхулова</a:t>
          </a:r>
          <a:endParaRPr lang="en-GB" sz="1000" kern="1200">
            <a:latin typeface="Times New Roman" panose="02020603050405020304" pitchFamily="18" charset="0"/>
            <a:cs typeface="Times New Roman" panose="02020603050405020304" pitchFamily="18" charset="0"/>
          </a:endParaRPr>
        </a:p>
      </dsp:txBody>
      <dsp:txXfrm>
        <a:off x="4851162" y="2102691"/>
        <a:ext cx="1250054" cy="922645"/>
      </dsp:txXfrm>
    </dsp:sp>
    <dsp:sp modelId="{44E27403-0DE9-44DC-A6FF-D8566CDAF98B}">
      <dsp:nvSpPr>
        <dsp:cNvPr id="0" name=""/>
        <dsp:cNvSpPr/>
      </dsp:nvSpPr>
      <dsp:spPr>
        <a:xfrm>
          <a:off x="4827645" y="3175203"/>
          <a:ext cx="1292009" cy="773895"/>
        </a:xfrm>
        <a:prstGeom prst="roundRect">
          <a:avLst>
            <a:gd name="adj" fmla="val 10000"/>
          </a:avLst>
        </a:prstGeom>
        <a:solidFill>
          <a:srgbClr val="196181"/>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bg-BG" sz="1000" kern="1200">
              <a:latin typeface="Times New Roman" panose="02020603050405020304" pitchFamily="18" charset="0"/>
              <a:cs typeface="Times New Roman" panose="02020603050405020304" pitchFamily="18" charset="0"/>
            </a:rPr>
            <a:t>СпЦ 4.3. Сътрудничество за споделени услуги, работни места и трансгранични продукти</a:t>
          </a:r>
          <a:endParaRPr lang="en-GB" sz="1000" kern="1200">
            <a:latin typeface="Times New Roman" panose="02020603050405020304" pitchFamily="18" charset="0"/>
            <a:cs typeface="Times New Roman" panose="02020603050405020304" pitchFamily="18" charset="0"/>
          </a:endParaRPr>
        </a:p>
      </dsp:txBody>
      <dsp:txXfrm>
        <a:off x="4850312" y="3197870"/>
        <a:ext cx="1246675" cy="728561"/>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2587F0-DC54-476A-88ED-BF6B958D2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427</Pages>
  <Words>174500</Words>
  <Characters>994655</Characters>
  <Application>Microsoft Office Word</Application>
  <DocSecurity>0</DocSecurity>
  <Lines>8288</Lines>
  <Paragraphs>2333</Paragraphs>
  <ScaleCrop>false</ScaleCrop>
  <HeadingPairs>
    <vt:vector size="2" baseType="variant">
      <vt:variant>
        <vt:lpstr>Title</vt:lpstr>
      </vt:variant>
      <vt:variant>
        <vt:i4>1</vt:i4>
      </vt:variant>
    </vt:vector>
  </HeadingPairs>
  <TitlesOfParts>
    <vt:vector size="1" baseType="lpstr">
      <vt:lpstr>морски пространствен план на република българия
2021-2035</vt:lpstr>
    </vt:vector>
  </TitlesOfParts>
  <Company/>
  <LinksUpToDate>false</LinksUpToDate>
  <CharactersWithSpaces>1166822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морски пространствен план на република българия
2021-2035</dc:title>
  <dc:subject>Проект за обсъждане</dc:subject>
  <dc:creator>Vesselina Troeva</dc:creator>
  <cp:keywords/>
  <dc:description/>
  <cp:lastModifiedBy>Elena Nelkova Stoyanova</cp:lastModifiedBy>
  <cp:revision>2</cp:revision>
  <cp:lastPrinted>2021-03-29T09:43:00Z</cp:lastPrinted>
  <dcterms:created xsi:type="dcterms:W3CDTF">2023-04-27T13:11:00Z</dcterms:created>
  <dcterms:modified xsi:type="dcterms:W3CDTF">2023-04-27T13:11:00Z</dcterms:modified>
</cp:coreProperties>
</file>